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8F323" w14:textId="77777777" w:rsidR="00E006CA" w:rsidRPr="009C5BC2" w:rsidRDefault="00E006CA" w:rsidP="00020ECA">
      <w:pPr>
        <w:spacing w:line="360" w:lineRule="auto"/>
        <w:jc w:val="center"/>
        <w:rPr>
          <w:rFonts w:ascii="Times New Roman" w:hAnsi="Times New Roman" w:cs="Times New Roman"/>
          <w:b/>
          <w:sz w:val="24"/>
          <w:szCs w:val="24"/>
        </w:rPr>
      </w:pPr>
      <w:r w:rsidRPr="009C5BC2">
        <w:rPr>
          <w:rFonts w:ascii="Times New Roman" w:hAnsi="Times New Roman" w:cs="Times New Roman"/>
          <w:b/>
          <w:sz w:val="24"/>
          <w:szCs w:val="24"/>
        </w:rPr>
        <w:t>Children’s rights law in the global human rights landscape:</w:t>
      </w:r>
    </w:p>
    <w:p w14:paraId="2CB47A14" w14:textId="77777777" w:rsidR="00E006CA" w:rsidRPr="009C5BC2" w:rsidRDefault="00E006CA" w:rsidP="00020ECA">
      <w:pPr>
        <w:spacing w:line="360" w:lineRule="auto"/>
        <w:jc w:val="center"/>
        <w:rPr>
          <w:rFonts w:ascii="Times New Roman" w:hAnsi="Times New Roman" w:cs="Times New Roman"/>
          <w:b/>
          <w:sz w:val="24"/>
          <w:szCs w:val="24"/>
        </w:rPr>
      </w:pPr>
      <w:proofErr w:type="gramStart"/>
      <w:r w:rsidRPr="009C5BC2">
        <w:rPr>
          <w:rFonts w:ascii="Times New Roman" w:hAnsi="Times New Roman" w:cs="Times New Roman"/>
          <w:b/>
          <w:sz w:val="24"/>
          <w:szCs w:val="24"/>
        </w:rPr>
        <w:t>isolation</w:t>
      </w:r>
      <w:proofErr w:type="gramEnd"/>
      <w:r w:rsidRPr="009C5BC2">
        <w:rPr>
          <w:rFonts w:ascii="Times New Roman" w:hAnsi="Times New Roman" w:cs="Times New Roman"/>
          <w:b/>
          <w:sz w:val="24"/>
          <w:szCs w:val="24"/>
        </w:rPr>
        <w:t>, inspiration, integration?</w:t>
      </w:r>
      <w:r w:rsidRPr="009C5BC2">
        <w:rPr>
          <w:rFonts w:ascii="Times New Roman" w:hAnsi="Times New Roman" w:cs="Times New Roman"/>
          <w:b/>
          <w:sz w:val="24"/>
          <w:szCs w:val="24"/>
        </w:rPr>
        <w:cr/>
      </w:r>
    </w:p>
    <w:p w14:paraId="22BC2E7B" w14:textId="77777777" w:rsidR="00C90BCF" w:rsidRPr="009C5BC2" w:rsidRDefault="00C90BCF" w:rsidP="00020ECA">
      <w:pPr>
        <w:spacing w:after="0" w:line="360" w:lineRule="auto"/>
        <w:jc w:val="center"/>
        <w:rPr>
          <w:rFonts w:ascii="Times New Roman" w:hAnsi="Times New Roman" w:cs="Times New Roman"/>
          <w:b/>
          <w:sz w:val="24"/>
          <w:szCs w:val="24"/>
          <w:lang w:val="en-US"/>
        </w:rPr>
      </w:pPr>
      <w:r w:rsidRPr="009C5BC2">
        <w:rPr>
          <w:rFonts w:ascii="Times New Roman" w:hAnsi="Times New Roman" w:cs="Times New Roman"/>
          <w:b/>
          <w:sz w:val="24"/>
          <w:szCs w:val="24"/>
          <w:lang w:val="en-US"/>
        </w:rPr>
        <w:t>The broader relevance of features of children’s rights law</w:t>
      </w:r>
    </w:p>
    <w:p w14:paraId="284FD6AA" w14:textId="77777777" w:rsidR="00C90BCF" w:rsidRPr="009C5BC2" w:rsidRDefault="00C90BCF" w:rsidP="00020ECA">
      <w:pPr>
        <w:spacing w:after="0" w:line="360" w:lineRule="auto"/>
        <w:jc w:val="center"/>
        <w:rPr>
          <w:rFonts w:ascii="Times New Roman" w:hAnsi="Times New Roman" w:cs="Times New Roman"/>
          <w:sz w:val="24"/>
          <w:szCs w:val="24"/>
          <w:lang w:val="en-US"/>
        </w:rPr>
      </w:pPr>
      <w:r w:rsidRPr="009C5BC2">
        <w:rPr>
          <w:rFonts w:ascii="Times New Roman" w:hAnsi="Times New Roman" w:cs="Times New Roman"/>
          <w:sz w:val="24"/>
          <w:szCs w:val="24"/>
          <w:lang w:val="en-US"/>
        </w:rPr>
        <w:t>The ‘best interests of the child’ principle</w:t>
      </w:r>
    </w:p>
    <w:p w14:paraId="19EAF128" w14:textId="77777777" w:rsidR="00C90BCF" w:rsidRPr="009C5BC2" w:rsidRDefault="00C90BCF" w:rsidP="00020ECA">
      <w:pPr>
        <w:spacing w:line="360" w:lineRule="auto"/>
        <w:jc w:val="center"/>
        <w:rPr>
          <w:rFonts w:ascii="Times New Roman" w:hAnsi="Times New Roman" w:cs="Times New Roman"/>
          <w:b/>
          <w:sz w:val="24"/>
          <w:szCs w:val="24"/>
          <w:u w:val="single"/>
        </w:rPr>
      </w:pPr>
    </w:p>
    <w:p w14:paraId="65324440" w14:textId="77777777" w:rsidR="00C90BCF" w:rsidRPr="009C5BC2" w:rsidRDefault="00C90BCF" w:rsidP="00020ECA">
      <w:pPr>
        <w:spacing w:line="360" w:lineRule="auto"/>
        <w:jc w:val="center"/>
        <w:rPr>
          <w:rFonts w:ascii="Times New Roman" w:hAnsi="Times New Roman" w:cs="Times New Roman"/>
          <w:b/>
          <w:sz w:val="24"/>
          <w:szCs w:val="24"/>
          <w:u w:val="single"/>
        </w:rPr>
      </w:pPr>
      <w:r w:rsidRPr="009C5BC2">
        <w:rPr>
          <w:rFonts w:ascii="Times New Roman" w:hAnsi="Times New Roman" w:cs="Times New Roman"/>
          <w:b/>
          <w:sz w:val="24"/>
          <w:szCs w:val="24"/>
          <w:u w:val="single"/>
        </w:rPr>
        <w:t xml:space="preserve">Helen </w:t>
      </w:r>
      <w:proofErr w:type="spellStart"/>
      <w:r w:rsidRPr="009C5BC2">
        <w:rPr>
          <w:rFonts w:ascii="Times New Roman" w:hAnsi="Times New Roman" w:cs="Times New Roman"/>
          <w:b/>
          <w:sz w:val="24"/>
          <w:szCs w:val="24"/>
          <w:u w:val="single"/>
        </w:rPr>
        <w:t>Stalford</w:t>
      </w:r>
      <w:proofErr w:type="spellEnd"/>
      <w:r w:rsidRPr="009C5BC2">
        <w:rPr>
          <w:rFonts w:ascii="Times New Roman" w:hAnsi="Times New Roman" w:cs="Times New Roman"/>
          <w:b/>
          <w:sz w:val="24"/>
          <w:szCs w:val="24"/>
          <w:u w:val="single"/>
        </w:rPr>
        <w:t xml:space="preserve"> </w:t>
      </w:r>
    </w:p>
    <w:p w14:paraId="54713858" w14:textId="77777777" w:rsidR="007809CF" w:rsidRPr="009C5BC2" w:rsidRDefault="002D2785" w:rsidP="00020ECA">
      <w:pPr>
        <w:spacing w:line="360" w:lineRule="auto"/>
        <w:jc w:val="both"/>
        <w:rPr>
          <w:rFonts w:ascii="Times New Roman" w:hAnsi="Times New Roman" w:cs="Times New Roman"/>
          <w:b/>
          <w:sz w:val="24"/>
          <w:szCs w:val="24"/>
        </w:rPr>
      </w:pPr>
      <w:r w:rsidRPr="009C5BC2">
        <w:rPr>
          <w:rFonts w:ascii="Times New Roman" w:hAnsi="Times New Roman" w:cs="Times New Roman"/>
          <w:b/>
          <w:sz w:val="24"/>
          <w:szCs w:val="24"/>
        </w:rPr>
        <w:t>Abstract</w:t>
      </w:r>
    </w:p>
    <w:p w14:paraId="168B73CB" w14:textId="0DCED859" w:rsidR="00E006CA" w:rsidRPr="00BB6FEB" w:rsidRDefault="00E006CA" w:rsidP="00020ECA">
      <w:pPr>
        <w:spacing w:line="360" w:lineRule="auto"/>
        <w:jc w:val="both"/>
        <w:rPr>
          <w:rFonts w:ascii="Times New Roman" w:hAnsi="Times New Roman" w:cs="Times New Roman"/>
          <w:sz w:val="20"/>
          <w:szCs w:val="24"/>
        </w:rPr>
      </w:pPr>
      <w:r w:rsidRPr="00BB6FEB">
        <w:rPr>
          <w:rFonts w:ascii="Times New Roman" w:hAnsi="Times New Roman" w:cs="Times New Roman"/>
          <w:sz w:val="20"/>
          <w:szCs w:val="24"/>
        </w:rPr>
        <w:t xml:space="preserve">This chapter explores how interpretations and applications of the best </w:t>
      </w:r>
      <w:proofErr w:type="gramStart"/>
      <w:r w:rsidRPr="00BB6FEB">
        <w:rPr>
          <w:rFonts w:ascii="Times New Roman" w:hAnsi="Times New Roman" w:cs="Times New Roman"/>
          <w:sz w:val="20"/>
          <w:szCs w:val="24"/>
        </w:rPr>
        <w:t>interests</w:t>
      </w:r>
      <w:proofErr w:type="gramEnd"/>
      <w:r w:rsidRPr="00BB6FEB">
        <w:rPr>
          <w:rFonts w:ascii="Times New Roman" w:hAnsi="Times New Roman" w:cs="Times New Roman"/>
          <w:sz w:val="20"/>
          <w:szCs w:val="24"/>
        </w:rPr>
        <w:t xml:space="preserve"> principle </w:t>
      </w:r>
      <w:r w:rsidR="00813F94" w:rsidRPr="00BB6FEB">
        <w:rPr>
          <w:rFonts w:ascii="Times New Roman" w:hAnsi="Times New Roman" w:cs="Times New Roman"/>
          <w:sz w:val="20"/>
          <w:szCs w:val="24"/>
        </w:rPr>
        <w:t>ha</w:t>
      </w:r>
      <w:r w:rsidR="00813F94">
        <w:rPr>
          <w:rFonts w:ascii="Times New Roman" w:hAnsi="Times New Roman" w:cs="Times New Roman"/>
          <w:sz w:val="20"/>
          <w:szCs w:val="24"/>
        </w:rPr>
        <w:t xml:space="preserve">ve </w:t>
      </w:r>
      <w:r w:rsidRPr="00BB6FEB">
        <w:rPr>
          <w:rFonts w:ascii="Times New Roman" w:hAnsi="Times New Roman" w:cs="Times New Roman"/>
          <w:sz w:val="20"/>
          <w:szCs w:val="24"/>
        </w:rPr>
        <w:t xml:space="preserve">evolved in relation to decisions involving children. This will set the scene for exploring the actual and potential use of the principle to mediate decisions in other </w:t>
      </w:r>
      <w:r w:rsidR="00C90BCF" w:rsidRPr="00BB6FEB">
        <w:rPr>
          <w:rFonts w:ascii="Times New Roman" w:hAnsi="Times New Roman" w:cs="Times New Roman"/>
          <w:sz w:val="20"/>
          <w:szCs w:val="24"/>
        </w:rPr>
        <w:t>(</w:t>
      </w:r>
      <w:r w:rsidRPr="00BB6FEB">
        <w:rPr>
          <w:rFonts w:ascii="Times New Roman" w:hAnsi="Times New Roman" w:cs="Times New Roman"/>
          <w:sz w:val="20"/>
          <w:szCs w:val="24"/>
        </w:rPr>
        <w:t>adult</w:t>
      </w:r>
      <w:r w:rsidR="00C90BCF" w:rsidRPr="00BB6FEB">
        <w:rPr>
          <w:rFonts w:ascii="Times New Roman" w:hAnsi="Times New Roman" w:cs="Times New Roman"/>
          <w:sz w:val="20"/>
          <w:szCs w:val="24"/>
        </w:rPr>
        <w:t>) human rights</w:t>
      </w:r>
      <w:r w:rsidRPr="00BB6FEB">
        <w:rPr>
          <w:rFonts w:ascii="Times New Roman" w:hAnsi="Times New Roman" w:cs="Times New Roman"/>
          <w:sz w:val="20"/>
          <w:szCs w:val="24"/>
        </w:rPr>
        <w:t xml:space="preserve"> contexts. The analysis interrogates</w:t>
      </w:r>
      <w:r w:rsidR="00C90BCF" w:rsidRPr="00BB6FEB">
        <w:rPr>
          <w:rFonts w:ascii="Times New Roman" w:hAnsi="Times New Roman" w:cs="Times New Roman"/>
          <w:sz w:val="20"/>
          <w:szCs w:val="24"/>
        </w:rPr>
        <w:t xml:space="preserve"> in particular</w:t>
      </w:r>
      <w:r w:rsidRPr="00BB6FEB">
        <w:rPr>
          <w:rFonts w:ascii="Times New Roman" w:hAnsi="Times New Roman" w:cs="Times New Roman"/>
          <w:sz w:val="20"/>
          <w:szCs w:val="24"/>
        </w:rPr>
        <w:t xml:space="preserve"> whether the best interests principle can be transposed to </w:t>
      </w:r>
      <w:r w:rsidR="00020ECA" w:rsidRPr="00BB6FEB">
        <w:rPr>
          <w:rFonts w:ascii="Times New Roman" w:hAnsi="Times New Roman" w:cs="Times New Roman"/>
          <w:sz w:val="20"/>
          <w:szCs w:val="24"/>
        </w:rPr>
        <w:t xml:space="preserve">adult </w:t>
      </w:r>
      <w:r w:rsidRPr="00BB6FEB">
        <w:rPr>
          <w:rFonts w:ascii="Times New Roman" w:hAnsi="Times New Roman" w:cs="Times New Roman"/>
          <w:sz w:val="20"/>
          <w:szCs w:val="24"/>
        </w:rPr>
        <w:t xml:space="preserve">human rights contexts without significantly undermining its effectiveness in protecting children’s welfare as a primary objective.  </w:t>
      </w:r>
      <w:r w:rsidR="00C90BCF" w:rsidRPr="00BB6FEB">
        <w:rPr>
          <w:rFonts w:ascii="Times New Roman" w:hAnsi="Times New Roman" w:cs="Times New Roman"/>
          <w:sz w:val="20"/>
          <w:szCs w:val="24"/>
        </w:rPr>
        <w:t xml:space="preserve">In doing so, the chapter </w:t>
      </w:r>
      <w:proofErr w:type="gramStart"/>
      <w:r w:rsidR="00C90BCF" w:rsidRPr="00BB6FEB">
        <w:rPr>
          <w:rFonts w:ascii="Times New Roman" w:hAnsi="Times New Roman" w:cs="Times New Roman"/>
          <w:sz w:val="20"/>
          <w:szCs w:val="24"/>
        </w:rPr>
        <w:t>explores</w:t>
      </w:r>
      <w:proofErr w:type="gramEnd"/>
      <w:r w:rsidR="00C90BCF" w:rsidRPr="00BB6FEB">
        <w:rPr>
          <w:rFonts w:ascii="Times New Roman" w:hAnsi="Times New Roman" w:cs="Times New Roman"/>
          <w:sz w:val="20"/>
          <w:szCs w:val="24"/>
        </w:rPr>
        <w:t xml:space="preserve"> the extent to which the best interests principle has been used (and, indeed, abused) to uphold</w:t>
      </w:r>
      <w:r w:rsidR="00020ECA" w:rsidRPr="00BB6FEB">
        <w:rPr>
          <w:rFonts w:ascii="Times New Roman" w:hAnsi="Times New Roman" w:cs="Times New Roman"/>
          <w:sz w:val="20"/>
          <w:szCs w:val="24"/>
        </w:rPr>
        <w:t xml:space="preserve"> the interests of adult parties</w:t>
      </w:r>
      <w:r w:rsidR="00C90BCF" w:rsidRPr="00BB6FEB">
        <w:rPr>
          <w:rFonts w:ascii="Times New Roman" w:hAnsi="Times New Roman" w:cs="Times New Roman"/>
          <w:sz w:val="20"/>
          <w:szCs w:val="24"/>
        </w:rPr>
        <w:t xml:space="preserve">.   </w:t>
      </w:r>
    </w:p>
    <w:p w14:paraId="56EE7129" w14:textId="141939D6" w:rsidR="00C90BCF" w:rsidRPr="00BB6FEB" w:rsidRDefault="00C90BCF" w:rsidP="00020ECA">
      <w:pPr>
        <w:spacing w:line="360" w:lineRule="auto"/>
        <w:jc w:val="both"/>
        <w:rPr>
          <w:rFonts w:ascii="Times New Roman" w:hAnsi="Times New Roman" w:cs="Times New Roman"/>
          <w:sz w:val="20"/>
          <w:szCs w:val="24"/>
        </w:rPr>
      </w:pPr>
      <w:r w:rsidRPr="00BB6FEB">
        <w:rPr>
          <w:rFonts w:ascii="Times New Roman" w:hAnsi="Times New Roman" w:cs="Times New Roman"/>
          <w:sz w:val="20"/>
          <w:szCs w:val="24"/>
        </w:rPr>
        <w:t xml:space="preserve">Helen </w:t>
      </w:r>
      <w:proofErr w:type="spellStart"/>
      <w:r w:rsidRPr="00BB6FEB">
        <w:rPr>
          <w:rFonts w:ascii="Times New Roman" w:hAnsi="Times New Roman" w:cs="Times New Roman"/>
          <w:sz w:val="20"/>
          <w:szCs w:val="24"/>
        </w:rPr>
        <w:t>Stalford</w:t>
      </w:r>
      <w:proofErr w:type="spellEnd"/>
      <w:r w:rsidRPr="00BB6FEB">
        <w:rPr>
          <w:rFonts w:ascii="Times New Roman" w:hAnsi="Times New Roman" w:cs="Times New Roman"/>
          <w:sz w:val="20"/>
          <w:szCs w:val="24"/>
        </w:rPr>
        <w:t xml:space="preserve"> is Professor of Law at the University </w:t>
      </w:r>
      <w:proofErr w:type="gramStart"/>
      <w:r w:rsidRPr="00BB6FEB">
        <w:rPr>
          <w:rFonts w:ascii="Times New Roman" w:hAnsi="Times New Roman" w:cs="Times New Roman"/>
          <w:sz w:val="20"/>
          <w:szCs w:val="24"/>
        </w:rPr>
        <w:t>of</w:t>
      </w:r>
      <w:proofErr w:type="gramEnd"/>
      <w:r w:rsidRPr="00BB6FEB">
        <w:rPr>
          <w:rFonts w:ascii="Times New Roman" w:hAnsi="Times New Roman" w:cs="Times New Roman"/>
          <w:sz w:val="20"/>
          <w:szCs w:val="24"/>
        </w:rPr>
        <w:t xml:space="preserve"> Liverpool, England. She is founding director of the European Children’s Rights Unit and has written and published extensively on children’</w:t>
      </w:r>
      <w:r w:rsidR="00BF3B17" w:rsidRPr="00BB6FEB">
        <w:rPr>
          <w:rFonts w:ascii="Times New Roman" w:hAnsi="Times New Roman" w:cs="Times New Roman"/>
          <w:sz w:val="20"/>
          <w:szCs w:val="24"/>
        </w:rPr>
        <w:t xml:space="preserve">s rights in a European context. She has a particular interest in developing methods that engage children as </w:t>
      </w:r>
      <w:r w:rsidR="00A8432B" w:rsidRPr="00BB6FEB">
        <w:rPr>
          <w:rFonts w:ascii="Times New Roman" w:hAnsi="Times New Roman" w:cs="Times New Roman"/>
          <w:sz w:val="20"/>
          <w:szCs w:val="24"/>
        </w:rPr>
        <w:t>research partners, that explore and enhance</w:t>
      </w:r>
      <w:r w:rsidR="00BF3B17" w:rsidRPr="00BB6FEB">
        <w:rPr>
          <w:rFonts w:ascii="Times New Roman" w:hAnsi="Times New Roman" w:cs="Times New Roman"/>
          <w:sz w:val="20"/>
          <w:szCs w:val="24"/>
        </w:rPr>
        <w:t xml:space="preserve"> children’s understanding and experiences of the law, and that seek to evaluate the impact of </w:t>
      </w:r>
      <w:r w:rsidR="00020ECA" w:rsidRPr="00BB6FEB">
        <w:rPr>
          <w:rFonts w:ascii="Times New Roman" w:hAnsi="Times New Roman" w:cs="Times New Roman"/>
          <w:sz w:val="20"/>
          <w:szCs w:val="24"/>
        </w:rPr>
        <w:t>legal processes</w:t>
      </w:r>
      <w:r w:rsidR="00BF3B17" w:rsidRPr="00BB6FEB">
        <w:rPr>
          <w:rFonts w:ascii="Times New Roman" w:hAnsi="Times New Roman" w:cs="Times New Roman"/>
          <w:sz w:val="20"/>
          <w:szCs w:val="24"/>
        </w:rPr>
        <w:t xml:space="preserve"> on children’s lives. </w:t>
      </w:r>
    </w:p>
    <w:p w14:paraId="14780D63" w14:textId="77777777" w:rsidR="002D2785" w:rsidRPr="009C5BC2" w:rsidRDefault="002D2785" w:rsidP="00020ECA">
      <w:pPr>
        <w:spacing w:line="360" w:lineRule="auto"/>
        <w:jc w:val="both"/>
        <w:rPr>
          <w:rFonts w:ascii="Times New Roman" w:hAnsi="Times New Roman" w:cs="Times New Roman"/>
          <w:sz w:val="24"/>
          <w:szCs w:val="24"/>
        </w:rPr>
      </w:pPr>
    </w:p>
    <w:p w14:paraId="5CA63A1F" w14:textId="77777777" w:rsidR="002D2785" w:rsidRPr="009C5BC2" w:rsidRDefault="002D2785" w:rsidP="00020ECA">
      <w:pPr>
        <w:spacing w:line="360" w:lineRule="auto"/>
        <w:jc w:val="both"/>
        <w:rPr>
          <w:rFonts w:ascii="Times New Roman" w:hAnsi="Times New Roman" w:cs="Times New Roman"/>
          <w:b/>
          <w:sz w:val="24"/>
          <w:szCs w:val="24"/>
        </w:rPr>
      </w:pPr>
      <w:r w:rsidRPr="009C5BC2">
        <w:rPr>
          <w:rFonts w:ascii="Times New Roman" w:hAnsi="Times New Roman" w:cs="Times New Roman"/>
          <w:b/>
          <w:sz w:val="24"/>
          <w:szCs w:val="24"/>
        </w:rPr>
        <w:t xml:space="preserve">Introduction </w:t>
      </w:r>
    </w:p>
    <w:p w14:paraId="7010A913" w14:textId="759BC85B" w:rsidR="00C2727F" w:rsidRPr="009C5BC2" w:rsidRDefault="002D2785" w:rsidP="00020ECA">
      <w:pPr>
        <w:spacing w:line="360" w:lineRule="auto"/>
        <w:rPr>
          <w:rFonts w:ascii="Times New Roman" w:hAnsi="Times New Roman" w:cs="Times New Roman"/>
          <w:color w:val="000000"/>
          <w:sz w:val="24"/>
          <w:szCs w:val="24"/>
          <w:vertAlign w:val="superscript"/>
        </w:rPr>
      </w:pPr>
      <w:r w:rsidRPr="009C5BC2">
        <w:rPr>
          <w:rFonts w:ascii="Times New Roman" w:hAnsi="Times New Roman" w:cs="Times New Roman"/>
          <w:sz w:val="24"/>
          <w:szCs w:val="24"/>
        </w:rPr>
        <w:t xml:space="preserve">The best </w:t>
      </w:r>
      <w:proofErr w:type="gramStart"/>
      <w:r w:rsidRPr="009C5BC2">
        <w:rPr>
          <w:rFonts w:ascii="Times New Roman" w:hAnsi="Times New Roman" w:cs="Times New Roman"/>
          <w:sz w:val="24"/>
          <w:szCs w:val="24"/>
        </w:rPr>
        <w:t>interests</w:t>
      </w:r>
      <w:proofErr w:type="gramEnd"/>
      <w:r w:rsidRPr="009C5BC2">
        <w:rPr>
          <w:rFonts w:ascii="Times New Roman" w:hAnsi="Times New Roman" w:cs="Times New Roman"/>
          <w:sz w:val="24"/>
          <w:szCs w:val="24"/>
        </w:rPr>
        <w:t xml:space="preserve"> principle is the normative axis around which decisions relating to children revolve. While Article 3(1) CRC is the most commonly cited reference for this principle, it finds expression in a number of earlier</w:t>
      </w:r>
      <w:r w:rsidR="00D30576" w:rsidRPr="009C5BC2">
        <w:rPr>
          <w:rFonts w:ascii="Times New Roman" w:hAnsi="Times New Roman" w:cs="Times New Roman"/>
          <w:sz w:val="24"/>
          <w:szCs w:val="24"/>
        </w:rPr>
        <w:t xml:space="preserve"> and subsequent</w:t>
      </w:r>
      <w:r w:rsidRPr="009C5BC2">
        <w:rPr>
          <w:rFonts w:ascii="Times New Roman" w:hAnsi="Times New Roman" w:cs="Times New Roman"/>
          <w:sz w:val="24"/>
          <w:szCs w:val="24"/>
        </w:rPr>
        <w:t xml:space="preserve"> international texts, notably the 1959 Declaration on the Rights of the Child</w:t>
      </w:r>
      <w:r w:rsidR="00D30576" w:rsidRPr="009C5BC2">
        <w:rPr>
          <w:rFonts w:ascii="Times New Roman" w:hAnsi="Times New Roman" w:cs="Times New Roman"/>
          <w:sz w:val="24"/>
          <w:szCs w:val="24"/>
        </w:rPr>
        <w:t>,</w:t>
      </w:r>
      <w:r w:rsidRPr="009C5BC2">
        <w:rPr>
          <w:rStyle w:val="FootnoteReference1"/>
          <w:rFonts w:ascii="Times New Roman" w:hAnsi="Times New Roman" w:cs="Times New Roman"/>
          <w:sz w:val="24"/>
          <w:szCs w:val="24"/>
        </w:rPr>
        <w:footnoteReference w:id="1"/>
      </w:r>
      <w:r w:rsidRPr="009C5BC2">
        <w:rPr>
          <w:rFonts w:ascii="Times New Roman" w:hAnsi="Times New Roman" w:cs="Times New Roman"/>
          <w:sz w:val="24"/>
          <w:szCs w:val="24"/>
        </w:rPr>
        <w:t xml:space="preserve"> the 1979 Convention on the Elimination of All Forms </w:t>
      </w:r>
      <w:r w:rsidR="00D30576" w:rsidRPr="009C5BC2">
        <w:rPr>
          <w:rFonts w:ascii="Times New Roman" w:hAnsi="Times New Roman" w:cs="Times New Roman"/>
          <w:sz w:val="24"/>
          <w:szCs w:val="24"/>
        </w:rPr>
        <w:t xml:space="preserve">of Discrimination </w:t>
      </w:r>
      <w:proofErr w:type="gramStart"/>
      <w:r w:rsidR="00D30576" w:rsidRPr="009C5BC2">
        <w:rPr>
          <w:rFonts w:ascii="Times New Roman" w:hAnsi="Times New Roman" w:cs="Times New Roman"/>
          <w:sz w:val="24"/>
          <w:szCs w:val="24"/>
        </w:rPr>
        <w:t>Against</w:t>
      </w:r>
      <w:proofErr w:type="gramEnd"/>
      <w:r w:rsidR="00D30576" w:rsidRPr="009C5BC2">
        <w:rPr>
          <w:rFonts w:ascii="Times New Roman" w:hAnsi="Times New Roman" w:cs="Times New Roman"/>
          <w:sz w:val="24"/>
          <w:szCs w:val="24"/>
        </w:rPr>
        <w:t xml:space="preserve"> Women,</w:t>
      </w:r>
      <w:r w:rsidRPr="009C5BC2">
        <w:rPr>
          <w:rStyle w:val="FootnoteReference1"/>
          <w:rFonts w:ascii="Times New Roman" w:hAnsi="Times New Roman" w:cs="Times New Roman"/>
          <w:sz w:val="24"/>
          <w:szCs w:val="24"/>
        </w:rPr>
        <w:footnoteReference w:id="2"/>
      </w:r>
      <w:r w:rsidR="00D30576" w:rsidRPr="009C5BC2">
        <w:rPr>
          <w:rFonts w:ascii="Times New Roman" w:hAnsi="Times New Roman" w:cs="Times New Roman"/>
          <w:sz w:val="24"/>
          <w:szCs w:val="24"/>
        </w:rPr>
        <w:t xml:space="preserve"> and the UN Convention on the Rights of Persons with Disabilities.</w:t>
      </w:r>
      <w:r w:rsidR="00D30576" w:rsidRPr="009C5BC2">
        <w:rPr>
          <w:rStyle w:val="FootnoteReference"/>
          <w:rFonts w:ascii="Times New Roman" w:hAnsi="Times New Roman" w:cs="Times New Roman"/>
          <w:sz w:val="24"/>
          <w:szCs w:val="24"/>
        </w:rPr>
        <w:footnoteReference w:id="3"/>
      </w:r>
      <w:r w:rsidRPr="009C5BC2">
        <w:rPr>
          <w:rFonts w:ascii="Times New Roman" w:hAnsi="Times New Roman" w:cs="Times New Roman"/>
          <w:sz w:val="24"/>
          <w:szCs w:val="24"/>
        </w:rPr>
        <w:t xml:space="preserve"> </w:t>
      </w:r>
      <w:proofErr w:type="gramStart"/>
      <w:r w:rsidR="00467ABC" w:rsidRPr="009C5BC2">
        <w:rPr>
          <w:rFonts w:ascii="Times New Roman" w:hAnsi="Times New Roman" w:cs="Times New Roman"/>
          <w:sz w:val="24"/>
          <w:szCs w:val="24"/>
        </w:rPr>
        <w:t xml:space="preserve">Despite the fact that best interests is universally regarded as a central tenet of children’s rights, its precise definition remains </w:t>
      </w:r>
      <w:r w:rsidR="005E2F62">
        <w:rPr>
          <w:rFonts w:ascii="Times New Roman" w:hAnsi="Times New Roman" w:cs="Times New Roman"/>
          <w:sz w:val="24"/>
          <w:szCs w:val="24"/>
        </w:rPr>
        <w:t>e</w:t>
      </w:r>
      <w:r w:rsidR="005E2F62" w:rsidRPr="009C5BC2">
        <w:rPr>
          <w:rFonts w:ascii="Times New Roman" w:hAnsi="Times New Roman" w:cs="Times New Roman"/>
          <w:sz w:val="24"/>
          <w:szCs w:val="24"/>
        </w:rPr>
        <w:t xml:space="preserve">lusive </w:t>
      </w:r>
      <w:r w:rsidR="00467ABC" w:rsidRPr="009C5BC2">
        <w:rPr>
          <w:rFonts w:ascii="Times New Roman" w:hAnsi="Times New Roman" w:cs="Times New Roman"/>
          <w:sz w:val="24"/>
          <w:szCs w:val="24"/>
        </w:rPr>
        <w:t xml:space="preserve">and its application highly inconsistent </w:t>
      </w:r>
      <w:r w:rsidR="00467ABC" w:rsidRPr="009C5BC2">
        <w:rPr>
          <w:rFonts w:ascii="Times New Roman" w:hAnsi="Times New Roman" w:cs="Times New Roman"/>
          <w:sz w:val="24"/>
          <w:szCs w:val="24"/>
        </w:rPr>
        <w:lastRenderedPageBreak/>
        <w:t>and contingent upon subjective interpretation.</w:t>
      </w:r>
      <w:proofErr w:type="gramEnd"/>
      <w:r w:rsidR="00467ABC" w:rsidRPr="009C5BC2">
        <w:rPr>
          <w:rFonts w:ascii="Times New Roman" w:hAnsi="Times New Roman" w:cs="Times New Roman"/>
          <w:sz w:val="24"/>
          <w:szCs w:val="24"/>
        </w:rPr>
        <w:t xml:space="preserve">  </w:t>
      </w:r>
      <w:r w:rsidR="00B947E0" w:rsidRPr="009C5BC2">
        <w:rPr>
          <w:rFonts w:ascii="Times New Roman" w:hAnsi="Times New Roman" w:cs="Times New Roman"/>
          <w:sz w:val="24"/>
          <w:szCs w:val="24"/>
        </w:rPr>
        <w:t xml:space="preserve">In the words of </w:t>
      </w:r>
      <w:proofErr w:type="spellStart"/>
      <w:r w:rsidR="00B947E0" w:rsidRPr="009C5BC2">
        <w:rPr>
          <w:rFonts w:ascii="Times New Roman" w:hAnsi="Times New Roman" w:cs="Times New Roman"/>
          <w:sz w:val="24"/>
          <w:szCs w:val="24"/>
        </w:rPr>
        <w:t>Mnookin</w:t>
      </w:r>
      <w:proofErr w:type="spellEnd"/>
      <w:r w:rsidR="00B947E0" w:rsidRPr="009C5BC2">
        <w:rPr>
          <w:rFonts w:ascii="Times New Roman" w:hAnsi="Times New Roman" w:cs="Times New Roman"/>
          <w:sz w:val="24"/>
          <w:szCs w:val="24"/>
        </w:rPr>
        <w:t>, t</w:t>
      </w:r>
      <w:r w:rsidR="00467ABC" w:rsidRPr="009C5BC2">
        <w:rPr>
          <w:rFonts w:ascii="Times New Roman" w:hAnsi="Times New Roman" w:cs="Times New Roman"/>
          <w:sz w:val="24"/>
          <w:szCs w:val="24"/>
        </w:rPr>
        <w:t>he enormity of the task associated with determining what is in a child’s best interests, “poses a question no less ultimate than the purposes and values of life itself.”</w:t>
      </w:r>
      <w:r w:rsidR="00467ABC" w:rsidRPr="009C5BC2">
        <w:rPr>
          <w:rStyle w:val="FootnoteReference"/>
          <w:rFonts w:ascii="Times New Roman" w:hAnsi="Times New Roman" w:cs="Times New Roman"/>
          <w:sz w:val="24"/>
          <w:szCs w:val="24"/>
        </w:rPr>
        <w:footnoteReference w:id="4"/>
      </w:r>
      <w:r w:rsidR="00467ABC" w:rsidRPr="009C5BC2">
        <w:rPr>
          <w:rFonts w:ascii="Times New Roman" w:hAnsi="Times New Roman" w:cs="Times New Roman"/>
          <w:sz w:val="24"/>
          <w:szCs w:val="24"/>
        </w:rPr>
        <w:t xml:space="preserve"> </w:t>
      </w:r>
      <w:r w:rsidR="00C95FF2" w:rsidRPr="009C5BC2">
        <w:rPr>
          <w:rFonts w:ascii="Times New Roman" w:hAnsi="Times New Roman" w:cs="Times New Roman"/>
          <w:sz w:val="24"/>
          <w:szCs w:val="24"/>
        </w:rPr>
        <w:t>T</w:t>
      </w:r>
      <w:r w:rsidR="00467ABC" w:rsidRPr="009C5BC2">
        <w:rPr>
          <w:rFonts w:ascii="Times New Roman" w:hAnsi="Times New Roman" w:cs="Times New Roman"/>
          <w:sz w:val="24"/>
          <w:szCs w:val="24"/>
        </w:rPr>
        <w:t>he UN Committee on the Rights of the Child</w:t>
      </w:r>
      <w:r w:rsidR="00617801" w:rsidRPr="009C5BC2">
        <w:rPr>
          <w:rFonts w:ascii="Times New Roman" w:hAnsi="Times New Roman" w:cs="Times New Roman"/>
          <w:sz w:val="24"/>
          <w:szCs w:val="24"/>
        </w:rPr>
        <w:t xml:space="preserve"> has, </w:t>
      </w:r>
      <w:r w:rsidR="00C95FF2" w:rsidRPr="009C5BC2">
        <w:rPr>
          <w:rFonts w:ascii="Times New Roman" w:hAnsi="Times New Roman" w:cs="Times New Roman"/>
          <w:sz w:val="24"/>
          <w:szCs w:val="24"/>
        </w:rPr>
        <w:t>somewhat obliquely, characterise</w:t>
      </w:r>
      <w:r w:rsidR="00617801" w:rsidRPr="009C5BC2">
        <w:rPr>
          <w:rFonts w:ascii="Times New Roman" w:hAnsi="Times New Roman" w:cs="Times New Roman"/>
          <w:sz w:val="24"/>
          <w:szCs w:val="24"/>
        </w:rPr>
        <w:t>d</w:t>
      </w:r>
      <w:r w:rsidR="00C2727F" w:rsidRPr="009C5BC2">
        <w:rPr>
          <w:rFonts w:ascii="Times New Roman" w:hAnsi="Times New Roman" w:cs="Times New Roman"/>
          <w:sz w:val="24"/>
          <w:szCs w:val="24"/>
        </w:rPr>
        <w:t xml:space="preserve"> the principle as: a substantive right, entailing an intrinsic obligation on all states </w:t>
      </w:r>
      <w:r w:rsidR="00813F94">
        <w:rPr>
          <w:rFonts w:ascii="Times New Roman" w:hAnsi="Times New Roman" w:cs="Times New Roman"/>
          <w:sz w:val="24"/>
          <w:szCs w:val="24"/>
        </w:rPr>
        <w:t xml:space="preserve">to </w:t>
      </w:r>
      <w:r w:rsidR="00C2727F" w:rsidRPr="009C5BC2">
        <w:rPr>
          <w:rFonts w:ascii="Times New Roman" w:hAnsi="Times New Roman" w:cs="Times New Roman"/>
          <w:sz w:val="24"/>
          <w:szCs w:val="24"/>
        </w:rPr>
        <w:t xml:space="preserve">ensure that the child’s best interests are a primary consideration informing all decisions concerning the child; a </w:t>
      </w:r>
      <w:r w:rsidR="00C2727F" w:rsidRPr="009C5BC2">
        <w:rPr>
          <w:rFonts w:ascii="Times New Roman" w:hAnsi="Times New Roman" w:cs="Times New Roman"/>
          <w:bCs/>
          <w:sz w:val="24"/>
          <w:szCs w:val="24"/>
          <w:lang w:val="cy-GB"/>
        </w:rPr>
        <w:t>fundamental interpretative legal principle</w:t>
      </w:r>
      <w:r w:rsidR="00D96BD2" w:rsidRPr="009C5BC2">
        <w:rPr>
          <w:rFonts w:ascii="Times New Roman" w:hAnsi="Times New Roman" w:cs="Times New Roman"/>
          <w:bCs/>
          <w:sz w:val="24"/>
          <w:szCs w:val="24"/>
          <w:lang w:val="cy-GB"/>
        </w:rPr>
        <w:t xml:space="preserve"> </w:t>
      </w:r>
      <w:r w:rsidR="00A72B55" w:rsidRPr="009C5BC2">
        <w:rPr>
          <w:rFonts w:ascii="Times New Roman" w:hAnsi="Times New Roman" w:cs="Times New Roman"/>
          <w:bCs/>
          <w:sz w:val="24"/>
          <w:szCs w:val="24"/>
          <w:lang w:val="cy-GB"/>
        </w:rPr>
        <w:t xml:space="preserve">requiring that </w:t>
      </w:r>
      <w:r w:rsidR="00375B77" w:rsidRPr="009C5BC2">
        <w:rPr>
          <w:rFonts w:ascii="Times New Roman" w:hAnsi="Times New Roman" w:cs="Times New Roman"/>
          <w:bCs/>
          <w:sz w:val="24"/>
          <w:szCs w:val="24"/>
          <w:lang w:val="cy-GB"/>
        </w:rPr>
        <w:t xml:space="preserve">if a legal provision is open to more than one interpretation, the interpretation that most effectively serves the child’s best interests should be chosen; </w:t>
      </w:r>
      <w:r w:rsidR="00C2727F" w:rsidRPr="009C5BC2">
        <w:rPr>
          <w:rFonts w:ascii="Times New Roman" w:hAnsi="Times New Roman" w:cs="Times New Roman"/>
          <w:bCs/>
          <w:sz w:val="24"/>
          <w:szCs w:val="24"/>
          <w:lang w:val="cy-GB"/>
        </w:rPr>
        <w:t xml:space="preserve">and a rule of procedure </w:t>
      </w:r>
      <w:r w:rsidR="00D2431E" w:rsidRPr="009C5BC2">
        <w:rPr>
          <w:rFonts w:ascii="Times New Roman" w:hAnsi="Times New Roman" w:cs="Times New Roman"/>
          <w:bCs/>
          <w:sz w:val="24"/>
          <w:szCs w:val="24"/>
          <w:lang w:val="cy-GB"/>
        </w:rPr>
        <w:t>requiring procedural guarantees to be put in place to enable decisions around what is in the child</w:t>
      </w:r>
      <w:r w:rsidR="00813F94">
        <w:rPr>
          <w:rFonts w:ascii="Times New Roman" w:hAnsi="Times New Roman" w:cs="Times New Roman"/>
          <w:bCs/>
          <w:sz w:val="24"/>
          <w:szCs w:val="24"/>
          <w:lang w:val="cy-GB"/>
        </w:rPr>
        <w:t>’s</w:t>
      </w:r>
      <w:r w:rsidR="00D2431E" w:rsidRPr="009C5BC2">
        <w:rPr>
          <w:rFonts w:ascii="Times New Roman" w:hAnsi="Times New Roman" w:cs="Times New Roman"/>
          <w:bCs/>
          <w:sz w:val="24"/>
          <w:szCs w:val="24"/>
          <w:lang w:val="cy-GB"/>
        </w:rPr>
        <w:t xml:space="preserve"> best interests </w:t>
      </w:r>
      <w:r w:rsidR="00C95FF2" w:rsidRPr="009C5BC2">
        <w:rPr>
          <w:rFonts w:ascii="Times New Roman" w:hAnsi="Times New Roman" w:cs="Times New Roman"/>
          <w:bCs/>
          <w:sz w:val="24"/>
          <w:szCs w:val="24"/>
          <w:lang w:val="cy-GB"/>
        </w:rPr>
        <w:t xml:space="preserve">to </w:t>
      </w:r>
      <w:r w:rsidR="00D2431E" w:rsidRPr="009C5BC2">
        <w:rPr>
          <w:rFonts w:ascii="Times New Roman" w:hAnsi="Times New Roman" w:cs="Times New Roman"/>
          <w:bCs/>
          <w:sz w:val="24"/>
          <w:szCs w:val="24"/>
          <w:lang w:val="cy-GB"/>
        </w:rPr>
        <w:t>actually occur and be evidenced in practice.</w:t>
      </w:r>
      <w:r w:rsidR="00424689" w:rsidRPr="009C5BC2">
        <w:rPr>
          <w:rStyle w:val="FootnoteReference"/>
          <w:rFonts w:ascii="Times New Roman" w:hAnsi="Times New Roman" w:cs="Times New Roman"/>
          <w:bCs/>
          <w:sz w:val="24"/>
          <w:szCs w:val="24"/>
          <w:lang w:val="cy-GB"/>
        </w:rPr>
        <w:footnoteReference w:id="5"/>
      </w:r>
      <w:r w:rsidR="00D2431E" w:rsidRPr="009C5BC2">
        <w:rPr>
          <w:rFonts w:ascii="Times New Roman" w:hAnsi="Times New Roman" w:cs="Times New Roman"/>
          <w:bCs/>
          <w:sz w:val="24"/>
          <w:szCs w:val="24"/>
          <w:lang w:val="cy-GB"/>
        </w:rPr>
        <w:t xml:space="preserve"> </w:t>
      </w:r>
    </w:p>
    <w:p w14:paraId="4A333ABC" w14:textId="076CAD40" w:rsidR="00D2415D" w:rsidRPr="009C5BC2" w:rsidRDefault="00D2415D" w:rsidP="00020ECA">
      <w:pPr>
        <w:spacing w:line="360" w:lineRule="auto"/>
        <w:rPr>
          <w:rFonts w:ascii="Times New Roman" w:hAnsi="Times New Roman" w:cs="Times New Roman"/>
          <w:sz w:val="24"/>
          <w:szCs w:val="24"/>
        </w:rPr>
      </w:pPr>
      <w:r w:rsidRPr="009C5BC2">
        <w:rPr>
          <w:rFonts w:ascii="Times New Roman" w:hAnsi="Times New Roman" w:cs="Times New Roman"/>
          <w:sz w:val="24"/>
          <w:szCs w:val="24"/>
        </w:rPr>
        <w:t>A</w:t>
      </w:r>
      <w:r w:rsidR="00C2727F" w:rsidRPr="009C5BC2">
        <w:rPr>
          <w:rFonts w:ascii="Times New Roman" w:hAnsi="Times New Roman" w:cs="Times New Roman"/>
          <w:sz w:val="24"/>
          <w:szCs w:val="24"/>
        </w:rPr>
        <w:t xml:space="preserve">dded to this, </w:t>
      </w:r>
      <w:r w:rsidR="00617801" w:rsidRPr="009C5BC2">
        <w:rPr>
          <w:rFonts w:ascii="Times New Roman" w:hAnsi="Times New Roman" w:cs="Times New Roman"/>
          <w:sz w:val="24"/>
          <w:szCs w:val="24"/>
        </w:rPr>
        <w:t xml:space="preserve">it is accepted that </w:t>
      </w:r>
      <w:r w:rsidR="00C2727F" w:rsidRPr="009C5BC2">
        <w:rPr>
          <w:rFonts w:ascii="Times New Roman" w:hAnsi="Times New Roman" w:cs="Times New Roman"/>
          <w:sz w:val="24"/>
          <w:szCs w:val="24"/>
        </w:rPr>
        <w:t>best interests does not operate in isolation</w:t>
      </w:r>
      <w:r w:rsidRPr="009C5BC2">
        <w:rPr>
          <w:rFonts w:ascii="Times New Roman" w:hAnsi="Times New Roman" w:cs="Times New Roman"/>
          <w:sz w:val="24"/>
          <w:szCs w:val="24"/>
        </w:rPr>
        <w:t xml:space="preserve"> from other children’s rights; on the contrary,</w:t>
      </w:r>
      <w:r w:rsidR="00C2727F" w:rsidRPr="009C5BC2">
        <w:rPr>
          <w:rFonts w:ascii="Times New Roman" w:hAnsi="Times New Roman" w:cs="Times New Roman"/>
          <w:sz w:val="24"/>
          <w:szCs w:val="24"/>
        </w:rPr>
        <w:t xml:space="preserve"> it is intimately linked with and instrumental to the exercise and enforcement of other rights set out in the Convention.</w:t>
      </w:r>
      <w:r w:rsidR="00A72B55" w:rsidRPr="009C5BC2">
        <w:rPr>
          <w:rStyle w:val="FootnoteReference1"/>
          <w:rFonts w:ascii="Times New Roman" w:hAnsi="Times New Roman" w:cs="Times New Roman"/>
          <w:sz w:val="24"/>
          <w:szCs w:val="24"/>
        </w:rPr>
        <w:footnoteReference w:id="6"/>
      </w:r>
      <w:r w:rsidR="00C2727F" w:rsidRPr="009C5BC2">
        <w:rPr>
          <w:rFonts w:ascii="Times New Roman" w:hAnsi="Times New Roman" w:cs="Times New Roman"/>
          <w:sz w:val="24"/>
          <w:szCs w:val="24"/>
        </w:rPr>
        <w:t xml:space="preserve"> This, in turn, has generated extensive guidance on how to determine best interests in a range of substantive contexts at i</w:t>
      </w:r>
      <w:r w:rsidR="00BB6FEB">
        <w:rPr>
          <w:rFonts w:ascii="Times New Roman" w:hAnsi="Times New Roman" w:cs="Times New Roman"/>
          <w:sz w:val="24"/>
          <w:szCs w:val="24"/>
        </w:rPr>
        <w:t>nternational and domestic level. C</w:t>
      </w:r>
      <w:r w:rsidR="00C2727F" w:rsidRPr="009C5BC2">
        <w:rPr>
          <w:rFonts w:ascii="Times New Roman" w:hAnsi="Times New Roman" w:cs="Times New Roman"/>
          <w:sz w:val="24"/>
          <w:szCs w:val="24"/>
        </w:rPr>
        <w:t>onsider, for example, the best interests determination guidelines of the UN High Commissioner for R</w:t>
      </w:r>
      <w:r w:rsidR="004A6C66" w:rsidRPr="009C5BC2">
        <w:rPr>
          <w:rFonts w:ascii="Times New Roman" w:hAnsi="Times New Roman" w:cs="Times New Roman"/>
          <w:sz w:val="24"/>
          <w:szCs w:val="24"/>
        </w:rPr>
        <w:t>efugees,</w:t>
      </w:r>
      <w:r w:rsidR="00C2727F" w:rsidRPr="009C5BC2">
        <w:rPr>
          <w:rStyle w:val="FootnoteReference"/>
          <w:rFonts w:ascii="Times New Roman" w:hAnsi="Times New Roman" w:cs="Times New Roman"/>
          <w:sz w:val="24"/>
          <w:szCs w:val="24"/>
        </w:rPr>
        <w:footnoteReference w:id="7"/>
      </w:r>
      <w:r w:rsidR="00C2727F" w:rsidRPr="009C5BC2">
        <w:rPr>
          <w:rFonts w:ascii="Times New Roman" w:hAnsi="Times New Roman" w:cs="Times New Roman"/>
          <w:sz w:val="24"/>
          <w:szCs w:val="24"/>
        </w:rPr>
        <w:t xml:space="preserve"> as well as the various welfare checklists</w:t>
      </w:r>
      <w:r w:rsidR="006E7713">
        <w:rPr>
          <w:rStyle w:val="FootnoteReference"/>
          <w:rFonts w:ascii="Times New Roman" w:hAnsi="Times New Roman" w:cs="Times New Roman"/>
          <w:sz w:val="24"/>
          <w:szCs w:val="24"/>
        </w:rPr>
        <w:footnoteReference w:id="8"/>
      </w:r>
      <w:r w:rsidR="00C2727F" w:rsidRPr="009C5BC2">
        <w:rPr>
          <w:rFonts w:ascii="Times New Roman" w:hAnsi="Times New Roman" w:cs="Times New Roman"/>
          <w:sz w:val="24"/>
          <w:szCs w:val="24"/>
        </w:rPr>
        <w:t xml:space="preserve"> and toolkits that have been developed at national level, particularly in a family law and medical law context.  Indeed, at the national level</w:t>
      </w:r>
      <w:r w:rsidR="00617801" w:rsidRPr="009C5BC2">
        <w:rPr>
          <w:rFonts w:ascii="Times New Roman" w:hAnsi="Times New Roman" w:cs="Times New Roman"/>
          <w:sz w:val="24"/>
          <w:szCs w:val="24"/>
        </w:rPr>
        <w:t>,</w:t>
      </w:r>
      <w:r w:rsidR="00C2727F" w:rsidRPr="009C5BC2">
        <w:rPr>
          <w:rFonts w:ascii="Times New Roman" w:hAnsi="Times New Roman" w:cs="Times New Roman"/>
          <w:sz w:val="24"/>
          <w:szCs w:val="24"/>
        </w:rPr>
        <w:t xml:space="preserve"> particularly in Western legal systems</w:t>
      </w:r>
      <w:r w:rsidR="00617801" w:rsidRPr="009C5BC2">
        <w:rPr>
          <w:rFonts w:ascii="Times New Roman" w:hAnsi="Times New Roman" w:cs="Times New Roman"/>
          <w:sz w:val="24"/>
          <w:szCs w:val="24"/>
        </w:rPr>
        <w:t>,</w:t>
      </w:r>
      <w:r w:rsidR="00C2727F" w:rsidRPr="009C5BC2">
        <w:rPr>
          <w:rFonts w:ascii="Times New Roman" w:hAnsi="Times New Roman" w:cs="Times New Roman"/>
          <w:sz w:val="24"/>
          <w:szCs w:val="24"/>
        </w:rPr>
        <w:t xml:space="preserve"> the best </w:t>
      </w:r>
      <w:proofErr w:type="gramStart"/>
      <w:r w:rsidR="00C2727F" w:rsidRPr="009C5BC2">
        <w:rPr>
          <w:rFonts w:ascii="Times New Roman" w:hAnsi="Times New Roman" w:cs="Times New Roman"/>
          <w:sz w:val="24"/>
          <w:szCs w:val="24"/>
        </w:rPr>
        <w:t>interests</w:t>
      </w:r>
      <w:proofErr w:type="gramEnd"/>
      <w:r w:rsidR="00C2727F" w:rsidRPr="009C5BC2">
        <w:rPr>
          <w:rFonts w:ascii="Times New Roman" w:hAnsi="Times New Roman" w:cs="Times New Roman"/>
          <w:sz w:val="24"/>
          <w:szCs w:val="24"/>
        </w:rPr>
        <w:t xml:space="preserve"> principle h</w:t>
      </w:r>
      <w:r w:rsidRPr="009C5BC2">
        <w:rPr>
          <w:rFonts w:ascii="Times New Roman" w:hAnsi="Times New Roman" w:cs="Times New Roman"/>
          <w:sz w:val="24"/>
          <w:szCs w:val="24"/>
        </w:rPr>
        <w:t>as gained considerable traction</w:t>
      </w:r>
      <w:r w:rsidR="00C2727F" w:rsidRPr="009C5BC2">
        <w:rPr>
          <w:rFonts w:ascii="Times New Roman" w:hAnsi="Times New Roman" w:cs="Times New Roman"/>
          <w:sz w:val="24"/>
          <w:szCs w:val="24"/>
        </w:rPr>
        <w:t xml:space="preserve"> and</w:t>
      </w:r>
      <w:r w:rsidRPr="009C5BC2">
        <w:rPr>
          <w:rFonts w:ascii="Times New Roman" w:hAnsi="Times New Roman" w:cs="Times New Roman"/>
          <w:sz w:val="24"/>
          <w:szCs w:val="24"/>
        </w:rPr>
        <w:t xml:space="preserve"> even</w:t>
      </w:r>
      <w:r w:rsidR="00C2727F" w:rsidRPr="009C5BC2">
        <w:rPr>
          <w:rFonts w:ascii="Times New Roman" w:hAnsi="Times New Roman" w:cs="Times New Roman"/>
          <w:sz w:val="24"/>
          <w:szCs w:val="24"/>
        </w:rPr>
        <w:t xml:space="preserve"> been elevated to a </w:t>
      </w:r>
      <w:r w:rsidRPr="009C5BC2">
        <w:rPr>
          <w:rFonts w:ascii="Times New Roman" w:hAnsi="Times New Roman" w:cs="Times New Roman"/>
          <w:sz w:val="24"/>
          <w:szCs w:val="24"/>
        </w:rPr>
        <w:t>status</w:t>
      </w:r>
      <w:r w:rsidR="00C2727F" w:rsidRPr="009C5BC2">
        <w:rPr>
          <w:rFonts w:ascii="Times New Roman" w:hAnsi="Times New Roman" w:cs="Times New Roman"/>
          <w:sz w:val="24"/>
          <w:szCs w:val="24"/>
        </w:rPr>
        <w:t xml:space="preserve"> of ‘paramount’ importance.</w:t>
      </w:r>
      <w:r w:rsidR="00C2727F" w:rsidRPr="009C5BC2">
        <w:rPr>
          <w:rStyle w:val="FootnoteReference"/>
          <w:rFonts w:ascii="Times New Roman" w:hAnsi="Times New Roman" w:cs="Times New Roman"/>
          <w:sz w:val="24"/>
          <w:szCs w:val="24"/>
        </w:rPr>
        <w:footnoteReference w:id="9"/>
      </w:r>
      <w:r w:rsidR="00C2727F" w:rsidRPr="009C5BC2">
        <w:rPr>
          <w:rFonts w:ascii="Times New Roman" w:hAnsi="Times New Roman" w:cs="Times New Roman"/>
          <w:sz w:val="24"/>
          <w:szCs w:val="24"/>
        </w:rPr>
        <w:t xml:space="preserve"> </w:t>
      </w:r>
      <w:r w:rsidRPr="009C5BC2">
        <w:rPr>
          <w:rFonts w:ascii="Times New Roman" w:hAnsi="Times New Roman" w:cs="Times New Roman"/>
          <w:sz w:val="24"/>
          <w:szCs w:val="24"/>
        </w:rPr>
        <w:t xml:space="preserve"> </w:t>
      </w:r>
    </w:p>
    <w:p w14:paraId="67B461BC" w14:textId="37685E16" w:rsidR="00DA2F5A" w:rsidRPr="009C5BC2" w:rsidRDefault="00DF4C1A" w:rsidP="00020ECA">
      <w:pPr>
        <w:autoSpaceDE w:val="0"/>
        <w:autoSpaceDN w:val="0"/>
        <w:adjustRightInd w:val="0"/>
        <w:spacing w:after="0" w:line="360" w:lineRule="auto"/>
        <w:rPr>
          <w:rFonts w:ascii="Times New Roman" w:hAnsi="Times New Roman" w:cs="Times New Roman"/>
          <w:sz w:val="24"/>
          <w:szCs w:val="24"/>
        </w:rPr>
      </w:pPr>
      <w:r w:rsidRPr="009C5BC2">
        <w:rPr>
          <w:rFonts w:ascii="Times New Roman" w:hAnsi="Times New Roman" w:cs="Times New Roman"/>
          <w:sz w:val="24"/>
          <w:szCs w:val="24"/>
        </w:rPr>
        <w:t>It is not surprising that best interests appeals to other areas of (adult</w:t>
      </w:r>
      <w:r w:rsidR="00813F94">
        <w:rPr>
          <w:rFonts w:ascii="Times New Roman" w:hAnsi="Times New Roman" w:cs="Times New Roman"/>
          <w:sz w:val="24"/>
          <w:szCs w:val="24"/>
        </w:rPr>
        <w:t>)</w:t>
      </w:r>
      <w:r w:rsidRPr="009C5BC2">
        <w:rPr>
          <w:rFonts w:ascii="Times New Roman" w:hAnsi="Times New Roman" w:cs="Times New Roman"/>
          <w:sz w:val="24"/>
          <w:szCs w:val="24"/>
        </w:rPr>
        <w:t xml:space="preserve"> human rights. </w:t>
      </w:r>
      <w:r w:rsidR="00813F94">
        <w:rPr>
          <w:rFonts w:ascii="Times New Roman" w:hAnsi="Times New Roman" w:cs="Times New Roman"/>
          <w:sz w:val="24"/>
          <w:szCs w:val="24"/>
        </w:rPr>
        <w:t>The concept</w:t>
      </w:r>
      <w:r w:rsidR="00813F94" w:rsidRPr="009C5BC2">
        <w:rPr>
          <w:rFonts w:ascii="Times New Roman" w:hAnsi="Times New Roman" w:cs="Times New Roman"/>
          <w:sz w:val="24"/>
          <w:szCs w:val="24"/>
        </w:rPr>
        <w:t xml:space="preserve"> </w:t>
      </w:r>
      <w:r w:rsidR="00F85E7E" w:rsidRPr="009C5BC2">
        <w:rPr>
          <w:rFonts w:ascii="Times New Roman" w:hAnsi="Times New Roman" w:cs="Times New Roman"/>
          <w:sz w:val="24"/>
          <w:szCs w:val="24"/>
        </w:rPr>
        <w:t xml:space="preserve">offers a neat, rhetorical device that can be shared by the range of professionals and authority figures engaged in decision-making on behalf of </w:t>
      </w:r>
      <w:r w:rsidRPr="009C5BC2">
        <w:rPr>
          <w:rFonts w:ascii="Times New Roman" w:hAnsi="Times New Roman" w:cs="Times New Roman"/>
          <w:sz w:val="24"/>
          <w:szCs w:val="24"/>
        </w:rPr>
        <w:t>vulnerable individuals</w:t>
      </w:r>
      <w:r w:rsidR="00BB6FEB">
        <w:rPr>
          <w:rFonts w:ascii="Times New Roman" w:hAnsi="Times New Roman" w:cs="Times New Roman"/>
          <w:sz w:val="24"/>
          <w:szCs w:val="24"/>
        </w:rPr>
        <w:t>.</w:t>
      </w:r>
      <w:r w:rsidR="00F85E7E" w:rsidRPr="009C5BC2">
        <w:rPr>
          <w:rFonts w:ascii="Times New Roman" w:hAnsi="Times New Roman" w:cs="Times New Roman"/>
          <w:sz w:val="24"/>
          <w:szCs w:val="24"/>
        </w:rPr>
        <w:t xml:space="preserve"> </w:t>
      </w:r>
      <w:r w:rsidR="00BB6FEB">
        <w:rPr>
          <w:rFonts w:ascii="Times New Roman" w:hAnsi="Times New Roman" w:cs="Times New Roman"/>
          <w:sz w:val="24"/>
          <w:szCs w:val="24"/>
        </w:rPr>
        <w:t>I</w:t>
      </w:r>
      <w:r w:rsidR="00F85E7E" w:rsidRPr="009C5BC2">
        <w:rPr>
          <w:rFonts w:ascii="Times New Roman" w:hAnsi="Times New Roman" w:cs="Times New Roman"/>
          <w:sz w:val="24"/>
          <w:szCs w:val="24"/>
        </w:rPr>
        <w:t xml:space="preserve">t focuses </w:t>
      </w:r>
      <w:r w:rsidRPr="009C5BC2">
        <w:rPr>
          <w:rFonts w:ascii="Times New Roman" w:hAnsi="Times New Roman" w:cs="Times New Roman"/>
          <w:sz w:val="24"/>
          <w:szCs w:val="24"/>
        </w:rPr>
        <w:lastRenderedPageBreak/>
        <w:t xml:space="preserve">everyone’s </w:t>
      </w:r>
      <w:r w:rsidR="00F85E7E" w:rsidRPr="009C5BC2">
        <w:rPr>
          <w:rFonts w:ascii="Times New Roman" w:hAnsi="Times New Roman" w:cs="Times New Roman"/>
          <w:sz w:val="24"/>
          <w:szCs w:val="24"/>
        </w:rPr>
        <w:t xml:space="preserve">attention on </w:t>
      </w:r>
      <w:r w:rsidRPr="009C5BC2">
        <w:rPr>
          <w:rFonts w:ascii="Times New Roman" w:hAnsi="Times New Roman" w:cs="Times New Roman"/>
          <w:sz w:val="24"/>
          <w:szCs w:val="24"/>
        </w:rPr>
        <w:t>the</w:t>
      </w:r>
      <w:r w:rsidR="00F85E7E" w:rsidRPr="009C5BC2">
        <w:rPr>
          <w:rFonts w:ascii="Times New Roman" w:hAnsi="Times New Roman" w:cs="Times New Roman"/>
          <w:sz w:val="24"/>
          <w:szCs w:val="24"/>
        </w:rPr>
        <w:t xml:space="preserve"> common goal </w:t>
      </w:r>
      <w:r w:rsidRPr="009C5BC2">
        <w:rPr>
          <w:rFonts w:ascii="Times New Roman" w:hAnsi="Times New Roman" w:cs="Times New Roman"/>
          <w:sz w:val="24"/>
          <w:szCs w:val="24"/>
        </w:rPr>
        <w:t xml:space="preserve">of </w:t>
      </w:r>
      <w:r w:rsidR="00F85E7E" w:rsidRPr="009C5BC2">
        <w:rPr>
          <w:rFonts w:ascii="Times New Roman" w:hAnsi="Times New Roman" w:cs="Times New Roman"/>
          <w:sz w:val="24"/>
          <w:szCs w:val="24"/>
        </w:rPr>
        <w:t xml:space="preserve">achieving the best possible outcomes for </w:t>
      </w:r>
      <w:r w:rsidRPr="009C5BC2">
        <w:rPr>
          <w:rFonts w:ascii="Times New Roman" w:hAnsi="Times New Roman" w:cs="Times New Roman"/>
          <w:sz w:val="24"/>
          <w:szCs w:val="24"/>
        </w:rPr>
        <w:t>them</w:t>
      </w:r>
      <w:r w:rsidR="00BB6FEB">
        <w:rPr>
          <w:rFonts w:ascii="Times New Roman" w:hAnsi="Times New Roman" w:cs="Times New Roman"/>
          <w:sz w:val="24"/>
          <w:szCs w:val="24"/>
        </w:rPr>
        <w:t>,</w:t>
      </w:r>
      <w:r w:rsidRPr="009C5BC2">
        <w:rPr>
          <w:rFonts w:ascii="Times New Roman" w:hAnsi="Times New Roman" w:cs="Times New Roman"/>
          <w:sz w:val="24"/>
          <w:szCs w:val="24"/>
        </w:rPr>
        <w:t xml:space="preserve"> and it </w:t>
      </w:r>
      <w:r w:rsidR="008C60B6" w:rsidRPr="009C5BC2">
        <w:rPr>
          <w:rFonts w:ascii="Times New Roman" w:hAnsi="Times New Roman" w:cs="Times New Roman"/>
          <w:sz w:val="24"/>
          <w:szCs w:val="24"/>
        </w:rPr>
        <w:t>offers a convenient shorthand for the range of i</w:t>
      </w:r>
      <w:r w:rsidR="008D4A04" w:rsidRPr="009C5BC2">
        <w:rPr>
          <w:rFonts w:ascii="Times New Roman" w:hAnsi="Times New Roman" w:cs="Times New Roman"/>
          <w:sz w:val="24"/>
          <w:szCs w:val="24"/>
        </w:rPr>
        <w:t>ntrinsic</w:t>
      </w:r>
      <w:r w:rsidR="008C60B6" w:rsidRPr="009C5BC2">
        <w:rPr>
          <w:rFonts w:ascii="Times New Roman" w:hAnsi="Times New Roman" w:cs="Times New Roman"/>
          <w:sz w:val="24"/>
          <w:szCs w:val="24"/>
        </w:rPr>
        <w:t xml:space="preserve"> and </w:t>
      </w:r>
      <w:r w:rsidR="008D4A04" w:rsidRPr="009C5BC2">
        <w:rPr>
          <w:rFonts w:ascii="Times New Roman" w:hAnsi="Times New Roman" w:cs="Times New Roman"/>
          <w:sz w:val="24"/>
          <w:szCs w:val="24"/>
        </w:rPr>
        <w:t xml:space="preserve">extrinsic </w:t>
      </w:r>
      <w:r w:rsidR="008C60B6" w:rsidRPr="009C5BC2">
        <w:rPr>
          <w:rFonts w:ascii="Times New Roman" w:hAnsi="Times New Roman" w:cs="Times New Roman"/>
          <w:sz w:val="24"/>
          <w:szCs w:val="24"/>
        </w:rPr>
        <w:t>factors that are instrumental to protecting individuals</w:t>
      </w:r>
      <w:r w:rsidR="00813F94">
        <w:rPr>
          <w:rFonts w:ascii="Times New Roman" w:hAnsi="Times New Roman" w:cs="Times New Roman"/>
          <w:sz w:val="24"/>
          <w:szCs w:val="24"/>
        </w:rPr>
        <w:t>’</w:t>
      </w:r>
      <w:r w:rsidR="008C60B6" w:rsidRPr="009C5BC2">
        <w:rPr>
          <w:rFonts w:ascii="Times New Roman" w:hAnsi="Times New Roman" w:cs="Times New Roman"/>
          <w:sz w:val="24"/>
          <w:szCs w:val="24"/>
        </w:rPr>
        <w:t xml:space="preserve"> well-being and nurturing their potential in the short, medium and longer term. </w:t>
      </w:r>
      <w:r w:rsidR="005B531D" w:rsidRPr="009C5BC2">
        <w:rPr>
          <w:rFonts w:ascii="Times New Roman" w:hAnsi="Times New Roman" w:cs="Times New Roman"/>
          <w:sz w:val="24"/>
          <w:szCs w:val="24"/>
        </w:rPr>
        <w:t>T</w:t>
      </w:r>
      <w:r w:rsidR="00C35541" w:rsidRPr="009C5BC2">
        <w:rPr>
          <w:rFonts w:ascii="Times New Roman" w:hAnsi="Times New Roman" w:cs="Times New Roman"/>
          <w:sz w:val="24"/>
          <w:szCs w:val="24"/>
        </w:rPr>
        <w:t>he principle has been appropriated</w:t>
      </w:r>
      <w:r w:rsidR="005B531D" w:rsidRPr="009C5BC2">
        <w:rPr>
          <w:rFonts w:ascii="Times New Roman" w:hAnsi="Times New Roman" w:cs="Times New Roman"/>
          <w:sz w:val="24"/>
          <w:szCs w:val="24"/>
        </w:rPr>
        <w:t xml:space="preserve">, in particular, </w:t>
      </w:r>
      <w:r w:rsidR="00DA2F5A" w:rsidRPr="009C5BC2">
        <w:rPr>
          <w:rFonts w:ascii="Times New Roman" w:hAnsi="Times New Roman" w:cs="Times New Roman"/>
          <w:sz w:val="24"/>
          <w:szCs w:val="24"/>
        </w:rPr>
        <w:t>in a clinical health care context for adults deemed to lack capacity t</w:t>
      </w:r>
      <w:r w:rsidR="00BB6FEB">
        <w:rPr>
          <w:rFonts w:ascii="Times New Roman" w:hAnsi="Times New Roman" w:cs="Times New Roman"/>
          <w:sz w:val="24"/>
          <w:szCs w:val="24"/>
        </w:rPr>
        <w:t xml:space="preserve">o make decisions for </w:t>
      </w:r>
      <w:proofErr w:type="gramStart"/>
      <w:r w:rsidR="00BB6FEB">
        <w:rPr>
          <w:rFonts w:ascii="Times New Roman" w:hAnsi="Times New Roman" w:cs="Times New Roman"/>
          <w:sz w:val="24"/>
          <w:szCs w:val="24"/>
        </w:rPr>
        <w:t>themselves</w:t>
      </w:r>
      <w:proofErr w:type="gramEnd"/>
      <w:r w:rsidR="00BB6FEB">
        <w:rPr>
          <w:rFonts w:ascii="Times New Roman" w:hAnsi="Times New Roman" w:cs="Times New Roman"/>
          <w:sz w:val="24"/>
          <w:szCs w:val="24"/>
        </w:rPr>
        <w:t>. I</w:t>
      </w:r>
      <w:r w:rsidR="00DA2F5A" w:rsidRPr="009C5BC2">
        <w:rPr>
          <w:rFonts w:ascii="Times New Roman" w:hAnsi="Times New Roman" w:cs="Times New Roman"/>
          <w:sz w:val="24"/>
          <w:szCs w:val="24"/>
        </w:rPr>
        <w:t>n England and Wales,</w:t>
      </w:r>
      <w:r w:rsidR="00914351" w:rsidRPr="009C5BC2">
        <w:rPr>
          <w:rFonts w:ascii="Times New Roman" w:hAnsi="Times New Roman" w:cs="Times New Roman"/>
          <w:sz w:val="24"/>
          <w:szCs w:val="24"/>
        </w:rPr>
        <w:t xml:space="preserve"> for example,</w:t>
      </w:r>
      <w:r w:rsidR="00DA2F5A" w:rsidRPr="009C5BC2">
        <w:rPr>
          <w:rFonts w:ascii="Times New Roman" w:hAnsi="Times New Roman" w:cs="Times New Roman"/>
          <w:sz w:val="24"/>
          <w:szCs w:val="24"/>
        </w:rPr>
        <w:t xml:space="preserve"> the Mental Capacity Act 2005 gives statutory f</w:t>
      </w:r>
      <w:r w:rsidR="00B521B7" w:rsidRPr="009C5BC2">
        <w:rPr>
          <w:rFonts w:ascii="Times New Roman" w:hAnsi="Times New Roman" w:cs="Times New Roman"/>
          <w:sz w:val="24"/>
          <w:szCs w:val="24"/>
        </w:rPr>
        <w:t>orce to the best interests test</w:t>
      </w:r>
      <w:r w:rsidR="000B022D" w:rsidRPr="009C5BC2">
        <w:rPr>
          <w:rStyle w:val="FootnoteReference"/>
          <w:rFonts w:ascii="Times New Roman" w:hAnsi="Times New Roman" w:cs="Times New Roman"/>
          <w:sz w:val="24"/>
          <w:szCs w:val="24"/>
        </w:rPr>
        <w:footnoteReference w:id="10"/>
      </w:r>
      <w:r w:rsidR="00DB17B9" w:rsidRPr="009C5BC2">
        <w:rPr>
          <w:rFonts w:ascii="Times New Roman" w:hAnsi="Times New Roman" w:cs="Times New Roman"/>
          <w:sz w:val="24"/>
          <w:szCs w:val="24"/>
        </w:rPr>
        <w:t xml:space="preserve"> </w:t>
      </w:r>
      <w:r w:rsidR="00BB6FEB">
        <w:rPr>
          <w:rFonts w:ascii="Times New Roman" w:hAnsi="Times New Roman" w:cs="Times New Roman"/>
          <w:sz w:val="24"/>
          <w:szCs w:val="24"/>
        </w:rPr>
        <w:t>and b</w:t>
      </w:r>
      <w:r w:rsidR="00DA2F5A" w:rsidRPr="009C5BC2">
        <w:rPr>
          <w:rFonts w:ascii="Times New Roman" w:hAnsi="Times New Roman" w:cs="Times New Roman"/>
          <w:sz w:val="24"/>
          <w:szCs w:val="24"/>
        </w:rPr>
        <w:t xml:space="preserve">est interests is a dominant rhetoric informing </w:t>
      </w:r>
      <w:r w:rsidR="000B022D" w:rsidRPr="009C5BC2">
        <w:rPr>
          <w:rFonts w:ascii="Times New Roman" w:hAnsi="Times New Roman" w:cs="Times New Roman"/>
          <w:sz w:val="24"/>
          <w:szCs w:val="24"/>
        </w:rPr>
        <w:t>debates around end-of-</w:t>
      </w:r>
      <w:r w:rsidR="00DA2F5A" w:rsidRPr="009C5BC2">
        <w:rPr>
          <w:rFonts w:ascii="Times New Roman" w:hAnsi="Times New Roman" w:cs="Times New Roman"/>
          <w:sz w:val="24"/>
          <w:szCs w:val="24"/>
        </w:rPr>
        <w:t>life decision-making</w:t>
      </w:r>
      <w:r w:rsidR="008D4A04" w:rsidRPr="009C5BC2">
        <w:rPr>
          <w:rStyle w:val="FootnoteReference"/>
          <w:rFonts w:ascii="Times New Roman" w:hAnsi="Times New Roman" w:cs="Times New Roman"/>
          <w:sz w:val="24"/>
          <w:szCs w:val="24"/>
        </w:rPr>
        <w:footnoteReference w:id="11"/>
      </w:r>
      <w:r w:rsidR="00DA2F5A" w:rsidRPr="009C5BC2">
        <w:rPr>
          <w:rFonts w:ascii="Times New Roman" w:hAnsi="Times New Roman" w:cs="Times New Roman"/>
          <w:sz w:val="24"/>
          <w:szCs w:val="24"/>
        </w:rPr>
        <w:t xml:space="preserve"> </w:t>
      </w:r>
      <w:r w:rsidR="00BE1CD8" w:rsidRPr="009C5BC2">
        <w:rPr>
          <w:rFonts w:ascii="Times New Roman" w:hAnsi="Times New Roman" w:cs="Times New Roman"/>
          <w:sz w:val="24"/>
          <w:szCs w:val="24"/>
        </w:rPr>
        <w:t>and forced sterilisation</w:t>
      </w:r>
      <w:r w:rsidR="006D724C" w:rsidRPr="009C5BC2">
        <w:rPr>
          <w:rFonts w:ascii="Times New Roman" w:hAnsi="Times New Roman" w:cs="Times New Roman"/>
          <w:sz w:val="24"/>
          <w:szCs w:val="24"/>
        </w:rPr>
        <w:t>.</w:t>
      </w:r>
      <w:r w:rsidR="00BE1CD8" w:rsidRPr="009C5BC2">
        <w:rPr>
          <w:rStyle w:val="FootnoteReference"/>
          <w:rFonts w:ascii="Times New Roman" w:hAnsi="Times New Roman" w:cs="Times New Roman"/>
          <w:sz w:val="24"/>
          <w:szCs w:val="24"/>
        </w:rPr>
        <w:footnoteReference w:id="12"/>
      </w:r>
    </w:p>
    <w:p w14:paraId="0649E852" w14:textId="04254FF9" w:rsidR="009958D6" w:rsidRPr="009C5BC2" w:rsidRDefault="006D724C" w:rsidP="006D724C">
      <w:pPr>
        <w:spacing w:line="360" w:lineRule="auto"/>
        <w:jc w:val="both"/>
        <w:rPr>
          <w:rFonts w:ascii="Times New Roman" w:hAnsi="Times New Roman" w:cs="Times New Roman"/>
          <w:sz w:val="24"/>
          <w:szCs w:val="24"/>
        </w:rPr>
      </w:pPr>
      <w:r w:rsidRPr="009C5BC2">
        <w:rPr>
          <w:rFonts w:ascii="Times New Roman" w:hAnsi="Times New Roman" w:cs="Times New Roman"/>
          <w:sz w:val="24"/>
          <w:szCs w:val="24"/>
        </w:rPr>
        <w:t>E</w:t>
      </w:r>
      <w:r w:rsidR="00DA2F5A" w:rsidRPr="009C5BC2">
        <w:rPr>
          <w:rFonts w:ascii="Times New Roman" w:hAnsi="Times New Roman" w:cs="Times New Roman"/>
          <w:sz w:val="24"/>
          <w:szCs w:val="24"/>
        </w:rPr>
        <w:t xml:space="preserve">fforts to appropriate the best </w:t>
      </w:r>
      <w:proofErr w:type="gramStart"/>
      <w:r w:rsidR="00DA2F5A" w:rsidRPr="009C5BC2">
        <w:rPr>
          <w:rFonts w:ascii="Times New Roman" w:hAnsi="Times New Roman" w:cs="Times New Roman"/>
          <w:sz w:val="24"/>
          <w:szCs w:val="24"/>
        </w:rPr>
        <w:t>interests</w:t>
      </w:r>
      <w:proofErr w:type="gramEnd"/>
      <w:r w:rsidR="00DA2F5A" w:rsidRPr="009C5BC2">
        <w:rPr>
          <w:rFonts w:ascii="Times New Roman" w:hAnsi="Times New Roman" w:cs="Times New Roman"/>
          <w:sz w:val="24"/>
          <w:szCs w:val="24"/>
        </w:rPr>
        <w:t xml:space="preserve"> standard are driven by a mixture of pragmatic</w:t>
      </w:r>
      <w:r w:rsidRPr="009C5BC2">
        <w:rPr>
          <w:rFonts w:ascii="Times New Roman" w:hAnsi="Times New Roman" w:cs="Times New Roman"/>
          <w:sz w:val="24"/>
          <w:szCs w:val="24"/>
        </w:rPr>
        <w:t>,</w:t>
      </w:r>
      <w:r w:rsidR="00DA2F5A" w:rsidRPr="009C5BC2">
        <w:rPr>
          <w:rFonts w:ascii="Times New Roman" w:hAnsi="Times New Roman" w:cs="Times New Roman"/>
          <w:sz w:val="24"/>
          <w:szCs w:val="24"/>
        </w:rPr>
        <w:t xml:space="preserve"> philosophical and ethical considerations.</w:t>
      </w:r>
      <w:r w:rsidRPr="009C5BC2">
        <w:rPr>
          <w:rStyle w:val="FootnoteReference"/>
          <w:rFonts w:ascii="Times New Roman" w:hAnsi="Times New Roman" w:cs="Times New Roman"/>
          <w:sz w:val="24"/>
          <w:szCs w:val="24"/>
        </w:rPr>
        <w:footnoteReference w:id="13"/>
      </w:r>
      <w:r w:rsidRPr="009C5BC2">
        <w:rPr>
          <w:rFonts w:ascii="Times New Roman" w:hAnsi="Times New Roman" w:cs="Times New Roman"/>
          <w:sz w:val="24"/>
          <w:szCs w:val="24"/>
        </w:rPr>
        <w:t xml:space="preserve"> </w:t>
      </w:r>
      <w:r w:rsidR="00F952C6" w:rsidRPr="009C5BC2">
        <w:rPr>
          <w:rFonts w:ascii="Times New Roman" w:hAnsi="Times New Roman" w:cs="Times New Roman"/>
          <w:sz w:val="24"/>
          <w:szCs w:val="24"/>
        </w:rPr>
        <w:t>But this</w:t>
      </w:r>
      <w:r w:rsidR="009F7E9F" w:rsidRPr="009C5BC2">
        <w:rPr>
          <w:rFonts w:ascii="Times New Roman" w:hAnsi="Times New Roman" w:cs="Times New Roman"/>
          <w:sz w:val="24"/>
          <w:szCs w:val="24"/>
        </w:rPr>
        <w:t xml:space="preserve"> chapter cautions against extending the best interests too readily to other decision-making contexts</w:t>
      </w:r>
      <w:r w:rsidR="00F2095B" w:rsidRPr="009C5BC2">
        <w:rPr>
          <w:rFonts w:ascii="Times New Roman" w:hAnsi="Times New Roman" w:cs="Times New Roman"/>
          <w:sz w:val="24"/>
          <w:szCs w:val="24"/>
        </w:rPr>
        <w:t>,</w:t>
      </w:r>
      <w:r w:rsidR="00C374BE" w:rsidRPr="009C5BC2">
        <w:rPr>
          <w:rFonts w:ascii="Times New Roman" w:hAnsi="Times New Roman" w:cs="Times New Roman"/>
          <w:sz w:val="24"/>
          <w:szCs w:val="24"/>
        </w:rPr>
        <w:t xml:space="preserve"> first and foremost because </w:t>
      </w:r>
      <w:r w:rsidR="000E013A">
        <w:rPr>
          <w:rFonts w:ascii="Times New Roman" w:hAnsi="Times New Roman" w:cs="Times New Roman"/>
          <w:sz w:val="24"/>
          <w:szCs w:val="24"/>
        </w:rPr>
        <w:t xml:space="preserve">the principle </w:t>
      </w:r>
      <w:r w:rsidR="00F06B56" w:rsidRPr="009C5BC2">
        <w:rPr>
          <w:rFonts w:ascii="Times New Roman" w:hAnsi="Times New Roman" w:cs="Times New Roman"/>
          <w:sz w:val="24"/>
          <w:szCs w:val="24"/>
        </w:rPr>
        <w:t xml:space="preserve">has </w:t>
      </w:r>
      <w:r w:rsidR="000E013A">
        <w:rPr>
          <w:rFonts w:ascii="Times New Roman" w:hAnsi="Times New Roman" w:cs="Times New Roman"/>
          <w:sz w:val="24"/>
          <w:szCs w:val="24"/>
        </w:rPr>
        <w:t>been developed specifically in a</w:t>
      </w:r>
      <w:r w:rsidR="00F06B56" w:rsidRPr="009C5BC2">
        <w:rPr>
          <w:rFonts w:ascii="Times New Roman" w:hAnsi="Times New Roman" w:cs="Times New Roman"/>
          <w:sz w:val="24"/>
          <w:szCs w:val="24"/>
        </w:rPr>
        <w:t xml:space="preserve"> children’s rights context to respond to the distinct needs and vulnerabilities of children.</w:t>
      </w:r>
      <w:r w:rsidR="00802F49" w:rsidRPr="009C5BC2">
        <w:rPr>
          <w:rFonts w:ascii="Times New Roman" w:hAnsi="Times New Roman" w:cs="Times New Roman"/>
          <w:sz w:val="24"/>
          <w:szCs w:val="24"/>
        </w:rPr>
        <w:t xml:space="preserve"> </w:t>
      </w:r>
      <w:r w:rsidR="00F06B56" w:rsidRPr="009C5BC2">
        <w:rPr>
          <w:rFonts w:ascii="Times New Roman" w:hAnsi="Times New Roman" w:cs="Times New Roman"/>
          <w:sz w:val="24"/>
          <w:szCs w:val="24"/>
        </w:rPr>
        <w:t xml:space="preserve">It cannot be readily transposed to other human rights contexts without </w:t>
      </w:r>
      <w:r w:rsidR="000E013A">
        <w:rPr>
          <w:rFonts w:ascii="Times New Roman" w:hAnsi="Times New Roman" w:cs="Times New Roman"/>
          <w:sz w:val="24"/>
          <w:szCs w:val="24"/>
        </w:rPr>
        <w:t xml:space="preserve">potentially </w:t>
      </w:r>
      <w:r w:rsidR="00F06B56" w:rsidRPr="009C5BC2">
        <w:rPr>
          <w:rFonts w:ascii="Times New Roman" w:hAnsi="Times New Roman" w:cs="Times New Roman"/>
          <w:sz w:val="24"/>
          <w:szCs w:val="24"/>
        </w:rPr>
        <w:t xml:space="preserve">undermining or attenuating the purpose for which it was originally intended. </w:t>
      </w:r>
      <w:r w:rsidR="00BE7B04" w:rsidRPr="009C5BC2">
        <w:rPr>
          <w:rFonts w:ascii="Times New Roman" w:hAnsi="Times New Roman" w:cs="Times New Roman"/>
          <w:sz w:val="24"/>
          <w:szCs w:val="24"/>
        </w:rPr>
        <w:t>Its explicit focus on children, and particularly its emphasis on paramountcy or primacy, begs the question as to how states and other duty-bearers could meet the obligations inherent in the principle of best interests if it were broadened out</w:t>
      </w:r>
      <w:r w:rsidR="000E013A">
        <w:rPr>
          <w:rFonts w:ascii="Times New Roman" w:hAnsi="Times New Roman" w:cs="Times New Roman"/>
          <w:sz w:val="24"/>
          <w:szCs w:val="24"/>
        </w:rPr>
        <w:t xml:space="preserve"> to</w:t>
      </w:r>
      <w:r w:rsidR="00BE7B04" w:rsidRPr="009C5BC2">
        <w:rPr>
          <w:rFonts w:ascii="Times New Roman" w:hAnsi="Times New Roman" w:cs="Times New Roman"/>
          <w:sz w:val="24"/>
          <w:szCs w:val="24"/>
        </w:rPr>
        <w:t xml:space="preserve"> other communities of rights holders, namely adults</w:t>
      </w:r>
      <w:r w:rsidR="00813F94">
        <w:rPr>
          <w:rFonts w:ascii="Times New Roman" w:hAnsi="Times New Roman" w:cs="Times New Roman"/>
          <w:sz w:val="24"/>
          <w:szCs w:val="24"/>
        </w:rPr>
        <w:t>,</w:t>
      </w:r>
      <w:r w:rsidR="00BB6FEB">
        <w:rPr>
          <w:rFonts w:ascii="Times New Roman" w:hAnsi="Times New Roman" w:cs="Times New Roman"/>
          <w:sz w:val="24"/>
          <w:szCs w:val="24"/>
        </w:rPr>
        <w:t xml:space="preserve"> on the same terms</w:t>
      </w:r>
      <w:r w:rsidR="00BE7B04" w:rsidRPr="009C5BC2">
        <w:rPr>
          <w:rFonts w:ascii="Times New Roman" w:hAnsi="Times New Roman" w:cs="Times New Roman"/>
          <w:sz w:val="24"/>
          <w:szCs w:val="24"/>
        </w:rPr>
        <w:t xml:space="preserve">. </w:t>
      </w:r>
      <w:r w:rsidR="009958D6" w:rsidRPr="009C5BC2">
        <w:rPr>
          <w:rFonts w:ascii="Times New Roman" w:hAnsi="Times New Roman" w:cs="Times New Roman"/>
          <w:sz w:val="24"/>
          <w:szCs w:val="24"/>
        </w:rPr>
        <w:t>This contention will now be considered in more depth.</w:t>
      </w:r>
    </w:p>
    <w:p w14:paraId="40A937A5" w14:textId="77777777" w:rsidR="009958D6" w:rsidRPr="009C5BC2" w:rsidRDefault="009958D6" w:rsidP="00020ECA">
      <w:pPr>
        <w:spacing w:line="360" w:lineRule="auto"/>
        <w:rPr>
          <w:rFonts w:ascii="Times New Roman" w:hAnsi="Times New Roman" w:cs="Times New Roman"/>
          <w:sz w:val="24"/>
          <w:szCs w:val="24"/>
        </w:rPr>
      </w:pPr>
    </w:p>
    <w:p w14:paraId="3452993F" w14:textId="1D173736" w:rsidR="00FE51FE" w:rsidRPr="009C5BC2" w:rsidRDefault="00FE51FE" w:rsidP="00F2095B">
      <w:pPr>
        <w:pStyle w:val="ListParagraph"/>
        <w:numPr>
          <w:ilvl w:val="0"/>
          <w:numId w:val="13"/>
        </w:numPr>
        <w:spacing w:line="360" w:lineRule="auto"/>
        <w:rPr>
          <w:rFonts w:ascii="Times New Roman" w:hAnsi="Times New Roman" w:cs="Times New Roman"/>
          <w:b/>
          <w:sz w:val="24"/>
          <w:szCs w:val="24"/>
        </w:rPr>
      </w:pPr>
      <w:r w:rsidRPr="009C5BC2">
        <w:rPr>
          <w:rFonts w:ascii="Times New Roman" w:hAnsi="Times New Roman" w:cs="Times New Roman"/>
          <w:b/>
          <w:sz w:val="24"/>
          <w:szCs w:val="24"/>
        </w:rPr>
        <w:t xml:space="preserve">Upholding the child-specificity of the best interests principle </w:t>
      </w:r>
    </w:p>
    <w:p w14:paraId="6230F118" w14:textId="2679A4F4" w:rsidR="00782EEE" w:rsidRPr="009C5BC2" w:rsidRDefault="007A17B5" w:rsidP="00020ECA">
      <w:pPr>
        <w:spacing w:line="360" w:lineRule="auto"/>
        <w:rPr>
          <w:rFonts w:ascii="Times New Roman" w:hAnsi="Times New Roman" w:cs="Times New Roman"/>
          <w:sz w:val="24"/>
          <w:szCs w:val="24"/>
        </w:rPr>
      </w:pPr>
      <w:r w:rsidRPr="009C5BC2">
        <w:rPr>
          <w:rFonts w:ascii="Times New Roman" w:hAnsi="Times New Roman" w:cs="Times New Roman"/>
          <w:sz w:val="24"/>
          <w:szCs w:val="24"/>
        </w:rPr>
        <w:t xml:space="preserve">It is difficult to imagine best interests, as it is currently conceived, operating effectively in many adult human rights contexts as a general principle, aside </w:t>
      </w:r>
      <w:r w:rsidR="009F4CAE" w:rsidRPr="009C5BC2">
        <w:rPr>
          <w:rFonts w:ascii="Times New Roman" w:hAnsi="Times New Roman" w:cs="Times New Roman"/>
          <w:sz w:val="24"/>
          <w:szCs w:val="24"/>
        </w:rPr>
        <w:t>from the narrowly def</w:t>
      </w:r>
      <w:r w:rsidR="00802F49" w:rsidRPr="009C5BC2">
        <w:rPr>
          <w:rFonts w:ascii="Times New Roman" w:hAnsi="Times New Roman" w:cs="Times New Roman"/>
          <w:sz w:val="24"/>
          <w:szCs w:val="24"/>
        </w:rPr>
        <w:t>ined contexts referred to above</w:t>
      </w:r>
      <w:r w:rsidR="009F4CAE" w:rsidRPr="009C5BC2">
        <w:rPr>
          <w:rFonts w:ascii="Times New Roman" w:hAnsi="Times New Roman" w:cs="Times New Roman"/>
          <w:sz w:val="24"/>
          <w:szCs w:val="24"/>
        </w:rPr>
        <w:t xml:space="preserve"> </w:t>
      </w:r>
      <w:r w:rsidRPr="009C5BC2">
        <w:rPr>
          <w:rFonts w:ascii="Times New Roman" w:hAnsi="Times New Roman" w:cs="Times New Roman"/>
          <w:sz w:val="24"/>
          <w:szCs w:val="24"/>
        </w:rPr>
        <w:t xml:space="preserve">involving adults who are mentally and physically vulnerable. Certainly, there is a strong argument in favour of limiting it exclusively to children or, at most, to adults whose cognitive, mental, emotional and physical functions render them </w:t>
      </w:r>
      <w:r w:rsidRPr="009C5BC2">
        <w:rPr>
          <w:rFonts w:ascii="Times New Roman" w:hAnsi="Times New Roman" w:cs="Times New Roman"/>
          <w:sz w:val="24"/>
          <w:szCs w:val="24"/>
        </w:rPr>
        <w:lastRenderedPageBreak/>
        <w:t xml:space="preserve">comparable to children in terms of their vulnerability and their dependency on adults to make decisions on their behalf. </w:t>
      </w:r>
      <w:r w:rsidR="00E72BB9" w:rsidRPr="009C5BC2">
        <w:rPr>
          <w:rFonts w:ascii="Times New Roman" w:hAnsi="Times New Roman" w:cs="Times New Roman"/>
          <w:sz w:val="24"/>
          <w:szCs w:val="24"/>
        </w:rPr>
        <w:t xml:space="preserve">But the best </w:t>
      </w:r>
      <w:proofErr w:type="gramStart"/>
      <w:r w:rsidR="00E72BB9" w:rsidRPr="009C5BC2">
        <w:rPr>
          <w:rFonts w:ascii="Times New Roman" w:hAnsi="Times New Roman" w:cs="Times New Roman"/>
          <w:sz w:val="24"/>
          <w:szCs w:val="24"/>
        </w:rPr>
        <w:t>interests</w:t>
      </w:r>
      <w:proofErr w:type="gramEnd"/>
      <w:r w:rsidR="00E72BB9" w:rsidRPr="009C5BC2">
        <w:rPr>
          <w:rFonts w:ascii="Times New Roman" w:hAnsi="Times New Roman" w:cs="Times New Roman"/>
          <w:sz w:val="24"/>
          <w:szCs w:val="24"/>
        </w:rPr>
        <w:t xml:space="preserve"> principle extends well beyond these paternalistic dynamics. It </w:t>
      </w:r>
      <w:r w:rsidR="000562EA" w:rsidRPr="009C5BC2">
        <w:rPr>
          <w:rFonts w:ascii="Times New Roman" w:hAnsi="Times New Roman" w:cs="Times New Roman"/>
          <w:sz w:val="24"/>
          <w:szCs w:val="24"/>
        </w:rPr>
        <w:t>has ev</w:t>
      </w:r>
      <w:r w:rsidR="005466BB" w:rsidRPr="009C5BC2">
        <w:rPr>
          <w:rFonts w:ascii="Times New Roman" w:hAnsi="Times New Roman" w:cs="Times New Roman"/>
          <w:sz w:val="24"/>
          <w:szCs w:val="24"/>
        </w:rPr>
        <w:t xml:space="preserve">olved with the twin purpose of enabling children to fully exercise their rights by ensuring that obligations towards them are fulfilled and to assist decision-makers </w:t>
      </w:r>
      <w:r w:rsidR="00E62683" w:rsidRPr="009C5BC2">
        <w:rPr>
          <w:rFonts w:ascii="Times New Roman" w:hAnsi="Times New Roman" w:cs="Times New Roman"/>
          <w:sz w:val="24"/>
          <w:szCs w:val="24"/>
        </w:rPr>
        <w:t xml:space="preserve">in </w:t>
      </w:r>
      <w:r w:rsidR="005466BB" w:rsidRPr="009C5BC2">
        <w:rPr>
          <w:rFonts w:ascii="Times New Roman" w:hAnsi="Times New Roman" w:cs="Times New Roman"/>
          <w:sz w:val="24"/>
          <w:szCs w:val="24"/>
        </w:rPr>
        <w:t xml:space="preserve">achieving an outcome that will have the most positive (or the least negative) impact on </w:t>
      </w:r>
      <w:r w:rsidR="005B250A">
        <w:rPr>
          <w:rFonts w:ascii="Times New Roman" w:hAnsi="Times New Roman" w:cs="Times New Roman"/>
          <w:sz w:val="24"/>
          <w:szCs w:val="24"/>
        </w:rPr>
        <w:t>them</w:t>
      </w:r>
      <w:r w:rsidR="000562EA" w:rsidRPr="009C5BC2">
        <w:rPr>
          <w:rFonts w:ascii="Times New Roman" w:hAnsi="Times New Roman" w:cs="Times New Roman"/>
          <w:sz w:val="24"/>
          <w:szCs w:val="24"/>
        </w:rPr>
        <w:t>.</w:t>
      </w:r>
      <w:r w:rsidR="005466BB" w:rsidRPr="009C5BC2">
        <w:rPr>
          <w:rStyle w:val="FootnoteReference"/>
          <w:rFonts w:ascii="Times New Roman" w:hAnsi="Times New Roman" w:cs="Times New Roman"/>
          <w:sz w:val="24"/>
          <w:szCs w:val="24"/>
        </w:rPr>
        <w:footnoteReference w:id="14"/>
      </w:r>
      <w:r w:rsidR="000562EA" w:rsidRPr="009C5BC2">
        <w:rPr>
          <w:rFonts w:ascii="Times New Roman" w:hAnsi="Times New Roman" w:cs="Times New Roman"/>
          <w:sz w:val="24"/>
          <w:szCs w:val="24"/>
        </w:rPr>
        <w:t xml:space="preserve">  </w:t>
      </w:r>
      <w:r w:rsidR="001A1912" w:rsidRPr="009C5BC2">
        <w:rPr>
          <w:rFonts w:ascii="Times New Roman" w:hAnsi="Times New Roman" w:cs="Times New Roman"/>
          <w:sz w:val="24"/>
          <w:szCs w:val="24"/>
        </w:rPr>
        <w:t xml:space="preserve">The </w:t>
      </w:r>
      <w:r w:rsidR="000562EA" w:rsidRPr="009C5BC2">
        <w:rPr>
          <w:rFonts w:ascii="Times New Roman" w:hAnsi="Times New Roman" w:cs="Times New Roman"/>
          <w:sz w:val="24"/>
          <w:szCs w:val="24"/>
        </w:rPr>
        <w:t xml:space="preserve">process </w:t>
      </w:r>
      <w:r w:rsidR="001A1912" w:rsidRPr="009C5BC2">
        <w:rPr>
          <w:rFonts w:ascii="Times New Roman" w:hAnsi="Times New Roman" w:cs="Times New Roman"/>
          <w:sz w:val="24"/>
          <w:szCs w:val="24"/>
        </w:rPr>
        <w:t xml:space="preserve">of conceptualising and embedding best interests within a rights framework </w:t>
      </w:r>
      <w:r w:rsidR="000562EA" w:rsidRPr="009C5BC2">
        <w:rPr>
          <w:rFonts w:ascii="Times New Roman" w:hAnsi="Times New Roman" w:cs="Times New Roman"/>
          <w:sz w:val="24"/>
          <w:szCs w:val="24"/>
        </w:rPr>
        <w:t>has not been straight-forward</w:t>
      </w:r>
      <w:r w:rsidR="00802F49" w:rsidRPr="009C5BC2">
        <w:rPr>
          <w:rFonts w:ascii="Times New Roman" w:hAnsi="Times New Roman" w:cs="Times New Roman"/>
          <w:sz w:val="24"/>
          <w:szCs w:val="24"/>
        </w:rPr>
        <w:t xml:space="preserve"> or uncontested,</w:t>
      </w:r>
      <w:r w:rsidR="001A1912" w:rsidRPr="009C5BC2">
        <w:rPr>
          <w:rFonts w:ascii="Times New Roman" w:hAnsi="Times New Roman" w:cs="Times New Roman"/>
          <w:sz w:val="24"/>
          <w:szCs w:val="24"/>
        </w:rPr>
        <w:t xml:space="preserve"> however</w:t>
      </w:r>
      <w:r w:rsidR="000562EA" w:rsidRPr="009C5BC2">
        <w:rPr>
          <w:rFonts w:ascii="Times New Roman" w:hAnsi="Times New Roman" w:cs="Times New Roman"/>
          <w:sz w:val="24"/>
          <w:szCs w:val="24"/>
        </w:rPr>
        <w:t>. During the drafting of the UN Convention on the Rights of the Child t</w:t>
      </w:r>
      <w:r w:rsidR="00782EEE" w:rsidRPr="009C5BC2">
        <w:rPr>
          <w:rFonts w:ascii="Times New Roman" w:hAnsi="Times New Roman" w:cs="Times New Roman"/>
          <w:sz w:val="24"/>
          <w:szCs w:val="24"/>
        </w:rPr>
        <w:t xml:space="preserve">here was considerable debate as to whether </w:t>
      </w:r>
      <w:r w:rsidR="00D45C7A" w:rsidRPr="009C5BC2">
        <w:rPr>
          <w:rFonts w:ascii="Times New Roman" w:hAnsi="Times New Roman" w:cs="Times New Roman"/>
          <w:sz w:val="24"/>
          <w:szCs w:val="24"/>
        </w:rPr>
        <w:t>a principle grounded in ‘interests’ and ‘needs’</w:t>
      </w:r>
      <w:r w:rsidR="00782EEE" w:rsidRPr="009C5BC2">
        <w:rPr>
          <w:rFonts w:ascii="Times New Roman" w:hAnsi="Times New Roman" w:cs="Times New Roman"/>
          <w:sz w:val="24"/>
          <w:szCs w:val="24"/>
        </w:rPr>
        <w:t xml:space="preserve"> should be included at all within a Con</w:t>
      </w:r>
      <w:r w:rsidR="00D45C7A" w:rsidRPr="009C5BC2">
        <w:rPr>
          <w:rFonts w:ascii="Times New Roman" w:hAnsi="Times New Roman" w:cs="Times New Roman"/>
          <w:sz w:val="24"/>
          <w:szCs w:val="24"/>
        </w:rPr>
        <w:t>vention that explicitly endorses</w:t>
      </w:r>
      <w:r w:rsidR="00782EEE" w:rsidRPr="009C5BC2">
        <w:rPr>
          <w:rFonts w:ascii="Times New Roman" w:hAnsi="Times New Roman" w:cs="Times New Roman"/>
          <w:sz w:val="24"/>
          <w:szCs w:val="24"/>
        </w:rPr>
        <w:t xml:space="preserve"> </w:t>
      </w:r>
      <w:r w:rsidR="00782EEE" w:rsidRPr="009C5BC2">
        <w:rPr>
          <w:rFonts w:ascii="Times New Roman" w:hAnsi="Times New Roman" w:cs="Times New Roman"/>
          <w:i/>
          <w:sz w:val="24"/>
          <w:szCs w:val="24"/>
        </w:rPr>
        <w:t>rights.</w:t>
      </w:r>
      <w:r w:rsidR="00D631ED">
        <w:rPr>
          <w:rStyle w:val="FootnoteReference"/>
          <w:rFonts w:ascii="Times New Roman" w:hAnsi="Times New Roman" w:cs="Times New Roman"/>
          <w:i/>
          <w:sz w:val="24"/>
          <w:szCs w:val="24"/>
        </w:rPr>
        <w:footnoteReference w:id="15"/>
      </w:r>
      <w:r w:rsidR="00782EEE" w:rsidRPr="009C5BC2">
        <w:rPr>
          <w:rFonts w:ascii="Times New Roman" w:hAnsi="Times New Roman" w:cs="Times New Roman"/>
          <w:i/>
          <w:sz w:val="24"/>
          <w:szCs w:val="24"/>
        </w:rPr>
        <w:t xml:space="preserve"> </w:t>
      </w:r>
      <w:r w:rsidR="00782EEE" w:rsidRPr="009C5BC2">
        <w:rPr>
          <w:rFonts w:ascii="Times New Roman" w:hAnsi="Times New Roman" w:cs="Times New Roman"/>
          <w:sz w:val="24"/>
          <w:szCs w:val="24"/>
        </w:rPr>
        <w:t>What the drafters arrived at in the end is, in the words of Philip Alston, “a carefully formulated and balanced statement of values to which [nearly all st</w:t>
      </w:r>
      <w:r w:rsidR="00BE7B04" w:rsidRPr="009C5BC2">
        <w:rPr>
          <w:rFonts w:ascii="Times New Roman" w:hAnsi="Times New Roman" w:cs="Times New Roman"/>
          <w:sz w:val="24"/>
          <w:szCs w:val="24"/>
        </w:rPr>
        <w:t>ates] have formally subscribed.</w:t>
      </w:r>
      <w:r w:rsidR="00782EEE" w:rsidRPr="009C5BC2">
        <w:rPr>
          <w:rFonts w:ascii="Times New Roman" w:hAnsi="Times New Roman" w:cs="Times New Roman"/>
          <w:sz w:val="24"/>
          <w:szCs w:val="24"/>
        </w:rPr>
        <w:t>”</w:t>
      </w:r>
      <w:r w:rsidR="00BE7B04" w:rsidRPr="009C5BC2">
        <w:rPr>
          <w:rStyle w:val="FootnoteReference"/>
          <w:rFonts w:ascii="Times New Roman" w:hAnsi="Times New Roman" w:cs="Times New Roman"/>
          <w:sz w:val="24"/>
          <w:szCs w:val="24"/>
        </w:rPr>
        <w:footnoteReference w:id="16"/>
      </w:r>
      <w:r w:rsidR="00782EEE" w:rsidRPr="009C5BC2">
        <w:rPr>
          <w:rFonts w:ascii="Times New Roman" w:hAnsi="Times New Roman" w:cs="Times New Roman"/>
          <w:sz w:val="24"/>
          <w:szCs w:val="24"/>
        </w:rPr>
        <w:t xml:space="preserve"> </w:t>
      </w:r>
    </w:p>
    <w:p w14:paraId="2E4FFC2B" w14:textId="6D0EF083" w:rsidR="000562EA" w:rsidRPr="009C5BC2" w:rsidRDefault="00996F6F" w:rsidP="00020ECA">
      <w:pPr>
        <w:spacing w:line="360" w:lineRule="auto"/>
        <w:rPr>
          <w:rFonts w:ascii="Times New Roman" w:hAnsi="Times New Roman" w:cs="Times New Roman"/>
          <w:sz w:val="24"/>
          <w:szCs w:val="24"/>
        </w:rPr>
      </w:pPr>
      <w:r w:rsidRPr="009C5BC2">
        <w:rPr>
          <w:rFonts w:ascii="Times New Roman" w:hAnsi="Times New Roman" w:cs="Times New Roman"/>
          <w:sz w:val="24"/>
          <w:szCs w:val="24"/>
        </w:rPr>
        <w:t>Since then</w:t>
      </w:r>
      <w:r w:rsidR="00802F49" w:rsidRPr="009C5BC2">
        <w:rPr>
          <w:rFonts w:ascii="Times New Roman" w:hAnsi="Times New Roman" w:cs="Times New Roman"/>
          <w:sz w:val="24"/>
          <w:szCs w:val="24"/>
        </w:rPr>
        <w:t xml:space="preserve"> b</w:t>
      </w:r>
      <w:r w:rsidR="000562EA" w:rsidRPr="009C5BC2">
        <w:rPr>
          <w:rFonts w:ascii="Times New Roman" w:hAnsi="Times New Roman" w:cs="Times New Roman"/>
          <w:sz w:val="24"/>
          <w:szCs w:val="24"/>
        </w:rPr>
        <w:t>est interest</w:t>
      </w:r>
      <w:r w:rsidR="00E14E54" w:rsidRPr="009C5BC2">
        <w:rPr>
          <w:rFonts w:ascii="Times New Roman" w:hAnsi="Times New Roman" w:cs="Times New Roman"/>
          <w:sz w:val="24"/>
          <w:szCs w:val="24"/>
        </w:rPr>
        <w:t>s</w:t>
      </w:r>
      <w:r w:rsidR="00D45C7A" w:rsidRPr="009C5BC2">
        <w:rPr>
          <w:rFonts w:ascii="Times New Roman" w:hAnsi="Times New Roman" w:cs="Times New Roman"/>
          <w:sz w:val="24"/>
          <w:szCs w:val="24"/>
        </w:rPr>
        <w:t xml:space="preserve"> in the context of</w:t>
      </w:r>
      <w:r w:rsidR="000562EA" w:rsidRPr="009C5BC2">
        <w:rPr>
          <w:rFonts w:ascii="Times New Roman" w:hAnsi="Times New Roman" w:cs="Times New Roman"/>
          <w:sz w:val="24"/>
          <w:szCs w:val="24"/>
        </w:rPr>
        <w:t xml:space="preserve"> children</w:t>
      </w:r>
      <w:r w:rsidR="00D45C7A" w:rsidRPr="009C5BC2">
        <w:rPr>
          <w:rFonts w:ascii="Times New Roman" w:hAnsi="Times New Roman" w:cs="Times New Roman"/>
          <w:sz w:val="24"/>
          <w:szCs w:val="24"/>
        </w:rPr>
        <w:t>’s rights has</w:t>
      </w:r>
      <w:r w:rsidR="00802F49" w:rsidRPr="009C5BC2">
        <w:rPr>
          <w:rFonts w:ascii="Times New Roman" w:hAnsi="Times New Roman" w:cs="Times New Roman"/>
          <w:sz w:val="24"/>
          <w:szCs w:val="24"/>
        </w:rPr>
        <w:t xml:space="preserve"> </w:t>
      </w:r>
      <w:r w:rsidR="00D45C7A" w:rsidRPr="009C5BC2">
        <w:rPr>
          <w:rFonts w:ascii="Times New Roman" w:hAnsi="Times New Roman" w:cs="Times New Roman"/>
          <w:sz w:val="24"/>
          <w:szCs w:val="24"/>
        </w:rPr>
        <w:t>come to represent a number of ideals and aims</w:t>
      </w:r>
      <w:r w:rsidR="00E14E54" w:rsidRPr="009C5BC2">
        <w:rPr>
          <w:rFonts w:ascii="Times New Roman" w:hAnsi="Times New Roman" w:cs="Times New Roman"/>
          <w:sz w:val="24"/>
          <w:szCs w:val="24"/>
        </w:rPr>
        <w:t xml:space="preserve">. First, it </w:t>
      </w:r>
      <w:r w:rsidR="00D45C7A" w:rsidRPr="009C5BC2">
        <w:rPr>
          <w:rFonts w:ascii="Times New Roman" w:hAnsi="Times New Roman" w:cs="Times New Roman"/>
          <w:sz w:val="24"/>
          <w:szCs w:val="24"/>
        </w:rPr>
        <w:t>is a mechanism for rendering</w:t>
      </w:r>
      <w:r w:rsidR="00E14E54" w:rsidRPr="009C5BC2">
        <w:rPr>
          <w:rFonts w:ascii="Times New Roman" w:hAnsi="Times New Roman" w:cs="Times New Roman"/>
          <w:sz w:val="24"/>
          <w:szCs w:val="24"/>
        </w:rPr>
        <w:t xml:space="preserve"> children’s interests visible in decision-making processes that are routinely dominated by adults</w:t>
      </w:r>
      <w:r w:rsidR="000562EA" w:rsidRPr="009C5BC2">
        <w:rPr>
          <w:rFonts w:ascii="Times New Roman" w:hAnsi="Times New Roman" w:cs="Times New Roman"/>
          <w:sz w:val="24"/>
          <w:szCs w:val="24"/>
        </w:rPr>
        <w:t xml:space="preserve">. </w:t>
      </w:r>
      <w:r w:rsidR="00E14E54" w:rsidRPr="009C5BC2">
        <w:rPr>
          <w:rFonts w:ascii="Times New Roman" w:hAnsi="Times New Roman" w:cs="Times New Roman"/>
          <w:sz w:val="24"/>
          <w:szCs w:val="24"/>
        </w:rPr>
        <w:t>As</w:t>
      </w:r>
      <w:r w:rsidR="000562EA" w:rsidRPr="009C5BC2">
        <w:rPr>
          <w:rFonts w:ascii="Times New Roman" w:hAnsi="Times New Roman" w:cs="Times New Roman"/>
          <w:sz w:val="24"/>
          <w:szCs w:val="24"/>
        </w:rPr>
        <w:t xml:space="preserve"> Freeman</w:t>
      </w:r>
      <w:r w:rsidR="00E14E54" w:rsidRPr="009C5BC2">
        <w:rPr>
          <w:rFonts w:ascii="Times New Roman" w:hAnsi="Times New Roman" w:cs="Times New Roman"/>
          <w:sz w:val="24"/>
          <w:szCs w:val="24"/>
        </w:rPr>
        <w:t xml:space="preserve"> asserts,</w:t>
      </w:r>
      <w:r w:rsidR="000562EA" w:rsidRPr="009C5BC2">
        <w:rPr>
          <w:rFonts w:ascii="Times New Roman" w:hAnsi="Times New Roman" w:cs="Times New Roman"/>
          <w:sz w:val="24"/>
          <w:szCs w:val="24"/>
        </w:rPr>
        <w:t xml:space="preserve"> “in a world run by adults, there would otherwise be a danger that children’s interests would be completely ignored</w:t>
      </w:r>
      <w:r w:rsidR="009C3494" w:rsidRPr="009C5BC2">
        <w:rPr>
          <w:rFonts w:ascii="Times New Roman" w:hAnsi="Times New Roman" w:cs="Times New Roman"/>
          <w:sz w:val="24"/>
          <w:szCs w:val="24"/>
        </w:rPr>
        <w:t>.</w:t>
      </w:r>
      <w:r w:rsidR="000562EA" w:rsidRPr="009C5BC2">
        <w:rPr>
          <w:rFonts w:ascii="Times New Roman" w:hAnsi="Times New Roman" w:cs="Times New Roman"/>
          <w:sz w:val="24"/>
          <w:szCs w:val="24"/>
        </w:rPr>
        <w:t>”</w:t>
      </w:r>
      <w:r w:rsidR="00E14E54" w:rsidRPr="009C5BC2">
        <w:rPr>
          <w:rStyle w:val="FootnoteReference"/>
          <w:rFonts w:ascii="Times New Roman" w:hAnsi="Times New Roman" w:cs="Times New Roman"/>
          <w:sz w:val="24"/>
          <w:szCs w:val="24"/>
        </w:rPr>
        <w:footnoteReference w:id="17"/>
      </w:r>
      <w:r w:rsidR="000562EA" w:rsidRPr="009C5BC2">
        <w:rPr>
          <w:rFonts w:ascii="Times New Roman" w:hAnsi="Times New Roman" w:cs="Times New Roman"/>
          <w:sz w:val="24"/>
          <w:szCs w:val="24"/>
        </w:rPr>
        <w:t xml:space="preserve"> </w:t>
      </w:r>
      <w:r w:rsidR="005300A1" w:rsidRPr="009C5BC2">
        <w:rPr>
          <w:rFonts w:ascii="Times New Roman" w:hAnsi="Times New Roman" w:cs="Times New Roman"/>
          <w:sz w:val="24"/>
          <w:szCs w:val="24"/>
        </w:rPr>
        <w:t xml:space="preserve">Second it provides an approach to purported clashes between adults’ (typically parents’) desires and interests and the interests of the child (for instance in the context of disputes around child contact and residence). </w:t>
      </w:r>
      <w:r w:rsidR="00F77B07" w:rsidRPr="009C5BC2">
        <w:rPr>
          <w:rFonts w:ascii="Times New Roman" w:hAnsi="Times New Roman" w:cs="Times New Roman"/>
          <w:sz w:val="24"/>
          <w:szCs w:val="24"/>
        </w:rPr>
        <w:t>Such an approach is based on a</w:t>
      </w:r>
      <w:r w:rsidR="005300A1" w:rsidRPr="009C5BC2">
        <w:rPr>
          <w:rFonts w:ascii="Times New Roman" w:hAnsi="Times New Roman" w:cs="Times New Roman"/>
          <w:sz w:val="24"/>
          <w:szCs w:val="24"/>
        </w:rPr>
        <w:t xml:space="preserve"> ‘</w:t>
      </w:r>
      <w:r w:rsidR="005B250A">
        <w:rPr>
          <w:rFonts w:ascii="Times New Roman" w:hAnsi="Times New Roman" w:cs="Times New Roman"/>
          <w:sz w:val="24"/>
          <w:szCs w:val="24"/>
        </w:rPr>
        <w:t xml:space="preserve">King </w:t>
      </w:r>
      <w:r w:rsidR="005300A1" w:rsidRPr="009C5BC2">
        <w:rPr>
          <w:rFonts w:ascii="Times New Roman" w:hAnsi="Times New Roman" w:cs="Times New Roman"/>
          <w:sz w:val="24"/>
          <w:szCs w:val="24"/>
        </w:rPr>
        <w:t>Solomon-type’</w:t>
      </w:r>
      <w:r w:rsidR="000562EA" w:rsidRPr="009C5BC2">
        <w:rPr>
          <w:rFonts w:ascii="Times New Roman" w:hAnsi="Times New Roman" w:cs="Times New Roman"/>
          <w:sz w:val="24"/>
          <w:szCs w:val="24"/>
        </w:rPr>
        <w:t xml:space="preserve"> </w:t>
      </w:r>
      <w:r w:rsidR="00F77B07" w:rsidRPr="009C5BC2">
        <w:rPr>
          <w:rFonts w:ascii="Times New Roman" w:hAnsi="Times New Roman" w:cs="Times New Roman"/>
          <w:sz w:val="24"/>
          <w:szCs w:val="24"/>
        </w:rPr>
        <w:t>philosophy</w:t>
      </w:r>
      <w:r w:rsidR="005300A1" w:rsidRPr="009C5BC2">
        <w:rPr>
          <w:rFonts w:ascii="Times New Roman" w:hAnsi="Times New Roman" w:cs="Times New Roman"/>
          <w:sz w:val="24"/>
          <w:szCs w:val="24"/>
        </w:rPr>
        <w:t>,</w:t>
      </w:r>
      <w:r w:rsidR="00365658">
        <w:rPr>
          <w:rStyle w:val="FootnoteReference"/>
          <w:rFonts w:ascii="Times New Roman" w:hAnsi="Times New Roman" w:cs="Times New Roman"/>
          <w:sz w:val="24"/>
          <w:szCs w:val="24"/>
        </w:rPr>
        <w:footnoteReference w:id="18"/>
      </w:r>
      <w:r w:rsidR="00BE7B04" w:rsidRPr="009C5BC2">
        <w:rPr>
          <w:rFonts w:ascii="Times New Roman" w:hAnsi="Times New Roman" w:cs="Times New Roman"/>
          <w:sz w:val="24"/>
          <w:szCs w:val="24"/>
        </w:rPr>
        <w:t xml:space="preserve"> that </w:t>
      </w:r>
      <w:r w:rsidR="00A93CB2">
        <w:rPr>
          <w:rFonts w:ascii="Times New Roman" w:hAnsi="Times New Roman" w:cs="Times New Roman"/>
          <w:sz w:val="24"/>
          <w:szCs w:val="24"/>
        </w:rPr>
        <w:t xml:space="preserve">a willingness </w:t>
      </w:r>
      <w:r w:rsidR="000562EA" w:rsidRPr="009C5BC2">
        <w:rPr>
          <w:rFonts w:ascii="Times New Roman" w:hAnsi="Times New Roman" w:cs="Times New Roman"/>
          <w:sz w:val="24"/>
          <w:szCs w:val="24"/>
        </w:rPr>
        <w:t xml:space="preserve">to sacrifice one’s own </w:t>
      </w:r>
      <w:r w:rsidR="00A93CB2">
        <w:rPr>
          <w:rFonts w:ascii="Times New Roman" w:hAnsi="Times New Roman" w:cs="Times New Roman"/>
          <w:sz w:val="24"/>
          <w:szCs w:val="24"/>
        </w:rPr>
        <w:t>desires</w:t>
      </w:r>
      <w:r w:rsidR="00A93CB2" w:rsidRPr="009C5BC2">
        <w:rPr>
          <w:rFonts w:ascii="Times New Roman" w:hAnsi="Times New Roman" w:cs="Times New Roman"/>
          <w:sz w:val="24"/>
          <w:szCs w:val="24"/>
        </w:rPr>
        <w:t xml:space="preserve"> </w:t>
      </w:r>
      <w:r w:rsidR="00762F69" w:rsidRPr="009C5BC2">
        <w:rPr>
          <w:rFonts w:ascii="Times New Roman" w:hAnsi="Times New Roman" w:cs="Times New Roman"/>
          <w:sz w:val="24"/>
          <w:szCs w:val="24"/>
        </w:rPr>
        <w:t xml:space="preserve">for the sake of those of </w:t>
      </w:r>
      <w:r w:rsidR="000562EA" w:rsidRPr="009C5BC2">
        <w:rPr>
          <w:rFonts w:ascii="Times New Roman" w:hAnsi="Times New Roman" w:cs="Times New Roman"/>
          <w:sz w:val="24"/>
          <w:szCs w:val="24"/>
        </w:rPr>
        <w:t xml:space="preserve">one’s </w:t>
      </w:r>
      <w:r w:rsidR="00893455" w:rsidRPr="009C5BC2">
        <w:rPr>
          <w:rFonts w:ascii="Times New Roman" w:hAnsi="Times New Roman" w:cs="Times New Roman"/>
          <w:sz w:val="24"/>
          <w:szCs w:val="24"/>
        </w:rPr>
        <w:t xml:space="preserve">child is what being a parent </w:t>
      </w:r>
      <w:proofErr w:type="gramStart"/>
      <w:r w:rsidR="00893455" w:rsidRPr="009C5BC2">
        <w:rPr>
          <w:rFonts w:ascii="Times New Roman" w:hAnsi="Times New Roman" w:cs="Times New Roman"/>
          <w:sz w:val="24"/>
          <w:szCs w:val="24"/>
        </w:rPr>
        <w:t xml:space="preserve">is </w:t>
      </w:r>
      <w:r w:rsidR="000562EA" w:rsidRPr="009C5BC2">
        <w:rPr>
          <w:rFonts w:ascii="Times New Roman" w:hAnsi="Times New Roman" w:cs="Times New Roman"/>
          <w:sz w:val="24"/>
          <w:szCs w:val="24"/>
        </w:rPr>
        <w:t>all</w:t>
      </w:r>
      <w:proofErr w:type="gramEnd"/>
      <w:r w:rsidR="000562EA" w:rsidRPr="009C5BC2">
        <w:rPr>
          <w:rFonts w:ascii="Times New Roman" w:hAnsi="Times New Roman" w:cs="Times New Roman"/>
          <w:sz w:val="24"/>
          <w:szCs w:val="24"/>
        </w:rPr>
        <w:t xml:space="preserve"> about.</w:t>
      </w:r>
      <w:r w:rsidR="00756678" w:rsidRPr="009C5BC2">
        <w:rPr>
          <w:rStyle w:val="FootnoteReference"/>
          <w:rFonts w:ascii="Times New Roman" w:hAnsi="Times New Roman" w:cs="Times New Roman"/>
          <w:sz w:val="24"/>
          <w:szCs w:val="24"/>
        </w:rPr>
        <w:footnoteReference w:id="19"/>
      </w:r>
      <w:r w:rsidR="005466BB" w:rsidRPr="009C5BC2">
        <w:rPr>
          <w:rFonts w:ascii="Times New Roman" w:hAnsi="Times New Roman" w:cs="Times New Roman"/>
          <w:sz w:val="24"/>
          <w:szCs w:val="24"/>
        </w:rPr>
        <w:t xml:space="preserve"> </w:t>
      </w:r>
      <w:r w:rsidR="00756678" w:rsidRPr="009C5BC2">
        <w:rPr>
          <w:rFonts w:ascii="Times New Roman" w:hAnsi="Times New Roman" w:cs="Times New Roman"/>
          <w:sz w:val="24"/>
          <w:szCs w:val="24"/>
        </w:rPr>
        <w:t>I</w:t>
      </w:r>
      <w:r w:rsidR="00803EEB" w:rsidRPr="009C5BC2">
        <w:rPr>
          <w:rFonts w:ascii="Times New Roman" w:hAnsi="Times New Roman" w:cs="Times New Roman"/>
          <w:sz w:val="24"/>
          <w:szCs w:val="24"/>
        </w:rPr>
        <w:t>t is</w:t>
      </w:r>
      <w:r w:rsidR="00841180" w:rsidRPr="009C5BC2">
        <w:rPr>
          <w:rFonts w:ascii="Times New Roman" w:hAnsi="Times New Roman" w:cs="Times New Roman"/>
          <w:sz w:val="24"/>
          <w:szCs w:val="24"/>
        </w:rPr>
        <w:t xml:space="preserve"> </w:t>
      </w:r>
      <w:r w:rsidR="00802F49" w:rsidRPr="009C5BC2">
        <w:rPr>
          <w:rFonts w:ascii="Times New Roman" w:hAnsi="Times New Roman" w:cs="Times New Roman"/>
          <w:sz w:val="24"/>
          <w:szCs w:val="24"/>
        </w:rPr>
        <w:t xml:space="preserve">also </w:t>
      </w:r>
      <w:r w:rsidR="00841180" w:rsidRPr="009C5BC2">
        <w:rPr>
          <w:rFonts w:ascii="Times New Roman" w:hAnsi="Times New Roman" w:cs="Times New Roman"/>
          <w:sz w:val="24"/>
          <w:szCs w:val="24"/>
        </w:rPr>
        <w:t xml:space="preserve">generally </w:t>
      </w:r>
      <w:r w:rsidR="00756678" w:rsidRPr="009C5BC2">
        <w:rPr>
          <w:rFonts w:ascii="Times New Roman" w:hAnsi="Times New Roman" w:cs="Times New Roman"/>
          <w:sz w:val="24"/>
          <w:szCs w:val="24"/>
        </w:rPr>
        <w:t xml:space="preserve">accepted (in principle at least) that it is </w:t>
      </w:r>
      <w:r w:rsidR="00803EEB" w:rsidRPr="009C5BC2">
        <w:rPr>
          <w:rFonts w:ascii="Times New Roman" w:hAnsi="Times New Roman" w:cs="Times New Roman"/>
          <w:sz w:val="24"/>
          <w:szCs w:val="24"/>
        </w:rPr>
        <w:t xml:space="preserve">right and fair that children’s interests </w:t>
      </w:r>
      <w:r w:rsidR="005466BB" w:rsidRPr="009C5BC2">
        <w:rPr>
          <w:rFonts w:ascii="Times New Roman" w:hAnsi="Times New Roman" w:cs="Times New Roman"/>
          <w:sz w:val="24"/>
          <w:szCs w:val="24"/>
        </w:rPr>
        <w:t xml:space="preserve">should </w:t>
      </w:r>
      <w:r w:rsidR="00756678" w:rsidRPr="009C5BC2">
        <w:rPr>
          <w:rFonts w:ascii="Times New Roman" w:hAnsi="Times New Roman" w:cs="Times New Roman"/>
          <w:sz w:val="24"/>
          <w:szCs w:val="24"/>
        </w:rPr>
        <w:t>carry more weight</w:t>
      </w:r>
      <w:r w:rsidR="00803EEB" w:rsidRPr="009C5BC2">
        <w:rPr>
          <w:rFonts w:ascii="Times New Roman" w:hAnsi="Times New Roman" w:cs="Times New Roman"/>
          <w:sz w:val="24"/>
          <w:szCs w:val="24"/>
        </w:rPr>
        <w:t xml:space="preserve"> in such decisions because their outcome is likely to have much more profound effects on children in the immediate and longer term. Take a family relocation application for instance: the decision to relocate a child</w:t>
      </w:r>
      <w:r w:rsidR="004417C6" w:rsidRPr="009C5BC2">
        <w:rPr>
          <w:rFonts w:ascii="Times New Roman" w:hAnsi="Times New Roman" w:cs="Times New Roman"/>
          <w:sz w:val="24"/>
          <w:szCs w:val="24"/>
        </w:rPr>
        <w:t>,</w:t>
      </w:r>
      <w:r w:rsidR="00803EEB" w:rsidRPr="009C5BC2">
        <w:rPr>
          <w:rFonts w:ascii="Times New Roman" w:hAnsi="Times New Roman" w:cs="Times New Roman"/>
          <w:sz w:val="24"/>
          <w:szCs w:val="24"/>
        </w:rPr>
        <w:t xml:space="preserve"> uproot him or her from their school, friends, social commitments, cult</w:t>
      </w:r>
      <w:r w:rsidR="00C67982" w:rsidRPr="009C5BC2">
        <w:rPr>
          <w:rFonts w:ascii="Times New Roman" w:hAnsi="Times New Roman" w:cs="Times New Roman"/>
          <w:sz w:val="24"/>
          <w:szCs w:val="24"/>
        </w:rPr>
        <w:t xml:space="preserve">ural </w:t>
      </w:r>
      <w:r w:rsidR="00C67982" w:rsidRPr="009C5BC2">
        <w:rPr>
          <w:rFonts w:ascii="Times New Roman" w:hAnsi="Times New Roman" w:cs="Times New Roman"/>
          <w:sz w:val="24"/>
          <w:szCs w:val="24"/>
        </w:rPr>
        <w:lastRenderedPageBreak/>
        <w:t>and linguistic environment</w:t>
      </w:r>
      <w:r w:rsidR="00803EEB" w:rsidRPr="009C5BC2">
        <w:rPr>
          <w:rFonts w:ascii="Times New Roman" w:hAnsi="Times New Roman" w:cs="Times New Roman"/>
          <w:sz w:val="24"/>
          <w:szCs w:val="24"/>
        </w:rPr>
        <w:t xml:space="preserve"> and</w:t>
      </w:r>
      <w:r w:rsidR="00C67982" w:rsidRPr="009C5BC2">
        <w:rPr>
          <w:rFonts w:ascii="Times New Roman" w:hAnsi="Times New Roman" w:cs="Times New Roman"/>
          <w:sz w:val="24"/>
          <w:szCs w:val="24"/>
        </w:rPr>
        <w:t>,</w:t>
      </w:r>
      <w:r w:rsidR="00803EEB" w:rsidRPr="009C5BC2">
        <w:rPr>
          <w:rFonts w:ascii="Times New Roman" w:hAnsi="Times New Roman" w:cs="Times New Roman"/>
          <w:sz w:val="24"/>
          <w:szCs w:val="24"/>
        </w:rPr>
        <w:t xml:space="preserve"> in many cases</w:t>
      </w:r>
      <w:r w:rsidR="00C67982" w:rsidRPr="009C5BC2">
        <w:rPr>
          <w:rFonts w:ascii="Times New Roman" w:hAnsi="Times New Roman" w:cs="Times New Roman"/>
          <w:sz w:val="24"/>
          <w:szCs w:val="24"/>
        </w:rPr>
        <w:t>,</w:t>
      </w:r>
      <w:r w:rsidR="00803EEB" w:rsidRPr="009C5BC2">
        <w:rPr>
          <w:rFonts w:ascii="Times New Roman" w:hAnsi="Times New Roman" w:cs="Times New Roman"/>
          <w:sz w:val="24"/>
          <w:szCs w:val="24"/>
        </w:rPr>
        <w:t xml:space="preserve"> from regular contact with the other p</w:t>
      </w:r>
      <w:r w:rsidR="00BE7B04" w:rsidRPr="009C5BC2">
        <w:rPr>
          <w:rFonts w:ascii="Times New Roman" w:hAnsi="Times New Roman" w:cs="Times New Roman"/>
          <w:sz w:val="24"/>
          <w:szCs w:val="24"/>
        </w:rPr>
        <w:t>arent and perhaps even siblings</w:t>
      </w:r>
      <w:r w:rsidR="004417C6" w:rsidRPr="009C5BC2">
        <w:rPr>
          <w:rFonts w:ascii="Times New Roman" w:hAnsi="Times New Roman" w:cs="Times New Roman"/>
          <w:sz w:val="24"/>
          <w:szCs w:val="24"/>
        </w:rPr>
        <w:t>,</w:t>
      </w:r>
      <w:r w:rsidR="00BE7B04" w:rsidRPr="009C5BC2">
        <w:rPr>
          <w:rFonts w:ascii="Times New Roman" w:hAnsi="Times New Roman" w:cs="Times New Roman"/>
          <w:sz w:val="24"/>
          <w:szCs w:val="24"/>
        </w:rPr>
        <w:t xml:space="preserve"> </w:t>
      </w:r>
      <w:r w:rsidR="00803EEB" w:rsidRPr="009C5BC2">
        <w:rPr>
          <w:rFonts w:ascii="Times New Roman" w:hAnsi="Times New Roman" w:cs="Times New Roman"/>
          <w:sz w:val="24"/>
          <w:szCs w:val="24"/>
        </w:rPr>
        <w:t>can have a profound impact on a child’s life opportunities,</w:t>
      </w:r>
      <w:r w:rsidR="004417C6" w:rsidRPr="009C5BC2">
        <w:rPr>
          <w:rFonts w:ascii="Times New Roman" w:hAnsi="Times New Roman" w:cs="Times New Roman"/>
          <w:sz w:val="24"/>
          <w:szCs w:val="24"/>
        </w:rPr>
        <w:t xml:space="preserve"> education, sense of identity, </w:t>
      </w:r>
      <w:r w:rsidR="00803EEB" w:rsidRPr="009C5BC2">
        <w:rPr>
          <w:rFonts w:ascii="Times New Roman" w:hAnsi="Times New Roman" w:cs="Times New Roman"/>
          <w:sz w:val="24"/>
          <w:szCs w:val="24"/>
        </w:rPr>
        <w:t>health and happiness</w:t>
      </w:r>
      <w:r w:rsidR="00BE7B04" w:rsidRPr="009C5BC2">
        <w:rPr>
          <w:rFonts w:ascii="Times New Roman" w:hAnsi="Times New Roman" w:cs="Times New Roman"/>
          <w:sz w:val="24"/>
          <w:szCs w:val="24"/>
        </w:rPr>
        <w:t xml:space="preserve">, </w:t>
      </w:r>
      <w:r w:rsidR="00803EEB" w:rsidRPr="009C5BC2">
        <w:rPr>
          <w:rFonts w:ascii="Times New Roman" w:hAnsi="Times New Roman" w:cs="Times New Roman"/>
          <w:sz w:val="24"/>
          <w:szCs w:val="24"/>
        </w:rPr>
        <w:t xml:space="preserve">arguably </w:t>
      </w:r>
      <w:r w:rsidR="00BE7B04" w:rsidRPr="009C5BC2">
        <w:rPr>
          <w:rFonts w:ascii="Times New Roman" w:hAnsi="Times New Roman" w:cs="Times New Roman"/>
          <w:sz w:val="24"/>
          <w:szCs w:val="24"/>
        </w:rPr>
        <w:t xml:space="preserve">to a much greater extent than </w:t>
      </w:r>
      <w:r w:rsidR="00803EEB" w:rsidRPr="009C5BC2">
        <w:rPr>
          <w:rFonts w:ascii="Times New Roman" w:hAnsi="Times New Roman" w:cs="Times New Roman"/>
          <w:sz w:val="24"/>
          <w:szCs w:val="24"/>
        </w:rPr>
        <w:t xml:space="preserve">on </w:t>
      </w:r>
      <w:r w:rsidR="00BE7B04" w:rsidRPr="009C5BC2">
        <w:rPr>
          <w:rFonts w:ascii="Times New Roman" w:hAnsi="Times New Roman" w:cs="Times New Roman"/>
          <w:sz w:val="24"/>
          <w:szCs w:val="24"/>
        </w:rPr>
        <w:t xml:space="preserve">that of </w:t>
      </w:r>
      <w:r w:rsidR="00803EEB" w:rsidRPr="009C5BC2">
        <w:rPr>
          <w:rFonts w:ascii="Times New Roman" w:hAnsi="Times New Roman" w:cs="Times New Roman"/>
          <w:sz w:val="24"/>
          <w:szCs w:val="24"/>
        </w:rPr>
        <w:t>the parent who has requested the relocation.</w:t>
      </w:r>
      <w:r w:rsidR="004417C6" w:rsidRPr="009C5BC2">
        <w:rPr>
          <w:rFonts w:ascii="Times New Roman" w:hAnsi="Times New Roman" w:cs="Times New Roman"/>
          <w:sz w:val="24"/>
          <w:szCs w:val="24"/>
        </w:rPr>
        <w:t xml:space="preserve"> Such factors have to be weighed up </w:t>
      </w:r>
      <w:r w:rsidR="00C67982" w:rsidRPr="009C5BC2">
        <w:rPr>
          <w:rFonts w:ascii="Times New Roman" w:hAnsi="Times New Roman" w:cs="Times New Roman"/>
          <w:sz w:val="24"/>
          <w:szCs w:val="24"/>
        </w:rPr>
        <w:t xml:space="preserve">carefully </w:t>
      </w:r>
      <w:r w:rsidR="004417C6" w:rsidRPr="009C5BC2">
        <w:rPr>
          <w:rFonts w:ascii="Times New Roman" w:hAnsi="Times New Roman" w:cs="Times New Roman"/>
          <w:sz w:val="24"/>
          <w:szCs w:val="24"/>
        </w:rPr>
        <w:t xml:space="preserve">against the likely benefits that such a move might bring, demanding what John </w:t>
      </w:r>
      <w:proofErr w:type="spellStart"/>
      <w:r w:rsidR="004417C6" w:rsidRPr="009C5BC2">
        <w:rPr>
          <w:rFonts w:ascii="Times New Roman" w:hAnsi="Times New Roman" w:cs="Times New Roman"/>
          <w:sz w:val="24"/>
          <w:szCs w:val="24"/>
        </w:rPr>
        <w:t>Eekel</w:t>
      </w:r>
      <w:r w:rsidR="00B96937" w:rsidRPr="009C5BC2">
        <w:rPr>
          <w:rFonts w:ascii="Times New Roman" w:hAnsi="Times New Roman" w:cs="Times New Roman"/>
          <w:sz w:val="24"/>
          <w:szCs w:val="24"/>
        </w:rPr>
        <w:t>a</w:t>
      </w:r>
      <w:r w:rsidR="004417C6" w:rsidRPr="009C5BC2">
        <w:rPr>
          <w:rFonts w:ascii="Times New Roman" w:hAnsi="Times New Roman" w:cs="Times New Roman"/>
          <w:sz w:val="24"/>
          <w:szCs w:val="24"/>
        </w:rPr>
        <w:t>ar</w:t>
      </w:r>
      <w:proofErr w:type="spellEnd"/>
      <w:r w:rsidR="004417C6" w:rsidRPr="009C5BC2">
        <w:rPr>
          <w:rFonts w:ascii="Times New Roman" w:hAnsi="Times New Roman" w:cs="Times New Roman"/>
          <w:sz w:val="24"/>
          <w:szCs w:val="24"/>
        </w:rPr>
        <w:t xml:space="preserve"> refers to as an ‘imaginative leap’ </w:t>
      </w:r>
      <w:r w:rsidR="00B96937" w:rsidRPr="009C5BC2">
        <w:rPr>
          <w:rFonts w:ascii="Times New Roman" w:hAnsi="Times New Roman" w:cs="Times New Roman"/>
          <w:sz w:val="24"/>
          <w:szCs w:val="24"/>
        </w:rPr>
        <w:t>as to what the child might have chosen for him or he</w:t>
      </w:r>
      <w:r w:rsidR="00CE7E65" w:rsidRPr="009C5BC2">
        <w:rPr>
          <w:rFonts w:ascii="Times New Roman" w:hAnsi="Times New Roman" w:cs="Times New Roman"/>
          <w:sz w:val="24"/>
          <w:szCs w:val="24"/>
        </w:rPr>
        <w:t>rself once they reach maturity.</w:t>
      </w:r>
      <w:r w:rsidR="00B96937" w:rsidRPr="009C5BC2">
        <w:rPr>
          <w:rStyle w:val="FootnoteReference"/>
          <w:rFonts w:ascii="Times New Roman" w:hAnsi="Times New Roman" w:cs="Times New Roman"/>
          <w:sz w:val="24"/>
          <w:szCs w:val="24"/>
        </w:rPr>
        <w:footnoteReference w:id="20"/>
      </w:r>
      <w:r w:rsidR="006E573A" w:rsidRPr="009C5BC2">
        <w:rPr>
          <w:rFonts w:ascii="Times New Roman" w:hAnsi="Times New Roman" w:cs="Times New Roman"/>
          <w:sz w:val="24"/>
          <w:szCs w:val="24"/>
        </w:rPr>
        <w:t xml:space="preserve"> </w:t>
      </w:r>
      <w:r w:rsidR="00CE7E65" w:rsidRPr="009C5BC2">
        <w:rPr>
          <w:rFonts w:ascii="Times New Roman" w:hAnsi="Times New Roman" w:cs="Times New Roman"/>
          <w:sz w:val="24"/>
          <w:szCs w:val="24"/>
        </w:rPr>
        <w:t xml:space="preserve">This interpretation links in with the </w:t>
      </w:r>
      <w:r w:rsidR="002A4BD7" w:rsidRPr="009C5BC2">
        <w:rPr>
          <w:rFonts w:ascii="Times New Roman" w:hAnsi="Times New Roman" w:cs="Times New Roman"/>
          <w:sz w:val="24"/>
          <w:szCs w:val="24"/>
        </w:rPr>
        <w:t>third</w:t>
      </w:r>
      <w:r w:rsidR="00CE7E65" w:rsidRPr="009C5BC2">
        <w:rPr>
          <w:rFonts w:ascii="Times New Roman" w:hAnsi="Times New Roman" w:cs="Times New Roman"/>
          <w:sz w:val="24"/>
          <w:szCs w:val="24"/>
        </w:rPr>
        <w:t>,</w:t>
      </w:r>
      <w:r w:rsidR="00257102" w:rsidRPr="009C5BC2">
        <w:rPr>
          <w:rFonts w:ascii="Times New Roman" w:hAnsi="Times New Roman" w:cs="Times New Roman"/>
          <w:sz w:val="24"/>
          <w:szCs w:val="24"/>
        </w:rPr>
        <w:t xml:space="preserve"> </w:t>
      </w:r>
      <w:r w:rsidR="00CE7E65" w:rsidRPr="009C5BC2">
        <w:rPr>
          <w:rFonts w:ascii="Times New Roman" w:hAnsi="Times New Roman" w:cs="Times New Roman"/>
          <w:sz w:val="24"/>
          <w:szCs w:val="24"/>
        </w:rPr>
        <w:t xml:space="preserve">more utilitarian </w:t>
      </w:r>
      <w:r w:rsidR="00257102" w:rsidRPr="009C5BC2">
        <w:rPr>
          <w:rFonts w:ascii="Times New Roman" w:hAnsi="Times New Roman" w:cs="Times New Roman"/>
          <w:sz w:val="24"/>
          <w:szCs w:val="24"/>
        </w:rPr>
        <w:t>function of best interests</w:t>
      </w:r>
      <w:r w:rsidR="00CE7E65" w:rsidRPr="009C5BC2">
        <w:rPr>
          <w:rFonts w:ascii="Times New Roman" w:hAnsi="Times New Roman" w:cs="Times New Roman"/>
          <w:sz w:val="24"/>
          <w:szCs w:val="24"/>
        </w:rPr>
        <w:t>:</w:t>
      </w:r>
      <w:r w:rsidR="002A4BD7" w:rsidRPr="009C5BC2">
        <w:rPr>
          <w:rFonts w:ascii="Times New Roman" w:hAnsi="Times New Roman" w:cs="Times New Roman"/>
          <w:sz w:val="24"/>
          <w:szCs w:val="24"/>
        </w:rPr>
        <w:t xml:space="preserve"> that i</w:t>
      </w:r>
      <w:r w:rsidR="000562EA" w:rsidRPr="009C5BC2">
        <w:rPr>
          <w:rFonts w:ascii="Times New Roman" w:hAnsi="Times New Roman" w:cs="Times New Roman"/>
          <w:sz w:val="24"/>
          <w:szCs w:val="24"/>
        </w:rPr>
        <w:t>nv</w:t>
      </w:r>
      <w:r w:rsidR="002A4BD7" w:rsidRPr="009C5BC2">
        <w:rPr>
          <w:rFonts w:ascii="Times New Roman" w:hAnsi="Times New Roman" w:cs="Times New Roman"/>
          <w:sz w:val="24"/>
          <w:szCs w:val="24"/>
        </w:rPr>
        <w:t xml:space="preserve">esting in children’s interests </w:t>
      </w:r>
      <w:r w:rsidR="000562EA" w:rsidRPr="009C5BC2">
        <w:rPr>
          <w:rFonts w:ascii="Times New Roman" w:hAnsi="Times New Roman" w:cs="Times New Roman"/>
          <w:sz w:val="24"/>
          <w:szCs w:val="24"/>
        </w:rPr>
        <w:t xml:space="preserve">maximises the welfare of society as a whole; </w:t>
      </w:r>
      <w:r w:rsidR="002A4BD7" w:rsidRPr="009C5BC2">
        <w:rPr>
          <w:rFonts w:ascii="Times New Roman" w:hAnsi="Times New Roman" w:cs="Times New Roman"/>
          <w:sz w:val="24"/>
          <w:szCs w:val="24"/>
        </w:rPr>
        <w:t>it</w:t>
      </w:r>
      <w:r w:rsidR="000562EA" w:rsidRPr="009C5BC2">
        <w:rPr>
          <w:rFonts w:ascii="Times New Roman" w:hAnsi="Times New Roman" w:cs="Times New Roman"/>
          <w:sz w:val="24"/>
          <w:szCs w:val="24"/>
        </w:rPr>
        <w:t xml:space="preserve"> </w:t>
      </w:r>
      <w:r w:rsidR="002A4BD7" w:rsidRPr="009C5BC2">
        <w:rPr>
          <w:rFonts w:ascii="Times New Roman" w:hAnsi="Times New Roman" w:cs="Times New Roman"/>
          <w:sz w:val="24"/>
          <w:szCs w:val="24"/>
        </w:rPr>
        <w:t xml:space="preserve">creates the circumstances in which children can </w:t>
      </w:r>
      <w:r w:rsidR="00796C61" w:rsidRPr="009C5BC2">
        <w:rPr>
          <w:rFonts w:ascii="Times New Roman" w:hAnsi="Times New Roman" w:cs="Times New Roman"/>
          <w:sz w:val="24"/>
          <w:szCs w:val="24"/>
        </w:rPr>
        <w:t xml:space="preserve">be nurtured to </w:t>
      </w:r>
      <w:r w:rsidR="00BE7B04" w:rsidRPr="009C5BC2">
        <w:rPr>
          <w:rFonts w:ascii="Times New Roman" w:hAnsi="Times New Roman" w:cs="Times New Roman"/>
          <w:sz w:val="24"/>
          <w:szCs w:val="24"/>
        </w:rPr>
        <w:t>develop into</w:t>
      </w:r>
      <w:r w:rsidR="00796C61" w:rsidRPr="009C5BC2">
        <w:rPr>
          <w:rFonts w:ascii="Times New Roman" w:hAnsi="Times New Roman" w:cs="Times New Roman"/>
          <w:sz w:val="24"/>
          <w:szCs w:val="24"/>
        </w:rPr>
        <w:t xml:space="preserve"> </w:t>
      </w:r>
      <w:r w:rsidR="002A4BD7" w:rsidRPr="009C5BC2">
        <w:rPr>
          <w:rFonts w:ascii="Times New Roman" w:hAnsi="Times New Roman" w:cs="Times New Roman"/>
          <w:sz w:val="24"/>
          <w:szCs w:val="24"/>
        </w:rPr>
        <w:t>rounded,</w:t>
      </w:r>
      <w:r w:rsidR="00796C61" w:rsidRPr="009C5BC2">
        <w:rPr>
          <w:rFonts w:ascii="Times New Roman" w:hAnsi="Times New Roman" w:cs="Times New Roman"/>
          <w:sz w:val="24"/>
          <w:szCs w:val="24"/>
        </w:rPr>
        <w:t xml:space="preserve"> fulfilled and responsible citizens</w:t>
      </w:r>
      <w:r w:rsidR="002A4BD7" w:rsidRPr="009C5BC2">
        <w:rPr>
          <w:rFonts w:ascii="Times New Roman" w:hAnsi="Times New Roman" w:cs="Times New Roman"/>
          <w:sz w:val="24"/>
          <w:szCs w:val="24"/>
        </w:rPr>
        <w:t>, contributing</w:t>
      </w:r>
      <w:r w:rsidR="000562EA" w:rsidRPr="009C5BC2">
        <w:rPr>
          <w:rFonts w:ascii="Times New Roman" w:hAnsi="Times New Roman" w:cs="Times New Roman"/>
          <w:sz w:val="24"/>
          <w:szCs w:val="24"/>
        </w:rPr>
        <w:t xml:space="preserve"> to a community that we all want to be part of in the short and longer term.</w:t>
      </w:r>
      <w:r w:rsidR="00BF4405" w:rsidRPr="009C5BC2">
        <w:rPr>
          <w:rStyle w:val="FootnoteReference"/>
          <w:rFonts w:ascii="Times New Roman" w:hAnsi="Times New Roman" w:cs="Times New Roman"/>
          <w:sz w:val="24"/>
          <w:szCs w:val="24"/>
        </w:rPr>
        <w:footnoteReference w:id="21"/>
      </w:r>
      <w:r w:rsidR="000562EA" w:rsidRPr="009C5BC2">
        <w:rPr>
          <w:rFonts w:ascii="Times New Roman" w:hAnsi="Times New Roman" w:cs="Times New Roman"/>
          <w:sz w:val="24"/>
          <w:szCs w:val="24"/>
        </w:rPr>
        <w:t xml:space="preserve"> </w:t>
      </w:r>
    </w:p>
    <w:p w14:paraId="65F90B6C" w14:textId="0B676182" w:rsidR="00FC53CA" w:rsidRPr="009C5BC2" w:rsidRDefault="00866B9C" w:rsidP="00020ECA">
      <w:pPr>
        <w:spacing w:line="360" w:lineRule="auto"/>
        <w:rPr>
          <w:rFonts w:ascii="Times New Roman" w:hAnsi="Times New Roman" w:cs="Times New Roman"/>
          <w:sz w:val="24"/>
          <w:szCs w:val="24"/>
        </w:rPr>
      </w:pPr>
      <w:r w:rsidRPr="009C5BC2">
        <w:rPr>
          <w:rFonts w:ascii="Times New Roman" w:hAnsi="Times New Roman" w:cs="Times New Roman"/>
          <w:sz w:val="24"/>
          <w:szCs w:val="24"/>
        </w:rPr>
        <w:t xml:space="preserve">This cursory overview of how best </w:t>
      </w:r>
      <w:proofErr w:type="gramStart"/>
      <w:r w:rsidRPr="009C5BC2">
        <w:rPr>
          <w:rFonts w:ascii="Times New Roman" w:hAnsi="Times New Roman" w:cs="Times New Roman"/>
          <w:sz w:val="24"/>
          <w:szCs w:val="24"/>
        </w:rPr>
        <w:t>interests is</w:t>
      </w:r>
      <w:proofErr w:type="gramEnd"/>
      <w:r w:rsidRPr="009C5BC2">
        <w:rPr>
          <w:rFonts w:ascii="Times New Roman" w:hAnsi="Times New Roman" w:cs="Times New Roman"/>
          <w:sz w:val="24"/>
          <w:szCs w:val="24"/>
        </w:rPr>
        <w:t xml:space="preserve"> conceptualised highlights, perhaps, the difficulties of </w:t>
      </w:r>
      <w:r w:rsidR="00C676AA" w:rsidRPr="009C5BC2">
        <w:rPr>
          <w:rFonts w:ascii="Times New Roman" w:hAnsi="Times New Roman" w:cs="Times New Roman"/>
          <w:sz w:val="24"/>
          <w:szCs w:val="24"/>
        </w:rPr>
        <w:t xml:space="preserve">applying </w:t>
      </w:r>
      <w:r w:rsidRPr="009C5BC2">
        <w:rPr>
          <w:rFonts w:ascii="Times New Roman" w:hAnsi="Times New Roman" w:cs="Times New Roman"/>
          <w:sz w:val="24"/>
          <w:szCs w:val="24"/>
        </w:rPr>
        <w:t>such functions to adult-related human rights decision-making. The concern is that this would lead to one of two possible consequences</w:t>
      </w:r>
      <w:r w:rsidR="009958D6" w:rsidRPr="009C5BC2">
        <w:rPr>
          <w:rFonts w:ascii="Times New Roman" w:hAnsi="Times New Roman" w:cs="Times New Roman"/>
          <w:sz w:val="24"/>
          <w:szCs w:val="24"/>
        </w:rPr>
        <w:t>: first it would mark a shift towards what Stephen Parker refers to as ‘an artificial and sterile universalism’</w:t>
      </w:r>
      <w:r w:rsidR="003F1573" w:rsidRPr="009C5BC2">
        <w:rPr>
          <w:rStyle w:val="FootnoteReference"/>
          <w:rFonts w:ascii="Times New Roman" w:hAnsi="Times New Roman" w:cs="Times New Roman"/>
          <w:sz w:val="24"/>
          <w:szCs w:val="24"/>
        </w:rPr>
        <w:footnoteReference w:id="22"/>
      </w:r>
      <w:r w:rsidR="009958D6" w:rsidRPr="009C5BC2">
        <w:rPr>
          <w:rFonts w:ascii="Times New Roman" w:hAnsi="Times New Roman" w:cs="Times New Roman"/>
          <w:sz w:val="24"/>
          <w:szCs w:val="24"/>
        </w:rPr>
        <w:t xml:space="preserve"> potentially divesting the principle of any distinctiveness and, ultimately, undermining its effectiveness in protecting children’s</w:t>
      </w:r>
      <w:r w:rsidR="00FC53CA" w:rsidRPr="009C5BC2">
        <w:rPr>
          <w:rFonts w:ascii="Times New Roman" w:hAnsi="Times New Roman" w:cs="Times New Roman"/>
          <w:sz w:val="24"/>
          <w:szCs w:val="24"/>
        </w:rPr>
        <w:t xml:space="preserve"> </w:t>
      </w:r>
      <w:r w:rsidR="009958D6" w:rsidRPr="009C5BC2">
        <w:rPr>
          <w:rFonts w:ascii="Times New Roman" w:hAnsi="Times New Roman" w:cs="Times New Roman"/>
          <w:sz w:val="24"/>
          <w:szCs w:val="24"/>
        </w:rPr>
        <w:t xml:space="preserve">welfare. </w:t>
      </w:r>
      <w:r w:rsidR="00C676AA" w:rsidRPr="009C5BC2">
        <w:rPr>
          <w:rFonts w:ascii="Times New Roman" w:hAnsi="Times New Roman" w:cs="Times New Roman"/>
          <w:sz w:val="24"/>
          <w:szCs w:val="24"/>
        </w:rPr>
        <w:t>Second,</w:t>
      </w:r>
      <w:r w:rsidR="00FC53CA" w:rsidRPr="009C5BC2">
        <w:rPr>
          <w:rFonts w:ascii="Times New Roman" w:hAnsi="Times New Roman" w:cs="Times New Roman"/>
          <w:sz w:val="24"/>
          <w:szCs w:val="24"/>
        </w:rPr>
        <w:t xml:space="preserve"> it risk</w:t>
      </w:r>
      <w:r w:rsidR="003A0C24" w:rsidRPr="009C5BC2">
        <w:rPr>
          <w:rFonts w:ascii="Times New Roman" w:hAnsi="Times New Roman" w:cs="Times New Roman"/>
          <w:sz w:val="24"/>
          <w:szCs w:val="24"/>
        </w:rPr>
        <w:t>s</w:t>
      </w:r>
      <w:r w:rsidR="00FC53CA" w:rsidRPr="009C5BC2">
        <w:rPr>
          <w:rFonts w:ascii="Times New Roman" w:hAnsi="Times New Roman" w:cs="Times New Roman"/>
          <w:sz w:val="24"/>
          <w:szCs w:val="24"/>
        </w:rPr>
        <w:t xml:space="preserve"> contriving decision-making processes by seeking to conceptualise them within a (child-focused) framework that is ill-adapted to accommodate the different variables and contexts that shape adults’ lives. </w:t>
      </w:r>
      <w:r w:rsidR="007C0A9B">
        <w:rPr>
          <w:rFonts w:ascii="Times New Roman" w:hAnsi="Times New Roman" w:cs="Times New Roman"/>
          <w:sz w:val="24"/>
          <w:szCs w:val="24"/>
        </w:rPr>
        <w:t xml:space="preserve">The following section explores these possible outcomes in more depth. </w:t>
      </w:r>
    </w:p>
    <w:p w14:paraId="1A5A8D86" w14:textId="1E382E24" w:rsidR="009958D6" w:rsidRPr="009C5BC2" w:rsidRDefault="009958D6" w:rsidP="00020ECA">
      <w:pPr>
        <w:spacing w:line="360" w:lineRule="auto"/>
        <w:rPr>
          <w:rFonts w:ascii="Times New Roman" w:hAnsi="Times New Roman" w:cs="Times New Roman"/>
          <w:sz w:val="24"/>
          <w:szCs w:val="24"/>
        </w:rPr>
      </w:pPr>
      <w:r w:rsidRPr="009C5BC2">
        <w:rPr>
          <w:rFonts w:ascii="Times New Roman" w:hAnsi="Times New Roman" w:cs="Times New Roman"/>
          <w:sz w:val="24"/>
          <w:szCs w:val="24"/>
        </w:rPr>
        <w:t xml:space="preserve">  </w:t>
      </w:r>
    </w:p>
    <w:p w14:paraId="4878430C" w14:textId="67A44F31" w:rsidR="00E80A4A" w:rsidRPr="009C5BC2" w:rsidRDefault="00E80A4A" w:rsidP="008335F6">
      <w:pPr>
        <w:pStyle w:val="ListParagraph"/>
        <w:numPr>
          <w:ilvl w:val="0"/>
          <w:numId w:val="13"/>
        </w:numPr>
        <w:spacing w:line="360" w:lineRule="auto"/>
        <w:jc w:val="both"/>
        <w:rPr>
          <w:rFonts w:ascii="Times New Roman" w:hAnsi="Times New Roman" w:cs="Times New Roman"/>
          <w:b/>
          <w:sz w:val="24"/>
          <w:szCs w:val="24"/>
        </w:rPr>
      </w:pPr>
      <w:r w:rsidRPr="009C5BC2">
        <w:rPr>
          <w:rFonts w:ascii="Times New Roman" w:hAnsi="Times New Roman" w:cs="Times New Roman"/>
          <w:b/>
          <w:sz w:val="24"/>
          <w:szCs w:val="24"/>
        </w:rPr>
        <w:t>Avoiding an artificial and sterile universalism</w:t>
      </w:r>
    </w:p>
    <w:p w14:paraId="59A045A9" w14:textId="4CFE93A5" w:rsidR="001D656C" w:rsidRPr="009C5BC2" w:rsidRDefault="00DB6356" w:rsidP="00020ECA">
      <w:pPr>
        <w:spacing w:line="360" w:lineRule="auto"/>
        <w:jc w:val="both"/>
        <w:rPr>
          <w:rFonts w:ascii="Times New Roman" w:hAnsi="Times New Roman" w:cs="Times New Roman"/>
          <w:sz w:val="24"/>
          <w:szCs w:val="24"/>
        </w:rPr>
      </w:pPr>
      <w:r w:rsidRPr="009C5BC2">
        <w:rPr>
          <w:rFonts w:ascii="Times New Roman" w:hAnsi="Times New Roman" w:cs="Times New Roman"/>
          <w:sz w:val="24"/>
          <w:szCs w:val="24"/>
        </w:rPr>
        <w:t>A</w:t>
      </w:r>
      <w:r w:rsidR="007E6F9D" w:rsidRPr="009C5BC2">
        <w:rPr>
          <w:rFonts w:ascii="Times New Roman" w:hAnsi="Times New Roman" w:cs="Times New Roman"/>
          <w:sz w:val="24"/>
          <w:szCs w:val="24"/>
        </w:rPr>
        <w:t xml:space="preserve">ny suggestion that best interests be extended to other human rights contexts raises a </w:t>
      </w:r>
      <w:r w:rsidRPr="009C5BC2">
        <w:rPr>
          <w:rFonts w:ascii="Times New Roman" w:hAnsi="Times New Roman" w:cs="Times New Roman"/>
          <w:sz w:val="24"/>
          <w:szCs w:val="24"/>
        </w:rPr>
        <w:t xml:space="preserve">number of </w:t>
      </w:r>
      <w:r w:rsidR="00E80A4A" w:rsidRPr="009C5BC2">
        <w:rPr>
          <w:rFonts w:ascii="Times New Roman" w:hAnsi="Times New Roman" w:cs="Times New Roman"/>
          <w:sz w:val="24"/>
          <w:szCs w:val="24"/>
        </w:rPr>
        <w:t xml:space="preserve">practical </w:t>
      </w:r>
      <w:r w:rsidR="00084650" w:rsidRPr="009C5BC2">
        <w:rPr>
          <w:rFonts w:ascii="Times New Roman" w:hAnsi="Times New Roman" w:cs="Times New Roman"/>
          <w:sz w:val="24"/>
          <w:szCs w:val="24"/>
        </w:rPr>
        <w:t xml:space="preserve">and conceptual </w:t>
      </w:r>
      <w:r w:rsidR="00E80A4A" w:rsidRPr="009C5BC2">
        <w:rPr>
          <w:rFonts w:ascii="Times New Roman" w:hAnsi="Times New Roman" w:cs="Times New Roman"/>
          <w:sz w:val="24"/>
          <w:szCs w:val="24"/>
        </w:rPr>
        <w:t>questions</w:t>
      </w:r>
      <w:r w:rsidRPr="009C5BC2">
        <w:rPr>
          <w:rFonts w:ascii="Times New Roman" w:hAnsi="Times New Roman" w:cs="Times New Roman"/>
          <w:sz w:val="24"/>
          <w:szCs w:val="24"/>
        </w:rPr>
        <w:t xml:space="preserve">. First and foremost, questions arise as to </w:t>
      </w:r>
      <w:r w:rsidR="001D656C" w:rsidRPr="009C5BC2">
        <w:rPr>
          <w:rFonts w:ascii="Times New Roman" w:hAnsi="Times New Roman" w:cs="Times New Roman"/>
          <w:sz w:val="24"/>
          <w:szCs w:val="24"/>
        </w:rPr>
        <w:t xml:space="preserve">the ways in which </w:t>
      </w:r>
      <w:r w:rsidRPr="009C5BC2">
        <w:rPr>
          <w:rFonts w:ascii="Times New Roman" w:hAnsi="Times New Roman" w:cs="Times New Roman"/>
          <w:sz w:val="24"/>
          <w:szCs w:val="24"/>
        </w:rPr>
        <w:t>the</w:t>
      </w:r>
      <w:r w:rsidR="001D656C" w:rsidRPr="009C5BC2">
        <w:rPr>
          <w:rFonts w:ascii="Times New Roman" w:hAnsi="Times New Roman" w:cs="Times New Roman"/>
          <w:sz w:val="24"/>
          <w:szCs w:val="24"/>
        </w:rPr>
        <w:t xml:space="preserve"> principle would have to be adapted to respond to the very different variables shaping decision-making around adults. For instance, it is difficult to envisage how </w:t>
      </w:r>
      <w:r w:rsidRPr="009C5BC2">
        <w:rPr>
          <w:rFonts w:ascii="Times New Roman" w:hAnsi="Times New Roman" w:cs="Times New Roman"/>
          <w:sz w:val="24"/>
          <w:szCs w:val="24"/>
        </w:rPr>
        <w:t xml:space="preserve">the </w:t>
      </w:r>
      <w:r w:rsidR="001D656C" w:rsidRPr="009C5BC2">
        <w:rPr>
          <w:rFonts w:ascii="Times New Roman" w:hAnsi="Times New Roman" w:cs="Times New Roman"/>
          <w:sz w:val="24"/>
          <w:szCs w:val="24"/>
        </w:rPr>
        <w:t>notions of</w:t>
      </w:r>
      <w:r w:rsidRPr="009C5BC2">
        <w:rPr>
          <w:rFonts w:ascii="Times New Roman" w:hAnsi="Times New Roman" w:cs="Times New Roman"/>
          <w:sz w:val="24"/>
          <w:szCs w:val="24"/>
        </w:rPr>
        <w:t xml:space="preserve"> </w:t>
      </w:r>
      <w:r w:rsidR="00E80A4A" w:rsidRPr="009C5BC2">
        <w:rPr>
          <w:rFonts w:ascii="Times New Roman" w:hAnsi="Times New Roman" w:cs="Times New Roman"/>
          <w:sz w:val="24"/>
          <w:szCs w:val="24"/>
        </w:rPr>
        <w:t>primacy</w:t>
      </w:r>
      <w:r w:rsidR="009A3C82" w:rsidRPr="009C5BC2">
        <w:rPr>
          <w:rFonts w:ascii="Times New Roman" w:hAnsi="Times New Roman" w:cs="Times New Roman"/>
          <w:sz w:val="24"/>
          <w:szCs w:val="24"/>
        </w:rPr>
        <w:t xml:space="preserve"> or paramoun</w:t>
      </w:r>
      <w:r w:rsidR="00550CCA" w:rsidRPr="009C5BC2">
        <w:rPr>
          <w:rFonts w:ascii="Times New Roman" w:hAnsi="Times New Roman" w:cs="Times New Roman"/>
          <w:sz w:val="24"/>
          <w:szCs w:val="24"/>
        </w:rPr>
        <w:t>t</w:t>
      </w:r>
      <w:r w:rsidR="009A3C82" w:rsidRPr="009C5BC2">
        <w:rPr>
          <w:rFonts w:ascii="Times New Roman" w:hAnsi="Times New Roman" w:cs="Times New Roman"/>
          <w:sz w:val="24"/>
          <w:szCs w:val="24"/>
        </w:rPr>
        <w:t xml:space="preserve">cy </w:t>
      </w:r>
      <w:r w:rsidR="001D656C" w:rsidRPr="009C5BC2">
        <w:rPr>
          <w:rFonts w:ascii="Times New Roman" w:hAnsi="Times New Roman" w:cs="Times New Roman"/>
          <w:sz w:val="24"/>
          <w:szCs w:val="24"/>
        </w:rPr>
        <w:t xml:space="preserve">– the cornerstones of the best </w:t>
      </w:r>
      <w:proofErr w:type="gramStart"/>
      <w:r w:rsidR="001D656C" w:rsidRPr="009C5BC2">
        <w:rPr>
          <w:rFonts w:ascii="Times New Roman" w:hAnsi="Times New Roman" w:cs="Times New Roman"/>
          <w:sz w:val="24"/>
          <w:szCs w:val="24"/>
        </w:rPr>
        <w:t>interests</w:t>
      </w:r>
      <w:proofErr w:type="gramEnd"/>
      <w:r w:rsidR="001D656C" w:rsidRPr="009C5BC2">
        <w:rPr>
          <w:rFonts w:ascii="Times New Roman" w:hAnsi="Times New Roman" w:cs="Times New Roman"/>
          <w:sz w:val="24"/>
          <w:szCs w:val="24"/>
        </w:rPr>
        <w:t xml:space="preserve"> principle - </w:t>
      </w:r>
      <w:r w:rsidR="00E80A4A" w:rsidRPr="009C5BC2">
        <w:rPr>
          <w:rFonts w:ascii="Times New Roman" w:hAnsi="Times New Roman" w:cs="Times New Roman"/>
          <w:sz w:val="24"/>
          <w:szCs w:val="24"/>
        </w:rPr>
        <w:t xml:space="preserve">would </w:t>
      </w:r>
      <w:r w:rsidR="00550CCA" w:rsidRPr="009C5BC2">
        <w:rPr>
          <w:rFonts w:ascii="Times New Roman" w:hAnsi="Times New Roman" w:cs="Times New Roman"/>
          <w:sz w:val="24"/>
          <w:szCs w:val="24"/>
        </w:rPr>
        <w:t>prevail</w:t>
      </w:r>
      <w:r w:rsidR="001D656C" w:rsidRPr="009C5BC2">
        <w:rPr>
          <w:rFonts w:ascii="Times New Roman" w:hAnsi="Times New Roman" w:cs="Times New Roman"/>
          <w:sz w:val="24"/>
          <w:szCs w:val="24"/>
        </w:rPr>
        <w:t xml:space="preserve">, particularly in matters concerning both adults and children. What would happen, for </w:t>
      </w:r>
      <w:r w:rsidR="001D656C" w:rsidRPr="009C5BC2">
        <w:rPr>
          <w:rFonts w:ascii="Times New Roman" w:hAnsi="Times New Roman" w:cs="Times New Roman"/>
          <w:sz w:val="24"/>
          <w:szCs w:val="24"/>
        </w:rPr>
        <w:lastRenderedPageBreak/>
        <w:t xml:space="preserve">instance, if there was a clash between the best interests of the child and the best interests of an adult in a given set of circumstances such as disputes over custody and access, or cases of parental child abduction involving allegations of domestic abuse perpetrated by the father against the mother? </w:t>
      </w:r>
      <w:r w:rsidR="005E66BA" w:rsidRPr="009C5BC2">
        <w:rPr>
          <w:rFonts w:ascii="Times New Roman" w:hAnsi="Times New Roman" w:cs="Times New Roman"/>
          <w:sz w:val="24"/>
          <w:szCs w:val="24"/>
        </w:rPr>
        <w:t xml:space="preserve">One of the most common arguments in favour of extending the best interests principle to other (adult) parties in </w:t>
      </w:r>
      <w:r w:rsidR="00457A10">
        <w:rPr>
          <w:rFonts w:ascii="Times New Roman" w:hAnsi="Times New Roman" w:cs="Times New Roman"/>
          <w:sz w:val="24"/>
          <w:szCs w:val="24"/>
        </w:rPr>
        <w:t>such</w:t>
      </w:r>
      <w:r w:rsidR="00DF79DA" w:rsidRPr="009C5BC2">
        <w:rPr>
          <w:rFonts w:ascii="Times New Roman" w:hAnsi="Times New Roman" w:cs="Times New Roman"/>
          <w:sz w:val="24"/>
          <w:szCs w:val="24"/>
        </w:rPr>
        <w:t xml:space="preserve"> </w:t>
      </w:r>
      <w:r w:rsidR="005E66BA" w:rsidRPr="009C5BC2">
        <w:rPr>
          <w:rFonts w:ascii="Times New Roman" w:hAnsi="Times New Roman" w:cs="Times New Roman"/>
          <w:sz w:val="24"/>
          <w:szCs w:val="24"/>
        </w:rPr>
        <w:t>cases is based on notions of fairness and achieving equality of arms. This argument objects to the way in which best interests blindly prioritises children’s needs over and above the interests of other parties implicated in proceedings, leading to an artificial, one-sided justice that undermines adult parties’ (notably parents’) rights, and neglects to acknowledge that a more balanced assessment of the different parties’ interests might be instrumental to upholding the interests of the child.</w:t>
      </w:r>
      <w:r w:rsidR="005E66BA" w:rsidRPr="009C5BC2">
        <w:rPr>
          <w:rStyle w:val="FootnoteReference"/>
          <w:rFonts w:ascii="Times New Roman" w:hAnsi="Times New Roman" w:cs="Times New Roman"/>
          <w:sz w:val="24"/>
          <w:szCs w:val="24"/>
        </w:rPr>
        <w:footnoteReference w:id="23"/>
      </w:r>
      <w:r w:rsidR="00DF79DA" w:rsidRPr="009C5BC2">
        <w:rPr>
          <w:rFonts w:ascii="Times New Roman" w:hAnsi="Times New Roman" w:cs="Times New Roman"/>
          <w:sz w:val="24"/>
          <w:szCs w:val="24"/>
        </w:rPr>
        <w:t xml:space="preserve"> </w:t>
      </w:r>
      <w:r w:rsidR="005E66BA" w:rsidRPr="009C5BC2">
        <w:rPr>
          <w:rFonts w:ascii="Times New Roman" w:hAnsi="Times New Roman" w:cs="Times New Roman"/>
          <w:sz w:val="24"/>
          <w:szCs w:val="24"/>
        </w:rPr>
        <w:t>The way in which child contact is addressed in domestic violence cases provides a good illustration of this tendency. I</w:t>
      </w:r>
      <w:r w:rsidR="00CF452B" w:rsidRPr="009C5BC2">
        <w:rPr>
          <w:rFonts w:ascii="Times New Roman" w:hAnsi="Times New Roman" w:cs="Times New Roman"/>
          <w:sz w:val="24"/>
          <w:szCs w:val="24"/>
        </w:rPr>
        <w:t xml:space="preserve">n England and Wales, </w:t>
      </w:r>
      <w:r w:rsidR="001D656C" w:rsidRPr="009C5BC2">
        <w:rPr>
          <w:rFonts w:ascii="Times New Roman" w:hAnsi="Times New Roman" w:cs="Times New Roman"/>
          <w:sz w:val="24"/>
          <w:szCs w:val="24"/>
        </w:rPr>
        <w:t xml:space="preserve">ongoing contact with the </w:t>
      </w:r>
      <w:r w:rsidR="005027C0" w:rsidRPr="009C5BC2">
        <w:rPr>
          <w:rFonts w:ascii="Times New Roman" w:hAnsi="Times New Roman" w:cs="Times New Roman"/>
          <w:sz w:val="24"/>
          <w:szCs w:val="24"/>
        </w:rPr>
        <w:t xml:space="preserve">non-resident </w:t>
      </w:r>
      <w:r w:rsidR="001D656C" w:rsidRPr="009C5BC2">
        <w:rPr>
          <w:rFonts w:ascii="Times New Roman" w:hAnsi="Times New Roman" w:cs="Times New Roman"/>
          <w:sz w:val="24"/>
          <w:szCs w:val="24"/>
        </w:rPr>
        <w:t xml:space="preserve">father is often endorsed in some manner or form, provided it </w:t>
      </w:r>
      <w:r w:rsidR="00D631ED">
        <w:rPr>
          <w:rFonts w:ascii="Times New Roman" w:hAnsi="Times New Roman" w:cs="Times New Roman"/>
          <w:sz w:val="24"/>
          <w:szCs w:val="24"/>
        </w:rPr>
        <w:t>is consistent with the</w:t>
      </w:r>
      <w:r w:rsidR="005027C0" w:rsidRPr="009C5BC2">
        <w:rPr>
          <w:rFonts w:ascii="Times New Roman" w:hAnsi="Times New Roman" w:cs="Times New Roman"/>
          <w:sz w:val="24"/>
          <w:szCs w:val="24"/>
        </w:rPr>
        <w:t xml:space="preserve"> welfare of the child.</w:t>
      </w:r>
      <w:r w:rsidR="00CF452B" w:rsidRPr="009C5BC2">
        <w:rPr>
          <w:rStyle w:val="FootnoteReference"/>
          <w:rFonts w:ascii="Times New Roman" w:hAnsi="Times New Roman" w:cs="Times New Roman"/>
          <w:sz w:val="24"/>
          <w:szCs w:val="24"/>
        </w:rPr>
        <w:footnoteReference w:id="24"/>
      </w:r>
      <w:r w:rsidR="001D656C" w:rsidRPr="009C5BC2">
        <w:rPr>
          <w:rFonts w:ascii="Times New Roman" w:hAnsi="Times New Roman" w:cs="Times New Roman"/>
          <w:sz w:val="24"/>
          <w:szCs w:val="24"/>
        </w:rPr>
        <w:t xml:space="preserve"> </w:t>
      </w:r>
      <w:r w:rsidR="005027C0" w:rsidRPr="009C5BC2">
        <w:rPr>
          <w:rFonts w:ascii="Times New Roman" w:hAnsi="Times New Roman" w:cs="Times New Roman"/>
          <w:sz w:val="24"/>
          <w:szCs w:val="24"/>
        </w:rPr>
        <w:t>Many have argued</w:t>
      </w:r>
      <w:r w:rsidR="005E66BA" w:rsidRPr="009C5BC2">
        <w:rPr>
          <w:rFonts w:ascii="Times New Roman" w:hAnsi="Times New Roman" w:cs="Times New Roman"/>
          <w:sz w:val="24"/>
          <w:szCs w:val="24"/>
        </w:rPr>
        <w:t>, however,</w:t>
      </w:r>
      <w:r w:rsidR="005027C0" w:rsidRPr="009C5BC2">
        <w:rPr>
          <w:rFonts w:ascii="Times New Roman" w:hAnsi="Times New Roman" w:cs="Times New Roman"/>
          <w:sz w:val="24"/>
          <w:szCs w:val="24"/>
        </w:rPr>
        <w:t xml:space="preserve"> that the interests of the mother are not sufficiently taken int</w:t>
      </w:r>
      <w:r w:rsidR="005E66BA" w:rsidRPr="009C5BC2">
        <w:rPr>
          <w:rFonts w:ascii="Times New Roman" w:hAnsi="Times New Roman" w:cs="Times New Roman"/>
          <w:sz w:val="24"/>
          <w:szCs w:val="24"/>
        </w:rPr>
        <w:t xml:space="preserve">o account in such circumstances and </w:t>
      </w:r>
      <w:r w:rsidR="00515741" w:rsidRPr="009C5BC2">
        <w:rPr>
          <w:rFonts w:ascii="Times New Roman" w:hAnsi="Times New Roman" w:cs="Times New Roman"/>
          <w:sz w:val="24"/>
          <w:szCs w:val="24"/>
        </w:rPr>
        <w:t xml:space="preserve">that the current legal </w:t>
      </w:r>
      <w:r w:rsidR="009E1438" w:rsidRPr="009C5BC2">
        <w:rPr>
          <w:rFonts w:ascii="Times New Roman" w:hAnsi="Times New Roman" w:cs="Times New Roman"/>
          <w:sz w:val="24"/>
          <w:szCs w:val="24"/>
        </w:rPr>
        <w:t>appr</w:t>
      </w:r>
      <w:r w:rsidR="00515741" w:rsidRPr="009C5BC2">
        <w:rPr>
          <w:rFonts w:ascii="Times New Roman" w:hAnsi="Times New Roman" w:cs="Times New Roman"/>
          <w:sz w:val="24"/>
          <w:szCs w:val="24"/>
        </w:rPr>
        <w:t>oach perpetuates</w:t>
      </w:r>
      <w:r w:rsidR="005E66BA" w:rsidRPr="009C5BC2">
        <w:rPr>
          <w:rFonts w:ascii="Times New Roman" w:hAnsi="Times New Roman" w:cs="Times New Roman"/>
          <w:sz w:val="24"/>
          <w:szCs w:val="24"/>
        </w:rPr>
        <w:t xml:space="preserve"> circumstances in which the abuser can exert ongoing control and coercion over the mother.</w:t>
      </w:r>
      <w:r w:rsidR="005027C0" w:rsidRPr="009C5BC2">
        <w:rPr>
          <w:rStyle w:val="FootnoteReference"/>
          <w:rFonts w:ascii="Times New Roman" w:hAnsi="Times New Roman" w:cs="Times New Roman"/>
          <w:sz w:val="24"/>
          <w:szCs w:val="24"/>
        </w:rPr>
        <w:footnoteReference w:id="25"/>
      </w:r>
      <w:r w:rsidR="005027C0" w:rsidRPr="009C5BC2">
        <w:rPr>
          <w:rFonts w:ascii="Times New Roman" w:hAnsi="Times New Roman" w:cs="Times New Roman"/>
          <w:sz w:val="24"/>
          <w:szCs w:val="24"/>
        </w:rPr>
        <w:t xml:space="preserve"> </w:t>
      </w:r>
    </w:p>
    <w:p w14:paraId="3C59C997" w14:textId="05F00942" w:rsidR="005E66BA" w:rsidRPr="009C5BC2" w:rsidRDefault="009E1438" w:rsidP="00E30821">
      <w:pPr>
        <w:spacing w:line="360" w:lineRule="auto"/>
        <w:jc w:val="both"/>
        <w:rPr>
          <w:rFonts w:ascii="Times New Roman" w:hAnsi="Times New Roman" w:cs="Times New Roman"/>
          <w:sz w:val="24"/>
          <w:szCs w:val="24"/>
        </w:rPr>
      </w:pPr>
      <w:r w:rsidRPr="009C5BC2">
        <w:rPr>
          <w:rFonts w:ascii="Times New Roman" w:hAnsi="Times New Roman" w:cs="Times New Roman"/>
          <w:sz w:val="24"/>
          <w:szCs w:val="24"/>
        </w:rPr>
        <w:t>Whilst there are clearly cases in which the welfare of adults in acutely vulnerable circumstances requires specific protection, it should not be to the detriment of enhanced consideration of the interests of children</w:t>
      </w:r>
      <w:r w:rsidR="008D316B" w:rsidRPr="009C5BC2">
        <w:rPr>
          <w:rFonts w:ascii="Times New Roman" w:hAnsi="Times New Roman" w:cs="Times New Roman"/>
          <w:sz w:val="24"/>
          <w:szCs w:val="24"/>
        </w:rPr>
        <w:t xml:space="preserve">. </w:t>
      </w:r>
      <w:r w:rsidRPr="009C5BC2">
        <w:rPr>
          <w:rFonts w:ascii="Times New Roman" w:hAnsi="Times New Roman" w:cs="Times New Roman"/>
          <w:sz w:val="24"/>
          <w:szCs w:val="24"/>
        </w:rPr>
        <w:t xml:space="preserve">Children </w:t>
      </w:r>
      <w:r w:rsidR="005E66BA" w:rsidRPr="009C5BC2">
        <w:rPr>
          <w:rFonts w:ascii="Times New Roman" w:hAnsi="Times New Roman" w:cs="Times New Roman"/>
          <w:sz w:val="24"/>
          <w:szCs w:val="24"/>
        </w:rPr>
        <w:t>begin at a distinctly disadvantaged position</w:t>
      </w:r>
      <w:r w:rsidRPr="009C5BC2">
        <w:rPr>
          <w:rFonts w:ascii="Times New Roman" w:hAnsi="Times New Roman" w:cs="Times New Roman"/>
          <w:sz w:val="24"/>
          <w:szCs w:val="24"/>
        </w:rPr>
        <w:t xml:space="preserve"> as compared to adults</w:t>
      </w:r>
      <w:r w:rsidR="005E66BA" w:rsidRPr="009C5BC2">
        <w:rPr>
          <w:rFonts w:ascii="Times New Roman" w:hAnsi="Times New Roman" w:cs="Times New Roman"/>
          <w:sz w:val="24"/>
          <w:szCs w:val="24"/>
        </w:rPr>
        <w:t xml:space="preserve"> by virtue of the fact that they </w:t>
      </w:r>
      <w:r w:rsidR="00457A10">
        <w:rPr>
          <w:rFonts w:ascii="Times New Roman" w:hAnsi="Times New Roman" w:cs="Times New Roman"/>
          <w:sz w:val="24"/>
          <w:szCs w:val="24"/>
        </w:rPr>
        <w:t>typically</w:t>
      </w:r>
      <w:r w:rsidR="005E66BA" w:rsidRPr="009C5BC2">
        <w:rPr>
          <w:rFonts w:ascii="Times New Roman" w:hAnsi="Times New Roman" w:cs="Times New Roman"/>
          <w:sz w:val="24"/>
          <w:szCs w:val="24"/>
        </w:rPr>
        <w:t xml:space="preserve"> have </w:t>
      </w:r>
      <w:r w:rsidR="00457A10">
        <w:rPr>
          <w:rFonts w:ascii="Times New Roman" w:hAnsi="Times New Roman" w:cs="Times New Roman"/>
          <w:sz w:val="24"/>
          <w:szCs w:val="24"/>
        </w:rPr>
        <w:t xml:space="preserve">little </w:t>
      </w:r>
      <w:r w:rsidR="005E66BA" w:rsidRPr="009C5BC2">
        <w:rPr>
          <w:rFonts w:ascii="Times New Roman" w:hAnsi="Times New Roman" w:cs="Times New Roman"/>
          <w:sz w:val="24"/>
          <w:szCs w:val="24"/>
        </w:rPr>
        <w:t>control over the living circumstance</w:t>
      </w:r>
      <w:r w:rsidRPr="009C5BC2">
        <w:rPr>
          <w:rFonts w:ascii="Times New Roman" w:hAnsi="Times New Roman" w:cs="Times New Roman"/>
          <w:sz w:val="24"/>
          <w:szCs w:val="24"/>
        </w:rPr>
        <w:t>s in which they find themselves. On a day-to-</w:t>
      </w:r>
      <w:r w:rsidR="005E66BA" w:rsidRPr="009C5BC2">
        <w:rPr>
          <w:rFonts w:ascii="Times New Roman" w:hAnsi="Times New Roman" w:cs="Times New Roman"/>
          <w:sz w:val="24"/>
          <w:szCs w:val="24"/>
        </w:rPr>
        <w:t>day basis they have very limited autonomy</w:t>
      </w:r>
      <w:r w:rsidR="003E416E">
        <w:rPr>
          <w:rFonts w:ascii="Times New Roman" w:hAnsi="Times New Roman" w:cs="Times New Roman"/>
          <w:sz w:val="24"/>
          <w:szCs w:val="24"/>
        </w:rPr>
        <w:t xml:space="preserve">; </w:t>
      </w:r>
      <w:r w:rsidR="005E66BA" w:rsidRPr="009C5BC2">
        <w:rPr>
          <w:rFonts w:ascii="Times New Roman" w:hAnsi="Times New Roman" w:cs="Times New Roman"/>
          <w:sz w:val="24"/>
          <w:szCs w:val="24"/>
        </w:rPr>
        <w:t xml:space="preserve">parents and other adults routinely act as the gatekeepers permitting or refusing </w:t>
      </w:r>
      <w:r w:rsidR="003E416E">
        <w:rPr>
          <w:rFonts w:ascii="Times New Roman" w:hAnsi="Times New Roman" w:cs="Times New Roman"/>
          <w:sz w:val="24"/>
          <w:szCs w:val="24"/>
        </w:rPr>
        <w:t xml:space="preserve">their </w:t>
      </w:r>
      <w:r w:rsidR="005E66BA" w:rsidRPr="009C5BC2">
        <w:rPr>
          <w:rFonts w:ascii="Times New Roman" w:hAnsi="Times New Roman" w:cs="Times New Roman"/>
          <w:sz w:val="24"/>
          <w:szCs w:val="24"/>
        </w:rPr>
        <w:t>access to and enjoyment of their rights, even for those children who have capacity to make autonomous decisions</w:t>
      </w:r>
      <w:r w:rsidR="008D316B" w:rsidRPr="009C5BC2">
        <w:rPr>
          <w:rFonts w:ascii="Times New Roman" w:hAnsi="Times New Roman" w:cs="Times New Roman"/>
          <w:sz w:val="24"/>
          <w:szCs w:val="24"/>
        </w:rPr>
        <w:t>. T</w:t>
      </w:r>
      <w:r w:rsidR="005E66BA" w:rsidRPr="009C5BC2">
        <w:rPr>
          <w:rFonts w:ascii="Times New Roman" w:hAnsi="Times New Roman" w:cs="Times New Roman"/>
          <w:sz w:val="24"/>
          <w:szCs w:val="24"/>
        </w:rPr>
        <w:t>hey depend on adults to transport them, to support them financially, to feed and clothe them, to guide them in understanding the difference between what is right and wrong, safe or dangerous, healthy or unhealthy</w:t>
      </w:r>
      <w:r w:rsidR="008D316B" w:rsidRPr="009C5BC2">
        <w:rPr>
          <w:rFonts w:ascii="Times New Roman" w:hAnsi="Times New Roman" w:cs="Times New Roman"/>
          <w:sz w:val="24"/>
          <w:szCs w:val="24"/>
        </w:rPr>
        <w:t>.</w:t>
      </w:r>
      <w:r w:rsidR="005E66BA" w:rsidRPr="009C5BC2">
        <w:rPr>
          <w:rFonts w:ascii="Times New Roman" w:hAnsi="Times New Roman" w:cs="Times New Roman"/>
          <w:sz w:val="24"/>
          <w:szCs w:val="24"/>
        </w:rPr>
        <w:t xml:space="preserve">  </w:t>
      </w:r>
      <w:r w:rsidR="008D316B" w:rsidRPr="009C5BC2">
        <w:rPr>
          <w:rFonts w:ascii="Times New Roman" w:hAnsi="Times New Roman" w:cs="Times New Roman"/>
          <w:sz w:val="24"/>
          <w:szCs w:val="24"/>
        </w:rPr>
        <w:t xml:space="preserve">A special </w:t>
      </w:r>
      <w:r w:rsidR="008D316B" w:rsidRPr="009C5BC2">
        <w:rPr>
          <w:rFonts w:ascii="Times New Roman" w:hAnsi="Times New Roman" w:cs="Times New Roman"/>
          <w:sz w:val="24"/>
          <w:szCs w:val="24"/>
        </w:rPr>
        <w:lastRenderedPageBreak/>
        <w:t xml:space="preserve">mechanism such as best interests enables decision-makers to isolate and distinguish children’s needs from those of their parents, particularly in cases where parents are simply unable or unwilling to accept that their children’s needs are not coterminous with their own </w:t>
      </w:r>
      <w:r w:rsidR="00A359F2" w:rsidRPr="009C5BC2">
        <w:rPr>
          <w:rFonts w:ascii="Times New Roman" w:hAnsi="Times New Roman" w:cs="Times New Roman"/>
          <w:sz w:val="24"/>
          <w:szCs w:val="24"/>
        </w:rPr>
        <w:t xml:space="preserve">needs or </w:t>
      </w:r>
      <w:r w:rsidR="008D316B" w:rsidRPr="009C5BC2">
        <w:rPr>
          <w:rFonts w:ascii="Times New Roman" w:hAnsi="Times New Roman" w:cs="Times New Roman"/>
          <w:sz w:val="24"/>
          <w:szCs w:val="24"/>
        </w:rPr>
        <w:t xml:space="preserve">desires. </w:t>
      </w:r>
    </w:p>
    <w:p w14:paraId="290B60CB" w14:textId="46F33EA4" w:rsidR="00FE0FFA" w:rsidRPr="009C5BC2" w:rsidRDefault="00773514" w:rsidP="00020ECA">
      <w:pPr>
        <w:spacing w:line="360" w:lineRule="auto"/>
        <w:jc w:val="both"/>
        <w:rPr>
          <w:rFonts w:ascii="Times New Roman" w:hAnsi="Times New Roman" w:cs="Times New Roman"/>
          <w:sz w:val="24"/>
          <w:szCs w:val="24"/>
        </w:rPr>
      </w:pPr>
      <w:r w:rsidRPr="009C5BC2">
        <w:rPr>
          <w:rFonts w:ascii="Times New Roman" w:hAnsi="Times New Roman" w:cs="Times New Roman"/>
          <w:sz w:val="24"/>
          <w:szCs w:val="24"/>
        </w:rPr>
        <w:t>Of relevance</w:t>
      </w:r>
      <w:r w:rsidR="0072318B" w:rsidRPr="009C5BC2">
        <w:rPr>
          <w:rFonts w:ascii="Times New Roman" w:hAnsi="Times New Roman" w:cs="Times New Roman"/>
          <w:sz w:val="24"/>
          <w:szCs w:val="24"/>
        </w:rPr>
        <w:t xml:space="preserve"> </w:t>
      </w:r>
      <w:r w:rsidR="008D316B" w:rsidRPr="009C5BC2">
        <w:rPr>
          <w:rFonts w:ascii="Times New Roman" w:hAnsi="Times New Roman" w:cs="Times New Roman"/>
          <w:sz w:val="24"/>
          <w:szCs w:val="24"/>
        </w:rPr>
        <w:t>in this regard</w:t>
      </w:r>
      <w:r w:rsidRPr="009C5BC2">
        <w:rPr>
          <w:rFonts w:ascii="Times New Roman" w:hAnsi="Times New Roman" w:cs="Times New Roman"/>
          <w:sz w:val="24"/>
          <w:szCs w:val="24"/>
        </w:rPr>
        <w:t xml:space="preserve"> are </w:t>
      </w:r>
      <w:r w:rsidR="001D656C" w:rsidRPr="009C5BC2">
        <w:rPr>
          <w:rFonts w:ascii="Times New Roman" w:hAnsi="Times New Roman" w:cs="Times New Roman"/>
          <w:sz w:val="24"/>
          <w:szCs w:val="24"/>
        </w:rPr>
        <w:t>developments in new reproductive technologies which both reflect and endorse growing recognition of individuals’ ‘right</w:t>
      </w:r>
      <w:r w:rsidR="0072318B" w:rsidRPr="009C5BC2">
        <w:rPr>
          <w:rFonts w:ascii="Times New Roman" w:hAnsi="Times New Roman" w:cs="Times New Roman"/>
          <w:sz w:val="24"/>
          <w:szCs w:val="24"/>
        </w:rPr>
        <w:t>’</w:t>
      </w:r>
      <w:r w:rsidR="001D656C" w:rsidRPr="009C5BC2">
        <w:rPr>
          <w:rFonts w:ascii="Times New Roman" w:hAnsi="Times New Roman" w:cs="Times New Roman"/>
          <w:sz w:val="24"/>
          <w:szCs w:val="24"/>
        </w:rPr>
        <w:t xml:space="preserve"> to </w:t>
      </w:r>
      <w:r w:rsidR="0072318B" w:rsidRPr="009C5BC2">
        <w:rPr>
          <w:rFonts w:ascii="Times New Roman" w:hAnsi="Times New Roman" w:cs="Times New Roman"/>
          <w:sz w:val="24"/>
          <w:szCs w:val="24"/>
        </w:rPr>
        <w:t xml:space="preserve">parent. </w:t>
      </w:r>
      <w:r w:rsidR="001D656C" w:rsidRPr="009C5BC2">
        <w:rPr>
          <w:rFonts w:ascii="Times New Roman" w:hAnsi="Times New Roman" w:cs="Times New Roman"/>
          <w:sz w:val="24"/>
          <w:szCs w:val="24"/>
        </w:rPr>
        <w:t xml:space="preserve">Built into most forms of assisted reproduction </w:t>
      </w:r>
      <w:r w:rsidRPr="009C5BC2">
        <w:rPr>
          <w:rFonts w:ascii="Times New Roman" w:hAnsi="Times New Roman" w:cs="Times New Roman"/>
          <w:sz w:val="24"/>
          <w:szCs w:val="24"/>
        </w:rPr>
        <w:t xml:space="preserve">in the UK </w:t>
      </w:r>
      <w:r w:rsidR="001D656C" w:rsidRPr="009C5BC2">
        <w:rPr>
          <w:rFonts w:ascii="Times New Roman" w:hAnsi="Times New Roman" w:cs="Times New Roman"/>
          <w:sz w:val="24"/>
          <w:szCs w:val="24"/>
        </w:rPr>
        <w:t>now is some obligation to consider the best interests of the child likely to be born as a result of such procedures</w:t>
      </w:r>
      <w:r w:rsidR="0030622D" w:rsidRPr="009C5BC2">
        <w:rPr>
          <w:rFonts w:ascii="Times New Roman" w:hAnsi="Times New Roman" w:cs="Times New Roman"/>
          <w:sz w:val="24"/>
          <w:szCs w:val="24"/>
        </w:rPr>
        <w:t>,</w:t>
      </w:r>
      <w:r w:rsidR="0072318B" w:rsidRPr="009C5BC2">
        <w:rPr>
          <w:rStyle w:val="FootnoteReference"/>
          <w:rFonts w:ascii="Times New Roman" w:hAnsi="Times New Roman" w:cs="Times New Roman"/>
          <w:sz w:val="24"/>
          <w:szCs w:val="24"/>
        </w:rPr>
        <w:footnoteReference w:id="26"/>
      </w:r>
      <w:r w:rsidR="0030622D" w:rsidRPr="009C5BC2">
        <w:rPr>
          <w:rFonts w:ascii="Times New Roman" w:hAnsi="Times New Roman" w:cs="Times New Roman"/>
          <w:sz w:val="24"/>
          <w:szCs w:val="24"/>
        </w:rPr>
        <w:t xml:space="preserve"> but how would such an obligation be affected if the best interests of the adult receiving treatment had to be weighed equally against those of the potential child?</w:t>
      </w:r>
      <w:r w:rsidR="001D656C" w:rsidRPr="009C5BC2">
        <w:rPr>
          <w:rFonts w:ascii="Times New Roman" w:hAnsi="Times New Roman" w:cs="Times New Roman"/>
          <w:sz w:val="24"/>
          <w:szCs w:val="24"/>
        </w:rPr>
        <w:t xml:space="preserve"> Consider the impact that elevation of best interests in favour of adults might have, for instance on children’s right to know their genetic heritage if sperm donors </w:t>
      </w:r>
      <w:r w:rsidR="0030622D" w:rsidRPr="009C5BC2">
        <w:rPr>
          <w:rFonts w:ascii="Times New Roman" w:hAnsi="Times New Roman" w:cs="Times New Roman"/>
          <w:sz w:val="24"/>
          <w:szCs w:val="24"/>
        </w:rPr>
        <w:t>could</w:t>
      </w:r>
      <w:r w:rsidR="001D656C" w:rsidRPr="009C5BC2">
        <w:rPr>
          <w:rFonts w:ascii="Times New Roman" w:hAnsi="Times New Roman" w:cs="Times New Roman"/>
          <w:sz w:val="24"/>
          <w:szCs w:val="24"/>
        </w:rPr>
        <w:t xml:space="preserve"> argue that it is equally in their own best interests to remain anonymous. Consider also how, in a surrogacy arrangement gone wrong, the courts would balance the competing interests of commissioning parents, those of the surrogate mother, and the interests of the child if there was an obligation to uphold the best in</w:t>
      </w:r>
      <w:r w:rsidR="00FE0FFA" w:rsidRPr="009C5BC2">
        <w:rPr>
          <w:rFonts w:ascii="Times New Roman" w:hAnsi="Times New Roman" w:cs="Times New Roman"/>
          <w:sz w:val="24"/>
          <w:szCs w:val="24"/>
        </w:rPr>
        <w:t>terests of all.</w:t>
      </w:r>
      <w:r w:rsidR="007A287C" w:rsidRPr="009C5BC2">
        <w:rPr>
          <w:rStyle w:val="FootnoteReference"/>
          <w:rFonts w:ascii="Times New Roman" w:hAnsi="Times New Roman" w:cs="Times New Roman"/>
          <w:sz w:val="24"/>
          <w:szCs w:val="24"/>
        </w:rPr>
        <w:footnoteReference w:id="27"/>
      </w:r>
      <w:r w:rsidR="001D656C" w:rsidRPr="009C5BC2">
        <w:rPr>
          <w:rFonts w:ascii="Times New Roman" w:hAnsi="Times New Roman" w:cs="Times New Roman"/>
          <w:sz w:val="24"/>
          <w:szCs w:val="24"/>
        </w:rPr>
        <w:t xml:space="preserve"> </w:t>
      </w:r>
      <w:r w:rsidR="00FE0FFA" w:rsidRPr="009C5BC2">
        <w:rPr>
          <w:rFonts w:ascii="Times New Roman" w:hAnsi="Times New Roman" w:cs="Times New Roman"/>
          <w:sz w:val="24"/>
          <w:szCs w:val="24"/>
        </w:rPr>
        <w:t>If</w:t>
      </w:r>
      <w:r w:rsidR="00BD4DB5" w:rsidRPr="009C5BC2">
        <w:rPr>
          <w:rFonts w:ascii="Times New Roman" w:hAnsi="Times New Roman" w:cs="Times New Roman"/>
          <w:sz w:val="24"/>
          <w:szCs w:val="24"/>
        </w:rPr>
        <w:t xml:space="preserve"> </w:t>
      </w:r>
      <w:r w:rsidR="001D656C" w:rsidRPr="009C5BC2">
        <w:rPr>
          <w:rFonts w:ascii="Times New Roman" w:hAnsi="Times New Roman" w:cs="Times New Roman"/>
          <w:sz w:val="24"/>
          <w:szCs w:val="24"/>
        </w:rPr>
        <w:t xml:space="preserve">the best </w:t>
      </w:r>
      <w:proofErr w:type="gramStart"/>
      <w:r w:rsidR="001D656C" w:rsidRPr="009C5BC2">
        <w:rPr>
          <w:rFonts w:ascii="Times New Roman" w:hAnsi="Times New Roman" w:cs="Times New Roman"/>
          <w:sz w:val="24"/>
          <w:szCs w:val="24"/>
        </w:rPr>
        <w:t xml:space="preserve">interests of the child </w:t>
      </w:r>
      <w:r w:rsidR="00FE0FFA" w:rsidRPr="009C5BC2">
        <w:rPr>
          <w:rFonts w:ascii="Times New Roman" w:hAnsi="Times New Roman" w:cs="Times New Roman"/>
          <w:sz w:val="24"/>
          <w:szCs w:val="24"/>
        </w:rPr>
        <w:t>is</w:t>
      </w:r>
      <w:proofErr w:type="gramEnd"/>
      <w:r w:rsidR="00BD4DB5" w:rsidRPr="009C5BC2">
        <w:rPr>
          <w:rFonts w:ascii="Times New Roman" w:hAnsi="Times New Roman" w:cs="Times New Roman"/>
          <w:sz w:val="24"/>
          <w:szCs w:val="24"/>
        </w:rPr>
        <w:t xml:space="preserve"> to </w:t>
      </w:r>
      <w:r w:rsidR="001D656C" w:rsidRPr="009C5BC2">
        <w:rPr>
          <w:rFonts w:ascii="Times New Roman" w:hAnsi="Times New Roman" w:cs="Times New Roman"/>
          <w:sz w:val="24"/>
          <w:szCs w:val="24"/>
        </w:rPr>
        <w:t>remain paramount</w:t>
      </w:r>
      <w:r w:rsidR="00BD4DB5" w:rsidRPr="009C5BC2">
        <w:rPr>
          <w:rFonts w:ascii="Times New Roman" w:hAnsi="Times New Roman" w:cs="Times New Roman"/>
          <w:sz w:val="24"/>
          <w:szCs w:val="24"/>
        </w:rPr>
        <w:t xml:space="preserve"> or even primary</w:t>
      </w:r>
      <w:r w:rsidR="001D656C" w:rsidRPr="009C5BC2">
        <w:rPr>
          <w:rFonts w:ascii="Times New Roman" w:hAnsi="Times New Roman" w:cs="Times New Roman"/>
          <w:sz w:val="24"/>
          <w:szCs w:val="24"/>
        </w:rPr>
        <w:t xml:space="preserve"> that</w:t>
      </w:r>
      <w:r w:rsidR="00BD4DB5" w:rsidRPr="009C5BC2">
        <w:rPr>
          <w:rFonts w:ascii="Times New Roman" w:hAnsi="Times New Roman" w:cs="Times New Roman"/>
          <w:sz w:val="24"/>
          <w:szCs w:val="24"/>
        </w:rPr>
        <w:t xml:space="preserve"> would surely</w:t>
      </w:r>
      <w:r w:rsidR="001D656C" w:rsidRPr="009C5BC2">
        <w:rPr>
          <w:rFonts w:ascii="Times New Roman" w:hAnsi="Times New Roman" w:cs="Times New Roman"/>
          <w:sz w:val="24"/>
          <w:szCs w:val="24"/>
        </w:rPr>
        <w:t xml:space="preserve"> imply</w:t>
      </w:r>
      <w:r w:rsidR="00BD4DB5" w:rsidRPr="009C5BC2">
        <w:rPr>
          <w:rFonts w:ascii="Times New Roman" w:hAnsi="Times New Roman" w:cs="Times New Roman"/>
          <w:sz w:val="24"/>
          <w:szCs w:val="24"/>
        </w:rPr>
        <w:t xml:space="preserve"> </w:t>
      </w:r>
      <w:r w:rsidR="001D656C" w:rsidRPr="009C5BC2">
        <w:rPr>
          <w:rFonts w:ascii="Times New Roman" w:hAnsi="Times New Roman" w:cs="Times New Roman"/>
          <w:sz w:val="24"/>
          <w:szCs w:val="24"/>
        </w:rPr>
        <w:t>an inferior iteration of best interests for adults/parents</w:t>
      </w:r>
      <w:r w:rsidR="00BD4DB5" w:rsidRPr="009C5BC2">
        <w:rPr>
          <w:rFonts w:ascii="Times New Roman" w:hAnsi="Times New Roman" w:cs="Times New Roman"/>
          <w:sz w:val="24"/>
          <w:szCs w:val="24"/>
        </w:rPr>
        <w:t xml:space="preserve"> </w:t>
      </w:r>
      <w:r w:rsidR="00FE0FFA" w:rsidRPr="009C5BC2">
        <w:rPr>
          <w:rFonts w:ascii="Times New Roman" w:hAnsi="Times New Roman" w:cs="Times New Roman"/>
          <w:sz w:val="24"/>
          <w:szCs w:val="24"/>
        </w:rPr>
        <w:t xml:space="preserve">implicated in the same decision; </w:t>
      </w:r>
      <w:r w:rsidR="00BD4DB5" w:rsidRPr="009C5BC2">
        <w:rPr>
          <w:rFonts w:ascii="Times New Roman" w:hAnsi="Times New Roman" w:cs="Times New Roman"/>
          <w:sz w:val="24"/>
          <w:szCs w:val="24"/>
        </w:rPr>
        <w:t>their interests would have to be</w:t>
      </w:r>
      <w:r w:rsidR="001D656C" w:rsidRPr="009C5BC2">
        <w:rPr>
          <w:rFonts w:ascii="Times New Roman" w:hAnsi="Times New Roman" w:cs="Times New Roman"/>
          <w:sz w:val="24"/>
          <w:szCs w:val="24"/>
        </w:rPr>
        <w:t xml:space="preserve"> </w:t>
      </w:r>
      <w:r w:rsidR="00BD4DB5" w:rsidRPr="009C5BC2">
        <w:rPr>
          <w:rFonts w:ascii="Times New Roman" w:hAnsi="Times New Roman" w:cs="Times New Roman"/>
          <w:sz w:val="24"/>
          <w:szCs w:val="24"/>
        </w:rPr>
        <w:t xml:space="preserve">a </w:t>
      </w:r>
      <w:r w:rsidR="001D656C" w:rsidRPr="009C5BC2">
        <w:rPr>
          <w:rFonts w:ascii="Times New Roman" w:hAnsi="Times New Roman" w:cs="Times New Roman"/>
          <w:i/>
          <w:sz w:val="24"/>
          <w:szCs w:val="24"/>
        </w:rPr>
        <w:t>second</w:t>
      </w:r>
      <w:r w:rsidR="00BD4DB5" w:rsidRPr="009C5BC2">
        <w:rPr>
          <w:rFonts w:ascii="Times New Roman" w:hAnsi="Times New Roman" w:cs="Times New Roman"/>
          <w:i/>
          <w:sz w:val="24"/>
          <w:szCs w:val="24"/>
        </w:rPr>
        <w:t xml:space="preserve">ary </w:t>
      </w:r>
      <w:r w:rsidR="00BD4DB5" w:rsidRPr="009C5BC2">
        <w:rPr>
          <w:rFonts w:ascii="Times New Roman" w:hAnsi="Times New Roman" w:cs="Times New Roman"/>
          <w:sz w:val="24"/>
          <w:szCs w:val="24"/>
        </w:rPr>
        <w:t xml:space="preserve">or </w:t>
      </w:r>
      <w:r w:rsidR="00BD4DB5" w:rsidRPr="009C5BC2">
        <w:rPr>
          <w:rFonts w:ascii="Times New Roman" w:hAnsi="Times New Roman" w:cs="Times New Roman"/>
          <w:i/>
          <w:sz w:val="24"/>
          <w:szCs w:val="24"/>
        </w:rPr>
        <w:t xml:space="preserve">minor </w:t>
      </w:r>
      <w:r w:rsidR="00BD4DB5" w:rsidRPr="009C5BC2">
        <w:rPr>
          <w:rFonts w:ascii="Times New Roman" w:hAnsi="Times New Roman" w:cs="Times New Roman"/>
          <w:sz w:val="24"/>
          <w:szCs w:val="24"/>
        </w:rPr>
        <w:t>consideration</w:t>
      </w:r>
      <w:r w:rsidR="004926E0" w:rsidRPr="009C5BC2">
        <w:rPr>
          <w:rFonts w:ascii="Times New Roman" w:hAnsi="Times New Roman" w:cs="Times New Roman"/>
          <w:sz w:val="24"/>
          <w:szCs w:val="24"/>
        </w:rPr>
        <w:t>.</w:t>
      </w:r>
      <w:r w:rsidR="001D656C" w:rsidRPr="009C5BC2">
        <w:rPr>
          <w:rFonts w:ascii="Times New Roman" w:hAnsi="Times New Roman" w:cs="Times New Roman"/>
          <w:sz w:val="24"/>
          <w:szCs w:val="24"/>
        </w:rPr>
        <w:t xml:space="preserve"> </w:t>
      </w:r>
      <w:r w:rsidR="0030622D" w:rsidRPr="009C5BC2">
        <w:rPr>
          <w:rFonts w:ascii="Times New Roman" w:hAnsi="Times New Roman" w:cs="Times New Roman"/>
          <w:sz w:val="24"/>
          <w:szCs w:val="24"/>
        </w:rPr>
        <w:t xml:space="preserve"> Conversely, i</w:t>
      </w:r>
      <w:r w:rsidR="001D656C" w:rsidRPr="009C5BC2">
        <w:rPr>
          <w:rFonts w:ascii="Times New Roman" w:hAnsi="Times New Roman" w:cs="Times New Roman"/>
          <w:sz w:val="24"/>
          <w:szCs w:val="24"/>
        </w:rPr>
        <w:t>f the best interests of the child were not to remain paramount but were to be considered in equal measure to the interests of the adults surely this would lead to widespread, routine breaches of the CRC, not to mention</w:t>
      </w:r>
      <w:r w:rsidR="00C24222">
        <w:rPr>
          <w:rFonts w:ascii="Times New Roman" w:hAnsi="Times New Roman" w:cs="Times New Roman"/>
          <w:sz w:val="24"/>
          <w:szCs w:val="24"/>
        </w:rPr>
        <w:t xml:space="preserve"> the</w:t>
      </w:r>
      <w:r w:rsidR="001D656C" w:rsidRPr="009C5BC2">
        <w:rPr>
          <w:rFonts w:ascii="Times New Roman" w:hAnsi="Times New Roman" w:cs="Times New Roman"/>
          <w:sz w:val="24"/>
          <w:szCs w:val="24"/>
        </w:rPr>
        <w:t xml:space="preserve"> domestic articulation of the principle.</w:t>
      </w:r>
      <w:r w:rsidR="0030622D" w:rsidRPr="009C5BC2">
        <w:rPr>
          <w:rFonts w:ascii="Times New Roman" w:hAnsi="Times New Roman" w:cs="Times New Roman"/>
          <w:sz w:val="24"/>
          <w:szCs w:val="24"/>
        </w:rPr>
        <w:t xml:space="preserve"> </w:t>
      </w:r>
    </w:p>
    <w:p w14:paraId="7B291A04" w14:textId="1AE35F5A" w:rsidR="001D656C" w:rsidRPr="009C5BC2" w:rsidRDefault="001D656C" w:rsidP="00020ECA">
      <w:pPr>
        <w:spacing w:line="360" w:lineRule="auto"/>
        <w:jc w:val="both"/>
        <w:rPr>
          <w:rFonts w:ascii="Times New Roman" w:hAnsi="Times New Roman" w:cs="Times New Roman"/>
          <w:sz w:val="24"/>
          <w:szCs w:val="24"/>
        </w:rPr>
      </w:pPr>
      <w:r w:rsidRPr="009C5BC2">
        <w:rPr>
          <w:rFonts w:ascii="Times New Roman" w:hAnsi="Times New Roman" w:cs="Times New Roman"/>
          <w:sz w:val="24"/>
          <w:szCs w:val="24"/>
        </w:rPr>
        <w:t xml:space="preserve">Either way, we end up with a principle that is vulnerable to dilution or corruption </w:t>
      </w:r>
      <w:r w:rsidR="0030622D" w:rsidRPr="009C5BC2">
        <w:rPr>
          <w:rFonts w:ascii="Times New Roman" w:hAnsi="Times New Roman" w:cs="Times New Roman"/>
          <w:sz w:val="24"/>
          <w:szCs w:val="24"/>
        </w:rPr>
        <w:t>if</w:t>
      </w:r>
      <w:r w:rsidRPr="009C5BC2">
        <w:rPr>
          <w:rFonts w:ascii="Times New Roman" w:hAnsi="Times New Roman" w:cs="Times New Roman"/>
          <w:sz w:val="24"/>
          <w:szCs w:val="24"/>
        </w:rPr>
        <w:t xml:space="preserve"> applied to</w:t>
      </w:r>
      <w:r w:rsidR="0030622D" w:rsidRPr="009C5BC2">
        <w:rPr>
          <w:rFonts w:ascii="Times New Roman" w:hAnsi="Times New Roman" w:cs="Times New Roman"/>
          <w:sz w:val="24"/>
          <w:szCs w:val="24"/>
        </w:rPr>
        <w:t>o freely to</w:t>
      </w:r>
      <w:r w:rsidRPr="009C5BC2">
        <w:rPr>
          <w:rFonts w:ascii="Times New Roman" w:hAnsi="Times New Roman" w:cs="Times New Roman"/>
          <w:sz w:val="24"/>
          <w:szCs w:val="24"/>
        </w:rPr>
        <w:t xml:space="preserve"> adults.  </w:t>
      </w:r>
      <w:r w:rsidR="00F0065B" w:rsidRPr="009C5BC2">
        <w:rPr>
          <w:rFonts w:ascii="Times New Roman" w:hAnsi="Times New Roman" w:cs="Times New Roman"/>
          <w:sz w:val="24"/>
          <w:szCs w:val="24"/>
        </w:rPr>
        <w:t>Certainly</w:t>
      </w:r>
      <w:r w:rsidR="000A6805" w:rsidRPr="009C5BC2">
        <w:rPr>
          <w:rFonts w:ascii="Times New Roman" w:hAnsi="Times New Roman" w:cs="Times New Roman"/>
          <w:sz w:val="24"/>
          <w:szCs w:val="24"/>
        </w:rPr>
        <w:t xml:space="preserve"> there is some evidence of this already occurring:</w:t>
      </w:r>
      <w:r w:rsidR="00F0065B" w:rsidRPr="009C5BC2">
        <w:rPr>
          <w:rFonts w:ascii="Times New Roman" w:hAnsi="Times New Roman" w:cs="Times New Roman"/>
          <w:sz w:val="24"/>
          <w:szCs w:val="24"/>
        </w:rPr>
        <w:t xml:space="preserve"> in the context of assisted reproduction</w:t>
      </w:r>
      <w:r w:rsidR="007A287C" w:rsidRPr="009C5BC2">
        <w:rPr>
          <w:rFonts w:ascii="Times New Roman" w:hAnsi="Times New Roman" w:cs="Times New Roman"/>
          <w:sz w:val="24"/>
          <w:szCs w:val="24"/>
        </w:rPr>
        <w:t>, f</w:t>
      </w:r>
      <w:r w:rsidR="000A6805" w:rsidRPr="009C5BC2">
        <w:rPr>
          <w:rFonts w:ascii="Times New Roman" w:hAnsi="Times New Roman" w:cs="Times New Roman"/>
          <w:sz w:val="24"/>
          <w:szCs w:val="24"/>
        </w:rPr>
        <w:t>or instance,</w:t>
      </w:r>
      <w:r w:rsidR="00F0065B" w:rsidRPr="009C5BC2">
        <w:rPr>
          <w:rFonts w:ascii="Times New Roman" w:hAnsi="Times New Roman" w:cs="Times New Roman"/>
          <w:sz w:val="24"/>
          <w:szCs w:val="24"/>
        </w:rPr>
        <w:t xml:space="preserve"> it has been noted that the obligation to consider the </w:t>
      </w:r>
      <w:r w:rsidR="00E02EEF" w:rsidRPr="009C5BC2">
        <w:rPr>
          <w:rFonts w:ascii="Times New Roman" w:hAnsi="Times New Roman" w:cs="Times New Roman"/>
          <w:sz w:val="24"/>
          <w:szCs w:val="24"/>
        </w:rPr>
        <w:t>welfare of any children</w:t>
      </w:r>
      <w:r w:rsidR="00F0065B" w:rsidRPr="009C5BC2">
        <w:rPr>
          <w:rFonts w:ascii="Times New Roman" w:hAnsi="Times New Roman" w:cs="Times New Roman"/>
          <w:sz w:val="24"/>
          <w:szCs w:val="24"/>
        </w:rPr>
        <w:t xml:space="preserve"> </w:t>
      </w:r>
      <w:r w:rsidR="00E02EEF" w:rsidRPr="009C5BC2">
        <w:rPr>
          <w:rFonts w:ascii="Times New Roman" w:hAnsi="Times New Roman" w:cs="Times New Roman"/>
          <w:sz w:val="24"/>
          <w:szCs w:val="24"/>
        </w:rPr>
        <w:t xml:space="preserve">born as a result </w:t>
      </w:r>
      <w:r w:rsidR="00F0065B" w:rsidRPr="009C5BC2">
        <w:rPr>
          <w:rFonts w:ascii="Times New Roman" w:hAnsi="Times New Roman" w:cs="Times New Roman"/>
          <w:sz w:val="24"/>
          <w:szCs w:val="24"/>
        </w:rPr>
        <w:t>is only superficially adhered to and that, for the most part, adults’ reproductive autonomy almost always takes precedence over any speculative child welfare concerns.</w:t>
      </w:r>
      <w:r w:rsidR="003E416E">
        <w:rPr>
          <w:rFonts w:ascii="Times New Roman" w:hAnsi="Times New Roman" w:cs="Times New Roman"/>
          <w:sz w:val="24"/>
          <w:szCs w:val="24"/>
        </w:rPr>
        <w:t xml:space="preserve"> In a surrogacy context, for instance, there is no requirement to consider the suitability of the commissioning adults to act as parents of a child born of such </w:t>
      </w:r>
      <w:r w:rsidR="003E416E">
        <w:rPr>
          <w:rFonts w:ascii="Times New Roman" w:hAnsi="Times New Roman" w:cs="Times New Roman"/>
          <w:sz w:val="24"/>
          <w:szCs w:val="24"/>
        </w:rPr>
        <w:lastRenderedPageBreak/>
        <w:t>arrangements.</w:t>
      </w:r>
      <w:r w:rsidR="003E416E">
        <w:rPr>
          <w:rStyle w:val="FootnoteReference"/>
          <w:rFonts w:ascii="Times New Roman" w:hAnsi="Times New Roman" w:cs="Times New Roman"/>
          <w:sz w:val="24"/>
          <w:szCs w:val="24"/>
        </w:rPr>
        <w:footnoteReference w:id="28"/>
      </w:r>
      <w:r w:rsidR="003E416E">
        <w:rPr>
          <w:rFonts w:ascii="Times New Roman" w:hAnsi="Times New Roman" w:cs="Times New Roman"/>
          <w:sz w:val="24"/>
          <w:szCs w:val="24"/>
        </w:rPr>
        <w:t xml:space="preserve"> </w:t>
      </w:r>
      <w:r w:rsidR="00F0065B" w:rsidRPr="009C5BC2">
        <w:rPr>
          <w:rFonts w:ascii="Times New Roman" w:hAnsi="Times New Roman" w:cs="Times New Roman"/>
          <w:sz w:val="24"/>
          <w:szCs w:val="24"/>
        </w:rPr>
        <w:t>The prevailing (and some would argue, erroneous) presumption is that it is almost always in the child’s best interests to be born, save for exceptionally rare instances when he or she would be exposed to a life that is “not worth living”</w:t>
      </w:r>
      <w:r w:rsidR="007D5202">
        <w:rPr>
          <w:rFonts w:ascii="Times New Roman" w:hAnsi="Times New Roman" w:cs="Times New Roman"/>
          <w:sz w:val="24"/>
          <w:szCs w:val="24"/>
        </w:rPr>
        <w:t>.</w:t>
      </w:r>
      <w:r w:rsidR="00F0065B" w:rsidRPr="009C5BC2">
        <w:rPr>
          <w:rFonts w:ascii="Times New Roman" w:hAnsi="Times New Roman" w:cs="Times New Roman"/>
          <w:sz w:val="24"/>
          <w:szCs w:val="24"/>
        </w:rPr>
        <w:t xml:space="preserve"> </w:t>
      </w:r>
      <w:r w:rsidR="007D5202">
        <w:rPr>
          <w:rFonts w:ascii="Times New Roman" w:hAnsi="Times New Roman" w:cs="Times New Roman"/>
          <w:sz w:val="24"/>
          <w:szCs w:val="24"/>
        </w:rPr>
        <w:t>A</w:t>
      </w:r>
      <w:r w:rsidR="00F0065B" w:rsidRPr="009C5BC2">
        <w:rPr>
          <w:rFonts w:ascii="Times New Roman" w:hAnsi="Times New Roman" w:cs="Times New Roman"/>
          <w:sz w:val="24"/>
          <w:szCs w:val="24"/>
        </w:rPr>
        <w:t>ny other approach</w:t>
      </w:r>
      <w:r w:rsidR="00F46DEA">
        <w:rPr>
          <w:rFonts w:ascii="Times New Roman" w:hAnsi="Times New Roman" w:cs="Times New Roman"/>
          <w:sz w:val="24"/>
          <w:szCs w:val="24"/>
        </w:rPr>
        <w:t>, it is argued,</w:t>
      </w:r>
      <w:r w:rsidR="00F0065B" w:rsidRPr="009C5BC2">
        <w:rPr>
          <w:rFonts w:ascii="Times New Roman" w:hAnsi="Times New Roman" w:cs="Times New Roman"/>
          <w:sz w:val="24"/>
          <w:szCs w:val="24"/>
        </w:rPr>
        <w:t xml:space="preserve"> is tantamount to licensing parenthood in a highly discriminatory way</w:t>
      </w:r>
      <w:r w:rsidR="000D4696" w:rsidRPr="009C5BC2">
        <w:rPr>
          <w:rFonts w:ascii="Times New Roman" w:hAnsi="Times New Roman" w:cs="Times New Roman"/>
          <w:sz w:val="24"/>
          <w:szCs w:val="24"/>
        </w:rPr>
        <w:t>.</w:t>
      </w:r>
      <w:r w:rsidR="000D4696" w:rsidRPr="009C5BC2">
        <w:rPr>
          <w:rStyle w:val="FootnoteReference"/>
          <w:rFonts w:ascii="Times New Roman" w:hAnsi="Times New Roman" w:cs="Times New Roman"/>
          <w:sz w:val="24"/>
          <w:szCs w:val="24"/>
        </w:rPr>
        <w:footnoteReference w:id="29"/>
      </w:r>
      <w:r w:rsidR="00F0065B" w:rsidRPr="009C5BC2">
        <w:rPr>
          <w:rFonts w:ascii="Times New Roman" w:hAnsi="Times New Roman" w:cs="Times New Roman"/>
          <w:sz w:val="24"/>
          <w:szCs w:val="24"/>
        </w:rPr>
        <w:t xml:space="preserve"> </w:t>
      </w:r>
      <w:r w:rsidR="0069392B">
        <w:rPr>
          <w:rFonts w:ascii="Times New Roman" w:hAnsi="Times New Roman" w:cs="Times New Roman"/>
          <w:sz w:val="24"/>
          <w:szCs w:val="24"/>
        </w:rPr>
        <w:t xml:space="preserve">In the same vein, it is probable that a more explicit obligation to consider the best interests of </w:t>
      </w:r>
      <w:r w:rsidR="00843D09">
        <w:rPr>
          <w:rFonts w:ascii="Times New Roman" w:hAnsi="Times New Roman" w:cs="Times New Roman"/>
          <w:sz w:val="24"/>
          <w:szCs w:val="24"/>
        </w:rPr>
        <w:t xml:space="preserve">prospective </w:t>
      </w:r>
      <w:r w:rsidR="0069392B">
        <w:rPr>
          <w:rFonts w:ascii="Times New Roman" w:hAnsi="Times New Roman" w:cs="Times New Roman"/>
          <w:sz w:val="24"/>
          <w:szCs w:val="24"/>
        </w:rPr>
        <w:t>parents in such contexts would merely reinforce the current, implicit obligation to u</w:t>
      </w:r>
      <w:r w:rsidR="00843D09">
        <w:rPr>
          <w:rFonts w:ascii="Times New Roman" w:hAnsi="Times New Roman" w:cs="Times New Roman"/>
          <w:sz w:val="24"/>
          <w:szCs w:val="24"/>
        </w:rPr>
        <w:t>phold</w:t>
      </w:r>
      <w:r w:rsidR="0069392B">
        <w:rPr>
          <w:rFonts w:ascii="Times New Roman" w:hAnsi="Times New Roman" w:cs="Times New Roman"/>
          <w:sz w:val="24"/>
          <w:szCs w:val="24"/>
        </w:rPr>
        <w:t xml:space="preserve"> </w:t>
      </w:r>
      <w:r w:rsidR="00BB3118">
        <w:rPr>
          <w:rFonts w:ascii="Times New Roman" w:hAnsi="Times New Roman" w:cs="Times New Roman"/>
          <w:sz w:val="24"/>
          <w:szCs w:val="24"/>
        </w:rPr>
        <w:t xml:space="preserve">adults’ </w:t>
      </w:r>
      <w:r w:rsidR="0069392B">
        <w:rPr>
          <w:rFonts w:ascii="Times New Roman" w:hAnsi="Times New Roman" w:cs="Times New Roman"/>
          <w:sz w:val="24"/>
          <w:szCs w:val="24"/>
        </w:rPr>
        <w:t xml:space="preserve">reproductive autonomy.  </w:t>
      </w:r>
    </w:p>
    <w:p w14:paraId="5227B50A" w14:textId="50254178" w:rsidR="00905F64" w:rsidRPr="009C5BC2" w:rsidRDefault="000D4696" w:rsidP="00020ECA">
      <w:pPr>
        <w:spacing w:line="360" w:lineRule="auto"/>
        <w:jc w:val="both"/>
        <w:rPr>
          <w:rFonts w:ascii="Times New Roman" w:hAnsi="Times New Roman" w:cs="Times New Roman"/>
          <w:sz w:val="24"/>
          <w:szCs w:val="24"/>
        </w:rPr>
      </w:pPr>
      <w:r w:rsidRPr="009C5BC2">
        <w:rPr>
          <w:rFonts w:ascii="Times New Roman" w:hAnsi="Times New Roman" w:cs="Times New Roman"/>
          <w:sz w:val="24"/>
          <w:szCs w:val="24"/>
        </w:rPr>
        <w:t xml:space="preserve">That </w:t>
      </w:r>
      <w:r w:rsidR="00BB3118">
        <w:rPr>
          <w:rFonts w:ascii="Times New Roman" w:hAnsi="Times New Roman" w:cs="Times New Roman"/>
          <w:sz w:val="24"/>
          <w:szCs w:val="24"/>
        </w:rPr>
        <w:t>are</w:t>
      </w:r>
      <w:r w:rsidRPr="009C5BC2">
        <w:rPr>
          <w:rFonts w:ascii="Times New Roman" w:hAnsi="Times New Roman" w:cs="Times New Roman"/>
          <w:sz w:val="24"/>
          <w:szCs w:val="24"/>
        </w:rPr>
        <w:t xml:space="preserve">, </w:t>
      </w:r>
      <w:r w:rsidR="00BB3118">
        <w:rPr>
          <w:rFonts w:ascii="Times New Roman" w:hAnsi="Times New Roman" w:cs="Times New Roman"/>
          <w:sz w:val="24"/>
          <w:szCs w:val="24"/>
        </w:rPr>
        <w:t xml:space="preserve">of course, </w:t>
      </w:r>
      <w:r w:rsidRPr="009C5BC2">
        <w:rPr>
          <w:rFonts w:ascii="Times New Roman" w:hAnsi="Times New Roman" w:cs="Times New Roman"/>
          <w:sz w:val="24"/>
          <w:szCs w:val="24"/>
        </w:rPr>
        <w:t xml:space="preserve">numerous situations in which an adult-focused application of the best interests principle is simply inconceivable, particularly where such interests have to be balanced with wider public policy concerns. Take for instance best interests in the context of immigration and asylum law. </w:t>
      </w:r>
      <w:r w:rsidR="00706A19" w:rsidRPr="009C5BC2">
        <w:rPr>
          <w:rFonts w:ascii="Times New Roman" w:hAnsi="Times New Roman" w:cs="Times New Roman"/>
          <w:sz w:val="24"/>
          <w:szCs w:val="24"/>
        </w:rPr>
        <w:t>Immigrants’ right to family life is protected under Article 8(1) of the 1950 European Convention on Human Rights. Immigrants’ exercise of their right to family life in the host country can be trumped</w:t>
      </w:r>
      <w:r w:rsidR="008A091F" w:rsidRPr="009C5BC2">
        <w:rPr>
          <w:rFonts w:ascii="Times New Roman" w:hAnsi="Times New Roman" w:cs="Times New Roman"/>
          <w:sz w:val="24"/>
          <w:szCs w:val="24"/>
        </w:rPr>
        <w:t>, however,</w:t>
      </w:r>
      <w:r w:rsidR="00706A19" w:rsidRPr="009C5BC2">
        <w:rPr>
          <w:rFonts w:ascii="Times New Roman" w:hAnsi="Times New Roman" w:cs="Times New Roman"/>
          <w:sz w:val="24"/>
          <w:szCs w:val="24"/>
        </w:rPr>
        <w:t xml:space="preserve"> </w:t>
      </w:r>
      <w:r w:rsidR="001B7C1B" w:rsidRPr="009C5BC2">
        <w:rPr>
          <w:rFonts w:ascii="Times New Roman" w:hAnsi="Times New Roman" w:cs="Times New Roman"/>
          <w:sz w:val="24"/>
          <w:szCs w:val="24"/>
        </w:rPr>
        <w:t xml:space="preserve">by </w:t>
      </w:r>
      <w:r w:rsidR="00706A19" w:rsidRPr="009C5BC2">
        <w:rPr>
          <w:rFonts w:ascii="Times New Roman" w:hAnsi="Times New Roman" w:cs="Times New Roman"/>
          <w:sz w:val="24"/>
          <w:szCs w:val="24"/>
        </w:rPr>
        <w:t>‘the interests of national security, public safety or the economic well-being of the country, for the prevention of disorder or crime, for the protection of health or morals, or for the protection of the rights and fr</w:t>
      </w:r>
      <w:r w:rsidR="004A578F">
        <w:rPr>
          <w:rFonts w:ascii="Times New Roman" w:hAnsi="Times New Roman" w:cs="Times New Roman"/>
          <w:sz w:val="24"/>
          <w:szCs w:val="24"/>
        </w:rPr>
        <w:t xml:space="preserve">eedoms of others.’ (Art 8(2)). </w:t>
      </w:r>
      <w:r w:rsidR="001B7C1B" w:rsidRPr="009C5BC2">
        <w:rPr>
          <w:rFonts w:ascii="Times New Roman" w:hAnsi="Times New Roman" w:cs="Times New Roman"/>
          <w:sz w:val="24"/>
          <w:szCs w:val="24"/>
        </w:rPr>
        <w:t xml:space="preserve">This provision has spawned </w:t>
      </w:r>
      <w:r w:rsidR="00851549" w:rsidRPr="009C5BC2">
        <w:rPr>
          <w:rFonts w:ascii="Times New Roman" w:hAnsi="Times New Roman" w:cs="Times New Roman"/>
          <w:sz w:val="24"/>
          <w:szCs w:val="24"/>
        </w:rPr>
        <w:t xml:space="preserve">an abundant jurisprudence largely endorsing an expansive interpretation of Article 8(2), </w:t>
      </w:r>
      <w:r w:rsidR="008A091F" w:rsidRPr="009C5BC2">
        <w:rPr>
          <w:rFonts w:ascii="Times New Roman" w:hAnsi="Times New Roman" w:cs="Times New Roman"/>
          <w:sz w:val="24"/>
          <w:szCs w:val="24"/>
        </w:rPr>
        <w:t>leading to a situation in which</w:t>
      </w:r>
      <w:r w:rsidR="00851549" w:rsidRPr="009C5BC2">
        <w:rPr>
          <w:rFonts w:ascii="Times New Roman" w:hAnsi="Times New Roman" w:cs="Times New Roman"/>
          <w:sz w:val="24"/>
          <w:szCs w:val="24"/>
        </w:rPr>
        <w:t xml:space="preserve"> unlawfully resident adult claimants </w:t>
      </w:r>
      <w:r w:rsidR="008A091F" w:rsidRPr="009C5BC2">
        <w:rPr>
          <w:rFonts w:ascii="Times New Roman" w:hAnsi="Times New Roman" w:cs="Times New Roman"/>
          <w:sz w:val="24"/>
          <w:szCs w:val="24"/>
        </w:rPr>
        <w:t xml:space="preserve">can </w:t>
      </w:r>
      <w:r w:rsidR="00851549" w:rsidRPr="009C5BC2">
        <w:rPr>
          <w:rFonts w:ascii="Times New Roman" w:hAnsi="Times New Roman" w:cs="Times New Roman"/>
          <w:sz w:val="24"/>
          <w:szCs w:val="24"/>
        </w:rPr>
        <w:t xml:space="preserve">avoid removal </w:t>
      </w:r>
      <w:r w:rsidR="008A091F" w:rsidRPr="009C5BC2">
        <w:rPr>
          <w:rFonts w:ascii="Times New Roman" w:hAnsi="Times New Roman" w:cs="Times New Roman"/>
          <w:sz w:val="24"/>
          <w:szCs w:val="24"/>
        </w:rPr>
        <w:t xml:space="preserve">only </w:t>
      </w:r>
      <w:r w:rsidR="00851549" w:rsidRPr="009C5BC2">
        <w:rPr>
          <w:rFonts w:ascii="Times New Roman" w:hAnsi="Times New Roman" w:cs="Times New Roman"/>
          <w:sz w:val="24"/>
          <w:szCs w:val="24"/>
        </w:rPr>
        <w:t xml:space="preserve">in </w:t>
      </w:r>
      <w:r w:rsidR="008A091F" w:rsidRPr="009C5BC2">
        <w:rPr>
          <w:rFonts w:ascii="Times New Roman" w:hAnsi="Times New Roman" w:cs="Times New Roman"/>
          <w:sz w:val="24"/>
          <w:szCs w:val="24"/>
        </w:rPr>
        <w:t xml:space="preserve">the most </w:t>
      </w:r>
      <w:r w:rsidR="00851549" w:rsidRPr="009C5BC2">
        <w:rPr>
          <w:rFonts w:ascii="Times New Roman" w:hAnsi="Times New Roman" w:cs="Times New Roman"/>
          <w:sz w:val="24"/>
          <w:szCs w:val="24"/>
        </w:rPr>
        <w:t xml:space="preserve">exceptional </w:t>
      </w:r>
      <w:r w:rsidR="008A091F" w:rsidRPr="009C5BC2">
        <w:rPr>
          <w:rFonts w:ascii="Times New Roman" w:hAnsi="Times New Roman" w:cs="Times New Roman"/>
          <w:sz w:val="24"/>
          <w:szCs w:val="24"/>
        </w:rPr>
        <w:t xml:space="preserve">of </w:t>
      </w:r>
      <w:r w:rsidR="00851549" w:rsidRPr="009C5BC2">
        <w:rPr>
          <w:rFonts w:ascii="Times New Roman" w:hAnsi="Times New Roman" w:cs="Times New Roman"/>
          <w:sz w:val="24"/>
          <w:szCs w:val="24"/>
        </w:rPr>
        <w:t>cases, where the</w:t>
      </w:r>
      <w:r w:rsidR="008A091F" w:rsidRPr="009C5BC2">
        <w:rPr>
          <w:rFonts w:ascii="Times New Roman" w:hAnsi="Times New Roman" w:cs="Times New Roman"/>
          <w:sz w:val="24"/>
          <w:szCs w:val="24"/>
        </w:rPr>
        <w:t>re are “insurmountable obstacles”</w:t>
      </w:r>
      <w:r w:rsidR="00851549" w:rsidRPr="009C5BC2">
        <w:rPr>
          <w:rStyle w:val="FootnoteReference"/>
          <w:rFonts w:ascii="Times New Roman" w:hAnsi="Times New Roman" w:cs="Times New Roman"/>
          <w:sz w:val="24"/>
          <w:szCs w:val="24"/>
        </w:rPr>
        <w:footnoteReference w:id="30"/>
      </w:r>
      <w:r w:rsidR="00851549" w:rsidRPr="009C5BC2">
        <w:rPr>
          <w:rFonts w:ascii="Times New Roman" w:hAnsi="Times New Roman" w:cs="Times New Roman"/>
          <w:sz w:val="24"/>
          <w:szCs w:val="24"/>
        </w:rPr>
        <w:t xml:space="preserve"> to establishing family life elsewhere.</w:t>
      </w:r>
      <w:r w:rsidR="008A091F" w:rsidRPr="009C5BC2">
        <w:rPr>
          <w:rStyle w:val="FootnoteReference"/>
          <w:rFonts w:ascii="Times New Roman" w:eastAsia="Brill-Roman" w:hAnsi="Times New Roman" w:cs="Times New Roman"/>
          <w:sz w:val="24"/>
          <w:szCs w:val="24"/>
        </w:rPr>
        <w:footnoteReference w:id="31"/>
      </w:r>
      <w:r w:rsidR="008A091F" w:rsidRPr="009C5BC2">
        <w:rPr>
          <w:rFonts w:ascii="Times New Roman" w:eastAsia="Brill-Roman" w:hAnsi="Times New Roman" w:cs="Times New Roman"/>
          <w:sz w:val="24"/>
          <w:szCs w:val="24"/>
        </w:rPr>
        <w:t xml:space="preserve"> </w:t>
      </w:r>
      <w:r w:rsidR="00851549" w:rsidRPr="009C5BC2">
        <w:rPr>
          <w:rFonts w:ascii="Times New Roman" w:hAnsi="Times New Roman" w:cs="Times New Roman"/>
          <w:sz w:val="24"/>
          <w:szCs w:val="24"/>
        </w:rPr>
        <w:t xml:space="preserve"> </w:t>
      </w:r>
      <w:r w:rsidR="008A091F" w:rsidRPr="009C5BC2">
        <w:rPr>
          <w:rFonts w:ascii="Times New Roman" w:hAnsi="Times New Roman" w:cs="Times New Roman"/>
          <w:sz w:val="24"/>
          <w:szCs w:val="24"/>
        </w:rPr>
        <w:t>For the most part,</w:t>
      </w:r>
      <w:r w:rsidR="004A3CE7" w:rsidRPr="009C5BC2">
        <w:rPr>
          <w:rFonts w:ascii="Times New Roman" w:hAnsi="Times New Roman" w:cs="Times New Roman"/>
          <w:sz w:val="24"/>
          <w:szCs w:val="24"/>
        </w:rPr>
        <w:t xml:space="preserve"> </w:t>
      </w:r>
      <w:r w:rsidR="008A091F" w:rsidRPr="009C5BC2">
        <w:rPr>
          <w:rFonts w:ascii="Times New Roman" w:hAnsi="Times New Roman" w:cs="Times New Roman"/>
          <w:sz w:val="24"/>
          <w:szCs w:val="24"/>
        </w:rPr>
        <w:t xml:space="preserve">states </w:t>
      </w:r>
      <w:r w:rsidR="004A3CE7" w:rsidRPr="009C5BC2">
        <w:rPr>
          <w:rFonts w:ascii="Times New Roman" w:hAnsi="Times New Roman" w:cs="Times New Roman"/>
          <w:sz w:val="24"/>
          <w:szCs w:val="24"/>
        </w:rPr>
        <w:t xml:space="preserve">enjoy a </w:t>
      </w:r>
      <w:r w:rsidR="00BB3118">
        <w:rPr>
          <w:rFonts w:ascii="Times New Roman" w:hAnsi="Times New Roman" w:cs="Times New Roman"/>
          <w:sz w:val="24"/>
          <w:szCs w:val="24"/>
        </w:rPr>
        <w:t>wide</w:t>
      </w:r>
      <w:r w:rsidR="00BB3118" w:rsidRPr="009C5BC2">
        <w:rPr>
          <w:rFonts w:ascii="Times New Roman" w:hAnsi="Times New Roman" w:cs="Times New Roman"/>
          <w:sz w:val="24"/>
          <w:szCs w:val="24"/>
        </w:rPr>
        <w:t xml:space="preserve"> </w:t>
      </w:r>
      <w:r w:rsidR="004A3CE7" w:rsidRPr="009C5BC2">
        <w:rPr>
          <w:rFonts w:ascii="Times New Roman" w:hAnsi="Times New Roman" w:cs="Times New Roman"/>
          <w:sz w:val="24"/>
          <w:szCs w:val="24"/>
        </w:rPr>
        <w:t xml:space="preserve">margin of appreciation </w:t>
      </w:r>
      <w:r w:rsidR="008A091F" w:rsidRPr="009C5BC2">
        <w:rPr>
          <w:rFonts w:ascii="Times New Roman" w:hAnsi="Times New Roman" w:cs="Times New Roman"/>
          <w:sz w:val="24"/>
          <w:szCs w:val="24"/>
        </w:rPr>
        <w:t xml:space="preserve">in regulating immigration into their own regions with a view to </w:t>
      </w:r>
      <w:r w:rsidR="004A3CE7" w:rsidRPr="009C5BC2">
        <w:rPr>
          <w:rFonts w:ascii="Times New Roman" w:hAnsi="Times New Roman" w:cs="Times New Roman"/>
          <w:sz w:val="24"/>
          <w:szCs w:val="24"/>
        </w:rPr>
        <w:t>curb</w:t>
      </w:r>
      <w:r w:rsidR="008A091F" w:rsidRPr="009C5BC2">
        <w:rPr>
          <w:rFonts w:ascii="Times New Roman" w:hAnsi="Times New Roman" w:cs="Times New Roman"/>
          <w:sz w:val="24"/>
          <w:szCs w:val="24"/>
        </w:rPr>
        <w:t>ing</w:t>
      </w:r>
      <w:r w:rsidR="004A3CE7" w:rsidRPr="009C5BC2">
        <w:rPr>
          <w:rFonts w:ascii="Times New Roman" w:hAnsi="Times New Roman" w:cs="Times New Roman"/>
          <w:sz w:val="24"/>
          <w:szCs w:val="24"/>
        </w:rPr>
        <w:t xml:space="preserve"> the </w:t>
      </w:r>
      <w:r w:rsidR="008A091F" w:rsidRPr="009C5BC2">
        <w:rPr>
          <w:rFonts w:ascii="Times New Roman" w:hAnsi="Times New Roman" w:cs="Times New Roman"/>
          <w:sz w:val="24"/>
          <w:szCs w:val="24"/>
        </w:rPr>
        <w:t xml:space="preserve">injurious </w:t>
      </w:r>
      <w:r w:rsidR="004A3CE7" w:rsidRPr="009C5BC2">
        <w:rPr>
          <w:rFonts w:ascii="Times New Roman" w:hAnsi="Times New Roman" w:cs="Times New Roman"/>
          <w:sz w:val="24"/>
          <w:szCs w:val="24"/>
        </w:rPr>
        <w:t xml:space="preserve">economic, political, cultural and social impact of such </w:t>
      </w:r>
      <w:r w:rsidR="008A091F" w:rsidRPr="009C5BC2">
        <w:rPr>
          <w:rFonts w:ascii="Times New Roman" w:hAnsi="Times New Roman" w:cs="Times New Roman"/>
          <w:sz w:val="24"/>
          <w:szCs w:val="24"/>
        </w:rPr>
        <w:t>flows</w:t>
      </w:r>
      <w:r w:rsidR="004A3CE7" w:rsidRPr="009C5BC2">
        <w:rPr>
          <w:rFonts w:ascii="Times New Roman" w:hAnsi="Times New Roman" w:cs="Times New Roman"/>
          <w:sz w:val="24"/>
          <w:szCs w:val="24"/>
        </w:rPr>
        <w:t>. Effectively</w:t>
      </w:r>
      <w:r w:rsidR="005C7C05" w:rsidRPr="009C5BC2">
        <w:rPr>
          <w:rFonts w:ascii="Times New Roman" w:hAnsi="Times New Roman" w:cs="Times New Roman"/>
          <w:sz w:val="24"/>
          <w:szCs w:val="24"/>
        </w:rPr>
        <w:t>, therefore,</w:t>
      </w:r>
      <w:r w:rsidR="004A3CE7" w:rsidRPr="009C5BC2">
        <w:rPr>
          <w:rFonts w:ascii="Times New Roman" w:hAnsi="Times New Roman" w:cs="Times New Roman"/>
          <w:sz w:val="24"/>
          <w:szCs w:val="24"/>
        </w:rPr>
        <w:t xml:space="preserve"> </w:t>
      </w:r>
      <w:r w:rsidR="00644236" w:rsidRPr="009C5BC2">
        <w:rPr>
          <w:rFonts w:ascii="Times New Roman" w:hAnsi="Times New Roman" w:cs="Times New Roman"/>
          <w:sz w:val="24"/>
          <w:szCs w:val="24"/>
        </w:rPr>
        <w:t xml:space="preserve">even if it did have an explicit mediating function, </w:t>
      </w:r>
      <w:r w:rsidR="004A3CE7" w:rsidRPr="009C5BC2">
        <w:rPr>
          <w:rFonts w:ascii="Times New Roman" w:hAnsi="Times New Roman" w:cs="Times New Roman"/>
          <w:sz w:val="24"/>
          <w:szCs w:val="24"/>
        </w:rPr>
        <w:t>the best interests of immigrants</w:t>
      </w:r>
      <w:r w:rsidR="00AB6719" w:rsidRPr="009C5BC2">
        <w:rPr>
          <w:rFonts w:ascii="Times New Roman" w:hAnsi="Times New Roman" w:cs="Times New Roman"/>
          <w:sz w:val="24"/>
          <w:szCs w:val="24"/>
        </w:rPr>
        <w:t xml:space="preserve"> – adult</w:t>
      </w:r>
      <w:r w:rsidR="00C24222">
        <w:rPr>
          <w:rFonts w:ascii="Times New Roman" w:hAnsi="Times New Roman" w:cs="Times New Roman"/>
          <w:sz w:val="24"/>
          <w:szCs w:val="24"/>
        </w:rPr>
        <w:t>s</w:t>
      </w:r>
      <w:r w:rsidR="00AB6719" w:rsidRPr="009C5BC2">
        <w:rPr>
          <w:rFonts w:ascii="Times New Roman" w:hAnsi="Times New Roman" w:cs="Times New Roman"/>
          <w:sz w:val="24"/>
          <w:szCs w:val="24"/>
        </w:rPr>
        <w:t xml:space="preserve"> and children alike –</w:t>
      </w:r>
      <w:r w:rsidR="004A3CE7" w:rsidRPr="009C5BC2">
        <w:rPr>
          <w:rFonts w:ascii="Times New Roman" w:hAnsi="Times New Roman" w:cs="Times New Roman"/>
          <w:sz w:val="24"/>
          <w:szCs w:val="24"/>
        </w:rPr>
        <w:t xml:space="preserve"> </w:t>
      </w:r>
      <w:r w:rsidR="00AB6719" w:rsidRPr="009C5BC2">
        <w:rPr>
          <w:rFonts w:ascii="Times New Roman" w:hAnsi="Times New Roman" w:cs="Times New Roman"/>
          <w:sz w:val="24"/>
          <w:szCs w:val="24"/>
        </w:rPr>
        <w:t xml:space="preserve">will </w:t>
      </w:r>
      <w:r w:rsidR="005C7C05" w:rsidRPr="009C5BC2">
        <w:rPr>
          <w:rFonts w:ascii="Times New Roman" w:hAnsi="Times New Roman" w:cs="Times New Roman"/>
          <w:sz w:val="24"/>
          <w:szCs w:val="24"/>
        </w:rPr>
        <w:t xml:space="preserve">always be </w:t>
      </w:r>
      <w:r w:rsidR="004A3CE7" w:rsidRPr="009C5BC2">
        <w:rPr>
          <w:rFonts w:ascii="Times New Roman" w:hAnsi="Times New Roman" w:cs="Times New Roman"/>
          <w:sz w:val="24"/>
          <w:szCs w:val="24"/>
        </w:rPr>
        <w:t>relegated to the notional ‘best interests’ of the broader public</w:t>
      </w:r>
      <w:r w:rsidR="00644236" w:rsidRPr="009C5BC2">
        <w:rPr>
          <w:rFonts w:ascii="Times New Roman" w:hAnsi="Times New Roman" w:cs="Times New Roman"/>
          <w:sz w:val="24"/>
          <w:szCs w:val="24"/>
        </w:rPr>
        <w:t>,</w:t>
      </w:r>
      <w:r w:rsidR="005C7C05" w:rsidRPr="009C5BC2">
        <w:rPr>
          <w:rFonts w:ascii="Times New Roman" w:hAnsi="Times New Roman" w:cs="Times New Roman"/>
          <w:sz w:val="24"/>
          <w:szCs w:val="24"/>
        </w:rPr>
        <w:t xml:space="preserve"> save in the most exceptional </w:t>
      </w:r>
      <w:r w:rsidR="00644236" w:rsidRPr="009C5BC2">
        <w:rPr>
          <w:rFonts w:ascii="Times New Roman" w:hAnsi="Times New Roman" w:cs="Times New Roman"/>
          <w:sz w:val="24"/>
          <w:szCs w:val="24"/>
        </w:rPr>
        <w:t xml:space="preserve">of </w:t>
      </w:r>
      <w:r w:rsidR="005C7C05" w:rsidRPr="009C5BC2">
        <w:rPr>
          <w:rFonts w:ascii="Times New Roman" w:hAnsi="Times New Roman" w:cs="Times New Roman"/>
          <w:sz w:val="24"/>
          <w:szCs w:val="24"/>
        </w:rPr>
        <w:t>cases</w:t>
      </w:r>
      <w:r w:rsidR="004A3CE7" w:rsidRPr="009C5BC2">
        <w:rPr>
          <w:rFonts w:ascii="Times New Roman" w:hAnsi="Times New Roman" w:cs="Times New Roman"/>
          <w:sz w:val="24"/>
          <w:szCs w:val="24"/>
        </w:rPr>
        <w:t>.</w:t>
      </w:r>
      <w:r w:rsidR="00905F64" w:rsidRPr="009C5BC2">
        <w:rPr>
          <w:rFonts w:ascii="Times New Roman" w:eastAsia="Brill-Roman" w:hAnsi="Times New Roman" w:cs="Times New Roman"/>
          <w:sz w:val="24"/>
          <w:szCs w:val="24"/>
        </w:rPr>
        <w:t xml:space="preserve"> </w:t>
      </w:r>
      <w:r w:rsidR="00B01BE9">
        <w:rPr>
          <w:rFonts w:ascii="Times New Roman" w:eastAsia="Brill-Roman" w:hAnsi="Times New Roman" w:cs="Times New Roman"/>
          <w:sz w:val="24"/>
          <w:szCs w:val="24"/>
        </w:rPr>
        <w:t xml:space="preserve">This is not just the case for immigration </w:t>
      </w:r>
      <w:r w:rsidR="00B01BE9" w:rsidRPr="00B01BE9">
        <w:rPr>
          <w:rFonts w:ascii="Times New Roman" w:eastAsia="Brill-Roman" w:hAnsi="Times New Roman" w:cs="Times New Roman"/>
          <w:sz w:val="24"/>
          <w:szCs w:val="24"/>
        </w:rPr>
        <w:t>cases involving adults, though: t</w:t>
      </w:r>
      <w:r w:rsidR="00C32F7B" w:rsidRPr="00B01BE9">
        <w:rPr>
          <w:rFonts w:ascii="Times New Roman" w:eastAsia="Brill-Roman" w:hAnsi="Times New Roman" w:cs="Times New Roman"/>
          <w:sz w:val="24"/>
          <w:szCs w:val="24"/>
        </w:rPr>
        <w:t xml:space="preserve">he fact that states persist (and the UK is a particular culprit) in allowing tens of thousands of unaccompanied children to </w:t>
      </w:r>
      <w:r w:rsidR="00C32F7B" w:rsidRPr="00B01BE9">
        <w:rPr>
          <w:rFonts w:ascii="Times New Roman" w:eastAsia="Brill-Roman" w:hAnsi="Times New Roman" w:cs="Times New Roman"/>
          <w:sz w:val="24"/>
          <w:szCs w:val="24"/>
        </w:rPr>
        <w:lastRenderedPageBreak/>
        <w:t>languish in refugee camps across Europe offers a sobering illustration of how best interests operates as a vacuous mantra</w:t>
      </w:r>
      <w:r w:rsidR="004D1C2C" w:rsidRPr="00B01BE9">
        <w:rPr>
          <w:rFonts w:ascii="Times New Roman" w:eastAsia="Brill-Roman" w:hAnsi="Times New Roman" w:cs="Times New Roman"/>
          <w:sz w:val="24"/>
          <w:szCs w:val="24"/>
        </w:rPr>
        <w:t xml:space="preserve"> </w:t>
      </w:r>
      <w:r w:rsidR="00C32F7B" w:rsidRPr="00B01BE9">
        <w:rPr>
          <w:rFonts w:ascii="Times New Roman" w:hAnsi="Times New Roman" w:cs="Times New Roman"/>
          <w:sz w:val="24"/>
          <w:szCs w:val="24"/>
        </w:rPr>
        <w:t>rather than a transparent and coherent call to action.</w:t>
      </w:r>
      <w:r w:rsidR="004D1C2C" w:rsidRPr="00B01BE9">
        <w:rPr>
          <w:rStyle w:val="FootnoteReference"/>
          <w:rFonts w:ascii="Times New Roman" w:eastAsia="Brill-Roman" w:hAnsi="Times New Roman" w:cs="Times New Roman"/>
          <w:sz w:val="24"/>
          <w:szCs w:val="24"/>
        </w:rPr>
        <w:footnoteReference w:id="32"/>
      </w:r>
      <w:r w:rsidR="004D1C2C" w:rsidRPr="00B01BE9">
        <w:rPr>
          <w:rFonts w:ascii="Times New Roman" w:eastAsia="Brill-Roman" w:hAnsi="Times New Roman" w:cs="Times New Roman"/>
          <w:sz w:val="24"/>
          <w:szCs w:val="24"/>
        </w:rPr>
        <w:t xml:space="preserve"> </w:t>
      </w:r>
      <w:r w:rsidR="00C32F7B" w:rsidRPr="00B01BE9">
        <w:rPr>
          <w:rFonts w:ascii="Times New Roman" w:hAnsi="Times New Roman" w:cs="Times New Roman"/>
          <w:sz w:val="24"/>
          <w:szCs w:val="24"/>
        </w:rPr>
        <w:t xml:space="preserve"> </w:t>
      </w:r>
      <w:r w:rsidR="00C32F7B" w:rsidRPr="00B01BE9">
        <w:rPr>
          <w:rFonts w:ascii="Times New Roman" w:eastAsia="Brill-Roman" w:hAnsi="Times New Roman" w:cs="Times New Roman"/>
          <w:sz w:val="24"/>
          <w:szCs w:val="24"/>
        </w:rPr>
        <w:t xml:space="preserve">Similarly, </w:t>
      </w:r>
      <w:r w:rsidR="00C32F7B" w:rsidRPr="00B01BE9">
        <w:rPr>
          <w:rFonts w:ascii="Times New Roman" w:hAnsi="Times New Roman" w:cs="Times New Roman"/>
          <w:sz w:val="24"/>
          <w:szCs w:val="24"/>
        </w:rPr>
        <w:t xml:space="preserve">best interests in </w:t>
      </w:r>
      <w:r w:rsidR="00F60F81">
        <w:rPr>
          <w:rFonts w:ascii="Times New Roman" w:hAnsi="Times New Roman" w:cs="Times New Roman"/>
          <w:sz w:val="24"/>
          <w:szCs w:val="24"/>
        </w:rPr>
        <w:t xml:space="preserve">a </w:t>
      </w:r>
      <w:r w:rsidR="00C32F7B" w:rsidRPr="00B01BE9">
        <w:rPr>
          <w:rFonts w:ascii="Times New Roman" w:hAnsi="Times New Roman" w:cs="Times New Roman"/>
          <w:sz w:val="24"/>
          <w:szCs w:val="24"/>
        </w:rPr>
        <w:t xml:space="preserve">criminal </w:t>
      </w:r>
      <w:r w:rsidR="00F60F81">
        <w:rPr>
          <w:rFonts w:ascii="Times New Roman" w:hAnsi="Times New Roman" w:cs="Times New Roman"/>
          <w:sz w:val="24"/>
          <w:szCs w:val="24"/>
        </w:rPr>
        <w:t xml:space="preserve">justice </w:t>
      </w:r>
      <w:r w:rsidR="00206123">
        <w:rPr>
          <w:rFonts w:ascii="Times New Roman" w:hAnsi="Times New Roman" w:cs="Times New Roman"/>
          <w:sz w:val="24"/>
          <w:szCs w:val="24"/>
        </w:rPr>
        <w:t xml:space="preserve">context </w:t>
      </w:r>
      <w:r w:rsidR="00C32F7B" w:rsidRPr="00B01BE9">
        <w:rPr>
          <w:rFonts w:ascii="Times New Roman" w:hAnsi="Times New Roman" w:cs="Times New Roman"/>
          <w:sz w:val="24"/>
          <w:szCs w:val="24"/>
        </w:rPr>
        <w:t>often pales into insignificance where the focus is on punitive sanctions, avoiding recidivism and obtaining justice for the victim.</w:t>
      </w:r>
      <w:r w:rsidR="00F60F81">
        <w:rPr>
          <w:rStyle w:val="FootnoteReference"/>
          <w:rFonts w:ascii="Times New Roman" w:hAnsi="Times New Roman" w:cs="Times New Roman"/>
          <w:sz w:val="24"/>
          <w:szCs w:val="24"/>
        </w:rPr>
        <w:footnoteReference w:id="33"/>
      </w:r>
      <w:r w:rsidR="00BB3118">
        <w:rPr>
          <w:rFonts w:ascii="Times New Roman" w:hAnsi="Times New Roman" w:cs="Times New Roman"/>
          <w:sz w:val="24"/>
          <w:szCs w:val="24"/>
        </w:rPr>
        <w:t xml:space="preserve"> It is, therefore, highly unlikely that the best interests principle could provide any meaningful, politically palatable framework for determining how to dispose of adult claims in such contexts.  </w:t>
      </w:r>
    </w:p>
    <w:p w14:paraId="069332C1" w14:textId="40DEE124" w:rsidR="002B2E0C" w:rsidRPr="009C5BC2" w:rsidRDefault="002B2E0C" w:rsidP="00020ECA">
      <w:pPr>
        <w:spacing w:line="360" w:lineRule="auto"/>
        <w:rPr>
          <w:rFonts w:ascii="Times New Roman" w:hAnsi="Times New Roman" w:cs="Times New Roman"/>
          <w:sz w:val="24"/>
          <w:szCs w:val="24"/>
        </w:rPr>
      </w:pPr>
      <w:r w:rsidRPr="009C5BC2">
        <w:rPr>
          <w:rFonts w:ascii="Times New Roman" w:hAnsi="Times New Roman" w:cs="Times New Roman"/>
          <w:sz w:val="24"/>
          <w:szCs w:val="24"/>
        </w:rPr>
        <w:t xml:space="preserve">In addition to the more pragmatic difficulties associated with </w:t>
      </w:r>
      <w:r w:rsidR="00AE0226">
        <w:rPr>
          <w:rFonts w:ascii="Times New Roman" w:hAnsi="Times New Roman" w:cs="Times New Roman"/>
          <w:sz w:val="24"/>
          <w:szCs w:val="24"/>
        </w:rPr>
        <w:t>extending</w:t>
      </w:r>
      <w:r w:rsidR="00AE0226" w:rsidRPr="009C5BC2">
        <w:rPr>
          <w:rFonts w:ascii="Times New Roman" w:hAnsi="Times New Roman" w:cs="Times New Roman"/>
          <w:sz w:val="24"/>
          <w:szCs w:val="24"/>
        </w:rPr>
        <w:t xml:space="preserve"> </w:t>
      </w:r>
      <w:r w:rsidRPr="009C5BC2">
        <w:rPr>
          <w:rFonts w:ascii="Times New Roman" w:hAnsi="Times New Roman" w:cs="Times New Roman"/>
          <w:sz w:val="24"/>
          <w:szCs w:val="24"/>
        </w:rPr>
        <w:t>the best interests principle is the concern that it would serve to transpose</w:t>
      </w:r>
      <w:r w:rsidR="00DE1546" w:rsidRPr="009C5BC2">
        <w:rPr>
          <w:rFonts w:ascii="Times New Roman" w:hAnsi="Times New Roman" w:cs="Times New Roman"/>
          <w:sz w:val="24"/>
          <w:szCs w:val="24"/>
        </w:rPr>
        <w:t xml:space="preserve"> </w:t>
      </w:r>
      <w:r w:rsidRPr="009C5BC2">
        <w:rPr>
          <w:rFonts w:ascii="Times New Roman" w:hAnsi="Times New Roman" w:cs="Times New Roman"/>
          <w:sz w:val="24"/>
          <w:szCs w:val="24"/>
        </w:rPr>
        <w:t xml:space="preserve">disempowering </w:t>
      </w:r>
      <w:r w:rsidR="009501EA" w:rsidRPr="009C5BC2">
        <w:rPr>
          <w:rFonts w:ascii="Times New Roman" w:hAnsi="Times New Roman" w:cs="Times New Roman"/>
          <w:sz w:val="24"/>
          <w:szCs w:val="24"/>
        </w:rPr>
        <w:t>decision-making opacity</w:t>
      </w:r>
      <w:r w:rsidR="00DE1546" w:rsidRPr="009C5BC2">
        <w:rPr>
          <w:rFonts w:ascii="Times New Roman" w:hAnsi="Times New Roman" w:cs="Times New Roman"/>
          <w:sz w:val="24"/>
          <w:szCs w:val="24"/>
        </w:rPr>
        <w:t xml:space="preserve"> commonly associated with children’s best </w:t>
      </w:r>
      <w:proofErr w:type="gramStart"/>
      <w:r w:rsidR="00DE1546" w:rsidRPr="009C5BC2">
        <w:rPr>
          <w:rFonts w:ascii="Times New Roman" w:hAnsi="Times New Roman" w:cs="Times New Roman"/>
          <w:sz w:val="24"/>
          <w:szCs w:val="24"/>
        </w:rPr>
        <w:t>interests</w:t>
      </w:r>
      <w:proofErr w:type="gramEnd"/>
      <w:r w:rsidR="00DE1546" w:rsidRPr="009C5BC2">
        <w:rPr>
          <w:rFonts w:ascii="Times New Roman" w:hAnsi="Times New Roman" w:cs="Times New Roman"/>
          <w:sz w:val="24"/>
          <w:szCs w:val="24"/>
        </w:rPr>
        <w:t xml:space="preserve"> assessment </w:t>
      </w:r>
      <w:r w:rsidRPr="009C5BC2">
        <w:rPr>
          <w:rFonts w:ascii="Times New Roman" w:hAnsi="Times New Roman" w:cs="Times New Roman"/>
          <w:sz w:val="24"/>
          <w:szCs w:val="24"/>
        </w:rPr>
        <w:t xml:space="preserve">to adult contexts. This not only risks attenuating adults’ right to autonomy and self-determination, but also </w:t>
      </w:r>
      <w:r w:rsidR="00DE1546" w:rsidRPr="009C5BC2">
        <w:rPr>
          <w:rFonts w:ascii="Times New Roman" w:hAnsi="Times New Roman" w:cs="Times New Roman"/>
          <w:sz w:val="24"/>
          <w:szCs w:val="24"/>
        </w:rPr>
        <w:t xml:space="preserve">risks </w:t>
      </w:r>
      <w:r w:rsidRPr="009C5BC2">
        <w:rPr>
          <w:rFonts w:ascii="Times New Roman" w:hAnsi="Times New Roman" w:cs="Times New Roman"/>
          <w:sz w:val="24"/>
          <w:szCs w:val="24"/>
        </w:rPr>
        <w:t>entrench</w:t>
      </w:r>
      <w:r w:rsidR="009501EA" w:rsidRPr="009C5BC2">
        <w:rPr>
          <w:rFonts w:ascii="Times New Roman" w:hAnsi="Times New Roman" w:cs="Times New Roman"/>
          <w:sz w:val="24"/>
          <w:szCs w:val="24"/>
        </w:rPr>
        <w:t>ing</w:t>
      </w:r>
      <w:r w:rsidRPr="009C5BC2">
        <w:rPr>
          <w:rFonts w:ascii="Times New Roman" w:hAnsi="Times New Roman" w:cs="Times New Roman"/>
          <w:sz w:val="24"/>
          <w:szCs w:val="24"/>
        </w:rPr>
        <w:t xml:space="preserve"> a</w:t>
      </w:r>
      <w:r w:rsidR="008672BC" w:rsidRPr="009C5BC2">
        <w:rPr>
          <w:rFonts w:ascii="Times New Roman" w:hAnsi="Times New Roman" w:cs="Times New Roman"/>
          <w:sz w:val="24"/>
          <w:szCs w:val="24"/>
        </w:rPr>
        <w:t xml:space="preserve"> predominantly </w:t>
      </w:r>
      <w:r w:rsidRPr="009C5BC2">
        <w:rPr>
          <w:rFonts w:ascii="Times New Roman" w:hAnsi="Times New Roman" w:cs="Times New Roman"/>
          <w:sz w:val="24"/>
          <w:szCs w:val="24"/>
        </w:rPr>
        <w:t xml:space="preserve">paternalistic model of best interests </w:t>
      </w:r>
      <w:r w:rsidR="00DE1546" w:rsidRPr="009C5BC2">
        <w:rPr>
          <w:rFonts w:ascii="Times New Roman" w:hAnsi="Times New Roman" w:cs="Times New Roman"/>
          <w:sz w:val="24"/>
          <w:szCs w:val="24"/>
        </w:rPr>
        <w:t>from which</w:t>
      </w:r>
      <w:r w:rsidR="007E7CB5" w:rsidRPr="009C5BC2">
        <w:rPr>
          <w:rFonts w:ascii="Times New Roman" w:hAnsi="Times New Roman" w:cs="Times New Roman"/>
          <w:sz w:val="24"/>
          <w:szCs w:val="24"/>
        </w:rPr>
        <w:t>, for many years now,</w:t>
      </w:r>
      <w:r w:rsidR="00DE1546" w:rsidRPr="009C5BC2">
        <w:rPr>
          <w:rFonts w:ascii="Times New Roman" w:hAnsi="Times New Roman" w:cs="Times New Roman"/>
          <w:sz w:val="24"/>
          <w:szCs w:val="24"/>
        </w:rPr>
        <w:t xml:space="preserve"> </w:t>
      </w:r>
      <w:r w:rsidR="007E7CB5" w:rsidRPr="009C5BC2">
        <w:rPr>
          <w:rFonts w:ascii="Times New Roman" w:hAnsi="Times New Roman" w:cs="Times New Roman"/>
          <w:sz w:val="24"/>
          <w:szCs w:val="24"/>
        </w:rPr>
        <w:t>activists</w:t>
      </w:r>
      <w:r w:rsidR="00C01FA6" w:rsidRPr="009C5BC2">
        <w:rPr>
          <w:rFonts w:ascii="Times New Roman" w:hAnsi="Times New Roman" w:cs="Times New Roman"/>
          <w:sz w:val="24"/>
          <w:szCs w:val="24"/>
        </w:rPr>
        <w:t xml:space="preserve"> have</w:t>
      </w:r>
      <w:r w:rsidRPr="009C5BC2">
        <w:rPr>
          <w:rFonts w:ascii="Times New Roman" w:hAnsi="Times New Roman" w:cs="Times New Roman"/>
          <w:sz w:val="24"/>
          <w:szCs w:val="24"/>
        </w:rPr>
        <w:t xml:space="preserve"> been trying to </w:t>
      </w:r>
      <w:r w:rsidR="007E7CB5" w:rsidRPr="009C5BC2">
        <w:rPr>
          <w:rFonts w:ascii="Times New Roman" w:hAnsi="Times New Roman" w:cs="Times New Roman"/>
          <w:sz w:val="24"/>
          <w:szCs w:val="24"/>
        </w:rPr>
        <w:t>extricate children’s rights</w:t>
      </w:r>
      <w:r w:rsidRPr="009C5BC2">
        <w:rPr>
          <w:rFonts w:ascii="Times New Roman" w:hAnsi="Times New Roman" w:cs="Times New Roman"/>
          <w:sz w:val="24"/>
          <w:szCs w:val="24"/>
        </w:rPr>
        <w:t>.</w:t>
      </w:r>
      <w:r w:rsidR="00AE0226">
        <w:rPr>
          <w:rStyle w:val="FootnoteReference"/>
          <w:rFonts w:ascii="Times New Roman" w:hAnsi="Times New Roman" w:cs="Times New Roman"/>
          <w:sz w:val="24"/>
          <w:szCs w:val="24"/>
        </w:rPr>
        <w:footnoteReference w:id="34"/>
      </w:r>
    </w:p>
    <w:p w14:paraId="2CE7C0E8" w14:textId="77777777" w:rsidR="00E80A4A" w:rsidRPr="009C5BC2" w:rsidRDefault="00E80A4A" w:rsidP="00020ECA">
      <w:pPr>
        <w:pStyle w:val="ListParagraph"/>
        <w:spacing w:line="360" w:lineRule="auto"/>
        <w:jc w:val="both"/>
        <w:rPr>
          <w:rFonts w:ascii="Times New Roman" w:hAnsi="Times New Roman" w:cs="Times New Roman"/>
          <w:sz w:val="24"/>
          <w:szCs w:val="24"/>
        </w:rPr>
      </w:pPr>
    </w:p>
    <w:p w14:paraId="706CF1DE" w14:textId="7080E5E2" w:rsidR="007315AB" w:rsidRPr="009C5BC2" w:rsidRDefault="007315AB" w:rsidP="008335F6">
      <w:pPr>
        <w:pStyle w:val="ListParagraph"/>
        <w:numPr>
          <w:ilvl w:val="0"/>
          <w:numId w:val="13"/>
        </w:numPr>
        <w:spacing w:line="360" w:lineRule="auto"/>
        <w:rPr>
          <w:rFonts w:ascii="Times New Roman" w:hAnsi="Times New Roman" w:cs="Times New Roman"/>
          <w:b/>
          <w:sz w:val="24"/>
          <w:szCs w:val="24"/>
          <w:u w:val="single"/>
        </w:rPr>
      </w:pPr>
      <w:r w:rsidRPr="009C5BC2">
        <w:rPr>
          <w:rFonts w:ascii="Times New Roman" w:hAnsi="Times New Roman" w:cs="Times New Roman"/>
          <w:b/>
          <w:sz w:val="24"/>
          <w:szCs w:val="24"/>
          <w:u w:val="single"/>
        </w:rPr>
        <w:t xml:space="preserve">Entrenching and </w:t>
      </w:r>
      <w:r w:rsidR="007048AC" w:rsidRPr="009C5BC2">
        <w:rPr>
          <w:rFonts w:ascii="Times New Roman" w:hAnsi="Times New Roman" w:cs="Times New Roman"/>
          <w:b/>
          <w:sz w:val="24"/>
          <w:szCs w:val="24"/>
          <w:u w:val="single"/>
        </w:rPr>
        <w:t xml:space="preserve">reinforcing </w:t>
      </w:r>
      <w:r w:rsidRPr="009C5BC2">
        <w:rPr>
          <w:rFonts w:ascii="Times New Roman" w:hAnsi="Times New Roman" w:cs="Times New Roman"/>
          <w:b/>
          <w:sz w:val="24"/>
          <w:szCs w:val="24"/>
          <w:u w:val="single"/>
        </w:rPr>
        <w:t>opaque decision-making</w:t>
      </w:r>
    </w:p>
    <w:p w14:paraId="528BF6A1" w14:textId="10FD16C0" w:rsidR="000457C9" w:rsidRPr="009C5BC2" w:rsidRDefault="00197359" w:rsidP="00020ECA">
      <w:pPr>
        <w:autoSpaceDE w:val="0"/>
        <w:autoSpaceDN w:val="0"/>
        <w:adjustRightInd w:val="0"/>
        <w:spacing w:after="0" w:line="360" w:lineRule="auto"/>
        <w:rPr>
          <w:rFonts w:ascii="Times New Roman" w:hAnsi="Times New Roman" w:cs="Times New Roman"/>
          <w:sz w:val="24"/>
          <w:szCs w:val="24"/>
        </w:rPr>
      </w:pPr>
      <w:r w:rsidRPr="009C5BC2">
        <w:rPr>
          <w:rFonts w:ascii="Times New Roman" w:hAnsi="Times New Roman" w:cs="Times New Roman"/>
          <w:sz w:val="24"/>
          <w:szCs w:val="24"/>
        </w:rPr>
        <w:t xml:space="preserve">One of the key strengths of best interests (its </w:t>
      </w:r>
      <w:r w:rsidR="00E27535" w:rsidRPr="009C5BC2">
        <w:rPr>
          <w:rFonts w:ascii="Times New Roman" w:hAnsi="Times New Roman" w:cs="Times New Roman"/>
          <w:sz w:val="24"/>
          <w:szCs w:val="24"/>
        </w:rPr>
        <w:t xml:space="preserve">adaptability to different </w:t>
      </w:r>
      <w:r w:rsidRPr="009C5BC2">
        <w:rPr>
          <w:rFonts w:ascii="Times New Roman" w:hAnsi="Times New Roman" w:cs="Times New Roman"/>
          <w:sz w:val="24"/>
          <w:szCs w:val="24"/>
        </w:rPr>
        <w:t>context</w:t>
      </w:r>
      <w:r w:rsidR="00E27535" w:rsidRPr="009C5BC2">
        <w:rPr>
          <w:rFonts w:ascii="Times New Roman" w:hAnsi="Times New Roman" w:cs="Times New Roman"/>
          <w:sz w:val="24"/>
          <w:szCs w:val="24"/>
        </w:rPr>
        <w:t>s, depending on how it is interpreted</w:t>
      </w:r>
      <w:r w:rsidRPr="009C5BC2">
        <w:rPr>
          <w:rFonts w:ascii="Times New Roman" w:hAnsi="Times New Roman" w:cs="Times New Roman"/>
          <w:sz w:val="24"/>
          <w:szCs w:val="24"/>
        </w:rPr>
        <w:t>) is a</w:t>
      </w:r>
      <w:r w:rsidR="006B0791" w:rsidRPr="009C5BC2">
        <w:rPr>
          <w:rFonts w:ascii="Times New Roman" w:hAnsi="Times New Roman" w:cs="Times New Roman"/>
          <w:sz w:val="24"/>
          <w:szCs w:val="24"/>
        </w:rPr>
        <w:t>lso its greatest weakness. Its indeterminacy has been highlighted as rendering it susceptible</w:t>
      </w:r>
      <w:r w:rsidR="00E80A4A" w:rsidRPr="009C5BC2">
        <w:rPr>
          <w:rFonts w:ascii="Times New Roman" w:hAnsi="Times New Roman" w:cs="Times New Roman"/>
          <w:sz w:val="24"/>
          <w:szCs w:val="24"/>
        </w:rPr>
        <w:t xml:space="preserve"> to </w:t>
      </w:r>
      <w:r w:rsidRPr="009C5BC2">
        <w:rPr>
          <w:rFonts w:ascii="Times New Roman" w:hAnsi="Times New Roman" w:cs="Times New Roman"/>
          <w:sz w:val="24"/>
          <w:szCs w:val="24"/>
        </w:rPr>
        <w:t>manipul</w:t>
      </w:r>
      <w:r w:rsidR="000457C9" w:rsidRPr="009C5BC2">
        <w:rPr>
          <w:rFonts w:ascii="Times New Roman" w:hAnsi="Times New Roman" w:cs="Times New Roman"/>
          <w:sz w:val="24"/>
          <w:szCs w:val="24"/>
        </w:rPr>
        <w:t>a</w:t>
      </w:r>
      <w:r w:rsidR="006B0791" w:rsidRPr="009C5BC2">
        <w:rPr>
          <w:rFonts w:ascii="Times New Roman" w:hAnsi="Times New Roman" w:cs="Times New Roman"/>
          <w:sz w:val="24"/>
          <w:szCs w:val="24"/>
        </w:rPr>
        <w:t xml:space="preserve">tion to serve </w:t>
      </w:r>
      <w:proofErr w:type="spellStart"/>
      <w:r w:rsidR="006B0791" w:rsidRPr="009C5BC2">
        <w:rPr>
          <w:rFonts w:ascii="Times New Roman" w:hAnsi="Times New Roman" w:cs="Times New Roman"/>
          <w:sz w:val="24"/>
          <w:szCs w:val="24"/>
        </w:rPr>
        <w:t>adultist</w:t>
      </w:r>
      <w:proofErr w:type="spellEnd"/>
      <w:r w:rsidR="006B0791" w:rsidRPr="009C5BC2">
        <w:rPr>
          <w:rFonts w:ascii="Times New Roman" w:hAnsi="Times New Roman" w:cs="Times New Roman"/>
          <w:sz w:val="24"/>
          <w:szCs w:val="24"/>
        </w:rPr>
        <w:t xml:space="preserve"> agendas and to sanction </w:t>
      </w:r>
      <w:r w:rsidRPr="009C5BC2">
        <w:rPr>
          <w:rFonts w:ascii="Times New Roman" w:hAnsi="Times New Roman" w:cs="Times New Roman"/>
          <w:sz w:val="24"/>
          <w:szCs w:val="24"/>
        </w:rPr>
        <w:t>“…untested assumptions a</w:t>
      </w:r>
      <w:r w:rsidR="006B0791" w:rsidRPr="009C5BC2">
        <w:rPr>
          <w:rFonts w:ascii="Times New Roman" w:hAnsi="Times New Roman" w:cs="Times New Roman"/>
          <w:sz w:val="24"/>
          <w:szCs w:val="24"/>
        </w:rPr>
        <w:t>bout what is good for children.”</w:t>
      </w:r>
      <w:r w:rsidRPr="009C5BC2">
        <w:rPr>
          <w:rStyle w:val="FootnoteReference"/>
          <w:rFonts w:ascii="Times New Roman" w:hAnsi="Times New Roman" w:cs="Times New Roman"/>
          <w:sz w:val="24"/>
          <w:szCs w:val="24"/>
        </w:rPr>
        <w:footnoteReference w:id="35"/>
      </w:r>
      <w:r w:rsidR="000457C9" w:rsidRPr="009C5BC2">
        <w:rPr>
          <w:rFonts w:ascii="Times New Roman" w:hAnsi="Times New Roman" w:cs="Times New Roman"/>
          <w:sz w:val="24"/>
          <w:szCs w:val="24"/>
        </w:rPr>
        <w:t xml:space="preserve"> </w:t>
      </w:r>
      <w:r w:rsidR="00DA3677" w:rsidRPr="009C5BC2">
        <w:rPr>
          <w:rFonts w:ascii="Times New Roman" w:hAnsi="Times New Roman" w:cs="Times New Roman"/>
          <w:sz w:val="24"/>
          <w:szCs w:val="24"/>
        </w:rPr>
        <w:t xml:space="preserve">Over 40 years ago, Robert </w:t>
      </w:r>
      <w:proofErr w:type="spellStart"/>
      <w:r w:rsidR="00DA3677" w:rsidRPr="009C5BC2">
        <w:rPr>
          <w:rFonts w:ascii="Times New Roman" w:hAnsi="Times New Roman" w:cs="Times New Roman"/>
          <w:sz w:val="24"/>
          <w:szCs w:val="24"/>
        </w:rPr>
        <w:t>Mnookin</w:t>
      </w:r>
      <w:proofErr w:type="spellEnd"/>
      <w:r w:rsidR="00DA3677" w:rsidRPr="009C5BC2">
        <w:rPr>
          <w:rFonts w:ascii="Times New Roman" w:hAnsi="Times New Roman" w:cs="Times New Roman"/>
          <w:sz w:val="24"/>
          <w:szCs w:val="24"/>
        </w:rPr>
        <w:t xml:space="preserve"> raised serious concerns about the wisdom of deploying such a speculative, highly subjective and acutely unpredictable framework to inform often life-changing decisions.</w:t>
      </w:r>
      <w:r w:rsidR="00452C27" w:rsidRPr="009C5BC2">
        <w:rPr>
          <w:rStyle w:val="FootnoteReference"/>
          <w:rFonts w:ascii="Times New Roman" w:hAnsi="Times New Roman" w:cs="Times New Roman"/>
          <w:sz w:val="24"/>
          <w:szCs w:val="24"/>
        </w:rPr>
        <w:footnoteReference w:id="36"/>
      </w:r>
      <w:r w:rsidR="00DA3677" w:rsidRPr="009C5BC2">
        <w:rPr>
          <w:rFonts w:ascii="Times New Roman" w:hAnsi="Times New Roman" w:cs="Times New Roman"/>
          <w:sz w:val="24"/>
          <w:szCs w:val="24"/>
        </w:rPr>
        <w:t xml:space="preserve">  </w:t>
      </w:r>
      <w:r w:rsidR="006B0791" w:rsidRPr="009C5BC2">
        <w:rPr>
          <w:rFonts w:ascii="Times New Roman" w:hAnsi="Times New Roman" w:cs="Times New Roman"/>
          <w:sz w:val="24"/>
          <w:szCs w:val="24"/>
        </w:rPr>
        <w:t xml:space="preserve">It has also been questioned whether it </w:t>
      </w:r>
      <w:r w:rsidR="0024193D" w:rsidRPr="009C5BC2">
        <w:rPr>
          <w:rFonts w:ascii="Times New Roman" w:hAnsi="Times New Roman" w:cs="Times New Roman"/>
          <w:sz w:val="24"/>
          <w:szCs w:val="24"/>
        </w:rPr>
        <w:t>is even possible, let alone desirable, to achieve</w:t>
      </w:r>
      <w:r w:rsidR="009D754C" w:rsidRPr="009C5BC2">
        <w:rPr>
          <w:rFonts w:ascii="Times New Roman" w:hAnsi="Times New Roman" w:cs="Times New Roman"/>
          <w:sz w:val="24"/>
          <w:szCs w:val="24"/>
        </w:rPr>
        <w:t xml:space="preserve"> determinacy and predictability in decision-making, particularly when it comes to lives characterised by </w:t>
      </w:r>
      <w:r w:rsidR="009D754C" w:rsidRPr="009C5BC2">
        <w:rPr>
          <w:rFonts w:ascii="Times New Roman" w:hAnsi="Times New Roman" w:cs="Times New Roman"/>
          <w:sz w:val="24"/>
          <w:szCs w:val="24"/>
        </w:rPr>
        <w:lastRenderedPageBreak/>
        <w:t xml:space="preserve">constant </w:t>
      </w:r>
      <w:r w:rsidR="00CD7F8E" w:rsidRPr="009C5BC2">
        <w:rPr>
          <w:rFonts w:ascii="Times New Roman" w:hAnsi="Times New Roman" w:cs="Times New Roman"/>
          <w:sz w:val="24"/>
          <w:szCs w:val="24"/>
        </w:rPr>
        <w:t>fluctuations</w:t>
      </w:r>
      <w:r w:rsidR="009D754C" w:rsidRPr="009C5BC2">
        <w:rPr>
          <w:rFonts w:ascii="Times New Roman" w:hAnsi="Times New Roman" w:cs="Times New Roman"/>
          <w:sz w:val="24"/>
          <w:szCs w:val="24"/>
        </w:rPr>
        <w:t xml:space="preserve"> in living </w:t>
      </w:r>
      <w:r w:rsidR="00CD7F8E" w:rsidRPr="009C5BC2">
        <w:rPr>
          <w:rFonts w:ascii="Times New Roman" w:hAnsi="Times New Roman" w:cs="Times New Roman"/>
          <w:sz w:val="24"/>
          <w:szCs w:val="24"/>
        </w:rPr>
        <w:t>conditions</w:t>
      </w:r>
      <w:r w:rsidR="009D754C" w:rsidRPr="009C5BC2">
        <w:rPr>
          <w:rFonts w:ascii="Times New Roman" w:hAnsi="Times New Roman" w:cs="Times New Roman"/>
          <w:sz w:val="24"/>
          <w:szCs w:val="24"/>
        </w:rPr>
        <w:t xml:space="preserve">, family constellations and </w:t>
      </w:r>
      <w:r w:rsidR="0024193D" w:rsidRPr="009C5BC2">
        <w:rPr>
          <w:rFonts w:ascii="Times New Roman" w:hAnsi="Times New Roman" w:cs="Times New Roman"/>
          <w:sz w:val="24"/>
          <w:szCs w:val="24"/>
        </w:rPr>
        <w:t xml:space="preserve">physical and mental </w:t>
      </w:r>
      <w:r w:rsidR="009D754C" w:rsidRPr="009C5BC2">
        <w:rPr>
          <w:rFonts w:ascii="Times New Roman" w:hAnsi="Times New Roman" w:cs="Times New Roman"/>
          <w:sz w:val="24"/>
          <w:szCs w:val="24"/>
        </w:rPr>
        <w:t>health.</w:t>
      </w:r>
      <w:r w:rsidR="00465D1D" w:rsidRPr="009C5BC2">
        <w:rPr>
          <w:rStyle w:val="FootnoteReference"/>
          <w:rFonts w:ascii="Times New Roman" w:hAnsi="Times New Roman" w:cs="Times New Roman"/>
          <w:sz w:val="24"/>
          <w:szCs w:val="24"/>
        </w:rPr>
        <w:footnoteReference w:id="37"/>
      </w:r>
      <w:r w:rsidR="00465D1D" w:rsidRPr="009C5BC2">
        <w:rPr>
          <w:rFonts w:ascii="Times New Roman" w:hAnsi="Times New Roman" w:cs="Times New Roman"/>
          <w:sz w:val="24"/>
          <w:szCs w:val="24"/>
        </w:rPr>
        <w:t xml:space="preserve"> </w:t>
      </w:r>
      <w:r w:rsidR="00FE5C64" w:rsidRPr="009C5BC2">
        <w:rPr>
          <w:rFonts w:ascii="Times New Roman" w:hAnsi="Times New Roman" w:cs="Times New Roman"/>
          <w:sz w:val="24"/>
          <w:szCs w:val="24"/>
        </w:rPr>
        <w:t xml:space="preserve"> </w:t>
      </w:r>
    </w:p>
    <w:p w14:paraId="2F4F8617" w14:textId="416FF985" w:rsidR="00197359" w:rsidRPr="009C5BC2" w:rsidRDefault="00FE5C64" w:rsidP="00020ECA">
      <w:pPr>
        <w:autoSpaceDE w:val="0"/>
        <w:autoSpaceDN w:val="0"/>
        <w:adjustRightInd w:val="0"/>
        <w:spacing w:after="0" w:line="360" w:lineRule="auto"/>
        <w:rPr>
          <w:rFonts w:ascii="Times New Roman" w:hAnsi="Times New Roman" w:cs="Times New Roman"/>
          <w:sz w:val="24"/>
          <w:szCs w:val="24"/>
        </w:rPr>
      </w:pPr>
      <w:r w:rsidRPr="009C5BC2">
        <w:rPr>
          <w:rFonts w:ascii="Times New Roman" w:hAnsi="Times New Roman" w:cs="Times New Roman"/>
          <w:sz w:val="24"/>
          <w:szCs w:val="24"/>
        </w:rPr>
        <w:t xml:space="preserve">The holy grail of determining what is in the best interests of individuals is all the more </w:t>
      </w:r>
      <w:r w:rsidR="005C7129">
        <w:rPr>
          <w:rFonts w:ascii="Times New Roman" w:hAnsi="Times New Roman" w:cs="Times New Roman"/>
          <w:sz w:val="24"/>
          <w:szCs w:val="24"/>
        </w:rPr>
        <w:t>e</w:t>
      </w:r>
      <w:r w:rsidR="005C7129" w:rsidRPr="009C5BC2">
        <w:rPr>
          <w:rFonts w:ascii="Times New Roman" w:hAnsi="Times New Roman" w:cs="Times New Roman"/>
          <w:sz w:val="24"/>
          <w:szCs w:val="24"/>
        </w:rPr>
        <w:t xml:space="preserve">lusive </w:t>
      </w:r>
      <w:r w:rsidRPr="009C5BC2">
        <w:rPr>
          <w:rFonts w:ascii="Times New Roman" w:hAnsi="Times New Roman" w:cs="Times New Roman"/>
          <w:sz w:val="24"/>
          <w:szCs w:val="24"/>
        </w:rPr>
        <w:t>when one takes account of what Parker refers to as “a collapse in consensus over certain kinds of values to do with conformism and individuality, material success and personal contentment, gender differentiation and so on.”</w:t>
      </w:r>
      <w:r w:rsidR="003925EF" w:rsidRPr="009C5BC2">
        <w:rPr>
          <w:rStyle w:val="FootnoteReference"/>
          <w:rFonts w:ascii="Times New Roman" w:hAnsi="Times New Roman" w:cs="Times New Roman"/>
          <w:sz w:val="24"/>
          <w:szCs w:val="24"/>
        </w:rPr>
        <w:footnoteReference w:id="38"/>
      </w:r>
      <w:r w:rsidRPr="009C5BC2">
        <w:rPr>
          <w:rFonts w:ascii="Times New Roman" w:hAnsi="Times New Roman" w:cs="Times New Roman"/>
          <w:sz w:val="24"/>
          <w:szCs w:val="24"/>
        </w:rPr>
        <w:t xml:space="preserve"> In Western democracies, at least, we have increasingly less defined conventions and a less prominent sense of shared values (other than perhaps a shift towards libertarianism) to guide d</w:t>
      </w:r>
      <w:r w:rsidR="00CF117C" w:rsidRPr="009C5BC2">
        <w:rPr>
          <w:rFonts w:ascii="Times New Roman" w:hAnsi="Times New Roman" w:cs="Times New Roman"/>
          <w:sz w:val="24"/>
          <w:szCs w:val="24"/>
        </w:rPr>
        <w:t>ecisions</w:t>
      </w:r>
      <w:r w:rsidRPr="009C5BC2">
        <w:rPr>
          <w:rFonts w:ascii="Times New Roman" w:hAnsi="Times New Roman" w:cs="Times New Roman"/>
          <w:sz w:val="24"/>
          <w:szCs w:val="24"/>
        </w:rPr>
        <w:t xml:space="preserve">, making it increasingly difficult to </w:t>
      </w:r>
      <w:r w:rsidR="000E53EC" w:rsidRPr="009C5BC2">
        <w:rPr>
          <w:rFonts w:ascii="Times New Roman" w:hAnsi="Times New Roman" w:cs="Times New Roman"/>
          <w:sz w:val="24"/>
          <w:szCs w:val="24"/>
        </w:rPr>
        <w:t>ascribe a generalised set of circumstances or ideals to a</w:t>
      </w:r>
      <w:r w:rsidRPr="009C5BC2">
        <w:rPr>
          <w:rFonts w:ascii="Times New Roman" w:hAnsi="Times New Roman" w:cs="Times New Roman"/>
          <w:sz w:val="24"/>
          <w:szCs w:val="24"/>
        </w:rPr>
        <w:t xml:space="preserve"> best interests </w:t>
      </w:r>
      <w:r w:rsidR="000E53EC" w:rsidRPr="009C5BC2">
        <w:rPr>
          <w:rFonts w:ascii="Times New Roman" w:hAnsi="Times New Roman" w:cs="Times New Roman"/>
          <w:sz w:val="24"/>
          <w:szCs w:val="24"/>
        </w:rPr>
        <w:t>assessment</w:t>
      </w:r>
      <w:r w:rsidRPr="009C5BC2">
        <w:rPr>
          <w:rFonts w:ascii="Times New Roman" w:hAnsi="Times New Roman" w:cs="Times New Roman"/>
          <w:sz w:val="24"/>
          <w:szCs w:val="24"/>
        </w:rPr>
        <w:t>.</w:t>
      </w:r>
      <w:r w:rsidR="000E53EC" w:rsidRPr="009C5BC2">
        <w:rPr>
          <w:rFonts w:ascii="Times New Roman" w:hAnsi="Times New Roman" w:cs="Times New Roman"/>
          <w:sz w:val="24"/>
          <w:szCs w:val="24"/>
        </w:rPr>
        <w:t xml:space="preserve"> </w:t>
      </w:r>
      <w:r w:rsidR="00CF117C" w:rsidRPr="009C5BC2">
        <w:rPr>
          <w:rFonts w:ascii="Times New Roman" w:hAnsi="Times New Roman" w:cs="Times New Roman"/>
          <w:sz w:val="24"/>
          <w:szCs w:val="24"/>
        </w:rPr>
        <w:t xml:space="preserve">Whilst we </w:t>
      </w:r>
      <w:r w:rsidR="005A10CC">
        <w:rPr>
          <w:rFonts w:ascii="Times New Roman" w:hAnsi="Times New Roman" w:cs="Times New Roman"/>
          <w:sz w:val="24"/>
          <w:szCs w:val="24"/>
        </w:rPr>
        <w:t xml:space="preserve">might </w:t>
      </w:r>
      <w:r w:rsidR="000B2816" w:rsidRPr="009C5BC2">
        <w:rPr>
          <w:rFonts w:ascii="Times New Roman" w:hAnsi="Times New Roman" w:cs="Times New Roman"/>
          <w:sz w:val="24"/>
          <w:szCs w:val="24"/>
        </w:rPr>
        <w:t xml:space="preserve">still hang onto the artificial </w:t>
      </w:r>
      <w:r w:rsidR="00CF117C" w:rsidRPr="009C5BC2">
        <w:rPr>
          <w:rFonts w:ascii="Times New Roman" w:hAnsi="Times New Roman" w:cs="Times New Roman"/>
          <w:sz w:val="24"/>
          <w:szCs w:val="24"/>
        </w:rPr>
        <w:t>assumption</w:t>
      </w:r>
      <w:r w:rsidR="000B2816" w:rsidRPr="009C5BC2">
        <w:rPr>
          <w:rFonts w:ascii="Times New Roman" w:hAnsi="Times New Roman" w:cs="Times New Roman"/>
          <w:sz w:val="24"/>
          <w:szCs w:val="24"/>
        </w:rPr>
        <w:t xml:space="preserve"> that best interests can be determined</w:t>
      </w:r>
      <w:r w:rsidR="00DB3A68" w:rsidRPr="009C5BC2">
        <w:rPr>
          <w:rFonts w:ascii="Times New Roman" w:hAnsi="Times New Roman" w:cs="Times New Roman"/>
          <w:sz w:val="24"/>
          <w:szCs w:val="24"/>
        </w:rPr>
        <w:t xml:space="preserve"> by reference to shared </w:t>
      </w:r>
      <w:r w:rsidR="00CF117C" w:rsidRPr="009C5BC2">
        <w:rPr>
          <w:rFonts w:ascii="Times New Roman" w:hAnsi="Times New Roman" w:cs="Times New Roman"/>
          <w:sz w:val="24"/>
          <w:szCs w:val="24"/>
        </w:rPr>
        <w:t>values or wisdom, in reality best interests assessments are unnervingly instinctive and highly contingent on the subjective assessment and value framework of the decision-maker.</w:t>
      </w:r>
      <w:r w:rsidR="002F61DC" w:rsidRPr="009C5BC2">
        <w:rPr>
          <w:rFonts w:ascii="Times New Roman" w:hAnsi="Times New Roman" w:cs="Times New Roman"/>
          <w:sz w:val="24"/>
          <w:szCs w:val="24"/>
        </w:rPr>
        <w:t xml:space="preserve"> </w:t>
      </w:r>
    </w:p>
    <w:p w14:paraId="0BB62C0A" w14:textId="523CDD74" w:rsidR="006A1648" w:rsidRPr="009C5BC2" w:rsidRDefault="002F61DC" w:rsidP="00020ECA">
      <w:pPr>
        <w:autoSpaceDE w:val="0"/>
        <w:autoSpaceDN w:val="0"/>
        <w:adjustRightInd w:val="0"/>
        <w:spacing w:after="0" w:line="360" w:lineRule="auto"/>
        <w:rPr>
          <w:rFonts w:ascii="Times New Roman" w:hAnsi="Times New Roman" w:cs="Times New Roman"/>
          <w:sz w:val="24"/>
          <w:szCs w:val="24"/>
        </w:rPr>
      </w:pPr>
      <w:r w:rsidRPr="009C5BC2">
        <w:rPr>
          <w:rFonts w:ascii="Times New Roman" w:hAnsi="Times New Roman" w:cs="Times New Roman"/>
          <w:sz w:val="24"/>
          <w:szCs w:val="24"/>
        </w:rPr>
        <w:t>In</w:t>
      </w:r>
      <w:r w:rsidR="007048AC" w:rsidRPr="009C5BC2">
        <w:rPr>
          <w:rFonts w:ascii="Times New Roman" w:hAnsi="Times New Roman" w:cs="Times New Roman"/>
          <w:sz w:val="24"/>
          <w:szCs w:val="24"/>
        </w:rPr>
        <w:t xml:space="preserve"> extending </w:t>
      </w:r>
      <w:r w:rsidR="005941F8" w:rsidRPr="009C5BC2">
        <w:rPr>
          <w:rFonts w:ascii="Times New Roman" w:hAnsi="Times New Roman" w:cs="Times New Roman"/>
          <w:sz w:val="24"/>
          <w:szCs w:val="24"/>
        </w:rPr>
        <w:t xml:space="preserve">best interests </w:t>
      </w:r>
      <w:r w:rsidR="007048AC" w:rsidRPr="009C5BC2">
        <w:rPr>
          <w:rFonts w:ascii="Times New Roman" w:hAnsi="Times New Roman" w:cs="Times New Roman"/>
          <w:sz w:val="24"/>
          <w:szCs w:val="24"/>
        </w:rPr>
        <w:t>to other human rights arenas</w:t>
      </w:r>
      <w:r w:rsidRPr="009C5BC2">
        <w:rPr>
          <w:rFonts w:ascii="Times New Roman" w:hAnsi="Times New Roman" w:cs="Times New Roman"/>
          <w:sz w:val="24"/>
          <w:szCs w:val="24"/>
        </w:rPr>
        <w:t>, therefore,</w:t>
      </w:r>
      <w:r w:rsidR="007048AC" w:rsidRPr="009C5BC2">
        <w:rPr>
          <w:rFonts w:ascii="Times New Roman" w:hAnsi="Times New Roman" w:cs="Times New Roman"/>
          <w:sz w:val="24"/>
          <w:szCs w:val="24"/>
        </w:rPr>
        <w:t xml:space="preserve"> we risk completely losing grip on what is already a slippery</w:t>
      </w:r>
      <w:r w:rsidR="009339E5" w:rsidRPr="009C5BC2">
        <w:rPr>
          <w:rFonts w:ascii="Times New Roman" w:hAnsi="Times New Roman" w:cs="Times New Roman"/>
          <w:sz w:val="24"/>
          <w:szCs w:val="24"/>
        </w:rPr>
        <w:t xml:space="preserve">, highly </w:t>
      </w:r>
      <w:r w:rsidR="00CF117C" w:rsidRPr="009C5BC2">
        <w:rPr>
          <w:rFonts w:ascii="Times New Roman" w:hAnsi="Times New Roman" w:cs="Times New Roman"/>
          <w:sz w:val="24"/>
          <w:szCs w:val="24"/>
        </w:rPr>
        <w:t>contested</w:t>
      </w:r>
      <w:r w:rsidR="007048AC" w:rsidRPr="009C5BC2">
        <w:rPr>
          <w:rFonts w:ascii="Times New Roman" w:hAnsi="Times New Roman" w:cs="Times New Roman"/>
          <w:sz w:val="24"/>
          <w:szCs w:val="24"/>
        </w:rPr>
        <w:t xml:space="preserve"> concept. </w:t>
      </w:r>
      <w:r w:rsidR="005941F8" w:rsidRPr="009C5BC2">
        <w:rPr>
          <w:rFonts w:ascii="Times New Roman" w:hAnsi="Times New Roman" w:cs="Times New Roman"/>
          <w:sz w:val="24"/>
          <w:szCs w:val="24"/>
        </w:rPr>
        <w:t>This would not only inhibit</w:t>
      </w:r>
      <w:r w:rsidR="007048AC" w:rsidRPr="009C5BC2">
        <w:rPr>
          <w:rFonts w:ascii="Times New Roman" w:hAnsi="Times New Roman" w:cs="Times New Roman"/>
          <w:sz w:val="24"/>
          <w:szCs w:val="24"/>
        </w:rPr>
        <w:t xml:space="preserve"> progress in children’s rights, but </w:t>
      </w:r>
      <w:r w:rsidR="005941F8" w:rsidRPr="009C5BC2">
        <w:rPr>
          <w:rFonts w:ascii="Times New Roman" w:hAnsi="Times New Roman" w:cs="Times New Roman"/>
          <w:sz w:val="24"/>
          <w:szCs w:val="24"/>
        </w:rPr>
        <w:t xml:space="preserve">would risk </w:t>
      </w:r>
      <w:r w:rsidR="007048AC" w:rsidRPr="009C5BC2">
        <w:rPr>
          <w:rFonts w:ascii="Times New Roman" w:hAnsi="Times New Roman" w:cs="Times New Roman"/>
          <w:sz w:val="24"/>
          <w:szCs w:val="24"/>
        </w:rPr>
        <w:t xml:space="preserve">distorting assessments of adult autonomy and self-determination – quite literally straitjacketing them. One only has to look at the best interests standard in the context of medical decision-making and disability to see how readily it is used to reinforce a highly paternalistic, protectionist agenda and, as a consequence, to divest individuals of their decision-making autonomy. </w:t>
      </w:r>
      <w:r w:rsidR="009D1F7F" w:rsidRPr="009C5BC2">
        <w:rPr>
          <w:rFonts w:ascii="Times New Roman" w:hAnsi="Times New Roman" w:cs="Times New Roman"/>
          <w:sz w:val="24"/>
          <w:szCs w:val="24"/>
        </w:rPr>
        <w:t xml:space="preserve">Moral and legal philosophers such as John Stuart Mill have resolutely rejected any attempts to impose constraints on an individual (adult’s) liberty for the purpose of promoting his or her own good. But </w:t>
      </w:r>
      <w:r w:rsidRPr="009C5BC2">
        <w:rPr>
          <w:rFonts w:ascii="Times New Roman" w:hAnsi="Times New Roman" w:cs="Times New Roman"/>
          <w:sz w:val="24"/>
          <w:szCs w:val="24"/>
        </w:rPr>
        <w:t>it is also</w:t>
      </w:r>
      <w:r w:rsidR="009D1F7F" w:rsidRPr="009C5BC2">
        <w:rPr>
          <w:rFonts w:ascii="Times New Roman" w:hAnsi="Times New Roman" w:cs="Times New Roman"/>
          <w:sz w:val="24"/>
          <w:szCs w:val="24"/>
        </w:rPr>
        <w:t xml:space="preserve"> conceded that there is a class of person</w:t>
      </w:r>
      <w:r w:rsidR="00916613" w:rsidRPr="009C5BC2">
        <w:rPr>
          <w:rFonts w:ascii="Times New Roman" w:hAnsi="Times New Roman" w:cs="Times New Roman"/>
          <w:sz w:val="24"/>
          <w:szCs w:val="24"/>
        </w:rPr>
        <w:t>s</w:t>
      </w:r>
      <w:r w:rsidR="009D1F7F" w:rsidRPr="009C5BC2">
        <w:rPr>
          <w:rFonts w:ascii="Times New Roman" w:hAnsi="Times New Roman" w:cs="Times New Roman"/>
          <w:sz w:val="24"/>
          <w:szCs w:val="24"/>
        </w:rPr>
        <w:t xml:space="preserve"> (children</w:t>
      </w:r>
      <w:r w:rsidR="00916613" w:rsidRPr="009C5BC2">
        <w:rPr>
          <w:rFonts w:ascii="Times New Roman" w:hAnsi="Times New Roman" w:cs="Times New Roman"/>
          <w:sz w:val="24"/>
          <w:szCs w:val="24"/>
        </w:rPr>
        <w:t>, the profoundly disabled or mentally incapacitated</w:t>
      </w:r>
      <w:r w:rsidR="009D1F7F" w:rsidRPr="009C5BC2">
        <w:rPr>
          <w:rFonts w:ascii="Times New Roman" w:hAnsi="Times New Roman" w:cs="Times New Roman"/>
          <w:sz w:val="24"/>
          <w:szCs w:val="24"/>
        </w:rPr>
        <w:t xml:space="preserve">) with respect to which paternalistic interventions can be justified because of their inherent vulnerability. And so, there are multiple legal and policy interventions that are paternalistic in nature. But the application of this principle to such cases has not been without its problems: legal academics and practitioners alike have grappled over what the components of the best interests formula in such cases might be; what kinds of benefits and burdens can be factored into such decisions; how the interests and well-being of a profoundly disabled, barely communicative person </w:t>
      </w:r>
      <w:r w:rsidR="00916613" w:rsidRPr="009C5BC2">
        <w:rPr>
          <w:rFonts w:ascii="Times New Roman" w:hAnsi="Times New Roman" w:cs="Times New Roman"/>
          <w:sz w:val="24"/>
          <w:szCs w:val="24"/>
        </w:rPr>
        <w:t xml:space="preserve">should be </w:t>
      </w:r>
      <w:r w:rsidR="009D1F7F" w:rsidRPr="009C5BC2">
        <w:rPr>
          <w:rFonts w:ascii="Times New Roman" w:hAnsi="Times New Roman" w:cs="Times New Roman"/>
          <w:sz w:val="24"/>
          <w:szCs w:val="24"/>
        </w:rPr>
        <w:t>assessed and measured; whose perspective/value judgme</w:t>
      </w:r>
      <w:r w:rsidR="00916613" w:rsidRPr="009C5BC2">
        <w:rPr>
          <w:rFonts w:ascii="Times New Roman" w:hAnsi="Times New Roman" w:cs="Times New Roman"/>
          <w:sz w:val="24"/>
          <w:szCs w:val="24"/>
        </w:rPr>
        <w:t>nt on quality of life governs; t</w:t>
      </w:r>
      <w:r w:rsidR="009D1F7F" w:rsidRPr="009C5BC2">
        <w:rPr>
          <w:rFonts w:ascii="Times New Roman" w:hAnsi="Times New Roman" w:cs="Times New Roman"/>
          <w:sz w:val="24"/>
          <w:szCs w:val="24"/>
        </w:rPr>
        <w:t xml:space="preserve">o what extent should the views and wishes of the individual </w:t>
      </w:r>
      <w:r w:rsidR="009D1F7F" w:rsidRPr="009C5BC2">
        <w:rPr>
          <w:rFonts w:ascii="Times New Roman" w:hAnsi="Times New Roman" w:cs="Times New Roman"/>
          <w:sz w:val="24"/>
          <w:szCs w:val="24"/>
        </w:rPr>
        <w:lastRenderedPageBreak/>
        <w:t>inform determi</w:t>
      </w:r>
      <w:r w:rsidR="00916613" w:rsidRPr="009C5BC2">
        <w:rPr>
          <w:rFonts w:ascii="Times New Roman" w:hAnsi="Times New Roman" w:cs="Times New Roman"/>
          <w:sz w:val="24"/>
          <w:szCs w:val="24"/>
        </w:rPr>
        <w:t>nations of their best interests;</w:t>
      </w:r>
      <w:r w:rsidR="009D1F7F" w:rsidRPr="009C5BC2">
        <w:rPr>
          <w:rFonts w:ascii="Times New Roman" w:hAnsi="Times New Roman" w:cs="Times New Roman"/>
          <w:sz w:val="24"/>
          <w:szCs w:val="24"/>
        </w:rPr>
        <w:t xml:space="preserve"> </w:t>
      </w:r>
      <w:r w:rsidR="00D26345">
        <w:rPr>
          <w:rFonts w:ascii="Times New Roman" w:hAnsi="Times New Roman" w:cs="Times New Roman"/>
          <w:sz w:val="24"/>
          <w:szCs w:val="24"/>
        </w:rPr>
        <w:t xml:space="preserve">and </w:t>
      </w:r>
      <w:r w:rsidR="009D1F7F" w:rsidRPr="009C5BC2">
        <w:rPr>
          <w:rFonts w:ascii="Times New Roman" w:hAnsi="Times New Roman" w:cs="Times New Roman"/>
          <w:sz w:val="24"/>
          <w:szCs w:val="24"/>
        </w:rPr>
        <w:t>how should those vi</w:t>
      </w:r>
      <w:r w:rsidR="00916613" w:rsidRPr="009C5BC2">
        <w:rPr>
          <w:rFonts w:ascii="Times New Roman" w:hAnsi="Times New Roman" w:cs="Times New Roman"/>
          <w:sz w:val="24"/>
          <w:szCs w:val="24"/>
        </w:rPr>
        <w:t>ews be elicited and interpreted</w:t>
      </w:r>
      <w:r w:rsidR="0039750D" w:rsidRPr="009C5BC2">
        <w:rPr>
          <w:rFonts w:ascii="Times New Roman" w:hAnsi="Times New Roman" w:cs="Times New Roman"/>
          <w:sz w:val="24"/>
          <w:szCs w:val="24"/>
        </w:rPr>
        <w:t xml:space="preserve"> (whether it is</w:t>
      </w:r>
      <w:r w:rsidR="00916613" w:rsidRPr="009C5BC2">
        <w:rPr>
          <w:rFonts w:ascii="Times New Roman" w:hAnsi="Times New Roman" w:cs="Times New Roman"/>
          <w:sz w:val="24"/>
          <w:szCs w:val="24"/>
        </w:rPr>
        <w:t xml:space="preserve"> </w:t>
      </w:r>
      <w:r w:rsidR="009D1F7F" w:rsidRPr="009C5BC2">
        <w:rPr>
          <w:rFonts w:ascii="Times New Roman" w:hAnsi="Times New Roman" w:cs="Times New Roman"/>
          <w:sz w:val="24"/>
          <w:szCs w:val="24"/>
        </w:rPr>
        <w:t>permissible</w:t>
      </w:r>
      <w:r w:rsidR="0039750D" w:rsidRPr="009C5BC2">
        <w:rPr>
          <w:rFonts w:ascii="Times New Roman" w:hAnsi="Times New Roman" w:cs="Times New Roman"/>
          <w:sz w:val="24"/>
          <w:szCs w:val="24"/>
        </w:rPr>
        <w:t>, for instance,</w:t>
      </w:r>
      <w:r w:rsidR="009D1F7F" w:rsidRPr="009C5BC2">
        <w:rPr>
          <w:rFonts w:ascii="Times New Roman" w:hAnsi="Times New Roman" w:cs="Times New Roman"/>
          <w:sz w:val="24"/>
          <w:szCs w:val="24"/>
        </w:rPr>
        <w:t xml:space="preserve"> to consider the interconnected interests of other persons such as surrounding family and care givers</w:t>
      </w:r>
      <w:r w:rsidR="0039750D" w:rsidRPr="009C5BC2">
        <w:rPr>
          <w:rFonts w:ascii="Times New Roman" w:hAnsi="Times New Roman" w:cs="Times New Roman"/>
          <w:sz w:val="24"/>
          <w:szCs w:val="24"/>
        </w:rPr>
        <w:t>). An increasing preoccupation, particularly in times of austerity, is the weight that should be attached to the</w:t>
      </w:r>
      <w:r w:rsidR="009D1F7F" w:rsidRPr="009C5BC2">
        <w:rPr>
          <w:rFonts w:ascii="Times New Roman" w:hAnsi="Times New Roman" w:cs="Times New Roman"/>
          <w:sz w:val="24"/>
          <w:szCs w:val="24"/>
        </w:rPr>
        <w:t xml:space="preserve"> interests of society </w:t>
      </w:r>
      <w:r w:rsidR="00D26345">
        <w:rPr>
          <w:rFonts w:ascii="Times New Roman" w:hAnsi="Times New Roman" w:cs="Times New Roman"/>
          <w:sz w:val="24"/>
          <w:szCs w:val="24"/>
        </w:rPr>
        <w:t>more broadly when</w:t>
      </w:r>
      <w:r w:rsidR="009D1F7F" w:rsidRPr="009C5BC2">
        <w:rPr>
          <w:rFonts w:ascii="Times New Roman" w:hAnsi="Times New Roman" w:cs="Times New Roman"/>
          <w:sz w:val="24"/>
          <w:szCs w:val="24"/>
        </w:rPr>
        <w:t xml:space="preserve"> faced with the financial burden of supporting expensive, specialised</w:t>
      </w:r>
      <w:r w:rsidR="00D26345">
        <w:rPr>
          <w:rFonts w:ascii="Times New Roman" w:hAnsi="Times New Roman" w:cs="Times New Roman"/>
          <w:sz w:val="24"/>
          <w:szCs w:val="24"/>
        </w:rPr>
        <w:t xml:space="preserve"> and highly individualised</w:t>
      </w:r>
      <w:r w:rsidR="009D1F7F" w:rsidRPr="009C5BC2">
        <w:rPr>
          <w:rFonts w:ascii="Times New Roman" w:hAnsi="Times New Roman" w:cs="Times New Roman"/>
          <w:sz w:val="24"/>
          <w:szCs w:val="24"/>
        </w:rPr>
        <w:t xml:space="preserve"> </w:t>
      </w:r>
      <w:proofErr w:type="gramStart"/>
      <w:r w:rsidR="009D1F7F" w:rsidRPr="009C5BC2">
        <w:rPr>
          <w:rFonts w:ascii="Times New Roman" w:hAnsi="Times New Roman" w:cs="Times New Roman"/>
          <w:sz w:val="24"/>
          <w:szCs w:val="24"/>
        </w:rPr>
        <w:t>treatment</w:t>
      </w:r>
      <w:r w:rsidR="00D26345">
        <w:rPr>
          <w:rFonts w:ascii="Times New Roman" w:hAnsi="Times New Roman" w:cs="Times New Roman"/>
          <w:sz w:val="24"/>
          <w:szCs w:val="24"/>
        </w:rPr>
        <w:t xml:space="preserve"> </w:t>
      </w:r>
      <w:r w:rsidR="0039750D" w:rsidRPr="009C5BC2">
        <w:rPr>
          <w:rFonts w:ascii="Times New Roman" w:hAnsi="Times New Roman" w:cs="Times New Roman"/>
          <w:sz w:val="24"/>
          <w:szCs w:val="24"/>
        </w:rPr>
        <w:t>.</w:t>
      </w:r>
      <w:proofErr w:type="gramEnd"/>
      <w:r w:rsidR="009D1F7F" w:rsidRPr="009C5BC2">
        <w:rPr>
          <w:rFonts w:ascii="Times New Roman" w:hAnsi="Times New Roman" w:cs="Times New Roman"/>
          <w:sz w:val="24"/>
          <w:szCs w:val="24"/>
        </w:rPr>
        <w:t xml:space="preserve"> </w:t>
      </w:r>
    </w:p>
    <w:p w14:paraId="10B766AE" w14:textId="77777777" w:rsidR="006A1648" w:rsidRPr="009C5BC2" w:rsidRDefault="006A1648" w:rsidP="00020ECA">
      <w:pPr>
        <w:autoSpaceDE w:val="0"/>
        <w:autoSpaceDN w:val="0"/>
        <w:adjustRightInd w:val="0"/>
        <w:spacing w:after="0" w:line="360" w:lineRule="auto"/>
        <w:rPr>
          <w:rFonts w:ascii="Times New Roman" w:hAnsi="Times New Roman" w:cs="Times New Roman"/>
          <w:sz w:val="24"/>
          <w:szCs w:val="24"/>
        </w:rPr>
      </w:pPr>
    </w:p>
    <w:p w14:paraId="6611846E" w14:textId="3C63725B" w:rsidR="009D1F7F" w:rsidRPr="009C5BC2" w:rsidRDefault="009D1F7F" w:rsidP="00020ECA">
      <w:pPr>
        <w:autoSpaceDE w:val="0"/>
        <w:autoSpaceDN w:val="0"/>
        <w:adjustRightInd w:val="0"/>
        <w:spacing w:after="0" w:line="360" w:lineRule="auto"/>
        <w:rPr>
          <w:rFonts w:ascii="Times New Roman" w:hAnsi="Times New Roman" w:cs="Times New Roman"/>
          <w:sz w:val="24"/>
          <w:szCs w:val="24"/>
        </w:rPr>
      </w:pPr>
      <w:r w:rsidRPr="009C5BC2">
        <w:rPr>
          <w:rFonts w:ascii="Times New Roman" w:hAnsi="Times New Roman" w:cs="Times New Roman"/>
          <w:sz w:val="24"/>
          <w:szCs w:val="24"/>
        </w:rPr>
        <w:t>The lack of coherent guidance on how to interpret best interests in such contexts has led to significant inconsistency and uncertainty</w:t>
      </w:r>
      <w:r w:rsidR="0039750D" w:rsidRPr="009C5BC2">
        <w:rPr>
          <w:rFonts w:ascii="Times New Roman" w:hAnsi="Times New Roman" w:cs="Times New Roman"/>
          <w:sz w:val="24"/>
          <w:szCs w:val="24"/>
        </w:rPr>
        <w:t xml:space="preserve"> in the outcome of decisions. In an adult decision-making context, this</w:t>
      </w:r>
      <w:r w:rsidRPr="009C5BC2">
        <w:rPr>
          <w:rFonts w:ascii="Times New Roman" w:hAnsi="Times New Roman" w:cs="Times New Roman"/>
          <w:sz w:val="24"/>
          <w:szCs w:val="24"/>
        </w:rPr>
        <w:t xml:space="preserve"> has generated ongoing criticism that such decisions are based on the competent decision-maker’s assumptions or prejudices about the value and quality of</w:t>
      </w:r>
      <w:r w:rsidR="0039750D" w:rsidRPr="009C5BC2">
        <w:rPr>
          <w:rFonts w:ascii="Times New Roman" w:hAnsi="Times New Roman" w:cs="Times New Roman"/>
          <w:sz w:val="24"/>
          <w:szCs w:val="24"/>
        </w:rPr>
        <w:t xml:space="preserve"> a disabled person’s existence, and </w:t>
      </w:r>
      <w:r w:rsidRPr="009C5BC2">
        <w:rPr>
          <w:rFonts w:ascii="Times New Roman" w:hAnsi="Times New Roman" w:cs="Times New Roman"/>
          <w:sz w:val="24"/>
          <w:szCs w:val="24"/>
        </w:rPr>
        <w:t xml:space="preserve">that decisions are </w:t>
      </w:r>
      <w:r w:rsidR="00D56135" w:rsidRPr="009C5BC2">
        <w:rPr>
          <w:rFonts w:ascii="Times New Roman" w:hAnsi="Times New Roman" w:cs="Times New Roman"/>
          <w:sz w:val="24"/>
          <w:szCs w:val="24"/>
        </w:rPr>
        <w:t xml:space="preserve">often </w:t>
      </w:r>
      <w:r w:rsidRPr="009C5BC2">
        <w:rPr>
          <w:rFonts w:ascii="Times New Roman" w:hAnsi="Times New Roman" w:cs="Times New Roman"/>
          <w:sz w:val="24"/>
          <w:szCs w:val="24"/>
        </w:rPr>
        <w:t>made more in the interests of protecting public resources than upholding the rights and dignity of the individual.</w:t>
      </w:r>
      <w:r w:rsidR="0039750D" w:rsidRPr="009C5BC2">
        <w:rPr>
          <w:rStyle w:val="FootnoteReference"/>
          <w:rFonts w:ascii="Times New Roman" w:hAnsi="Times New Roman" w:cs="Times New Roman"/>
          <w:sz w:val="24"/>
          <w:szCs w:val="24"/>
        </w:rPr>
        <w:footnoteReference w:id="39"/>
      </w:r>
      <w:r w:rsidR="00E311AE">
        <w:rPr>
          <w:rFonts w:ascii="Times New Roman" w:hAnsi="Times New Roman" w:cs="Times New Roman"/>
          <w:sz w:val="24"/>
          <w:szCs w:val="24"/>
        </w:rPr>
        <w:t xml:space="preserve"> </w:t>
      </w:r>
    </w:p>
    <w:p w14:paraId="1F041B13" w14:textId="58830498" w:rsidR="008163F6" w:rsidRPr="009C5BC2" w:rsidRDefault="007048AC" w:rsidP="001F725A">
      <w:pPr>
        <w:spacing w:line="360" w:lineRule="auto"/>
        <w:rPr>
          <w:rFonts w:ascii="Times New Roman" w:hAnsi="Times New Roman" w:cs="Times New Roman"/>
          <w:sz w:val="24"/>
          <w:szCs w:val="24"/>
        </w:rPr>
      </w:pPr>
      <w:r w:rsidRPr="009C5BC2">
        <w:rPr>
          <w:rFonts w:ascii="Times New Roman" w:hAnsi="Times New Roman" w:cs="Times New Roman"/>
          <w:sz w:val="24"/>
          <w:szCs w:val="24"/>
        </w:rPr>
        <w:t xml:space="preserve">In England and Wales, for instance, The Mental Capacity Act (MCA) 2005 </w:t>
      </w:r>
      <w:r w:rsidR="007561D3">
        <w:rPr>
          <w:rFonts w:ascii="Times New Roman" w:hAnsi="Times New Roman" w:cs="Times New Roman"/>
          <w:sz w:val="24"/>
          <w:szCs w:val="24"/>
        </w:rPr>
        <w:t xml:space="preserve">was </w:t>
      </w:r>
      <w:r w:rsidRPr="009C5BC2">
        <w:rPr>
          <w:rFonts w:ascii="Times New Roman" w:hAnsi="Times New Roman" w:cs="Times New Roman"/>
          <w:sz w:val="24"/>
          <w:szCs w:val="24"/>
        </w:rPr>
        <w:t>heralded a</w:t>
      </w:r>
      <w:r w:rsidR="007561D3">
        <w:rPr>
          <w:rFonts w:ascii="Times New Roman" w:hAnsi="Times New Roman" w:cs="Times New Roman"/>
          <w:sz w:val="24"/>
          <w:szCs w:val="24"/>
        </w:rPr>
        <w:t>s a</w:t>
      </w:r>
      <w:r w:rsidRPr="009C5BC2">
        <w:rPr>
          <w:rFonts w:ascii="Times New Roman" w:hAnsi="Times New Roman" w:cs="Times New Roman"/>
          <w:sz w:val="24"/>
          <w:szCs w:val="24"/>
        </w:rPr>
        <w:t xml:space="preserve"> “ground-breaking legal framework” to empower and protect those who lack capacity to make decisions for </w:t>
      </w:r>
      <w:proofErr w:type="gramStart"/>
      <w:r w:rsidRPr="009C5BC2">
        <w:rPr>
          <w:rFonts w:ascii="Times New Roman" w:hAnsi="Times New Roman" w:cs="Times New Roman"/>
          <w:sz w:val="24"/>
          <w:szCs w:val="24"/>
        </w:rPr>
        <w:t>themselves</w:t>
      </w:r>
      <w:proofErr w:type="gramEnd"/>
      <w:r w:rsidRPr="009C5BC2">
        <w:rPr>
          <w:rFonts w:ascii="Times New Roman" w:hAnsi="Times New Roman" w:cs="Times New Roman"/>
          <w:sz w:val="24"/>
          <w:szCs w:val="24"/>
        </w:rPr>
        <w:t>.</w:t>
      </w:r>
      <w:r w:rsidR="00D56135" w:rsidRPr="009C5BC2">
        <w:rPr>
          <w:rStyle w:val="FootnoteReference"/>
          <w:rFonts w:ascii="Times New Roman" w:hAnsi="Times New Roman" w:cs="Times New Roman"/>
          <w:sz w:val="24"/>
          <w:szCs w:val="24"/>
        </w:rPr>
        <w:footnoteReference w:id="40"/>
      </w:r>
      <w:r w:rsidRPr="009C5BC2">
        <w:rPr>
          <w:rFonts w:ascii="Times New Roman" w:hAnsi="Times New Roman" w:cs="Times New Roman"/>
          <w:sz w:val="24"/>
          <w:szCs w:val="24"/>
        </w:rPr>
        <w:t xml:space="preserve"> </w:t>
      </w:r>
      <w:r w:rsidR="00552759" w:rsidRPr="009C5BC2">
        <w:rPr>
          <w:rFonts w:ascii="Times New Roman" w:hAnsi="Times New Roman" w:cs="Times New Roman"/>
          <w:sz w:val="24"/>
          <w:szCs w:val="24"/>
        </w:rPr>
        <w:t xml:space="preserve">The best interests principle is a </w:t>
      </w:r>
      <w:r w:rsidR="002F2D4E" w:rsidRPr="009C5BC2">
        <w:rPr>
          <w:rFonts w:ascii="Times New Roman" w:hAnsi="Times New Roman" w:cs="Times New Roman"/>
          <w:sz w:val="24"/>
          <w:szCs w:val="24"/>
        </w:rPr>
        <w:t>cornerstone of this legislation:</w:t>
      </w:r>
      <w:r w:rsidR="00552759" w:rsidRPr="009C5BC2">
        <w:rPr>
          <w:rFonts w:ascii="Times New Roman" w:hAnsi="Times New Roman" w:cs="Times New Roman"/>
          <w:sz w:val="24"/>
          <w:szCs w:val="24"/>
        </w:rPr>
        <w:t xml:space="preserve"> ‘</w:t>
      </w:r>
      <w:r w:rsidR="00552759" w:rsidRPr="009C5BC2">
        <w:rPr>
          <w:rFonts w:ascii="Times New Roman" w:hAnsi="Times New Roman" w:cs="Times New Roman"/>
          <w:i/>
          <w:sz w:val="24"/>
          <w:szCs w:val="24"/>
        </w:rPr>
        <w:t>An act done, or decision made, under this Act for or on behalf of a person who lacks capacity must be done or made, in his best interests’</w:t>
      </w:r>
      <w:r w:rsidR="00552759" w:rsidRPr="00FC1E79">
        <w:rPr>
          <w:rFonts w:ascii="Times New Roman" w:hAnsi="Times New Roman" w:cs="Times New Roman"/>
          <w:sz w:val="24"/>
          <w:szCs w:val="24"/>
        </w:rPr>
        <w:t>.</w:t>
      </w:r>
      <w:r w:rsidR="002F2D4E" w:rsidRPr="00FC1E79">
        <w:rPr>
          <w:rStyle w:val="FootnoteReference"/>
          <w:rFonts w:ascii="Times New Roman" w:hAnsi="Times New Roman" w:cs="Times New Roman"/>
          <w:sz w:val="24"/>
          <w:szCs w:val="24"/>
        </w:rPr>
        <w:footnoteReference w:id="41"/>
      </w:r>
      <w:r w:rsidR="00AA3D79">
        <w:rPr>
          <w:rFonts w:ascii="Times New Roman" w:hAnsi="Times New Roman" w:cs="Times New Roman"/>
          <w:sz w:val="24"/>
          <w:szCs w:val="24"/>
        </w:rPr>
        <w:t xml:space="preserve"> </w:t>
      </w:r>
      <w:r w:rsidR="00552759" w:rsidRPr="009C5BC2">
        <w:rPr>
          <w:rFonts w:ascii="Times New Roman" w:hAnsi="Times New Roman" w:cs="Times New Roman"/>
          <w:sz w:val="24"/>
          <w:szCs w:val="24"/>
        </w:rPr>
        <w:t xml:space="preserve">As a result, the best interests standard forms the basis for all court decisions made and actions carried out on behalf of people who lack capacity to make those decisions for </w:t>
      </w:r>
      <w:proofErr w:type="gramStart"/>
      <w:r w:rsidR="00552759" w:rsidRPr="009C5BC2">
        <w:rPr>
          <w:rFonts w:ascii="Times New Roman" w:hAnsi="Times New Roman" w:cs="Times New Roman"/>
          <w:sz w:val="24"/>
          <w:szCs w:val="24"/>
        </w:rPr>
        <w:t>themselves</w:t>
      </w:r>
      <w:proofErr w:type="gramEnd"/>
      <w:r w:rsidR="00552759" w:rsidRPr="009C5BC2">
        <w:rPr>
          <w:rFonts w:ascii="Times New Roman" w:hAnsi="Times New Roman" w:cs="Times New Roman"/>
          <w:sz w:val="24"/>
          <w:szCs w:val="24"/>
        </w:rPr>
        <w:t xml:space="preserve">. Section 4 </w:t>
      </w:r>
      <w:r w:rsidR="00A32B61">
        <w:rPr>
          <w:rFonts w:ascii="Times New Roman" w:hAnsi="Times New Roman" w:cs="Times New Roman"/>
          <w:sz w:val="24"/>
          <w:szCs w:val="24"/>
        </w:rPr>
        <w:t xml:space="preserve">of the MCA </w:t>
      </w:r>
      <w:r w:rsidR="00552759" w:rsidRPr="009C5BC2">
        <w:rPr>
          <w:rFonts w:ascii="Times New Roman" w:hAnsi="Times New Roman" w:cs="Times New Roman"/>
          <w:sz w:val="24"/>
          <w:szCs w:val="24"/>
        </w:rPr>
        <w:t xml:space="preserve">provides the relevant checklist of factors that should be taken into account to facilitate this assessment. </w:t>
      </w:r>
      <w:r w:rsidR="00C52570" w:rsidRPr="009C5BC2">
        <w:rPr>
          <w:rFonts w:ascii="Times New Roman" w:hAnsi="Times New Roman" w:cs="Times New Roman"/>
          <w:sz w:val="24"/>
          <w:szCs w:val="24"/>
        </w:rPr>
        <w:t>Yet official reports on its implementation reveal that practitioners are all too quick to assume incapacity in relation to decision-making</w:t>
      </w:r>
      <w:r w:rsidR="00A80426" w:rsidRPr="009C5BC2">
        <w:rPr>
          <w:rFonts w:ascii="Times New Roman" w:hAnsi="Times New Roman" w:cs="Times New Roman"/>
          <w:sz w:val="24"/>
          <w:szCs w:val="24"/>
        </w:rPr>
        <w:t>. D</w:t>
      </w:r>
      <w:r w:rsidR="00C52570" w:rsidRPr="009C5BC2">
        <w:rPr>
          <w:rFonts w:ascii="Times New Roman" w:hAnsi="Times New Roman" w:cs="Times New Roman"/>
          <w:sz w:val="24"/>
          <w:szCs w:val="24"/>
        </w:rPr>
        <w:t xml:space="preserve">ecisions are not always carried out within the best </w:t>
      </w:r>
      <w:proofErr w:type="gramStart"/>
      <w:r w:rsidR="00C52570" w:rsidRPr="009C5BC2">
        <w:rPr>
          <w:rFonts w:ascii="Times New Roman" w:hAnsi="Times New Roman" w:cs="Times New Roman"/>
          <w:sz w:val="24"/>
          <w:szCs w:val="24"/>
        </w:rPr>
        <w:t>interests</w:t>
      </w:r>
      <w:proofErr w:type="gramEnd"/>
      <w:r w:rsidR="00C52570" w:rsidRPr="009C5BC2">
        <w:rPr>
          <w:rFonts w:ascii="Times New Roman" w:hAnsi="Times New Roman" w:cs="Times New Roman"/>
          <w:sz w:val="24"/>
          <w:szCs w:val="24"/>
        </w:rPr>
        <w:t xml:space="preserve"> framework, and the best interests idiom is too often used as a smokescreen for capricious and stifling paternalism</w:t>
      </w:r>
      <w:r w:rsidR="00A80426" w:rsidRPr="009C5BC2">
        <w:rPr>
          <w:rFonts w:ascii="Times New Roman" w:hAnsi="Times New Roman" w:cs="Times New Roman"/>
          <w:sz w:val="24"/>
          <w:szCs w:val="24"/>
        </w:rPr>
        <w:t>.</w:t>
      </w:r>
      <w:r w:rsidR="00A80426" w:rsidRPr="009C5BC2">
        <w:rPr>
          <w:rStyle w:val="FootnoteReference"/>
          <w:rFonts w:ascii="Times New Roman" w:hAnsi="Times New Roman" w:cs="Times New Roman"/>
          <w:sz w:val="24"/>
          <w:szCs w:val="24"/>
        </w:rPr>
        <w:footnoteReference w:id="42"/>
      </w:r>
      <w:r w:rsidR="00C52570" w:rsidRPr="009C5BC2">
        <w:rPr>
          <w:rFonts w:ascii="Times New Roman" w:hAnsi="Times New Roman" w:cs="Times New Roman"/>
          <w:sz w:val="24"/>
          <w:szCs w:val="24"/>
        </w:rPr>
        <w:t xml:space="preserve"> </w:t>
      </w:r>
      <w:r w:rsidR="00B3672C" w:rsidRPr="009C5BC2">
        <w:rPr>
          <w:rFonts w:ascii="Times New Roman" w:hAnsi="Times New Roman" w:cs="Times New Roman"/>
          <w:sz w:val="24"/>
          <w:szCs w:val="24"/>
        </w:rPr>
        <w:t>Practitioners are accused of imposing restrictions on patients ‘without any consideration of the person’s capacity to consent or the need to maximise decision-making capacity.’</w:t>
      </w:r>
      <w:r w:rsidR="00B3672C" w:rsidRPr="009C5BC2">
        <w:rPr>
          <w:rStyle w:val="FootnoteReference"/>
          <w:rFonts w:ascii="Times New Roman" w:hAnsi="Times New Roman" w:cs="Times New Roman"/>
          <w:sz w:val="24"/>
          <w:szCs w:val="24"/>
        </w:rPr>
        <w:footnoteReference w:id="43"/>
      </w:r>
      <w:r w:rsidR="00B3672C" w:rsidRPr="009C5BC2">
        <w:rPr>
          <w:rFonts w:ascii="Times New Roman" w:hAnsi="Times New Roman" w:cs="Times New Roman"/>
          <w:sz w:val="24"/>
          <w:szCs w:val="24"/>
        </w:rPr>
        <w:t xml:space="preserve">  </w:t>
      </w:r>
      <w:r w:rsidR="001F725A" w:rsidRPr="009C5BC2">
        <w:rPr>
          <w:rFonts w:ascii="Times New Roman" w:hAnsi="Times New Roman" w:cs="Times New Roman"/>
          <w:sz w:val="24"/>
          <w:szCs w:val="24"/>
        </w:rPr>
        <w:t xml:space="preserve">Criticism is also commonly levelled at how vulnerable individuals’ views about what is in their best interests in a care or mental health context are only considered </w:t>
      </w:r>
      <w:r w:rsidR="001F725A" w:rsidRPr="009C5BC2">
        <w:rPr>
          <w:rFonts w:ascii="Times New Roman" w:hAnsi="Times New Roman" w:cs="Times New Roman"/>
          <w:i/>
          <w:sz w:val="24"/>
          <w:szCs w:val="24"/>
        </w:rPr>
        <w:t xml:space="preserve">alongside </w:t>
      </w:r>
      <w:r w:rsidR="001F725A" w:rsidRPr="009C5BC2">
        <w:rPr>
          <w:rFonts w:ascii="Times New Roman" w:hAnsi="Times New Roman" w:cs="Times New Roman"/>
          <w:sz w:val="24"/>
          <w:szCs w:val="24"/>
        </w:rPr>
        <w:t xml:space="preserve">other factors such as the view of their carer or health practitioner, thereby diluting the influence of the individual’s own views, wishes and feelings. Such were </w:t>
      </w:r>
      <w:r w:rsidR="001F725A" w:rsidRPr="009C5BC2">
        <w:rPr>
          <w:rFonts w:ascii="Times New Roman" w:hAnsi="Times New Roman" w:cs="Times New Roman"/>
          <w:sz w:val="24"/>
          <w:szCs w:val="24"/>
        </w:rPr>
        <w:lastRenderedPageBreak/>
        <w:t xml:space="preserve">the conclusions of the House of Lords’ review </w:t>
      </w:r>
      <w:r w:rsidR="00A32B61" w:rsidRPr="009C5BC2">
        <w:rPr>
          <w:rFonts w:ascii="Times New Roman" w:hAnsi="Times New Roman" w:cs="Times New Roman"/>
          <w:sz w:val="24"/>
          <w:szCs w:val="24"/>
        </w:rPr>
        <w:t>in 2014</w:t>
      </w:r>
      <w:r w:rsidR="00A32B61">
        <w:rPr>
          <w:rFonts w:ascii="Times New Roman" w:hAnsi="Times New Roman" w:cs="Times New Roman"/>
          <w:sz w:val="24"/>
          <w:szCs w:val="24"/>
        </w:rPr>
        <w:t xml:space="preserve"> </w:t>
      </w:r>
      <w:r w:rsidR="001F725A" w:rsidRPr="009C5BC2">
        <w:rPr>
          <w:rFonts w:ascii="Times New Roman" w:hAnsi="Times New Roman" w:cs="Times New Roman"/>
          <w:sz w:val="24"/>
          <w:szCs w:val="24"/>
        </w:rPr>
        <w:t>of the Mental Capacity Act 2005 in England and Wales. Its findings also pointed to a pervasive lack of commitment to the empowerment and enablement promised by the statute and a high degree of inconsistency and confusion as to when best interests should rebut autonomous decision-making.</w:t>
      </w:r>
      <w:r w:rsidR="001F725A" w:rsidRPr="009C5BC2">
        <w:rPr>
          <w:rStyle w:val="FootnoteReference"/>
          <w:rFonts w:ascii="Times New Roman" w:hAnsi="Times New Roman" w:cs="Times New Roman"/>
          <w:sz w:val="24"/>
          <w:szCs w:val="24"/>
        </w:rPr>
        <w:footnoteReference w:id="44"/>
      </w:r>
      <w:r w:rsidR="008163F6" w:rsidRPr="009C5BC2">
        <w:rPr>
          <w:rFonts w:ascii="Times New Roman" w:hAnsi="Times New Roman" w:cs="Times New Roman"/>
          <w:sz w:val="24"/>
          <w:szCs w:val="24"/>
        </w:rPr>
        <w:t xml:space="preserve"> </w:t>
      </w:r>
      <w:r w:rsidR="00060A4C" w:rsidRPr="009C5BC2">
        <w:rPr>
          <w:rFonts w:ascii="Times New Roman" w:hAnsi="Times New Roman" w:cs="Times New Roman"/>
          <w:sz w:val="24"/>
          <w:szCs w:val="24"/>
        </w:rPr>
        <w:t>This is made all the more possible by the absence of any reference to paramountcy or primacy within the Act and by the routine absence</w:t>
      </w:r>
      <w:r w:rsidR="00A80426" w:rsidRPr="009C5BC2">
        <w:rPr>
          <w:rFonts w:ascii="Times New Roman" w:hAnsi="Times New Roman" w:cs="Times New Roman"/>
          <w:sz w:val="24"/>
          <w:szCs w:val="24"/>
        </w:rPr>
        <w:t xml:space="preserve"> of any independent assessment</w:t>
      </w:r>
      <w:r w:rsidR="00060A4C" w:rsidRPr="009C5BC2">
        <w:rPr>
          <w:rFonts w:ascii="Times New Roman" w:hAnsi="Times New Roman" w:cs="Times New Roman"/>
          <w:sz w:val="24"/>
          <w:szCs w:val="24"/>
        </w:rPr>
        <w:t>.</w:t>
      </w:r>
      <w:r w:rsidR="00A80426" w:rsidRPr="009C5BC2">
        <w:rPr>
          <w:rStyle w:val="FootnoteReference"/>
          <w:rFonts w:ascii="Times New Roman" w:hAnsi="Times New Roman" w:cs="Times New Roman"/>
          <w:sz w:val="24"/>
          <w:szCs w:val="24"/>
        </w:rPr>
        <w:footnoteReference w:id="45"/>
      </w:r>
      <w:r w:rsidR="00060A4C" w:rsidRPr="009C5BC2">
        <w:rPr>
          <w:rFonts w:ascii="Times New Roman" w:hAnsi="Times New Roman" w:cs="Times New Roman"/>
          <w:sz w:val="24"/>
          <w:szCs w:val="24"/>
        </w:rPr>
        <w:t xml:space="preserve"> Similar criticisms are advanced by John Coggon who expresses fears that the best interests test, if not properly monitored and transparently applied with due consideration for the social and cultural values of the patient rather than those of the medical practitioners, cedes too much power to the medical profession.</w:t>
      </w:r>
      <w:r w:rsidR="00187004" w:rsidRPr="009C5BC2">
        <w:rPr>
          <w:rStyle w:val="FootnoteReference"/>
          <w:rFonts w:ascii="Times New Roman" w:hAnsi="Times New Roman" w:cs="Times New Roman"/>
          <w:sz w:val="24"/>
          <w:szCs w:val="24"/>
        </w:rPr>
        <w:footnoteReference w:id="46"/>
      </w:r>
      <w:r w:rsidR="00060A4C" w:rsidRPr="009C5BC2">
        <w:rPr>
          <w:rFonts w:ascii="Times New Roman" w:hAnsi="Times New Roman" w:cs="Times New Roman"/>
          <w:sz w:val="24"/>
          <w:szCs w:val="24"/>
        </w:rPr>
        <w:t xml:space="preserve"> </w:t>
      </w:r>
    </w:p>
    <w:p w14:paraId="0B34BB24" w14:textId="35540F5D" w:rsidR="002B4F50" w:rsidRPr="009C5BC2" w:rsidRDefault="00B3672C" w:rsidP="002B4F50">
      <w:pPr>
        <w:autoSpaceDE w:val="0"/>
        <w:autoSpaceDN w:val="0"/>
        <w:adjustRightInd w:val="0"/>
        <w:spacing w:after="0" w:line="360" w:lineRule="auto"/>
        <w:rPr>
          <w:rFonts w:ascii="Times New Roman" w:hAnsi="Times New Roman" w:cs="Times New Roman"/>
          <w:sz w:val="24"/>
          <w:szCs w:val="24"/>
        </w:rPr>
      </w:pPr>
      <w:r w:rsidRPr="009C5BC2">
        <w:rPr>
          <w:rFonts w:ascii="Times New Roman" w:hAnsi="Times New Roman" w:cs="Times New Roman"/>
          <w:sz w:val="24"/>
          <w:szCs w:val="24"/>
        </w:rPr>
        <w:t xml:space="preserve">These concerns </w:t>
      </w:r>
      <w:r w:rsidR="008163F6" w:rsidRPr="009C5BC2">
        <w:rPr>
          <w:rFonts w:ascii="Times New Roman" w:hAnsi="Times New Roman" w:cs="Times New Roman"/>
          <w:sz w:val="24"/>
          <w:szCs w:val="24"/>
        </w:rPr>
        <w:t>resonate with persistent concerns about the dominantly paternalistic approach to best interests in a children’s rights context</w:t>
      </w:r>
      <w:r w:rsidR="002B4F50" w:rsidRPr="009C5BC2">
        <w:rPr>
          <w:rFonts w:ascii="Times New Roman" w:hAnsi="Times New Roman" w:cs="Times New Roman"/>
          <w:sz w:val="24"/>
          <w:szCs w:val="24"/>
        </w:rPr>
        <w:t>. D</w:t>
      </w:r>
      <w:r w:rsidR="008163F6" w:rsidRPr="009C5BC2">
        <w:rPr>
          <w:rFonts w:ascii="Times New Roman" w:hAnsi="Times New Roman" w:cs="Times New Roman"/>
          <w:sz w:val="24"/>
          <w:szCs w:val="24"/>
        </w:rPr>
        <w:t>espite legal recognition and abundant empirical research that children’s best interests can best be determined by hearing directly from the child,</w:t>
      </w:r>
      <w:r w:rsidR="00D26345">
        <w:rPr>
          <w:rStyle w:val="FootnoteReference"/>
          <w:rFonts w:ascii="Times New Roman" w:hAnsi="Times New Roman" w:cs="Times New Roman"/>
          <w:sz w:val="24"/>
          <w:szCs w:val="24"/>
        </w:rPr>
        <w:footnoteReference w:id="47"/>
      </w:r>
      <w:r w:rsidR="008163F6" w:rsidRPr="009C5BC2">
        <w:rPr>
          <w:rFonts w:ascii="Times New Roman" w:hAnsi="Times New Roman" w:cs="Times New Roman"/>
          <w:sz w:val="24"/>
          <w:szCs w:val="24"/>
        </w:rPr>
        <w:t xml:space="preserve"> the child’s right to have a say in determining what is in his or her best interests is routinely ignored or trumped in favour of (often unchallenged) protectionist presumptions. The default position of excluding children from direct participation in public care and private family proceedings is a case in point, as is the ease with which medical practitioners can ignore the views even of the most competent child and administer or withhold treatment, purportedly in the pursuit of </w:t>
      </w:r>
      <w:r w:rsidR="00D77591">
        <w:rPr>
          <w:rFonts w:ascii="Times New Roman" w:hAnsi="Times New Roman" w:cs="Times New Roman"/>
          <w:sz w:val="24"/>
          <w:szCs w:val="24"/>
        </w:rPr>
        <w:t>his or her</w:t>
      </w:r>
      <w:r w:rsidR="00D77591" w:rsidRPr="009C5BC2">
        <w:rPr>
          <w:rFonts w:ascii="Times New Roman" w:hAnsi="Times New Roman" w:cs="Times New Roman"/>
          <w:sz w:val="24"/>
          <w:szCs w:val="24"/>
        </w:rPr>
        <w:t xml:space="preserve"> </w:t>
      </w:r>
      <w:r w:rsidR="008163F6" w:rsidRPr="009C5BC2">
        <w:rPr>
          <w:rFonts w:ascii="Times New Roman" w:hAnsi="Times New Roman" w:cs="Times New Roman"/>
          <w:sz w:val="24"/>
          <w:szCs w:val="24"/>
        </w:rPr>
        <w:t>best interests.</w:t>
      </w:r>
      <w:r w:rsidR="008163F6" w:rsidRPr="009C5BC2">
        <w:rPr>
          <w:rStyle w:val="FootnoteReference"/>
          <w:rFonts w:ascii="Times New Roman" w:hAnsi="Times New Roman" w:cs="Times New Roman"/>
          <w:sz w:val="24"/>
          <w:szCs w:val="24"/>
        </w:rPr>
        <w:footnoteReference w:id="48"/>
      </w:r>
      <w:r w:rsidR="008163F6" w:rsidRPr="009C5BC2">
        <w:rPr>
          <w:rFonts w:ascii="Times New Roman" w:hAnsi="Times New Roman" w:cs="Times New Roman"/>
          <w:sz w:val="24"/>
          <w:szCs w:val="24"/>
        </w:rPr>
        <w:t xml:space="preserve"> </w:t>
      </w:r>
      <w:r w:rsidR="002B4F50" w:rsidRPr="009C5BC2">
        <w:rPr>
          <w:rFonts w:ascii="Times New Roman" w:hAnsi="Times New Roman" w:cs="Times New Roman"/>
          <w:sz w:val="24"/>
          <w:szCs w:val="24"/>
        </w:rPr>
        <w:t xml:space="preserve"> </w:t>
      </w:r>
    </w:p>
    <w:p w14:paraId="4877708F" w14:textId="74DE3BF2" w:rsidR="002B4F50" w:rsidRPr="009C5BC2" w:rsidRDefault="00804C22" w:rsidP="00020ECA">
      <w:pPr>
        <w:spacing w:line="360" w:lineRule="auto"/>
        <w:rPr>
          <w:rFonts w:ascii="Times New Roman" w:hAnsi="Times New Roman" w:cs="Times New Roman"/>
          <w:sz w:val="24"/>
          <w:szCs w:val="24"/>
        </w:rPr>
      </w:pPr>
      <w:r w:rsidRPr="009C5BC2">
        <w:rPr>
          <w:rFonts w:ascii="Times New Roman" w:hAnsi="Times New Roman" w:cs="Times New Roman"/>
          <w:sz w:val="24"/>
          <w:szCs w:val="24"/>
        </w:rPr>
        <w:t>Even more problematic is the way in which best interes</w:t>
      </w:r>
      <w:r w:rsidR="00271A0E" w:rsidRPr="009C5BC2">
        <w:rPr>
          <w:rFonts w:ascii="Times New Roman" w:hAnsi="Times New Roman" w:cs="Times New Roman"/>
          <w:sz w:val="24"/>
          <w:szCs w:val="24"/>
        </w:rPr>
        <w:t xml:space="preserve">ts is routinely dispensed with </w:t>
      </w:r>
      <w:r w:rsidRPr="009C5BC2">
        <w:rPr>
          <w:rFonts w:ascii="Times New Roman" w:hAnsi="Times New Roman" w:cs="Times New Roman"/>
          <w:sz w:val="24"/>
          <w:szCs w:val="24"/>
        </w:rPr>
        <w:t>when it comes to securing individuals’ access to social and economic rights.</w:t>
      </w:r>
      <w:r w:rsidR="00092B7F" w:rsidRPr="009C5BC2">
        <w:rPr>
          <w:rFonts w:ascii="Times New Roman" w:hAnsi="Times New Roman" w:cs="Times New Roman"/>
          <w:sz w:val="24"/>
          <w:szCs w:val="24"/>
        </w:rPr>
        <w:t xml:space="preserve"> </w:t>
      </w:r>
      <w:r w:rsidRPr="009C5BC2">
        <w:rPr>
          <w:rFonts w:ascii="Times New Roman" w:hAnsi="Times New Roman" w:cs="Times New Roman"/>
          <w:sz w:val="24"/>
          <w:szCs w:val="24"/>
        </w:rPr>
        <w:t xml:space="preserve"> </w:t>
      </w:r>
      <w:r w:rsidR="00EE2C1E" w:rsidRPr="009C5BC2">
        <w:rPr>
          <w:rFonts w:ascii="Times New Roman" w:hAnsi="Times New Roman" w:cs="Times New Roman"/>
          <w:sz w:val="24"/>
          <w:szCs w:val="24"/>
        </w:rPr>
        <w:t xml:space="preserve">Whilst </w:t>
      </w:r>
      <w:r w:rsidR="00501497" w:rsidRPr="009C5BC2">
        <w:rPr>
          <w:rFonts w:ascii="Times New Roman" w:hAnsi="Times New Roman" w:cs="Times New Roman"/>
          <w:sz w:val="24"/>
          <w:szCs w:val="24"/>
        </w:rPr>
        <w:t xml:space="preserve">applying </w:t>
      </w:r>
      <w:r w:rsidR="00092B7F" w:rsidRPr="009C5BC2">
        <w:rPr>
          <w:rFonts w:ascii="Times New Roman" w:hAnsi="Times New Roman" w:cs="Times New Roman"/>
          <w:sz w:val="24"/>
          <w:szCs w:val="24"/>
        </w:rPr>
        <w:t xml:space="preserve">best interests to decision-making </w:t>
      </w:r>
      <w:r w:rsidR="00501497" w:rsidRPr="009C5BC2">
        <w:rPr>
          <w:rFonts w:ascii="Times New Roman" w:hAnsi="Times New Roman" w:cs="Times New Roman"/>
          <w:sz w:val="24"/>
          <w:szCs w:val="24"/>
        </w:rPr>
        <w:t>around</w:t>
      </w:r>
      <w:r w:rsidR="00092B7F" w:rsidRPr="009C5BC2">
        <w:rPr>
          <w:rFonts w:ascii="Times New Roman" w:hAnsi="Times New Roman" w:cs="Times New Roman"/>
          <w:sz w:val="24"/>
          <w:szCs w:val="24"/>
        </w:rPr>
        <w:t xml:space="preserve"> </w:t>
      </w:r>
      <w:r w:rsidR="00EE2C1E" w:rsidRPr="009C5BC2">
        <w:rPr>
          <w:rFonts w:ascii="Times New Roman" w:hAnsi="Times New Roman" w:cs="Times New Roman"/>
          <w:sz w:val="24"/>
          <w:szCs w:val="24"/>
        </w:rPr>
        <w:t xml:space="preserve">children’s </w:t>
      </w:r>
      <w:r w:rsidR="00092B7F" w:rsidRPr="009C5BC2">
        <w:rPr>
          <w:rFonts w:ascii="Times New Roman" w:hAnsi="Times New Roman" w:cs="Times New Roman"/>
          <w:sz w:val="24"/>
          <w:szCs w:val="24"/>
        </w:rPr>
        <w:t>basic civil rights</w:t>
      </w:r>
      <w:r w:rsidR="0061441D">
        <w:rPr>
          <w:rFonts w:ascii="Times New Roman" w:hAnsi="Times New Roman" w:cs="Times New Roman"/>
          <w:sz w:val="24"/>
          <w:szCs w:val="24"/>
        </w:rPr>
        <w:t xml:space="preserve"> is challenging</w:t>
      </w:r>
      <w:r w:rsidR="00092B7F" w:rsidRPr="009C5BC2">
        <w:rPr>
          <w:rFonts w:ascii="Times New Roman" w:hAnsi="Times New Roman" w:cs="Times New Roman"/>
          <w:sz w:val="24"/>
          <w:szCs w:val="24"/>
        </w:rPr>
        <w:t xml:space="preserve">, the concept </w:t>
      </w:r>
      <w:r w:rsidR="00501497" w:rsidRPr="009C5BC2">
        <w:rPr>
          <w:rFonts w:ascii="Times New Roman" w:hAnsi="Times New Roman" w:cs="Times New Roman"/>
          <w:sz w:val="24"/>
          <w:szCs w:val="24"/>
        </w:rPr>
        <w:t xml:space="preserve">almost completely </w:t>
      </w:r>
      <w:r w:rsidR="00092B7F" w:rsidRPr="009C5BC2">
        <w:rPr>
          <w:rFonts w:ascii="Times New Roman" w:hAnsi="Times New Roman" w:cs="Times New Roman"/>
          <w:sz w:val="24"/>
          <w:szCs w:val="24"/>
        </w:rPr>
        <w:t xml:space="preserve">loses traction when determining how public resources should be allocated </w:t>
      </w:r>
      <w:r w:rsidR="00092B7F" w:rsidRPr="009C5BC2">
        <w:rPr>
          <w:rFonts w:ascii="Times New Roman" w:hAnsi="Times New Roman" w:cs="Times New Roman"/>
          <w:sz w:val="24"/>
          <w:szCs w:val="24"/>
        </w:rPr>
        <w:lastRenderedPageBreak/>
        <w:t xml:space="preserve">in </w:t>
      </w:r>
      <w:r w:rsidR="00501497" w:rsidRPr="009C5BC2">
        <w:rPr>
          <w:rFonts w:ascii="Times New Roman" w:hAnsi="Times New Roman" w:cs="Times New Roman"/>
          <w:sz w:val="24"/>
          <w:szCs w:val="24"/>
        </w:rPr>
        <w:t>the context of</w:t>
      </w:r>
      <w:r w:rsidR="00092B7F" w:rsidRPr="009C5BC2">
        <w:rPr>
          <w:rFonts w:ascii="Times New Roman" w:hAnsi="Times New Roman" w:cs="Times New Roman"/>
          <w:sz w:val="24"/>
          <w:szCs w:val="24"/>
        </w:rPr>
        <w:t xml:space="preserve"> welf</w:t>
      </w:r>
      <w:r w:rsidR="000652D9" w:rsidRPr="009C5BC2">
        <w:rPr>
          <w:rFonts w:ascii="Times New Roman" w:hAnsi="Times New Roman" w:cs="Times New Roman"/>
          <w:sz w:val="24"/>
          <w:szCs w:val="24"/>
        </w:rPr>
        <w:t>are provision, access to education, adequate housing and</w:t>
      </w:r>
      <w:r w:rsidR="00092B7F" w:rsidRPr="009C5BC2">
        <w:rPr>
          <w:rFonts w:ascii="Times New Roman" w:hAnsi="Times New Roman" w:cs="Times New Roman"/>
          <w:sz w:val="24"/>
          <w:szCs w:val="24"/>
        </w:rPr>
        <w:t xml:space="preserve"> legal aid, the very scaffolding supporting individual wel</w:t>
      </w:r>
      <w:r w:rsidR="00501497" w:rsidRPr="009C5BC2">
        <w:rPr>
          <w:rFonts w:ascii="Times New Roman" w:hAnsi="Times New Roman" w:cs="Times New Roman"/>
          <w:sz w:val="24"/>
          <w:szCs w:val="24"/>
        </w:rPr>
        <w:t xml:space="preserve">fare </w:t>
      </w:r>
      <w:r w:rsidR="00092B7F" w:rsidRPr="009C5BC2">
        <w:rPr>
          <w:rFonts w:ascii="Times New Roman" w:hAnsi="Times New Roman" w:cs="Times New Roman"/>
          <w:sz w:val="24"/>
          <w:szCs w:val="24"/>
        </w:rPr>
        <w:t>on a day-to-day basis.</w:t>
      </w:r>
      <w:r w:rsidR="00D07743" w:rsidRPr="009C5BC2">
        <w:rPr>
          <w:rStyle w:val="FootnoteReference"/>
          <w:rFonts w:ascii="Times New Roman" w:hAnsi="Times New Roman" w:cs="Times New Roman"/>
          <w:sz w:val="24"/>
          <w:szCs w:val="24"/>
        </w:rPr>
        <w:footnoteReference w:id="49"/>
      </w:r>
      <w:r w:rsidR="00092B7F" w:rsidRPr="009C5BC2">
        <w:rPr>
          <w:rFonts w:ascii="Times New Roman" w:hAnsi="Times New Roman" w:cs="Times New Roman"/>
          <w:sz w:val="24"/>
          <w:szCs w:val="24"/>
        </w:rPr>
        <w:t xml:space="preserve"> </w:t>
      </w:r>
      <w:r w:rsidR="00E809A9" w:rsidRPr="009C5BC2">
        <w:rPr>
          <w:rFonts w:ascii="Times New Roman" w:hAnsi="Times New Roman" w:cs="Times New Roman"/>
          <w:sz w:val="24"/>
          <w:szCs w:val="24"/>
        </w:rPr>
        <w:t xml:space="preserve">Similarly, </w:t>
      </w:r>
      <w:r w:rsidR="002B4F50" w:rsidRPr="009C5BC2">
        <w:rPr>
          <w:rFonts w:ascii="Times New Roman" w:hAnsi="Times New Roman" w:cs="Times New Roman"/>
          <w:sz w:val="24"/>
          <w:szCs w:val="24"/>
        </w:rPr>
        <w:t xml:space="preserve">as already noted, </w:t>
      </w:r>
      <w:r w:rsidR="00E809A9" w:rsidRPr="009C5BC2">
        <w:rPr>
          <w:rFonts w:ascii="Times New Roman" w:hAnsi="Times New Roman" w:cs="Times New Roman"/>
          <w:sz w:val="24"/>
          <w:szCs w:val="24"/>
        </w:rPr>
        <w:t xml:space="preserve">in an adult-decision-making context, </w:t>
      </w:r>
      <w:r w:rsidR="000652D9" w:rsidRPr="009C5BC2">
        <w:rPr>
          <w:rFonts w:ascii="Times New Roman" w:hAnsi="Times New Roman" w:cs="Times New Roman"/>
          <w:sz w:val="24"/>
          <w:szCs w:val="24"/>
        </w:rPr>
        <w:t xml:space="preserve">the commitment to </w:t>
      </w:r>
      <w:r w:rsidR="00E809A9" w:rsidRPr="009C5BC2">
        <w:rPr>
          <w:rFonts w:ascii="Times New Roman" w:hAnsi="Times New Roman" w:cs="Times New Roman"/>
          <w:sz w:val="24"/>
          <w:szCs w:val="24"/>
        </w:rPr>
        <w:t xml:space="preserve">best interests </w:t>
      </w:r>
      <w:r w:rsidR="000652D9" w:rsidRPr="009C5BC2">
        <w:rPr>
          <w:rFonts w:ascii="Times New Roman" w:hAnsi="Times New Roman" w:cs="Times New Roman"/>
          <w:sz w:val="24"/>
          <w:szCs w:val="24"/>
        </w:rPr>
        <w:t>is readily calibrated</w:t>
      </w:r>
      <w:r w:rsidR="00E809A9" w:rsidRPr="009C5BC2">
        <w:rPr>
          <w:rFonts w:ascii="Times New Roman" w:hAnsi="Times New Roman" w:cs="Times New Roman"/>
          <w:sz w:val="24"/>
          <w:szCs w:val="24"/>
        </w:rPr>
        <w:t xml:space="preserve"> </w:t>
      </w:r>
      <w:r w:rsidR="000652D9" w:rsidRPr="009C5BC2">
        <w:rPr>
          <w:rFonts w:ascii="Times New Roman" w:hAnsi="Times New Roman" w:cs="Times New Roman"/>
          <w:sz w:val="24"/>
          <w:szCs w:val="24"/>
        </w:rPr>
        <w:t xml:space="preserve">in the </w:t>
      </w:r>
      <w:r w:rsidR="00E809A9" w:rsidRPr="009C5BC2">
        <w:rPr>
          <w:rFonts w:ascii="Times New Roman" w:hAnsi="Times New Roman" w:cs="Times New Roman"/>
          <w:sz w:val="24"/>
          <w:szCs w:val="24"/>
        </w:rPr>
        <w:t>light of broader</w:t>
      </w:r>
      <w:r w:rsidR="000652D9" w:rsidRPr="009C5BC2">
        <w:rPr>
          <w:rFonts w:ascii="Times New Roman" w:hAnsi="Times New Roman" w:cs="Times New Roman"/>
          <w:sz w:val="24"/>
          <w:szCs w:val="24"/>
        </w:rPr>
        <w:t>,</w:t>
      </w:r>
      <w:r w:rsidR="00E809A9" w:rsidRPr="009C5BC2">
        <w:rPr>
          <w:rFonts w:ascii="Times New Roman" w:hAnsi="Times New Roman" w:cs="Times New Roman"/>
          <w:sz w:val="24"/>
          <w:szCs w:val="24"/>
        </w:rPr>
        <w:t xml:space="preserve"> often highly pragmatic questions about the interests and capacities of the </w:t>
      </w:r>
      <w:r w:rsidR="000652D9" w:rsidRPr="009C5BC2">
        <w:rPr>
          <w:rFonts w:ascii="Times New Roman" w:hAnsi="Times New Roman" w:cs="Times New Roman"/>
          <w:sz w:val="24"/>
          <w:szCs w:val="24"/>
        </w:rPr>
        <w:t>family and care-givers or</w:t>
      </w:r>
      <w:r w:rsidR="00E809A9" w:rsidRPr="009C5BC2">
        <w:rPr>
          <w:rFonts w:ascii="Times New Roman" w:hAnsi="Times New Roman" w:cs="Times New Roman"/>
          <w:sz w:val="24"/>
          <w:szCs w:val="24"/>
        </w:rPr>
        <w:t xml:space="preserve"> around the interests of society in avoiding extraordinary expense or allocating scar</w:t>
      </w:r>
      <w:r w:rsidR="00D77591">
        <w:rPr>
          <w:rFonts w:ascii="Times New Roman" w:hAnsi="Times New Roman" w:cs="Times New Roman"/>
          <w:sz w:val="24"/>
          <w:szCs w:val="24"/>
        </w:rPr>
        <w:t>c</w:t>
      </w:r>
      <w:r w:rsidR="00E809A9" w:rsidRPr="009C5BC2">
        <w:rPr>
          <w:rFonts w:ascii="Times New Roman" w:hAnsi="Times New Roman" w:cs="Times New Roman"/>
          <w:sz w:val="24"/>
          <w:szCs w:val="24"/>
        </w:rPr>
        <w:t>e public resources in an equitable fashion.</w:t>
      </w:r>
      <w:r w:rsidR="00E809A9" w:rsidRPr="009C5BC2">
        <w:rPr>
          <w:rStyle w:val="FootnoteReference"/>
          <w:rFonts w:ascii="Times New Roman" w:hAnsi="Times New Roman" w:cs="Times New Roman"/>
          <w:sz w:val="24"/>
          <w:szCs w:val="24"/>
        </w:rPr>
        <w:footnoteReference w:id="50"/>
      </w:r>
      <w:r w:rsidR="00E809A9" w:rsidRPr="009C5BC2">
        <w:rPr>
          <w:rFonts w:ascii="Times New Roman" w:hAnsi="Times New Roman" w:cs="Times New Roman"/>
          <w:sz w:val="24"/>
          <w:szCs w:val="24"/>
        </w:rPr>
        <w:t xml:space="preserve"> </w:t>
      </w:r>
      <w:r w:rsidR="002B4F50" w:rsidRPr="009C5BC2">
        <w:rPr>
          <w:rFonts w:ascii="Times New Roman" w:hAnsi="Times New Roman" w:cs="Times New Roman"/>
          <w:sz w:val="24"/>
          <w:szCs w:val="24"/>
        </w:rPr>
        <w:t xml:space="preserve">Such concerns point not only to the way in which best interests is interpreted, but also (and perhaps more) to the processes used (or abused/ignored) to determine it </w:t>
      </w:r>
      <w:r w:rsidR="0061441D">
        <w:rPr>
          <w:rFonts w:ascii="Times New Roman" w:hAnsi="Times New Roman" w:cs="Times New Roman"/>
          <w:sz w:val="24"/>
          <w:szCs w:val="24"/>
        </w:rPr>
        <w:t xml:space="preserve">and </w:t>
      </w:r>
      <w:r w:rsidR="002B4F50" w:rsidRPr="009C5BC2">
        <w:rPr>
          <w:rFonts w:ascii="Times New Roman" w:hAnsi="Times New Roman" w:cs="Times New Roman"/>
          <w:sz w:val="24"/>
          <w:szCs w:val="24"/>
        </w:rPr>
        <w:t xml:space="preserve">to the (lack of) resources invested in realising it and rendering decision-makers accountable for precisely how they have arrived at their assessment.  </w:t>
      </w:r>
    </w:p>
    <w:p w14:paraId="762DC009" w14:textId="13D28593" w:rsidR="0055070F" w:rsidRPr="009C5BC2" w:rsidRDefault="0055070F" w:rsidP="00020ECA">
      <w:pPr>
        <w:spacing w:line="360" w:lineRule="auto"/>
        <w:rPr>
          <w:rFonts w:ascii="Times New Roman" w:hAnsi="Times New Roman" w:cs="Times New Roman"/>
          <w:sz w:val="24"/>
          <w:szCs w:val="24"/>
        </w:rPr>
      </w:pPr>
      <w:r w:rsidRPr="009C5BC2">
        <w:rPr>
          <w:rFonts w:ascii="Times New Roman" w:hAnsi="Times New Roman" w:cs="Times New Roman"/>
          <w:sz w:val="24"/>
          <w:szCs w:val="24"/>
        </w:rPr>
        <w:t>Notwithstanding the</w:t>
      </w:r>
      <w:r w:rsidR="005E1C26">
        <w:rPr>
          <w:rFonts w:ascii="Times New Roman" w:hAnsi="Times New Roman" w:cs="Times New Roman"/>
          <w:sz w:val="24"/>
          <w:szCs w:val="24"/>
        </w:rPr>
        <w:t>se</w:t>
      </w:r>
      <w:r w:rsidRPr="009C5BC2">
        <w:rPr>
          <w:rFonts w:ascii="Times New Roman" w:hAnsi="Times New Roman" w:cs="Times New Roman"/>
          <w:sz w:val="24"/>
          <w:szCs w:val="24"/>
        </w:rPr>
        <w:t xml:space="preserve"> </w:t>
      </w:r>
      <w:r w:rsidR="005E1C26">
        <w:rPr>
          <w:rFonts w:ascii="Times New Roman" w:hAnsi="Times New Roman" w:cs="Times New Roman"/>
          <w:sz w:val="24"/>
          <w:szCs w:val="24"/>
        </w:rPr>
        <w:t>challenges</w:t>
      </w:r>
      <w:r w:rsidRPr="009C5BC2">
        <w:rPr>
          <w:rFonts w:ascii="Times New Roman" w:hAnsi="Times New Roman" w:cs="Times New Roman"/>
          <w:sz w:val="24"/>
          <w:szCs w:val="24"/>
        </w:rPr>
        <w:t>, a final argument that cautions against extending the principle too readily to adult human rights contexts is that</w:t>
      </w:r>
      <w:r w:rsidR="006B6A46" w:rsidRPr="009C5BC2">
        <w:rPr>
          <w:rFonts w:ascii="Times New Roman" w:hAnsi="Times New Roman" w:cs="Times New Roman"/>
          <w:sz w:val="24"/>
          <w:szCs w:val="24"/>
        </w:rPr>
        <w:t xml:space="preserve"> the principle already accommodates the interests of adults as it stands. </w:t>
      </w:r>
    </w:p>
    <w:p w14:paraId="46520519" w14:textId="77777777" w:rsidR="004E5D41" w:rsidRPr="009C5BC2" w:rsidRDefault="004E5D41" w:rsidP="00020ECA">
      <w:pPr>
        <w:spacing w:line="360" w:lineRule="auto"/>
        <w:rPr>
          <w:rFonts w:ascii="Times New Roman" w:hAnsi="Times New Roman" w:cs="Times New Roman"/>
          <w:sz w:val="24"/>
          <w:szCs w:val="24"/>
        </w:rPr>
      </w:pPr>
    </w:p>
    <w:p w14:paraId="0EE70210" w14:textId="33BC9B96" w:rsidR="0055070F" w:rsidRPr="00422240" w:rsidRDefault="0055070F" w:rsidP="008335F6">
      <w:pPr>
        <w:pStyle w:val="ListParagraph"/>
        <w:numPr>
          <w:ilvl w:val="0"/>
          <w:numId w:val="13"/>
        </w:numPr>
        <w:spacing w:line="360" w:lineRule="auto"/>
        <w:jc w:val="both"/>
        <w:rPr>
          <w:rFonts w:ascii="Times New Roman" w:hAnsi="Times New Roman" w:cs="Times New Roman"/>
          <w:b/>
          <w:sz w:val="24"/>
          <w:szCs w:val="24"/>
          <w:u w:val="single"/>
        </w:rPr>
      </w:pPr>
      <w:r w:rsidRPr="00422240">
        <w:rPr>
          <w:rFonts w:ascii="Times New Roman" w:hAnsi="Times New Roman" w:cs="Times New Roman"/>
          <w:b/>
          <w:sz w:val="24"/>
          <w:szCs w:val="24"/>
          <w:u w:val="single"/>
        </w:rPr>
        <w:t xml:space="preserve">The best interests principle is not antithetic to the interests of adults </w:t>
      </w:r>
    </w:p>
    <w:p w14:paraId="4F46E35C" w14:textId="25FA8D8F" w:rsidR="0055070F" w:rsidRPr="00422240" w:rsidRDefault="0055070F" w:rsidP="00020ECA">
      <w:pPr>
        <w:spacing w:line="360" w:lineRule="auto"/>
        <w:jc w:val="both"/>
        <w:rPr>
          <w:rFonts w:ascii="Times New Roman" w:hAnsi="Times New Roman" w:cs="Times New Roman"/>
          <w:sz w:val="24"/>
          <w:szCs w:val="24"/>
        </w:rPr>
      </w:pPr>
      <w:r w:rsidRPr="00422240">
        <w:rPr>
          <w:rFonts w:ascii="Times New Roman" w:hAnsi="Times New Roman" w:cs="Times New Roman"/>
          <w:sz w:val="24"/>
          <w:szCs w:val="24"/>
        </w:rPr>
        <w:t xml:space="preserve">It is perhaps useful to be reminded that the best interest principle </w:t>
      </w:r>
      <w:r w:rsidR="006D3B5C" w:rsidRPr="00422240">
        <w:rPr>
          <w:rFonts w:ascii="Times New Roman" w:hAnsi="Times New Roman" w:cs="Times New Roman"/>
          <w:sz w:val="24"/>
          <w:szCs w:val="24"/>
        </w:rPr>
        <w:t>is not</w:t>
      </w:r>
      <w:r w:rsidRPr="00422240">
        <w:rPr>
          <w:rFonts w:ascii="Times New Roman" w:hAnsi="Times New Roman" w:cs="Times New Roman"/>
          <w:sz w:val="24"/>
          <w:szCs w:val="24"/>
        </w:rPr>
        <w:t xml:space="preserve"> just </w:t>
      </w:r>
      <w:r w:rsidR="006D3B5C" w:rsidRPr="00422240">
        <w:rPr>
          <w:rFonts w:ascii="Times New Roman" w:hAnsi="Times New Roman" w:cs="Times New Roman"/>
          <w:sz w:val="24"/>
          <w:szCs w:val="24"/>
        </w:rPr>
        <w:t>a framework for</w:t>
      </w:r>
      <w:r w:rsidRPr="00422240">
        <w:rPr>
          <w:rFonts w:ascii="Times New Roman" w:hAnsi="Times New Roman" w:cs="Times New Roman"/>
          <w:sz w:val="24"/>
          <w:szCs w:val="24"/>
        </w:rPr>
        <w:t xml:space="preserve"> </w:t>
      </w:r>
      <w:r w:rsidR="006D3B5C" w:rsidRPr="00422240">
        <w:rPr>
          <w:rFonts w:ascii="Times New Roman" w:hAnsi="Times New Roman" w:cs="Times New Roman"/>
          <w:sz w:val="24"/>
          <w:szCs w:val="24"/>
        </w:rPr>
        <w:t xml:space="preserve">determining whether and how </w:t>
      </w:r>
      <w:r w:rsidRPr="00422240">
        <w:rPr>
          <w:rFonts w:ascii="Times New Roman" w:hAnsi="Times New Roman" w:cs="Times New Roman"/>
          <w:sz w:val="24"/>
          <w:szCs w:val="24"/>
        </w:rPr>
        <w:t>other aspects of children’s rights</w:t>
      </w:r>
      <w:r w:rsidR="006D3B5C" w:rsidRPr="00422240">
        <w:rPr>
          <w:rFonts w:ascii="Times New Roman" w:hAnsi="Times New Roman" w:cs="Times New Roman"/>
          <w:sz w:val="24"/>
          <w:szCs w:val="24"/>
        </w:rPr>
        <w:t xml:space="preserve"> should be fulfilled</w:t>
      </w:r>
      <w:r w:rsidR="00FD287F">
        <w:rPr>
          <w:rFonts w:ascii="Times New Roman" w:hAnsi="Times New Roman" w:cs="Times New Roman"/>
          <w:sz w:val="24"/>
          <w:szCs w:val="24"/>
        </w:rPr>
        <w:t>, or</w:t>
      </w:r>
      <w:r w:rsidRPr="00422240">
        <w:rPr>
          <w:rFonts w:ascii="Times New Roman" w:hAnsi="Times New Roman" w:cs="Times New Roman"/>
          <w:sz w:val="24"/>
          <w:szCs w:val="24"/>
        </w:rPr>
        <w:t xml:space="preserve"> </w:t>
      </w:r>
      <w:r w:rsidR="00FD287F">
        <w:rPr>
          <w:rFonts w:ascii="Times New Roman" w:hAnsi="Times New Roman" w:cs="Times New Roman"/>
          <w:sz w:val="24"/>
          <w:szCs w:val="24"/>
        </w:rPr>
        <w:t xml:space="preserve">for </w:t>
      </w:r>
      <w:r w:rsidR="006D3B5C" w:rsidRPr="00422240">
        <w:rPr>
          <w:rFonts w:ascii="Times New Roman" w:hAnsi="Times New Roman" w:cs="Times New Roman"/>
          <w:sz w:val="24"/>
          <w:szCs w:val="24"/>
        </w:rPr>
        <w:t>resolving</w:t>
      </w:r>
      <w:r w:rsidRPr="00422240">
        <w:rPr>
          <w:rFonts w:ascii="Times New Roman" w:hAnsi="Times New Roman" w:cs="Times New Roman"/>
          <w:sz w:val="24"/>
          <w:szCs w:val="24"/>
        </w:rPr>
        <w:t xml:space="preserve"> conflicts </w:t>
      </w:r>
      <w:r w:rsidR="006D3B5C" w:rsidRPr="00422240">
        <w:rPr>
          <w:rFonts w:ascii="Times New Roman" w:hAnsi="Times New Roman" w:cs="Times New Roman"/>
          <w:sz w:val="24"/>
          <w:szCs w:val="24"/>
        </w:rPr>
        <w:t xml:space="preserve">between </w:t>
      </w:r>
      <w:r w:rsidRPr="00422240">
        <w:rPr>
          <w:rFonts w:ascii="Times New Roman" w:hAnsi="Times New Roman" w:cs="Times New Roman"/>
          <w:sz w:val="24"/>
          <w:szCs w:val="24"/>
        </w:rPr>
        <w:t>the rights of children and the rights of others</w:t>
      </w:r>
      <w:r w:rsidR="00FD287F">
        <w:rPr>
          <w:rFonts w:ascii="Times New Roman" w:hAnsi="Times New Roman" w:cs="Times New Roman"/>
          <w:sz w:val="24"/>
          <w:szCs w:val="24"/>
        </w:rPr>
        <w:t>. I</w:t>
      </w:r>
      <w:r w:rsidR="006D3B5C" w:rsidRPr="00422240">
        <w:rPr>
          <w:rFonts w:ascii="Times New Roman" w:hAnsi="Times New Roman" w:cs="Times New Roman"/>
          <w:sz w:val="24"/>
          <w:szCs w:val="24"/>
        </w:rPr>
        <w:t>mportantly</w:t>
      </w:r>
      <w:r w:rsidR="00387E67" w:rsidRPr="00422240">
        <w:rPr>
          <w:rFonts w:ascii="Times New Roman" w:hAnsi="Times New Roman" w:cs="Times New Roman"/>
          <w:sz w:val="24"/>
          <w:szCs w:val="24"/>
        </w:rPr>
        <w:t>,</w:t>
      </w:r>
      <w:r w:rsidR="006D3B5C" w:rsidRPr="00422240">
        <w:rPr>
          <w:rFonts w:ascii="Times New Roman" w:hAnsi="Times New Roman" w:cs="Times New Roman"/>
          <w:sz w:val="24"/>
          <w:szCs w:val="24"/>
        </w:rPr>
        <w:t xml:space="preserve"> </w:t>
      </w:r>
      <w:r w:rsidR="00FD287F">
        <w:rPr>
          <w:rFonts w:ascii="Times New Roman" w:hAnsi="Times New Roman" w:cs="Times New Roman"/>
          <w:sz w:val="24"/>
          <w:szCs w:val="24"/>
        </w:rPr>
        <w:t>it oper</w:t>
      </w:r>
      <w:r w:rsidR="00792907">
        <w:rPr>
          <w:rFonts w:ascii="Times New Roman" w:hAnsi="Times New Roman" w:cs="Times New Roman"/>
          <w:sz w:val="24"/>
          <w:szCs w:val="24"/>
        </w:rPr>
        <w:t xml:space="preserve">ates to </w:t>
      </w:r>
      <w:r w:rsidR="00FD287F">
        <w:rPr>
          <w:rFonts w:ascii="Times New Roman" w:hAnsi="Times New Roman" w:cs="Times New Roman"/>
          <w:i/>
          <w:sz w:val="24"/>
          <w:szCs w:val="24"/>
        </w:rPr>
        <w:t>vindicate</w:t>
      </w:r>
      <w:r w:rsidR="006D3B5C" w:rsidRPr="00422240">
        <w:rPr>
          <w:rFonts w:ascii="Times New Roman" w:hAnsi="Times New Roman" w:cs="Times New Roman"/>
          <w:sz w:val="24"/>
          <w:szCs w:val="24"/>
        </w:rPr>
        <w:t xml:space="preserve"> the rights of </w:t>
      </w:r>
      <w:r w:rsidR="00387E67" w:rsidRPr="00422240">
        <w:rPr>
          <w:rFonts w:ascii="Times New Roman" w:hAnsi="Times New Roman" w:cs="Times New Roman"/>
          <w:sz w:val="24"/>
          <w:szCs w:val="24"/>
        </w:rPr>
        <w:t xml:space="preserve">(adult) </w:t>
      </w:r>
      <w:r w:rsidR="006D3B5C" w:rsidRPr="00422240">
        <w:rPr>
          <w:rFonts w:ascii="Times New Roman" w:hAnsi="Times New Roman" w:cs="Times New Roman"/>
          <w:sz w:val="24"/>
          <w:szCs w:val="24"/>
        </w:rPr>
        <w:t>others</w:t>
      </w:r>
      <w:r w:rsidRPr="00422240">
        <w:rPr>
          <w:rFonts w:ascii="Times New Roman" w:hAnsi="Times New Roman" w:cs="Times New Roman"/>
          <w:sz w:val="24"/>
          <w:szCs w:val="24"/>
        </w:rPr>
        <w:t>.</w:t>
      </w:r>
      <w:r w:rsidR="006D3B5C" w:rsidRPr="00422240">
        <w:rPr>
          <w:rFonts w:ascii="Times New Roman" w:hAnsi="Times New Roman" w:cs="Times New Roman"/>
          <w:sz w:val="24"/>
          <w:szCs w:val="24"/>
        </w:rPr>
        <w:t xml:space="preserve"> </w:t>
      </w:r>
      <w:r w:rsidRPr="00422240">
        <w:rPr>
          <w:rFonts w:ascii="Times New Roman" w:hAnsi="Times New Roman" w:cs="Times New Roman"/>
          <w:sz w:val="24"/>
          <w:szCs w:val="24"/>
        </w:rPr>
        <w:t xml:space="preserve">The text of Article 3(1) is very carefully worded to reflect the fact that the best interests of the child shall be “a primary consideration”, not “the primary consideration” or “a/the paramount consideration”. This wording was the product of extensive, heated debate following which the drafters settled on a formula that accommodated situations in which the competing interests of </w:t>
      </w:r>
      <w:proofErr w:type="gramStart"/>
      <w:r w:rsidRPr="00422240">
        <w:rPr>
          <w:rFonts w:ascii="Times New Roman" w:hAnsi="Times New Roman" w:cs="Times New Roman"/>
          <w:sz w:val="24"/>
          <w:szCs w:val="24"/>
        </w:rPr>
        <w:t>others,</w:t>
      </w:r>
      <w:proofErr w:type="gramEnd"/>
      <w:r w:rsidRPr="00422240">
        <w:rPr>
          <w:rFonts w:ascii="Times New Roman" w:hAnsi="Times New Roman" w:cs="Times New Roman"/>
          <w:i/>
          <w:sz w:val="24"/>
          <w:szCs w:val="24"/>
        </w:rPr>
        <w:t xml:space="preserve"> </w:t>
      </w:r>
      <w:r w:rsidRPr="00422240">
        <w:rPr>
          <w:rFonts w:ascii="Times New Roman" w:hAnsi="Times New Roman" w:cs="Times New Roman"/>
          <w:sz w:val="24"/>
          <w:szCs w:val="24"/>
        </w:rPr>
        <w:t xml:space="preserve">justice and society at large should be of equal if not greater importance than the interests of the child. As Stephen Parker notes: </w:t>
      </w:r>
    </w:p>
    <w:p w14:paraId="6D8D23D0" w14:textId="275215AE" w:rsidR="0055070F" w:rsidRPr="00422240" w:rsidRDefault="0055070F" w:rsidP="00020ECA">
      <w:pPr>
        <w:spacing w:line="360" w:lineRule="auto"/>
        <w:ind w:left="720"/>
        <w:jc w:val="both"/>
        <w:rPr>
          <w:rFonts w:ascii="Times New Roman" w:hAnsi="Times New Roman" w:cs="Times New Roman"/>
          <w:i/>
          <w:sz w:val="24"/>
          <w:szCs w:val="24"/>
        </w:rPr>
      </w:pPr>
      <w:r w:rsidRPr="00422240">
        <w:rPr>
          <w:rFonts w:ascii="Times New Roman" w:hAnsi="Times New Roman" w:cs="Times New Roman"/>
          <w:i/>
          <w:sz w:val="24"/>
          <w:szCs w:val="24"/>
        </w:rPr>
        <w:t xml:space="preserve">“It is clear that the drafters’ preference for the indefinite rather than the definite article in this phrase is interned to indicate that child’s best interests are not to be </w:t>
      </w:r>
      <w:r w:rsidRPr="00422240">
        <w:rPr>
          <w:rFonts w:ascii="Times New Roman" w:hAnsi="Times New Roman" w:cs="Times New Roman"/>
          <w:i/>
          <w:sz w:val="24"/>
          <w:szCs w:val="24"/>
        </w:rPr>
        <w:lastRenderedPageBreak/>
        <w:t>considered as the single overriding factor....The objective implicit in opting for the word ‘a’ is to ensure that there is sufficient flexibility, at least in certain extreme cases, to enable the interests of those other than the child to prevail...Nevertheless, the formulation adopted would seem to impose a burden of proof on those seeking to achieve such a child-centred result to demonstrate that, under the circumstances, other feasible and acceptable alternatives do not exist’</w:t>
      </w:r>
      <w:r w:rsidR="002A3AB4" w:rsidRPr="00A738A8">
        <w:rPr>
          <w:rStyle w:val="FootnoteReference"/>
          <w:rFonts w:ascii="Times New Roman" w:hAnsi="Times New Roman" w:cs="Times New Roman"/>
          <w:sz w:val="24"/>
          <w:szCs w:val="24"/>
        </w:rPr>
        <w:footnoteReference w:id="51"/>
      </w:r>
      <w:r w:rsidRPr="00422240">
        <w:rPr>
          <w:rFonts w:ascii="Times New Roman" w:hAnsi="Times New Roman" w:cs="Times New Roman"/>
          <w:i/>
          <w:sz w:val="24"/>
          <w:szCs w:val="24"/>
        </w:rPr>
        <w:t xml:space="preserve"> </w:t>
      </w:r>
    </w:p>
    <w:p w14:paraId="36E27CB9" w14:textId="34C77A35" w:rsidR="00F7433C" w:rsidRPr="00422240" w:rsidRDefault="0055070F" w:rsidP="00F7433C">
      <w:pPr>
        <w:spacing w:line="360" w:lineRule="auto"/>
        <w:jc w:val="both"/>
        <w:rPr>
          <w:rFonts w:ascii="Times New Roman" w:hAnsi="Times New Roman" w:cs="Times New Roman"/>
          <w:sz w:val="24"/>
          <w:szCs w:val="24"/>
        </w:rPr>
      </w:pPr>
      <w:r w:rsidRPr="00422240">
        <w:rPr>
          <w:rFonts w:ascii="Times New Roman" w:hAnsi="Times New Roman" w:cs="Times New Roman"/>
          <w:sz w:val="24"/>
          <w:szCs w:val="24"/>
        </w:rPr>
        <w:t>This is certainly the approach of the European Court of Human Rights when interpreting Article 8</w:t>
      </w:r>
      <w:r w:rsidR="006D3B5C" w:rsidRPr="00422240">
        <w:rPr>
          <w:rFonts w:ascii="Times New Roman" w:hAnsi="Times New Roman" w:cs="Times New Roman"/>
          <w:sz w:val="24"/>
          <w:szCs w:val="24"/>
        </w:rPr>
        <w:t xml:space="preserve"> ECHR</w:t>
      </w:r>
      <w:r w:rsidRPr="00422240">
        <w:rPr>
          <w:rFonts w:ascii="Times New Roman" w:hAnsi="Times New Roman" w:cs="Times New Roman"/>
          <w:sz w:val="24"/>
          <w:szCs w:val="24"/>
        </w:rPr>
        <w:t xml:space="preserve">: the best </w:t>
      </w:r>
      <w:proofErr w:type="gramStart"/>
      <w:r w:rsidRPr="00422240">
        <w:rPr>
          <w:rFonts w:ascii="Times New Roman" w:hAnsi="Times New Roman" w:cs="Times New Roman"/>
          <w:sz w:val="24"/>
          <w:szCs w:val="24"/>
        </w:rPr>
        <w:t>interests of the child prevails</w:t>
      </w:r>
      <w:proofErr w:type="gramEnd"/>
      <w:r w:rsidRPr="00422240">
        <w:rPr>
          <w:rFonts w:ascii="Times New Roman" w:hAnsi="Times New Roman" w:cs="Times New Roman"/>
          <w:sz w:val="24"/>
          <w:szCs w:val="24"/>
        </w:rPr>
        <w:t xml:space="preserve"> only after a detailed consideration of </w:t>
      </w:r>
      <w:r w:rsidRPr="00422240">
        <w:rPr>
          <w:rFonts w:ascii="Times New Roman" w:hAnsi="Times New Roman" w:cs="Times New Roman"/>
          <w:i/>
          <w:sz w:val="24"/>
          <w:szCs w:val="24"/>
        </w:rPr>
        <w:t xml:space="preserve">all </w:t>
      </w:r>
      <w:r w:rsidRPr="00422240">
        <w:rPr>
          <w:rFonts w:ascii="Times New Roman" w:hAnsi="Times New Roman" w:cs="Times New Roman"/>
          <w:sz w:val="24"/>
          <w:szCs w:val="24"/>
        </w:rPr>
        <w:t>the parties’ rights and interests.</w:t>
      </w:r>
      <w:r w:rsidR="000269F3" w:rsidRPr="00422240">
        <w:rPr>
          <w:rStyle w:val="FootnoteReference"/>
          <w:rFonts w:ascii="Times New Roman" w:hAnsi="Times New Roman" w:cs="Times New Roman"/>
          <w:sz w:val="24"/>
          <w:szCs w:val="24"/>
        </w:rPr>
        <w:footnoteReference w:id="52"/>
      </w:r>
      <w:r w:rsidRPr="00422240">
        <w:rPr>
          <w:rFonts w:ascii="Times New Roman" w:hAnsi="Times New Roman" w:cs="Times New Roman"/>
          <w:sz w:val="24"/>
          <w:szCs w:val="24"/>
        </w:rPr>
        <w:t xml:space="preserve">  </w:t>
      </w:r>
      <w:r w:rsidR="006D3B5C" w:rsidRPr="00422240">
        <w:rPr>
          <w:rFonts w:ascii="Times New Roman" w:hAnsi="Times New Roman" w:cs="Times New Roman"/>
          <w:sz w:val="24"/>
          <w:szCs w:val="24"/>
        </w:rPr>
        <w:t xml:space="preserve">This is evident, for instance, in the law relating to </w:t>
      </w:r>
      <w:r w:rsidR="00FD16C4" w:rsidRPr="00422240">
        <w:rPr>
          <w:rFonts w:ascii="Times New Roman" w:hAnsi="Times New Roman" w:cs="Times New Roman"/>
          <w:sz w:val="24"/>
          <w:szCs w:val="24"/>
        </w:rPr>
        <w:t>parental child abduction</w:t>
      </w:r>
      <w:r w:rsidR="00A722CC" w:rsidRPr="00422240">
        <w:rPr>
          <w:rFonts w:ascii="Times New Roman" w:hAnsi="Times New Roman" w:cs="Times New Roman"/>
          <w:sz w:val="24"/>
          <w:szCs w:val="24"/>
        </w:rPr>
        <w:t xml:space="preserve"> </w:t>
      </w:r>
      <w:r w:rsidR="006D3B5C" w:rsidRPr="00422240">
        <w:rPr>
          <w:rFonts w:ascii="Times New Roman" w:hAnsi="Times New Roman" w:cs="Times New Roman"/>
          <w:sz w:val="24"/>
          <w:szCs w:val="24"/>
        </w:rPr>
        <w:t>which discourage</w:t>
      </w:r>
      <w:r w:rsidR="00FD16C4" w:rsidRPr="00422240">
        <w:rPr>
          <w:rFonts w:ascii="Times New Roman" w:hAnsi="Times New Roman" w:cs="Times New Roman"/>
          <w:sz w:val="24"/>
          <w:szCs w:val="24"/>
        </w:rPr>
        <w:t>s</w:t>
      </w:r>
      <w:r w:rsidRPr="00422240">
        <w:rPr>
          <w:rFonts w:ascii="Times New Roman" w:hAnsi="Times New Roman" w:cs="Times New Roman"/>
          <w:sz w:val="24"/>
          <w:szCs w:val="24"/>
        </w:rPr>
        <w:t>, save in the most exceptio</w:t>
      </w:r>
      <w:r w:rsidR="006D3B5C" w:rsidRPr="00422240">
        <w:rPr>
          <w:rFonts w:ascii="Times New Roman" w:hAnsi="Times New Roman" w:cs="Times New Roman"/>
          <w:sz w:val="24"/>
          <w:szCs w:val="24"/>
        </w:rPr>
        <w:t>nal of cases, individual assess</w:t>
      </w:r>
      <w:r w:rsidRPr="00422240">
        <w:rPr>
          <w:rFonts w:ascii="Times New Roman" w:hAnsi="Times New Roman" w:cs="Times New Roman"/>
          <w:sz w:val="24"/>
          <w:szCs w:val="24"/>
        </w:rPr>
        <w:t>men</w:t>
      </w:r>
      <w:r w:rsidR="006D3B5C" w:rsidRPr="00422240">
        <w:rPr>
          <w:rFonts w:ascii="Times New Roman" w:hAnsi="Times New Roman" w:cs="Times New Roman"/>
          <w:sz w:val="24"/>
          <w:szCs w:val="24"/>
        </w:rPr>
        <w:t>t</w:t>
      </w:r>
      <w:r w:rsidR="00A722CC" w:rsidRPr="00422240">
        <w:rPr>
          <w:rFonts w:ascii="Times New Roman" w:hAnsi="Times New Roman" w:cs="Times New Roman"/>
          <w:sz w:val="24"/>
          <w:szCs w:val="24"/>
        </w:rPr>
        <w:t xml:space="preserve">s of the child’s best interests in favour of </w:t>
      </w:r>
      <w:r w:rsidR="006D3B5C" w:rsidRPr="00422240">
        <w:rPr>
          <w:rFonts w:ascii="Times New Roman" w:hAnsi="Times New Roman" w:cs="Times New Roman"/>
          <w:sz w:val="24"/>
          <w:szCs w:val="24"/>
        </w:rPr>
        <w:t xml:space="preserve">a </w:t>
      </w:r>
      <w:r w:rsidR="00AB6719" w:rsidRPr="00422240">
        <w:rPr>
          <w:rFonts w:ascii="Times New Roman" w:hAnsi="Times New Roman" w:cs="Times New Roman"/>
          <w:sz w:val="24"/>
          <w:szCs w:val="24"/>
        </w:rPr>
        <w:t>policy of</w:t>
      </w:r>
      <w:r w:rsidR="00A722CC" w:rsidRPr="00422240">
        <w:rPr>
          <w:rFonts w:ascii="Times New Roman" w:hAnsi="Times New Roman" w:cs="Times New Roman"/>
          <w:sz w:val="24"/>
          <w:szCs w:val="24"/>
        </w:rPr>
        <w:t xml:space="preserve"> immediate, automatic return to their </w:t>
      </w:r>
      <w:r w:rsidR="000D5051" w:rsidRPr="00422240">
        <w:rPr>
          <w:rFonts w:ascii="Times New Roman" w:hAnsi="Times New Roman" w:cs="Times New Roman"/>
          <w:sz w:val="24"/>
          <w:szCs w:val="24"/>
        </w:rPr>
        <w:t xml:space="preserve">left behind parent and </w:t>
      </w:r>
      <w:r w:rsidR="00A722CC" w:rsidRPr="00422240">
        <w:rPr>
          <w:rFonts w:ascii="Times New Roman" w:hAnsi="Times New Roman" w:cs="Times New Roman"/>
          <w:sz w:val="24"/>
          <w:szCs w:val="24"/>
        </w:rPr>
        <w:t>country of habitual residence</w:t>
      </w:r>
      <w:r w:rsidR="00AB6719" w:rsidRPr="00422240">
        <w:rPr>
          <w:rFonts w:ascii="Times New Roman" w:hAnsi="Times New Roman" w:cs="Times New Roman"/>
          <w:sz w:val="24"/>
          <w:szCs w:val="24"/>
        </w:rPr>
        <w:t>.</w:t>
      </w:r>
      <w:r w:rsidR="000C7D7F" w:rsidRPr="00422240">
        <w:rPr>
          <w:rStyle w:val="FootnoteReference"/>
          <w:rFonts w:ascii="Times New Roman" w:hAnsi="Times New Roman" w:cs="Times New Roman"/>
          <w:sz w:val="24"/>
          <w:szCs w:val="24"/>
        </w:rPr>
        <w:footnoteReference w:id="53"/>
      </w:r>
      <w:r w:rsidR="00AB6719" w:rsidRPr="00422240">
        <w:rPr>
          <w:rFonts w:ascii="Times New Roman" w:hAnsi="Times New Roman" w:cs="Times New Roman"/>
          <w:sz w:val="24"/>
          <w:szCs w:val="24"/>
        </w:rPr>
        <w:t xml:space="preserve"> This, it is presumed,</w:t>
      </w:r>
      <w:r w:rsidR="00A722CC" w:rsidRPr="00422240">
        <w:rPr>
          <w:rFonts w:ascii="Times New Roman" w:hAnsi="Times New Roman" w:cs="Times New Roman"/>
          <w:sz w:val="24"/>
          <w:szCs w:val="24"/>
        </w:rPr>
        <w:t xml:space="preserve"> </w:t>
      </w:r>
      <w:r w:rsidR="006D3B5C" w:rsidRPr="00422240">
        <w:rPr>
          <w:rFonts w:ascii="Times New Roman" w:hAnsi="Times New Roman" w:cs="Times New Roman"/>
          <w:sz w:val="24"/>
          <w:szCs w:val="24"/>
        </w:rPr>
        <w:t xml:space="preserve">is generally </w:t>
      </w:r>
      <w:r w:rsidRPr="00422240">
        <w:rPr>
          <w:rFonts w:ascii="Times New Roman" w:hAnsi="Times New Roman" w:cs="Times New Roman"/>
          <w:sz w:val="24"/>
          <w:szCs w:val="24"/>
        </w:rPr>
        <w:t xml:space="preserve">in the best interests of </w:t>
      </w:r>
      <w:r w:rsidR="006D3B5C" w:rsidRPr="00422240">
        <w:rPr>
          <w:rFonts w:ascii="Times New Roman" w:hAnsi="Times New Roman" w:cs="Times New Roman"/>
          <w:sz w:val="24"/>
          <w:szCs w:val="24"/>
        </w:rPr>
        <w:t xml:space="preserve">all </w:t>
      </w:r>
      <w:r w:rsidRPr="00422240">
        <w:rPr>
          <w:rFonts w:ascii="Times New Roman" w:hAnsi="Times New Roman" w:cs="Times New Roman"/>
          <w:sz w:val="24"/>
          <w:szCs w:val="24"/>
        </w:rPr>
        <w:t>child</w:t>
      </w:r>
      <w:r w:rsidR="006D3B5C" w:rsidRPr="00422240">
        <w:rPr>
          <w:rFonts w:ascii="Times New Roman" w:hAnsi="Times New Roman" w:cs="Times New Roman"/>
          <w:sz w:val="24"/>
          <w:szCs w:val="24"/>
        </w:rPr>
        <w:t>ren</w:t>
      </w:r>
      <w:r w:rsidR="000C7D7F" w:rsidRPr="00422240">
        <w:rPr>
          <w:rFonts w:ascii="Times New Roman" w:hAnsi="Times New Roman" w:cs="Times New Roman"/>
          <w:sz w:val="24"/>
          <w:szCs w:val="24"/>
        </w:rPr>
        <w:t xml:space="preserve"> whilst also protecting the interests of the left behind parent</w:t>
      </w:r>
      <w:r w:rsidR="00A722CC" w:rsidRPr="00422240">
        <w:rPr>
          <w:rFonts w:ascii="Times New Roman" w:hAnsi="Times New Roman" w:cs="Times New Roman"/>
          <w:sz w:val="24"/>
          <w:szCs w:val="24"/>
        </w:rPr>
        <w:t>.</w:t>
      </w:r>
      <w:r w:rsidRPr="00422240">
        <w:rPr>
          <w:rFonts w:ascii="Times New Roman" w:hAnsi="Times New Roman" w:cs="Times New Roman"/>
          <w:sz w:val="24"/>
          <w:szCs w:val="24"/>
        </w:rPr>
        <w:t xml:space="preserve"> </w:t>
      </w:r>
      <w:r w:rsidR="00254F29" w:rsidRPr="00422240">
        <w:rPr>
          <w:rFonts w:ascii="Times New Roman" w:hAnsi="Times New Roman" w:cs="Times New Roman"/>
          <w:sz w:val="24"/>
          <w:szCs w:val="24"/>
        </w:rPr>
        <w:t>In more routine domestic proceedings, c</w:t>
      </w:r>
      <w:r w:rsidR="000D5051" w:rsidRPr="00422240">
        <w:rPr>
          <w:rFonts w:ascii="Times New Roman" w:hAnsi="Times New Roman" w:cs="Times New Roman"/>
          <w:sz w:val="24"/>
          <w:szCs w:val="24"/>
        </w:rPr>
        <w:t xml:space="preserve">hildren’s interests are generally balanced against those of adults in a sensitive </w:t>
      </w:r>
      <w:r w:rsidRPr="00422240">
        <w:rPr>
          <w:rFonts w:ascii="Times New Roman" w:hAnsi="Times New Roman" w:cs="Times New Roman"/>
          <w:sz w:val="24"/>
          <w:szCs w:val="24"/>
        </w:rPr>
        <w:t>and successful</w:t>
      </w:r>
      <w:r w:rsidR="000D5051" w:rsidRPr="00422240">
        <w:rPr>
          <w:rFonts w:ascii="Times New Roman" w:hAnsi="Times New Roman" w:cs="Times New Roman"/>
          <w:sz w:val="24"/>
          <w:szCs w:val="24"/>
        </w:rPr>
        <w:t xml:space="preserve"> way</w:t>
      </w:r>
      <w:r w:rsidR="006D6BD4" w:rsidRPr="00422240">
        <w:rPr>
          <w:rFonts w:ascii="Times New Roman" w:hAnsi="Times New Roman" w:cs="Times New Roman"/>
          <w:sz w:val="24"/>
          <w:szCs w:val="24"/>
        </w:rPr>
        <w:t>. Children’s well-being and progress are intimately linked with the well-being and progress of their parents or others with whom they are emotionally and socially connected; an unhappy parent generally implies an unhappy child and vice versa.</w:t>
      </w:r>
      <w:r w:rsidR="006D6BD4" w:rsidRPr="00422240">
        <w:rPr>
          <w:rStyle w:val="FootnoteReference"/>
          <w:rFonts w:ascii="Times New Roman" w:hAnsi="Times New Roman" w:cs="Times New Roman"/>
          <w:sz w:val="24"/>
          <w:szCs w:val="24"/>
        </w:rPr>
        <w:footnoteReference w:id="54"/>
      </w:r>
      <w:r w:rsidR="006D6BD4" w:rsidRPr="00422240">
        <w:rPr>
          <w:rFonts w:ascii="Times New Roman" w:hAnsi="Times New Roman" w:cs="Times New Roman"/>
          <w:sz w:val="24"/>
          <w:szCs w:val="24"/>
        </w:rPr>
        <w:t xml:space="preserve">  Relational theorists acknowledge as much in asserting that to polarise children and adults’ interests is neither helpful nor realistic.</w:t>
      </w:r>
      <w:r w:rsidR="006D6BD4" w:rsidRPr="00422240">
        <w:rPr>
          <w:rStyle w:val="FootnoteReference"/>
          <w:rFonts w:ascii="Times New Roman" w:hAnsi="Times New Roman" w:cs="Times New Roman"/>
          <w:sz w:val="24"/>
          <w:szCs w:val="24"/>
        </w:rPr>
        <w:footnoteReference w:id="55"/>
      </w:r>
      <w:r w:rsidR="006D6BD4" w:rsidRPr="00422240">
        <w:rPr>
          <w:rFonts w:ascii="Times New Roman" w:hAnsi="Times New Roman" w:cs="Times New Roman"/>
          <w:sz w:val="24"/>
          <w:szCs w:val="24"/>
        </w:rPr>
        <w:t xml:space="preserve"> </w:t>
      </w:r>
      <w:r w:rsidR="000C7D7F" w:rsidRPr="00422240">
        <w:rPr>
          <w:rFonts w:ascii="Times New Roman" w:hAnsi="Times New Roman" w:cs="Times New Roman"/>
          <w:sz w:val="24"/>
          <w:szCs w:val="24"/>
        </w:rPr>
        <w:t>In theory, therefore,</w:t>
      </w:r>
      <w:r w:rsidR="006D6BD4" w:rsidRPr="00422240">
        <w:rPr>
          <w:rFonts w:ascii="Times New Roman" w:hAnsi="Times New Roman" w:cs="Times New Roman"/>
          <w:sz w:val="24"/>
          <w:szCs w:val="24"/>
        </w:rPr>
        <w:t xml:space="preserve"> best interests should </w:t>
      </w:r>
      <w:r w:rsidR="00D9466F" w:rsidRPr="00422240">
        <w:rPr>
          <w:rFonts w:ascii="Times New Roman" w:hAnsi="Times New Roman" w:cs="Times New Roman"/>
          <w:sz w:val="24"/>
          <w:szCs w:val="24"/>
        </w:rPr>
        <w:t xml:space="preserve">operate to </w:t>
      </w:r>
      <w:r w:rsidR="006D6BD4" w:rsidRPr="00422240">
        <w:rPr>
          <w:rFonts w:ascii="Times New Roman" w:hAnsi="Times New Roman" w:cs="Times New Roman"/>
          <w:sz w:val="24"/>
          <w:szCs w:val="24"/>
        </w:rPr>
        <w:t>reflect and reinforce healthy interdependency between children and adults</w:t>
      </w:r>
      <w:r w:rsidR="00F1193F" w:rsidRPr="00422240">
        <w:rPr>
          <w:rFonts w:ascii="Times New Roman" w:hAnsi="Times New Roman" w:cs="Times New Roman"/>
          <w:sz w:val="24"/>
          <w:szCs w:val="24"/>
        </w:rPr>
        <w:t xml:space="preserve"> rather than</w:t>
      </w:r>
      <w:r w:rsidR="006D6BD4" w:rsidRPr="00422240">
        <w:rPr>
          <w:rFonts w:ascii="Times New Roman" w:hAnsi="Times New Roman" w:cs="Times New Roman"/>
          <w:sz w:val="24"/>
          <w:szCs w:val="24"/>
        </w:rPr>
        <w:t xml:space="preserve"> </w:t>
      </w:r>
      <w:r w:rsidR="00F1193F" w:rsidRPr="00422240">
        <w:rPr>
          <w:rFonts w:ascii="Times New Roman" w:hAnsi="Times New Roman" w:cs="Times New Roman"/>
          <w:sz w:val="24"/>
          <w:szCs w:val="24"/>
        </w:rPr>
        <w:t>subvert</w:t>
      </w:r>
      <w:r w:rsidR="006D6BD4" w:rsidRPr="00422240">
        <w:rPr>
          <w:rFonts w:ascii="Times New Roman" w:hAnsi="Times New Roman" w:cs="Times New Roman"/>
          <w:sz w:val="24"/>
          <w:szCs w:val="24"/>
        </w:rPr>
        <w:t xml:space="preserve"> it. </w:t>
      </w:r>
    </w:p>
    <w:p w14:paraId="269AD9A8" w14:textId="793A42B7" w:rsidR="0033712D" w:rsidRPr="00422240" w:rsidRDefault="00D9466F" w:rsidP="00203F97">
      <w:pPr>
        <w:spacing w:line="360" w:lineRule="auto"/>
        <w:jc w:val="both"/>
        <w:rPr>
          <w:rFonts w:ascii="Times New Roman" w:eastAsia="Times New Roman" w:hAnsi="Times New Roman" w:cs="Times New Roman"/>
          <w:sz w:val="24"/>
          <w:szCs w:val="24"/>
          <w:lang w:eastAsia="en-GB"/>
        </w:rPr>
      </w:pPr>
      <w:r w:rsidRPr="00422240">
        <w:rPr>
          <w:rFonts w:ascii="Times New Roman" w:hAnsi="Times New Roman" w:cs="Times New Roman"/>
          <w:sz w:val="24"/>
          <w:szCs w:val="24"/>
        </w:rPr>
        <w:t xml:space="preserve">A good example of where this </w:t>
      </w:r>
      <w:r w:rsidR="0033712D" w:rsidRPr="00422240">
        <w:rPr>
          <w:rFonts w:ascii="Times New Roman" w:hAnsi="Times New Roman" w:cs="Times New Roman"/>
          <w:sz w:val="24"/>
          <w:szCs w:val="24"/>
        </w:rPr>
        <w:t xml:space="preserve">has been acknowledged and operated </w:t>
      </w:r>
      <w:r w:rsidRPr="00422240">
        <w:rPr>
          <w:rFonts w:ascii="Times New Roman" w:hAnsi="Times New Roman" w:cs="Times New Roman"/>
          <w:sz w:val="24"/>
          <w:szCs w:val="24"/>
        </w:rPr>
        <w:t xml:space="preserve">to adults’ benefit is in the context of immigration and asylum. </w:t>
      </w:r>
      <w:r w:rsidR="00A73A7A" w:rsidRPr="00422240">
        <w:rPr>
          <w:rFonts w:ascii="Times New Roman" w:hAnsi="Times New Roman" w:cs="Times New Roman"/>
          <w:sz w:val="24"/>
          <w:szCs w:val="24"/>
        </w:rPr>
        <w:t>The UK Supreme C</w:t>
      </w:r>
      <w:r w:rsidR="00AD6F6E" w:rsidRPr="00422240">
        <w:rPr>
          <w:rFonts w:ascii="Times New Roman" w:hAnsi="Times New Roman" w:cs="Times New Roman"/>
          <w:sz w:val="24"/>
          <w:szCs w:val="24"/>
        </w:rPr>
        <w:t>ourt</w:t>
      </w:r>
      <w:r w:rsidR="00F7433C" w:rsidRPr="00422240">
        <w:rPr>
          <w:rFonts w:ascii="Times New Roman" w:hAnsi="Times New Roman" w:cs="Times New Roman"/>
          <w:sz w:val="24"/>
          <w:szCs w:val="24"/>
        </w:rPr>
        <w:t xml:space="preserve">, in the seminal case of </w:t>
      </w:r>
      <w:r w:rsidR="00F7433C" w:rsidRPr="00422240">
        <w:rPr>
          <w:rFonts w:ascii="Times New Roman" w:hAnsi="Times New Roman" w:cs="Times New Roman"/>
          <w:i/>
          <w:sz w:val="24"/>
          <w:szCs w:val="24"/>
        </w:rPr>
        <w:t>ZH Tanzania</w:t>
      </w:r>
      <w:r w:rsidR="00F7433C" w:rsidRPr="00422240">
        <w:rPr>
          <w:rFonts w:ascii="Times New Roman" w:hAnsi="Times New Roman" w:cs="Times New Roman"/>
          <w:sz w:val="24"/>
          <w:szCs w:val="24"/>
        </w:rPr>
        <w:t>,</w:t>
      </w:r>
      <w:r w:rsidR="00AD6F6E" w:rsidRPr="00422240">
        <w:rPr>
          <w:rFonts w:ascii="Times New Roman" w:hAnsi="Times New Roman" w:cs="Times New Roman"/>
          <w:sz w:val="24"/>
          <w:szCs w:val="24"/>
        </w:rPr>
        <w:t xml:space="preserve"> has stated unequivocally that the best interests of </w:t>
      </w:r>
      <w:r w:rsidR="00F7433C" w:rsidRPr="00422240">
        <w:rPr>
          <w:rFonts w:ascii="Times New Roman" w:hAnsi="Times New Roman" w:cs="Times New Roman"/>
          <w:sz w:val="24"/>
          <w:szCs w:val="24"/>
        </w:rPr>
        <w:t>children</w:t>
      </w:r>
      <w:r w:rsidR="00AD6F6E" w:rsidRPr="00422240">
        <w:rPr>
          <w:rFonts w:ascii="Times New Roman" w:hAnsi="Times New Roman" w:cs="Times New Roman"/>
          <w:sz w:val="24"/>
          <w:szCs w:val="24"/>
        </w:rPr>
        <w:t xml:space="preserve"> should be placed at the </w:t>
      </w:r>
      <w:r w:rsidR="00AD6F6E" w:rsidRPr="00422240">
        <w:rPr>
          <w:rFonts w:ascii="Times New Roman" w:hAnsi="Times New Roman" w:cs="Times New Roman"/>
          <w:sz w:val="24"/>
          <w:szCs w:val="24"/>
        </w:rPr>
        <w:lastRenderedPageBreak/>
        <w:t xml:space="preserve">centre of decisions around </w:t>
      </w:r>
      <w:r w:rsidR="00F7433C" w:rsidRPr="00422240">
        <w:rPr>
          <w:rFonts w:ascii="Times New Roman" w:hAnsi="Times New Roman" w:cs="Times New Roman"/>
          <w:sz w:val="24"/>
          <w:szCs w:val="24"/>
        </w:rPr>
        <w:t xml:space="preserve">the </w:t>
      </w:r>
      <w:r w:rsidR="00AD6F6E" w:rsidRPr="00422240">
        <w:rPr>
          <w:rFonts w:ascii="Times New Roman" w:hAnsi="Times New Roman" w:cs="Times New Roman"/>
          <w:sz w:val="24"/>
          <w:szCs w:val="24"/>
        </w:rPr>
        <w:t>deportation of the</w:t>
      </w:r>
      <w:r w:rsidR="00F7433C" w:rsidRPr="00422240">
        <w:rPr>
          <w:rFonts w:ascii="Times New Roman" w:hAnsi="Times New Roman" w:cs="Times New Roman"/>
          <w:sz w:val="24"/>
          <w:szCs w:val="24"/>
        </w:rPr>
        <w:t>ir</w:t>
      </w:r>
      <w:r w:rsidR="00AD6F6E" w:rsidRPr="00422240">
        <w:rPr>
          <w:rFonts w:ascii="Times New Roman" w:hAnsi="Times New Roman" w:cs="Times New Roman"/>
          <w:sz w:val="24"/>
          <w:szCs w:val="24"/>
        </w:rPr>
        <w:t xml:space="preserve"> parents</w:t>
      </w:r>
      <w:r w:rsidR="00AD6F6E" w:rsidRPr="00422240">
        <w:rPr>
          <w:rFonts w:ascii="Times New Roman" w:hAnsi="Times New Roman" w:cs="Times New Roman"/>
          <w:i/>
          <w:sz w:val="24"/>
          <w:szCs w:val="24"/>
        </w:rPr>
        <w:t>.</w:t>
      </w:r>
      <w:r w:rsidR="00AD6F6E" w:rsidRPr="00422240">
        <w:rPr>
          <w:rStyle w:val="FootnoteReference"/>
          <w:rFonts w:ascii="Times New Roman" w:hAnsi="Times New Roman" w:cs="Times New Roman"/>
          <w:sz w:val="24"/>
          <w:szCs w:val="24"/>
        </w:rPr>
        <w:footnoteReference w:id="56"/>
      </w:r>
      <w:r w:rsidR="00AD6F6E" w:rsidRPr="00422240">
        <w:rPr>
          <w:rFonts w:ascii="Times New Roman" w:hAnsi="Times New Roman" w:cs="Times New Roman"/>
          <w:i/>
          <w:sz w:val="24"/>
          <w:szCs w:val="24"/>
        </w:rPr>
        <w:t xml:space="preserve"> </w:t>
      </w:r>
      <w:r w:rsidR="00AD6F6E" w:rsidRPr="00422240">
        <w:rPr>
          <w:rFonts w:ascii="Times New Roman" w:hAnsi="Times New Roman" w:cs="Times New Roman"/>
          <w:sz w:val="24"/>
          <w:szCs w:val="24"/>
        </w:rPr>
        <w:t xml:space="preserve">This represents the culmination of a line of jurisprudence that places significant emphasis on the rights of the child to know and be cared for by their parents in the country with which the former have the most intimate connection, notwithstanding the latter’s questionable immigration status. </w:t>
      </w:r>
      <w:r w:rsidR="009C1EAF" w:rsidRPr="00422240">
        <w:rPr>
          <w:rFonts w:ascii="Times New Roman" w:hAnsi="Times New Roman" w:cs="Times New Roman"/>
          <w:sz w:val="24"/>
          <w:szCs w:val="24"/>
        </w:rPr>
        <w:t>Immigration appeals based on Article 8</w:t>
      </w:r>
      <w:r w:rsidR="00B115B8">
        <w:rPr>
          <w:rFonts w:ascii="Times New Roman" w:hAnsi="Times New Roman" w:cs="Times New Roman"/>
          <w:sz w:val="24"/>
          <w:szCs w:val="24"/>
        </w:rPr>
        <w:t xml:space="preserve"> of the European Convention</w:t>
      </w:r>
      <w:r w:rsidR="009C1EAF" w:rsidRPr="00422240">
        <w:rPr>
          <w:rFonts w:ascii="Times New Roman" w:hAnsi="Times New Roman" w:cs="Times New Roman"/>
          <w:sz w:val="24"/>
          <w:szCs w:val="24"/>
        </w:rPr>
        <w:t xml:space="preserve">, therefore, commonly </w:t>
      </w:r>
      <w:r w:rsidR="0033712D" w:rsidRPr="00422240">
        <w:rPr>
          <w:rFonts w:ascii="Times New Roman" w:hAnsi="Times New Roman" w:cs="Times New Roman"/>
          <w:sz w:val="24"/>
          <w:szCs w:val="24"/>
        </w:rPr>
        <w:t>support a finding that deportation of a family member is disproportionate and unlawful because of its impact on any children residing in the host state.</w:t>
      </w:r>
      <w:r w:rsidR="00EF4205" w:rsidRPr="00422240">
        <w:rPr>
          <w:rStyle w:val="FootnoteReference"/>
          <w:rFonts w:ascii="Times New Roman" w:hAnsi="Times New Roman" w:cs="Times New Roman"/>
          <w:sz w:val="24"/>
          <w:szCs w:val="24"/>
        </w:rPr>
        <w:footnoteReference w:id="57"/>
      </w:r>
      <w:r w:rsidR="0033712D" w:rsidRPr="00422240">
        <w:rPr>
          <w:rFonts w:ascii="Times New Roman" w:hAnsi="Times New Roman" w:cs="Times New Roman"/>
          <w:sz w:val="24"/>
          <w:szCs w:val="24"/>
        </w:rPr>
        <w:t xml:space="preserve"> </w:t>
      </w:r>
      <w:r w:rsidR="00131EE4" w:rsidRPr="00422240">
        <w:rPr>
          <w:rFonts w:ascii="Times New Roman" w:hAnsi="Times New Roman" w:cs="Times New Roman"/>
          <w:sz w:val="24"/>
          <w:szCs w:val="24"/>
        </w:rPr>
        <w:t>In other words, the best interests of the child are best promoted and exercised by enabling the members of a genuinely supportive family to live in close proximity to one another unless there is a clear justification for ordering otherwise.</w:t>
      </w:r>
      <w:r w:rsidR="00552846" w:rsidRPr="00422240">
        <w:rPr>
          <w:rStyle w:val="FootnoteReference"/>
          <w:rFonts w:ascii="Times New Roman" w:hAnsi="Times New Roman" w:cs="Times New Roman"/>
          <w:sz w:val="24"/>
          <w:szCs w:val="24"/>
        </w:rPr>
        <w:footnoteReference w:id="58"/>
      </w:r>
      <w:r w:rsidR="00131EE4" w:rsidRPr="00422240">
        <w:rPr>
          <w:rFonts w:ascii="Times New Roman" w:hAnsi="Times New Roman" w:cs="Times New Roman"/>
          <w:sz w:val="24"/>
          <w:szCs w:val="24"/>
        </w:rPr>
        <w:t xml:space="preserve"> </w:t>
      </w:r>
      <w:r w:rsidR="00203F97" w:rsidRPr="00422240">
        <w:rPr>
          <w:rStyle w:val="fontstyle01"/>
          <w:rFonts w:ascii="Times New Roman" w:hAnsi="Times New Roman" w:cs="Times New Roman"/>
          <w:color w:val="auto"/>
          <w:sz w:val="24"/>
          <w:szCs w:val="24"/>
        </w:rPr>
        <w:t>The public policy principles associated with upholding immigration control and thwarting applicants’ attempts to profit from their unlawful entry and residence can be outweighed by the higher principle of upholding the best interests of the child.</w:t>
      </w:r>
      <w:r w:rsidR="00203F97" w:rsidRPr="00422240">
        <w:rPr>
          <w:rStyle w:val="FootnoteReference"/>
          <w:rFonts w:ascii="Times New Roman" w:hAnsi="Times New Roman" w:cs="Times New Roman"/>
          <w:sz w:val="24"/>
          <w:szCs w:val="24"/>
        </w:rPr>
        <w:footnoteReference w:id="59"/>
      </w:r>
      <w:r w:rsidR="00203F97" w:rsidRPr="00422240">
        <w:rPr>
          <w:rFonts w:ascii="Times New Roman" w:hAnsi="Times New Roman" w:cs="Times New Roman"/>
          <w:sz w:val="24"/>
          <w:szCs w:val="24"/>
        </w:rPr>
        <w:t xml:space="preserve">  </w:t>
      </w:r>
      <w:r w:rsidR="00131EE4" w:rsidRPr="00422240">
        <w:rPr>
          <w:rFonts w:ascii="Times New Roman" w:hAnsi="Times New Roman" w:cs="Times New Roman"/>
          <w:sz w:val="24"/>
          <w:szCs w:val="24"/>
        </w:rPr>
        <w:t>Indeed, the</w:t>
      </w:r>
      <w:r w:rsidR="00EF4205" w:rsidRPr="00422240">
        <w:rPr>
          <w:rFonts w:ascii="Times New Roman" w:hAnsi="Times New Roman" w:cs="Times New Roman"/>
          <w:sz w:val="24"/>
          <w:szCs w:val="24"/>
        </w:rPr>
        <w:t xml:space="preserve"> narrative</w:t>
      </w:r>
      <w:r w:rsidR="00131EE4" w:rsidRPr="00422240">
        <w:rPr>
          <w:rFonts w:ascii="Times New Roman" w:hAnsi="Times New Roman" w:cs="Times New Roman"/>
          <w:sz w:val="24"/>
          <w:szCs w:val="24"/>
        </w:rPr>
        <w:t xml:space="preserve"> of the case law has gone even further in suggesting that </w:t>
      </w:r>
      <w:r w:rsidR="00EF4205" w:rsidRPr="00422240">
        <w:rPr>
          <w:rFonts w:ascii="Times New Roman" w:hAnsi="Times New Roman" w:cs="Times New Roman"/>
          <w:sz w:val="24"/>
          <w:szCs w:val="24"/>
        </w:rPr>
        <w:t xml:space="preserve">foregrounding </w:t>
      </w:r>
      <w:r w:rsidR="0033712D" w:rsidRPr="00422240">
        <w:rPr>
          <w:rFonts w:ascii="Times New Roman" w:hAnsi="Times New Roman" w:cs="Times New Roman"/>
          <w:sz w:val="24"/>
          <w:szCs w:val="24"/>
        </w:rPr>
        <w:t xml:space="preserve">children’s </w:t>
      </w:r>
      <w:r w:rsidR="00EF4205" w:rsidRPr="00422240">
        <w:rPr>
          <w:rFonts w:ascii="Times New Roman" w:hAnsi="Times New Roman" w:cs="Times New Roman"/>
          <w:sz w:val="24"/>
          <w:szCs w:val="24"/>
        </w:rPr>
        <w:t xml:space="preserve">best interests in an immigration context is a public policy device </w:t>
      </w:r>
      <w:r w:rsidR="0033712D" w:rsidRPr="00422240">
        <w:rPr>
          <w:rFonts w:ascii="Times New Roman" w:hAnsi="Times New Roman" w:cs="Times New Roman"/>
          <w:sz w:val="24"/>
          <w:szCs w:val="24"/>
        </w:rPr>
        <w:t>in its own</w:t>
      </w:r>
      <w:r w:rsidR="00A62E86">
        <w:rPr>
          <w:rFonts w:ascii="Times New Roman" w:hAnsi="Times New Roman" w:cs="Times New Roman"/>
          <w:sz w:val="24"/>
          <w:szCs w:val="24"/>
        </w:rPr>
        <w:t xml:space="preserve"> right. In that sense, p</w:t>
      </w:r>
      <w:r w:rsidR="00EF4205" w:rsidRPr="00422240">
        <w:rPr>
          <w:rFonts w:ascii="Times New Roman" w:hAnsi="Times New Roman" w:cs="Times New Roman"/>
          <w:sz w:val="24"/>
          <w:szCs w:val="24"/>
        </w:rPr>
        <w:t>rotecting children’s best interests extends beyond an individualised assessment</w:t>
      </w:r>
      <w:r w:rsidR="005C5A37" w:rsidRPr="00422240">
        <w:rPr>
          <w:rFonts w:ascii="Times New Roman" w:hAnsi="Times New Roman" w:cs="Times New Roman"/>
          <w:sz w:val="24"/>
          <w:szCs w:val="24"/>
        </w:rPr>
        <w:t xml:space="preserve">; it is conductive to promoting </w:t>
      </w:r>
      <w:r w:rsidR="00EF4205" w:rsidRPr="00422240">
        <w:rPr>
          <w:rFonts w:ascii="Times New Roman" w:hAnsi="Times New Roman" w:cs="Times New Roman"/>
          <w:sz w:val="24"/>
          <w:szCs w:val="24"/>
        </w:rPr>
        <w:t xml:space="preserve">the </w:t>
      </w:r>
      <w:r w:rsidR="00131EE4" w:rsidRPr="00422240">
        <w:rPr>
          <w:rFonts w:ascii="Times New Roman" w:hAnsi="Times New Roman" w:cs="Times New Roman"/>
          <w:sz w:val="24"/>
          <w:szCs w:val="24"/>
        </w:rPr>
        <w:t>interests</w:t>
      </w:r>
      <w:r w:rsidR="005C5A37" w:rsidRPr="00422240">
        <w:rPr>
          <w:rFonts w:ascii="Times New Roman" w:hAnsi="Times New Roman" w:cs="Times New Roman"/>
          <w:sz w:val="24"/>
          <w:szCs w:val="24"/>
        </w:rPr>
        <w:t xml:space="preserve"> of the entire family unit, and indeed, the interests</w:t>
      </w:r>
      <w:r w:rsidR="0033712D" w:rsidRPr="00422240">
        <w:rPr>
          <w:rFonts w:ascii="Times New Roman" w:hAnsi="Times New Roman" w:cs="Times New Roman"/>
          <w:sz w:val="24"/>
          <w:szCs w:val="24"/>
        </w:rPr>
        <w:t xml:space="preserve"> of the community</w:t>
      </w:r>
      <w:r w:rsidR="005C5A37" w:rsidRPr="00422240">
        <w:rPr>
          <w:rFonts w:ascii="Times New Roman" w:hAnsi="Times New Roman" w:cs="Times New Roman"/>
          <w:sz w:val="24"/>
          <w:szCs w:val="24"/>
        </w:rPr>
        <w:t xml:space="preserve"> at large</w:t>
      </w:r>
      <w:r w:rsidR="0033712D" w:rsidRPr="00422240">
        <w:rPr>
          <w:rFonts w:ascii="Times New Roman" w:hAnsi="Times New Roman" w:cs="Times New Roman"/>
          <w:sz w:val="24"/>
          <w:szCs w:val="24"/>
        </w:rPr>
        <w:t>.</w:t>
      </w:r>
      <w:r w:rsidR="00EF4205" w:rsidRPr="00422240">
        <w:rPr>
          <w:rStyle w:val="FootnoteReference"/>
          <w:rFonts w:ascii="Times New Roman" w:hAnsi="Times New Roman" w:cs="Times New Roman"/>
          <w:sz w:val="24"/>
          <w:szCs w:val="24"/>
        </w:rPr>
        <w:footnoteReference w:id="60"/>
      </w:r>
      <w:r w:rsidR="0033712D" w:rsidRPr="00422240">
        <w:rPr>
          <w:rFonts w:ascii="Times New Roman" w:hAnsi="Times New Roman" w:cs="Times New Roman"/>
          <w:sz w:val="24"/>
          <w:szCs w:val="24"/>
        </w:rPr>
        <w:t xml:space="preserve"> </w:t>
      </w:r>
    </w:p>
    <w:p w14:paraId="77437BCE" w14:textId="588325E0" w:rsidR="001571B8" w:rsidRPr="009C5BC2" w:rsidRDefault="001571B8" w:rsidP="00020ECA">
      <w:pPr>
        <w:spacing w:line="360" w:lineRule="auto"/>
        <w:rPr>
          <w:rFonts w:ascii="Times New Roman" w:hAnsi="Times New Roman" w:cs="Times New Roman"/>
          <w:sz w:val="24"/>
          <w:szCs w:val="24"/>
          <w:highlight w:val="yellow"/>
        </w:rPr>
      </w:pPr>
    </w:p>
    <w:p w14:paraId="5F65677A" w14:textId="503F9E2B" w:rsidR="002D5753" w:rsidRPr="00924CC9" w:rsidRDefault="002D5753" w:rsidP="00020ECA">
      <w:pPr>
        <w:spacing w:line="360" w:lineRule="auto"/>
        <w:rPr>
          <w:rFonts w:ascii="Times New Roman" w:hAnsi="Times New Roman" w:cs="Times New Roman"/>
          <w:b/>
          <w:sz w:val="24"/>
          <w:szCs w:val="24"/>
        </w:rPr>
      </w:pPr>
      <w:r w:rsidRPr="00924CC9">
        <w:rPr>
          <w:rFonts w:ascii="Times New Roman" w:hAnsi="Times New Roman" w:cs="Times New Roman"/>
          <w:b/>
          <w:sz w:val="24"/>
          <w:szCs w:val="24"/>
        </w:rPr>
        <w:t>Conclusion</w:t>
      </w:r>
    </w:p>
    <w:p w14:paraId="570DEEB0" w14:textId="181578C6" w:rsidR="00DA0A67" w:rsidRPr="009C5BC2" w:rsidRDefault="004F1B7D" w:rsidP="00DA0A67">
      <w:pPr>
        <w:spacing w:line="360" w:lineRule="auto"/>
        <w:rPr>
          <w:rFonts w:ascii="Times New Roman" w:hAnsi="Times New Roman" w:cs="Times New Roman"/>
          <w:sz w:val="24"/>
          <w:szCs w:val="24"/>
          <w:highlight w:val="yellow"/>
        </w:rPr>
      </w:pPr>
      <w:r w:rsidRPr="009C5BC2">
        <w:rPr>
          <w:rFonts w:ascii="Times New Roman" w:hAnsi="Times New Roman" w:cs="Times New Roman"/>
          <w:sz w:val="24"/>
          <w:szCs w:val="24"/>
        </w:rPr>
        <w:t xml:space="preserve">Exploring arguments to extend </w:t>
      </w:r>
      <w:r w:rsidR="003D222C">
        <w:rPr>
          <w:rFonts w:ascii="Times New Roman" w:hAnsi="Times New Roman" w:cs="Times New Roman"/>
          <w:sz w:val="24"/>
          <w:szCs w:val="24"/>
        </w:rPr>
        <w:t xml:space="preserve">the </w:t>
      </w:r>
      <w:r w:rsidRPr="009C5BC2">
        <w:rPr>
          <w:rFonts w:ascii="Times New Roman" w:hAnsi="Times New Roman" w:cs="Times New Roman"/>
          <w:sz w:val="24"/>
          <w:szCs w:val="24"/>
        </w:rPr>
        <w:t xml:space="preserve">best interests principle to other areas of human rights </w:t>
      </w:r>
      <w:r w:rsidR="00A62E86">
        <w:rPr>
          <w:rFonts w:ascii="Times New Roman" w:hAnsi="Times New Roman" w:cs="Times New Roman"/>
          <w:sz w:val="24"/>
          <w:szCs w:val="24"/>
        </w:rPr>
        <w:t xml:space="preserve">demands some careful reflection </w:t>
      </w:r>
      <w:r w:rsidRPr="009C5BC2">
        <w:rPr>
          <w:rFonts w:ascii="Times New Roman" w:hAnsi="Times New Roman" w:cs="Times New Roman"/>
          <w:sz w:val="24"/>
          <w:szCs w:val="24"/>
        </w:rPr>
        <w:t>on the value</w:t>
      </w:r>
      <w:r w:rsidR="00A62E86">
        <w:rPr>
          <w:rFonts w:ascii="Times New Roman" w:hAnsi="Times New Roman" w:cs="Times New Roman"/>
          <w:sz w:val="24"/>
          <w:szCs w:val="24"/>
        </w:rPr>
        <w:t xml:space="preserve"> and, indeed, persistent </w:t>
      </w:r>
      <w:r w:rsidRPr="009C5BC2">
        <w:rPr>
          <w:rFonts w:ascii="Times New Roman" w:hAnsi="Times New Roman" w:cs="Times New Roman"/>
          <w:sz w:val="24"/>
          <w:szCs w:val="24"/>
        </w:rPr>
        <w:t>limitations of the concept</w:t>
      </w:r>
      <w:r w:rsidR="00A62E86">
        <w:rPr>
          <w:rFonts w:ascii="Times New Roman" w:hAnsi="Times New Roman" w:cs="Times New Roman"/>
          <w:sz w:val="24"/>
          <w:szCs w:val="24"/>
        </w:rPr>
        <w:t xml:space="preserve"> </w:t>
      </w:r>
      <w:r w:rsidR="00A135FB">
        <w:rPr>
          <w:rFonts w:ascii="Times New Roman" w:hAnsi="Times New Roman" w:cs="Times New Roman"/>
          <w:sz w:val="24"/>
          <w:szCs w:val="24"/>
        </w:rPr>
        <w:t>as it is</w:t>
      </w:r>
      <w:r w:rsidR="00A62E86">
        <w:rPr>
          <w:rFonts w:ascii="Times New Roman" w:hAnsi="Times New Roman" w:cs="Times New Roman"/>
          <w:sz w:val="24"/>
          <w:szCs w:val="24"/>
        </w:rPr>
        <w:t xml:space="preserve"> applied to children</w:t>
      </w:r>
      <w:r w:rsidR="003D222C">
        <w:rPr>
          <w:rFonts w:ascii="Times New Roman" w:hAnsi="Times New Roman" w:cs="Times New Roman"/>
          <w:sz w:val="24"/>
          <w:szCs w:val="24"/>
        </w:rPr>
        <w:t xml:space="preserve">. The </w:t>
      </w:r>
      <w:r w:rsidR="00A135FB">
        <w:rPr>
          <w:rFonts w:ascii="Times New Roman" w:hAnsi="Times New Roman" w:cs="Times New Roman"/>
          <w:sz w:val="24"/>
          <w:szCs w:val="24"/>
        </w:rPr>
        <w:t>concept</w:t>
      </w:r>
      <w:r w:rsidR="001C265E">
        <w:rPr>
          <w:rFonts w:ascii="Times New Roman" w:hAnsi="Times New Roman" w:cs="Times New Roman"/>
          <w:sz w:val="24"/>
          <w:szCs w:val="24"/>
        </w:rPr>
        <w:t xml:space="preserve"> </w:t>
      </w:r>
      <w:r w:rsidR="00FA3C72">
        <w:rPr>
          <w:rFonts w:ascii="Times New Roman" w:hAnsi="Times New Roman" w:cs="Times New Roman"/>
          <w:sz w:val="24"/>
          <w:szCs w:val="24"/>
        </w:rPr>
        <w:t>is designed to act as an</w:t>
      </w:r>
      <w:r w:rsidR="001C265E">
        <w:rPr>
          <w:rFonts w:ascii="Times New Roman" w:hAnsi="Times New Roman" w:cs="Times New Roman"/>
          <w:sz w:val="24"/>
          <w:szCs w:val="24"/>
        </w:rPr>
        <w:t xml:space="preserve"> antidote to processes</w:t>
      </w:r>
      <w:r w:rsidR="00FA3C72">
        <w:rPr>
          <w:rFonts w:ascii="Times New Roman" w:hAnsi="Times New Roman" w:cs="Times New Roman"/>
          <w:sz w:val="24"/>
          <w:szCs w:val="24"/>
        </w:rPr>
        <w:t>,</w:t>
      </w:r>
      <w:r w:rsidR="001C265E">
        <w:rPr>
          <w:rFonts w:ascii="Times New Roman" w:hAnsi="Times New Roman" w:cs="Times New Roman"/>
          <w:sz w:val="24"/>
          <w:szCs w:val="24"/>
        </w:rPr>
        <w:t xml:space="preserve"> cultures of thinking and behaviour which are </w:t>
      </w:r>
      <w:r w:rsidR="00FA3C72">
        <w:rPr>
          <w:rFonts w:ascii="Times New Roman" w:hAnsi="Times New Roman" w:cs="Times New Roman"/>
          <w:sz w:val="24"/>
          <w:szCs w:val="24"/>
        </w:rPr>
        <w:t xml:space="preserve">so often </w:t>
      </w:r>
      <w:r w:rsidR="001C265E">
        <w:rPr>
          <w:rFonts w:ascii="Times New Roman" w:hAnsi="Times New Roman" w:cs="Times New Roman"/>
          <w:sz w:val="24"/>
          <w:szCs w:val="24"/>
        </w:rPr>
        <w:t>stacked against children. It</w:t>
      </w:r>
      <w:r w:rsidR="001C265E" w:rsidRPr="001C265E">
        <w:rPr>
          <w:rFonts w:ascii="Times New Roman" w:hAnsi="Times New Roman" w:cs="Times New Roman"/>
          <w:sz w:val="24"/>
          <w:szCs w:val="24"/>
        </w:rPr>
        <w:t xml:space="preserve"> </w:t>
      </w:r>
      <w:r w:rsidR="001C265E">
        <w:rPr>
          <w:rFonts w:ascii="Times New Roman" w:hAnsi="Times New Roman" w:cs="Times New Roman"/>
          <w:sz w:val="24"/>
          <w:szCs w:val="24"/>
        </w:rPr>
        <w:t xml:space="preserve">promises </w:t>
      </w:r>
      <w:r w:rsidR="001C265E">
        <w:rPr>
          <w:rFonts w:ascii="Times New Roman" w:hAnsi="Times New Roman" w:cs="Times New Roman"/>
          <w:sz w:val="24"/>
          <w:szCs w:val="24"/>
        </w:rPr>
        <w:lastRenderedPageBreak/>
        <w:t xml:space="preserve">much </w:t>
      </w:r>
      <w:r w:rsidR="00A135FB">
        <w:rPr>
          <w:rFonts w:ascii="Times New Roman" w:hAnsi="Times New Roman" w:cs="Times New Roman"/>
          <w:sz w:val="24"/>
          <w:szCs w:val="24"/>
        </w:rPr>
        <w:t xml:space="preserve">in terms of </w:t>
      </w:r>
      <w:r w:rsidR="001C265E">
        <w:rPr>
          <w:rFonts w:ascii="Times New Roman" w:hAnsi="Times New Roman" w:cs="Times New Roman"/>
          <w:sz w:val="24"/>
          <w:szCs w:val="24"/>
        </w:rPr>
        <w:t>protecting</w:t>
      </w:r>
      <w:r w:rsidR="001C265E" w:rsidRPr="009C5BC2">
        <w:rPr>
          <w:rFonts w:ascii="Times New Roman" w:hAnsi="Times New Roman" w:cs="Times New Roman"/>
          <w:sz w:val="24"/>
          <w:szCs w:val="24"/>
        </w:rPr>
        <w:t xml:space="preserve"> and nurtur</w:t>
      </w:r>
      <w:r w:rsidR="001C265E">
        <w:rPr>
          <w:rFonts w:ascii="Times New Roman" w:hAnsi="Times New Roman" w:cs="Times New Roman"/>
          <w:sz w:val="24"/>
          <w:szCs w:val="24"/>
        </w:rPr>
        <w:t>ing children’s</w:t>
      </w:r>
      <w:r w:rsidR="001C265E" w:rsidRPr="009C5BC2">
        <w:rPr>
          <w:rFonts w:ascii="Times New Roman" w:hAnsi="Times New Roman" w:cs="Times New Roman"/>
          <w:sz w:val="24"/>
          <w:szCs w:val="24"/>
        </w:rPr>
        <w:t xml:space="preserve"> capabilities </w:t>
      </w:r>
      <w:r w:rsidR="001C265E">
        <w:rPr>
          <w:rFonts w:ascii="Times New Roman" w:hAnsi="Times New Roman" w:cs="Times New Roman"/>
          <w:sz w:val="24"/>
          <w:szCs w:val="24"/>
        </w:rPr>
        <w:t>and positioning</w:t>
      </w:r>
      <w:r w:rsidR="001C265E" w:rsidRPr="009C5BC2">
        <w:rPr>
          <w:rFonts w:ascii="Times New Roman" w:hAnsi="Times New Roman" w:cs="Times New Roman"/>
          <w:sz w:val="24"/>
          <w:szCs w:val="24"/>
        </w:rPr>
        <w:t xml:space="preserve"> them on the best possible trajectory to achieve their potential</w:t>
      </w:r>
      <w:r w:rsidR="001C265E">
        <w:rPr>
          <w:rFonts w:ascii="Times New Roman" w:hAnsi="Times New Roman" w:cs="Times New Roman"/>
          <w:sz w:val="24"/>
          <w:szCs w:val="24"/>
        </w:rPr>
        <w:t xml:space="preserve">. </w:t>
      </w:r>
      <w:r w:rsidR="00FA3C72">
        <w:rPr>
          <w:rFonts w:ascii="Times New Roman" w:hAnsi="Times New Roman" w:cs="Times New Roman"/>
          <w:sz w:val="24"/>
          <w:szCs w:val="24"/>
        </w:rPr>
        <w:t xml:space="preserve">One can appreciate its appeal in </w:t>
      </w:r>
      <w:r w:rsidR="00E311AE">
        <w:rPr>
          <w:rFonts w:ascii="Times New Roman" w:hAnsi="Times New Roman" w:cs="Times New Roman"/>
          <w:sz w:val="24"/>
          <w:szCs w:val="24"/>
        </w:rPr>
        <w:t>inform</w:t>
      </w:r>
      <w:r w:rsidR="00FA3C72">
        <w:rPr>
          <w:rFonts w:ascii="Times New Roman" w:hAnsi="Times New Roman" w:cs="Times New Roman"/>
          <w:sz w:val="24"/>
          <w:szCs w:val="24"/>
        </w:rPr>
        <w:t>ing</w:t>
      </w:r>
      <w:r w:rsidR="00E311AE">
        <w:rPr>
          <w:rFonts w:ascii="Times New Roman" w:hAnsi="Times New Roman" w:cs="Times New Roman"/>
          <w:sz w:val="24"/>
          <w:szCs w:val="24"/>
        </w:rPr>
        <w:t xml:space="preserve"> decisions involving adults</w:t>
      </w:r>
      <w:r w:rsidR="00FA3C72">
        <w:rPr>
          <w:rFonts w:ascii="Times New Roman" w:hAnsi="Times New Roman" w:cs="Times New Roman"/>
          <w:sz w:val="24"/>
          <w:szCs w:val="24"/>
        </w:rPr>
        <w:t>, particularly those</w:t>
      </w:r>
      <w:r w:rsidR="00E311AE">
        <w:rPr>
          <w:rFonts w:ascii="Times New Roman" w:hAnsi="Times New Roman" w:cs="Times New Roman"/>
          <w:sz w:val="24"/>
          <w:szCs w:val="24"/>
        </w:rPr>
        <w:t xml:space="preserve"> with distinct </w:t>
      </w:r>
      <w:r w:rsidR="0072449D" w:rsidRPr="001F45F3">
        <w:rPr>
          <w:rFonts w:ascii="Times New Roman" w:hAnsi="Times New Roman" w:cs="Times New Roman"/>
          <w:sz w:val="24"/>
          <w:szCs w:val="24"/>
        </w:rPr>
        <w:t>vulnerabilities</w:t>
      </w:r>
      <w:r w:rsidR="00FA3C72">
        <w:rPr>
          <w:rFonts w:ascii="Times New Roman" w:hAnsi="Times New Roman" w:cs="Times New Roman"/>
          <w:sz w:val="24"/>
          <w:szCs w:val="24"/>
        </w:rPr>
        <w:t xml:space="preserve"> akin to those of children</w:t>
      </w:r>
      <w:r w:rsidR="00E311AE">
        <w:rPr>
          <w:rFonts w:ascii="Times New Roman" w:hAnsi="Times New Roman" w:cs="Times New Roman"/>
          <w:sz w:val="24"/>
          <w:szCs w:val="24"/>
        </w:rPr>
        <w:t xml:space="preserve">. </w:t>
      </w:r>
      <w:r w:rsidR="00FA3C72">
        <w:rPr>
          <w:rFonts w:ascii="Times New Roman" w:hAnsi="Times New Roman" w:cs="Times New Roman"/>
          <w:sz w:val="24"/>
          <w:szCs w:val="24"/>
        </w:rPr>
        <w:t>However,</w:t>
      </w:r>
      <w:r w:rsidR="00FA3C72" w:rsidRPr="001F45F3">
        <w:rPr>
          <w:rFonts w:ascii="Times New Roman" w:hAnsi="Times New Roman" w:cs="Times New Roman"/>
          <w:sz w:val="24"/>
          <w:szCs w:val="24"/>
        </w:rPr>
        <w:t xml:space="preserve"> attempts to apply it to such contexts have been less successful than perhaps we might have hoped. There is something inherently problematic about extending a concept that remains fraught with imperfections in terms of its articulation and its application. There is still significant variance in the way that best interests is applied across different contexts by different decision-makers and there is still a lack of understanding or clarity as to how and why children’s best interests should be privileged over the interests and rights of other parties, such that in practice it is used to legitimise decisions that may actually be hostile to children’s interests</w:t>
      </w:r>
      <w:r w:rsidR="00FA3C72">
        <w:rPr>
          <w:rFonts w:ascii="Times New Roman" w:hAnsi="Times New Roman" w:cs="Times New Roman"/>
          <w:sz w:val="24"/>
          <w:szCs w:val="24"/>
        </w:rPr>
        <w:t xml:space="preserve">. </w:t>
      </w:r>
      <w:r w:rsidR="006E2A0E">
        <w:rPr>
          <w:rFonts w:ascii="Times New Roman" w:hAnsi="Times New Roman" w:cs="Times New Roman"/>
          <w:sz w:val="24"/>
          <w:szCs w:val="24"/>
        </w:rPr>
        <w:t>As such, t</w:t>
      </w:r>
      <w:r w:rsidR="00FA3C72" w:rsidRPr="001F45F3">
        <w:rPr>
          <w:rFonts w:ascii="Times New Roman" w:hAnsi="Times New Roman" w:cs="Times New Roman"/>
          <w:sz w:val="24"/>
          <w:szCs w:val="24"/>
        </w:rPr>
        <w:t xml:space="preserve">here is still much to be done to create better consistency and certainty in decision-making and to render best interests assessments less vulnerable to misguided or self-interested agendas. </w:t>
      </w:r>
      <w:r w:rsidR="00DA0A67">
        <w:rPr>
          <w:rFonts w:ascii="Times New Roman" w:hAnsi="Times New Roman" w:cs="Times New Roman"/>
          <w:sz w:val="24"/>
          <w:szCs w:val="24"/>
        </w:rPr>
        <w:t xml:space="preserve">Indeed, commentators have </w:t>
      </w:r>
      <w:r w:rsidR="00610F1B">
        <w:rPr>
          <w:rFonts w:ascii="Times New Roman" w:hAnsi="Times New Roman" w:cs="Times New Roman"/>
          <w:sz w:val="24"/>
          <w:szCs w:val="24"/>
        </w:rPr>
        <w:t xml:space="preserve">explored the value of </w:t>
      </w:r>
      <w:r w:rsidR="00DA0A67" w:rsidRPr="00DA0A67">
        <w:rPr>
          <w:rFonts w:ascii="Times New Roman" w:hAnsi="Times New Roman" w:cs="Times New Roman"/>
          <w:sz w:val="24"/>
          <w:szCs w:val="24"/>
        </w:rPr>
        <w:t>alternative normative frameworks such as dignity,</w:t>
      </w:r>
      <w:r w:rsidR="00DA0A67" w:rsidRPr="00DA0A67">
        <w:rPr>
          <w:rStyle w:val="FootnoteReference"/>
          <w:rFonts w:ascii="Times New Roman" w:hAnsi="Times New Roman" w:cs="Times New Roman"/>
          <w:sz w:val="24"/>
          <w:szCs w:val="24"/>
        </w:rPr>
        <w:footnoteReference w:id="61"/>
      </w:r>
      <w:r w:rsidR="00DA0A67" w:rsidRPr="00DA0A67">
        <w:rPr>
          <w:rFonts w:ascii="Times New Roman" w:hAnsi="Times New Roman" w:cs="Times New Roman"/>
          <w:sz w:val="24"/>
          <w:szCs w:val="24"/>
        </w:rPr>
        <w:t xml:space="preserve"> capabilit</w:t>
      </w:r>
      <w:r w:rsidR="00610F1B">
        <w:rPr>
          <w:rFonts w:ascii="Times New Roman" w:hAnsi="Times New Roman" w:cs="Times New Roman"/>
          <w:sz w:val="24"/>
          <w:szCs w:val="24"/>
        </w:rPr>
        <w:t>y</w:t>
      </w:r>
      <w:r w:rsidR="00DA0A67" w:rsidRPr="00DA0A67">
        <w:rPr>
          <w:rFonts w:ascii="Times New Roman" w:hAnsi="Times New Roman" w:cs="Times New Roman"/>
          <w:sz w:val="24"/>
          <w:szCs w:val="24"/>
        </w:rPr>
        <w:t>,</w:t>
      </w:r>
      <w:r w:rsidR="00DA0A67" w:rsidRPr="00DA0A67">
        <w:rPr>
          <w:rStyle w:val="FootnoteReference"/>
          <w:rFonts w:ascii="Times New Roman" w:hAnsi="Times New Roman" w:cs="Times New Roman"/>
          <w:sz w:val="24"/>
          <w:szCs w:val="24"/>
        </w:rPr>
        <w:footnoteReference w:id="62"/>
      </w:r>
      <w:r w:rsidR="00DA0A67" w:rsidRPr="00DA0A67">
        <w:rPr>
          <w:rFonts w:ascii="Times New Roman" w:hAnsi="Times New Roman" w:cs="Times New Roman"/>
          <w:sz w:val="24"/>
          <w:szCs w:val="24"/>
        </w:rPr>
        <w:t xml:space="preserve"> well-being</w:t>
      </w:r>
      <w:r w:rsidR="00DA0A67" w:rsidRPr="00DA0A67">
        <w:rPr>
          <w:rStyle w:val="FootnoteReference"/>
          <w:rFonts w:ascii="Times New Roman" w:hAnsi="Times New Roman" w:cs="Times New Roman"/>
          <w:sz w:val="24"/>
          <w:szCs w:val="24"/>
        </w:rPr>
        <w:footnoteReference w:id="63"/>
      </w:r>
      <w:r w:rsidR="00DA0A67" w:rsidRPr="00DA0A67">
        <w:rPr>
          <w:rFonts w:ascii="Times New Roman" w:hAnsi="Times New Roman" w:cs="Times New Roman"/>
          <w:sz w:val="24"/>
          <w:szCs w:val="24"/>
        </w:rPr>
        <w:t xml:space="preserve"> </w:t>
      </w:r>
      <w:r w:rsidR="00610F1B">
        <w:rPr>
          <w:rFonts w:ascii="Times New Roman" w:hAnsi="Times New Roman" w:cs="Times New Roman"/>
          <w:sz w:val="24"/>
          <w:szCs w:val="24"/>
        </w:rPr>
        <w:t>and</w:t>
      </w:r>
      <w:r w:rsidR="00DA0A67" w:rsidRPr="00DA0A67">
        <w:rPr>
          <w:rFonts w:ascii="Times New Roman" w:hAnsi="Times New Roman" w:cs="Times New Roman"/>
          <w:sz w:val="24"/>
          <w:szCs w:val="24"/>
        </w:rPr>
        <w:t xml:space="preserve"> the ethic of care</w:t>
      </w:r>
      <w:r w:rsidR="00DA0A67" w:rsidRPr="00DA0A67">
        <w:rPr>
          <w:rStyle w:val="FootnoteReference"/>
          <w:rFonts w:ascii="Times New Roman" w:hAnsi="Times New Roman" w:cs="Times New Roman"/>
          <w:sz w:val="24"/>
          <w:szCs w:val="24"/>
        </w:rPr>
        <w:footnoteReference w:id="64"/>
      </w:r>
      <w:r w:rsidR="00DA0A67" w:rsidRPr="00DA0A67">
        <w:rPr>
          <w:rFonts w:ascii="Times New Roman" w:hAnsi="Times New Roman" w:cs="Times New Roman"/>
          <w:sz w:val="24"/>
          <w:szCs w:val="24"/>
        </w:rPr>
        <w:t xml:space="preserve"> to protect and promote individuals’ (including children’s) essential needs and wishes.</w:t>
      </w:r>
    </w:p>
    <w:p w14:paraId="05BDDA21" w14:textId="10138B2D" w:rsidR="00FA3C72" w:rsidRDefault="00DA0A67" w:rsidP="00E51CEC">
      <w:pPr>
        <w:spacing w:line="360" w:lineRule="auto"/>
        <w:rPr>
          <w:rFonts w:ascii="Times New Roman" w:hAnsi="Times New Roman" w:cs="Times New Roman"/>
          <w:sz w:val="24"/>
          <w:szCs w:val="24"/>
        </w:rPr>
      </w:pPr>
      <w:r>
        <w:rPr>
          <w:rFonts w:ascii="Times New Roman" w:hAnsi="Times New Roman" w:cs="Times New Roman"/>
          <w:sz w:val="24"/>
          <w:szCs w:val="24"/>
        </w:rPr>
        <w:t>T</w:t>
      </w:r>
      <w:r w:rsidR="00FA3C72" w:rsidRPr="001F45F3">
        <w:rPr>
          <w:rFonts w:ascii="Times New Roman" w:hAnsi="Times New Roman" w:cs="Times New Roman"/>
          <w:sz w:val="24"/>
          <w:szCs w:val="24"/>
        </w:rPr>
        <w:t xml:space="preserve">he objectives pursued by children’s human rights, and particularly the Convention on the Rights of the Child, of laying down universally applicable standards </w:t>
      </w:r>
      <w:r w:rsidR="005716FB">
        <w:rPr>
          <w:rFonts w:ascii="Times New Roman" w:hAnsi="Times New Roman" w:cs="Times New Roman"/>
          <w:sz w:val="24"/>
          <w:szCs w:val="24"/>
        </w:rPr>
        <w:t>are</w:t>
      </w:r>
      <w:r w:rsidR="00FA3C72" w:rsidRPr="001F45F3">
        <w:rPr>
          <w:rFonts w:ascii="Times New Roman" w:hAnsi="Times New Roman" w:cs="Times New Roman"/>
          <w:sz w:val="24"/>
          <w:szCs w:val="24"/>
        </w:rPr>
        <w:t xml:space="preserve"> necessarily confined to </w:t>
      </w:r>
      <w:r w:rsidR="00FA3C72" w:rsidRPr="001F45F3">
        <w:rPr>
          <w:rFonts w:ascii="Times New Roman" w:hAnsi="Times New Roman" w:cs="Times New Roman"/>
          <w:i/>
          <w:sz w:val="24"/>
          <w:szCs w:val="24"/>
        </w:rPr>
        <w:t>children</w:t>
      </w:r>
      <w:r w:rsidR="00FA3C72" w:rsidRPr="001F45F3">
        <w:rPr>
          <w:rFonts w:ascii="Times New Roman" w:hAnsi="Times New Roman" w:cs="Times New Roman"/>
          <w:sz w:val="24"/>
          <w:szCs w:val="24"/>
        </w:rPr>
        <w:t xml:space="preserve"> as a dis</w:t>
      </w:r>
      <w:r w:rsidR="00FA3C72">
        <w:rPr>
          <w:rFonts w:ascii="Times New Roman" w:hAnsi="Times New Roman" w:cs="Times New Roman"/>
          <w:sz w:val="24"/>
          <w:szCs w:val="24"/>
        </w:rPr>
        <w:t xml:space="preserve">crete </w:t>
      </w:r>
      <w:r w:rsidR="00FA3C72" w:rsidRPr="001F45F3">
        <w:rPr>
          <w:rFonts w:ascii="Times New Roman" w:hAnsi="Times New Roman" w:cs="Times New Roman"/>
          <w:sz w:val="24"/>
          <w:szCs w:val="24"/>
        </w:rPr>
        <w:t xml:space="preserve">community of rights holders. The aim of the Convention </w:t>
      </w:r>
      <w:r w:rsidR="00FA3C72">
        <w:rPr>
          <w:rFonts w:ascii="Times New Roman" w:hAnsi="Times New Roman" w:cs="Times New Roman"/>
          <w:sz w:val="24"/>
          <w:szCs w:val="24"/>
        </w:rPr>
        <w:t xml:space="preserve">was never </w:t>
      </w:r>
      <w:r w:rsidR="00FA3C72" w:rsidRPr="001F45F3">
        <w:rPr>
          <w:rFonts w:ascii="Times New Roman" w:hAnsi="Times New Roman" w:cs="Times New Roman"/>
          <w:sz w:val="24"/>
          <w:szCs w:val="24"/>
        </w:rPr>
        <w:t xml:space="preserve">to create a blue print of human rights protection for people generally, and it </w:t>
      </w:r>
      <w:r w:rsidR="00FA3C72">
        <w:rPr>
          <w:rFonts w:ascii="Times New Roman" w:hAnsi="Times New Roman" w:cs="Times New Roman"/>
          <w:sz w:val="24"/>
          <w:szCs w:val="24"/>
        </w:rPr>
        <w:t xml:space="preserve">potentially </w:t>
      </w:r>
      <w:r w:rsidR="00FA3C72" w:rsidRPr="001F45F3">
        <w:rPr>
          <w:rFonts w:ascii="Times New Roman" w:hAnsi="Times New Roman" w:cs="Times New Roman"/>
          <w:sz w:val="24"/>
          <w:szCs w:val="24"/>
        </w:rPr>
        <w:t>weaken</w:t>
      </w:r>
      <w:r w:rsidR="00FA3C72">
        <w:rPr>
          <w:rFonts w:ascii="Times New Roman" w:hAnsi="Times New Roman" w:cs="Times New Roman"/>
          <w:sz w:val="24"/>
          <w:szCs w:val="24"/>
        </w:rPr>
        <w:t>s</w:t>
      </w:r>
      <w:r w:rsidR="00FA3C72" w:rsidRPr="001F45F3">
        <w:rPr>
          <w:rFonts w:ascii="Times New Roman" w:hAnsi="Times New Roman" w:cs="Times New Roman"/>
          <w:sz w:val="24"/>
          <w:szCs w:val="24"/>
        </w:rPr>
        <w:t xml:space="preserve"> the impact of the best </w:t>
      </w:r>
      <w:proofErr w:type="gramStart"/>
      <w:r w:rsidR="00FA3C72" w:rsidRPr="001F45F3">
        <w:rPr>
          <w:rFonts w:ascii="Times New Roman" w:hAnsi="Times New Roman" w:cs="Times New Roman"/>
          <w:sz w:val="24"/>
          <w:szCs w:val="24"/>
        </w:rPr>
        <w:t>interests</w:t>
      </w:r>
      <w:proofErr w:type="gramEnd"/>
      <w:r w:rsidR="00FA3C72" w:rsidRPr="001F45F3">
        <w:rPr>
          <w:rFonts w:ascii="Times New Roman" w:hAnsi="Times New Roman" w:cs="Times New Roman"/>
          <w:sz w:val="24"/>
          <w:szCs w:val="24"/>
        </w:rPr>
        <w:t xml:space="preserve"> principle – and indeed of the Convention more generally - should it be interpreted in such an expansive way.</w:t>
      </w:r>
      <w:r w:rsidRPr="00DA0A67">
        <w:rPr>
          <w:rFonts w:ascii="Times New Roman" w:hAnsi="Times New Roman" w:cs="Times New Roman"/>
          <w:sz w:val="24"/>
          <w:szCs w:val="24"/>
        </w:rPr>
        <w:t xml:space="preserve"> </w:t>
      </w:r>
      <w:r>
        <w:rPr>
          <w:rFonts w:ascii="Times New Roman" w:hAnsi="Times New Roman" w:cs="Times New Roman"/>
          <w:sz w:val="24"/>
          <w:szCs w:val="24"/>
        </w:rPr>
        <w:t xml:space="preserve">By allowing the principle to be </w:t>
      </w:r>
      <w:r w:rsidR="006E2A0E">
        <w:rPr>
          <w:rFonts w:ascii="Times New Roman" w:hAnsi="Times New Roman" w:cs="Times New Roman"/>
          <w:sz w:val="24"/>
          <w:szCs w:val="24"/>
        </w:rPr>
        <w:t xml:space="preserve">appropriated too readily </w:t>
      </w:r>
      <w:r>
        <w:rPr>
          <w:rFonts w:ascii="Times New Roman" w:hAnsi="Times New Roman" w:cs="Times New Roman"/>
          <w:sz w:val="24"/>
          <w:szCs w:val="24"/>
        </w:rPr>
        <w:t xml:space="preserve">by </w:t>
      </w:r>
      <w:r w:rsidR="0021656F">
        <w:rPr>
          <w:rFonts w:ascii="Times New Roman" w:hAnsi="Times New Roman" w:cs="Times New Roman"/>
          <w:sz w:val="24"/>
          <w:szCs w:val="24"/>
        </w:rPr>
        <w:t xml:space="preserve">decision-makers in an </w:t>
      </w:r>
      <w:r>
        <w:rPr>
          <w:rFonts w:ascii="Times New Roman" w:hAnsi="Times New Roman" w:cs="Times New Roman"/>
          <w:sz w:val="24"/>
          <w:szCs w:val="24"/>
        </w:rPr>
        <w:t>adult human rights</w:t>
      </w:r>
      <w:r w:rsidR="0021656F">
        <w:rPr>
          <w:rFonts w:ascii="Times New Roman" w:hAnsi="Times New Roman" w:cs="Times New Roman"/>
          <w:sz w:val="24"/>
          <w:szCs w:val="24"/>
        </w:rPr>
        <w:t xml:space="preserve"> context</w:t>
      </w:r>
      <w:bookmarkStart w:id="1" w:name="_GoBack"/>
      <w:bookmarkEnd w:id="1"/>
      <w:r>
        <w:rPr>
          <w:rFonts w:ascii="Times New Roman" w:hAnsi="Times New Roman" w:cs="Times New Roman"/>
          <w:sz w:val="24"/>
          <w:szCs w:val="24"/>
        </w:rPr>
        <w:t>, we</w:t>
      </w:r>
      <w:r w:rsidRPr="001F45F3">
        <w:rPr>
          <w:rFonts w:ascii="Times New Roman" w:hAnsi="Times New Roman" w:cs="Times New Roman"/>
          <w:sz w:val="24"/>
          <w:szCs w:val="24"/>
        </w:rPr>
        <w:t xml:space="preserve"> </w:t>
      </w:r>
      <w:r>
        <w:rPr>
          <w:rFonts w:ascii="Times New Roman" w:hAnsi="Times New Roman" w:cs="Times New Roman"/>
          <w:sz w:val="24"/>
          <w:szCs w:val="24"/>
        </w:rPr>
        <w:t>risk perpetuating</w:t>
      </w:r>
      <w:r w:rsidRPr="001F45F3">
        <w:rPr>
          <w:rFonts w:ascii="Times New Roman" w:hAnsi="Times New Roman" w:cs="Times New Roman"/>
          <w:sz w:val="24"/>
          <w:szCs w:val="24"/>
        </w:rPr>
        <w:t xml:space="preserve"> and entrench</w:t>
      </w:r>
      <w:r>
        <w:rPr>
          <w:rFonts w:ascii="Times New Roman" w:hAnsi="Times New Roman" w:cs="Times New Roman"/>
          <w:sz w:val="24"/>
          <w:szCs w:val="24"/>
        </w:rPr>
        <w:t>ing</w:t>
      </w:r>
      <w:r w:rsidRPr="001F45F3">
        <w:rPr>
          <w:rFonts w:ascii="Times New Roman" w:hAnsi="Times New Roman" w:cs="Times New Roman"/>
          <w:sz w:val="24"/>
          <w:szCs w:val="24"/>
        </w:rPr>
        <w:t xml:space="preserve"> what are already un</w:t>
      </w:r>
      <w:r>
        <w:rPr>
          <w:rFonts w:ascii="Times New Roman" w:hAnsi="Times New Roman" w:cs="Times New Roman"/>
          <w:sz w:val="24"/>
          <w:szCs w:val="24"/>
        </w:rPr>
        <w:t>desirable trends or practices</w:t>
      </w:r>
      <w:r w:rsidRPr="001F45F3">
        <w:rPr>
          <w:rFonts w:ascii="Times New Roman" w:hAnsi="Times New Roman" w:cs="Times New Roman"/>
          <w:sz w:val="24"/>
          <w:szCs w:val="24"/>
        </w:rPr>
        <w:t>, reinforcing</w:t>
      </w:r>
      <w:r>
        <w:rPr>
          <w:rFonts w:ascii="Times New Roman" w:hAnsi="Times New Roman" w:cs="Times New Roman"/>
          <w:sz w:val="24"/>
          <w:szCs w:val="24"/>
        </w:rPr>
        <w:t xml:space="preserve"> exclusively </w:t>
      </w:r>
      <w:r w:rsidRPr="001F45F3">
        <w:rPr>
          <w:rFonts w:ascii="Times New Roman" w:hAnsi="Times New Roman" w:cs="Times New Roman"/>
          <w:sz w:val="24"/>
          <w:szCs w:val="24"/>
        </w:rPr>
        <w:t>paternalistic approaches that polarise welfare assessments on the one hand and individual autonomy on the other</w:t>
      </w:r>
      <w:r>
        <w:rPr>
          <w:rFonts w:ascii="Times New Roman" w:hAnsi="Times New Roman" w:cs="Times New Roman"/>
          <w:sz w:val="24"/>
          <w:szCs w:val="24"/>
        </w:rPr>
        <w:t>, and divesting the principle of any potential it has to act as a persuasive mechanism for promoting children’s rights.</w:t>
      </w:r>
    </w:p>
    <w:p w14:paraId="4E46038A" w14:textId="5369972E" w:rsidR="00876297" w:rsidRDefault="001B79C3" w:rsidP="00E51CEC">
      <w:pPr>
        <w:spacing w:line="360" w:lineRule="auto"/>
        <w:rPr>
          <w:rFonts w:ascii="Times New Roman" w:hAnsi="Times New Roman" w:cs="Times New Roman"/>
          <w:sz w:val="24"/>
          <w:szCs w:val="24"/>
        </w:rPr>
      </w:pPr>
      <w:r w:rsidRPr="001F45F3">
        <w:rPr>
          <w:rFonts w:ascii="Times New Roman" w:hAnsi="Times New Roman" w:cs="Times New Roman"/>
          <w:sz w:val="24"/>
          <w:szCs w:val="24"/>
        </w:rPr>
        <w:t xml:space="preserve">. </w:t>
      </w:r>
    </w:p>
    <w:p w14:paraId="311B2716" w14:textId="0F4E58D9" w:rsidR="007625D2" w:rsidRPr="009C5BC2" w:rsidRDefault="007625D2" w:rsidP="00020ECA">
      <w:pPr>
        <w:spacing w:line="360" w:lineRule="auto"/>
        <w:jc w:val="both"/>
        <w:rPr>
          <w:rFonts w:ascii="Times New Roman" w:hAnsi="Times New Roman" w:cs="Times New Roman"/>
          <w:b/>
          <w:sz w:val="24"/>
          <w:szCs w:val="24"/>
        </w:rPr>
      </w:pPr>
    </w:p>
    <w:sectPr w:rsidR="007625D2" w:rsidRPr="009C5BC2" w:rsidSect="00FA1432">
      <w:footerReference w:type="default" r:id="rId9"/>
      <w:pgSz w:w="11906" w:h="16838"/>
      <w:pgMar w:top="1440" w:right="1440" w:bottom="1440" w:left="1440"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181610" w15:done="0"/>
  <w15:commentEx w15:paraId="4688C0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3AAB8" w14:textId="77777777" w:rsidR="006C3A29" w:rsidRDefault="006C3A29" w:rsidP="002D2785">
      <w:pPr>
        <w:spacing w:after="0" w:line="240" w:lineRule="auto"/>
      </w:pPr>
      <w:r>
        <w:separator/>
      </w:r>
    </w:p>
  </w:endnote>
  <w:endnote w:type="continuationSeparator" w:id="0">
    <w:p w14:paraId="1146557B" w14:textId="77777777" w:rsidR="006C3A29" w:rsidRDefault="006C3A29" w:rsidP="002D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rill-Roman">
    <w:altName w:val="Times New Roman"/>
    <w:panose1 w:val="00000000000000000000"/>
    <w:charset w:val="00"/>
    <w:family w:val="roman"/>
    <w:notTrueType/>
    <w:pitch w:val="default"/>
  </w:font>
  <w:font w:name="FoundryContext-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572310"/>
      <w:docPartObj>
        <w:docPartGallery w:val="Page Numbers (Bottom of Page)"/>
        <w:docPartUnique/>
      </w:docPartObj>
    </w:sdtPr>
    <w:sdtEndPr>
      <w:rPr>
        <w:noProof/>
      </w:rPr>
    </w:sdtEndPr>
    <w:sdtContent>
      <w:p w14:paraId="293225FE" w14:textId="01EB6803" w:rsidR="00F7433C" w:rsidRDefault="00F7433C">
        <w:pPr>
          <w:pStyle w:val="Footer"/>
          <w:jc w:val="right"/>
        </w:pPr>
        <w:r>
          <w:fldChar w:fldCharType="begin"/>
        </w:r>
        <w:r>
          <w:instrText xml:space="preserve"> PAGE   \* MERGEFORMAT </w:instrText>
        </w:r>
        <w:r>
          <w:fldChar w:fldCharType="separate"/>
        </w:r>
        <w:r w:rsidR="00E30821">
          <w:rPr>
            <w:noProof/>
          </w:rPr>
          <w:t>17</w:t>
        </w:r>
        <w:r>
          <w:rPr>
            <w:noProof/>
          </w:rPr>
          <w:fldChar w:fldCharType="end"/>
        </w:r>
      </w:p>
    </w:sdtContent>
  </w:sdt>
  <w:p w14:paraId="3890AAD5" w14:textId="77777777" w:rsidR="00F7433C" w:rsidRDefault="00F74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8FBB8" w14:textId="77777777" w:rsidR="006C3A29" w:rsidRDefault="006C3A29" w:rsidP="002D2785">
      <w:pPr>
        <w:spacing w:after="0" w:line="240" w:lineRule="auto"/>
      </w:pPr>
      <w:r>
        <w:separator/>
      </w:r>
    </w:p>
  </w:footnote>
  <w:footnote w:type="continuationSeparator" w:id="0">
    <w:p w14:paraId="29622AB6" w14:textId="77777777" w:rsidR="006C3A29" w:rsidRDefault="006C3A29" w:rsidP="002D2785">
      <w:pPr>
        <w:spacing w:after="0" w:line="240" w:lineRule="auto"/>
      </w:pPr>
      <w:r>
        <w:continuationSeparator/>
      </w:r>
    </w:p>
  </w:footnote>
  <w:footnote w:id="1">
    <w:p w14:paraId="2273C9C6" w14:textId="77777777" w:rsidR="00F7433C" w:rsidRPr="009C5BC2" w:rsidRDefault="00F7433C" w:rsidP="002D2785">
      <w:pPr>
        <w:pStyle w:val="NoSpacing"/>
        <w:spacing w:line="360" w:lineRule="auto"/>
        <w:jc w:val="both"/>
        <w:rPr>
          <w:sz w:val="20"/>
          <w:szCs w:val="20"/>
        </w:rPr>
      </w:pPr>
      <w:r w:rsidRPr="009C5BC2">
        <w:rPr>
          <w:rStyle w:val="FootnoteReference1"/>
          <w:szCs w:val="20"/>
        </w:rPr>
        <w:footnoteRef/>
      </w:r>
      <w:r w:rsidRPr="009C5BC2">
        <w:rPr>
          <w:sz w:val="20"/>
          <w:szCs w:val="20"/>
        </w:rPr>
        <w:t xml:space="preserve"> </w:t>
      </w:r>
      <w:proofErr w:type="gramStart"/>
      <w:r w:rsidRPr="009C5BC2">
        <w:rPr>
          <w:sz w:val="20"/>
          <w:szCs w:val="20"/>
        </w:rPr>
        <w:t>Principles 2 and 7.</w:t>
      </w:r>
      <w:proofErr w:type="gramEnd"/>
      <w:r w:rsidRPr="009C5BC2">
        <w:rPr>
          <w:sz w:val="20"/>
          <w:szCs w:val="20"/>
        </w:rPr>
        <w:t xml:space="preserve"> </w:t>
      </w:r>
    </w:p>
  </w:footnote>
  <w:footnote w:id="2">
    <w:p w14:paraId="4F108419" w14:textId="77777777" w:rsidR="00F7433C" w:rsidRPr="009C5BC2" w:rsidRDefault="00F7433C" w:rsidP="002D2785">
      <w:pPr>
        <w:pStyle w:val="NoSpacing"/>
        <w:rPr>
          <w:sz w:val="20"/>
          <w:szCs w:val="20"/>
        </w:rPr>
      </w:pPr>
      <w:r w:rsidRPr="009C5BC2">
        <w:rPr>
          <w:rStyle w:val="FootnoteReference1"/>
          <w:szCs w:val="20"/>
        </w:rPr>
        <w:footnoteRef/>
      </w:r>
      <w:r w:rsidRPr="009C5BC2">
        <w:rPr>
          <w:sz w:val="20"/>
          <w:szCs w:val="20"/>
        </w:rPr>
        <w:t xml:space="preserve"> </w:t>
      </w:r>
      <w:proofErr w:type="gramStart"/>
      <w:r w:rsidRPr="009C5BC2">
        <w:rPr>
          <w:sz w:val="20"/>
          <w:szCs w:val="20"/>
        </w:rPr>
        <w:t>Art 5(b).</w:t>
      </w:r>
      <w:proofErr w:type="gramEnd"/>
      <w:r w:rsidRPr="009C5BC2">
        <w:rPr>
          <w:sz w:val="20"/>
          <w:szCs w:val="20"/>
        </w:rPr>
        <w:t xml:space="preserve"> </w:t>
      </w:r>
    </w:p>
  </w:footnote>
  <w:footnote w:id="3">
    <w:p w14:paraId="47A8A4C0" w14:textId="2223E101"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w:t>
      </w:r>
      <w:proofErr w:type="gramStart"/>
      <w:r w:rsidRPr="009C5BC2">
        <w:rPr>
          <w:rFonts w:ascii="Times New Roman" w:hAnsi="Times New Roman" w:cs="Times New Roman"/>
        </w:rPr>
        <w:t>Arts 7(2), 23(2), and 23(2) and (4).</w:t>
      </w:r>
      <w:proofErr w:type="gramEnd"/>
    </w:p>
  </w:footnote>
  <w:footnote w:id="4">
    <w:p w14:paraId="2BC52248" w14:textId="4D9E71CA" w:rsidR="00F7433C" w:rsidRPr="009C5BC2" w:rsidRDefault="00F7433C" w:rsidP="00467AB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J </w:t>
      </w:r>
      <w:proofErr w:type="spellStart"/>
      <w:r w:rsidRPr="009C5BC2">
        <w:rPr>
          <w:rFonts w:ascii="Times New Roman" w:hAnsi="Times New Roman" w:cs="Times New Roman"/>
        </w:rPr>
        <w:t>Mnookin</w:t>
      </w:r>
      <w:proofErr w:type="spellEnd"/>
      <w:r w:rsidRPr="009C5BC2">
        <w:rPr>
          <w:rFonts w:ascii="Times New Roman" w:hAnsi="Times New Roman" w:cs="Times New Roman"/>
        </w:rPr>
        <w:t xml:space="preserve">, ‘Child Custody Adjudication: Judicial Functions in the Face of Indeterminacy’ (1975) 39 </w:t>
      </w:r>
      <w:r w:rsidRPr="009C5BC2">
        <w:rPr>
          <w:rFonts w:ascii="Times New Roman" w:hAnsi="Times New Roman" w:cs="Times New Roman"/>
          <w:i/>
        </w:rPr>
        <w:t xml:space="preserve">Law and Contemporary Problems, </w:t>
      </w:r>
      <w:r w:rsidRPr="009C5BC2">
        <w:rPr>
          <w:rFonts w:ascii="Times New Roman" w:hAnsi="Times New Roman" w:cs="Times New Roman"/>
        </w:rPr>
        <w:t xml:space="preserve">226 at 260, cited in M Freeman, </w:t>
      </w:r>
      <w:r w:rsidRPr="009C5BC2">
        <w:rPr>
          <w:rFonts w:ascii="Times New Roman" w:hAnsi="Times New Roman" w:cs="Times New Roman"/>
          <w:i/>
        </w:rPr>
        <w:t xml:space="preserve">Commentary on the United Nations Convention on the Rights of the Child, Article 3: The Best Interests of the Child </w:t>
      </w:r>
      <w:r w:rsidRPr="009C5BC2">
        <w:rPr>
          <w:rFonts w:ascii="Times New Roman" w:hAnsi="Times New Roman" w:cs="Times New Roman"/>
        </w:rPr>
        <w:t xml:space="preserve">(Leiden, </w:t>
      </w:r>
      <w:proofErr w:type="spellStart"/>
      <w:r w:rsidRPr="009C5BC2">
        <w:rPr>
          <w:rFonts w:ascii="Times New Roman" w:hAnsi="Times New Roman" w:cs="Times New Roman"/>
        </w:rPr>
        <w:t>Martinus</w:t>
      </w:r>
      <w:proofErr w:type="spellEnd"/>
      <w:r w:rsidRPr="009C5BC2">
        <w:rPr>
          <w:rFonts w:ascii="Times New Roman" w:hAnsi="Times New Roman" w:cs="Times New Roman"/>
        </w:rPr>
        <w:t xml:space="preserve"> </w:t>
      </w:r>
      <w:proofErr w:type="spellStart"/>
      <w:r w:rsidRPr="009C5BC2">
        <w:rPr>
          <w:rFonts w:ascii="Times New Roman" w:hAnsi="Times New Roman" w:cs="Times New Roman"/>
        </w:rPr>
        <w:t>Nijhoff</w:t>
      </w:r>
      <w:proofErr w:type="spellEnd"/>
      <w:r w:rsidRPr="009C5BC2">
        <w:rPr>
          <w:rFonts w:ascii="Times New Roman" w:hAnsi="Times New Roman" w:cs="Times New Roman"/>
        </w:rPr>
        <w:t xml:space="preserve"> 2007).  </w:t>
      </w:r>
    </w:p>
  </w:footnote>
  <w:footnote w:id="5">
    <w:p w14:paraId="44C0F767" w14:textId="7D6CC22D"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CRC Committee General Comment No. 14 on the right of the child to have his or her best interests taken as a primary consideration UN Doc 2013 CRC/C/GC/14,  para 6.</w:t>
      </w:r>
    </w:p>
  </w:footnote>
  <w:footnote w:id="6">
    <w:p w14:paraId="39DFFCB1" w14:textId="7BC72773" w:rsidR="00F7433C" w:rsidRPr="009C5BC2" w:rsidRDefault="00F7433C" w:rsidP="00A72B55">
      <w:pPr>
        <w:pStyle w:val="NoSpacing"/>
        <w:rPr>
          <w:sz w:val="20"/>
          <w:szCs w:val="20"/>
        </w:rPr>
      </w:pPr>
      <w:r w:rsidRPr="009C5BC2">
        <w:rPr>
          <w:rStyle w:val="FootnoteReference1"/>
          <w:szCs w:val="20"/>
        </w:rPr>
        <w:footnoteRef/>
      </w:r>
      <w:r w:rsidRPr="009C5BC2">
        <w:rPr>
          <w:sz w:val="20"/>
          <w:szCs w:val="20"/>
        </w:rPr>
        <w:t xml:space="preserve"> The best interests principle is explicitly referred to in Articles 9(1) and (3), 18(1), 20(1), 21, 37(c) and 40(2</w:t>
      </w:r>
      <w:proofErr w:type="gramStart"/>
      <w:r w:rsidRPr="009C5BC2">
        <w:rPr>
          <w:sz w:val="20"/>
          <w:szCs w:val="20"/>
        </w:rPr>
        <w:t>)(</w:t>
      </w:r>
      <w:proofErr w:type="gramEnd"/>
      <w:r w:rsidRPr="009C5BC2">
        <w:rPr>
          <w:sz w:val="20"/>
          <w:szCs w:val="20"/>
        </w:rPr>
        <w:t xml:space="preserve">b)(iii) of the CRC but as one of the four General Principles, underpins the interpretation of all other rights listed in the Convention. For further discussion of the General Principles see </w:t>
      </w:r>
      <w:r w:rsidRPr="009C5BC2">
        <w:rPr>
          <w:sz w:val="20"/>
          <w:szCs w:val="20"/>
          <w:highlight w:val="yellow"/>
        </w:rPr>
        <w:t>Lundy, chapter X</w:t>
      </w:r>
      <w:r w:rsidRPr="009C5BC2">
        <w:rPr>
          <w:sz w:val="20"/>
          <w:szCs w:val="20"/>
        </w:rPr>
        <w:t xml:space="preserve"> </w:t>
      </w:r>
    </w:p>
  </w:footnote>
  <w:footnote w:id="7">
    <w:p w14:paraId="60EDD6B5" w14:textId="10AF8E20" w:rsidR="00F7433C" w:rsidRPr="009C5BC2" w:rsidRDefault="00F7433C" w:rsidP="00813F94">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UNHCR </w:t>
      </w:r>
      <w:r w:rsidRPr="009C5BC2">
        <w:rPr>
          <w:rFonts w:ascii="Times New Roman" w:hAnsi="Times New Roman" w:cs="Times New Roman"/>
          <w:i/>
        </w:rPr>
        <w:t>Field Handbook for the Implementation of UNHCR BID Guidelines</w:t>
      </w:r>
      <w:r w:rsidRPr="009C5BC2">
        <w:rPr>
          <w:rFonts w:ascii="Times New Roman" w:hAnsi="Times New Roman" w:cs="Times New Roman"/>
        </w:rPr>
        <w:t xml:space="preserve"> (2011)</w:t>
      </w:r>
    </w:p>
  </w:footnote>
  <w:footnote w:id="8">
    <w:p w14:paraId="3CBBF3E9" w14:textId="19B9B522" w:rsidR="006E7713" w:rsidRDefault="006E7713" w:rsidP="00E30821">
      <w:pPr>
        <w:pStyle w:val="Heading1"/>
        <w:shd w:val="clear" w:color="auto" w:fill="FFFFFF"/>
        <w:spacing w:before="0" w:after="101" w:line="240" w:lineRule="auto"/>
        <w:textAlignment w:val="baseline"/>
      </w:pPr>
      <w:r w:rsidRPr="00B0046C">
        <w:rPr>
          <w:rStyle w:val="FootnoteReference"/>
          <w:rFonts w:ascii="Times New Roman" w:hAnsi="Times New Roman" w:cs="Times New Roman"/>
          <w:b w:val="0"/>
          <w:color w:val="auto"/>
          <w:sz w:val="20"/>
          <w:szCs w:val="20"/>
        </w:rPr>
        <w:footnoteRef/>
      </w:r>
      <w:r w:rsidRPr="00B0046C">
        <w:rPr>
          <w:rFonts w:ascii="Times New Roman" w:hAnsi="Times New Roman" w:cs="Times New Roman"/>
          <w:b w:val="0"/>
          <w:color w:val="auto"/>
          <w:sz w:val="20"/>
          <w:szCs w:val="20"/>
        </w:rPr>
        <w:t xml:space="preserve"> ‘Welfare’ and ‘best interests’ are commonly used analogously although the former term implies a rather narrower, </w:t>
      </w:r>
      <w:r w:rsidR="005E2F62">
        <w:rPr>
          <w:rFonts w:ascii="Times New Roman" w:hAnsi="Times New Roman" w:cs="Times New Roman"/>
          <w:b w:val="0"/>
          <w:color w:val="auto"/>
          <w:sz w:val="20"/>
          <w:szCs w:val="20"/>
        </w:rPr>
        <w:t xml:space="preserve">paternalistic </w:t>
      </w:r>
      <w:r w:rsidRPr="00B0046C">
        <w:rPr>
          <w:rFonts w:ascii="Times New Roman" w:hAnsi="Times New Roman" w:cs="Times New Roman"/>
          <w:b w:val="0"/>
          <w:color w:val="auto"/>
          <w:sz w:val="20"/>
          <w:szCs w:val="20"/>
        </w:rPr>
        <w:t xml:space="preserve">interpretation whereby decisions are made on behalf of rather than in collaboration with children. </w:t>
      </w:r>
    </w:p>
  </w:footnote>
  <w:footnote w:id="9">
    <w:p w14:paraId="1F52D7BD" w14:textId="77777777" w:rsidR="00F7433C" w:rsidRPr="009C5BC2" w:rsidRDefault="00F7433C" w:rsidP="00813F94">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See for instance s.1 Children Act 1989 which governs public and private family law proceedings involving children in England and Wales which asserts that the welfare of the child is ‘paramount’ and contains a checklist of factors that need to be taken into account when determining what is in the welfare of the child.   </w:t>
      </w:r>
    </w:p>
  </w:footnote>
  <w:footnote w:id="10">
    <w:p w14:paraId="3DB95E50" w14:textId="38CF329F" w:rsidR="00F7433C" w:rsidRPr="00BB6FEB" w:rsidRDefault="00F7433C" w:rsidP="006D724C">
      <w:pPr>
        <w:pStyle w:val="NoSpacing"/>
        <w:rPr>
          <w:sz w:val="20"/>
          <w:szCs w:val="20"/>
        </w:rPr>
      </w:pPr>
      <w:r w:rsidRPr="00BB6FEB">
        <w:rPr>
          <w:rStyle w:val="FootnoteReference"/>
          <w:sz w:val="20"/>
          <w:szCs w:val="20"/>
        </w:rPr>
        <w:footnoteRef/>
      </w:r>
      <w:r w:rsidRPr="00BB6FEB">
        <w:rPr>
          <w:sz w:val="20"/>
          <w:szCs w:val="20"/>
        </w:rPr>
        <w:t xml:space="preserve"> See also S Choudhry ‘Best interests in the MCA 2005 – What can healthcare law learn from family law?’ (2008) 16 </w:t>
      </w:r>
      <w:r w:rsidRPr="00BB6FEB">
        <w:rPr>
          <w:i/>
          <w:sz w:val="20"/>
          <w:szCs w:val="20"/>
        </w:rPr>
        <w:t>Health Care Anal</w:t>
      </w:r>
      <w:r w:rsidRPr="00BB6FEB">
        <w:rPr>
          <w:sz w:val="20"/>
          <w:szCs w:val="20"/>
        </w:rPr>
        <w:t xml:space="preserve"> 240 for an analysis of what decision-makers operating within the scope of the Mental Capacity Act 2005 can learn from family law’s practical use of the best interests standard. </w:t>
      </w:r>
    </w:p>
  </w:footnote>
  <w:footnote w:id="11">
    <w:p w14:paraId="2494FA87" w14:textId="334A5C50" w:rsidR="00F7433C" w:rsidRPr="00BB6FEB" w:rsidRDefault="00F7433C" w:rsidP="006D724C">
      <w:pPr>
        <w:pStyle w:val="NoSpacing"/>
        <w:rPr>
          <w:sz w:val="20"/>
          <w:szCs w:val="20"/>
        </w:rPr>
      </w:pPr>
      <w:r w:rsidRPr="00BB6FEB">
        <w:rPr>
          <w:rStyle w:val="FootnoteReference"/>
          <w:b/>
          <w:sz w:val="20"/>
          <w:szCs w:val="20"/>
        </w:rPr>
        <w:footnoteRef/>
      </w:r>
      <w:r w:rsidRPr="00BB6FEB">
        <w:rPr>
          <w:sz w:val="20"/>
          <w:szCs w:val="20"/>
        </w:rPr>
        <w:t xml:space="preserve"> S Woods, S.</w:t>
      </w:r>
      <w:r w:rsidRPr="00BB6FEB">
        <w:rPr>
          <w:rStyle w:val="apple-converted-space"/>
          <w:b/>
          <w:sz w:val="20"/>
          <w:szCs w:val="20"/>
        </w:rPr>
        <w:t> ‘</w:t>
      </w:r>
      <w:r w:rsidRPr="00BB6FEB">
        <w:rPr>
          <w:bCs/>
          <w:sz w:val="20"/>
          <w:szCs w:val="20"/>
        </w:rPr>
        <w:t>Best Interests: Puzzles and Plausible Solutions at the End of Life’</w:t>
      </w:r>
      <w:r w:rsidRPr="00BB6FEB">
        <w:rPr>
          <w:rStyle w:val="apple-converted-space"/>
          <w:b/>
          <w:sz w:val="20"/>
          <w:szCs w:val="20"/>
        </w:rPr>
        <w:t> (</w:t>
      </w:r>
      <w:r w:rsidRPr="00BB6FEB">
        <w:rPr>
          <w:sz w:val="20"/>
          <w:szCs w:val="20"/>
        </w:rPr>
        <w:t>2008)</w:t>
      </w:r>
      <w:r w:rsidRPr="00BB6FEB">
        <w:rPr>
          <w:rStyle w:val="apple-converted-space"/>
          <w:b/>
          <w:sz w:val="20"/>
          <w:szCs w:val="20"/>
        </w:rPr>
        <w:t> </w:t>
      </w:r>
      <w:r w:rsidRPr="00BB6FEB">
        <w:rPr>
          <w:rStyle w:val="Strong"/>
          <w:b w:val="0"/>
          <w:sz w:val="20"/>
          <w:szCs w:val="20"/>
        </w:rPr>
        <w:t>16</w:t>
      </w:r>
      <w:r w:rsidRPr="00BB6FEB">
        <w:rPr>
          <w:sz w:val="20"/>
          <w:szCs w:val="20"/>
        </w:rPr>
        <w:t xml:space="preserve">(3) </w:t>
      </w:r>
      <w:r w:rsidRPr="00BB6FEB">
        <w:rPr>
          <w:rStyle w:val="Emphasis"/>
          <w:b/>
          <w:sz w:val="20"/>
          <w:szCs w:val="20"/>
        </w:rPr>
        <w:t>Health Care Analysis</w:t>
      </w:r>
      <w:proofErr w:type="gramStart"/>
      <w:r w:rsidRPr="00BB6FEB">
        <w:rPr>
          <w:rStyle w:val="apple-converted-space"/>
          <w:b/>
          <w:sz w:val="20"/>
          <w:szCs w:val="20"/>
        </w:rPr>
        <w:t> </w:t>
      </w:r>
      <w:r w:rsidRPr="00BB6FEB">
        <w:rPr>
          <w:sz w:val="20"/>
          <w:szCs w:val="20"/>
        </w:rPr>
        <w:t xml:space="preserve"> 279</w:t>
      </w:r>
      <w:proofErr w:type="gramEnd"/>
      <w:r w:rsidRPr="00BB6FEB">
        <w:rPr>
          <w:sz w:val="20"/>
          <w:szCs w:val="20"/>
        </w:rPr>
        <w:t>; R Huxtable ‘</w:t>
      </w:r>
      <w:r w:rsidRPr="00BB6FEB">
        <w:rPr>
          <w:rFonts w:eastAsia="Times New Roman"/>
          <w:kern w:val="36"/>
          <w:sz w:val="20"/>
          <w:szCs w:val="20"/>
          <w:lang w:eastAsia="en-GB"/>
        </w:rPr>
        <w:t>Autonomy, best interests and the public interest: treatment, non-treatment and the values of medical law.’</w:t>
      </w:r>
      <w:r w:rsidRPr="00BB6FEB">
        <w:rPr>
          <w:rStyle w:val="apple-converted-space"/>
          <w:b/>
          <w:sz w:val="20"/>
          <w:szCs w:val="20"/>
          <w:shd w:val="clear" w:color="auto" w:fill="FFFFFF"/>
        </w:rPr>
        <w:t xml:space="preserve"> (</w:t>
      </w:r>
      <w:r w:rsidRPr="00BB6FEB">
        <w:rPr>
          <w:sz w:val="20"/>
          <w:szCs w:val="20"/>
          <w:shd w:val="clear" w:color="auto" w:fill="FFFFFF"/>
        </w:rPr>
        <w:t xml:space="preserve">2014)  22(4) </w:t>
      </w:r>
      <w:r w:rsidRPr="00BB6FEB">
        <w:rPr>
          <w:i/>
          <w:sz w:val="20"/>
          <w:szCs w:val="20"/>
          <w:shd w:val="clear" w:color="auto" w:fill="FFFFFF"/>
        </w:rPr>
        <w:t>Medical Law Review</w:t>
      </w:r>
      <w:r w:rsidRPr="00BB6FEB">
        <w:rPr>
          <w:rStyle w:val="apple-converted-space"/>
          <w:b/>
          <w:sz w:val="20"/>
          <w:szCs w:val="20"/>
          <w:shd w:val="clear" w:color="auto" w:fill="FFFFFF"/>
        </w:rPr>
        <w:t> </w:t>
      </w:r>
      <w:r w:rsidRPr="00BB6FEB">
        <w:rPr>
          <w:sz w:val="20"/>
          <w:szCs w:val="20"/>
          <w:shd w:val="clear" w:color="auto" w:fill="FFFFFF"/>
        </w:rPr>
        <w:t>459</w:t>
      </w:r>
    </w:p>
  </w:footnote>
  <w:footnote w:id="12">
    <w:p w14:paraId="372D74F2" w14:textId="04669107" w:rsidR="00F7433C" w:rsidRPr="00BB6FEB" w:rsidRDefault="00F7433C" w:rsidP="006D724C">
      <w:pPr>
        <w:pStyle w:val="NoSpacing"/>
        <w:rPr>
          <w:sz w:val="20"/>
          <w:szCs w:val="20"/>
        </w:rPr>
      </w:pPr>
      <w:r w:rsidRPr="00BB6FEB">
        <w:rPr>
          <w:rStyle w:val="FootnoteReference"/>
          <w:sz w:val="20"/>
          <w:szCs w:val="20"/>
        </w:rPr>
        <w:footnoteRef/>
      </w:r>
      <w:r w:rsidR="00BB6FEB" w:rsidRPr="00BB6FEB">
        <w:rPr>
          <w:sz w:val="20"/>
          <w:szCs w:val="20"/>
        </w:rPr>
        <w:t xml:space="preserve"> G Cohen</w:t>
      </w:r>
      <w:r w:rsidRPr="00BB6FEB">
        <w:rPr>
          <w:sz w:val="20"/>
          <w:szCs w:val="20"/>
        </w:rPr>
        <w:t xml:space="preserve"> </w:t>
      </w:r>
      <w:r w:rsidR="00BB6FEB" w:rsidRPr="00BB6FEB">
        <w:rPr>
          <w:sz w:val="20"/>
          <w:szCs w:val="20"/>
        </w:rPr>
        <w:t>‘</w:t>
      </w:r>
      <w:r w:rsidRPr="00BB6FEB">
        <w:rPr>
          <w:sz w:val="20"/>
          <w:szCs w:val="20"/>
        </w:rPr>
        <w:t>Regulating Reproduction: The Problem with Be</w:t>
      </w:r>
      <w:r w:rsidR="00BB6FEB" w:rsidRPr="00BB6FEB">
        <w:rPr>
          <w:sz w:val="20"/>
          <w:szCs w:val="20"/>
        </w:rPr>
        <w:t>s</w:t>
      </w:r>
      <w:r w:rsidRPr="00BB6FEB">
        <w:rPr>
          <w:sz w:val="20"/>
          <w:szCs w:val="20"/>
        </w:rPr>
        <w:t>t Interests</w:t>
      </w:r>
      <w:r w:rsidR="00BB6FEB" w:rsidRPr="00BB6FEB">
        <w:rPr>
          <w:sz w:val="20"/>
          <w:szCs w:val="20"/>
        </w:rPr>
        <w:t>’</w:t>
      </w:r>
      <w:r w:rsidRPr="00BB6FEB">
        <w:rPr>
          <w:sz w:val="20"/>
          <w:szCs w:val="20"/>
        </w:rPr>
        <w:t xml:space="preserve"> </w:t>
      </w:r>
      <w:r w:rsidRPr="00BB6FEB">
        <w:rPr>
          <w:i/>
          <w:sz w:val="20"/>
          <w:szCs w:val="20"/>
        </w:rPr>
        <w:t>Minnesota Law Review</w:t>
      </w:r>
      <w:r w:rsidRPr="00BB6FEB">
        <w:rPr>
          <w:sz w:val="20"/>
          <w:szCs w:val="20"/>
        </w:rPr>
        <w:t xml:space="preserve">, </w:t>
      </w:r>
      <w:r w:rsidR="00BB6FEB" w:rsidRPr="00BB6FEB">
        <w:rPr>
          <w:sz w:val="20"/>
          <w:szCs w:val="20"/>
          <w:shd w:val="clear" w:color="auto" w:fill="FFFFFF"/>
        </w:rPr>
        <w:t>423</w:t>
      </w:r>
      <w:proofErr w:type="gramStart"/>
      <w:r w:rsidR="00BB6FEB" w:rsidRPr="00BB6FEB">
        <w:rPr>
          <w:sz w:val="20"/>
          <w:szCs w:val="20"/>
          <w:shd w:val="clear" w:color="auto" w:fill="FFFFFF"/>
        </w:rPr>
        <w:t>;.</w:t>
      </w:r>
      <w:proofErr w:type="gramEnd"/>
      <w:r w:rsidRPr="00BB6FEB">
        <w:rPr>
          <w:sz w:val="20"/>
          <w:szCs w:val="20"/>
        </w:rPr>
        <w:t xml:space="preserve">and Cohen, G. ‘Beyond Best Interests’ </w:t>
      </w:r>
      <w:r w:rsidR="00BB6FEB" w:rsidRPr="00BB6FEB">
        <w:rPr>
          <w:sz w:val="20"/>
          <w:szCs w:val="20"/>
        </w:rPr>
        <w:t xml:space="preserve">(2012) </w:t>
      </w:r>
      <w:r w:rsidR="00BB6FEB" w:rsidRPr="00BB6FEB">
        <w:rPr>
          <w:sz w:val="20"/>
          <w:szCs w:val="20"/>
          <w:shd w:val="clear" w:color="auto" w:fill="FFFFFF"/>
        </w:rPr>
        <w:t xml:space="preserve">96(2) </w:t>
      </w:r>
      <w:r w:rsidR="00072B17" w:rsidRPr="00BB6FEB">
        <w:rPr>
          <w:i/>
          <w:sz w:val="20"/>
          <w:szCs w:val="20"/>
        </w:rPr>
        <w:t>Minnesota</w:t>
      </w:r>
      <w:r w:rsidRPr="00BB6FEB">
        <w:rPr>
          <w:i/>
          <w:sz w:val="20"/>
          <w:szCs w:val="20"/>
        </w:rPr>
        <w:t xml:space="preserve"> Law Review</w:t>
      </w:r>
      <w:r w:rsidR="00BB6FEB" w:rsidRPr="00BB6FEB">
        <w:rPr>
          <w:i/>
          <w:sz w:val="20"/>
          <w:szCs w:val="20"/>
        </w:rPr>
        <w:t xml:space="preserve">, </w:t>
      </w:r>
      <w:r w:rsidR="00BB6FEB" w:rsidRPr="00BB6FEB">
        <w:rPr>
          <w:sz w:val="20"/>
          <w:szCs w:val="20"/>
        </w:rPr>
        <w:t>1187</w:t>
      </w:r>
      <w:r w:rsidRPr="00BB6FEB">
        <w:rPr>
          <w:i/>
          <w:sz w:val="20"/>
          <w:szCs w:val="20"/>
        </w:rPr>
        <w:t>.</w:t>
      </w:r>
      <w:r w:rsidRPr="00BB6FEB">
        <w:rPr>
          <w:sz w:val="20"/>
          <w:szCs w:val="20"/>
        </w:rPr>
        <w:t xml:space="preserve"> </w:t>
      </w:r>
    </w:p>
  </w:footnote>
  <w:footnote w:id="13">
    <w:p w14:paraId="670D810F" w14:textId="6B4FF5B9" w:rsidR="00F7433C" w:rsidRPr="009C5BC2" w:rsidRDefault="00F7433C" w:rsidP="006D724C">
      <w:pPr>
        <w:pStyle w:val="NoSpacing"/>
        <w:rPr>
          <w:sz w:val="20"/>
          <w:szCs w:val="20"/>
        </w:rPr>
      </w:pPr>
      <w:r w:rsidRPr="00BB6FEB">
        <w:rPr>
          <w:rStyle w:val="FootnoteReference"/>
          <w:sz w:val="20"/>
          <w:szCs w:val="20"/>
        </w:rPr>
        <w:footnoteRef/>
      </w:r>
      <w:r w:rsidRPr="00BB6FEB">
        <w:rPr>
          <w:sz w:val="20"/>
          <w:szCs w:val="20"/>
        </w:rPr>
        <w:t xml:space="preserve"> S McGuinness ‘Best Interests and Pragmatism’ (2008) 16 </w:t>
      </w:r>
      <w:r w:rsidRPr="00BB6FEB">
        <w:rPr>
          <w:i/>
          <w:sz w:val="20"/>
          <w:szCs w:val="20"/>
        </w:rPr>
        <w:t xml:space="preserve">Health Care Anal </w:t>
      </w:r>
      <w:r w:rsidRPr="00BB6FEB">
        <w:rPr>
          <w:sz w:val="20"/>
          <w:szCs w:val="20"/>
        </w:rPr>
        <w:t>208</w:t>
      </w:r>
    </w:p>
  </w:footnote>
  <w:footnote w:id="14">
    <w:p w14:paraId="3C2F68DB" w14:textId="6469D07A" w:rsidR="00F7433C" w:rsidRPr="00D26345" w:rsidRDefault="00F7433C" w:rsidP="00C67982">
      <w:pPr>
        <w:pStyle w:val="NoSpacing"/>
        <w:rPr>
          <w:sz w:val="20"/>
          <w:szCs w:val="20"/>
        </w:rPr>
      </w:pPr>
      <w:r w:rsidRPr="00365658">
        <w:rPr>
          <w:rStyle w:val="FootnoteReference"/>
          <w:sz w:val="20"/>
          <w:szCs w:val="20"/>
        </w:rPr>
        <w:footnoteRef/>
      </w:r>
      <w:r w:rsidRPr="00365658">
        <w:rPr>
          <w:sz w:val="20"/>
          <w:szCs w:val="20"/>
        </w:rPr>
        <w:t xml:space="preserve"> </w:t>
      </w:r>
      <w:proofErr w:type="spellStart"/>
      <w:r w:rsidRPr="00365658">
        <w:rPr>
          <w:sz w:val="20"/>
          <w:szCs w:val="20"/>
        </w:rPr>
        <w:t>Zermatten</w:t>
      </w:r>
      <w:proofErr w:type="spellEnd"/>
      <w:r w:rsidRPr="00365658">
        <w:rPr>
          <w:sz w:val="20"/>
          <w:szCs w:val="20"/>
        </w:rPr>
        <w:t xml:space="preserve"> refers to these functions as the ‘control criterion’ and the ‘solution criterion’ respectively, See J </w:t>
      </w:r>
      <w:proofErr w:type="spellStart"/>
      <w:r w:rsidRPr="00365658">
        <w:rPr>
          <w:sz w:val="20"/>
          <w:szCs w:val="20"/>
        </w:rPr>
        <w:t>Zermatten</w:t>
      </w:r>
      <w:proofErr w:type="spellEnd"/>
      <w:r w:rsidRPr="00365658">
        <w:rPr>
          <w:sz w:val="20"/>
          <w:szCs w:val="20"/>
        </w:rPr>
        <w:t>, ‘</w:t>
      </w:r>
      <w:r w:rsidRPr="003E416E">
        <w:rPr>
          <w:bCs/>
          <w:sz w:val="20"/>
          <w:szCs w:val="20"/>
        </w:rPr>
        <w:t xml:space="preserve">The Best Interests of the Child Principle: Literal Analysis and Function’ </w:t>
      </w:r>
      <w:r w:rsidRPr="003E416E">
        <w:rPr>
          <w:sz w:val="20"/>
          <w:szCs w:val="20"/>
        </w:rPr>
        <w:t xml:space="preserve">(2010) 18 </w:t>
      </w:r>
      <w:r w:rsidRPr="00AE0226">
        <w:rPr>
          <w:i/>
          <w:sz w:val="20"/>
          <w:szCs w:val="20"/>
        </w:rPr>
        <w:t xml:space="preserve">International Journal of </w:t>
      </w:r>
      <w:r w:rsidRPr="005C7129">
        <w:rPr>
          <w:i/>
          <w:sz w:val="20"/>
          <w:szCs w:val="20"/>
        </w:rPr>
        <w:t xml:space="preserve">Children’s Rights </w:t>
      </w:r>
      <w:r w:rsidRPr="00D26345">
        <w:rPr>
          <w:sz w:val="20"/>
          <w:szCs w:val="20"/>
        </w:rPr>
        <w:t>483-499.</w:t>
      </w:r>
    </w:p>
  </w:footnote>
  <w:footnote w:id="15">
    <w:p w14:paraId="2CC18063" w14:textId="33606031" w:rsidR="00D631ED" w:rsidRPr="00AE0226" w:rsidRDefault="00D631ED">
      <w:pPr>
        <w:pStyle w:val="FootnoteText"/>
        <w:rPr>
          <w:rFonts w:ascii="Times New Roman" w:hAnsi="Times New Roman" w:cs="Times New Roman"/>
        </w:rPr>
      </w:pPr>
      <w:r w:rsidRPr="00365658">
        <w:rPr>
          <w:rStyle w:val="FootnoteReference"/>
          <w:rFonts w:ascii="Times New Roman" w:hAnsi="Times New Roman" w:cs="Times New Roman"/>
        </w:rPr>
        <w:footnoteRef/>
      </w:r>
      <w:r w:rsidRPr="00365658">
        <w:rPr>
          <w:rFonts w:ascii="Times New Roman" w:hAnsi="Times New Roman" w:cs="Times New Roman"/>
        </w:rPr>
        <w:t xml:space="preserve"> For a discussion of the importance of interpreting welfare within a more active, rights-based context, see J Fortin ‘Accommodating Children's Rights in a Post Human Rights Act Era’ (2006) 69(3) </w:t>
      </w:r>
      <w:r w:rsidRPr="003E416E">
        <w:rPr>
          <w:rFonts w:ascii="Times New Roman" w:hAnsi="Times New Roman" w:cs="Times New Roman"/>
          <w:i/>
        </w:rPr>
        <w:t xml:space="preserve">Modern Law Review, </w:t>
      </w:r>
      <w:r w:rsidRPr="003E416E">
        <w:rPr>
          <w:rFonts w:ascii="Times New Roman" w:hAnsi="Times New Roman" w:cs="Times New Roman"/>
        </w:rPr>
        <w:t xml:space="preserve">299 at 312. </w:t>
      </w:r>
    </w:p>
  </w:footnote>
  <w:footnote w:id="16">
    <w:p w14:paraId="4CB343A2" w14:textId="72DDDC02" w:rsidR="00F7433C" w:rsidRPr="00365658" w:rsidRDefault="00F7433C" w:rsidP="00C67982">
      <w:pPr>
        <w:pStyle w:val="NoSpacing"/>
        <w:rPr>
          <w:sz w:val="20"/>
          <w:szCs w:val="20"/>
        </w:rPr>
      </w:pPr>
      <w:r w:rsidRPr="005C7129">
        <w:rPr>
          <w:rStyle w:val="FootnoteReference"/>
          <w:sz w:val="20"/>
          <w:szCs w:val="20"/>
        </w:rPr>
        <w:footnoteRef/>
      </w:r>
      <w:r w:rsidRPr="00D26345">
        <w:rPr>
          <w:sz w:val="20"/>
          <w:szCs w:val="20"/>
        </w:rPr>
        <w:t xml:space="preserve"> P. Alston ‘</w:t>
      </w:r>
      <w:proofErr w:type="gramStart"/>
      <w:r w:rsidRPr="00D26345">
        <w:rPr>
          <w:sz w:val="20"/>
          <w:szCs w:val="20"/>
        </w:rPr>
        <w:t>The</w:t>
      </w:r>
      <w:proofErr w:type="gramEnd"/>
      <w:r w:rsidRPr="00D26345">
        <w:rPr>
          <w:sz w:val="20"/>
          <w:szCs w:val="20"/>
        </w:rPr>
        <w:t xml:space="preserve"> best interests principle: Towards a reconciliation of culture and human rights’ (1994) 8 </w:t>
      </w:r>
      <w:r w:rsidRPr="00D26345">
        <w:rPr>
          <w:i/>
          <w:sz w:val="20"/>
          <w:szCs w:val="20"/>
        </w:rPr>
        <w:t>International Journal of Law and the Family,</w:t>
      </w:r>
      <w:r w:rsidRPr="00D26345">
        <w:rPr>
          <w:sz w:val="20"/>
          <w:szCs w:val="20"/>
        </w:rPr>
        <w:t xml:space="preserve"> 1, at p.19.</w:t>
      </w:r>
    </w:p>
  </w:footnote>
  <w:footnote w:id="17">
    <w:p w14:paraId="3B18FE3E" w14:textId="1029DF39" w:rsidR="00F7433C" w:rsidRPr="00365658" w:rsidRDefault="00F7433C" w:rsidP="00C67982">
      <w:pPr>
        <w:pStyle w:val="NoSpacing"/>
        <w:rPr>
          <w:sz w:val="20"/>
          <w:szCs w:val="20"/>
        </w:rPr>
      </w:pPr>
      <w:r w:rsidRPr="00365658">
        <w:rPr>
          <w:rStyle w:val="FootnoteReference"/>
          <w:sz w:val="20"/>
          <w:szCs w:val="20"/>
        </w:rPr>
        <w:footnoteRef/>
      </w:r>
      <w:r w:rsidRPr="00365658">
        <w:rPr>
          <w:rFonts w:eastAsia="Times New Roman"/>
          <w:kern w:val="36"/>
          <w:sz w:val="20"/>
          <w:szCs w:val="20"/>
          <w:lang w:eastAsia="en-GB"/>
        </w:rPr>
        <w:t xml:space="preserve"> M Freeman </w:t>
      </w:r>
      <w:r w:rsidRPr="00365658">
        <w:rPr>
          <w:rFonts w:eastAsia="Times New Roman"/>
          <w:i/>
          <w:kern w:val="36"/>
          <w:sz w:val="20"/>
          <w:szCs w:val="20"/>
          <w:lang w:eastAsia="en-GB"/>
        </w:rPr>
        <w:t>Article 3: The Best Interests of the Child</w:t>
      </w:r>
      <w:r w:rsidRPr="00365658">
        <w:rPr>
          <w:rFonts w:eastAsia="Times New Roman"/>
          <w:b/>
          <w:bCs/>
          <w:i/>
          <w:kern w:val="36"/>
          <w:sz w:val="20"/>
          <w:szCs w:val="20"/>
          <w:lang w:eastAsia="en-GB"/>
        </w:rPr>
        <w:t xml:space="preserve"> </w:t>
      </w:r>
      <w:r w:rsidRPr="00365658">
        <w:rPr>
          <w:rFonts w:eastAsia="Times New Roman"/>
          <w:bCs/>
          <w:kern w:val="36"/>
          <w:sz w:val="20"/>
          <w:szCs w:val="20"/>
          <w:lang w:eastAsia="en-GB"/>
        </w:rPr>
        <w:t>(Leiden,</w:t>
      </w:r>
      <w:r w:rsidRPr="00365658">
        <w:rPr>
          <w:rFonts w:eastAsia="Times New Roman"/>
          <w:b/>
          <w:bCs/>
          <w:kern w:val="36"/>
          <w:sz w:val="20"/>
          <w:szCs w:val="20"/>
          <w:lang w:eastAsia="en-GB"/>
        </w:rPr>
        <w:t xml:space="preserve"> </w:t>
      </w:r>
      <w:proofErr w:type="spellStart"/>
      <w:r w:rsidRPr="00365658">
        <w:rPr>
          <w:sz w:val="20"/>
          <w:szCs w:val="20"/>
          <w:shd w:val="clear" w:color="auto" w:fill="FFFFFF"/>
        </w:rPr>
        <w:t>Martinus</w:t>
      </w:r>
      <w:proofErr w:type="spellEnd"/>
      <w:r w:rsidRPr="00365658">
        <w:rPr>
          <w:sz w:val="20"/>
          <w:szCs w:val="20"/>
          <w:shd w:val="clear" w:color="auto" w:fill="FFFFFF"/>
        </w:rPr>
        <w:t xml:space="preserve"> </w:t>
      </w:r>
      <w:proofErr w:type="spellStart"/>
      <w:r w:rsidRPr="00365658">
        <w:rPr>
          <w:sz w:val="20"/>
          <w:szCs w:val="20"/>
          <w:shd w:val="clear" w:color="auto" w:fill="FFFFFF"/>
        </w:rPr>
        <w:t>Nijhoff</w:t>
      </w:r>
      <w:proofErr w:type="spellEnd"/>
      <w:r w:rsidRPr="00365658">
        <w:rPr>
          <w:sz w:val="20"/>
          <w:szCs w:val="20"/>
          <w:shd w:val="clear" w:color="auto" w:fill="FFFFFF"/>
        </w:rPr>
        <w:t xml:space="preserve"> Publishers 2007) at p.40</w:t>
      </w:r>
    </w:p>
  </w:footnote>
  <w:footnote w:id="18">
    <w:p w14:paraId="4B9A6C3E" w14:textId="428617C4" w:rsidR="00365658" w:rsidRPr="00E30821" w:rsidRDefault="00365658">
      <w:pPr>
        <w:pStyle w:val="FootnoteText"/>
        <w:rPr>
          <w:rFonts w:ascii="Times New Roman" w:hAnsi="Times New Roman" w:cs="Times New Roman"/>
        </w:rPr>
      </w:pPr>
      <w:r w:rsidRPr="00E30821">
        <w:rPr>
          <w:rStyle w:val="FootnoteReference"/>
          <w:rFonts w:ascii="Times New Roman" w:hAnsi="Times New Roman" w:cs="Times New Roman"/>
        </w:rPr>
        <w:footnoteRef/>
      </w:r>
      <w:r w:rsidRPr="00E30821">
        <w:rPr>
          <w:rFonts w:ascii="Times New Roman" w:hAnsi="Times New Roman" w:cs="Times New Roman"/>
        </w:rPr>
        <w:t xml:space="preserve"> </w:t>
      </w:r>
      <w:r>
        <w:rPr>
          <w:rFonts w:ascii="Times New Roman" w:hAnsi="Times New Roman" w:cs="Times New Roman"/>
        </w:rPr>
        <w:t xml:space="preserve">For the biblical account of the ‘Wisdom of King Solomon’ see </w:t>
      </w:r>
      <w:hyperlink r:id="rId1" w:history="1">
        <w:r w:rsidRPr="00E30821">
          <w:rPr>
            <w:rStyle w:val="Hyperlink"/>
            <w:rFonts w:ascii="Times New Roman" w:hAnsi="Times New Roman" w:cs="Times New Roman"/>
            <w:color w:val="663366"/>
          </w:rPr>
          <w:t>1 Kings 3:16-28</w:t>
        </w:r>
      </w:hyperlink>
      <w:r w:rsidR="00315E3F">
        <w:rPr>
          <w:rFonts w:ascii="Times New Roman" w:hAnsi="Times New Roman" w:cs="Times New Roman"/>
        </w:rPr>
        <w:t>.</w:t>
      </w:r>
      <w:r w:rsidR="00AE0226">
        <w:rPr>
          <w:rFonts w:ascii="Times New Roman" w:hAnsi="Times New Roman" w:cs="Times New Roman"/>
        </w:rPr>
        <w:t xml:space="preserve"> For a children’s rights critique of this philosophy see J </w:t>
      </w:r>
      <w:proofErr w:type="spellStart"/>
      <w:r w:rsidR="00AE0226">
        <w:rPr>
          <w:rFonts w:ascii="Times New Roman" w:hAnsi="Times New Roman" w:cs="Times New Roman"/>
        </w:rPr>
        <w:t>Elster</w:t>
      </w:r>
      <w:proofErr w:type="spellEnd"/>
      <w:r w:rsidR="00AE0226">
        <w:rPr>
          <w:rFonts w:ascii="Times New Roman" w:hAnsi="Times New Roman" w:cs="Times New Roman"/>
        </w:rPr>
        <w:t xml:space="preserve"> ‘</w:t>
      </w:r>
      <w:proofErr w:type="spellStart"/>
      <w:r w:rsidR="00AE0226">
        <w:rPr>
          <w:rFonts w:ascii="Times New Roman" w:hAnsi="Times New Roman" w:cs="Times New Roman"/>
        </w:rPr>
        <w:t>Solomonic</w:t>
      </w:r>
      <w:proofErr w:type="spellEnd"/>
      <w:r w:rsidR="00AE0226">
        <w:rPr>
          <w:rFonts w:ascii="Times New Roman" w:hAnsi="Times New Roman" w:cs="Times New Roman"/>
        </w:rPr>
        <w:t xml:space="preserve"> Judgements: Against the Best Interests of the </w:t>
      </w:r>
      <w:proofErr w:type="gramStart"/>
      <w:r w:rsidR="00AE0226">
        <w:rPr>
          <w:rFonts w:ascii="Times New Roman" w:hAnsi="Times New Roman" w:cs="Times New Roman"/>
        </w:rPr>
        <w:t>Child’  in</w:t>
      </w:r>
      <w:proofErr w:type="gramEnd"/>
      <w:r w:rsidR="00AE0226">
        <w:rPr>
          <w:rFonts w:ascii="Times New Roman" w:hAnsi="Times New Roman" w:cs="Times New Roman"/>
        </w:rPr>
        <w:t xml:space="preserve"> </w:t>
      </w:r>
      <w:proofErr w:type="spellStart"/>
      <w:r w:rsidR="00AE0226">
        <w:rPr>
          <w:rFonts w:ascii="Times New Roman" w:hAnsi="Times New Roman" w:cs="Times New Roman"/>
          <w:i/>
        </w:rPr>
        <w:t>Solomonic</w:t>
      </w:r>
      <w:proofErr w:type="spellEnd"/>
      <w:r w:rsidR="00AE0226">
        <w:rPr>
          <w:rFonts w:ascii="Times New Roman" w:hAnsi="Times New Roman" w:cs="Times New Roman"/>
          <w:i/>
        </w:rPr>
        <w:t xml:space="preserve"> Judgements: Studies in the Limitations of Rationality </w:t>
      </w:r>
      <w:r w:rsidR="00AE0226">
        <w:rPr>
          <w:rFonts w:ascii="Times New Roman" w:hAnsi="Times New Roman" w:cs="Times New Roman"/>
        </w:rPr>
        <w:t xml:space="preserve">(Cambridge University Press 1989) part III. </w:t>
      </w:r>
    </w:p>
  </w:footnote>
  <w:footnote w:id="19">
    <w:p w14:paraId="0637C357" w14:textId="6DD66B71" w:rsidR="00F7433C" w:rsidRPr="009C5BC2" w:rsidRDefault="00F7433C" w:rsidP="00C67982">
      <w:pPr>
        <w:pStyle w:val="NoSpacing"/>
        <w:rPr>
          <w:sz w:val="20"/>
          <w:szCs w:val="20"/>
        </w:rPr>
      </w:pPr>
      <w:r w:rsidRPr="00365658">
        <w:rPr>
          <w:rStyle w:val="FootnoteReference"/>
          <w:sz w:val="20"/>
          <w:szCs w:val="20"/>
        </w:rPr>
        <w:footnoteRef/>
      </w:r>
      <w:r w:rsidRPr="00365658">
        <w:rPr>
          <w:sz w:val="20"/>
          <w:szCs w:val="20"/>
        </w:rPr>
        <w:t xml:space="preserve"> Freeman (n.</w:t>
      </w:r>
      <w:r w:rsidR="00365658" w:rsidRPr="00365658">
        <w:rPr>
          <w:sz w:val="20"/>
          <w:szCs w:val="20"/>
        </w:rPr>
        <w:t>17</w:t>
      </w:r>
      <w:r w:rsidRPr="00365658">
        <w:rPr>
          <w:sz w:val="20"/>
          <w:szCs w:val="20"/>
        </w:rPr>
        <w:t>)</w:t>
      </w:r>
      <w:r w:rsidRPr="009C5BC2">
        <w:rPr>
          <w:sz w:val="20"/>
          <w:szCs w:val="20"/>
        </w:rPr>
        <w:t xml:space="preserve"> </w:t>
      </w:r>
    </w:p>
  </w:footnote>
  <w:footnote w:id="20">
    <w:p w14:paraId="2743B771" w14:textId="2360FACD" w:rsidR="00F7433C" w:rsidRPr="009C5BC2" w:rsidRDefault="00F7433C" w:rsidP="00802F49">
      <w:pPr>
        <w:pStyle w:val="NoSpacing"/>
        <w:rPr>
          <w:sz w:val="20"/>
          <w:szCs w:val="20"/>
        </w:rPr>
      </w:pPr>
      <w:r w:rsidRPr="009C5BC2">
        <w:rPr>
          <w:rStyle w:val="FootnoteReference"/>
          <w:sz w:val="20"/>
          <w:szCs w:val="20"/>
        </w:rPr>
        <w:footnoteRef/>
      </w:r>
      <w:r w:rsidRPr="009C5BC2">
        <w:rPr>
          <w:sz w:val="20"/>
          <w:szCs w:val="20"/>
        </w:rPr>
        <w:t xml:space="preserve"> J  </w:t>
      </w:r>
      <w:proofErr w:type="spellStart"/>
      <w:r w:rsidRPr="009C5BC2">
        <w:rPr>
          <w:sz w:val="20"/>
          <w:szCs w:val="20"/>
        </w:rPr>
        <w:t>Eekelaar</w:t>
      </w:r>
      <w:proofErr w:type="spellEnd"/>
      <w:r w:rsidRPr="009C5BC2">
        <w:rPr>
          <w:sz w:val="20"/>
          <w:szCs w:val="20"/>
        </w:rPr>
        <w:t xml:space="preserve"> ‘The Emergence of Children’s Rights’ (1986) 6 </w:t>
      </w:r>
      <w:r w:rsidRPr="009C5BC2">
        <w:rPr>
          <w:i/>
          <w:sz w:val="20"/>
          <w:szCs w:val="20"/>
        </w:rPr>
        <w:t>Oxford Journal of Legal Studies</w:t>
      </w:r>
      <w:r w:rsidRPr="009C5BC2">
        <w:rPr>
          <w:sz w:val="20"/>
          <w:szCs w:val="20"/>
        </w:rPr>
        <w:t xml:space="preserve"> 161, at 170</w:t>
      </w:r>
    </w:p>
  </w:footnote>
  <w:footnote w:id="21">
    <w:p w14:paraId="6F12A5A5" w14:textId="0F9133A7" w:rsidR="00F7433C" w:rsidRPr="009C5BC2" w:rsidRDefault="00F7433C" w:rsidP="00802F49">
      <w:pPr>
        <w:pStyle w:val="NoSpacing"/>
        <w:rPr>
          <w:sz w:val="20"/>
          <w:szCs w:val="20"/>
        </w:rPr>
      </w:pPr>
      <w:r w:rsidRPr="009C5BC2">
        <w:rPr>
          <w:rStyle w:val="FootnoteReference"/>
          <w:sz w:val="20"/>
          <w:szCs w:val="20"/>
        </w:rPr>
        <w:footnoteRef/>
      </w:r>
      <w:r w:rsidRPr="009C5BC2">
        <w:rPr>
          <w:sz w:val="20"/>
          <w:szCs w:val="20"/>
        </w:rPr>
        <w:t xml:space="preserve"> Although for a critique of this investment model, see C Piper ‘Investing in Children’s future: too risky?’ (2010) </w:t>
      </w:r>
      <w:r w:rsidRPr="009C5BC2">
        <w:rPr>
          <w:bCs/>
          <w:iCs/>
          <w:sz w:val="20"/>
          <w:szCs w:val="20"/>
        </w:rPr>
        <w:t>22(1)</w:t>
      </w:r>
      <w:r w:rsidRPr="009C5BC2">
        <w:rPr>
          <w:bCs/>
          <w:i/>
          <w:iCs/>
          <w:sz w:val="20"/>
          <w:szCs w:val="20"/>
        </w:rPr>
        <w:t xml:space="preserve"> Child and Family Law Quarterly </w:t>
      </w:r>
      <w:r w:rsidRPr="009C5BC2">
        <w:rPr>
          <w:bCs/>
          <w:iCs/>
          <w:sz w:val="20"/>
          <w:szCs w:val="20"/>
        </w:rPr>
        <w:t>1</w:t>
      </w:r>
    </w:p>
  </w:footnote>
  <w:footnote w:id="22">
    <w:p w14:paraId="3F66E678" w14:textId="6A3DF3BB" w:rsidR="00F7433C" w:rsidRPr="009C5BC2" w:rsidRDefault="00F7433C">
      <w:pPr>
        <w:pStyle w:val="FootnoteText"/>
        <w:rPr>
          <w:rFonts w:ascii="Times New Roman" w:hAnsi="Times New Roman" w:cs="Times New Roman"/>
          <w:i/>
        </w:rPr>
      </w:pPr>
      <w:r w:rsidRPr="009C5BC2">
        <w:rPr>
          <w:rStyle w:val="FootnoteReference"/>
          <w:rFonts w:ascii="Times New Roman" w:hAnsi="Times New Roman" w:cs="Times New Roman"/>
        </w:rPr>
        <w:footnoteRef/>
      </w:r>
      <w:r w:rsidRPr="009C5BC2">
        <w:rPr>
          <w:rFonts w:ascii="Times New Roman" w:hAnsi="Times New Roman" w:cs="Times New Roman"/>
        </w:rPr>
        <w:t xml:space="preserve"> S Parker ‘The Best interests of the Child – Principles and Problems’ (1994) 8 </w:t>
      </w:r>
      <w:r w:rsidRPr="009C5BC2">
        <w:rPr>
          <w:rFonts w:ascii="Times New Roman" w:hAnsi="Times New Roman" w:cs="Times New Roman"/>
          <w:i/>
        </w:rPr>
        <w:t xml:space="preserve">International Journal of Law and the family </w:t>
      </w:r>
      <w:r w:rsidRPr="009C5BC2">
        <w:rPr>
          <w:rFonts w:ascii="Times New Roman" w:hAnsi="Times New Roman" w:cs="Times New Roman"/>
        </w:rPr>
        <w:t>26</w:t>
      </w:r>
    </w:p>
  </w:footnote>
  <w:footnote w:id="23">
    <w:p w14:paraId="6467FFEF" w14:textId="59430F7F" w:rsidR="00F7433C" w:rsidRPr="009C5BC2" w:rsidRDefault="00F7433C" w:rsidP="00D17316">
      <w:pPr>
        <w:autoSpaceDE w:val="0"/>
        <w:autoSpaceDN w:val="0"/>
        <w:adjustRightInd w:val="0"/>
        <w:spacing w:after="0" w:line="240" w:lineRule="auto"/>
        <w:rPr>
          <w:rFonts w:ascii="Times New Roman" w:hAnsi="Times New Roman" w:cs="Times New Roman"/>
          <w:sz w:val="20"/>
          <w:szCs w:val="20"/>
        </w:rPr>
      </w:pPr>
      <w:r w:rsidRPr="009C5BC2">
        <w:rPr>
          <w:rStyle w:val="FootnoteReference"/>
          <w:rFonts w:ascii="Times New Roman" w:hAnsi="Times New Roman" w:cs="Times New Roman"/>
          <w:sz w:val="20"/>
          <w:szCs w:val="20"/>
        </w:rPr>
        <w:footnoteRef/>
      </w:r>
      <w:r w:rsidRPr="009C5BC2">
        <w:rPr>
          <w:rFonts w:ascii="Times New Roman" w:hAnsi="Times New Roman" w:cs="Times New Roman"/>
          <w:sz w:val="20"/>
          <w:szCs w:val="20"/>
        </w:rPr>
        <w:t xml:space="preserve"> See for instance C </w:t>
      </w:r>
      <w:proofErr w:type="spellStart"/>
      <w:r w:rsidRPr="009C5BC2">
        <w:rPr>
          <w:rFonts w:ascii="Times New Roman" w:hAnsi="Times New Roman" w:cs="Times New Roman"/>
          <w:sz w:val="20"/>
          <w:szCs w:val="20"/>
        </w:rPr>
        <w:t>O’Mahony</w:t>
      </w:r>
      <w:proofErr w:type="spellEnd"/>
      <w:r w:rsidRPr="009C5BC2">
        <w:rPr>
          <w:rFonts w:ascii="Times New Roman" w:hAnsi="Times New Roman" w:cs="Times New Roman"/>
          <w:sz w:val="20"/>
          <w:szCs w:val="20"/>
        </w:rPr>
        <w:t xml:space="preserve"> and others who attempt to shine a spotlight on the oft neglected rights and interests of parents in public law proceedings: </w:t>
      </w:r>
      <w:r w:rsidRPr="009C5BC2">
        <w:rPr>
          <w:rFonts w:ascii="Times New Roman" w:hAnsi="Times New Roman" w:cs="Times New Roman"/>
          <w:color w:val="000000"/>
          <w:sz w:val="20"/>
          <w:szCs w:val="20"/>
        </w:rPr>
        <w:t>'Representation and participation in child care proceedings: what about the voice of the parents?'</w:t>
      </w:r>
      <w:r w:rsidRPr="009C5BC2">
        <w:rPr>
          <w:rStyle w:val="apple-converted-space"/>
          <w:rFonts w:ascii="Times New Roman" w:hAnsi="Times New Roman" w:cs="Times New Roman"/>
          <w:sz w:val="20"/>
          <w:szCs w:val="20"/>
        </w:rPr>
        <w:t> </w:t>
      </w:r>
      <w:proofErr w:type="gramStart"/>
      <w:r w:rsidRPr="009C5BC2">
        <w:rPr>
          <w:rFonts w:ascii="Times New Roman" w:hAnsi="Times New Roman" w:cs="Times New Roman"/>
          <w:color w:val="000000"/>
          <w:sz w:val="20"/>
          <w:szCs w:val="20"/>
        </w:rPr>
        <w:t xml:space="preserve">(2016) 38(3) </w:t>
      </w:r>
      <w:r w:rsidRPr="009C5BC2">
        <w:rPr>
          <w:rFonts w:ascii="Times New Roman" w:hAnsi="Times New Roman" w:cs="Times New Roman"/>
          <w:i/>
          <w:iCs/>
          <w:color w:val="000000"/>
          <w:sz w:val="20"/>
          <w:szCs w:val="20"/>
          <w:bdr w:val="none" w:sz="0" w:space="0" w:color="auto" w:frame="1"/>
        </w:rPr>
        <w:t xml:space="preserve">Journal of Social Welfare and Family </w:t>
      </w:r>
      <w:r w:rsidRPr="00F46DEA">
        <w:rPr>
          <w:rFonts w:ascii="Times New Roman" w:hAnsi="Times New Roman" w:cs="Times New Roman"/>
          <w:i/>
          <w:iCs/>
          <w:color w:val="000000"/>
          <w:sz w:val="20"/>
          <w:szCs w:val="20"/>
          <w:bdr w:val="none" w:sz="0" w:space="0" w:color="auto" w:frame="1"/>
        </w:rPr>
        <w:t>Law</w:t>
      </w:r>
      <w:r w:rsidRPr="00F46DEA">
        <w:rPr>
          <w:rFonts w:ascii="Times New Roman" w:hAnsi="Times New Roman" w:cs="Times New Roman"/>
          <w:color w:val="000000"/>
          <w:sz w:val="20"/>
          <w:szCs w:val="20"/>
        </w:rPr>
        <w:t xml:space="preserve"> 302.</w:t>
      </w:r>
      <w:proofErr w:type="gramEnd"/>
      <w:r w:rsidRPr="00F46DEA">
        <w:rPr>
          <w:rFonts w:ascii="Times New Roman" w:hAnsi="Times New Roman" w:cs="Times New Roman"/>
          <w:color w:val="000000"/>
          <w:sz w:val="20"/>
          <w:szCs w:val="20"/>
        </w:rPr>
        <w:t xml:space="preserve"> See also</w:t>
      </w:r>
      <w:r w:rsidRPr="00F46DEA">
        <w:rPr>
          <w:rFonts w:ascii="Times New Roman" w:hAnsi="Times New Roman" w:cs="Times New Roman"/>
          <w:sz w:val="20"/>
          <w:szCs w:val="20"/>
        </w:rPr>
        <w:t xml:space="preserve"> H Reece</w:t>
      </w:r>
      <w:r w:rsidRPr="009C5BC2">
        <w:rPr>
          <w:rFonts w:ascii="Times New Roman" w:hAnsi="Times New Roman" w:cs="Times New Roman"/>
          <w:sz w:val="20"/>
          <w:szCs w:val="20"/>
        </w:rPr>
        <w:t>, '</w:t>
      </w:r>
      <w:proofErr w:type="gramStart"/>
      <w:r w:rsidRPr="009C5BC2">
        <w:rPr>
          <w:rFonts w:ascii="Times New Roman" w:hAnsi="Times New Roman" w:cs="Times New Roman"/>
          <w:sz w:val="20"/>
          <w:szCs w:val="20"/>
        </w:rPr>
        <w:t>The</w:t>
      </w:r>
      <w:proofErr w:type="gramEnd"/>
      <w:r w:rsidRPr="009C5BC2">
        <w:rPr>
          <w:rFonts w:ascii="Times New Roman" w:hAnsi="Times New Roman" w:cs="Times New Roman"/>
          <w:sz w:val="20"/>
          <w:szCs w:val="20"/>
        </w:rPr>
        <w:t xml:space="preserve"> paramountcy principle: Consensus or Construct?' </w:t>
      </w:r>
      <w:r w:rsidRPr="009C5BC2">
        <w:rPr>
          <w:rFonts w:ascii="Times New Roman" w:hAnsi="Times New Roman" w:cs="Times New Roman"/>
          <w:bCs/>
          <w:sz w:val="20"/>
          <w:szCs w:val="20"/>
        </w:rPr>
        <w:t xml:space="preserve">(1996) 49 </w:t>
      </w:r>
      <w:r w:rsidRPr="009C5BC2">
        <w:rPr>
          <w:rFonts w:ascii="Times New Roman" w:hAnsi="Times New Roman" w:cs="Times New Roman"/>
          <w:bCs/>
          <w:i/>
          <w:iCs/>
          <w:sz w:val="20"/>
          <w:szCs w:val="20"/>
        </w:rPr>
        <w:t xml:space="preserve">Current Legal Problems, </w:t>
      </w:r>
      <w:r w:rsidRPr="009C5BC2">
        <w:rPr>
          <w:rFonts w:ascii="Times New Roman" w:hAnsi="Times New Roman" w:cs="Times New Roman"/>
          <w:bCs/>
          <w:iCs/>
          <w:sz w:val="20"/>
          <w:szCs w:val="20"/>
        </w:rPr>
        <w:t>303</w:t>
      </w:r>
      <w:r w:rsidRPr="009C5BC2">
        <w:rPr>
          <w:rFonts w:ascii="Times New Roman" w:hAnsi="Times New Roman" w:cs="Times New Roman"/>
          <w:bCs/>
          <w:i/>
          <w:iCs/>
          <w:sz w:val="20"/>
          <w:szCs w:val="20"/>
        </w:rPr>
        <w:t xml:space="preserve">; </w:t>
      </w:r>
      <w:r w:rsidRPr="009C5BC2">
        <w:rPr>
          <w:rFonts w:ascii="Times New Roman" w:hAnsi="Times New Roman" w:cs="Times New Roman"/>
          <w:bCs/>
          <w:sz w:val="20"/>
          <w:szCs w:val="20"/>
        </w:rPr>
        <w:t xml:space="preserve">J. </w:t>
      </w:r>
      <w:r w:rsidRPr="009C5BC2">
        <w:rPr>
          <w:rFonts w:ascii="Times New Roman" w:hAnsi="Times New Roman" w:cs="Times New Roman"/>
          <w:sz w:val="20"/>
          <w:szCs w:val="20"/>
        </w:rPr>
        <w:t xml:space="preserve">Herring, 'The Human Rights Act and the welfare principle in family law: conflicting or complementary?' </w:t>
      </w:r>
      <w:proofErr w:type="gramStart"/>
      <w:r w:rsidRPr="009C5BC2">
        <w:rPr>
          <w:rFonts w:ascii="Times New Roman" w:hAnsi="Times New Roman" w:cs="Times New Roman"/>
          <w:bCs/>
          <w:sz w:val="20"/>
          <w:szCs w:val="20"/>
        </w:rPr>
        <w:t xml:space="preserve">[1999] 11(3) </w:t>
      </w:r>
      <w:r w:rsidRPr="009C5BC2">
        <w:rPr>
          <w:rFonts w:ascii="Times New Roman" w:hAnsi="Times New Roman" w:cs="Times New Roman"/>
          <w:bCs/>
          <w:i/>
          <w:sz w:val="20"/>
          <w:szCs w:val="20"/>
        </w:rPr>
        <w:t>Child and Family Law Quarterly</w:t>
      </w:r>
      <w:r w:rsidRPr="009C5BC2">
        <w:rPr>
          <w:rFonts w:ascii="Times New Roman" w:hAnsi="Times New Roman" w:cs="Times New Roman"/>
          <w:bCs/>
          <w:sz w:val="20"/>
          <w:szCs w:val="20"/>
        </w:rPr>
        <w:t xml:space="preserve"> 223.</w:t>
      </w:r>
      <w:proofErr w:type="gramEnd"/>
    </w:p>
  </w:footnote>
  <w:footnote w:id="24">
    <w:p w14:paraId="446294B5" w14:textId="23E5FEE4"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See cases P (Contact: Supervision) [1996] 2 FLR 314 (applying Re O (A Minor) (Contact: Imposition of Conditions) [1995] 2 FLR 124) which affirm that the welfare of the child is of overriding importance; the interests of the parents are only relevant in as much as they have an impact on the child’s welfare. </w:t>
      </w:r>
    </w:p>
  </w:footnote>
  <w:footnote w:id="25">
    <w:p w14:paraId="6C1E4F4C" w14:textId="1B177B52" w:rsidR="00F7433C" w:rsidRPr="009C5BC2" w:rsidRDefault="00F7433C" w:rsidP="005027C0">
      <w:pPr>
        <w:pStyle w:val="FootnoteText"/>
        <w:rPr>
          <w:rFonts w:ascii="Times New Roman" w:hAnsi="Times New Roman" w:cs="Times New Roman"/>
          <w:i/>
        </w:rPr>
      </w:pPr>
      <w:r w:rsidRPr="009C5BC2">
        <w:rPr>
          <w:rStyle w:val="FootnoteReference"/>
          <w:rFonts w:ascii="Times New Roman" w:hAnsi="Times New Roman" w:cs="Times New Roman"/>
        </w:rPr>
        <w:footnoteRef/>
      </w:r>
      <w:r w:rsidRPr="009C5BC2">
        <w:rPr>
          <w:rFonts w:ascii="Times New Roman" w:hAnsi="Times New Roman" w:cs="Times New Roman"/>
        </w:rPr>
        <w:t xml:space="preserve"> See further the evidence of M Coy and others </w:t>
      </w:r>
      <w:proofErr w:type="gramStart"/>
      <w:r w:rsidRPr="009C5BC2">
        <w:rPr>
          <w:rFonts w:ascii="Times New Roman" w:hAnsi="Times New Roman" w:cs="Times New Roman"/>
          <w:i/>
        </w:rPr>
        <w:t>Picking</w:t>
      </w:r>
      <w:proofErr w:type="gramEnd"/>
      <w:r w:rsidRPr="009C5BC2">
        <w:rPr>
          <w:rFonts w:ascii="Times New Roman" w:hAnsi="Times New Roman" w:cs="Times New Roman"/>
          <w:i/>
        </w:rPr>
        <w:t xml:space="preserve"> up the pieces: domestic violence and child contact, </w:t>
      </w:r>
      <w:r w:rsidRPr="009C5BC2">
        <w:rPr>
          <w:rFonts w:ascii="Times New Roman" w:hAnsi="Times New Roman" w:cs="Times New Roman"/>
        </w:rPr>
        <w:t xml:space="preserve">(London, Rights of Women and Child and Woman Abuse Studies Unit 2012). </w:t>
      </w:r>
    </w:p>
  </w:footnote>
  <w:footnote w:id="26">
    <w:p w14:paraId="3673772A" w14:textId="174647B0" w:rsidR="00F7433C" w:rsidRPr="009C5BC2" w:rsidRDefault="00F7433C" w:rsidP="00FE0FFA">
      <w:pPr>
        <w:pStyle w:val="NoSpacing"/>
        <w:rPr>
          <w:sz w:val="20"/>
          <w:szCs w:val="20"/>
        </w:rPr>
      </w:pPr>
      <w:r w:rsidRPr="009C5BC2">
        <w:rPr>
          <w:rStyle w:val="FootnoteReference"/>
          <w:sz w:val="20"/>
          <w:szCs w:val="20"/>
        </w:rPr>
        <w:footnoteRef/>
      </w:r>
      <w:r w:rsidRPr="009C5BC2">
        <w:rPr>
          <w:sz w:val="20"/>
          <w:szCs w:val="20"/>
        </w:rPr>
        <w:t xml:space="preserve"> Human </w:t>
      </w:r>
      <w:proofErr w:type="spellStart"/>
      <w:r w:rsidRPr="009C5BC2">
        <w:rPr>
          <w:sz w:val="20"/>
          <w:szCs w:val="20"/>
        </w:rPr>
        <w:t>Fertilisation</w:t>
      </w:r>
      <w:proofErr w:type="spellEnd"/>
      <w:r w:rsidRPr="009C5BC2">
        <w:rPr>
          <w:sz w:val="20"/>
          <w:szCs w:val="20"/>
        </w:rPr>
        <w:t xml:space="preserve"> and Embryology Act 2008 s. 13</w:t>
      </w:r>
      <w:r w:rsidR="003E416E">
        <w:rPr>
          <w:sz w:val="20"/>
          <w:szCs w:val="20"/>
        </w:rPr>
        <w:t>(5)</w:t>
      </w:r>
      <w:r w:rsidRPr="009C5BC2">
        <w:rPr>
          <w:sz w:val="20"/>
          <w:szCs w:val="20"/>
        </w:rPr>
        <w:t xml:space="preserve">.  </w:t>
      </w:r>
    </w:p>
  </w:footnote>
  <w:footnote w:id="27">
    <w:p w14:paraId="473C2CFA" w14:textId="5EA10B54"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For an example of how this challenging balancing act was achieved with the child’s best interests in mind, see </w:t>
      </w:r>
      <w:r w:rsidRPr="009C5BC2">
        <w:rPr>
          <w:rFonts w:ascii="Times New Roman" w:hAnsi="Times New Roman" w:cs="Times New Roman"/>
          <w:i/>
        </w:rPr>
        <w:t xml:space="preserve">Leeds Teaching Hospital NHS Trust v </w:t>
      </w:r>
      <w:proofErr w:type="gramStart"/>
      <w:r w:rsidRPr="009C5BC2">
        <w:rPr>
          <w:rFonts w:ascii="Times New Roman" w:hAnsi="Times New Roman" w:cs="Times New Roman"/>
          <w:i/>
        </w:rPr>
        <w:t>A</w:t>
      </w:r>
      <w:proofErr w:type="gramEnd"/>
      <w:r w:rsidRPr="009C5BC2">
        <w:rPr>
          <w:rFonts w:ascii="Times New Roman" w:hAnsi="Times New Roman" w:cs="Times New Roman"/>
          <w:i/>
        </w:rPr>
        <w:t xml:space="preserve"> </w:t>
      </w:r>
      <w:r w:rsidRPr="009C5BC2">
        <w:rPr>
          <w:rFonts w:ascii="Times New Roman" w:hAnsi="Times New Roman" w:cs="Times New Roman"/>
        </w:rPr>
        <w:t>[2003] EWHC 259.</w:t>
      </w:r>
    </w:p>
  </w:footnote>
  <w:footnote w:id="28">
    <w:p w14:paraId="1E02C277" w14:textId="55784258" w:rsidR="003E416E" w:rsidRPr="00E30821" w:rsidRDefault="003E416E" w:rsidP="00E30821">
      <w:pPr>
        <w:pStyle w:val="NoSpacing"/>
      </w:pPr>
      <w:r w:rsidRPr="00E30821">
        <w:rPr>
          <w:rStyle w:val="FootnoteReference"/>
          <w:sz w:val="20"/>
          <w:szCs w:val="20"/>
        </w:rPr>
        <w:footnoteRef/>
      </w:r>
      <w:r w:rsidRPr="00E30821">
        <w:rPr>
          <w:sz w:val="20"/>
          <w:szCs w:val="20"/>
        </w:rPr>
        <w:t xml:space="preserve"> </w:t>
      </w:r>
      <w:proofErr w:type="gramStart"/>
      <w:r w:rsidR="00843D09">
        <w:rPr>
          <w:sz w:val="20"/>
          <w:szCs w:val="20"/>
        </w:rPr>
        <w:t>Surrogacy Arrangements Act 1985.</w:t>
      </w:r>
      <w:proofErr w:type="gramEnd"/>
      <w:r w:rsidR="00843D09">
        <w:rPr>
          <w:sz w:val="20"/>
          <w:szCs w:val="20"/>
        </w:rPr>
        <w:t xml:space="preserve"> </w:t>
      </w:r>
      <w:r w:rsidRPr="00E30821">
        <w:rPr>
          <w:sz w:val="20"/>
          <w:szCs w:val="20"/>
        </w:rPr>
        <w:t xml:space="preserve">See further </w:t>
      </w:r>
      <w:r w:rsidRPr="00E30821">
        <w:rPr>
          <w:color w:val="000000" w:themeColor="text1"/>
          <w:sz w:val="20"/>
          <w:szCs w:val="20"/>
        </w:rPr>
        <w:t>B Hale ‘New Families and the Welfare of Children’ (2014) 36</w:t>
      </w:r>
      <w:r w:rsidR="00B502EE">
        <w:rPr>
          <w:color w:val="000000" w:themeColor="text1"/>
          <w:sz w:val="20"/>
          <w:szCs w:val="20"/>
        </w:rPr>
        <w:t>(1)</w:t>
      </w:r>
      <w:r w:rsidRPr="00E30821">
        <w:rPr>
          <w:color w:val="000000" w:themeColor="text1"/>
          <w:sz w:val="20"/>
          <w:szCs w:val="20"/>
        </w:rPr>
        <w:t xml:space="preserve"> </w:t>
      </w:r>
      <w:r w:rsidRPr="00E30821">
        <w:rPr>
          <w:i/>
          <w:color w:val="000000" w:themeColor="text1"/>
          <w:sz w:val="20"/>
          <w:szCs w:val="20"/>
          <w:shd w:val="clear" w:color="auto" w:fill="FFFFFF"/>
        </w:rPr>
        <w:t xml:space="preserve">Journal of Social </w:t>
      </w:r>
      <w:proofErr w:type="gramStart"/>
      <w:r w:rsidRPr="00E30821">
        <w:rPr>
          <w:i/>
          <w:color w:val="000000" w:themeColor="text1"/>
          <w:sz w:val="20"/>
          <w:szCs w:val="20"/>
          <w:shd w:val="clear" w:color="auto" w:fill="FFFFFF"/>
        </w:rPr>
        <w:t>Welfare  &amp;</w:t>
      </w:r>
      <w:proofErr w:type="gramEnd"/>
      <w:r w:rsidRPr="00E30821">
        <w:rPr>
          <w:i/>
          <w:color w:val="000000" w:themeColor="text1"/>
          <w:sz w:val="20"/>
          <w:szCs w:val="20"/>
          <w:shd w:val="clear" w:color="auto" w:fill="FFFFFF"/>
        </w:rPr>
        <w:t xml:space="preserve"> Family Law</w:t>
      </w:r>
      <w:r w:rsidRPr="00E30821">
        <w:rPr>
          <w:color w:val="000000" w:themeColor="text1"/>
          <w:sz w:val="20"/>
          <w:szCs w:val="20"/>
          <w:shd w:val="clear" w:color="auto" w:fill="FFFFFF"/>
        </w:rPr>
        <w:t xml:space="preserve"> 26; and </w:t>
      </w:r>
      <w:r w:rsidRPr="00E30821">
        <w:rPr>
          <w:sz w:val="20"/>
          <w:szCs w:val="20"/>
        </w:rPr>
        <w:t xml:space="preserve">C Fenton-Glynn ‘Outsourcing Ethical Dilemmas: Regulating International Surrogacy Arrangements’  (2016) 24(1) </w:t>
      </w:r>
      <w:r w:rsidRPr="00E30821">
        <w:rPr>
          <w:i/>
          <w:sz w:val="20"/>
          <w:szCs w:val="20"/>
        </w:rPr>
        <w:t>Medical Law Review</w:t>
      </w:r>
      <w:r w:rsidRPr="00E30821">
        <w:rPr>
          <w:sz w:val="20"/>
          <w:szCs w:val="20"/>
        </w:rPr>
        <w:t xml:space="preserve"> 59</w:t>
      </w:r>
      <w:r w:rsidR="00B502EE">
        <w:rPr>
          <w:sz w:val="20"/>
          <w:szCs w:val="20"/>
        </w:rPr>
        <w:t xml:space="preserve">. </w:t>
      </w:r>
    </w:p>
  </w:footnote>
  <w:footnote w:id="29">
    <w:p w14:paraId="381FC07E" w14:textId="37D60224" w:rsidR="00F7433C" w:rsidRPr="00AE0226" w:rsidRDefault="00F7433C">
      <w:pPr>
        <w:pStyle w:val="NoSpacing"/>
        <w:rPr>
          <w:sz w:val="20"/>
          <w:szCs w:val="20"/>
        </w:rPr>
      </w:pPr>
      <w:r w:rsidRPr="003E416E">
        <w:rPr>
          <w:rStyle w:val="FootnoteReference"/>
          <w:sz w:val="20"/>
          <w:szCs w:val="20"/>
        </w:rPr>
        <w:footnoteRef/>
      </w:r>
      <w:r w:rsidRPr="003E416E">
        <w:rPr>
          <w:sz w:val="20"/>
          <w:szCs w:val="20"/>
        </w:rPr>
        <w:t xml:space="preserve"> </w:t>
      </w:r>
      <w:proofErr w:type="gramStart"/>
      <w:r w:rsidRPr="003E416E">
        <w:rPr>
          <w:sz w:val="20"/>
          <w:szCs w:val="20"/>
        </w:rPr>
        <w:t>E Blyth ‘To be or not to be?</w:t>
      </w:r>
      <w:proofErr w:type="gramEnd"/>
      <w:r w:rsidRPr="003E416E">
        <w:rPr>
          <w:sz w:val="20"/>
          <w:szCs w:val="20"/>
        </w:rPr>
        <w:t xml:space="preserve"> A critical appraisal of</w:t>
      </w:r>
      <w:r w:rsidRPr="00B502EE">
        <w:rPr>
          <w:sz w:val="20"/>
          <w:szCs w:val="20"/>
        </w:rPr>
        <w:t xml:space="preserve"> the welfare of children conceived through new reproductive technologies’ (2008) 16 </w:t>
      </w:r>
      <w:r w:rsidRPr="00AE0226">
        <w:rPr>
          <w:i/>
          <w:sz w:val="20"/>
          <w:szCs w:val="20"/>
        </w:rPr>
        <w:t>International Journal of Children’s Rights</w:t>
      </w:r>
      <w:r w:rsidRPr="00AE0226">
        <w:rPr>
          <w:sz w:val="20"/>
          <w:szCs w:val="20"/>
        </w:rPr>
        <w:t xml:space="preserve"> 505.</w:t>
      </w:r>
    </w:p>
  </w:footnote>
  <w:footnote w:id="30">
    <w:p w14:paraId="2DCDA7AB" w14:textId="45392641" w:rsidR="00F7433C" w:rsidRPr="00F60F81" w:rsidRDefault="00F7433C">
      <w:pPr>
        <w:pStyle w:val="NoSpacing"/>
      </w:pPr>
      <w:r w:rsidRPr="003E416E">
        <w:rPr>
          <w:rStyle w:val="FootnoteReference"/>
          <w:sz w:val="20"/>
          <w:szCs w:val="20"/>
        </w:rPr>
        <w:footnoteRef/>
      </w:r>
      <w:r w:rsidRPr="003E416E">
        <w:rPr>
          <w:sz w:val="20"/>
          <w:szCs w:val="20"/>
        </w:rPr>
        <w:t xml:space="preserve"> In the UK, see </w:t>
      </w:r>
      <w:r w:rsidRPr="00B502EE">
        <w:rPr>
          <w:i/>
          <w:sz w:val="20"/>
          <w:szCs w:val="20"/>
        </w:rPr>
        <w:t>R (Mahmood) v Home Secretary</w:t>
      </w:r>
      <w:r w:rsidRPr="00E30821">
        <w:rPr>
          <w:sz w:val="20"/>
          <w:szCs w:val="20"/>
        </w:rPr>
        <w:t xml:space="preserve"> [2001] 1 WLR 840; </w:t>
      </w:r>
      <w:r w:rsidRPr="00E30821">
        <w:rPr>
          <w:i/>
          <w:iCs/>
          <w:sz w:val="20"/>
          <w:szCs w:val="20"/>
        </w:rPr>
        <w:t>R (</w:t>
      </w:r>
      <w:proofErr w:type="spellStart"/>
      <w:r w:rsidRPr="00E30821">
        <w:rPr>
          <w:i/>
          <w:iCs/>
          <w:sz w:val="20"/>
          <w:szCs w:val="20"/>
        </w:rPr>
        <w:t>Razgar</w:t>
      </w:r>
      <w:proofErr w:type="spellEnd"/>
      <w:r w:rsidRPr="00E30821">
        <w:rPr>
          <w:i/>
          <w:iCs/>
          <w:sz w:val="20"/>
          <w:szCs w:val="20"/>
        </w:rPr>
        <w:t xml:space="preserve">) v Secretary of State for the Home Department </w:t>
      </w:r>
      <w:r w:rsidRPr="00E30821">
        <w:rPr>
          <w:sz w:val="20"/>
          <w:szCs w:val="20"/>
        </w:rPr>
        <w:t xml:space="preserve">[2004] UKHL 27 [2004] AC 368; and more recently </w:t>
      </w:r>
      <w:r w:rsidRPr="00E30821">
        <w:rPr>
          <w:i/>
          <w:iCs/>
          <w:sz w:val="20"/>
          <w:szCs w:val="20"/>
          <w:lang w:val="pt-BR"/>
        </w:rPr>
        <w:t xml:space="preserve">R ( Nagre ) v SSHD </w:t>
      </w:r>
      <w:r w:rsidRPr="00E30821">
        <w:rPr>
          <w:iCs/>
          <w:sz w:val="20"/>
          <w:szCs w:val="20"/>
          <w:lang w:val="pt-BR"/>
        </w:rPr>
        <w:t>[2013] EWHC 720 (Admin)</w:t>
      </w:r>
    </w:p>
  </w:footnote>
  <w:footnote w:id="31">
    <w:p w14:paraId="1E7DCE7D" w14:textId="7DFA1CC5" w:rsidR="00F7433C" w:rsidRPr="00F60F81" w:rsidRDefault="00F7433C" w:rsidP="00F60F81">
      <w:pPr>
        <w:pStyle w:val="NoSpacing"/>
        <w:rPr>
          <w:sz w:val="20"/>
          <w:szCs w:val="20"/>
        </w:rPr>
      </w:pPr>
      <w:r w:rsidRPr="00F60F81">
        <w:rPr>
          <w:rStyle w:val="FootnoteReference"/>
          <w:sz w:val="20"/>
          <w:szCs w:val="20"/>
        </w:rPr>
        <w:footnoteRef/>
      </w:r>
      <w:r w:rsidRPr="00F60F81">
        <w:rPr>
          <w:sz w:val="20"/>
          <w:szCs w:val="20"/>
        </w:rPr>
        <w:t xml:space="preserve"> See C Smyth ‘The Best Interests of the Child in the Expulsion and First-entry Jurisprudence of the European Court of Human Rights: How Principled is the Court's Use of the Principle?’ (2015) 17 </w:t>
      </w:r>
      <w:r w:rsidRPr="00F60F81">
        <w:rPr>
          <w:i/>
          <w:sz w:val="20"/>
          <w:szCs w:val="20"/>
        </w:rPr>
        <w:t>European Journal of Migration and the Law</w:t>
      </w:r>
      <w:r w:rsidRPr="00F60F81">
        <w:rPr>
          <w:sz w:val="20"/>
          <w:szCs w:val="20"/>
        </w:rPr>
        <w:t xml:space="preserve"> 70 at p.79 for a comprehensive analysis of how the best interests principle has been interpreted in more than 30 ECtHR cases. </w:t>
      </w:r>
    </w:p>
  </w:footnote>
  <w:footnote w:id="32">
    <w:p w14:paraId="0D4E1016" w14:textId="4B1E4676" w:rsidR="004D1C2C" w:rsidRPr="00F60F81" w:rsidRDefault="004D1C2C" w:rsidP="00F60F81">
      <w:pPr>
        <w:pStyle w:val="NoSpacing"/>
        <w:rPr>
          <w:sz w:val="20"/>
          <w:szCs w:val="20"/>
        </w:rPr>
      </w:pPr>
      <w:r w:rsidRPr="00F60F81">
        <w:rPr>
          <w:rStyle w:val="FootnoteReference"/>
          <w:sz w:val="20"/>
          <w:szCs w:val="20"/>
        </w:rPr>
        <w:footnoteRef/>
      </w:r>
      <w:r w:rsidRPr="00F60F81">
        <w:rPr>
          <w:sz w:val="20"/>
          <w:szCs w:val="20"/>
        </w:rPr>
        <w:t xml:space="preserve"> T Brown and others </w:t>
      </w:r>
      <w:r w:rsidRPr="00F60F81">
        <w:rPr>
          <w:bCs/>
          <w:i/>
          <w:sz w:val="20"/>
          <w:szCs w:val="20"/>
        </w:rPr>
        <w:t xml:space="preserve">Put Yourself in Our Shoes: </w:t>
      </w:r>
      <w:r w:rsidRPr="00F60F81">
        <w:rPr>
          <w:i/>
          <w:sz w:val="20"/>
          <w:szCs w:val="20"/>
        </w:rPr>
        <w:t>Considering Children’s Best Interests in the Asylum System</w:t>
      </w:r>
      <w:r w:rsidRPr="00F60F81">
        <w:rPr>
          <w:sz w:val="20"/>
          <w:szCs w:val="20"/>
        </w:rPr>
        <w:t xml:space="preserve"> (2015, Law </w:t>
      </w:r>
      <w:proofErr w:type="spellStart"/>
      <w:r w:rsidRPr="00F60F81">
        <w:rPr>
          <w:sz w:val="20"/>
          <w:szCs w:val="20"/>
        </w:rPr>
        <w:t>Centres</w:t>
      </w:r>
      <w:proofErr w:type="spellEnd"/>
      <w:r w:rsidRPr="00F60F81">
        <w:rPr>
          <w:sz w:val="20"/>
          <w:szCs w:val="20"/>
        </w:rPr>
        <w:t xml:space="preserve"> Network) </w:t>
      </w:r>
    </w:p>
  </w:footnote>
  <w:footnote w:id="33">
    <w:p w14:paraId="51188C97" w14:textId="55E4CD34" w:rsidR="00F60F81" w:rsidRDefault="00F60F81" w:rsidP="00E30821">
      <w:pPr>
        <w:pStyle w:val="NoSpacing"/>
      </w:pPr>
      <w:r w:rsidRPr="00F60F81">
        <w:rPr>
          <w:rStyle w:val="FootnoteReference"/>
          <w:sz w:val="20"/>
          <w:szCs w:val="20"/>
        </w:rPr>
        <w:footnoteRef/>
      </w:r>
      <w:r w:rsidRPr="00F60F81">
        <w:rPr>
          <w:sz w:val="20"/>
          <w:szCs w:val="20"/>
        </w:rPr>
        <w:t xml:space="preserve"> K Hollingsworth ‘</w:t>
      </w:r>
      <w:r w:rsidRPr="00F60F81">
        <w:rPr>
          <w:color w:val="000000"/>
          <w:sz w:val="20"/>
          <w:szCs w:val="20"/>
        </w:rPr>
        <w:t>Bright Lines and Best Interests: Children, Age and Rights in Police Detention: R (HC) v Secretary of State for the Home Department’</w:t>
      </w:r>
      <w:r w:rsidRPr="00F60F81">
        <w:rPr>
          <w:i/>
          <w:iCs/>
          <w:color w:val="000000"/>
          <w:sz w:val="20"/>
          <w:szCs w:val="20"/>
          <w:shd w:val="clear" w:color="auto" w:fill="FFFFFF"/>
        </w:rPr>
        <w:t xml:space="preserve"> </w:t>
      </w:r>
      <w:r w:rsidRPr="00F60F81">
        <w:rPr>
          <w:iCs/>
          <w:color w:val="000000"/>
          <w:sz w:val="20"/>
          <w:szCs w:val="20"/>
          <w:shd w:val="clear" w:color="auto" w:fill="FFFFFF"/>
        </w:rPr>
        <w:t>(2014) 26(1)</w:t>
      </w:r>
      <w:r w:rsidRPr="00F60F81">
        <w:rPr>
          <w:i/>
          <w:iCs/>
          <w:color w:val="000000"/>
          <w:sz w:val="20"/>
          <w:szCs w:val="20"/>
          <w:shd w:val="clear" w:color="auto" w:fill="FFFFFF"/>
        </w:rPr>
        <w:t xml:space="preserve"> Child and Family Law Quarterly</w:t>
      </w:r>
      <w:r>
        <w:rPr>
          <w:i/>
          <w:iCs/>
          <w:color w:val="000000"/>
          <w:sz w:val="20"/>
          <w:szCs w:val="20"/>
          <w:shd w:val="clear" w:color="auto" w:fill="FFFFFF"/>
        </w:rPr>
        <w:t xml:space="preserve"> </w:t>
      </w:r>
      <w:r w:rsidRPr="00F60F81">
        <w:rPr>
          <w:iCs/>
          <w:color w:val="000000"/>
          <w:sz w:val="20"/>
          <w:szCs w:val="20"/>
          <w:shd w:val="clear" w:color="auto" w:fill="FFFFFF"/>
        </w:rPr>
        <w:t>78</w:t>
      </w:r>
    </w:p>
  </w:footnote>
  <w:footnote w:id="34">
    <w:p w14:paraId="4A089F67" w14:textId="2F2ADADA" w:rsidR="00AE0226" w:rsidRPr="004778C8" w:rsidRDefault="00AE0226">
      <w:pPr>
        <w:pStyle w:val="FootnoteText"/>
      </w:pPr>
      <w:r>
        <w:rPr>
          <w:rStyle w:val="FootnoteReference"/>
        </w:rPr>
        <w:footnoteRef/>
      </w:r>
      <w:r>
        <w:t xml:space="preserve"> </w:t>
      </w:r>
      <w:r w:rsidR="004778C8">
        <w:t xml:space="preserve">L Kopelman ‘The Best interests standard as threshold, ideal and standard of reasonableness’ (1979) 22 </w:t>
      </w:r>
      <w:r w:rsidR="004778C8">
        <w:rPr>
          <w:i/>
        </w:rPr>
        <w:t xml:space="preserve">Journal of Medicine and Philosophy </w:t>
      </w:r>
      <w:r w:rsidR="004778C8">
        <w:t>271;</w:t>
      </w:r>
      <w:r w:rsidR="004778C8">
        <w:rPr>
          <w:i/>
        </w:rPr>
        <w:t xml:space="preserve"> </w:t>
      </w:r>
      <w:r w:rsidR="004778C8">
        <w:t xml:space="preserve">C Piper ‘Assumptions about Children’s Best Interests’ (2000) 22(3) </w:t>
      </w:r>
      <w:r w:rsidR="004778C8">
        <w:rPr>
          <w:i/>
        </w:rPr>
        <w:t xml:space="preserve">Journal of Social Welfare and Family Law </w:t>
      </w:r>
      <w:r w:rsidR="004778C8">
        <w:t>261</w:t>
      </w:r>
    </w:p>
  </w:footnote>
  <w:footnote w:id="35">
    <w:p w14:paraId="18D7DC9A" w14:textId="6506B5BC" w:rsidR="00F7433C" w:rsidRPr="009C5BC2" w:rsidRDefault="00F7433C" w:rsidP="00197359">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J </w:t>
      </w:r>
      <w:proofErr w:type="spellStart"/>
      <w:r w:rsidRPr="009C5BC2">
        <w:rPr>
          <w:rFonts w:ascii="Times New Roman" w:hAnsi="Times New Roman" w:cs="Times New Roman"/>
        </w:rPr>
        <w:t>Eekelaar</w:t>
      </w:r>
      <w:proofErr w:type="spellEnd"/>
      <w:r w:rsidRPr="009C5BC2">
        <w:rPr>
          <w:rFonts w:ascii="Times New Roman" w:hAnsi="Times New Roman" w:cs="Times New Roman"/>
        </w:rPr>
        <w:t xml:space="preserve"> ‘Beyond the Welfare Principle’ (2002) 14(3) </w:t>
      </w:r>
      <w:r w:rsidRPr="009C5BC2">
        <w:rPr>
          <w:rFonts w:ascii="Times New Roman" w:hAnsi="Times New Roman" w:cs="Times New Roman"/>
          <w:i/>
          <w:iCs/>
        </w:rPr>
        <w:t xml:space="preserve">Child and Family Law Quarterly </w:t>
      </w:r>
      <w:r w:rsidRPr="009C5BC2">
        <w:rPr>
          <w:rFonts w:ascii="Times New Roman" w:hAnsi="Times New Roman" w:cs="Times New Roman"/>
          <w:iCs/>
        </w:rPr>
        <w:t>237</w:t>
      </w:r>
    </w:p>
  </w:footnote>
  <w:footnote w:id="36">
    <w:p w14:paraId="612491D9" w14:textId="1DB82BE6"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R </w:t>
      </w:r>
      <w:proofErr w:type="spellStart"/>
      <w:r w:rsidRPr="009C5BC2">
        <w:rPr>
          <w:rFonts w:ascii="Times New Roman" w:hAnsi="Times New Roman" w:cs="Times New Roman"/>
        </w:rPr>
        <w:t>Mnookin</w:t>
      </w:r>
      <w:proofErr w:type="spellEnd"/>
      <w:r w:rsidRPr="009C5BC2">
        <w:rPr>
          <w:rFonts w:ascii="Times New Roman" w:hAnsi="Times New Roman" w:cs="Times New Roman"/>
        </w:rPr>
        <w:t xml:space="preserve"> ‘Child-Custody Adjudication: Judicial Functions in the Face of Indeterminacy’ (1975) 39 </w:t>
      </w:r>
      <w:r w:rsidRPr="009C5BC2">
        <w:rPr>
          <w:rFonts w:ascii="Times New Roman" w:hAnsi="Times New Roman" w:cs="Times New Roman"/>
          <w:i/>
        </w:rPr>
        <w:t xml:space="preserve">Law and Contemporary Problems </w:t>
      </w:r>
      <w:r w:rsidRPr="009C5BC2">
        <w:rPr>
          <w:rFonts w:ascii="Times New Roman" w:hAnsi="Times New Roman" w:cs="Times New Roman"/>
        </w:rPr>
        <w:t xml:space="preserve">226. </w:t>
      </w:r>
    </w:p>
  </w:footnote>
  <w:footnote w:id="37">
    <w:p w14:paraId="772FC3D0" w14:textId="71458603" w:rsidR="00F7433C" w:rsidRPr="009C5BC2" w:rsidRDefault="00F7433C" w:rsidP="00465D1D">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J </w:t>
      </w:r>
      <w:proofErr w:type="spellStart"/>
      <w:r w:rsidRPr="009C5BC2">
        <w:rPr>
          <w:rFonts w:ascii="Times New Roman" w:hAnsi="Times New Roman" w:cs="Times New Roman"/>
        </w:rPr>
        <w:t>Eekelaar</w:t>
      </w:r>
      <w:proofErr w:type="spellEnd"/>
      <w:r w:rsidRPr="009C5BC2">
        <w:rPr>
          <w:rFonts w:ascii="Times New Roman" w:hAnsi="Times New Roman" w:cs="Times New Roman"/>
        </w:rPr>
        <w:t xml:space="preserve">, ‘The interests of the child and the child’s wishes: the role of dynamic self-determinism’, (1994) 8 </w:t>
      </w:r>
      <w:r w:rsidRPr="009C5BC2">
        <w:rPr>
          <w:rFonts w:ascii="Times New Roman" w:hAnsi="Times New Roman" w:cs="Times New Roman"/>
          <w:i/>
        </w:rPr>
        <w:t>International Journal of Law, Policy and the Family</w:t>
      </w:r>
      <w:r w:rsidRPr="009C5BC2">
        <w:rPr>
          <w:rFonts w:ascii="Times New Roman" w:hAnsi="Times New Roman" w:cs="Times New Roman"/>
        </w:rPr>
        <w:t xml:space="preserve"> 42, at p. 43; S Holm and A Edgar (2008) 16(3).  ‘Best interest – a philosophical critique’ </w:t>
      </w:r>
      <w:r w:rsidRPr="009C5BC2">
        <w:rPr>
          <w:rFonts w:ascii="Times New Roman" w:hAnsi="Times New Roman" w:cs="Times New Roman"/>
          <w:i/>
        </w:rPr>
        <w:t xml:space="preserve">Health Care Analysis, </w:t>
      </w:r>
      <w:r w:rsidRPr="009C5BC2">
        <w:rPr>
          <w:rFonts w:ascii="Times New Roman" w:hAnsi="Times New Roman" w:cs="Times New Roman"/>
        </w:rPr>
        <w:t xml:space="preserve">197. </w:t>
      </w:r>
    </w:p>
  </w:footnote>
  <w:footnote w:id="38">
    <w:p w14:paraId="32DE7D9B" w14:textId="725202FF"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00A738A8">
        <w:rPr>
          <w:rFonts w:ascii="Times New Roman" w:hAnsi="Times New Roman" w:cs="Times New Roman"/>
        </w:rPr>
        <w:t xml:space="preserve"> S Parker (n 21 </w:t>
      </w:r>
      <w:r w:rsidRPr="009C5BC2">
        <w:rPr>
          <w:rFonts w:ascii="Times New Roman" w:hAnsi="Times New Roman" w:cs="Times New Roman"/>
        </w:rPr>
        <w:t>at p.36</w:t>
      </w:r>
      <w:r w:rsidR="00A738A8">
        <w:rPr>
          <w:rFonts w:ascii="Times New Roman" w:hAnsi="Times New Roman" w:cs="Times New Roman"/>
        </w:rPr>
        <w:t>)</w:t>
      </w:r>
      <w:r w:rsidRPr="009C5BC2">
        <w:rPr>
          <w:rFonts w:ascii="Times New Roman" w:hAnsi="Times New Roman" w:cs="Times New Roman"/>
        </w:rPr>
        <w:t xml:space="preserve">. </w:t>
      </w:r>
    </w:p>
  </w:footnote>
  <w:footnote w:id="39">
    <w:p w14:paraId="7DC51FD4" w14:textId="39A6E991" w:rsidR="00F7433C" w:rsidRPr="009C5BC2" w:rsidRDefault="00F7433C" w:rsidP="00D56135">
      <w:pPr>
        <w:pStyle w:val="NoSpacing"/>
        <w:rPr>
          <w:sz w:val="20"/>
          <w:szCs w:val="20"/>
        </w:rPr>
      </w:pPr>
      <w:r w:rsidRPr="009C5BC2">
        <w:rPr>
          <w:rStyle w:val="FootnoteReference"/>
          <w:sz w:val="20"/>
          <w:szCs w:val="20"/>
        </w:rPr>
        <w:footnoteRef/>
      </w:r>
      <w:r w:rsidRPr="009C5BC2">
        <w:rPr>
          <w:sz w:val="20"/>
          <w:szCs w:val="20"/>
        </w:rPr>
        <w:t xml:space="preserve"> I Wise and M </w:t>
      </w:r>
      <w:proofErr w:type="spellStart"/>
      <w:r w:rsidRPr="009C5BC2">
        <w:rPr>
          <w:sz w:val="20"/>
          <w:szCs w:val="20"/>
        </w:rPr>
        <w:t>Spurrier</w:t>
      </w:r>
      <w:proofErr w:type="spellEnd"/>
      <w:r w:rsidRPr="009C5BC2">
        <w:rPr>
          <w:sz w:val="20"/>
          <w:szCs w:val="20"/>
        </w:rPr>
        <w:t>, ‘</w:t>
      </w:r>
      <w:r w:rsidRPr="009C5BC2">
        <w:rPr>
          <w:sz w:val="20"/>
          <w:szCs w:val="20"/>
          <w:lang w:eastAsia="en-GB"/>
        </w:rPr>
        <w:t>A gilded cage is still a cage</w:t>
      </w:r>
      <w:r w:rsidRPr="009C5BC2">
        <w:rPr>
          <w:bCs/>
          <w:sz w:val="20"/>
          <w:szCs w:val="20"/>
          <w:lang w:eastAsia="en-GB"/>
        </w:rPr>
        <w:t xml:space="preserve">’ (2014) May </w:t>
      </w:r>
      <w:r w:rsidRPr="009C5BC2">
        <w:rPr>
          <w:bCs/>
          <w:i/>
          <w:sz w:val="20"/>
          <w:szCs w:val="20"/>
          <w:lang w:eastAsia="en-GB"/>
        </w:rPr>
        <w:t xml:space="preserve">New Law Journal </w:t>
      </w:r>
      <w:r w:rsidRPr="009C5BC2">
        <w:rPr>
          <w:bCs/>
          <w:sz w:val="20"/>
          <w:szCs w:val="20"/>
          <w:lang w:eastAsia="en-GB"/>
        </w:rPr>
        <w:t xml:space="preserve">7.  </w:t>
      </w:r>
    </w:p>
  </w:footnote>
  <w:footnote w:id="40">
    <w:p w14:paraId="0097F06B" w14:textId="3436D999" w:rsidR="00F7433C" w:rsidRPr="009C5BC2" w:rsidRDefault="00F7433C" w:rsidP="00D56135">
      <w:pPr>
        <w:pStyle w:val="NoSpacing"/>
        <w:rPr>
          <w:sz w:val="20"/>
          <w:szCs w:val="20"/>
        </w:rPr>
      </w:pPr>
      <w:r w:rsidRPr="009C5BC2">
        <w:rPr>
          <w:rStyle w:val="FootnoteReference"/>
          <w:sz w:val="20"/>
          <w:szCs w:val="20"/>
        </w:rPr>
        <w:footnoteRef/>
      </w:r>
      <w:r w:rsidRPr="009C5BC2">
        <w:rPr>
          <w:sz w:val="20"/>
          <w:szCs w:val="20"/>
        </w:rPr>
        <w:t xml:space="preserve"> T Spencer-Lane ‘Lost in Translation’ (2013) June </w:t>
      </w:r>
      <w:r w:rsidRPr="009C5BC2">
        <w:rPr>
          <w:i/>
          <w:sz w:val="20"/>
          <w:szCs w:val="20"/>
        </w:rPr>
        <w:t xml:space="preserve">New Law Journal </w:t>
      </w:r>
      <w:r w:rsidRPr="009C5BC2">
        <w:rPr>
          <w:sz w:val="20"/>
          <w:szCs w:val="20"/>
        </w:rPr>
        <w:t>8.</w:t>
      </w:r>
    </w:p>
  </w:footnote>
  <w:footnote w:id="41">
    <w:p w14:paraId="6F1BBB52" w14:textId="15DEEE94"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w:t>
      </w:r>
      <w:proofErr w:type="gramStart"/>
      <w:r w:rsidRPr="009C5BC2">
        <w:rPr>
          <w:rFonts w:ascii="Times New Roman" w:hAnsi="Times New Roman" w:cs="Times New Roman"/>
        </w:rPr>
        <w:t>s</w:t>
      </w:r>
      <w:proofErr w:type="gramEnd"/>
      <w:r w:rsidRPr="009C5BC2">
        <w:rPr>
          <w:rFonts w:ascii="Times New Roman" w:hAnsi="Times New Roman" w:cs="Times New Roman"/>
        </w:rPr>
        <w:t>. 1(5).</w:t>
      </w:r>
    </w:p>
  </w:footnote>
  <w:footnote w:id="42">
    <w:p w14:paraId="6E4E0C87" w14:textId="45A1272C"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005E1C26">
        <w:rPr>
          <w:rFonts w:ascii="Times New Roman" w:hAnsi="Times New Roman" w:cs="Times New Roman"/>
        </w:rPr>
        <w:t xml:space="preserve"> Spencer-Lane (n </w:t>
      </w:r>
      <w:r w:rsidR="00D26345">
        <w:rPr>
          <w:rFonts w:ascii="Times New Roman" w:hAnsi="Times New Roman" w:cs="Times New Roman"/>
        </w:rPr>
        <w:t>40</w:t>
      </w:r>
      <w:r w:rsidRPr="009C5BC2">
        <w:rPr>
          <w:rFonts w:ascii="Times New Roman" w:hAnsi="Times New Roman" w:cs="Times New Roman"/>
        </w:rPr>
        <w:t>)</w:t>
      </w:r>
    </w:p>
  </w:footnote>
  <w:footnote w:id="43">
    <w:p w14:paraId="31BFBE68" w14:textId="77777777" w:rsidR="00F7433C" w:rsidRPr="009C5BC2" w:rsidRDefault="00F7433C" w:rsidP="00B3672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w:t>
      </w:r>
      <w:proofErr w:type="gramStart"/>
      <w:r w:rsidRPr="009C5BC2">
        <w:rPr>
          <w:rFonts w:ascii="Times New Roman" w:hAnsi="Times New Roman" w:cs="Times New Roman"/>
        </w:rPr>
        <w:t>(Care Quality Commission (2003) Monitoring the Use of the MCA Deprivation of Liberty Safeguards in 2011-12, cited in Spencer-Lane, 2013).</w:t>
      </w:r>
      <w:proofErr w:type="gramEnd"/>
    </w:p>
  </w:footnote>
  <w:footnote w:id="44">
    <w:p w14:paraId="2F6C3B02" w14:textId="5268904F" w:rsidR="00F7433C" w:rsidRPr="009C5BC2" w:rsidRDefault="00F7433C" w:rsidP="001F725A">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Select Committee on the Mental Capacity Act 2005, Mental Capacity Act 2005: Post-Legislative Scrutiny, HL Paper 139 (March 2014). For further discussion, see </w:t>
      </w:r>
      <w:r w:rsidRPr="009C5BC2">
        <w:rPr>
          <w:rFonts w:ascii="Times New Roman" w:hAnsi="Times New Roman" w:cs="Times New Roman"/>
          <w:b/>
          <w:bCs/>
          <w:color w:val="333333"/>
          <w:shd w:val="clear" w:color="auto" w:fill="FFFFFF"/>
        </w:rPr>
        <w:t>Cave, E.</w:t>
      </w:r>
      <w:r w:rsidRPr="009C5BC2">
        <w:rPr>
          <w:rStyle w:val="apple-converted-space"/>
          <w:rFonts w:ascii="Times New Roman" w:hAnsi="Times New Roman" w:cs="Times New Roman"/>
          <w:color w:val="333333"/>
          <w:shd w:val="clear" w:color="auto" w:fill="FFFFFF"/>
        </w:rPr>
        <w:t> </w:t>
      </w:r>
      <w:r w:rsidRPr="009C5BC2">
        <w:rPr>
          <w:rFonts w:ascii="Times New Roman" w:hAnsi="Times New Roman" w:cs="Times New Roman"/>
          <w:color w:val="333333"/>
          <w:shd w:val="clear" w:color="auto" w:fill="FFFFFF"/>
        </w:rPr>
        <w:t xml:space="preserve">(2015). </w:t>
      </w:r>
      <w:proofErr w:type="gramStart"/>
      <w:r w:rsidRPr="009C5BC2">
        <w:rPr>
          <w:rFonts w:ascii="Times New Roman" w:hAnsi="Times New Roman" w:cs="Times New Roman"/>
          <w:color w:val="333333"/>
          <w:shd w:val="clear" w:color="auto" w:fill="FFFFFF"/>
        </w:rPr>
        <w:t>Determining capacity to make medical treatment decisions problems implementing the mental capacity act 2005.</w:t>
      </w:r>
      <w:proofErr w:type="gramEnd"/>
      <w:r w:rsidRPr="009C5BC2">
        <w:rPr>
          <w:rStyle w:val="apple-converted-space"/>
          <w:rFonts w:ascii="Times New Roman" w:hAnsi="Times New Roman" w:cs="Times New Roman"/>
          <w:color w:val="333333"/>
          <w:shd w:val="clear" w:color="auto" w:fill="FFFFFF"/>
        </w:rPr>
        <w:t> </w:t>
      </w:r>
      <w:r w:rsidRPr="009C5BC2">
        <w:rPr>
          <w:rFonts w:ascii="Times New Roman" w:hAnsi="Times New Roman" w:cs="Times New Roman"/>
          <w:i/>
          <w:iCs/>
          <w:color w:val="333333"/>
          <w:shd w:val="clear" w:color="auto" w:fill="FFFFFF"/>
        </w:rPr>
        <w:t>Statute Law Review</w:t>
      </w:r>
      <w:r w:rsidRPr="009C5BC2">
        <w:rPr>
          <w:rStyle w:val="apple-converted-space"/>
          <w:rFonts w:ascii="Times New Roman" w:hAnsi="Times New Roman" w:cs="Times New Roman"/>
          <w:color w:val="333333"/>
          <w:shd w:val="clear" w:color="auto" w:fill="FFFFFF"/>
        </w:rPr>
        <w:t> </w:t>
      </w:r>
      <w:r w:rsidRPr="009C5BC2">
        <w:rPr>
          <w:rFonts w:ascii="Times New Roman" w:hAnsi="Times New Roman" w:cs="Times New Roman"/>
          <w:b/>
          <w:bCs/>
          <w:color w:val="333333"/>
          <w:shd w:val="clear" w:color="auto" w:fill="FFFFFF"/>
        </w:rPr>
        <w:t>36</w:t>
      </w:r>
      <w:r w:rsidRPr="009C5BC2">
        <w:rPr>
          <w:rFonts w:ascii="Times New Roman" w:hAnsi="Times New Roman" w:cs="Times New Roman"/>
          <w:color w:val="333333"/>
          <w:shd w:val="clear" w:color="auto" w:fill="FFFFFF"/>
        </w:rPr>
        <w:t xml:space="preserve">(1): 86-106. </w:t>
      </w:r>
      <w:r w:rsidRPr="009C5BC2">
        <w:rPr>
          <w:rFonts w:ascii="Times New Roman" w:hAnsi="Times New Roman" w:cs="Times New Roman"/>
        </w:rPr>
        <w:t xml:space="preserve">Similarly, the UK Supreme </w:t>
      </w:r>
      <w:r w:rsidR="00D77591">
        <w:rPr>
          <w:rFonts w:ascii="Times New Roman" w:hAnsi="Times New Roman" w:cs="Times New Roman"/>
        </w:rPr>
        <w:t>C</w:t>
      </w:r>
      <w:r w:rsidRPr="009C5BC2">
        <w:rPr>
          <w:rFonts w:ascii="Times New Roman" w:hAnsi="Times New Roman" w:cs="Times New Roman"/>
        </w:rPr>
        <w:t xml:space="preserve">ourt has responded to an established trend in holding people with disabilities in care placements that are tantamount to forced imprisonment, concluding that even arrangements purported to be made in disabled </w:t>
      </w:r>
      <w:proofErr w:type="gramStart"/>
      <w:r w:rsidRPr="009C5BC2">
        <w:rPr>
          <w:rFonts w:ascii="Times New Roman" w:hAnsi="Times New Roman" w:cs="Times New Roman"/>
        </w:rPr>
        <w:t>people’s</w:t>
      </w:r>
      <w:proofErr w:type="gramEnd"/>
      <w:r w:rsidRPr="009C5BC2">
        <w:rPr>
          <w:rFonts w:ascii="Times New Roman" w:hAnsi="Times New Roman" w:cs="Times New Roman"/>
        </w:rPr>
        <w:t xml:space="preserve"> best interests may still violate their fundamental rights and require stringent justification. See further</w:t>
      </w:r>
      <w:r w:rsidRPr="009C5BC2">
        <w:rPr>
          <w:rFonts w:ascii="Times New Roman" w:hAnsi="Times New Roman" w:cs="Times New Roman"/>
          <w:i/>
        </w:rPr>
        <w:t xml:space="preserve"> Cheshire West </w:t>
      </w:r>
      <w:r w:rsidRPr="009C5BC2">
        <w:rPr>
          <w:rFonts w:ascii="Times New Roman" w:hAnsi="Times New Roman" w:cs="Times New Roman"/>
        </w:rPr>
        <w:t xml:space="preserve">[2014] UKSC 19 discussed in Wise and </w:t>
      </w:r>
      <w:proofErr w:type="spellStart"/>
      <w:r w:rsidRPr="009C5BC2">
        <w:rPr>
          <w:rFonts w:ascii="Times New Roman" w:hAnsi="Times New Roman" w:cs="Times New Roman"/>
        </w:rPr>
        <w:t>Spurrier</w:t>
      </w:r>
      <w:proofErr w:type="spellEnd"/>
      <w:r w:rsidRPr="009C5BC2">
        <w:rPr>
          <w:rFonts w:ascii="Times New Roman" w:hAnsi="Times New Roman" w:cs="Times New Roman"/>
        </w:rPr>
        <w:t xml:space="preserve"> (n 32).   </w:t>
      </w:r>
    </w:p>
  </w:footnote>
  <w:footnote w:id="45">
    <w:p w14:paraId="0A1DA02B" w14:textId="0390F842" w:rsidR="00F7433C" w:rsidRPr="009C5BC2" w:rsidRDefault="00F7433C" w:rsidP="00187004">
      <w:pPr>
        <w:pStyle w:val="NoSpacing"/>
        <w:rPr>
          <w:sz w:val="20"/>
          <w:szCs w:val="20"/>
        </w:rPr>
      </w:pPr>
      <w:r w:rsidRPr="009C5BC2">
        <w:rPr>
          <w:rStyle w:val="FootnoteReference"/>
          <w:sz w:val="20"/>
          <w:szCs w:val="20"/>
        </w:rPr>
        <w:footnoteRef/>
      </w:r>
      <w:r w:rsidR="00BB6FEB">
        <w:rPr>
          <w:sz w:val="20"/>
          <w:szCs w:val="20"/>
        </w:rPr>
        <w:t xml:space="preserve"> Choudhry (n 10</w:t>
      </w:r>
      <w:r w:rsidRPr="009C5BC2">
        <w:rPr>
          <w:sz w:val="20"/>
          <w:szCs w:val="20"/>
        </w:rPr>
        <w:t>)</w:t>
      </w:r>
    </w:p>
  </w:footnote>
  <w:footnote w:id="46">
    <w:p w14:paraId="345690A6" w14:textId="5B4C9B87" w:rsidR="00F7433C" w:rsidRPr="00D26345" w:rsidRDefault="00F7433C" w:rsidP="00D26345">
      <w:pPr>
        <w:pStyle w:val="NoSpacing"/>
        <w:rPr>
          <w:sz w:val="20"/>
          <w:szCs w:val="20"/>
        </w:rPr>
      </w:pPr>
      <w:r w:rsidRPr="00D26345">
        <w:rPr>
          <w:rStyle w:val="FootnoteReference"/>
          <w:sz w:val="20"/>
          <w:szCs w:val="20"/>
        </w:rPr>
        <w:footnoteRef/>
      </w:r>
      <w:r w:rsidRPr="00E30821">
        <w:rPr>
          <w:sz w:val="20"/>
          <w:szCs w:val="20"/>
        </w:rPr>
        <w:t xml:space="preserve"> J Coggon ‘Mental Capacity Law, Autonomy, and Best Interests: An Argument for Conceptual and Practical Clarity in the Court of Protection’.</w:t>
      </w:r>
      <w:r w:rsidRPr="00D26345">
        <w:rPr>
          <w:rStyle w:val="apple-converted-space"/>
          <w:sz w:val="20"/>
          <w:szCs w:val="20"/>
        </w:rPr>
        <w:t xml:space="preserve"> (2016) </w:t>
      </w:r>
      <w:r w:rsidRPr="00E30821">
        <w:rPr>
          <w:i/>
          <w:iCs/>
          <w:sz w:val="20"/>
          <w:szCs w:val="20"/>
        </w:rPr>
        <w:t>Medical Law Review</w:t>
      </w:r>
      <w:r w:rsidRPr="00E30821">
        <w:rPr>
          <w:sz w:val="20"/>
          <w:szCs w:val="20"/>
        </w:rPr>
        <w:t xml:space="preserve"> forthcoming. </w:t>
      </w:r>
    </w:p>
  </w:footnote>
  <w:footnote w:id="47">
    <w:p w14:paraId="10BDCBE3" w14:textId="273AF14D" w:rsidR="00D26345" w:rsidRPr="00E30821" w:rsidRDefault="00D26345" w:rsidP="00E30821">
      <w:pPr>
        <w:pStyle w:val="NoSpacing"/>
      </w:pPr>
      <w:r w:rsidRPr="00E30821">
        <w:rPr>
          <w:rStyle w:val="FootnoteReference"/>
          <w:sz w:val="20"/>
          <w:szCs w:val="20"/>
        </w:rPr>
        <w:footnoteRef/>
      </w:r>
      <w:r w:rsidRPr="00E30821">
        <w:rPr>
          <w:sz w:val="20"/>
          <w:szCs w:val="20"/>
        </w:rPr>
        <w:t xml:space="preserve"> See for example D </w:t>
      </w:r>
      <w:proofErr w:type="spellStart"/>
      <w:r w:rsidRPr="00E30821">
        <w:rPr>
          <w:sz w:val="20"/>
          <w:szCs w:val="20"/>
        </w:rPr>
        <w:t>Archard</w:t>
      </w:r>
      <w:proofErr w:type="spellEnd"/>
      <w:r w:rsidRPr="00E30821">
        <w:rPr>
          <w:sz w:val="20"/>
          <w:szCs w:val="20"/>
        </w:rPr>
        <w:t xml:space="preserve"> and M </w:t>
      </w:r>
      <w:proofErr w:type="spellStart"/>
      <w:r w:rsidRPr="00E30821">
        <w:rPr>
          <w:sz w:val="20"/>
          <w:szCs w:val="20"/>
        </w:rPr>
        <w:t>Skivenes</w:t>
      </w:r>
      <w:proofErr w:type="spellEnd"/>
      <w:r w:rsidRPr="00E30821">
        <w:rPr>
          <w:sz w:val="20"/>
          <w:szCs w:val="20"/>
        </w:rPr>
        <w:t xml:space="preserve"> ‘Balancing a Child’s Best Interests and a Child’s Views’ (2009) 17 </w:t>
      </w:r>
      <w:r w:rsidRPr="00E30821">
        <w:rPr>
          <w:i/>
          <w:sz w:val="20"/>
          <w:szCs w:val="20"/>
        </w:rPr>
        <w:t xml:space="preserve">International Journal of Children’s Rights </w:t>
      </w:r>
      <w:r w:rsidRPr="00E30821">
        <w:rPr>
          <w:sz w:val="20"/>
          <w:szCs w:val="20"/>
        </w:rPr>
        <w:t xml:space="preserve">1; Kay </w:t>
      </w:r>
      <w:proofErr w:type="spellStart"/>
      <w:r w:rsidRPr="00E30821">
        <w:rPr>
          <w:sz w:val="20"/>
          <w:szCs w:val="20"/>
        </w:rPr>
        <w:t>Tisdall</w:t>
      </w:r>
      <w:proofErr w:type="spellEnd"/>
      <w:r w:rsidRPr="00E30821">
        <w:rPr>
          <w:sz w:val="20"/>
          <w:szCs w:val="20"/>
        </w:rPr>
        <w:t xml:space="preserve"> and Fiona Morrison, “Children's Participation in Court Proceedings when Parents Divorce or Separate: Legal Constructions and Lived Experiences” 14 </w:t>
      </w:r>
      <w:r w:rsidRPr="00E30821">
        <w:rPr>
          <w:i/>
          <w:sz w:val="20"/>
          <w:szCs w:val="20"/>
        </w:rPr>
        <w:t xml:space="preserve">Law and Childhood Studies: Current Legal Issues </w:t>
      </w:r>
      <w:r w:rsidRPr="00E30821">
        <w:rPr>
          <w:sz w:val="20"/>
          <w:szCs w:val="20"/>
        </w:rPr>
        <w:t>156 (2012).</w:t>
      </w:r>
    </w:p>
  </w:footnote>
  <w:footnote w:id="48">
    <w:p w14:paraId="439A8E74" w14:textId="60E46234" w:rsidR="00F7433C" w:rsidRPr="00E30821" w:rsidRDefault="00F7433C" w:rsidP="00E30821">
      <w:pPr>
        <w:pStyle w:val="NoSpacing"/>
      </w:pPr>
      <w:r w:rsidRPr="00E30821">
        <w:rPr>
          <w:rStyle w:val="FootnoteReference"/>
          <w:sz w:val="20"/>
          <w:szCs w:val="20"/>
        </w:rPr>
        <w:footnoteRef/>
      </w:r>
      <w:r w:rsidRPr="00E30821">
        <w:rPr>
          <w:sz w:val="20"/>
          <w:szCs w:val="20"/>
        </w:rPr>
        <w:t xml:space="preserve"> </w:t>
      </w:r>
      <w:proofErr w:type="gramStart"/>
      <w:r w:rsidRPr="00E30821">
        <w:rPr>
          <w:sz w:val="20"/>
          <w:szCs w:val="20"/>
        </w:rPr>
        <w:t xml:space="preserve">M Freeman ‘Rethinking </w:t>
      </w:r>
      <w:proofErr w:type="spellStart"/>
      <w:r w:rsidRPr="00E30821">
        <w:rPr>
          <w:sz w:val="20"/>
          <w:szCs w:val="20"/>
        </w:rPr>
        <w:t>Gillick</w:t>
      </w:r>
      <w:proofErr w:type="spellEnd"/>
      <w:r w:rsidRPr="00E30821">
        <w:rPr>
          <w:sz w:val="20"/>
          <w:szCs w:val="20"/>
        </w:rPr>
        <w:t xml:space="preserve">’ (2005) 13 </w:t>
      </w:r>
      <w:r w:rsidRPr="00E30821">
        <w:rPr>
          <w:i/>
          <w:sz w:val="20"/>
          <w:szCs w:val="20"/>
        </w:rPr>
        <w:t>International Journal of Children’s Rights</w:t>
      </w:r>
      <w:r w:rsidRPr="00E30821">
        <w:rPr>
          <w:sz w:val="20"/>
          <w:szCs w:val="20"/>
        </w:rPr>
        <w:t xml:space="preserve"> 201; E </w:t>
      </w:r>
      <w:r w:rsidRPr="00E30821">
        <w:rPr>
          <w:bCs/>
          <w:sz w:val="20"/>
          <w:szCs w:val="20"/>
          <w:shd w:val="clear" w:color="auto" w:fill="FFFFFF"/>
        </w:rPr>
        <w:t>Cave</w:t>
      </w:r>
      <w:r w:rsidRPr="00E30821">
        <w:rPr>
          <w:rStyle w:val="apple-converted-space"/>
          <w:sz w:val="20"/>
          <w:szCs w:val="20"/>
          <w:shd w:val="clear" w:color="auto" w:fill="FFFFFF"/>
        </w:rPr>
        <w:t> ‘</w:t>
      </w:r>
      <w:r w:rsidRPr="00E30821">
        <w:rPr>
          <w:sz w:val="20"/>
          <w:szCs w:val="20"/>
          <w:shd w:val="clear" w:color="auto" w:fill="FFFFFF"/>
        </w:rPr>
        <w:t xml:space="preserve">Goodbye </w:t>
      </w:r>
      <w:proofErr w:type="spellStart"/>
      <w:r w:rsidRPr="00E30821">
        <w:rPr>
          <w:sz w:val="20"/>
          <w:szCs w:val="20"/>
          <w:shd w:val="clear" w:color="auto" w:fill="FFFFFF"/>
        </w:rPr>
        <w:t>Gillick</w:t>
      </w:r>
      <w:proofErr w:type="spellEnd"/>
      <w:r w:rsidRPr="00E30821">
        <w:rPr>
          <w:sz w:val="20"/>
          <w:szCs w:val="20"/>
          <w:shd w:val="clear" w:color="auto" w:fill="FFFFFF"/>
        </w:rPr>
        <w:t>?</w:t>
      </w:r>
      <w:proofErr w:type="gramEnd"/>
      <w:r w:rsidRPr="00E30821">
        <w:rPr>
          <w:sz w:val="20"/>
          <w:szCs w:val="20"/>
          <w:shd w:val="clear" w:color="auto" w:fill="FFFFFF"/>
        </w:rPr>
        <w:t xml:space="preserve"> Identifying and resolving Problems with the Concept of Child Competence’ (2014) </w:t>
      </w:r>
      <w:r w:rsidRPr="00E30821">
        <w:rPr>
          <w:bCs/>
          <w:sz w:val="20"/>
          <w:szCs w:val="20"/>
          <w:shd w:val="clear" w:color="auto" w:fill="FFFFFF"/>
        </w:rPr>
        <w:t>34</w:t>
      </w:r>
      <w:r w:rsidRPr="00E30821">
        <w:rPr>
          <w:sz w:val="20"/>
          <w:szCs w:val="20"/>
          <w:shd w:val="clear" w:color="auto" w:fill="FFFFFF"/>
        </w:rPr>
        <w:t xml:space="preserve">(1) </w:t>
      </w:r>
      <w:r w:rsidRPr="00E30821">
        <w:rPr>
          <w:i/>
          <w:iCs/>
          <w:sz w:val="20"/>
          <w:szCs w:val="20"/>
          <w:shd w:val="clear" w:color="auto" w:fill="FFFFFF"/>
        </w:rPr>
        <w:t>Legal Studies</w:t>
      </w:r>
      <w:r w:rsidRPr="00E30821">
        <w:rPr>
          <w:rStyle w:val="apple-converted-space"/>
          <w:sz w:val="20"/>
          <w:szCs w:val="20"/>
          <w:shd w:val="clear" w:color="auto" w:fill="FFFFFF"/>
        </w:rPr>
        <w:t> </w:t>
      </w:r>
      <w:r w:rsidRPr="00E30821">
        <w:rPr>
          <w:sz w:val="20"/>
          <w:szCs w:val="20"/>
          <w:shd w:val="clear" w:color="auto" w:fill="FFFFFF"/>
        </w:rPr>
        <w:t>103</w:t>
      </w:r>
    </w:p>
  </w:footnote>
  <w:footnote w:id="49">
    <w:p w14:paraId="7E2CC820" w14:textId="373EEE69"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B Kelly, ‘</w:t>
      </w:r>
      <w:r w:rsidRPr="009C5BC2">
        <w:rPr>
          <w:rFonts w:ascii="Times New Roman" w:hAnsi="Times New Roman" w:cs="Times New Roman"/>
          <w:color w:val="000000"/>
          <w:shd w:val="clear" w:color="auto" w:fill="FFFFFF"/>
        </w:rPr>
        <w:t>Best interests, mental capacity legislation and the UN Convention on the Rights of Persons with Disabilities’  (</w:t>
      </w:r>
      <w:r w:rsidRPr="009C5BC2">
        <w:rPr>
          <w:rStyle w:val="highwire-cite-metadata-date"/>
          <w:rFonts w:ascii="Times New Roman" w:hAnsi="Times New Roman" w:cs="Times New Roman"/>
          <w:color w:val="000000"/>
          <w:bdr w:val="none" w:sz="0" w:space="0" w:color="auto" w:frame="1"/>
          <w:shd w:val="clear" w:color="auto" w:fill="FFFFFF"/>
        </w:rPr>
        <w:t xml:space="preserve">2015) </w:t>
      </w:r>
      <w:r w:rsidRPr="009C5BC2">
        <w:rPr>
          <w:rStyle w:val="highwire-cite-metadata-volume"/>
          <w:rFonts w:ascii="Times New Roman" w:hAnsi="Times New Roman" w:cs="Times New Roman"/>
          <w:color w:val="000000"/>
          <w:bdr w:val="none" w:sz="0" w:space="0" w:color="auto" w:frame="1"/>
          <w:shd w:val="clear" w:color="auto" w:fill="FFFFFF"/>
        </w:rPr>
        <w:t>21</w:t>
      </w:r>
      <w:r w:rsidRPr="009C5BC2">
        <w:rPr>
          <w:rStyle w:val="highwire-cite-metadata-issue"/>
          <w:rFonts w:ascii="Times New Roman" w:hAnsi="Times New Roman" w:cs="Times New Roman"/>
          <w:color w:val="000000"/>
          <w:bdr w:val="none" w:sz="0" w:space="0" w:color="auto" w:frame="1"/>
          <w:shd w:val="clear" w:color="auto" w:fill="FFFFFF"/>
        </w:rPr>
        <w:t>(3)</w:t>
      </w:r>
      <w:r w:rsidRPr="009C5BC2">
        <w:rPr>
          <w:rStyle w:val="highwire-cite-metadata-journal"/>
          <w:rFonts w:ascii="Times New Roman" w:hAnsi="Times New Roman" w:cs="Times New Roman"/>
          <w:i/>
          <w:bdr w:val="none" w:sz="0" w:space="0" w:color="auto" w:frame="1"/>
          <w:shd w:val="clear" w:color="auto" w:fill="FFFFFF"/>
        </w:rPr>
        <w:t xml:space="preserve"> British Journal of Psychiatric Advances</w:t>
      </w:r>
      <w:r w:rsidRPr="009C5BC2">
        <w:rPr>
          <w:rStyle w:val="highwire-cite-metadata-pages"/>
          <w:rFonts w:ascii="Times New Roman" w:hAnsi="Times New Roman" w:cs="Times New Roman"/>
          <w:color w:val="000000"/>
          <w:bdr w:val="none" w:sz="0" w:space="0" w:color="auto" w:frame="1"/>
          <w:shd w:val="clear" w:color="auto" w:fill="FFFFFF"/>
        </w:rPr>
        <w:t xml:space="preserve"> 188.</w:t>
      </w:r>
    </w:p>
  </w:footnote>
  <w:footnote w:id="50">
    <w:p w14:paraId="71743BF2" w14:textId="2BDDD1DC"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See </w:t>
      </w:r>
      <w:bookmarkStart w:id="0" w:name="To"/>
      <w:r w:rsidRPr="009C5BC2">
        <w:rPr>
          <w:rStyle w:val="s7d2086b4"/>
          <w:rFonts w:ascii="Times New Roman" w:hAnsi="Times New Roman" w:cs="Times New Roman"/>
          <w:bCs/>
          <w:shd w:val="clear" w:color="auto" w:fill="FFFFFF"/>
        </w:rPr>
        <w:t xml:space="preserve">the ECtHR decision in </w:t>
      </w:r>
      <w:bookmarkEnd w:id="0"/>
      <w:r w:rsidRPr="009C5BC2">
        <w:rPr>
          <w:rStyle w:val="s7d2086b4"/>
          <w:rFonts w:ascii="Times New Roman" w:hAnsi="Times New Roman" w:cs="Times New Roman"/>
          <w:bCs/>
          <w:i/>
          <w:shd w:val="clear" w:color="auto" w:fill="FFFFFF"/>
        </w:rPr>
        <w:t xml:space="preserve">McDonald v. The UK </w:t>
      </w:r>
      <w:r w:rsidRPr="009C5BC2">
        <w:rPr>
          <w:rFonts w:ascii="Times New Roman" w:hAnsi="Times New Roman" w:cs="Times New Roman"/>
          <w:iCs/>
          <w:color w:val="000000"/>
          <w:shd w:val="clear" w:color="auto" w:fill="FFFFFF"/>
        </w:rPr>
        <w:t>(Application no.</w:t>
      </w:r>
      <w:r w:rsidRPr="009C5BC2">
        <w:rPr>
          <w:rStyle w:val="apple-converted-space"/>
          <w:rFonts w:ascii="Times New Roman" w:hAnsi="Times New Roman" w:cs="Times New Roman"/>
          <w:iCs/>
          <w:shd w:val="clear" w:color="auto" w:fill="FFFFFF"/>
        </w:rPr>
        <w:t> </w:t>
      </w:r>
      <w:r w:rsidRPr="00422240">
        <w:rPr>
          <w:rFonts w:ascii="Times New Roman" w:hAnsi="Times New Roman" w:cs="Times New Roman"/>
          <w:iCs/>
          <w:shd w:val="clear" w:color="auto" w:fill="FFFFFF"/>
        </w:rPr>
        <w:t>4241/12</w:t>
      </w:r>
      <w:r w:rsidRPr="009C5BC2">
        <w:rPr>
          <w:rFonts w:ascii="Times New Roman" w:hAnsi="Times New Roman" w:cs="Times New Roman"/>
          <w:iCs/>
          <w:color w:val="000000"/>
          <w:shd w:val="clear" w:color="auto" w:fill="FFFFFF"/>
        </w:rPr>
        <w:t>), Judgment of</w:t>
      </w:r>
      <w:r w:rsidRPr="009C5BC2">
        <w:rPr>
          <w:rFonts w:ascii="Times New Roman" w:hAnsi="Times New Roman" w:cs="Times New Roman"/>
          <w:i/>
          <w:iCs/>
          <w:color w:val="000000"/>
          <w:shd w:val="clear" w:color="auto" w:fill="FFFFFF"/>
        </w:rPr>
        <w:t xml:space="preserve"> </w:t>
      </w:r>
      <w:r w:rsidRPr="009C5BC2">
        <w:rPr>
          <w:rFonts w:ascii="Times New Roman" w:hAnsi="Times New Roman" w:cs="Times New Roman"/>
          <w:color w:val="000000"/>
          <w:shd w:val="clear" w:color="auto" w:fill="FFFFFF"/>
        </w:rPr>
        <w:t xml:space="preserve">20 May 2014, for an illustration of how </w:t>
      </w:r>
      <w:r w:rsidR="0061441D">
        <w:rPr>
          <w:rFonts w:ascii="Times New Roman" w:hAnsi="Times New Roman" w:cs="Times New Roman"/>
          <w:color w:val="000000"/>
          <w:shd w:val="clear" w:color="auto" w:fill="FFFFFF"/>
        </w:rPr>
        <w:t>s</w:t>
      </w:r>
      <w:r w:rsidRPr="009C5BC2">
        <w:rPr>
          <w:rFonts w:ascii="Times New Roman" w:hAnsi="Times New Roman" w:cs="Times New Roman"/>
          <w:color w:val="000000"/>
          <w:shd w:val="clear" w:color="auto" w:fill="FFFFFF"/>
        </w:rPr>
        <w:t xml:space="preserve">tates can defer to their margin of appreciation and public policy arguments to justify the constriction of social care </w:t>
      </w:r>
      <w:r w:rsidR="0061441D">
        <w:rPr>
          <w:rFonts w:ascii="Times New Roman" w:hAnsi="Times New Roman" w:cs="Times New Roman"/>
          <w:color w:val="000000"/>
          <w:shd w:val="clear" w:color="auto" w:fill="FFFFFF"/>
        </w:rPr>
        <w:t>for</w:t>
      </w:r>
      <w:r w:rsidR="0061441D" w:rsidRPr="009C5BC2">
        <w:rPr>
          <w:rFonts w:ascii="Times New Roman" w:hAnsi="Times New Roman" w:cs="Times New Roman"/>
          <w:color w:val="000000"/>
          <w:shd w:val="clear" w:color="auto" w:fill="FFFFFF"/>
        </w:rPr>
        <w:t xml:space="preserve"> </w:t>
      </w:r>
      <w:r w:rsidR="0061441D">
        <w:rPr>
          <w:rFonts w:ascii="Times New Roman" w:hAnsi="Times New Roman" w:cs="Times New Roman"/>
          <w:color w:val="000000"/>
          <w:highlight w:val="yellow"/>
          <w:shd w:val="clear" w:color="auto" w:fill="FFFFFF"/>
        </w:rPr>
        <w:t>the disabled</w:t>
      </w:r>
      <w:r w:rsidRPr="00E30821">
        <w:rPr>
          <w:rFonts w:ascii="Times New Roman" w:hAnsi="Times New Roman" w:cs="Times New Roman"/>
          <w:color w:val="000000"/>
          <w:highlight w:val="yellow"/>
          <w:shd w:val="clear" w:color="auto" w:fill="FFFFFF"/>
        </w:rPr>
        <w:t>,</w:t>
      </w:r>
      <w:r w:rsidRPr="009C5BC2">
        <w:rPr>
          <w:rFonts w:ascii="Times New Roman" w:hAnsi="Times New Roman" w:cs="Times New Roman"/>
          <w:color w:val="000000"/>
          <w:shd w:val="clear" w:color="auto" w:fill="FFFFFF"/>
        </w:rPr>
        <w:t xml:space="preserve"> even if it is acknowledged as contrary to their well-being. </w:t>
      </w:r>
      <w:r w:rsidRPr="009C5BC2">
        <w:rPr>
          <w:rFonts w:ascii="Times New Roman" w:hAnsi="Times New Roman" w:cs="Times New Roman"/>
        </w:rPr>
        <w:t>Cantor, N.L. ‘</w:t>
      </w:r>
      <w:proofErr w:type="gramStart"/>
      <w:r w:rsidRPr="009C5BC2">
        <w:rPr>
          <w:rFonts w:ascii="Times New Roman" w:hAnsi="Times New Roman" w:cs="Times New Roman"/>
        </w:rPr>
        <w:t>The</w:t>
      </w:r>
      <w:proofErr w:type="gramEnd"/>
      <w:r w:rsidRPr="009C5BC2">
        <w:rPr>
          <w:rFonts w:ascii="Times New Roman" w:hAnsi="Times New Roman" w:cs="Times New Roman"/>
        </w:rPr>
        <w:t xml:space="preserve"> bane of surrogate decision-making: defining the best interests of never-competent persons’ </w:t>
      </w:r>
      <w:r w:rsidRPr="009C5BC2">
        <w:rPr>
          <w:rFonts w:ascii="Times New Roman" w:hAnsi="Times New Roman" w:cs="Times New Roman"/>
          <w:i/>
        </w:rPr>
        <w:t xml:space="preserve">The Journal of Legal Medicine, </w:t>
      </w:r>
      <w:r w:rsidRPr="009C5BC2">
        <w:rPr>
          <w:rFonts w:ascii="Times New Roman" w:hAnsi="Times New Roman" w:cs="Times New Roman"/>
        </w:rPr>
        <w:t xml:space="preserve">26, pp.155-205, at p.156. </w:t>
      </w:r>
    </w:p>
  </w:footnote>
  <w:footnote w:id="51">
    <w:p w14:paraId="13167613" w14:textId="28AA9FF6"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Pr="009C5BC2">
        <w:rPr>
          <w:rFonts w:ascii="Times New Roman" w:hAnsi="Times New Roman" w:cs="Times New Roman"/>
        </w:rPr>
        <w:t xml:space="preserve"> </w:t>
      </w:r>
      <w:proofErr w:type="gramStart"/>
      <w:r w:rsidRPr="009C5BC2">
        <w:rPr>
          <w:rFonts w:ascii="Times New Roman" w:hAnsi="Times New Roman" w:cs="Times New Roman"/>
        </w:rPr>
        <w:t xml:space="preserve">Parker (n </w:t>
      </w:r>
      <w:r w:rsidR="00A738A8">
        <w:rPr>
          <w:rFonts w:ascii="Times New Roman" w:hAnsi="Times New Roman" w:cs="Times New Roman"/>
        </w:rPr>
        <w:t>21</w:t>
      </w:r>
      <w:r w:rsidRPr="009C5BC2">
        <w:rPr>
          <w:rFonts w:ascii="Times New Roman" w:hAnsi="Times New Roman" w:cs="Times New Roman"/>
        </w:rPr>
        <w:t>, at p.12-13).</w:t>
      </w:r>
      <w:proofErr w:type="gramEnd"/>
    </w:p>
  </w:footnote>
  <w:footnote w:id="52">
    <w:p w14:paraId="049AC842" w14:textId="2599538E" w:rsidR="00F7433C" w:rsidRPr="009C5BC2" w:rsidRDefault="00F7433C">
      <w:pPr>
        <w:pStyle w:val="FootnoteText"/>
        <w:rPr>
          <w:rFonts w:ascii="Times New Roman" w:hAnsi="Times New Roman" w:cs="Times New Roman"/>
        </w:rPr>
      </w:pPr>
      <w:r w:rsidRPr="009C5BC2">
        <w:rPr>
          <w:rStyle w:val="FootnoteReference"/>
          <w:rFonts w:ascii="Times New Roman" w:hAnsi="Times New Roman" w:cs="Times New Roman"/>
        </w:rPr>
        <w:footnoteRef/>
      </w:r>
      <w:r w:rsidR="00BB6FEB">
        <w:rPr>
          <w:rFonts w:ascii="Times New Roman" w:hAnsi="Times New Roman" w:cs="Times New Roman"/>
        </w:rPr>
        <w:t xml:space="preserve"> Choudhry (n 10</w:t>
      </w:r>
      <w:r w:rsidRPr="009C5BC2">
        <w:rPr>
          <w:rFonts w:ascii="Times New Roman" w:hAnsi="Times New Roman" w:cs="Times New Roman"/>
        </w:rPr>
        <w:t>)</w:t>
      </w:r>
    </w:p>
  </w:footnote>
  <w:footnote w:id="53">
    <w:p w14:paraId="7A39F8BD" w14:textId="354960D5" w:rsidR="00F7433C" w:rsidRPr="000C7D7F" w:rsidRDefault="00F7433C" w:rsidP="000C7D7F">
      <w:pPr>
        <w:pStyle w:val="Heading2"/>
        <w:shd w:val="clear" w:color="auto" w:fill="FFFFFF"/>
        <w:spacing w:before="75" w:after="150"/>
        <w:rPr>
          <w:rFonts w:ascii="Times New Roman" w:hAnsi="Times New Roman" w:cs="Times New Roman"/>
          <w:b w:val="0"/>
          <w:i/>
          <w:sz w:val="20"/>
          <w:szCs w:val="20"/>
        </w:rPr>
      </w:pPr>
      <w:r w:rsidRPr="000C7D7F">
        <w:rPr>
          <w:rStyle w:val="FootnoteReference"/>
          <w:rFonts w:ascii="Times New Roman" w:hAnsi="Times New Roman" w:cs="Times New Roman"/>
          <w:b w:val="0"/>
          <w:color w:val="auto"/>
          <w:sz w:val="20"/>
          <w:szCs w:val="20"/>
        </w:rPr>
        <w:footnoteRef/>
      </w:r>
      <w:r w:rsidRPr="000C7D7F">
        <w:rPr>
          <w:rFonts w:ascii="Times New Roman" w:hAnsi="Times New Roman" w:cs="Times New Roman"/>
          <w:b w:val="0"/>
          <w:color w:val="auto"/>
          <w:sz w:val="20"/>
          <w:szCs w:val="20"/>
        </w:rPr>
        <w:t xml:space="preserve"> </w:t>
      </w:r>
      <w:r w:rsidRPr="000C7D7F">
        <w:rPr>
          <w:rFonts w:ascii="Times New Roman" w:eastAsia="Times New Roman" w:hAnsi="Times New Roman" w:cs="Times New Roman"/>
          <w:b w:val="0"/>
          <w:bCs w:val="0"/>
          <w:color w:val="auto"/>
          <w:sz w:val="20"/>
          <w:szCs w:val="20"/>
        </w:rPr>
        <w:t xml:space="preserve">Convention of 25 October 1980 on the Civil Aspects of International Child Abduction; </w:t>
      </w:r>
      <w:r w:rsidRPr="000C7D7F">
        <w:rPr>
          <w:rFonts w:ascii="Times New Roman" w:hAnsi="Times New Roman" w:cs="Times New Roman"/>
          <w:b w:val="0"/>
          <w:color w:val="auto"/>
          <w:sz w:val="20"/>
          <w:szCs w:val="20"/>
        </w:rPr>
        <w:t xml:space="preserve">Council Regulation (EC) No 2201/2003 of 27 November 2003 concerning jurisdiction and the recognition and enforcement of judgments in matrimonial matters and the matters of parental responsibility, OJ L 338/6, Art </w:t>
      </w:r>
      <w:r>
        <w:rPr>
          <w:rFonts w:ascii="Times New Roman" w:hAnsi="Times New Roman" w:cs="Times New Roman"/>
          <w:b w:val="0"/>
          <w:color w:val="auto"/>
          <w:sz w:val="20"/>
          <w:szCs w:val="20"/>
        </w:rPr>
        <w:t xml:space="preserve">1. </w:t>
      </w:r>
    </w:p>
  </w:footnote>
  <w:footnote w:id="54">
    <w:p w14:paraId="2CF3BDF7" w14:textId="6C118B63" w:rsidR="00F7433C" w:rsidRPr="00203F97" w:rsidRDefault="00F7433C" w:rsidP="006D6BD4">
      <w:pPr>
        <w:pStyle w:val="NoSpacing"/>
        <w:rPr>
          <w:sz w:val="20"/>
          <w:szCs w:val="20"/>
        </w:rPr>
      </w:pPr>
      <w:r w:rsidRPr="00203F97">
        <w:rPr>
          <w:rStyle w:val="FootnoteReference"/>
          <w:sz w:val="20"/>
          <w:szCs w:val="20"/>
        </w:rPr>
        <w:footnoteRef/>
      </w:r>
      <w:r w:rsidRPr="00203F97">
        <w:rPr>
          <w:sz w:val="20"/>
          <w:szCs w:val="20"/>
        </w:rPr>
        <w:t xml:space="preserve"> For a very recent empirical insight into the complexities of disentangling children’s interests from those of their parents, see </w:t>
      </w:r>
      <w:r w:rsidR="00574D08">
        <w:rPr>
          <w:sz w:val="20"/>
          <w:szCs w:val="20"/>
        </w:rPr>
        <w:t xml:space="preserve">R </w:t>
      </w:r>
      <w:r w:rsidRPr="00203F97">
        <w:rPr>
          <w:sz w:val="20"/>
          <w:szCs w:val="20"/>
        </w:rPr>
        <w:t xml:space="preserve">George, </w:t>
      </w:r>
      <w:r w:rsidR="00574D08">
        <w:rPr>
          <w:sz w:val="20"/>
          <w:szCs w:val="20"/>
        </w:rPr>
        <w:t xml:space="preserve">A </w:t>
      </w:r>
      <w:r w:rsidRPr="00203F97">
        <w:rPr>
          <w:sz w:val="20"/>
          <w:szCs w:val="20"/>
        </w:rPr>
        <w:t>Gallwey</w:t>
      </w:r>
      <w:r w:rsidR="00574D08">
        <w:rPr>
          <w:sz w:val="20"/>
          <w:szCs w:val="20"/>
        </w:rPr>
        <w:t xml:space="preserve"> </w:t>
      </w:r>
      <w:r w:rsidRPr="00203F97">
        <w:rPr>
          <w:sz w:val="20"/>
          <w:szCs w:val="20"/>
        </w:rPr>
        <w:t xml:space="preserve">and </w:t>
      </w:r>
      <w:r w:rsidR="00574D08">
        <w:rPr>
          <w:sz w:val="20"/>
          <w:szCs w:val="20"/>
        </w:rPr>
        <w:t xml:space="preserve">K </w:t>
      </w:r>
      <w:r w:rsidRPr="00203F97">
        <w:rPr>
          <w:sz w:val="20"/>
          <w:szCs w:val="20"/>
        </w:rPr>
        <w:t xml:space="preserve">Bader ‘How Do Parents Experience Relocation Disputes in the Family Courts?’ </w:t>
      </w:r>
      <w:proofErr w:type="gramStart"/>
      <w:r w:rsidRPr="00203F97">
        <w:rPr>
          <w:sz w:val="20"/>
          <w:szCs w:val="20"/>
        </w:rPr>
        <w:t xml:space="preserve">(2016) </w:t>
      </w:r>
      <w:r w:rsidR="00574D08" w:rsidRPr="00203F97">
        <w:rPr>
          <w:sz w:val="20"/>
          <w:szCs w:val="20"/>
        </w:rPr>
        <w:t xml:space="preserve">38(4) </w:t>
      </w:r>
      <w:r w:rsidRPr="00203F97">
        <w:rPr>
          <w:i/>
          <w:sz w:val="20"/>
          <w:szCs w:val="20"/>
        </w:rPr>
        <w:t>Journal of Social Welfare and Family Law</w:t>
      </w:r>
      <w:r w:rsidRPr="00203F97">
        <w:rPr>
          <w:sz w:val="20"/>
          <w:szCs w:val="20"/>
        </w:rPr>
        <w:t>, forthcoming</w:t>
      </w:r>
      <w:r w:rsidR="00574D08">
        <w:rPr>
          <w:sz w:val="20"/>
          <w:szCs w:val="20"/>
        </w:rPr>
        <w:t>.</w:t>
      </w:r>
      <w:proofErr w:type="gramEnd"/>
      <w:r w:rsidR="00574D08">
        <w:rPr>
          <w:sz w:val="20"/>
          <w:szCs w:val="20"/>
        </w:rPr>
        <w:t xml:space="preserve"> </w:t>
      </w:r>
    </w:p>
  </w:footnote>
  <w:footnote w:id="55">
    <w:p w14:paraId="6825CFA4" w14:textId="5A5E1476" w:rsidR="00F7433C" w:rsidRPr="00203F97" w:rsidRDefault="00F7433C" w:rsidP="006D6BD4">
      <w:pPr>
        <w:pStyle w:val="NoSpacing"/>
        <w:rPr>
          <w:sz w:val="20"/>
          <w:szCs w:val="20"/>
        </w:rPr>
      </w:pPr>
      <w:r w:rsidRPr="00203F97">
        <w:rPr>
          <w:rStyle w:val="FootnoteReference"/>
          <w:sz w:val="20"/>
          <w:szCs w:val="20"/>
        </w:rPr>
        <w:footnoteRef/>
      </w:r>
      <w:r w:rsidRPr="00203F97">
        <w:rPr>
          <w:sz w:val="20"/>
          <w:szCs w:val="20"/>
        </w:rPr>
        <w:t xml:space="preserve"> </w:t>
      </w:r>
      <w:r w:rsidR="00D7344A">
        <w:rPr>
          <w:sz w:val="20"/>
          <w:szCs w:val="20"/>
        </w:rPr>
        <w:t xml:space="preserve">G </w:t>
      </w:r>
      <w:proofErr w:type="spellStart"/>
      <w:proofErr w:type="gramStart"/>
      <w:r w:rsidRPr="00203F97">
        <w:rPr>
          <w:sz w:val="20"/>
          <w:szCs w:val="20"/>
        </w:rPr>
        <w:t>Mannion</w:t>
      </w:r>
      <w:proofErr w:type="spellEnd"/>
      <w:r w:rsidR="00D7344A">
        <w:rPr>
          <w:sz w:val="20"/>
          <w:szCs w:val="20"/>
        </w:rPr>
        <w:t xml:space="preserve"> </w:t>
      </w:r>
      <w:r w:rsidRPr="00203F97">
        <w:rPr>
          <w:sz w:val="20"/>
          <w:szCs w:val="20"/>
        </w:rPr>
        <w:t xml:space="preserve"> ‘Going</w:t>
      </w:r>
      <w:proofErr w:type="gramEnd"/>
      <w:r w:rsidRPr="00203F97">
        <w:rPr>
          <w:sz w:val="20"/>
          <w:szCs w:val="20"/>
        </w:rPr>
        <w:t xml:space="preserve"> Spatial, Going Relational: Why “listening to children” and children's participation needs reframing’, </w:t>
      </w:r>
      <w:r w:rsidR="00D7344A" w:rsidRPr="00203F97">
        <w:rPr>
          <w:sz w:val="20"/>
          <w:szCs w:val="20"/>
        </w:rPr>
        <w:t xml:space="preserve">(2007) 28(3) </w:t>
      </w:r>
      <w:r w:rsidRPr="00203F97">
        <w:rPr>
          <w:i/>
          <w:sz w:val="20"/>
          <w:szCs w:val="20"/>
        </w:rPr>
        <w:t>Discourse: Studies in the Cultural Politics of Education</w:t>
      </w:r>
      <w:r w:rsidR="00D7344A">
        <w:rPr>
          <w:sz w:val="20"/>
          <w:szCs w:val="20"/>
        </w:rPr>
        <w:t xml:space="preserve"> </w:t>
      </w:r>
      <w:r w:rsidRPr="00203F97">
        <w:rPr>
          <w:sz w:val="20"/>
          <w:szCs w:val="20"/>
        </w:rPr>
        <w:t>405</w:t>
      </w:r>
      <w:r w:rsidR="00D7344A">
        <w:rPr>
          <w:sz w:val="20"/>
          <w:szCs w:val="20"/>
        </w:rPr>
        <w:t xml:space="preserve">. </w:t>
      </w:r>
    </w:p>
  </w:footnote>
  <w:footnote w:id="56">
    <w:p w14:paraId="700EB13A" w14:textId="257CA9D6" w:rsidR="00F7433C" w:rsidRPr="00203F97" w:rsidRDefault="00F7433C" w:rsidP="00E30821">
      <w:pPr>
        <w:pStyle w:val="NoSpacing"/>
      </w:pPr>
      <w:r w:rsidRPr="00E30821">
        <w:rPr>
          <w:rStyle w:val="FootnoteReference"/>
          <w:sz w:val="20"/>
          <w:szCs w:val="20"/>
        </w:rPr>
        <w:footnoteRef/>
      </w:r>
      <w:r w:rsidR="007F383D" w:rsidRPr="00E30821">
        <w:rPr>
          <w:i/>
          <w:sz w:val="20"/>
          <w:szCs w:val="20"/>
        </w:rPr>
        <w:t xml:space="preserve"> </w:t>
      </w:r>
      <w:proofErr w:type="gramStart"/>
      <w:r w:rsidRPr="00E30821">
        <w:rPr>
          <w:i/>
          <w:sz w:val="20"/>
          <w:szCs w:val="20"/>
        </w:rPr>
        <w:t>ZH v (Tanzania) (FC) v Secretary of State for the Home Department</w:t>
      </w:r>
      <w:r w:rsidRPr="00E30821">
        <w:rPr>
          <w:sz w:val="20"/>
          <w:szCs w:val="20"/>
        </w:rPr>
        <w:t xml:space="preserve"> [2011] UKSC 4.</w:t>
      </w:r>
      <w:proofErr w:type="gramEnd"/>
      <w:r w:rsidRPr="00E30821">
        <w:rPr>
          <w:sz w:val="20"/>
          <w:szCs w:val="20"/>
        </w:rPr>
        <w:t xml:space="preserve"> See also </w:t>
      </w:r>
      <w:r w:rsidRPr="007F383D">
        <w:rPr>
          <w:rStyle w:val="fontstyle01"/>
          <w:rFonts w:ascii="Times New Roman" w:hAnsi="Times New Roman"/>
          <w:color w:val="auto"/>
          <w:sz w:val="20"/>
          <w:szCs w:val="20"/>
        </w:rPr>
        <w:t>Section 55 of the Borders, Citizenship and Immigration Act 2009</w:t>
      </w:r>
      <w:r w:rsidRPr="007F383D">
        <w:rPr>
          <w:rStyle w:val="FootnoteReference1"/>
          <w:color w:val="auto"/>
          <w:szCs w:val="20"/>
        </w:rPr>
        <w:t xml:space="preserve"> </w:t>
      </w:r>
      <w:r w:rsidRPr="007F383D">
        <w:rPr>
          <w:rStyle w:val="fontstyle01"/>
          <w:rFonts w:ascii="Times New Roman" w:hAnsi="Times New Roman"/>
          <w:color w:val="auto"/>
          <w:sz w:val="20"/>
          <w:szCs w:val="20"/>
        </w:rPr>
        <w:t>which imposes a statutory duty on the Secretary of State and tho</w:t>
      </w:r>
      <w:r w:rsidRPr="00055E88">
        <w:rPr>
          <w:rStyle w:val="fontstyle01"/>
          <w:rFonts w:ascii="Times New Roman" w:hAnsi="Times New Roman"/>
          <w:color w:val="auto"/>
          <w:sz w:val="20"/>
          <w:szCs w:val="20"/>
        </w:rPr>
        <w:t>se acting on his behalf to ensure that all decisions relating to entry and residence of immigrants safeguard and promote the welfare of any children concerned</w:t>
      </w:r>
      <w:proofErr w:type="gramStart"/>
      <w:r w:rsidRPr="00055E88">
        <w:rPr>
          <w:rStyle w:val="fontstyle01"/>
          <w:rFonts w:ascii="Times New Roman" w:hAnsi="Times New Roman"/>
          <w:color w:val="auto"/>
          <w:sz w:val="20"/>
          <w:szCs w:val="20"/>
        </w:rPr>
        <w:t>.</w:t>
      </w:r>
      <w:r w:rsidRPr="00E30821">
        <w:rPr>
          <w:sz w:val="20"/>
          <w:szCs w:val="20"/>
        </w:rPr>
        <w:t>.</w:t>
      </w:r>
      <w:proofErr w:type="gramEnd"/>
    </w:p>
  </w:footnote>
  <w:footnote w:id="57">
    <w:p w14:paraId="78468621" w14:textId="7E0B6A22" w:rsidR="00F7433C" w:rsidRPr="00203F97" w:rsidRDefault="00F7433C">
      <w:pPr>
        <w:pStyle w:val="FootnoteText"/>
        <w:rPr>
          <w:rFonts w:ascii="Times New Roman" w:hAnsi="Times New Roman" w:cs="Times New Roman"/>
        </w:rPr>
      </w:pPr>
      <w:r w:rsidRPr="00203F97">
        <w:rPr>
          <w:rStyle w:val="FootnoteReference"/>
          <w:rFonts w:ascii="Times New Roman" w:hAnsi="Times New Roman" w:cs="Times New Roman"/>
        </w:rPr>
        <w:footnoteRef/>
      </w:r>
      <w:r w:rsidRPr="00203F97">
        <w:rPr>
          <w:rFonts w:ascii="Times New Roman" w:hAnsi="Times New Roman" w:cs="Times New Roman"/>
        </w:rPr>
        <w:t xml:space="preserve"> See for example </w:t>
      </w:r>
      <w:r w:rsidRPr="00203F97">
        <w:rPr>
          <w:rStyle w:val="sb8d990e2"/>
          <w:rFonts w:ascii="Times New Roman" w:hAnsi="Times New Roman" w:cs="Times New Roman"/>
          <w:i/>
          <w:shd w:val="clear" w:color="auto" w:fill="FFFFFF"/>
        </w:rPr>
        <w:t>Nunez v. Norway</w:t>
      </w:r>
      <w:r w:rsidRPr="00203F97">
        <w:rPr>
          <w:rStyle w:val="sb8d990e2"/>
          <w:rFonts w:ascii="Times New Roman" w:hAnsi="Times New Roman" w:cs="Times New Roman"/>
          <w:shd w:val="clear" w:color="auto" w:fill="FFFFFF"/>
        </w:rPr>
        <w:t xml:space="preserve">, Application no.55597/09, ECtHR Judgment of </w:t>
      </w:r>
      <w:r w:rsidRPr="00203F97">
        <w:rPr>
          <w:rFonts w:ascii="Times New Roman" w:hAnsi="Times New Roman" w:cs="Times New Roman"/>
        </w:rPr>
        <w:t>28 June 2011</w:t>
      </w:r>
    </w:p>
  </w:footnote>
  <w:footnote w:id="58">
    <w:p w14:paraId="76BBD81B" w14:textId="1C5AFDAC" w:rsidR="00F7433C" w:rsidRPr="009C5BC2" w:rsidRDefault="00F7433C" w:rsidP="00552846">
      <w:pPr>
        <w:autoSpaceDE w:val="0"/>
        <w:autoSpaceDN w:val="0"/>
        <w:adjustRightInd w:val="0"/>
        <w:spacing w:after="0" w:line="240" w:lineRule="auto"/>
        <w:rPr>
          <w:rFonts w:ascii="Times New Roman" w:hAnsi="Times New Roman" w:cs="Times New Roman"/>
          <w:sz w:val="20"/>
          <w:szCs w:val="20"/>
        </w:rPr>
      </w:pPr>
      <w:r w:rsidRPr="00203F97">
        <w:rPr>
          <w:rStyle w:val="FootnoteReference"/>
          <w:rFonts w:ascii="Times New Roman" w:hAnsi="Times New Roman" w:cs="Times New Roman"/>
          <w:sz w:val="20"/>
          <w:szCs w:val="20"/>
        </w:rPr>
        <w:footnoteRef/>
      </w:r>
      <w:r w:rsidR="00574D08">
        <w:rPr>
          <w:rFonts w:ascii="Times New Roman" w:hAnsi="Times New Roman" w:cs="Times New Roman"/>
          <w:sz w:val="20"/>
          <w:szCs w:val="20"/>
        </w:rPr>
        <w:t xml:space="preserve"> See further H</w:t>
      </w:r>
      <w:r w:rsidRPr="00203F97">
        <w:rPr>
          <w:rFonts w:ascii="Times New Roman" w:hAnsi="Times New Roman" w:cs="Times New Roman"/>
          <w:sz w:val="20"/>
          <w:szCs w:val="20"/>
        </w:rPr>
        <w:t xml:space="preserve"> Wray, “</w:t>
      </w:r>
      <w:r w:rsidRPr="00203F97">
        <w:rPr>
          <w:rFonts w:ascii="Times New Roman" w:hAnsi="Times New Roman" w:cs="Times New Roman"/>
          <w:bCs/>
          <w:sz w:val="20"/>
          <w:szCs w:val="20"/>
        </w:rPr>
        <w:t>Greater than the sum of their parts: UK Supreme Court decisions on family migration”</w:t>
      </w:r>
      <w:r w:rsidRPr="00203F97">
        <w:rPr>
          <w:rFonts w:ascii="Times New Roman" w:hAnsi="Times New Roman" w:cs="Times New Roman"/>
          <w:b/>
          <w:bCs/>
          <w:sz w:val="20"/>
          <w:szCs w:val="20"/>
        </w:rPr>
        <w:t>,</w:t>
      </w:r>
      <w:r w:rsidR="00574D08">
        <w:rPr>
          <w:rFonts w:ascii="Times New Roman" w:hAnsi="Times New Roman" w:cs="Times New Roman"/>
          <w:bCs/>
          <w:sz w:val="20"/>
          <w:szCs w:val="20"/>
        </w:rPr>
        <w:t xml:space="preserve"> in M </w:t>
      </w:r>
      <w:proofErr w:type="spellStart"/>
      <w:r w:rsidRPr="00203F97">
        <w:rPr>
          <w:rFonts w:ascii="Times New Roman" w:hAnsi="Times New Roman" w:cs="Times New Roman"/>
          <w:bCs/>
          <w:sz w:val="20"/>
          <w:szCs w:val="20"/>
        </w:rPr>
        <w:t>Sunkin</w:t>
      </w:r>
      <w:proofErr w:type="spellEnd"/>
      <w:r w:rsidRPr="00203F97">
        <w:rPr>
          <w:rFonts w:ascii="Times New Roman" w:hAnsi="Times New Roman" w:cs="Times New Roman"/>
          <w:bCs/>
          <w:sz w:val="20"/>
          <w:szCs w:val="20"/>
        </w:rPr>
        <w:t xml:space="preserve"> (ed.) </w:t>
      </w:r>
      <w:r w:rsidRPr="00203F97">
        <w:rPr>
          <w:rFonts w:ascii="Times New Roman" w:hAnsi="Times New Roman" w:cs="Times New Roman"/>
          <w:bCs/>
          <w:i/>
          <w:sz w:val="20"/>
          <w:szCs w:val="20"/>
        </w:rPr>
        <w:t>Public Law</w:t>
      </w:r>
      <w:r w:rsidRPr="00203F97">
        <w:rPr>
          <w:rFonts w:ascii="Times New Roman" w:hAnsi="Times New Roman" w:cs="Times New Roman"/>
          <w:bCs/>
          <w:sz w:val="20"/>
          <w:szCs w:val="20"/>
        </w:rPr>
        <w:t xml:space="preserve"> </w:t>
      </w:r>
      <w:r w:rsidR="00574D08">
        <w:rPr>
          <w:rFonts w:ascii="Times New Roman" w:hAnsi="Times New Roman" w:cs="Times New Roman"/>
          <w:bCs/>
          <w:sz w:val="20"/>
          <w:szCs w:val="20"/>
        </w:rPr>
        <w:t>(</w:t>
      </w:r>
      <w:r w:rsidRPr="00203F97">
        <w:rPr>
          <w:rFonts w:ascii="Times New Roman" w:hAnsi="Times New Roman" w:cs="Times New Roman"/>
          <w:bCs/>
          <w:sz w:val="20"/>
          <w:szCs w:val="20"/>
        </w:rPr>
        <w:t>Sw</w:t>
      </w:r>
      <w:r w:rsidR="00574D08">
        <w:rPr>
          <w:rFonts w:ascii="Times New Roman" w:hAnsi="Times New Roman" w:cs="Times New Roman"/>
          <w:bCs/>
          <w:sz w:val="20"/>
          <w:szCs w:val="20"/>
        </w:rPr>
        <w:t>eet &amp; Maxwell</w:t>
      </w:r>
      <w:r w:rsidRPr="00203F97">
        <w:rPr>
          <w:rFonts w:ascii="Times New Roman" w:hAnsi="Times New Roman" w:cs="Times New Roman"/>
          <w:bCs/>
          <w:sz w:val="20"/>
          <w:szCs w:val="20"/>
        </w:rPr>
        <w:t xml:space="preserve"> 2016</w:t>
      </w:r>
      <w:r w:rsidR="00574D08">
        <w:rPr>
          <w:rFonts w:ascii="Times New Roman" w:hAnsi="Times New Roman" w:cs="Times New Roman"/>
          <w:bCs/>
          <w:sz w:val="20"/>
          <w:szCs w:val="20"/>
        </w:rPr>
        <w:t>) at</w:t>
      </w:r>
      <w:r w:rsidR="00CD2E65">
        <w:rPr>
          <w:rFonts w:ascii="Times New Roman" w:hAnsi="Times New Roman" w:cs="Times New Roman"/>
          <w:bCs/>
          <w:sz w:val="20"/>
          <w:szCs w:val="20"/>
        </w:rPr>
        <w:t xml:space="preserve"> </w:t>
      </w:r>
      <w:r w:rsidRPr="00203F97">
        <w:rPr>
          <w:rFonts w:ascii="Times New Roman" w:hAnsi="Times New Roman" w:cs="Times New Roman"/>
          <w:bCs/>
          <w:sz w:val="20"/>
          <w:szCs w:val="20"/>
        </w:rPr>
        <w:t>839</w:t>
      </w:r>
    </w:p>
  </w:footnote>
  <w:footnote w:id="59">
    <w:p w14:paraId="5CA61B0D" w14:textId="77777777" w:rsidR="00203F97" w:rsidRPr="00203F97" w:rsidRDefault="00203F97" w:rsidP="00203F97">
      <w:pPr>
        <w:pStyle w:val="FootnoteText"/>
        <w:rPr>
          <w:rFonts w:ascii="Times New Roman" w:hAnsi="Times New Roman" w:cs="Times New Roman"/>
        </w:rPr>
      </w:pPr>
      <w:r w:rsidRPr="00203F97">
        <w:rPr>
          <w:rStyle w:val="FootnoteReference"/>
          <w:rFonts w:ascii="Times New Roman" w:hAnsi="Times New Roman" w:cs="Times New Roman"/>
        </w:rPr>
        <w:footnoteRef/>
      </w:r>
      <w:r w:rsidRPr="00203F97">
        <w:rPr>
          <w:rFonts w:ascii="Times New Roman" w:hAnsi="Times New Roman" w:cs="Times New Roman"/>
        </w:rPr>
        <w:t xml:space="preserve"> H </w:t>
      </w:r>
      <w:proofErr w:type="spellStart"/>
      <w:r w:rsidRPr="00203F97">
        <w:rPr>
          <w:rFonts w:ascii="Times New Roman" w:hAnsi="Times New Roman" w:cs="Times New Roman"/>
        </w:rPr>
        <w:t>Stalford</w:t>
      </w:r>
      <w:proofErr w:type="spellEnd"/>
      <w:r w:rsidRPr="00203F97">
        <w:rPr>
          <w:rFonts w:ascii="Times New Roman" w:hAnsi="Times New Roman" w:cs="Times New Roman"/>
        </w:rPr>
        <w:t xml:space="preserve"> and S Woodhouse ‘</w:t>
      </w:r>
      <w:r w:rsidRPr="00203F97">
        <w:rPr>
          <w:rFonts w:ascii="Times New Roman" w:hAnsi="Times New Roman" w:cs="Times New Roman"/>
          <w:i/>
          <w:iCs/>
          <w:shd w:val="clear" w:color="auto" w:fill="FFFFFF"/>
        </w:rPr>
        <w:t>Rights realised or Rights defeated</w:t>
      </w:r>
      <w:proofErr w:type="gramStart"/>
      <w:r w:rsidRPr="00203F97">
        <w:rPr>
          <w:rFonts w:ascii="Times New Roman" w:hAnsi="Times New Roman" w:cs="Times New Roman"/>
          <w:i/>
          <w:iCs/>
          <w:shd w:val="clear" w:color="auto" w:fill="FFFFFF"/>
        </w:rPr>
        <w:t>?:</w:t>
      </w:r>
      <w:proofErr w:type="gramEnd"/>
      <w:r w:rsidRPr="00203F97">
        <w:rPr>
          <w:rFonts w:ascii="Times New Roman" w:hAnsi="Times New Roman" w:cs="Times New Roman"/>
          <w:i/>
          <w:iCs/>
          <w:shd w:val="clear" w:color="auto" w:fill="FFFFFF"/>
        </w:rPr>
        <w:t xml:space="preserve"> Responses to Family Migration in the UK’ </w:t>
      </w:r>
      <w:r w:rsidRPr="00203F97">
        <w:rPr>
          <w:rFonts w:ascii="Times New Roman" w:hAnsi="Times New Roman" w:cs="Times New Roman"/>
          <w:iCs/>
          <w:shd w:val="clear" w:color="auto" w:fill="FFFFFF"/>
        </w:rPr>
        <w:t xml:space="preserve">in J </w:t>
      </w:r>
      <w:proofErr w:type="spellStart"/>
      <w:r w:rsidRPr="00203F97">
        <w:rPr>
          <w:rFonts w:ascii="Times New Roman" w:hAnsi="Times New Roman" w:cs="Times New Roman"/>
          <w:iCs/>
          <w:shd w:val="clear" w:color="auto" w:fill="FFFFFF"/>
        </w:rPr>
        <w:t>Eekelaar</w:t>
      </w:r>
      <w:proofErr w:type="spellEnd"/>
      <w:r w:rsidRPr="00203F97">
        <w:rPr>
          <w:rFonts w:ascii="Times New Roman" w:hAnsi="Times New Roman" w:cs="Times New Roman"/>
        </w:rPr>
        <w:t xml:space="preserve"> </w:t>
      </w:r>
      <w:r w:rsidRPr="00203F97">
        <w:rPr>
          <w:rStyle w:val="apple-converted-space"/>
          <w:rFonts w:ascii="Times New Roman" w:hAnsi="Times New Roman" w:cs="Times New Roman"/>
          <w:shd w:val="clear" w:color="auto" w:fill="FFFFFF"/>
        </w:rPr>
        <w:t> </w:t>
      </w:r>
      <w:r w:rsidRPr="00203F97">
        <w:rPr>
          <w:rFonts w:ascii="Times New Roman" w:hAnsi="Times New Roman" w:cs="Times New Roman"/>
          <w:i/>
          <w:iCs/>
          <w:shd w:val="clear" w:color="auto" w:fill="FFFFFF"/>
        </w:rPr>
        <w:t xml:space="preserve">Family Law in Britain and America in the New Century: Essays in </w:t>
      </w:r>
      <w:proofErr w:type="spellStart"/>
      <w:r w:rsidRPr="00203F97">
        <w:rPr>
          <w:rFonts w:ascii="Times New Roman" w:hAnsi="Times New Roman" w:cs="Times New Roman"/>
          <w:i/>
          <w:iCs/>
          <w:shd w:val="clear" w:color="auto" w:fill="FFFFFF"/>
        </w:rPr>
        <w:t>Honor</w:t>
      </w:r>
      <w:proofErr w:type="spellEnd"/>
      <w:r w:rsidRPr="00203F97">
        <w:rPr>
          <w:rFonts w:ascii="Times New Roman" w:hAnsi="Times New Roman" w:cs="Times New Roman"/>
          <w:i/>
          <w:iCs/>
          <w:shd w:val="clear" w:color="auto" w:fill="FFFFFF"/>
        </w:rPr>
        <w:t xml:space="preserve"> of Sanford N. Katz </w:t>
      </w:r>
      <w:r w:rsidRPr="00203F97">
        <w:rPr>
          <w:rFonts w:ascii="Times New Roman" w:hAnsi="Times New Roman" w:cs="Times New Roman"/>
          <w:iCs/>
          <w:shd w:val="clear" w:color="auto" w:fill="FFFFFF"/>
        </w:rPr>
        <w:t>(</w:t>
      </w:r>
      <w:hyperlink r:id="rId2" w:history="1">
        <w:r w:rsidRPr="00203F97">
          <w:rPr>
            <w:rStyle w:val="Hyperlink"/>
            <w:rFonts w:ascii="Times New Roman" w:hAnsi="Times New Roman" w:cs="Times New Roman"/>
            <w:color w:val="auto"/>
            <w:u w:val="none"/>
            <w:shd w:val="clear" w:color="auto" w:fill="FFFFFF"/>
          </w:rPr>
          <w:t xml:space="preserve">Brill </w:t>
        </w:r>
        <w:proofErr w:type="spellStart"/>
        <w:r w:rsidRPr="00203F97">
          <w:rPr>
            <w:rStyle w:val="Hyperlink"/>
            <w:rFonts w:ascii="Times New Roman" w:hAnsi="Times New Roman" w:cs="Times New Roman"/>
            <w:color w:val="auto"/>
            <w:u w:val="none"/>
            <w:shd w:val="clear" w:color="auto" w:fill="FFFFFF"/>
          </w:rPr>
          <w:t>Nijhoff</w:t>
        </w:r>
        <w:proofErr w:type="spellEnd"/>
      </w:hyperlink>
      <w:r w:rsidRPr="00203F97">
        <w:rPr>
          <w:rFonts w:ascii="Times New Roman" w:hAnsi="Times New Roman" w:cs="Times New Roman"/>
        </w:rPr>
        <w:t xml:space="preserve"> </w:t>
      </w:r>
      <w:r w:rsidRPr="00203F97">
        <w:rPr>
          <w:rFonts w:ascii="Times New Roman" w:hAnsi="Times New Roman" w:cs="Times New Roman"/>
          <w:iCs/>
          <w:shd w:val="clear" w:color="auto" w:fill="FFFFFF"/>
        </w:rPr>
        <w:t>2016</w:t>
      </w:r>
      <w:r w:rsidRPr="00203F97">
        <w:rPr>
          <w:rFonts w:ascii="Times New Roman" w:hAnsi="Times New Roman" w:cs="Times New Roman"/>
        </w:rPr>
        <w:t xml:space="preserve">) 265. Subsequent cases reinforce this point. See </w:t>
      </w:r>
      <w:r w:rsidRPr="00203F97">
        <w:rPr>
          <w:rFonts w:ascii="Times New Roman" w:hAnsi="Times New Roman" w:cs="Times New Roman"/>
          <w:i/>
        </w:rPr>
        <w:t>H (H) v Deputy Prosecutor of the Italian Republic, Genoa</w:t>
      </w:r>
      <w:r w:rsidRPr="00203F97">
        <w:rPr>
          <w:rFonts w:ascii="Times New Roman" w:hAnsi="Times New Roman" w:cs="Times New Roman"/>
        </w:rPr>
        <w:t xml:space="preserve"> [2012] UKSC 25 (per Lord Kerr at paragraph 98);</w:t>
      </w:r>
      <w:r w:rsidRPr="00203F97">
        <w:rPr>
          <w:rStyle w:val="Emphasis"/>
          <w:rFonts w:ascii="Times New Roman" w:hAnsi="Times New Roman" w:cs="Times New Roman"/>
        </w:rPr>
        <w:t xml:space="preserve"> JO and Others (section 55 duty) Nigeria</w:t>
      </w:r>
      <w:r w:rsidRPr="00203F97">
        <w:rPr>
          <w:rFonts w:ascii="Times New Roman" w:hAnsi="Times New Roman" w:cs="Times New Roman"/>
        </w:rPr>
        <w:t xml:space="preserve"> [2014] UKUT 517 (IAC); </w:t>
      </w:r>
      <w:r w:rsidRPr="00203F97">
        <w:rPr>
          <w:rStyle w:val="Emphasis"/>
          <w:rFonts w:ascii="Times New Roman" w:hAnsi="Times New Roman" w:cs="Times New Roman"/>
        </w:rPr>
        <w:t>MK (section 55 – Tribunal options)</w:t>
      </w:r>
      <w:r w:rsidRPr="00203F97">
        <w:rPr>
          <w:rFonts w:ascii="Times New Roman" w:hAnsi="Times New Roman" w:cs="Times New Roman"/>
        </w:rPr>
        <w:t xml:space="preserve"> </w:t>
      </w:r>
      <w:hyperlink r:id="rId3" w:tgtFrame="_blank" w:history="1">
        <w:r w:rsidRPr="00203F97">
          <w:rPr>
            <w:rFonts w:ascii="Times New Roman" w:hAnsi="Times New Roman" w:cs="Times New Roman"/>
          </w:rPr>
          <w:t>[2015] UKUT 223 (IAC)</w:t>
        </w:r>
      </w:hyperlink>
      <w:r w:rsidRPr="00203F97">
        <w:rPr>
          <w:rFonts w:ascii="Times New Roman" w:hAnsi="Times New Roman" w:cs="Times New Roman"/>
        </w:rPr>
        <w:t xml:space="preserve">; and </w:t>
      </w:r>
      <w:r w:rsidRPr="00203F97">
        <w:rPr>
          <w:rStyle w:val="Emphasis"/>
          <w:rFonts w:ascii="Times New Roman" w:hAnsi="Times New Roman" w:cs="Times New Roman"/>
        </w:rPr>
        <w:t xml:space="preserve">EV (Philippines) &amp; </w:t>
      </w:r>
      <w:proofErr w:type="spellStart"/>
      <w:r w:rsidRPr="00203F97">
        <w:rPr>
          <w:rStyle w:val="Emphasis"/>
          <w:rFonts w:ascii="Times New Roman" w:hAnsi="Times New Roman" w:cs="Times New Roman"/>
        </w:rPr>
        <w:t>Ors</w:t>
      </w:r>
      <w:proofErr w:type="spellEnd"/>
      <w:r w:rsidRPr="00203F97">
        <w:rPr>
          <w:rStyle w:val="Emphasis"/>
          <w:rFonts w:ascii="Times New Roman" w:hAnsi="Times New Roman" w:cs="Times New Roman"/>
        </w:rPr>
        <w:t xml:space="preserve"> v Secretary of State for the Home Department</w:t>
      </w:r>
      <w:r w:rsidRPr="00203F97">
        <w:rPr>
          <w:rFonts w:ascii="Times New Roman" w:hAnsi="Times New Roman" w:cs="Times New Roman"/>
        </w:rPr>
        <w:t xml:space="preserve"> </w:t>
      </w:r>
      <w:hyperlink r:id="rId4" w:history="1">
        <w:r w:rsidRPr="00203F97">
          <w:rPr>
            <w:rFonts w:ascii="Times New Roman" w:hAnsi="Times New Roman" w:cs="Times New Roman"/>
          </w:rPr>
          <w:t xml:space="preserve">[2014] EWCA </w:t>
        </w:r>
        <w:proofErr w:type="spellStart"/>
        <w:r w:rsidRPr="00203F97">
          <w:rPr>
            <w:rFonts w:ascii="Times New Roman" w:hAnsi="Times New Roman" w:cs="Times New Roman"/>
          </w:rPr>
          <w:t>Civ</w:t>
        </w:r>
        <w:proofErr w:type="spellEnd"/>
        <w:r w:rsidRPr="00203F97">
          <w:rPr>
            <w:rFonts w:ascii="Times New Roman" w:hAnsi="Times New Roman" w:cs="Times New Roman"/>
          </w:rPr>
          <w:t xml:space="preserve"> 874</w:t>
        </w:r>
      </w:hyperlink>
      <w:r w:rsidRPr="00203F97">
        <w:rPr>
          <w:rFonts w:ascii="Times New Roman" w:hAnsi="Times New Roman" w:cs="Times New Roman"/>
        </w:rPr>
        <w:t xml:space="preserve">. </w:t>
      </w:r>
    </w:p>
  </w:footnote>
  <w:footnote w:id="60">
    <w:p w14:paraId="5243D542" w14:textId="1BD55015" w:rsidR="00F7433C" w:rsidRPr="00610F1B" w:rsidRDefault="00F7433C" w:rsidP="00610F1B">
      <w:pPr>
        <w:pStyle w:val="NoSpacing"/>
        <w:rPr>
          <w:sz w:val="20"/>
          <w:szCs w:val="20"/>
        </w:rPr>
      </w:pPr>
      <w:r w:rsidRPr="00610F1B">
        <w:rPr>
          <w:rStyle w:val="FootnoteReference"/>
          <w:sz w:val="20"/>
          <w:szCs w:val="20"/>
        </w:rPr>
        <w:footnoteRef/>
      </w:r>
      <w:r w:rsidRPr="00610F1B">
        <w:rPr>
          <w:sz w:val="20"/>
          <w:szCs w:val="20"/>
        </w:rPr>
        <w:t xml:space="preserve"> See Lord Kerr in </w:t>
      </w:r>
      <w:r w:rsidRPr="00610F1B">
        <w:rPr>
          <w:i/>
          <w:sz w:val="20"/>
          <w:szCs w:val="20"/>
        </w:rPr>
        <w:t>HH above note:</w:t>
      </w:r>
      <w:r w:rsidRPr="00610F1B">
        <w:rPr>
          <w:sz w:val="20"/>
          <w:szCs w:val="20"/>
        </w:rPr>
        <w:t xml:space="preserve"> “although the child has a right to her family life and to all that goes with it, there is also a strong public interest in ensuring that children are properly brought up” (paragraph 33).</w:t>
      </w:r>
    </w:p>
  </w:footnote>
  <w:footnote w:id="61">
    <w:p w14:paraId="4C8AC5A8" w14:textId="7026643A" w:rsidR="00DA0A67" w:rsidRPr="00610F1B" w:rsidRDefault="00DA0A67" w:rsidP="00610F1B">
      <w:pPr>
        <w:pStyle w:val="NoSpacing"/>
        <w:rPr>
          <w:i/>
          <w:sz w:val="20"/>
          <w:szCs w:val="20"/>
        </w:rPr>
      </w:pPr>
      <w:r w:rsidRPr="00610F1B">
        <w:rPr>
          <w:rStyle w:val="FootnoteReference"/>
          <w:sz w:val="20"/>
          <w:szCs w:val="20"/>
        </w:rPr>
        <w:footnoteRef/>
      </w:r>
      <w:r w:rsidRPr="00610F1B">
        <w:rPr>
          <w:sz w:val="20"/>
          <w:szCs w:val="20"/>
        </w:rPr>
        <w:t xml:space="preserve"> </w:t>
      </w:r>
      <w:r w:rsidR="00610F1B" w:rsidRPr="00610F1B">
        <w:rPr>
          <w:sz w:val="20"/>
          <w:szCs w:val="20"/>
        </w:rPr>
        <w:t xml:space="preserve">M Freeman ‘Why it remains important to take children’s rights seriously’ (2007) 15 </w:t>
      </w:r>
      <w:r w:rsidR="00610F1B" w:rsidRPr="00610F1B">
        <w:rPr>
          <w:i/>
          <w:sz w:val="20"/>
          <w:szCs w:val="20"/>
        </w:rPr>
        <w:t xml:space="preserve">International Journal of Children’s Rights </w:t>
      </w:r>
      <w:r w:rsidR="00610F1B" w:rsidRPr="00610F1B">
        <w:rPr>
          <w:sz w:val="20"/>
          <w:szCs w:val="20"/>
        </w:rPr>
        <w:t>5</w:t>
      </w:r>
      <w:r w:rsidR="00610F1B" w:rsidRPr="00610F1B">
        <w:rPr>
          <w:i/>
          <w:sz w:val="20"/>
          <w:szCs w:val="20"/>
        </w:rPr>
        <w:t xml:space="preserve"> </w:t>
      </w:r>
    </w:p>
  </w:footnote>
  <w:footnote w:id="62">
    <w:p w14:paraId="02CD9135" w14:textId="42846F63" w:rsidR="00DA0A67" w:rsidRPr="00610F1B" w:rsidRDefault="00DA0A67" w:rsidP="00610F1B">
      <w:pPr>
        <w:pStyle w:val="NoSpacing"/>
        <w:rPr>
          <w:sz w:val="20"/>
          <w:szCs w:val="20"/>
        </w:rPr>
      </w:pPr>
      <w:r w:rsidRPr="00610F1B">
        <w:rPr>
          <w:rStyle w:val="FootnoteReference"/>
          <w:sz w:val="20"/>
          <w:szCs w:val="20"/>
        </w:rPr>
        <w:footnoteRef/>
      </w:r>
      <w:r w:rsidRPr="00610F1B">
        <w:rPr>
          <w:sz w:val="20"/>
          <w:szCs w:val="20"/>
        </w:rPr>
        <w:t xml:space="preserve"> </w:t>
      </w:r>
      <w:r w:rsidR="00610F1B" w:rsidRPr="00610F1B">
        <w:rPr>
          <w:sz w:val="20"/>
          <w:szCs w:val="20"/>
        </w:rPr>
        <w:t xml:space="preserve">R Dixon and M </w:t>
      </w:r>
      <w:r w:rsidRPr="00610F1B">
        <w:rPr>
          <w:sz w:val="20"/>
          <w:szCs w:val="20"/>
        </w:rPr>
        <w:t>Nussbaum</w:t>
      </w:r>
      <w:r w:rsidR="00610F1B" w:rsidRPr="00610F1B">
        <w:rPr>
          <w:sz w:val="20"/>
          <w:szCs w:val="20"/>
        </w:rPr>
        <w:t xml:space="preserve"> ‘Children's Rights and a Capabilities Approach: The Question of Special Priority’ (2012) 97</w:t>
      </w:r>
      <w:r w:rsidR="00610F1B" w:rsidRPr="00610F1B">
        <w:rPr>
          <w:i/>
          <w:iCs/>
          <w:sz w:val="20"/>
          <w:szCs w:val="20"/>
          <w:shd w:val="clear" w:color="auto" w:fill="FFFFFF"/>
        </w:rPr>
        <w:t xml:space="preserve">Cornell Law Review </w:t>
      </w:r>
      <w:r w:rsidR="00610F1B" w:rsidRPr="00610F1B">
        <w:rPr>
          <w:iCs/>
          <w:sz w:val="20"/>
          <w:szCs w:val="20"/>
          <w:shd w:val="clear" w:color="auto" w:fill="FFFFFF"/>
        </w:rPr>
        <w:t>550</w:t>
      </w:r>
    </w:p>
  </w:footnote>
  <w:footnote w:id="63">
    <w:p w14:paraId="23484332" w14:textId="27A766A1" w:rsidR="00DA0A67" w:rsidRPr="00610F1B" w:rsidRDefault="00DA0A67" w:rsidP="00610F1B">
      <w:pPr>
        <w:pStyle w:val="Heading2"/>
        <w:shd w:val="clear" w:color="auto" w:fill="FFFFFF"/>
        <w:spacing w:before="0"/>
        <w:rPr>
          <w:rFonts w:ascii="Times New Roman" w:hAnsi="Times New Roman" w:cs="Times New Roman"/>
          <w:b w:val="0"/>
          <w:color w:val="auto"/>
          <w:sz w:val="20"/>
          <w:szCs w:val="20"/>
        </w:rPr>
      </w:pPr>
      <w:r w:rsidRPr="00610F1B">
        <w:rPr>
          <w:rStyle w:val="FootnoteReference"/>
          <w:rFonts w:ascii="Times New Roman" w:hAnsi="Times New Roman" w:cs="Times New Roman"/>
          <w:b w:val="0"/>
          <w:color w:val="auto"/>
          <w:sz w:val="20"/>
          <w:szCs w:val="20"/>
        </w:rPr>
        <w:footnoteRef/>
      </w:r>
      <w:r w:rsidRPr="00610F1B">
        <w:rPr>
          <w:rFonts w:ascii="Times New Roman" w:hAnsi="Times New Roman" w:cs="Times New Roman"/>
          <w:b w:val="0"/>
          <w:color w:val="auto"/>
          <w:sz w:val="20"/>
          <w:szCs w:val="20"/>
        </w:rPr>
        <w:t xml:space="preserve"> </w:t>
      </w:r>
      <w:r w:rsidR="00610F1B" w:rsidRPr="00610F1B">
        <w:rPr>
          <w:rFonts w:ascii="Times New Roman" w:hAnsi="Times New Roman" w:cs="Times New Roman"/>
          <w:b w:val="0"/>
          <w:color w:val="auto"/>
          <w:sz w:val="20"/>
          <w:szCs w:val="20"/>
        </w:rPr>
        <w:t xml:space="preserve">K </w:t>
      </w:r>
      <w:proofErr w:type="spellStart"/>
      <w:r w:rsidR="00610F1B" w:rsidRPr="00610F1B">
        <w:rPr>
          <w:rFonts w:ascii="Times New Roman" w:hAnsi="Times New Roman" w:cs="Times New Roman"/>
          <w:b w:val="0"/>
          <w:color w:val="auto"/>
          <w:sz w:val="20"/>
          <w:szCs w:val="20"/>
        </w:rPr>
        <w:t>Tisdall</w:t>
      </w:r>
      <w:proofErr w:type="spellEnd"/>
      <w:r w:rsidR="00610F1B" w:rsidRPr="00610F1B">
        <w:rPr>
          <w:rFonts w:ascii="Times New Roman" w:hAnsi="Times New Roman" w:cs="Times New Roman"/>
          <w:b w:val="0"/>
          <w:color w:val="auto"/>
          <w:sz w:val="20"/>
          <w:szCs w:val="20"/>
        </w:rPr>
        <w:t xml:space="preserve"> ‘Children’s rights and children’s wellbeing: Equivalent policy concepts?</w:t>
      </w:r>
      <w:proofErr w:type="gramStart"/>
      <w:r w:rsidR="00610F1B" w:rsidRPr="00610F1B">
        <w:rPr>
          <w:rFonts w:ascii="Times New Roman" w:hAnsi="Times New Roman" w:cs="Times New Roman"/>
          <w:b w:val="0"/>
          <w:color w:val="auto"/>
          <w:sz w:val="20"/>
          <w:szCs w:val="20"/>
        </w:rPr>
        <w:t>’,</w:t>
      </w:r>
      <w:proofErr w:type="gramEnd"/>
      <w:r w:rsidR="00610F1B" w:rsidRPr="00610F1B">
        <w:rPr>
          <w:rFonts w:ascii="Times New Roman" w:hAnsi="Times New Roman" w:cs="Times New Roman"/>
          <w:b w:val="0"/>
          <w:color w:val="auto"/>
          <w:sz w:val="20"/>
          <w:szCs w:val="20"/>
        </w:rPr>
        <w:t xml:space="preserve"> (2015) 44(4) </w:t>
      </w:r>
      <w:r w:rsidR="00610F1B" w:rsidRPr="00610F1B">
        <w:rPr>
          <w:rFonts w:ascii="Times New Roman" w:hAnsi="Times New Roman" w:cs="Times New Roman"/>
          <w:b w:val="0"/>
          <w:i/>
          <w:color w:val="auto"/>
          <w:sz w:val="20"/>
          <w:szCs w:val="20"/>
          <w:shd w:val="clear" w:color="auto" w:fill="FCFCFC"/>
        </w:rPr>
        <w:t xml:space="preserve">Journal of Social Policy </w:t>
      </w:r>
      <w:r w:rsidR="00610F1B" w:rsidRPr="00610F1B">
        <w:rPr>
          <w:rFonts w:ascii="Times New Roman" w:hAnsi="Times New Roman" w:cs="Times New Roman"/>
          <w:b w:val="0"/>
          <w:color w:val="auto"/>
          <w:sz w:val="20"/>
          <w:szCs w:val="20"/>
          <w:shd w:val="clear" w:color="auto" w:fill="FCFCFC"/>
        </w:rPr>
        <w:t>807</w:t>
      </w:r>
    </w:p>
  </w:footnote>
  <w:footnote w:id="64">
    <w:p w14:paraId="26469DB3" w14:textId="1ACA7482" w:rsidR="00DA0A67" w:rsidRPr="00610F1B" w:rsidRDefault="00DA0A67" w:rsidP="00610F1B">
      <w:pPr>
        <w:pStyle w:val="NoSpacing"/>
        <w:rPr>
          <w:sz w:val="20"/>
          <w:szCs w:val="20"/>
        </w:rPr>
      </w:pPr>
      <w:r w:rsidRPr="00610F1B">
        <w:rPr>
          <w:rStyle w:val="FootnoteReference"/>
          <w:sz w:val="20"/>
          <w:szCs w:val="20"/>
        </w:rPr>
        <w:footnoteRef/>
      </w:r>
      <w:r w:rsidRPr="00610F1B">
        <w:rPr>
          <w:sz w:val="20"/>
          <w:szCs w:val="20"/>
        </w:rPr>
        <w:t xml:space="preserve"> </w:t>
      </w:r>
      <w:r w:rsidR="00610F1B">
        <w:rPr>
          <w:sz w:val="20"/>
          <w:szCs w:val="20"/>
        </w:rPr>
        <w:t xml:space="preserve">J </w:t>
      </w:r>
      <w:r w:rsidRPr="00610F1B">
        <w:rPr>
          <w:sz w:val="20"/>
          <w:szCs w:val="20"/>
        </w:rPr>
        <w:t>Herring</w:t>
      </w:r>
      <w:r w:rsidR="00610F1B">
        <w:rPr>
          <w:sz w:val="20"/>
          <w:szCs w:val="20"/>
        </w:rPr>
        <w:t xml:space="preserve"> </w:t>
      </w:r>
      <w:r w:rsidR="00610F1B">
        <w:rPr>
          <w:i/>
          <w:sz w:val="20"/>
          <w:szCs w:val="20"/>
        </w:rPr>
        <w:t xml:space="preserve">Caring and the Law </w:t>
      </w:r>
      <w:r w:rsidR="00610F1B">
        <w:rPr>
          <w:sz w:val="20"/>
          <w:szCs w:val="20"/>
        </w:rPr>
        <w:t>(Hart Publishing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638"/>
    <w:multiLevelType w:val="hybridMultilevel"/>
    <w:tmpl w:val="812CD236"/>
    <w:lvl w:ilvl="0" w:tplc="C0D67F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45A6447"/>
    <w:multiLevelType w:val="hybridMultilevel"/>
    <w:tmpl w:val="8664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104D79"/>
    <w:multiLevelType w:val="hybridMultilevel"/>
    <w:tmpl w:val="A4F2568C"/>
    <w:lvl w:ilvl="0" w:tplc="8DE63EFA">
      <w:start w:val="1"/>
      <w:numFmt w:val="bullet"/>
      <w:lvlText w:val="•"/>
      <w:lvlJc w:val="left"/>
      <w:pPr>
        <w:tabs>
          <w:tab w:val="num" w:pos="720"/>
        </w:tabs>
        <w:ind w:left="720" w:hanging="360"/>
      </w:pPr>
      <w:rPr>
        <w:rFonts w:ascii="Arial" w:hAnsi="Arial" w:hint="default"/>
      </w:rPr>
    </w:lvl>
    <w:lvl w:ilvl="1" w:tplc="8DCA197E" w:tentative="1">
      <w:start w:val="1"/>
      <w:numFmt w:val="bullet"/>
      <w:lvlText w:val="•"/>
      <w:lvlJc w:val="left"/>
      <w:pPr>
        <w:tabs>
          <w:tab w:val="num" w:pos="1440"/>
        </w:tabs>
        <w:ind w:left="1440" w:hanging="360"/>
      </w:pPr>
      <w:rPr>
        <w:rFonts w:ascii="Arial" w:hAnsi="Arial" w:hint="default"/>
      </w:rPr>
    </w:lvl>
    <w:lvl w:ilvl="2" w:tplc="563A7E7A" w:tentative="1">
      <w:start w:val="1"/>
      <w:numFmt w:val="bullet"/>
      <w:lvlText w:val="•"/>
      <w:lvlJc w:val="left"/>
      <w:pPr>
        <w:tabs>
          <w:tab w:val="num" w:pos="2160"/>
        </w:tabs>
        <w:ind w:left="2160" w:hanging="360"/>
      </w:pPr>
      <w:rPr>
        <w:rFonts w:ascii="Arial" w:hAnsi="Arial" w:hint="default"/>
      </w:rPr>
    </w:lvl>
    <w:lvl w:ilvl="3" w:tplc="8A4860B0" w:tentative="1">
      <w:start w:val="1"/>
      <w:numFmt w:val="bullet"/>
      <w:lvlText w:val="•"/>
      <w:lvlJc w:val="left"/>
      <w:pPr>
        <w:tabs>
          <w:tab w:val="num" w:pos="2880"/>
        </w:tabs>
        <w:ind w:left="2880" w:hanging="360"/>
      </w:pPr>
      <w:rPr>
        <w:rFonts w:ascii="Arial" w:hAnsi="Arial" w:hint="default"/>
      </w:rPr>
    </w:lvl>
    <w:lvl w:ilvl="4" w:tplc="CB0E8C84" w:tentative="1">
      <w:start w:val="1"/>
      <w:numFmt w:val="bullet"/>
      <w:lvlText w:val="•"/>
      <w:lvlJc w:val="left"/>
      <w:pPr>
        <w:tabs>
          <w:tab w:val="num" w:pos="3600"/>
        </w:tabs>
        <w:ind w:left="3600" w:hanging="360"/>
      </w:pPr>
      <w:rPr>
        <w:rFonts w:ascii="Arial" w:hAnsi="Arial" w:hint="default"/>
      </w:rPr>
    </w:lvl>
    <w:lvl w:ilvl="5" w:tplc="260038AA" w:tentative="1">
      <w:start w:val="1"/>
      <w:numFmt w:val="bullet"/>
      <w:lvlText w:val="•"/>
      <w:lvlJc w:val="left"/>
      <w:pPr>
        <w:tabs>
          <w:tab w:val="num" w:pos="4320"/>
        </w:tabs>
        <w:ind w:left="4320" w:hanging="360"/>
      </w:pPr>
      <w:rPr>
        <w:rFonts w:ascii="Arial" w:hAnsi="Arial" w:hint="default"/>
      </w:rPr>
    </w:lvl>
    <w:lvl w:ilvl="6" w:tplc="1D56C954" w:tentative="1">
      <w:start w:val="1"/>
      <w:numFmt w:val="bullet"/>
      <w:lvlText w:val="•"/>
      <w:lvlJc w:val="left"/>
      <w:pPr>
        <w:tabs>
          <w:tab w:val="num" w:pos="5040"/>
        </w:tabs>
        <w:ind w:left="5040" w:hanging="360"/>
      </w:pPr>
      <w:rPr>
        <w:rFonts w:ascii="Arial" w:hAnsi="Arial" w:hint="default"/>
      </w:rPr>
    </w:lvl>
    <w:lvl w:ilvl="7" w:tplc="1C649ECC" w:tentative="1">
      <w:start w:val="1"/>
      <w:numFmt w:val="bullet"/>
      <w:lvlText w:val="•"/>
      <w:lvlJc w:val="left"/>
      <w:pPr>
        <w:tabs>
          <w:tab w:val="num" w:pos="5760"/>
        </w:tabs>
        <w:ind w:left="5760" w:hanging="360"/>
      </w:pPr>
      <w:rPr>
        <w:rFonts w:ascii="Arial" w:hAnsi="Arial" w:hint="default"/>
      </w:rPr>
    </w:lvl>
    <w:lvl w:ilvl="8" w:tplc="9AA8A770" w:tentative="1">
      <w:start w:val="1"/>
      <w:numFmt w:val="bullet"/>
      <w:lvlText w:val="•"/>
      <w:lvlJc w:val="left"/>
      <w:pPr>
        <w:tabs>
          <w:tab w:val="num" w:pos="6480"/>
        </w:tabs>
        <w:ind w:left="6480" w:hanging="360"/>
      </w:pPr>
      <w:rPr>
        <w:rFonts w:ascii="Arial" w:hAnsi="Arial" w:hint="default"/>
      </w:rPr>
    </w:lvl>
  </w:abstractNum>
  <w:abstractNum w:abstractNumId="3">
    <w:nsid w:val="15383C75"/>
    <w:multiLevelType w:val="hybridMultilevel"/>
    <w:tmpl w:val="8788DD26"/>
    <w:lvl w:ilvl="0" w:tplc="2D5686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AD0C1F"/>
    <w:multiLevelType w:val="hybridMultilevel"/>
    <w:tmpl w:val="3CA05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0759E3"/>
    <w:multiLevelType w:val="hybridMultilevel"/>
    <w:tmpl w:val="FEC8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39193A"/>
    <w:multiLevelType w:val="hybridMultilevel"/>
    <w:tmpl w:val="0BDC347C"/>
    <w:lvl w:ilvl="0" w:tplc="08090011">
      <w:start w:val="1"/>
      <w:numFmt w:val="decimal"/>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nsid w:val="3772596F"/>
    <w:multiLevelType w:val="hybridMultilevel"/>
    <w:tmpl w:val="5AAE3F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A005BC7"/>
    <w:multiLevelType w:val="hybridMultilevel"/>
    <w:tmpl w:val="7320F8DE"/>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290880"/>
    <w:multiLevelType w:val="hybridMultilevel"/>
    <w:tmpl w:val="FEC8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3A0914"/>
    <w:multiLevelType w:val="hybridMultilevel"/>
    <w:tmpl w:val="D5F0192E"/>
    <w:lvl w:ilvl="0" w:tplc="6F70A182">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59686D"/>
    <w:multiLevelType w:val="hybridMultilevel"/>
    <w:tmpl w:val="AB86A09E"/>
    <w:lvl w:ilvl="0" w:tplc="88F24F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B5611D"/>
    <w:multiLevelType w:val="multilevel"/>
    <w:tmpl w:val="C1BC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89927D6"/>
    <w:multiLevelType w:val="multilevel"/>
    <w:tmpl w:val="D6FA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0E33C1"/>
    <w:multiLevelType w:val="hybridMultilevel"/>
    <w:tmpl w:val="8E76E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BE03DAE"/>
    <w:multiLevelType w:val="hybridMultilevel"/>
    <w:tmpl w:val="3272C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84A7BAF"/>
    <w:multiLevelType w:val="hybridMultilevel"/>
    <w:tmpl w:val="8F48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4"/>
  </w:num>
  <w:num w:numId="4">
    <w:abstractNumId w:val="3"/>
  </w:num>
  <w:num w:numId="5">
    <w:abstractNumId w:val="9"/>
  </w:num>
  <w:num w:numId="6">
    <w:abstractNumId w:val="6"/>
  </w:num>
  <w:num w:numId="7">
    <w:abstractNumId w:val="0"/>
  </w:num>
  <w:num w:numId="8">
    <w:abstractNumId w:val="7"/>
  </w:num>
  <w:num w:numId="9">
    <w:abstractNumId w:val="10"/>
  </w:num>
  <w:num w:numId="10">
    <w:abstractNumId w:val="5"/>
  </w:num>
  <w:num w:numId="11">
    <w:abstractNumId w:val="1"/>
  </w:num>
  <w:num w:numId="12">
    <w:abstractNumId w:val="13"/>
  </w:num>
  <w:num w:numId="13">
    <w:abstractNumId w:val="4"/>
  </w:num>
  <w:num w:numId="14">
    <w:abstractNumId w:val="12"/>
  </w:num>
  <w:num w:numId="15">
    <w:abstractNumId w:val="15"/>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 Stalford">
    <w15:presenceInfo w15:providerId="Windows Live" w15:userId="d95e8f73ba088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CA"/>
    <w:rsid w:val="0000067F"/>
    <w:rsid w:val="00000F83"/>
    <w:rsid w:val="0000224E"/>
    <w:rsid w:val="000142F3"/>
    <w:rsid w:val="000173C8"/>
    <w:rsid w:val="00020ECA"/>
    <w:rsid w:val="000252F9"/>
    <w:rsid w:val="000269F3"/>
    <w:rsid w:val="00027F90"/>
    <w:rsid w:val="000457C9"/>
    <w:rsid w:val="00047E47"/>
    <w:rsid w:val="00055E88"/>
    <w:rsid w:val="000562EA"/>
    <w:rsid w:val="00060A4C"/>
    <w:rsid w:val="000652D9"/>
    <w:rsid w:val="00072B17"/>
    <w:rsid w:val="00074026"/>
    <w:rsid w:val="00083392"/>
    <w:rsid w:val="00084650"/>
    <w:rsid w:val="00084F44"/>
    <w:rsid w:val="00092B7F"/>
    <w:rsid w:val="000A0F83"/>
    <w:rsid w:val="000A6805"/>
    <w:rsid w:val="000B022D"/>
    <w:rsid w:val="000B2816"/>
    <w:rsid w:val="000C4457"/>
    <w:rsid w:val="000C7D7F"/>
    <w:rsid w:val="000D3BD2"/>
    <w:rsid w:val="000D4696"/>
    <w:rsid w:val="000D5051"/>
    <w:rsid w:val="000E013A"/>
    <w:rsid w:val="000E53EC"/>
    <w:rsid w:val="00116CC2"/>
    <w:rsid w:val="00117A2E"/>
    <w:rsid w:val="001315CA"/>
    <w:rsid w:val="00131EE4"/>
    <w:rsid w:val="0013208F"/>
    <w:rsid w:val="00133611"/>
    <w:rsid w:val="00145DD7"/>
    <w:rsid w:val="001571B8"/>
    <w:rsid w:val="00157F97"/>
    <w:rsid w:val="00187004"/>
    <w:rsid w:val="00197359"/>
    <w:rsid w:val="001A1912"/>
    <w:rsid w:val="001B79C3"/>
    <w:rsid w:val="001B7C1B"/>
    <w:rsid w:val="001C265E"/>
    <w:rsid w:val="001C2DB1"/>
    <w:rsid w:val="001D2EC0"/>
    <w:rsid w:val="001D656C"/>
    <w:rsid w:val="001E6E6F"/>
    <w:rsid w:val="001F45F3"/>
    <w:rsid w:val="001F725A"/>
    <w:rsid w:val="001F7534"/>
    <w:rsid w:val="00203F97"/>
    <w:rsid w:val="00206123"/>
    <w:rsid w:val="0021656F"/>
    <w:rsid w:val="002328CE"/>
    <w:rsid w:val="00237CF6"/>
    <w:rsid w:val="0024193D"/>
    <w:rsid w:val="00243F6A"/>
    <w:rsid w:val="00247CD0"/>
    <w:rsid w:val="00252AD7"/>
    <w:rsid w:val="00254F29"/>
    <w:rsid w:val="00257102"/>
    <w:rsid w:val="00257DA8"/>
    <w:rsid w:val="00263BFA"/>
    <w:rsid w:val="00271A0E"/>
    <w:rsid w:val="00281B5A"/>
    <w:rsid w:val="00290C40"/>
    <w:rsid w:val="002921C0"/>
    <w:rsid w:val="00293B0F"/>
    <w:rsid w:val="002A3AB4"/>
    <w:rsid w:val="002A3E03"/>
    <w:rsid w:val="002A4BD7"/>
    <w:rsid w:val="002A625C"/>
    <w:rsid w:val="002A7275"/>
    <w:rsid w:val="002B2E0C"/>
    <w:rsid w:val="002B4F50"/>
    <w:rsid w:val="002C2E1B"/>
    <w:rsid w:val="002C78D4"/>
    <w:rsid w:val="002D2785"/>
    <w:rsid w:val="002D44B3"/>
    <w:rsid w:val="002D5753"/>
    <w:rsid w:val="002E269D"/>
    <w:rsid w:val="002E7F60"/>
    <w:rsid w:val="002F2D4E"/>
    <w:rsid w:val="002F61DC"/>
    <w:rsid w:val="003052A5"/>
    <w:rsid w:val="0030622D"/>
    <w:rsid w:val="00315E3F"/>
    <w:rsid w:val="0033147B"/>
    <w:rsid w:val="00332120"/>
    <w:rsid w:val="0033712D"/>
    <w:rsid w:val="0035367F"/>
    <w:rsid w:val="00365658"/>
    <w:rsid w:val="00375B77"/>
    <w:rsid w:val="00376B91"/>
    <w:rsid w:val="0038488E"/>
    <w:rsid w:val="00387E67"/>
    <w:rsid w:val="00390B35"/>
    <w:rsid w:val="003925EF"/>
    <w:rsid w:val="00392E23"/>
    <w:rsid w:val="0039750D"/>
    <w:rsid w:val="003A0C24"/>
    <w:rsid w:val="003A1922"/>
    <w:rsid w:val="003A2B95"/>
    <w:rsid w:val="003B1A1E"/>
    <w:rsid w:val="003C2733"/>
    <w:rsid w:val="003D222C"/>
    <w:rsid w:val="003D3611"/>
    <w:rsid w:val="003D74DC"/>
    <w:rsid w:val="003E1AE9"/>
    <w:rsid w:val="003E416E"/>
    <w:rsid w:val="003E70EB"/>
    <w:rsid w:val="003E7830"/>
    <w:rsid w:val="003F1573"/>
    <w:rsid w:val="003F4A3A"/>
    <w:rsid w:val="004209B4"/>
    <w:rsid w:val="00422240"/>
    <w:rsid w:val="00424689"/>
    <w:rsid w:val="004246CE"/>
    <w:rsid w:val="00427F9A"/>
    <w:rsid w:val="0043188D"/>
    <w:rsid w:val="0043396C"/>
    <w:rsid w:val="004417C6"/>
    <w:rsid w:val="00444DB9"/>
    <w:rsid w:val="00452C27"/>
    <w:rsid w:val="00457A10"/>
    <w:rsid w:val="00463BAF"/>
    <w:rsid w:val="004658AD"/>
    <w:rsid w:val="00465D1D"/>
    <w:rsid w:val="00467ABC"/>
    <w:rsid w:val="004724F1"/>
    <w:rsid w:val="0047459F"/>
    <w:rsid w:val="004778C8"/>
    <w:rsid w:val="004803D7"/>
    <w:rsid w:val="0049143F"/>
    <w:rsid w:val="00491E76"/>
    <w:rsid w:val="004926E0"/>
    <w:rsid w:val="004A3CE7"/>
    <w:rsid w:val="004A578F"/>
    <w:rsid w:val="004A6C66"/>
    <w:rsid w:val="004B326A"/>
    <w:rsid w:val="004C307D"/>
    <w:rsid w:val="004D1C2C"/>
    <w:rsid w:val="004E5D41"/>
    <w:rsid w:val="004F1B7D"/>
    <w:rsid w:val="0050014B"/>
    <w:rsid w:val="00501497"/>
    <w:rsid w:val="005027C0"/>
    <w:rsid w:val="005066DB"/>
    <w:rsid w:val="00510F5F"/>
    <w:rsid w:val="0051358F"/>
    <w:rsid w:val="00515741"/>
    <w:rsid w:val="00525B7D"/>
    <w:rsid w:val="005300A1"/>
    <w:rsid w:val="005334F4"/>
    <w:rsid w:val="0054341F"/>
    <w:rsid w:val="005466BB"/>
    <w:rsid w:val="005476AF"/>
    <w:rsid w:val="0055070F"/>
    <w:rsid w:val="00550CCA"/>
    <w:rsid w:val="00552759"/>
    <w:rsid w:val="00552846"/>
    <w:rsid w:val="00563362"/>
    <w:rsid w:val="0056668F"/>
    <w:rsid w:val="00567B31"/>
    <w:rsid w:val="005716FB"/>
    <w:rsid w:val="00572242"/>
    <w:rsid w:val="00574D08"/>
    <w:rsid w:val="005812CA"/>
    <w:rsid w:val="005941F8"/>
    <w:rsid w:val="005A10CC"/>
    <w:rsid w:val="005A64B0"/>
    <w:rsid w:val="005B250A"/>
    <w:rsid w:val="005B531D"/>
    <w:rsid w:val="005C20B8"/>
    <w:rsid w:val="005C5A37"/>
    <w:rsid w:val="005C7129"/>
    <w:rsid w:val="005C7C05"/>
    <w:rsid w:val="005E1C26"/>
    <w:rsid w:val="005E2F62"/>
    <w:rsid w:val="005E66BA"/>
    <w:rsid w:val="00603D56"/>
    <w:rsid w:val="00605B01"/>
    <w:rsid w:val="00610F1B"/>
    <w:rsid w:val="006128C1"/>
    <w:rsid w:val="0061441D"/>
    <w:rsid w:val="0061673C"/>
    <w:rsid w:val="00617801"/>
    <w:rsid w:val="00626F87"/>
    <w:rsid w:val="00644236"/>
    <w:rsid w:val="00673E6C"/>
    <w:rsid w:val="0068548F"/>
    <w:rsid w:val="00685AD8"/>
    <w:rsid w:val="0069392B"/>
    <w:rsid w:val="00696475"/>
    <w:rsid w:val="006A1648"/>
    <w:rsid w:val="006A67C3"/>
    <w:rsid w:val="006B0791"/>
    <w:rsid w:val="006B6A46"/>
    <w:rsid w:val="006C3A29"/>
    <w:rsid w:val="006D3B5C"/>
    <w:rsid w:val="006D6BD4"/>
    <w:rsid w:val="006D724C"/>
    <w:rsid w:val="006E2A0E"/>
    <w:rsid w:val="006E573A"/>
    <w:rsid w:val="006E7713"/>
    <w:rsid w:val="006F64FD"/>
    <w:rsid w:val="007004A1"/>
    <w:rsid w:val="007048AC"/>
    <w:rsid w:val="00706A19"/>
    <w:rsid w:val="00712EA3"/>
    <w:rsid w:val="00715A87"/>
    <w:rsid w:val="0072318B"/>
    <w:rsid w:val="0072449D"/>
    <w:rsid w:val="007315AB"/>
    <w:rsid w:val="007472D5"/>
    <w:rsid w:val="007561D3"/>
    <w:rsid w:val="00756678"/>
    <w:rsid w:val="007625D2"/>
    <w:rsid w:val="00762F69"/>
    <w:rsid w:val="00771853"/>
    <w:rsid w:val="00773514"/>
    <w:rsid w:val="007809CF"/>
    <w:rsid w:val="00782EEE"/>
    <w:rsid w:val="00792907"/>
    <w:rsid w:val="00796C61"/>
    <w:rsid w:val="007A17B5"/>
    <w:rsid w:val="007A287C"/>
    <w:rsid w:val="007A700F"/>
    <w:rsid w:val="007B7626"/>
    <w:rsid w:val="007C0A9B"/>
    <w:rsid w:val="007D0AC6"/>
    <w:rsid w:val="007D5202"/>
    <w:rsid w:val="007E6F9D"/>
    <w:rsid w:val="007E7CB5"/>
    <w:rsid w:val="007F383D"/>
    <w:rsid w:val="00801727"/>
    <w:rsid w:val="00802F49"/>
    <w:rsid w:val="00803EEB"/>
    <w:rsid w:val="00804C22"/>
    <w:rsid w:val="00805ADA"/>
    <w:rsid w:val="00813F94"/>
    <w:rsid w:val="008163F6"/>
    <w:rsid w:val="00820DF5"/>
    <w:rsid w:val="008226D1"/>
    <w:rsid w:val="0083060A"/>
    <w:rsid w:val="008335F6"/>
    <w:rsid w:val="0083785A"/>
    <w:rsid w:val="00841180"/>
    <w:rsid w:val="00843D09"/>
    <w:rsid w:val="00851549"/>
    <w:rsid w:val="00865C07"/>
    <w:rsid w:val="00866B9C"/>
    <w:rsid w:val="0086723C"/>
    <w:rsid w:val="008672BC"/>
    <w:rsid w:val="0087141A"/>
    <w:rsid w:val="00876297"/>
    <w:rsid w:val="00880FDB"/>
    <w:rsid w:val="00886833"/>
    <w:rsid w:val="008871B5"/>
    <w:rsid w:val="008926EA"/>
    <w:rsid w:val="00893455"/>
    <w:rsid w:val="008A0148"/>
    <w:rsid w:val="008A091F"/>
    <w:rsid w:val="008A3488"/>
    <w:rsid w:val="008A650F"/>
    <w:rsid w:val="008C60B6"/>
    <w:rsid w:val="008C780C"/>
    <w:rsid w:val="008D316B"/>
    <w:rsid w:val="008D4A04"/>
    <w:rsid w:val="008E09D0"/>
    <w:rsid w:val="00901F45"/>
    <w:rsid w:val="00905F64"/>
    <w:rsid w:val="00914351"/>
    <w:rsid w:val="00916613"/>
    <w:rsid w:val="0092118E"/>
    <w:rsid w:val="00924CC9"/>
    <w:rsid w:val="009339E5"/>
    <w:rsid w:val="0094688D"/>
    <w:rsid w:val="009501EA"/>
    <w:rsid w:val="00954A98"/>
    <w:rsid w:val="00960466"/>
    <w:rsid w:val="00967574"/>
    <w:rsid w:val="00971D12"/>
    <w:rsid w:val="009926B0"/>
    <w:rsid w:val="00992818"/>
    <w:rsid w:val="009958D6"/>
    <w:rsid w:val="00996F6F"/>
    <w:rsid w:val="009A2969"/>
    <w:rsid w:val="009A3C82"/>
    <w:rsid w:val="009C1EAF"/>
    <w:rsid w:val="009C3494"/>
    <w:rsid w:val="009C5BC2"/>
    <w:rsid w:val="009D0D73"/>
    <w:rsid w:val="009D1F7F"/>
    <w:rsid w:val="009D754C"/>
    <w:rsid w:val="009E1438"/>
    <w:rsid w:val="009F259B"/>
    <w:rsid w:val="009F4CAE"/>
    <w:rsid w:val="009F632E"/>
    <w:rsid w:val="009F6F77"/>
    <w:rsid w:val="009F734A"/>
    <w:rsid w:val="009F7E9F"/>
    <w:rsid w:val="00A04C86"/>
    <w:rsid w:val="00A135FB"/>
    <w:rsid w:val="00A32B61"/>
    <w:rsid w:val="00A34365"/>
    <w:rsid w:val="00A359F2"/>
    <w:rsid w:val="00A40DC6"/>
    <w:rsid w:val="00A44F7C"/>
    <w:rsid w:val="00A54B57"/>
    <w:rsid w:val="00A60EFD"/>
    <w:rsid w:val="00A62E86"/>
    <w:rsid w:val="00A708FC"/>
    <w:rsid w:val="00A71DFF"/>
    <w:rsid w:val="00A722CC"/>
    <w:rsid w:val="00A72B55"/>
    <w:rsid w:val="00A738A8"/>
    <w:rsid w:val="00A73A7A"/>
    <w:rsid w:val="00A75A6F"/>
    <w:rsid w:val="00A803B6"/>
    <w:rsid w:val="00A80426"/>
    <w:rsid w:val="00A8432B"/>
    <w:rsid w:val="00A93CB2"/>
    <w:rsid w:val="00A960BF"/>
    <w:rsid w:val="00AA3D79"/>
    <w:rsid w:val="00AB6719"/>
    <w:rsid w:val="00AC627A"/>
    <w:rsid w:val="00AD2B3F"/>
    <w:rsid w:val="00AD6F6E"/>
    <w:rsid w:val="00AE0226"/>
    <w:rsid w:val="00AE4C9D"/>
    <w:rsid w:val="00AE7F8A"/>
    <w:rsid w:val="00AF4B0A"/>
    <w:rsid w:val="00B0046C"/>
    <w:rsid w:val="00B01BE9"/>
    <w:rsid w:val="00B115B8"/>
    <w:rsid w:val="00B140EA"/>
    <w:rsid w:val="00B21175"/>
    <w:rsid w:val="00B22DB8"/>
    <w:rsid w:val="00B3672C"/>
    <w:rsid w:val="00B502EE"/>
    <w:rsid w:val="00B521B7"/>
    <w:rsid w:val="00B55B92"/>
    <w:rsid w:val="00B76627"/>
    <w:rsid w:val="00B947E0"/>
    <w:rsid w:val="00B96937"/>
    <w:rsid w:val="00B97D32"/>
    <w:rsid w:val="00BA525B"/>
    <w:rsid w:val="00BA7CAA"/>
    <w:rsid w:val="00BB3118"/>
    <w:rsid w:val="00BB6FEB"/>
    <w:rsid w:val="00BC378F"/>
    <w:rsid w:val="00BC3816"/>
    <w:rsid w:val="00BC4A0F"/>
    <w:rsid w:val="00BC72D2"/>
    <w:rsid w:val="00BD4DB5"/>
    <w:rsid w:val="00BE1CD8"/>
    <w:rsid w:val="00BE7B04"/>
    <w:rsid w:val="00BF3B17"/>
    <w:rsid w:val="00BF4405"/>
    <w:rsid w:val="00C01FA6"/>
    <w:rsid w:val="00C11B0B"/>
    <w:rsid w:val="00C15F35"/>
    <w:rsid w:val="00C20A16"/>
    <w:rsid w:val="00C24222"/>
    <w:rsid w:val="00C254C1"/>
    <w:rsid w:val="00C2727F"/>
    <w:rsid w:val="00C27E7F"/>
    <w:rsid w:val="00C32F7B"/>
    <w:rsid w:val="00C33837"/>
    <w:rsid w:val="00C35541"/>
    <w:rsid w:val="00C374BE"/>
    <w:rsid w:val="00C52570"/>
    <w:rsid w:val="00C5744C"/>
    <w:rsid w:val="00C62E77"/>
    <w:rsid w:val="00C676AA"/>
    <w:rsid w:val="00C67982"/>
    <w:rsid w:val="00C72D32"/>
    <w:rsid w:val="00C75A95"/>
    <w:rsid w:val="00C76D29"/>
    <w:rsid w:val="00C8423B"/>
    <w:rsid w:val="00C90BCF"/>
    <w:rsid w:val="00C90BD3"/>
    <w:rsid w:val="00C95FF2"/>
    <w:rsid w:val="00CA2527"/>
    <w:rsid w:val="00CB1373"/>
    <w:rsid w:val="00CB13AB"/>
    <w:rsid w:val="00CB483F"/>
    <w:rsid w:val="00CC4AD4"/>
    <w:rsid w:val="00CC59D2"/>
    <w:rsid w:val="00CC7F6E"/>
    <w:rsid w:val="00CD0E8E"/>
    <w:rsid w:val="00CD2E65"/>
    <w:rsid w:val="00CD7F8E"/>
    <w:rsid w:val="00CE1BA2"/>
    <w:rsid w:val="00CE7E65"/>
    <w:rsid w:val="00CF117C"/>
    <w:rsid w:val="00CF452B"/>
    <w:rsid w:val="00D00A08"/>
    <w:rsid w:val="00D07743"/>
    <w:rsid w:val="00D167E7"/>
    <w:rsid w:val="00D16BF3"/>
    <w:rsid w:val="00D17316"/>
    <w:rsid w:val="00D2415D"/>
    <w:rsid w:val="00D2431E"/>
    <w:rsid w:val="00D26345"/>
    <w:rsid w:val="00D30576"/>
    <w:rsid w:val="00D319D3"/>
    <w:rsid w:val="00D344B8"/>
    <w:rsid w:val="00D405F2"/>
    <w:rsid w:val="00D42803"/>
    <w:rsid w:val="00D45C7A"/>
    <w:rsid w:val="00D46D52"/>
    <w:rsid w:val="00D47039"/>
    <w:rsid w:val="00D52CAB"/>
    <w:rsid w:val="00D56135"/>
    <w:rsid w:val="00D631ED"/>
    <w:rsid w:val="00D6593E"/>
    <w:rsid w:val="00D7344A"/>
    <w:rsid w:val="00D73A02"/>
    <w:rsid w:val="00D74D2B"/>
    <w:rsid w:val="00D77591"/>
    <w:rsid w:val="00D87101"/>
    <w:rsid w:val="00D9371C"/>
    <w:rsid w:val="00D9466F"/>
    <w:rsid w:val="00D96BD2"/>
    <w:rsid w:val="00DA0A67"/>
    <w:rsid w:val="00DA2F5A"/>
    <w:rsid w:val="00DA3677"/>
    <w:rsid w:val="00DA3FBA"/>
    <w:rsid w:val="00DB17B9"/>
    <w:rsid w:val="00DB3A0D"/>
    <w:rsid w:val="00DB3A68"/>
    <w:rsid w:val="00DB6356"/>
    <w:rsid w:val="00DB66AE"/>
    <w:rsid w:val="00DD4A7A"/>
    <w:rsid w:val="00DE08E5"/>
    <w:rsid w:val="00DE1546"/>
    <w:rsid w:val="00DE16CB"/>
    <w:rsid w:val="00DE1F24"/>
    <w:rsid w:val="00DF10AA"/>
    <w:rsid w:val="00DF4C1A"/>
    <w:rsid w:val="00DF79DA"/>
    <w:rsid w:val="00E006CA"/>
    <w:rsid w:val="00E02EEF"/>
    <w:rsid w:val="00E03EA0"/>
    <w:rsid w:val="00E04F4A"/>
    <w:rsid w:val="00E05240"/>
    <w:rsid w:val="00E14E54"/>
    <w:rsid w:val="00E23F96"/>
    <w:rsid w:val="00E27535"/>
    <w:rsid w:val="00E30821"/>
    <w:rsid w:val="00E311AE"/>
    <w:rsid w:val="00E41F18"/>
    <w:rsid w:val="00E46129"/>
    <w:rsid w:val="00E4797D"/>
    <w:rsid w:val="00E51CEC"/>
    <w:rsid w:val="00E62683"/>
    <w:rsid w:val="00E72BB9"/>
    <w:rsid w:val="00E735E3"/>
    <w:rsid w:val="00E809A9"/>
    <w:rsid w:val="00E80A4A"/>
    <w:rsid w:val="00EE11E7"/>
    <w:rsid w:val="00EE2C1E"/>
    <w:rsid w:val="00EF4205"/>
    <w:rsid w:val="00F0065B"/>
    <w:rsid w:val="00F06B56"/>
    <w:rsid w:val="00F1000D"/>
    <w:rsid w:val="00F1193F"/>
    <w:rsid w:val="00F2095B"/>
    <w:rsid w:val="00F27DB9"/>
    <w:rsid w:val="00F30BA9"/>
    <w:rsid w:val="00F46DEA"/>
    <w:rsid w:val="00F53596"/>
    <w:rsid w:val="00F60F81"/>
    <w:rsid w:val="00F70502"/>
    <w:rsid w:val="00F7433C"/>
    <w:rsid w:val="00F77B07"/>
    <w:rsid w:val="00F83D73"/>
    <w:rsid w:val="00F85E7E"/>
    <w:rsid w:val="00F86894"/>
    <w:rsid w:val="00F91744"/>
    <w:rsid w:val="00F92FCC"/>
    <w:rsid w:val="00F952C6"/>
    <w:rsid w:val="00F97079"/>
    <w:rsid w:val="00FA1432"/>
    <w:rsid w:val="00FA3C72"/>
    <w:rsid w:val="00FC1E79"/>
    <w:rsid w:val="00FC53CA"/>
    <w:rsid w:val="00FD0048"/>
    <w:rsid w:val="00FD16C4"/>
    <w:rsid w:val="00FD1F4D"/>
    <w:rsid w:val="00FD287F"/>
    <w:rsid w:val="00FE0FFA"/>
    <w:rsid w:val="00FE463A"/>
    <w:rsid w:val="00FE51FE"/>
    <w:rsid w:val="00FE5C64"/>
    <w:rsid w:val="00FF6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CA"/>
  </w:style>
  <w:style w:type="paragraph" w:styleId="Heading1">
    <w:name w:val="heading 1"/>
    <w:basedOn w:val="Normal"/>
    <w:next w:val="Normal"/>
    <w:link w:val="Heading1Char"/>
    <w:uiPriority w:val="9"/>
    <w:qFormat/>
    <w:rsid w:val="0033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573A"/>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rsid w:val="002D2785"/>
    <w:rPr>
      <w:color w:val="000000"/>
      <w:sz w:val="20"/>
      <w:vertAlign w:val="superscript"/>
    </w:rPr>
  </w:style>
  <w:style w:type="paragraph" w:styleId="NoSpacing">
    <w:name w:val="No Spacing"/>
    <w:link w:val="NoSpacingChar"/>
    <w:qFormat/>
    <w:rsid w:val="002D2785"/>
    <w:pPr>
      <w:spacing w:after="0" w:line="240" w:lineRule="auto"/>
    </w:pPr>
    <w:rPr>
      <w:rFonts w:ascii="Times New Roman" w:eastAsia="Calibri" w:hAnsi="Times New Roman" w:cs="Times New Roman"/>
      <w:sz w:val="24"/>
      <w:szCs w:val="24"/>
      <w:lang w:val="en-US"/>
    </w:rPr>
  </w:style>
  <w:style w:type="character" w:customStyle="1" w:styleId="NoSpacingChar">
    <w:name w:val="No Spacing Char"/>
    <w:basedOn w:val="DefaultParagraphFont"/>
    <w:link w:val="NoSpacing"/>
    <w:rsid w:val="002D2785"/>
    <w:rPr>
      <w:rFonts w:ascii="Times New Roman" w:eastAsia="Calibri" w:hAnsi="Times New Roman" w:cs="Times New Roman"/>
      <w:sz w:val="24"/>
      <w:szCs w:val="24"/>
      <w:lang w:val="en-US"/>
    </w:rPr>
  </w:style>
  <w:style w:type="paragraph" w:styleId="FootnoteText">
    <w:name w:val="footnote text"/>
    <w:aliases w:val="Char,Footnote Text Char1,Footnote Text Char Char Char Char,Footnote Text Char Char,Char Char Char Char,Footnote,Footnote Text Char1 Char Char,Footnote Text Char1 Char1 Char1 Char Char,Footnote Text Char Char Char1 Char1 Char Char,5_G"/>
    <w:basedOn w:val="Normal"/>
    <w:link w:val="FootnoteTextChar"/>
    <w:uiPriority w:val="99"/>
    <w:unhideWhenUsed/>
    <w:rsid w:val="00C2727F"/>
    <w:pPr>
      <w:spacing w:after="0" w:line="240" w:lineRule="auto"/>
    </w:pPr>
    <w:rPr>
      <w:sz w:val="20"/>
      <w:szCs w:val="20"/>
    </w:rPr>
  </w:style>
  <w:style w:type="character" w:customStyle="1" w:styleId="FootnoteTextChar">
    <w:name w:val="Footnote Text Char"/>
    <w:aliases w:val="Char Char,Footnote Text Char1 Char,Footnote Text Char Char Char Char Char,Footnote Text Char Char Char,Char Char Char Char Char,Footnote Char,Footnote Text Char1 Char Char Char,Footnote Text Char1 Char1 Char1 Char Char Char,5_G Char"/>
    <w:basedOn w:val="DefaultParagraphFont"/>
    <w:link w:val="FootnoteText"/>
    <w:uiPriority w:val="99"/>
    <w:rsid w:val="00C2727F"/>
    <w:rPr>
      <w:sz w:val="20"/>
      <w:szCs w:val="20"/>
    </w:rPr>
  </w:style>
  <w:style w:type="character" w:styleId="FootnoteReference">
    <w:name w:val="footnote reference"/>
    <w:aliases w:val="Footnote Refernece,Footnotemark,Footnotemark1,FR,Footnotemark2,FR1,Footnotemark3,FR2,Footnotemark4,FR3,Footnotemark5,FR4,Footnotemark6,Footnotemark7,Footnotemark8,FR5,Footnotemark11,Footnotemark21,FR11,Footnotemark31,FR21,ftref,4_G"/>
    <w:basedOn w:val="DefaultParagraphFont"/>
    <w:uiPriority w:val="99"/>
    <w:unhideWhenUsed/>
    <w:rsid w:val="00C2727F"/>
    <w:rPr>
      <w:vertAlign w:val="superscript"/>
    </w:rPr>
  </w:style>
  <w:style w:type="character" w:styleId="Hyperlink">
    <w:name w:val="Hyperlink"/>
    <w:basedOn w:val="DefaultParagraphFont"/>
    <w:uiPriority w:val="99"/>
    <w:unhideWhenUsed/>
    <w:rsid w:val="00C2727F"/>
    <w:rPr>
      <w:color w:val="0000FF" w:themeColor="hyperlink"/>
      <w:u w:val="single"/>
    </w:rPr>
  </w:style>
  <w:style w:type="paragraph" w:styleId="ListParagraph">
    <w:name w:val="List Paragraph"/>
    <w:basedOn w:val="Normal"/>
    <w:uiPriority w:val="34"/>
    <w:qFormat/>
    <w:rsid w:val="00DF4C1A"/>
    <w:pPr>
      <w:ind w:left="720"/>
      <w:contextualSpacing/>
    </w:pPr>
  </w:style>
  <w:style w:type="character" w:styleId="CommentReference">
    <w:name w:val="annotation reference"/>
    <w:basedOn w:val="DefaultParagraphFont"/>
    <w:uiPriority w:val="99"/>
    <w:semiHidden/>
    <w:unhideWhenUsed/>
    <w:rsid w:val="004A6C66"/>
    <w:rPr>
      <w:sz w:val="16"/>
      <w:szCs w:val="16"/>
    </w:rPr>
  </w:style>
  <w:style w:type="paragraph" w:styleId="CommentText">
    <w:name w:val="annotation text"/>
    <w:basedOn w:val="Normal"/>
    <w:link w:val="CommentTextChar"/>
    <w:uiPriority w:val="99"/>
    <w:unhideWhenUsed/>
    <w:rsid w:val="004A6C66"/>
    <w:pPr>
      <w:spacing w:line="240" w:lineRule="auto"/>
    </w:pPr>
    <w:rPr>
      <w:sz w:val="20"/>
      <w:szCs w:val="20"/>
    </w:rPr>
  </w:style>
  <w:style w:type="character" w:customStyle="1" w:styleId="CommentTextChar">
    <w:name w:val="Comment Text Char"/>
    <w:basedOn w:val="DefaultParagraphFont"/>
    <w:link w:val="CommentText"/>
    <w:uiPriority w:val="99"/>
    <w:rsid w:val="004A6C66"/>
    <w:rPr>
      <w:sz w:val="20"/>
      <w:szCs w:val="20"/>
    </w:rPr>
  </w:style>
  <w:style w:type="paragraph" w:styleId="CommentSubject">
    <w:name w:val="annotation subject"/>
    <w:basedOn w:val="CommentText"/>
    <w:next w:val="CommentText"/>
    <w:link w:val="CommentSubjectChar"/>
    <w:uiPriority w:val="99"/>
    <w:semiHidden/>
    <w:unhideWhenUsed/>
    <w:rsid w:val="004A6C66"/>
    <w:rPr>
      <w:b/>
      <w:bCs/>
    </w:rPr>
  </w:style>
  <w:style w:type="character" w:customStyle="1" w:styleId="CommentSubjectChar">
    <w:name w:val="Comment Subject Char"/>
    <w:basedOn w:val="CommentTextChar"/>
    <w:link w:val="CommentSubject"/>
    <w:uiPriority w:val="99"/>
    <w:semiHidden/>
    <w:rsid w:val="004A6C66"/>
    <w:rPr>
      <w:b/>
      <w:bCs/>
      <w:sz w:val="20"/>
      <w:szCs w:val="20"/>
    </w:rPr>
  </w:style>
  <w:style w:type="paragraph" w:styleId="BalloonText">
    <w:name w:val="Balloon Text"/>
    <w:basedOn w:val="Normal"/>
    <w:link w:val="BalloonTextChar"/>
    <w:uiPriority w:val="99"/>
    <w:semiHidden/>
    <w:unhideWhenUsed/>
    <w:rsid w:val="004A6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C66"/>
    <w:rPr>
      <w:rFonts w:ascii="Segoe UI" w:hAnsi="Segoe UI" w:cs="Segoe UI"/>
      <w:sz w:val="18"/>
      <w:szCs w:val="18"/>
    </w:rPr>
  </w:style>
  <w:style w:type="character" w:customStyle="1" w:styleId="Heading2Char">
    <w:name w:val="Heading 2 Char"/>
    <w:basedOn w:val="DefaultParagraphFont"/>
    <w:link w:val="Heading2"/>
    <w:uiPriority w:val="9"/>
    <w:rsid w:val="006E573A"/>
    <w:rPr>
      <w:rFonts w:asciiTheme="majorHAnsi" w:eastAsiaTheme="majorEastAsia" w:hAnsiTheme="majorHAnsi" w:cstheme="majorBidi"/>
      <w:b/>
      <w:bCs/>
      <w:color w:val="4F81BD" w:themeColor="accent1"/>
      <w:sz w:val="26"/>
      <w:szCs w:val="26"/>
      <w:lang w:eastAsia="en-GB"/>
    </w:rPr>
  </w:style>
  <w:style w:type="character" w:customStyle="1" w:styleId="apple-converted-space">
    <w:name w:val="apple-converted-space"/>
    <w:basedOn w:val="DefaultParagraphFont"/>
    <w:rsid w:val="006E573A"/>
  </w:style>
  <w:style w:type="paragraph" w:styleId="NormalWeb">
    <w:name w:val="Normal (Web)"/>
    <w:basedOn w:val="Normal"/>
    <w:uiPriority w:val="99"/>
    <w:unhideWhenUsed/>
    <w:rsid w:val="006E57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A71DFF"/>
    <w:rPr>
      <w:rFonts w:ascii="Brill-Roman" w:hAnsi="Brill-Roman" w:hint="default"/>
      <w:b w:val="0"/>
      <w:bCs w:val="0"/>
      <w:i w:val="0"/>
      <w:iCs w:val="0"/>
      <w:color w:val="231F20"/>
      <w:sz w:val="22"/>
      <w:szCs w:val="22"/>
    </w:rPr>
  </w:style>
  <w:style w:type="character" w:customStyle="1" w:styleId="s7d2086b4">
    <w:name w:val="s7d2086b4"/>
    <w:basedOn w:val="DefaultParagraphFont"/>
    <w:rsid w:val="00EE2C1E"/>
  </w:style>
  <w:style w:type="paragraph" w:styleId="Header">
    <w:name w:val="header"/>
    <w:basedOn w:val="Normal"/>
    <w:link w:val="HeaderChar"/>
    <w:uiPriority w:val="99"/>
    <w:unhideWhenUsed/>
    <w:rsid w:val="006D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BD4"/>
  </w:style>
  <w:style w:type="paragraph" w:styleId="Footer">
    <w:name w:val="footer"/>
    <w:basedOn w:val="Normal"/>
    <w:link w:val="FooterChar"/>
    <w:uiPriority w:val="99"/>
    <w:unhideWhenUsed/>
    <w:rsid w:val="006D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BD4"/>
  </w:style>
  <w:style w:type="character" w:customStyle="1" w:styleId="Heading1Char">
    <w:name w:val="Heading 1 Char"/>
    <w:basedOn w:val="DefaultParagraphFont"/>
    <w:link w:val="Heading1"/>
    <w:uiPriority w:val="9"/>
    <w:rsid w:val="0033712D"/>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3712D"/>
    <w:rPr>
      <w:i/>
      <w:iCs/>
    </w:rPr>
  </w:style>
  <w:style w:type="character" w:customStyle="1" w:styleId="slug-pub-date">
    <w:name w:val="slug-pub-date"/>
    <w:basedOn w:val="DefaultParagraphFont"/>
    <w:rsid w:val="0033712D"/>
  </w:style>
  <w:style w:type="character" w:customStyle="1" w:styleId="slug-vol">
    <w:name w:val="slug-vol"/>
    <w:basedOn w:val="DefaultParagraphFont"/>
    <w:rsid w:val="0033712D"/>
  </w:style>
  <w:style w:type="character" w:customStyle="1" w:styleId="slug-issue">
    <w:name w:val="slug-issue"/>
    <w:basedOn w:val="DefaultParagraphFont"/>
    <w:rsid w:val="0033712D"/>
  </w:style>
  <w:style w:type="character" w:customStyle="1" w:styleId="slug-pages">
    <w:name w:val="slug-pages"/>
    <w:basedOn w:val="DefaultParagraphFont"/>
    <w:rsid w:val="0033712D"/>
  </w:style>
  <w:style w:type="character" w:customStyle="1" w:styleId="sb8d990e2">
    <w:name w:val="sb8d990e2"/>
    <w:basedOn w:val="DefaultParagraphFont"/>
    <w:rsid w:val="00EF4205"/>
  </w:style>
  <w:style w:type="character" w:styleId="Strong">
    <w:name w:val="Strong"/>
    <w:basedOn w:val="DefaultParagraphFont"/>
    <w:uiPriority w:val="22"/>
    <w:qFormat/>
    <w:rsid w:val="00901F45"/>
    <w:rPr>
      <w:b/>
      <w:bCs/>
    </w:rPr>
  </w:style>
  <w:style w:type="paragraph" w:styleId="BodyText2">
    <w:name w:val="Body Text 2"/>
    <w:basedOn w:val="Normal"/>
    <w:link w:val="BodyText2Char"/>
    <w:rsid w:val="00996F6F"/>
    <w:pPr>
      <w:spacing w:after="0" w:line="240" w:lineRule="auto"/>
      <w:jc w:val="both"/>
    </w:pPr>
    <w:rPr>
      <w:rFonts w:ascii="Times New Roman" w:eastAsia="Times New Roman" w:hAnsi="Times New Roman" w:cs="Times New Roman"/>
      <w:b/>
      <w:sz w:val="20"/>
      <w:szCs w:val="20"/>
    </w:rPr>
  </w:style>
  <w:style w:type="character" w:customStyle="1" w:styleId="BodyText2Char">
    <w:name w:val="Body Text 2 Char"/>
    <w:basedOn w:val="DefaultParagraphFont"/>
    <w:link w:val="BodyText2"/>
    <w:rsid w:val="00996F6F"/>
    <w:rPr>
      <w:rFonts w:ascii="Times New Roman" w:eastAsia="Times New Roman" w:hAnsi="Times New Roman" w:cs="Times New Roman"/>
      <w:b/>
      <w:sz w:val="20"/>
      <w:szCs w:val="20"/>
    </w:rPr>
  </w:style>
  <w:style w:type="character" w:customStyle="1" w:styleId="fn">
    <w:name w:val="fn"/>
    <w:basedOn w:val="DefaultParagraphFont"/>
    <w:rsid w:val="00C67982"/>
  </w:style>
  <w:style w:type="character" w:customStyle="1" w:styleId="Subtitle1">
    <w:name w:val="Subtitle1"/>
    <w:basedOn w:val="DefaultParagraphFont"/>
    <w:rsid w:val="00C67982"/>
  </w:style>
  <w:style w:type="character" w:customStyle="1" w:styleId="highwire-cite-metadata-journal">
    <w:name w:val="highwire-cite-metadata-journal"/>
    <w:basedOn w:val="DefaultParagraphFont"/>
    <w:rsid w:val="00D52CAB"/>
  </w:style>
  <w:style w:type="character" w:customStyle="1" w:styleId="highwire-cite-metadata-date">
    <w:name w:val="highwire-cite-metadata-date"/>
    <w:basedOn w:val="DefaultParagraphFont"/>
    <w:rsid w:val="00D52CAB"/>
  </w:style>
  <w:style w:type="character" w:customStyle="1" w:styleId="highwire-cite-metadata-volume">
    <w:name w:val="highwire-cite-metadata-volume"/>
    <w:basedOn w:val="DefaultParagraphFont"/>
    <w:rsid w:val="00D52CAB"/>
  </w:style>
  <w:style w:type="character" w:customStyle="1" w:styleId="highwire-cite-metadata-issue">
    <w:name w:val="highwire-cite-metadata-issue"/>
    <w:basedOn w:val="DefaultParagraphFont"/>
    <w:rsid w:val="00D52CAB"/>
  </w:style>
  <w:style w:type="character" w:customStyle="1" w:styleId="highwire-cite-metadata-pages">
    <w:name w:val="highwire-cite-metadata-pages"/>
    <w:basedOn w:val="DefaultParagraphFont"/>
    <w:rsid w:val="00D52CAB"/>
  </w:style>
  <w:style w:type="character" w:customStyle="1" w:styleId="fontstyle21">
    <w:name w:val="fontstyle21"/>
    <w:basedOn w:val="DefaultParagraphFont"/>
    <w:rsid w:val="004D1C2C"/>
    <w:rPr>
      <w:rFonts w:ascii="FoundryContext-Regular" w:hAnsi="FoundryContext-Regular" w:hint="default"/>
      <w:b w:val="0"/>
      <w:bCs w:val="0"/>
      <w:i w:val="0"/>
      <w:iCs w:val="0"/>
      <w:color w:val="FFFFF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CA"/>
  </w:style>
  <w:style w:type="paragraph" w:styleId="Heading1">
    <w:name w:val="heading 1"/>
    <w:basedOn w:val="Normal"/>
    <w:next w:val="Normal"/>
    <w:link w:val="Heading1Char"/>
    <w:uiPriority w:val="9"/>
    <w:qFormat/>
    <w:rsid w:val="0033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573A"/>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rsid w:val="002D2785"/>
    <w:rPr>
      <w:color w:val="000000"/>
      <w:sz w:val="20"/>
      <w:vertAlign w:val="superscript"/>
    </w:rPr>
  </w:style>
  <w:style w:type="paragraph" w:styleId="NoSpacing">
    <w:name w:val="No Spacing"/>
    <w:link w:val="NoSpacingChar"/>
    <w:qFormat/>
    <w:rsid w:val="002D2785"/>
    <w:pPr>
      <w:spacing w:after="0" w:line="240" w:lineRule="auto"/>
    </w:pPr>
    <w:rPr>
      <w:rFonts w:ascii="Times New Roman" w:eastAsia="Calibri" w:hAnsi="Times New Roman" w:cs="Times New Roman"/>
      <w:sz w:val="24"/>
      <w:szCs w:val="24"/>
      <w:lang w:val="en-US"/>
    </w:rPr>
  </w:style>
  <w:style w:type="character" w:customStyle="1" w:styleId="NoSpacingChar">
    <w:name w:val="No Spacing Char"/>
    <w:basedOn w:val="DefaultParagraphFont"/>
    <w:link w:val="NoSpacing"/>
    <w:rsid w:val="002D2785"/>
    <w:rPr>
      <w:rFonts w:ascii="Times New Roman" w:eastAsia="Calibri" w:hAnsi="Times New Roman" w:cs="Times New Roman"/>
      <w:sz w:val="24"/>
      <w:szCs w:val="24"/>
      <w:lang w:val="en-US"/>
    </w:rPr>
  </w:style>
  <w:style w:type="paragraph" w:styleId="FootnoteText">
    <w:name w:val="footnote text"/>
    <w:aliases w:val="Char,Footnote Text Char1,Footnote Text Char Char Char Char,Footnote Text Char Char,Char Char Char Char,Footnote,Footnote Text Char1 Char Char,Footnote Text Char1 Char1 Char1 Char Char,Footnote Text Char Char Char1 Char1 Char Char,5_G"/>
    <w:basedOn w:val="Normal"/>
    <w:link w:val="FootnoteTextChar"/>
    <w:uiPriority w:val="99"/>
    <w:unhideWhenUsed/>
    <w:rsid w:val="00C2727F"/>
    <w:pPr>
      <w:spacing w:after="0" w:line="240" w:lineRule="auto"/>
    </w:pPr>
    <w:rPr>
      <w:sz w:val="20"/>
      <w:szCs w:val="20"/>
    </w:rPr>
  </w:style>
  <w:style w:type="character" w:customStyle="1" w:styleId="FootnoteTextChar">
    <w:name w:val="Footnote Text Char"/>
    <w:aliases w:val="Char Char,Footnote Text Char1 Char,Footnote Text Char Char Char Char Char,Footnote Text Char Char Char,Char Char Char Char Char,Footnote Char,Footnote Text Char1 Char Char Char,Footnote Text Char1 Char1 Char1 Char Char Char,5_G Char"/>
    <w:basedOn w:val="DefaultParagraphFont"/>
    <w:link w:val="FootnoteText"/>
    <w:uiPriority w:val="99"/>
    <w:rsid w:val="00C2727F"/>
    <w:rPr>
      <w:sz w:val="20"/>
      <w:szCs w:val="20"/>
    </w:rPr>
  </w:style>
  <w:style w:type="character" w:styleId="FootnoteReference">
    <w:name w:val="footnote reference"/>
    <w:aliases w:val="Footnote Refernece,Footnotemark,Footnotemark1,FR,Footnotemark2,FR1,Footnotemark3,FR2,Footnotemark4,FR3,Footnotemark5,FR4,Footnotemark6,Footnotemark7,Footnotemark8,FR5,Footnotemark11,Footnotemark21,FR11,Footnotemark31,FR21,ftref,4_G"/>
    <w:basedOn w:val="DefaultParagraphFont"/>
    <w:uiPriority w:val="99"/>
    <w:unhideWhenUsed/>
    <w:rsid w:val="00C2727F"/>
    <w:rPr>
      <w:vertAlign w:val="superscript"/>
    </w:rPr>
  </w:style>
  <w:style w:type="character" w:styleId="Hyperlink">
    <w:name w:val="Hyperlink"/>
    <w:basedOn w:val="DefaultParagraphFont"/>
    <w:uiPriority w:val="99"/>
    <w:unhideWhenUsed/>
    <w:rsid w:val="00C2727F"/>
    <w:rPr>
      <w:color w:val="0000FF" w:themeColor="hyperlink"/>
      <w:u w:val="single"/>
    </w:rPr>
  </w:style>
  <w:style w:type="paragraph" w:styleId="ListParagraph">
    <w:name w:val="List Paragraph"/>
    <w:basedOn w:val="Normal"/>
    <w:uiPriority w:val="34"/>
    <w:qFormat/>
    <w:rsid w:val="00DF4C1A"/>
    <w:pPr>
      <w:ind w:left="720"/>
      <w:contextualSpacing/>
    </w:pPr>
  </w:style>
  <w:style w:type="character" w:styleId="CommentReference">
    <w:name w:val="annotation reference"/>
    <w:basedOn w:val="DefaultParagraphFont"/>
    <w:uiPriority w:val="99"/>
    <w:semiHidden/>
    <w:unhideWhenUsed/>
    <w:rsid w:val="004A6C66"/>
    <w:rPr>
      <w:sz w:val="16"/>
      <w:szCs w:val="16"/>
    </w:rPr>
  </w:style>
  <w:style w:type="paragraph" w:styleId="CommentText">
    <w:name w:val="annotation text"/>
    <w:basedOn w:val="Normal"/>
    <w:link w:val="CommentTextChar"/>
    <w:uiPriority w:val="99"/>
    <w:unhideWhenUsed/>
    <w:rsid w:val="004A6C66"/>
    <w:pPr>
      <w:spacing w:line="240" w:lineRule="auto"/>
    </w:pPr>
    <w:rPr>
      <w:sz w:val="20"/>
      <w:szCs w:val="20"/>
    </w:rPr>
  </w:style>
  <w:style w:type="character" w:customStyle="1" w:styleId="CommentTextChar">
    <w:name w:val="Comment Text Char"/>
    <w:basedOn w:val="DefaultParagraphFont"/>
    <w:link w:val="CommentText"/>
    <w:uiPriority w:val="99"/>
    <w:rsid w:val="004A6C66"/>
    <w:rPr>
      <w:sz w:val="20"/>
      <w:szCs w:val="20"/>
    </w:rPr>
  </w:style>
  <w:style w:type="paragraph" w:styleId="CommentSubject">
    <w:name w:val="annotation subject"/>
    <w:basedOn w:val="CommentText"/>
    <w:next w:val="CommentText"/>
    <w:link w:val="CommentSubjectChar"/>
    <w:uiPriority w:val="99"/>
    <w:semiHidden/>
    <w:unhideWhenUsed/>
    <w:rsid w:val="004A6C66"/>
    <w:rPr>
      <w:b/>
      <w:bCs/>
    </w:rPr>
  </w:style>
  <w:style w:type="character" w:customStyle="1" w:styleId="CommentSubjectChar">
    <w:name w:val="Comment Subject Char"/>
    <w:basedOn w:val="CommentTextChar"/>
    <w:link w:val="CommentSubject"/>
    <w:uiPriority w:val="99"/>
    <w:semiHidden/>
    <w:rsid w:val="004A6C66"/>
    <w:rPr>
      <w:b/>
      <w:bCs/>
      <w:sz w:val="20"/>
      <w:szCs w:val="20"/>
    </w:rPr>
  </w:style>
  <w:style w:type="paragraph" w:styleId="BalloonText">
    <w:name w:val="Balloon Text"/>
    <w:basedOn w:val="Normal"/>
    <w:link w:val="BalloonTextChar"/>
    <w:uiPriority w:val="99"/>
    <w:semiHidden/>
    <w:unhideWhenUsed/>
    <w:rsid w:val="004A6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C66"/>
    <w:rPr>
      <w:rFonts w:ascii="Segoe UI" w:hAnsi="Segoe UI" w:cs="Segoe UI"/>
      <w:sz w:val="18"/>
      <w:szCs w:val="18"/>
    </w:rPr>
  </w:style>
  <w:style w:type="character" w:customStyle="1" w:styleId="Heading2Char">
    <w:name w:val="Heading 2 Char"/>
    <w:basedOn w:val="DefaultParagraphFont"/>
    <w:link w:val="Heading2"/>
    <w:uiPriority w:val="9"/>
    <w:rsid w:val="006E573A"/>
    <w:rPr>
      <w:rFonts w:asciiTheme="majorHAnsi" w:eastAsiaTheme="majorEastAsia" w:hAnsiTheme="majorHAnsi" w:cstheme="majorBidi"/>
      <w:b/>
      <w:bCs/>
      <w:color w:val="4F81BD" w:themeColor="accent1"/>
      <w:sz w:val="26"/>
      <w:szCs w:val="26"/>
      <w:lang w:eastAsia="en-GB"/>
    </w:rPr>
  </w:style>
  <w:style w:type="character" w:customStyle="1" w:styleId="apple-converted-space">
    <w:name w:val="apple-converted-space"/>
    <w:basedOn w:val="DefaultParagraphFont"/>
    <w:rsid w:val="006E573A"/>
  </w:style>
  <w:style w:type="paragraph" w:styleId="NormalWeb">
    <w:name w:val="Normal (Web)"/>
    <w:basedOn w:val="Normal"/>
    <w:uiPriority w:val="99"/>
    <w:unhideWhenUsed/>
    <w:rsid w:val="006E57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A71DFF"/>
    <w:rPr>
      <w:rFonts w:ascii="Brill-Roman" w:hAnsi="Brill-Roman" w:hint="default"/>
      <w:b w:val="0"/>
      <w:bCs w:val="0"/>
      <w:i w:val="0"/>
      <w:iCs w:val="0"/>
      <w:color w:val="231F20"/>
      <w:sz w:val="22"/>
      <w:szCs w:val="22"/>
    </w:rPr>
  </w:style>
  <w:style w:type="character" w:customStyle="1" w:styleId="s7d2086b4">
    <w:name w:val="s7d2086b4"/>
    <w:basedOn w:val="DefaultParagraphFont"/>
    <w:rsid w:val="00EE2C1E"/>
  </w:style>
  <w:style w:type="paragraph" w:styleId="Header">
    <w:name w:val="header"/>
    <w:basedOn w:val="Normal"/>
    <w:link w:val="HeaderChar"/>
    <w:uiPriority w:val="99"/>
    <w:unhideWhenUsed/>
    <w:rsid w:val="006D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BD4"/>
  </w:style>
  <w:style w:type="paragraph" w:styleId="Footer">
    <w:name w:val="footer"/>
    <w:basedOn w:val="Normal"/>
    <w:link w:val="FooterChar"/>
    <w:uiPriority w:val="99"/>
    <w:unhideWhenUsed/>
    <w:rsid w:val="006D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BD4"/>
  </w:style>
  <w:style w:type="character" w:customStyle="1" w:styleId="Heading1Char">
    <w:name w:val="Heading 1 Char"/>
    <w:basedOn w:val="DefaultParagraphFont"/>
    <w:link w:val="Heading1"/>
    <w:uiPriority w:val="9"/>
    <w:rsid w:val="0033712D"/>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3712D"/>
    <w:rPr>
      <w:i/>
      <w:iCs/>
    </w:rPr>
  </w:style>
  <w:style w:type="character" w:customStyle="1" w:styleId="slug-pub-date">
    <w:name w:val="slug-pub-date"/>
    <w:basedOn w:val="DefaultParagraphFont"/>
    <w:rsid w:val="0033712D"/>
  </w:style>
  <w:style w:type="character" w:customStyle="1" w:styleId="slug-vol">
    <w:name w:val="slug-vol"/>
    <w:basedOn w:val="DefaultParagraphFont"/>
    <w:rsid w:val="0033712D"/>
  </w:style>
  <w:style w:type="character" w:customStyle="1" w:styleId="slug-issue">
    <w:name w:val="slug-issue"/>
    <w:basedOn w:val="DefaultParagraphFont"/>
    <w:rsid w:val="0033712D"/>
  </w:style>
  <w:style w:type="character" w:customStyle="1" w:styleId="slug-pages">
    <w:name w:val="slug-pages"/>
    <w:basedOn w:val="DefaultParagraphFont"/>
    <w:rsid w:val="0033712D"/>
  </w:style>
  <w:style w:type="character" w:customStyle="1" w:styleId="sb8d990e2">
    <w:name w:val="sb8d990e2"/>
    <w:basedOn w:val="DefaultParagraphFont"/>
    <w:rsid w:val="00EF4205"/>
  </w:style>
  <w:style w:type="character" w:styleId="Strong">
    <w:name w:val="Strong"/>
    <w:basedOn w:val="DefaultParagraphFont"/>
    <w:uiPriority w:val="22"/>
    <w:qFormat/>
    <w:rsid w:val="00901F45"/>
    <w:rPr>
      <w:b/>
      <w:bCs/>
    </w:rPr>
  </w:style>
  <w:style w:type="paragraph" w:styleId="BodyText2">
    <w:name w:val="Body Text 2"/>
    <w:basedOn w:val="Normal"/>
    <w:link w:val="BodyText2Char"/>
    <w:rsid w:val="00996F6F"/>
    <w:pPr>
      <w:spacing w:after="0" w:line="240" w:lineRule="auto"/>
      <w:jc w:val="both"/>
    </w:pPr>
    <w:rPr>
      <w:rFonts w:ascii="Times New Roman" w:eastAsia="Times New Roman" w:hAnsi="Times New Roman" w:cs="Times New Roman"/>
      <w:b/>
      <w:sz w:val="20"/>
      <w:szCs w:val="20"/>
    </w:rPr>
  </w:style>
  <w:style w:type="character" w:customStyle="1" w:styleId="BodyText2Char">
    <w:name w:val="Body Text 2 Char"/>
    <w:basedOn w:val="DefaultParagraphFont"/>
    <w:link w:val="BodyText2"/>
    <w:rsid w:val="00996F6F"/>
    <w:rPr>
      <w:rFonts w:ascii="Times New Roman" w:eastAsia="Times New Roman" w:hAnsi="Times New Roman" w:cs="Times New Roman"/>
      <w:b/>
      <w:sz w:val="20"/>
      <w:szCs w:val="20"/>
    </w:rPr>
  </w:style>
  <w:style w:type="character" w:customStyle="1" w:styleId="fn">
    <w:name w:val="fn"/>
    <w:basedOn w:val="DefaultParagraphFont"/>
    <w:rsid w:val="00C67982"/>
  </w:style>
  <w:style w:type="character" w:customStyle="1" w:styleId="Subtitle1">
    <w:name w:val="Subtitle1"/>
    <w:basedOn w:val="DefaultParagraphFont"/>
    <w:rsid w:val="00C67982"/>
  </w:style>
  <w:style w:type="character" w:customStyle="1" w:styleId="highwire-cite-metadata-journal">
    <w:name w:val="highwire-cite-metadata-journal"/>
    <w:basedOn w:val="DefaultParagraphFont"/>
    <w:rsid w:val="00D52CAB"/>
  </w:style>
  <w:style w:type="character" w:customStyle="1" w:styleId="highwire-cite-metadata-date">
    <w:name w:val="highwire-cite-metadata-date"/>
    <w:basedOn w:val="DefaultParagraphFont"/>
    <w:rsid w:val="00D52CAB"/>
  </w:style>
  <w:style w:type="character" w:customStyle="1" w:styleId="highwire-cite-metadata-volume">
    <w:name w:val="highwire-cite-metadata-volume"/>
    <w:basedOn w:val="DefaultParagraphFont"/>
    <w:rsid w:val="00D52CAB"/>
  </w:style>
  <w:style w:type="character" w:customStyle="1" w:styleId="highwire-cite-metadata-issue">
    <w:name w:val="highwire-cite-metadata-issue"/>
    <w:basedOn w:val="DefaultParagraphFont"/>
    <w:rsid w:val="00D52CAB"/>
  </w:style>
  <w:style w:type="character" w:customStyle="1" w:styleId="highwire-cite-metadata-pages">
    <w:name w:val="highwire-cite-metadata-pages"/>
    <w:basedOn w:val="DefaultParagraphFont"/>
    <w:rsid w:val="00D52CAB"/>
  </w:style>
  <w:style w:type="character" w:customStyle="1" w:styleId="fontstyle21">
    <w:name w:val="fontstyle21"/>
    <w:basedOn w:val="DefaultParagraphFont"/>
    <w:rsid w:val="004D1C2C"/>
    <w:rPr>
      <w:rFonts w:ascii="FoundryContext-Regular" w:hAnsi="FoundryContext-Regular" w:hint="default"/>
      <w:b w:val="0"/>
      <w:bCs w:val="0"/>
      <w:i w:val="0"/>
      <w:iCs w:val="0"/>
      <w:color w:val="FFFFF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5635">
      <w:bodyDiv w:val="1"/>
      <w:marLeft w:val="0"/>
      <w:marRight w:val="0"/>
      <w:marTop w:val="0"/>
      <w:marBottom w:val="0"/>
      <w:divBdr>
        <w:top w:val="none" w:sz="0" w:space="0" w:color="auto"/>
        <w:left w:val="none" w:sz="0" w:space="0" w:color="auto"/>
        <w:bottom w:val="none" w:sz="0" w:space="0" w:color="auto"/>
        <w:right w:val="none" w:sz="0" w:space="0" w:color="auto"/>
      </w:divBdr>
    </w:div>
    <w:div w:id="137765798">
      <w:bodyDiv w:val="1"/>
      <w:marLeft w:val="0"/>
      <w:marRight w:val="0"/>
      <w:marTop w:val="0"/>
      <w:marBottom w:val="0"/>
      <w:divBdr>
        <w:top w:val="none" w:sz="0" w:space="0" w:color="auto"/>
        <w:left w:val="none" w:sz="0" w:space="0" w:color="auto"/>
        <w:bottom w:val="none" w:sz="0" w:space="0" w:color="auto"/>
        <w:right w:val="none" w:sz="0" w:space="0" w:color="auto"/>
      </w:divBdr>
    </w:div>
    <w:div w:id="160849260">
      <w:bodyDiv w:val="1"/>
      <w:marLeft w:val="0"/>
      <w:marRight w:val="0"/>
      <w:marTop w:val="0"/>
      <w:marBottom w:val="0"/>
      <w:divBdr>
        <w:top w:val="none" w:sz="0" w:space="0" w:color="auto"/>
        <w:left w:val="none" w:sz="0" w:space="0" w:color="auto"/>
        <w:bottom w:val="none" w:sz="0" w:space="0" w:color="auto"/>
        <w:right w:val="none" w:sz="0" w:space="0" w:color="auto"/>
      </w:divBdr>
    </w:div>
    <w:div w:id="177543230">
      <w:bodyDiv w:val="1"/>
      <w:marLeft w:val="0"/>
      <w:marRight w:val="0"/>
      <w:marTop w:val="0"/>
      <w:marBottom w:val="0"/>
      <w:divBdr>
        <w:top w:val="none" w:sz="0" w:space="0" w:color="auto"/>
        <w:left w:val="none" w:sz="0" w:space="0" w:color="auto"/>
        <w:bottom w:val="none" w:sz="0" w:space="0" w:color="auto"/>
        <w:right w:val="none" w:sz="0" w:space="0" w:color="auto"/>
      </w:divBdr>
    </w:div>
    <w:div w:id="917787995">
      <w:bodyDiv w:val="1"/>
      <w:marLeft w:val="0"/>
      <w:marRight w:val="0"/>
      <w:marTop w:val="0"/>
      <w:marBottom w:val="0"/>
      <w:divBdr>
        <w:top w:val="none" w:sz="0" w:space="0" w:color="auto"/>
        <w:left w:val="none" w:sz="0" w:space="0" w:color="auto"/>
        <w:bottom w:val="none" w:sz="0" w:space="0" w:color="auto"/>
        <w:right w:val="none" w:sz="0" w:space="0" w:color="auto"/>
      </w:divBdr>
    </w:div>
    <w:div w:id="986594617">
      <w:bodyDiv w:val="1"/>
      <w:marLeft w:val="0"/>
      <w:marRight w:val="0"/>
      <w:marTop w:val="0"/>
      <w:marBottom w:val="0"/>
      <w:divBdr>
        <w:top w:val="none" w:sz="0" w:space="0" w:color="auto"/>
        <w:left w:val="none" w:sz="0" w:space="0" w:color="auto"/>
        <w:bottom w:val="none" w:sz="0" w:space="0" w:color="auto"/>
        <w:right w:val="none" w:sz="0" w:space="0" w:color="auto"/>
      </w:divBdr>
    </w:div>
    <w:div w:id="1028989159">
      <w:bodyDiv w:val="1"/>
      <w:marLeft w:val="0"/>
      <w:marRight w:val="0"/>
      <w:marTop w:val="0"/>
      <w:marBottom w:val="0"/>
      <w:divBdr>
        <w:top w:val="none" w:sz="0" w:space="0" w:color="auto"/>
        <w:left w:val="none" w:sz="0" w:space="0" w:color="auto"/>
        <w:bottom w:val="none" w:sz="0" w:space="0" w:color="auto"/>
        <w:right w:val="none" w:sz="0" w:space="0" w:color="auto"/>
      </w:divBdr>
    </w:div>
    <w:div w:id="1182545501">
      <w:bodyDiv w:val="1"/>
      <w:marLeft w:val="0"/>
      <w:marRight w:val="0"/>
      <w:marTop w:val="0"/>
      <w:marBottom w:val="0"/>
      <w:divBdr>
        <w:top w:val="none" w:sz="0" w:space="0" w:color="auto"/>
        <w:left w:val="none" w:sz="0" w:space="0" w:color="auto"/>
        <w:bottom w:val="none" w:sz="0" w:space="0" w:color="auto"/>
        <w:right w:val="none" w:sz="0" w:space="0" w:color="auto"/>
      </w:divBdr>
      <w:divsChild>
        <w:div w:id="938176151">
          <w:marLeft w:val="0"/>
          <w:marRight w:val="0"/>
          <w:marTop w:val="0"/>
          <w:marBottom w:val="0"/>
          <w:divBdr>
            <w:top w:val="none" w:sz="0" w:space="0" w:color="auto"/>
            <w:left w:val="none" w:sz="0" w:space="0" w:color="auto"/>
            <w:bottom w:val="none" w:sz="0" w:space="0" w:color="auto"/>
            <w:right w:val="none" w:sz="0" w:space="0" w:color="auto"/>
          </w:divBdr>
        </w:div>
        <w:div w:id="1120029476">
          <w:marLeft w:val="0"/>
          <w:marRight w:val="0"/>
          <w:marTop w:val="0"/>
          <w:marBottom w:val="0"/>
          <w:divBdr>
            <w:top w:val="none" w:sz="0" w:space="0" w:color="auto"/>
            <w:left w:val="none" w:sz="0" w:space="0" w:color="auto"/>
            <w:bottom w:val="none" w:sz="0" w:space="0" w:color="auto"/>
            <w:right w:val="none" w:sz="0" w:space="0" w:color="auto"/>
          </w:divBdr>
        </w:div>
      </w:divsChild>
    </w:div>
    <w:div w:id="1281567669">
      <w:bodyDiv w:val="1"/>
      <w:marLeft w:val="0"/>
      <w:marRight w:val="0"/>
      <w:marTop w:val="0"/>
      <w:marBottom w:val="0"/>
      <w:divBdr>
        <w:top w:val="none" w:sz="0" w:space="0" w:color="auto"/>
        <w:left w:val="none" w:sz="0" w:space="0" w:color="auto"/>
        <w:bottom w:val="none" w:sz="0" w:space="0" w:color="auto"/>
        <w:right w:val="none" w:sz="0" w:space="0" w:color="auto"/>
      </w:divBdr>
    </w:div>
    <w:div w:id="1797259354">
      <w:bodyDiv w:val="1"/>
      <w:marLeft w:val="0"/>
      <w:marRight w:val="0"/>
      <w:marTop w:val="0"/>
      <w:marBottom w:val="0"/>
      <w:divBdr>
        <w:top w:val="none" w:sz="0" w:space="0" w:color="auto"/>
        <w:left w:val="none" w:sz="0" w:space="0" w:color="auto"/>
        <w:bottom w:val="none" w:sz="0" w:space="0" w:color="auto"/>
        <w:right w:val="none" w:sz="0" w:space="0" w:color="auto"/>
      </w:divBdr>
    </w:div>
    <w:div w:id="1852137549">
      <w:bodyDiv w:val="1"/>
      <w:marLeft w:val="0"/>
      <w:marRight w:val="0"/>
      <w:marTop w:val="0"/>
      <w:marBottom w:val="0"/>
      <w:divBdr>
        <w:top w:val="none" w:sz="0" w:space="0" w:color="auto"/>
        <w:left w:val="none" w:sz="0" w:space="0" w:color="auto"/>
        <w:bottom w:val="none" w:sz="0" w:space="0" w:color="auto"/>
        <w:right w:val="none" w:sz="0" w:space="0" w:color="auto"/>
      </w:divBdr>
    </w:div>
    <w:div w:id="2029985307">
      <w:bodyDiv w:val="1"/>
      <w:marLeft w:val="0"/>
      <w:marRight w:val="0"/>
      <w:marTop w:val="0"/>
      <w:marBottom w:val="0"/>
      <w:divBdr>
        <w:top w:val="none" w:sz="0" w:space="0" w:color="auto"/>
        <w:left w:val="none" w:sz="0" w:space="0" w:color="auto"/>
        <w:bottom w:val="none" w:sz="0" w:space="0" w:color="auto"/>
        <w:right w:val="none" w:sz="0" w:space="0" w:color="auto"/>
      </w:divBdr>
    </w:div>
    <w:div w:id="20993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bailii.org/uk/cases/UKUT/IAC/2015/233.html" TargetMode="External"/><Relationship Id="rId2" Type="http://schemas.openxmlformats.org/officeDocument/2006/relationships/hyperlink" Target="http://www.brill.com/search/imprint/brill-nijhoff" TargetMode="External"/><Relationship Id="rId1" Type="http://schemas.openxmlformats.org/officeDocument/2006/relationships/hyperlink" Target="http://tools.wmflabs.org/bibleversefinder2/?book=1%20Kings&amp;verse=3:16-28&amp;src=HE" TargetMode="External"/><Relationship Id="rId4" Type="http://schemas.openxmlformats.org/officeDocument/2006/relationships/hyperlink" Target="http://www.bailii.org/ew/cases/EWCA/Civ/2014/8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3B22-3FDC-4BB3-AD3B-C4041B46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5356</Words>
  <Characters>30532</Characters>
  <Application>Microsoft Office Word</Application>
  <DocSecurity>0</DocSecurity>
  <Lines>254</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UA</Company>
  <LinksUpToDate>false</LinksUpToDate>
  <CharactersWithSpaces>35817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29</cp:revision>
  <cp:lastPrinted>2016-10-17T05:05:00Z</cp:lastPrinted>
  <dcterms:created xsi:type="dcterms:W3CDTF">2016-10-24T09:01:00Z</dcterms:created>
  <dcterms:modified xsi:type="dcterms:W3CDTF">2016-11-07T14:31:00Z</dcterms:modified>
</cp:coreProperties>
</file>