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68A9F" w14:textId="77777777" w:rsidR="00C34848" w:rsidRPr="00C2215F" w:rsidRDefault="00C34848" w:rsidP="00D6056D">
      <w:pPr>
        <w:jc w:val="both"/>
        <w:rPr>
          <w:rFonts w:ascii="Times New Roman" w:hAnsi="Times New Roman" w:cs="Times New Roman"/>
        </w:rPr>
      </w:pPr>
      <w:bookmarkStart w:id="0" w:name="_GoBack"/>
      <w:bookmarkEnd w:id="0"/>
    </w:p>
    <w:p w14:paraId="1AD161B0" w14:textId="20E59D3B" w:rsidR="00C34848" w:rsidRPr="00C2215F" w:rsidRDefault="00C34848" w:rsidP="00110FD7">
      <w:pPr>
        <w:jc w:val="center"/>
        <w:rPr>
          <w:rFonts w:ascii="Times New Roman" w:hAnsi="Times New Roman" w:cs="Times New Roman"/>
          <w:b/>
        </w:rPr>
      </w:pPr>
      <w:r w:rsidRPr="00C2215F">
        <w:rPr>
          <w:rFonts w:ascii="Times New Roman" w:hAnsi="Times New Roman" w:cs="Times New Roman"/>
          <w:b/>
        </w:rPr>
        <w:t>Repudiatory</w:t>
      </w:r>
      <w:r w:rsidR="00900DEB">
        <w:rPr>
          <w:rFonts w:ascii="Times New Roman" w:hAnsi="Times New Roman" w:cs="Times New Roman"/>
          <w:b/>
        </w:rPr>
        <w:t xml:space="preserve"> Breach of Leases </w:t>
      </w:r>
      <w:r w:rsidRPr="00C2215F">
        <w:rPr>
          <w:rFonts w:ascii="Times New Roman" w:hAnsi="Times New Roman" w:cs="Times New Roman"/>
          <w:b/>
        </w:rPr>
        <w:t xml:space="preserve">– </w:t>
      </w:r>
      <w:r w:rsidR="00900DEB">
        <w:rPr>
          <w:rFonts w:ascii="Times New Roman" w:hAnsi="Times New Roman" w:cs="Times New Roman"/>
          <w:b/>
        </w:rPr>
        <w:t>Hard Lessons for the ‘Contractualisation’ of Leas</w:t>
      </w:r>
      <w:r w:rsidR="00631472">
        <w:rPr>
          <w:rFonts w:ascii="Times New Roman" w:hAnsi="Times New Roman" w:cs="Times New Roman"/>
          <w:b/>
        </w:rPr>
        <w:t>e</w:t>
      </w:r>
      <w:r w:rsidR="00900DEB">
        <w:rPr>
          <w:rFonts w:ascii="Times New Roman" w:hAnsi="Times New Roman" w:cs="Times New Roman"/>
          <w:b/>
        </w:rPr>
        <w:t>hold Law</w:t>
      </w:r>
      <w:r w:rsidR="00032E3D" w:rsidRPr="00C2215F">
        <w:rPr>
          <w:rFonts w:ascii="Times New Roman" w:hAnsi="Times New Roman" w:cs="Times New Roman"/>
          <w:b/>
        </w:rPr>
        <w:t xml:space="preserve"> </w:t>
      </w:r>
    </w:p>
    <w:p w14:paraId="0AE0F083" w14:textId="4137C4D2" w:rsidR="00110FD7" w:rsidRDefault="00110FD7" w:rsidP="00110FD7">
      <w:pPr>
        <w:jc w:val="center"/>
        <w:rPr>
          <w:rFonts w:ascii="Times New Roman" w:hAnsi="Times New Roman" w:cs="Times New Roman"/>
        </w:rPr>
      </w:pPr>
    </w:p>
    <w:p w14:paraId="72778CC8" w14:textId="59BEDCEE" w:rsidR="00110FD7" w:rsidRDefault="00770CAA" w:rsidP="00110FD7">
      <w:pPr>
        <w:jc w:val="center"/>
        <w:rPr>
          <w:rFonts w:ascii="Times New Roman" w:hAnsi="Times New Roman" w:cs="Times New Roman"/>
        </w:rPr>
      </w:pPr>
      <w:r>
        <w:rPr>
          <w:rFonts w:ascii="Times New Roman" w:hAnsi="Times New Roman" w:cs="Times New Roman"/>
        </w:rPr>
        <w:t>By</w:t>
      </w:r>
    </w:p>
    <w:p w14:paraId="23C9147C" w14:textId="77777777" w:rsidR="00770CAA" w:rsidRPr="00C2215F" w:rsidRDefault="00770CAA" w:rsidP="00110FD7">
      <w:pPr>
        <w:jc w:val="center"/>
        <w:rPr>
          <w:rFonts w:ascii="Times New Roman" w:hAnsi="Times New Roman" w:cs="Times New Roman"/>
        </w:rPr>
      </w:pPr>
    </w:p>
    <w:p w14:paraId="0611B96C" w14:textId="3694E031" w:rsidR="00110FD7" w:rsidRPr="00C2215F" w:rsidRDefault="00110FD7" w:rsidP="00CC7756">
      <w:pPr>
        <w:jc w:val="center"/>
        <w:outlineLvl w:val="0"/>
        <w:rPr>
          <w:rFonts w:ascii="Times New Roman" w:hAnsi="Times New Roman" w:cs="Times New Roman"/>
        </w:rPr>
      </w:pPr>
      <w:r w:rsidRPr="00C2215F">
        <w:rPr>
          <w:rFonts w:ascii="Times New Roman" w:hAnsi="Times New Roman" w:cs="Times New Roman"/>
        </w:rPr>
        <w:t>Professor Warren Barr</w:t>
      </w:r>
      <w:r w:rsidR="00CF2649" w:rsidRPr="00C2215F">
        <w:rPr>
          <w:rStyle w:val="FootnoteReference"/>
          <w:rFonts w:ascii="Times New Roman" w:hAnsi="Times New Roman" w:cs="Times New Roman"/>
          <w:b/>
        </w:rPr>
        <w:footnoteReference w:id="1"/>
      </w:r>
    </w:p>
    <w:p w14:paraId="71032711" w14:textId="77777777" w:rsidR="00110FD7" w:rsidRPr="00C2215F" w:rsidRDefault="00110FD7" w:rsidP="00110FD7">
      <w:pPr>
        <w:jc w:val="center"/>
        <w:rPr>
          <w:rFonts w:ascii="Times New Roman" w:hAnsi="Times New Roman" w:cs="Times New Roman"/>
        </w:rPr>
      </w:pPr>
    </w:p>
    <w:p w14:paraId="66F0546E" w14:textId="4EE5AF03" w:rsidR="00110FD7" w:rsidRPr="00C2215F" w:rsidRDefault="00110FD7" w:rsidP="00CC7756">
      <w:pPr>
        <w:jc w:val="center"/>
        <w:outlineLvl w:val="0"/>
        <w:rPr>
          <w:rFonts w:ascii="Times New Roman" w:hAnsi="Times New Roman" w:cs="Times New Roman"/>
        </w:rPr>
      </w:pPr>
      <w:r w:rsidRPr="00C2215F">
        <w:rPr>
          <w:rFonts w:ascii="Times New Roman" w:hAnsi="Times New Roman" w:cs="Times New Roman"/>
        </w:rPr>
        <w:t>School of Law &amp; Social Justice, University of Liverpool</w:t>
      </w:r>
    </w:p>
    <w:p w14:paraId="78A8FB14" w14:textId="77777777" w:rsidR="00032E3D" w:rsidRPr="00C2215F" w:rsidRDefault="00032E3D" w:rsidP="00D6056D">
      <w:pPr>
        <w:jc w:val="both"/>
        <w:rPr>
          <w:rFonts w:ascii="Times New Roman" w:hAnsi="Times New Roman" w:cs="Times New Roman"/>
          <w:b/>
          <w:bCs/>
          <w:i/>
          <w:u w:val="single"/>
        </w:rPr>
      </w:pPr>
    </w:p>
    <w:p w14:paraId="3A7D0D27" w14:textId="52E11317" w:rsidR="00557B83" w:rsidRPr="00C2215F" w:rsidRDefault="006E6B90" w:rsidP="00EE2F90">
      <w:pPr>
        <w:pStyle w:val="ListParagraph"/>
        <w:numPr>
          <w:ilvl w:val="0"/>
          <w:numId w:val="11"/>
        </w:numPr>
        <w:jc w:val="both"/>
        <w:rPr>
          <w:rFonts w:ascii="Times New Roman" w:hAnsi="Times New Roman" w:cs="Times New Roman"/>
          <w:u w:val="single"/>
        </w:rPr>
      </w:pPr>
      <w:r w:rsidRPr="00C2215F">
        <w:rPr>
          <w:rFonts w:ascii="Times New Roman" w:hAnsi="Times New Roman" w:cs="Times New Roman"/>
          <w:u w:val="single"/>
        </w:rPr>
        <w:t>Introduction</w:t>
      </w:r>
    </w:p>
    <w:p w14:paraId="7917A666" w14:textId="77777777" w:rsidR="00036856" w:rsidRPr="00C2215F" w:rsidRDefault="00036856" w:rsidP="00D6056D">
      <w:pPr>
        <w:jc w:val="both"/>
        <w:rPr>
          <w:rFonts w:ascii="Times New Roman" w:hAnsi="Times New Roman" w:cs="Times New Roman"/>
        </w:rPr>
      </w:pPr>
    </w:p>
    <w:p w14:paraId="07B7AEBB" w14:textId="56D0CECA" w:rsidR="00036856" w:rsidRPr="00C2215F" w:rsidRDefault="00846F51" w:rsidP="00D6056D">
      <w:pPr>
        <w:jc w:val="both"/>
        <w:rPr>
          <w:rFonts w:ascii="Times New Roman" w:hAnsi="Times New Roman" w:cs="Times New Roman"/>
        </w:rPr>
      </w:pPr>
      <w:r>
        <w:rPr>
          <w:rFonts w:ascii="Times New Roman" w:hAnsi="Times New Roman" w:cs="Times New Roman"/>
        </w:rPr>
        <w:t xml:space="preserve">A considerable period of </w:t>
      </w:r>
      <w:r w:rsidR="007F3948">
        <w:rPr>
          <w:rFonts w:ascii="Times New Roman" w:hAnsi="Times New Roman" w:cs="Times New Roman"/>
        </w:rPr>
        <w:t>time has</w:t>
      </w:r>
      <w:r w:rsidR="00FE7629" w:rsidRPr="00C2215F">
        <w:rPr>
          <w:rFonts w:ascii="Times New Roman" w:hAnsi="Times New Roman" w:cs="Times New Roman"/>
        </w:rPr>
        <w:t xml:space="preserve"> passed </w:t>
      </w:r>
      <w:r w:rsidR="007F3948">
        <w:rPr>
          <w:rFonts w:ascii="Times New Roman" w:hAnsi="Times New Roman" w:cs="Times New Roman"/>
        </w:rPr>
        <w:t>since the English courts acknowledged that contractual termination principles could be applied to leases</w:t>
      </w:r>
      <w:r w:rsidR="00FE7629" w:rsidRPr="00C2215F">
        <w:rPr>
          <w:rFonts w:ascii="Times New Roman" w:hAnsi="Times New Roman" w:cs="Times New Roman"/>
        </w:rPr>
        <w:t xml:space="preserve"> – first frustration in 1981, by the then House of Lords,</w:t>
      </w:r>
      <w:r w:rsidR="00770CAA">
        <w:rPr>
          <w:rStyle w:val="FootnoteReference"/>
          <w:rFonts w:ascii="Times New Roman" w:hAnsi="Times New Roman" w:cs="Times New Roman"/>
        </w:rPr>
        <w:footnoteReference w:id="2"/>
      </w:r>
      <w:r w:rsidR="00FE7629" w:rsidRPr="00C2215F">
        <w:rPr>
          <w:rFonts w:ascii="Times New Roman" w:hAnsi="Times New Roman" w:cs="Times New Roman"/>
        </w:rPr>
        <w:t xml:space="preserve"> second, repudiatory b</w:t>
      </w:r>
      <w:r w:rsidR="007C0F1A">
        <w:rPr>
          <w:rFonts w:ascii="Times New Roman" w:hAnsi="Times New Roman" w:cs="Times New Roman"/>
        </w:rPr>
        <w:t>reach of contract, in 1992</w:t>
      </w:r>
      <w:r w:rsidR="00FE7629" w:rsidRPr="00C2215F">
        <w:rPr>
          <w:rFonts w:ascii="Times New Roman" w:hAnsi="Times New Roman" w:cs="Times New Roman"/>
        </w:rPr>
        <w:t>.</w:t>
      </w:r>
      <w:r w:rsidR="00770CAA">
        <w:rPr>
          <w:rStyle w:val="FootnoteReference"/>
          <w:rFonts w:ascii="Times New Roman" w:hAnsi="Times New Roman" w:cs="Times New Roman"/>
        </w:rPr>
        <w:footnoteReference w:id="3"/>
      </w:r>
      <w:r w:rsidR="00FE7629" w:rsidRPr="00C2215F">
        <w:rPr>
          <w:rFonts w:ascii="Times New Roman" w:hAnsi="Times New Roman" w:cs="Times New Roman"/>
        </w:rPr>
        <w:t xml:space="preserve">  In the intervening years, there have been a handful of reported cases in England and Wales, which have sought to clarify the operation of repudiatory breach of contract as it applies to the leasehold bargain, though non</w:t>
      </w:r>
      <w:r w:rsidR="0030087B" w:rsidRPr="00C2215F">
        <w:rPr>
          <w:rFonts w:ascii="Times New Roman" w:hAnsi="Times New Roman" w:cs="Times New Roman"/>
        </w:rPr>
        <w:t>e</w:t>
      </w:r>
      <w:r w:rsidR="00FE7629" w:rsidRPr="00C2215F">
        <w:rPr>
          <w:rFonts w:ascii="Times New Roman" w:hAnsi="Times New Roman" w:cs="Times New Roman"/>
        </w:rPr>
        <w:t xml:space="preserve"> at appellate level where the operation of that doctrine has been central to</w:t>
      </w:r>
      <w:r w:rsidR="00CC45D5">
        <w:rPr>
          <w:rFonts w:ascii="Times New Roman" w:hAnsi="Times New Roman" w:cs="Times New Roman"/>
        </w:rPr>
        <w:t xml:space="preserve"> the</w:t>
      </w:r>
      <w:r w:rsidR="00FE7629" w:rsidRPr="00C2215F">
        <w:rPr>
          <w:rFonts w:ascii="Times New Roman" w:hAnsi="Times New Roman" w:cs="Times New Roman"/>
        </w:rPr>
        <w:t xml:space="preserve"> case presented.</w:t>
      </w:r>
    </w:p>
    <w:p w14:paraId="095E3BA9" w14:textId="77777777" w:rsidR="00FE7629" w:rsidRPr="00C2215F" w:rsidRDefault="00FE7629" w:rsidP="00D6056D">
      <w:pPr>
        <w:jc w:val="both"/>
        <w:rPr>
          <w:rFonts w:ascii="Times New Roman" w:hAnsi="Times New Roman" w:cs="Times New Roman"/>
        </w:rPr>
      </w:pPr>
    </w:p>
    <w:p w14:paraId="0C30567D" w14:textId="03F38FC4" w:rsidR="0030087B" w:rsidRPr="00C2215F" w:rsidRDefault="00FE7629" w:rsidP="00D6056D">
      <w:pPr>
        <w:jc w:val="both"/>
        <w:rPr>
          <w:rFonts w:ascii="Times New Roman" w:hAnsi="Times New Roman" w:cs="Times New Roman"/>
        </w:rPr>
      </w:pPr>
      <w:r w:rsidRPr="00C2215F">
        <w:rPr>
          <w:rFonts w:ascii="Times New Roman" w:hAnsi="Times New Roman" w:cs="Times New Roman"/>
        </w:rPr>
        <w:t>This is, in a very real sense, perplexing.  In the intervening years, the property market has felt the effects of numerous financial crises, before and after the deep global recession triggered by the American sub-prime mortgage market.  One might have expected a veritable rash of both landlords and tenant seeking to terminate leases in these troubling economic conditions, but</w:t>
      </w:r>
      <w:r w:rsidR="0009461D">
        <w:rPr>
          <w:rFonts w:ascii="Times New Roman" w:hAnsi="Times New Roman" w:cs="Times New Roman"/>
        </w:rPr>
        <w:t xml:space="preserve"> </w:t>
      </w:r>
      <w:r w:rsidRPr="00C2215F">
        <w:rPr>
          <w:rFonts w:ascii="Times New Roman" w:hAnsi="Times New Roman" w:cs="Times New Roman"/>
        </w:rPr>
        <w:t>this has not happened or, at least</w:t>
      </w:r>
      <w:r w:rsidR="0009461D">
        <w:rPr>
          <w:rFonts w:ascii="Times New Roman" w:hAnsi="Times New Roman" w:cs="Times New Roman"/>
        </w:rPr>
        <w:t>,</w:t>
      </w:r>
      <w:r w:rsidRPr="00C2215F">
        <w:rPr>
          <w:rFonts w:ascii="Times New Roman" w:hAnsi="Times New Roman" w:cs="Times New Roman"/>
        </w:rPr>
        <w:t xml:space="preserve"> the reported cases do not suggest that it has, as they are </w:t>
      </w:r>
      <w:r w:rsidR="007F3948">
        <w:rPr>
          <w:rFonts w:ascii="Times New Roman" w:hAnsi="Times New Roman" w:cs="Times New Roman"/>
        </w:rPr>
        <w:t>both scant in number and scope.</w:t>
      </w:r>
      <w:r w:rsidR="007F3948">
        <w:rPr>
          <w:rStyle w:val="FootnoteReference"/>
          <w:rFonts w:ascii="Times New Roman" w:hAnsi="Times New Roman" w:cs="Times New Roman"/>
        </w:rPr>
        <w:footnoteReference w:id="4"/>
      </w:r>
    </w:p>
    <w:p w14:paraId="3572A886" w14:textId="77777777" w:rsidR="0030087B" w:rsidRPr="00C2215F" w:rsidRDefault="0030087B" w:rsidP="00D6056D">
      <w:pPr>
        <w:jc w:val="both"/>
        <w:rPr>
          <w:rFonts w:ascii="Times New Roman" w:hAnsi="Times New Roman" w:cs="Times New Roman"/>
        </w:rPr>
      </w:pPr>
    </w:p>
    <w:p w14:paraId="14AA5311" w14:textId="6FE330B1" w:rsidR="00FE7629" w:rsidRPr="00C2215F" w:rsidRDefault="00D703E2" w:rsidP="00D6056D">
      <w:pPr>
        <w:jc w:val="both"/>
        <w:rPr>
          <w:rFonts w:ascii="Times New Roman" w:hAnsi="Times New Roman" w:cs="Times New Roman"/>
        </w:rPr>
      </w:pPr>
      <w:r w:rsidRPr="00C2215F">
        <w:rPr>
          <w:rFonts w:ascii="Times New Roman" w:hAnsi="Times New Roman" w:cs="Times New Roman"/>
        </w:rPr>
        <w:t>That said, a</w:t>
      </w:r>
      <w:r w:rsidR="00FE7629" w:rsidRPr="00C2215F">
        <w:rPr>
          <w:rFonts w:ascii="Times New Roman" w:hAnsi="Times New Roman" w:cs="Times New Roman"/>
        </w:rPr>
        <w:t xml:space="preserve"> reasonable amount of academic and </w:t>
      </w:r>
      <w:r w:rsidR="005B3EFB" w:rsidRPr="00C2215F">
        <w:rPr>
          <w:rFonts w:ascii="Times New Roman" w:hAnsi="Times New Roman" w:cs="Times New Roman"/>
        </w:rPr>
        <w:t xml:space="preserve">(extra-) </w:t>
      </w:r>
      <w:r w:rsidR="00FE7629" w:rsidRPr="00C2215F">
        <w:rPr>
          <w:rFonts w:ascii="Times New Roman" w:hAnsi="Times New Roman" w:cs="Times New Roman"/>
        </w:rPr>
        <w:t>judicial ink</w:t>
      </w:r>
      <w:r w:rsidR="009A5DFA">
        <w:rPr>
          <w:rFonts w:ascii="Times New Roman" w:hAnsi="Times New Roman" w:cs="Times New Roman"/>
        </w:rPr>
        <w:t xml:space="preserve"> </w:t>
      </w:r>
      <w:r w:rsidR="00FE7629" w:rsidRPr="00C2215F">
        <w:rPr>
          <w:rFonts w:ascii="Times New Roman" w:hAnsi="Times New Roman" w:cs="Times New Roman"/>
        </w:rPr>
        <w:t xml:space="preserve">has been spilt on the question of whether repudiatory breach </w:t>
      </w:r>
      <w:r w:rsidR="0030087B" w:rsidRPr="00C2215F">
        <w:rPr>
          <w:rFonts w:ascii="Times New Roman" w:hAnsi="Times New Roman" w:cs="Times New Roman"/>
        </w:rPr>
        <w:t>(</w:t>
      </w:r>
      <w:r w:rsidR="00FE7629" w:rsidRPr="00C2215F">
        <w:rPr>
          <w:rFonts w:ascii="Times New Roman" w:hAnsi="Times New Roman" w:cs="Times New Roman"/>
        </w:rPr>
        <w:t>and frustration</w:t>
      </w:r>
      <w:r w:rsidR="0030087B" w:rsidRPr="00C2215F">
        <w:rPr>
          <w:rFonts w:ascii="Times New Roman" w:hAnsi="Times New Roman" w:cs="Times New Roman"/>
        </w:rPr>
        <w:t>)</w:t>
      </w:r>
      <w:r w:rsidR="00FE7629" w:rsidRPr="00C2215F">
        <w:rPr>
          <w:rFonts w:ascii="Times New Roman" w:hAnsi="Times New Roman" w:cs="Times New Roman"/>
        </w:rPr>
        <w:t xml:space="preserve"> should apply to leases,</w:t>
      </w:r>
      <w:r w:rsidR="002F5EBD">
        <w:rPr>
          <w:rStyle w:val="FootnoteReference"/>
          <w:rFonts w:ascii="Times New Roman" w:hAnsi="Times New Roman" w:cs="Times New Roman"/>
        </w:rPr>
        <w:footnoteReference w:id="5"/>
      </w:r>
      <w:r w:rsidR="00FE7629" w:rsidRPr="00C2215F">
        <w:rPr>
          <w:rFonts w:ascii="Times New Roman" w:hAnsi="Times New Roman" w:cs="Times New Roman"/>
        </w:rPr>
        <w:t xml:space="preserve"> as part of </w:t>
      </w:r>
      <w:r w:rsidR="00B25A7C" w:rsidRPr="00C2215F">
        <w:rPr>
          <w:rFonts w:ascii="Times New Roman" w:hAnsi="Times New Roman" w:cs="Times New Roman"/>
        </w:rPr>
        <w:t>a wider question of what is known as ‘</w:t>
      </w:r>
      <w:r w:rsidR="0084055B">
        <w:rPr>
          <w:rFonts w:ascii="Times New Roman" w:hAnsi="Times New Roman" w:cs="Times New Roman"/>
        </w:rPr>
        <w:t>contractualisation</w:t>
      </w:r>
      <w:r w:rsidR="00CF2649">
        <w:rPr>
          <w:rFonts w:ascii="Times New Roman" w:hAnsi="Times New Roman" w:cs="Times New Roman"/>
        </w:rPr>
        <w:t>’</w:t>
      </w:r>
      <w:r w:rsidR="004D3F9F" w:rsidRPr="00C2215F">
        <w:rPr>
          <w:rFonts w:ascii="Times New Roman" w:hAnsi="Times New Roman" w:cs="Times New Roman"/>
        </w:rPr>
        <w:t xml:space="preserve"> </w:t>
      </w:r>
      <w:r w:rsidR="00B25A7C" w:rsidRPr="00C2215F">
        <w:rPr>
          <w:rFonts w:ascii="Times New Roman" w:hAnsi="Times New Roman" w:cs="Times New Roman"/>
        </w:rPr>
        <w:t>of the lease, or, as Bright has neatly expressed it,</w:t>
      </w:r>
      <w:r w:rsidR="00DD79E0" w:rsidRPr="00C2215F">
        <w:rPr>
          <w:rStyle w:val="FootnoteReference"/>
          <w:rFonts w:ascii="Times New Roman" w:hAnsi="Times New Roman" w:cs="Times New Roman"/>
        </w:rPr>
        <w:footnoteReference w:id="6"/>
      </w:r>
      <w:r w:rsidR="00B25A7C" w:rsidRPr="00C2215F">
        <w:rPr>
          <w:rFonts w:ascii="Times New Roman" w:hAnsi="Times New Roman" w:cs="Times New Roman"/>
        </w:rPr>
        <w:t xml:space="preserve"> the move </w:t>
      </w:r>
      <w:r w:rsidR="0030087B" w:rsidRPr="00C2215F">
        <w:rPr>
          <w:rFonts w:ascii="Times New Roman" w:hAnsi="Times New Roman" w:cs="Times New Roman"/>
        </w:rPr>
        <w:t xml:space="preserve">to treat the regulation of the lease as more than property, but ‘property plus’ other obligations.  This is to suggest that although the lease is both a creature of contract and property, the fact that it normally creates an estate in land (so-called </w:t>
      </w:r>
      <w:r w:rsidR="0030087B" w:rsidRPr="00C2215F">
        <w:rPr>
          <w:rFonts w:ascii="Times New Roman" w:hAnsi="Times New Roman" w:cs="Times New Roman"/>
          <w:i/>
        </w:rPr>
        <w:t>Bruton</w:t>
      </w:r>
      <w:r w:rsidR="0030087B" w:rsidRPr="00C2215F">
        <w:rPr>
          <w:rFonts w:ascii="Times New Roman" w:hAnsi="Times New Roman" w:cs="Times New Roman"/>
        </w:rPr>
        <w:t xml:space="preserve"> t</w:t>
      </w:r>
      <w:r w:rsidR="00CF2649">
        <w:rPr>
          <w:rFonts w:ascii="Times New Roman" w:hAnsi="Times New Roman" w:cs="Times New Roman"/>
        </w:rPr>
        <w:t>enancies aside</w:t>
      </w:r>
      <w:r w:rsidR="00CF2649">
        <w:rPr>
          <w:rStyle w:val="FootnoteReference"/>
          <w:rFonts w:ascii="Times New Roman" w:hAnsi="Times New Roman" w:cs="Times New Roman"/>
        </w:rPr>
        <w:footnoteReference w:id="7"/>
      </w:r>
      <w:r w:rsidR="0030087B" w:rsidRPr="00C2215F">
        <w:rPr>
          <w:rFonts w:ascii="Times New Roman" w:hAnsi="Times New Roman" w:cs="Times New Roman"/>
        </w:rPr>
        <w:t xml:space="preserve">) is not the sole </w:t>
      </w:r>
      <w:r w:rsidR="007A10C5" w:rsidRPr="00C2215F">
        <w:rPr>
          <w:rFonts w:ascii="Times New Roman" w:hAnsi="Times New Roman" w:cs="Times New Roman"/>
        </w:rPr>
        <w:t>focus</w:t>
      </w:r>
      <w:r w:rsidR="0030087B" w:rsidRPr="00C2215F">
        <w:rPr>
          <w:rFonts w:ascii="Times New Roman" w:hAnsi="Times New Roman" w:cs="Times New Roman"/>
        </w:rPr>
        <w:t xml:space="preserve"> of the relationship</w:t>
      </w:r>
      <w:r w:rsidR="007A10C5" w:rsidRPr="00C2215F">
        <w:rPr>
          <w:rFonts w:ascii="Times New Roman" w:hAnsi="Times New Roman" w:cs="Times New Roman"/>
        </w:rPr>
        <w:t xml:space="preserve"> in practice,</w:t>
      </w:r>
      <w:r w:rsidR="0030087B" w:rsidRPr="00C2215F">
        <w:rPr>
          <w:rFonts w:ascii="Times New Roman" w:hAnsi="Times New Roman" w:cs="Times New Roman"/>
        </w:rPr>
        <w:t xml:space="preserve"> nor should it preclude the application of more general contractual doctrine to the leasehold context. </w:t>
      </w:r>
      <w:r w:rsidR="00A01FBA">
        <w:rPr>
          <w:rFonts w:ascii="Times New Roman" w:hAnsi="Times New Roman" w:cs="Times New Roman"/>
        </w:rPr>
        <w:t>Generally, viewing the lease as a contract</w:t>
      </w:r>
      <w:r w:rsidR="007A10C5" w:rsidRPr="00C2215F">
        <w:rPr>
          <w:rFonts w:ascii="Times New Roman" w:hAnsi="Times New Roman" w:cs="Times New Roman"/>
        </w:rPr>
        <w:t xml:space="preserve"> has been welcomed, and </w:t>
      </w:r>
      <w:r w:rsidR="00A664EF">
        <w:rPr>
          <w:rFonts w:ascii="Times New Roman" w:hAnsi="Times New Roman" w:cs="Times New Roman"/>
        </w:rPr>
        <w:t xml:space="preserve">it appears to be </w:t>
      </w:r>
      <w:r w:rsidR="00EF6B33" w:rsidRPr="00C2215F">
        <w:rPr>
          <w:rFonts w:ascii="Times New Roman" w:hAnsi="Times New Roman" w:cs="Times New Roman"/>
        </w:rPr>
        <w:t xml:space="preserve">an </w:t>
      </w:r>
      <w:r w:rsidR="0009461D">
        <w:rPr>
          <w:rFonts w:ascii="Times New Roman" w:hAnsi="Times New Roman" w:cs="Times New Roman"/>
        </w:rPr>
        <w:t>established process of thinking</w:t>
      </w:r>
      <w:r w:rsidR="00B44AD3">
        <w:rPr>
          <w:rFonts w:ascii="Times New Roman" w:hAnsi="Times New Roman" w:cs="Times New Roman"/>
        </w:rPr>
        <w:t xml:space="preserve"> in Anglo-Welsh law</w:t>
      </w:r>
      <w:r w:rsidR="00B034EA">
        <w:rPr>
          <w:rFonts w:ascii="Times New Roman" w:hAnsi="Times New Roman" w:cs="Times New Roman"/>
        </w:rPr>
        <w:t xml:space="preserve">, </w:t>
      </w:r>
      <w:r w:rsidR="00B034EA" w:rsidRPr="008D4B5E">
        <w:rPr>
          <w:rFonts w:ascii="Times New Roman" w:hAnsi="Times New Roman" w:cs="Times New Roman"/>
        </w:rPr>
        <w:t>albeit with some disquiet expressed at times</w:t>
      </w:r>
      <w:r w:rsidR="002F5EBD" w:rsidRPr="008D4B5E">
        <w:rPr>
          <w:rFonts w:ascii="Times New Roman" w:hAnsi="Times New Roman" w:cs="Times New Roman"/>
        </w:rPr>
        <w:t xml:space="preserve"> in the developing case law, as will become apparent</w:t>
      </w:r>
      <w:r w:rsidR="00B034EA" w:rsidRPr="008D4B5E">
        <w:rPr>
          <w:rFonts w:ascii="Times New Roman" w:hAnsi="Times New Roman" w:cs="Times New Roman"/>
        </w:rPr>
        <w:t>.</w:t>
      </w:r>
      <w:r w:rsidR="00B034EA" w:rsidRPr="00C2215F">
        <w:rPr>
          <w:rFonts w:ascii="Times New Roman" w:hAnsi="Times New Roman" w:cs="Times New Roman"/>
        </w:rPr>
        <w:t xml:space="preserve"> </w:t>
      </w:r>
      <w:r w:rsidR="00A01FBA">
        <w:rPr>
          <w:rFonts w:ascii="Times New Roman" w:hAnsi="Times New Roman" w:cs="Times New Roman"/>
        </w:rPr>
        <w:t xml:space="preserve">  Parliamentary intervention has followed </w:t>
      </w:r>
      <w:r w:rsidR="00A664EF">
        <w:rPr>
          <w:rFonts w:ascii="Times New Roman" w:hAnsi="Times New Roman" w:cs="Times New Roman"/>
        </w:rPr>
        <w:t>t</w:t>
      </w:r>
      <w:r w:rsidR="00A01FBA">
        <w:rPr>
          <w:rFonts w:ascii="Times New Roman" w:hAnsi="Times New Roman" w:cs="Times New Roman"/>
        </w:rPr>
        <w:t>he trend</w:t>
      </w:r>
      <w:r w:rsidR="00B034EA">
        <w:rPr>
          <w:rFonts w:ascii="Times New Roman" w:hAnsi="Times New Roman" w:cs="Times New Roman"/>
        </w:rPr>
        <w:t xml:space="preserve"> of viewing leases as contracts, with</w:t>
      </w:r>
      <w:r w:rsidR="00A01FBA">
        <w:rPr>
          <w:rFonts w:ascii="Times New Roman" w:hAnsi="Times New Roman" w:cs="Times New Roman"/>
        </w:rPr>
        <w:t xml:space="preserve"> residential </w:t>
      </w:r>
      <w:r w:rsidR="00032272">
        <w:rPr>
          <w:rFonts w:ascii="Times New Roman" w:hAnsi="Times New Roman" w:cs="Times New Roman"/>
        </w:rPr>
        <w:t>letting agreements</w:t>
      </w:r>
      <w:r w:rsidR="00A01FBA">
        <w:rPr>
          <w:rFonts w:ascii="Times New Roman" w:hAnsi="Times New Roman" w:cs="Times New Roman"/>
        </w:rPr>
        <w:t xml:space="preserve"> in England and Wales</w:t>
      </w:r>
      <w:r w:rsidR="00032272">
        <w:rPr>
          <w:rFonts w:ascii="Times New Roman" w:hAnsi="Times New Roman" w:cs="Times New Roman"/>
        </w:rPr>
        <w:t xml:space="preserve"> entered into on or after </w:t>
      </w:r>
      <w:r w:rsidR="00032272">
        <w:rPr>
          <w:rFonts w:ascii="Times New Roman" w:hAnsi="Times New Roman" w:cs="Times New Roman"/>
        </w:rPr>
        <w:lastRenderedPageBreak/>
        <w:t>October 1</w:t>
      </w:r>
      <w:r w:rsidR="00032272" w:rsidRPr="00032272">
        <w:rPr>
          <w:rFonts w:ascii="Times New Roman" w:hAnsi="Times New Roman" w:cs="Times New Roman"/>
          <w:vertAlign w:val="superscript"/>
        </w:rPr>
        <w:t>st</w:t>
      </w:r>
      <w:r w:rsidR="00032272">
        <w:rPr>
          <w:rFonts w:ascii="Times New Roman" w:hAnsi="Times New Roman" w:cs="Times New Roman"/>
        </w:rPr>
        <w:t xml:space="preserve"> 2015</w:t>
      </w:r>
      <w:r w:rsidR="00A01FBA">
        <w:rPr>
          <w:rFonts w:ascii="Times New Roman" w:hAnsi="Times New Roman" w:cs="Times New Roman"/>
        </w:rPr>
        <w:t xml:space="preserve"> </w:t>
      </w:r>
      <w:r w:rsidR="00186AD8">
        <w:rPr>
          <w:rFonts w:ascii="Times New Roman" w:hAnsi="Times New Roman" w:cs="Times New Roman"/>
        </w:rPr>
        <w:t xml:space="preserve">may </w:t>
      </w:r>
      <w:r w:rsidR="00A01FBA">
        <w:rPr>
          <w:rFonts w:ascii="Times New Roman" w:hAnsi="Times New Roman" w:cs="Times New Roman"/>
        </w:rPr>
        <w:t>now fall to be regulated in line with other consumer contracts under the Consumer Rights Act 2015,</w:t>
      </w:r>
      <w:r w:rsidR="00032272">
        <w:rPr>
          <w:rStyle w:val="FootnoteReference"/>
          <w:rFonts w:ascii="Times New Roman" w:hAnsi="Times New Roman" w:cs="Times New Roman"/>
        </w:rPr>
        <w:footnoteReference w:id="8"/>
      </w:r>
      <w:r w:rsidR="00A01FBA">
        <w:rPr>
          <w:rFonts w:ascii="Times New Roman" w:hAnsi="Times New Roman" w:cs="Times New Roman"/>
        </w:rPr>
        <w:t xml:space="preserve"> and, in Wales, housing law has moved away from leases in a proprietary sense to the creation of contractual occupation agreements, regulated under the Renting Homes (Wales) Act 2016.</w:t>
      </w:r>
      <w:r w:rsidR="00A01FBA">
        <w:rPr>
          <w:rStyle w:val="FootnoteReference"/>
          <w:rFonts w:ascii="Times New Roman" w:hAnsi="Times New Roman" w:cs="Times New Roman"/>
        </w:rPr>
        <w:footnoteReference w:id="9"/>
      </w:r>
      <w:r w:rsidR="000D53EE">
        <w:rPr>
          <w:rFonts w:ascii="Times New Roman" w:hAnsi="Times New Roman" w:cs="Times New Roman"/>
        </w:rPr>
        <w:t xml:space="preserve"> </w:t>
      </w:r>
    </w:p>
    <w:p w14:paraId="5DF748BA" w14:textId="77777777" w:rsidR="00F42394" w:rsidRPr="00C2215F" w:rsidRDefault="00F42394" w:rsidP="00D6056D">
      <w:pPr>
        <w:jc w:val="both"/>
        <w:rPr>
          <w:rFonts w:ascii="Times New Roman" w:hAnsi="Times New Roman" w:cs="Times New Roman"/>
        </w:rPr>
      </w:pPr>
    </w:p>
    <w:p w14:paraId="729F146C" w14:textId="4A48EE44" w:rsidR="00557B83" w:rsidRPr="008D4B5E" w:rsidRDefault="00846F51" w:rsidP="00D6056D">
      <w:pPr>
        <w:jc w:val="both"/>
        <w:rPr>
          <w:rFonts w:ascii="Times New Roman" w:hAnsi="Times New Roman" w:cs="Times New Roman"/>
          <w:highlight w:val="yellow"/>
        </w:rPr>
      </w:pPr>
      <w:r w:rsidRPr="00846F51">
        <w:rPr>
          <w:rFonts w:ascii="Times New Roman" w:hAnsi="Times New Roman" w:cs="Times New Roman"/>
          <w:bCs/>
        </w:rPr>
        <w:t xml:space="preserve">This paper will re-examine the impact of the decision in </w:t>
      </w:r>
      <w:r w:rsidRPr="00846F51">
        <w:rPr>
          <w:rFonts w:ascii="Times New Roman" w:hAnsi="Times New Roman" w:cs="Times New Roman"/>
          <w:bCs/>
          <w:i/>
        </w:rPr>
        <w:t>Hussein v Mehlman</w:t>
      </w:r>
      <w:r w:rsidRPr="00846F51">
        <w:rPr>
          <w:rFonts w:ascii="Times New Roman" w:hAnsi="Times New Roman" w:cs="Times New Roman"/>
          <w:bCs/>
        </w:rPr>
        <w:t>,</w:t>
      </w:r>
      <w:r w:rsidR="00207B42" w:rsidRPr="00304C69">
        <w:rPr>
          <w:rStyle w:val="FootnoteReference"/>
          <w:rFonts w:ascii="Times New Roman" w:hAnsi="Times New Roman" w:cs="Times New Roman"/>
        </w:rPr>
        <w:footnoteReference w:id="10"/>
      </w:r>
      <w:r w:rsidR="00207B42" w:rsidRPr="00304C69">
        <w:rPr>
          <w:rFonts w:ascii="Times New Roman" w:hAnsi="Times New Roman" w:cs="Times New Roman"/>
        </w:rPr>
        <w:t xml:space="preserve"> </w:t>
      </w:r>
      <w:r w:rsidRPr="00846F51">
        <w:rPr>
          <w:rFonts w:ascii="Times New Roman" w:hAnsi="Times New Roman" w:cs="Times New Roman"/>
          <w:bCs/>
        </w:rPr>
        <w:t>which introduced the doctrine of repudiatory breach into landlord and tenant law in England and Wales</w:t>
      </w:r>
      <w:r w:rsidRPr="00304C69">
        <w:rPr>
          <w:rFonts w:ascii="Times New Roman" w:hAnsi="Times New Roman" w:cs="Times New Roman"/>
          <w:bCs/>
        </w:rPr>
        <w:t>.</w:t>
      </w:r>
      <w:r w:rsidR="00207B42">
        <w:rPr>
          <w:rStyle w:val="FootnoteReference"/>
          <w:rFonts w:ascii="Times New Roman" w:hAnsi="Times New Roman" w:cs="Times New Roman"/>
          <w:bCs/>
        </w:rPr>
        <w:footnoteReference w:id="11"/>
      </w:r>
      <w:r w:rsidRPr="00846F51">
        <w:rPr>
          <w:rFonts w:ascii="Times New Roman" w:hAnsi="Times New Roman" w:cs="Times New Roman"/>
          <w:bCs/>
        </w:rPr>
        <w:t xml:space="preserve">  It will suggest that some of the initial concerns concerning the importation of the doctrine have been assuaged, but that more significant, ‘bright line’ issues have emerged.</w:t>
      </w:r>
      <w:r w:rsidR="000326EF" w:rsidRPr="00846F51">
        <w:rPr>
          <w:rStyle w:val="FootnoteReference"/>
          <w:rFonts w:ascii="Times New Roman" w:hAnsi="Times New Roman" w:cs="Times New Roman"/>
        </w:rPr>
        <w:footnoteReference w:id="12"/>
      </w:r>
      <w:r w:rsidR="000326EF" w:rsidRPr="00846F51">
        <w:rPr>
          <w:rFonts w:ascii="Times New Roman" w:hAnsi="Times New Roman" w:cs="Times New Roman"/>
        </w:rPr>
        <w:t xml:space="preserve"> </w:t>
      </w:r>
      <w:r w:rsidRPr="00846F51">
        <w:rPr>
          <w:rFonts w:ascii="Times New Roman" w:hAnsi="Times New Roman" w:cs="Times New Roman"/>
          <w:bCs/>
        </w:rPr>
        <w:t xml:space="preserve">  The major concern is that the doctrine operates differently depending on whether the claimant is either the landlord or tenant, which is both unprecedented in other common law jurisdictions that allow repudiatory breach of leases and creates serious anomalies in the law.  </w:t>
      </w:r>
      <w:r w:rsidR="00533E5B" w:rsidRPr="00304C69">
        <w:rPr>
          <w:rFonts w:ascii="Times New Roman" w:hAnsi="Times New Roman" w:cs="Times New Roman"/>
        </w:rPr>
        <w:t xml:space="preserve">Using </w:t>
      </w:r>
      <w:r w:rsidR="008D4B5E" w:rsidRPr="00304C69">
        <w:rPr>
          <w:rFonts w:ascii="Times New Roman" w:hAnsi="Times New Roman" w:cs="Times New Roman"/>
        </w:rPr>
        <w:t>repudiatory</w:t>
      </w:r>
      <w:r w:rsidR="00EF6B33" w:rsidRPr="00304C69">
        <w:rPr>
          <w:rFonts w:ascii="Times New Roman" w:hAnsi="Times New Roman" w:cs="Times New Roman"/>
        </w:rPr>
        <w:t xml:space="preserve"> breach</w:t>
      </w:r>
      <w:r w:rsidR="00533E5B" w:rsidRPr="00304C69">
        <w:rPr>
          <w:rFonts w:ascii="Times New Roman" w:hAnsi="Times New Roman" w:cs="Times New Roman"/>
        </w:rPr>
        <w:t xml:space="preserve"> as a case study, the paper will also </w:t>
      </w:r>
      <w:r w:rsidR="00EF6B33" w:rsidRPr="00304C69">
        <w:rPr>
          <w:rFonts w:ascii="Times New Roman" w:hAnsi="Times New Roman" w:cs="Times New Roman"/>
        </w:rPr>
        <w:t xml:space="preserve">consider whether </w:t>
      </w:r>
      <w:r w:rsidR="008D4B5E" w:rsidRPr="00304C69">
        <w:rPr>
          <w:rFonts w:ascii="Times New Roman" w:hAnsi="Times New Roman" w:cs="Times New Roman"/>
        </w:rPr>
        <w:t xml:space="preserve">the importation of contract principles </w:t>
      </w:r>
      <w:r w:rsidR="0062779B" w:rsidRPr="00304C69">
        <w:rPr>
          <w:rFonts w:ascii="Times New Roman" w:hAnsi="Times New Roman" w:cs="Times New Roman"/>
        </w:rPr>
        <w:t>has</w:t>
      </w:r>
      <w:r w:rsidR="00EF6B33" w:rsidRPr="00304C69">
        <w:rPr>
          <w:rFonts w:ascii="Times New Roman" w:hAnsi="Times New Roman" w:cs="Times New Roman"/>
        </w:rPr>
        <w:t xml:space="preserve"> </w:t>
      </w:r>
      <w:r w:rsidR="00533E5B" w:rsidRPr="00304C69">
        <w:rPr>
          <w:rFonts w:ascii="Times New Roman" w:hAnsi="Times New Roman" w:cs="Times New Roman"/>
        </w:rPr>
        <w:t>benefitted the regulation of leases more general</w:t>
      </w:r>
      <w:r w:rsidR="00207B42">
        <w:rPr>
          <w:rFonts w:ascii="Times New Roman" w:hAnsi="Times New Roman" w:cs="Times New Roman"/>
        </w:rPr>
        <w:t>ly and suggest that, while</w:t>
      </w:r>
      <w:r w:rsidR="008F6E5F" w:rsidRPr="00304C69">
        <w:rPr>
          <w:rFonts w:ascii="Times New Roman" w:hAnsi="Times New Roman" w:cs="Times New Roman"/>
        </w:rPr>
        <w:t xml:space="preserve"> </w:t>
      </w:r>
      <w:r w:rsidR="00207B42">
        <w:rPr>
          <w:rFonts w:ascii="Times New Roman" w:hAnsi="Times New Roman" w:cs="Times New Roman"/>
        </w:rPr>
        <w:t>it is proper</w:t>
      </w:r>
      <w:r w:rsidR="006D7EBF" w:rsidRPr="00304C69">
        <w:rPr>
          <w:rFonts w:ascii="Times New Roman" w:hAnsi="Times New Roman" w:cs="Times New Roman"/>
        </w:rPr>
        <w:t xml:space="preserve"> to treat leases as contracts in many respects, </w:t>
      </w:r>
      <w:r w:rsidR="00207B42">
        <w:rPr>
          <w:rFonts w:ascii="Times New Roman" w:hAnsi="Times New Roman" w:cs="Times New Roman"/>
        </w:rPr>
        <w:t>it is preferable to regulate them primarily as property rights.</w:t>
      </w:r>
    </w:p>
    <w:p w14:paraId="20C05944" w14:textId="77777777" w:rsidR="00097E9E" w:rsidRPr="00C2215F" w:rsidRDefault="00097E9E" w:rsidP="00D6056D">
      <w:pPr>
        <w:jc w:val="both"/>
        <w:rPr>
          <w:rFonts w:ascii="Times New Roman" w:hAnsi="Times New Roman" w:cs="Times New Roman"/>
        </w:rPr>
      </w:pPr>
    </w:p>
    <w:p w14:paraId="6C7EA05F" w14:textId="4BA8C7A3" w:rsidR="00D54BC3" w:rsidRPr="00D54BC3" w:rsidRDefault="00DD1D50" w:rsidP="00D54BC3">
      <w:pPr>
        <w:pStyle w:val="ListParagraph"/>
        <w:numPr>
          <w:ilvl w:val="0"/>
          <w:numId w:val="11"/>
        </w:numPr>
        <w:jc w:val="both"/>
        <w:rPr>
          <w:rFonts w:ascii="Times New Roman" w:hAnsi="Times New Roman" w:cs="Times New Roman"/>
          <w:u w:val="single"/>
        </w:rPr>
      </w:pPr>
      <w:r w:rsidRPr="00C2215F">
        <w:rPr>
          <w:rFonts w:ascii="Times New Roman" w:hAnsi="Times New Roman" w:cs="Times New Roman"/>
          <w:u w:val="single"/>
        </w:rPr>
        <w:t xml:space="preserve">The </w:t>
      </w:r>
      <w:r w:rsidR="00AD45AD" w:rsidRPr="00C2215F">
        <w:rPr>
          <w:rFonts w:ascii="Times New Roman" w:hAnsi="Times New Roman" w:cs="Times New Roman"/>
          <w:u w:val="single"/>
        </w:rPr>
        <w:t>‘</w:t>
      </w:r>
      <w:r w:rsidR="001F7185" w:rsidRPr="00C2215F">
        <w:rPr>
          <w:rFonts w:ascii="Times New Roman" w:hAnsi="Times New Roman" w:cs="Times New Roman"/>
          <w:u w:val="single"/>
        </w:rPr>
        <w:t>Contractualisation’</w:t>
      </w:r>
      <w:r w:rsidRPr="00C2215F">
        <w:rPr>
          <w:rFonts w:ascii="Times New Roman" w:hAnsi="Times New Roman" w:cs="Times New Roman"/>
          <w:u w:val="single"/>
        </w:rPr>
        <w:t xml:space="preserve"> of Leases</w:t>
      </w:r>
      <w:r w:rsidR="00D54BC3">
        <w:rPr>
          <w:rFonts w:ascii="Times New Roman" w:hAnsi="Times New Roman" w:cs="Times New Roman"/>
          <w:u w:val="single"/>
        </w:rPr>
        <w:t>: Context and Problems</w:t>
      </w:r>
    </w:p>
    <w:p w14:paraId="4FC97DDF" w14:textId="77777777" w:rsidR="00D54BC3" w:rsidRDefault="00D54BC3" w:rsidP="00D6056D">
      <w:pPr>
        <w:jc w:val="both"/>
        <w:rPr>
          <w:rFonts w:ascii="Times New Roman" w:hAnsi="Times New Roman" w:cs="Times New Roman"/>
        </w:rPr>
      </w:pPr>
    </w:p>
    <w:p w14:paraId="58F9E320" w14:textId="22206FF4" w:rsidR="00D703E2" w:rsidRPr="00C2215F" w:rsidRDefault="00DD79E0" w:rsidP="00D6056D">
      <w:pPr>
        <w:jc w:val="both"/>
        <w:rPr>
          <w:rFonts w:ascii="Times New Roman" w:hAnsi="Times New Roman" w:cs="Times New Roman"/>
        </w:rPr>
      </w:pPr>
      <w:r w:rsidRPr="00C2215F">
        <w:rPr>
          <w:rFonts w:ascii="Times New Roman" w:hAnsi="Times New Roman" w:cs="Times New Roman"/>
        </w:rPr>
        <w:t xml:space="preserve">Before embarking on re-examination of repudiatory breach, </w:t>
      </w:r>
      <w:r w:rsidR="00F10694" w:rsidRPr="00C2215F">
        <w:rPr>
          <w:rFonts w:ascii="Times New Roman" w:hAnsi="Times New Roman" w:cs="Times New Roman"/>
        </w:rPr>
        <w:t xml:space="preserve">it </w:t>
      </w:r>
      <w:r w:rsidR="005A4115">
        <w:rPr>
          <w:rFonts w:ascii="Times New Roman" w:hAnsi="Times New Roman" w:cs="Times New Roman"/>
        </w:rPr>
        <w:t>important to consider the</w:t>
      </w:r>
      <w:r w:rsidR="00F10694" w:rsidRPr="00C2215F">
        <w:rPr>
          <w:rFonts w:ascii="Times New Roman" w:hAnsi="Times New Roman" w:cs="Times New Roman"/>
        </w:rPr>
        <w:t xml:space="preserve"> nature of the leasehold bargain and the issue of contractualisation of leases. It is a trite proposition that the lease (or tenancy) has a duality of legal character; that it is a ‘hybrid, part contract and part property’.</w:t>
      </w:r>
      <w:r w:rsidR="00F10694" w:rsidRPr="00C2215F">
        <w:rPr>
          <w:rStyle w:val="FootnoteReference"/>
          <w:rFonts w:ascii="Times New Roman" w:hAnsi="Times New Roman" w:cs="Times New Roman"/>
        </w:rPr>
        <w:footnoteReference w:id="13"/>
      </w:r>
      <w:r w:rsidR="00F10694" w:rsidRPr="00C2215F">
        <w:rPr>
          <w:rFonts w:ascii="Times New Roman" w:hAnsi="Times New Roman" w:cs="Times New Roman"/>
        </w:rPr>
        <w:t xml:space="preserve">  </w:t>
      </w:r>
      <w:r w:rsidR="00D703E2" w:rsidRPr="00C2215F">
        <w:rPr>
          <w:rFonts w:ascii="Times New Roman" w:hAnsi="Times New Roman" w:cs="Times New Roman"/>
        </w:rPr>
        <w:t>No-</w:t>
      </w:r>
      <w:r w:rsidR="00F10694" w:rsidRPr="00C2215F">
        <w:rPr>
          <w:rFonts w:ascii="Times New Roman" w:hAnsi="Times New Roman" w:cs="Times New Roman"/>
        </w:rPr>
        <w:t>one denies that the contractual character of a lease is significant, but the key to the</w:t>
      </w:r>
      <w:r w:rsidR="00B26F9B">
        <w:rPr>
          <w:rFonts w:ascii="Times New Roman" w:hAnsi="Times New Roman" w:cs="Times New Roman"/>
        </w:rPr>
        <w:t xml:space="preserve"> contractualisation</w:t>
      </w:r>
      <w:r w:rsidR="00F10694" w:rsidRPr="00C2215F">
        <w:rPr>
          <w:rFonts w:ascii="Times New Roman" w:hAnsi="Times New Roman" w:cs="Times New Roman"/>
        </w:rPr>
        <w:t xml:space="preserve"> debate lies in </w:t>
      </w:r>
      <w:r w:rsidR="00D703E2" w:rsidRPr="00C2215F">
        <w:rPr>
          <w:rFonts w:ascii="Times New Roman" w:hAnsi="Times New Roman" w:cs="Times New Roman"/>
        </w:rPr>
        <w:t>whether the proprietary nature of a lease means that contract should or should not regulate th</w:t>
      </w:r>
      <w:r w:rsidR="002A7A33">
        <w:rPr>
          <w:rFonts w:ascii="Times New Roman" w:hAnsi="Times New Roman" w:cs="Times New Roman"/>
        </w:rPr>
        <w:t xml:space="preserve">e agreement in the same way as </w:t>
      </w:r>
      <w:r w:rsidR="00D703E2" w:rsidRPr="00C2215F">
        <w:rPr>
          <w:rFonts w:ascii="Times New Roman" w:hAnsi="Times New Roman" w:cs="Times New Roman"/>
        </w:rPr>
        <w:t>it would any other contract agreed between parties, giving landlords and tenants the same remedies for breach of contract as other contracting parties.</w:t>
      </w:r>
    </w:p>
    <w:p w14:paraId="27D7CBB9" w14:textId="77777777" w:rsidR="00D66EB1" w:rsidRPr="00C2215F" w:rsidRDefault="00D66EB1" w:rsidP="00D6056D">
      <w:pPr>
        <w:jc w:val="both"/>
        <w:rPr>
          <w:rFonts w:ascii="Times New Roman" w:hAnsi="Times New Roman" w:cs="Times New Roman"/>
        </w:rPr>
      </w:pPr>
    </w:p>
    <w:p w14:paraId="0CF15265" w14:textId="4C01A3F7" w:rsidR="00D66EB1" w:rsidRPr="00C2215F" w:rsidRDefault="00D66EB1" w:rsidP="00D6056D">
      <w:pPr>
        <w:jc w:val="both"/>
        <w:rPr>
          <w:rFonts w:ascii="Times New Roman" w:hAnsi="Times New Roman" w:cs="Times New Roman"/>
        </w:rPr>
      </w:pPr>
      <w:r w:rsidRPr="00C2215F">
        <w:rPr>
          <w:rFonts w:ascii="Times New Roman" w:hAnsi="Times New Roman" w:cs="Times New Roman"/>
        </w:rPr>
        <w:t xml:space="preserve">The arguments for applying contractual remedies to leases have been oft </w:t>
      </w:r>
      <w:r w:rsidR="009B3B64" w:rsidRPr="00C2215F">
        <w:rPr>
          <w:rFonts w:ascii="Times New Roman" w:hAnsi="Times New Roman" w:cs="Times New Roman"/>
        </w:rPr>
        <w:t>rehearsed</w:t>
      </w:r>
      <w:r w:rsidRPr="00C2215F">
        <w:rPr>
          <w:rFonts w:ascii="Times New Roman" w:hAnsi="Times New Roman" w:cs="Times New Roman"/>
        </w:rPr>
        <w:t>, but can be summarised in the words of Lord Roskill:</w:t>
      </w:r>
    </w:p>
    <w:p w14:paraId="1CAF51E6" w14:textId="20F294C8" w:rsidR="00D66EB1" w:rsidRPr="00C2215F" w:rsidRDefault="00D66EB1" w:rsidP="00D6056D">
      <w:pPr>
        <w:jc w:val="both"/>
        <w:rPr>
          <w:rFonts w:ascii="Times New Roman" w:hAnsi="Times New Roman" w:cs="Times New Roman"/>
        </w:rPr>
      </w:pPr>
      <w:r w:rsidRPr="00C2215F">
        <w:rPr>
          <w:rFonts w:ascii="Times New Roman" w:hAnsi="Times New Roman" w:cs="Times New Roman"/>
        </w:rPr>
        <w:t xml:space="preserve"> </w:t>
      </w:r>
    </w:p>
    <w:p w14:paraId="102039AE" w14:textId="319DEBFC" w:rsidR="00D703E2" w:rsidRPr="00C2215F" w:rsidRDefault="00D703E2" w:rsidP="00813D6C">
      <w:pPr>
        <w:ind w:left="720"/>
        <w:jc w:val="both"/>
        <w:rPr>
          <w:rFonts w:ascii="Times New Roman" w:hAnsi="Times New Roman" w:cs="Times New Roman"/>
        </w:rPr>
      </w:pPr>
      <w:r w:rsidRPr="00C2215F">
        <w:rPr>
          <w:rFonts w:ascii="Times New Roman" w:hAnsi="Times New Roman" w:cs="Times New Roman"/>
        </w:rPr>
        <w:lastRenderedPageBreak/>
        <w:t>However much weight one may give to the fact that a lease creates an estate in land in favour of the lessee, in truth it is by no means always in that estate in land in which the lessee is interested.  In many cases, he is interested only in the accompanying contractual right to use that which is demised to him by the lease, and the estate in land which he acquires has little or no meaning for him.</w:t>
      </w:r>
      <w:r w:rsidRPr="00C2215F">
        <w:rPr>
          <w:rStyle w:val="FootnoteReference"/>
          <w:rFonts w:ascii="Times New Roman" w:hAnsi="Times New Roman" w:cs="Times New Roman"/>
        </w:rPr>
        <w:footnoteReference w:id="14"/>
      </w:r>
    </w:p>
    <w:p w14:paraId="5E28271C" w14:textId="77777777" w:rsidR="00F10694" w:rsidRPr="00C2215F" w:rsidRDefault="00F10694" w:rsidP="00D6056D">
      <w:pPr>
        <w:jc w:val="both"/>
        <w:rPr>
          <w:rFonts w:ascii="Times New Roman" w:hAnsi="Times New Roman" w:cs="Times New Roman"/>
        </w:rPr>
      </w:pPr>
    </w:p>
    <w:p w14:paraId="64C9269A" w14:textId="3236A280" w:rsidR="00D54BC3" w:rsidRDefault="00D703E2" w:rsidP="00A51C77">
      <w:pPr>
        <w:jc w:val="both"/>
        <w:rPr>
          <w:rFonts w:ascii="Times New Roman" w:hAnsi="Times New Roman" w:cs="Times New Roman"/>
        </w:rPr>
      </w:pPr>
      <w:r w:rsidRPr="00C2215F">
        <w:rPr>
          <w:rFonts w:ascii="Times New Roman" w:hAnsi="Times New Roman" w:cs="Times New Roman"/>
        </w:rPr>
        <w:t>To suggest that the proprietary nature of a lease might still preclude the full reach of the contractual arm ‘conjures up images of parchment and sealing wax, of copperplate handwriting and fusty title deeds’.</w:t>
      </w:r>
      <w:r w:rsidRPr="00C2215F">
        <w:rPr>
          <w:rStyle w:val="FootnoteReference"/>
          <w:rFonts w:ascii="Times New Roman" w:hAnsi="Times New Roman" w:cs="Times New Roman"/>
        </w:rPr>
        <w:footnoteReference w:id="15"/>
      </w:r>
      <w:r w:rsidR="00D66EB1" w:rsidRPr="00C2215F">
        <w:rPr>
          <w:rFonts w:ascii="Times New Roman" w:hAnsi="Times New Roman" w:cs="Times New Roman"/>
        </w:rPr>
        <w:t xml:space="preserve">  </w:t>
      </w:r>
      <w:r w:rsidR="0062779B">
        <w:rPr>
          <w:rFonts w:ascii="Times New Roman" w:hAnsi="Times New Roman" w:cs="Times New Roman"/>
        </w:rPr>
        <w:t xml:space="preserve">Nevertheless, there are very real reasons to argue that the very nature of the leasehold </w:t>
      </w:r>
      <w:r w:rsidR="00D43F44">
        <w:rPr>
          <w:rFonts w:ascii="Times New Roman" w:hAnsi="Times New Roman" w:cs="Times New Roman"/>
        </w:rPr>
        <w:t>itself</w:t>
      </w:r>
      <w:r w:rsidR="0062779B">
        <w:rPr>
          <w:rFonts w:ascii="Times New Roman" w:hAnsi="Times New Roman" w:cs="Times New Roman"/>
        </w:rPr>
        <w:t xml:space="preserve"> should deny these remedies.  </w:t>
      </w:r>
    </w:p>
    <w:p w14:paraId="13DACFB8" w14:textId="77777777" w:rsidR="00D54BC3" w:rsidRDefault="00D54BC3" w:rsidP="00A51C77">
      <w:pPr>
        <w:jc w:val="both"/>
        <w:rPr>
          <w:rFonts w:ascii="Times New Roman" w:hAnsi="Times New Roman" w:cs="Times New Roman"/>
        </w:rPr>
      </w:pPr>
    </w:p>
    <w:p w14:paraId="24FF9C9F" w14:textId="22F41501" w:rsidR="00D54BC3" w:rsidRPr="00D54BC3" w:rsidRDefault="00D54BC3" w:rsidP="00A51C77">
      <w:pPr>
        <w:pStyle w:val="ListParagraph"/>
        <w:numPr>
          <w:ilvl w:val="0"/>
          <w:numId w:val="12"/>
        </w:numPr>
        <w:jc w:val="both"/>
        <w:rPr>
          <w:rFonts w:ascii="Times New Roman" w:hAnsi="Times New Roman" w:cs="Times New Roman"/>
        </w:rPr>
      </w:pPr>
      <w:r>
        <w:rPr>
          <w:rFonts w:ascii="Times New Roman" w:hAnsi="Times New Roman" w:cs="Times New Roman"/>
        </w:rPr>
        <w:t>The Impact of the Estate in Land</w:t>
      </w:r>
    </w:p>
    <w:p w14:paraId="7D284285" w14:textId="77777777" w:rsidR="00D54BC3" w:rsidRDefault="00D54BC3" w:rsidP="00A51C77">
      <w:pPr>
        <w:jc w:val="both"/>
        <w:rPr>
          <w:rFonts w:ascii="Times New Roman" w:hAnsi="Times New Roman" w:cs="Times New Roman"/>
        </w:rPr>
      </w:pPr>
    </w:p>
    <w:p w14:paraId="47FE9158" w14:textId="06DBF2E2" w:rsidR="00512DB7" w:rsidRDefault="00B1196A" w:rsidP="00B1196A">
      <w:pPr>
        <w:jc w:val="both"/>
        <w:rPr>
          <w:rFonts w:ascii="Times New Roman" w:hAnsi="Times New Roman" w:cs="Times New Roman"/>
        </w:rPr>
      </w:pPr>
      <w:r>
        <w:rPr>
          <w:rFonts w:ascii="Times New Roman" w:hAnsi="Times New Roman" w:cs="Times New Roman"/>
        </w:rPr>
        <w:t>The presence of the estate in land, which is central to the concept of a lease, is one element not recognised in contract law, and was, for many years, the reason why it was felt that leases, as property rights, could not be subject to contractual rules to terminate the relationship.</w:t>
      </w:r>
      <w:r>
        <w:rPr>
          <w:rStyle w:val="FootnoteReference"/>
          <w:rFonts w:ascii="Times New Roman" w:hAnsi="Times New Roman" w:cs="Times New Roman"/>
        </w:rPr>
        <w:footnoteReference w:id="16"/>
      </w:r>
      <w:r>
        <w:rPr>
          <w:rFonts w:ascii="Times New Roman" w:hAnsi="Times New Roman" w:cs="Times New Roman"/>
        </w:rPr>
        <w:t xml:space="preserve"> It is part of the central distinction between a lease (tenancy) on the one hand, which is a method of property ownership, and a licence to occupy property, which is a permission to use and occupy land, but does not endure against third parties in itself like the lease.  </w:t>
      </w:r>
      <w:r w:rsidRPr="00D43F44">
        <w:rPr>
          <w:rFonts w:ascii="Times New Roman" w:hAnsi="Times New Roman" w:cs="Times New Roman"/>
        </w:rPr>
        <w:t>For</w:t>
      </w:r>
      <w:r>
        <w:t xml:space="preserve"> </w:t>
      </w:r>
      <w:r>
        <w:rPr>
          <w:rFonts w:ascii="Times New Roman" w:hAnsi="Times New Roman" w:cs="Times New Roman"/>
        </w:rPr>
        <w:t xml:space="preserve">many in the legal world, </w:t>
      </w:r>
      <w:r w:rsidR="00F26D9B">
        <w:rPr>
          <w:rFonts w:ascii="Times New Roman" w:hAnsi="Times New Roman" w:cs="Times New Roman"/>
        </w:rPr>
        <w:t>however, t</w:t>
      </w:r>
      <w:r>
        <w:rPr>
          <w:rFonts w:ascii="Times New Roman" w:hAnsi="Times New Roman" w:cs="Times New Roman"/>
        </w:rPr>
        <w:t>his central distinction between the two forms of occupation is no longer a given.</w:t>
      </w:r>
      <w:r>
        <w:rPr>
          <w:rStyle w:val="FootnoteReference"/>
          <w:rFonts w:ascii="Times New Roman" w:hAnsi="Times New Roman" w:cs="Times New Roman"/>
        </w:rPr>
        <w:footnoteReference w:id="17"/>
      </w:r>
      <w:r>
        <w:rPr>
          <w:rFonts w:ascii="Times New Roman" w:hAnsi="Times New Roman" w:cs="Times New Roman"/>
        </w:rPr>
        <w:t xml:space="preserve">  Lord Hoffman’s (in)famous speech in </w:t>
      </w:r>
      <w:r>
        <w:rPr>
          <w:rFonts w:ascii="Times New Roman" w:hAnsi="Times New Roman" w:cs="Times New Roman"/>
          <w:i/>
        </w:rPr>
        <w:t>Bruton v London Quadrant Housing Trust</w:t>
      </w:r>
      <w:r>
        <w:rPr>
          <w:rFonts w:ascii="Times New Roman" w:hAnsi="Times New Roman" w:cs="Times New Roman"/>
        </w:rPr>
        <w:t>,</w:t>
      </w:r>
      <w:r>
        <w:rPr>
          <w:rStyle w:val="FootnoteReference"/>
          <w:rFonts w:ascii="Times New Roman" w:hAnsi="Times New Roman" w:cs="Times New Roman"/>
        </w:rPr>
        <w:footnoteReference w:id="18"/>
      </w:r>
      <w:r>
        <w:rPr>
          <w:rFonts w:ascii="Times New Roman" w:hAnsi="Times New Roman" w:cs="Times New Roman"/>
        </w:rPr>
        <w:t xml:space="preserve"> as later explained in </w:t>
      </w:r>
      <w:r>
        <w:rPr>
          <w:rFonts w:ascii="Times New Roman" w:hAnsi="Times New Roman" w:cs="Times New Roman"/>
          <w:i/>
        </w:rPr>
        <w:t>Kay v London Borough Lambeth</w:t>
      </w:r>
      <w:r w:rsidR="00D43F44">
        <w:rPr>
          <w:rFonts w:ascii="Times New Roman" w:hAnsi="Times New Roman" w:cs="Times New Roman"/>
        </w:rPr>
        <w:t>,</w:t>
      </w:r>
      <w:r w:rsidRPr="00FC0624">
        <w:rPr>
          <w:rStyle w:val="FootnoteReference"/>
          <w:rFonts w:ascii="Times New Roman" w:hAnsi="Times New Roman" w:cs="Times New Roman"/>
        </w:rPr>
        <w:footnoteReference w:id="19"/>
      </w:r>
      <w:r w:rsidR="00597CD2">
        <w:rPr>
          <w:rFonts w:ascii="Times New Roman" w:hAnsi="Times New Roman" w:cs="Times New Roman"/>
        </w:rPr>
        <w:t xml:space="preserve"> confirmed</w:t>
      </w:r>
      <w:r>
        <w:rPr>
          <w:rFonts w:ascii="Times New Roman" w:hAnsi="Times New Roman" w:cs="Times New Roman"/>
        </w:rPr>
        <w:t xml:space="preserve"> that it is possible to have the relationship of landlord and tenant on a contractual level, distinct from a licence.</w:t>
      </w:r>
      <w:r>
        <w:rPr>
          <w:rStyle w:val="FootnoteReference"/>
          <w:rFonts w:ascii="Times New Roman" w:hAnsi="Times New Roman" w:cs="Times New Roman"/>
        </w:rPr>
        <w:footnoteReference w:id="20"/>
      </w:r>
      <w:r>
        <w:rPr>
          <w:rFonts w:ascii="Times New Roman" w:hAnsi="Times New Roman" w:cs="Times New Roman"/>
        </w:rPr>
        <w:t xml:space="preserve">  This</w:t>
      </w:r>
      <w:r w:rsidR="00597CD2">
        <w:rPr>
          <w:rFonts w:ascii="Times New Roman" w:hAnsi="Times New Roman" w:cs="Times New Roman"/>
        </w:rPr>
        <w:t xml:space="preserve"> </w:t>
      </w:r>
      <w:r>
        <w:rPr>
          <w:rFonts w:ascii="Times New Roman" w:hAnsi="Times New Roman" w:cs="Times New Roman"/>
        </w:rPr>
        <w:t xml:space="preserve">led a number of commentators to rethink the very basis of the leasehold relationship and the lease/licence distinction, and to suggest that there is no need for an estate. </w:t>
      </w:r>
      <w:r>
        <w:rPr>
          <w:rFonts w:ascii="Times New Roman" w:hAnsi="Times New Roman" w:cs="Times New Roman"/>
          <w:i/>
        </w:rPr>
        <w:t>Bruton</w:t>
      </w:r>
      <w:r>
        <w:rPr>
          <w:rFonts w:ascii="Times New Roman" w:hAnsi="Times New Roman" w:cs="Times New Roman"/>
        </w:rPr>
        <w:t xml:space="preserve"> </w:t>
      </w:r>
      <w:r w:rsidR="00597CD2">
        <w:rPr>
          <w:rFonts w:ascii="Times New Roman" w:hAnsi="Times New Roman" w:cs="Times New Roman"/>
        </w:rPr>
        <w:t>provides, it is argued,</w:t>
      </w:r>
      <w:r>
        <w:rPr>
          <w:rFonts w:ascii="Times New Roman" w:hAnsi="Times New Roman" w:cs="Times New Roman"/>
        </w:rPr>
        <w:t xml:space="preserve"> a welcome clarification of the law, as it is all about relativity of title and protecting possession.</w:t>
      </w:r>
      <w:r>
        <w:rPr>
          <w:rStyle w:val="FootnoteReference"/>
          <w:rFonts w:ascii="Times New Roman" w:hAnsi="Times New Roman" w:cs="Times New Roman"/>
          <w:bCs/>
        </w:rPr>
        <w:footnoteReference w:id="21"/>
      </w:r>
      <w:r>
        <w:rPr>
          <w:rFonts w:ascii="Times New Roman" w:hAnsi="Times New Roman" w:cs="Times New Roman"/>
        </w:rPr>
        <w:t xml:space="preserve"> This view of </w:t>
      </w:r>
      <w:r>
        <w:rPr>
          <w:rFonts w:ascii="Times New Roman" w:hAnsi="Times New Roman" w:cs="Times New Roman"/>
          <w:i/>
        </w:rPr>
        <w:t>Bruton</w:t>
      </w:r>
      <w:r>
        <w:rPr>
          <w:rFonts w:ascii="Times New Roman" w:hAnsi="Times New Roman" w:cs="Times New Roman"/>
        </w:rPr>
        <w:t xml:space="preserve"> has won judicial acceptance at the highest level; Lord Neuberger said in </w:t>
      </w:r>
      <w:r>
        <w:rPr>
          <w:rFonts w:ascii="Times New Roman" w:hAnsi="Times New Roman" w:cs="Times New Roman"/>
          <w:i/>
        </w:rPr>
        <w:t>Mexfield v Berrisford</w:t>
      </w:r>
      <w:r>
        <w:rPr>
          <w:rFonts w:ascii="Times New Roman" w:hAnsi="Times New Roman" w:cs="Times New Roman"/>
        </w:rPr>
        <w:t xml:space="preserve"> that ‘</w:t>
      </w:r>
      <w:r w:rsidRPr="00C2215F">
        <w:rPr>
          <w:rFonts w:ascii="Times New Roman" w:hAnsi="Times New Roman" w:cs="Times New Roman"/>
        </w:rPr>
        <w:t xml:space="preserve">Bruton] was </w:t>
      </w:r>
      <w:r w:rsidRPr="00A01A60">
        <w:rPr>
          <w:rFonts w:ascii="Times New Roman" w:hAnsi="Times New Roman" w:cs="Times New Roman"/>
          <w:i/>
        </w:rPr>
        <w:t>about relativity of title which is the traditional bedrock of English land law</w:t>
      </w:r>
      <w:r w:rsidRPr="00C2215F">
        <w:rPr>
          <w:rFonts w:ascii="Times New Roman" w:hAnsi="Times New Roman" w:cs="Times New Roman"/>
        </w:rPr>
        <w:t>.</w:t>
      </w:r>
      <w:r>
        <w:rPr>
          <w:rStyle w:val="FootnoteReference"/>
          <w:rFonts w:ascii="Times New Roman" w:hAnsi="Times New Roman" w:cs="Times New Roman"/>
        </w:rPr>
        <w:footnoteReference w:id="22"/>
      </w:r>
      <w:r>
        <w:rPr>
          <w:rFonts w:ascii="Times New Roman" w:hAnsi="Times New Roman" w:cs="Times New Roman"/>
        </w:rPr>
        <w:t xml:space="preserve"> [emphasis added]  Some commentators have thus </w:t>
      </w:r>
      <w:r>
        <w:rPr>
          <w:rFonts w:ascii="Times New Roman" w:hAnsi="Times New Roman" w:cs="Times New Roman"/>
        </w:rPr>
        <w:lastRenderedPageBreak/>
        <w:t>suggested that a licensee in possession is seised in fee, and that ‘consensual possession is the root of title’.</w:t>
      </w:r>
      <w:r>
        <w:rPr>
          <w:rStyle w:val="FootnoteReference"/>
          <w:rFonts w:ascii="Times New Roman" w:hAnsi="Times New Roman" w:cs="Times New Roman"/>
        </w:rPr>
        <w:footnoteReference w:id="23"/>
      </w:r>
      <w:r>
        <w:rPr>
          <w:rFonts w:ascii="Times New Roman" w:hAnsi="Times New Roman" w:cs="Times New Roman"/>
        </w:rPr>
        <w:t xml:space="preserve">  </w:t>
      </w:r>
    </w:p>
    <w:p w14:paraId="79D53E7F" w14:textId="77777777" w:rsidR="00512DB7" w:rsidRDefault="00512DB7" w:rsidP="00B1196A">
      <w:pPr>
        <w:jc w:val="both"/>
        <w:rPr>
          <w:rFonts w:ascii="Times New Roman" w:hAnsi="Times New Roman" w:cs="Times New Roman"/>
        </w:rPr>
      </w:pPr>
    </w:p>
    <w:p w14:paraId="074661E5" w14:textId="0C1AC3C6" w:rsidR="00B1196A" w:rsidRDefault="00B1196A" w:rsidP="00B1196A">
      <w:pPr>
        <w:jc w:val="both"/>
        <w:rPr>
          <w:rFonts w:ascii="Times New Roman" w:hAnsi="Times New Roman" w:cs="Times New Roman"/>
        </w:rPr>
      </w:pPr>
      <w:r>
        <w:rPr>
          <w:rFonts w:ascii="Times New Roman" w:hAnsi="Times New Roman" w:cs="Times New Roman"/>
        </w:rPr>
        <w:t xml:space="preserve">This is, with respect, going too far. While title is relative, it is </w:t>
      </w:r>
      <w:r>
        <w:rPr>
          <w:rFonts w:ascii="Times New Roman" w:hAnsi="Times New Roman" w:cs="Times New Roman"/>
          <w:i/>
        </w:rPr>
        <w:t>adverse</w:t>
      </w:r>
      <w:r>
        <w:rPr>
          <w:rFonts w:ascii="Times New Roman" w:hAnsi="Times New Roman" w:cs="Times New Roman"/>
        </w:rPr>
        <w:t xml:space="preserve"> possession, not possession which explains the root of title.  Hence, a licensee is not in adverse possession as their occupation is explained by their licence.</w:t>
      </w:r>
      <w:r>
        <w:rPr>
          <w:rStyle w:val="FootnoteReference"/>
          <w:rFonts w:ascii="Times New Roman" w:hAnsi="Times New Roman" w:cs="Times New Roman"/>
        </w:rPr>
        <w:footnoteReference w:id="24"/>
      </w:r>
      <w:r>
        <w:rPr>
          <w:rFonts w:ascii="Times New Roman" w:hAnsi="Times New Roman" w:cs="Times New Roman"/>
        </w:rPr>
        <w:t xml:space="preserve">  On this reasoning:</w:t>
      </w:r>
    </w:p>
    <w:p w14:paraId="322653CD" w14:textId="77777777" w:rsidR="00B1196A" w:rsidRDefault="00B1196A" w:rsidP="00B1196A">
      <w:pPr>
        <w:jc w:val="both"/>
        <w:rPr>
          <w:rFonts w:ascii="Times New Roman" w:hAnsi="Times New Roman" w:cs="Times New Roman"/>
        </w:rPr>
      </w:pPr>
    </w:p>
    <w:p w14:paraId="0369AF80" w14:textId="77777777" w:rsidR="00B1196A" w:rsidRDefault="00B1196A" w:rsidP="00B1196A">
      <w:pPr>
        <w:ind w:left="720"/>
        <w:jc w:val="both"/>
        <w:rPr>
          <w:rFonts w:ascii="Times New Roman" w:hAnsi="Times New Roman" w:cs="Times New Roman"/>
        </w:rPr>
      </w:pPr>
      <w:r>
        <w:rPr>
          <w:rFonts w:ascii="Times New Roman" w:hAnsi="Times New Roman" w:cs="Times New Roman"/>
        </w:rPr>
        <w:t>…t</w:t>
      </w:r>
      <w:r w:rsidRPr="00C2215F">
        <w:rPr>
          <w:rFonts w:ascii="Times New Roman" w:hAnsi="Times New Roman" w:cs="Times New Roman"/>
        </w:rPr>
        <w:t xml:space="preserve">he licensee’s possession merely supports the enjoyment by their licensor of their estate. </w:t>
      </w:r>
      <w:r w:rsidRPr="00CE3E36">
        <w:rPr>
          <w:rFonts w:ascii="Times New Roman" w:hAnsi="Times New Roman" w:cs="Times New Roman"/>
          <w:i/>
        </w:rPr>
        <w:t>Bruton</w:t>
      </w:r>
      <w:r w:rsidRPr="00C2215F">
        <w:rPr>
          <w:rFonts w:ascii="Times New Roman" w:hAnsi="Times New Roman" w:cs="Times New Roman"/>
        </w:rPr>
        <w:t xml:space="preserve"> itself was decided consistently with that approach. It is also one accordant with indications that one can be in possession merely qua licensee.’</w:t>
      </w:r>
      <w:r>
        <w:rPr>
          <w:rStyle w:val="FootnoteReference"/>
          <w:rFonts w:ascii="Times New Roman" w:hAnsi="Times New Roman" w:cs="Times New Roman"/>
        </w:rPr>
        <w:footnoteReference w:id="25"/>
      </w:r>
    </w:p>
    <w:p w14:paraId="087E74AE" w14:textId="77777777" w:rsidR="00B1196A" w:rsidRDefault="00B1196A" w:rsidP="00B1196A">
      <w:pPr>
        <w:jc w:val="both"/>
        <w:rPr>
          <w:rFonts w:ascii="Times New Roman" w:hAnsi="Times New Roman" w:cs="Times New Roman"/>
        </w:rPr>
      </w:pPr>
    </w:p>
    <w:p w14:paraId="71BC5927" w14:textId="3FA9DD62" w:rsidR="00512DB7" w:rsidRDefault="00512DB7" w:rsidP="00B1196A">
      <w:pPr>
        <w:jc w:val="both"/>
        <w:rPr>
          <w:rFonts w:ascii="Times New Roman" w:hAnsi="Times New Roman" w:cs="Times New Roman"/>
        </w:rPr>
      </w:pPr>
      <w:r>
        <w:rPr>
          <w:rFonts w:ascii="Times New Roman" w:hAnsi="Times New Roman" w:cs="Times New Roman"/>
        </w:rPr>
        <w:t>The</w:t>
      </w:r>
      <w:r w:rsidR="00B1196A">
        <w:rPr>
          <w:rFonts w:ascii="Times New Roman" w:hAnsi="Times New Roman" w:cs="Times New Roman"/>
        </w:rPr>
        <w:t xml:space="preserve"> centrality of the lease/licence distinction as the boundary between proprietary and contractual forms of occupa</w:t>
      </w:r>
      <w:r>
        <w:rPr>
          <w:rFonts w:ascii="Times New Roman" w:hAnsi="Times New Roman" w:cs="Times New Roman"/>
        </w:rPr>
        <w:t>tion of land, therefore survive</w:t>
      </w:r>
      <w:r w:rsidR="00D43F44">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i/>
        </w:rPr>
        <w:t>Bruton</w:t>
      </w:r>
      <w:r>
        <w:rPr>
          <w:rFonts w:ascii="Times New Roman" w:hAnsi="Times New Roman" w:cs="Times New Roman"/>
        </w:rPr>
        <w:t xml:space="preserve"> tenancies are an anomalous footnote</w:t>
      </w:r>
      <w:r w:rsidR="00D43F44">
        <w:rPr>
          <w:rFonts w:ascii="Times New Roman" w:hAnsi="Times New Roman" w:cs="Times New Roman"/>
        </w:rPr>
        <w:t>, as the fact that they do not appear to bind third parties or attract rights that a licence does not, mean that</w:t>
      </w:r>
      <w:r w:rsidR="00D43F44" w:rsidRPr="00D43F44">
        <w:rPr>
          <w:rFonts w:ascii="Times New Roman" w:hAnsi="Times New Roman" w:cs="Times New Roman"/>
        </w:rPr>
        <w:t xml:space="preserve"> it is understandable that the case law has not been swamped with parties claiming that a ‘</w:t>
      </w:r>
      <w:r w:rsidR="00D43F44">
        <w:rPr>
          <w:rFonts w:ascii="Times New Roman" w:hAnsi="Times New Roman" w:cs="Times New Roman"/>
        </w:rPr>
        <w:t>non-estate</w:t>
      </w:r>
      <w:r w:rsidR="00D43F44" w:rsidRPr="00D43F44">
        <w:rPr>
          <w:rFonts w:ascii="Times New Roman" w:hAnsi="Times New Roman" w:cs="Times New Roman"/>
        </w:rPr>
        <w:t xml:space="preserve"> tenancy’ has been created by the document they entered into, rather than a contractual licence.</w:t>
      </w:r>
      <w:r w:rsidR="00D43F44">
        <w:rPr>
          <w:rFonts w:ascii="Times New Roman" w:hAnsi="Times New Roman" w:cs="Times New Roman"/>
        </w:rPr>
        <w:t xml:space="preserve"> </w:t>
      </w:r>
      <w:r>
        <w:rPr>
          <w:rFonts w:ascii="Times New Roman" w:hAnsi="Times New Roman" w:cs="Times New Roman"/>
        </w:rPr>
        <w:t xml:space="preserve"> The fact remains that an estate in land is a feature of a lease.</w:t>
      </w:r>
      <w:r w:rsidR="007612A6">
        <w:rPr>
          <w:rFonts w:ascii="Times New Roman" w:hAnsi="Times New Roman" w:cs="Times New Roman"/>
        </w:rPr>
        <w:t xml:space="preserve">  </w:t>
      </w:r>
      <w:r>
        <w:rPr>
          <w:rFonts w:ascii="Times New Roman" w:hAnsi="Times New Roman" w:cs="Times New Roman"/>
        </w:rPr>
        <w:t xml:space="preserve">This is significant, because one question left unaddressed </w:t>
      </w:r>
      <w:r w:rsidR="007612A6">
        <w:rPr>
          <w:rFonts w:ascii="Times New Roman" w:hAnsi="Times New Roman" w:cs="Times New Roman"/>
        </w:rPr>
        <w:t xml:space="preserve">by the importation of contractual doctrine is </w:t>
      </w:r>
      <w:r>
        <w:rPr>
          <w:rFonts w:ascii="Times New Roman" w:hAnsi="Times New Roman" w:cs="Times New Roman"/>
        </w:rPr>
        <w:t>how would a contractual doctrine end the lease as a matter of legal theory? The central issue is whether</w:t>
      </w:r>
      <w:r w:rsidRPr="00C2215F">
        <w:rPr>
          <w:rFonts w:ascii="Times New Roman" w:hAnsi="Times New Roman" w:cs="Times New Roman"/>
        </w:rPr>
        <w:t xml:space="preserve"> the contractual doctrine of repudiatory breach operate</w:t>
      </w:r>
      <w:r>
        <w:rPr>
          <w:rFonts w:ascii="Times New Roman" w:hAnsi="Times New Roman" w:cs="Times New Roman"/>
        </w:rPr>
        <w:t>s</w:t>
      </w:r>
      <w:r w:rsidRPr="00C2215F">
        <w:rPr>
          <w:rFonts w:ascii="Times New Roman" w:hAnsi="Times New Roman" w:cs="Times New Roman"/>
        </w:rPr>
        <w:t xml:space="preserve"> within property law</w:t>
      </w:r>
      <w:r>
        <w:rPr>
          <w:rFonts w:ascii="Times New Roman" w:hAnsi="Times New Roman" w:cs="Times New Roman"/>
        </w:rPr>
        <w:t>,</w:t>
      </w:r>
      <w:r w:rsidRPr="00C2215F">
        <w:rPr>
          <w:rFonts w:ascii="Times New Roman" w:hAnsi="Times New Roman" w:cs="Times New Roman"/>
        </w:rPr>
        <w:t xml:space="preserve"> or </w:t>
      </w:r>
      <w:r>
        <w:rPr>
          <w:rFonts w:ascii="Times New Roman" w:hAnsi="Times New Roman" w:cs="Times New Roman"/>
        </w:rPr>
        <w:t>outside and independently from it.</w:t>
      </w:r>
      <w:r w:rsidRPr="00C2215F">
        <w:rPr>
          <w:rFonts w:ascii="Times New Roman" w:hAnsi="Times New Roman" w:cs="Times New Roman"/>
        </w:rPr>
        <w:t xml:space="preserve"> In other words, does repudiatory breach need to make use of property law to bring about the destruction of the leasehold estate, or can it do so on </w:t>
      </w:r>
      <w:r>
        <w:rPr>
          <w:rFonts w:ascii="Times New Roman" w:hAnsi="Times New Roman" w:cs="Times New Roman"/>
        </w:rPr>
        <w:t>simple contractual principles? The consensus is that an integrated approach is required, because of the presence of an estate in land.</w:t>
      </w:r>
      <w:r w:rsidR="00D5714C">
        <w:rPr>
          <w:rStyle w:val="FootnoteReference"/>
          <w:rFonts w:ascii="Times New Roman" w:hAnsi="Times New Roman" w:cs="Times New Roman"/>
        </w:rPr>
        <w:footnoteReference w:id="26"/>
      </w:r>
      <w:r w:rsidR="00D5714C">
        <w:rPr>
          <w:rFonts w:ascii="Times New Roman" w:hAnsi="Times New Roman" w:cs="Times New Roman"/>
        </w:rPr>
        <w:t xml:space="preserve">  </w:t>
      </w:r>
      <w:r>
        <w:rPr>
          <w:rFonts w:ascii="Times New Roman" w:hAnsi="Times New Roman" w:cs="Times New Roman"/>
        </w:rPr>
        <w:t xml:space="preserve">There is still something of a conceptual ‘muddle’ about the underpinning theory by which an estate is terminated, and is not revealing too much to note that none of the cases before the courts in England and Wales dealing with repudiatory breach have addressed this head on.  </w:t>
      </w:r>
    </w:p>
    <w:p w14:paraId="725C8324" w14:textId="77777777" w:rsidR="00550D07" w:rsidRDefault="00550D07" w:rsidP="00A51C77">
      <w:pPr>
        <w:jc w:val="both"/>
        <w:rPr>
          <w:rFonts w:ascii="Times New Roman" w:hAnsi="Times New Roman" w:cs="Times New Roman"/>
        </w:rPr>
      </w:pPr>
    </w:p>
    <w:p w14:paraId="278B644A" w14:textId="77777777" w:rsidR="00550D07" w:rsidRDefault="00550D07" w:rsidP="00A51C77">
      <w:pPr>
        <w:jc w:val="both"/>
        <w:rPr>
          <w:rFonts w:ascii="Times New Roman" w:hAnsi="Times New Roman" w:cs="Times New Roman"/>
        </w:rPr>
      </w:pPr>
    </w:p>
    <w:p w14:paraId="08D69C09" w14:textId="79EE7866" w:rsidR="00D54BC3" w:rsidRPr="00D54BC3" w:rsidRDefault="00D54BC3" w:rsidP="00A51C77">
      <w:pPr>
        <w:pStyle w:val="ListParagraph"/>
        <w:numPr>
          <w:ilvl w:val="0"/>
          <w:numId w:val="12"/>
        </w:numPr>
        <w:jc w:val="both"/>
        <w:rPr>
          <w:rFonts w:ascii="Times New Roman" w:hAnsi="Times New Roman" w:cs="Times New Roman"/>
        </w:rPr>
      </w:pPr>
      <w:r>
        <w:rPr>
          <w:rFonts w:ascii="Times New Roman" w:hAnsi="Times New Roman" w:cs="Times New Roman"/>
        </w:rPr>
        <w:t>The Regulatory Framework</w:t>
      </w:r>
    </w:p>
    <w:p w14:paraId="2C2CC27D" w14:textId="77777777" w:rsidR="00D54BC3" w:rsidRDefault="00D54BC3" w:rsidP="00A51C77">
      <w:pPr>
        <w:jc w:val="both"/>
        <w:rPr>
          <w:rFonts w:ascii="Times New Roman" w:hAnsi="Times New Roman" w:cs="Times New Roman"/>
        </w:rPr>
      </w:pPr>
    </w:p>
    <w:p w14:paraId="7E15E4C6" w14:textId="728B2E66" w:rsidR="00A51C77" w:rsidRDefault="0062779B" w:rsidP="00A51C77">
      <w:pPr>
        <w:jc w:val="both"/>
        <w:rPr>
          <w:rFonts w:ascii="Times New Roman" w:hAnsi="Times New Roman" w:cs="Times New Roman"/>
        </w:rPr>
      </w:pPr>
      <w:r>
        <w:rPr>
          <w:rFonts w:ascii="Times New Roman" w:hAnsi="Times New Roman" w:cs="Times New Roman"/>
        </w:rPr>
        <w:t xml:space="preserve">The presence of the estate is </w:t>
      </w:r>
      <w:r w:rsidR="00512DB7">
        <w:rPr>
          <w:rFonts w:ascii="Times New Roman" w:hAnsi="Times New Roman" w:cs="Times New Roman"/>
        </w:rPr>
        <w:t xml:space="preserve">significant to the definition of a lease, but is just </w:t>
      </w:r>
      <w:r>
        <w:rPr>
          <w:rFonts w:ascii="Times New Roman" w:hAnsi="Times New Roman" w:cs="Times New Roman"/>
        </w:rPr>
        <w:t>one factor that makes the lease distinct from other specialist co</w:t>
      </w:r>
      <w:r w:rsidR="00512DB7">
        <w:rPr>
          <w:rFonts w:ascii="Times New Roman" w:hAnsi="Times New Roman" w:cs="Times New Roman"/>
        </w:rPr>
        <w:t>ntracts.  The more significant issue is</w:t>
      </w:r>
      <w:r w:rsidR="00A51C77">
        <w:rPr>
          <w:rFonts w:ascii="Times New Roman" w:hAnsi="Times New Roman" w:cs="Times New Roman"/>
        </w:rPr>
        <w:t xml:space="preserve">, </w:t>
      </w:r>
      <w:r w:rsidR="008053B7">
        <w:rPr>
          <w:rFonts w:ascii="Times New Roman" w:hAnsi="Times New Roman" w:cs="Times New Roman"/>
        </w:rPr>
        <w:t>in many ways,</w:t>
      </w:r>
      <w:r>
        <w:rPr>
          <w:rFonts w:ascii="Times New Roman" w:hAnsi="Times New Roman" w:cs="Times New Roman"/>
        </w:rPr>
        <w:t xml:space="preserve"> the particular </w:t>
      </w:r>
      <w:r w:rsidRPr="00C2215F">
        <w:rPr>
          <w:rFonts w:ascii="Times New Roman" w:hAnsi="Times New Roman" w:cs="Times New Roman"/>
        </w:rPr>
        <w:t>rules and regulations that have built up around the regulation of leases work against the effective operation of broad contractual principles in this specialist context of lettings between landlord and tenant.</w:t>
      </w:r>
      <w:r>
        <w:rPr>
          <w:rStyle w:val="FootnoteReference"/>
          <w:rFonts w:ascii="Times New Roman" w:hAnsi="Times New Roman" w:cs="Times New Roman"/>
        </w:rPr>
        <w:footnoteReference w:id="27"/>
      </w:r>
      <w:r>
        <w:rPr>
          <w:rFonts w:ascii="Times New Roman" w:hAnsi="Times New Roman" w:cs="Times New Roman"/>
        </w:rPr>
        <w:t xml:space="preserve">  </w:t>
      </w:r>
      <w:r w:rsidR="00285C73">
        <w:rPr>
          <w:rFonts w:ascii="Times New Roman" w:hAnsi="Times New Roman" w:cs="Times New Roman"/>
        </w:rPr>
        <w:t>This</w:t>
      </w:r>
      <w:r w:rsidR="00A51C77">
        <w:rPr>
          <w:rFonts w:ascii="Times New Roman" w:hAnsi="Times New Roman" w:cs="Times New Roman"/>
        </w:rPr>
        <w:t xml:space="preserve"> context</w:t>
      </w:r>
      <w:r w:rsidR="00285C73">
        <w:rPr>
          <w:rFonts w:ascii="Times New Roman" w:hAnsi="Times New Roman" w:cs="Times New Roman"/>
        </w:rPr>
        <w:t xml:space="preserve"> is more than the specialist nature of a particular form of contract, where the operation of rules differs fr</w:t>
      </w:r>
      <w:r w:rsidR="005E03FE">
        <w:rPr>
          <w:rFonts w:ascii="Times New Roman" w:hAnsi="Times New Roman" w:cs="Times New Roman"/>
        </w:rPr>
        <w:t xml:space="preserve">om one contract to another.  </w:t>
      </w:r>
      <w:r w:rsidR="00A51C77">
        <w:rPr>
          <w:rFonts w:ascii="Times New Roman" w:hAnsi="Times New Roman" w:cs="Times New Roman"/>
        </w:rPr>
        <w:t>Leases have distinct features, such as:</w:t>
      </w:r>
    </w:p>
    <w:p w14:paraId="120BFC35" w14:textId="77777777" w:rsidR="00A51C77" w:rsidRDefault="00A51C77" w:rsidP="00A51C77">
      <w:pPr>
        <w:jc w:val="both"/>
        <w:rPr>
          <w:rFonts w:ascii="Times New Roman" w:hAnsi="Times New Roman" w:cs="Times New Roman"/>
        </w:rPr>
      </w:pPr>
    </w:p>
    <w:p w14:paraId="7BA77328" w14:textId="2CD6F165" w:rsidR="00A51C77" w:rsidRPr="00C2215F" w:rsidRDefault="00A51C77" w:rsidP="002812AA">
      <w:pPr>
        <w:ind w:left="720"/>
        <w:jc w:val="both"/>
        <w:rPr>
          <w:rFonts w:ascii="Times New Roman" w:hAnsi="Times New Roman" w:cs="Times New Roman"/>
        </w:rPr>
      </w:pPr>
      <w:r>
        <w:rPr>
          <w:rFonts w:ascii="Times New Roman" w:hAnsi="Times New Roman" w:cs="Times New Roman"/>
        </w:rPr>
        <w:lastRenderedPageBreak/>
        <w:t>…[T]</w:t>
      </w:r>
      <w:r w:rsidRPr="00C2215F">
        <w:rPr>
          <w:rFonts w:ascii="Times New Roman" w:hAnsi="Times New Roman" w:cs="Times New Roman"/>
        </w:rPr>
        <w:t>he comprehensive process of assignment of the benefit and burden of leasehold covenants is something unique to the law of leases and is not to be found under general contract law. Leases are also clearly distinguishable from other contracts of hire because engrafted onto them are complex statutory codes, which, often for reasons of policy, seek to confer on tenants additional benefits and advantages. In particular, the complex law relating to the recovery of possession and eviction of tenants (including the law of forfeiture and relief from forfeiture) make leasehold agreements very different from ordinary commercial contracts.</w:t>
      </w:r>
      <w:r w:rsidR="00D530BF">
        <w:rPr>
          <w:rStyle w:val="FootnoteReference"/>
          <w:rFonts w:ascii="Times New Roman" w:hAnsi="Times New Roman" w:cs="Times New Roman"/>
        </w:rPr>
        <w:footnoteReference w:id="28"/>
      </w:r>
    </w:p>
    <w:p w14:paraId="1AF3B41A" w14:textId="77777777" w:rsidR="00A51C77" w:rsidRPr="00C2215F" w:rsidRDefault="00A51C77" w:rsidP="005E03FE">
      <w:pPr>
        <w:jc w:val="both"/>
        <w:rPr>
          <w:rFonts w:ascii="Times New Roman" w:hAnsi="Times New Roman" w:cs="Times New Roman"/>
        </w:rPr>
      </w:pPr>
    </w:p>
    <w:p w14:paraId="6999D782" w14:textId="13E682C3" w:rsidR="0079509B" w:rsidRPr="00C2215F" w:rsidRDefault="00813D6C" w:rsidP="00EE2F90">
      <w:pPr>
        <w:jc w:val="both"/>
        <w:rPr>
          <w:rFonts w:ascii="Times New Roman" w:hAnsi="Times New Roman" w:cs="Times New Roman"/>
        </w:rPr>
      </w:pPr>
      <w:r w:rsidRPr="00C2215F">
        <w:rPr>
          <w:rFonts w:ascii="Times New Roman" w:hAnsi="Times New Roman" w:cs="Times New Roman"/>
        </w:rPr>
        <w:t xml:space="preserve">McFarlene has suggested that </w:t>
      </w:r>
      <w:r w:rsidR="00A51C77">
        <w:rPr>
          <w:rFonts w:ascii="Times New Roman" w:hAnsi="Times New Roman" w:cs="Times New Roman"/>
        </w:rPr>
        <w:t>any</w:t>
      </w:r>
      <w:r w:rsidRPr="00C2215F">
        <w:rPr>
          <w:rFonts w:ascii="Times New Roman" w:hAnsi="Times New Roman" w:cs="Times New Roman"/>
        </w:rPr>
        <w:t xml:space="preserve"> tension between the contractual and proprietary aspects of a lease is an ‘illusion</w:t>
      </w:r>
      <w:r w:rsidR="00900DEB">
        <w:rPr>
          <w:rFonts w:ascii="Times New Roman" w:hAnsi="Times New Roman" w:cs="Times New Roman"/>
        </w:rPr>
        <w:t>’;</w:t>
      </w:r>
      <w:r w:rsidRPr="00C2215F">
        <w:rPr>
          <w:rStyle w:val="FootnoteReference"/>
          <w:rFonts w:ascii="Times New Roman" w:hAnsi="Times New Roman" w:cs="Times New Roman"/>
        </w:rPr>
        <w:footnoteReference w:id="29"/>
      </w:r>
      <w:r w:rsidR="00900DEB">
        <w:rPr>
          <w:rFonts w:ascii="Times New Roman" w:hAnsi="Times New Roman" w:cs="Times New Roman"/>
        </w:rPr>
        <w:t xml:space="preserve"> </w:t>
      </w:r>
      <w:r w:rsidRPr="00C2215F">
        <w:rPr>
          <w:rFonts w:ascii="Times New Roman" w:hAnsi="Times New Roman" w:cs="Times New Roman"/>
        </w:rPr>
        <w:t xml:space="preserve">the classification </w:t>
      </w:r>
      <w:r w:rsidR="00BB090E">
        <w:rPr>
          <w:rFonts w:ascii="Times New Roman" w:hAnsi="Times New Roman" w:cs="Times New Roman"/>
        </w:rPr>
        <w:t xml:space="preserve">of a lease </w:t>
      </w:r>
      <w:r w:rsidRPr="00C2215F">
        <w:rPr>
          <w:rFonts w:ascii="Times New Roman" w:hAnsi="Times New Roman" w:cs="Times New Roman"/>
        </w:rPr>
        <w:t>as a property right is one of content (does the right given impose a prima facie duty on the rest of the world not to interfere with the use of a thing?), whereas designation as a contractual rig</w:t>
      </w:r>
      <w:r w:rsidR="0079509B" w:rsidRPr="00C2215F">
        <w:rPr>
          <w:rFonts w:ascii="Times New Roman" w:hAnsi="Times New Roman" w:cs="Times New Roman"/>
        </w:rPr>
        <w:t>ht is an acquisition question (</w:t>
      </w:r>
      <w:r w:rsidRPr="00C2215F">
        <w:rPr>
          <w:rFonts w:ascii="Times New Roman" w:hAnsi="Times New Roman" w:cs="Times New Roman"/>
        </w:rPr>
        <w:t>does the right arise as a result of a contractually bi</w:t>
      </w:r>
      <w:r w:rsidR="0079509B" w:rsidRPr="00C2215F">
        <w:rPr>
          <w:rFonts w:ascii="Times New Roman" w:hAnsi="Times New Roman" w:cs="Times New Roman"/>
        </w:rPr>
        <w:t xml:space="preserve">nding promise with the </w:t>
      </w:r>
      <w:r w:rsidR="00BB090E">
        <w:rPr>
          <w:rFonts w:ascii="Times New Roman" w:hAnsi="Times New Roman" w:cs="Times New Roman"/>
        </w:rPr>
        <w:t>lessor</w:t>
      </w:r>
      <w:r w:rsidR="0079509B" w:rsidRPr="00C2215F">
        <w:rPr>
          <w:rFonts w:ascii="Times New Roman" w:hAnsi="Times New Roman" w:cs="Times New Roman"/>
        </w:rPr>
        <w:t xml:space="preserve">?).  </w:t>
      </w:r>
      <w:r w:rsidR="00900DEB">
        <w:rPr>
          <w:rFonts w:ascii="Times New Roman" w:hAnsi="Times New Roman" w:cs="Times New Roman"/>
        </w:rPr>
        <w:t>It follows that</w:t>
      </w:r>
      <w:r w:rsidR="0079509B" w:rsidRPr="00C2215F">
        <w:rPr>
          <w:rFonts w:ascii="Times New Roman" w:hAnsi="Times New Roman" w:cs="Times New Roman"/>
        </w:rPr>
        <w:t>, ‘</w:t>
      </w:r>
      <w:r w:rsidR="008F098D">
        <w:rPr>
          <w:rFonts w:ascii="Times New Roman" w:hAnsi="Times New Roman" w:cs="Times New Roman"/>
        </w:rPr>
        <w:t>when analys</w:t>
      </w:r>
      <w:r w:rsidRPr="00C2215F">
        <w:rPr>
          <w:rFonts w:ascii="Times New Roman" w:hAnsi="Times New Roman" w:cs="Times New Roman"/>
        </w:rPr>
        <w:t>ing the practical problems that are often said to depend on a choice between the ‘proprietary’ and ‘contractual’ views, the false opposition obscures the solution to the problems’.</w:t>
      </w:r>
      <w:r w:rsidR="00900DEB">
        <w:rPr>
          <w:rStyle w:val="FootnoteReference"/>
          <w:rFonts w:ascii="Times New Roman" w:hAnsi="Times New Roman" w:cs="Times New Roman"/>
        </w:rPr>
        <w:footnoteReference w:id="30"/>
      </w:r>
      <w:r w:rsidR="0079509B" w:rsidRPr="00C2215F">
        <w:rPr>
          <w:rFonts w:ascii="Times New Roman" w:hAnsi="Times New Roman" w:cs="Times New Roman"/>
        </w:rPr>
        <w:t xml:space="preserve">  </w:t>
      </w:r>
    </w:p>
    <w:p w14:paraId="2CE77EC6" w14:textId="77777777" w:rsidR="0079509B" w:rsidRPr="00C2215F" w:rsidRDefault="0079509B" w:rsidP="00813D6C">
      <w:pPr>
        <w:jc w:val="both"/>
        <w:rPr>
          <w:rFonts w:ascii="Times New Roman" w:hAnsi="Times New Roman" w:cs="Times New Roman"/>
        </w:rPr>
      </w:pPr>
    </w:p>
    <w:p w14:paraId="3EB6D5CF" w14:textId="3EC1BABF" w:rsidR="00B56C4E" w:rsidRDefault="0079509B" w:rsidP="00D6056D">
      <w:pPr>
        <w:jc w:val="both"/>
        <w:rPr>
          <w:rFonts w:ascii="Times New Roman" w:hAnsi="Times New Roman" w:cs="Times New Roman"/>
        </w:rPr>
      </w:pPr>
      <w:r w:rsidRPr="00C2215F">
        <w:rPr>
          <w:rFonts w:ascii="Times New Roman" w:hAnsi="Times New Roman" w:cs="Times New Roman"/>
        </w:rPr>
        <w:t>While there is much to commend this as a theoretical perspective, it does not address the concerns</w:t>
      </w:r>
      <w:r w:rsidR="002B7C7D">
        <w:rPr>
          <w:rFonts w:ascii="Times New Roman" w:hAnsi="Times New Roman" w:cs="Times New Roman"/>
        </w:rPr>
        <w:t xml:space="preserve"> raised</w:t>
      </w:r>
      <w:r w:rsidRPr="00C2215F">
        <w:rPr>
          <w:rFonts w:ascii="Times New Roman" w:hAnsi="Times New Roman" w:cs="Times New Roman"/>
        </w:rPr>
        <w:t xml:space="preserve"> that the </w:t>
      </w:r>
      <w:r w:rsidR="002B7C7D">
        <w:rPr>
          <w:rFonts w:ascii="Times New Roman" w:hAnsi="Times New Roman" w:cs="Times New Roman"/>
        </w:rPr>
        <w:t>presence</w:t>
      </w:r>
      <w:r w:rsidRPr="00C2215F">
        <w:rPr>
          <w:rFonts w:ascii="Times New Roman" w:hAnsi="Times New Roman" w:cs="Times New Roman"/>
        </w:rPr>
        <w:t xml:space="preserve"> of a proprietary estate, and the </w:t>
      </w:r>
      <w:r w:rsidR="0074356C">
        <w:rPr>
          <w:rFonts w:ascii="Times New Roman" w:hAnsi="Times New Roman" w:cs="Times New Roman"/>
        </w:rPr>
        <w:t>rules which exist around it, have</w:t>
      </w:r>
      <w:r w:rsidRPr="00C2215F">
        <w:rPr>
          <w:rFonts w:ascii="Times New Roman" w:hAnsi="Times New Roman" w:cs="Times New Roman"/>
        </w:rPr>
        <w:t xml:space="preserve"> a fundamental impact on the operation of how the law regulates this extra dim</w:t>
      </w:r>
      <w:r w:rsidR="009A5DFA">
        <w:rPr>
          <w:rFonts w:ascii="Times New Roman" w:hAnsi="Times New Roman" w:cs="Times New Roman"/>
        </w:rPr>
        <w:t>ension, which is absent from</w:t>
      </w:r>
      <w:r w:rsidRPr="00C2215F">
        <w:rPr>
          <w:rFonts w:ascii="Times New Roman" w:hAnsi="Times New Roman" w:cs="Times New Roman"/>
        </w:rPr>
        <w:t xml:space="preserve"> contract</w:t>
      </w:r>
      <w:r w:rsidR="009A5DFA">
        <w:rPr>
          <w:rFonts w:ascii="Times New Roman" w:hAnsi="Times New Roman" w:cs="Times New Roman"/>
        </w:rPr>
        <w:t>s generally</w:t>
      </w:r>
      <w:r w:rsidRPr="00C2215F">
        <w:rPr>
          <w:rFonts w:ascii="Times New Roman" w:hAnsi="Times New Roman" w:cs="Times New Roman"/>
        </w:rPr>
        <w:t xml:space="preserve">.  </w:t>
      </w:r>
      <w:r w:rsidR="00E07499">
        <w:rPr>
          <w:rFonts w:ascii="Times New Roman" w:hAnsi="Times New Roman" w:cs="Times New Roman"/>
        </w:rPr>
        <w:t>An</w:t>
      </w:r>
      <w:r w:rsidRPr="00C2215F">
        <w:rPr>
          <w:rFonts w:ascii="Times New Roman" w:hAnsi="Times New Roman" w:cs="Times New Roman"/>
        </w:rPr>
        <w:t xml:space="preserve"> analysis which suggests that some contractual doctrine</w:t>
      </w:r>
      <w:r w:rsidR="002B7C7D">
        <w:rPr>
          <w:rFonts w:ascii="Times New Roman" w:hAnsi="Times New Roman" w:cs="Times New Roman"/>
        </w:rPr>
        <w:t>s</w:t>
      </w:r>
      <w:r w:rsidRPr="00C2215F">
        <w:rPr>
          <w:rFonts w:ascii="Times New Roman" w:hAnsi="Times New Roman" w:cs="Times New Roman"/>
        </w:rPr>
        <w:t xml:space="preserve"> have no place in leasehold law does not deny the importance of the creative, contractual element of the lease, but instead recognises that the presence of the estate and the obligations arising from it, </w:t>
      </w:r>
      <w:r w:rsidR="00512DB7">
        <w:rPr>
          <w:rFonts w:ascii="Times New Roman" w:hAnsi="Times New Roman" w:cs="Times New Roman"/>
        </w:rPr>
        <w:t>present real obstacles to the effective operation of contractual principles in leasehold law.</w:t>
      </w:r>
      <w:r w:rsidR="00763749">
        <w:rPr>
          <w:rFonts w:ascii="Times New Roman" w:hAnsi="Times New Roman" w:cs="Times New Roman"/>
        </w:rPr>
        <w:t xml:space="preserve">  These will be revealed in the consideration of repudiatory breach.</w:t>
      </w:r>
    </w:p>
    <w:p w14:paraId="31349410" w14:textId="77777777" w:rsidR="00B872E6" w:rsidRPr="00C2215F" w:rsidRDefault="00B872E6" w:rsidP="00D6056D">
      <w:pPr>
        <w:jc w:val="both"/>
        <w:rPr>
          <w:rFonts w:ascii="Times New Roman" w:hAnsi="Times New Roman" w:cs="Times New Roman"/>
        </w:rPr>
      </w:pPr>
    </w:p>
    <w:p w14:paraId="47F5400E" w14:textId="20795EEA" w:rsidR="00DD1D50" w:rsidRPr="00C2215F" w:rsidRDefault="00DD1D50" w:rsidP="00EE2F90">
      <w:pPr>
        <w:pStyle w:val="ListParagraph"/>
        <w:numPr>
          <w:ilvl w:val="0"/>
          <w:numId w:val="11"/>
        </w:numPr>
        <w:jc w:val="both"/>
        <w:rPr>
          <w:rFonts w:ascii="Times New Roman" w:hAnsi="Times New Roman" w:cs="Times New Roman"/>
          <w:u w:val="single"/>
        </w:rPr>
      </w:pPr>
      <w:r w:rsidRPr="00C2215F">
        <w:rPr>
          <w:rFonts w:ascii="Times New Roman" w:hAnsi="Times New Roman" w:cs="Times New Roman"/>
          <w:u w:val="single"/>
        </w:rPr>
        <w:t>Case Study: Repudiatory Breach of Leases</w:t>
      </w:r>
    </w:p>
    <w:p w14:paraId="110CB2E0" w14:textId="77777777" w:rsidR="00872612" w:rsidRPr="00C2215F" w:rsidRDefault="00872612" w:rsidP="00D6056D">
      <w:pPr>
        <w:jc w:val="both"/>
        <w:rPr>
          <w:rFonts w:ascii="Times New Roman" w:hAnsi="Times New Roman" w:cs="Times New Roman"/>
          <w:u w:val="single"/>
        </w:rPr>
      </w:pPr>
    </w:p>
    <w:p w14:paraId="7B4DAED3" w14:textId="6D1514A6" w:rsidR="00A656ED" w:rsidRDefault="00A656ED" w:rsidP="00D54BC3">
      <w:pPr>
        <w:pStyle w:val="ListParagraph"/>
        <w:numPr>
          <w:ilvl w:val="0"/>
          <w:numId w:val="20"/>
        </w:numPr>
        <w:jc w:val="both"/>
        <w:rPr>
          <w:rFonts w:ascii="Times New Roman" w:hAnsi="Times New Roman" w:cs="Times New Roman"/>
        </w:rPr>
      </w:pPr>
      <w:r>
        <w:rPr>
          <w:rFonts w:ascii="Times New Roman" w:hAnsi="Times New Roman" w:cs="Times New Roman"/>
        </w:rPr>
        <w:t xml:space="preserve"> What is a repudiatory breach?</w:t>
      </w:r>
    </w:p>
    <w:p w14:paraId="12128F6D" w14:textId="77777777" w:rsidR="00A656ED" w:rsidRPr="00A656ED" w:rsidRDefault="00A656ED" w:rsidP="00A656ED">
      <w:pPr>
        <w:pStyle w:val="ListParagraph"/>
        <w:jc w:val="both"/>
        <w:rPr>
          <w:rFonts w:ascii="Times New Roman" w:hAnsi="Times New Roman" w:cs="Times New Roman"/>
        </w:rPr>
      </w:pPr>
    </w:p>
    <w:p w14:paraId="72E5DF08" w14:textId="0E7F574E" w:rsidR="00AD45AD" w:rsidRPr="00C2215F" w:rsidRDefault="00AD45AD" w:rsidP="00AD45AD">
      <w:pPr>
        <w:jc w:val="both"/>
        <w:rPr>
          <w:rFonts w:ascii="Times New Roman" w:hAnsi="Times New Roman" w:cs="Times New Roman"/>
        </w:rPr>
      </w:pPr>
      <w:r w:rsidRPr="00C2215F">
        <w:rPr>
          <w:rFonts w:ascii="Times New Roman" w:hAnsi="Times New Roman" w:cs="Times New Roman"/>
        </w:rPr>
        <w:t xml:space="preserve">Put simply, </w:t>
      </w:r>
      <w:r w:rsidR="002B7C7D">
        <w:rPr>
          <w:rFonts w:ascii="Times New Roman" w:hAnsi="Times New Roman" w:cs="Times New Roman"/>
        </w:rPr>
        <w:t>a breach of an obligation</w:t>
      </w:r>
      <w:r w:rsidRPr="00C2215F">
        <w:rPr>
          <w:rFonts w:ascii="Times New Roman" w:hAnsi="Times New Roman" w:cs="Times New Roman"/>
        </w:rPr>
        <w:t xml:space="preserve"> (or obligations) under a contract </w:t>
      </w:r>
      <w:r w:rsidR="002B7C7D">
        <w:rPr>
          <w:rFonts w:ascii="Times New Roman" w:hAnsi="Times New Roman" w:cs="Times New Roman"/>
        </w:rPr>
        <w:t xml:space="preserve">is repudiatory when it </w:t>
      </w:r>
      <w:r w:rsidRPr="00C2215F">
        <w:rPr>
          <w:rFonts w:ascii="Times New Roman" w:hAnsi="Times New Roman" w:cs="Times New Roman"/>
        </w:rPr>
        <w:t xml:space="preserve">is so fundamental that </w:t>
      </w:r>
      <w:r w:rsidR="002B7C7D">
        <w:rPr>
          <w:rFonts w:ascii="Times New Roman" w:hAnsi="Times New Roman" w:cs="Times New Roman"/>
        </w:rPr>
        <w:t>it</w:t>
      </w:r>
      <w:r w:rsidRPr="00C2215F">
        <w:rPr>
          <w:rFonts w:ascii="Times New Roman" w:hAnsi="Times New Roman" w:cs="Times New Roman"/>
        </w:rPr>
        <w:t xml:space="preserve"> is tantamount </w:t>
      </w:r>
      <w:r w:rsidR="002B7C7D">
        <w:rPr>
          <w:rFonts w:ascii="Times New Roman" w:hAnsi="Times New Roman" w:cs="Times New Roman"/>
        </w:rPr>
        <w:t>to the party in breach</w:t>
      </w:r>
      <w:r w:rsidRPr="00C2215F">
        <w:rPr>
          <w:rFonts w:ascii="Times New Roman" w:hAnsi="Times New Roman" w:cs="Times New Roman"/>
        </w:rPr>
        <w:t xml:space="preserve"> repudiating </w:t>
      </w:r>
      <w:r w:rsidR="00156889">
        <w:rPr>
          <w:rFonts w:ascii="Times New Roman" w:hAnsi="Times New Roman" w:cs="Times New Roman"/>
        </w:rPr>
        <w:t>or rejecting the whole contract.</w:t>
      </w:r>
      <w:r w:rsidR="00153D33">
        <w:rPr>
          <w:rStyle w:val="FootnoteReference"/>
          <w:rFonts w:ascii="Times New Roman" w:hAnsi="Times New Roman" w:cs="Times New Roman"/>
        </w:rPr>
        <w:footnoteReference w:id="31"/>
      </w:r>
      <w:r w:rsidR="00153D33">
        <w:rPr>
          <w:rFonts w:ascii="Times New Roman" w:hAnsi="Times New Roman" w:cs="Times New Roman"/>
        </w:rPr>
        <w:t xml:space="preserve"> </w:t>
      </w:r>
      <w:r w:rsidR="00156889">
        <w:rPr>
          <w:rFonts w:ascii="Times New Roman" w:hAnsi="Times New Roman" w:cs="Times New Roman"/>
        </w:rPr>
        <w:t xml:space="preserve"> </w:t>
      </w:r>
      <w:r w:rsidR="00147419">
        <w:rPr>
          <w:rFonts w:ascii="Times New Roman" w:hAnsi="Times New Roman" w:cs="Times New Roman"/>
        </w:rPr>
        <w:t xml:space="preserve">The classic formulation is </w:t>
      </w:r>
      <w:r w:rsidR="002B7C7D">
        <w:rPr>
          <w:rFonts w:ascii="Times New Roman" w:hAnsi="Times New Roman" w:cs="Times New Roman"/>
        </w:rPr>
        <w:t>such</w:t>
      </w:r>
      <w:r w:rsidR="00147419">
        <w:rPr>
          <w:rFonts w:ascii="Times New Roman" w:hAnsi="Times New Roman" w:cs="Times New Roman"/>
        </w:rPr>
        <w:t xml:space="preserve"> breach</w:t>
      </w:r>
      <w:r w:rsidR="002B7C7D">
        <w:rPr>
          <w:rFonts w:ascii="Times New Roman" w:hAnsi="Times New Roman" w:cs="Times New Roman"/>
        </w:rPr>
        <w:t xml:space="preserve"> deprives the injured party</w:t>
      </w:r>
      <w:r w:rsidRPr="00C2215F">
        <w:rPr>
          <w:rFonts w:ascii="Times New Roman" w:hAnsi="Times New Roman" w:cs="Times New Roman"/>
        </w:rPr>
        <w:t xml:space="preserve"> </w:t>
      </w:r>
      <w:r w:rsidR="00156889" w:rsidRPr="00156889">
        <w:rPr>
          <w:rFonts w:ascii="Times New Roman" w:hAnsi="Times New Roman" w:cs="Times New Roman"/>
        </w:rPr>
        <w:t>of ‘substantially the wh</w:t>
      </w:r>
      <w:r w:rsidR="00DC4F19">
        <w:rPr>
          <w:rFonts w:ascii="Times New Roman" w:hAnsi="Times New Roman" w:cs="Times New Roman"/>
        </w:rPr>
        <w:t>ole benefi</w:t>
      </w:r>
      <w:r w:rsidR="00147419">
        <w:rPr>
          <w:rFonts w:ascii="Times New Roman" w:hAnsi="Times New Roman" w:cs="Times New Roman"/>
        </w:rPr>
        <w:t>t</w:t>
      </w:r>
      <w:r w:rsidR="00DC4F19">
        <w:rPr>
          <w:rFonts w:ascii="Times New Roman" w:hAnsi="Times New Roman" w:cs="Times New Roman"/>
        </w:rPr>
        <w:t>’</w:t>
      </w:r>
      <w:r w:rsidR="00147419">
        <w:rPr>
          <w:rFonts w:ascii="Times New Roman" w:hAnsi="Times New Roman" w:cs="Times New Roman"/>
        </w:rPr>
        <w:t xml:space="preserve"> of the contract,</w:t>
      </w:r>
      <w:r w:rsidR="00156889" w:rsidRPr="00156889">
        <w:rPr>
          <w:rFonts w:ascii="Times New Roman" w:hAnsi="Times New Roman" w:cs="Times New Roman"/>
          <w:vertAlign w:val="superscript"/>
        </w:rPr>
        <w:footnoteReference w:id="32"/>
      </w:r>
      <w:r w:rsidR="00147419">
        <w:rPr>
          <w:rFonts w:ascii="Times New Roman" w:hAnsi="Times New Roman" w:cs="Times New Roman"/>
        </w:rPr>
        <w:t xml:space="preserve"> or</w:t>
      </w:r>
      <w:r w:rsidR="00156889">
        <w:rPr>
          <w:rFonts w:ascii="Times New Roman" w:hAnsi="Times New Roman" w:cs="Times New Roman"/>
        </w:rPr>
        <w:t xml:space="preserve"> goes the very root of the contract so that damages will not provide an adequate remedy</w:t>
      </w:r>
      <w:r w:rsidR="00147419">
        <w:rPr>
          <w:rFonts w:ascii="Times New Roman" w:hAnsi="Times New Roman" w:cs="Times New Roman"/>
        </w:rPr>
        <w:t>.</w:t>
      </w:r>
      <w:r w:rsidRPr="00C2215F">
        <w:rPr>
          <w:rFonts w:ascii="Times New Roman" w:hAnsi="Times New Roman" w:cs="Times New Roman"/>
        </w:rPr>
        <w:t xml:space="preserve"> A repudiatory breach of contract</w:t>
      </w:r>
      <w:r w:rsidR="00156889">
        <w:rPr>
          <w:rFonts w:ascii="Times New Roman" w:hAnsi="Times New Roman" w:cs="Times New Roman"/>
        </w:rPr>
        <w:t xml:space="preserve"> renders the contract voidable, and the in</w:t>
      </w:r>
      <w:r w:rsidR="00E07499">
        <w:rPr>
          <w:rFonts w:ascii="Times New Roman" w:hAnsi="Times New Roman" w:cs="Times New Roman"/>
        </w:rPr>
        <w:t>j</w:t>
      </w:r>
      <w:r w:rsidR="00156889">
        <w:rPr>
          <w:rFonts w:ascii="Times New Roman" w:hAnsi="Times New Roman" w:cs="Times New Roman"/>
        </w:rPr>
        <w:t xml:space="preserve">ured party has a right </w:t>
      </w:r>
      <w:r w:rsidRPr="00C2215F">
        <w:rPr>
          <w:rFonts w:ascii="Times New Roman" w:hAnsi="Times New Roman" w:cs="Times New Roman"/>
        </w:rPr>
        <w:t>to elect to terminate the contract or to continue it</w:t>
      </w:r>
      <w:r w:rsidR="00E07499">
        <w:rPr>
          <w:rFonts w:ascii="Times New Roman" w:hAnsi="Times New Roman" w:cs="Times New Roman"/>
        </w:rPr>
        <w:t xml:space="preserve"> and sue for damages for the breach.</w:t>
      </w:r>
      <w:r w:rsidR="00E07499">
        <w:rPr>
          <w:rStyle w:val="FootnoteReference"/>
          <w:rFonts w:ascii="Times New Roman" w:hAnsi="Times New Roman" w:cs="Times New Roman"/>
        </w:rPr>
        <w:footnoteReference w:id="33"/>
      </w:r>
      <w:r w:rsidRPr="00C2215F">
        <w:rPr>
          <w:rFonts w:ascii="Times New Roman" w:hAnsi="Times New Roman" w:cs="Times New Roman"/>
        </w:rPr>
        <w:t xml:space="preserve"> </w:t>
      </w:r>
    </w:p>
    <w:p w14:paraId="4EFF399E" w14:textId="77777777" w:rsidR="00192BEE" w:rsidRPr="00C2215F" w:rsidRDefault="00192BEE" w:rsidP="00AD45AD">
      <w:pPr>
        <w:jc w:val="both"/>
        <w:rPr>
          <w:rFonts w:ascii="Times New Roman" w:hAnsi="Times New Roman" w:cs="Times New Roman"/>
        </w:rPr>
      </w:pPr>
    </w:p>
    <w:p w14:paraId="3428E6F8" w14:textId="24F77D84" w:rsidR="00AD45AD" w:rsidRDefault="007B2133" w:rsidP="00AD45AD">
      <w:pPr>
        <w:jc w:val="both"/>
        <w:rPr>
          <w:rFonts w:ascii="Times New Roman" w:hAnsi="Times New Roman" w:cs="Times New Roman"/>
        </w:rPr>
      </w:pPr>
      <w:r>
        <w:rPr>
          <w:rFonts w:ascii="Times New Roman" w:hAnsi="Times New Roman" w:cs="Times New Roman"/>
        </w:rPr>
        <w:t>T</w:t>
      </w:r>
      <w:r w:rsidR="00AD45AD" w:rsidRPr="00C2215F">
        <w:rPr>
          <w:rFonts w:ascii="Times New Roman" w:hAnsi="Times New Roman" w:cs="Times New Roman"/>
        </w:rPr>
        <w:t>he effec</w:t>
      </w:r>
      <w:r w:rsidR="00653B6E">
        <w:rPr>
          <w:rFonts w:ascii="Times New Roman" w:hAnsi="Times New Roman" w:cs="Times New Roman"/>
        </w:rPr>
        <w:t>t of the termination</w:t>
      </w:r>
      <w:r>
        <w:rPr>
          <w:rFonts w:ascii="Times New Roman" w:hAnsi="Times New Roman" w:cs="Times New Roman"/>
        </w:rPr>
        <w:t xml:space="preserve"> by repudiatory breach</w:t>
      </w:r>
      <w:r w:rsidR="00653B6E">
        <w:rPr>
          <w:rFonts w:ascii="Times New Roman" w:hAnsi="Times New Roman" w:cs="Times New Roman"/>
        </w:rPr>
        <w:t xml:space="preserve"> is twofold.</w:t>
      </w:r>
      <w:r w:rsidR="00AD45AD" w:rsidRPr="00C2215F">
        <w:rPr>
          <w:rFonts w:ascii="Times New Roman" w:hAnsi="Times New Roman" w:cs="Times New Roman"/>
        </w:rPr>
        <w:t xml:space="preserve">  It operates to bring an end to the primary contractual obligations of both parties and to release them from any future liability.  Liability remains for past breaches of contract occurring before the rescission and for the </w:t>
      </w:r>
      <w:r w:rsidR="00AD45AD" w:rsidRPr="00C2215F">
        <w:rPr>
          <w:rFonts w:ascii="Times New Roman" w:hAnsi="Times New Roman" w:cs="Times New Roman"/>
        </w:rPr>
        <w:lastRenderedPageBreak/>
        <w:t>performance of any obligations so accruing.  Secondly, in technical</w:t>
      </w:r>
      <w:r w:rsidR="00C80095">
        <w:rPr>
          <w:rFonts w:ascii="Times New Roman" w:hAnsi="Times New Roman" w:cs="Times New Roman"/>
        </w:rPr>
        <w:t>,</w:t>
      </w:r>
      <w:r w:rsidR="00AD45AD" w:rsidRPr="00C2215F">
        <w:rPr>
          <w:rFonts w:ascii="Times New Roman" w:hAnsi="Times New Roman" w:cs="Times New Roman"/>
        </w:rPr>
        <w:t xml:space="preserve"> contractual terms, it creates a secondary obligation on the part of the defaulting party to pay damages to the injured party for the loss sustained by him in consequence of the non-performance of his primary obligations in the future</w:t>
      </w:r>
      <w:r w:rsidR="00AC1FC7">
        <w:rPr>
          <w:rStyle w:val="FootnoteReference"/>
          <w:rFonts w:ascii="Times New Roman" w:hAnsi="Times New Roman" w:cs="Times New Roman"/>
        </w:rPr>
        <w:footnoteReference w:id="34"/>
      </w:r>
      <w:r w:rsidR="00AD45AD" w:rsidRPr="00C2215F">
        <w:rPr>
          <w:rFonts w:ascii="Times New Roman" w:hAnsi="Times New Roman" w:cs="Times New Roman"/>
        </w:rPr>
        <w:t xml:space="preserve"> and for the period before rescission.  The injured party is thereby compensated for the loss of the contract as a whole.</w:t>
      </w:r>
    </w:p>
    <w:p w14:paraId="6A1BA6FC" w14:textId="77777777" w:rsidR="006F5374" w:rsidRDefault="006F5374" w:rsidP="00AD45AD">
      <w:pPr>
        <w:jc w:val="both"/>
        <w:rPr>
          <w:rFonts w:ascii="Times New Roman" w:hAnsi="Times New Roman" w:cs="Times New Roman"/>
        </w:rPr>
      </w:pPr>
    </w:p>
    <w:p w14:paraId="5CC60C27" w14:textId="701E9A38" w:rsidR="00A656ED" w:rsidRPr="00A656ED" w:rsidRDefault="002B7C7D" w:rsidP="00D54BC3">
      <w:pPr>
        <w:pStyle w:val="ListParagraph"/>
        <w:numPr>
          <w:ilvl w:val="0"/>
          <w:numId w:val="20"/>
        </w:numPr>
        <w:jc w:val="both"/>
        <w:rPr>
          <w:rFonts w:ascii="Times New Roman" w:hAnsi="Times New Roman" w:cs="Times New Roman"/>
        </w:rPr>
      </w:pPr>
      <w:r>
        <w:rPr>
          <w:rFonts w:ascii="Times New Roman" w:hAnsi="Times New Roman" w:cs="Times New Roman"/>
        </w:rPr>
        <w:t xml:space="preserve">Acceptance of Repudiatory Breach in English Leases: </w:t>
      </w:r>
      <w:r w:rsidR="001F313F">
        <w:rPr>
          <w:rFonts w:ascii="Times New Roman" w:hAnsi="Times New Roman" w:cs="Times New Roman"/>
        </w:rPr>
        <w:t>A Tenant Remedy</w:t>
      </w:r>
    </w:p>
    <w:p w14:paraId="34CD2B15" w14:textId="77777777" w:rsidR="00A656ED" w:rsidRDefault="00A656ED" w:rsidP="00A656ED">
      <w:pPr>
        <w:jc w:val="both"/>
        <w:rPr>
          <w:rFonts w:ascii="Times New Roman" w:hAnsi="Times New Roman" w:cs="Times New Roman"/>
        </w:rPr>
      </w:pPr>
    </w:p>
    <w:p w14:paraId="71C795C5" w14:textId="729ED489" w:rsidR="00ED7554" w:rsidRDefault="002B7C7D" w:rsidP="00DC1944">
      <w:pPr>
        <w:jc w:val="both"/>
        <w:rPr>
          <w:rFonts w:ascii="Times New Roman" w:hAnsi="Times New Roman" w:cs="Times New Roman"/>
        </w:rPr>
      </w:pPr>
      <w:r>
        <w:rPr>
          <w:rFonts w:ascii="Times New Roman" w:hAnsi="Times New Roman" w:cs="Times New Roman"/>
        </w:rPr>
        <w:t xml:space="preserve">The acceptance in </w:t>
      </w:r>
      <w:r w:rsidRPr="00FE3C06">
        <w:rPr>
          <w:rFonts w:ascii="Times New Roman" w:hAnsi="Times New Roman" w:cs="Times New Roman"/>
          <w:i/>
        </w:rPr>
        <w:t>Hussein v Mehlman</w:t>
      </w:r>
      <w:r w:rsidRPr="008A43E9">
        <w:rPr>
          <w:rStyle w:val="FootnoteReference"/>
          <w:rFonts w:ascii="Times New Roman" w:hAnsi="Times New Roman" w:cs="Times New Roman"/>
        </w:rPr>
        <w:footnoteReference w:id="35"/>
      </w:r>
      <w:r>
        <w:rPr>
          <w:rFonts w:ascii="Times New Roman" w:hAnsi="Times New Roman" w:cs="Times New Roman"/>
        </w:rPr>
        <w:t xml:space="preserve"> that a lease might be terminated by a</w:t>
      </w:r>
      <w:r w:rsidR="00A656ED">
        <w:rPr>
          <w:rFonts w:ascii="Times New Roman" w:hAnsi="Times New Roman" w:cs="Times New Roman"/>
        </w:rPr>
        <w:t xml:space="preserve"> repudiatory breach</w:t>
      </w:r>
      <w:r>
        <w:rPr>
          <w:rFonts w:ascii="Times New Roman" w:hAnsi="Times New Roman" w:cs="Times New Roman"/>
        </w:rPr>
        <w:t xml:space="preserve"> like any other contract</w:t>
      </w:r>
      <w:r w:rsidR="00A656ED">
        <w:rPr>
          <w:rFonts w:ascii="Times New Roman" w:hAnsi="Times New Roman" w:cs="Times New Roman"/>
        </w:rPr>
        <w:t xml:space="preserve"> has been considered in detail elsewhere</w:t>
      </w:r>
      <w:r>
        <w:rPr>
          <w:rFonts w:ascii="Times New Roman" w:hAnsi="Times New Roman" w:cs="Times New Roman"/>
        </w:rPr>
        <w:t>.</w:t>
      </w:r>
      <w:r w:rsidR="00653B6E">
        <w:rPr>
          <w:rStyle w:val="FootnoteReference"/>
          <w:rFonts w:ascii="Times New Roman" w:hAnsi="Times New Roman" w:cs="Times New Roman"/>
        </w:rPr>
        <w:footnoteReference w:id="36"/>
      </w:r>
      <w:r w:rsidR="00A656ED">
        <w:rPr>
          <w:rFonts w:ascii="Times New Roman" w:hAnsi="Times New Roman" w:cs="Times New Roman"/>
        </w:rPr>
        <w:t xml:space="preserve"> </w:t>
      </w:r>
      <w:r w:rsidR="00ED7554">
        <w:rPr>
          <w:rFonts w:ascii="Times New Roman" w:hAnsi="Times New Roman" w:cs="Times New Roman"/>
        </w:rPr>
        <w:t>In essence, the fact that the majority decision of the House of Lords in</w:t>
      </w:r>
      <w:r w:rsidR="00ED7554" w:rsidRPr="00C2215F">
        <w:rPr>
          <w:rFonts w:ascii="Times New Roman" w:hAnsi="Times New Roman" w:cs="Times New Roman"/>
        </w:rPr>
        <w:t xml:space="preserve"> </w:t>
      </w:r>
      <w:r w:rsidR="00ED7554">
        <w:rPr>
          <w:rFonts w:ascii="Times New Roman" w:hAnsi="Times New Roman" w:cs="Times New Roman"/>
          <w:i/>
        </w:rPr>
        <w:t xml:space="preserve">National Carriers v </w:t>
      </w:r>
      <w:r w:rsidR="00ED7554" w:rsidRPr="000F4484">
        <w:rPr>
          <w:rFonts w:ascii="Times New Roman" w:hAnsi="Times New Roman" w:cs="Times New Roman"/>
          <w:i/>
        </w:rPr>
        <w:t>Panalpina</w:t>
      </w:r>
      <w:r w:rsidR="00ED7554">
        <w:rPr>
          <w:rFonts w:ascii="Times New Roman" w:hAnsi="Times New Roman" w:cs="Times New Roman"/>
          <w:i/>
        </w:rPr>
        <w:t xml:space="preserve"> (Northern) Ltd</w:t>
      </w:r>
      <w:r w:rsidR="00ED7554">
        <w:rPr>
          <w:rFonts w:ascii="Times New Roman" w:hAnsi="Times New Roman" w:cs="Times New Roman"/>
        </w:rPr>
        <w:t>,</w:t>
      </w:r>
      <w:r w:rsidR="00ED7554">
        <w:rPr>
          <w:rStyle w:val="FootnoteReference"/>
          <w:rFonts w:ascii="Times New Roman" w:hAnsi="Times New Roman" w:cs="Times New Roman"/>
        </w:rPr>
        <w:footnoteReference w:id="37"/>
      </w:r>
      <w:r w:rsidR="00ED7554">
        <w:rPr>
          <w:rFonts w:ascii="Times New Roman" w:hAnsi="Times New Roman" w:cs="Times New Roman"/>
        </w:rPr>
        <w:t xml:space="preserve"> treated a lease as any other contract,</w:t>
      </w:r>
      <w:r w:rsidR="00ED7554">
        <w:rPr>
          <w:rStyle w:val="FootnoteReference"/>
          <w:rFonts w:ascii="Times New Roman" w:hAnsi="Times New Roman" w:cs="Times New Roman"/>
        </w:rPr>
        <w:footnoteReference w:id="38"/>
      </w:r>
      <w:r w:rsidR="00ED7554">
        <w:rPr>
          <w:rFonts w:ascii="Times New Roman" w:hAnsi="Times New Roman" w:cs="Times New Roman"/>
        </w:rPr>
        <w:t xml:space="preserve"> despite the presence of an estate in land, meant that repudiatory breach</w:t>
      </w:r>
      <w:r>
        <w:rPr>
          <w:rFonts w:ascii="Times New Roman" w:hAnsi="Times New Roman" w:cs="Times New Roman"/>
        </w:rPr>
        <w:t xml:space="preserve"> could be applied</w:t>
      </w:r>
      <w:r w:rsidR="00ED7554">
        <w:rPr>
          <w:rFonts w:ascii="Times New Roman" w:hAnsi="Times New Roman" w:cs="Times New Roman"/>
        </w:rPr>
        <w:t xml:space="preserve"> to leases</w:t>
      </w:r>
      <w:r w:rsidR="00D43F44">
        <w:rPr>
          <w:rFonts w:ascii="Times New Roman" w:hAnsi="Times New Roman" w:cs="Times New Roman"/>
        </w:rPr>
        <w:t>.</w:t>
      </w:r>
      <w:r w:rsidR="00855B41">
        <w:rPr>
          <w:rFonts w:ascii="Times New Roman" w:hAnsi="Times New Roman" w:cs="Times New Roman"/>
        </w:rPr>
        <w:t xml:space="preserve">  Freed from the constraints of precedent, </w:t>
      </w:r>
      <w:r w:rsidR="001319B7">
        <w:rPr>
          <w:rFonts w:ascii="Times New Roman" w:hAnsi="Times New Roman" w:cs="Times New Roman"/>
        </w:rPr>
        <w:t xml:space="preserve">Assistant Recorder Stephen Sedley QC </w:t>
      </w:r>
      <w:r w:rsidR="001F313F">
        <w:rPr>
          <w:rFonts w:ascii="Times New Roman" w:hAnsi="Times New Roman" w:cs="Times New Roman"/>
        </w:rPr>
        <w:t>recognised that a tenancy could be ended by</w:t>
      </w:r>
      <w:r w:rsidR="001319B7">
        <w:rPr>
          <w:rFonts w:ascii="Times New Roman" w:hAnsi="Times New Roman" w:cs="Times New Roman"/>
        </w:rPr>
        <w:t>, thereby</w:t>
      </w:r>
      <w:r w:rsidR="007C0F1A" w:rsidRPr="007C0F1A">
        <w:rPr>
          <w:rFonts w:ascii="Times New Roman" w:hAnsi="Times New Roman" w:cs="Times New Roman"/>
        </w:rPr>
        <w:t xml:space="preserve"> </w:t>
      </w:r>
      <w:r w:rsidR="007C0F1A">
        <w:rPr>
          <w:rFonts w:ascii="Times New Roman" w:hAnsi="Times New Roman" w:cs="Times New Roman"/>
        </w:rPr>
        <w:t>giving</w:t>
      </w:r>
      <w:r w:rsidR="007C0F1A" w:rsidRPr="00C2215F">
        <w:rPr>
          <w:rFonts w:ascii="Times New Roman" w:hAnsi="Times New Roman" w:cs="Times New Roman"/>
        </w:rPr>
        <w:t xml:space="preserve"> </w:t>
      </w:r>
      <w:r w:rsidR="007C0F1A" w:rsidRPr="00527F2A">
        <w:rPr>
          <w:rFonts w:ascii="Times New Roman" w:hAnsi="Times New Roman" w:cs="Times New Roman"/>
          <w:i/>
        </w:rPr>
        <w:t>tenants</w:t>
      </w:r>
      <w:r w:rsidR="007C0F1A" w:rsidRPr="00C2215F">
        <w:rPr>
          <w:rFonts w:ascii="Times New Roman" w:hAnsi="Times New Roman" w:cs="Times New Roman"/>
        </w:rPr>
        <w:t xml:space="preserve"> a right to terminate a contract for </w:t>
      </w:r>
      <w:r w:rsidR="00C80095">
        <w:rPr>
          <w:rFonts w:ascii="Times New Roman" w:hAnsi="Times New Roman" w:cs="Times New Roman"/>
        </w:rPr>
        <w:t xml:space="preserve">sufficiently </w:t>
      </w:r>
      <w:r w:rsidR="007C0F1A" w:rsidRPr="00C2215F">
        <w:rPr>
          <w:rFonts w:ascii="Times New Roman" w:hAnsi="Times New Roman" w:cs="Times New Roman"/>
        </w:rPr>
        <w:t>serious breach of covenant by the landlord</w:t>
      </w:r>
      <w:r w:rsidR="007C0F1A">
        <w:rPr>
          <w:rFonts w:ascii="Times New Roman" w:hAnsi="Times New Roman" w:cs="Times New Roman"/>
        </w:rPr>
        <w:t>.</w:t>
      </w:r>
      <w:r w:rsidR="007C0F1A">
        <w:rPr>
          <w:rStyle w:val="FootnoteReference"/>
          <w:rFonts w:ascii="Times New Roman" w:hAnsi="Times New Roman" w:cs="Times New Roman"/>
        </w:rPr>
        <w:footnoteReference w:id="39"/>
      </w:r>
      <w:r w:rsidR="007C0F1A">
        <w:rPr>
          <w:rFonts w:ascii="Times New Roman" w:hAnsi="Times New Roman" w:cs="Times New Roman"/>
        </w:rPr>
        <w:t xml:space="preserve">  </w:t>
      </w:r>
    </w:p>
    <w:p w14:paraId="7C2EEB74" w14:textId="77777777" w:rsidR="00FE3C06" w:rsidRDefault="00FE3C06" w:rsidP="00DC1944">
      <w:pPr>
        <w:jc w:val="both"/>
        <w:rPr>
          <w:rFonts w:ascii="Times New Roman" w:hAnsi="Times New Roman" w:cs="Times New Roman"/>
        </w:rPr>
      </w:pPr>
    </w:p>
    <w:p w14:paraId="0ECA81BC" w14:textId="01930827" w:rsidR="007628A9" w:rsidRDefault="00527F2A" w:rsidP="00BB6B7D">
      <w:pPr>
        <w:jc w:val="both"/>
        <w:rPr>
          <w:rFonts w:ascii="Times New Roman" w:hAnsi="Times New Roman" w:cs="Times New Roman"/>
        </w:rPr>
      </w:pPr>
      <w:r>
        <w:rPr>
          <w:rFonts w:ascii="Times New Roman" w:hAnsi="Times New Roman" w:cs="Times New Roman"/>
        </w:rPr>
        <w:t>Where a tenant is in breach of covenant, the law of forfeiture provides a means whereby a landlord can seek to terminate the lease</w:t>
      </w:r>
      <w:r w:rsidR="00AD45AD" w:rsidRPr="00C2215F">
        <w:rPr>
          <w:rFonts w:ascii="Times New Roman" w:hAnsi="Times New Roman" w:cs="Times New Roman"/>
        </w:rPr>
        <w:t>, but there is no analogue system</w:t>
      </w:r>
      <w:r>
        <w:rPr>
          <w:rFonts w:ascii="Times New Roman" w:hAnsi="Times New Roman" w:cs="Times New Roman"/>
        </w:rPr>
        <w:t xml:space="preserve"> of forfeiture</w:t>
      </w:r>
      <w:r w:rsidR="00AD45AD" w:rsidRPr="00C2215F">
        <w:rPr>
          <w:rFonts w:ascii="Times New Roman" w:hAnsi="Times New Roman" w:cs="Times New Roman"/>
        </w:rPr>
        <w:t xml:space="preserve"> for tenants</w:t>
      </w:r>
      <w:r w:rsidR="00E73011">
        <w:rPr>
          <w:rFonts w:ascii="Times New Roman" w:hAnsi="Times New Roman" w:cs="Times New Roman"/>
        </w:rPr>
        <w:t>.</w:t>
      </w:r>
      <w:r w:rsidR="00FE3C06">
        <w:rPr>
          <w:rStyle w:val="FootnoteReference"/>
          <w:rFonts w:ascii="Times New Roman" w:hAnsi="Times New Roman" w:cs="Times New Roman"/>
        </w:rPr>
        <w:footnoteReference w:id="40"/>
      </w:r>
      <w:r w:rsidR="00AD45AD" w:rsidRPr="00C2215F">
        <w:rPr>
          <w:rFonts w:ascii="Times New Roman" w:hAnsi="Times New Roman" w:cs="Times New Roman"/>
        </w:rPr>
        <w:t xml:space="preserve">  Where </w:t>
      </w:r>
      <w:r w:rsidR="00DC1944">
        <w:rPr>
          <w:rFonts w:ascii="Times New Roman" w:hAnsi="Times New Roman" w:cs="Times New Roman"/>
        </w:rPr>
        <w:t>a landlord</w:t>
      </w:r>
      <w:r w:rsidR="00AD45AD" w:rsidRPr="00C2215F">
        <w:rPr>
          <w:rFonts w:ascii="Times New Roman" w:hAnsi="Times New Roman" w:cs="Times New Roman"/>
        </w:rPr>
        <w:t xml:space="preserve"> is in breach of covenant, </w:t>
      </w:r>
      <w:r w:rsidR="007628A9">
        <w:rPr>
          <w:rFonts w:ascii="Times New Roman" w:hAnsi="Times New Roman" w:cs="Times New Roman"/>
        </w:rPr>
        <w:t xml:space="preserve">absent repudiation, </w:t>
      </w:r>
      <w:r w:rsidR="00DC1944">
        <w:rPr>
          <w:rFonts w:ascii="Times New Roman" w:hAnsi="Times New Roman" w:cs="Times New Roman"/>
        </w:rPr>
        <w:t>the tenant</w:t>
      </w:r>
      <w:r w:rsidR="00AD45AD" w:rsidRPr="00C2215F">
        <w:rPr>
          <w:rFonts w:ascii="Times New Roman" w:hAnsi="Times New Roman" w:cs="Times New Roman"/>
        </w:rPr>
        <w:t xml:space="preserve"> is generally only entitled to dam</w:t>
      </w:r>
      <w:r w:rsidR="00A656ED">
        <w:rPr>
          <w:rFonts w:ascii="Times New Roman" w:hAnsi="Times New Roman" w:cs="Times New Roman"/>
        </w:rPr>
        <w:t>ages for breach of the covenant</w:t>
      </w:r>
      <w:r w:rsidR="00DC1944">
        <w:rPr>
          <w:rFonts w:ascii="Times New Roman" w:hAnsi="Times New Roman" w:cs="Times New Roman"/>
        </w:rPr>
        <w:t xml:space="preserve">, </w:t>
      </w:r>
      <w:r>
        <w:rPr>
          <w:rFonts w:ascii="Times New Roman" w:hAnsi="Times New Roman" w:cs="Times New Roman"/>
        </w:rPr>
        <w:t>alongside</w:t>
      </w:r>
      <w:r w:rsidR="00DC1944">
        <w:rPr>
          <w:rFonts w:ascii="Times New Roman" w:hAnsi="Times New Roman" w:cs="Times New Roman"/>
        </w:rPr>
        <w:t xml:space="preserve"> some limited rights to set off rent where the breach concerned is of a repairing covenant</w:t>
      </w:r>
      <w:r w:rsidR="00947D5C">
        <w:rPr>
          <w:rFonts w:ascii="Times New Roman" w:hAnsi="Times New Roman" w:cs="Times New Roman"/>
        </w:rPr>
        <w:t>.</w:t>
      </w:r>
      <w:r w:rsidR="00DC1944">
        <w:rPr>
          <w:rStyle w:val="FootnoteReference"/>
          <w:rFonts w:ascii="Times New Roman" w:hAnsi="Times New Roman" w:cs="Times New Roman"/>
        </w:rPr>
        <w:footnoteReference w:id="41"/>
      </w:r>
      <w:r w:rsidR="00947D5C">
        <w:rPr>
          <w:rFonts w:ascii="Times New Roman" w:hAnsi="Times New Roman" w:cs="Times New Roman"/>
        </w:rPr>
        <w:t xml:space="preserve">  This ‘</w:t>
      </w:r>
      <w:r w:rsidR="00DC1944" w:rsidRPr="00C2215F">
        <w:rPr>
          <w:rFonts w:ascii="Times New Roman" w:hAnsi="Times New Roman" w:cs="Times New Roman"/>
        </w:rPr>
        <w:t>is certainly no substitute for a right to end the tenancy and fi</w:t>
      </w:r>
      <w:r w:rsidR="00FE3C06">
        <w:rPr>
          <w:rFonts w:ascii="Times New Roman" w:hAnsi="Times New Roman" w:cs="Times New Roman"/>
        </w:rPr>
        <w:t>nd a better landlord elsewhere.’</w:t>
      </w:r>
      <w:r w:rsidR="00947D5C">
        <w:rPr>
          <w:rStyle w:val="FootnoteReference"/>
          <w:rFonts w:ascii="Times New Roman" w:hAnsi="Times New Roman" w:cs="Times New Roman"/>
        </w:rPr>
        <w:footnoteReference w:id="42"/>
      </w:r>
      <w:r w:rsidR="003E6196">
        <w:rPr>
          <w:rFonts w:ascii="Times New Roman" w:hAnsi="Times New Roman" w:cs="Times New Roman"/>
        </w:rPr>
        <w:t xml:space="preserve">  </w:t>
      </w:r>
      <w:r w:rsidR="008167C6">
        <w:rPr>
          <w:rFonts w:ascii="Times New Roman" w:hAnsi="Times New Roman" w:cs="Times New Roman"/>
        </w:rPr>
        <w:t xml:space="preserve">It is easy to understand why the Assistant Recorder felt sympathy for the </w:t>
      </w:r>
      <w:r w:rsidR="007628A9">
        <w:rPr>
          <w:rFonts w:ascii="Times New Roman" w:hAnsi="Times New Roman" w:cs="Times New Roman"/>
        </w:rPr>
        <w:t>plight of the tenant before him, not least that English law has no general warranty of fitness for purpose of residential lettings,</w:t>
      </w:r>
      <w:r w:rsidR="007628A9">
        <w:rPr>
          <w:rStyle w:val="FootnoteReference"/>
          <w:rFonts w:ascii="Times New Roman" w:hAnsi="Times New Roman" w:cs="Times New Roman"/>
        </w:rPr>
        <w:footnoteReference w:id="43"/>
      </w:r>
      <w:r w:rsidR="007628A9">
        <w:rPr>
          <w:rFonts w:ascii="Times New Roman" w:hAnsi="Times New Roman" w:cs="Times New Roman"/>
        </w:rPr>
        <w:t xml:space="preserve"> which would provide a remedy for tenants in jurisdictions such as Canada or the USA.  </w:t>
      </w:r>
    </w:p>
    <w:p w14:paraId="658AFE6C" w14:textId="77777777" w:rsidR="007628A9" w:rsidRDefault="007628A9" w:rsidP="00BB6B7D">
      <w:pPr>
        <w:jc w:val="both"/>
        <w:rPr>
          <w:rFonts w:ascii="Times New Roman" w:hAnsi="Times New Roman" w:cs="Times New Roman"/>
        </w:rPr>
      </w:pPr>
    </w:p>
    <w:p w14:paraId="3F598ED4" w14:textId="01963D78" w:rsidR="007A6731" w:rsidRPr="00C2215F" w:rsidRDefault="009A0ACA" w:rsidP="00BB6B7D">
      <w:pPr>
        <w:jc w:val="both"/>
        <w:rPr>
          <w:rFonts w:ascii="Times New Roman" w:hAnsi="Times New Roman" w:cs="Times New Roman"/>
        </w:rPr>
      </w:pPr>
      <w:r>
        <w:rPr>
          <w:rFonts w:ascii="Times New Roman" w:hAnsi="Times New Roman" w:cs="Times New Roman"/>
        </w:rPr>
        <w:t>This is significant, as</w:t>
      </w:r>
      <w:r w:rsidR="008167C6">
        <w:rPr>
          <w:rFonts w:ascii="Times New Roman" w:hAnsi="Times New Roman" w:cs="Times New Roman"/>
        </w:rPr>
        <w:t xml:space="preserve">, English law was </w:t>
      </w:r>
      <w:r w:rsidR="003E6196">
        <w:rPr>
          <w:rFonts w:ascii="Times New Roman" w:hAnsi="Times New Roman" w:cs="Times New Roman"/>
        </w:rPr>
        <w:t>unique in</w:t>
      </w:r>
      <w:r w:rsidR="008167C6">
        <w:rPr>
          <w:rFonts w:ascii="Times New Roman" w:hAnsi="Times New Roman" w:cs="Times New Roman"/>
        </w:rPr>
        <w:t xml:space="preserve"> the common law world</w:t>
      </w:r>
      <w:r>
        <w:rPr>
          <w:rFonts w:ascii="Times New Roman" w:hAnsi="Times New Roman" w:cs="Times New Roman"/>
        </w:rPr>
        <w:t xml:space="preserve"> in</w:t>
      </w:r>
      <w:r w:rsidR="00A0402A">
        <w:rPr>
          <w:rFonts w:ascii="Times New Roman" w:hAnsi="Times New Roman" w:cs="Times New Roman"/>
        </w:rPr>
        <w:t xml:space="preserve"> first</w:t>
      </w:r>
      <w:r>
        <w:rPr>
          <w:rFonts w:ascii="Times New Roman" w:hAnsi="Times New Roman" w:cs="Times New Roman"/>
        </w:rPr>
        <w:t xml:space="preserve"> applying repudiatory breach for a tenant.  In all other commonwealth jurisdictions, repudiatory breach was held applicable as a device that landlords could access.</w:t>
      </w:r>
      <w:r>
        <w:rPr>
          <w:rStyle w:val="FootnoteReference"/>
          <w:rFonts w:ascii="Times New Roman" w:hAnsi="Times New Roman" w:cs="Times New Roman"/>
        </w:rPr>
        <w:footnoteReference w:id="44"/>
      </w:r>
      <w:r w:rsidR="00E07E1E">
        <w:rPr>
          <w:rFonts w:ascii="Times New Roman" w:hAnsi="Times New Roman" w:cs="Times New Roman"/>
        </w:rPr>
        <w:t xml:space="preserve"> </w:t>
      </w:r>
      <w:r w:rsidR="00A0402A">
        <w:rPr>
          <w:rFonts w:ascii="Times New Roman" w:hAnsi="Times New Roman" w:cs="Times New Roman"/>
        </w:rPr>
        <w:t xml:space="preserve">This is more than an arbitrary </w:t>
      </w:r>
      <w:r w:rsidR="00A0402A">
        <w:rPr>
          <w:rFonts w:ascii="Times New Roman" w:hAnsi="Times New Roman" w:cs="Times New Roman"/>
        </w:rPr>
        <w:lastRenderedPageBreak/>
        <w:t xml:space="preserve">matter of coincidence as to the type of claimant who happened to bring an action in court, as it has legal consequences, which are explored below.  </w:t>
      </w:r>
      <w:r w:rsidR="008F098D">
        <w:rPr>
          <w:rFonts w:ascii="Times New Roman" w:hAnsi="Times New Roman" w:cs="Times New Roman"/>
        </w:rPr>
        <w:t>T</w:t>
      </w:r>
      <w:r w:rsidR="00A0402A">
        <w:rPr>
          <w:rFonts w:ascii="Times New Roman" w:hAnsi="Times New Roman" w:cs="Times New Roman"/>
        </w:rPr>
        <w:t xml:space="preserve">he lack of any proprietary framework, such as the scheme of forfeiture, within which to seat the operation of repudiatory breach when claimed by a tenant against a landlord, has led to significant concerns as to how an action to terminate a lease by repudiatory breach actually operates.  </w:t>
      </w:r>
      <w:r w:rsidR="002F5EBD">
        <w:rPr>
          <w:rFonts w:ascii="Times New Roman" w:hAnsi="Times New Roman" w:cs="Times New Roman"/>
        </w:rPr>
        <w:t xml:space="preserve"> The significance of this </w:t>
      </w:r>
      <w:r w:rsidR="00E07E1E">
        <w:rPr>
          <w:rFonts w:ascii="Times New Roman" w:hAnsi="Times New Roman" w:cs="Times New Roman"/>
        </w:rPr>
        <w:t xml:space="preserve">appears, with respect, not to have impacted on the Assistant Recorder, and what is missing from the judgment in </w:t>
      </w:r>
      <w:r w:rsidR="00E07E1E">
        <w:rPr>
          <w:rFonts w:ascii="Times New Roman" w:hAnsi="Times New Roman" w:cs="Times New Roman"/>
          <w:i/>
        </w:rPr>
        <w:t>Hussein v Mehlman</w:t>
      </w:r>
      <w:r w:rsidR="00E07E1E">
        <w:rPr>
          <w:rFonts w:ascii="Times New Roman" w:hAnsi="Times New Roman" w:cs="Times New Roman"/>
        </w:rPr>
        <w:t xml:space="preserve"> is any analysis of how </w:t>
      </w:r>
      <w:r w:rsidR="00AD45AD" w:rsidRPr="00C2215F">
        <w:rPr>
          <w:rFonts w:ascii="Times New Roman" w:hAnsi="Times New Roman" w:cs="Times New Roman"/>
        </w:rPr>
        <w:t xml:space="preserve">repudiatory breach should be </w:t>
      </w:r>
      <w:r w:rsidR="00F2005C">
        <w:rPr>
          <w:rFonts w:ascii="Times New Roman" w:hAnsi="Times New Roman" w:cs="Times New Roman"/>
        </w:rPr>
        <w:t>applied in</w:t>
      </w:r>
      <w:r w:rsidR="00AD45AD" w:rsidRPr="00C2215F">
        <w:rPr>
          <w:rFonts w:ascii="Times New Roman" w:hAnsi="Times New Roman" w:cs="Times New Roman"/>
        </w:rPr>
        <w:t xml:space="preserve"> English </w:t>
      </w:r>
      <w:r w:rsidR="00F2005C">
        <w:rPr>
          <w:rFonts w:ascii="Times New Roman" w:hAnsi="Times New Roman" w:cs="Times New Roman"/>
        </w:rPr>
        <w:t xml:space="preserve">leasehold </w:t>
      </w:r>
      <w:r w:rsidR="00AD45AD" w:rsidRPr="00C2215F">
        <w:rPr>
          <w:rFonts w:ascii="Times New Roman" w:hAnsi="Times New Roman" w:cs="Times New Roman"/>
        </w:rPr>
        <w:t>law</w:t>
      </w:r>
      <w:r w:rsidR="002F5EBD">
        <w:rPr>
          <w:rFonts w:ascii="Times New Roman" w:hAnsi="Times New Roman" w:cs="Times New Roman"/>
        </w:rPr>
        <w:t xml:space="preserve"> by tenant or landlord</w:t>
      </w:r>
      <w:r w:rsidR="00AD45AD" w:rsidRPr="00C2215F">
        <w:rPr>
          <w:rFonts w:ascii="Times New Roman" w:hAnsi="Times New Roman" w:cs="Times New Roman"/>
        </w:rPr>
        <w:t>, or whether</w:t>
      </w:r>
      <w:r w:rsidR="003E6196">
        <w:rPr>
          <w:rFonts w:ascii="Times New Roman" w:hAnsi="Times New Roman" w:cs="Times New Roman"/>
        </w:rPr>
        <w:t>, indeed,</w:t>
      </w:r>
      <w:r w:rsidR="00AD45AD" w:rsidRPr="00C2215F">
        <w:rPr>
          <w:rFonts w:ascii="Times New Roman" w:hAnsi="Times New Roman" w:cs="Times New Roman"/>
        </w:rPr>
        <w:t xml:space="preserve"> it should be so </w:t>
      </w:r>
      <w:r w:rsidR="000929C4">
        <w:rPr>
          <w:rFonts w:ascii="Times New Roman" w:hAnsi="Times New Roman" w:cs="Times New Roman"/>
        </w:rPr>
        <w:t>applied</w:t>
      </w:r>
      <w:r w:rsidR="003E6196">
        <w:rPr>
          <w:rFonts w:ascii="Times New Roman" w:hAnsi="Times New Roman" w:cs="Times New Roman"/>
        </w:rPr>
        <w:t>,</w:t>
      </w:r>
      <w:r w:rsidR="007A6731">
        <w:rPr>
          <w:rFonts w:ascii="Times New Roman" w:hAnsi="Times New Roman" w:cs="Times New Roman"/>
        </w:rPr>
        <w:t xml:space="preserve"> beyond a tacit recognition that</w:t>
      </w:r>
      <w:r w:rsidR="00BB6B7D">
        <w:rPr>
          <w:rFonts w:ascii="Times New Roman" w:hAnsi="Times New Roman" w:cs="Times New Roman"/>
        </w:rPr>
        <w:t xml:space="preserve"> ‘</w:t>
      </w:r>
      <w:r w:rsidR="007A6731" w:rsidRPr="00C2215F">
        <w:rPr>
          <w:rFonts w:ascii="Times New Roman" w:hAnsi="Times New Roman" w:cs="Times New Roman"/>
        </w:rPr>
        <w:t>the proposition that a contract of tenancy can be repudiated like any other contract has a number of important implications, which it is not appropriate to expl</w:t>
      </w:r>
      <w:r w:rsidR="00E12B6F">
        <w:rPr>
          <w:rFonts w:ascii="Times New Roman" w:hAnsi="Times New Roman" w:cs="Times New Roman"/>
        </w:rPr>
        <w:t>ore on the facts of this case.’</w:t>
      </w:r>
      <w:r w:rsidR="008E78DC">
        <w:rPr>
          <w:rStyle w:val="FootnoteReference"/>
          <w:rFonts w:ascii="Times New Roman" w:hAnsi="Times New Roman" w:cs="Times New Roman"/>
        </w:rPr>
        <w:footnoteReference w:id="45"/>
      </w:r>
    </w:p>
    <w:p w14:paraId="18DF0899" w14:textId="77777777" w:rsidR="007A6731" w:rsidRDefault="007A6731" w:rsidP="00AD45AD">
      <w:pPr>
        <w:jc w:val="both"/>
        <w:rPr>
          <w:rFonts w:ascii="Times New Roman" w:hAnsi="Times New Roman" w:cs="Times New Roman"/>
        </w:rPr>
      </w:pPr>
    </w:p>
    <w:p w14:paraId="33C3661D" w14:textId="006FE1F4" w:rsidR="00850513" w:rsidRDefault="00850513" w:rsidP="00AD45AD">
      <w:pPr>
        <w:jc w:val="both"/>
        <w:rPr>
          <w:rFonts w:ascii="Times New Roman" w:hAnsi="Times New Roman" w:cs="Times New Roman"/>
        </w:rPr>
      </w:pPr>
      <w:r w:rsidRPr="00C2215F">
        <w:rPr>
          <w:rFonts w:ascii="Times New Roman" w:hAnsi="Times New Roman" w:cs="Times New Roman"/>
        </w:rPr>
        <w:t>This is</w:t>
      </w:r>
      <w:r w:rsidR="00F538A6">
        <w:rPr>
          <w:rFonts w:ascii="Times New Roman" w:hAnsi="Times New Roman" w:cs="Times New Roman"/>
        </w:rPr>
        <w:t xml:space="preserve"> something of an</w:t>
      </w:r>
      <w:r w:rsidRPr="00C2215F">
        <w:rPr>
          <w:rFonts w:ascii="Times New Roman" w:hAnsi="Times New Roman" w:cs="Times New Roman"/>
        </w:rPr>
        <w:t xml:space="preserve"> understatement and while it might have been proper to leave the details of these implications to later cases, it does not cover a failure to consider what was</w:t>
      </w:r>
      <w:r w:rsidR="002F5EBD">
        <w:rPr>
          <w:rFonts w:ascii="Times New Roman" w:hAnsi="Times New Roman" w:cs="Times New Roman"/>
        </w:rPr>
        <w:t>,</w:t>
      </w:r>
      <w:r w:rsidRPr="00C2215F">
        <w:rPr>
          <w:rFonts w:ascii="Times New Roman" w:hAnsi="Times New Roman" w:cs="Times New Roman"/>
        </w:rPr>
        <w:t xml:space="preserve"> after all</w:t>
      </w:r>
      <w:r w:rsidR="002F5EBD">
        <w:rPr>
          <w:rFonts w:ascii="Times New Roman" w:hAnsi="Times New Roman" w:cs="Times New Roman"/>
        </w:rPr>
        <w:t>,</w:t>
      </w:r>
      <w:r w:rsidRPr="00C2215F">
        <w:rPr>
          <w:rFonts w:ascii="Times New Roman" w:hAnsi="Times New Roman" w:cs="Times New Roman"/>
        </w:rPr>
        <w:t xml:space="preserve"> a sea-change in the law</w:t>
      </w:r>
      <w:r>
        <w:rPr>
          <w:rFonts w:ascii="Times New Roman" w:hAnsi="Times New Roman" w:cs="Times New Roman"/>
        </w:rPr>
        <w:t>.</w:t>
      </w:r>
      <w:r w:rsidR="009239CA">
        <w:rPr>
          <w:rFonts w:ascii="Times New Roman" w:hAnsi="Times New Roman" w:cs="Times New Roman"/>
        </w:rPr>
        <w:t xml:space="preserve">  So, what have later cases made of repudiatory breach of leases?</w:t>
      </w:r>
    </w:p>
    <w:p w14:paraId="49823881" w14:textId="77777777" w:rsidR="00850513" w:rsidRDefault="00850513" w:rsidP="00AD45AD">
      <w:pPr>
        <w:jc w:val="both"/>
        <w:rPr>
          <w:rFonts w:ascii="Times New Roman" w:hAnsi="Times New Roman" w:cs="Times New Roman"/>
        </w:rPr>
      </w:pPr>
    </w:p>
    <w:p w14:paraId="23BE9996" w14:textId="748F2738" w:rsidR="00850513" w:rsidRDefault="00850513" w:rsidP="00AD45AD">
      <w:pPr>
        <w:jc w:val="both"/>
        <w:rPr>
          <w:rFonts w:ascii="Times New Roman" w:hAnsi="Times New Roman" w:cs="Times New Roman"/>
        </w:rPr>
      </w:pPr>
      <w:r>
        <w:rPr>
          <w:rFonts w:ascii="Times New Roman" w:hAnsi="Times New Roman" w:cs="Times New Roman"/>
        </w:rPr>
        <w:t xml:space="preserve">3.   Developments since Hussein:  </w:t>
      </w:r>
      <w:r w:rsidR="00D54BC3">
        <w:rPr>
          <w:rFonts w:ascii="Times New Roman" w:hAnsi="Times New Roman" w:cs="Times New Roman"/>
        </w:rPr>
        <w:t>No Actionable Repudiation</w:t>
      </w:r>
    </w:p>
    <w:p w14:paraId="7574F52B" w14:textId="77777777" w:rsidR="00850513" w:rsidRPr="00C2215F" w:rsidRDefault="00850513" w:rsidP="00AD45AD">
      <w:pPr>
        <w:jc w:val="both"/>
        <w:rPr>
          <w:rFonts w:ascii="Times New Roman" w:hAnsi="Times New Roman" w:cs="Times New Roman"/>
        </w:rPr>
      </w:pPr>
    </w:p>
    <w:p w14:paraId="24F71788" w14:textId="39206594" w:rsidR="00AD4AF5" w:rsidRDefault="00CD0931" w:rsidP="001F568A">
      <w:pPr>
        <w:jc w:val="both"/>
        <w:rPr>
          <w:rFonts w:ascii="Times New Roman" w:hAnsi="Times New Roman" w:cs="Times New Roman"/>
        </w:rPr>
      </w:pPr>
      <w:r>
        <w:rPr>
          <w:rFonts w:ascii="Times New Roman" w:hAnsi="Times New Roman" w:cs="Times New Roman"/>
        </w:rPr>
        <w:t xml:space="preserve">There has not been a reported case of </w:t>
      </w:r>
      <w:r w:rsidR="009239CA">
        <w:rPr>
          <w:rFonts w:ascii="Times New Roman" w:hAnsi="Times New Roman" w:cs="Times New Roman"/>
        </w:rPr>
        <w:t>successful</w:t>
      </w:r>
      <w:r>
        <w:rPr>
          <w:rFonts w:ascii="Times New Roman" w:hAnsi="Times New Roman" w:cs="Times New Roman"/>
        </w:rPr>
        <w:t xml:space="preserve"> termination of a lease by repudiatory conduct in a decided case since </w:t>
      </w:r>
      <w:r>
        <w:rPr>
          <w:rFonts w:ascii="Times New Roman" w:hAnsi="Times New Roman" w:cs="Times New Roman"/>
          <w:i/>
        </w:rPr>
        <w:t xml:space="preserve">Hussein v Mehlman </w:t>
      </w:r>
      <w:r>
        <w:rPr>
          <w:rFonts w:ascii="Times New Roman" w:hAnsi="Times New Roman" w:cs="Times New Roman"/>
        </w:rPr>
        <w:t>itself.</w:t>
      </w:r>
      <w:r w:rsidR="00CD26E6">
        <w:rPr>
          <w:rFonts w:ascii="Times New Roman" w:hAnsi="Times New Roman" w:cs="Times New Roman"/>
        </w:rPr>
        <w:t xml:space="preserve">  However, the </w:t>
      </w:r>
      <w:r w:rsidR="00F538A6">
        <w:rPr>
          <w:rFonts w:ascii="Times New Roman" w:hAnsi="Times New Roman" w:cs="Times New Roman"/>
        </w:rPr>
        <w:t xml:space="preserve">application of repudiatory breach for tenants appeared to be </w:t>
      </w:r>
      <w:r w:rsidR="007B2F25">
        <w:rPr>
          <w:rFonts w:ascii="Times New Roman" w:hAnsi="Times New Roman" w:cs="Times New Roman"/>
        </w:rPr>
        <w:t>confirmed</w:t>
      </w:r>
      <w:r w:rsidR="00F538A6">
        <w:rPr>
          <w:rFonts w:ascii="Times New Roman" w:hAnsi="Times New Roman" w:cs="Times New Roman"/>
        </w:rPr>
        <w:t xml:space="preserve"> in </w:t>
      </w:r>
      <w:r w:rsidR="00F538A6">
        <w:rPr>
          <w:rFonts w:ascii="Times New Roman" w:hAnsi="Times New Roman" w:cs="Times New Roman"/>
          <w:i/>
        </w:rPr>
        <w:t>Chartered Trusts v Davies</w:t>
      </w:r>
      <w:r w:rsidR="00CD26E6">
        <w:rPr>
          <w:rFonts w:ascii="Times New Roman" w:hAnsi="Times New Roman" w:cs="Times New Roman"/>
        </w:rPr>
        <w:t>.</w:t>
      </w:r>
      <w:r w:rsidR="00202E47" w:rsidRPr="00202E47">
        <w:rPr>
          <w:rStyle w:val="FootnoteReference"/>
          <w:rFonts w:ascii="Times New Roman" w:hAnsi="Times New Roman" w:cs="Times New Roman"/>
        </w:rPr>
        <w:footnoteReference w:id="46"/>
      </w:r>
      <w:r w:rsidR="00CD26E6">
        <w:rPr>
          <w:rFonts w:ascii="Times New Roman" w:hAnsi="Times New Roman" w:cs="Times New Roman"/>
        </w:rPr>
        <w:t xml:space="preserve">  I</w:t>
      </w:r>
      <w:r w:rsidR="007B2F25">
        <w:rPr>
          <w:rFonts w:ascii="Times New Roman" w:hAnsi="Times New Roman" w:cs="Times New Roman"/>
        </w:rPr>
        <w:t>t was assumed</w:t>
      </w:r>
      <w:r w:rsidR="00B90BD2">
        <w:rPr>
          <w:rFonts w:ascii="Times New Roman" w:hAnsi="Times New Roman" w:cs="Times New Roman"/>
        </w:rPr>
        <w:t xml:space="preserve"> at first instance</w:t>
      </w:r>
      <w:r w:rsidR="007B2F25">
        <w:rPr>
          <w:rFonts w:ascii="Times New Roman" w:hAnsi="Times New Roman" w:cs="Times New Roman"/>
        </w:rPr>
        <w:t xml:space="preserve"> that the lease could end thr</w:t>
      </w:r>
      <w:r w:rsidR="008E78DC">
        <w:rPr>
          <w:rFonts w:ascii="Times New Roman" w:hAnsi="Times New Roman" w:cs="Times New Roman"/>
        </w:rPr>
        <w:t>ough repudiation and acceptance, and</w:t>
      </w:r>
      <w:r w:rsidR="007B2F25">
        <w:rPr>
          <w:rFonts w:ascii="Times New Roman" w:hAnsi="Times New Roman" w:cs="Times New Roman"/>
        </w:rPr>
        <w:t xml:space="preserve"> the point was not argued in the Court of Appeal.  The case concerned possible non-derogat</w:t>
      </w:r>
      <w:r w:rsidR="008E78DC">
        <w:rPr>
          <w:rFonts w:ascii="Times New Roman" w:hAnsi="Times New Roman" w:cs="Times New Roman"/>
        </w:rPr>
        <w:t>ion from grant by the landlords</w:t>
      </w:r>
      <w:r w:rsidR="007B2F25">
        <w:rPr>
          <w:rFonts w:ascii="Times New Roman" w:hAnsi="Times New Roman" w:cs="Times New Roman"/>
        </w:rPr>
        <w:t xml:space="preserve"> in allowing </w:t>
      </w:r>
      <w:r w:rsidR="00B90BD2">
        <w:rPr>
          <w:rFonts w:ascii="Times New Roman" w:hAnsi="Times New Roman" w:cs="Times New Roman"/>
        </w:rPr>
        <w:t>other tenants in a shopping mall</w:t>
      </w:r>
      <w:r w:rsidR="007B2F25">
        <w:rPr>
          <w:rFonts w:ascii="Times New Roman" w:hAnsi="Times New Roman" w:cs="Times New Roman"/>
        </w:rPr>
        <w:t xml:space="preserve"> to commit what amounted to a nuisance </w:t>
      </w:r>
      <w:r w:rsidR="00B90BD2">
        <w:rPr>
          <w:rFonts w:ascii="Times New Roman" w:hAnsi="Times New Roman" w:cs="Times New Roman"/>
        </w:rPr>
        <w:t>which interfered with the toy business</w:t>
      </w:r>
      <w:r w:rsidR="007B2F25">
        <w:rPr>
          <w:rFonts w:ascii="Times New Roman" w:hAnsi="Times New Roman" w:cs="Times New Roman"/>
        </w:rPr>
        <w:t xml:space="preserve"> carried on by the tenant</w:t>
      </w:r>
      <w:r w:rsidR="00B90BD2">
        <w:rPr>
          <w:rFonts w:ascii="Times New Roman" w:hAnsi="Times New Roman" w:cs="Times New Roman"/>
        </w:rPr>
        <w:t xml:space="preserve"> at th</w:t>
      </w:r>
      <w:r w:rsidR="00AD4AF5">
        <w:rPr>
          <w:rFonts w:ascii="Times New Roman" w:hAnsi="Times New Roman" w:cs="Times New Roman"/>
        </w:rPr>
        <w:t>eir demised unit</w:t>
      </w:r>
      <w:r w:rsidR="007B2F25">
        <w:rPr>
          <w:rFonts w:ascii="Times New Roman" w:hAnsi="Times New Roman" w:cs="Times New Roman"/>
        </w:rPr>
        <w:t xml:space="preserve">. </w:t>
      </w:r>
      <w:r w:rsidR="00AD4AF5">
        <w:rPr>
          <w:rFonts w:ascii="Times New Roman" w:hAnsi="Times New Roman" w:cs="Times New Roman"/>
        </w:rPr>
        <w:t xml:space="preserve">The tenant alleged that this was a major contributing factor to the driving the business into bankruptcy.  It was uncontested at the Court of Appeal that the action complained of as a nuisance was a substantial interference with the letting and would have fulfilled the criterion for an action </w:t>
      </w:r>
      <w:r w:rsidR="00CE3F1E">
        <w:rPr>
          <w:rFonts w:ascii="Times New Roman" w:hAnsi="Times New Roman" w:cs="Times New Roman"/>
        </w:rPr>
        <w:t>in repudiatory breach, if it had</w:t>
      </w:r>
      <w:r w:rsidR="00AD4AF5">
        <w:rPr>
          <w:rFonts w:ascii="Times New Roman" w:hAnsi="Times New Roman" w:cs="Times New Roman"/>
        </w:rPr>
        <w:t xml:space="preserve"> been argued.</w:t>
      </w:r>
    </w:p>
    <w:p w14:paraId="371E65F7" w14:textId="0653F5DF" w:rsidR="007B2F25" w:rsidRDefault="007B2F25" w:rsidP="00B40BAC">
      <w:pPr>
        <w:jc w:val="both"/>
        <w:rPr>
          <w:rFonts w:ascii="Times New Roman" w:hAnsi="Times New Roman" w:cs="Times New Roman"/>
        </w:rPr>
      </w:pPr>
    </w:p>
    <w:p w14:paraId="1D173238" w14:textId="17239659" w:rsidR="007117EE" w:rsidRDefault="007117EE" w:rsidP="00850513">
      <w:pPr>
        <w:jc w:val="both"/>
        <w:rPr>
          <w:rFonts w:ascii="Times New Roman" w:hAnsi="Times New Roman" w:cs="Times New Roman"/>
        </w:rPr>
      </w:pPr>
      <w:r w:rsidRPr="007117EE">
        <w:rPr>
          <w:rFonts w:ascii="Times New Roman" w:hAnsi="Times New Roman" w:cs="Times New Roman"/>
        </w:rPr>
        <w:t xml:space="preserve">Similarly, in </w:t>
      </w:r>
      <w:r w:rsidRPr="007117EE">
        <w:rPr>
          <w:rFonts w:ascii="Times New Roman" w:hAnsi="Times New Roman" w:cs="Times New Roman"/>
          <w:i/>
        </w:rPr>
        <w:t xml:space="preserve">Nynehead Developments v. </w:t>
      </w:r>
      <w:r w:rsidRPr="007117EE">
        <w:rPr>
          <w:rFonts w:ascii="Times New Roman" w:hAnsi="Times New Roman" w:cs="Times New Roman"/>
          <w:i/>
          <w:snapToGrid w:val="0"/>
        </w:rPr>
        <w:t>RH Fibreboard Containers</w:t>
      </w:r>
      <w:r w:rsidR="00F75DFF">
        <w:rPr>
          <w:rFonts w:ascii="Times New Roman" w:hAnsi="Times New Roman" w:cs="Times New Roman"/>
        </w:rPr>
        <w:t>,</w:t>
      </w:r>
      <w:r w:rsidR="00202E47">
        <w:rPr>
          <w:rStyle w:val="FootnoteReference"/>
          <w:rFonts w:ascii="Times New Roman" w:hAnsi="Times New Roman" w:cs="Times New Roman"/>
        </w:rPr>
        <w:footnoteReference w:id="47"/>
      </w:r>
      <w:r w:rsidR="00202E47">
        <w:rPr>
          <w:rFonts w:ascii="Times New Roman" w:hAnsi="Times New Roman" w:cs="Times New Roman"/>
        </w:rPr>
        <w:t xml:space="preserve"> </w:t>
      </w:r>
      <w:r w:rsidR="00F75DFF">
        <w:rPr>
          <w:rFonts w:ascii="Times New Roman" w:hAnsi="Times New Roman" w:cs="Times New Roman"/>
          <w:snapToGrid w:val="0"/>
        </w:rPr>
        <w:t>i</w:t>
      </w:r>
      <w:r w:rsidRPr="00C2215F">
        <w:rPr>
          <w:rFonts w:ascii="Times New Roman" w:hAnsi="Times New Roman" w:cs="Times New Roman"/>
          <w:snapToGrid w:val="0"/>
        </w:rPr>
        <w:t>t was confirmed that leases could</w:t>
      </w:r>
      <w:r w:rsidR="00F033C3">
        <w:rPr>
          <w:rFonts w:ascii="Times New Roman" w:hAnsi="Times New Roman" w:cs="Times New Roman"/>
          <w:snapToGrid w:val="0"/>
        </w:rPr>
        <w:t>, in principle,</w:t>
      </w:r>
      <w:r w:rsidRPr="00C2215F">
        <w:rPr>
          <w:rFonts w:ascii="Times New Roman" w:hAnsi="Times New Roman" w:cs="Times New Roman"/>
          <w:snapToGrid w:val="0"/>
        </w:rPr>
        <w:t xml:space="preserve"> be determined by repudiatory breach following a landlord’s breach of covenant</w:t>
      </w:r>
      <w:r w:rsidR="00CD0931">
        <w:rPr>
          <w:rFonts w:ascii="Times New Roman" w:hAnsi="Times New Roman" w:cs="Times New Roman"/>
          <w:snapToGrid w:val="0"/>
        </w:rPr>
        <w:t>s</w:t>
      </w:r>
      <w:r w:rsidR="00F033C3">
        <w:rPr>
          <w:rFonts w:ascii="Times New Roman" w:hAnsi="Times New Roman" w:cs="Times New Roman"/>
          <w:snapToGrid w:val="0"/>
        </w:rPr>
        <w:t>.  On the instant facts</w:t>
      </w:r>
      <w:r w:rsidRPr="00C2215F">
        <w:rPr>
          <w:rFonts w:ascii="Times New Roman" w:hAnsi="Times New Roman" w:cs="Times New Roman"/>
        </w:rPr>
        <w:t>, there had been clear breaches of the implied covenant not to derogate from grant and an express cove</w:t>
      </w:r>
      <w:r>
        <w:rPr>
          <w:rFonts w:ascii="Times New Roman" w:hAnsi="Times New Roman" w:cs="Times New Roman"/>
        </w:rPr>
        <w:t xml:space="preserve">nant relating to the landlord's </w:t>
      </w:r>
      <w:r w:rsidRPr="00C2215F">
        <w:rPr>
          <w:rFonts w:ascii="Times New Roman" w:hAnsi="Times New Roman" w:cs="Times New Roman"/>
        </w:rPr>
        <w:t>duties in respect of the efficient operation of the estate</w:t>
      </w:r>
      <w:r>
        <w:rPr>
          <w:rFonts w:ascii="Times New Roman" w:hAnsi="Times New Roman" w:cs="Times New Roman"/>
        </w:rPr>
        <w:t>.</w:t>
      </w:r>
      <w:r w:rsidR="00E44692">
        <w:rPr>
          <w:rFonts w:ascii="Times New Roman" w:hAnsi="Times New Roman" w:cs="Times New Roman"/>
        </w:rPr>
        <w:t xml:space="preserve">  However, Weeks QC</w:t>
      </w:r>
      <w:r>
        <w:rPr>
          <w:rFonts w:ascii="Times New Roman" w:hAnsi="Times New Roman" w:cs="Times New Roman"/>
        </w:rPr>
        <w:t xml:space="preserve"> found that there had no repudiation of the facts – the breaches were </w:t>
      </w:r>
      <w:r w:rsidRPr="00C2215F">
        <w:rPr>
          <w:rFonts w:ascii="Times New Roman" w:hAnsi="Times New Roman" w:cs="Times New Roman"/>
        </w:rPr>
        <w:t>not characterised as sufficiently serious so as to amount to repudiation of the lease.</w:t>
      </w:r>
      <w:r>
        <w:rPr>
          <w:rFonts w:ascii="Times New Roman" w:hAnsi="Times New Roman" w:cs="Times New Roman"/>
        </w:rPr>
        <w:t xml:space="preserve">  </w:t>
      </w:r>
      <w:r w:rsidR="00E44692">
        <w:rPr>
          <w:rFonts w:ascii="Times New Roman" w:hAnsi="Times New Roman" w:cs="Times New Roman"/>
        </w:rPr>
        <w:t>They were an ‘</w:t>
      </w:r>
      <w:r w:rsidR="00E44692" w:rsidRPr="00C2215F">
        <w:rPr>
          <w:rFonts w:ascii="Times New Roman" w:hAnsi="Times New Roman" w:cs="Times New Roman"/>
        </w:rPr>
        <w:t xml:space="preserve">irritant and minor </w:t>
      </w:r>
      <w:r w:rsidR="00202E47">
        <w:rPr>
          <w:rFonts w:ascii="Times New Roman" w:hAnsi="Times New Roman" w:cs="Times New Roman"/>
        </w:rPr>
        <w:t>interference’ wit</w:t>
      </w:r>
      <w:r w:rsidR="00E44692">
        <w:rPr>
          <w:rFonts w:ascii="Times New Roman" w:hAnsi="Times New Roman" w:cs="Times New Roman"/>
        </w:rPr>
        <w:t>h</w:t>
      </w:r>
      <w:r w:rsidR="00F033C3">
        <w:rPr>
          <w:rFonts w:ascii="Times New Roman" w:hAnsi="Times New Roman" w:cs="Times New Roman"/>
        </w:rPr>
        <w:t xml:space="preserve"> the tenant’s business and, though </w:t>
      </w:r>
      <w:r w:rsidR="00E44692">
        <w:rPr>
          <w:rFonts w:ascii="Times New Roman" w:hAnsi="Times New Roman" w:cs="Times New Roman"/>
        </w:rPr>
        <w:t xml:space="preserve">often’ </w:t>
      </w:r>
      <w:r w:rsidR="00E44692" w:rsidRPr="00C2215F">
        <w:rPr>
          <w:rFonts w:ascii="Times New Roman" w:hAnsi="Times New Roman" w:cs="Times New Roman"/>
        </w:rPr>
        <w:t>deliberate</w:t>
      </w:r>
      <w:r w:rsidR="00E44692">
        <w:rPr>
          <w:rFonts w:ascii="Times New Roman" w:hAnsi="Times New Roman" w:cs="Times New Roman"/>
        </w:rPr>
        <w:t>,</w:t>
      </w:r>
      <w:r w:rsidR="00F033C3">
        <w:rPr>
          <w:rFonts w:ascii="Times New Roman" w:hAnsi="Times New Roman" w:cs="Times New Roman"/>
        </w:rPr>
        <w:t xml:space="preserve"> prolonged and </w:t>
      </w:r>
      <w:r w:rsidR="007257E9">
        <w:rPr>
          <w:rFonts w:ascii="Times New Roman" w:hAnsi="Times New Roman" w:cs="Times New Roman"/>
        </w:rPr>
        <w:t>surreptitious’,</w:t>
      </w:r>
      <w:r w:rsidR="00E44692" w:rsidRPr="00C2215F">
        <w:rPr>
          <w:rFonts w:ascii="Times New Roman" w:hAnsi="Times New Roman" w:cs="Times New Roman"/>
        </w:rPr>
        <w:t xml:space="preserve"> they were not such as to go to the root of the parties' contract</w:t>
      </w:r>
      <w:r w:rsidR="00F033C3">
        <w:rPr>
          <w:rFonts w:ascii="Times New Roman" w:hAnsi="Times New Roman" w:cs="Times New Roman"/>
        </w:rPr>
        <w:t xml:space="preserve"> and damages provided an adequate remedy</w:t>
      </w:r>
      <w:r w:rsidR="00E44692" w:rsidRPr="00C2215F">
        <w:rPr>
          <w:rFonts w:ascii="Times New Roman" w:hAnsi="Times New Roman" w:cs="Times New Roman"/>
        </w:rPr>
        <w:t>.</w:t>
      </w:r>
      <w:r w:rsidR="00E44692">
        <w:rPr>
          <w:rFonts w:ascii="Times New Roman" w:hAnsi="Times New Roman" w:cs="Times New Roman"/>
        </w:rPr>
        <w:t xml:space="preserve"> Weeks QC also sounded a note of caution in applying the doctrine too readily to allow tenants an escape from </w:t>
      </w:r>
      <w:r w:rsidR="007257E9">
        <w:rPr>
          <w:rFonts w:ascii="Times New Roman" w:hAnsi="Times New Roman" w:cs="Times New Roman"/>
        </w:rPr>
        <w:t xml:space="preserve">what had become </w:t>
      </w:r>
      <w:r w:rsidR="00E44692">
        <w:rPr>
          <w:rFonts w:ascii="Times New Roman" w:hAnsi="Times New Roman" w:cs="Times New Roman"/>
        </w:rPr>
        <w:t>a disadvantageous bargain.</w:t>
      </w:r>
    </w:p>
    <w:p w14:paraId="2ED51E48" w14:textId="77777777" w:rsidR="00F538A6" w:rsidRDefault="00F538A6" w:rsidP="00850513">
      <w:pPr>
        <w:jc w:val="both"/>
        <w:rPr>
          <w:rFonts w:ascii="Times New Roman" w:hAnsi="Times New Roman" w:cs="Times New Roman"/>
        </w:rPr>
      </w:pPr>
    </w:p>
    <w:p w14:paraId="3B1E9824" w14:textId="0F1D8F49" w:rsidR="001F568A" w:rsidRDefault="00B40BAC" w:rsidP="001F568A">
      <w:pPr>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Petra Investments Ltd v Jeffrey Rogers plc</w:t>
      </w:r>
      <w:r w:rsidR="007257E9">
        <w:rPr>
          <w:rFonts w:ascii="Times New Roman" w:hAnsi="Times New Roman" w:cs="Times New Roman"/>
        </w:rPr>
        <w:t>,</w:t>
      </w:r>
      <w:r w:rsidR="00F75DFF" w:rsidRPr="00F75DFF">
        <w:rPr>
          <w:rStyle w:val="FootnoteReference"/>
          <w:rFonts w:ascii="Times New Roman" w:hAnsi="Times New Roman" w:cs="Times New Roman"/>
        </w:rPr>
        <w:footnoteReference w:id="48"/>
      </w:r>
      <w:r w:rsidR="00AD4AF5">
        <w:rPr>
          <w:rFonts w:ascii="Times New Roman" w:hAnsi="Times New Roman" w:cs="Times New Roman"/>
        </w:rPr>
        <w:t xml:space="preserve"> it had originally been intended that a shopping centre would have an individual and exclusive image for high quality fashion retail.  However, in order to increase trade and sales revenue, the landlord created a new unit as a Virgin </w:t>
      </w:r>
      <w:r w:rsidR="00AD4AF5">
        <w:rPr>
          <w:rFonts w:ascii="Times New Roman" w:hAnsi="Times New Roman" w:cs="Times New Roman"/>
        </w:rPr>
        <w:lastRenderedPageBreak/>
        <w:t>Megastore.</w:t>
      </w:r>
      <w:r w:rsidR="00AD4AF5">
        <w:rPr>
          <w:rStyle w:val="FootnoteReference"/>
          <w:rFonts w:ascii="Times New Roman" w:hAnsi="Times New Roman" w:cs="Times New Roman"/>
        </w:rPr>
        <w:footnoteReference w:id="49"/>
      </w:r>
      <w:r w:rsidR="00AD4AF5">
        <w:rPr>
          <w:rFonts w:ascii="Times New Roman" w:hAnsi="Times New Roman" w:cs="Times New Roman"/>
        </w:rPr>
        <w:t xml:space="preserve"> T</w:t>
      </w:r>
      <w:r>
        <w:rPr>
          <w:rFonts w:ascii="Times New Roman" w:hAnsi="Times New Roman" w:cs="Times New Roman"/>
        </w:rPr>
        <w:t>he</w:t>
      </w:r>
      <w:r w:rsidRPr="00C2215F">
        <w:rPr>
          <w:rFonts w:ascii="Times New Roman" w:hAnsi="Times New Roman" w:cs="Times New Roman"/>
        </w:rPr>
        <w:t xml:space="preserve"> tenant </w:t>
      </w:r>
      <w:r w:rsidR="009500A3">
        <w:rPr>
          <w:rFonts w:ascii="Times New Roman" w:hAnsi="Times New Roman" w:cs="Times New Roman"/>
        </w:rPr>
        <w:t>of one of the retail units in the shopping centre, who had suffered a loss of profits, claimed that the landlord’s conduct had been repudiatory and also constituted a non-derogation from grant</w:t>
      </w:r>
      <w:r w:rsidRPr="00C2215F">
        <w:rPr>
          <w:rFonts w:ascii="Times New Roman" w:hAnsi="Times New Roman" w:cs="Times New Roman"/>
        </w:rPr>
        <w:t>. Hart J concluded that, in a purpose-built centre, there was an obligation</w:t>
      </w:r>
      <w:r>
        <w:rPr>
          <w:rFonts w:ascii="Times New Roman" w:hAnsi="Times New Roman" w:cs="Times New Roman"/>
        </w:rPr>
        <w:t xml:space="preserve"> </w:t>
      </w:r>
      <w:r w:rsidRPr="00C2215F">
        <w:rPr>
          <w:rFonts w:ascii="Times New Roman" w:hAnsi="Times New Roman" w:cs="Times New Roman"/>
        </w:rPr>
        <w:t>on the landlord not to alter or use the common parts of the centre in such a way as to cause it to lose its character as a retail shopping mall. In relation to the letting of units within the centre, the landlord was required to take account of the expectations of its existing tenants by not doing</w:t>
      </w:r>
      <w:r w:rsidR="00CE3F1E">
        <w:rPr>
          <w:rFonts w:ascii="Times New Roman" w:hAnsi="Times New Roman" w:cs="Times New Roman"/>
        </w:rPr>
        <w:t>,</w:t>
      </w:r>
      <w:r w:rsidRPr="00C2215F">
        <w:rPr>
          <w:rFonts w:ascii="Times New Roman" w:hAnsi="Times New Roman" w:cs="Times New Roman"/>
        </w:rPr>
        <w:t xml:space="preserve"> or permitting something </w:t>
      </w:r>
      <w:r w:rsidR="00CE3F1E">
        <w:rPr>
          <w:rFonts w:ascii="Times New Roman" w:hAnsi="Times New Roman" w:cs="Times New Roman"/>
        </w:rPr>
        <w:t xml:space="preserve">to be done, </w:t>
      </w:r>
      <w:r w:rsidRPr="00C2215F">
        <w:rPr>
          <w:rFonts w:ascii="Times New Roman" w:hAnsi="Times New Roman" w:cs="Times New Roman"/>
        </w:rPr>
        <w:t>that it was reasonably foreseeable would render the premises already demised less fit for the purpose for which they had been let.</w:t>
      </w:r>
      <w:r w:rsidR="001F568A">
        <w:rPr>
          <w:rFonts w:ascii="Times New Roman" w:hAnsi="Times New Roman" w:cs="Times New Roman"/>
        </w:rPr>
        <w:t xml:space="preserve"> Having found that there was no actionable non-</w:t>
      </w:r>
      <w:r w:rsidR="006E6EBD">
        <w:rPr>
          <w:rFonts w:ascii="Times New Roman" w:hAnsi="Times New Roman" w:cs="Times New Roman"/>
        </w:rPr>
        <w:t>derogation</w:t>
      </w:r>
      <w:r w:rsidR="001F568A">
        <w:rPr>
          <w:rFonts w:ascii="Times New Roman" w:hAnsi="Times New Roman" w:cs="Times New Roman"/>
        </w:rPr>
        <w:t xml:space="preserve"> from grant on the facts, Hart J said:</w:t>
      </w:r>
    </w:p>
    <w:p w14:paraId="1FBF6310" w14:textId="77777777" w:rsidR="001F568A" w:rsidRDefault="001F568A" w:rsidP="001F568A">
      <w:pPr>
        <w:jc w:val="both"/>
        <w:rPr>
          <w:rFonts w:ascii="Times New Roman" w:hAnsi="Times New Roman" w:cs="Times New Roman"/>
        </w:rPr>
      </w:pPr>
    </w:p>
    <w:p w14:paraId="0C482951" w14:textId="43D96863" w:rsidR="001F568A" w:rsidRDefault="001F568A" w:rsidP="00622C9B">
      <w:pPr>
        <w:ind w:left="720"/>
        <w:jc w:val="both"/>
        <w:rPr>
          <w:rFonts w:ascii="Times New Roman" w:hAnsi="Times New Roman" w:cs="Times New Roman"/>
        </w:rPr>
      </w:pPr>
      <w:r>
        <w:rPr>
          <w:rFonts w:ascii="Times New Roman" w:hAnsi="Times New Roman" w:cs="Times New Roman"/>
        </w:rPr>
        <w:t xml:space="preserve">In those circumstances, it is unnecessary for me to consider whether, had I come to a </w:t>
      </w:r>
      <w:r w:rsidRPr="00C2215F">
        <w:rPr>
          <w:rFonts w:ascii="Times New Roman" w:hAnsi="Times New Roman" w:cs="Times New Roman"/>
        </w:rPr>
        <w:t>had I come to a different conclusion, the result would have been that the defendant was entitled to accept the claimant's conduct as repudiatory of the</w:t>
      </w:r>
      <w:r>
        <w:rPr>
          <w:rFonts w:ascii="Times New Roman" w:hAnsi="Times New Roman" w:cs="Times New Roman"/>
        </w:rPr>
        <w:t xml:space="preserve"> lease</w:t>
      </w:r>
      <w:r w:rsidR="00103673">
        <w:rPr>
          <w:rFonts w:ascii="Times New Roman" w:hAnsi="Times New Roman" w:cs="Times New Roman"/>
        </w:rPr>
        <w:t>…</w:t>
      </w:r>
      <w:r>
        <w:rPr>
          <w:rFonts w:ascii="Times New Roman" w:hAnsi="Times New Roman" w:cs="Times New Roman"/>
        </w:rPr>
        <w:t>or whether the defenda</w:t>
      </w:r>
      <w:r w:rsidR="003943A3">
        <w:rPr>
          <w:rFonts w:ascii="Times New Roman" w:hAnsi="Times New Roman" w:cs="Times New Roman"/>
        </w:rPr>
        <w:t>nt simply has a claim to damages.</w:t>
      </w:r>
    </w:p>
    <w:p w14:paraId="293F3234" w14:textId="77777777" w:rsidR="00CD0931" w:rsidRDefault="00CD0931" w:rsidP="001F568A">
      <w:pPr>
        <w:jc w:val="both"/>
        <w:rPr>
          <w:rFonts w:ascii="Times New Roman" w:hAnsi="Times New Roman" w:cs="Times New Roman"/>
        </w:rPr>
      </w:pPr>
    </w:p>
    <w:p w14:paraId="6CE9DD07" w14:textId="57A3BC38" w:rsidR="00B4393D" w:rsidRDefault="002D4E60" w:rsidP="001F568A">
      <w:pPr>
        <w:jc w:val="both"/>
        <w:rPr>
          <w:rFonts w:ascii="Times New Roman" w:hAnsi="Times New Roman" w:cs="Times New Roman"/>
        </w:rPr>
      </w:pPr>
      <w:r>
        <w:rPr>
          <w:rFonts w:ascii="Times New Roman" w:hAnsi="Times New Roman" w:cs="Times New Roman"/>
        </w:rPr>
        <w:t>T</w:t>
      </w:r>
      <w:r w:rsidR="00CD0931">
        <w:rPr>
          <w:rFonts w:ascii="Times New Roman" w:hAnsi="Times New Roman" w:cs="Times New Roman"/>
        </w:rPr>
        <w:t xml:space="preserve">he important decision of </w:t>
      </w:r>
      <w:r w:rsidR="00CD0931">
        <w:rPr>
          <w:rFonts w:ascii="Times New Roman" w:hAnsi="Times New Roman" w:cs="Times New Roman"/>
          <w:i/>
        </w:rPr>
        <w:t>Abidog</w:t>
      </w:r>
      <w:r w:rsidR="00814D7A">
        <w:rPr>
          <w:rFonts w:ascii="Times New Roman" w:hAnsi="Times New Roman" w:cs="Times New Roman"/>
          <w:i/>
        </w:rPr>
        <w:t>u</w:t>
      </w:r>
      <w:r w:rsidR="00CD0931">
        <w:rPr>
          <w:rFonts w:ascii="Times New Roman" w:hAnsi="Times New Roman" w:cs="Times New Roman"/>
          <w:i/>
        </w:rPr>
        <w:t>n v Frolen Health Care</w:t>
      </w:r>
      <w:r w:rsidR="006E6EBD">
        <w:rPr>
          <w:rFonts w:ascii="Times New Roman" w:hAnsi="Times New Roman" w:cs="Times New Roman"/>
        </w:rPr>
        <w:t>,</w:t>
      </w:r>
      <w:r w:rsidR="006E6EBD" w:rsidRPr="006E6EBD">
        <w:rPr>
          <w:rStyle w:val="FootnoteReference"/>
          <w:rFonts w:ascii="Times New Roman" w:hAnsi="Times New Roman" w:cs="Times New Roman"/>
        </w:rPr>
        <w:footnoteReference w:id="50"/>
      </w:r>
      <w:r w:rsidR="00CD0931">
        <w:rPr>
          <w:rFonts w:ascii="Times New Roman" w:hAnsi="Times New Roman" w:cs="Times New Roman"/>
        </w:rPr>
        <w:t xml:space="preserve"> concerned denial of title, </w:t>
      </w:r>
      <w:r w:rsidR="00D12BDB">
        <w:rPr>
          <w:rFonts w:ascii="Times New Roman" w:hAnsi="Times New Roman" w:cs="Times New Roman"/>
        </w:rPr>
        <w:t>so</w:t>
      </w:r>
      <w:r w:rsidR="00CD0931">
        <w:rPr>
          <w:rFonts w:ascii="Times New Roman" w:hAnsi="Times New Roman" w:cs="Times New Roman"/>
        </w:rPr>
        <w:t xml:space="preserve"> this time it was the landlord alleging that the tenant</w:t>
      </w:r>
      <w:r>
        <w:rPr>
          <w:rFonts w:ascii="Times New Roman" w:hAnsi="Times New Roman" w:cs="Times New Roman"/>
        </w:rPr>
        <w:t xml:space="preserve"> had committed a repudiatory act:</w:t>
      </w:r>
      <w:r w:rsidR="00CD0931">
        <w:rPr>
          <w:rFonts w:ascii="Times New Roman" w:hAnsi="Times New Roman" w:cs="Times New Roman"/>
        </w:rPr>
        <w:t xml:space="preserve"> a first in a reported English decision.</w:t>
      </w:r>
      <w:r w:rsidR="00B4393D">
        <w:rPr>
          <w:rFonts w:ascii="Times New Roman" w:hAnsi="Times New Roman" w:cs="Times New Roman"/>
        </w:rPr>
        <w:t xml:space="preserve">  </w:t>
      </w:r>
      <w:r w:rsidR="009E29CF">
        <w:rPr>
          <w:rFonts w:ascii="Times New Roman" w:hAnsi="Times New Roman" w:cs="Times New Roman"/>
        </w:rPr>
        <w:t xml:space="preserve">Space here militates against a </w:t>
      </w:r>
      <w:r w:rsidR="00D12BDB">
        <w:rPr>
          <w:rFonts w:ascii="Times New Roman" w:hAnsi="Times New Roman" w:cs="Times New Roman"/>
        </w:rPr>
        <w:t xml:space="preserve">full </w:t>
      </w:r>
      <w:r w:rsidR="009E29CF">
        <w:rPr>
          <w:rFonts w:ascii="Times New Roman" w:hAnsi="Times New Roman" w:cs="Times New Roman"/>
        </w:rPr>
        <w:t>discussion of denial of title</w:t>
      </w:r>
      <w:r w:rsidR="0013489E">
        <w:rPr>
          <w:rFonts w:ascii="Times New Roman" w:hAnsi="Times New Roman" w:cs="Times New Roman"/>
        </w:rPr>
        <w:t xml:space="preserve"> as a doctrine</w:t>
      </w:r>
      <w:r w:rsidR="009E29CF">
        <w:rPr>
          <w:rFonts w:ascii="Times New Roman" w:hAnsi="Times New Roman" w:cs="Times New Roman"/>
        </w:rPr>
        <w:t xml:space="preserve">, but it was confirmed in this case by Arden LJ that the basis of denial of title is an implied term </w:t>
      </w:r>
      <w:r>
        <w:rPr>
          <w:rFonts w:ascii="Times New Roman" w:hAnsi="Times New Roman" w:cs="Times New Roman"/>
        </w:rPr>
        <w:t>in a</w:t>
      </w:r>
      <w:r w:rsidR="009E29CF">
        <w:rPr>
          <w:rFonts w:ascii="Times New Roman" w:hAnsi="Times New Roman" w:cs="Times New Roman"/>
        </w:rPr>
        <w:t xml:space="preserve"> lease</w:t>
      </w:r>
      <w:r w:rsidR="00CE3F1E">
        <w:rPr>
          <w:rFonts w:ascii="Times New Roman" w:hAnsi="Times New Roman" w:cs="Times New Roman"/>
        </w:rPr>
        <w:t>,</w:t>
      </w:r>
      <w:r w:rsidR="002B0B73">
        <w:rPr>
          <w:rStyle w:val="FootnoteReference"/>
          <w:rFonts w:ascii="Times New Roman" w:hAnsi="Times New Roman" w:cs="Times New Roman"/>
        </w:rPr>
        <w:footnoteReference w:id="51"/>
      </w:r>
      <w:r w:rsidR="009E29CF">
        <w:rPr>
          <w:rFonts w:ascii="Times New Roman" w:hAnsi="Times New Roman" w:cs="Times New Roman"/>
        </w:rPr>
        <w:t xml:space="preserve"> even though it operated by way of repudiation.</w:t>
      </w:r>
      <w:r w:rsidR="005C3FCC">
        <w:rPr>
          <w:rFonts w:ascii="Times New Roman" w:hAnsi="Times New Roman" w:cs="Times New Roman"/>
        </w:rPr>
        <w:t xml:space="preserve">  Significantly, the case also decided that </w:t>
      </w:r>
      <w:r w:rsidR="003D0E0B">
        <w:rPr>
          <w:rFonts w:ascii="Times New Roman" w:hAnsi="Times New Roman" w:cs="Times New Roman"/>
        </w:rPr>
        <w:t>an action for denial of title was an action for forfeiture, which needed to be brought within s.146 to be effective, more on which later.</w:t>
      </w:r>
    </w:p>
    <w:p w14:paraId="12802166" w14:textId="77777777" w:rsidR="00B4393D" w:rsidRDefault="00B4393D" w:rsidP="001F568A">
      <w:pPr>
        <w:jc w:val="both"/>
        <w:rPr>
          <w:rFonts w:ascii="Times New Roman" w:hAnsi="Times New Roman" w:cs="Times New Roman"/>
        </w:rPr>
      </w:pPr>
    </w:p>
    <w:p w14:paraId="583B681E" w14:textId="431FE169" w:rsidR="00CD0931" w:rsidRPr="00CD0931" w:rsidRDefault="00B4393D" w:rsidP="001F568A">
      <w:pPr>
        <w:jc w:val="both"/>
        <w:rPr>
          <w:rFonts w:ascii="Times New Roman" w:hAnsi="Times New Roman" w:cs="Times New Roman"/>
        </w:rPr>
      </w:pPr>
      <w:r>
        <w:rPr>
          <w:rFonts w:ascii="Times New Roman" w:hAnsi="Times New Roman" w:cs="Times New Roman"/>
        </w:rPr>
        <w:t>The</w:t>
      </w:r>
      <w:r w:rsidR="003D0E0B">
        <w:rPr>
          <w:rFonts w:ascii="Times New Roman" w:hAnsi="Times New Roman" w:cs="Times New Roman"/>
        </w:rPr>
        <w:t xml:space="preserve"> repudiation</w:t>
      </w:r>
      <w:r>
        <w:rPr>
          <w:rFonts w:ascii="Times New Roman" w:hAnsi="Times New Roman" w:cs="Times New Roman"/>
        </w:rPr>
        <w:t xml:space="preserve"> act</w:t>
      </w:r>
      <w:r w:rsidR="00D12BDB">
        <w:rPr>
          <w:rFonts w:ascii="Times New Roman" w:hAnsi="Times New Roman" w:cs="Times New Roman"/>
        </w:rPr>
        <w:t xml:space="preserve">ion failed, on numerous grounds. </w:t>
      </w:r>
      <w:r w:rsidR="009E29CF">
        <w:rPr>
          <w:rFonts w:ascii="Times New Roman" w:hAnsi="Times New Roman" w:cs="Times New Roman"/>
        </w:rPr>
        <w:t>It</w:t>
      </w:r>
      <w:r>
        <w:rPr>
          <w:rFonts w:ascii="Times New Roman" w:hAnsi="Times New Roman" w:cs="Times New Roman"/>
        </w:rPr>
        <w:t xml:space="preserve"> was by no means clear that e</w:t>
      </w:r>
      <w:r w:rsidR="002D4E60">
        <w:rPr>
          <w:rFonts w:ascii="Times New Roman" w:hAnsi="Times New Roman" w:cs="Times New Roman"/>
        </w:rPr>
        <w:t>ither the actions of the tenant</w:t>
      </w:r>
      <w:r>
        <w:rPr>
          <w:rFonts w:ascii="Times New Roman" w:hAnsi="Times New Roman" w:cs="Times New Roman"/>
        </w:rPr>
        <w:t>s in seeking a determination of the court on issues that had arisen between the parties would be seen a</w:t>
      </w:r>
      <w:r w:rsidR="002D4E60">
        <w:rPr>
          <w:rFonts w:ascii="Times New Roman" w:hAnsi="Times New Roman" w:cs="Times New Roman"/>
        </w:rPr>
        <w:t xml:space="preserve">s a repudiatory or that the </w:t>
      </w:r>
      <w:r>
        <w:rPr>
          <w:rFonts w:ascii="Times New Roman" w:hAnsi="Times New Roman" w:cs="Times New Roman"/>
        </w:rPr>
        <w:t>tenants did not intend to be bound by the lease.  Even if there was repudiatory conduct, the acceptance of tha</w:t>
      </w:r>
      <w:r w:rsidR="009E29CF">
        <w:rPr>
          <w:rFonts w:ascii="Times New Roman" w:hAnsi="Times New Roman" w:cs="Times New Roman"/>
        </w:rPr>
        <w:t xml:space="preserve">t conduct by the landlords was lacking, and </w:t>
      </w:r>
      <w:r w:rsidR="002D4E60">
        <w:rPr>
          <w:rFonts w:ascii="Times New Roman" w:hAnsi="Times New Roman" w:cs="Times New Roman"/>
        </w:rPr>
        <w:t xml:space="preserve">at trial </w:t>
      </w:r>
      <w:r w:rsidR="009E29CF">
        <w:rPr>
          <w:rFonts w:ascii="Times New Roman" w:hAnsi="Times New Roman" w:cs="Times New Roman"/>
        </w:rPr>
        <w:t xml:space="preserve">the case had proceeded on the basis of forfeiture, not </w:t>
      </w:r>
      <w:r w:rsidR="005C3FCC">
        <w:rPr>
          <w:rFonts w:ascii="Times New Roman" w:hAnsi="Times New Roman" w:cs="Times New Roman"/>
        </w:rPr>
        <w:t>repudiatory</w:t>
      </w:r>
      <w:r w:rsidR="009E29CF">
        <w:rPr>
          <w:rFonts w:ascii="Times New Roman" w:hAnsi="Times New Roman" w:cs="Times New Roman"/>
        </w:rPr>
        <w:t xml:space="preserve"> breach.</w:t>
      </w:r>
    </w:p>
    <w:p w14:paraId="4D61C710" w14:textId="77777777" w:rsidR="001F568A" w:rsidRDefault="001F568A" w:rsidP="00B40BAC">
      <w:pPr>
        <w:jc w:val="both"/>
        <w:rPr>
          <w:rFonts w:ascii="Times New Roman" w:hAnsi="Times New Roman" w:cs="Times New Roman"/>
        </w:rPr>
      </w:pPr>
    </w:p>
    <w:p w14:paraId="706FAD69" w14:textId="5FC9FD99" w:rsidR="00356DC9" w:rsidRDefault="0095410D" w:rsidP="00850513">
      <w:pPr>
        <w:jc w:val="both"/>
        <w:rPr>
          <w:rFonts w:ascii="Times New Roman" w:hAnsi="Times New Roman" w:cs="Times New Roman"/>
        </w:rPr>
      </w:pPr>
      <w:r>
        <w:rPr>
          <w:rFonts w:ascii="Times New Roman" w:hAnsi="Times New Roman" w:cs="Times New Roman"/>
        </w:rPr>
        <w:t>Denial of titl</w:t>
      </w:r>
      <w:r w:rsidR="003D0E0B">
        <w:rPr>
          <w:rFonts w:ascii="Times New Roman" w:hAnsi="Times New Roman" w:cs="Times New Roman"/>
        </w:rPr>
        <w:t>e</w:t>
      </w:r>
      <w:r>
        <w:rPr>
          <w:rFonts w:ascii="Times New Roman" w:hAnsi="Times New Roman" w:cs="Times New Roman"/>
        </w:rPr>
        <w:t xml:space="preserve"> was also at issue </w:t>
      </w:r>
      <w:r w:rsidR="0035508F" w:rsidRPr="00EE2E89">
        <w:rPr>
          <w:rFonts w:ascii="Times New Roman" w:hAnsi="Times New Roman" w:cs="Times New Roman"/>
        </w:rPr>
        <w:t>in</w:t>
      </w:r>
      <w:r w:rsidR="0035508F">
        <w:rPr>
          <w:rFonts w:ascii="Times New Roman" w:hAnsi="Times New Roman" w:cs="Times New Roman"/>
          <w:i/>
        </w:rPr>
        <w:t xml:space="preserve"> Crisp v East</w:t>
      </w:r>
      <w:r w:rsidRPr="0095410D">
        <w:rPr>
          <w:rFonts w:ascii="Times New Roman" w:hAnsi="Times New Roman" w:cs="Times New Roman"/>
          <w:i/>
        </w:rPr>
        <w:t>a</w:t>
      </w:r>
      <w:r w:rsidR="0035508F">
        <w:rPr>
          <w:rFonts w:ascii="Times New Roman" w:hAnsi="Times New Roman" w:cs="Times New Roman"/>
          <w:i/>
        </w:rPr>
        <w:t>u</w:t>
      </w:r>
      <w:r w:rsidRPr="0095410D">
        <w:rPr>
          <w:rFonts w:ascii="Times New Roman" w:hAnsi="Times New Roman" w:cs="Times New Roman"/>
          <w:i/>
        </w:rPr>
        <w:t>gh</w:t>
      </w:r>
      <w:r w:rsidR="00D12BDB">
        <w:rPr>
          <w:rFonts w:ascii="Times New Roman" w:hAnsi="Times New Roman" w:cs="Times New Roman"/>
        </w:rPr>
        <w:t>.</w:t>
      </w:r>
      <w:r w:rsidR="002B0B73">
        <w:rPr>
          <w:rStyle w:val="FootnoteReference"/>
          <w:rFonts w:ascii="Times New Roman" w:hAnsi="Times New Roman" w:cs="Times New Roman"/>
        </w:rPr>
        <w:footnoteReference w:id="52"/>
      </w:r>
      <w:r w:rsidR="00D12BDB">
        <w:rPr>
          <w:rFonts w:ascii="Times New Roman" w:hAnsi="Times New Roman" w:cs="Times New Roman"/>
        </w:rPr>
        <w:t xml:space="preserve"> </w:t>
      </w:r>
      <w:r w:rsidR="005C3FCC">
        <w:rPr>
          <w:rFonts w:ascii="Times New Roman" w:hAnsi="Times New Roman" w:cs="Times New Roman"/>
        </w:rPr>
        <w:t xml:space="preserve">The court found that the actions by the </w:t>
      </w:r>
      <w:r w:rsidR="003D0E0B">
        <w:rPr>
          <w:rFonts w:ascii="Times New Roman" w:hAnsi="Times New Roman" w:cs="Times New Roman"/>
        </w:rPr>
        <w:t>tenant</w:t>
      </w:r>
      <w:r w:rsidR="005C3FCC">
        <w:rPr>
          <w:rFonts w:ascii="Times New Roman" w:hAnsi="Times New Roman" w:cs="Times New Roman"/>
        </w:rPr>
        <w:t xml:space="preserve"> were equivocal and did not amount to a repudiation of the lease, so entitling the landlord to </w:t>
      </w:r>
      <w:r w:rsidR="003D0E0B">
        <w:rPr>
          <w:rFonts w:ascii="Times New Roman" w:hAnsi="Times New Roman" w:cs="Times New Roman"/>
        </w:rPr>
        <w:t>forfeit</w:t>
      </w:r>
      <w:r w:rsidR="005C3FCC">
        <w:rPr>
          <w:rFonts w:ascii="Times New Roman" w:hAnsi="Times New Roman" w:cs="Times New Roman"/>
        </w:rPr>
        <w:t xml:space="preserve"> the lease</w:t>
      </w:r>
      <w:r w:rsidR="00356DC9">
        <w:rPr>
          <w:rFonts w:ascii="Times New Roman" w:hAnsi="Times New Roman" w:cs="Times New Roman"/>
        </w:rPr>
        <w:t>.</w:t>
      </w:r>
    </w:p>
    <w:p w14:paraId="6312C134" w14:textId="77777777" w:rsidR="00B57EC7" w:rsidRDefault="00B57EC7" w:rsidP="00850513">
      <w:pPr>
        <w:jc w:val="both"/>
        <w:rPr>
          <w:rFonts w:ascii="Times New Roman" w:hAnsi="Times New Roman" w:cs="Times New Roman"/>
        </w:rPr>
      </w:pPr>
    </w:p>
    <w:p w14:paraId="43D96D44" w14:textId="05493155" w:rsidR="0081590C" w:rsidRPr="00984006" w:rsidRDefault="003D0E0B" w:rsidP="0081590C">
      <w:pPr>
        <w:jc w:val="both"/>
        <w:rPr>
          <w:rFonts w:ascii="Times New Roman" w:hAnsi="Times New Roman" w:cs="Times New Roman"/>
        </w:rPr>
      </w:pPr>
      <w:r>
        <w:rPr>
          <w:rFonts w:ascii="Times New Roman" w:hAnsi="Times New Roman" w:cs="Times New Roman"/>
        </w:rPr>
        <w:t>Given the lack of true clarity demonstrated by these cases, which all suggest that repudiatory breach is applicable in principle</w:t>
      </w:r>
      <w:r w:rsidR="00356DC9">
        <w:rPr>
          <w:rFonts w:ascii="Times New Roman" w:hAnsi="Times New Roman" w:cs="Times New Roman"/>
        </w:rPr>
        <w:t xml:space="preserve"> but not on their individual facts</w:t>
      </w:r>
      <w:r>
        <w:rPr>
          <w:rFonts w:ascii="Times New Roman" w:hAnsi="Times New Roman" w:cs="Times New Roman"/>
        </w:rPr>
        <w:t xml:space="preserve">, it is </w:t>
      </w:r>
      <w:r w:rsidR="00586551">
        <w:rPr>
          <w:rFonts w:ascii="Times New Roman" w:hAnsi="Times New Roman" w:cs="Times New Roman"/>
        </w:rPr>
        <w:t>un</w:t>
      </w:r>
      <w:r>
        <w:rPr>
          <w:rFonts w:ascii="Times New Roman" w:hAnsi="Times New Roman" w:cs="Times New Roman"/>
        </w:rPr>
        <w:t>surprising that the whole application of repudiatory b</w:t>
      </w:r>
      <w:r w:rsidR="0081590C">
        <w:rPr>
          <w:rFonts w:ascii="Times New Roman" w:hAnsi="Times New Roman" w:cs="Times New Roman"/>
        </w:rPr>
        <w:t xml:space="preserve">reach was called into question by Lloyd LJ in the Court of Appeal in </w:t>
      </w:r>
      <w:r w:rsidR="0081590C" w:rsidRPr="00984006">
        <w:rPr>
          <w:rFonts w:ascii="Times New Roman" w:hAnsi="Times New Roman" w:cs="Times New Roman"/>
          <w:i/>
        </w:rPr>
        <w:t>Reichman v Beveridge</w:t>
      </w:r>
      <w:r w:rsidR="00214761" w:rsidRPr="00984006">
        <w:rPr>
          <w:rFonts w:ascii="Times New Roman" w:hAnsi="Times New Roman" w:cs="Times New Roman"/>
        </w:rPr>
        <w:t>.</w:t>
      </w:r>
      <w:r w:rsidR="00E30E81">
        <w:rPr>
          <w:rStyle w:val="FootnoteReference"/>
          <w:rFonts w:ascii="Times New Roman" w:hAnsi="Times New Roman" w:cs="Times New Roman"/>
        </w:rPr>
        <w:footnoteReference w:id="53"/>
      </w:r>
      <w:r w:rsidR="00214761" w:rsidRPr="00984006">
        <w:rPr>
          <w:rFonts w:ascii="Times New Roman" w:hAnsi="Times New Roman" w:cs="Times New Roman"/>
        </w:rPr>
        <w:t xml:space="preserve"> </w:t>
      </w:r>
      <w:r w:rsidR="00214761">
        <w:rPr>
          <w:rFonts w:ascii="Times New Roman" w:hAnsi="Times New Roman" w:cs="Times New Roman"/>
        </w:rPr>
        <w:t xml:space="preserve"> </w:t>
      </w:r>
      <w:r w:rsidR="00214761" w:rsidRPr="00C2215F">
        <w:rPr>
          <w:rFonts w:ascii="Times New Roman" w:hAnsi="Times New Roman" w:cs="Times New Roman"/>
        </w:rPr>
        <w:t xml:space="preserve">The </w:t>
      </w:r>
      <w:r w:rsidR="00984006">
        <w:rPr>
          <w:rFonts w:ascii="Times New Roman" w:hAnsi="Times New Roman" w:cs="Times New Roman"/>
        </w:rPr>
        <w:t xml:space="preserve">material </w:t>
      </w:r>
      <w:r w:rsidR="00214761" w:rsidRPr="00C2215F">
        <w:rPr>
          <w:rFonts w:ascii="Times New Roman" w:hAnsi="Times New Roman" w:cs="Times New Roman"/>
        </w:rPr>
        <w:t>facts were straightforward. The tenants took a lease of offices for the purposes of a partnership business. T</w:t>
      </w:r>
      <w:r w:rsidR="002B77D4">
        <w:rPr>
          <w:rFonts w:ascii="Times New Roman" w:hAnsi="Times New Roman" w:cs="Times New Roman"/>
        </w:rPr>
        <w:t>he partnership ceased to practis</w:t>
      </w:r>
      <w:r w:rsidR="00214761" w:rsidRPr="00C2215F">
        <w:rPr>
          <w:rFonts w:ascii="Times New Roman" w:hAnsi="Times New Roman" w:cs="Times New Roman"/>
        </w:rPr>
        <w:t>e and vacated the offices. The landlord</w:t>
      </w:r>
      <w:r w:rsidR="002B77D4">
        <w:rPr>
          <w:rFonts w:ascii="Times New Roman" w:hAnsi="Times New Roman" w:cs="Times New Roman"/>
        </w:rPr>
        <w:t>s</w:t>
      </w:r>
      <w:r w:rsidR="00214761" w:rsidRPr="00C2215F">
        <w:rPr>
          <w:rFonts w:ascii="Times New Roman" w:hAnsi="Times New Roman" w:cs="Times New Roman"/>
        </w:rPr>
        <w:t xml:space="preserve"> sued for rent. The tenants alleged that the landlord</w:t>
      </w:r>
      <w:r w:rsidR="002B77D4">
        <w:rPr>
          <w:rFonts w:ascii="Times New Roman" w:hAnsi="Times New Roman" w:cs="Times New Roman"/>
        </w:rPr>
        <w:t>s</w:t>
      </w:r>
      <w:r w:rsidR="00214761" w:rsidRPr="00C2215F">
        <w:rPr>
          <w:rFonts w:ascii="Times New Roman" w:hAnsi="Times New Roman" w:cs="Times New Roman"/>
        </w:rPr>
        <w:t xml:space="preserve"> had failed to mitigate </w:t>
      </w:r>
      <w:r w:rsidR="002B77D4">
        <w:rPr>
          <w:rFonts w:ascii="Times New Roman" w:hAnsi="Times New Roman" w:cs="Times New Roman"/>
        </w:rPr>
        <w:t>their</w:t>
      </w:r>
      <w:r w:rsidR="00214761" w:rsidRPr="00C2215F">
        <w:rPr>
          <w:rFonts w:ascii="Times New Roman" w:hAnsi="Times New Roman" w:cs="Times New Roman"/>
        </w:rPr>
        <w:t xml:space="preserve"> loss by forfeiting the lease and seeking to re</w:t>
      </w:r>
      <w:r w:rsidR="00984006">
        <w:rPr>
          <w:rFonts w:ascii="Times New Roman" w:hAnsi="Times New Roman" w:cs="Times New Roman"/>
        </w:rPr>
        <w:t>-</w:t>
      </w:r>
      <w:r w:rsidR="00214761" w:rsidRPr="00C2215F">
        <w:rPr>
          <w:rFonts w:ascii="Times New Roman" w:hAnsi="Times New Roman" w:cs="Times New Roman"/>
        </w:rPr>
        <w:t xml:space="preserve">let. In consequence, they said, </w:t>
      </w:r>
      <w:r w:rsidR="002B77D4">
        <w:rPr>
          <w:rFonts w:ascii="Times New Roman" w:hAnsi="Times New Roman" w:cs="Times New Roman"/>
        </w:rPr>
        <w:t>they</w:t>
      </w:r>
      <w:r w:rsidR="00214761" w:rsidRPr="00C2215F">
        <w:rPr>
          <w:rFonts w:ascii="Times New Roman" w:hAnsi="Times New Roman" w:cs="Times New Roman"/>
        </w:rPr>
        <w:t xml:space="preserve"> ought not to recover the rent.</w:t>
      </w:r>
      <w:r w:rsidR="00A81965">
        <w:rPr>
          <w:rFonts w:ascii="Times New Roman" w:hAnsi="Times New Roman" w:cs="Times New Roman"/>
        </w:rPr>
        <w:t xml:space="preserve"> In holding for the landlords, Lloyd LJ cast doubt on the </w:t>
      </w:r>
      <w:r w:rsidR="002B77D4">
        <w:rPr>
          <w:rFonts w:ascii="Times New Roman" w:hAnsi="Times New Roman" w:cs="Times New Roman"/>
        </w:rPr>
        <w:t>application</w:t>
      </w:r>
      <w:r w:rsidR="00A81965">
        <w:rPr>
          <w:rFonts w:ascii="Times New Roman" w:hAnsi="Times New Roman" w:cs="Times New Roman"/>
        </w:rPr>
        <w:t xml:space="preserve"> of the doctrine of repudiatory breach, having considered that:</w:t>
      </w:r>
    </w:p>
    <w:p w14:paraId="3EF0BA91" w14:textId="77777777" w:rsidR="000B33CD" w:rsidRPr="000B33CD" w:rsidRDefault="000B33CD" w:rsidP="0081590C">
      <w:pPr>
        <w:jc w:val="both"/>
        <w:rPr>
          <w:rFonts w:ascii="Times New Roman" w:hAnsi="Times New Roman" w:cs="Times New Roman"/>
          <w:i/>
        </w:rPr>
      </w:pPr>
    </w:p>
    <w:p w14:paraId="5807695B" w14:textId="6F96CF6D" w:rsidR="0081590C" w:rsidRPr="00A81965" w:rsidRDefault="00A81965" w:rsidP="00622C9B">
      <w:pPr>
        <w:ind w:left="720"/>
        <w:jc w:val="both"/>
        <w:rPr>
          <w:rFonts w:ascii="Times New Roman" w:hAnsi="Times New Roman" w:cs="Times New Roman"/>
          <w:lang w:val="en-US"/>
        </w:rPr>
      </w:pPr>
      <w:r>
        <w:rPr>
          <w:rFonts w:ascii="Times New Roman" w:hAnsi="Times New Roman" w:cs="Times New Roman"/>
          <w:lang w:val="en-US"/>
        </w:rPr>
        <w:t>Since [</w:t>
      </w:r>
      <w:r>
        <w:rPr>
          <w:rFonts w:ascii="Times New Roman" w:hAnsi="Times New Roman" w:cs="Times New Roman"/>
          <w:i/>
          <w:lang w:val="en-US"/>
        </w:rPr>
        <w:t xml:space="preserve">Hussein v </w:t>
      </w:r>
      <w:r w:rsidRPr="00A81965">
        <w:rPr>
          <w:rFonts w:ascii="Times New Roman" w:hAnsi="Times New Roman" w:cs="Times New Roman"/>
          <w:i/>
          <w:lang w:val="en-US"/>
        </w:rPr>
        <w:t>Mehlman</w:t>
      </w:r>
      <w:r>
        <w:rPr>
          <w:rFonts w:ascii="Times New Roman" w:hAnsi="Times New Roman" w:cs="Times New Roman"/>
          <w:lang w:val="en-US"/>
        </w:rPr>
        <w:t xml:space="preserve">] </w:t>
      </w:r>
      <w:r w:rsidR="0081590C" w:rsidRPr="00A81965">
        <w:rPr>
          <w:rFonts w:ascii="Times New Roman" w:hAnsi="Times New Roman" w:cs="Times New Roman"/>
          <w:lang w:val="en-US"/>
        </w:rPr>
        <w:t>other courts in England have held, or assumed, that a lease can be</w:t>
      </w:r>
      <w:r>
        <w:rPr>
          <w:rFonts w:ascii="Times New Roman" w:hAnsi="Times New Roman" w:cs="Times New Roman"/>
          <w:lang w:val="en-US"/>
        </w:rPr>
        <w:t xml:space="preserve"> </w:t>
      </w:r>
      <w:r w:rsidR="0081590C" w:rsidRPr="00A81965">
        <w:rPr>
          <w:rFonts w:ascii="Times New Roman" w:hAnsi="Times New Roman" w:cs="Times New Roman"/>
          <w:lang w:val="en-US"/>
        </w:rPr>
        <w:t xml:space="preserve">brought to an end by acceptance of a repudiatory breach, </w:t>
      </w:r>
      <w:r w:rsidR="0081590C" w:rsidRPr="00A81965">
        <w:rPr>
          <w:rFonts w:ascii="Times New Roman" w:hAnsi="Times New Roman" w:cs="Times New Roman"/>
          <w:i/>
          <w:lang w:val="en-US"/>
        </w:rPr>
        <w:t>but there is no decision to that</w:t>
      </w:r>
      <w:r w:rsidRPr="00A81965">
        <w:rPr>
          <w:rFonts w:ascii="Times New Roman" w:hAnsi="Times New Roman" w:cs="Times New Roman"/>
          <w:i/>
          <w:lang w:val="en-US"/>
        </w:rPr>
        <w:t xml:space="preserve"> </w:t>
      </w:r>
      <w:r w:rsidR="0081590C" w:rsidRPr="00A81965">
        <w:rPr>
          <w:rFonts w:ascii="Times New Roman" w:hAnsi="Times New Roman" w:cs="Times New Roman"/>
          <w:i/>
          <w:lang w:val="en-US"/>
        </w:rPr>
        <w:t>effect in this court</w:t>
      </w:r>
      <w:r w:rsidR="006959B7">
        <w:rPr>
          <w:rFonts w:ascii="Times New Roman" w:hAnsi="Times New Roman" w:cs="Times New Roman"/>
          <w:lang w:val="en-US"/>
        </w:rPr>
        <w:t>.</w:t>
      </w:r>
      <w:r w:rsidR="00356DC9" w:rsidRPr="00356DC9">
        <w:rPr>
          <w:rStyle w:val="FootnoteReference"/>
          <w:rFonts w:ascii="Times New Roman" w:hAnsi="Times New Roman" w:cs="Times New Roman"/>
          <w:lang w:val="en-US"/>
        </w:rPr>
        <w:t xml:space="preserve"> </w:t>
      </w:r>
      <w:r w:rsidR="00356DC9">
        <w:rPr>
          <w:rStyle w:val="FootnoteReference"/>
          <w:rFonts w:ascii="Times New Roman" w:hAnsi="Times New Roman" w:cs="Times New Roman"/>
          <w:lang w:val="en-US"/>
        </w:rPr>
        <w:footnoteReference w:id="54"/>
      </w:r>
      <w:r w:rsidR="00356DC9">
        <w:rPr>
          <w:rFonts w:ascii="Times New Roman" w:hAnsi="Times New Roman" w:cs="Times New Roman"/>
          <w:lang w:val="en-US"/>
        </w:rPr>
        <w:t xml:space="preserve"> </w:t>
      </w:r>
      <w:r w:rsidR="008251CA">
        <w:rPr>
          <w:rFonts w:ascii="Times New Roman" w:hAnsi="Times New Roman" w:cs="Times New Roman"/>
          <w:lang w:val="en-US"/>
        </w:rPr>
        <w:t>[emphasis added]</w:t>
      </w:r>
      <w:r w:rsidR="00984006">
        <w:rPr>
          <w:rFonts w:ascii="Times New Roman" w:hAnsi="Times New Roman" w:cs="Times New Roman"/>
          <w:lang w:val="en-US"/>
        </w:rPr>
        <w:t xml:space="preserve"> </w:t>
      </w:r>
    </w:p>
    <w:p w14:paraId="2F619E61" w14:textId="1C630656" w:rsidR="0081590C" w:rsidRDefault="000B33CD" w:rsidP="0081590C">
      <w:pPr>
        <w:jc w:val="both"/>
        <w:rPr>
          <w:rFonts w:ascii="Times New Roman" w:hAnsi="Times New Roman" w:cs="Times New Roman"/>
        </w:rPr>
      </w:pPr>
      <w:r>
        <w:rPr>
          <w:rFonts w:ascii="Times New Roman" w:hAnsi="Times New Roman" w:cs="Times New Roman"/>
        </w:rPr>
        <w:t xml:space="preserve"> </w:t>
      </w:r>
    </w:p>
    <w:p w14:paraId="760AEE40" w14:textId="23FFB927" w:rsidR="000B33CD" w:rsidRDefault="004B507D" w:rsidP="0081590C">
      <w:pPr>
        <w:jc w:val="both"/>
        <w:rPr>
          <w:rFonts w:ascii="Times New Roman" w:hAnsi="Times New Roman" w:cs="Times New Roman"/>
        </w:rPr>
      </w:pPr>
      <w:r>
        <w:rPr>
          <w:rFonts w:ascii="Times New Roman" w:hAnsi="Times New Roman" w:cs="Times New Roman"/>
        </w:rPr>
        <w:t>He added:</w:t>
      </w:r>
    </w:p>
    <w:p w14:paraId="3268C819" w14:textId="77777777" w:rsidR="000B33CD" w:rsidRDefault="000B33CD" w:rsidP="0081590C">
      <w:pPr>
        <w:jc w:val="both"/>
        <w:rPr>
          <w:rFonts w:ascii="Times New Roman" w:hAnsi="Times New Roman" w:cs="Times New Roman"/>
        </w:rPr>
      </w:pPr>
    </w:p>
    <w:p w14:paraId="6A7BBB33" w14:textId="29F3AD25" w:rsidR="000B33CD" w:rsidRPr="00A81965" w:rsidRDefault="000B33CD" w:rsidP="000D62B6">
      <w:pPr>
        <w:ind w:left="720"/>
        <w:jc w:val="both"/>
        <w:rPr>
          <w:rFonts w:ascii="Times New Roman" w:hAnsi="Times New Roman" w:cs="Times New Roman"/>
        </w:rPr>
      </w:pPr>
      <w:r w:rsidRPr="00C2215F">
        <w:rPr>
          <w:rFonts w:ascii="Times New Roman" w:hAnsi="Times New Roman" w:cs="Times New Roman"/>
        </w:rPr>
        <w:t>I do not decide whether or not repudiation plays any, and if so what, part in the English law of landlord and tenant. That is not directly in issue before us, and it would be wrong to decide it unnecessarily.</w:t>
      </w:r>
      <w:r>
        <w:rPr>
          <w:rStyle w:val="FootnoteReference"/>
          <w:rFonts w:ascii="Times New Roman" w:hAnsi="Times New Roman" w:cs="Times New Roman"/>
        </w:rPr>
        <w:footnoteReference w:id="55"/>
      </w:r>
    </w:p>
    <w:p w14:paraId="343225EB" w14:textId="77777777" w:rsidR="000B33CD" w:rsidRDefault="000B33CD" w:rsidP="0081590C">
      <w:pPr>
        <w:jc w:val="both"/>
        <w:rPr>
          <w:rFonts w:ascii="Times New Roman" w:hAnsi="Times New Roman" w:cs="Times New Roman"/>
        </w:rPr>
      </w:pPr>
    </w:p>
    <w:p w14:paraId="377DBB99" w14:textId="4BE1EC05" w:rsidR="00F214CA" w:rsidRDefault="00F214CA" w:rsidP="0081590C">
      <w:pPr>
        <w:jc w:val="both"/>
        <w:rPr>
          <w:rFonts w:ascii="Times New Roman" w:hAnsi="Times New Roman" w:cs="Times New Roman"/>
        </w:rPr>
      </w:pPr>
      <w:r>
        <w:rPr>
          <w:rFonts w:ascii="Times New Roman" w:hAnsi="Times New Roman" w:cs="Times New Roman"/>
        </w:rPr>
        <w:t xml:space="preserve">Read together, it is impossible not to feel that his Lordship was severely doubting the application of repudiation breach </w:t>
      </w:r>
      <w:r w:rsidR="002B3970">
        <w:rPr>
          <w:rFonts w:ascii="Times New Roman" w:hAnsi="Times New Roman" w:cs="Times New Roman"/>
        </w:rPr>
        <w:t xml:space="preserve">to leases </w:t>
      </w:r>
      <w:r>
        <w:rPr>
          <w:rFonts w:ascii="Times New Roman" w:hAnsi="Times New Roman" w:cs="Times New Roman"/>
        </w:rPr>
        <w:t>gene</w:t>
      </w:r>
      <w:r w:rsidR="00EA28A9">
        <w:rPr>
          <w:rFonts w:ascii="Times New Roman" w:hAnsi="Times New Roman" w:cs="Times New Roman"/>
        </w:rPr>
        <w:t>rally, but these are, as Lloyd LJ himself</w:t>
      </w:r>
      <w:r>
        <w:rPr>
          <w:rFonts w:ascii="Times New Roman" w:hAnsi="Times New Roman" w:cs="Times New Roman"/>
        </w:rPr>
        <w:t xml:space="preserve"> notes, </w:t>
      </w:r>
      <w:r w:rsidRPr="00EA28A9">
        <w:rPr>
          <w:rFonts w:ascii="Times New Roman" w:hAnsi="Times New Roman" w:cs="Times New Roman"/>
          <w:i/>
        </w:rPr>
        <w:t>obiter</w:t>
      </w:r>
      <w:r>
        <w:rPr>
          <w:rFonts w:ascii="Times New Roman" w:hAnsi="Times New Roman" w:cs="Times New Roman"/>
        </w:rPr>
        <w:t xml:space="preserve"> statement</w:t>
      </w:r>
      <w:r w:rsidR="00EA28A9">
        <w:rPr>
          <w:rFonts w:ascii="Times New Roman" w:hAnsi="Times New Roman" w:cs="Times New Roman"/>
        </w:rPr>
        <w:t>s</w:t>
      </w:r>
      <w:r>
        <w:rPr>
          <w:rFonts w:ascii="Times New Roman" w:hAnsi="Times New Roman" w:cs="Times New Roman"/>
        </w:rPr>
        <w:t xml:space="preserve">.  If </w:t>
      </w:r>
      <w:r w:rsidR="00EA28A9">
        <w:rPr>
          <w:rFonts w:ascii="Times New Roman" w:hAnsi="Times New Roman" w:cs="Times New Roman"/>
        </w:rPr>
        <w:t>they</w:t>
      </w:r>
      <w:r>
        <w:rPr>
          <w:rFonts w:ascii="Times New Roman" w:hAnsi="Times New Roman" w:cs="Times New Roman"/>
        </w:rPr>
        <w:t xml:space="preserve"> </w:t>
      </w:r>
      <w:r w:rsidR="00EA28A9">
        <w:rPr>
          <w:rFonts w:ascii="Times New Roman" w:hAnsi="Times New Roman" w:cs="Times New Roman"/>
        </w:rPr>
        <w:t>were</w:t>
      </w:r>
      <w:r w:rsidR="00984006">
        <w:rPr>
          <w:rFonts w:ascii="Times New Roman" w:hAnsi="Times New Roman" w:cs="Times New Roman"/>
        </w:rPr>
        <w:t xml:space="preserve"> intended to</w:t>
      </w:r>
      <w:r>
        <w:rPr>
          <w:rFonts w:ascii="Times New Roman" w:hAnsi="Times New Roman" w:cs="Times New Roman"/>
        </w:rPr>
        <w:t xml:space="preserve"> signal a</w:t>
      </w:r>
      <w:r w:rsidR="00984006">
        <w:rPr>
          <w:rFonts w:ascii="Times New Roman" w:hAnsi="Times New Roman" w:cs="Times New Roman"/>
        </w:rPr>
        <w:t xml:space="preserve"> clear</w:t>
      </w:r>
      <w:r>
        <w:rPr>
          <w:rFonts w:ascii="Times New Roman" w:hAnsi="Times New Roman" w:cs="Times New Roman"/>
        </w:rPr>
        <w:t xml:space="preserve"> change in direction, it is not one that has been judicially recognised.  In </w:t>
      </w:r>
      <w:r w:rsidRPr="00C2215F">
        <w:rPr>
          <w:rFonts w:ascii="Times New Roman" w:hAnsi="Times New Roman" w:cs="Times New Roman"/>
          <w:i/>
        </w:rPr>
        <w:t>Grange v Quinn</w:t>
      </w:r>
      <w:r>
        <w:rPr>
          <w:rFonts w:ascii="Times New Roman" w:hAnsi="Times New Roman" w:cs="Times New Roman"/>
        </w:rPr>
        <w:t>,</w:t>
      </w:r>
      <w:r w:rsidR="00B936AF">
        <w:rPr>
          <w:rStyle w:val="FootnoteReference"/>
          <w:rFonts w:ascii="Times New Roman" w:hAnsi="Times New Roman" w:cs="Times New Roman"/>
        </w:rPr>
        <w:footnoteReference w:id="56"/>
      </w:r>
      <w:r>
        <w:rPr>
          <w:rFonts w:ascii="Times New Roman" w:hAnsi="Times New Roman" w:cs="Times New Roman"/>
        </w:rPr>
        <w:t xml:space="preserve"> Jackson LJ clearly felt that re</w:t>
      </w:r>
      <w:r w:rsidR="00EA28A9">
        <w:rPr>
          <w:rFonts w:ascii="Times New Roman" w:hAnsi="Times New Roman" w:cs="Times New Roman"/>
        </w:rPr>
        <w:t>pudiatory breach was applicable to leases</w:t>
      </w:r>
      <w:r>
        <w:rPr>
          <w:rFonts w:ascii="Times New Roman" w:hAnsi="Times New Roman" w:cs="Times New Roman"/>
        </w:rPr>
        <w:t xml:space="preserve">, as he said, </w:t>
      </w:r>
      <w:r w:rsidR="00EA28A9">
        <w:rPr>
          <w:rFonts w:ascii="Times New Roman" w:hAnsi="Times New Roman" w:cs="Times New Roman"/>
        </w:rPr>
        <w:t xml:space="preserve">also </w:t>
      </w:r>
      <w:r w:rsidRPr="00EA28A9">
        <w:rPr>
          <w:rFonts w:ascii="Times New Roman" w:hAnsi="Times New Roman" w:cs="Times New Roman"/>
          <w:i/>
        </w:rPr>
        <w:t>obiter</w:t>
      </w:r>
      <w:r>
        <w:rPr>
          <w:rFonts w:ascii="Times New Roman" w:hAnsi="Times New Roman" w:cs="Times New Roman"/>
        </w:rPr>
        <w:t>:</w:t>
      </w:r>
      <w:r w:rsidRPr="00C2215F">
        <w:rPr>
          <w:rFonts w:ascii="Times New Roman" w:hAnsi="Times New Roman" w:cs="Times New Roman"/>
        </w:rPr>
        <w:t xml:space="preserve"> </w:t>
      </w:r>
    </w:p>
    <w:p w14:paraId="04C32CD2" w14:textId="77777777" w:rsidR="00274ADB" w:rsidRDefault="00274ADB" w:rsidP="0081590C">
      <w:pPr>
        <w:jc w:val="both"/>
        <w:rPr>
          <w:rFonts w:ascii="Times New Roman" w:hAnsi="Times New Roman" w:cs="Times New Roman"/>
        </w:rPr>
      </w:pPr>
    </w:p>
    <w:p w14:paraId="20BB1595" w14:textId="68573AA6" w:rsidR="0081590C" w:rsidRDefault="0081590C" w:rsidP="00274ADB">
      <w:pPr>
        <w:ind w:left="720"/>
        <w:jc w:val="both"/>
        <w:rPr>
          <w:rFonts w:ascii="Times New Roman" w:hAnsi="Times New Roman" w:cs="Times New Roman"/>
        </w:rPr>
      </w:pPr>
      <w:r w:rsidRPr="00C2215F">
        <w:rPr>
          <w:rFonts w:ascii="Times New Roman" w:hAnsi="Times New Roman" w:cs="Times New Roman"/>
        </w:rPr>
        <w:t>Although there were earlier indications to the contrary, it is now clear that a lease may be brought to an end by repudiation and acceptance.</w:t>
      </w:r>
      <w:r w:rsidR="00984006">
        <w:rPr>
          <w:rStyle w:val="FootnoteReference"/>
          <w:rFonts w:ascii="Times New Roman" w:hAnsi="Times New Roman" w:cs="Times New Roman"/>
        </w:rPr>
        <w:footnoteReference w:id="57"/>
      </w:r>
    </w:p>
    <w:p w14:paraId="5658FD5B" w14:textId="77777777" w:rsidR="00E35B8C" w:rsidRDefault="00E35B8C" w:rsidP="0081590C">
      <w:pPr>
        <w:jc w:val="both"/>
        <w:rPr>
          <w:rFonts w:ascii="Times New Roman" w:hAnsi="Times New Roman" w:cs="Times New Roman"/>
        </w:rPr>
      </w:pPr>
    </w:p>
    <w:p w14:paraId="269F6EB7" w14:textId="4A8BD362" w:rsidR="00082010" w:rsidRDefault="00E35B8C" w:rsidP="00850513">
      <w:pPr>
        <w:jc w:val="both"/>
        <w:rPr>
          <w:rFonts w:ascii="Times New Roman" w:hAnsi="Times New Roman" w:cs="Times New Roman"/>
        </w:rPr>
      </w:pPr>
      <w:r>
        <w:rPr>
          <w:rFonts w:ascii="Times New Roman" w:hAnsi="Times New Roman" w:cs="Times New Roman"/>
        </w:rPr>
        <w:t xml:space="preserve">At the very least, these cases collectively suggest there is a </w:t>
      </w:r>
      <w:r w:rsidR="002B3970">
        <w:rPr>
          <w:rFonts w:ascii="Times New Roman" w:hAnsi="Times New Roman" w:cs="Times New Roman"/>
        </w:rPr>
        <w:t>palpable</w:t>
      </w:r>
      <w:r>
        <w:rPr>
          <w:rFonts w:ascii="Times New Roman" w:hAnsi="Times New Roman" w:cs="Times New Roman"/>
        </w:rPr>
        <w:t xml:space="preserve"> sense of unease still permeating judicial acceptance of repudiatory breach as a remedy, available both to landlords and tenants, in dealing with termination of leases.</w:t>
      </w:r>
      <w:r w:rsidR="00030CF0">
        <w:rPr>
          <w:rStyle w:val="FootnoteReference"/>
          <w:rFonts w:ascii="Times New Roman" w:hAnsi="Times New Roman" w:cs="Times New Roman"/>
        </w:rPr>
        <w:footnoteReference w:id="58"/>
      </w:r>
      <w:r>
        <w:rPr>
          <w:rFonts w:ascii="Times New Roman" w:hAnsi="Times New Roman" w:cs="Times New Roman"/>
        </w:rPr>
        <w:t xml:space="preserve">  This might explain the paucity of case law, legal advisors being equally unaware or uncertain of the efficacy of pleading repudiatory breach of a lease, or </w:t>
      </w:r>
      <w:r w:rsidR="00A74ED8">
        <w:rPr>
          <w:rFonts w:ascii="Times New Roman" w:hAnsi="Times New Roman" w:cs="Times New Roman"/>
        </w:rPr>
        <w:t>that</w:t>
      </w:r>
      <w:r>
        <w:rPr>
          <w:rFonts w:ascii="Times New Roman" w:hAnsi="Times New Roman" w:cs="Times New Roman"/>
        </w:rPr>
        <w:t xml:space="preserve"> may simply be a coincidence of a </w:t>
      </w:r>
      <w:r w:rsidR="009D61DF">
        <w:rPr>
          <w:rFonts w:ascii="Times New Roman" w:hAnsi="Times New Roman" w:cs="Times New Roman"/>
        </w:rPr>
        <w:t>multiplicity</w:t>
      </w:r>
      <w:r>
        <w:rPr>
          <w:rFonts w:ascii="Times New Roman" w:hAnsi="Times New Roman" w:cs="Times New Roman"/>
        </w:rPr>
        <w:t xml:space="preserve"> of factors.  Rather than engage in simple speculation, </w:t>
      </w:r>
      <w:r w:rsidR="00C73F72">
        <w:rPr>
          <w:rFonts w:ascii="Times New Roman" w:hAnsi="Times New Roman" w:cs="Times New Roman"/>
        </w:rPr>
        <w:t>attention now turns to what</w:t>
      </w:r>
      <w:r w:rsidR="007C6C4C">
        <w:rPr>
          <w:rFonts w:ascii="Times New Roman" w:hAnsi="Times New Roman" w:cs="Times New Roman"/>
        </w:rPr>
        <w:t xml:space="preserve"> else</w:t>
      </w:r>
      <w:r w:rsidR="00C73F72">
        <w:rPr>
          <w:rFonts w:ascii="Times New Roman" w:hAnsi="Times New Roman" w:cs="Times New Roman"/>
        </w:rPr>
        <w:t xml:space="preserve"> these cases have revealed about the operation of </w:t>
      </w:r>
      <w:r w:rsidR="007C6C4C">
        <w:rPr>
          <w:rFonts w:ascii="Times New Roman" w:hAnsi="Times New Roman" w:cs="Times New Roman"/>
        </w:rPr>
        <w:t>repudiatory breach</w:t>
      </w:r>
      <w:r w:rsidR="00C73F72">
        <w:rPr>
          <w:rFonts w:ascii="Times New Roman" w:hAnsi="Times New Roman" w:cs="Times New Roman"/>
        </w:rPr>
        <w:t xml:space="preserve"> within the landlord and tenant sphere</w:t>
      </w:r>
      <w:r w:rsidR="002B3970">
        <w:rPr>
          <w:rFonts w:ascii="Times New Roman" w:hAnsi="Times New Roman" w:cs="Times New Roman"/>
        </w:rPr>
        <w:t xml:space="preserve"> and to see whether any of the implications of the action operating in the leasehold context have been addressed</w:t>
      </w:r>
      <w:r w:rsidR="00C73F72">
        <w:rPr>
          <w:rFonts w:ascii="Times New Roman" w:hAnsi="Times New Roman" w:cs="Times New Roman"/>
        </w:rPr>
        <w:t>.</w:t>
      </w:r>
      <w:r w:rsidR="00082010">
        <w:rPr>
          <w:rFonts w:ascii="Times New Roman" w:hAnsi="Times New Roman" w:cs="Times New Roman"/>
        </w:rPr>
        <w:t xml:space="preserve">  </w:t>
      </w:r>
    </w:p>
    <w:p w14:paraId="4D6721F2" w14:textId="77777777" w:rsidR="00082010" w:rsidRDefault="00082010" w:rsidP="00850513">
      <w:pPr>
        <w:jc w:val="both"/>
        <w:rPr>
          <w:rFonts w:ascii="Times New Roman" w:hAnsi="Times New Roman" w:cs="Times New Roman"/>
        </w:rPr>
      </w:pPr>
    </w:p>
    <w:p w14:paraId="4BD77342" w14:textId="6CA7B754" w:rsidR="00850513" w:rsidRDefault="00850513" w:rsidP="00850513">
      <w:pPr>
        <w:jc w:val="both"/>
        <w:rPr>
          <w:rFonts w:ascii="Times New Roman" w:hAnsi="Times New Roman" w:cs="Times New Roman"/>
        </w:rPr>
      </w:pPr>
      <w:r>
        <w:rPr>
          <w:rFonts w:ascii="Times New Roman" w:hAnsi="Times New Roman" w:cs="Times New Roman"/>
        </w:rPr>
        <w:t xml:space="preserve">4.   </w:t>
      </w:r>
      <w:r w:rsidR="00D54BC3">
        <w:rPr>
          <w:rFonts w:ascii="Times New Roman" w:hAnsi="Times New Roman" w:cs="Times New Roman"/>
        </w:rPr>
        <w:t>The Impact of Repudiatory Breach</w:t>
      </w:r>
    </w:p>
    <w:p w14:paraId="10CE3E81" w14:textId="77777777" w:rsidR="00850513" w:rsidRDefault="00850513" w:rsidP="00850513">
      <w:pPr>
        <w:jc w:val="both"/>
        <w:rPr>
          <w:rFonts w:ascii="Times New Roman" w:hAnsi="Times New Roman" w:cs="Times New Roman"/>
        </w:rPr>
      </w:pPr>
    </w:p>
    <w:p w14:paraId="6BB56B72" w14:textId="4331253A" w:rsidR="00C73F72" w:rsidRDefault="00C73F72" w:rsidP="00C73F72">
      <w:pPr>
        <w:pStyle w:val="ListParagraph"/>
        <w:numPr>
          <w:ilvl w:val="0"/>
          <w:numId w:val="13"/>
        </w:numPr>
        <w:jc w:val="both"/>
        <w:rPr>
          <w:rFonts w:ascii="Times New Roman" w:hAnsi="Times New Roman" w:cs="Times New Roman"/>
        </w:rPr>
      </w:pPr>
      <w:r>
        <w:rPr>
          <w:rFonts w:ascii="Times New Roman" w:hAnsi="Times New Roman" w:cs="Times New Roman"/>
        </w:rPr>
        <w:t xml:space="preserve"> Landlords Claiming Repudiatory Breach By Tenants</w:t>
      </w:r>
      <w:r w:rsidR="00D43F44">
        <w:rPr>
          <w:rFonts w:ascii="Times New Roman" w:hAnsi="Times New Roman" w:cs="Times New Roman"/>
        </w:rPr>
        <w:t>: Creating Anomalies</w:t>
      </w:r>
    </w:p>
    <w:p w14:paraId="709B5A83" w14:textId="77777777" w:rsidR="00850513" w:rsidRDefault="00850513" w:rsidP="00850513">
      <w:pPr>
        <w:jc w:val="both"/>
        <w:rPr>
          <w:rFonts w:ascii="Times New Roman" w:hAnsi="Times New Roman" w:cs="Times New Roman"/>
        </w:rPr>
      </w:pPr>
    </w:p>
    <w:p w14:paraId="168F4AE6" w14:textId="2AB8DABC" w:rsidR="007C6C4C" w:rsidRDefault="00A74ED8" w:rsidP="00850513">
      <w:pPr>
        <w:jc w:val="both"/>
        <w:rPr>
          <w:rFonts w:ascii="Times New Roman" w:hAnsi="Times New Roman" w:cs="Times New Roman"/>
        </w:rPr>
      </w:pPr>
      <w:r w:rsidRPr="00C2215F">
        <w:rPr>
          <w:rFonts w:ascii="Times New Roman" w:hAnsi="Times New Roman" w:cs="Times New Roman"/>
        </w:rPr>
        <w:t xml:space="preserve">Assistant Recorder Sedley recognised in </w:t>
      </w:r>
      <w:r w:rsidRPr="001A56AC">
        <w:rPr>
          <w:rFonts w:ascii="Times New Roman" w:hAnsi="Times New Roman" w:cs="Times New Roman"/>
          <w:i/>
        </w:rPr>
        <w:t>Hussein</w:t>
      </w:r>
      <w:r w:rsidRPr="00C2215F">
        <w:rPr>
          <w:rFonts w:ascii="Times New Roman" w:hAnsi="Times New Roman" w:cs="Times New Roman"/>
        </w:rPr>
        <w:t xml:space="preserve"> that introducing a right to terminate on behalf of the tenant meant, inexorably, that the same action would be available to a landlord.  Indeed,</w:t>
      </w:r>
      <w:r>
        <w:rPr>
          <w:rFonts w:ascii="Times New Roman" w:hAnsi="Times New Roman" w:cs="Times New Roman"/>
        </w:rPr>
        <w:t xml:space="preserve"> </w:t>
      </w:r>
      <w:r w:rsidRPr="00A74ED8">
        <w:rPr>
          <w:rFonts w:ascii="Times New Roman" w:hAnsi="Times New Roman" w:cs="Times New Roman"/>
          <w:bCs/>
          <w:i/>
        </w:rPr>
        <w:t>Abidogun</w:t>
      </w:r>
      <w:r w:rsidRPr="00A74ED8">
        <w:rPr>
          <w:rFonts w:ascii="Times New Roman" w:hAnsi="Times New Roman" w:cs="Times New Roman"/>
          <w:i/>
        </w:rPr>
        <w:t xml:space="preserve"> </w:t>
      </w:r>
      <w:r w:rsidR="001A56AC">
        <w:rPr>
          <w:rFonts w:ascii="Times New Roman" w:hAnsi="Times New Roman" w:cs="Times New Roman"/>
          <w:bCs/>
        </w:rPr>
        <w:t>appeared to remove</w:t>
      </w:r>
      <w:r w:rsidRPr="00C2215F">
        <w:rPr>
          <w:rFonts w:ascii="Times New Roman" w:hAnsi="Times New Roman" w:cs="Times New Roman"/>
          <w:bCs/>
        </w:rPr>
        <w:t xml:space="preserve"> any doubt about this, and in so doing brought English law into line with the other jurisdictions </w:t>
      </w:r>
      <w:r w:rsidR="007C6C4C">
        <w:rPr>
          <w:rFonts w:ascii="Times New Roman" w:hAnsi="Times New Roman" w:cs="Times New Roman"/>
          <w:bCs/>
        </w:rPr>
        <w:t>that</w:t>
      </w:r>
      <w:r w:rsidRPr="00C2215F">
        <w:rPr>
          <w:rFonts w:ascii="Times New Roman" w:hAnsi="Times New Roman" w:cs="Times New Roman"/>
          <w:bCs/>
        </w:rPr>
        <w:t xml:space="preserve"> </w:t>
      </w:r>
      <w:r w:rsidR="002B3970">
        <w:rPr>
          <w:rFonts w:ascii="Times New Roman" w:hAnsi="Times New Roman" w:cs="Times New Roman"/>
          <w:bCs/>
        </w:rPr>
        <w:t>accept</w:t>
      </w:r>
      <w:r w:rsidRPr="00C2215F">
        <w:rPr>
          <w:rFonts w:ascii="Times New Roman" w:hAnsi="Times New Roman" w:cs="Times New Roman"/>
          <w:bCs/>
        </w:rPr>
        <w:t xml:space="preserve"> repudiator</w:t>
      </w:r>
      <w:r w:rsidR="001A56AC">
        <w:rPr>
          <w:rFonts w:ascii="Times New Roman" w:hAnsi="Times New Roman" w:cs="Times New Roman"/>
          <w:bCs/>
        </w:rPr>
        <w:t xml:space="preserve">y breach as a landlord remedy. One of the issues </w:t>
      </w:r>
      <w:r w:rsidR="008305EB">
        <w:rPr>
          <w:rFonts w:ascii="Times New Roman" w:hAnsi="Times New Roman" w:cs="Times New Roman"/>
          <w:bCs/>
        </w:rPr>
        <w:t>considered</w:t>
      </w:r>
      <w:r w:rsidR="001A56AC">
        <w:rPr>
          <w:rFonts w:ascii="Times New Roman" w:hAnsi="Times New Roman" w:cs="Times New Roman"/>
          <w:bCs/>
        </w:rPr>
        <w:t xml:space="preserve"> in </w:t>
      </w:r>
      <w:r w:rsidR="001A56AC">
        <w:rPr>
          <w:rFonts w:ascii="Times New Roman" w:hAnsi="Times New Roman" w:cs="Times New Roman"/>
          <w:bCs/>
          <w:i/>
        </w:rPr>
        <w:t>Abiodgun</w:t>
      </w:r>
      <w:r w:rsidR="001A56AC">
        <w:rPr>
          <w:rFonts w:ascii="Times New Roman" w:hAnsi="Times New Roman" w:cs="Times New Roman"/>
          <w:bCs/>
        </w:rPr>
        <w:t xml:space="preserve"> </w:t>
      </w:r>
      <w:r w:rsidR="007C6C4C">
        <w:rPr>
          <w:rFonts w:ascii="Times New Roman" w:hAnsi="Times New Roman" w:cs="Times New Roman"/>
          <w:bCs/>
        </w:rPr>
        <w:t xml:space="preserve">was </w:t>
      </w:r>
      <w:r w:rsidR="00BB3287">
        <w:rPr>
          <w:rFonts w:ascii="Times New Roman" w:hAnsi="Times New Roman" w:cs="Times New Roman"/>
          <w:bCs/>
        </w:rPr>
        <w:t xml:space="preserve">the manner in which a landlord </w:t>
      </w:r>
      <w:r w:rsidR="007C6C4C">
        <w:rPr>
          <w:rFonts w:ascii="Times New Roman" w:hAnsi="Times New Roman" w:cs="Times New Roman"/>
          <w:bCs/>
        </w:rPr>
        <w:t>may bring</w:t>
      </w:r>
      <w:r w:rsidR="00BB3287">
        <w:rPr>
          <w:rFonts w:ascii="Times New Roman" w:hAnsi="Times New Roman" w:cs="Times New Roman"/>
          <w:bCs/>
        </w:rPr>
        <w:t xml:space="preserve"> an action for repudiatory breach. </w:t>
      </w:r>
      <w:r w:rsidR="00CB139E">
        <w:rPr>
          <w:rFonts w:ascii="Times New Roman" w:hAnsi="Times New Roman" w:cs="Times New Roman"/>
          <w:bCs/>
        </w:rPr>
        <w:t>I</w:t>
      </w:r>
      <w:r w:rsidR="00BB3287">
        <w:rPr>
          <w:rFonts w:ascii="Times New Roman" w:hAnsi="Times New Roman" w:cs="Times New Roman"/>
          <w:bCs/>
        </w:rPr>
        <w:t>f, as with the tenant’s right to terminate by accepting repudiatory conduct by the landlord, the action is based purely on contract, would it allow the landlord to avoid or escape the requirements of forfeiture?</w:t>
      </w:r>
      <w:r w:rsidR="003943A3">
        <w:rPr>
          <w:rStyle w:val="FootnoteReference"/>
          <w:rFonts w:ascii="Times New Roman" w:hAnsi="Times New Roman" w:cs="Times New Roman"/>
          <w:bCs/>
        </w:rPr>
        <w:t xml:space="preserve"> </w:t>
      </w:r>
      <w:r w:rsidR="003943A3">
        <w:rPr>
          <w:rFonts w:ascii="Times New Roman" w:hAnsi="Times New Roman" w:cs="Times New Roman"/>
          <w:bCs/>
        </w:rPr>
        <w:t xml:space="preserve"> </w:t>
      </w:r>
      <w:r w:rsidR="00BB3287">
        <w:rPr>
          <w:rFonts w:ascii="Times New Roman" w:hAnsi="Times New Roman" w:cs="Times New Roman"/>
          <w:bCs/>
        </w:rPr>
        <w:t xml:space="preserve">This would give landlords an additional method of </w:t>
      </w:r>
      <w:r w:rsidR="00BB3287">
        <w:rPr>
          <w:rFonts w:ascii="Times New Roman" w:hAnsi="Times New Roman" w:cs="Times New Roman"/>
          <w:bCs/>
        </w:rPr>
        <w:lastRenderedPageBreak/>
        <w:t xml:space="preserve">terminating leases, and one that would not allow </w:t>
      </w:r>
      <w:r w:rsidR="009A76CB">
        <w:rPr>
          <w:rFonts w:ascii="Times New Roman" w:hAnsi="Times New Roman" w:cs="Times New Roman"/>
          <w:bCs/>
        </w:rPr>
        <w:t>an opportunity for any</w:t>
      </w:r>
      <w:r w:rsidR="00BB3287">
        <w:rPr>
          <w:rFonts w:ascii="Times New Roman" w:hAnsi="Times New Roman" w:cs="Times New Roman"/>
          <w:bCs/>
        </w:rPr>
        <w:t xml:space="preserve"> </w:t>
      </w:r>
      <w:r w:rsidR="007502FC">
        <w:rPr>
          <w:rFonts w:ascii="Times New Roman" w:hAnsi="Times New Roman" w:cs="Times New Roman"/>
          <w:bCs/>
        </w:rPr>
        <w:t xml:space="preserve">remedy by the defaulting tenant, as there is no concept of remediable breaches in the operation of repudiatory breach – it the acceptance of a repudiating act </w:t>
      </w:r>
      <w:r w:rsidR="002421E7">
        <w:rPr>
          <w:rFonts w:ascii="Times New Roman" w:hAnsi="Times New Roman" w:cs="Times New Roman"/>
          <w:bCs/>
        </w:rPr>
        <w:t>(</w:t>
      </w:r>
      <w:r w:rsidR="007502FC">
        <w:rPr>
          <w:rFonts w:ascii="Times New Roman" w:hAnsi="Times New Roman" w:cs="Times New Roman"/>
          <w:bCs/>
        </w:rPr>
        <w:t>or acts</w:t>
      </w:r>
      <w:r w:rsidR="002421E7">
        <w:rPr>
          <w:rFonts w:ascii="Times New Roman" w:hAnsi="Times New Roman" w:cs="Times New Roman"/>
          <w:bCs/>
        </w:rPr>
        <w:t>)</w:t>
      </w:r>
      <w:r w:rsidR="007502FC">
        <w:rPr>
          <w:rFonts w:ascii="Times New Roman" w:hAnsi="Times New Roman" w:cs="Times New Roman"/>
          <w:bCs/>
        </w:rPr>
        <w:t xml:space="preserve"> that terminates the contractual bargain.</w:t>
      </w:r>
      <w:r w:rsidR="009A76CB">
        <w:rPr>
          <w:rStyle w:val="FootnoteReference"/>
          <w:rFonts w:ascii="Times New Roman" w:hAnsi="Times New Roman" w:cs="Times New Roman"/>
          <w:bCs/>
        </w:rPr>
        <w:footnoteReference w:id="59"/>
      </w:r>
      <w:r w:rsidR="0064701A">
        <w:rPr>
          <w:rFonts w:ascii="Times New Roman" w:hAnsi="Times New Roman" w:cs="Times New Roman"/>
          <w:bCs/>
        </w:rPr>
        <w:t xml:space="preserve"> An action in forfeiture, by contrast, activates a </w:t>
      </w:r>
      <w:r w:rsidR="0064701A" w:rsidRPr="00C2215F">
        <w:rPr>
          <w:rFonts w:ascii="Times New Roman" w:hAnsi="Times New Roman" w:cs="Times New Roman"/>
        </w:rPr>
        <w:t xml:space="preserve">discretionary system of relief (equitable </w:t>
      </w:r>
      <w:r w:rsidR="0064701A">
        <w:rPr>
          <w:rFonts w:ascii="Times New Roman" w:hAnsi="Times New Roman" w:cs="Times New Roman"/>
        </w:rPr>
        <w:t xml:space="preserve">and statutory) against the forfeiture action, which </w:t>
      </w:r>
      <w:r w:rsidR="0064701A" w:rsidRPr="00C2215F">
        <w:rPr>
          <w:rFonts w:ascii="Times New Roman" w:hAnsi="Times New Roman" w:cs="Times New Roman"/>
        </w:rPr>
        <w:t>permits the tenant to apply to court to allow him to remedy his breach without the landlord repossessing the demised premises</w:t>
      </w:r>
      <w:r w:rsidR="0064701A">
        <w:rPr>
          <w:rFonts w:ascii="Times New Roman" w:hAnsi="Times New Roman" w:cs="Times New Roman"/>
        </w:rPr>
        <w:t>.</w:t>
      </w:r>
      <w:r w:rsidR="009E1493">
        <w:rPr>
          <w:rStyle w:val="FootnoteReference"/>
          <w:rFonts w:ascii="Times New Roman" w:hAnsi="Times New Roman" w:cs="Times New Roman"/>
        </w:rPr>
        <w:footnoteReference w:id="60"/>
      </w:r>
      <w:r w:rsidR="009E1493">
        <w:rPr>
          <w:rFonts w:ascii="Times New Roman" w:hAnsi="Times New Roman" w:cs="Times New Roman"/>
        </w:rPr>
        <w:t xml:space="preserve">  </w:t>
      </w:r>
      <w:r w:rsidR="0064701A">
        <w:rPr>
          <w:rFonts w:ascii="Times New Roman" w:hAnsi="Times New Roman" w:cs="Times New Roman"/>
        </w:rPr>
        <w:t xml:space="preserve">This is because the real purpose </w:t>
      </w:r>
      <w:r w:rsidR="0064701A" w:rsidRPr="00C2215F">
        <w:rPr>
          <w:rFonts w:ascii="Times New Roman" w:hAnsi="Times New Roman" w:cs="Times New Roman"/>
        </w:rPr>
        <w:t xml:space="preserve">is to secure compliance by the tenant with his covenants, not to allow the landlord to get the </w:t>
      </w:r>
      <w:r w:rsidR="0064701A">
        <w:rPr>
          <w:rFonts w:ascii="Times New Roman" w:hAnsi="Times New Roman" w:cs="Times New Roman"/>
        </w:rPr>
        <w:t>demised premises back early for</w:t>
      </w:r>
      <w:r w:rsidR="0064701A" w:rsidRPr="00C2215F">
        <w:rPr>
          <w:rFonts w:ascii="Times New Roman" w:hAnsi="Times New Roman" w:cs="Times New Roman"/>
        </w:rPr>
        <w:t xml:space="preserve"> breaches of covenant</w:t>
      </w:r>
      <w:r w:rsidR="009E1493">
        <w:rPr>
          <w:rFonts w:ascii="Times New Roman" w:hAnsi="Times New Roman" w:cs="Times New Roman"/>
        </w:rPr>
        <w:t xml:space="preserve"> which could be compensated through an award of damages</w:t>
      </w:r>
      <w:r w:rsidR="0064701A">
        <w:rPr>
          <w:rFonts w:ascii="Times New Roman" w:hAnsi="Times New Roman" w:cs="Times New Roman"/>
        </w:rPr>
        <w:t>.</w:t>
      </w:r>
      <w:r w:rsidR="003943A3">
        <w:rPr>
          <w:rFonts w:ascii="Times New Roman" w:hAnsi="Times New Roman" w:cs="Times New Roman"/>
        </w:rPr>
        <w:t xml:space="preserve"> The attraction of a purely contractual method of termination </w:t>
      </w:r>
      <w:r w:rsidR="006D5F49">
        <w:rPr>
          <w:rFonts w:ascii="Times New Roman" w:hAnsi="Times New Roman" w:cs="Times New Roman"/>
        </w:rPr>
        <w:t>open to the landlord would be that it avoids the complexity of the forfeiture action where the breach complained of by the tenant was sufficiently serious to merit a finding that it was repudiatory in character.</w:t>
      </w:r>
      <w:r w:rsidR="003943A3">
        <w:rPr>
          <w:rStyle w:val="FootnoteReference"/>
          <w:rFonts w:ascii="Times New Roman" w:hAnsi="Times New Roman" w:cs="Times New Roman"/>
          <w:bCs/>
        </w:rPr>
        <w:footnoteReference w:id="61"/>
      </w:r>
    </w:p>
    <w:p w14:paraId="434637A3" w14:textId="77777777" w:rsidR="002421E7" w:rsidRDefault="002421E7" w:rsidP="002C34EE">
      <w:pPr>
        <w:jc w:val="both"/>
        <w:rPr>
          <w:rFonts w:ascii="Times New Roman" w:hAnsi="Times New Roman" w:cs="Times New Roman"/>
        </w:rPr>
      </w:pPr>
    </w:p>
    <w:p w14:paraId="09A3D6A5" w14:textId="071EF095" w:rsidR="003943A3" w:rsidRPr="003943A3" w:rsidRDefault="006D5F49" w:rsidP="002C34EE">
      <w:pPr>
        <w:jc w:val="both"/>
        <w:rPr>
          <w:rFonts w:ascii="Times New Roman" w:hAnsi="Times New Roman" w:cs="Times New Roman"/>
        </w:rPr>
      </w:pPr>
      <w:r>
        <w:rPr>
          <w:rFonts w:ascii="Times New Roman" w:hAnsi="Times New Roman" w:cs="Times New Roman"/>
        </w:rPr>
        <w:t>This concern would appear to have been addressed.</w:t>
      </w:r>
      <w:r w:rsidR="00923745">
        <w:rPr>
          <w:rFonts w:ascii="Times New Roman" w:hAnsi="Times New Roman" w:cs="Times New Roman"/>
        </w:rPr>
        <w:t xml:space="preserve">  </w:t>
      </w:r>
      <w:r w:rsidR="003943A3">
        <w:rPr>
          <w:rFonts w:ascii="Times New Roman" w:hAnsi="Times New Roman" w:cs="Times New Roman"/>
        </w:rPr>
        <w:t xml:space="preserve">Arden LJ made it clear in </w:t>
      </w:r>
      <w:r w:rsidR="003943A3" w:rsidRPr="00B853CB">
        <w:rPr>
          <w:rFonts w:ascii="Times New Roman" w:hAnsi="Times New Roman" w:cs="Times New Roman"/>
          <w:bCs/>
          <w:i/>
        </w:rPr>
        <w:t>Abidogun</w:t>
      </w:r>
      <w:r w:rsidR="003943A3" w:rsidRPr="00B853CB">
        <w:rPr>
          <w:rFonts w:ascii="Times New Roman" w:hAnsi="Times New Roman" w:cs="Times New Roman"/>
          <w:i/>
        </w:rPr>
        <w:t xml:space="preserve"> </w:t>
      </w:r>
      <w:r w:rsidR="003943A3" w:rsidRPr="00B853CB">
        <w:rPr>
          <w:rFonts w:ascii="Times New Roman" w:hAnsi="Times New Roman" w:cs="Times New Roman"/>
          <w:bCs/>
          <w:i/>
        </w:rPr>
        <w:t>v. Frolen Health Care Ltd</w:t>
      </w:r>
      <w:r w:rsidR="003943A3">
        <w:rPr>
          <w:rFonts w:ascii="Times New Roman" w:hAnsi="Times New Roman" w:cs="Times New Roman"/>
          <w:bCs/>
        </w:rPr>
        <w:t xml:space="preserve"> that </w:t>
      </w:r>
      <w:r w:rsidR="001507AD">
        <w:rPr>
          <w:rFonts w:ascii="Times New Roman" w:hAnsi="Times New Roman" w:cs="Times New Roman"/>
          <w:bCs/>
        </w:rPr>
        <w:t xml:space="preserve">a </w:t>
      </w:r>
      <w:r w:rsidR="003943A3">
        <w:rPr>
          <w:rFonts w:ascii="Times New Roman" w:hAnsi="Times New Roman" w:cs="Times New Roman"/>
          <w:bCs/>
        </w:rPr>
        <w:t xml:space="preserve">repudiatory breach by a tenant through denial of </w:t>
      </w:r>
      <w:r w:rsidR="001507AD">
        <w:rPr>
          <w:rFonts w:ascii="Times New Roman" w:hAnsi="Times New Roman" w:cs="Times New Roman"/>
          <w:bCs/>
        </w:rPr>
        <w:t xml:space="preserve">a landlord’s </w:t>
      </w:r>
      <w:r w:rsidR="003943A3">
        <w:rPr>
          <w:rFonts w:ascii="Times New Roman" w:hAnsi="Times New Roman" w:cs="Times New Roman"/>
          <w:bCs/>
        </w:rPr>
        <w:t xml:space="preserve">title would </w:t>
      </w:r>
      <w:r w:rsidR="001507AD">
        <w:rPr>
          <w:rFonts w:ascii="Times New Roman" w:hAnsi="Times New Roman" w:cs="Times New Roman"/>
          <w:bCs/>
        </w:rPr>
        <w:t xml:space="preserve">only </w:t>
      </w:r>
      <w:r w:rsidR="003943A3">
        <w:rPr>
          <w:rFonts w:ascii="Times New Roman" w:hAnsi="Times New Roman" w:cs="Times New Roman"/>
          <w:bCs/>
        </w:rPr>
        <w:t>be actionable if it was brought</w:t>
      </w:r>
      <w:r w:rsidR="006959B7">
        <w:rPr>
          <w:rFonts w:ascii="Times New Roman" w:hAnsi="Times New Roman" w:cs="Times New Roman"/>
          <w:bCs/>
        </w:rPr>
        <w:t xml:space="preserve"> within the forfeiture system</w:t>
      </w:r>
      <w:r w:rsidR="003943A3">
        <w:rPr>
          <w:rFonts w:ascii="Times New Roman" w:hAnsi="Times New Roman" w:cs="Times New Roman"/>
          <w:bCs/>
        </w:rPr>
        <w:t>:</w:t>
      </w:r>
    </w:p>
    <w:p w14:paraId="6D6E24BF" w14:textId="77777777" w:rsidR="003943A3" w:rsidRDefault="003943A3" w:rsidP="002C34EE">
      <w:pPr>
        <w:jc w:val="both"/>
        <w:rPr>
          <w:rFonts w:ascii="Times New Roman" w:hAnsi="Times New Roman" w:cs="Times New Roman"/>
        </w:rPr>
      </w:pPr>
    </w:p>
    <w:p w14:paraId="1AC0D5DB" w14:textId="7575E394" w:rsidR="0086577C" w:rsidRDefault="003943A3" w:rsidP="001507AD">
      <w:pPr>
        <w:ind w:left="720"/>
        <w:jc w:val="both"/>
        <w:rPr>
          <w:rFonts w:ascii="Times New Roman" w:hAnsi="Times New Roman" w:cs="Times New Roman"/>
        </w:rPr>
      </w:pPr>
      <w:r w:rsidRPr="00C2215F">
        <w:rPr>
          <w:rFonts w:ascii="Times New Roman" w:hAnsi="Times New Roman" w:cs="Times New Roman"/>
        </w:rPr>
        <w:t>If it were not so, it would be possible to bring a lease to an end by a means which is wholly outside of section 146, with significant consequences for the law of landlord and tenant and the fact that such repudiatory conduct may only arise occasionally does not seem to me to diminish the significance of the contrary conclusion.</w:t>
      </w:r>
      <w:r>
        <w:rPr>
          <w:rStyle w:val="FootnoteReference"/>
          <w:rFonts w:ascii="Times New Roman" w:hAnsi="Times New Roman" w:cs="Times New Roman"/>
        </w:rPr>
        <w:footnoteReference w:id="62"/>
      </w:r>
    </w:p>
    <w:p w14:paraId="1B66B7AE" w14:textId="77777777" w:rsidR="0086577C" w:rsidRDefault="0086577C" w:rsidP="002C34EE">
      <w:pPr>
        <w:jc w:val="both"/>
        <w:rPr>
          <w:rFonts w:ascii="Times New Roman" w:hAnsi="Times New Roman" w:cs="Times New Roman"/>
          <w:bCs/>
        </w:rPr>
      </w:pPr>
    </w:p>
    <w:p w14:paraId="226F25DA" w14:textId="5A28C305" w:rsidR="00602326" w:rsidRDefault="00602326" w:rsidP="002C34EE">
      <w:pPr>
        <w:jc w:val="both"/>
        <w:rPr>
          <w:rFonts w:ascii="Times New Roman" w:hAnsi="Times New Roman" w:cs="Times New Roman"/>
          <w:bCs/>
        </w:rPr>
      </w:pPr>
      <w:r>
        <w:rPr>
          <w:rFonts w:ascii="Times New Roman" w:hAnsi="Times New Roman" w:cs="Times New Roman"/>
          <w:bCs/>
        </w:rPr>
        <w:t xml:space="preserve">Buxton LJ went further, and in addressing counsel’s argument that repudiatory breach operated as a purely contractual doctrine and did not </w:t>
      </w:r>
      <w:r w:rsidR="00D128FF">
        <w:rPr>
          <w:rFonts w:ascii="Times New Roman" w:hAnsi="Times New Roman" w:cs="Times New Roman"/>
          <w:bCs/>
        </w:rPr>
        <w:t xml:space="preserve">operate with the </w:t>
      </w:r>
      <w:r>
        <w:rPr>
          <w:rFonts w:ascii="Times New Roman" w:hAnsi="Times New Roman" w:cs="Times New Roman"/>
          <w:bCs/>
        </w:rPr>
        <w:t>forfeiture</w:t>
      </w:r>
      <w:r w:rsidR="00D128FF">
        <w:rPr>
          <w:rFonts w:ascii="Times New Roman" w:hAnsi="Times New Roman" w:cs="Times New Roman"/>
          <w:bCs/>
        </w:rPr>
        <w:t xml:space="preserve"> framework</w:t>
      </w:r>
      <w:r>
        <w:rPr>
          <w:rFonts w:ascii="Times New Roman" w:hAnsi="Times New Roman" w:cs="Times New Roman"/>
          <w:bCs/>
        </w:rPr>
        <w:t>, said:</w:t>
      </w:r>
    </w:p>
    <w:p w14:paraId="6AFF5613" w14:textId="77777777" w:rsidR="00602326" w:rsidRDefault="00602326" w:rsidP="002C34EE">
      <w:pPr>
        <w:jc w:val="both"/>
        <w:rPr>
          <w:rFonts w:ascii="Times New Roman" w:hAnsi="Times New Roman" w:cs="Times New Roman"/>
          <w:bCs/>
        </w:rPr>
      </w:pPr>
    </w:p>
    <w:p w14:paraId="3B702F44" w14:textId="1B672758" w:rsidR="00602326" w:rsidRPr="00C2215F" w:rsidRDefault="00602326" w:rsidP="00602326">
      <w:pPr>
        <w:pStyle w:val="ListParagraph"/>
        <w:jc w:val="both"/>
        <w:rPr>
          <w:rFonts w:ascii="Times New Roman" w:hAnsi="Times New Roman" w:cs="Times New Roman"/>
        </w:rPr>
      </w:pPr>
      <w:r w:rsidRPr="00C2215F">
        <w:rPr>
          <w:rFonts w:ascii="Times New Roman" w:hAnsi="Times New Roman" w:cs="Times New Roman"/>
        </w:rPr>
        <w:t>I can well accept the first point in [the appellant's] argument that relations between a landlord and his tenant, under a lease, are governed by the ordinary law of contract as well as by the more specific doctrines of the law of landlord and tenant. It does not, however, follow from the interaction of those two parts of the law that the protection for a tenant, as has been provided by Parliament in section 146, can be avoided by recourse to a purely contractual doctrine such</w:t>
      </w:r>
      <w:r w:rsidR="001507AD">
        <w:rPr>
          <w:rFonts w:ascii="Times New Roman" w:hAnsi="Times New Roman" w:cs="Times New Roman"/>
        </w:rPr>
        <w:t xml:space="preserve"> as that of repudiatory breach.</w:t>
      </w:r>
      <w:r w:rsidR="00E160DD">
        <w:rPr>
          <w:rStyle w:val="FootnoteReference"/>
          <w:rFonts w:ascii="Times New Roman" w:hAnsi="Times New Roman" w:cs="Times New Roman"/>
        </w:rPr>
        <w:footnoteReference w:id="63"/>
      </w:r>
    </w:p>
    <w:p w14:paraId="613ED73B" w14:textId="5DC0326F" w:rsidR="002C34EE" w:rsidRPr="00602326" w:rsidRDefault="00602326" w:rsidP="002C34EE">
      <w:pPr>
        <w:jc w:val="both"/>
        <w:rPr>
          <w:rFonts w:ascii="Times New Roman" w:hAnsi="Times New Roman" w:cs="Times New Roman"/>
          <w:bCs/>
        </w:rPr>
      </w:pPr>
      <w:r>
        <w:rPr>
          <w:rFonts w:ascii="Times New Roman" w:hAnsi="Times New Roman" w:cs="Times New Roman"/>
          <w:bCs/>
        </w:rPr>
        <w:t xml:space="preserve"> </w:t>
      </w:r>
    </w:p>
    <w:p w14:paraId="42D3DC4F" w14:textId="4512B70F" w:rsidR="002C34EE" w:rsidRPr="00C2215F" w:rsidRDefault="007F51D3" w:rsidP="002C34EE">
      <w:pPr>
        <w:jc w:val="both"/>
        <w:rPr>
          <w:rFonts w:ascii="Times New Roman" w:hAnsi="Times New Roman" w:cs="Times New Roman"/>
        </w:rPr>
      </w:pPr>
      <w:r>
        <w:rPr>
          <w:rFonts w:ascii="Times New Roman" w:hAnsi="Times New Roman" w:cs="Times New Roman"/>
        </w:rPr>
        <w:t xml:space="preserve">It is now without doubt, that if repudiatory breach exists as an action for the landlord, it </w:t>
      </w:r>
      <w:r w:rsidRPr="00C2215F">
        <w:rPr>
          <w:rFonts w:ascii="Times New Roman" w:hAnsi="Times New Roman" w:cs="Times New Roman"/>
        </w:rPr>
        <w:t xml:space="preserve">must </w:t>
      </w:r>
      <w:r>
        <w:rPr>
          <w:rFonts w:ascii="Times New Roman" w:hAnsi="Times New Roman" w:cs="Times New Roman"/>
        </w:rPr>
        <w:t xml:space="preserve">be brought under the existing, statutory </w:t>
      </w:r>
      <w:r w:rsidRPr="00C2215F">
        <w:rPr>
          <w:rFonts w:ascii="Times New Roman" w:hAnsi="Times New Roman" w:cs="Times New Roman"/>
        </w:rPr>
        <w:t xml:space="preserve">forfeiture provisions.  </w:t>
      </w:r>
      <w:r w:rsidR="002C34EE" w:rsidRPr="00C2215F">
        <w:rPr>
          <w:rFonts w:ascii="Times New Roman" w:hAnsi="Times New Roman" w:cs="Times New Roman"/>
        </w:rPr>
        <w:t xml:space="preserve">Thus, the window of opportunity for </w:t>
      </w:r>
      <w:r w:rsidR="00602326">
        <w:rPr>
          <w:rFonts w:ascii="Times New Roman" w:hAnsi="Times New Roman" w:cs="Times New Roman"/>
        </w:rPr>
        <w:t xml:space="preserve">landlords </w:t>
      </w:r>
      <w:r w:rsidR="002C34EE" w:rsidRPr="00C2215F">
        <w:rPr>
          <w:rFonts w:ascii="Times New Roman" w:hAnsi="Times New Roman" w:cs="Times New Roman"/>
        </w:rPr>
        <w:t>was</w:t>
      </w:r>
      <w:r w:rsidR="00602326">
        <w:rPr>
          <w:rFonts w:ascii="Times New Roman" w:hAnsi="Times New Roman" w:cs="Times New Roman"/>
        </w:rPr>
        <w:t xml:space="preserve"> apparently</w:t>
      </w:r>
      <w:r w:rsidR="002C34EE" w:rsidRPr="00C2215F">
        <w:rPr>
          <w:rFonts w:ascii="Times New Roman" w:hAnsi="Times New Roman" w:cs="Times New Roman"/>
        </w:rPr>
        <w:t xml:space="preserve"> closed</w:t>
      </w:r>
      <w:r w:rsidR="001507AD">
        <w:rPr>
          <w:rFonts w:ascii="Times New Roman" w:hAnsi="Times New Roman" w:cs="Times New Roman"/>
        </w:rPr>
        <w:t xml:space="preserve"> and the courts would appear to have found a way to make the </w:t>
      </w:r>
      <w:r w:rsidR="00772806">
        <w:rPr>
          <w:rFonts w:ascii="Times New Roman" w:hAnsi="Times New Roman" w:cs="Times New Roman"/>
        </w:rPr>
        <w:t>doctrine of repudiatory breach work in</w:t>
      </w:r>
      <w:r w:rsidR="00E3761A">
        <w:rPr>
          <w:rFonts w:ascii="Times New Roman" w:hAnsi="Times New Roman" w:cs="Times New Roman"/>
        </w:rPr>
        <w:t xml:space="preserve"> a sensitive manner in</w:t>
      </w:r>
      <w:r w:rsidR="00772806">
        <w:rPr>
          <w:rFonts w:ascii="Times New Roman" w:hAnsi="Times New Roman" w:cs="Times New Roman"/>
        </w:rPr>
        <w:t xml:space="preserve"> the particular context of the lease</w:t>
      </w:r>
      <w:r w:rsidR="00602326">
        <w:rPr>
          <w:rFonts w:ascii="Times New Roman" w:hAnsi="Times New Roman" w:cs="Times New Roman"/>
        </w:rPr>
        <w:t>.</w:t>
      </w:r>
      <w:r w:rsidR="00E3761A">
        <w:rPr>
          <w:rStyle w:val="FootnoteReference"/>
          <w:rFonts w:ascii="Times New Roman" w:hAnsi="Times New Roman" w:cs="Times New Roman"/>
        </w:rPr>
        <w:footnoteReference w:id="64"/>
      </w:r>
      <w:r w:rsidR="00602326">
        <w:rPr>
          <w:rFonts w:ascii="Times New Roman" w:hAnsi="Times New Roman" w:cs="Times New Roman"/>
        </w:rPr>
        <w:t xml:space="preserve"> </w:t>
      </w:r>
    </w:p>
    <w:p w14:paraId="54B78F6D" w14:textId="77777777" w:rsidR="002C34EE" w:rsidRDefault="002C34EE" w:rsidP="002C34EE">
      <w:pPr>
        <w:jc w:val="both"/>
        <w:rPr>
          <w:rFonts w:ascii="Times New Roman" w:hAnsi="Times New Roman" w:cs="Times New Roman"/>
        </w:rPr>
      </w:pPr>
    </w:p>
    <w:p w14:paraId="76D6A845" w14:textId="2E179D29" w:rsidR="0048411C" w:rsidRDefault="008C1846" w:rsidP="002C34EE">
      <w:pPr>
        <w:jc w:val="both"/>
        <w:rPr>
          <w:rFonts w:ascii="Times New Roman" w:hAnsi="Times New Roman" w:cs="Times New Roman"/>
        </w:rPr>
      </w:pPr>
      <w:r>
        <w:rPr>
          <w:rFonts w:ascii="Times New Roman" w:hAnsi="Times New Roman" w:cs="Times New Roman"/>
        </w:rPr>
        <w:lastRenderedPageBreak/>
        <w:t>The</w:t>
      </w:r>
      <w:r w:rsidR="00AC6C96">
        <w:rPr>
          <w:rFonts w:ascii="Times New Roman" w:hAnsi="Times New Roman" w:cs="Times New Roman"/>
        </w:rPr>
        <w:t xml:space="preserve"> solution is not as sensitive to context as it at first appears</w:t>
      </w:r>
      <w:r w:rsidR="002C17F5">
        <w:rPr>
          <w:rFonts w:ascii="Times New Roman" w:hAnsi="Times New Roman" w:cs="Times New Roman"/>
        </w:rPr>
        <w:t xml:space="preserve">.  </w:t>
      </w:r>
      <w:r w:rsidR="0057120E">
        <w:rPr>
          <w:rFonts w:ascii="Times New Roman" w:hAnsi="Times New Roman" w:cs="Times New Roman"/>
        </w:rPr>
        <w:t xml:space="preserve">There are ‘significant consequences for the law of landlord and tenant’ in the approach </w:t>
      </w:r>
      <w:r w:rsidR="000851F9">
        <w:rPr>
          <w:rFonts w:ascii="Times New Roman" w:hAnsi="Times New Roman" w:cs="Times New Roman"/>
        </w:rPr>
        <w:t>adopted by Arden and Buxton LJJ</w:t>
      </w:r>
      <w:r w:rsidR="0057120E">
        <w:rPr>
          <w:rFonts w:ascii="Times New Roman" w:hAnsi="Times New Roman" w:cs="Times New Roman"/>
        </w:rPr>
        <w:t xml:space="preserve">, tied to the inescapable fact that repudiatory breach is also available to a tenant, while forfeiture is not.  </w:t>
      </w:r>
      <w:r w:rsidR="000851F9">
        <w:rPr>
          <w:rFonts w:ascii="Times New Roman" w:hAnsi="Times New Roman" w:cs="Times New Roman"/>
        </w:rPr>
        <w:t>W</w:t>
      </w:r>
      <w:r w:rsidR="0057120E">
        <w:rPr>
          <w:rFonts w:ascii="Times New Roman" w:hAnsi="Times New Roman" w:cs="Times New Roman"/>
        </w:rPr>
        <w:t xml:space="preserve">hat appears to </w:t>
      </w:r>
      <w:r w:rsidR="000851F9">
        <w:rPr>
          <w:rFonts w:ascii="Times New Roman" w:hAnsi="Times New Roman" w:cs="Times New Roman"/>
        </w:rPr>
        <w:t>emerge</w:t>
      </w:r>
      <w:r w:rsidR="0057120E">
        <w:rPr>
          <w:rFonts w:ascii="Times New Roman" w:hAnsi="Times New Roman" w:cs="Times New Roman"/>
        </w:rPr>
        <w:t xml:space="preserve"> are two </w:t>
      </w:r>
      <w:r w:rsidR="000851F9">
        <w:rPr>
          <w:rFonts w:ascii="Times New Roman" w:hAnsi="Times New Roman" w:cs="Times New Roman"/>
        </w:rPr>
        <w:t>separate actions</w:t>
      </w:r>
      <w:r w:rsidR="0057120E">
        <w:rPr>
          <w:rFonts w:ascii="Times New Roman" w:hAnsi="Times New Roman" w:cs="Times New Roman"/>
        </w:rPr>
        <w:t xml:space="preserve"> of repudiatory breach operating in the leasehold context.  First, the</w:t>
      </w:r>
      <w:r w:rsidR="000851F9">
        <w:rPr>
          <w:rFonts w:ascii="Times New Roman" w:hAnsi="Times New Roman" w:cs="Times New Roman"/>
        </w:rPr>
        <w:t>re is</w:t>
      </w:r>
      <w:r w:rsidR="0057120E">
        <w:rPr>
          <w:rFonts w:ascii="Times New Roman" w:hAnsi="Times New Roman" w:cs="Times New Roman"/>
        </w:rPr>
        <w:t xml:space="preserve"> tenant’s right to accept repudiatory breaches committed by the landlord, which, by necessity, must operate independently of any forfeiture system.  </w:t>
      </w:r>
      <w:r w:rsidR="000851F9">
        <w:rPr>
          <w:rFonts w:ascii="Times New Roman" w:hAnsi="Times New Roman" w:cs="Times New Roman"/>
        </w:rPr>
        <w:t>This</w:t>
      </w:r>
      <w:r w:rsidR="0057120E">
        <w:rPr>
          <w:rFonts w:ascii="Times New Roman" w:hAnsi="Times New Roman" w:cs="Times New Roman"/>
        </w:rPr>
        <w:t xml:space="preserve"> operat</w:t>
      </w:r>
      <w:r w:rsidR="000851F9">
        <w:rPr>
          <w:rFonts w:ascii="Times New Roman" w:hAnsi="Times New Roman" w:cs="Times New Roman"/>
        </w:rPr>
        <w:t>es as a purely contractual right, and in the same way as repudiatory breach of any other type of contract</w:t>
      </w:r>
      <w:r w:rsidR="0048411C">
        <w:rPr>
          <w:rFonts w:ascii="Times New Roman" w:hAnsi="Times New Roman" w:cs="Times New Roman"/>
        </w:rPr>
        <w:t>, with the tenant electing to end the lease and the landlord having no right to make good the breach</w:t>
      </w:r>
      <w:r w:rsidR="0057120E">
        <w:rPr>
          <w:rFonts w:ascii="Times New Roman" w:hAnsi="Times New Roman" w:cs="Times New Roman"/>
        </w:rPr>
        <w:t>.  Second</w:t>
      </w:r>
      <w:r w:rsidR="000851F9">
        <w:rPr>
          <w:rFonts w:ascii="Times New Roman" w:hAnsi="Times New Roman" w:cs="Times New Roman"/>
        </w:rPr>
        <w:t>ly</w:t>
      </w:r>
      <w:r w:rsidR="0057120E">
        <w:rPr>
          <w:rFonts w:ascii="Times New Roman" w:hAnsi="Times New Roman" w:cs="Times New Roman"/>
        </w:rPr>
        <w:t>, the</w:t>
      </w:r>
      <w:r w:rsidR="000851F9">
        <w:rPr>
          <w:rFonts w:ascii="Times New Roman" w:hAnsi="Times New Roman" w:cs="Times New Roman"/>
        </w:rPr>
        <w:t>re is a</w:t>
      </w:r>
      <w:r w:rsidR="0057120E">
        <w:rPr>
          <w:rFonts w:ascii="Times New Roman" w:hAnsi="Times New Roman" w:cs="Times New Roman"/>
        </w:rPr>
        <w:t xml:space="preserve"> landlord</w:t>
      </w:r>
      <w:r w:rsidR="000851F9">
        <w:rPr>
          <w:rFonts w:ascii="Times New Roman" w:hAnsi="Times New Roman" w:cs="Times New Roman"/>
        </w:rPr>
        <w:t>’s right to accept repudiatory acts committed by the tenant</w:t>
      </w:r>
      <w:r w:rsidR="0057120E">
        <w:rPr>
          <w:rFonts w:ascii="Times New Roman" w:hAnsi="Times New Roman" w:cs="Times New Roman"/>
        </w:rPr>
        <w:t>,</w:t>
      </w:r>
      <w:r w:rsidR="003867FE">
        <w:rPr>
          <w:rFonts w:ascii="Times New Roman" w:hAnsi="Times New Roman" w:cs="Times New Roman"/>
        </w:rPr>
        <w:t xml:space="preserve"> which</w:t>
      </w:r>
      <w:r w:rsidR="0057120E">
        <w:rPr>
          <w:rFonts w:ascii="Times New Roman" w:hAnsi="Times New Roman" w:cs="Times New Roman"/>
        </w:rPr>
        <w:t xml:space="preserve"> must </w:t>
      </w:r>
      <w:r w:rsidR="0048411C">
        <w:rPr>
          <w:rFonts w:ascii="Times New Roman" w:hAnsi="Times New Roman" w:cs="Times New Roman"/>
        </w:rPr>
        <w:t>be brought as</w:t>
      </w:r>
      <w:r w:rsidR="0057120E">
        <w:rPr>
          <w:rFonts w:ascii="Times New Roman" w:hAnsi="Times New Roman" w:cs="Times New Roman"/>
        </w:rPr>
        <w:t xml:space="preserve"> </w:t>
      </w:r>
      <w:r w:rsidR="0048411C">
        <w:rPr>
          <w:rFonts w:ascii="Times New Roman" w:hAnsi="Times New Roman" w:cs="Times New Roman"/>
        </w:rPr>
        <w:t xml:space="preserve">an action for forfeiture so that any mechanisms for relief operate to allow the tenant to make good the breach before the lease can be terminated.  </w:t>
      </w:r>
      <w:r w:rsidR="00E6445D">
        <w:rPr>
          <w:rFonts w:ascii="Times New Roman" w:hAnsi="Times New Roman" w:cs="Times New Roman"/>
        </w:rPr>
        <w:t>The fact that the breach is sufficiently serious to amount to repudiatory conduct on behalf of the tenant does not mean that such breach would be irremediable.</w:t>
      </w:r>
      <w:r w:rsidR="00E6445D">
        <w:rPr>
          <w:rStyle w:val="FootnoteReference"/>
          <w:rFonts w:ascii="Times New Roman" w:hAnsi="Times New Roman" w:cs="Times New Roman"/>
        </w:rPr>
        <w:footnoteReference w:id="65"/>
      </w:r>
      <w:r w:rsidR="00E6445D">
        <w:rPr>
          <w:rFonts w:ascii="Times New Roman" w:hAnsi="Times New Roman" w:cs="Times New Roman"/>
        </w:rPr>
        <w:t xml:space="preserve"> </w:t>
      </w:r>
      <w:r w:rsidR="00F95E0F">
        <w:rPr>
          <w:rFonts w:ascii="Times New Roman" w:hAnsi="Times New Roman" w:cs="Times New Roman"/>
        </w:rPr>
        <w:t>The landlord’s right to repudiatory breach is, in practice, little more than an additional method of forfeiture for serious breach</w:t>
      </w:r>
      <w:r w:rsidR="00E6445D">
        <w:rPr>
          <w:rFonts w:ascii="Times New Roman" w:hAnsi="Times New Roman" w:cs="Times New Roman"/>
        </w:rPr>
        <w:t xml:space="preserve"> and ‘</w:t>
      </w:r>
      <w:r w:rsidR="00E6445D" w:rsidRPr="00C2215F">
        <w:rPr>
          <w:rFonts w:ascii="Times New Roman" w:hAnsi="Times New Roman" w:cs="Times New Roman"/>
        </w:rPr>
        <w:t>the doctrine of repudiation adds nothing at all to a landlord's ability to recover possession from a tenant in the usual way.’</w:t>
      </w:r>
      <w:r w:rsidR="00E6445D">
        <w:rPr>
          <w:rStyle w:val="FootnoteReference"/>
          <w:rFonts w:ascii="Times New Roman" w:hAnsi="Times New Roman" w:cs="Times New Roman"/>
        </w:rPr>
        <w:footnoteReference w:id="66"/>
      </w:r>
      <w:r w:rsidR="00E6445D">
        <w:rPr>
          <w:rFonts w:ascii="Times New Roman" w:hAnsi="Times New Roman" w:cs="Times New Roman"/>
        </w:rPr>
        <w:t xml:space="preserve"> </w:t>
      </w:r>
    </w:p>
    <w:p w14:paraId="3BA47D12" w14:textId="77777777" w:rsidR="0057120E" w:rsidRDefault="0057120E" w:rsidP="002C34EE">
      <w:pPr>
        <w:jc w:val="both"/>
        <w:rPr>
          <w:rFonts w:ascii="Times New Roman" w:hAnsi="Times New Roman" w:cs="Times New Roman"/>
        </w:rPr>
      </w:pPr>
    </w:p>
    <w:p w14:paraId="328E6340" w14:textId="3BB0F3C3" w:rsidR="00453551" w:rsidRDefault="0057120E" w:rsidP="00BE55D4">
      <w:pPr>
        <w:jc w:val="both"/>
        <w:rPr>
          <w:rFonts w:ascii="Times New Roman" w:hAnsi="Times New Roman" w:cs="Times New Roman"/>
        </w:rPr>
      </w:pPr>
      <w:r>
        <w:rPr>
          <w:rFonts w:ascii="Times New Roman" w:hAnsi="Times New Roman" w:cs="Times New Roman"/>
        </w:rPr>
        <w:t>It is cold comfort to suggest that</w:t>
      </w:r>
      <w:r w:rsidR="00BE55D4">
        <w:rPr>
          <w:rFonts w:ascii="Times New Roman" w:hAnsi="Times New Roman" w:cs="Times New Roman"/>
        </w:rPr>
        <w:t xml:space="preserve"> the landlord’s ability to accept repudiatory conduct from a tenant is curtailed by an existing statutory framework</w:t>
      </w:r>
      <w:r w:rsidR="003C4DC7">
        <w:rPr>
          <w:rFonts w:ascii="Times New Roman" w:hAnsi="Times New Roman" w:cs="Times New Roman"/>
        </w:rPr>
        <w:t>, particularly when it is known that the existing system of forfeiture is unnecessarily complex and in desperate need of reform.  Indeed,</w:t>
      </w:r>
      <w:r w:rsidR="00BE55D4" w:rsidRPr="00C2215F">
        <w:rPr>
          <w:rFonts w:ascii="Times New Roman" w:hAnsi="Times New Roman" w:cs="Times New Roman"/>
        </w:rPr>
        <w:t xml:space="preserve"> is there any </w:t>
      </w:r>
      <w:r w:rsidR="004817B7">
        <w:rPr>
          <w:rFonts w:ascii="Times New Roman" w:hAnsi="Times New Roman" w:cs="Times New Roman"/>
        </w:rPr>
        <w:t>compelling</w:t>
      </w:r>
      <w:r w:rsidR="00BE55D4" w:rsidRPr="00C2215F">
        <w:rPr>
          <w:rFonts w:ascii="Times New Roman" w:hAnsi="Times New Roman" w:cs="Times New Roman"/>
        </w:rPr>
        <w:t xml:space="preserve"> reason why a </w:t>
      </w:r>
      <w:r w:rsidR="00BE55D4">
        <w:rPr>
          <w:rFonts w:ascii="Times New Roman" w:hAnsi="Times New Roman" w:cs="Times New Roman"/>
        </w:rPr>
        <w:t>tenant</w:t>
      </w:r>
      <w:r w:rsidR="00BE55D4" w:rsidRPr="00C2215F">
        <w:rPr>
          <w:rFonts w:ascii="Times New Roman" w:hAnsi="Times New Roman" w:cs="Times New Roman"/>
        </w:rPr>
        <w:t xml:space="preserve"> sho</w:t>
      </w:r>
      <w:r w:rsidR="00BE55D4">
        <w:rPr>
          <w:rFonts w:ascii="Times New Roman" w:hAnsi="Times New Roman" w:cs="Times New Roman"/>
        </w:rPr>
        <w:t xml:space="preserve">uld have a ‘better’ right than a landlord, </w:t>
      </w:r>
      <w:r w:rsidR="00BE55D4" w:rsidRPr="00C2215F">
        <w:rPr>
          <w:rFonts w:ascii="Times New Roman" w:hAnsi="Times New Roman" w:cs="Times New Roman"/>
        </w:rPr>
        <w:t xml:space="preserve">in the sense that that </w:t>
      </w:r>
      <w:r w:rsidR="00BE55D4">
        <w:rPr>
          <w:rFonts w:ascii="Times New Roman" w:hAnsi="Times New Roman" w:cs="Times New Roman"/>
        </w:rPr>
        <w:t>a tenant</w:t>
      </w:r>
      <w:r w:rsidR="00BE55D4" w:rsidRPr="00C2215F">
        <w:rPr>
          <w:rFonts w:ascii="Times New Roman" w:hAnsi="Times New Roman" w:cs="Times New Roman"/>
        </w:rPr>
        <w:t xml:space="preserve"> is protected by relief against forfeiture whereas </w:t>
      </w:r>
      <w:r w:rsidR="00BE55D4">
        <w:rPr>
          <w:rFonts w:ascii="Times New Roman" w:hAnsi="Times New Roman" w:cs="Times New Roman"/>
        </w:rPr>
        <w:t>a landlord committing serious breach</w:t>
      </w:r>
      <w:r w:rsidR="00BE55D4" w:rsidRPr="00C2215F">
        <w:rPr>
          <w:rFonts w:ascii="Times New Roman" w:hAnsi="Times New Roman" w:cs="Times New Roman"/>
        </w:rPr>
        <w:t xml:space="preserve"> is not</w:t>
      </w:r>
      <w:r w:rsidR="004817B7">
        <w:rPr>
          <w:rFonts w:ascii="Times New Roman" w:hAnsi="Times New Roman" w:cs="Times New Roman"/>
        </w:rPr>
        <w:t>?</w:t>
      </w:r>
      <w:r w:rsidR="00BE55D4">
        <w:rPr>
          <w:rFonts w:ascii="Times New Roman" w:hAnsi="Times New Roman" w:cs="Times New Roman"/>
        </w:rPr>
        <w:t xml:space="preserve">  Consider a repairing obligation in a lease. If it lies with the landlord, who</w:t>
      </w:r>
      <w:r w:rsidR="00BE55D4" w:rsidRPr="00C2215F">
        <w:rPr>
          <w:rFonts w:ascii="Times New Roman" w:hAnsi="Times New Roman" w:cs="Times New Roman"/>
        </w:rPr>
        <w:t xml:space="preserve"> commits a repudiatory breach</w:t>
      </w:r>
      <w:r w:rsidR="00BE55D4">
        <w:rPr>
          <w:rFonts w:ascii="Times New Roman" w:hAnsi="Times New Roman" w:cs="Times New Roman"/>
        </w:rPr>
        <w:t xml:space="preserve"> of the obligation, </w:t>
      </w:r>
      <w:r w:rsidR="001D26D1">
        <w:rPr>
          <w:rFonts w:ascii="Times New Roman" w:hAnsi="Times New Roman" w:cs="Times New Roman"/>
        </w:rPr>
        <w:t xml:space="preserve">in theory </w:t>
      </w:r>
      <w:r w:rsidR="00BE55D4">
        <w:rPr>
          <w:rFonts w:ascii="Times New Roman" w:hAnsi="Times New Roman" w:cs="Times New Roman"/>
        </w:rPr>
        <w:t>the tenant</w:t>
      </w:r>
      <w:r w:rsidR="00BE55D4" w:rsidRPr="00C2215F">
        <w:rPr>
          <w:rFonts w:ascii="Times New Roman" w:hAnsi="Times New Roman" w:cs="Times New Roman"/>
        </w:rPr>
        <w:t xml:space="preserve"> has only to elect to end the lease</w:t>
      </w:r>
      <w:r w:rsidR="00BE55D4">
        <w:rPr>
          <w:rFonts w:ascii="Times New Roman" w:hAnsi="Times New Roman" w:cs="Times New Roman"/>
        </w:rPr>
        <w:t xml:space="preserve"> to terminate it</w:t>
      </w:r>
      <w:r w:rsidR="00BE55D4" w:rsidRPr="00C2215F">
        <w:rPr>
          <w:rFonts w:ascii="Times New Roman" w:hAnsi="Times New Roman" w:cs="Times New Roman"/>
        </w:rPr>
        <w:t>, as there are no equivalent statutory provisions</w:t>
      </w:r>
      <w:r w:rsidR="00BE55D4">
        <w:rPr>
          <w:rFonts w:ascii="Times New Roman" w:hAnsi="Times New Roman" w:cs="Times New Roman"/>
        </w:rPr>
        <w:t xml:space="preserve"> for forfeiture</w:t>
      </w:r>
      <w:r w:rsidR="00BE55D4" w:rsidRPr="00C2215F">
        <w:rPr>
          <w:rFonts w:ascii="Times New Roman" w:hAnsi="Times New Roman" w:cs="Times New Roman"/>
        </w:rPr>
        <w:t>.</w:t>
      </w:r>
      <w:r w:rsidR="001D26D1">
        <w:rPr>
          <w:rStyle w:val="FootnoteReference"/>
          <w:rFonts w:ascii="Times New Roman" w:hAnsi="Times New Roman" w:cs="Times New Roman"/>
        </w:rPr>
        <w:footnoteReference w:id="67"/>
      </w:r>
      <w:r w:rsidR="00BE55D4">
        <w:rPr>
          <w:rFonts w:ascii="Times New Roman" w:hAnsi="Times New Roman" w:cs="Times New Roman"/>
        </w:rPr>
        <w:t xml:space="preserve">  Where the repairing </w:t>
      </w:r>
      <w:r w:rsidR="00751B98">
        <w:rPr>
          <w:rFonts w:ascii="Times New Roman" w:hAnsi="Times New Roman" w:cs="Times New Roman"/>
        </w:rPr>
        <w:t>obligation</w:t>
      </w:r>
      <w:r w:rsidR="00BE55D4">
        <w:rPr>
          <w:rFonts w:ascii="Times New Roman" w:hAnsi="Times New Roman" w:cs="Times New Roman"/>
        </w:rPr>
        <w:t xml:space="preserve"> is on the tenant, matters </w:t>
      </w:r>
      <w:r w:rsidR="00BD2EBB">
        <w:rPr>
          <w:rFonts w:ascii="Times New Roman" w:hAnsi="Times New Roman" w:cs="Times New Roman"/>
        </w:rPr>
        <w:t>differ</w:t>
      </w:r>
      <w:r w:rsidR="00BE55D4">
        <w:rPr>
          <w:rFonts w:ascii="Times New Roman" w:hAnsi="Times New Roman" w:cs="Times New Roman"/>
        </w:rPr>
        <w:t xml:space="preserve"> considerably for the landlord, who must make sure that they serve an appropriately worded s.146 notice, and the tenant will probably have the chance to make good the breach </w:t>
      </w:r>
      <w:r w:rsidR="00751B98">
        <w:rPr>
          <w:rFonts w:ascii="Times New Roman" w:hAnsi="Times New Roman" w:cs="Times New Roman"/>
        </w:rPr>
        <w:t xml:space="preserve">under the relief against forfeiture provisions </w:t>
      </w:r>
      <w:r w:rsidR="00BE55D4">
        <w:rPr>
          <w:rFonts w:ascii="Times New Roman" w:hAnsi="Times New Roman" w:cs="Times New Roman"/>
        </w:rPr>
        <w:t xml:space="preserve">and keep the lease, something the landlord would be denied </w:t>
      </w:r>
      <w:r w:rsidR="0080437D">
        <w:rPr>
          <w:rFonts w:ascii="Times New Roman" w:hAnsi="Times New Roman" w:cs="Times New Roman"/>
        </w:rPr>
        <w:t>if in breach of the same obligation.</w:t>
      </w:r>
      <w:r w:rsidR="00E05A38">
        <w:rPr>
          <w:rStyle w:val="FootnoteReference"/>
          <w:rFonts w:ascii="Times New Roman" w:hAnsi="Times New Roman" w:cs="Times New Roman"/>
        </w:rPr>
        <w:footnoteReference w:id="68"/>
      </w:r>
      <w:r w:rsidR="007F51D3">
        <w:rPr>
          <w:rFonts w:ascii="Times New Roman" w:hAnsi="Times New Roman" w:cs="Times New Roman"/>
        </w:rPr>
        <w:t xml:space="preserve">  </w:t>
      </w:r>
    </w:p>
    <w:p w14:paraId="71E64E4C" w14:textId="77777777" w:rsidR="00453551" w:rsidRDefault="00453551" w:rsidP="00BE55D4">
      <w:pPr>
        <w:jc w:val="both"/>
        <w:rPr>
          <w:rFonts w:ascii="Times New Roman" w:hAnsi="Times New Roman" w:cs="Times New Roman"/>
        </w:rPr>
      </w:pPr>
    </w:p>
    <w:p w14:paraId="49B7F742" w14:textId="6B24326F" w:rsidR="00776A71" w:rsidRDefault="00776A71" w:rsidP="00BE55D4">
      <w:pPr>
        <w:jc w:val="both"/>
        <w:rPr>
          <w:rFonts w:ascii="Times New Roman" w:hAnsi="Times New Roman" w:cs="Times New Roman"/>
        </w:rPr>
      </w:pPr>
      <w:r>
        <w:rPr>
          <w:rFonts w:ascii="Times New Roman" w:hAnsi="Times New Roman" w:cs="Times New Roman"/>
        </w:rPr>
        <w:t>The practical difference, of course, is that the threat of forfeiture is what might compel the tenant to remedy the lack of repair; the tenant, having no such threat would, without an action for repudiatory breach, have no way of forcing a landlord to remedy the breach, other than suing for breach of covenant.</w:t>
      </w:r>
      <w:r w:rsidR="001E10D8">
        <w:rPr>
          <w:rFonts w:ascii="Times New Roman" w:hAnsi="Times New Roman" w:cs="Times New Roman"/>
        </w:rPr>
        <w:t xml:space="preserve">  </w:t>
      </w:r>
      <w:r w:rsidR="007F51D3">
        <w:rPr>
          <w:rFonts w:ascii="Times New Roman" w:hAnsi="Times New Roman" w:cs="Times New Roman"/>
        </w:rPr>
        <w:t xml:space="preserve">It is easy to have sympathy with the tenant, particularly in a residential context, as they have more to lose than a landlord from the loss of the leasehold estate, </w:t>
      </w:r>
      <w:r>
        <w:rPr>
          <w:rFonts w:ascii="Times New Roman" w:hAnsi="Times New Roman" w:cs="Times New Roman"/>
        </w:rPr>
        <w:t>and repeated action for breach of covenant when premises are rendered uninhabitable seems repugnant.  In the more commercial sphere, such sympathy</w:t>
      </w:r>
      <w:r w:rsidR="004F0E95">
        <w:rPr>
          <w:rFonts w:ascii="Times New Roman" w:hAnsi="Times New Roman" w:cs="Times New Roman"/>
        </w:rPr>
        <w:t xml:space="preserve"> is harder to conjure,</w:t>
      </w:r>
      <w:r w:rsidR="001E10D8">
        <w:rPr>
          <w:rFonts w:ascii="Times New Roman" w:hAnsi="Times New Roman" w:cs="Times New Roman"/>
        </w:rPr>
        <w:t xml:space="preserve"> as the playing ground is often more equal between landlord and tenant.  Either the landlord or tenant may want to use the serious breach of the repairing obligation</w:t>
      </w:r>
      <w:r w:rsidR="00A808DA">
        <w:rPr>
          <w:rFonts w:ascii="Times New Roman" w:hAnsi="Times New Roman" w:cs="Times New Roman"/>
        </w:rPr>
        <w:t xml:space="preserve"> in the example provided</w:t>
      </w:r>
      <w:r w:rsidR="001E10D8">
        <w:rPr>
          <w:rFonts w:ascii="Times New Roman" w:hAnsi="Times New Roman" w:cs="Times New Roman"/>
        </w:rPr>
        <w:t xml:space="preserve"> as a </w:t>
      </w:r>
      <w:r w:rsidR="001E10D8">
        <w:rPr>
          <w:rFonts w:ascii="Times New Roman" w:hAnsi="Times New Roman" w:cs="Times New Roman"/>
        </w:rPr>
        <w:lastRenderedPageBreak/>
        <w:t>trigger to end the lease for other reasons.  The</w:t>
      </w:r>
      <w:r w:rsidR="001E10D8" w:rsidRPr="001E10D8">
        <w:rPr>
          <w:rFonts w:ascii="Times New Roman" w:hAnsi="Times New Roman" w:cs="Times New Roman"/>
          <w:lang w:val="en-US"/>
        </w:rPr>
        <w:t xml:space="preserve"> tenant might be a serial defaulter on rent, </w:t>
      </w:r>
      <w:r w:rsidR="001E10D8">
        <w:rPr>
          <w:rFonts w:ascii="Times New Roman" w:hAnsi="Times New Roman" w:cs="Times New Roman"/>
          <w:lang w:val="en-US"/>
        </w:rPr>
        <w:t xml:space="preserve">for example, </w:t>
      </w:r>
      <w:r w:rsidR="001E10D8" w:rsidRPr="001E10D8">
        <w:rPr>
          <w:rFonts w:ascii="Times New Roman" w:hAnsi="Times New Roman" w:cs="Times New Roman"/>
          <w:lang w:val="en-US"/>
        </w:rPr>
        <w:t xml:space="preserve">only paying </w:t>
      </w:r>
      <w:r w:rsidR="001E10D8">
        <w:rPr>
          <w:rFonts w:ascii="Times New Roman" w:hAnsi="Times New Roman" w:cs="Times New Roman"/>
          <w:lang w:val="en-US"/>
        </w:rPr>
        <w:t xml:space="preserve">when threatened by court action or the market conditions have changed since the tenant agreed a lease, </w:t>
      </w:r>
      <w:r w:rsidR="007B01D8">
        <w:rPr>
          <w:rFonts w:ascii="Times New Roman" w:hAnsi="Times New Roman" w:cs="Times New Roman"/>
          <w:lang w:val="en-US"/>
        </w:rPr>
        <w:t>or</w:t>
      </w:r>
      <w:r w:rsidR="001E10D8" w:rsidRPr="001E10D8">
        <w:rPr>
          <w:rFonts w:ascii="Times New Roman" w:hAnsi="Times New Roman" w:cs="Times New Roman"/>
          <w:lang w:val="en-US"/>
        </w:rPr>
        <w:t xml:space="preserve"> the tenant could obtain a (re-)letting at a much lower market rent</w:t>
      </w:r>
      <w:r w:rsidR="001E10D8">
        <w:rPr>
          <w:rFonts w:ascii="Times New Roman" w:hAnsi="Times New Roman" w:cs="Times New Roman"/>
          <w:lang w:val="en-US"/>
        </w:rPr>
        <w:t>.</w:t>
      </w:r>
      <w:r w:rsidR="0088157E">
        <w:rPr>
          <w:rFonts w:ascii="Times New Roman" w:hAnsi="Times New Roman" w:cs="Times New Roman"/>
          <w:lang w:val="en-US"/>
        </w:rPr>
        <w:t xml:space="preserve">  In such situations, only the tenant would be able to end the lease by election through repudiatory breach; the landlord would not, due to the relief against forfeiture provisions.</w:t>
      </w:r>
    </w:p>
    <w:p w14:paraId="3B4A5EEF" w14:textId="77777777" w:rsidR="00BE55D4" w:rsidRDefault="00BE55D4" w:rsidP="002C34EE">
      <w:pPr>
        <w:jc w:val="both"/>
        <w:rPr>
          <w:rFonts w:ascii="Times New Roman" w:hAnsi="Times New Roman" w:cs="Times New Roman"/>
        </w:rPr>
      </w:pPr>
    </w:p>
    <w:p w14:paraId="4CFAD350" w14:textId="50C8DDE7" w:rsidR="00AF2E94" w:rsidRDefault="00620508" w:rsidP="002933A4">
      <w:pPr>
        <w:jc w:val="both"/>
        <w:rPr>
          <w:rFonts w:ascii="Times New Roman" w:hAnsi="Times New Roman" w:cs="Times New Roman"/>
        </w:rPr>
      </w:pPr>
      <w:r>
        <w:rPr>
          <w:rFonts w:ascii="Times New Roman" w:hAnsi="Times New Roman" w:cs="Times New Roman"/>
        </w:rPr>
        <w:t xml:space="preserve">In </w:t>
      </w:r>
      <w:r w:rsidR="0057120E">
        <w:rPr>
          <w:rFonts w:ascii="Times New Roman" w:hAnsi="Times New Roman" w:cs="Times New Roman"/>
        </w:rPr>
        <w:t xml:space="preserve">closing the door on potential injustice to tenants by landlords, </w:t>
      </w:r>
      <w:r w:rsidR="00E6445D">
        <w:rPr>
          <w:rFonts w:ascii="Times New Roman" w:hAnsi="Times New Roman" w:cs="Times New Roman"/>
        </w:rPr>
        <w:t xml:space="preserve">the decision in </w:t>
      </w:r>
      <w:r w:rsidR="00E6445D" w:rsidRPr="009A096B">
        <w:rPr>
          <w:rFonts w:ascii="Times New Roman" w:hAnsi="Times New Roman" w:cs="Times New Roman"/>
          <w:i/>
        </w:rPr>
        <w:t>Abidogun</w:t>
      </w:r>
      <w:r w:rsidR="00EE3697">
        <w:rPr>
          <w:rFonts w:ascii="Times New Roman" w:hAnsi="Times New Roman" w:cs="Times New Roman"/>
        </w:rPr>
        <w:t xml:space="preserve"> has </w:t>
      </w:r>
      <w:r w:rsidR="0057120E">
        <w:rPr>
          <w:rFonts w:ascii="Times New Roman" w:hAnsi="Times New Roman" w:cs="Times New Roman"/>
        </w:rPr>
        <w:t xml:space="preserve">created </w:t>
      </w:r>
      <w:r w:rsidR="002933A4">
        <w:rPr>
          <w:rFonts w:ascii="Times New Roman" w:hAnsi="Times New Roman" w:cs="Times New Roman"/>
        </w:rPr>
        <w:t xml:space="preserve">a </w:t>
      </w:r>
      <w:r w:rsidR="007C6C4C">
        <w:rPr>
          <w:rFonts w:ascii="Times New Roman" w:hAnsi="Times New Roman" w:cs="Times New Roman"/>
        </w:rPr>
        <w:t>quandary, however well-</w:t>
      </w:r>
      <w:r w:rsidR="0057120E">
        <w:rPr>
          <w:rFonts w:ascii="Times New Roman" w:hAnsi="Times New Roman" w:cs="Times New Roman"/>
        </w:rPr>
        <w:t>intentioned the motives</w:t>
      </w:r>
      <w:r w:rsidR="002933A4">
        <w:rPr>
          <w:rFonts w:ascii="Times New Roman" w:hAnsi="Times New Roman" w:cs="Times New Roman"/>
        </w:rPr>
        <w:t xml:space="preserve">, that the efficacy of </w:t>
      </w:r>
      <w:r w:rsidR="00EE3697">
        <w:rPr>
          <w:rFonts w:ascii="Times New Roman" w:hAnsi="Times New Roman" w:cs="Times New Roman"/>
        </w:rPr>
        <w:t>an action for repudiatory breach</w:t>
      </w:r>
      <w:r w:rsidR="002933A4">
        <w:rPr>
          <w:rFonts w:ascii="Times New Roman" w:hAnsi="Times New Roman" w:cs="Times New Roman"/>
        </w:rPr>
        <w:t>, and its baseline operation, varies greatly depending on the party accessing it</w:t>
      </w:r>
      <w:r w:rsidR="00815167">
        <w:rPr>
          <w:rFonts w:ascii="Times New Roman" w:hAnsi="Times New Roman" w:cs="Times New Roman"/>
        </w:rPr>
        <w:t>, and moved the injustice from the landlord to the tenant.</w:t>
      </w:r>
      <w:r w:rsidR="008D386D">
        <w:rPr>
          <w:rFonts w:ascii="Times New Roman" w:hAnsi="Times New Roman" w:cs="Times New Roman"/>
        </w:rPr>
        <w:t xml:space="preserve"> </w:t>
      </w:r>
      <w:r w:rsidR="00CF67F4">
        <w:rPr>
          <w:rFonts w:ascii="Times New Roman" w:hAnsi="Times New Roman" w:cs="Times New Roman"/>
        </w:rPr>
        <w:t>This also takes English law further away from some of its Commonwe</w:t>
      </w:r>
      <w:r w:rsidR="002933A4">
        <w:rPr>
          <w:rFonts w:ascii="Times New Roman" w:hAnsi="Times New Roman" w:cs="Times New Roman"/>
        </w:rPr>
        <w:t>alth cousins.</w:t>
      </w:r>
      <w:r w:rsidR="00AF2E94">
        <w:rPr>
          <w:rFonts w:ascii="Times New Roman" w:hAnsi="Times New Roman" w:cs="Times New Roman"/>
        </w:rPr>
        <w:t xml:space="preserve"> </w:t>
      </w:r>
      <w:r w:rsidR="002933A4">
        <w:rPr>
          <w:rFonts w:ascii="Times New Roman" w:hAnsi="Times New Roman" w:cs="Times New Roman"/>
        </w:rPr>
        <w:t xml:space="preserve">In </w:t>
      </w:r>
      <w:r w:rsidR="00C2354E">
        <w:rPr>
          <w:rFonts w:ascii="Times New Roman" w:hAnsi="Times New Roman" w:cs="Times New Roman"/>
        </w:rPr>
        <w:t>Australia</w:t>
      </w:r>
      <w:r w:rsidR="00AF2E94">
        <w:rPr>
          <w:rFonts w:ascii="Times New Roman" w:hAnsi="Times New Roman" w:cs="Times New Roman"/>
        </w:rPr>
        <w:t>, for example, the landlord’s right to accept a repudiatory breach by the tenant is</w:t>
      </w:r>
      <w:r w:rsidR="002933A4">
        <w:rPr>
          <w:rFonts w:ascii="Times New Roman" w:hAnsi="Times New Roman" w:cs="Times New Roman"/>
        </w:rPr>
        <w:t xml:space="preserve"> </w:t>
      </w:r>
      <w:r w:rsidR="00AF2E94">
        <w:rPr>
          <w:rFonts w:ascii="Times New Roman" w:hAnsi="Times New Roman" w:cs="Times New Roman"/>
        </w:rPr>
        <w:t xml:space="preserve">seen as an </w:t>
      </w:r>
      <w:r w:rsidR="002933A4">
        <w:rPr>
          <w:rFonts w:ascii="Times New Roman" w:hAnsi="Times New Roman" w:cs="Times New Roman"/>
        </w:rPr>
        <w:t>alternative</w:t>
      </w:r>
      <w:r w:rsidR="00AF2E94">
        <w:rPr>
          <w:rFonts w:ascii="Times New Roman" w:hAnsi="Times New Roman" w:cs="Times New Roman"/>
        </w:rPr>
        <w:t>, contractual means of ending the lease, alter</w:t>
      </w:r>
      <w:r w:rsidR="002933A4">
        <w:rPr>
          <w:rFonts w:ascii="Times New Roman" w:hAnsi="Times New Roman" w:cs="Times New Roman"/>
        </w:rPr>
        <w:t>native to a right of forfeiture, in which any question of serving a forfeiture notice ‘becomes an irrelevance’.</w:t>
      </w:r>
      <w:r w:rsidR="00AF2E94">
        <w:rPr>
          <w:rStyle w:val="FootnoteReference"/>
          <w:rFonts w:ascii="Times New Roman" w:hAnsi="Times New Roman" w:cs="Times New Roman"/>
        </w:rPr>
        <w:footnoteReference w:id="69"/>
      </w:r>
    </w:p>
    <w:p w14:paraId="694F0A56" w14:textId="77777777" w:rsidR="00850513" w:rsidRDefault="00850513" w:rsidP="00850513">
      <w:pPr>
        <w:jc w:val="both"/>
        <w:rPr>
          <w:rFonts w:ascii="Times New Roman" w:hAnsi="Times New Roman" w:cs="Times New Roman"/>
        </w:rPr>
      </w:pPr>
    </w:p>
    <w:p w14:paraId="6E7665EE" w14:textId="092E31B2" w:rsidR="009F0404" w:rsidRPr="009F0404" w:rsidRDefault="009F0404" w:rsidP="009F0404">
      <w:pPr>
        <w:pStyle w:val="ListParagraph"/>
        <w:numPr>
          <w:ilvl w:val="0"/>
          <w:numId w:val="13"/>
        </w:numPr>
        <w:jc w:val="both"/>
        <w:rPr>
          <w:rFonts w:ascii="Times New Roman" w:hAnsi="Times New Roman" w:cs="Times New Roman"/>
        </w:rPr>
      </w:pPr>
      <w:r>
        <w:rPr>
          <w:rFonts w:ascii="Times New Roman" w:hAnsi="Times New Roman" w:cs="Times New Roman"/>
        </w:rPr>
        <w:t>A Right to Prospective Damages Post-Termination for Loss of Bargain?</w:t>
      </w:r>
    </w:p>
    <w:p w14:paraId="67268D3B" w14:textId="77777777" w:rsidR="007117EE" w:rsidRDefault="007117EE" w:rsidP="00AD45AD">
      <w:pPr>
        <w:jc w:val="both"/>
        <w:rPr>
          <w:rFonts w:ascii="Times New Roman" w:hAnsi="Times New Roman" w:cs="Times New Roman"/>
        </w:rPr>
      </w:pPr>
    </w:p>
    <w:p w14:paraId="62A02B14" w14:textId="3FE51A39" w:rsidR="005A0F85" w:rsidRDefault="00942D1E" w:rsidP="00CC2127">
      <w:pPr>
        <w:jc w:val="both"/>
        <w:rPr>
          <w:rFonts w:ascii="Times New Roman" w:hAnsi="Times New Roman" w:cs="Times New Roman"/>
        </w:rPr>
      </w:pPr>
      <w:r>
        <w:rPr>
          <w:rFonts w:ascii="Times New Roman" w:hAnsi="Times New Roman" w:cs="Times New Roman"/>
        </w:rPr>
        <w:t xml:space="preserve">A second, significant issue identified </w:t>
      </w:r>
      <w:r w:rsidR="0008047A">
        <w:rPr>
          <w:rFonts w:ascii="Times New Roman" w:hAnsi="Times New Roman" w:cs="Times New Roman"/>
        </w:rPr>
        <w:t xml:space="preserve">with termination of lease via repudiatory breach </w:t>
      </w:r>
      <w:r w:rsidR="00F7479E">
        <w:rPr>
          <w:rFonts w:ascii="Times New Roman" w:hAnsi="Times New Roman" w:cs="Times New Roman"/>
        </w:rPr>
        <w:t>concerns</w:t>
      </w:r>
      <w:r>
        <w:rPr>
          <w:rFonts w:ascii="Times New Roman" w:hAnsi="Times New Roman" w:cs="Times New Roman"/>
        </w:rPr>
        <w:t xml:space="preserve"> the availability or otherwise of prospective damages on the termination of the lease.  This is an alien concept if the lease is viewed </w:t>
      </w:r>
      <w:r w:rsidR="00F7479E">
        <w:rPr>
          <w:rFonts w:ascii="Times New Roman" w:hAnsi="Times New Roman" w:cs="Times New Roman"/>
        </w:rPr>
        <w:t>simply through</w:t>
      </w:r>
      <w:r>
        <w:rPr>
          <w:rFonts w:ascii="Times New Roman" w:hAnsi="Times New Roman" w:cs="Times New Roman"/>
        </w:rPr>
        <w:t xml:space="preserve"> a property lens, as once the estate terminates all future liability ceases</w:t>
      </w:r>
      <w:r w:rsidR="005A0F85">
        <w:rPr>
          <w:rFonts w:ascii="Times New Roman" w:hAnsi="Times New Roman" w:cs="Times New Roman"/>
        </w:rPr>
        <w:t>.</w:t>
      </w:r>
      <w:r w:rsidR="005A0F85">
        <w:rPr>
          <w:rStyle w:val="FootnoteReference"/>
          <w:rFonts w:ascii="Times New Roman" w:hAnsi="Times New Roman" w:cs="Times New Roman"/>
        </w:rPr>
        <w:footnoteReference w:id="70"/>
      </w:r>
      <w:r w:rsidR="005A0F85">
        <w:rPr>
          <w:rFonts w:ascii="Times New Roman" w:hAnsi="Times New Roman" w:cs="Times New Roman"/>
        </w:rPr>
        <w:t xml:space="preserve">  Prospective damages, as a secondary action for loss of bargain damages throughout the duration of the original contract, are, however, a feature of contract law, as identified above.</w:t>
      </w:r>
      <w:r w:rsidR="005A0F85">
        <w:rPr>
          <w:rStyle w:val="FootnoteReference"/>
          <w:rFonts w:ascii="Times New Roman" w:hAnsi="Times New Roman" w:cs="Times New Roman"/>
        </w:rPr>
        <w:footnoteReference w:id="71"/>
      </w:r>
      <w:r w:rsidR="005A0F85">
        <w:rPr>
          <w:rFonts w:ascii="Times New Roman" w:hAnsi="Times New Roman" w:cs="Times New Roman"/>
        </w:rPr>
        <w:t xml:space="preserve"> </w:t>
      </w:r>
    </w:p>
    <w:p w14:paraId="257CDD18" w14:textId="77777777" w:rsidR="00672A22" w:rsidRDefault="00672A22" w:rsidP="00CC2127">
      <w:pPr>
        <w:jc w:val="both"/>
        <w:rPr>
          <w:rFonts w:ascii="Times New Roman" w:hAnsi="Times New Roman" w:cs="Times New Roman"/>
        </w:rPr>
      </w:pPr>
    </w:p>
    <w:p w14:paraId="6F4CE9D7" w14:textId="22819CF1" w:rsidR="00761A81" w:rsidRDefault="00D878FB" w:rsidP="00CC2127">
      <w:pPr>
        <w:jc w:val="both"/>
        <w:rPr>
          <w:rFonts w:ascii="Times New Roman" w:hAnsi="Times New Roman" w:cs="Times New Roman"/>
        </w:rPr>
      </w:pPr>
      <w:r>
        <w:rPr>
          <w:rFonts w:ascii="Times New Roman" w:hAnsi="Times New Roman" w:cs="Times New Roman"/>
        </w:rPr>
        <w:t xml:space="preserve">The attractions of prospective damages, particularly to landlords, are twofold. </w:t>
      </w:r>
      <w:r w:rsidR="009B533F">
        <w:rPr>
          <w:rFonts w:ascii="Times New Roman" w:hAnsi="Times New Roman" w:cs="Times New Roman"/>
        </w:rPr>
        <w:t xml:space="preserve">First, </w:t>
      </w:r>
      <w:r w:rsidR="00D85996">
        <w:rPr>
          <w:rFonts w:ascii="Times New Roman" w:hAnsi="Times New Roman" w:cs="Times New Roman"/>
        </w:rPr>
        <w:t xml:space="preserve">that </w:t>
      </w:r>
      <w:r w:rsidR="009B533F">
        <w:rPr>
          <w:rFonts w:ascii="Times New Roman" w:hAnsi="Times New Roman" w:cs="Times New Roman"/>
        </w:rPr>
        <w:t>landlords</w:t>
      </w:r>
      <w:r w:rsidR="00D85996">
        <w:rPr>
          <w:rFonts w:ascii="Times New Roman" w:hAnsi="Times New Roman" w:cs="Times New Roman"/>
        </w:rPr>
        <w:t xml:space="preserve"> may make the tenant essentially a ‘involuntary guarantor of the rent’</w:t>
      </w:r>
      <w:r w:rsidR="00D85996">
        <w:rPr>
          <w:rStyle w:val="FootnoteReference"/>
          <w:rFonts w:ascii="Times New Roman" w:hAnsi="Times New Roman" w:cs="Times New Roman"/>
        </w:rPr>
        <w:footnoteReference w:id="72"/>
      </w:r>
      <w:r w:rsidR="004C0D0E">
        <w:rPr>
          <w:rFonts w:ascii="Times New Roman" w:hAnsi="Times New Roman" w:cs="Times New Roman"/>
        </w:rPr>
        <w:t xml:space="preserve"> on ending a lease by repudiatory breach</w:t>
      </w:r>
      <w:r w:rsidR="00AB396F">
        <w:rPr>
          <w:rFonts w:ascii="Times New Roman" w:hAnsi="Times New Roman" w:cs="Times New Roman"/>
        </w:rPr>
        <w:t>.</w:t>
      </w:r>
      <w:r w:rsidR="00DA3698">
        <w:rPr>
          <w:rFonts w:ascii="Times New Roman" w:hAnsi="Times New Roman" w:cs="Times New Roman"/>
        </w:rPr>
        <w:t xml:space="preserve">  </w:t>
      </w:r>
      <w:r w:rsidR="00002E42">
        <w:rPr>
          <w:rFonts w:ascii="Times New Roman" w:hAnsi="Times New Roman" w:cs="Times New Roman"/>
        </w:rPr>
        <w:t xml:space="preserve">Although the estate would have ended, the tenant has contracted for the original period of the lease, so that the secondary obligation to pay damages would remain.  Hence, if the landlord was unable to relet the premises at all or for a period of time, or agreed a new tenancy at a lower rent than the original tenancy, a claim could be made in damages for the rent owing or the diminution in the value of the rent.  </w:t>
      </w:r>
      <w:r w:rsidR="005336E1">
        <w:rPr>
          <w:rFonts w:ascii="Times New Roman" w:hAnsi="Times New Roman" w:cs="Times New Roman"/>
        </w:rPr>
        <w:t>The availability of such contractual damages was an accepted consequence in Commonwealth countries such as Canada and Australia of the</w:t>
      </w:r>
      <w:r w:rsidR="0075139F">
        <w:rPr>
          <w:rFonts w:ascii="Times New Roman" w:hAnsi="Times New Roman" w:cs="Times New Roman"/>
        </w:rPr>
        <w:t xml:space="preserve"> application of contractual principles to leases.</w:t>
      </w:r>
      <w:r w:rsidR="0075139F">
        <w:rPr>
          <w:rStyle w:val="FootnoteReference"/>
          <w:rFonts w:ascii="Times New Roman" w:hAnsi="Times New Roman" w:cs="Times New Roman"/>
        </w:rPr>
        <w:footnoteReference w:id="73"/>
      </w:r>
      <w:r w:rsidR="005336E1">
        <w:rPr>
          <w:rFonts w:ascii="Times New Roman" w:hAnsi="Times New Roman" w:cs="Times New Roman"/>
        </w:rPr>
        <w:t xml:space="preserve"> </w:t>
      </w:r>
      <w:r w:rsidR="009B533F">
        <w:rPr>
          <w:rFonts w:ascii="Times New Roman" w:hAnsi="Times New Roman" w:cs="Times New Roman"/>
        </w:rPr>
        <w:t xml:space="preserve"> Second</w:t>
      </w:r>
      <w:r w:rsidR="00AB396F">
        <w:rPr>
          <w:rFonts w:ascii="Times New Roman" w:hAnsi="Times New Roman" w:cs="Times New Roman"/>
        </w:rPr>
        <w:t>ly</w:t>
      </w:r>
      <w:r w:rsidR="009B533F">
        <w:rPr>
          <w:rFonts w:ascii="Times New Roman" w:hAnsi="Times New Roman" w:cs="Times New Roman"/>
        </w:rPr>
        <w:t xml:space="preserve">, and related to the first, </w:t>
      </w:r>
      <w:r w:rsidR="00002E42">
        <w:rPr>
          <w:rFonts w:ascii="Times New Roman" w:hAnsi="Times New Roman" w:cs="Times New Roman"/>
        </w:rPr>
        <w:t>the availability of prospective damages</w:t>
      </w:r>
      <w:r w:rsidR="009B533F">
        <w:rPr>
          <w:rFonts w:ascii="Times New Roman" w:hAnsi="Times New Roman" w:cs="Times New Roman"/>
        </w:rPr>
        <w:t xml:space="preserve"> would avoid the landlord retaining property which could otherwise be relet, as, even where a tenant has abandoned the premises and has no intention of performing the contract, a landlord could, without th</w:t>
      </w:r>
      <w:r w:rsidR="00D14F70">
        <w:rPr>
          <w:rFonts w:ascii="Times New Roman" w:hAnsi="Times New Roman" w:cs="Times New Roman"/>
        </w:rPr>
        <w:t>e cushion of loss of bargain damages</w:t>
      </w:r>
      <w:r w:rsidR="009B533F">
        <w:rPr>
          <w:rFonts w:ascii="Times New Roman" w:hAnsi="Times New Roman" w:cs="Times New Roman"/>
        </w:rPr>
        <w:t>, elect to keep the lease alive and simply sue for rent as it became due.</w:t>
      </w:r>
      <w:r w:rsidR="001C54E3">
        <w:rPr>
          <w:rFonts w:ascii="Times New Roman" w:hAnsi="Times New Roman" w:cs="Times New Roman"/>
        </w:rPr>
        <w:t xml:space="preserve"> </w:t>
      </w:r>
    </w:p>
    <w:p w14:paraId="5CCAED37" w14:textId="77777777" w:rsidR="00672A22" w:rsidRDefault="00672A22" w:rsidP="00CC2127">
      <w:pPr>
        <w:jc w:val="both"/>
        <w:rPr>
          <w:rFonts w:ascii="Times New Roman" w:hAnsi="Times New Roman" w:cs="Times New Roman"/>
        </w:rPr>
      </w:pPr>
    </w:p>
    <w:p w14:paraId="71C3CD06" w14:textId="3E2FDB53" w:rsidR="00F96AA3" w:rsidRDefault="00672A22" w:rsidP="00F96AA3">
      <w:pPr>
        <w:jc w:val="both"/>
        <w:rPr>
          <w:rFonts w:ascii="Times New Roman" w:hAnsi="Times New Roman" w:cs="Times New Roman"/>
        </w:rPr>
      </w:pPr>
      <w:r w:rsidRPr="004C0D0E">
        <w:rPr>
          <w:rFonts w:ascii="Times New Roman" w:hAnsi="Times New Roman" w:cs="Times New Roman"/>
          <w:i/>
        </w:rPr>
        <w:lastRenderedPageBreak/>
        <w:t>Reichman</w:t>
      </w:r>
      <w:r>
        <w:rPr>
          <w:rFonts w:ascii="Times New Roman" w:hAnsi="Times New Roman" w:cs="Times New Roman"/>
        </w:rPr>
        <w:t xml:space="preserve"> v </w:t>
      </w:r>
      <w:r w:rsidRPr="004C0D0E">
        <w:rPr>
          <w:rFonts w:ascii="Times New Roman" w:hAnsi="Times New Roman" w:cs="Times New Roman"/>
          <w:i/>
        </w:rPr>
        <w:t>Beveridge</w:t>
      </w:r>
      <w:r w:rsidR="00151800" w:rsidRPr="00F96AA3">
        <w:rPr>
          <w:rStyle w:val="FootnoteReference"/>
          <w:rFonts w:ascii="Times New Roman" w:hAnsi="Times New Roman" w:cs="Times New Roman"/>
        </w:rPr>
        <w:footnoteReference w:id="74"/>
      </w:r>
      <w:r w:rsidR="00151800">
        <w:rPr>
          <w:rFonts w:ascii="Times New Roman" w:hAnsi="Times New Roman" w:cs="Times New Roman"/>
          <w:i/>
        </w:rPr>
        <w:t xml:space="preserve"> </w:t>
      </w:r>
      <w:r w:rsidR="00151800">
        <w:rPr>
          <w:rFonts w:ascii="Times New Roman" w:hAnsi="Times New Roman" w:cs="Times New Roman"/>
        </w:rPr>
        <w:t>would appear to have put an end to the availability of prospective damages in English law</w:t>
      </w:r>
      <w:r w:rsidR="00F10361">
        <w:rPr>
          <w:rFonts w:ascii="Times New Roman" w:hAnsi="Times New Roman" w:cs="Times New Roman"/>
        </w:rPr>
        <w:t xml:space="preserve"> on termination of a lease by repudiatory breach</w:t>
      </w:r>
      <w:r w:rsidR="00151800">
        <w:rPr>
          <w:rFonts w:ascii="Times New Roman" w:hAnsi="Times New Roman" w:cs="Times New Roman"/>
        </w:rPr>
        <w:t>.</w:t>
      </w:r>
      <w:r w:rsidR="003372B0">
        <w:rPr>
          <w:rFonts w:ascii="Times New Roman" w:hAnsi="Times New Roman" w:cs="Times New Roman"/>
        </w:rPr>
        <w:t xml:space="preserve">  </w:t>
      </w:r>
      <w:r w:rsidR="000E4028">
        <w:rPr>
          <w:rFonts w:ascii="Times New Roman" w:hAnsi="Times New Roman" w:cs="Times New Roman"/>
        </w:rPr>
        <w:t xml:space="preserve">There is a general principle that where a repudiatory breach of contract occurs, the innocent part who elects to </w:t>
      </w:r>
      <w:r w:rsidR="0077320E">
        <w:rPr>
          <w:rFonts w:ascii="Times New Roman" w:hAnsi="Times New Roman" w:cs="Times New Roman"/>
        </w:rPr>
        <w:t>continue</w:t>
      </w:r>
      <w:r w:rsidR="000E4028">
        <w:rPr>
          <w:rFonts w:ascii="Times New Roman" w:hAnsi="Times New Roman" w:cs="Times New Roman"/>
        </w:rPr>
        <w:t xml:space="preserve"> with the contract is under a duty to mitigate the loss.</w:t>
      </w:r>
      <w:r w:rsidR="005D2762">
        <w:rPr>
          <w:rStyle w:val="FootnoteReference"/>
          <w:rFonts w:ascii="Times New Roman" w:hAnsi="Times New Roman" w:cs="Times New Roman"/>
        </w:rPr>
        <w:footnoteReference w:id="75"/>
      </w:r>
      <w:r w:rsidR="000E4028">
        <w:rPr>
          <w:rFonts w:ascii="Times New Roman" w:hAnsi="Times New Roman" w:cs="Times New Roman"/>
        </w:rPr>
        <w:t xml:space="preserve">  In </w:t>
      </w:r>
      <w:r w:rsidR="000E4028">
        <w:rPr>
          <w:rFonts w:ascii="Times New Roman" w:hAnsi="Times New Roman" w:cs="Times New Roman"/>
          <w:i/>
        </w:rPr>
        <w:t>Recihman</w:t>
      </w:r>
      <w:r w:rsidR="000E4028">
        <w:rPr>
          <w:rFonts w:ascii="Times New Roman" w:hAnsi="Times New Roman" w:cs="Times New Roman"/>
        </w:rPr>
        <w:t xml:space="preserve">, </w:t>
      </w:r>
      <w:r w:rsidR="003372B0">
        <w:rPr>
          <w:rFonts w:ascii="Times New Roman" w:hAnsi="Times New Roman" w:cs="Times New Roman"/>
        </w:rPr>
        <w:t>the tenants asserted that</w:t>
      </w:r>
      <w:r w:rsidR="00F96AA3">
        <w:rPr>
          <w:rFonts w:ascii="Times New Roman" w:hAnsi="Times New Roman" w:cs="Times New Roman"/>
        </w:rPr>
        <w:t xml:space="preserve"> the</w:t>
      </w:r>
      <w:r w:rsidR="003372B0">
        <w:rPr>
          <w:rFonts w:ascii="Times New Roman" w:hAnsi="Times New Roman" w:cs="Times New Roman"/>
        </w:rPr>
        <w:t xml:space="preserve"> </w:t>
      </w:r>
      <w:r w:rsidR="003372B0" w:rsidRPr="00C2215F">
        <w:rPr>
          <w:rFonts w:ascii="Times New Roman" w:hAnsi="Times New Roman" w:cs="Times New Roman"/>
        </w:rPr>
        <w:t>landlord had failed to mitigate his loss by forfeiting the lease and seeking to re</w:t>
      </w:r>
      <w:r w:rsidR="003372B0">
        <w:rPr>
          <w:rFonts w:ascii="Times New Roman" w:hAnsi="Times New Roman" w:cs="Times New Roman"/>
        </w:rPr>
        <w:t xml:space="preserve">-let it.  Their argument thus depended on establishing that (a) </w:t>
      </w:r>
      <w:r w:rsidR="00DC4CDC">
        <w:rPr>
          <w:rFonts w:ascii="Times New Roman" w:hAnsi="Times New Roman" w:cs="Times New Roman"/>
        </w:rPr>
        <w:t>if the landlord terminated the tenancy and took steps to relet, he could recover any loss by way of a claim in (loss of bargain) damages and (b) that it would be unreasonable for the landlord not to terminate the tenancy and instead continue to sue for rent as it became due.  Lloyd LJ</w:t>
      </w:r>
      <w:r w:rsidR="0000146D">
        <w:rPr>
          <w:rFonts w:ascii="Times New Roman" w:hAnsi="Times New Roman" w:cs="Times New Roman"/>
        </w:rPr>
        <w:t xml:space="preserve"> </w:t>
      </w:r>
      <w:r w:rsidR="00DC4CDC">
        <w:rPr>
          <w:rFonts w:ascii="Times New Roman" w:hAnsi="Times New Roman" w:cs="Times New Roman"/>
        </w:rPr>
        <w:t>disagreed with both of these points</w:t>
      </w:r>
      <w:r w:rsidR="0056060E">
        <w:rPr>
          <w:rFonts w:ascii="Times New Roman" w:hAnsi="Times New Roman" w:cs="Times New Roman"/>
        </w:rPr>
        <w:t>, despite having been referred to Commonwealth authorities supporting these arguments</w:t>
      </w:r>
      <w:r w:rsidR="00F96AA3">
        <w:rPr>
          <w:rFonts w:ascii="Times New Roman" w:hAnsi="Times New Roman" w:cs="Times New Roman"/>
        </w:rPr>
        <w:t>:</w:t>
      </w:r>
    </w:p>
    <w:p w14:paraId="507E45A9" w14:textId="77777777" w:rsidR="00F96AA3" w:rsidRDefault="00F96AA3" w:rsidP="00F96AA3">
      <w:pPr>
        <w:jc w:val="both"/>
        <w:rPr>
          <w:rFonts w:ascii="Times New Roman" w:hAnsi="Times New Roman" w:cs="Times New Roman"/>
        </w:rPr>
      </w:pPr>
    </w:p>
    <w:p w14:paraId="5292E53C" w14:textId="5F6F49DD" w:rsidR="00DC4CDC" w:rsidRDefault="00DC4CDC" w:rsidP="00F96AA3">
      <w:pPr>
        <w:ind w:left="720"/>
        <w:jc w:val="both"/>
        <w:rPr>
          <w:rFonts w:ascii="Times New Roman" w:hAnsi="Times New Roman" w:cs="Times New Roman"/>
        </w:rPr>
      </w:pPr>
      <w:r w:rsidRPr="00C2215F">
        <w:rPr>
          <w:rFonts w:ascii="Times New Roman" w:hAnsi="Times New Roman" w:cs="Times New Roman"/>
        </w:rPr>
        <w:t>There is, however, no case in English law that shows that a landlord can recover damages from a former tenant in respect of loss of future rent after termination</w:t>
      </w:r>
      <w:r w:rsidR="00F96AA3">
        <w:rPr>
          <w:rFonts w:ascii="Times New Roman" w:hAnsi="Times New Roman" w:cs="Times New Roman"/>
        </w:rPr>
        <w:t>…</w:t>
      </w:r>
      <w:r w:rsidRPr="00C2215F">
        <w:rPr>
          <w:rFonts w:ascii="Times New Roman" w:hAnsi="Times New Roman" w:cs="Times New Roman"/>
        </w:rPr>
        <w:t>In those circumstances, either damages are not an adequate remedy for the landlord, or at least the landlord would be acting reasonably in taking the view that he should not terminate the lease because he may well not b</w:t>
      </w:r>
      <w:r w:rsidR="00F96AA3">
        <w:rPr>
          <w:rFonts w:ascii="Times New Roman" w:hAnsi="Times New Roman" w:cs="Times New Roman"/>
        </w:rPr>
        <w:t>e able to recover such damages.</w:t>
      </w:r>
    </w:p>
    <w:p w14:paraId="0A08A2F7" w14:textId="77777777" w:rsidR="00DC4CDC" w:rsidRDefault="00DC4CDC" w:rsidP="00CC2127">
      <w:pPr>
        <w:jc w:val="both"/>
        <w:rPr>
          <w:rFonts w:ascii="Times New Roman" w:hAnsi="Times New Roman" w:cs="Times New Roman"/>
        </w:rPr>
      </w:pPr>
    </w:p>
    <w:p w14:paraId="429E194A" w14:textId="2E229B1B" w:rsidR="000C7EC4" w:rsidRDefault="000C7EC4" w:rsidP="00CC2127">
      <w:pPr>
        <w:jc w:val="both"/>
        <w:rPr>
          <w:rFonts w:ascii="Times New Roman" w:hAnsi="Times New Roman" w:cs="Times New Roman"/>
        </w:rPr>
      </w:pPr>
      <w:r>
        <w:rPr>
          <w:rFonts w:ascii="Times New Roman" w:hAnsi="Times New Roman" w:cs="Times New Roman"/>
        </w:rPr>
        <w:t xml:space="preserve">Lloyd LJ noted that a landlord would, of course, forfeit and relet where market conditions were favourable, but given that there was no right to sue the tenant for any loss of rent on a relettting at a lower rate, the landlord’s option of keeping the existing tenancy alive and suing for rent as it became due was sensible and practical.  There was no duty to mitigate damages here, as rent was a debt, not damages.  </w:t>
      </w:r>
    </w:p>
    <w:p w14:paraId="463D062C" w14:textId="77777777" w:rsidR="000C7EC4" w:rsidRDefault="000C7EC4" w:rsidP="00CC2127">
      <w:pPr>
        <w:jc w:val="both"/>
        <w:rPr>
          <w:rFonts w:ascii="Times New Roman" w:hAnsi="Times New Roman" w:cs="Times New Roman"/>
        </w:rPr>
      </w:pPr>
    </w:p>
    <w:p w14:paraId="2D430C6C" w14:textId="0659C796" w:rsidR="00F9586A" w:rsidRDefault="00F9586A" w:rsidP="00CC2127">
      <w:pPr>
        <w:jc w:val="both"/>
        <w:rPr>
          <w:rFonts w:ascii="Times New Roman" w:hAnsi="Times New Roman" w:cs="Times New Roman"/>
        </w:rPr>
      </w:pPr>
      <w:r>
        <w:rPr>
          <w:rFonts w:ascii="Times New Roman" w:hAnsi="Times New Roman" w:cs="Times New Roman"/>
        </w:rPr>
        <w:t xml:space="preserve">Later in the same judgment, </w:t>
      </w:r>
      <w:r w:rsidR="000C7EC4">
        <w:rPr>
          <w:rFonts w:ascii="Times New Roman" w:hAnsi="Times New Roman" w:cs="Times New Roman"/>
        </w:rPr>
        <w:t>he put the matter of prospective damages beyond doubt:</w:t>
      </w:r>
    </w:p>
    <w:p w14:paraId="00405604" w14:textId="591BC16E" w:rsidR="00F9586A" w:rsidRDefault="000C7EC4" w:rsidP="00CC2127">
      <w:pPr>
        <w:jc w:val="both"/>
        <w:rPr>
          <w:rFonts w:ascii="Times New Roman" w:hAnsi="Times New Roman" w:cs="Times New Roman"/>
        </w:rPr>
      </w:pPr>
      <w:r>
        <w:rPr>
          <w:rFonts w:ascii="Times New Roman" w:hAnsi="Times New Roman" w:cs="Times New Roman"/>
        </w:rPr>
        <w:t xml:space="preserve"> </w:t>
      </w:r>
    </w:p>
    <w:p w14:paraId="61C9744F" w14:textId="4A9811A0" w:rsidR="00DC4CDC" w:rsidRPr="00C2215F" w:rsidRDefault="00DC4CDC" w:rsidP="00AB33EC">
      <w:pPr>
        <w:ind w:left="720"/>
        <w:jc w:val="both"/>
        <w:rPr>
          <w:rFonts w:ascii="Times New Roman" w:hAnsi="Times New Roman" w:cs="Times New Roman"/>
        </w:rPr>
      </w:pPr>
      <w:r w:rsidRPr="00C2215F">
        <w:rPr>
          <w:rFonts w:ascii="Times New Roman" w:hAnsi="Times New Roman" w:cs="Times New Roman"/>
        </w:rPr>
        <w:t>It may be a logical development to hold that a landlord, having forfeited the lease, can recover damages for the loss of future rent, at least if the breach which led to the forfeiture was fundamental and repudiatory, but it does not seem to me that Eng</w:t>
      </w:r>
      <w:r w:rsidR="000C7EC4">
        <w:rPr>
          <w:rFonts w:ascii="Times New Roman" w:hAnsi="Times New Roman" w:cs="Times New Roman"/>
        </w:rPr>
        <w:t>lish law has reached that stage.</w:t>
      </w:r>
      <w:r>
        <w:rPr>
          <w:rStyle w:val="FootnoteReference"/>
          <w:rFonts w:ascii="Times New Roman" w:hAnsi="Times New Roman" w:cs="Times New Roman"/>
        </w:rPr>
        <w:footnoteReference w:id="76"/>
      </w:r>
    </w:p>
    <w:p w14:paraId="7D223F3D" w14:textId="77777777" w:rsidR="00DC4CDC" w:rsidRPr="004C1344" w:rsidRDefault="00DC4CDC" w:rsidP="00CC2127">
      <w:pPr>
        <w:jc w:val="both"/>
        <w:rPr>
          <w:rFonts w:ascii="Times New Roman" w:hAnsi="Times New Roman" w:cs="Times New Roman"/>
        </w:rPr>
      </w:pPr>
    </w:p>
    <w:p w14:paraId="0D0B8D78" w14:textId="71DD08AD" w:rsidR="00FC3AB6" w:rsidRPr="002A2EFD" w:rsidRDefault="00F96AA3" w:rsidP="002A2EFD">
      <w:pPr>
        <w:pStyle w:val="t1"/>
        <w:widowControl/>
        <w:jc w:val="both"/>
        <w:rPr>
          <w:szCs w:val="24"/>
        </w:rPr>
      </w:pPr>
      <w:r>
        <w:rPr>
          <w:szCs w:val="24"/>
        </w:rPr>
        <w:t>It follows that, since the action is termed in terms of repudiatory breach, loss of bargain damages for breach of a continuing covenant in a lease would also be denied to a tenant.</w:t>
      </w:r>
      <w:r>
        <w:rPr>
          <w:rStyle w:val="FootnoteReference"/>
        </w:rPr>
        <w:footnoteReference w:id="77"/>
      </w:r>
      <w:r w:rsidR="00414777">
        <w:rPr>
          <w:szCs w:val="24"/>
        </w:rPr>
        <w:t xml:space="preserve">  Though </w:t>
      </w:r>
      <w:r w:rsidR="002A2EFD">
        <w:rPr>
          <w:szCs w:val="24"/>
        </w:rPr>
        <w:t>Lloyds LJ’s</w:t>
      </w:r>
      <w:r w:rsidR="00414777">
        <w:rPr>
          <w:szCs w:val="24"/>
        </w:rPr>
        <w:t xml:space="preserve"> reasoning is open to criticism,</w:t>
      </w:r>
      <w:r w:rsidR="00414777">
        <w:rPr>
          <w:rStyle w:val="FootnoteReference"/>
          <w:szCs w:val="24"/>
        </w:rPr>
        <w:footnoteReference w:id="78"/>
      </w:r>
      <w:r w:rsidR="00414777">
        <w:rPr>
          <w:szCs w:val="24"/>
        </w:rPr>
        <w:t xml:space="preserve"> </w:t>
      </w:r>
      <w:r w:rsidR="002A2EFD">
        <w:rPr>
          <w:szCs w:val="24"/>
        </w:rPr>
        <w:t xml:space="preserve">and the impact of </w:t>
      </w:r>
      <w:r w:rsidR="00414777">
        <w:rPr>
          <w:szCs w:val="24"/>
        </w:rPr>
        <w:t>it</w:t>
      </w:r>
      <w:r w:rsidR="002A2EFD">
        <w:rPr>
          <w:szCs w:val="24"/>
        </w:rPr>
        <w:t xml:space="preserve"> is that a landlord must keep alive a contract and sue for non-performance where his interest in doing so must be questionable,</w:t>
      </w:r>
      <w:r w:rsidR="002A2EFD">
        <w:rPr>
          <w:rStyle w:val="FootnoteReference"/>
        </w:rPr>
        <w:footnoteReference w:id="79"/>
      </w:r>
      <w:r w:rsidR="00414777">
        <w:rPr>
          <w:szCs w:val="24"/>
        </w:rPr>
        <w:t xml:space="preserve"> </w:t>
      </w:r>
      <w:r w:rsidR="002A2EFD">
        <w:rPr>
          <w:szCs w:val="24"/>
        </w:rPr>
        <w:t xml:space="preserve">it </w:t>
      </w:r>
      <w:r w:rsidR="00414777">
        <w:rPr>
          <w:szCs w:val="24"/>
        </w:rPr>
        <w:t xml:space="preserve">has not been judicially doubted.  </w:t>
      </w:r>
      <w:r w:rsidR="002A2EFD">
        <w:rPr>
          <w:szCs w:val="24"/>
        </w:rPr>
        <w:t xml:space="preserve">It again places English law out of step with other common law jurisdictions, both in law and practice.  The High Court of Australia, for </w:t>
      </w:r>
      <w:r w:rsidR="003418C9">
        <w:rPr>
          <w:szCs w:val="24"/>
        </w:rPr>
        <w:t>example</w:t>
      </w:r>
      <w:r w:rsidR="002A2EFD">
        <w:rPr>
          <w:szCs w:val="24"/>
        </w:rPr>
        <w:t xml:space="preserve">, reaffirmed </w:t>
      </w:r>
      <w:r w:rsidR="009F76E0">
        <w:t xml:space="preserve">that loss of bargain damages are available to the landlord on termination </w:t>
      </w:r>
      <w:r w:rsidR="002A2EFD">
        <w:t xml:space="preserve"> through repudiation and acceptance </w:t>
      </w:r>
      <w:r w:rsidR="009F76E0">
        <w:t xml:space="preserve">in </w:t>
      </w:r>
      <w:r w:rsidR="009F76E0">
        <w:rPr>
          <w:i/>
        </w:rPr>
        <w:t>Gumland Property Holdings Pty Ltd v Duffy Bros Fruit Market (Campbelltown) Pty Ltd</w:t>
      </w:r>
      <w:r w:rsidR="009F76E0">
        <w:t>.</w:t>
      </w:r>
      <w:r w:rsidR="009F76E0">
        <w:rPr>
          <w:rStyle w:val="FootnoteReference"/>
        </w:rPr>
        <w:footnoteReference w:id="80"/>
      </w:r>
      <w:r w:rsidR="009F76E0">
        <w:t xml:space="preserve"> </w:t>
      </w:r>
      <w:r w:rsidR="00F70858">
        <w:t>The court felt it</w:t>
      </w:r>
      <w:r w:rsidR="003418C9">
        <w:t xml:space="preserve"> was</w:t>
      </w:r>
      <w:r w:rsidR="009F76E0">
        <w:t xml:space="preserve"> desirable that the landlord ought to be </w:t>
      </w:r>
      <w:r w:rsidR="009F76E0">
        <w:lastRenderedPageBreak/>
        <w:t xml:space="preserve">able to determine a lease by repudiatory breach, as the ability to recover damages </w:t>
      </w:r>
      <w:r w:rsidR="003418C9">
        <w:t>for a contractual action, not</w:t>
      </w:r>
      <w:r w:rsidR="009F76E0">
        <w:t xml:space="preserve"> available on </w:t>
      </w:r>
      <w:r w:rsidR="00D87018">
        <w:t>forfeiture</w:t>
      </w:r>
      <w:r w:rsidR="003418C9">
        <w:t>,</w:t>
      </w:r>
      <w:r w:rsidR="009F76E0">
        <w:t xml:space="preserve"> protected against the movement of the market.</w:t>
      </w:r>
      <w:r w:rsidR="009F76E0">
        <w:rPr>
          <w:rStyle w:val="FootnoteReference"/>
        </w:rPr>
        <w:footnoteReference w:id="81"/>
      </w:r>
    </w:p>
    <w:p w14:paraId="0F3EEA8C" w14:textId="77777777" w:rsidR="00FC3AB6" w:rsidRDefault="00FC3AB6" w:rsidP="00C73F72">
      <w:pPr>
        <w:jc w:val="both"/>
        <w:rPr>
          <w:rFonts w:ascii="Times New Roman" w:hAnsi="Times New Roman" w:cs="Times New Roman"/>
        </w:rPr>
      </w:pPr>
    </w:p>
    <w:p w14:paraId="6F46E64F" w14:textId="4FF38989" w:rsidR="00761A81" w:rsidRDefault="00A8578C" w:rsidP="00C73F72">
      <w:pPr>
        <w:jc w:val="both"/>
        <w:rPr>
          <w:rFonts w:ascii="Times New Roman" w:hAnsi="Times New Roman" w:cs="Times New Roman"/>
        </w:rPr>
      </w:pPr>
      <w:r>
        <w:rPr>
          <w:rFonts w:ascii="Times New Roman" w:hAnsi="Times New Roman" w:cs="Times New Roman"/>
        </w:rPr>
        <w:t xml:space="preserve">The net effect, then, of </w:t>
      </w:r>
      <w:r w:rsidRPr="00A8578C">
        <w:rPr>
          <w:rFonts w:ascii="Times New Roman" w:hAnsi="Times New Roman" w:cs="Times New Roman"/>
          <w:i/>
        </w:rPr>
        <w:t>Reichman</w:t>
      </w:r>
      <w:r>
        <w:rPr>
          <w:rFonts w:ascii="Times New Roman" w:hAnsi="Times New Roman" w:cs="Times New Roman"/>
        </w:rPr>
        <w:t xml:space="preserve"> is to further bolster the idea that there is little utility in an action for repudiatory breach </w:t>
      </w:r>
      <w:r w:rsidR="00783F4A">
        <w:rPr>
          <w:rFonts w:ascii="Times New Roman" w:hAnsi="Times New Roman" w:cs="Times New Roman"/>
        </w:rPr>
        <w:t>in Anglo-Welsh law.  I</w:t>
      </w:r>
      <w:r>
        <w:rPr>
          <w:rFonts w:ascii="Times New Roman" w:hAnsi="Times New Roman" w:cs="Times New Roman"/>
        </w:rPr>
        <w:t>t operates subject to forfeiture when accessed by a landlord, and it does not give a landlord a right to prospective damages, and, as a consequence, does not provide a tenant with a right to escape from the obligation to pay rent, even where they have abandoned the premises and the landlord would be happy to be rid of them.</w:t>
      </w:r>
      <w:r w:rsidR="00926265">
        <w:rPr>
          <w:rFonts w:ascii="Times New Roman" w:hAnsi="Times New Roman" w:cs="Times New Roman"/>
        </w:rPr>
        <w:t xml:space="preserve">  </w:t>
      </w:r>
      <w:r w:rsidR="00761A81">
        <w:rPr>
          <w:rFonts w:ascii="Times New Roman" w:hAnsi="Times New Roman" w:cs="Times New Roman"/>
        </w:rPr>
        <w:t>This is not just a matter of context; of contractual principles operating in a particular way to accommodate the relationship of landlord and tenant.  It is, instead:</w:t>
      </w:r>
    </w:p>
    <w:p w14:paraId="7091E4C5" w14:textId="77777777" w:rsidR="00761A81" w:rsidRDefault="00761A81" w:rsidP="00C73F72">
      <w:pPr>
        <w:jc w:val="both"/>
        <w:rPr>
          <w:rFonts w:ascii="Times New Roman" w:hAnsi="Times New Roman" w:cs="Times New Roman"/>
        </w:rPr>
      </w:pPr>
    </w:p>
    <w:p w14:paraId="00036D30" w14:textId="591F1880" w:rsidR="00A8578C" w:rsidRDefault="00966897" w:rsidP="00761A81">
      <w:pPr>
        <w:ind w:left="720"/>
        <w:jc w:val="both"/>
        <w:rPr>
          <w:rFonts w:ascii="Times New Roman" w:hAnsi="Times New Roman" w:cs="Times New Roman"/>
        </w:rPr>
      </w:pPr>
      <w:r>
        <w:rPr>
          <w:rFonts w:ascii="Times New Roman" w:hAnsi="Times New Roman" w:cs="Times New Roman"/>
        </w:rPr>
        <w:t>…</w:t>
      </w:r>
      <w:r w:rsidR="00761A81">
        <w:rPr>
          <w:rFonts w:ascii="Times New Roman" w:hAnsi="Times New Roman" w:cs="Times New Roman"/>
        </w:rPr>
        <w:t xml:space="preserve">the </w:t>
      </w:r>
      <w:r w:rsidR="00761A81" w:rsidRPr="00C2215F">
        <w:rPr>
          <w:rFonts w:ascii="Times New Roman" w:hAnsi="Times New Roman" w:cs="Times New Roman"/>
        </w:rPr>
        <w:t>fashioning of an entirely new legal construct to enable one party to a contract to terminate it on breach by another and yet to deny him the right to compensation.</w:t>
      </w:r>
      <w:r w:rsidR="00761A81" w:rsidRPr="007D1E42">
        <w:rPr>
          <w:rFonts w:ascii="Times New Roman" w:hAnsi="Times New Roman" w:cs="Times New Roman"/>
        </w:rPr>
        <w:t xml:space="preserve"> </w:t>
      </w:r>
      <w:r w:rsidR="00761A81" w:rsidRPr="00C2215F">
        <w:rPr>
          <w:rFonts w:ascii="Times New Roman" w:hAnsi="Times New Roman" w:cs="Times New Roman"/>
        </w:rPr>
        <w:t>Moreover, it would differentiate leases from all other kinds of contract, a differentiation whose existence the proponents of repudiation deny.</w:t>
      </w:r>
      <w:r w:rsidR="00761A81">
        <w:rPr>
          <w:rStyle w:val="FootnoteReference"/>
          <w:rFonts w:ascii="Times New Roman" w:hAnsi="Times New Roman" w:cs="Times New Roman"/>
        </w:rPr>
        <w:footnoteReference w:id="82"/>
      </w:r>
    </w:p>
    <w:p w14:paraId="55E2FCA7" w14:textId="77777777" w:rsidR="00A8578C" w:rsidRDefault="00A8578C" w:rsidP="00C73F72">
      <w:pPr>
        <w:jc w:val="both"/>
        <w:rPr>
          <w:rFonts w:ascii="Times New Roman" w:hAnsi="Times New Roman" w:cs="Times New Roman"/>
        </w:rPr>
      </w:pPr>
    </w:p>
    <w:p w14:paraId="32E9BEC0" w14:textId="592CC1E2" w:rsidR="0020019A" w:rsidRDefault="00881D28" w:rsidP="00C73F72">
      <w:pPr>
        <w:jc w:val="both"/>
        <w:rPr>
          <w:rFonts w:ascii="Times New Roman" w:hAnsi="Times New Roman" w:cs="Times New Roman"/>
        </w:rPr>
      </w:pPr>
      <w:r>
        <w:rPr>
          <w:rFonts w:ascii="Times New Roman" w:hAnsi="Times New Roman" w:cs="Times New Roman"/>
        </w:rPr>
        <w:t>Here again is an example of a set of problems unresolved by the importation of contractual principles into the landlord and tenant relationship</w:t>
      </w:r>
      <w:r w:rsidR="00761A81">
        <w:rPr>
          <w:rFonts w:ascii="Times New Roman" w:hAnsi="Times New Roman" w:cs="Times New Roman"/>
        </w:rPr>
        <w:t xml:space="preserve">.  </w:t>
      </w:r>
      <w:r w:rsidR="00966897">
        <w:rPr>
          <w:rFonts w:ascii="Times New Roman" w:hAnsi="Times New Roman" w:cs="Times New Roman"/>
        </w:rPr>
        <w:t>It</w:t>
      </w:r>
      <w:r w:rsidR="00761A81">
        <w:rPr>
          <w:rFonts w:ascii="Times New Roman" w:hAnsi="Times New Roman" w:cs="Times New Roman"/>
        </w:rPr>
        <w:t xml:space="preserve"> calls into question the very efficacy of their importation. </w:t>
      </w:r>
    </w:p>
    <w:p w14:paraId="48133E56" w14:textId="77777777" w:rsidR="00B56C4E" w:rsidRDefault="00B56C4E" w:rsidP="00C73F72">
      <w:pPr>
        <w:jc w:val="both"/>
        <w:rPr>
          <w:rFonts w:ascii="Times New Roman" w:hAnsi="Times New Roman" w:cs="Times New Roman"/>
        </w:rPr>
      </w:pPr>
    </w:p>
    <w:p w14:paraId="2440F505" w14:textId="19414C03" w:rsidR="00D54BC3" w:rsidRPr="00D54BC3" w:rsidRDefault="00D54BC3" w:rsidP="00C73F72">
      <w:pPr>
        <w:pStyle w:val="ListParagraph"/>
        <w:numPr>
          <w:ilvl w:val="0"/>
          <w:numId w:val="13"/>
        </w:numPr>
        <w:jc w:val="both"/>
        <w:rPr>
          <w:rFonts w:ascii="Times New Roman" w:hAnsi="Times New Roman" w:cs="Times New Roman"/>
        </w:rPr>
      </w:pPr>
      <w:r>
        <w:rPr>
          <w:rFonts w:ascii="Times New Roman" w:hAnsi="Times New Roman" w:cs="Times New Roman"/>
        </w:rPr>
        <w:t>Loss of Alternate Remedies</w:t>
      </w:r>
    </w:p>
    <w:p w14:paraId="6B048466" w14:textId="77777777" w:rsidR="00D54BC3" w:rsidRDefault="00D54BC3" w:rsidP="00C73F72">
      <w:pPr>
        <w:jc w:val="both"/>
        <w:rPr>
          <w:rFonts w:ascii="Times New Roman" w:hAnsi="Times New Roman" w:cs="Times New Roman"/>
        </w:rPr>
      </w:pPr>
    </w:p>
    <w:p w14:paraId="7D351916" w14:textId="1BA82307" w:rsidR="00185420" w:rsidRPr="00C2215F" w:rsidRDefault="006F6F48" w:rsidP="00185420">
      <w:pPr>
        <w:jc w:val="both"/>
        <w:rPr>
          <w:rFonts w:ascii="Times New Roman" w:hAnsi="Times New Roman" w:cs="Times New Roman"/>
        </w:rPr>
      </w:pPr>
      <w:r>
        <w:rPr>
          <w:rFonts w:ascii="Times New Roman" w:hAnsi="Times New Roman" w:cs="Times New Roman"/>
        </w:rPr>
        <w:t>There is, as demonstrated, a disconnect between the need for repudiatory breach in English</w:t>
      </w:r>
      <w:r w:rsidR="00A25CA9">
        <w:rPr>
          <w:rFonts w:ascii="Times New Roman" w:hAnsi="Times New Roman" w:cs="Times New Roman"/>
        </w:rPr>
        <w:t xml:space="preserve"> law – which was to give tenant</w:t>
      </w:r>
      <w:r>
        <w:rPr>
          <w:rFonts w:ascii="Times New Roman" w:hAnsi="Times New Roman" w:cs="Times New Roman"/>
        </w:rPr>
        <w:t xml:space="preserve">s a right </w:t>
      </w:r>
      <w:r w:rsidR="00601B80">
        <w:rPr>
          <w:rFonts w:ascii="Times New Roman" w:hAnsi="Times New Roman" w:cs="Times New Roman"/>
        </w:rPr>
        <w:t xml:space="preserve">to terminate on serious breach - </w:t>
      </w:r>
      <w:r>
        <w:rPr>
          <w:rFonts w:ascii="Times New Roman" w:hAnsi="Times New Roman" w:cs="Times New Roman"/>
        </w:rPr>
        <w:t xml:space="preserve">and the impact of the operation of the doctrine.  </w:t>
      </w:r>
      <w:r w:rsidR="00D67617">
        <w:rPr>
          <w:rFonts w:ascii="Times New Roman" w:hAnsi="Times New Roman" w:cs="Times New Roman"/>
        </w:rPr>
        <w:t>The</w:t>
      </w:r>
      <w:r w:rsidR="00185420">
        <w:rPr>
          <w:rFonts w:ascii="Times New Roman" w:hAnsi="Times New Roman" w:cs="Times New Roman"/>
        </w:rPr>
        <w:t xml:space="preserve"> irony of introducing the remedy has been to preclude discussion of, potentially, something better through the creation </w:t>
      </w:r>
      <w:r w:rsidR="00185420" w:rsidRPr="00C2215F">
        <w:rPr>
          <w:rFonts w:ascii="Times New Roman" w:hAnsi="Times New Roman" w:cs="Times New Roman"/>
        </w:rPr>
        <w:t>of the Tenant Termination Order Scheme.</w:t>
      </w:r>
      <w:r w:rsidR="00185420">
        <w:rPr>
          <w:rStyle w:val="FootnoteReference"/>
          <w:rFonts w:ascii="Times New Roman" w:hAnsi="Times New Roman" w:cs="Times New Roman"/>
        </w:rPr>
        <w:footnoteReference w:id="83"/>
      </w:r>
      <w:r w:rsidR="00185420" w:rsidRPr="00C2215F">
        <w:rPr>
          <w:rFonts w:ascii="Times New Roman" w:hAnsi="Times New Roman" w:cs="Times New Roman"/>
        </w:rPr>
        <w:t xml:space="preserve"> </w:t>
      </w:r>
      <w:r w:rsidR="00AB7C56">
        <w:rPr>
          <w:rFonts w:ascii="Times New Roman" w:hAnsi="Times New Roman" w:cs="Times New Roman"/>
        </w:rPr>
        <w:t>B</w:t>
      </w:r>
      <w:r w:rsidR="00185420" w:rsidRPr="00C2215F">
        <w:rPr>
          <w:rFonts w:ascii="Times New Roman" w:hAnsi="Times New Roman" w:cs="Times New Roman"/>
        </w:rPr>
        <w:t>roadly</w:t>
      </w:r>
      <w:r w:rsidR="00AB7C56">
        <w:rPr>
          <w:rFonts w:ascii="Times New Roman" w:hAnsi="Times New Roman" w:cs="Times New Roman"/>
        </w:rPr>
        <w:t>,</w:t>
      </w:r>
      <w:r w:rsidR="00185420" w:rsidRPr="00C2215F">
        <w:rPr>
          <w:rFonts w:ascii="Times New Roman" w:hAnsi="Times New Roman" w:cs="Times New Roman"/>
        </w:rPr>
        <w:t xml:space="preserve"> this would introduce a right for tenants to apply to terminate the lease for persistent breach of covenant by the landlord.  The right would be subject to the same relief provisions as the landlord’s order scheme</w:t>
      </w:r>
      <w:r w:rsidR="00185420">
        <w:rPr>
          <w:rFonts w:ascii="Times New Roman" w:hAnsi="Times New Roman" w:cs="Times New Roman"/>
        </w:rPr>
        <w:t>, and would therefore introduce the concept of an ability to remedy a default by a landlord</w:t>
      </w:r>
      <w:r w:rsidR="00AB7C56">
        <w:rPr>
          <w:rFonts w:ascii="Times New Roman" w:hAnsi="Times New Roman" w:cs="Times New Roman"/>
        </w:rPr>
        <w:t>, which is missing from repudiatory breach</w:t>
      </w:r>
      <w:r w:rsidR="00185420" w:rsidRPr="00C2215F">
        <w:rPr>
          <w:rFonts w:ascii="Times New Roman" w:hAnsi="Times New Roman" w:cs="Times New Roman"/>
        </w:rPr>
        <w:t xml:space="preserve">.  However, </w:t>
      </w:r>
      <w:r w:rsidR="00AB7C56">
        <w:rPr>
          <w:rFonts w:ascii="Times New Roman" w:hAnsi="Times New Roman" w:cs="Times New Roman"/>
        </w:rPr>
        <w:t>the scheme</w:t>
      </w:r>
      <w:r w:rsidR="00185420" w:rsidRPr="00C2215F">
        <w:rPr>
          <w:rFonts w:ascii="Times New Roman" w:hAnsi="Times New Roman" w:cs="Times New Roman"/>
        </w:rPr>
        <w:t xml:space="preserve"> has been dropped from the Termination Order Bill</w:t>
      </w:r>
      <w:r w:rsidR="00AB7C56">
        <w:rPr>
          <w:rFonts w:ascii="Times New Roman" w:hAnsi="Times New Roman" w:cs="Times New Roman"/>
        </w:rPr>
        <w:t>, as, with a due</w:t>
      </w:r>
      <w:r w:rsidR="00185420">
        <w:rPr>
          <w:rFonts w:ascii="Times New Roman" w:hAnsi="Times New Roman" w:cs="Times New Roman"/>
        </w:rPr>
        <w:t xml:space="preserve"> sense of irony, the Law Commission felt able to abandon the Tenant Termination Order, as the availability of repudiatory breach covered the same ground.</w:t>
      </w:r>
      <w:r w:rsidR="00185420">
        <w:rPr>
          <w:rStyle w:val="FootnoteReference"/>
          <w:rFonts w:ascii="Times New Roman" w:hAnsi="Times New Roman" w:cs="Times New Roman"/>
        </w:rPr>
        <w:footnoteReference w:id="84"/>
      </w:r>
      <w:r w:rsidR="00185420" w:rsidRPr="00C2215F">
        <w:rPr>
          <w:rFonts w:ascii="Times New Roman" w:hAnsi="Times New Roman" w:cs="Times New Roman"/>
          <w:bCs/>
          <w:iCs/>
        </w:rPr>
        <w:t xml:space="preserve"> </w:t>
      </w:r>
      <w:r w:rsidR="00185420">
        <w:rPr>
          <w:rFonts w:ascii="Times New Roman" w:hAnsi="Times New Roman" w:cs="Times New Roman"/>
          <w:bCs/>
          <w:iCs/>
        </w:rPr>
        <w:t xml:space="preserve">It was clear on consultation that the creation of this statutory right was met with hostility by landlord interest groups – however, given what has since happened to repudiatory breach </w:t>
      </w:r>
      <w:r w:rsidR="00D67617">
        <w:rPr>
          <w:rFonts w:ascii="Times New Roman" w:hAnsi="Times New Roman" w:cs="Times New Roman"/>
          <w:bCs/>
          <w:iCs/>
        </w:rPr>
        <w:t>as an action for</w:t>
      </w:r>
      <w:r w:rsidR="00185420">
        <w:rPr>
          <w:rFonts w:ascii="Times New Roman" w:hAnsi="Times New Roman" w:cs="Times New Roman"/>
          <w:bCs/>
          <w:iCs/>
        </w:rPr>
        <w:t xml:space="preserve"> landlords, and if that position was understood, that hostility might not be as evident if the Commission were to look at this area again.</w:t>
      </w:r>
    </w:p>
    <w:p w14:paraId="75E81B8D" w14:textId="3CE54F46" w:rsidR="00C73F72" w:rsidRPr="00C2215F" w:rsidRDefault="00C73F72" w:rsidP="00C73F72">
      <w:pPr>
        <w:jc w:val="both"/>
        <w:rPr>
          <w:rFonts w:ascii="Times New Roman" w:hAnsi="Times New Roman" w:cs="Times New Roman"/>
        </w:rPr>
      </w:pPr>
    </w:p>
    <w:p w14:paraId="488EAF23" w14:textId="38C742E6" w:rsidR="00015D6D" w:rsidRPr="00015D6D" w:rsidRDefault="00D54BC3" w:rsidP="00015D6D">
      <w:pPr>
        <w:pStyle w:val="ListParagraph"/>
        <w:numPr>
          <w:ilvl w:val="0"/>
          <w:numId w:val="11"/>
        </w:numPr>
        <w:jc w:val="both"/>
        <w:rPr>
          <w:rFonts w:ascii="Times New Roman" w:hAnsi="Times New Roman" w:cs="Times New Roman"/>
          <w:u w:val="single"/>
        </w:rPr>
      </w:pPr>
      <w:r>
        <w:rPr>
          <w:rFonts w:ascii="Times New Roman" w:hAnsi="Times New Roman" w:cs="Times New Roman"/>
          <w:u w:val="single"/>
        </w:rPr>
        <w:t>Concluding Remarks</w:t>
      </w:r>
      <w:r w:rsidR="0004286E">
        <w:rPr>
          <w:rFonts w:ascii="Times New Roman" w:hAnsi="Times New Roman" w:cs="Times New Roman"/>
          <w:u w:val="single"/>
        </w:rPr>
        <w:t>: Lessons for the Future</w:t>
      </w:r>
    </w:p>
    <w:p w14:paraId="7676375A" w14:textId="77777777" w:rsidR="00CB73A3" w:rsidRDefault="00CB73A3" w:rsidP="00D6056D">
      <w:pPr>
        <w:jc w:val="both"/>
        <w:rPr>
          <w:rFonts w:ascii="Times New Roman" w:hAnsi="Times New Roman" w:cs="Times New Roman"/>
        </w:rPr>
      </w:pPr>
    </w:p>
    <w:p w14:paraId="05029F15" w14:textId="4DCD7720" w:rsidR="00D54BC3" w:rsidRDefault="00015D6D" w:rsidP="00D6056D">
      <w:pPr>
        <w:jc w:val="both"/>
        <w:rPr>
          <w:rFonts w:ascii="Times New Roman" w:hAnsi="Times New Roman" w:cs="Times New Roman"/>
        </w:rPr>
      </w:pPr>
      <w:r>
        <w:rPr>
          <w:rFonts w:ascii="Times New Roman" w:hAnsi="Times New Roman" w:cs="Times New Roman"/>
        </w:rPr>
        <w:t xml:space="preserve">Given the forgoing re-examination of </w:t>
      </w:r>
      <w:r w:rsidR="00A7266B">
        <w:rPr>
          <w:rFonts w:ascii="Times New Roman" w:hAnsi="Times New Roman" w:cs="Times New Roman"/>
        </w:rPr>
        <w:t>repudiatory breach</w:t>
      </w:r>
      <w:r w:rsidR="00FD34D4">
        <w:rPr>
          <w:rFonts w:ascii="Times New Roman" w:hAnsi="Times New Roman" w:cs="Times New Roman"/>
        </w:rPr>
        <w:t>,</w:t>
      </w:r>
      <w:r w:rsidR="00A7266B">
        <w:rPr>
          <w:rFonts w:ascii="Times New Roman" w:hAnsi="Times New Roman" w:cs="Times New Roman"/>
        </w:rPr>
        <w:t xml:space="preserve"> it is difficult to see the increasing contractualisation of the lease as a useful addition to the law regulating leases, and the parties to them.</w:t>
      </w:r>
      <w:r w:rsidR="00697E2E">
        <w:rPr>
          <w:rFonts w:ascii="Times New Roman" w:hAnsi="Times New Roman" w:cs="Times New Roman"/>
        </w:rPr>
        <w:t xml:space="preserve">  The use of contractual principles in these contexts has not been sensitively handled </w:t>
      </w:r>
      <w:r w:rsidR="00697E2E">
        <w:rPr>
          <w:rFonts w:ascii="Times New Roman" w:hAnsi="Times New Roman" w:cs="Times New Roman"/>
        </w:rPr>
        <w:lastRenderedPageBreak/>
        <w:t xml:space="preserve">and has, in effect, caused </w:t>
      </w:r>
      <w:r w:rsidR="004D3946">
        <w:rPr>
          <w:rFonts w:ascii="Times New Roman" w:hAnsi="Times New Roman" w:cs="Times New Roman"/>
        </w:rPr>
        <w:t>serious anomalies</w:t>
      </w:r>
      <w:r w:rsidR="00697E2E">
        <w:rPr>
          <w:rFonts w:ascii="Times New Roman" w:hAnsi="Times New Roman" w:cs="Times New Roman"/>
        </w:rPr>
        <w:t xml:space="preserve"> in the law.</w:t>
      </w:r>
      <w:r w:rsidR="00D67617">
        <w:rPr>
          <w:rFonts w:ascii="Times New Roman" w:hAnsi="Times New Roman" w:cs="Times New Roman"/>
        </w:rPr>
        <w:t xml:space="preserve">  </w:t>
      </w:r>
      <w:r w:rsidR="00D54BC3">
        <w:rPr>
          <w:rFonts w:ascii="Times New Roman" w:hAnsi="Times New Roman" w:cs="Times New Roman"/>
        </w:rPr>
        <w:t xml:space="preserve">It is judicial legislation, </w:t>
      </w:r>
      <w:r w:rsidR="00D67617">
        <w:rPr>
          <w:rFonts w:ascii="Times New Roman" w:hAnsi="Times New Roman" w:cs="Times New Roman"/>
        </w:rPr>
        <w:t>which has been occasioned to me</w:t>
      </w:r>
      <w:r w:rsidR="00D17611">
        <w:rPr>
          <w:rFonts w:ascii="Times New Roman" w:hAnsi="Times New Roman" w:cs="Times New Roman"/>
        </w:rPr>
        <w:t>e</w:t>
      </w:r>
      <w:r w:rsidR="00D67617">
        <w:rPr>
          <w:rFonts w:ascii="Times New Roman" w:hAnsi="Times New Roman" w:cs="Times New Roman"/>
        </w:rPr>
        <w:t>t a perceived need</w:t>
      </w:r>
      <w:r w:rsidR="000652F0">
        <w:rPr>
          <w:rFonts w:ascii="Times New Roman" w:hAnsi="Times New Roman" w:cs="Times New Roman"/>
        </w:rPr>
        <w:t>, which has led to unexpected results.</w:t>
      </w:r>
      <w:r w:rsidR="00D67617">
        <w:rPr>
          <w:rStyle w:val="FootnoteReference"/>
          <w:rFonts w:ascii="Times New Roman" w:hAnsi="Times New Roman" w:cs="Times New Roman"/>
        </w:rPr>
        <w:footnoteReference w:id="85"/>
      </w:r>
    </w:p>
    <w:p w14:paraId="59413A2D" w14:textId="77777777" w:rsidR="00AD45AD" w:rsidRDefault="00AD45AD" w:rsidP="00D6056D">
      <w:pPr>
        <w:jc w:val="both"/>
        <w:rPr>
          <w:rFonts w:ascii="Times New Roman" w:hAnsi="Times New Roman" w:cs="Times New Roman"/>
        </w:rPr>
      </w:pPr>
    </w:p>
    <w:p w14:paraId="2D2BD58F" w14:textId="14A8802F" w:rsidR="004C4D79" w:rsidRDefault="004C4D79" w:rsidP="00D6056D">
      <w:pPr>
        <w:jc w:val="both"/>
        <w:rPr>
          <w:rFonts w:ascii="Times New Roman" w:hAnsi="Times New Roman" w:cs="Times New Roman"/>
        </w:rPr>
      </w:pPr>
      <w:r>
        <w:rPr>
          <w:rFonts w:ascii="Times New Roman" w:hAnsi="Times New Roman" w:cs="Times New Roman"/>
        </w:rPr>
        <w:t>It has created a bright line distinction, for no defensible reason, between the operation of the doctrine</w:t>
      </w:r>
      <w:r w:rsidR="00236E3C">
        <w:rPr>
          <w:rFonts w:ascii="Times New Roman" w:hAnsi="Times New Roman" w:cs="Times New Roman"/>
        </w:rPr>
        <w:t xml:space="preserve">, </w:t>
      </w:r>
      <w:r w:rsidR="00531017">
        <w:rPr>
          <w:rFonts w:ascii="Times New Roman" w:hAnsi="Times New Roman" w:cs="Times New Roman"/>
        </w:rPr>
        <w:t>dependent</w:t>
      </w:r>
      <w:r>
        <w:rPr>
          <w:rFonts w:ascii="Times New Roman" w:hAnsi="Times New Roman" w:cs="Times New Roman"/>
        </w:rPr>
        <w:t xml:space="preserve"> on whether it is used by a tenant against his landlord, or</w:t>
      </w:r>
      <w:r w:rsidR="000652F0">
        <w:rPr>
          <w:rFonts w:ascii="Times New Roman" w:hAnsi="Times New Roman" w:cs="Times New Roman"/>
        </w:rPr>
        <w:t xml:space="preserve"> a landlord against his tenant.  </w:t>
      </w:r>
      <w:r>
        <w:rPr>
          <w:rFonts w:ascii="Times New Roman" w:hAnsi="Times New Roman" w:cs="Times New Roman"/>
        </w:rPr>
        <w:t xml:space="preserve">Only in the </w:t>
      </w:r>
      <w:r w:rsidR="000652F0">
        <w:rPr>
          <w:rFonts w:ascii="Times New Roman" w:hAnsi="Times New Roman" w:cs="Times New Roman"/>
        </w:rPr>
        <w:t>former</w:t>
      </w:r>
      <w:r>
        <w:rPr>
          <w:rFonts w:ascii="Times New Roman" w:hAnsi="Times New Roman" w:cs="Times New Roman"/>
        </w:rPr>
        <w:t xml:space="preserve"> case can it be said to operate as a contract lawyer would recognise repudiatory breach; and, even then it has proved of dubious utility and requires some complex (and fictional) legal reasoning to </w:t>
      </w:r>
      <w:r w:rsidR="00213501">
        <w:rPr>
          <w:rFonts w:ascii="Times New Roman" w:hAnsi="Times New Roman" w:cs="Times New Roman"/>
        </w:rPr>
        <w:t>explain the action</w:t>
      </w:r>
      <w:r>
        <w:rPr>
          <w:rFonts w:ascii="Times New Roman" w:hAnsi="Times New Roman" w:cs="Times New Roman"/>
        </w:rPr>
        <w:t>.  In relation to landlords, the remedy adds little, other than additional complexity, to an action for forfeiture and, in denying any entitlement to loss of bargain damages following termination through repudiatory breach</w:t>
      </w:r>
      <w:r w:rsidR="00CC743D">
        <w:rPr>
          <w:rFonts w:ascii="Times New Roman" w:hAnsi="Times New Roman" w:cs="Times New Roman"/>
        </w:rPr>
        <w:t>, there is little point in pursuing a repudiatory breach by the tenant</w:t>
      </w:r>
      <w:r>
        <w:rPr>
          <w:rFonts w:ascii="Times New Roman" w:hAnsi="Times New Roman" w:cs="Times New Roman"/>
        </w:rPr>
        <w:t>.</w:t>
      </w:r>
      <w:r w:rsidR="00531017">
        <w:rPr>
          <w:rFonts w:ascii="Times New Roman" w:hAnsi="Times New Roman" w:cs="Times New Roman"/>
        </w:rPr>
        <w:t xml:space="preserve">  It also means that </w:t>
      </w:r>
      <w:r w:rsidR="00CA5598">
        <w:rPr>
          <w:rFonts w:ascii="Times New Roman" w:hAnsi="Times New Roman" w:cs="Times New Roman"/>
        </w:rPr>
        <w:t>landlords</w:t>
      </w:r>
      <w:r w:rsidR="00531017">
        <w:rPr>
          <w:rFonts w:ascii="Times New Roman" w:hAnsi="Times New Roman" w:cs="Times New Roman"/>
        </w:rPr>
        <w:t xml:space="preserve"> can face termination of a lease if they are in default of a covenanted obligation such that it classes as a repudiatory breach, without any</w:t>
      </w:r>
      <w:r w:rsidR="002A3601">
        <w:rPr>
          <w:rFonts w:ascii="Times New Roman" w:hAnsi="Times New Roman" w:cs="Times New Roman"/>
        </w:rPr>
        <w:t xml:space="preserve"> real</w:t>
      </w:r>
      <w:r w:rsidR="00531017">
        <w:rPr>
          <w:rFonts w:ascii="Times New Roman" w:hAnsi="Times New Roman" w:cs="Times New Roman"/>
        </w:rPr>
        <w:t xml:space="preserve"> chance to remedy that breach. However, if the same obligation sits with the tenant, the tenant will likely have a chance to remedy the breach before the lease can be terminated, thanks to the fact that a landlord’s claim to repudiatory breach must proceed by forfeiture.</w:t>
      </w:r>
      <w:r>
        <w:rPr>
          <w:rFonts w:ascii="Times New Roman" w:hAnsi="Times New Roman" w:cs="Times New Roman"/>
        </w:rPr>
        <w:t xml:space="preserve">  </w:t>
      </w:r>
      <w:r w:rsidR="002A3601">
        <w:rPr>
          <w:rFonts w:ascii="Times New Roman" w:hAnsi="Times New Roman" w:cs="Times New Roman"/>
        </w:rPr>
        <w:t>With the very best of judicial motives,</w:t>
      </w:r>
      <w:r>
        <w:rPr>
          <w:rFonts w:ascii="Times New Roman" w:hAnsi="Times New Roman" w:cs="Times New Roman"/>
        </w:rPr>
        <w:t xml:space="preserve"> serious anomalies have been created in the law, which it is difficult to stomach, particularly when, as is apparent, the English version of the importation of contractual principles differs greatly from</w:t>
      </w:r>
      <w:r w:rsidR="00213501">
        <w:rPr>
          <w:rFonts w:ascii="Times New Roman" w:hAnsi="Times New Roman" w:cs="Times New Roman"/>
        </w:rPr>
        <w:t xml:space="preserve"> that of our common law cousins.</w:t>
      </w:r>
    </w:p>
    <w:p w14:paraId="0FFC00C4" w14:textId="77777777" w:rsidR="004C4D79" w:rsidRDefault="004C4D79" w:rsidP="00D6056D">
      <w:pPr>
        <w:jc w:val="both"/>
        <w:rPr>
          <w:rFonts w:ascii="Times New Roman" w:hAnsi="Times New Roman" w:cs="Times New Roman"/>
        </w:rPr>
      </w:pPr>
    </w:p>
    <w:p w14:paraId="3E4001EF" w14:textId="5BF4BA1F" w:rsidR="00AB0786" w:rsidRDefault="004C4D79" w:rsidP="00D6056D">
      <w:pPr>
        <w:jc w:val="both"/>
        <w:rPr>
          <w:rFonts w:ascii="Times New Roman" w:hAnsi="Times New Roman" w:cs="Times New Roman"/>
        </w:rPr>
      </w:pPr>
      <w:r>
        <w:rPr>
          <w:rFonts w:ascii="Times New Roman" w:hAnsi="Times New Roman" w:cs="Times New Roman"/>
        </w:rPr>
        <w:t xml:space="preserve">At the very least, this re-examination of the area suggests that </w:t>
      </w:r>
      <w:r w:rsidR="00213501">
        <w:rPr>
          <w:rFonts w:ascii="Times New Roman" w:hAnsi="Times New Roman" w:cs="Times New Roman"/>
        </w:rPr>
        <w:t>any</w:t>
      </w:r>
      <w:r w:rsidR="00EA4074">
        <w:rPr>
          <w:rFonts w:ascii="Times New Roman" w:hAnsi="Times New Roman" w:cs="Times New Roman"/>
        </w:rPr>
        <w:t xml:space="preserve"> fervour for contractual remedies </w:t>
      </w:r>
      <w:r w:rsidR="00213501">
        <w:rPr>
          <w:rFonts w:ascii="Times New Roman" w:hAnsi="Times New Roman" w:cs="Times New Roman"/>
        </w:rPr>
        <w:t>should be</w:t>
      </w:r>
      <w:r w:rsidR="00EA4074">
        <w:rPr>
          <w:rFonts w:ascii="Times New Roman" w:hAnsi="Times New Roman" w:cs="Times New Roman"/>
        </w:rPr>
        <w:t xml:space="preserve"> receding, as the realities of the impact of their importation begin to reveal themselves through the case law</w:t>
      </w:r>
      <w:r w:rsidR="00213501">
        <w:rPr>
          <w:rFonts w:ascii="Times New Roman" w:hAnsi="Times New Roman" w:cs="Times New Roman"/>
        </w:rPr>
        <w:t xml:space="preserve">; a point recognised by the Court of Appeal in </w:t>
      </w:r>
      <w:r w:rsidR="00213501">
        <w:rPr>
          <w:rFonts w:ascii="Times New Roman" w:hAnsi="Times New Roman" w:cs="Times New Roman"/>
          <w:i/>
        </w:rPr>
        <w:t>Reichman v Beveridge</w:t>
      </w:r>
      <w:r w:rsidR="00EA4074">
        <w:rPr>
          <w:rFonts w:ascii="Times New Roman" w:hAnsi="Times New Roman" w:cs="Times New Roman"/>
        </w:rPr>
        <w:t>.  The application of contractual principles</w:t>
      </w:r>
      <w:r w:rsidR="002A3601">
        <w:rPr>
          <w:rFonts w:ascii="Times New Roman" w:hAnsi="Times New Roman" w:cs="Times New Roman"/>
        </w:rPr>
        <w:t xml:space="preserve"> has been, with respect, an ill-</w:t>
      </w:r>
      <w:r w:rsidR="00EA4074">
        <w:rPr>
          <w:rFonts w:ascii="Times New Roman" w:hAnsi="Times New Roman" w:cs="Times New Roman"/>
        </w:rPr>
        <w:t xml:space="preserve">advised example of law reform by the </w:t>
      </w:r>
      <w:r w:rsidR="00531017">
        <w:rPr>
          <w:rFonts w:ascii="Times New Roman" w:hAnsi="Times New Roman" w:cs="Times New Roman"/>
        </w:rPr>
        <w:t>judiciary.</w:t>
      </w:r>
      <w:r w:rsidR="00BC4D40">
        <w:rPr>
          <w:rStyle w:val="FootnoteReference"/>
          <w:rFonts w:ascii="Times New Roman" w:hAnsi="Times New Roman" w:cs="Times New Roman"/>
        </w:rPr>
        <w:footnoteReference w:id="86"/>
      </w:r>
      <w:r w:rsidR="00531017">
        <w:rPr>
          <w:rFonts w:ascii="Times New Roman" w:hAnsi="Times New Roman" w:cs="Times New Roman"/>
        </w:rPr>
        <w:t xml:space="preserve">  </w:t>
      </w:r>
      <w:r w:rsidR="000652F0">
        <w:rPr>
          <w:rFonts w:ascii="Times New Roman" w:hAnsi="Times New Roman" w:cs="Times New Roman"/>
        </w:rPr>
        <w:t>In importing remedies, without any clear thought to how they might operate in the particular context of the landlord and tenant relationship, more problems have been created than solutions. Perhaps of greatest concern, these attempts have allowed attempts at substantive law reform to be sidestepped, as evidenced in the Law Commission’s abandonment of the Tenant Termination Order; something which would have given tenant’s a right akin to forfeiture and which would have operated in a similar way to the proposed reforms to the landlord’s right of forfeiture.</w:t>
      </w:r>
    </w:p>
    <w:p w14:paraId="386888BE" w14:textId="77777777" w:rsidR="00550D07" w:rsidRDefault="00550D07" w:rsidP="00D6056D">
      <w:pPr>
        <w:jc w:val="both"/>
        <w:rPr>
          <w:rFonts w:ascii="Times New Roman" w:hAnsi="Times New Roman" w:cs="Times New Roman"/>
        </w:rPr>
      </w:pPr>
    </w:p>
    <w:p w14:paraId="3896FA67" w14:textId="79370B28" w:rsidR="00AB0786" w:rsidRDefault="00AB0786" w:rsidP="00D6056D">
      <w:pPr>
        <w:jc w:val="both"/>
        <w:rPr>
          <w:rFonts w:ascii="Times New Roman" w:hAnsi="Times New Roman" w:cs="Times New Roman"/>
        </w:rPr>
      </w:pPr>
      <w:r>
        <w:rPr>
          <w:rFonts w:ascii="Times New Roman" w:hAnsi="Times New Roman" w:cs="Times New Roman"/>
        </w:rPr>
        <w:t xml:space="preserve">While the distinction between leases and licences as proprietary and personal rights persists, it is suggested that it is high time that English law retracted from allowing contractual remedies to terminate leases, and instead time would be better spent on reducing the complexities of the existing system.  </w:t>
      </w:r>
      <w:r w:rsidR="00D17611">
        <w:rPr>
          <w:rFonts w:ascii="Times New Roman" w:hAnsi="Times New Roman" w:cs="Times New Roman"/>
        </w:rPr>
        <w:t>At the time of writing</w:t>
      </w:r>
      <w:r>
        <w:rPr>
          <w:rFonts w:ascii="Times New Roman" w:hAnsi="Times New Roman" w:cs="Times New Roman"/>
        </w:rPr>
        <w:t xml:space="preserve">, it is uncertain, whether, in fact, repudiatory breach is part of </w:t>
      </w:r>
      <w:r w:rsidR="00BC4D40">
        <w:rPr>
          <w:rFonts w:ascii="Times New Roman" w:hAnsi="Times New Roman" w:cs="Times New Roman"/>
        </w:rPr>
        <w:t>English law</w:t>
      </w:r>
      <w:r>
        <w:rPr>
          <w:rFonts w:ascii="Times New Roman" w:hAnsi="Times New Roman" w:cs="Times New Roman"/>
        </w:rPr>
        <w:t xml:space="preserve">.  </w:t>
      </w:r>
      <w:r w:rsidR="00D17611">
        <w:rPr>
          <w:rFonts w:ascii="Times New Roman" w:hAnsi="Times New Roman" w:cs="Times New Roman"/>
        </w:rPr>
        <w:t>What is needed is a decision of the Supreme Court, once and for all, to settle the matter.  It is the author’s hope that any such settlement suggests that repudiatory breach forms no part of English law.</w:t>
      </w:r>
    </w:p>
    <w:p w14:paraId="53996747" w14:textId="77777777" w:rsidR="00550D07" w:rsidRDefault="00550D07" w:rsidP="00D6056D">
      <w:pPr>
        <w:jc w:val="both"/>
        <w:rPr>
          <w:rFonts w:ascii="Times New Roman" w:hAnsi="Times New Roman" w:cs="Times New Roman"/>
        </w:rPr>
      </w:pPr>
    </w:p>
    <w:p w14:paraId="5D62E5A0" w14:textId="6B0D2AC0" w:rsidR="00550D07" w:rsidRDefault="00550D07" w:rsidP="00550D07">
      <w:pPr>
        <w:jc w:val="both"/>
        <w:rPr>
          <w:rFonts w:ascii="Times New Roman" w:hAnsi="Times New Roman" w:cs="Times New Roman"/>
        </w:rPr>
      </w:pPr>
      <w:r>
        <w:rPr>
          <w:rFonts w:ascii="Times New Roman" w:hAnsi="Times New Roman" w:cs="Times New Roman"/>
        </w:rPr>
        <w:lastRenderedPageBreak/>
        <w:t>It should go further, and reconsider the nature of the regulation of leases, and ‘contractualisation’ more generally. The proprietary nature of the lease has been much maligned, yet it does not represent archaic thinking to s</w:t>
      </w:r>
      <w:r w:rsidR="00112299">
        <w:rPr>
          <w:rFonts w:ascii="Times New Roman" w:hAnsi="Times New Roman" w:cs="Times New Roman"/>
        </w:rPr>
        <w:t>uggest that regulating leases primarily as</w:t>
      </w:r>
      <w:r>
        <w:rPr>
          <w:rFonts w:ascii="Times New Roman" w:hAnsi="Times New Roman" w:cs="Times New Roman"/>
        </w:rPr>
        <w:t xml:space="preserve"> property rights, not contracts.  It is to be remembered that the </w:t>
      </w:r>
      <w:r w:rsidRPr="00014DC0">
        <w:rPr>
          <w:rFonts w:ascii="Times New Roman" w:hAnsi="Times New Roman" w:cs="Times New Roman"/>
        </w:rPr>
        <w:t xml:space="preserve">estate is the essential element which transforms </w:t>
      </w:r>
      <w:r>
        <w:rPr>
          <w:rFonts w:ascii="Times New Roman" w:hAnsi="Times New Roman" w:cs="Times New Roman"/>
        </w:rPr>
        <w:t>a contract into a ‘</w:t>
      </w:r>
      <w:r w:rsidRPr="00014DC0">
        <w:rPr>
          <w:rFonts w:ascii="Times New Roman" w:hAnsi="Times New Roman" w:cs="Times New Roman"/>
        </w:rPr>
        <w:t>leas</w:t>
      </w:r>
      <w:r w:rsidR="00F24AD4">
        <w:rPr>
          <w:rFonts w:ascii="Times New Roman" w:hAnsi="Times New Roman" w:cs="Times New Roman"/>
        </w:rPr>
        <w:t>e’.  T</w:t>
      </w:r>
      <w:r w:rsidRPr="00014DC0">
        <w:rPr>
          <w:rFonts w:ascii="Times New Roman" w:hAnsi="Times New Roman" w:cs="Times New Roman"/>
        </w:rPr>
        <w:t>he relational contractual element is the creative subsidiary which works within the discipline of the estate, and controls the use to which the parties may put the estate.  This is so, even though the contractual element may seem more important</w:t>
      </w:r>
      <w:r>
        <w:rPr>
          <w:rFonts w:ascii="Times New Roman" w:hAnsi="Times New Roman" w:cs="Times New Roman"/>
        </w:rPr>
        <w:t xml:space="preserve"> to the parties</w:t>
      </w:r>
      <w:r w:rsidRPr="00014DC0">
        <w:rPr>
          <w:rFonts w:ascii="Times New Roman" w:hAnsi="Times New Roman" w:cs="Times New Roman"/>
        </w:rPr>
        <w:t xml:space="preserve"> as it contains the regulatory and commercial provisions of the bargain.</w:t>
      </w:r>
      <w:r>
        <w:rPr>
          <w:rFonts w:ascii="Times New Roman" w:hAnsi="Times New Roman" w:cs="Times New Roman"/>
        </w:rPr>
        <w:t xml:space="preserve"> It is the distinction between the perceived and the legal reality of what has been created.</w:t>
      </w:r>
      <w:r w:rsidRPr="00014DC0">
        <w:rPr>
          <w:rFonts w:ascii="Times New Roman" w:hAnsi="Times New Roman" w:cs="Times New Roman"/>
        </w:rPr>
        <w:t xml:space="preserve">  This does not ignore the commercial realities of the leasehold transaction: indeed, it gives effect to the ultimate commercial reality, which is that the parties have agreed a lease not a licence, and as such the tenant has become the property owner for the duration of th</w:t>
      </w:r>
      <w:r>
        <w:rPr>
          <w:rFonts w:ascii="Times New Roman" w:hAnsi="Times New Roman" w:cs="Times New Roman"/>
        </w:rPr>
        <w:t>e term (something which is likely to have been reflected in the price paid by premium or rent for the grant of the lease).</w:t>
      </w:r>
      <w:r w:rsidR="002A7A33">
        <w:rPr>
          <w:rFonts w:ascii="Times New Roman" w:hAnsi="Times New Roman" w:cs="Times New Roman"/>
        </w:rPr>
        <w:t xml:space="preserve">  </w:t>
      </w:r>
      <w:r w:rsidRPr="00014DC0">
        <w:rPr>
          <w:rFonts w:ascii="Times New Roman" w:hAnsi="Times New Roman" w:cs="Times New Roman"/>
        </w:rPr>
        <w:t>There is no difficulty in a licence being repudiated or otherwise terminated by any contractual means, since it is a pure creature of contract.  There is no anomaly in allowing a</w:t>
      </w:r>
      <w:r>
        <w:rPr>
          <w:rFonts w:ascii="Times New Roman" w:hAnsi="Times New Roman" w:cs="Times New Roman"/>
        </w:rPr>
        <w:t xml:space="preserve"> licensee to repudiate and not </w:t>
      </w:r>
      <w:r w:rsidRPr="00014DC0">
        <w:rPr>
          <w:rFonts w:ascii="Times New Roman" w:hAnsi="Times New Roman" w:cs="Times New Roman"/>
        </w:rPr>
        <w:t xml:space="preserve">a tenant – the licensee has no proprietary asset to lose.  </w:t>
      </w:r>
      <w:r>
        <w:rPr>
          <w:rFonts w:ascii="Times New Roman" w:hAnsi="Times New Roman" w:cs="Times New Roman"/>
        </w:rPr>
        <w:t>This is a central distinction between the protection of proprietary rights and personal rights.  There is therefore no need to resort to contractual remedies to terminate leases; they are not the pancea they may at first appear to be.</w:t>
      </w:r>
    </w:p>
    <w:p w14:paraId="51739B89" w14:textId="77777777" w:rsidR="002A7A33" w:rsidRDefault="002A7A33" w:rsidP="00550D07">
      <w:pPr>
        <w:jc w:val="both"/>
        <w:rPr>
          <w:rFonts w:ascii="Times New Roman" w:hAnsi="Times New Roman" w:cs="Times New Roman"/>
        </w:rPr>
      </w:pPr>
    </w:p>
    <w:p w14:paraId="5B22C3F0" w14:textId="79293032" w:rsidR="002A7A33" w:rsidRPr="00014DC0" w:rsidRDefault="002A7A33" w:rsidP="00550D07">
      <w:pPr>
        <w:jc w:val="both"/>
        <w:rPr>
          <w:rFonts w:ascii="Times New Roman" w:hAnsi="Times New Roman" w:cs="Times New Roman"/>
        </w:rPr>
      </w:pPr>
      <w:r>
        <w:rPr>
          <w:rFonts w:ascii="Times New Roman" w:hAnsi="Times New Roman" w:cs="Times New Roman"/>
        </w:rPr>
        <w:t>When added to the concerns of the special context in which regulation of the landlord and tenant system operates, as demonstrated by repudiatory breach, the time has c</w:t>
      </w:r>
      <w:r w:rsidR="00112299">
        <w:rPr>
          <w:rFonts w:ascii="Times New Roman" w:hAnsi="Times New Roman" w:cs="Times New Roman"/>
        </w:rPr>
        <w:t>ome to learn hard lessons.  Those hard lessons, at heart, are that changes to regulation should really be within the purview of the legislature, not the judicial evolution of our common law system.   That is an important lesson to learn, and one which may have much wider import beyond contractualisation of leases.  To do otherwise is to create unforeseen anomalies, as demostrated here, or, at best, not to improve the law in any meaningful or defensible way.</w:t>
      </w:r>
    </w:p>
    <w:p w14:paraId="36100DA8" w14:textId="77777777" w:rsidR="00550D07" w:rsidRDefault="00550D07" w:rsidP="00550D07">
      <w:pPr>
        <w:jc w:val="both"/>
        <w:rPr>
          <w:rFonts w:ascii="Times New Roman" w:hAnsi="Times New Roman" w:cs="Times New Roman"/>
        </w:rPr>
      </w:pPr>
    </w:p>
    <w:p w14:paraId="3F1BFF1C" w14:textId="77777777" w:rsidR="00550D07" w:rsidRDefault="00550D07" w:rsidP="00D6056D">
      <w:pPr>
        <w:jc w:val="both"/>
        <w:rPr>
          <w:rFonts w:ascii="Times New Roman" w:hAnsi="Times New Roman" w:cs="Times New Roman"/>
        </w:rPr>
      </w:pPr>
    </w:p>
    <w:p w14:paraId="19AD111F" w14:textId="3AF9F479" w:rsidR="00695DF7" w:rsidRDefault="000652F0" w:rsidP="000652F0">
      <w:pPr>
        <w:tabs>
          <w:tab w:val="left" w:pos="2090"/>
        </w:tabs>
        <w:jc w:val="both"/>
        <w:rPr>
          <w:rFonts w:ascii="Times New Roman" w:hAnsi="Times New Roman" w:cs="Times New Roman"/>
        </w:rPr>
      </w:pPr>
      <w:r>
        <w:rPr>
          <w:rFonts w:ascii="Times New Roman" w:hAnsi="Times New Roman" w:cs="Times New Roman"/>
        </w:rPr>
        <w:tab/>
      </w:r>
    </w:p>
    <w:p w14:paraId="22248FEA" w14:textId="77777777" w:rsidR="000652F0" w:rsidRDefault="000652F0" w:rsidP="000652F0">
      <w:pPr>
        <w:tabs>
          <w:tab w:val="left" w:pos="2090"/>
        </w:tabs>
        <w:jc w:val="both"/>
        <w:rPr>
          <w:rFonts w:ascii="Times New Roman" w:hAnsi="Times New Roman" w:cs="Times New Roman"/>
        </w:rPr>
      </w:pPr>
    </w:p>
    <w:sectPr w:rsidR="000652F0" w:rsidSect="0075658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E9C6" w14:textId="77777777" w:rsidR="005A0C6D" w:rsidRDefault="005A0C6D" w:rsidP="00110FD7">
      <w:r>
        <w:separator/>
      </w:r>
    </w:p>
  </w:endnote>
  <w:endnote w:type="continuationSeparator" w:id="0">
    <w:p w14:paraId="599DAAF0" w14:textId="77777777" w:rsidR="005A0C6D" w:rsidRDefault="005A0C6D" w:rsidP="0011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B63E" w14:textId="77777777" w:rsidR="005A0C6D" w:rsidRDefault="005A0C6D" w:rsidP="00110FD7">
      <w:r>
        <w:separator/>
      </w:r>
    </w:p>
  </w:footnote>
  <w:footnote w:type="continuationSeparator" w:id="0">
    <w:p w14:paraId="30586AA5" w14:textId="77777777" w:rsidR="005A0C6D" w:rsidRDefault="005A0C6D" w:rsidP="00110FD7">
      <w:r>
        <w:continuationSeparator/>
      </w:r>
    </w:p>
  </w:footnote>
  <w:footnote w:id="1">
    <w:p w14:paraId="08697DDD" w14:textId="2F66834A" w:rsidR="00940F61" w:rsidRPr="00677B2C" w:rsidRDefault="00940F61" w:rsidP="000D53EE">
      <w:pPr>
        <w:pStyle w:val="FootnoteText"/>
        <w:jc w:val="both"/>
      </w:pPr>
      <w:r w:rsidRPr="00677B2C">
        <w:rPr>
          <w:rStyle w:val="FootnoteReference"/>
        </w:rPr>
        <w:footnoteRef/>
      </w:r>
      <w:r w:rsidRPr="00677B2C">
        <w:t xml:space="preserve"> My thanks are due to Dr David Capper, Dr Juanita Roche and Professor Nicolas Hopkins for their questions and comments at the Conference, which have undoubtedly improved the quality of this paper and led to an alteration of the title in consequence.  Any errors or omissions remain mine alone.</w:t>
      </w:r>
    </w:p>
  </w:footnote>
  <w:footnote w:id="2">
    <w:p w14:paraId="32F027A3" w14:textId="3F21094F" w:rsidR="00940F61" w:rsidRPr="00677B2C" w:rsidRDefault="00940F61" w:rsidP="000D53EE">
      <w:pPr>
        <w:pStyle w:val="FootnoteText"/>
        <w:jc w:val="both"/>
      </w:pPr>
      <w:r w:rsidRPr="00677B2C">
        <w:rPr>
          <w:rStyle w:val="FootnoteReference"/>
        </w:rPr>
        <w:footnoteRef/>
      </w:r>
      <w:r w:rsidRPr="00677B2C">
        <w:t xml:space="preserve"> </w:t>
      </w:r>
      <w:r w:rsidRPr="00677B2C">
        <w:rPr>
          <w:i/>
        </w:rPr>
        <w:t xml:space="preserve">National Carriers Ltd </w:t>
      </w:r>
      <w:r w:rsidRPr="00677B2C">
        <w:t>v</w:t>
      </w:r>
      <w:r w:rsidRPr="00677B2C">
        <w:rPr>
          <w:i/>
        </w:rPr>
        <w:t xml:space="preserve"> Panalpina (Northern) Ltd</w:t>
      </w:r>
      <w:r w:rsidRPr="00677B2C">
        <w:t xml:space="preserve"> [1981] 2 AC 45.</w:t>
      </w:r>
    </w:p>
  </w:footnote>
  <w:footnote w:id="3">
    <w:p w14:paraId="0A8A9265" w14:textId="4DE63057" w:rsidR="00940F61" w:rsidRPr="00677B2C" w:rsidRDefault="00940F61" w:rsidP="000D53EE">
      <w:pPr>
        <w:pStyle w:val="FootnoteText"/>
        <w:jc w:val="both"/>
      </w:pPr>
      <w:r w:rsidRPr="00677B2C">
        <w:rPr>
          <w:rStyle w:val="FootnoteReference"/>
        </w:rPr>
        <w:footnoteRef/>
      </w:r>
      <w:r w:rsidRPr="00677B2C">
        <w:t xml:space="preserve"> </w:t>
      </w:r>
      <w:r w:rsidRPr="00677B2C">
        <w:rPr>
          <w:i/>
        </w:rPr>
        <w:t xml:space="preserve">Hussein </w:t>
      </w:r>
      <w:r w:rsidRPr="00677B2C">
        <w:t xml:space="preserve">v </w:t>
      </w:r>
      <w:r w:rsidRPr="00677B2C">
        <w:rPr>
          <w:i/>
        </w:rPr>
        <w:t xml:space="preserve">Mehlman </w:t>
      </w:r>
      <w:r w:rsidRPr="00677B2C">
        <w:t>[1992] 2 EGLR 87.</w:t>
      </w:r>
    </w:p>
  </w:footnote>
  <w:footnote w:id="4">
    <w:p w14:paraId="31DEFE1D" w14:textId="4D8EAB95" w:rsidR="007F3948" w:rsidRPr="00677B2C" w:rsidRDefault="007F3948" w:rsidP="00034B4C">
      <w:pPr>
        <w:pStyle w:val="FootnoteText"/>
        <w:jc w:val="both"/>
      </w:pPr>
      <w:r w:rsidRPr="00677B2C">
        <w:rPr>
          <w:rStyle w:val="FootnoteReference"/>
        </w:rPr>
        <w:footnoteRef/>
      </w:r>
      <w:r w:rsidRPr="00677B2C">
        <w:t xml:space="preserve"> One of the reasons might be that there has been a marked increase in the number of tenants going into liquidation or being made bankrupt, with liquidators and trustees in bankruptcy disclaiming leases as ‘onerous property’ under ss.178-182 or ss.315-321 of the Insolvency Act 1986.</w:t>
      </w:r>
    </w:p>
  </w:footnote>
  <w:footnote w:id="5">
    <w:p w14:paraId="7D2090C4" w14:textId="04422BF8" w:rsidR="002F5EBD" w:rsidRPr="00677B2C" w:rsidRDefault="002F5EBD" w:rsidP="002F5EBD">
      <w:pPr>
        <w:pStyle w:val="FootnoteText"/>
        <w:jc w:val="both"/>
      </w:pPr>
      <w:r w:rsidRPr="00677B2C">
        <w:rPr>
          <w:rStyle w:val="FootnoteReference"/>
        </w:rPr>
        <w:footnoteRef/>
      </w:r>
      <w:r w:rsidRPr="00677B2C">
        <w:t xml:space="preserve"> No lesser persons than Lords Millet and Neuberger have clashed on the desirability of repudiatory breach as a remedy for landlord and tenant in the Blundell lectures 2000 (Falcon Chambers)</w:t>
      </w:r>
      <w:r w:rsidR="00963AD7">
        <w:t>.</w:t>
      </w:r>
    </w:p>
  </w:footnote>
  <w:footnote w:id="6">
    <w:p w14:paraId="59ED3BFE" w14:textId="4C5C5291" w:rsidR="00940F61" w:rsidRPr="00677B2C" w:rsidRDefault="00940F61" w:rsidP="000D53EE">
      <w:pPr>
        <w:pStyle w:val="FootnoteText"/>
        <w:jc w:val="both"/>
      </w:pPr>
      <w:r w:rsidRPr="00677B2C">
        <w:rPr>
          <w:rStyle w:val="FootnoteReference"/>
        </w:rPr>
        <w:footnoteRef/>
      </w:r>
      <w:r w:rsidRPr="00677B2C">
        <w:t xml:space="preserve"> Bright </w:t>
      </w:r>
      <w:r w:rsidRPr="00677B2C">
        <w:rPr>
          <w:i/>
        </w:rPr>
        <w:t>Landlord and Tenant Law in Context</w:t>
      </w:r>
      <w:r w:rsidRPr="00677B2C">
        <w:t xml:space="preserve"> (2007) pp 30 -33.</w:t>
      </w:r>
    </w:p>
  </w:footnote>
  <w:footnote w:id="7">
    <w:p w14:paraId="7E84F43E" w14:textId="4A9CDE20" w:rsidR="00940F61" w:rsidRPr="00677B2C" w:rsidRDefault="00940F61" w:rsidP="000D53EE">
      <w:pPr>
        <w:pStyle w:val="FootnoteText"/>
        <w:jc w:val="both"/>
      </w:pPr>
      <w:r w:rsidRPr="00677B2C">
        <w:rPr>
          <w:rStyle w:val="FootnoteReference"/>
        </w:rPr>
        <w:footnoteRef/>
      </w:r>
      <w:r w:rsidRPr="00677B2C">
        <w:t xml:space="preserve"> The ‘non-estate’ or ‘</w:t>
      </w:r>
      <w:r w:rsidRPr="00677B2C">
        <w:rPr>
          <w:i/>
        </w:rPr>
        <w:t>Bruton</w:t>
      </w:r>
      <w:r w:rsidRPr="00677B2C">
        <w:t>’</w:t>
      </w:r>
      <w:r w:rsidRPr="00677B2C">
        <w:rPr>
          <w:i/>
        </w:rPr>
        <w:t xml:space="preserve"> </w:t>
      </w:r>
      <w:r w:rsidR="005822B4" w:rsidRPr="00677B2C">
        <w:t>tenancy</w:t>
      </w:r>
      <w:r w:rsidR="00F51136" w:rsidRPr="00677B2C">
        <w:t xml:space="preserve">, is considered </w:t>
      </w:r>
      <w:r w:rsidR="00F51136" w:rsidRPr="00BE237E">
        <w:t>below</w:t>
      </w:r>
      <w:r w:rsidR="00BE237E" w:rsidRPr="00BE237E">
        <w:t>.</w:t>
      </w:r>
    </w:p>
  </w:footnote>
  <w:footnote w:id="8">
    <w:p w14:paraId="03B1BFEB" w14:textId="3E2E99F2" w:rsidR="00940F61" w:rsidRPr="00677B2C" w:rsidRDefault="00940F61" w:rsidP="000D53EE">
      <w:pPr>
        <w:pStyle w:val="FootnoteText"/>
        <w:jc w:val="both"/>
      </w:pPr>
      <w:r w:rsidRPr="00677B2C">
        <w:rPr>
          <w:rStyle w:val="FootnoteReference"/>
        </w:rPr>
        <w:footnoteRef/>
      </w:r>
      <w:r w:rsidRPr="00677B2C">
        <w:t xml:space="preserve"> Not only must letting agents now declare all fees upfront (s.83), but the unfair contract terms approach (Part 2) now applies to individually negotiated terms in leases or licences for occupation of property, which used to fall outside the remit of unfair contract terms.  Similarly, lettings of furnished premises may well fall within the definition of a contract for the hire of goods (Part 1, Chapter 2, s.3(2)(a)), which may lead to the implication of terms as to quality and fitness for a specified purpose (ss.9 -14).</w:t>
      </w:r>
    </w:p>
  </w:footnote>
  <w:footnote w:id="9">
    <w:p w14:paraId="002F7AE4" w14:textId="29F661DF" w:rsidR="00940F61" w:rsidRPr="00677B2C" w:rsidRDefault="00940F61" w:rsidP="000D53EE">
      <w:pPr>
        <w:pStyle w:val="FootnoteText"/>
        <w:jc w:val="both"/>
      </w:pPr>
      <w:r w:rsidRPr="00677B2C">
        <w:rPr>
          <w:rStyle w:val="FootnoteReference"/>
        </w:rPr>
        <w:footnoteRef/>
      </w:r>
      <w:r w:rsidRPr="00677B2C">
        <w:t xml:space="preserve"> This received Royal Assent on the 18 January 2016, and was based on, ‘Renting Homes in Wales’ (Law Com No 337, published 9 April 2013), following ‘Renting Homes: The Final Report (Law Com No 297, published 2007).  English law has not adopted these changes.</w:t>
      </w:r>
    </w:p>
  </w:footnote>
  <w:footnote w:id="10">
    <w:p w14:paraId="5EDC29D8" w14:textId="77777777" w:rsidR="00207B42" w:rsidRPr="00677B2C" w:rsidRDefault="00207B42" w:rsidP="00207B42">
      <w:pPr>
        <w:pStyle w:val="FootnoteText"/>
        <w:jc w:val="both"/>
      </w:pPr>
      <w:r w:rsidRPr="00677B2C">
        <w:rPr>
          <w:rStyle w:val="FootnoteReference"/>
        </w:rPr>
        <w:footnoteRef/>
      </w:r>
      <w:r w:rsidRPr="00677B2C">
        <w:t xml:space="preserve"> One reason for focussing on repudiatory breach is that, at the time of writing, an actionable case of frustration of a lease has yet to be recorded in the law reports, and the particular issues that arise from such an action have already been explored elsewhere – see W Barr, ‘Frustration of Leases - The Hazards of Contractualisation’ [2001] 52 </w:t>
      </w:r>
      <w:r w:rsidRPr="00677B2C">
        <w:rPr>
          <w:i/>
        </w:rPr>
        <w:t xml:space="preserve">Northern Ireland Legal Quarterly </w:t>
      </w:r>
      <w:r w:rsidRPr="00677B2C">
        <w:t>82.</w:t>
      </w:r>
    </w:p>
  </w:footnote>
  <w:footnote w:id="11">
    <w:p w14:paraId="76A0D585" w14:textId="4558B9EE" w:rsidR="00207B42" w:rsidRDefault="00207B42" w:rsidP="00207B42">
      <w:pPr>
        <w:pStyle w:val="FootnoteText"/>
        <w:jc w:val="both"/>
      </w:pPr>
      <w:r>
        <w:rPr>
          <w:rStyle w:val="FootnoteReference"/>
        </w:rPr>
        <w:footnoteRef/>
      </w:r>
      <w:r>
        <w:t xml:space="preserve"> </w:t>
      </w:r>
      <w:r w:rsidRPr="00846F51">
        <w:t>While the approach in Anglo-Welsh law will be contrasted to key developments in other commonwealth jurisdictions, where appropriate, it is not within the ambit of this paper to consider what lessons might be learnt from the treatment of repudiatory breach in other jurisdictions:</w:t>
      </w:r>
      <w:r>
        <w:t xml:space="preserve"> that has been done elsewhere – see </w:t>
      </w:r>
      <w:r w:rsidRPr="00677B2C">
        <w:t xml:space="preserve">See W Barr ‘Repudiation of Leases: A Fool’s Paradise’ n11.; M Pawlowski &amp; M Brown. ‘Contractual termination of leases: lessons from the Commonwealth: Part 1’ (2009) </w:t>
      </w:r>
      <w:r w:rsidRPr="00677B2C">
        <w:rPr>
          <w:i/>
        </w:rPr>
        <w:t>Landlord &amp; Tenant Review</w:t>
      </w:r>
      <w:r w:rsidRPr="00677B2C">
        <w:t xml:space="preserve"> 145, ‘Part 2’1’ (2009) </w:t>
      </w:r>
      <w:r w:rsidRPr="00677B2C">
        <w:rPr>
          <w:i/>
        </w:rPr>
        <w:t xml:space="preserve">Landlord &amp; Tenant Review </w:t>
      </w:r>
      <w:r w:rsidRPr="00677B2C">
        <w:t xml:space="preserve">182, ‘Part 3’(2009) </w:t>
      </w:r>
      <w:r w:rsidRPr="00677B2C">
        <w:rPr>
          <w:i/>
        </w:rPr>
        <w:t>Landlord &amp; Tenant Review</w:t>
      </w:r>
      <w:r w:rsidRPr="00677B2C">
        <w:t xml:space="preserve"> 216.</w:t>
      </w:r>
      <w:r>
        <w:t xml:space="preserve"> </w:t>
      </w:r>
    </w:p>
  </w:footnote>
  <w:footnote w:id="12">
    <w:p w14:paraId="4D7E5FB7" w14:textId="733357FD" w:rsidR="000326EF" w:rsidRPr="00677B2C" w:rsidRDefault="000326EF" w:rsidP="000326EF">
      <w:pPr>
        <w:pStyle w:val="FootnoteText"/>
        <w:jc w:val="both"/>
      </w:pPr>
      <w:r w:rsidRPr="00677B2C">
        <w:rPr>
          <w:rStyle w:val="FootnoteReference"/>
        </w:rPr>
        <w:footnoteRef/>
      </w:r>
      <w:r w:rsidRPr="00677B2C">
        <w:t xml:space="preserve"> See W Barr, ‘Repudiation of Leases:  A Fool’s Paradise’ in </w:t>
      </w:r>
      <w:r w:rsidRPr="00677B2C">
        <w:rPr>
          <w:i/>
        </w:rPr>
        <w:t>Contemporary Property Law (</w:t>
      </w:r>
      <w:r w:rsidRPr="00677B2C">
        <w:t>1999, Ashgate). More</w:t>
      </w:r>
      <w:r w:rsidR="00331322">
        <w:t xml:space="preserve"> generally, see </w:t>
      </w:r>
      <w:r w:rsidRPr="00677B2C">
        <w:t xml:space="preserve">J Morgan ‘Leases: Property, contract or more?’ in </w:t>
      </w:r>
      <w:r w:rsidRPr="00677B2C">
        <w:rPr>
          <w:i/>
        </w:rPr>
        <w:t>Modern Studies in Property Law: Volume 5</w:t>
      </w:r>
      <w:r w:rsidRPr="00677B2C">
        <w:t xml:space="preserve"> (M Dixon ed) (Hart Publishing, 2009).</w:t>
      </w:r>
    </w:p>
  </w:footnote>
  <w:footnote w:id="13">
    <w:p w14:paraId="11BED811" w14:textId="3914AC9A" w:rsidR="00940F61" w:rsidRPr="00677B2C" w:rsidRDefault="00940F61" w:rsidP="000D53EE">
      <w:pPr>
        <w:pStyle w:val="FootnoteText"/>
        <w:jc w:val="both"/>
      </w:pPr>
      <w:r w:rsidRPr="00677B2C">
        <w:rPr>
          <w:rStyle w:val="FootnoteReference"/>
        </w:rPr>
        <w:footnoteRef/>
      </w:r>
      <w:r w:rsidRPr="00677B2C">
        <w:t xml:space="preserve"> </w:t>
      </w:r>
      <w:r w:rsidRPr="00677B2C">
        <w:rPr>
          <w:i/>
        </w:rPr>
        <w:t>Linden Garden Trusts Ltd v Lenesta Disposals Ltd</w:t>
      </w:r>
      <w:r w:rsidRPr="00677B2C">
        <w:t xml:space="preserve"> [1993] 3 All ER 417.</w:t>
      </w:r>
    </w:p>
  </w:footnote>
  <w:footnote w:id="14">
    <w:p w14:paraId="6DF6A092" w14:textId="31D17D6F" w:rsidR="00940F61" w:rsidRPr="00677B2C" w:rsidRDefault="00940F61" w:rsidP="000D53EE">
      <w:pPr>
        <w:pStyle w:val="FootnoteText"/>
        <w:jc w:val="both"/>
      </w:pPr>
      <w:r w:rsidRPr="00677B2C">
        <w:rPr>
          <w:rStyle w:val="FootnoteReference"/>
        </w:rPr>
        <w:footnoteRef/>
      </w:r>
      <w:r w:rsidRPr="00677B2C">
        <w:t xml:space="preserve"> </w:t>
      </w:r>
      <w:r w:rsidRPr="00677B2C">
        <w:rPr>
          <w:i/>
        </w:rPr>
        <w:t>National Carriers Ltd v Panalpinia (</w:t>
      </w:r>
      <w:r w:rsidR="002F5E78" w:rsidRPr="00677B2C">
        <w:rPr>
          <w:i/>
        </w:rPr>
        <w:t>Northern</w:t>
      </w:r>
      <w:r w:rsidRPr="00677B2C">
        <w:rPr>
          <w:i/>
        </w:rPr>
        <w:t xml:space="preserve">) Ltd </w:t>
      </w:r>
      <w:r w:rsidRPr="00677B2C">
        <w:t>[19</w:t>
      </w:r>
      <w:r w:rsidR="006E68C5" w:rsidRPr="00677B2C">
        <w:t>81] 2 AC 45, per Lord Roskill.</w:t>
      </w:r>
    </w:p>
  </w:footnote>
  <w:footnote w:id="15">
    <w:p w14:paraId="4472D5CC" w14:textId="0453ED36" w:rsidR="00940F61" w:rsidRPr="00677B2C" w:rsidRDefault="00940F61" w:rsidP="000D53EE">
      <w:pPr>
        <w:pStyle w:val="FootnoteText"/>
        <w:jc w:val="both"/>
      </w:pPr>
      <w:r w:rsidRPr="00677B2C">
        <w:rPr>
          <w:rStyle w:val="FootnoteReference"/>
        </w:rPr>
        <w:footnoteRef/>
      </w:r>
      <w:r w:rsidRPr="00677B2C">
        <w:t xml:space="preserve"> </w:t>
      </w:r>
      <w:r w:rsidRPr="00677B2C">
        <w:rPr>
          <w:i/>
        </w:rPr>
        <w:t>Johnston &amp; Sons Ltd</w:t>
      </w:r>
      <w:r w:rsidRPr="00677B2C">
        <w:t xml:space="preserve"> v </w:t>
      </w:r>
      <w:r w:rsidRPr="00677B2C">
        <w:rPr>
          <w:i/>
        </w:rPr>
        <w:t>Holland</w:t>
      </w:r>
      <w:r w:rsidRPr="00677B2C">
        <w:t xml:space="preserve"> [1988] 1 EGLR 264 at 267j per Nicholls LJ (talking, in that case, about the concept of non-derogation from grant).</w:t>
      </w:r>
    </w:p>
  </w:footnote>
  <w:footnote w:id="16">
    <w:p w14:paraId="703B41F9" w14:textId="07FB05B0" w:rsidR="00B1196A" w:rsidRPr="00677B2C" w:rsidRDefault="00B1196A">
      <w:pPr>
        <w:pStyle w:val="FootnoteText"/>
      </w:pPr>
      <w:r w:rsidRPr="00677B2C">
        <w:rPr>
          <w:rStyle w:val="FootnoteReference"/>
        </w:rPr>
        <w:footnoteRef/>
      </w:r>
      <w:r w:rsidRPr="00677B2C">
        <w:t xml:space="preserve"> The presence of an estate did not impress their Lordships in </w:t>
      </w:r>
      <w:r w:rsidRPr="00677B2C">
        <w:rPr>
          <w:i/>
        </w:rPr>
        <w:t>National Carriers v Panalpina</w:t>
      </w:r>
      <w:r w:rsidR="00A75323">
        <w:t xml:space="preserve"> n.14</w:t>
      </w:r>
      <w:r w:rsidRPr="00677B2C">
        <w:t>, though no actual consideration of the nature of the estate was undertaken by the majority in reaching their decisions.  See W Barr ‘Frustration of Leases - The Ha</w:t>
      </w:r>
      <w:r w:rsidR="00A75323">
        <w:t>zards of Contractualisation’ n10</w:t>
      </w:r>
      <w:r w:rsidRPr="00677B2C">
        <w:t>.</w:t>
      </w:r>
    </w:p>
  </w:footnote>
  <w:footnote w:id="17">
    <w:p w14:paraId="60E593BF" w14:textId="77777777" w:rsidR="00B1196A" w:rsidRPr="00677B2C" w:rsidRDefault="00B1196A" w:rsidP="00B1196A">
      <w:pPr>
        <w:pStyle w:val="FootnoteText"/>
        <w:jc w:val="both"/>
      </w:pPr>
      <w:r w:rsidRPr="00677B2C">
        <w:rPr>
          <w:rStyle w:val="FootnoteReference"/>
        </w:rPr>
        <w:footnoteRef/>
      </w:r>
      <w:r w:rsidRPr="00677B2C">
        <w:t xml:space="preserve"> Similarly, some commentators feel that the lease/licence distinction creates problems – see H Carr, ‘</w:t>
      </w:r>
      <w:r w:rsidRPr="00677B2C">
        <w:rPr>
          <w:iCs/>
        </w:rPr>
        <w:t xml:space="preserve">The Sorting of Forks from the Spades: an Unnecessary Distraction in Housing Law?’ </w:t>
      </w:r>
      <w:r w:rsidRPr="00677B2C">
        <w:t xml:space="preserve">in Cowan (ed), </w:t>
      </w:r>
      <w:r w:rsidRPr="00677B2C">
        <w:rPr>
          <w:i/>
        </w:rPr>
        <w:t>Housing: Participation and Exclusion</w:t>
      </w:r>
      <w:r w:rsidRPr="00677B2C">
        <w:t xml:space="preserve"> (1988) p.107, which argues that differentiating occupation agreements (and their legal consequences) creates a great deal of confusion for housing providers, to the detriment of vulnerable groups.  This, of course, is no longer a distinction contained in Welsh housing law.</w:t>
      </w:r>
    </w:p>
  </w:footnote>
  <w:footnote w:id="18">
    <w:p w14:paraId="6261E731" w14:textId="77777777" w:rsidR="00B1196A" w:rsidRPr="00677B2C" w:rsidRDefault="00B1196A" w:rsidP="00B1196A">
      <w:pPr>
        <w:pStyle w:val="FootnoteText"/>
      </w:pPr>
      <w:r w:rsidRPr="00677B2C">
        <w:rPr>
          <w:rStyle w:val="FootnoteReference"/>
        </w:rPr>
        <w:footnoteRef/>
      </w:r>
      <w:r w:rsidRPr="00677B2C">
        <w:t xml:space="preserve"> [2000] 1 AC 406.</w:t>
      </w:r>
    </w:p>
  </w:footnote>
  <w:footnote w:id="19">
    <w:p w14:paraId="60EF36B7" w14:textId="77777777" w:rsidR="00B1196A" w:rsidRPr="00677B2C" w:rsidRDefault="00B1196A" w:rsidP="00B1196A">
      <w:pPr>
        <w:pStyle w:val="FootnoteText"/>
      </w:pPr>
      <w:r w:rsidRPr="00677B2C">
        <w:rPr>
          <w:rStyle w:val="FootnoteReference"/>
        </w:rPr>
        <w:footnoteRef/>
      </w:r>
      <w:r w:rsidRPr="00677B2C">
        <w:t xml:space="preserve"> [2006] 2 WLR 570</w:t>
      </w:r>
    </w:p>
  </w:footnote>
  <w:footnote w:id="20">
    <w:p w14:paraId="5412E43E" w14:textId="15B8E125" w:rsidR="00B1196A" w:rsidRPr="00677B2C" w:rsidRDefault="00B1196A" w:rsidP="00B1196A">
      <w:pPr>
        <w:pStyle w:val="FootnoteText"/>
        <w:jc w:val="both"/>
      </w:pPr>
      <w:r w:rsidRPr="00677B2C">
        <w:rPr>
          <w:rStyle w:val="FootnoteReference"/>
        </w:rPr>
        <w:footnoteRef/>
      </w:r>
      <w:r w:rsidRPr="00677B2C">
        <w:t xml:space="preserve"> This has been classed as a ‘non-estate’ tenancy by Lord Scott in </w:t>
      </w:r>
      <w:r w:rsidRPr="00677B2C">
        <w:rPr>
          <w:i/>
        </w:rPr>
        <w:t>Kay</w:t>
      </w:r>
      <w:r w:rsidRPr="00677B2C">
        <w:t>, and it is clear that, whatever the limits of this type of contractual tenancy, the ability to bind parties outside of the contracting landlord and tenant is no different to a contractu</w:t>
      </w:r>
      <w:r w:rsidR="00D43F44">
        <w:t>al licence.</w:t>
      </w:r>
    </w:p>
  </w:footnote>
  <w:footnote w:id="21">
    <w:p w14:paraId="73CB0F96" w14:textId="409DD7EB" w:rsidR="00B1196A" w:rsidRPr="00677B2C" w:rsidRDefault="00B1196A" w:rsidP="00B1196A">
      <w:pPr>
        <w:pStyle w:val="FootnoteText"/>
        <w:jc w:val="both"/>
      </w:pPr>
      <w:r w:rsidRPr="00677B2C">
        <w:rPr>
          <w:rStyle w:val="FootnoteReference"/>
        </w:rPr>
        <w:footnoteRef/>
      </w:r>
      <w:r w:rsidRPr="00677B2C">
        <w:t xml:space="preserve"> See, for example, J Hill, </w:t>
      </w:r>
      <w:r w:rsidRPr="00677B2C">
        <w:rPr>
          <w:i/>
        </w:rPr>
        <w:t>‘</w:t>
      </w:r>
      <w:r w:rsidRPr="00677B2C">
        <w:t>The Proprietary Character of Possession’</w:t>
      </w:r>
      <w:r w:rsidRPr="00677B2C">
        <w:rPr>
          <w:i/>
        </w:rPr>
        <w:t xml:space="preserve"> </w:t>
      </w:r>
      <w:r w:rsidRPr="00677B2C">
        <w:t>in</w:t>
      </w:r>
      <w:r w:rsidRPr="00677B2C">
        <w:rPr>
          <w:i/>
        </w:rPr>
        <w:t xml:space="preserve"> </w:t>
      </w:r>
      <w:r w:rsidRPr="00677B2C">
        <w:t xml:space="preserve">E. Cooke (ed) </w:t>
      </w:r>
      <w:r w:rsidRPr="00677B2C">
        <w:rPr>
          <w:i/>
        </w:rPr>
        <w:t xml:space="preserve">Modern Studies in Property Law, Volume 1 </w:t>
      </w:r>
      <w:r w:rsidRPr="00677B2C">
        <w:t>(Hart, 2001); K Lewison</w:t>
      </w:r>
      <w:r w:rsidR="006268C8" w:rsidRPr="00677B2C">
        <w:t xml:space="preserve">, ‘The nature of a lease and the applicability of principles of repudiation and acceptance’ (2007) </w:t>
      </w:r>
      <w:r w:rsidR="006268C8" w:rsidRPr="00677B2C">
        <w:rPr>
          <w:i/>
        </w:rPr>
        <w:t>Landlord and Tenant Bulletin</w:t>
      </w:r>
      <w:r w:rsidR="006268C8" w:rsidRPr="00677B2C">
        <w:t xml:space="preserve"> 2</w:t>
      </w:r>
      <w:r w:rsidRPr="00677B2C">
        <w:t>, who argues, that ‘the creation of the relationship of landlord and tenant will always create an estate in land, but one which may not bind a person having a better right. There is no such thing as a “non-estate tenancy”; but the estate may be a precarious one</w:t>
      </w:r>
      <w:r w:rsidR="006268C8" w:rsidRPr="00677B2C">
        <w:t>’</w:t>
      </w:r>
      <w:r w:rsidRPr="00677B2C">
        <w:t>.</w:t>
      </w:r>
    </w:p>
  </w:footnote>
  <w:footnote w:id="22">
    <w:p w14:paraId="5021F15E" w14:textId="77777777" w:rsidR="00B1196A" w:rsidRPr="00677B2C" w:rsidRDefault="00B1196A" w:rsidP="00B1196A">
      <w:pPr>
        <w:pStyle w:val="FootnoteText"/>
        <w:jc w:val="both"/>
      </w:pPr>
      <w:r w:rsidRPr="00677B2C">
        <w:rPr>
          <w:rStyle w:val="FootnoteReference"/>
        </w:rPr>
        <w:footnoteRef/>
      </w:r>
      <w:r w:rsidRPr="00677B2C">
        <w:t xml:space="preserve"> </w:t>
      </w:r>
      <w:r w:rsidRPr="00677B2C">
        <w:rPr>
          <w:color w:val="333333"/>
        </w:rPr>
        <w:t>[2011] UKSC 52 at</w:t>
      </w:r>
      <w:r w:rsidRPr="00677B2C">
        <w:t xml:space="preserve"> [62].</w:t>
      </w:r>
    </w:p>
  </w:footnote>
  <w:footnote w:id="23">
    <w:p w14:paraId="41357100" w14:textId="4415F7E5" w:rsidR="00B1196A" w:rsidRPr="00677B2C" w:rsidRDefault="00B1196A" w:rsidP="00B1196A">
      <w:pPr>
        <w:pStyle w:val="FootnoteText"/>
        <w:jc w:val="both"/>
      </w:pPr>
      <w:r w:rsidRPr="00677B2C">
        <w:rPr>
          <w:rStyle w:val="FootnoteReference"/>
        </w:rPr>
        <w:footnoteRef/>
      </w:r>
      <w:r w:rsidRPr="00677B2C">
        <w:t xml:space="preserve"> </w:t>
      </w:r>
      <w:r w:rsidR="00A75323">
        <w:t xml:space="preserve">A </w:t>
      </w:r>
      <w:r w:rsidRPr="00677B2C">
        <w:t xml:space="preserve">Baker, ‘Bruton, licences and a fiction of title’, [2014] </w:t>
      </w:r>
      <w:r w:rsidRPr="00677B2C">
        <w:rPr>
          <w:i/>
        </w:rPr>
        <w:t>Conv</w:t>
      </w:r>
      <w:r w:rsidRPr="00677B2C">
        <w:t xml:space="preserve"> 494.</w:t>
      </w:r>
    </w:p>
  </w:footnote>
  <w:footnote w:id="24">
    <w:p w14:paraId="3A3CDC46" w14:textId="77777777" w:rsidR="00B1196A" w:rsidRPr="00677B2C" w:rsidRDefault="00B1196A" w:rsidP="00B1196A">
      <w:pPr>
        <w:pStyle w:val="FootnoteText"/>
      </w:pPr>
      <w:r w:rsidRPr="00677B2C">
        <w:rPr>
          <w:rStyle w:val="FootnoteReference"/>
        </w:rPr>
        <w:footnoteRef/>
      </w:r>
      <w:r w:rsidRPr="00677B2C">
        <w:t xml:space="preserve"> See </w:t>
      </w:r>
      <w:r w:rsidRPr="00677B2C">
        <w:rPr>
          <w:i/>
        </w:rPr>
        <w:t>Roberts v Swangroves Estates</w:t>
      </w:r>
      <w:r w:rsidRPr="00677B2C">
        <w:t xml:space="preserve"> [2007] EWHC 513 (Ch).</w:t>
      </w:r>
    </w:p>
  </w:footnote>
  <w:footnote w:id="25">
    <w:p w14:paraId="4BDB4A03" w14:textId="7140B1AC" w:rsidR="00B1196A" w:rsidRPr="00677B2C" w:rsidRDefault="00B1196A" w:rsidP="00B1196A">
      <w:pPr>
        <w:pStyle w:val="FootnoteText"/>
        <w:jc w:val="both"/>
      </w:pPr>
      <w:r w:rsidRPr="00677B2C">
        <w:rPr>
          <w:rStyle w:val="FootnoteReference"/>
        </w:rPr>
        <w:footnoteRef/>
      </w:r>
      <w:r w:rsidRPr="00677B2C">
        <w:t xml:space="preserve"> A Baker, </w:t>
      </w:r>
      <w:r w:rsidR="00A75323">
        <w:t>n23</w:t>
      </w:r>
      <w:r w:rsidRPr="00677B2C">
        <w:t xml:space="preserve"> at 506.</w:t>
      </w:r>
    </w:p>
  </w:footnote>
  <w:footnote w:id="26">
    <w:p w14:paraId="7B90449F" w14:textId="18501873" w:rsidR="00D5714C" w:rsidRPr="00677B2C" w:rsidRDefault="00D5714C" w:rsidP="00D5714C">
      <w:pPr>
        <w:pStyle w:val="FootnoteText"/>
        <w:jc w:val="both"/>
      </w:pPr>
      <w:r w:rsidRPr="00677B2C">
        <w:rPr>
          <w:rStyle w:val="FootnoteReference"/>
        </w:rPr>
        <w:footnoteRef/>
      </w:r>
      <w:r w:rsidRPr="00677B2C">
        <w:t xml:space="preserve"> Three, broad methods have been suggested.  Viewing the lease as executory, on the basis of the implied covenant of quiet enjoyment (see C Chew, ‘The Application of the Contractual Doctrine of Repudiation to Real Property Leases’ (1990) 20 </w:t>
      </w:r>
      <w:r w:rsidRPr="00677B2C">
        <w:rPr>
          <w:i/>
        </w:rPr>
        <w:t>Western Aust. Law Review</w:t>
      </w:r>
      <w:r w:rsidRPr="00677B2C">
        <w:t xml:space="preserve"> 86; the use of a fiction of implied surrender (repudiatory conduct supplies the offer, election to terminate would supply the acceptance) and the implication of a condition subsequent, that on the happening of a substantial failure of performance the innocent party may elect to bring the lease to an end (P Luxton ‘Termination of Leases: From property to contract’ in J Birds, R Bradgate and C Villers (eds), </w:t>
      </w:r>
      <w:r w:rsidRPr="00677B2C">
        <w:rPr>
          <w:i/>
        </w:rPr>
        <w:t>Termination of Contracts</w:t>
      </w:r>
      <w:r w:rsidRPr="00677B2C">
        <w:t xml:space="preserve"> (London: Wiley Publishing Ltd, 1995).  All of these depend on legal fictions, and are unsatisfactory.  See</w:t>
      </w:r>
      <w:r w:rsidR="00AD46ED" w:rsidRPr="00677B2C">
        <w:t xml:space="preserve"> W </w:t>
      </w:r>
      <w:r w:rsidRPr="00677B2C">
        <w:t>B</w:t>
      </w:r>
      <w:r w:rsidR="00A75323">
        <w:t>arr ‘Repudiation of Leases’ n.12</w:t>
      </w:r>
      <w:r w:rsidRPr="00677B2C">
        <w:t xml:space="preserve"> at pp 331-334.  </w:t>
      </w:r>
    </w:p>
  </w:footnote>
  <w:footnote w:id="27">
    <w:p w14:paraId="4681D728" w14:textId="07DA30FA" w:rsidR="0062779B" w:rsidRPr="00677B2C" w:rsidRDefault="0062779B" w:rsidP="0062779B">
      <w:pPr>
        <w:pStyle w:val="FootnoteText"/>
        <w:jc w:val="both"/>
      </w:pPr>
      <w:r w:rsidRPr="00677B2C">
        <w:rPr>
          <w:rStyle w:val="FootnoteReference"/>
        </w:rPr>
        <w:footnoteRef/>
      </w:r>
      <w:r w:rsidRPr="00677B2C">
        <w:t xml:space="preserve"> W Barr, ‘Repudiation of Leases’, </w:t>
      </w:r>
      <w:r w:rsidR="00A75323">
        <w:t>n12</w:t>
      </w:r>
      <w:r w:rsidR="00807CAD" w:rsidRPr="00677B2C">
        <w:t xml:space="preserve">, W Barr </w:t>
      </w:r>
      <w:r w:rsidRPr="00677B2C">
        <w:t>‘</w:t>
      </w:r>
      <w:r w:rsidR="00807CAD" w:rsidRPr="00677B2C">
        <w:t xml:space="preserve">Frustration of Leases’, </w:t>
      </w:r>
      <w:r w:rsidR="00A75323">
        <w:t>n10</w:t>
      </w:r>
      <w:r w:rsidR="00450190" w:rsidRPr="00677B2C">
        <w:t>.</w:t>
      </w:r>
    </w:p>
  </w:footnote>
  <w:footnote w:id="28">
    <w:p w14:paraId="4CF781AA" w14:textId="32674A0D" w:rsidR="00D530BF" w:rsidRPr="00677B2C" w:rsidRDefault="00D530BF">
      <w:pPr>
        <w:pStyle w:val="FootnoteText"/>
      </w:pPr>
      <w:r w:rsidRPr="00677B2C">
        <w:rPr>
          <w:rStyle w:val="FootnoteReference"/>
        </w:rPr>
        <w:footnoteRef/>
      </w:r>
      <w:r w:rsidRPr="00677B2C">
        <w:t xml:space="preserve"> M Pawlowski &amp; M Brown. ‘Contractual termination of leases: lessons from the Commonwealth: Part 3’(2009) </w:t>
      </w:r>
      <w:r w:rsidRPr="00677B2C">
        <w:rPr>
          <w:i/>
        </w:rPr>
        <w:t>Landlord &amp; Tenant Review</w:t>
      </w:r>
      <w:r w:rsidRPr="00677B2C">
        <w:t xml:space="preserve"> 216</w:t>
      </w:r>
    </w:p>
  </w:footnote>
  <w:footnote w:id="29">
    <w:p w14:paraId="286BAF69" w14:textId="271FEAFC" w:rsidR="00940F61" w:rsidRPr="00677B2C" w:rsidRDefault="00940F61" w:rsidP="000D53EE">
      <w:pPr>
        <w:pStyle w:val="FootnoteText"/>
        <w:jc w:val="both"/>
      </w:pPr>
      <w:r w:rsidRPr="00677B2C">
        <w:rPr>
          <w:rStyle w:val="FootnoteReference"/>
        </w:rPr>
        <w:footnoteRef/>
      </w:r>
      <w:r w:rsidRPr="00677B2C">
        <w:t xml:space="preserve"> B McFarlene, </w:t>
      </w:r>
      <w:r w:rsidRPr="00677B2C">
        <w:rPr>
          <w:i/>
        </w:rPr>
        <w:t>The Structure of Property Law</w:t>
      </w:r>
      <w:r w:rsidRPr="00677B2C">
        <w:t xml:space="preserve"> (2008, Hart Publishing, Oxford) pp 697-8,</w:t>
      </w:r>
    </w:p>
  </w:footnote>
  <w:footnote w:id="30">
    <w:p w14:paraId="3BFA1D0E" w14:textId="038AF717" w:rsidR="00940F61" w:rsidRPr="00677B2C" w:rsidRDefault="00940F61">
      <w:pPr>
        <w:pStyle w:val="FootnoteText"/>
      </w:pPr>
      <w:r w:rsidRPr="00677B2C">
        <w:rPr>
          <w:rStyle w:val="FootnoteReference"/>
        </w:rPr>
        <w:footnoteRef/>
      </w:r>
      <w:r w:rsidRPr="00677B2C">
        <w:t xml:space="preserve"> Ibid.</w:t>
      </w:r>
    </w:p>
  </w:footnote>
  <w:footnote w:id="31">
    <w:p w14:paraId="21B7AE56" w14:textId="1B261058" w:rsidR="00940F61" w:rsidRPr="00677B2C" w:rsidRDefault="00940F61" w:rsidP="00153D33">
      <w:pPr>
        <w:pStyle w:val="FootnoteText"/>
      </w:pPr>
      <w:r w:rsidRPr="00677B2C">
        <w:rPr>
          <w:rStyle w:val="FootnoteReference"/>
        </w:rPr>
        <w:footnoteRef/>
      </w:r>
      <w:r w:rsidRPr="00677B2C">
        <w:t xml:space="preserve"> See </w:t>
      </w:r>
      <w:r w:rsidRPr="00677B2C">
        <w:rPr>
          <w:i/>
        </w:rPr>
        <w:t>Eminence Property Developments Ltd</w:t>
      </w:r>
      <w:r w:rsidRPr="00677B2C">
        <w:t xml:space="preserve"> v </w:t>
      </w:r>
      <w:r w:rsidRPr="00677B2C">
        <w:rPr>
          <w:i/>
        </w:rPr>
        <w:t>Heaney</w:t>
      </w:r>
      <w:r w:rsidRPr="00677B2C">
        <w:t xml:space="preserve"> [2010] EWCA Civ 1168 (CA), where the facts sensitive nature of repudiatory breach was emphasised in deciding whether the contract breaker in a renunciation case had demonstrated, objectively, that he or she had refused to perform a contact.</w:t>
      </w:r>
    </w:p>
  </w:footnote>
  <w:footnote w:id="32">
    <w:p w14:paraId="22F5EF4F" w14:textId="77777777" w:rsidR="00940F61" w:rsidRPr="00677B2C" w:rsidRDefault="00940F61" w:rsidP="00156889">
      <w:pPr>
        <w:pStyle w:val="FootnoteText"/>
        <w:jc w:val="both"/>
      </w:pPr>
      <w:r w:rsidRPr="00677B2C">
        <w:rPr>
          <w:rStyle w:val="FootnoteReference"/>
        </w:rPr>
        <w:footnoteRef/>
      </w:r>
      <w:r w:rsidRPr="00677B2C">
        <w:t xml:space="preserve"> </w:t>
      </w:r>
      <w:r w:rsidRPr="00677B2C">
        <w:rPr>
          <w:i/>
        </w:rPr>
        <w:t>Hongkong Fir Shipping Co Ltd v. Kawasaki Kisen Kaisha Ltd</w:t>
      </w:r>
      <w:r w:rsidRPr="00677B2C">
        <w:t xml:space="preserve"> [1962] 2 QB 26</w:t>
      </w:r>
      <w:r w:rsidRPr="00677B2C">
        <w:rPr>
          <w:b/>
        </w:rPr>
        <w:t xml:space="preserve"> </w:t>
      </w:r>
      <w:r w:rsidRPr="00677B2C">
        <w:t>at 66 per Diplock LJ.</w:t>
      </w:r>
    </w:p>
  </w:footnote>
  <w:footnote w:id="33">
    <w:p w14:paraId="275C6210" w14:textId="2A58C4A0" w:rsidR="00940F61" w:rsidRPr="00677B2C" w:rsidRDefault="00940F61" w:rsidP="00E07499">
      <w:pPr>
        <w:pStyle w:val="FootnoteText"/>
        <w:jc w:val="both"/>
      </w:pPr>
      <w:r w:rsidRPr="00677B2C">
        <w:rPr>
          <w:rStyle w:val="FootnoteReference"/>
        </w:rPr>
        <w:footnoteRef/>
      </w:r>
      <w:r w:rsidR="006A67F0" w:rsidRPr="00677B2C">
        <w:t xml:space="preserve"> See,</w:t>
      </w:r>
      <w:r w:rsidRPr="00677B2C">
        <w:rPr>
          <w:i/>
        </w:rPr>
        <w:t xml:space="preserve"> Chitty on Contract</w:t>
      </w:r>
      <w:r w:rsidRPr="00677B2C">
        <w:t xml:space="preserve"> (32</w:t>
      </w:r>
      <w:r w:rsidRPr="00677B2C">
        <w:rPr>
          <w:vertAlign w:val="superscript"/>
        </w:rPr>
        <w:t>nd</w:t>
      </w:r>
      <w:r w:rsidRPr="00677B2C">
        <w:t xml:space="preserve"> ed) Volume 1, Chapter 24, 24-001 – 24-017.</w:t>
      </w:r>
    </w:p>
  </w:footnote>
  <w:footnote w:id="34">
    <w:p w14:paraId="0B708547" w14:textId="30D2A775" w:rsidR="00940F61" w:rsidRPr="00677B2C" w:rsidRDefault="00940F61" w:rsidP="000D53EE">
      <w:pPr>
        <w:pStyle w:val="FootnoteText"/>
        <w:jc w:val="both"/>
      </w:pPr>
      <w:r w:rsidRPr="00677B2C">
        <w:rPr>
          <w:rStyle w:val="FootnoteReference"/>
        </w:rPr>
        <w:footnoteRef/>
      </w:r>
      <w:r w:rsidRPr="00677B2C">
        <w:t xml:space="preserve"> See, for example, the facts and decision in </w:t>
      </w:r>
      <w:r w:rsidRPr="00677B2C">
        <w:rPr>
          <w:i/>
        </w:rPr>
        <w:t>McDonald v. Davy Lascelles Ltd</w:t>
      </w:r>
      <w:r w:rsidRPr="00677B2C">
        <w:t xml:space="preserve"> (1933) 48 CLR 457.</w:t>
      </w:r>
    </w:p>
  </w:footnote>
  <w:footnote w:id="35">
    <w:p w14:paraId="01A8F178" w14:textId="77777777" w:rsidR="002B7C7D" w:rsidRPr="00677B2C" w:rsidRDefault="002B7C7D" w:rsidP="002B7C7D">
      <w:pPr>
        <w:pStyle w:val="FootnoteText"/>
      </w:pPr>
      <w:r w:rsidRPr="00677B2C">
        <w:rPr>
          <w:rStyle w:val="FootnoteReference"/>
        </w:rPr>
        <w:footnoteRef/>
      </w:r>
      <w:r w:rsidRPr="00677B2C">
        <w:t xml:space="preserve"> </w:t>
      </w:r>
      <w:r w:rsidRPr="00677B2C">
        <w:rPr>
          <w:i/>
        </w:rPr>
        <w:t>Hussein</w:t>
      </w:r>
      <w:r w:rsidRPr="00677B2C">
        <w:t xml:space="preserve"> n1.</w:t>
      </w:r>
    </w:p>
  </w:footnote>
  <w:footnote w:id="36">
    <w:p w14:paraId="2931CE35" w14:textId="7FC2D677" w:rsidR="00940F61" w:rsidRPr="00677B2C" w:rsidRDefault="00940F61" w:rsidP="000D53EE">
      <w:pPr>
        <w:pStyle w:val="FootnoteText"/>
        <w:jc w:val="both"/>
      </w:pPr>
      <w:r w:rsidRPr="00677B2C">
        <w:rPr>
          <w:rStyle w:val="FootnoteReference"/>
        </w:rPr>
        <w:footnoteRef/>
      </w:r>
      <w:r w:rsidRPr="00677B2C">
        <w:t xml:space="preserve"> See W Barr, ‘Repudiation of Le</w:t>
      </w:r>
      <w:r w:rsidR="00807CAD" w:rsidRPr="00677B2C">
        <w:t>ases</w:t>
      </w:r>
      <w:r w:rsidR="003D61F9" w:rsidRPr="00677B2C">
        <w:t>’</w:t>
      </w:r>
      <w:r w:rsidR="002B7C7D" w:rsidRPr="00677B2C">
        <w:t>, n</w:t>
      </w:r>
      <w:r w:rsidR="003D61F9" w:rsidRPr="00677B2C">
        <w:t>.</w:t>
      </w:r>
      <w:r w:rsidR="00A75323">
        <w:t>12</w:t>
      </w:r>
      <w:r w:rsidRPr="00677B2C">
        <w:t>.</w:t>
      </w:r>
    </w:p>
  </w:footnote>
  <w:footnote w:id="37">
    <w:p w14:paraId="79E3FCA4" w14:textId="5B095985" w:rsidR="00940F61" w:rsidRPr="00677B2C" w:rsidRDefault="00940F61" w:rsidP="00ED7554">
      <w:pPr>
        <w:pStyle w:val="FootnoteText"/>
      </w:pPr>
      <w:r w:rsidRPr="00677B2C">
        <w:rPr>
          <w:rStyle w:val="FootnoteReference"/>
        </w:rPr>
        <w:footnoteRef/>
      </w:r>
      <w:r w:rsidRPr="00677B2C">
        <w:t xml:space="preserve"> </w:t>
      </w:r>
      <w:r w:rsidRPr="00677B2C">
        <w:rPr>
          <w:i/>
        </w:rPr>
        <w:t>Panalpina</w:t>
      </w:r>
      <w:r w:rsidRPr="00677B2C">
        <w:t xml:space="preserve"> n.2.  See also, W Bar</w:t>
      </w:r>
      <w:r w:rsidR="003D61F9" w:rsidRPr="00677B2C">
        <w:t>r ‘Frustration of Leases’, n.</w:t>
      </w:r>
      <w:r w:rsidR="00A75323">
        <w:t>10</w:t>
      </w:r>
      <w:r w:rsidRPr="00677B2C">
        <w:t>.</w:t>
      </w:r>
    </w:p>
  </w:footnote>
  <w:footnote w:id="38">
    <w:p w14:paraId="4E67DF8B" w14:textId="1EE1E469" w:rsidR="00940F61" w:rsidRPr="00677B2C" w:rsidRDefault="00940F61" w:rsidP="00ED7554">
      <w:pPr>
        <w:pStyle w:val="FootnoteText"/>
        <w:jc w:val="both"/>
      </w:pPr>
      <w:r w:rsidRPr="00677B2C">
        <w:rPr>
          <w:rStyle w:val="FootnoteReference"/>
        </w:rPr>
        <w:footnoteRef/>
      </w:r>
      <w:r w:rsidRPr="00677B2C">
        <w:t xml:space="preserve"> Their Lordships expressly approved of the reasoning in </w:t>
      </w:r>
      <w:r w:rsidRPr="00677B2C">
        <w:rPr>
          <w:i/>
        </w:rPr>
        <w:t>Highway Properties Ltd v. Kelly, Douglas &amp; Co Lt</w:t>
      </w:r>
      <w:r w:rsidRPr="00677B2C">
        <w:t xml:space="preserve"> 17 DLR (3d) 710 at 721: “It is no longer sensible to pretend that a commercial lease, such as the one before the court, is simply a conveyance and not also a contract.  It is equally untenable to persist in denying resort to the full armoury of remedies ordinarily available to redress repudiation of covenants, merely because the covenants may be associated with an estate in land.”</w:t>
      </w:r>
    </w:p>
  </w:footnote>
  <w:footnote w:id="39">
    <w:p w14:paraId="579254F0" w14:textId="7C81677A" w:rsidR="00940F61" w:rsidRPr="00677B2C" w:rsidRDefault="00940F61" w:rsidP="003D61F9">
      <w:pPr>
        <w:pStyle w:val="FootnoteText"/>
        <w:jc w:val="both"/>
      </w:pPr>
      <w:r w:rsidRPr="00677B2C">
        <w:rPr>
          <w:rStyle w:val="FootnoteReference"/>
        </w:rPr>
        <w:footnoteRef/>
      </w:r>
      <w:r w:rsidRPr="00677B2C">
        <w:t xml:space="preserve"> On the facts, the landlord’s breaches of the statutory covenant to repair (s.11 of the Landlord and Tenant Act 1985) had been severe:  there was no heating, the ceiling of one bedroom collapsed, water pipes had burst, a flat roof extension was leaking and there was damp in the hall.  There had clearly been a substantial failure in performance so as to justify termination through repudiatory breach.</w:t>
      </w:r>
    </w:p>
  </w:footnote>
  <w:footnote w:id="40">
    <w:p w14:paraId="6F87F3F2" w14:textId="757F0509" w:rsidR="00940F61" w:rsidRPr="00677B2C" w:rsidRDefault="00940F61" w:rsidP="000D53EE">
      <w:pPr>
        <w:pStyle w:val="FootnoteText"/>
        <w:jc w:val="both"/>
      </w:pPr>
      <w:r w:rsidRPr="00677B2C">
        <w:rPr>
          <w:rStyle w:val="FootnoteReference"/>
        </w:rPr>
        <w:footnoteRef/>
      </w:r>
      <w:r w:rsidRPr="00677B2C">
        <w:t xml:space="preserve"> Indeed, statutory efforts to introduce a parallel system of tenant forfeiture have been abandoned, </w:t>
      </w:r>
      <w:r w:rsidR="004E1E85" w:rsidRPr="00677B2C">
        <w:t>see n</w:t>
      </w:r>
      <w:r w:rsidR="005566F8" w:rsidRPr="00677B2C">
        <w:t>78</w:t>
      </w:r>
      <w:r w:rsidRPr="00677B2C">
        <w:t>.</w:t>
      </w:r>
    </w:p>
  </w:footnote>
  <w:footnote w:id="41">
    <w:p w14:paraId="5D1CAD62" w14:textId="6A5A333E" w:rsidR="00940F61" w:rsidRPr="00677B2C" w:rsidRDefault="00940F61" w:rsidP="000D53EE">
      <w:pPr>
        <w:pStyle w:val="FootnoteText"/>
        <w:jc w:val="both"/>
      </w:pPr>
      <w:r w:rsidRPr="00677B2C">
        <w:rPr>
          <w:rStyle w:val="FootnoteReference"/>
        </w:rPr>
        <w:footnoteRef/>
      </w:r>
      <w:r w:rsidRPr="00677B2C">
        <w:t xml:space="preserve"> See, for example, </w:t>
      </w:r>
      <w:r w:rsidRPr="00677B2C">
        <w:rPr>
          <w:i/>
        </w:rPr>
        <w:t>British Anzai (Felixstowe) Ltd. v. International Marine Management Ltd.</w:t>
      </w:r>
      <w:r w:rsidRPr="00677B2C">
        <w:t xml:space="preserve"> [1980] QB 137.</w:t>
      </w:r>
      <w:r w:rsidR="00185420" w:rsidRPr="00677B2C">
        <w:t xml:space="preserve">  Tenants may also have been able to negotiate </w:t>
      </w:r>
      <w:r w:rsidR="00403698" w:rsidRPr="00677B2C">
        <w:t xml:space="preserve">express </w:t>
      </w:r>
      <w:r w:rsidR="00185420" w:rsidRPr="00677B2C">
        <w:t xml:space="preserve">break </w:t>
      </w:r>
      <w:r w:rsidR="00403698" w:rsidRPr="00677B2C">
        <w:t>clauses</w:t>
      </w:r>
      <w:r w:rsidR="00B6398C" w:rsidRPr="00677B2C">
        <w:t xml:space="preserve"> in leases, allowing him or her to escape the lease at an earlier time than the stated expiry date.  These are not commonly included in leases.  See, generally,</w:t>
      </w:r>
      <w:r w:rsidR="00403698" w:rsidRPr="00677B2C">
        <w:t xml:space="preserve"> Woodfall </w:t>
      </w:r>
      <w:r w:rsidR="00B6398C" w:rsidRPr="00677B2C">
        <w:rPr>
          <w:i/>
        </w:rPr>
        <w:t>The Law of Landlord and Tenant</w:t>
      </w:r>
      <w:r w:rsidR="00B6398C" w:rsidRPr="00677B2C">
        <w:t xml:space="preserve">, </w:t>
      </w:r>
      <w:r w:rsidR="00403698" w:rsidRPr="00677B2C">
        <w:t>Chapter 17, Section 14, 17.285 – 17.301</w:t>
      </w:r>
    </w:p>
  </w:footnote>
  <w:footnote w:id="42">
    <w:p w14:paraId="4267F2A9" w14:textId="6E5F700C" w:rsidR="00940F61" w:rsidRPr="00677B2C" w:rsidRDefault="00940F61">
      <w:pPr>
        <w:pStyle w:val="FootnoteText"/>
      </w:pPr>
      <w:r w:rsidRPr="00677B2C">
        <w:rPr>
          <w:rStyle w:val="FootnoteReference"/>
        </w:rPr>
        <w:footnoteRef/>
      </w:r>
      <w:r w:rsidRPr="00677B2C">
        <w:t xml:space="preserve"> Law Commission, </w:t>
      </w:r>
      <w:r w:rsidRPr="00677B2C">
        <w:rPr>
          <w:i/>
        </w:rPr>
        <w:t>Forfeiture of Tenancies</w:t>
      </w:r>
      <w:r w:rsidR="006A67F0" w:rsidRPr="00677B2C">
        <w:t xml:space="preserve"> (No 142,</w:t>
      </w:r>
      <w:r w:rsidRPr="00677B2C">
        <w:t xml:space="preserve"> 1985) para. 17.11.</w:t>
      </w:r>
    </w:p>
  </w:footnote>
  <w:footnote w:id="43">
    <w:p w14:paraId="2C11ACAF" w14:textId="0DCE103B" w:rsidR="007628A9" w:rsidRPr="00677B2C" w:rsidRDefault="007628A9" w:rsidP="007628A9">
      <w:pPr>
        <w:pStyle w:val="FootnoteText"/>
      </w:pPr>
      <w:r w:rsidRPr="00677B2C">
        <w:rPr>
          <w:rStyle w:val="FootnoteReference"/>
        </w:rPr>
        <w:footnoteRef/>
      </w:r>
      <w:r w:rsidRPr="00677B2C">
        <w:t xml:space="preserve"> This may now be part of English law, however obliquely, through the Consum</w:t>
      </w:r>
      <w:r w:rsidR="003D61F9" w:rsidRPr="00677B2C">
        <w:t>er Protection Act 2015 – see n.</w:t>
      </w:r>
      <w:r w:rsidR="008B1737">
        <w:t>8</w:t>
      </w:r>
      <w:r w:rsidRPr="00677B2C">
        <w:t>.</w:t>
      </w:r>
    </w:p>
  </w:footnote>
  <w:footnote w:id="44">
    <w:p w14:paraId="2750FE6D" w14:textId="78B1AA77" w:rsidR="009A0ACA" w:rsidRPr="00677B2C" w:rsidRDefault="009A0ACA">
      <w:pPr>
        <w:pStyle w:val="FootnoteText"/>
      </w:pPr>
      <w:r w:rsidRPr="00677B2C">
        <w:rPr>
          <w:rStyle w:val="FootnoteReference"/>
        </w:rPr>
        <w:footnoteRef/>
      </w:r>
      <w:r w:rsidRPr="00677B2C">
        <w:t xml:space="preserve"> See further </w:t>
      </w:r>
      <w:r w:rsidR="00807CAD" w:rsidRPr="00677B2C">
        <w:t xml:space="preserve">W Barr, ‘Repudiation of Leases’ </w:t>
      </w:r>
      <w:r w:rsidR="00A438EA">
        <w:t>n.12</w:t>
      </w:r>
      <w:r w:rsidRPr="00677B2C">
        <w:t>.</w:t>
      </w:r>
      <w:r w:rsidR="00E07E1E" w:rsidRPr="00677B2C">
        <w:t xml:space="preserve">  In </w:t>
      </w:r>
      <w:r w:rsidR="00E07E1E" w:rsidRPr="00677B2C">
        <w:rPr>
          <w:i/>
        </w:rPr>
        <w:t>Highway Properties Ltd</w:t>
      </w:r>
      <w:r w:rsidR="00E07E1E" w:rsidRPr="00677B2C">
        <w:t xml:space="preserve"> </w:t>
      </w:r>
      <w:r w:rsidR="00E07E1E" w:rsidRPr="00677B2C">
        <w:rPr>
          <w:i/>
        </w:rPr>
        <w:t xml:space="preserve"> </w:t>
      </w:r>
      <w:r w:rsidR="00A438EA">
        <w:t>n3</w:t>
      </w:r>
      <w:r w:rsidR="00E07E1E" w:rsidRPr="00677B2C">
        <w:t>8, for example, the landlord brought the action against a tenant who had abandoned the lease of a unit in shopping premises.</w:t>
      </w:r>
    </w:p>
  </w:footnote>
  <w:footnote w:id="45">
    <w:p w14:paraId="2D8DD379" w14:textId="3A2DA87E" w:rsidR="00940F61" w:rsidRPr="00677B2C" w:rsidRDefault="00940F61">
      <w:pPr>
        <w:pStyle w:val="FootnoteText"/>
      </w:pPr>
      <w:r w:rsidRPr="00677B2C">
        <w:rPr>
          <w:rStyle w:val="FootnoteReference"/>
        </w:rPr>
        <w:footnoteRef/>
      </w:r>
      <w:r w:rsidRPr="00677B2C">
        <w:t xml:space="preserve"> </w:t>
      </w:r>
      <w:r w:rsidRPr="00677B2C">
        <w:rPr>
          <w:i/>
        </w:rPr>
        <w:t>Hussein</w:t>
      </w:r>
      <w:r w:rsidRPr="00677B2C">
        <w:t>, n</w:t>
      </w:r>
      <w:r w:rsidR="00B66DB0" w:rsidRPr="00677B2C">
        <w:t>.</w:t>
      </w:r>
      <w:r w:rsidRPr="00677B2C">
        <w:t>1 at 90H.</w:t>
      </w:r>
    </w:p>
  </w:footnote>
  <w:footnote w:id="46">
    <w:p w14:paraId="02E6853C" w14:textId="29E29F2E" w:rsidR="00940F61" w:rsidRPr="00677B2C" w:rsidRDefault="00940F61" w:rsidP="000D53EE">
      <w:pPr>
        <w:pStyle w:val="FootnoteText"/>
        <w:jc w:val="both"/>
      </w:pPr>
      <w:r w:rsidRPr="00677B2C">
        <w:rPr>
          <w:rStyle w:val="FootnoteReference"/>
        </w:rPr>
        <w:footnoteRef/>
      </w:r>
      <w:r w:rsidRPr="00677B2C">
        <w:t xml:space="preserve"> [1997] EWCA Civ 2256.</w:t>
      </w:r>
    </w:p>
  </w:footnote>
  <w:footnote w:id="47">
    <w:p w14:paraId="2EC61E95" w14:textId="1EE759B5" w:rsidR="00940F61" w:rsidRPr="00677B2C" w:rsidRDefault="00940F61" w:rsidP="000D53EE">
      <w:pPr>
        <w:pStyle w:val="FootnoteText"/>
        <w:jc w:val="both"/>
      </w:pPr>
      <w:r w:rsidRPr="00677B2C">
        <w:rPr>
          <w:rStyle w:val="FootnoteReference"/>
        </w:rPr>
        <w:footnoteRef/>
      </w:r>
      <w:r w:rsidRPr="00677B2C">
        <w:t xml:space="preserve"> </w:t>
      </w:r>
      <w:r w:rsidRPr="00677B2C">
        <w:rPr>
          <w:snapToGrid w:val="0"/>
        </w:rPr>
        <w:t>[1999] 1 EGLR 7.</w:t>
      </w:r>
    </w:p>
  </w:footnote>
  <w:footnote w:id="48">
    <w:p w14:paraId="5FEB90CA" w14:textId="6459A907" w:rsidR="00940F61" w:rsidRPr="00677B2C" w:rsidRDefault="00940F61" w:rsidP="000D53EE">
      <w:pPr>
        <w:pStyle w:val="FootnoteText"/>
        <w:jc w:val="both"/>
      </w:pPr>
      <w:r w:rsidRPr="00677B2C">
        <w:rPr>
          <w:rStyle w:val="FootnoteReference"/>
        </w:rPr>
        <w:footnoteRef/>
      </w:r>
      <w:r w:rsidRPr="00677B2C">
        <w:t xml:space="preserve"> [2000] EGLR 120 (Ch).</w:t>
      </w:r>
    </w:p>
  </w:footnote>
  <w:footnote w:id="49">
    <w:p w14:paraId="32D60B16" w14:textId="73234CA5" w:rsidR="00AD4AF5" w:rsidRPr="00677B2C" w:rsidRDefault="00AD4AF5">
      <w:pPr>
        <w:pStyle w:val="FootnoteText"/>
      </w:pPr>
      <w:r w:rsidRPr="00677B2C">
        <w:rPr>
          <w:rStyle w:val="FootnoteReference"/>
        </w:rPr>
        <w:footnoteRef/>
      </w:r>
      <w:r w:rsidRPr="00677B2C">
        <w:t xml:space="preserve"> This was a successful</w:t>
      </w:r>
      <w:r w:rsidR="002D4E60" w:rsidRPr="00677B2C">
        <w:t>,</w:t>
      </w:r>
      <w:r w:rsidRPr="00677B2C">
        <w:t xml:space="preserve"> international chain store, founded in 1976, specialising in selling music and video products to the public, and was a familiar flagship store in many British city centres. The Virgin Megastore group has ceased trading in most of the world, but continues to trade in the Middle East and North Africa.</w:t>
      </w:r>
    </w:p>
  </w:footnote>
  <w:footnote w:id="50">
    <w:p w14:paraId="5BB61153" w14:textId="14CB5199" w:rsidR="00940F61" w:rsidRPr="00677B2C" w:rsidRDefault="00940F61" w:rsidP="000D53EE">
      <w:pPr>
        <w:pStyle w:val="FootnoteText"/>
        <w:jc w:val="both"/>
      </w:pPr>
      <w:r w:rsidRPr="00677B2C">
        <w:rPr>
          <w:rStyle w:val="FootnoteReference"/>
        </w:rPr>
        <w:footnoteRef/>
      </w:r>
      <w:r w:rsidRPr="00677B2C">
        <w:t xml:space="preserve"> [2001] EWCA Civ 1821</w:t>
      </w:r>
    </w:p>
  </w:footnote>
  <w:footnote w:id="51">
    <w:p w14:paraId="49901B29" w14:textId="49EAD30D" w:rsidR="00940F61" w:rsidRPr="00677B2C" w:rsidRDefault="00940F61" w:rsidP="000D53EE">
      <w:pPr>
        <w:pStyle w:val="FootnoteText"/>
        <w:jc w:val="both"/>
      </w:pPr>
      <w:r w:rsidRPr="00677B2C">
        <w:rPr>
          <w:rStyle w:val="FootnoteReference"/>
        </w:rPr>
        <w:footnoteRef/>
      </w:r>
      <w:r w:rsidRPr="00677B2C">
        <w:t xml:space="preserve"> </w:t>
      </w:r>
      <w:r w:rsidR="003D61F9" w:rsidRPr="00677B2C">
        <w:t>Ibid</w:t>
      </w:r>
      <w:r w:rsidRPr="00677B2C">
        <w:t xml:space="preserve"> at [43].</w:t>
      </w:r>
    </w:p>
  </w:footnote>
  <w:footnote w:id="52">
    <w:p w14:paraId="49267AA6" w14:textId="48EB300B" w:rsidR="00940F61" w:rsidRPr="00677B2C" w:rsidRDefault="00940F61" w:rsidP="000D53EE">
      <w:pPr>
        <w:pStyle w:val="FootnoteText"/>
        <w:jc w:val="both"/>
      </w:pPr>
      <w:r w:rsidRPr="00677B2C">
        <w:rPr>
          <w:rStyle w:val="FootnoteReference"/>
        </w:rPr>
        <w:footnoteRef/>
      </w:r>
      <w:r w:rsidRPr="00677B2C">
        <w:t xml:space="preserve"> [2007] EWCA Civ 638.</w:t>
      </w:r>
    </w:p>
  </w:footnote>
  <w:footnote w:id="53">
    <w:p w14:paraId="48E89513" w14:textId="3DF1F471" w:rsidR="00940F61" w:rsidRPr="00677B2C" w:rsidRDefault="00940F61" w:rsidP="000D53EE">
      <w:pPr>
        <w:pStyle w:val="FootnoteText"/>
        <w:jc w:val="both"/>
      </w:pPr>
      <w:r w:rsidRPr="00677B2C">
        <w:rPr>
          <w:rStyle w:val="FootnoteReference"/>
        </w:rPr>
        <w:footnoteRef/>
      </w:r>
      <w:r w:rsidRPr="00677B2C">
        <w:t xml:space="preserve"> [2006] EWCA Civ 165</w:t>
      </w:r>
      <w:r w:rsidR="00544ED9">
        <w:t>.</w:t>
      </w:r>
    </w:p>
  </w:footnote>
  <w:footnote w:id="54">
    <w:p w14:paraId="746A2F16" w14:textId="41ED92EA" w:rsidR="00940F61" w:rsidRPr="00677B2C" w:rsidRDefault="00940F61" w:rsidP="00356DC9">
      <w:pPr>
        <w:pStyle w:val="FootnoteText"/>
        <w:jc w:val="both"/>
      </w:pPr>
      <w:r w:rsidRPr="00677B2C">
        <w:rPr>
          <w:rStyle w:val="FootnoteReference"/>
        </w:rPr>
        <w:footnoteRef/>
      </w:r>
      <w:r w:rsidRPr="00677B2C">
        <w:t xml:space="preserve"> </w:t>
      </w:r>
      <w:r w:rsidR="00B51112" w:rsidRPr="00677B2C">
        <w:t>Ibid at</w:t>
      </w:r>
      <w:r w:rsidRPr="00677B2C">
        <w:t xml:space="preserve"> </w:t>
      </w:r>
      <w:r w:rsidR="00ED05DA" w:rsidRPr="00677B2C">
        <w:t>[</w:t>
      </w:r>
      <w:r w:rsidRPr="00677B2C">
        <w:t>10</w:t>
      </w:r>
      <w:r w:rsidR="00ED05DA" w:rsidRPr="00677B2C">
        <w:t>]</w:t>
      </w:r>
      <w:r w:rsidRPr="00677B2C">
        <w:t>.</w:t>
      </w:r>
    </w:p>
  </w:footnote>
  <w:footnote w:id="55">
    <w:p w14:paraId="6C64B43B" w14:textId="7CDAE58A" w:rsidR="00940F61" w:rsidRPr="00677B2C" w:rsidRDefault="00940F61" w:rsidP="000D53EE">
      <w:pPr>
        <w:pStyle w:val="FootnoteText"/>
        <w:jc w:val="both"/>
      </w:pPr>
      <w:r w:rsidRPr="00677B2C">
        <w:rPr>
          <w:rStyle w:val="FootnoteReference"/>
        </w:rPr>
        <w:footnoteRef/>
      </w:r>
      <w:r w:rsidRPr="00677B2C">
        <w:t xml:space="preserve"> </w:t>
      </w:r>
      <w:r w:rsidR="00ED05DA" w:rsidRPr="00677B2C">
        <w:t>Ibid at [</w:t>
      </w:r>
      <w:r w:rsidRPr="00677B2C">
        <w:t>42</w:t>
      </w:r>
      <w:r w:rsidR="00ED05DA" w:rsidRPr="00677B2C">
        <w:t>]</w:t>
      </w:r>
      <w:r w:rsidRPr="00677B2C">
        <w:t>.</w:t>
      </w:r>
    </w:p>
  </w:footnote>
  <w:footnote w:id="56">
    <w:p w14:paraId="41FB7429" w14:textId="4C85AFF2" w:rsidR="00940F61" w:rsidRPr="00677B2C" w:rsidRDefault="00940F61" w:rsidP="000D53EE">
      <w:pPr>
        <w:pStyle w:val="FootnoteText"/>
        <w:jc w:val="both"/>
      </w:pPr>
      <w:r w:rsidRPr="00677B2C">
        <w:rPr>
          <w:rStyle w:val="FootnoteReference"/>
        </w:rPr>
        <w:footnoteRef/>
      </w:r>
      <w:r w:rsidRPr="00677B2C">
        <w:t xml:space="preserve"> [2013] EWCA Civ 24, which considered the quantum of damages recoverable following unlawful eviction of the tenant.</w:t>
      </w:r>
    </w:p>
  </w:footnote>
  <w:footnote w:id="57">
    <w:p w14:paraId="374C8977" w14:textId="74DEC388" w:rsidR="00940F61" w:rsidRPr="00677B2C" w:rsidRDefault="00940F61" w:rsidP="000D53EE">
      <w:pPr>
        <w:pStyle w:val="FootnoteText"/>
        <w:jc w:val="both"/>
      </w:pPr>
      <w:r w:rsidRPr="00677B2C">
        <w:rPr>
          <w:rStyle w:val="FootnoteReference"/>
        </w:rPr>
        <w:footnoteRef/>
      </w:r>
      <w:r w:rsidRPr="00677B2C">
        <w:t xml:space="preserve"> Ibid at [70].</w:t>
      </w:r>
    </w:p>
  </w:footnote>
  <w:footnote w:id="58">
    <w:p w14:paraId="1DB53695" w14:textId="4CFDDB2A" w:rsidR="00940F61" w:rsidRPr="00677B2C" w:rsidRDefault="00940F61" w:rsidP="00BE2E79">
      <w:pPr>
        <w:pStyle w:val="FootnoteText"/>
        <w:jc w:val="both"/>
      </w:pPr>
      <w:r w:rsidRPr="00677B2C">
        <w:rPr>
          <w:rStyle w:val="FootnoteReference"/>
        </w:rPr>
        <w:footnoteRef/>
      </w:r>
      <w:r w:rsidRPr="00677B2C">
        <w:t xml:space="preserve"> Chitty</w:t>
      </w:r>
      <w:r w:rsidR="00544ED9">
        <w:t xml:space="preserve"> n33</w:t>
      </w:r>
      <w:r w:rsidRPr="00677B2C">
        <w:t xml:space="preserve"> itself is unhelpful here – see 24.001, fn 2, where it is said that repudiatory breach ‘would appear to apply to leases’.</w:t>
      </w:r>
      <w:r w:rsidR="004B20AD" w:rsidRPr="00677B2C">
        <w:t xml:space="preserve"> It is worth noting that in Wales, in residential leases, the Renting Homes (Wales) Act 2016, s.154 permits a tenant to sue for repudiatory breach by the landlord without a possession claim where the breach has lead the tenant to give up possession of the home.  This is in line with the adoption of ‘occupation contracts’ to </w:t>
      </w:r>
      <w:r w:rsidR="006F6F48" w:rsidRPr="00677B2C">
        <w:t>replace the multiplicity of statutory and common law concepts applicable to leases (and licences) of the home.</w:t>
      </w:r>
    </w:p>
  </w:footnote>
  <w:footnote w:id="59">
    <w:p w14:paraId="004394FA" w14:textId="1E54BF9C" w:rsidR="009A76CB" w:rsidRPr="00677B2C" w:rsidRDefault="009A76CB">
      <w:pPr>
        <w:pStyle w:val="FootnoteText"/>
      </w:pPr>
      <w:r w:rsidRPr="00677B2C">
        <w:rPr>
          <w:rStyle w:val="FootnoteReference"/>
        </w:rPr>
        <w:footnoteRef/>
      </w:r>
      <w:r w:rsidRPr="00677B2C">
        <w:t xml:space="preserve"> The fact that the breach is one of sufficient seriousness to be classed as ‘repudiatory’ </w:t>
      </w:r>
      <w:r w:rsidR="003C4DC7" w:rsidRPr="00677B2C">
        <w:t>does not mean</w:t>
      </w:r>
      <w:r w:rsidRPr="00677B2C">
        <w:t xml:space="preserve"> that such a breach is, b</w:t>
      </w:r>
      <w:r w:rsidR="003C4DC7" w:rsidRPr="00677B2C">
        <w:t>y its ve</w:t>
      </w:r>
      <w:r w:rsidR="008B1737">
        <w:t>ry nature, irremediable – see n6</w:t>
      </w:r>
      <w:r w:rsidR="003C4DC7" w:rsidRPr="00677B2C">
        <w:t>5.</w:t>
      </w:r>
    </w:p>
  </w:footnote>
  <w:footnote w:id="60">
    <w:p w14:paraId="1BFC0FE9" w14:textId="3AE1C05D" w:rsidR="009E1493" w:rsidRPr="00677B2C" w:rsidRDefault="009E1493" w:rsidP="0070707E">
      <w:pPr>
        <w:pStyle w:val="FootnoteText"/>
        <w:jc w:val="both"/>
      </w:pPr>
      <w:r w:rsidRPr="00677B2C">
        <w:rPr>
          <w:rStyle w:val="FootnoteReference"/>
        </w:rPr>
        <w:footnoteRef/>
      </w:r>
      <w:r w:rsidRPr="00677B2C">
        <w:t xml:space="preserve"> Forfeiture is also complex and stands and need of reform, as, for example, in the need for a landlord to determine whether a breach is remediable or irremediable in serving a valid s.146 Law of Property Act 1925 notice on a tenant for breach of any covenant other than rent.  The question is not one, as in repudiatory breach, of whether the breach is sufficiently serious as to go to the ‘root’ of the contract.  If an incorrect determination is made, the notice may be invalid – see, for example, </w:t>
      </w:r>
      <w:r w:rsidRPr="00677B2C">
        <w:rPr>
          <w:bCs/>
          <w:i/>
        </w:rPr>
        <w:t xml:space="preserve">Akici v LR Butlin Ltd </w:t>
      </w:r>
      <w:r w:rsidRPr="00677B2C">
        <w:rPr>
          <w:bCs/>
        </w:rPr>
        <w:t>[2006] 1 WLR 201</w:t>
      </w:r>
      <w:r w:rsidRPr="00677B2C">
        <w:rPr>
          <w:bCs/>
          <w:i/>
        </w:rPr>
        <w:t xml:space="preserve">; Anders v Haralambous </w:t>
      </w:r>
      <w:r w:rsidRPr="00677B2C">
        <w:rPr>
          <w:bCs/>
        </w:rPr>
        <w:t>[2013] EWHC 2676 (QB).</w:t>
      </w:r>
    </w:p>
  </w:footnote>
  <w:footnote w:id="61">
    <w:p w14:paraId="7A8934BE" w14:textId="0C83F50B" w:rsidR="00940F61" w:rsidRPr="00677B2C" w:rsidRDefault="00940F61" w:rsidP="003943A3">
      <w:pPr>
        <w:pStyle w:val="FootnoteText"/>
      </w:pPr>
      <w:r w:rsidRPr="00677B2C">
        <w:rPr>
          <w:rStyle w:val="FootnoteReference"/>
        </w:rPr>
        <w:footnoteRef/>
      </w:r>
      <w:r w:rsidRPr="00677B2C">
        <w:t xml:space="preserve"> See, further, W Bar</w:t>
      </w:r>
      <w:r w:rsidR="00151800" w:rsidRPr="00677B2C">
        <w:t>r,</w:t>
      </w:r>
      <w:r w:rsidRPr="00677B2C">
        <w:t xml:space="preserve"> </w:t>
      </w:r>
      <w:r w:rsidR="00151800" w:rsidRPr="00677B2C">
        <w:t>‘</w:t>
      </w:r>
      <w:r w:rsidRPr="00677B2C">
        <w:t xml:space="preserve">Repudiation of </w:t>
      </w:r>
      <w:r w:rsidR="00151800" w:rsidRPr="00677B2C">
        <w:t>Leases’</w:t>
      </w:r>
      <w:r w:rsidR="008B1737">
        <w:t xml:space="preserve"> n12</w:t>
      </w:r>
      <w:r w:rsidRPr="00677B2C">
        <w:t xml:space="preserve"> at pp323 – 329.</w:t>
      </w:r>
    </w:p>
  </w:footnote>
  <w:footnote w:id="62">
    <w:p w14:paraId="22F6B9C8" w14:textId="77777777" w:rsidR="00940F61" w:rsidRPr="00677B2C" w:rsidRDefault="00940F61" w:rsidP="003943A3">
      <w:pPr>
        <w:pStyle w:val="FootnoteText"/>
        <w:jc w:val="both"/>
      </w:pPr>
      <w:r w:rsidRPr="00677B2C">
        <w:rPr>
          <w:rStyle w:val="FootnoteReference"/>
        </w:rPr>
        <w:footnoteRef/>
      </w:r>
      <w:r w:rsidRPr="00677B2C">
        <w:t xml:space="preserve"> [2001] EWCA Civ 1821 at [49].</w:t>
      </w:r>
    </w:p>
  </w:footnote>
  <w:footnote w:id="63">
    <w:p w14:paraId="5F5D0DD8" w14:textId="6E563CD0" w:rsidR="00940F61" w:rsidRPr="00677B2C" w:rsidRDefault="00940F61">
      <w:pPr>
        <w:pStyle w:val="FootnoteText"/>
      </w:pPr>
      <w:r w:rsidRPr="00677B2C">
        <w:rPr>
          <w:rStyle w:val="FootnoteReference"/>
        </w:rPr>
        <w:footnoteRef/>
      </w:r>
      <w:r w:rsidRPr="00677B2C">
        <w:t xml:space="preserve"> Ibid. at [52].</w:t>
      </w:r>
    </w:p>
  </w:footnote>
  <w:footnote w:id="64">
    <w:p w14:paraId="74D43174" w14:textId="5230DBE9" w:rsidR="00940F61" w:rsidRPr="00677B2C" w:rsidRDefault="00940F61" w:rsidP="00E3761A">
      <w:pPr>
        <w:pStyle w:val="FootnoteText"/>
        <w:jc w:val="both"/>
      </w:pPr>
      <w:r w:rsidRPr="00677B2C">
        <w:rPr>
          <w:rStyle w:val="FootnoteReference"/>
        </w:rPr>
        <w:footnoteRef/>
      </w:r>
      <w:r w:rsidRPr="00677B2C">
        <w:t xml:space="preserve"> See, in support, M Pawlowski, ‘</w:t>
      </w:r>
      <w:r w:rsidRPr="00677B2C">
        <w:rPr>
          <w:iCs/>
        </w:rPr>
        <w:t>Denial of Landlord’s Title: Forfeiture or Repudiatory Breach’</w:t>
      </w:r>
      <w:r w:rsidRPr="00677B2C">
        <w:rPr>
          <w:i/>
          <w:iCs/>
        </w:rPr>
        <w:t xml:space="preserve"> </w:t>
      </w:r>
      <w:r w:rsidRPr="00677B2C">
        <w:t xml:space="preserve">[2002] </w:t>
      </w:r>
      <w:r w:rsidRPr="00677B2C">
        <w:rPr>
          <w:i/>
        </w:rPr>
        <w:t>Conv</w:t>
      </w:r>
      <w:r w:rsidRPr="00677B2C">
        <w:t xml:space="preserve"> 399.</w:t>
      </w:r>
    </w:p>
  </w:footnote>
  <w:footnote w:id="65">
    <w:p w14:paraId="3F90B90A" w14:textId="23EE085B" w:rsidR="00E6445D" w:rsidRPr="00677B2C" w:rsidRDefault="00E6445D" w:rsidP="003D61F9">
      <w:pPr>
        <w:pStyle w:val="FootnoteText"/>
        <w:jc w:val="both"/>
      </w:pPr>
      <w:r w:rsidRPr="00677B2C">
        <w:rPr>
          <w:rStyle w:val="FootnoteReference"/>
        </w:rPr>
        <w:footnoteRef/>
      </w:r>
      <w:r w:rsidRPr="00677B2C">
        <w:t xml:space="preserve"> The question of whether a breach is remediable or not is not simply a question of seriousness</w:t>
      </w:r>
      <w:r w:rsidR="003D61F9" w:rsidRPr="00677B2C">
        <w:t xml:space="preserve">. </w:t>
      </w:r>
      <w:r w:rsidRPr="00677B2C">
        <w:t>In essence, the issue is whether the harm that has been done to the landlord by the</w:t>
      </w:r>
      <w:r w:rsidR="003D61F9" w:rsidRPr="00677B2C">
        <w:t xml:space="preserve"> </w:t>
      </w:r>
      <w:r w:rsidRPr="00677B2C">
        <w:t xml:space="preserve">relevant breach is, for practical purposes, capable of being retrieved within a reasonable time - </w:t>
      </w:r>
      <w:r w:rsidRPr="00677B2C">
        <w:rPr>
          <w:i/>
        </w:rPr>
        <w:t>Savva v. Hussein</w:t>
      </w:r>
      <w:r w:rsidRPr="00677B2C">
        <w:t xml:space="preserve"> [1996] 47 EG 138.</w:t>
      </w:r>
      <w:r w:rsidR="0000146D" w:rsidRPr="00677B2C">
        <w:t xml:space="preserve"> See, further, Woodfall</w:t>
      </w:r>
      <w:r w:rsidRPr="00677B2C">
        <w:t>, n31, para 17.132.</w:t>
      </w:r>
    </w:p>
  </w:footnote>
  <w:footnote w:id="66">
    <w:p w14:paraId="6B060C01" w14:textId="356C0E98" w:rsidR="00E6445D" w:rsidRPr="00677B2C" w:rsidRDefault="00E6445D" w:rsidP="00E6445D">
      <w:pPr>
        <w:pStyle w:val="FootnoteText"/>
        <w:jc w:val="both"/>
      </w:pPr>
      <w:r w:rsidRPr="00677B2C">
        <w:rPr>
          <w:rStyle w:val="FootnoteReference"/>
        </w:rPr>
        <w:footnoteRef/>
      </w:r>
      <w:r w:rsidRPr="00677B2C">
        <w:t xml:space="preserve"> A Oakes</w:t>
      </w:r>
      <w:r w:rsidR="00D43F44">
        <w:t xml:space="preserve"> ‘Repudiatory breach in the leasehold context: some unresolved issues’</w:t>
      </w:r>
      <w:r w:rsidRPr="00677B2C">
        <w:t xml:space="preserve"> (2012) L&amp;T Review 95 at 97.</w:t>
      </w:r>
    </w:p>
  </w:footnote>
  <w:footnote w:id="67">
    <w:p w14:paraId="504E1131" w14:textId="43B23CBD" w:rsidR="001D26D1" w:rsidRPr="00677B2C" w:rsidRDefault="001D26D1" w:rsidP="004F0E95">
      <w:pPr>
        <w:pStyle w:val="FootnoteText"/>
        <w:jc w:val="both"/>
      </w:pPr>
      <w:r w:rsidRPr="00677B2C">
        <w:rPr>
          <w:rStyle w:val="FootnoteReference"/>
        </w:rPr>
        <w:footnoteRef/>
      </w:r>
      <w:r w:rsidRPr="00677B2C">
        <w:t xml:space="preserve"> The breach must, of course, be sufficiently serious to amount to a repudiatory breach, and simple breach of a repairing obligation would not </w:t>
      </w:r>
      <w:r w:rsidR="00544ED9" w:rsidRPr="00677B2C">
        <w:t>fulfil</w:t>
      </w:r>
      <w:r w:rsidRPr="00677B2C">
        <w:t xml:space="preserve"> that requirement, otherwise tenants would be walking away from their tenancies in droves.  </w:t>
      </w:r>
      <w:r w:rsidR="00E05A38" w:rsidRPr="00677B2C">
        <w:t>There is no evidence to suggest this is the case.</w:t>
      </w:r>
    </w:p>
  </w:footnote>
  <w:footnote w:id="68">
    <w:p w14:paraId="1EAA5AEF" w14:textId="15366B0E" w:rsidR="00E05A38" w:rsidRPr="00677B2C" w:rsidRDefault="00E05A38">
      <w:pPr>
        <w:pStyle w:val="FootnoteText"/>
      </w:pPr>
      <w:r w:rsidRPr="00677B2C">
        <w:rPr>
          <w:rStyle w:val="FootnoteReference"/>
        </w:rPr>
        <w:footnoteRef/>
      </w:r>
      <w:r w:rsidRPr="00677B2C">
        <w:t xml:space="preserve"> If the breach is remedied, the landlor</w:t>
      </w:r>
      <w:r w:rsidR="001E10D8" w:rsidRPr="00677B2C">
        <w:t>d suffers no loss in a sense.</w:t>
      </w:r>
      <w:r w:rsidR="00330264" w:rsidRPr="00677B2C">
        <w:t xml:space="preserve">  A breach of repairing obligation may serious enough to be classed as a repudiatory breach, but still be classed as remediable in terms of forfeiture, as the harm can be made good within a rea</w:t>
      </w:r>
      <w:r w:rsidR="00544ED9">
        <w:t>sonable period of time – see n.6</w:t>
      </w:r>
      <w:r w:rsidR="00330264" w:rsidRPr="00677B2C">
        <w:t>5.</w:t>
      </w:r>
      <w:r w:rsidR="001E10D8" w:rsidRPr="00677B2C">
        <w:t xml:space="preserve"> </w:t>
      </w:r>
    </w:p>
  </w:footnote>
  <w:footnote w:id="69">
    <w:p w14:paraId="77F41FC7" w14:textId="3452FC5F" w:rsidR="00940F61" w:rsidRPr="00677B2C" w:rsidRDefault="00940F61" w:rsidP="000D53EE">
      <w:pPr>
        <w:pStyle w:val="FootnoteText"/>
        <w:jc w:val="both"/>
      </w:pPr>
      <w:r w:rsidRPr="00677B2C">
        <w:rPr>
          <w:rStyle w:val="FootnoteReference"/>
        </w:rPr>
        <w:footnoteRef/>
      </w:r>
      <w:r w:rsidRPr="00677B2C">
        <w:t xml:space="preserve"> </w:t>
      </w:r>
      <w:r w:rsidRPr="00677B2C">
        <w:rPr>
          <w:i/>
        </w:rPr>
        <w:t>Marshall v Council of the Shire of Snowy River</w:t>
      </w:r>
      <w:r w:rsidRPr="00677B2C">
        <w:t xml:space="preserve"> (1994) 7 B.P.R. 14 at 447, per Meagher JA.  See also </w:t>
      </w:r>
      <w:r w:rsidR="00D45CE8" w:rsidRPr="00677B2C">
        <w:t xml:space="preserve">A </w:t>
      </w:r>
      <w:r w:rsidRPr="00677B2C">
        <w:t xml:space="preserve">Dowling </w:t>
      </w:r>
      <w:r w:rsidR="00D45CE8" w:rsidRPr="00677B2C">
        <w:t>‘</w:t>
      </w:r>
      <w:r w:rsidRPr="00677B2C">
        <w:t>Case Comment: Contract La</w:t>
      </w:r>
      <w:r w:rsidR="00D45CE8" w:rsidRPr="00677B2C">
        <w:t xml:space="preserve">w and the termination of leases’ (2006) </w:t>
      </w:r>
      <w:r w:rsidR="00D45CE8" w:rsidRPr="00677B2C">
        <w:rPr>
          <w:i/>
        </w:rPr>
        <w:t>Landlord and Tenant Review</w:t>
      </w:r>
      <w:r w:rsidR="00D45CE8" w:rsidRPr="00677B2C">
        <w:t xml:space="preserve"> 12.</w:t>
      </w:r>
    </w:p>
  </w:footnote>
  <w:footnote w:id="70">
    <w:p w14:paraId="0BAD67AE" w14:textId="2CC9892C" w:rsidR="00940F61" w:rsidRPr="00677B2C" w:rsidRDefault="00940F61">
      <w:pPr>
        <w:pStyle w:val="FootnoteText"/>
      </w:pPr>
      <w:r w:rsidRPr="00677B2C">
        <w:rPr>
          <w:rStyle w:val="FootnoteReference"/>
        </w:rPr>
        <w:footnoteRef/>
      </w:r>
      <w:r w:rsidRPr="00677B2C">
        <w:t xml:space="preserve"> This is the effect where the landlord accepts an offer of surrender of the lease by a tenant, or successfully terminates the lease through forfeiture action.</w:t>
      </w:r>
    </w:p>
  </w:footnote>
  <w:footnote w:id="71">
    <w:p w14:paraId="62182809" w14:textId="4F60587F" w:rsidR="00940F61" w:rsidRPr="00677B2C" w:rsidRDefault="00940F61">
      <w:pPr>
        <w:pStyle w:val="FootnoteText"/>
      </w:pPr>
      <w:r w:rsidRPr="00677B2C">
        <w:rPr>
          <w:rStyle w:val="FootnoteReference"/>
        </w:rPr>
        <w:footnoteRef/>
      </w:r>
      <w:r w:rsidR="00544ED9">
        <w:t xml:space="preserve"> See n3</w:t>
      </w:r>
      <w:r w:rsidR="0000146D" w:rsidRPr="00677B2C">
        <w:t>4</w:t>
      </w:r>
      <w:r w:rsidRPr="00677B2C">
        <w:t>.</w:t>
      </w:r>
    </w:p>
  </w:footnote>
  <w:footnote w:id="72">
    <w:p w14:paraId="6575213B" w14:textId="6D59CE85" w:rsidR="00940F61" w:rsidRPr="00677B2C" w:rsidRDefault="00940F61" w:rsidP="000D53EE">
      <w:pPr>
        <w:pStyle w:val="FootnoteText"/>
        <w:jc w:val="both"/>
      </w:pPr>
      <w:r w:rsidRPr="00677B2C">
        <w:rPr>
          <w:rStyle w:val="FootnoteReference"/>
        </w:rPr>
        <w:footnoteRef/>
      </w:r>
      <w:r w:rsidRPr="00677B2C">
        <w:t xml:space="preserve"> T Effron. ‘The Contractualisation of the Law of Leaseholds: Pitfalls and Opportunities’, 14 </w:t>
      </w:r>
      <w:r w:rsidRPr="00677B2C">
        <w:rPr>
          <w:i/>
        </w:rPr>
        <w:t>Monash University Law Review</w:t>
      </w:r>
      <w:r w:rsidRPr="00677B2C">
        <w:t xml:space="preserve"> 83 at 90.</w:t>
      </w:r>
    </w:p>
  </w:footnote>
  <w:footnote w:id="73">
    <w:p w14:paraId="02A557BE" w14:textId="0C45A5B7" w:rsidR="00940F61" w:rsidRPr="00677B2C" w:rsidRDefault="00940F61" w:rsidP="000D53EE">
      <w:pPr>
        <w:pStyle w:val="FootnoteText"/>
        <w:jc w:val="both"/>
      </w:pPr>
      <w:r w:rsidRPr="00677B2C">
        <w:rPr>
          <w:rStyle w:val="FootnoteReference"/>
        </w:rPr>
        <w:footnoteRef/>
      </w:r>
      <w:r w:rsidRPr="00677B2C">
        <w:t xml:space="preserve"> See, for example, </w:t>
      </w:r>
      <w:r w:rsidRPr="00677B2C">
        <w:rPr>
          <w:i/>
        </w:rPr>
        <w:t xml:space="preserve">Highway Properties v Douglas &amp; Co </w:t>
      </w:r>
      <w:r w:rsidRPr="00677B2C">
        <w:t xml:space="preserve">[1971] 17 D.L.R. (3d) 710; </w:t>
      </w:r>
      <w:r w:rsidRPr="00677B2C">
        <w:rPr>
          <w:i/>
        </w:rPr>
        <w:t>Progressive Mailing House Property Ltd v Tabali Property Ltd</w:t>
      </w:r>
      <w:r w:rsidR="00B82AF7" w:rsidRPr="00677B2C">
        <w:t xml:space="preserve"> (1985) 157 C.L.R. 17.</w:t>
      </w:r>
      <w:r w:rsidR="0077320E" w:rsidRPr="00677B2C">
        <w:t xml:space="preserve">  </w:t>
      </w:r>
      <w:r w:rsidR="00AB396F" w:rsidRPr="00677B2C">
        <w:t xml:space="preserve">These cases are considered in W Barr, ‘Repudiation of Leases’ n11 at pp. </w:t>
      </w:r>
      <w:r w:rsidR="00B82AF7" w:rsidRPr="00677B2C">
        <w:t>324</w:t>
      </w:r>
      <w:r w:rsidR="009B6CE0" w:rsidRPr="00677B2C">
        <w:t>–327.</w:t>
      </w:r>
      <w:r w:rsidR="00B82AF7" w:rsidRPr="00677B2C">
        <w:t xml:space="preserve">  See also </w:t>
      </w:r>
      <w:r w:rsidR="00B82AF7" w:rsidRPr="00677B2C">
        <w:rPr>
          <w:i/>
        </w:rPr>
        <w:t>Gumland Property Holdings Ltd</w:t>
      </w:r>
      <w:r w:rsidR="00B82AF7" w:rsidRPr="00677B2C">
        <w:t xml:space="preserve"> v </w:t>
      </w:r>
      <w:r w:rsidR="00B82AF7" w:rsidRPr="00677B2C">
        <w:rPr>
          <w:i/>
        </w:rPr>
        <w:t>Duffy Bros Fruit Market (Campbelltown) Property Ltd</w:t>
      </w:r>
      <w:r w:rsidR="00B82AF7" w:rsidRPr="00677B2C">
        <w:t xml:space="preserve"> [2008] 82 A.L.J.R. 576.</w:t>
      </w:r>
    </w:p>
  </w:footnote>
  <w:footnote w:id="74">
    <w:p w14:paraId="684A408D" w14:textId="2E7FF303" w:rsidR="00151800" w:rsidRPr="00677B2C" w:rsidRDefault="00151800">
      <w:pPr>
        <w:pStyle w:val="FootnoteText"/>
      </w:pPr>
      <w:r w:rsidRPr="00677B2C">
        <w:rPr>
          <w:rStyle w:val="FootnoteReference"/>
        </w:rPr>
        <w:footnoteRef/>
      </w:r>
      <w:r w:rsidRPr="00677B2C">
        <w:t xml:space="preserve"> </w:t>
      </w:r>
      <w:r w:rsidRPr="00677B2C">
        <w:rPr>
          <w:i/>
        </w:rPr>
        <w:t>Reichman</w:t>
      </w:r>
      <w:r w:rsidRPr="00677B2C">
        <w:t xml:space="preserve"> </w:t>
      </w:r>
      <w:r w:rsidR="00544ED9" w:rsidRPr="00677B2C">
        <w:t xml:space="preserve"> [2006] EWCA Civ 165</w:t>
      </w:r>
      <w:r w:rsidR="00F96AA3" w:rsidRPr="00677B2C">
        <w:t>.</w:t>
      </w:r>
    </w:p>
  </w:footnote>
  <w:footnote w:id="75">
    <w:p w14:paraId="166670D2" w14:textId="2E38427D" w:rsidR="005D2762" w:rsidRPr="00677B2C" w:rsidRDefault="005D2762">
      <w:pPr>
        <w:pStyle w:val="FootnoteText"/>
      </w:pPr>
      <w:r w:rsidRPr="00677B2C">
        <w:rPr>
          <w:rStyle w:val="FootnoteReference"/>
        </w:rPr>
        <w:footnoteRef/>
      </w:r>
      <w:r w:rsidRPr="00677B2C">
        <w:t xml:space="preserve"> </w:t>
      </w:r>
      <w:r w:rsidR="00AB4AAA" w:rsidRPr="00677B2C">
        <w:t>See, generally, Chitty</w:t>
      </w:r>
      <w:r w:rsidR="002646D3" w:rsidRPr="00677B2C">
        <w:rPr>
          <w:i/>
        </w:rPr>
        <w:t xml:space="preserve"> </w:t>
      </w:r>
      <w:r w:rsidR="00AB4AAA" w:rsidRPr="00677B2C">
        <w:t>n.</w:t>
      </w:r>
      <w:r w:rsidR="00544ED9">
        <w:t>33,</w:t>
      </w:r>
      <w:r w:rsidR="002646D3" w:rsidRPr="00677B2C">
        <w:t xml:space="preserve"> c</w:t>
      </w:r>
      <w:r w:rsidR="00AB4AAA" w:rsidRPr="00677B2C">
        <w:t>h 26.</w:t>
      </w:r>
    </w:p>
  </w:footnote>
  <w:footnote w:id="76">
    <w:p w14:paraId="2BD2BAC1" w14:textId="156F3D32" w:rsidR="00940F61" w:rsidRPr="00677B2C" w:rsidRDefault="00940F61" w:rsidP="000D53EE">
      <w:pPr>
        <w:pStyle w:val="FootnoteText"/>
        <w:jc w:val="both"/>
      </w:pPr>
      <w:r w:rsidRPr="00677B2C">
        <w:rPr>
          <w:rStyle w:val="FootnoteReference"/>
        </w:rPr>
        <w:footnoteRef/>
      </w:r>
      <w:r w:rsidRPr="00677B2C">
        <w:t xml:space="preserve"> At [27].</w:t>
      </w:r>
    </w:p>
  </w:footnote>
  <w:footnote w:id="77">
    <w:p w14:paraId="3ED83BFB" w14:textId="11294F14" w:rsidR="00F96AA3" w:rsidRPr="00677B2C" w:rsidRDefault="00F96AA3" w:rsidP="00F96AA3">
      <w:pPr>
        <w:pStyle w:val="FootnoteText"/>
        <w:jc w:val="both"/>
      </w:pPr>
      <w:r w:rsidRPr="00677B2C">
        <w:rPr>
          <w:rStyle w:val="FootnoteReference"/>
        </w:rPr>
        <w:footnoteRef/>
      </w:r>
      <w:r w:rsidR="00544ED9">
        <w:t xml:space="preserve"> K Lewison, n21</w:t>
      </w:r>
      <w:r w:rsidRPr="00677B2C">
        <w:t xml:space="preserve"> at p 3.</w:t>
      </w:r>
    </w:p>
  </w:footnote>
  <w:footnote w:id="78">
    <w:p w14:paraId="30AD10C3" w14:textId="35DE5E4D" w:rsidR="00414777" w:rsidRPr="00677B2C" w:rsidRDefault="00414777" w:rsidP="0000146D">
      <w:pPr>
        <w:pStyle w:val="FootnoteText"/>
        <w:jc w:val="both"/>
      </w:pPr>
      <w:r w:rsidRPr="00677B2C">
        <w:rPr>
          <w:rStyle w:val="FootnoteReference"/>
        </w:rPr>
        <w:footnoteRef/>
      </w:r>
      <w:r w:rsidRPr="00677B2C">
        <w:t xml:space="preserve"> See, for example, A Dowling. ‘Case Comment: Contract Law and the termination of leases’ (2006) </w:t>
      </w:r>
      <w:r w:rsidRPr="00677B2C">
        <w:rPr>
          <w:i/>
        </w:rPr>
        <w:t xml:space="preserve">L&amp;TR </w:t>
      </w:r>
      <w:r w:rsidRPr="00677B2C">
        <w:t xml:space="preserve">12, who argues that there are at least three English decisions which support the proposition that a landlord could recover damages for loss of bargain on the termination of a lease, which were themselves considered and approve in the Northern Ireland case of </w:t>
      </w:r>
      <w:r w:rsidRPr="00677B2C">
        <w:rPr>
          <w:i/>
        </w:rPr>
        <w:t xml:space="preserve">Rainey Brothers Ltd </w:t>
      </w:r>
      <w:r w:rsidRPr="00677B2C">
        <w:t xml:space="preserve">v </w:t>
      </w:r>
      <w:r w:rsidRPr="00677B2C">
        <w:rPr>
          <w:i/>
        </w:rPr>
        <w:t>Kearney</w:t>
      </w:r>
      <w:r w:rsidRPr="00677B2C">
        <w:t xml:space="preserve"> [1990] NI 18; none of which were cited in </w:t>
      </w:r>
      <w:r w:rsidRPr="00677B2C">
        <w:rPr>
          <w:i/>
        </w:rPr>
        <w:t>Reichman</w:t>
      </w:r>
      <w:r w:rsidRPr="00677B2C">
        <w:t>.</w:t>
      </w:r>
    </w:p>
  </w:footnote>
  <w:footnote w:id="79">
    <w:p w14:paraId="23868860" w14:textId="0148A1DA" w:rsidR="002A2EFD" w:rsidRPr="00677B2C" w:rsidRDefault="002A2EFD" w:rsidP="002A2EFD">
      <w:pPr>
        <w:pStyle w:val="FootnoteText"/>
        <w:jc w:val="both"/>
      </w:pPr>
      <w:r w:rsidRPr="00677B2C">
        <w:rPr>
          <w:rStyle w:val="FootnoteReference"/>
        </w:rPr>
        <w:footnoteRef/>
      </w:r>
      <w:r w:rsidRPr="00677B2C">
        <w:t xml:space="preserve"> J </w:t>
      </w:r>
      <w:r w:rsidR="0095570A" w:rsidRPr="00677B2C">
        <w:t xml:space="preserve">Morgan [2008] </w:t>
      </w:r>
      <w:r w:rsidR="0095570A" w:rsidRPr="00677B2C">
        <w:rPr>
          <w:i/>
        </w:rPr>
        <w:t>Conv</w:t>
      </w:r>
      <w:r w:rsidR="0095570A" w:rsidRPr="00677B2C">
        <w:t xml:space="preserve"> 165 at </w:t>
      </w:r>
      <w:r w:rsidRPr="00677B2C">
        <w:t>173.</w:t>
      </w:r>
    </w:p>
  </w:footnote>
  <w:footnote w:id="80">
    <w:p w14:paraId="58D8E491" w14:textId="30B4266D" w:rsidR="00940F61" w:rsidRPr="00677B2C" w:rsidRDefault="00940F61" w:rsidP="000D53EE">
      <w:pPr>
        <w:pStyle w:val="FootnoteText"/>
        <w:jc w:val="both"/>
      </w:pPr>
      <w:r w:rsidRPr="00677B2C">
        <w:rPr>
          <w:rStyle w:val="FootnoteReference"/>
        </w:rPr>
        <w:footnoteRef/>
      </w:r>
      <w:r w:rsidRPr="00677B2C">
        <w:t xml:space="preserve"> (2008) 244 ALR 1.</w:t>
      </w:r>
    </w:p>
  </w:footnote>
  <w:footnote w:id="81">
    <w:p w14:paraId="58823918" w14:textId="1B978C50" w:rsidR="00940F61" w:rsidRPr="00677B2C" w:rsidRDefault="00940F61" w:rsidP="000D53EE">
      <w:pPr>
        <w:pStyle w:val="FootnoteText"/>
        <w:jc w:val="both"/>
      </w:pPr>
      <w:r w:rsidRPr="00677B2C">
        <w:rPr>
          <w:rStyle w:val="FootnoteReference"/>
        </w:rPr>
        <w:footnoteRef/>
      </w:r>
      <w:r w:rsidRPr="00677B2C">
        <w:t xml:space="preserve"> Ibid at [64].</w:t>
      </w:r>
      <w:r w:rsidR="00560B60" w:rsidRPr="00677B2C">
        <w:t xml:space="preserve">  </w:t>
      </w:r>
      <w:r w:rsidR="00F70858" w:rsidRPr="00677B2C">
        <w:t xml:space="preserve">See, however, D McGill, ‘What’s left after </w:t>
      </w:r>
      <w:r w:rsidR="00F70858" w:rsidRPr="00677B2C">
        <w:rPr>
          <w:i/>
        </w:rPr>
        <w:t>Gumland Property Holdings Pty Ltd v Duffy Bros Fruit Market (Campbelltown) Pty Ltd</w:t>
      </w:r>
      <w:r w:rsidR="00F70858" w:rsidRPr="00677B2C">
        <w:t>?’ (2009) 17 APLI 326.</w:t>
      </w:r>
    </w:p>
  </w:footnote>
  <w:footnote w:id="82">
    <w:p w14:paraId="7B54E23E" w14:textId="2FF96574" w:rsidR="00761A81" w:rsidRPr="00677B2C" w:rsidRDefault="00761A81">
      <w:pPr>
        <w:pStyle w:val="FootnoteText"/>
      </w:pPr>
      <w:r w:rsidRPr="00677B2C">
        <w:rPr>
          <w:rStyle w:val="FootnoteReference"/>
        </w:rPr>
        <w:footnoteRef/>
      </w:r>
      <w:r w:rsidR="00510755" w:rsidRPr="00677B2C">
        <w:t xml:space="preserve"> K Lewison, n</w:t>
      </w:r>
      <w:r w:rsidR="00544ED9">
        <w:t>21</w:t>
      </w:r>
      <w:r w:rsidRPr="00677B2C">
        <w:t>.</w:t>
      </w:r>
    </w:p>
  </w:footnote>
  <w:footnote w:id="83">
    <w:p w14:paraId="79106BC2" w14:textId="77777777" w:rsidR="00185420" w:rsidRPr="00677B2C" w:rsidRDefault="00185420" w:rsidP="00185420">
      <w:pPr>
        <w:pStyle w:val="FootnoteText"/>
        <w:jc w:val="both"/>
      </w:pPr>
      <w:r w:rsidRPr="00677B2C">
        <w:rPr>
          <w:rStyle w:val="FootnoteReference"/>
        </w:rPr>
        <w:footnoteRef/>
      </w:r>
      <w:r w:rsidRPr="00677B2C">
        <w:t xml:space="preserve"> Law Com No 303 (2006) </w:t>
      </w:r>
      <w:r w:rsidRPr="00677B2C">
        <w:rPr>
          <w:i/>
        </w:rPr>
        <w:t>Termination of Tenancies for Tenant Default</w:t>
      </w:r>
      <w:r w:rsidRPr="00677B2C">
        <w:t>.</w:t>
      </w:r>
    </w:p>
  </w:footnote>
  <w:footnote w:id="84">
    <w:p w14:paraId="0602DA9B" w14:textId="0DFC28F9" w:rsidR="00185420" w:rsidRPr="00677B2C" w:rsidRDefault="00185420" w:rsidP="00185420">
      <w:pPr>
        <w:pStyle w:val="FootnoteText"/>
        <w:jc w:val="both"/>
      </w:pPr>
      <w:r w:rsidRPr="00677B2C">
        <w:rPr>
          <w:rStyle w:val="FootnoteReference"/>
        </w:rPr>
        <w:footnoteRef/>
      </w:r>
      <w:r w:rsidRPr="00677B2C">
        <w:t xml:space="preserve"> </w:t>
      </w:r>
      <w:r w:rsidR="004E1E85" w:rsidRPr="00677B2C">
        <w:t xml:space="preserve">See Law Com </w:t>
      </w:r>
      <w:r w:rsidRPr="00677B2C">
        <w:t>No 223 (1994</w:t>
      </w:r>
      <w:r w:rsidRPr="00677B2C">
        <w:rPr>
          <w:i/>
        </w:rPr>
        <w:t>) Landlord and Tenant Law: Termination Of Tenancies Bill</w:t>
      </w:r>
      <w:r w:rsidRPr="00677B2C">
        <w:t xml:space="preserve">; Law Com Consultation Paper: </w:t>
      </w:r>
      <w:r w:rsidRPr="00677B2C">
        <w:rPr>
          <w:i/>
        </w:rPr>
        <w:t>Landlord and Tenant Law: Termination of Tenancies by Physical re-entry</w:t>
      </w:r>
      <w:r w:rsidRPr="00677B2C">
        <w:t>;</w:t>
      </w:r>
      <w:r w:rsidRPr="00677B2C">
        <w:rPr>
          <w:bCs/>
          <w:i/>
        </w:rPr>
        <w:t xml:space="preserve"> Landlord and Tenant Law: Termination of Tenancies by Physical re-entry</w:t>
      </w:r>
      <w:r w:rsidRPr="00677B2C">
        <w:rPr>
          <w:bCs/>
        </w:rPr>
        <w:t>.</w:t>
      </w:r>
    </w:p>
  </w:footnote>
  <w:footnote w:id="85">
    <w:p w14:paraId="40D6ABA2" w14:textId="44C6E1BD" w:rsidR="00D67617" w:rsidRPr="00677B2C" w:rsidRDefault="00D67617" w:rsidP="00677B2C">
      <w:pPr>
        <w:pStyle w:val="FootnoteText"/>
        <w:jc w:val="both"/>
      </w:pPr>
      <w:r w:rsidRPr="00677B2C">
        <w:rPr>
          <w:rStyle w:val="FootnoteReference"/>
        </w:rPr>
        <w:footnoteRef/>
      </w:r>
      <w:r w:rsidRPr="00677B2C">
        <w:t xml:space="preserve"> This type of action is not unknown in English property law. Lord Templeman’s intervention in </w:t>
      </w:r>
      <w:r w:rsidRPr="00677B2C">
        <w:rPr>
          <w:i/>
        </w:rPr>
        <w:t>Street v Mountford</w:t>
      </w:r>
      <w:r w:rsidRPr="00677B2C">
        <w:t xml:space="preserve"> </w:t>
      </w:r>
      <w:r w:rsidR="00FA471A" w:rsidRPr="00677B2C">
        <w:t xml:space="preserve">[1985] 2 WLR 877 </w:t>
      </w:r>
      <w:r w:rsidRPr="00677B2C">
        <w:t>to</w:t>
      </w:r>
      <w:r w:rsidR="00243662">
        <w:t xml:space="preserve"> establish an objective approach to the creation of leases is a case in point.</w:t>
      </w:r>
      <w:r w:rsidRPr="00677B2C">
        <w:t xml:space="preserve"> </w:t>
      </w:r>
      <w:r w:rsidR="00243662">
        <w:t xml:space="preserve">This was designed to address issues caused by </w:t>
      </w:r>
      <w:r w:rsidRPr="00677B2C">
        <w:t>landlords seeking to avoid rent protection legislation by creating licences instead of tenancies.  Th</w:t>
      </w:r>
      <w:r w:rsidR="00677B2C">
        <w:t>e need for intervention was removed shortly after by the removal of rent protection from most residential lettings via the Housing Act 1988</w:t>
      </w:r>
      <w:r w:rsidRPr="00677B2C">
        <w:t xml:space="preserve">, </w:t>
      </w:r>
      <w:r w:rsidR="00677B2C">
        <w:t>yet the impact</w:t>
      </w:r>
      <w:r w:rsidRPr="00677B2C">
        <w:t xml:space="preserve"> </w:t>
      </w:r>
      <w:r w:rsidR="00677B2C">
        <w:t xml:space="preserve">of the decision is still being felt for those seeking to create licences rather than leases for perfectly defensible purposes – see, for example, W Barr </w:t>
      </w:r>
      <w:r w:rsidR="00042280">
        <w:t>‘</w:t>
      </w:r>
      <w:r w:rsidR="00042280" w:rsidRPr="00042280">
        <w:t>Charitable le</w:t>
      </w:r>
      <w:r w:rsidR="00042280">
        <w:t>ttings and their legal pitfalls’ i</w:t>
      </w:r>
      <w:r w:rsidR="00042280" w:rsidRPr="00042280">
        <w:t>n E. Cooke</w:t>
      </w:r>
      <w:r w:rsidR="00042280">
        <w:t xml:space="preserve"> (ed) </w:t>
      </w:r>
      <w:r w:rsidR="00D17611">
        <w:rPr>
          <w:i/>
        </w:rPr>
        <w:t>Modern Studies i</w:t>
      </w:r>
      <w:r w:rsidR="00042280" w:rsidRPr="00042280">
        <w:rPr>
          <w:i/>
        </w:rPr>
        <w:t>n Property Law: Property 2000</w:t>
      </w:r>
      <w:r w:rsidR="00042280">
        <w:t xml:space="preserve"> (</w:t>
      </w:r>
      <w:r w:rsidR="00042280" w:rsidRPr="00042280">
        <w:t>Oxford: Hart Publishing Ltd</w:t>
      </w:r>
      <w:r w:rsidR="00042280">
        <w:t>) 239</w:t>
      </w:r>
      <w:r w:rsidR="00042280" w:rsidRPr="00042280">
        <w:t>.</w:t>
      </w:r>
    </w:p>
  </w:footnote>
  <w:footnote w:id="86">
    <w:p w14:paraId="112111CE" w14:textId="1882E368" w:rsidR="00BC4D40" w:rsidRPr="00677B2C" w:rsidRDefault="00BC4D40">
      <w:pPr>
        <w:pStyle w:val="FootnoteText"/>
      </w:pPr>
      <w:r w:rsidRPr="00677B2C">
        <w:rPr>
          <w:rStyle w:val="FootnoteReference"/>
        </w:rPr>
        <w:footnoteRef/>
      </w:r>
      <w:r w:rsidRPr="00677B2C">
        <w:t xml:space="preserve"> This is to be contrasting with legislative intervention, as has happened in Wales</w:t>
      </w:r>
      <w:r w:rsidR="00D2278D" w:rsidRPr="00677B2C">
        <w:t xml:space="preserve"> with Renting Homes</w:t>
      </w:r>
      <w:r w:rsidRPr="00677B2C">
        <w:t xml:space="preserve">, which follows careful consideration of operational issues and context, arising from the work of the Law Commission.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9B1FD6"/>
    <w:multiLevelType w:val="hybridMultilevel"/>
    <w:tmpl w:val="1C8A3ECC"/>
    <w:lvl w:ilvl="0" w:tplc="35628154">
      <w:start w:val="1"/>
      <w:numFmt w:val="decimal"/>
      <w:lvlText w:val="%1."/>
      <w:lvlJc w:val="left"/>
      <w:pPr>
        <w:ind w:left="720" w:hanging="360"/>
      </w:pPr>
      <w:rPr>
        <w:rFonts w:ascii="Arial" w:hAnsi="Arial" w:cs="Arial" w:hint="default"/>
        <w:color w:val="53535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1BE4"/>
    <w:multiLevelType w:val="hybridMultilevel"/>
    <w:tmpl w:val="86947356"/>
    <w:lvl w:ilvl="0" w:tplc="17EAD2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909F1"/>
    <w:multiLevelType w:val="hybridMultilevel"/>
    <w:tmpl w:val="38383A9A"/>
    <w:lvl w:ilvl="0" w:tplc="CD723F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A546C6"/>
    <w:multiLevelType w:val="hybridMultilevel"/>
    <w:tmpl w:val="81EA5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17E42"/>
    <w:multiLevelType w:val="hybridMultilevel"/>
    <w:tmpl w:val="81EA5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655A0"/>
    <w:multiLevelType w:val="hybridMultilevel"/>
    <w:tmpl w:val="7C58D2E4"/>
    <w:lvl w:ilvl="0" w:tplc="58B0B474">
      <w:start w:val="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F31DD"/>
    <w:multiLevelType w:val="hybridMultilevel"/>
    <w:tmpl w:val="14D46CF8"/>
    <w:lvl w:ilvl="0" w:tplc="1F8485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41866290"/>
    <w:multiLevelType w:val="hybridMultilevel"/>
    <w:tmpl w:val="077A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B2EF6"/>
    <w:multiLevelType w:val="hybridMultilevel"/>
    <w:tmpl w:val="21A06754"/>
    <w:lvl w:ilvl="0" w:tplc="22A8D6B2">
      <w:start w:val="1"/>
      <w:numFmt w:val="decimal"/>
      <w:lvlText w:val="%1."/>
      <w:lvlJc w:val="left"/>
      <w:pPr>
        <w:ind w:left="720" w:hanging="360"/>
      </w:pPr>
      <w:rPr>
        <w:rFonts w:ascii="Arial" w:hAnsi="Arial" w:cs="Arial" w:hint="default"/>
        <w:color w:val="53535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D7865"/>
    <w:multiLevelType w:val="hybridMultilevel"/>
    <w:tmpl w:val="E31E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515C7"/>
    <w:multiLevelType w:val="hybridMultilevel"/>
    <w:tmpl w:val="81EA5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3261D"/>
    <w:multiLevelType w:val="hybridMultilevel"/>
    <w:tmpl w:val="E31E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86DEB"/>
    <w:multiLevelType w:val="hybridMultilevel"/>
    <w:tmpl w:val="04F8F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A3C0A"/>
    <w:multiLevelType w:val="hybridMultilevel"/>
    <w:tmpl w:val="5C3829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F61EE"/>
    <w:multiLevelType w:val="hybridMultilevel"/>
    <w:tmpl w:val="96548148"/>
    <w:lvl w:ilvl="0" w:tplc="3E1E968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BE75A97"/>
    <w:multiLevelType w:val="hybridMultilevel"/>
    <w:tmpl w:val="DB7227F8"/>
    <w:lvl w:ilvl="0" w:tplc="F3CA1E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E5633ED"/>
    <w:multiLevelType w:val="hybridMultilevel"/>
    <w:tmpl w:val="751628CE"/>
    <w:lvl w:ilvl="0" w:tplc="111CD3B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32223E3"/>
    <w:multiLevelType w:val="hybridMultilevel"/>
    <w:tmpl w:val="DC3A2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60B09"/>
    <w:multiLevelType w:val="hybridMultilevel"/>
    <w:tmpl w:val="670E0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7"/>
  </w:num>
  <w:num w:numId="5">
    <w:abstractNumId w:val="16"/>
  </w:num>
  <w:num w:numId="6">
    <w:abstractNumId w:val="15"/>
  </w:num>
  <w:num w:numId="7">
    <w:abstractNumId w:val="3"/>
  </w:num>
  <w:num w:numId="8">
    <w:abstractNumId w:val="17"/>
  </w:num>
  <w:num w:numId="9">
    <w:abstractNumId w:val="2"/>
  </w:num>
  <w:num w:numId="10">
    <w:abstractNumId w:val="6"/>
  </w:num>
  <w:num w:numId="11">
    <w:abstractNumId w:val="4"/>
  </w:num>
  <w:num w:numId="12">
    <w:abstractNumId w:val="12"/>
  </w:num>
  <w:num w:numId="13">
    <w:abstractNumId w:val="18"/>
  </w:num>
  <w:num w:numId="14">
    <w:abstractNumId w:val="14"/>
  </w:num>
  <w:num w:numId="15">
    <w:abstractNumId w:val="13"/>
  </w:num>
  <w:num w:numId="16">
    <w:abstractNumId w:val="11"/>
  </w:num>
  <w:num w:numId="17">
    <w:abstractNumId w:val="5"/>
  </w:num>
  <w:num w:numId="18">
    <w:abstractNumId w:val="19"/>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48"/>
    <w:rsid w:val="0000146D"/>
    <w:rsid w:val="00002E42"/>
    <w:rsid w:val="00011C9C"/>
    <w:rsid w:val="00012CBB"/>
    <w:rsid w:val="00014DC0"/>
    <w:rsid w:val="00015D6D"/>
    <w:rsid w:val="0002464F"/>
    <w:rsid w:val="00030CF0"/>
    <w:rsid w:val="00032272"/>
    <w:rsid w:val="000326EF"/>
    <w:rsid w:val="00032841"/>
    <w:rsid w:val="00032E3D"/>
    <w:rsid w:val="00032E7B"/>
    <w:rsid w:val="00033283"/>
    <w:rsid w:val="00034B4C"/>
    <w:rsid w:val="00036856"/>
    <w:rsid w:val="00042280"/>
    <w:rsid w:val="0004286E"/>
    <w:rsid w:val="0004301F"/>
    <w:rsid w:val="00045F3B"/>
    <w:rsid w:val="00046636"/>
    <w:rsid w:val="00046669"/>
    <w:rsid w:val="00047210"/>
    <w:rsid w:val="000557E5"/>
    <w:rsid w:val="00057BA1"/>
    <w:rsid w:val="000626E1"/>
    <w:rsid w:val="00062C45"/>
    <w:rsid w:val="000652F0"/>
    <w:rsid w:val="00066E83"/>
    <w:rsid w:val="00077A54"/>
    <w:rsid w:val="0008047A"/>
    <w:rsid w:val="00082010"/>
    <w:rsid w:val="00083FE3"/>
    <w:rsid w:val="000851F9"/>
    <w:rsid w:val="0009014E"/>
    <w:rsid w:val="000929C4"/>
    <w:rsid w:val="0009461D"/>
    <w:rsid w:val="000954A8"/>
    <w:rsid w:val="00097870"/>
    <w:rsid w:val="00097E9E"/>
    <w:rsid w:val="000A7364"/>
    <w:rsid w:val="000B161B"/>
    <w:rsid w:val="000B33CD"/>
    <w:rsid w:val="000B3BE5"/>
    <w:rsid w:val="000B7671"/>
    <w:rsid w:val="000C698C"/>
    <w:rsid w:val="000C71F9"/>
    <w:rsid w:val="000C7EC4"/>
    <w:rsid w:val="000D4E0A"/>
    <w:rsid w:val="000D53EE"/>
    <w:rsid w:val="000D5A6C"/>
    <w:rsid w:val="000D60CA"/>
    <w:rsid w:val="000D62B6"/>
    <w:rsid w:val="000D6C4B"/>
    <w:rsid w:val="000E2259"/>
    <w:rsid w:val="000E4028"/>
    <w:rsid w:val="000E457D"/>
    <w:rsid w:val="000F0CC6"/>
    <w:rsid w:val="000F4484"/>
    <w:rsid w:val="000F5558"/>
    <w:rsid w:val="00103673"/>
    <w:rsid w:val="0010737B"/>
    <w:rsid w:val="001075B8"/>
    <w:rsid w:val="00110FD7"/>
    <w:rsid w:val="00112299"/>
    <w:rsid w:val="001211C4"/>
    <w:rsid w:val="00124F99"/>
    <w:rsid w:val="001319B7"/>
    <w:rsid w:val="0013489E"/>
    <w:rsid w:val="00134CC7"/>
    <w:rsid w:val="00140A65"/>
    <w:rsid w:val="00147419"/>
    <w:rsid w:val="001507AD"/>
    <w:rsid w:val="00151800"/>
    <w:rsid w:val="00153D33"/>
    <w:rsid w:val="001559E0"/>
    <w:rsid w:val="00156889"/>
    <w:rsid w:val="00185420"/>
    <w:rsid w:val="00186AD8"/>
    <w:rsid w:val="001905D8"/>
    <w:rsid w:val="001924F4"/>
    <w:rsid w:val="00192BEE"/>
    <w:rsid w:val="001A56AC"/>
    <w:rsid w:val="001C4530"/>
    <w:rsid w:val="001C54E3"/>
    <w:rsid w:val="001D26D1"/>
    <w:rsid w:val="001D2894"/>
    <w:rsid w:val="001D41E2"/>
    <w:rsid w:val="001D6217"/>
    <w:rsid w:val="001D7AFC"/>
    <w:rsid w:val="001E10D8"/>
    <w:rsid w:val="001E1EB5"/>
    <w:rsid w:val="001E5C97"/>
    <w:rsid w:val="001F313F"/>
    <w:rsid w:val="001F3207"/>
    <w:rsid w:val="001F4DE3"/>
    <w:rsid w:val="001F568A"/>
    <w:rsid w:val="001F6246"/>
    <w:rsid w:val="001F7185"/>
    <w:rsid w:val="0020019A"/>
    <w:rsid w:val="00202E47"/>
    <w:rsid w:val="002043D4"/>
    <w:rsid w:val="002076CE"/>
    <w:rsid w:val="002079E1"/>
    <w:rsid w:val="00207B42"/>
    <w:rsid w:val="0021045C"/>
    <w:rsid w:val="00213501"/>
    <w:rsid w:val="00214761"/>
    <w:rsid w:val="00215B01"/>
    <w:rsid w:val="00216847"/>
    <w:rsid w:val="00216E76"/>
    <w:rsid w:val="00217619"/>
    <w:rsid w:val="0021779E"/>
    <w:rsid w:val="002211AF"/>
    <w:rsid w:val="00227028"/>
    <w:rsid w:val="0023111C"/>
    <w:rsid w:val="00232D39"/>
    <w:rsid w:val="0023342C"/>
    <w:rsid w:val="00236E3C"/>
    <w:rsid w:val="0024200C"/>
    <w:rsid w:val="002421E7"/>
    <w:rsid w:val="00242F7C"/>
    <w:rsid w:val="00243662"/>
    <w:rsid w:val="0024458A"/>
    <w:rsid w:val="00247E6E"/>
    <w:rsid w:val="00250154"/>
    <w:rsid w:val="00251979"/>
    <w:rsid w:val="00254C3C"/>
    <w:rsid w:val="002646D3"/>
    <w:rsid w:val="0027481D"/>
    <w:rsid w:val="00274ADB"/>
    <w:rsid w:val="00274C3A"/>
    <w:rsid w:val="002812AA"/>
    <w:rsid w:val="00285C73"/>
    <w:rsid w:val="002933A4"/>
    <w:rsid w:val="00294B68"/>
    <w:rsid w:val="002A1123"/>
    <w:rsid w:val="002A2EFD"/>
    <w:rsid w:val="002A3601"/>
    <w:rsid w:val="002A7A33"/>
    <w:rsid w:val="002B0B73"/>
    <w:rsid w:val="002B1079"/>
    <w:rsid w:val="002B3970"/>
    <w:rsid w:val="002B636E"/>
    <w:rsid w:val="002B77D4"/>
    <w:rsid w:val="002B793E"/>
    <w:rsid w:val="002B7C7D"/>
    <w:rsid w:val="002C17F5"/>
    <w:rsid w:val="002C34EE"/>
    <w:rsid w:val="002D1028"/>
    <w:rsid w:val="002D1FA3"/>
    <w:rsid w:val="002D4709"/>
    <w:rsid w:val="002D4E60"/>
    <w:rsid w:val="002E0E95"/>
    <w:rsid w:val="002E1C4A"/>
    <w:rsid w:val="002F5800"/>
    <w:rsid w:val="002F5E78"/>
    <w:rsid w:val="002F5EBD"/>
    <w:rsid w:val="0030087B"/>
    <w:rsid w:val="0030427D"/>
    <w:rsid w:val="00304C69"/>
    <w:rsid w:val="00305DB8"/>
    <w:rsid w:val="00310B6E"/>
    <w:rsid w:val="003258C6"/>
    <w:rsid w:val="00330264"/>
    <w:rsid w:val="00331322"/>
    <w:rsid w:val="003372B0"/>
    <w:rsid w:val="0034120C"/>
    <w:rsid w:val="003418C9"/>
    <w:rsid w:val="00347327"/>
    <w:rsid w:val="00352E58"/>
    <w:rsid w:val="0035332F"/>
    <w:rsid w:val="0035508F"/>
    <w:rsid w:val="00356DC9"/>
    <w:rsid w:val="00360A0E"/>
    <w:rsid w:val="003767C7"/>
    <w:rsid w:val="00382E34"/>
    <w:rsid w:val="00385445"/>
    <w:rsid w:val="003867FE"/>
    <w:rsid w:val="0039010B"/>
    <w:rsid w:val="003927EE"/>
    <w:rsid w:val="00393AC8"/>
    <w:rsid w:val="003943A3"/>
    <w:rsid w:val="0039599E"/>
    <w:rsid w:val="003A2A3B"/>
    <w:rsid w:val="003A6A90"/>
    <w:rsid w:val="003B02D4"/>
    <w:rsid w:val="003C39C6"/>
    <w:rsid w:val="003C3D3D"/>
    <w:rsid w:val="003C4DC7"/>
    <w:rsid w:val="003D0E0B"/>
    <w:rsid w:val="003D10DE"/>
    <w:rsid w:val="003D1670"/>
    <w:rsid w:val="003D3AE7"/>
    <w:rsid w:val="003D4F72"/>
    <w:rsid w:val="003D61F9"/>
    <w:rsid w:val="003D65EB"/>
    <w:rsid w:val="003E512E"/>
    <w:rsid w:val="003E570C"/>
    <w:rsid w:val="003E6196"/>
    <w:rsid w:val="003F0353"/>
    <w:rsid w:val="00403698"/>
    <w:rsid w:val="00412689"/>
    <w:rsid w:val="00414777"/>
    <w:rsid w:val="00415F06"/>
    <w:rsid w:val="004166C4"/>
    <w:rsid w:val="00421709"/>
    <w:rsid w:val="00432865"/>
    <w:rsid w:val="00436FA7"/>
    <w:rsid w:val="00441060"/>
    <w:rsid w:val="00441635"/>
    <w:rsid w:val="004464FE"/>
    <w:rsid w:val="004466F7"/>
    <w:rsid w:val="00447600"/>
    <w:rsid w:val="00450190"/>
    <w:rsid w:val="00451D12"/>
    <w:rsid w:val="00453551"/>
    <w:rsid w:val="004609C4"/>
    <w:rsid w:val="004729D3"/>
    <w:rsid w:val="0047493C"/>
    <w:rsid w:val="004817B7"/>
    <w:rsid w:val="0048411C"/>
    <w:rsid w:val="00484FC9"/>
    <w:rsid w:val="004916BC"/>
    <w:rsid w:val="004958A1"/>
    <w:rsid w:val="004A1C27"/>
    <w:rsid w:val="004B20AD"/>
    <w:rsid w:val="004B4E6E"/>
    <w:rsid w:val="004B507D"/>
    <w:rsid w:val="004C0D0E"/>
    <w:rsid w:val="004C1344"/>
    <w:rsid w:val="004C4D79"/>
    <w:rsid w:val="004D3946"/>
    <w:rsid w:val="004D3F9F"/>
    <w:rsid w:val="004E0577"/>
    <w:rsid w:val="004E1E85"/>
    <w:rsid w:val="004F0E95"/>
    <w:rsid w:val="004F59CB"/>
    <w:rsid w:val="004F608D"/>
    <w:rsid w:val="00503072"/>
    <w:rsid w:val="00510755"/>
    <w:rsid w:val="00512DB7"/>
    <w:rsid w:val="00527F2A"/>
    <w:rsid w:val="00531017"/>
    <w:rsid w:val="005336E1"/>
    <w:rsid w:val="00533E5B"/>
    <w:rsid w:val="00536A67"/>
    <w:rsid w:val="005403DB"/>
    <w:rsid w:val="00544ED9"/>
    <w:rsid w:val="005461E3"/>
    <w:rsid w:val="00550D07"/>
    <w:rsid w:val="005566F8"/>
    <w:rsid w:val="00556F99"/>
    <w:rsid w:val="00557066"/>
    <w:rsid w:val="00557B83"/>
    <w:rsid w:val="0056060E"/>
    <w:rsid w:val="005606E9"/>
    <w:rsid w:val="00560B60"/>
    <w:rsid w:val="0057120E"/>
    <w:rsid w:val="0057254E"/>
    <w:rsid w:val="005822B4"/>
    <w:rsid w:val="00586551"/>
    <w:rsid w:val="00595DAE"/>
    <w:rsid w:val="00597CD2"/>
    <w:rsid w:val="005A0C6D"/>
    <w:rsid w:val="005A0F85"/>
    <w:rsid w:val="005A4115"/>
    <w:rsid w:val="005B1F11"/>
    <w:rsid w:val="005B3EFB"/>
    <w:rsid w:val="005C3940"/>
    <w:rsid w:val="005C3FCC"/>
    <w:rsid w:val="005C5918"/>
    <w:rsid w:val="005C7CDE"/>
    <w:rsid w:val="005D2762"/>
    <w:rsid w:val="005D6869"/>
    <w:rsid w:val="005E03FE"/>
    <w:rsid w:val="005E619E"/>
    <w:rsid w:val="005E71DB"/>
    <w:rsid w:val="005F01E0"/>
    <w:rsid w:val="005F1BD2"/>
    <w:rsid w:val="005F2A13"/>
    <w:rsid w:val="005F526C"/>
    <w:rsid w:val="005F6BAF"/>
    <w:rsid w:val="00600BC7"/>
    <w:rsid w:val="00601B80"/>
    <w:rsid w:val="00602326"/>
    <w:rsid w:val="00610DBD"/>
    <w:rsid w:val="00615274"/>
    <w:rsid w:val="006165DE"/>
    <w:rsid w:val="00616D4E"/>
    <w:rsid w:val="00620508"/>
    <w:rsid w:val="00622C9B"/>
    <w:rsid w:val="00626403"/>
    <w:rsid w:val="006268C8"/>
    <w:rsid w:val="0062779B"/>
    <w:rsid w:val="00631472"/>
    <w:rsid w:val="00632308"/>
    <w:rsid w:val="00636A05"/>
    <w:rsid w:val="00636E6C"/>
    <w:rsid w:val="00642387"/>
    <w:rsid w:val="00643318"/>
    <w:rsid w:val="00643539"/>
    <w:rsid w:val="00645883"/>
    <w:rsid w:val="0064701A"/>
    <w:rsid w:val="00647C35"/>
    <w:rsid w:val="00653B6E"/>
    <w:rsid w:val="00657F5D"/>
    <w:rsid w:val="00666F6D"/>
    <w:rsid w:val="00667326"/>
    <w:rsid w:val="00672A22"/>
    <w:rsid w:val="00673266"/>
    <w:rsid w:val="006743E2"/>
    <w:rsid w:val="00677B2C"/>
    <w:rsid w:val="00681720"/>
    <w:rsid w:val="00682943"/>
    <w:rsid w:val="006959B7"/>
    <w:rsid w:val="00695DF7"/>
    <w:rsid w:val="00697E2E"/>
    <w:rsid w:val="006A67F0"/>
    <w:rsid w:val="006A6DD4"/>
    <w:rsid w:val="006B1EBB"/>
    <w:rsid w:val="006B2D08"/>
    <w:rsid w:val="006B6930"/>
    <w:rsid w:val="006C0515"/>
    <w:rsid w:val="006C1CFA"/>
    <w:rsid w:val="006C27B1"/>
    <w:rsid w:val="006C4D7A"/>
    <w:rsid w:val="006C5118"/>
    <w:rsid w:val="006C5119"/>
    <w:rsid w:val="006D3296"/>
    <w:rsid w:val="006D4C81"/>
    <w:rsid w:val="006D5F49"/>
    <w:rsid w:val="006D7013"/>
    <w:rsid w:val="006D7EBF"/>
    <w:rsid w:val="006E34C1"/>
    <w:rsid w:val="006E68C5"/>
    <w:rsid w:val="006E6B90"/>
    <w:rsid w:val="006E6EBD"/>
    <w:rsid w:val="006F5374"/>
    <w:rsid w:val="006F6F48"/>
    <w:rsid w:val="0070606B"/>
    <w:rsid w:val="0070707E"/>
    <w:rsid w:val="007117EE"/>
    <w:rsid w:val="00714F18"/>
    <w:rsid w:val="007152E9"/>
    <w:rsid w:val="00721FE1"/>
    <w:rsid w:val="0072335F"/>
    <w:rsid w:val="00725674"/>
    <w:rsid w:val="007257E9"/>
    <w:rsid w:val="0072600B"/>
    <w:rsid w:val="00731364"/>
    <w:rsid w:val="00743549"/>
    <w:rsid w:val="0074356C"/>
    <w:rsid w:val="00743C1D"/>
    <w:rsid w:val="007502FC"/>
    <w:rsid w:val="00750694"/>
    <w:rsid w:val="0075139F"/>
    <w:rsid w:val="00751B98"/>
    <w:rsid w:val="00756584"/>
    <w:rsid w:val="007569B6"/>
    <w:rsid w:val="007612A6"/>
    <w:rsid w:val="00761A81"/>
    <w:rsid w:val="007628A9"/>
    <w:rsid w:val="00763749"/>
    <w:rsid w:val="00770CAA"/>
    <w:rsid w:val="00771732"/>
    <w:rsid w:val="00772806"/>
    <w:rsid w:val="0077320E"/>
    <w:rsid w:val="007743F5"/>
    <w:rsid w:val="0077626A"/>
    <w:rsid w:val="007762C7"/>
    <w:rsid w:val="00776A71"/>
    <w:rsid w:val="00783F4A"/>
    <w:rsid w:val="00787CFB"/>
    <w:rsid w:val="0079509B"/>
    <w:rsid w:val="007955F4"/>
    <w:rsid w:val="007A10C5"/>
    <w:rsid w:val="007A6731"/>
    <w:rsid w:val="007B01D8"/>
    <w:rsid w:val="007B047C"/>
    <w:rsid w:val="007B2133"/>
    <w:rsid w:val="007B2DEE"/>
    <w:rsid w:val="007B2F25"/>
    <w:rsid w:val="007B4D98"/>
    <w:rsid w:val="007B78FE"/>
    <w:rsid w:val="007C0F1A"/>
    <w:rsid w:val="007C6C4C"/>
    <w:rsid w:val="007D1E42"/>
    <w:rsid w:val="007D79F8"/>
    <w:rsid w:val="007D7D62"/>
    <w:rsid w:val="007E0EE6"/>
    <w:rsid w:val="007F3948"/>
    <w:rsid w:val="007F51D3"/>
    <w:rsid w:val="00801139"/>
    <w:rsid w:val="0080191C"/>
    <w:rsid w:val="0080222A"/>
    <w:rsid w:val="008034B8"/>
    <w:rsid w:val="0080437D"/>
    <w:rsid w:val="008053B7"/>
    <w:rsid w:val="008059E6"/>
    <w:rsid w:val="00807CAD"/>
    <w:rsid w:val="00811DE2"/>
    <w:rsid w:val="00813D6C"/>
    <w:rsid w:val="008141B0"/>
    <w:rsid w:val="00814D7A"/>
    <w:rsid w:val="00815167"/>
    <w:rsid w:val="0081590C"/>
    <w:rsid w:val="008167C6"/>
    <w:rsid w:val="008210D9"/>
    <w:rsid w:val="00821CE3"/>
    <w:rsid w:val="008251CA"/>
    <w:rsid w:val="00825333"/>
    <w:rsid w:val="008305EB"/>
    <w:rsid w:val="00832403"/>
    <w:rsid w:val="0084055B"/>
    <w:rsid w:val="00846F51"/>
    <w:rsid w:val="00850513"/>
    <w:rsid w:val="00852FF3"/>
    <w:rsid w:val="00853185"/>
    <w:rsid w:val="00855B41"/>
    <w:rsid w:val="0085601E"/>
    <w:rsid w:val="00861B21"/>
    <w:rsid w:val="008647A7"/>
    <w:rsid w:val="0086577C"/>
    <w:rsid w:val="008711C5"/>
    <w:rsid w:val="00872117"/>
    <w:rsid w:val="00872612"/>
    <w:rsid w:val="008729D1"/>
    <w:rsid w:val="00881519"/>
    <w:rsid w:val="0088157E"/>
    <w:rsid w:val="00881D28"/>
    <w:rsid w:val="00886E37"/>
    <w:rsid w:val="00890EEE"/>
    <w:rsid w:val="008937B9"/>
    <w:rsid w:val="00893D8C"/>
    <w:rsid w:val="00895B1D"/>
    <w:rsid w:val="008A158F"/>
    <w:rsid w:val="008A2CE9"/>
    <w:rsid w:val="008A43E9"/>
    <w:rsid w:val="008A4457"/>
    <w:rsid w:val="008A52CE"/>
    <w:rsid w:val="008A6A43"/>
    <w:rsid w:val="008B1737"/>
    <w:rsid w:val="008C1846"/>
    <w:rsid w:val="008D386D"/>
    <w:rsid w:val="008D4B5E"/>
    <w:rsid w:val="008E0C8B"/>
    <w:rsid w:val="008E4B4F"/>
    <w:rsid w:val="008E78DC"/>
    <w:rsid w:val="008F098D"/>
    <w:rsid w:val="008F28C8"/>
    <w:rsid w:val="008F6E5F"/>
    <w:rsid w:val="00900DEB"/>
    <w:rsid w:val="0090362E"/>
    <w:rsid w:val="00905B31"/>
    <w:rsid w:val="00907299"/>
    <w:rsid w:val="00907AC7"/>
    <w:rsid w:val="00911370"/>
    <w:rsid w:val="00912F16"/>
    <w:rsid w:val="00921CD8"/>
    <w:rsid w:val="00922058"/>
    <w:rsid w:val="00923745"/>
    <w:rsid w:val="009239CA"/>
    <w:rsid w:val="00926265"/>
    <w:rsid w:val="00930BE9"/>
    <w:rsid w:val="00930F6F"/>
    <w:rsid w:val="009341CF"/>
    <w:rsid w:val="00935C7B"/>
    <w:rsid w:val="00940388"/>
    <w:rsid w:val="00940F61"/>
    <w:rsid w:val="00942D1E"/>
    <w:rsid w:val="0094767B"/>
    <w:rsid w:val="00947D5C"/>
    <w:rsid w:val="009500A3"/>
    <w:rsid w:val="0095410D"/>
    <w:rsid w:val="0095570A"/>
    <w:rsid w:val="009571B0"/>
    <w:rsid w:val="00963AD7"/>
    <w:rsid w:val="00966897"/>
    <w:rsid w:val="009739B9"/>
    <w:rsid w:val="00974BD3"/>
    <w:rsid w:val="00982EC3"/>
    <w:rsid w:val="00984006"/>
    <w:rsid w:val="00984F3F"/>
    <w:rsid w:val="00985A94"/>
    <w:rsid w:val="00985C18"/>
    <w:rsid w:val="00995990"/>
    <w:rsid w:val="00997855"/>
    <w:rsid w:val="009A058C"/>
    <w:rsid w:val="009A096B"/>
    <w:rsid w:val="009A0ACA"/>
    <w:rsid w:val="009A287C"/>
    <w:rsid w:val="009A5DFA"/>
    <w:rsid w:val="009A76CB"/>
    <w:rsid w:val="009A7E7A"/>
    <w:rsid w:val="009B1433"/>
    <w:rsid w:val="009B1A74"/>
    <w:rsid w:val="009B3B64"/>
    <w:rsid w:val="009B533F"/>
    <w:rsid w:val="009B6CE0"/>
    <w:rsid w:val="009D61DF"/>
    <w:rsid w:val="009D6E44"/>
    <w:rsid w:val="009E1493"/>
    <w:rsid w:val="009E29CF"/>
    <w:rsid w:val="009E4AB4"/>
    <w:rsid w:val="009F0404"/>
    <w:rsid w:val="009F437D"/>
    <w:rsid w:val="009F76E0"/>
    <w:rsid w:val="00A019AF"/>
    <w:rsid w:val="00A01A60"/>
    <w:rsid w:val="00A01FBA"/>
    <w:rsid w:val="00A0402A"/>
    <w:rsid w:val="00A0768B"/>
    <w:rsid w:val="00A1498E"/>
    <w:rsid w:val="00A25A93"/>
    <w:rsid w:val="00A25CA9"/>
    <w:rsid w:val="00A418F1"/>
    <w:rsid w:val="00A438EA"/>
    <w:rsid w:val="00A51C77"/>
    <w:rsid w:val="00A52C32"/>
    <w:rsid w:val="00A540D6"/>
    <w:rsid w:val="00A656ED"/>
    <w:rsid w:val="00A664EF"/>
    <w:rsid w:val="00A6716D"/>
    <w:rsid w:val="00A7266B"/>
    <w:rsid w:val="00A74C7B"/>
    <w:rsid w:val="00A74ED8"/>
    <w:rsid w:val="00A75323"/>
    <w:rsid w:val="00A76254"/>
    <w:rsid w:val="00A808DA"/>
    <w:rsid w:val="00A808E9"/>
    <w:rsid w:val="00A81965"/>
    <w:rsid w:val="00A84904"/>
    <w:rsid w:val="00A8578C"/>
    <w:rsid w:val="00A8711E"/>
    <w:rsid w:val="00A9277C"/>
    <w:rsid w:val="00A93AD5"/>
    <w:rsid w:val="00A97F59"/>
    <w:rsid w:val="00AA22D4"/>
    <w:rsid w:val="00AA642A"/>
    <w:rsid w:val="00AA6C48"/>
    <w:rsid w:val="00AA7D0F"/>
    <w:rsid w:val="00AB0786"/>
    <w:rsid w:val="00AB218C"/>
    <w:rsid w:val="00AB33EC"/>
    <w:rsid w:val="00AB396F"/>
    <w:rsid w:val="00AB4AAA"/>
    <w:rsid w:val="00AB51DE"/>
    <w:rsid w:val="00AB7C56"/>
    <w:rsid w:val="00AC1FC7"/>
    <w:rsid w:val="00AC315C"/>
    <w:rsid w:val="00AC6C96"/>
    <w:rsid w:val="00AD05E7"/>
    <w:rsid w:val="00AD45AD"/>
    <w:rsid w:val="00AD46ED"/>
    <w:rsid w:val="00AD4AF5"/>
    <w:rsid w:val="00AF26DF"/>
    <w:rsid w:val="00AF2E94"/>
    <w:rsid w:val="00AF694E"/>
    <w:rsid w:val="00B00587"/>
    <w:rsid w:val="00B034EA"/>
    <w:rsid w:val="00B1196A"/>
    <w:rsid w:val="00B1395E"/>
    <w:rsid w:val="00B1649D"/>
    <w:rsid w:val="00B2340D"/>
    <w:rsid w:val="00B23854"/>
    <w:rsid w:val="00B25A7C"/>
    <w:rsid w:val="00B26F9B"/>
    <w:rsid w:val="00B27BEC"/>
    <w:rsid w:val="00B318C7"/>
    <w:rsid w:val="00B35779"/>
    <w:rsid w:val="00B35E8F"/>
    <w:rsid w:val="00B40BAC"/>
    <w:rsid w:val="00B4393D"/>
    <w:rsid w:val="00B44AD3"/>
    <w:rsid w:val="00B45455"/>
    <w:rsid w:val="00B456EA"/>
    <w:rsid w:val="00B51112"/>
    <w:rsid w:val="00B53059"/>
    <w:rsid w:val="00B56C4E"/>
    <w:rsid w:val="00B57EC7"/>
    <w:rsid w:val="00B61309"/>
    <w:rsid w:val="00B6398C"/>
    <w:rsid w:val="00B66DB0"/>
    <w:rsid w:val="00B74330"/>
    <w:rsid w:val="00B763F3"/>
    <w:rsid w:val="00B82AF7"/>
    <w:rsid w:val="00B853CB"/>
    <w:rsid w:val="00B85DCE"/>
    <w:rsid w:val="00B86630"/>
    <w:rsid w:val="00B868D2"/>
    <w:rsid w:val="00B872E6"/>
    <w:rsid w:val="00B90BD2"/>
    <w:rsid w:val="00B91A87"/>
    <w:rsid w:val="00B9268B"/>
    <w:rsid w:val="00B936AF"/>
    <w:rsid w:val="00B96AE6"/>
    <w:rsid w:val="00B96DB0"/>
    <w:rsid w:val="00B97C9D"/>
    <w:rsid w:val="00BA088A"/>
    <w:rsid w:val="00BA507E"/>
    <w:rsid w:val="00BA5EDF"/>
    <w:rsid w:val="00BB044E"/>
    <w:rsid w:val="00BB090E"/>
    <w:rsid w:val="00BB3287"/>
    <w:rsid w:val="00BB545C"/>
    <w:rsid w:val="00BB6B7D"/>
    <w:rsid w:val="00BC2B5E"/>
    <w:rsid w:val="00BC4D40"/>
    <w:rsid w:val="00BC5158"/>
    <w:rsid w:val="00BC562D"/>
    <w:rsid w:val="00BC5B46"/>
    <w:rsid w:val="00BD2EBB"/>
    <w:rsid w:val="00BD51FA"/>
    <w:rsid w:val="00BD6128"/>
    <w:rsid w:val="00BE237E"/>
    <w:rsid w:val="00BE2E79"/>
    <w:rsid w:val="00BE55D4"/>
    <w:rsid w:val="00BF4B4B"/>
    <w:rsid w:val="00BF65AC"/>
    <w:rsid w:val="00BF6A62"/>
    <w:rsid w:val="00C173AE"/>
    <w:rsid w:val="00C2215F"/>
    <w:rsid w:val="00C2354E"/>
    <w:rsid w:val="00C265BA"/>
    <w:rsid w:val="00C2725B"/>
    <w:rsid w:val="00C31691"/>
    <w:rsid w:val="00C32660"/>
    <w:rsid w:val="00C34848"/>
    <w:rsid w:val="00C37AF4"/>
    <w:rsid w:val="00C41AED"/>
    <w:rsid w:val="00C46B1F"/>
    <w:rsid w:val="00C533E0"/>
    <w:rsid w:val="00C604D0"/>
    <w:rsid w:val="00C73F72"/>
    <w:rsid w:val="00C74F2B"/>
    <w:rsid w:val="00C80095"/>
    <w:rsid w:val="00C8184E"/>
    <w:rsid w:val="00C87E46"/>
    <w:rsid w:val="00C90805"/>
    <w:rsid w:val="00CA5598"/>
    <w:rsid w:val="00CB139E"/>
    <w:rsid w:val="00CB1792"/>
    <w:rsid w:val="00CB5101"/>
    <w:rsid w:val="00CB73A3"/>
    <w:rsid w:val="00CC2127"/>
    <w:rsid w:val="00CC45D5"/>
    <w:rsid w:val="00CC743D"/>
    <w:rsid w:val="00CC7756"/>
    <w:rsid w:val="00CD0931"/>
    <w:rsid w:val="00CD26E6"/>
    <w:rsid w:val="00CD40F2"/>
    <w:rsid w:val="00CD7B8D"/>
    <w:rsid w:val="00CE030C"/>
    <w:rsid w:val="00CE24FD"/>
    <w:rsid w:val="00CE3E36"/>
    <w:rsid w:val="00CE3F1E"/>
    <w:rsid w:val="00CE4E7D"/>
    <w:rsid w:val="00CE7EFB"/>
    <w:rsid w:val="00CF0FC9"/>
    <w:rsid w:val="00CF1B97"/>
    <w:rsid w:val="00CF2649"/>
    <w:rsid w:val="00CF67F4"/>
    <w:rsid w:val="00D00D80"/>
    <w:rsid w:val="00D02D57"/>
    <w:rsid w:val="00D02E5E"/>
    <w:rsid w:val="00D050D4"/>
    <w:rsid w:val="00D06227"/>
    <w:rsid w:val="00D128FF"/>
    <w:rsid w:val="00D12940"/>
    <w:rsid w:val="00D12BDB"/>
    <w:rsid w:val="00D14F70"/>
    <w:rsid w:val="00D17611"/>
    <w:rsid w:val="00D20F69"/>
    <w:rsid w:val="00D22370"/>
    <w:rsid w:val="00D2278D"/>
    <w:rsid w:val="00D24C50"/>
    <w:rsid w:val="00D30783"/>
    <w:rsid w:val="00D421AE"/>
    <w:rsid w:val="00D43F44"/>
    <w:rsid w:val="00D45CE8"/>
    <w:rsid w:val="00D530BF"/>
    <w:rsid w:val="00D54BC3"/>
    <w:rsid w:val="00D5714C"/>
    <w:rsid w:val="00D6056D"/>
    <w:rsid w:val="00D621D2"/>
    <w:rsid w:val="00D66EB1"/>
    <w:rsid w:val="00D67617"/>
    <w:rsid w:val="00D703E2"/>
    <w:rsid w:val="00D70604"/>
    <w:rsid w:val="00D8236C"/>
    <w:rsid w:val="00D85541"/>
    <w:rsid w:val="00D85996"/>
    <w:rsid w:val="00D87018"/>
    <w:rsid w:val="00D878FB"/>
    <w:rsid w:val="00D91A8F"/>
    <w:rsid w:val="00D9581E"/>
    <w:rsid w:val="00D95F6C"/>
    <w:rsid w:val="00D96DA9"/>
    <w:rsid w:val="00D96FBA"/>
    <w:rsid w:val="00DA0E69"/>
    <w:rsid w:val="00DA1210"/>
    <w:rsid w:val="00DA30C3"/>
    <w:rsid w:val="00DA3698"/>
    <w:rsid w:val="00DB1365"/>
    <w:rsid w:val="00DC1944"/>
    <w:rsid w:val="00DC4CDC"/>
    <w:rsid w:val="00DC4F19"/>
    <w:rsid w:val="00DC5625"/>
    <w:rsid w:val="00DD1D50"/>
    <w:rsid w:val="00DD2217"/>
    <w:rsid w:val="00DD267E"/>
    <w:rsid w:val="00DD3487"/>
    <w:rsid w:val="00DD79E0"/>
    <w:rsid w:val="00DE18FC"/>
    <w:rsid w:val="00DE7167"/>
    <w:rsid w:val="00DF1109"/>
    <w:rsid w:val="00DF23D2"/>
    <w:rsid w:val="00DF44CB"/>
    <w:rsid w:val="00DF4A3F"/>
    <w:rsid w:val="00E05A38"/>
    <w:rsid w:val="00E07499"/>
    <w:rsid w:val="00E07E1E"/>
    <w:rsid w:val="00E12B6F"/>
    <w:rsid w:val="00E160DD"/>
    <w:rsid w:val="00E27374"/>
    <w:rsid w:val="00E30E81"/>
    <w:rsid w:val="00E35B8C"/>
    <w:rsid w:val="00E3761A"/>
    <w:rsid w:val="00E44692"/>
    <w:rsid w:val="00E50231"/>
    <w:rsid w:val="00E535AD"/>
    <w:rsid w:val="00E6445D"/>
    <w:rsid w:val="00E714A3"/>
    <w:rsid w:val="00E73011"/>
    <w:rsid w:val="00E73723"/>
    <w:rsid w:val="00E75223"/>
    <w:rsid w:val="00E7705D"/>
    <w:rsid w:val="00E8740B"/>
    <w:rsid w:val="00E87EE7"/>
    <w:rsid w:val="00E94D6D"/>
    <w:rsid w:val="00EA25CE"/>
    <w:rsid w:val="00EA28A9"/>
    <w:rsid w:val="00EA4074"/>
    <w:rsid w:val="00EA6521"/>
    <w:rsid w:val="00EA6EA8"/>
    <w:rsid w:val="00EB2BB0"/>
    <w:rsid w:val="00EB6EDE"/>
    <w:rsid w:val="00EC4B92"/>
    <w:rsid w:val="00ED05DA"/>
    <w:rsid w:val="00ED7554"/>
    <w:rsid w:val="00EE24CF"/>
    <w:rsid w:val="00EE2E89"/>
    <w:rsid w:val="00EE2F90"/>
    <w:rsid w:val="00EE3697"/>
    <w:rsid w:val="00EF0AC6"/>
    <w:rsid w:val="00EF5D2A"/>
    <w:rsid w:val="00EF6B33"/>
    <w:rsid w:val="00EF7231"/>
    <w:rsid w:val="00F00F45"/>
    <w:rsid w:val="00F033C3"/>
    <w:rsid w:val="00F045AB"/>
    <w:rsid w:val="00F10361"/>
    <w:rsid w:val="00F10694"/>
    <w:rsid w:val="00F10A36"/>
    <w:rsid w:val="00F126E3"/>
    <w:rsid w:val="00F15432"/>
    <w:rsid w:val="00F1707B"/>
    <w:rsid w:val="00F2005C"/>
    <w:rsid w:val="00F214CA"/>
    <w:rsid w:val="00F2471B"/>
    <w:rsid w:val="00F24756"/>
    <w:rsid w:val="00F24AD4"/>
    <w:rsid w:val="00F26D9B"/>
    <w:rsid w:val="00F27152"/>
    <w:rsid w:val="00F42394"/>
    <w:rsid w:val="00F42E82"/>
    <w:rsid w:val="00F51136"/>
    <w:rsid w:val="00F527DD"/>
    <w:rsid w:val="00F52F37"/>
    <w:rsid w:val="00F538A6"/>
    <w:rsid w:val="00F55506"/>
    <w:rsid w:val="00F70858"/>
    <w:rsid w:val="00F7479E"/>
    <w:rsid w:val="00F75DFF"/>
    <w:rsid w:val="00F7760C"/>
    <w:rsid w:val="00F90886"/>
    <w:rsid w:val="00F9586A"/>
    <w:rsid w:val="00F95E0F"/>
    <w:rsid w:val="00F96AA3"/>
    <w:rsid w:val="00FA471A"/>
    <w:rsid w:val="00FA5028"/>
    <w:rsid w:val="00FB4E86"/>
    <w:rsid w:val="00FB5687"/>
    <w:rsid w:val="00FB6E51"/>
    <w:rsid w:val="00FC0624"/>
    <w:rsid w:val="00FC20E9"/>
    <w:rsid w:val="00FC3AB6"/>
    <w:rsid w:val="00FD34D4"/>
    <w:rsid w:val="00FD5877"/>
    <w:rsid w:val="00FE251D"/>
    <w:rsid w:val="00FE3C06"/>
    <w:rsid w:val="00FE7629"/>
    <w:rsid w:val="00FF3354"/>
    <w:rsid w:val="00FF52F3"/>
    <w:rsid w:val="00FF5B3D"/>
    <w:rsid w:val="00FF67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4CB77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D30783"/>
    <w:pPr>
      <w:keepNext/>
      <w:outlineLvl w:val="1"/>
    </w:pPr>
    <w:rPr>
      <w:rFonts w:ascii="Arial" w:eastAsia="Times New Roman" w:hAnsi="Arial" w:cs="Times New Roman"/>
      <w:i/>
      <w:iCs/>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848"/>
    <w:pPr>
      <w:ind w:left="720"/>
      <w:contextualSpacing/>
    </w:pPr>
  </w:style>
  <w:style w:type="character" w:customStyle="1" w:styleId="Heading2Char">
    <w:name w:val="Heading 2 Char"/>
    <w:basedOn w:val="DefaultParagraphFont"/>
    <w:link w:val="Heading2"/>
    <w:rsid w:val="00D30783"/>
    <w:rPr>
      <w:rFonts w:ascii="Arial" w:eastAsia="Times New Roman" w:hAnsi="Arial" w:cs="Times New Roman"/>
      <w:i/>
      <w:iCs/>
      <w:sz w:val="20"/>
      <w:szCs w:val="20"/>
      <w:u w:val="single"/>
      <w:lang w:eastAsia="en-GB"/>
    </w:rPr>
  </w:style>
  <w:style w:type="character" w:styleId="Hyperlink">
    <w:name w:val="Hyperlink"/>
    <w:basedOn w:val="DefaultParagraphFont"/>
    <w:unhideWhenUsed/>
    <w:rsid w:val="00D30783"/>
    <w:rPr>
      <w:color w:val="0000FF"/>
      <w:u w:val="single"/>
    </w:rPr>
  </w:style>
  <w:style w:type="paragraph" w:styleId="FootnoteText">
    <w:name w:val="footnote text"/>
    <w:basedOn w:val="Normal"/>
    <w:link w:val="FootnoteTextChar"/>
    <w:semiHidden/>
    <w:rsid w:val="00D30783"/>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30783"/>
    <w:rPr>
      <w:rFonts w:ascii="Times New Roman" w:eastAsia="Times New Roman" w:hAnsi="Times New Roman" w:cs="Times New Roman"/>
      <w:sz w:val="20"/>
      <w:szCs w:val="20"/>
      <w:lang w:eastAsia="en-GB"/>
    </w:rPr>
  </w:style>
  <w:style w:type="paragraph" w:customStyle="1" w:styleId="t1">
    <w:name w:val="t1"/>
    <w:basedOn w:val="Normal"/>
    <w:rsid w:val="00D30783"/>
    <w:pPr>
      <w:widowControl w:val="0"/>
    </w:pPr>
    <w:rPr>
      <w:rFonts w:ascii="Times New Roman" w:eastAsia="Times New Roman" w:hAnsi="Times New Roman" w:cs="Times New Roman"/>
      <w:szCs w:val="20"/>
    </w:rPr>
  </w:style>
  <w:style w:type="character" w:customStyle="1" w:styleId="documentbody">
    <w:name w:val="documentbody"/>
    <w:basedOn w:val="DefaultParagraphFont"/>
    <w:rsid w:val="00D30783"/>
  </w:style>
  <w:style w:type="character" w:styleId="FootnoteReference">
    <w:name w:val="footnote reference"/>
    <w:basedOn w:val="DefaultParagraphFont"/>
    <w:unhideWhenUsed/>
    <w:rsid w:val="00110FD7"/>
    <w:rPr>
      <w:vertAlign w:val="superscript"/>
    </w:rPr>
  </w:style>
  <w:style w:type="paragraph" w:styleId="Header">
    <w:name w:val="header"/>
    <w:basedOn w:val="Normal"/>
    <w:link w:val="HeaderChar"/>
    <w:uiPriority w:val="99"/>
    <w:unhideWhenUsed/>
    <w:rsid w:val="0030087B"/>
    <w:pPr>
      <w:tabs>
        <w:tab w:val="center" w:pos="4513"/>
        <w:tab w:val="right" w:pos="9026"/>
      </w:tabs>
    </w:pPr>
  </w:style>
  <w:style w:type="character" w:customStyle="1" w:styleId="HeaderChar">
    <w:name w:val="Header Char"/>
    <w:basedOn w:val="DefaultParagraphFont"/>
    <w:link w:val="Header"/>
    <w:uiPriority w:val="99"/>
    <w:rsid w:val="0030087B"/>
  </w:style>
  <w:style w:type="paragraph" w:styleId="Footer">
    <w:name w:val="footer"/>
    <w:basedOn w:val="Normal"/>
    <w:link w:val="FooterChar"/>
    <w:uiPriority w:val="99"/>
    <w:unhideWhenUsed/>
    <w:rsid w:val="0030087B"/>
    <w:pPr>
      <w:tabs>
        <w:tab w:val="center" w:pos="4513"/>
        <w:tab w:val="right" w:pos="9026"/>
      </w:tabs>
    </w:pPr>
  </w:style>
  <w:style w:type="character" w:customStyle="1" w:styleId="FooterChar">
    <w:name w:val="Footer Char"/>
    <w:basedOn w:val="DefaultParagraphFont"/>
    <w:link w:val="Footer"/>
    <w:uiPriority w:val="99"/>
    <w:rsid w:val="0030087B"/>
  </w:style>
  <w:style w:type="paragraph" w:styleId="EndnoteText">
    <w:name w:val="endnote text"/>
    <w:basedOn w:val="Normal"/>
    <w:link w:val="EndnoteTextChar"/>
    <w:uiPriority w:val="99"/>
    <w:unhideWhenUsed/>
    <w:rsid w:val="003D65EB"/>
  </w:style>
  <w:style w:type="character" w:customStyle="1" w:styleId="EndnoteTextChar">
    <w:name w:val="Endnote Text Char"/>
    <w:basedOn w:val="DefaultParagraphFont"/>
    <w:link w:val="EndnoteText"/>
    <w:uiPriority w:val="99"/>
    <w:rsid w:val="003D65EB"/>
  </w:style>
  <w:style w:type="character" w:styleId="EndnoteReference">
    <w:name w:val="endnote reference"/>
    <w:basedOn w:val="DefaultParagraphFont"/>
    <w:uiPriority w:val="99"/>
    <w:unhideWhenUsed/>
    <w:rsid w:val="003D65EB"/>
    <w:rPr>
      <w:vertAlign w:val="superscript"/>
    </w:rPr>
  </w:style>
  <w:style w:type="paragraph" w:styleId="DocumentMap">
    <w:name w:val="Document Map"/>
    <w:basedOn w:val="Normal"/>
    <w:link w:val="DocumentMapChar"/>
    <w:uiPriority w:val="99"/>
    <w:semiHidden/>
    <w:unhideWhenUsed/>
    <w:rsid w:val="00CC7756"/>
    <w:rPr>
      <w:rFonts w:ascii="Times New Roman" w:hAnsi="Times New Roman" w:cs="Times New Roman"/>
    </w:rPr>
  </w:style>
  <w:style w:type="character" w:customStyle="1" w:styleId="DocumentMapChar">
    <w:name w:val="Document Map Char"/>
    <w:basedOn w:val="DefaultParagraphFont"/>
    <w:link w:val="DocumentMap"/>
    <w:uiPriority w:val="99"/>
    <w:semiHidden/>
    <w:rsid w:val="00CC77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607710">
      <w:bodyDiv w:val="1"/>
      <w:marLeft w:val="0"/>
      <w:marRight w:val="0"/>
      <w:marTop w:val="0"/>
      <w:marBottom w:val="0"/>
      <w:divBdr>
        <w:top w:val="none" w:sz="0" w:space="0" w:color="auto"/>
        <w:left w:val="none" w:sz="0" w:space="0" w:color="auto"/>
        <w:bottom w:val="none" w:sz="0" w:space="0" w:color="auto"/>
        <w:right w:val="none" w:sz="0" w:space="0" w:color="auto"/>
      </w:divBdr>
      <w:divsChild>
        <w:div w:id="170225192">
          <w:marLeft w:val="0"/>
          <w:marRight w:val="0"/>
          <w:marTop w:val="0"/>
          <w:marBottom w:val="0"/>
          <w:divBdr>
            <w:top w:val="none" w:sz="0" w:space="0" w:color="auto"/>
            <w:left w:val="none" w:sz="0" w:space="0" w:color="auto"/>
            <w:bottom w:val="none" w:sz="0" w:space="0" w:color="auto"/>
            <w:right w:val="none" w:sz="0" w:space="0" w:color="auto"/>
          </w:divBdr>
          <w:divsChild>
            <w:div w:id="1289891710">
              <w:marLeft w:val="0"/>
              <w:marRight w:val="0"/>
              <w:marTop w:val="0"/>
              <w:marBottom w:val="0"/>
              <w:divBdr>
                <w:top w:val="none" w:sz="0" w:space="0" w:color="auto"/>
                <w:left w:val="none" w:sz="0" w:space="0" w:color="auto"/>
                <w:bottom w:val="none" w:sz="0" w:space="0" w:color="auto"/>
                <w:right w:val="none" w:sz="0" w:space="0" w:color="auto"/>
              </w:divBdr>
              <w:divsChild>
                <w:div w:id="50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7428">
      <w:bodyDiv w:val="1"/>
      <w:marLeft w:val="0"/>
      <w:marRight w:val="0"/>
      <w:marTop w:val="0"/>
      <w:marBottom w:val="0"/>
      <w:divBdr>
        <w:top w:val="none" w:sz="0" w:space="0" w:color="auto"/>
        <w:left w:val="none" w:sz="0" w:space="0" w:color="auto"/>
        <w:bottom w:val="none" w:sz="0" w:space="0" w:color="auto"/>
        <w:right w:val="none" w:sz="0" w:space="0" w:color="auto"/>
      </w:divBdr>
    </w:div>
    <w:div w:id="1484354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2BA90F-CBF5-2448-A597-9B8B7CF3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6760</Words>
  <Characters>38534</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Warren Barr</dc:creator>
  <cp:keywords/>
  <dc:description/>
  <cp:lastModifiedBy>Professor Warren Barr</cp:lastModifiedBy>
  <cp:revision>2</cp:revision>
  <cp:lastPrinted>2016-04-04T08:56:00Z</cp:lastPrinted>
  <dcterms:created xsi:type="dcterms:W3CDTF">2016-11-11T15:13:00Z</dcterms:created>
  <dcterms:modified xsi:type="dcterms:W3CDTF">2016-11-11T15:13:00Z</dcterms:modified>
</cp:coreProperties>
</file>