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20153D0" w14:textId="3D5EE04C" w:rsidR="004867C3" w:rsidRDefault="005D5016" w:rsidP="00B541A2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0A771E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EL ROL DE </w:t>
      </w:r>
      <w:r w:rsidR="000E202A" w:rsidRPr="000A771E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DERECHO INTERNACIONAL DENTRO DEL</w:t>
      </w:r>
      <w:r w:rsidRPr="000A771E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DESARROLLO SOSTENIBLE</w:t>
      </w:r>
      <w:r w:rsidR="00AF05CE" w:rsidRPr="000A771E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Y LA AGENDA 2030</w:t>
      </w:r>
    </w:p>
    <w:p w14:paraId="65F8413F" w14:textId="77777777" w:rsidR="0075639A" w:rsidRPr="000A771E" w:rsidRDefault="0075639A" w:rsidP="00B541A2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</w:p>
    <w:p w14:paraId="7C57461F" w14:textId="3B0E1B17" w:rsidR="000E202A" w:rsidRPr="00465CD8" w:rsidRDefault="000E202A" w:rsidP="00B541A2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65C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The Role of International Law </w:t>
      </w:r>
      <w:r w:rsidR="00AF05CE" w:rsidRPr="00465C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in </w:t>
      </w:r>
      <w:r w:rsidRPr="00465C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Sustainable Development</w:t>
      </w:r>
      <w:r w:rsidR="00AF05CE" w:rsidRPr="00465C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and Agenda 2030</w:t>
      </w:r>
    </w:p>
    <w:p w14:paraId="5E510F36" w14:textId="72A64B99" w:rsidR="005D5016" w:rsidRPr="00465CD8" w:rsidRDefault="00A24BD8" w:rsidP="00A24BD8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Gregory </w:t>
      </w:r>
      <w:r w:rsidRPr="00465CD8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Messenger</w:t>
      </w:r>
    </w:p>
    <w:p w14:paraId="70AF1122" w14:textId="06ED39DB" w:rsidR="00A24BD8" w:rsidRPr="00465CD8" w:rsidRDefault="00A24BD8" w:rsidP="00A24BD8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CD8">
        <w:rPr>
          <w:rFonts w:ascii="Times New Roman" w:hAnsi="Times New Roman" w:cs="Times New Roman"/>
          <w:color w:val="000000" w:themeColor="text1"/>
          <w:sz w:val="24"/>
          <w:szCs w:val="24"/>
        </w:rPr>
        <w:t>Lecturer in Law</w:t>
      </w:r>
    </w:p>
    <w:p w14:paraId="07313C91" w14:textId="55D13C5B" w:rsidR="00A24BD8" w:rsidRPr="00465CD8" w:rsidRDefault="00A24BD8" w:rsidP="00A24BD8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CD8">
        <w:rPr>
          <w:rFonts w:ascii="Times New Roman" w:hAnsi="Times New Roman" w:cs="Times New Roman"/>
          <w:color w:val="000000" w:themeColor="text1"/>
          <w:sz w:val="24"/>
          <w:szCs w:val="24"/>
        </w:rPr>
        <w:t>University of Liverpool</w:t>
      </w:r>
    </w:p>
    <w:p w14:paraId="318B76AE" w14:textId="77777777" w:rsidR="00463B14" w:rsidRPr="00465CD8" w:rsidRDefault="00463B14" w:rsidP="005D5016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AEAE0" w14:textId="19577690" w:rsidR="002D2EA5" w:rsidRPr="002D2EA5" w:rsidRDefault="002D2EA5" w:rsidP="002D2EA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2D2EA5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Introducción  </w:t>
      </w:r>
    </w:p>
    <w:p w14:paraId="11FD8503" w14:textId="4A0D655E" w:rsidR="002D2EA5" w:rsidRDefault="00CC36D1" w:rsidP="00CC36D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derecho internacional permite que </w:t>
      </w:r>
      <w:r w:rsidR="009F0C7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Estados </w:t>
      </w:r>
      <w:r w:rsidR="007563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coordin</w:t>
      </w:r>
      <w:r w:rsidR="001A023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</w:t>
      </w:r>
      <w:r w:rsidR="007563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su comportamiento cuando </w:t>
      </w:r>
      <w:r w:rsidR="009F0C7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 enfrentan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9F0C7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retos que no se pueden vencer </w:t>
      </w:r>
      <w:r w:rsidR="007563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por sí </w:t>
      </w:r>
      <w:r w:rsidR="009F0C7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solos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Hay pocos ejemplos más </w:t>
      </w:r>
      <w:r w:rsidR="009F0C7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clarificadores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que el desarrollo sostenible</w:t>
      </w:r>
      <w:r w:rsidR="009F0C7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que necesariamente implica la protección del medio ambiente y la coordinación de políticas económicas. </w:t>
      </w:r>
      <w:r w:rsidR="007563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¿</w:t>
      </w:r>
      <w:r w:rsidR="00476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</w:t>
      </w:r>
      <w:r w:rsidR="00BD740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r w:rsidR="00476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mo puede el derecho internacional apoyar la búsqueda de desarrollo sostenible que </w:t>
      </w:r>
      <w:r w:rsidR="000A43D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incide</w:t>
      </w:r>
      <w:r w:rsidR="00476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varios aspectos de la goberna</w:t>
      </w:r>
      <w:r w:rsidR="000A43D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nza</w:t>
      </w:r>
      <w:r w:rsidR="00476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global si en su forma actual carece coherencia a nivel institucional o </w:t>
      </w:r>
      <w:r w:rsidR="007563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normativ</w:t>
      </w:r>
      <w:r w:rsidR="000A43D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</w:t>
      </w:r>
      <w:r w:rsidR="007563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? </w:t>
      </w:r>
      <w:r w:rsidR="00476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Esta contribución</w:t>
      </w:r>
      <w:r w:rsidR="009459C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propone</w:t>
      </w:r>
      <w:r w:rsidR="00476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que la fragmentación del derecho internacional</w:t>
      </w:r>
      <w:r w:rsidR="009459C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al contrario de lo que podría parecer,</w:t>
      </w:r>
      <w:r w:rsidR="00476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ofrece oportunidades para cumplir los retos actuales sobre desarrollo sostenible </w:t>
      </w:r>
      <w:r w:rsidR="009459C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precisa</w:t>
      </w:r>
      <w:r w:rsidR="00476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mente porque existen conflictos entre</w:t>
      </w:r>
      <w:r w:rsidR="009459C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los</w:t>
      </w:r>
      <w:r w:rsidR="00476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sistemas de gestión globales.</w:t>
      </w:r>
      <w:r w:rsidR="001D345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 examen</w:t>
      </w:r>
      <w:r w:rsidR="00BF2AD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D345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</w:t>
      </w:r>
      <w:r w:rsidR="00BF2AD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cumplimiento de los Objetivos de Desarrollo Sostenible, y en particular, </w:t>
      </w:r>
      <w:r w:rsidR="001D345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</w:t>
      </w:r>
      <w:r w:rsidR="00BF2AD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control de subvenciones </w:t>
      </w:r>
      <w:r w:rsidR="001A023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 la</w:t>
      </w:r>
      <w:r w:rsidR="00BF2AD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pesca, </w:t>
      </w:r>
      <w:r w:rsidR="001D345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permitirá </w:t>
      </w:r>
      <w:r w:rsidR="00BF2AD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identificar el papel que el derecho internacional puede desempeñar en su forma fragmentada</w:t>
      </w:r>
      <w:r w:rsidR="001D345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para este objetivo</w:t>
      </w:r>
      <w:r w:rsidR="00BF2AD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abriendo puertas para un </w:t>
      </w:r>
      <w:r w:rsidR="00BF2AD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«</w:t>
      </w:r>
      <w:r w:rsidR="00BF2AD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multilateralismo pragmático</w:t>
      </w:r>
      <w:r w:rsidR="00BF2AD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»</w:t>
      </w:r>
      <w:r w:rsidR="001A023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6816AF7E" w14:textId="04D9D6F5" w:rsidR="002D2EA5" w:rsidRPr="002D2EA5" w:rsidRDefault="002D2EA5" w:rsidP="002D2EA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2D2EA5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Desarrollo sostenible y la fragmentación de derecho internacional </w:t>
      </w:r>
    </w:p>
    <w:p w14:paraId="44FAA6F1" w14:textId="6B13BE26" w:rsidR="001801C0" w:rsidRPr="000A771E" w:rsidRDefault="00463B14" w:rsidP="006557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desarrollo sostenible ha sido un</w:t>
      </w:r>
      <w:r w:rsidR="007D2EA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 de los</w:t>
      </w:r>
      <w:r w:rsidR="0096391A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objetivo</w:t>
      </w:r>
      <w:r w:rsidR="007D2EA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="0096391A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la comunidad internacional desde hace tres décadas.</w:t>
      </w:r>
      <w:bookmarkStart w:id="0" w:name="_Ref465784096"/>
      <w:r w:rsidR="00360CF1" w:rsidRPr="000A771E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footnoteReference w:id="1"/>
      </w:r>
      <w:bookmarkEnd w:id="0"/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90541B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Definido como un modelo de desarrollo que </w:t>
      </w:r>
      <w:r w:rsidR="007078A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asegura</w:t>
      </w:r>
      <w:r w:rsidR="0090541B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que</w:t>
      </w:r>
      <w:r w:rsidR="007078A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se</w:t>
      </w:r>
      <w:r w:rsidR="0090541B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C6549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«</w:t>
      </w:r>
      <w:r w:rsidR="0065576C" w:rsidRPr="006557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satisfaga las necesidades del presente s</w:t>
      </w:r>
      <w:r w:rsidR="006557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</w:t>
      </w:r>
      <w:r w:rsidR="0065576C" w:rsidRPr="006557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</w:t>
      </w:r>
      <w:r w:rsidR="006557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</w:t>
      </w:r>
      <w:r w:rsidR="0065576C" w:rsidRPr="006557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omprometer la capacidad de las futuras generaciones para satisfacer las</w:t>
      </w:r>
      <w:r w:rsidR="006557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65576C" w:rsidRPr="006557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propias</w:t>
      </w:r>
      <w:r w:rsidR="00C6549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»</w:t>
      </w:r>
      <w:r w:rsidR="003F0D5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3F0D52" w:rsidRPr="000A771E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footnoteReference w:id="2"/>
      </w:r>
      <w:r w:rsidR="008F79E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 desarrollo </w:t>
      </w:r>
      <w:r w:rsidR="003E1B4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sostenible</w:t>
      </w:r>
      <w:r w:rsidR="008F79E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tiene como objeto la integración de políticas económicas, medioambientales y sanitarias para asegurar que beneficios del desarrollo económico se puedan </w:t>
      </w:r>
      <w:r w:rsidR="0090541B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disfrutar </w:t>
      </w:r>
      <w:r w:rsidR="008F79E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tanto </w:t>
      </w:r>
      <w:r w:rsidR="0031212A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por </w:t>
      </w:r>
      <w:r w:rsidR="008F79E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esta </w:t>
      </w:r>
      <w:r w:rsidR="008F79E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generación</w:t>
      </w:r>
      <w:r w:rsidR="0090541B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como </w:t>
      </w:r>
      <w:r w:rsidR="0031212A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por </w:t>
      </w:r>
      <w:r w:rsidR="000F05C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</w:t>
      </w:r>
      <w:r w:rsidR="0090541B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 siguientes</w:t>
      </w:r>
      <w:r w:rsidR="0031212A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lo cual implica entender el desarrollo económico </w:t>
      </w:r>
      <w:r w:rsidR="0031212A" w:rsidRPr="000A771E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latu sensu</w:t>
      </w:r>
      <w:r w:rsidR="0031212A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como parte de un sistema global e intergeneracional</w:t>
      </w:r>
      <w:r w:rsidR="0054712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54712E" w:rsidRPr="000A771E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footnoteReference w:id="3"/>
      </w:r>
    </w:p>
    <w:p w14:paraId="6D5B574D" w14:textId="64D23D00" w:rsidR="00884094" w:rsidRPr="000A771E" w:rsidRDefault="008F79EC" w:rsidP="005D501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Al nivel legal</w:t>
      </w:r>
      <w:r w:rsidR="0057515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801C0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desarrollo sostenible como </w:t>
      </w:r>
      <w:r w:rsidR="00E70D5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concepto dentro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derecho internacional ha ido </w:t>
      </w:r>
      <w:r w:rsidR="003E1B4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cristalizando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57515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lentamente</w:t>
      </w:r>
      <w:r w:rsidR="000F05C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0F05C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</w:t>
      </w:r>
      <w:r w:rsidR="000A43D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sde</w:t>
      </w:r>
      <w:r w:rsidR="00356C6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</w:t>
      </w:r>
      <w:r w:rsidR="00E70D5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Comisión</w:t>
      </w:r>
      <w:r w:rsidR="00356C6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Bruntland en 1987,</w:t>
      </w:r>
      <w:r w:rsidR="00356C6A" w:rsidRPr="000A771E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footnoteReference w:id="4"/>
      </w:r>
      <w:r w:rsidR="00356C6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E95A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Programa 21 </w:t>
      </w:r>
      <w:r w:rsidR="00E70D5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 1992</w:t>
      </w:r>
      <w:r w:rsidR="00E95C5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356C6A" w:rsidRPr="000A771E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footnoteReference w:id="5"/>
      </w:r>
      <w:r w:rsidR="00356C6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E95A1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Declaración del </w:t>
      </w:r>
      <w:r w:rsidR="00E70D5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Milenio,</w:t>
      </w:r>
      <w:r w:rsidR="00E70D59" w:rsidRPr="00E70D59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E70D59" w:rsidRPr="000A771E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footnoteReference w:id="6"/>
      </w:r>
      <w:r w:rsidR="00E70D5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0F05C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="00E70D5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Cumbre Mundial sobre el Desarrollo Sostenible en 2002, hasta </w:t>
      </w:r>
      <w:r w:rsidR="00E31C1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</w:t>
      </w:r>
      <w:r w:rsidR="00E70D5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más</w:t>
      </w:r>
      <w:r w:rsidR="00E31C1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reciente</w:t>
      </w:r>
      <w:r w:rsidR="00E70D5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E31C1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Agenda 2030</w:t>
      </w:r>
      <w:r w:rsidR="00E95C5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bookmarkStart w:id="1" w:name="_Ref465784115"/>
      <w:r w:rsidR="00E95C54" w:rsidRPr="000A771E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footnoteReference w:id="7"/>
      </w:r>
      <w:bookmarkEnd w:id="1"/>
      <w:r w:rsidR="00E31C1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5972F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Aunque el principio de</w:t>
      </w:r>
      <w:r w:rsidR="003F0D5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 w:rsidR="005972F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desarrollo sostenible se </w:t>
      </w:r>
      <w:r w:rsidR="00B901A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encuentra </w:t>
      </w:r>
      <w:r w:rsidR="005972F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numerosos acuerdos internacionales, incluyendo </w:t>
      </w:r>
      <w:r w:rsidR="003F0D5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="005972F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naturaleza comercial</w:t>
      </w:r>
      <w:r w:rsidR="003F0D5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E24E3B" w:rsidRPr="000A771E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footnoteReference w:id="8"/>
      </w:r>
      <w:r w:rsidR="003F0D5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5972F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ha llegado a su </w:t>
      </w:r>
      <w:r w:rsidR="000A43D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punto culminante en el marco</w:t>
      </w:r>
      <w:r w:rsidR="005972F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la Agenda 2030 – un</w:t>
      </w:r>
      <w:r w:rsidR="007C239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="005972F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7C239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declaración </w:t>
      </w:r>
      <w:r w:rsidR="005972F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multilateral sobre los retos principales la comunidad internacional</w:t>
      </w:r>
      <w:r w:rsidR="00465CD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 tiene de cara</w:t>
      </w:r>
      <w:r w:rsidR="005972F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346B03" w:rsidRPr="000A771E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footnoteReference w:id="9"/>
      </w:r>
      <w:r w:rsidR="005972F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Agenda </w:t>
      </w:r>
      <w:r w:rsidR="002A090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está</w:t>
      </w:r>
      <w:r w:rsidR="005972F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compuest</w:t>
      </w:r>
      <w:r w:rsidR="00C1501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="005972F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B7499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por</w:t>
      </w:r>
      <w:r w:rsidR="00C1501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catorce </w:t>
      </w:r>
      <w:r w:rsidR="002A090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Objetivos de Desarrollo Sostenible acompañados por</w:t>
      </w:r>
      <w:r w:rsidR="00C1501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un conjunto de</w:t>
      </w:r>
      <w:r w:rsidR="002A090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0393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metas </w:t>
      </w:r>
      <w:r w:rsidR="002A090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</w:t>
      </w:r>
      <w:r w:rsidR="00A803DA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ra evaluar su cumplimiento. Esto</w:t>
      </w:r>
      <w:r w:rsidR="002A090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 </w:t>
      </w:r>
      <w:r w:rsidR="00A803DA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Objetivos </w:t>
      </w:r>
      <w:r w:rsidR="002A090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incluyen, por ejemplo, </w:t>
      </w:r>
      <w:r w:rsidR="00E52010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«</w:t>
      </w:r>
      <w:r w:rsidR="00C1501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</w:t>
      </w:r>
      <w:r w:rsidR="002A090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oner fin a </w:t>
      </w:r>
      <w:r w:rsidR="00C15011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to</w:t>
      </w:r>
      <w:r w:rsidR="00C1501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das las</w:t>
      </w:r>
      <w:r w:rsidR="00C15011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formas </w:t>
      </w:r>
      <w:r w:rsidR="00C1501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</w:t>
      </w:r>
      <w:r w:rsidR="002A090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pobreza en </w:t>
      </w:r>
      <w:r w:rsidR="00E52010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mundo»</w:t>
      </w:r>
      <w:r w:rsidR="002A090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00E52010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«</w:t>
      </w:r>
      <w:r w:rsidR="00067FC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</w:t>
      </w:r>
      <w:r w:rsidR="00F2118A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arantizar la disponibilidad de agua y su gestión sostenible y el saneamiento para todos</w:t>
      </w:r>
      <w:r w:rsidR="00E52010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»</w:t>
      </w:r>
      <w:r w:rsidR="002A090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</w:t>
      </w:r>
      <w:r w:rsidR="00E52010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«</w:t>
      </w:r>
      <w:r w:rsidR="00067FC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 w:rsidR="002A090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ograr la igualdad entre los géneros y empoderar a todas las mujeres y las niñas</w:t>
      </w:r>
      <w:r w:rsidR="00E52010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»</w:t>
      </w:r>
      <w:r w:rsidR="002A090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A803DA" w:rsidRPr="000A771E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footnoteReference w:id="10"/>
      </w:r>
      <w:r w:rsidR="002A090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8C507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Por lo tanto, </w:t>
      </w:r>
      <w:r w:rsidR="00067FC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estos</w:t>
      </w:r>
      <w:r w:rsidR="008C507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Objetivos </w:t>
      </w:r>
      <w:r w:rsidR="00067FC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se </w:t>
      </w:r>
      <w:r w:rsidR="008C507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embarcan </w:t>
      </w:r>
      <w:r w:rsidR="00067FC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</w:t>
      </w:r>
      <w:r w:rsidR="008C507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diversos campos del derecho internacional: derecho medioambiental, derecho </w:t>
      </w:r>
      <w:r w:rsidR="00D946E6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internacional</w:t>
      </w:r>
      <w:r w:rsidR="008C507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946E6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económico</w:t>
      </w:r>
      <w:r w:rsidR="008C507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CE684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y </w:t>
      </w:r>
      <w:r w:rsidR="008C507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 protección int</w:t>
      </w:r>
      <w:r w:rsidR="00F63AA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ernacional de derechos humanos.</w:t>
      </w:r>
      <w:r w:rsidR="001E7D6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229A368E" w14:textId="1B1B2DAB" w:rsidR="003D7102" w:rsidRPr="000A771E" w:rsidRDefault="00A77486" w:rsidP="00C01CD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utilizar tantas</w:t>
      </w:r>
      <w:r w:rsidR="001516E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E7D6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áreas de derecho internacional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y al mismo tiempo tan diferentes,</w:t>
      </w:r>
      <w:r w:rsidR="00FC331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E7D6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crea dificultades para asegurar un esfuerzo común entre </w:t>
      </w:r>
      <w:r w:rsidR="00E951C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Estados </w:t>
      </w:r>
      <w:r w:rsidR="00FC331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un sistema marcado por su descentralización y </w:t>
      </w:r>
      <w:r w:rsidR="00E951C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pluralidad</w:t>
      </w:r>
      <w:r w:rsidR="00FC331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instituciones</w:t>
      </w:r>
      <w:r w:rsidR="001E7D6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="00FC331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esto </w:t>
      </w:r>
      <w:r w:rsidR="00FC331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uno añade </w:t>
      </w:r>
      <w:r w:rsidR="003705CE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</w:t>
      </w:r>
      <w:r w:rsidR="003705CE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="0046020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inconvenientes</w:t>
      </w:r>
      <w:r w:rsidR="0046020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que se presentan</w:t>
      </w:r>
      <w:r w:rsidR="00FC331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por la </w:t>
      </w:r>
      <w:r w:rsidR="00ED785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diversidad</w:t>
      </w:r>
      <w:r w:rsidR="0046020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sistemas normativo</w:t>
      </w:r>
      <w:r w:rsidR="00FC331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 dentro de este marco, lo que resulta es </w:t>
      </w:r>
      <w:r w:rsidR="003705CE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una</w:t>
      </w:r>
      <w:r w:rsidR="00FC331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red de instituciones y normas poco coordinados y a veces en conflicto </w:t>
      </w:r>
      <w:r w:rsidR="000A43D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las unas</w:t>
      </w:r>
      <w:r w:rsidR="00FC331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contra </w:t>
      </w:r>
      <w:r w:rsidR="000A43D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las</w:t>
      </w:r>
      <w:r w:rsidR="00FC331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otr</w:t>
      </w:r>
      <w:r w:rsidR="000A43D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as</w:t>
      </w:r>
      <w:r w:rsidR="00FC331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3705CE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Semejante desafío </w:t>
      </w:r>
      <w:r w:rsidR="008C54E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se vuelve apremiante </w:t>
      </w:r>
      <w:r w:rsidR="00ED785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al </w:t>
      </w:r>
      <w:r w:rsidR="00F2118A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toma</w:t>
      </w:r>
      <w:r w:rsidR="00ED785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</w:t>
      </w:r>
      <w:r w:rsidR="00F2118A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cuenta como los diversos regímenes jurídicos comparten distintos marcos de comportamiento</w:t>
      </w:r>
      <w:r w:rsidR="0046020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 pensamiento</w:t>
      </w:r>
      <w:r w:rsidR="00F2118A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Por ejemplo, </w:t>
      </w:r>
      <w:r w:rsidR="000A43D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</w:t>
      </w:r>
      <w:r w:rsidR="00F2118A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Objet</w:t>
      </w:r>
      <w:r w:rsidR="000A43D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ivo</w:t>
      </w:r>
      <w:r w:rsidR="00F2118A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2 apela a </w:t>
      </w:r>
      <w:r w:rsidR="00F2118A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la comunidad internacional «Poner fin al hambre, lograr la seguridad alimentaria y la mejora de la nutrición y promover la agricultura sostenible».</w:t>
      </w:r>
      <w:r w:rsidR="00C01CD9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seguridad alimentaria ofrece una serie de retos para el derecho internacional: algunos regímenes como el derecho de la </w:t>
      </w:r>
      <w:r w:rsidR="005F67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Organización </w:t>
      </w:r>
      <w:r w:rsidR="00C01CD9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</w:t>
      </w:r>
      <w:r w:rsidR="005F67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undial de </w:t>
      </w:r>
      <w:r w:rsidR="00C01CD9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</w:t>
      </w:r>
      <w:r w:rsidR="005F67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omercio</w:t>
      </w:r>
      <w:r w:rsidR="00C01CD9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5F67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(OMC) </w:t>
      </w:r>
      <w:r w:rsidR="00C01CD9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asocia </w:t>
      </w:r>
      <w:r w:rsidR="002636C1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las</w:t>
      </w:r>
      <w:r w:rsidR="00C01CD9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F775F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dificultades que surgen del comercio agrícola </w:t>
      </w:r>
      <w:r w:rsidR="00A9693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="00B1178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 decir,</w:t>
      </w:r>
      <w:r w:rsidR="005F67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las </w:t>
      </w:r>
      <w:r w:rsidR="00A9693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fluctuaciones de precios) </w:t>
      </w:r>
      <w:r w:rsidR="00F775F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con los efectos secundarios de un sistema de libre comercio que, en términos </w:t>
      </w:r>
      <w:r w:rsidR="00A9693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genéricos</w:t>
      </w:r>
      <w:r w:rsidR="00F775F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ofrece </w:t>
      </w:r>
      <w:r w:rsidR="00D7003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más</w:t>
      </w:r>
      <w:r w:rsidR="00F775F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ventajas que desventajas.</w:t>
      </w:r>
      <w:r w:rsidR="00A9693E" w:rsidRPr="000A771E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footnoteReference w:id="11"/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5F67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Según esta lógica, la </w:t>
      </w:r>
      <w:r w:rsidR="00F775F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fijación de precios </w:t>
      </w:r>
      <w:r w:rsidR="005F67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suele</w:t>
      </w:r>
      <w:r w:rsidR="00F775F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crear </w:t>
      </w:r>
      <w:r w:rsidR="00D7003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más</w:t>
      </w:r>
      <w:r w:rsidR="00F775F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problemas, </w:t>
      </w:r>
      <w:r w:rsidR="0097604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ya que aumenta</w:t>
      </w:r>
      <w:r w:rsidR="00F775F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B1178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las </w:t>
      </w:r>
      <w:r w:rsidR="00D7003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distorsiones dentro del mercado, </w:t>
      </w:r>
      <w:r w:rsidR="0097604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que nos remontan</w:t>
      </w:r>
      <w:r w:rsidR="00D7003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97604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="00D7003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 fracaso de las políticas de </w:t>
      </w:r>
      <w:r w:rsidR="00AC64C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estabilidad de precios de</w:t>
      </w:r>
      <w:r w:rsidR="000A43D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sde</w:t>
      </w:r>
      <w:r w:rsidR="00D7003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los </w:t>
      </w:r>
      <w:r w:rsidR="000A43D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cincuenta hasta los setenta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12"/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5F67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 consecuencia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0097604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las </w:t>
      </w:r>
      <w:r w:rsidR="005F67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medidas para 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aliviar la seguridad alimentaria tiene</w:t>
      </w:r>
      <w:r w:rsidR="005F67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que encajar dentro de unas normas que tiene</w:t>
      </w:r>
      <w:r w:rsidR="005F67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BC697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por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objeto mantener un mercado competitivo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13"/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 modelo basado en el libre acceso</w:t>
      </w:r>
      <w:r w:rsidR="00214E2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 los productos básicos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y no </w:t>
      </w:r>
      <w:r w:rsidR="00BC697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el 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comercio de bienes alimenticios</w:t>
      </w:r>
      <w:r w:rsidR="00214E2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como un sistema de derechos socio-</w:t>
      </w:r>
      <w:r w:rsidR="002D2EA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económicos</w:t>
      </w:r>
      <w:r w:rsidR="00B45E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entiende el problema de otra manera, </w:t>
      </w:r>
      <w:r w:rsidR="00BC697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centrándose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los riesgos de </w:t>
      </w:r>
      <w:r w:rsidR="006C28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 especulación y sobredemanda o sobrecapacidad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006621C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poniendo el punto de mira</w:t>
      </w:r>
      <w:r w:rsidR="005F67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el resultado </w:t>
      </w:r>
      <w:r w:rsidR="002636C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para el individuo </w:t>
      </w:r>
      <w:r w:rsidR="005F67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y no </w:t>
      </w:r>
      <w:r w:rsidR="006621C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las </w:t>
      </w:r>
      <w:r w:rsidR="002D2EA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consecuencias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económicas</w:t>
      </w:r>
      <w:r w:rsidR="006621C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que puedan derivar</w:t>
      </w:r>
      <w:r w:rsidR="00B45E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</w:t>
      </w:r>
      <w:r w:rsidR="006621C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2D2EA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más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2D2EA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allá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6621C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crisis </w:t>
      </w:r>
      <w:r w:rsidR="006621C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 la que nos enfrentamos</w:t>
      </w:r>
      <w:r w:rsidR="00534E6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actualmente.</w:t>
      </w:r>
      <w:bookmarkStart w:id="2" w:name="_Ref455862515"/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14"/>
      </w:r>
      <w:bookmarkEnd w:id="2"/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75ACC96D" w14:textId="3421F624" w:rsidR="00811612" w:rsidRPr="000A771E" w:rsidRDefault="003D7102" w:rsidP="00B45EE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="0096050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los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caso</w:t>
      </w:r>
      <w:r w:rsidR="0096050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r w:rsidR="006621C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otros Objet</w:t>
      </w:r>
      <w:r w:rsidR="00B45E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ivo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s, </w:t>
      </w:r>
      <w:r w:rsidR="0096050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nos encontramos con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posibles conflictos </w:t>
      </w:r>
      <w:r w:rsidR="008F08C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normativos, </w:t>
      </w:r>
      <w:r w:rsidR="00B45E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="008F08C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 no solo de</w:t>
      </w:r>
      <w:r w:rsidR="0096050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ntro</w:t>
      </w:r>
      <w:r w:rsidR="008F08C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96050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un </w:t>
      </w:r>
      <w:r w:rsidR="008F08C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marco </w:t>
      </w:r>
      <w:r w:rsidR="0096050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abstracto</w:t>
      </w:r>
      <w:r w:rsidR="008F08C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como en el caso anterior, sino </w:t>
      </w:r>
      <w:r w:rsidR="00B45E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como</w:t>
      </w:r>
      <w:r w:rsidR="008F08C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4829C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posibles conflictos</w:t>
      </w:r>
      <w:r w:rsidR="008F08C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entre regímenes </w:t>
      </w:r>
      <w:r w:rsidR="00C52BB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jurídicos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="005276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Si tomamos</w:t>
      </w:r>
      <w:r w:rsidR="008F08C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como ejemplo </w:t>
      </w:r>
      <w:r w:rsidR="005276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Objet</w:t>
      </w:r>
      <w:r w:rsidR="00B45E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ivo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15</w:t>
      </w:r>
      <w:r w:rsidR="005276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8F08C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que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requiere «</w:t>
      </w:r>
      <w:r w:rsidR="005276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romover el uso sostenible de los ecosistemas terrestres, luchar contra la desertificación, detener e invertir la degradación de la tierra y frenar la pérdida de la diversidad biológica»</w:t>
      </w:r>
      <w:r w:rsidR="008F08C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BB795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8F08C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 puede ver como acciones destinad</w:t>
      </w:r>
      <w:r w:rsidR="005276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="008F08C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 a </w:t>
      </w:r>
      <w:r w:rsidR="00287CD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proteger la tierra</w:t>
      </w:r>
      <w:r w:rsidR="00E5064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contra su degradación,</w:t>
      </w:r>
      <w:r w:rsidR="00287CD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podrían inspirar </w:t>
      </w:r>
      <w:r w:rsidR="006E321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al </w:t>
      </w:r>
      <w:r w:rsidR="003A07A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planteamiento de demandas</w:t>
      </w:r>
      <w:r w:rsidR="006E321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287CD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basad</w:t>
      </w:r>
      <w:r w:rsidR="00B84E0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="00287CD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 en el derecho internacional de inversiones.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15"/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287CD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este contexto, un tratado bilateral de </w:t>
      </w:r>
      <w:r w:rsidR="00287CD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 xml:space="preserve">inversiones podría actuar como contrapunto, limitando la libertad del Estado </w:t>
      </w:r>
      <w:r w:rsidR="00B84E0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para conseguir</w:t>
      </w:r>
      <w:r w:rsidR="00287CD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sus objetivos medioambi</w:t>
      </w:r>
      <w:r w:rsidR="00F06BC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entales.</w:t>
      </w:r>
    </w:p>
    <w:p w14:paraId="0A187122" w14:textId="497897D2" w:rsidR="00567005" w:rsidRDefault="00FC3315" w:rsidP="005D501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pesar de estos retos, </w:t>
      </w:r>
      <w:r w:rsidR="00CE18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y señalado el temor existente </w:t>
      </w:r>
      <w:r w:rsidR="00287CD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 la fragmentación de</w:t>
      </w:r>
      <w:r w:rsidR="00783EF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 w:rsidR="00287CD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derecho internacional</w:t>
      </w:r>
      <w:r w:rsidR="0000561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005610" w:rsidRPr="0000561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 xml:space="preserve"> </w:t>
      </w:r>
      <w:r w:rsidR="00005610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16"/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ha habido un avance en lo que se</w:t>
      </w:r>
      <w:r w:rsidR="00CE18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puede denominar como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«un multilateralismo pragmático»</w:t>
      </w:r>
      <w:r w:rsidR="0056700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Este término, usado </w:t>
      </w:r>
      <w:r w:rsidR="00D411F6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recientemente </w:t>
      </w:r>
      <w:r w:rsidR="00567005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por </w:t>
      </w:r>
      <w:r w:rsidR="00D411F6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Representante de Comercio de los Estados Unidos, Embajador Michael Froman, implica un rechazo de la </w:t>
      </w:r>
      <w:r w:rsidR="008B0DF6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esperada </w:t>
      </w:r>
      <w:r w:rsidR="00D411F6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crítica </w:t>
      </w:r>
      <w:r w:rsidR="008B0DF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sobre</w:t>
      </w:r>
      <w:r w:rsidR="00D411F6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fragmentación, o en el conte</w:t>
      </w:r>
      <w:r w:rsidR="00E85B7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xto de la OMC, al regionalismo</w:t>
      </w:r>
      <w:r w:rsidR="008B0DF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E85B7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411F6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que se puede entender como </w:t>
      </w:r>
      <w:r w:rsidR="00B45E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una manifestación</w:t>
      </w:r>
      <w:r w:rsidR="00D411F6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particul</w:t>
      </w:r>
      <w:r w:rsidR="00E85B7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ar de 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esta</w:t>
      </w:r>
      <w:r w:rsidR="00E85B7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preocupación general.</w:t>
      </w:r>
      <w:r w:rsidR="00E85B77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footnoteReference w:id="17"/>
      </w:r>
      <w:r w:rsidR="00D411F6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674A6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 una política que busca </w:t>
      </w:r>
      <w:r w:rsidR="008B0DF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</w:t>
      </w:r>
      <w:r w:rsidR="00674A6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acuerdo entre todos</w:t>
      </w:r>
      <w:r w:rsidR="008B0DF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los participantes</w:t>
      </w:r>
      <w:r w:rsidR="00674A6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pero</w:t>
      </w:r>
      <w:r w:rsidR="008B0DF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674A6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cuando no </w:t>
      </w:r>
      <w:r w:rsidR="003A272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sea</w:t>
      </w:r>
      <w:r w:rsidR="00674A6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posible,</w:t>
      </w:r>
      <w:r w:rsidR="008B0DF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se</w:t>
      </w:r>
      <w:r w:rsidR="00674A6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acepta la conclusión de acuerdos entre </w:t>
      </w:r>
      <w:r w:rsidR="0049486D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una selección de ellos. A un</w:t>
      </w:r>
      <w:r w:rsidR="003A272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determinado</w:t>
      </w:r>
      <w:r w:rsidR="0049486D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nivel, </w:t>
      </w:r>
      <w:r w:rsidR="003A272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implica</w:t>
      </w:r>
      <w:r w:rsidR="0020391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un rechazo de </w:t>
      </w:r>
      <w:r w:rsidR="003A272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="0020391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conceptos de universalidad y el</w:t>
      </w:r>
      <w:r w:rsidR="0049486D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«compromiso único» de la OMC, pero a otro nivel busca</w:t>
      </w:r>
      <w:r w:rsidR="003A272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</w:t>
      </w:r>
      <w:r w:rsidR="0049486D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acuerdo, aceptando que lo perfecto es enemigo de lo bueno, y que para </w:t>
      </w:r>
      <w:r w:rsidR="005737E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poder enfrentar a los gran retos del mundo, </w:t>
      </w:r>
      <w:r w:rsidR="00E85B7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incluyendo e</w:t>
      </w:r>
      <w:r w:rsidR="00A217ED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 cumplimiento de los Objetivos de Desarrollo Sostenible</w:t>
      </w:r>
      <w:r w:rsidR="00E85B7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A217ED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E85B7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habrá que buscar</w:t>
      </w:r>
      <w:r w:rsidR="003A272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un</w:t>
      </w:r>
      <w:r w:rsidR="00E85B7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acuerdo dentro de </w:t>
      </w:r>
      <w:r w:rsidR="00A217ED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 mundo multipolar.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Los avances que se </w:t>
      </w:r>
      <w:r w:rsidR="003A272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pueden observar en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relaci</w:t>
      </w:r>
      <w:r w:rsidR="003A272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n con la prohibición de </w:t>
      </w:r>
      <w:r w:rsidR="000639B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subvencionar 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ciertas</w:t>
      </w:r>
      <w:r w:rsidR="000639B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modalidades de 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pesca </w:t>
      </w:r>
      <w:r w:rsidR="00AE1A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ofrecen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un</w:t>
      </w:r>
      <w:r w:rsidR="0020391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buen ejemplo de esta política, y </w:t>
      </w:r>
      <w:r w:rsidR="00B45E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</w:t>
      </w:r>
      <w:r w:rsidR="0020391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</w:t>
      </w:r>
      <w:r w:rsidR="006D3A8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papel</w:t>
      </w:r>
      <w:r w:rsidR="0020391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del derecho internacional.</w:t>
      </w:r>
    </w:p>
    <w:p w14:paraId="4B6C3A18" w14:textId="0BD3E7C8" w:rsidR="002D2EA5" w:rsidRPr="002D2EA5" w:rsidRDefault="007201BC" w:rsidP="002D2EA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Las subvenciones a la</w:t>
      </w:r>
      <w:r w:rsidR="002D2EA5" w:rsidRPr="002D2EA5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pesca</w:t>
      </w:r>
    </w:p>
    <w:p w14:paraId="2D5BA666" w14:textId="282B52C5" w:rsidR="00884094" w:rsidRPr="000A771E" w:rsidRDefault="00B45EEF" w:rsidP="005D501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</w:t>
      </w:r>
      <w:r w:rsidR="0088409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Objetivo 14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alienta</w:t>
      </w:r>
      <w:r w:rsidR="0007657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 </w:t>
      </w:r>
      <w:r w:rsidR="0088409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«</w:t>
      </w:r>
      <w:r w:rsidR="0007657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</w:t>
      </w:r>
      <w:r w:rsidR="0088409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onservar y utilizar en forma sostenible los océanos, los mares y los recursos marinos para el desarrollo sostenible»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E</w:t>
      </w:r>
      <w:r w:rsidR="0088409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n concreto,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="0088409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meta 14.6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exige</w:t>
      </w:r>
      <w:r w:rsidR="0088409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: </w:t>
      </w:r>
    </w:p>
    <w:p w14:paraId="56F4422F" w14:textId="32652A35" w:rsidR="009379D8" w:rsidRPr="000A771E" w:rsidRDefault="00884094" w:rsidP="00884094">
      <w:pPr>
        <w:spacing w:line="360" w:lineRule="auto"/>
        <w:ind w:left="720" w:firstLine="13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«Para 2020, prohibir ciertas formas de subvenciones a la pesca que contribuyen a la capacidad de pesca excesiva y la sobreexplotación pesquera, eliminar las subvenciones que contribuyen a la pesca ilegal, no declarada y no reglamentada y abstenerse de introducir nuevas subvenciones de esa índole, reconociendo que la negociación sobre las subvenciones a la pesca en el marco de la Organización Mundial del Comercio debe incluir un trato especial y diferenciado, apropiado y efectivo para los países en desarrollo y los países menos adelantados»</w:t>
      </w:r>
      <w:r w:rsidR="00B45E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6481536" w14:textId="1AFBAD7D" w:rsidR="002D2EA5" w:rsidRDefault="008052D2" w:rsidP="000530E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 w:rsidR="0061140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gestión de la pesca </w:t>
      </w:r>
      <w:r w:rsidR="0061140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mundial es complej</w:t>
      </w:r>
      <w:r w:rsidR="00B45E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="0061140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07657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B45E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 en ella están implicadas</w:t>
      </w:r>
      <w:r w:rsidR="0061140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varias organizaciones internacionales. </w:t>
      </w:r>
      <w:r w:rsidR="00A35D6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Según lo señalado por la Agenda, la principal </w:t>
      </w:r>
      <w:r w:rsidR="00A35D6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 xml:space="preserve">preocupación </w:t>
      </w:r>
      <w:r w:rsidR="00BB5D2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son</w:t>
      </w:r>
      <w:r w:rsidR="00365A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las </w:t>
      </w:r>
      <w:r w:rsidR="000C7574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subvencion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</w:t>
      </w:r>
      <w:r w:rsidR="00A35D6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que </w:t>
      </w:r>
      <w:r w:rsidR="00A35D6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pueda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</w:t>
      </w:r>
      <w:r w:rsidR="00A35D6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fomentar el uso excesivo de </w:t>
      </w:r>
      <w:r w:rsidR="00A07BBE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recursos pesquer</w:t>
      </w:r>
      <w:r w:rsidR="00BB5D2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</w:t>
      </w:r>
      <w:r w:rsidR="00A07BBE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="00A35D6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 contribuir a la pesca ilegal, no declarada y no reglamentada</w:t>
      </w:r>
      <w:r w:rsidR="00365A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(INDNR)</w:t>
      </w:r>
      <w:r w:rsidR="00A35D6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La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="00A35D6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subvenciones a la pesca pued</w:t>
      </w:r>
      <w:r w:rsidR="00BB5D2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</w:t>
      </w:r>
      <w:r w:rsidR="00A35D6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BB5D2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presentar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A35D6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diversas formas: ingresos 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</w:t>
      </w:r>
      <w:r w:rsidR="00A35D6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pescadores, la compra de barcos de pesca, el apoyo a sectores </w:t>
      </w:r>
      <w:r w:rsidR="000C75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relacionados con la industria</w:t>
      </w:r>
      <w:r w:rsidR="00A35D6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el suministro de nuevas redes u otro</w:t>
      </w:r>
      <w:r w:rsidR="00BB5D2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tipo de</w:t>
      </w:r>
      <w:r w:rsidR="00A35D6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equipos. La principal preocupación es que al apoyar a las industrias pesqueras (tanto en alta mar como en las aguas territoriales o en el interior), las subvenciones pueden aumentar la capacidad </w:t>
      </w:r>
      <w:r w:rsidR="00B45E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pesca </w:t>
      </w:r>
      <w:r w:rsidR="00A35D6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y, en consecuencia, fomentar la sobrepesca de determinados </w:t>
      </w:r>
      <w:r w:rsidR="00F2153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especies</w:t>
      </w:r>
      <w:r w:rsidR="000530E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pe</w:t>
      </w:r>
      <w:r w:rsidR="00F2153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ces</w:t>
      </w:r>
      <w:r w:rsidR="00B45E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lo</w:t>
      </w:r>
      <w:r w:rsidR="000530E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que, a su vez, </w:t>
      </w:r>
      <w:r w:rsidR="003068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afecta de forma negativa a la bio</w:t>
      </w:r>
      <w:r w:rsidR="000530E7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</w:t>
      </w:r>
      <w:r w:rsidR="00A35D6C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iversidad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18"/>
      </w:r>
    </w:p>
    <w:p w14:paraId="395E7DA1" w14:textId="50F39AD9" w:rsidR="000530E7" w:rsidRPr="000A771E" w:rsidRDefault="000530E7" w:rsidP="002D2E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Sin embargo, </w:t>
      </w:r>
      <w:r w:rsidR="001F023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este problema tiene sus matices: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F023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algun</w:t>
      </w:r>
      <w:r w:rsidR="0037477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="001F023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 subvenciones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fomentan la pesca sostenible mediante la provisión de barcos más avanzados, equipos de detección de bancos de arena o redes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bookmarkStart w:id="3" w:name="_Ref463515308"/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19"/>
      </w:r>
      <w:bookmarkEnd w:id="3"/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Además, los intereses en la protección de las poblaciones de peces pueden ir en contra de otros intereses importantes, como la protección de las comunidades locales contra la </w:t>
      </w:r>
      <w:r w:rsidR="00B45E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falta de recursos</w:t>
      </w:r>
      <w:r w:rsidR="00B45EE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económic</w:t>
      </w:r>
      <w:r w:rsidR="00B45E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el mantenimiento de las prácticas tradicionales </w:t>
      </w:r>
      <w:r w:rsidR="001F023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comunidades indígenas o la promoción de la seguridad alimentaria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20"/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Tampoco está claro que haya repercusiones significativas en el comercio internacional de tales subvenciones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bookmarkStart w:id="4" w:name="_Ref455865578"/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21"/>
      </w:r>
      <w:bookmarkEnd w:id="4"/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hecho, la mayoría de las industrias pesqueras no se orientan hacia las exportaciones, sino más bien hacia el consumo interno. Por lo tanto, se plantea</w:t>
      </w:r>
      <w:r w:rsidR="006A29B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6A29BD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 segundo desafío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6A29B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los subsidios a la pesca: si</w:t>
      </w:r>
      <w:r w:rsidR="001B32C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5D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un problema</w:t>
      </w:r>
      <w:r w:rsidR="001B32C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su utilización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pero causan </w:t>
      </w:r>
      <w:r w:rsidR="001B32C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 impacto pequeño en la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interrupción </w:t>
      </w:r>
      <w:r w:rsidR="001B32C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comercio, ¿es la OMC el foro apropiado para abordarlos?</w:t>
      </w:r>
    </w:p>
    <w:p w14:paraId="0E8D1005" w14:textId="098C6459" w:rsidR="00811612" w:rsidRPr="000A771E" w:rsidRDefault="000530E7" w:rsidP="002D2E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mantenimiento de las poblaciones de peces y el uso responsable de los recursos marítimos es </w:t>
      </w:r>
      <w:r w:rsidR="00B6637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responsabilidad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varias organizaciones internacionales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22"/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5A5B2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Las organizaciones regionales de pesca marítima forman una red compleja de actores que cubren regiones geográficas (como la Comisión de Pesquerías del Atlántico Nororiental) o son específicas de una región, como la Comisión del Atún del Océano </w:t>
      </w:r>
      <w:r w:rsidR="005A5B2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 xml:space="preserve">Índico. Igualmente, la mayoría no son estrictamente regionales en el sentido de pertenencia, sino en el área de interés, garantizando así la presencia de Estados con intereses pesqueros en las regiones. Son </w:t>
      </w:r>
      <w:r w:rsidR="00506DB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clave</w:t>
      </w:r>
      <w:r w:rsidR="00DC55D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="00506DB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5D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</w:t>
      </w:r>
      <w:r w:rsidR="005A5B2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506DB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gobernación de la </w:t>
      </w:r>
      <w:r w:rsidR="005A5B2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pesca, ya que much</w:t>
      </w:r>
      <w:r w:rsidR="00A9327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="005A5B2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 poseen importantes facultades para </w:t>
      </w:r>
      <w:r w:rsidR="00DC55D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regular</w:t>
      </w:r>
      <w:r w:rsidR="005A5B2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conservación y </w:t>
      </w:r>
      <w:r w:rsidR="00A9327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gestión </w:t>
      </w:r>
      <w:r w:rsidR="005A5B2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las poblaciones de peces, incluida la designación de capturas totales admisibles, los buques de vigilancia y el intercambio de información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23"/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5A5B2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Una limitación clave de estos organismos, aparte de las cuestiones previsibles derivadas de la falta de voluntad política o de recursos, es su limitada capacidad de afectar las políticas de gestión en l</w:t>
      </w:r>
      <w:r w:rsidR="00506DB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="005A5B2F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506DB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alta mar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24"/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721F6913" w14:textId="69F2508B" w:rsidR="00811612" w:rsidRPr="000A771E" w:rsidRDefault="005A5B2F" w:rsidP="002D2E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Las</w:t>
      </w:r>
      <w:r w:rsidR="00ED646D" w:rsidRPr="00ED646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organizacion</w:t>
      </w:r>
      <w:r w:rsidR="00ED646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</w:t>
      </w:r>
      <w:r w:rsidR="00ED646D" w:rsidRPr="00ED646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regional</w:t>
      </w:r>
      <w:r w:rsidR="00ED646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</w:t>
      </w:r>
      <w:r w:rsidR="00ED646D" w:rsidRPr="00ED646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ordenación pesquera </w:t>
      </w:r>
      <w:r w:rsidR="00ED646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(OROP)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son sólo un conjunto de organismos dentro de la red de ordenación pesquera, parte de una red más amplia de las Naciones Unidas, en la que se instruye a los Estados a que creen otros órganos regionales cuando sea necesario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25"/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Diferentes órganos de las Naciones Unidas desempeñan un papel, no sólo con l</w:t>
      </w:r>
      <w:r w:rsidR="00DC55D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 </w:t>
      </w:r>
      <w:r w:rsidR="00ED646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OROP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sino también de forma independiente. La </w:t>
      </w:r>
      <w:r w:rsidR="005B3726" w:rsidRPr="005B372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Organización de las Naciones Unidas para la Alimentación y la Agricultura</w:t>
      </w:r>
      <w:r w:rsidR="005B372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FAO</w:t>
      </w:r>
      <w:r w:rsidR="005B372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el </w:t>
      </w:r>
      <w:r w:rsidR="005B3726" w:rsidRPr="005B372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Programa de Naciones Unidas para el Medio Ambiente</w:t>
      </w:r>
      <w:r w:rsidR="005B372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(PNUMA)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y la </w:t>
      </w:r>
      <w:r w:rsidR="005B3726" w:rsidRPr="005B372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Conferencia de las Naciones Unidas sobre el Medio Ambiente y el Desarrollo</w:t>
      </w:r>
      <w:r w:rsidR="005B372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CNUMAD</w:t>
      </w:r>
      <w:r w:rsidR="005B372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son todos participantes y también han contribuido a la red jurídica de tratados y códigos que buscan ayudar a conservar y gestionar las poblaciones de peces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26"/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6C680148" w14:textId="1008D6C4" w:rsidR="00811612" w:rsidRPr="000A771E" w:rsidRDefault="005A5B2F" w:rsidP="002D2EA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Más recientemente, tres agencias clave han coordinado esfuerzos para fomentar </w:t>
      </w:r>
      <w:r w:rsidR="005B372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algún avance sobre el tema de las subvenciones </w:t>
      </w:r>
      <w:r w:rsidR="00DC55D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="005B372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pesca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En julio de 2016, la </w:t>
      </w:r>
      <w:r w:rsidR="005B3726" w:rsidRPr="005B372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Conferencia de las Naciones Unidas sobre Comercio y Desarrollo </w:t>
      </w:r>
      <w:r w:rsidR="005B372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UNCTAD</w:t>
      </w:r>
      <w:r w:rsidR="005B372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la FAO y el PNUMA emitieron una declaración conjunta para alentar el progreso de </w:t>
      </w:r>
      <w:r w:rsidR="00DC55D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las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negociaciones </w:t>
      </w:r>
      <w:r w:rsidR="00F8205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y declararse </w:t>
      </w:r>
      <w:r w:rsidR="00F707D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“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listos para apoyar a los Estados Miembros en la consecución de la coherencia política. La creación de capacidad y la asistencia técnica»</w:t>
      </w:r>
      <w:r w:rsidR="00F8205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la consecución del </w:t>
      </w:r>
      <w:r w:rsidR="00BB289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ODS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14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bookmarkStart w:id="5" w:name="_Ref462416354"/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27"/>
      </w:r>
      <w:bookmarkEnd w:id="5"/>
    </w:p>
    <w:p w14:paraId="46CBEBB2" w14:textId="171C4562" w:rsidR="00F9613E" w:rsidRPr="000A771E" w:rsidRDefault="00181909" w:rsidP="00F9613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 xml:space="preserve">Otros </w:t>
      </w:r>
      <w:r w:rsidR="00DC55D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organizaciones</w:t>
      </w:r>
      <w:r w:rsidR="00DC55D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menos obvi</w:t>
      </w:r>
      <w:r w:rsidR="00DC55D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 desempeñan también un papel, como la </w:t>
      </w:r>
      <w:r w:rsidR="00CF7070" w:rsidRPr="00CF707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Organización para la Cooperación y el Desarrollo Económicos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que ha participado activamente en la determinación de la magnitud y el alcance de la superposición entre la conservación y la ordenación de la pesca y la prevalencia de las subvenciones en el sector pesquero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28"/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 aquí donde el papel de las entidades no ambientales o del derecho del mar se vuelve contencioso. Si bien existe una necesidad imperiosa de regular la pesca para garantizar una utilización equitativa y sostenible de las poblaciones, no está claro que las subvenciones a la pesca que puedan contribuir a la sobrepesca o la pesca </w:t>
      </w:r>
      <w:r w:rsidR="009C5DD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ilegal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</w:t>
      </w:r>
      <w:r w:rsidR="00DC55D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engan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un impacto comercial del tipo que habitualmente se contempla en la legislación comercial mundial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70455A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29"/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Sin embargo, la esperanza de muchas de estas instituciones se centra, al menos en parte, en los resultados de la OMC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811612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30"/>
      </w:r>
    </w:p>
    <w:p w14:paraId="26216A39" w14:textId="00DD39AD" w:rsidR="00695A95" w:rsidRPr="00695A95" w:rsidRDefault="00695A95" w:rsidP="00695A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695A95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Derecho comercial internacional y la política pesquera</w:t>
      </w:r>
    </w:p>
    <w:p w14:paraId="0D9C6048" w14:textId="034C9642" w:rsidR="002D502D" w:rsidRPr="000A771E" w:rsidRDefault="00F9613E" w:rsidP="002D502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estado actual de las negociaciones en la OMC sobre las subvenciones a la pesca no parece particularmente esperanzador: se han realizado progresos lentos desde el mandato original de la Declaración de Doha de 2001.</w:t>
      </w:r>
      <w:r w:rsidR="002D502D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31"/>
      </w:r>
      <w:r w:rsidR="002D502D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Durante una reciente reunión informal del Grupo de Negociación sobre </w:t>
      </w:r>
      <w:r w:rsidR="00DC55D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Normas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los miembros indicaron que estaban dispuestos a avanzar en el tema (aunque se mantuvieran </w:t>
      </w:r>
      <w:r w:rsidR="00DC55D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bloqueados</w:t>
      </w:r>
      <w:r w:rsidR="00DC55D3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por cuestiones </w:t>
      </w:r>
      <w:r w:rsidR="00A70B0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políticas, dado a la necesidad de llegar a un acuerdo no solo sobre las subvenciones </w:t>
      </w:r>
      <w:r w:rsidR="003C78F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sino </w:t>
      </w:r>
      <w:r w:rsidR="00A70B0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los otros objetos de estudio del Grupo</w:t>
      </w:r>
      <w:r w:rsidR="003C78F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también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).</w:t>
      </w:r>
      <w:r w:rsidR="002D502D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32"/>
      </w:r>
      <w:r w:rsidR="002D502D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propuesta de Nueva Zelanda consistía en reunir información a través de </w:t>
      </w:r>
      <w:r w:rsidR="00F707DB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«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una serie de preguntas con el fin de compartir información sobre tales desa</w:t>
      </w:r>
      <w:r w:rsidR="000E3E9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rrollos como un trasfondo para n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uevos debates sobre las disciplinas de las subvenciones a la pes</w:t>
      </w:r>
      <w:r w:rsidR="000E3E9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ca</w:t>
      </w:r>
      <w:r w:rsidR="007A0B9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»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2D502D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33"/>
      </w:r>
      <w:r w:rsidR="002D502D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313F08E5" w14:textId="5AFB04C7" w:rsidR="002D502D" w:rsidRPr="000A771E" w:rsidRDefault="00545ACC" w:rsidP="002D502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Posteriormente, se ha avanzado algo a la luz de la inclusión en </w:t>
      </w:r>
      <w:r w:rsidR="005125E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texto de</w:t>
      </w:r>
      <w:r w:rsidR="000E37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0E3730" w:rsidRPr="000E37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Acuerdo Transpacífico de Cooperación Económica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(TPP) de una limitación de las subvenciones a la pesca, q</w:t>
      </w:r>
      <w:bookmarkStart w:id="6" w:name="_GoBack"/>
      <w:bookmarkEnd w:id="6"/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ue</w:t>
      </w:r>
      <w:r w:rsidR="002D502D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: </w:t>
      </w:r>
    </w:p>
    <w:p w14:paraId="279BC435" w14:textId="54496422" w:rsidR="002D502D" w:rsidRPr="00FB55F8" w:rsidRDefault="00F707DB" w:rsidP="00F679FC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95FB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«</w:t>
      </w:r>
      <w:r w:rsidR="002D502D" w:rsidRPr="00995FB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…</w:t>
      </w:r>
      <w:r w:rsidR="00995FBD" w:rsidRPr="00FB55F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ninguna Parte otorgará o mantendrá ninguna de las siguientes subvenciones conforme a la definición del Artículo 1.1 del Acuerdo SMC que sean específicas conforme al significado del Artículo 2 del Acuerdo SMC:</w:t>
      </w:r>
      <w:r w:rsidR="002D502D" w:rsidRPr="00FB55F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: </w:t>
      </w:r>
    </w:p>
    <w:p w14:paraId="296CA63A" w14:textId="4B320447" w:rsidR="00263A39" w:rsidRPr="00FB55F8" w:rsidRDefault="00263A39" w:rsidP="0073106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FB55F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subvenciones </w:t>
      </w:r>
      <w:r w:rsidR="00995FBD" w:rsidRPr="00FB55F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la pesca que afecten negativamente a poblaciones de peces que estén en una condición de sobrepesca; y </w:t>
      </w:r>
      <w:r w:rsidRPr="00FB55F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5BFAB650" w14:textId="26665D13" w:rsidR="002D502D" w:rsidRPr="00995FBD" w:rsidRDefault="00263A39" w:rsidP="0073106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FB55F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subvenciones </w:t>
      </w:r>
      <w:r w:rsidR="00995FBD" w:rsidRPr="00FB55F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otorgadas a un buque pesquero mientras se encuentre listado por el Estado de pabellón o por una Organización o Arreglo Regional de Ordenación Pesquera pertinente por pesca INDNR, de conformidad con las reglas y procedimientos de esa organización o arreglo y conforme con el derecho internacional.</w:t>
      </w:r>
      <w:r w:rsidR="00C914D8" w:rsidRPr="00FB55F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»</w:t>
      </w:r>
      <w:r w:rsidR="002D502D" w:rsidRPr="00995F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34"/>
      </w:r>
      <w:r w:rsidR="002D502D" w:rsidRPr="00995FB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41FA5CD1" w14:textId="613C5B33" w:rsidR="00695A95" w:rsidRDefault="00545ACC" w:rsidP="007E498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Esta medida tendría un impacto sig</w:t>
      </w:r>
      <w:r w:rsidR="00BB0D5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nificativo, </w:t>
      </w:r>
      <w:r w:rsidR="009878D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basándose en el modelo de definición </w:t>
      </w:r>
      <w:r w:rsidR="00F679F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subvenciones en la OMC. </w:t>
      </w:r>
      <w:r w:rsidR="009559B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vez de ver el regionalismo como un </w:t>
      </w:r>
      <w:r w:rsidR="007352C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desafío</w:t>
      </w:r>
      <w:r w:rsidR="009559B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para la OMC, en este caso</w:t>
      </w:r>
      <w:r w:rsidR="007A0B9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9559B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se puede interpretar como un apoyo desde el nivel regional. Es notable que desde </w:t>
      </w:r>
      <w:r w:rsidR="005125E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que llegaron </w:t>
      </w:r>
      <w:r w:rsidR="009559B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un acuerdo sobre el texto de TPP,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algunos de los </w:t>
      </w:r>
      <w:r w:rsidR="009559B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Estados envuelto</w:t>
      </w:r>
      <w:r w:rsidR="005125E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 en la negociación</w:t>
      </w:r>
      <w:r w:rsidR="009559B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se han movido para iniciar </w:t>
      </w:r>
      <w:r w:rsidR="005125E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conversaciones con el objetivo de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prohibir </w:t>
      </w:r>
      <w:r w:rsidR="008D570B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las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9559B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subvenciones a la pesca según </w:t>
      </w:r>
      <w:r w:rsidR="00363F4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este </w:t>
      </w:r>
      <w:r w:rsidR="009559B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modelo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Argentina, Australia, Canadá, Chile, Colomb</w:t>
      </w:r>
      <w:r w:rsidR="009559B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ia, Nueva Zelanda, Noruega, Papú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Nueva Guinea, Perú, Singapur, Suiza, Uruguay y los Estados Unidos han comenzado a preparar negociaciones </w:t>
      </w:r>
      <w:r w:rsidR="00F707DB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«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para trabajar entre sí y con </w:t>
      </w:r>
      <w:r w:rsidR="007352C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otros que piensan parecido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para concluir </w:t>
      </w:r>
      <w:r w:rsidR="007352C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n acuerdo ambicioso y de alto nivel, </w:t>
      </w:r>
      <w:r w:rsidR="007352C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y 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al mismo tiempo trabaja</w:t>
      </w:r>
      <w:r w:rsidR="007352C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 todos los Miembros de la OMC para avanzar hacia un</w:t>
      </w:r>
      <w:r w:rsidR="007352C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363F4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acuerdo multilateral en la OMC.</w:t>
      </w:r>
      <w:r w:rsidR="00363F4F" w:rsidRPr="00CB631A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»</w:t>
      </w:r>
      <w:r w:rsidR="002D502D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35"/>
      </w:r>
      <w:r w:rsidR="002D502D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8D570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Ulteriormente, la Unión Europea también se ha apuntado, </w:t>
      </w:r>
      <w:r w:rsidR="005B2F9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usando </w:t>
      </w:r>
      <w:r w:rsidR="008D570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reforma de la Política Pesquera Común de la Unión </w:t>
      </w:r>
      <w:r w:rsidR="005B2F9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como ejemplo </w:t>
      </w:r>
      <w:r w:rsidR="008D570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al nivel multilateral.</w:t>
      </w:r>
      <w:r w:rsidR="008D570B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36"/>
      </w:r>
      <w:r w:rsidR="00A7247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unque la </w:t>
      </w:r>
      <w:r w:rsidR="00A7247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ausencia de China y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Japón es preocupante debido a su alto impacto en la pesca</w:t>
      </w:r>
      <w:r w:rsidR="00A7247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2D502D" w:rsidRPr="000A771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37"/>
      </w:r>
      <w:r w:rsidR="00A7247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posibilidad de llegar a un acuerdo </w:t>
      </w:r>
      <w:r w:rsidR="0092030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 </w:t>
      </w:r>
      <w:r w:rsidR="003D484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más</w:t>
      </w:r>
      <w:r w:rsidR="0092030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cercano ahora </w:t>
      </w:r>
      <w:r w:rsidR="005125E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</w:t>
      </w:r>
      <w:r w:rsidR="0092030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 que </w:t>
      </w:r>
      <w:r w:rsidR="005125E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lo </w:t>
      </w:r>
      <w:r w:rsidR="0092030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ha sido desde </w:t>
      </w:r>
      <w:r w:rsidR="005125E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hace </w:t>
      </w:r>
      <w:r w:rsidR="0092030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décadas. </w:t>
      </w:r>
    </w:p>
    <w:p w14:paraId="35A9DEB6" w14:textId="124BF9AF" w:rsidR="00695A95" w:rsidRPr="00695A95" w:rsidRDefault="00695A95" w:rsidP="00695A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695A95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Conclusiones</w:t>
      </w:r>
    </w:p>
    <w:p w14:paraId="068F4FCD" w14:textId="6C6885EE" w:rsidR="000A771E" w:rsidRPr="005A74BC" w:rsidRDefault="003D4849" w:rsidP="000A771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Al principio, parecía que el derecho internacional actual, fragmentado y descentralizado, no podía apoyar el cumplimiento de los retos más importantes para la comunidad internacional, poniendo trabas en vez de apoy</w:t>
      </w:r>
      <w:r w:rsidR="009A70E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 cumplimiento de los ODS. Sin</w:t>
      </w:r>
      <w:r w:rsidR="00863A1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embargo, lo que ha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surgido</w:t>
      </w:r>
      <w:r w:rsidR="009A70E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9A70E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como elemento clave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dentro de la gestión de subvenciones a la pesca </w:t>
      </w:r>
      <w:r w:rsidR="00ED18C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sido e</w:t>
      </w:r>
      <w:r w:rsidR="009A70E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rol de</w:t>
      </w:r>
      <w:r w:rsidR="00780DC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derecho </w:t>
      </w:r>
      <w:r w:rsidR="00ED18C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internacional</w:t>
      </w:r>
      <w:r w:rsidR="001902C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todas sus formas – universal, multilateral, regional, comercial y medioambiental – </w:t>
      </w:r>
      <w:r w:rsidR="001902C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ofrecer herramientas a la comunidad internacional </w:t>
      </w:r>
      <w:r w:rsidR="001902C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 el fin 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progresar hacia el cumplimiento de un</w:t>
      </w:r>
      <w:r w:rsidR="001902C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las metas clave para la gestión marítima. No </w:t>
      </w:r>
      <w:r w:rsidR="00911E7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han sido los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conflictos normativos que </w:t>
      </w:r>
      <w:r w:rsidR="00780DC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911E7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detenido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="00783C9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creación de una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prohibición de subvenciones a la pesca</w:t>
      </w:r>
      <w:r w:rsidR="001902C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sino </w:t>
      </w:r>
      <w:r w:rsidR="00780DC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</w:t>
      </w:r>
      <w:r w:rsidR="00783C9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 exigencias de la</w:t>
      </w:r>
      <w:r w:rsidR="00780DC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política del consenso. 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competencia entre regímenes jurídicos ha permitido algunos </w:t>
      </w:r>
      <w:r w:rsidR="005125E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Estados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oportunidad de llegar a acuerdos y estimular </w:t>
      </w:r>
      <w:r w:rsidR="0083364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cooperación </w:t>
      </w:r>
      <w:r w:rsidR="005125E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otros participantes</w:t>
      </w:r>
      <w:r w:rsidR="0083364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780DC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como la Unión E</w:t>
      </w:r>
      <w:r w:rsidR="00780DCC" w:rsidRPr="005A74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uropea</w:t>
      </w:r>
      <w:r w:rsidR="0083364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780DCC" w:rsidRPr="005A74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que no quiere que </w:t>
      </w:r>
      <w:r w:rsidR="0083364F" w:rsidRPr="005A74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se introduzcan </w:t>
      </w:r>
      <w:r w:rsidR="00780DCC" w:rsidRPr="005A74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nuevas normas sin su participación</w:t>
      </w:r>
      <w:r w:rsidRPr="005A74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="00906BE4" w:rsidRPr="005A74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No es un rechazo de la universalidad sino </w:t>
      </w:r>
      <w:r w:rsidR="00351B2F" w:rsidRPr="005A74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«</w:t>
      </w:r>
      <w:r w:rsidR="000A771E" w:rsidRPr="005A74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una nueva forma </w:t>
      </w:r>
      <w:r w:rsidR="005A74BC" w:rsidRPr="005A74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multilateralismo pragmático»</w:t>
      </w:r>
      <w:r w:rsidR="000A771E" w:rsidRPr="005A74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footnoteReference w:id="38"/>
      </w:r>
      <w:r w:rsidR="005A74BC" w:rsidRPr="005A74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que perm</w:t>
      </w:r>
      <w:r w:rsidR="005A74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ite el uso de una</w:t>
      </w:r>
      <w:r w:rsidR="005125E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amplia</w:t>
      </w:r>
      <w:r w:rsidR="005A74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gama de instituciones de derecho internacional. </w:t>
      </w:r>
    </w:p>
    <w:p w14:paraId="6036A54A" w14:textId="77777777" w:rsidR="00A24BD8" w:rsidRPr="000A771E" w:rsidRDefault="00A24BD8" w:rsidP="000E202A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5B85FC41" w14:textId="77777777" w:rsidR="00390584" w:rsidRDefault="00390584" w:rsidP="000E202A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221C5647" w14:textId="77777777" w:rsidR="005A74BC" w:rsidRDefault="005A74BC" w:rsidP="000E202A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3E2B1E5C" w14:textId="77777777" w:rsidR="00390584" w:rsidRDefault="00390584" w:rsidP="000E202A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2B6FE46C" w14:textId="3B16FF92" w:rsidR="00A24BD8" w:rsidRPr="000A771E" w:rsidRDefault="000E202A" w:rsidP="000E202A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Palabras clave: </w:t>
      </w:r>
      <w:r w:rsidR="00A24BD8"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Derecho internacional público, desarrollo sostenible, la Organización Mundial de Comercio, política pesquera</w:t>
      </w:r>
      <w:r w:rsidRPr="000A771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1738739C" w14:textId="77777777" w:rsidR="00390584" w:rsidRDefault="00390584" w:rsidP="000E202A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</w:p>
    <w:p w14:paraId="3963040C" w14:textId="248FC8CC" w:rsidR="000E202A" w:rsidRPr="00465CD8" w:rsidRDefault="000E202A" w:rsidP="000E202A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5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Keywords: public International law, sustainable development, the World Trade Organization, fisheries policy.</w:t>
      </w:r>
    </w:p>
    <w:sectPr w:rsidR="000E202A" w:rsidRPr="00465CD8" w:rsidSect="00462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9AF98" w14:textId="77777777" w:rsidR="005125E3" w:rsidRDefault="005125E3" w:rsidP="001471D3">
      <w:pPr>
        <w:spacing w:after="0" w:line="240" w:lineRule="auto"/>
      </w:pPr>
      <w:r>
        <w:separator/>
      </w:r>
    </w:p>
  </w:endnote>
  <w:endnote w:type="continuationSeparator" w:id="0">
    <w:p w14:paraId="421AE7DC" w14:textId="77777777" w:rsidR="005125E3" w:rsidRDefault="005125E3" w:rsidP="0014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88A1D" w14:textId="77777777" w:rsidR="005125E3" w:rsidRDefault="00512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09754" w14:textId="77777777" w:rsidR="005125E3" w:rsidRDefault="005125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97526" w14:textId="77777777" w:rsidR="005125E3" w:rsidRDefault="00512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B937F" w14:textId="77777777" w:rsidR="005125E3" w:rsidRDefault="005125E3" w:rsidP="001471D3">
      <w:pPr>
        <w:spacing w:after="0" w:line="240" w:lineRule="auto"/>
      </w:pPr>
      <w:r>
        <w:separator/>
      </w:r>
    </w:p>
  </w:footnote>
  <w:footnote w:type="continuationSeparator" w:id="0">
    <w:p w14:paraId="575221BF" w14:textId="77777777" w:rsidR="005125E3" w:rsidRDefault="005125E3" w:rsidP="001471D3">
      <w:pPr>
        <w:spacing w:after="0" w:line="240" w:lineRule="auto"/>
      </w:pPr>
      <w:r>
        <w:continuationSeparator/>
      </w:r>
    </w:p>
  </w:footnote>
  <w:footnote w:id="1">
    <w:p w14:paraId="65F20AEE" w14:textId="173C9245" w:rsidR="005125E3" w:rsidRPr="00CB631A" w:rsidRDefault="005125E3" w:rsidP="00390584">
      <w:pPr>
        <w:pStyle w:val="FootnoteText"/>
        <w:contextualSpacing/>
        <w:rPr>
          <w:rFonts w:ascii="Times New Roman" w:hAnsi="Times New Roman" w:cs="Times New Roman"/>
          <w:lang w:val="es-ES"/>
        </w:rPr>
      </w:pPr>
      <w:r w:rsidRPr="00CB631A">
        <w:rPr>
          <w:rStyle w:val="FootnoteReference"/>
          <w:rFonts w:ascii="Times New Roman" w:hAnsi="Times New Roman" w:cs="Times New Roman"/>
          <w:lang w:val="es-ES"/>
        </w:rPr>
        <w:footnoteRef/>
      </w:r>
      <w:r w:rsidRPr="00CB631A">
        <w:rPr>
          <w:rFonts w:ascii="Times New Roman" w:hAnsi="Times New Roman" w:cs="Times New Roman"/>
          <w:lang w:val="es-ES"/>
        </w:rPr>
        <w:t xml:space="preserve"> Véase: Comisión Mundial sobre el Medio Ambiente y el Desarrollo, incluido en Resolución de la Asamblea General de las Naciones Unidas, 4 Agosto 1987, A/42/427 (Comisión Bruntland).</w:t>
      </w:r>
    </w:p>
  </w:footnote>
  <w:footnote w:id="2">
    <w:p w14:paraId="091015B3" w14:textId="68D66C14" w:rsidR="005125E3" w:rsidRPr="00CB631A" w:rsidRDefault="005125E3" w:rsidP="00390584">
      <w:pPr>
        <w:pStyle w:val="FootnoteText"/>
        <w:contextualSpacing/>
        <w:rPr>
          <w:rFonts w:ascii="Times New Roman" w:hAnsi="Times New Roman" w:cs="Times New Roman"/>
          <w:lang w:val="es-ES"/>
        </w:rPr>
      </w:pPr>
      <w:r w:rsidRPr="00CB631A">
        <w:rPr>
          <w:rStyle w:val="FootnoteReference"/>
          <w:rFonts w:ascii="Times New Roman" w:hAnsi="Times New Roman" w:cs="Times New Roman"/>
          <w:lang w:val="es-ES"/>
        </w:rPr>
        <w:footnoteRef/>
      </w:r>
      <w:r w:rsidRPr="00CB631A">
        <w:rPr>
          <w:rFonts w:ascii="Times New Roman" w:hAnsi="Times New Roman" w:cs="Times New Roman"/>
          <w:lang w:val="es-ES"/>
        </w:rPr>
        <w:t xml:space="preserve"> Comisión Bruntland, nota </w:t>
      </w:r>
      <w:r w:rsidRPr="00CB631A">
        <w:rPr>
          <w:rFonts w:ascii="Times New Roman" w:hAnsi="Times New Roman" w:cs="Times New Roman"/>
          <w:lang w:val="es-ES"/>
        </w:rPr>
        <w:fldChar w:fldCharType="begin"/>
      </w:r>
      <w:r w:rsidRPr="00CB631A">
        <w:rPr>
          <w:rFonts w:ascii="Times New Roman" w:hAnsi="Times New Roman" w:cs="Times New Roman"/>
          <w:lang w:val="es-ES"/>
        </w:rPr>
        <w:instrText xml:space="preserve"> NOTEREF _Ref465784096 \h </w:instrText>
      </w:r>
      <w:r w:rsidRPr="00CB631A">
        <w:rPr>
          <w:rFonts w:ascii="Times New Roman" w:hAnsi="Times New Roman" w:cs="Times New Roman"/>
          <w:lang w:val="es-ES"/>
        </w:rPr>
      </w:r>
      <w:r w:rsidRPr="00CB631A">
        <w:rPr>
          <w:rFonts w:ascii="Times New Roman" w:hAnsi="Times New Roman" w:cs="Times New Roman"/>
          <w:lang w:val="es-ES"/>
        </w:rPr>
        <w:fldChar w:fldCharType="separate"/>
      </w:r>
      <w:r w:rsidRPr="00CB631A">
        <w:rPr>
          <w:rFonts w:ascii="Times New Roman" w:hAnsi="Times New Roman" w:cs="Times New Roman"/>
          <w:lang w:val="es-ES"/>
        </w:rPr>
        <w:t>1</w:t>
      </w:r>
      <w:r w:rsidRPr="00CB631A">
        <w:rPr>
          <w:rFonts w:ascii="Times New Roman" w:hAnsi="Times New Roman" w:cs="Times New Roman"/>
          <w:lang w:val="es-ES"/>
        </w:rPr>
        <w:fldChar w:fldCharType="end"/>
      </w:r>
      <w:r w:rsidRPr="00CB631A">
        <w:rPr>
          <w:rFonts w:ascii="Times New Roman" w:hAnsi="Times New Roman" w:cs="Times New Roman"/>
          <w:lang w:val="es-ES"/>
        </w:rPr>
        <w:t>, párr. 27.</w:t>
      </w:r>
    </w:p>
  </w:footnote>
  <w:footnote w:id="3">
    <w:p w14:paraId="74E6CDF0" w14:textId="190F89C5" w:rsidR="005125E3" w:rsidRPr="00CB631A" w:rsidRDefault="005125E3" w:rsidP="00390584">
      <w:pPr>
        <w:pStyle w:val="FootnoteText"/>
        <w:contextualSpacing/>
        <w:rPr>
          <w:rFonts w:ascii="Times New Roman" w:hAnsi="Times New Roman" w:cs="Times New Roman"/>
          <w:lang w:val="es-ES"/>
        </w:rPr>
      </w:pPr>
      <w:r w:rsidRPr="00CB631A">
        <w:rPr>
          <w:rStyle w:val="FootnoteReference"/>
          <w:rFonts w:ascii="Times New Roman" w:hAnsi="Times New Roman" w:cs="Times New Roman"/>
          <w:lang w:val="es-ES"/>
        </w:rPr>
        <w:footnoteRef/>
      </w:r>
      <w:r w:rsidRPr="00CB631A">
        <w:rPr>
          <w:rFonts w:ascii="Times New Roman" w:hAnsi="Times New Roman" w:cs="Times New Roman"/>
          <w:lang w:val="es-ES"/>
        </w:rPr>
        <w:t xml:space="preserve"> Tres pilares del desarrollo sostenible: desarrollo económico, desarrollo social, y la protección del medio ambiente. Informe de la Cumbre Mundial sobre el Desarrollo Sostenible, UN Doc. A/CONF/199/20 (2002), Resolución 1, párr. 5</w:t>
      </w:r>
    </w:p>
  </w:footnote>
  <w:footnote w:id="4">
    <w:p w14:paraId="18D732D9" w14:textId="5B1C5C10" w:rsidR="005125E3" w:rsidRPr="00CB631A" w:rsidRDefault="005125E3" w:rsidP="00390584">
      <w:pPr>
        <w:pStyle w:val="FootnoteText"/>
        <w:contextualSpacing/>
        <w:rPr>
          <w:rFonts w:ascii="Times New Roman" w:hAnsi="Times New Roman" w:cs="Times New Roman"/>
          <w:lang w:val="es-ES"/>
        </w:rPr>
      </w:pPr>
      <w:r w:rsidRPr="00CB631A">
        <w:rPr>
          <w:rStyle w:val="FootnoteReference"/>
          <w:rFonts w:ascii="Times New Roman" w:hAnsi="Times New Roman" w:cs="Times New Roman"/>
          <w:lang w:val="es-ES"/>
        </w:rPr>
        <w:footnoteRef/>
      </w:r>
      <w:r w:rsidRPr="00CB631A">
        <w:rPr>
          <w:rFonts w:ascii="Times New Roman" w:hAnsi="Times New Roman" w:cs="Times New Roman"/>
          <w:lang w:val="es-ES"/>
        </w:rPr>
        <w:t xml:space="preserve"> Comisión Bruntland, nota </w:t>
      </w:r>
      <w:r w:rsidRPr="00CB631A">
        <w:rPr>
          <w:rFonts w:ascii="Times New Roman" w:hAnsi="Times New Roman" w:cs="Times New Roman"/>
          <w:lang w:val="es-ES"/>
        </w:rPr>
        <w:fldChar w:fldCharType="begin"/>
      </w:r>
      <w:r w:rsidRPr="00CB631A">
        <w:rPr>
          <w:rFonts w:ascii="Times New Roman" w:hAnsi="Times New Roman" w:cs="Times New Roman"/>
          <w:lang w:val="es-ES"/>
        </w:rPr>
        <w:instrText xml:space="preserve"> NOTEREF _Ref465784096 \h </w:instrText>
      </w:r>
      <w:r w:rsidRPr="00CB631A">
        <w:rPr>
          <w:rFonts w:ascii="Times New Roman" w:hAnsi="Times New Roman" w:cs="Times New Roman"/>
          <w:lang w:val="es-ES"/>
        </w:rPr>
      </w:r>
      <w:r w:rsidRPr="00CB631A">
        <w:rPr>
          <w:rFonts w:ascii="Times New Roman" w:hAnsi="Times New Roman" w:cs="Times New Roman"/>
          <w:lang w:val="es-ES"/>
        </w:rPr>
        <w:fldChar w:fldCharType="separate"/>
      </w:r>
      <w:r w:rsidRPr="00CB631A">
        <w:rPr>
          <w:rFonts w:ascii="Times New Roman" w:hAnsi="Times New Roman" w:cs="Times New Roman"/>
          <w:lang w:val="es-ES"/>
        </w:rPr>
        <w:t>1</w:t>
      </w:r>
      <w:r w:rsidRPr="00CB631A">
        <w:rPr>
          <w:rFonts w:ascii="Times New Roman" w:hAnsi="Times New Roman" w:cs="Times New Roman"/>
          <w:lang w:val="es-ES"/>
        </w:rPr>
        <w:fldChar w:fldCharType="end"/>
      </w:r>
      <w:r w:rsidRPr="00CB631A">
        <w:rPr>
          <w:rFonts w:ascii="Times New Roman" w:hAnsi="Times New Roman" w:cs="Times New Roman"/>
          <w:lang w:val="es-ES"/>
        </w:rPr>
        <w:t>.</w:t>
      </w:r>
    </w:p>
  </w:footnote>
  <w:footnote w:id="5">
    <w:p w14:paraId="3D2288D3" w14:textId="5070ED93" w:rsidR="005125E3" w:rsidRPr="00CB631A" w:rsidRDefault="005125E3" w:rsidP="00390584">
      <w:pPr>
        <w:pStyle w:val="FootnoteText"/>
        <w:contextualSpacing/>
        <w:rPr>
          <w:rFonts w:ascii="Times New Roman" w:hAnsi="Times New Roman" w:cs="Times New Roman"/>
          <w:lang w:val="es-ES"/>
        </w:rPr>
      </w:pPr>
      <w:r w:rsidRPr="00CB631A">
        <w:rPr>
          <w:rStyle w:val="FootnoteReference"/>
          <w:rFonts w:ascii="Times New Roman" w:hAnsi="Times New Roman" w:cs="Times New Roman"/>
          <w:lang w:val="es-ES"/>
        </w:rPr>
        <w:footnoteRef/>
      </w:r>
      <w:r w:rsidRPr="00CB631A">
        <w:rPr>
          <w:rFonts w:ascii="Times New Roman" w:hAnsi="Times New Roman" w:cs="Times New Roman"/>
          <w:lang w:val="es-ES"/>
        </w:rPr>
        <w:t xml:space="preserve"> Informe de la Conferencia de las Naciones Unidas sobre el Medio Ambiente y el Desarrollo,  Río de Janeiro, 3 al 4 de junio de 1992 UN Doc. A/CONF.151/26/Rev.l (Vol. I).</w:t>
      </w:r>
    </w:p>
  </w:footnote>
  <w:footnote w:id="6">
    <w:p w14:paraId="0A83D52D" w14:textId="761111A0" w:rsidR="005125E3" w:rsidRPr="00CB631A" w:rsidRDefault="005125E3" w:rsidP="00390584">
      <w:pPr>
        <w:pStyle w:val="FootnoteText"/>
        <w:contextualSpacing/>
        <w:rPr>
          <w:rFonts w:ascii="Times New Roman" w:hAnsi="Times New Roman" w:cs="Times New Roman"/>
          <w:lang w:val="es-ES"/>
        </w:rPr>
      </w:pPr>
      <w:r w:rsidRPr="00CB631A">
        <w:rPr>
          <w:rStyle w:val="FootnoteReference"/>
          <w:rFonts w:ascii="Times New Roman" w:hAnsi="Times New Roman" w:cs="Times New Roman"/>
          <w:lang w:val="es-ES"/>
        </w:rPr>
        <w:footnoteRef/>
      </w:r>
      <w:r w:rsidRPr="00CB631A">
        <w:rPr>
          <w:rFonts w:ascii="Times New Roman" w:hAnsi="Times New Roman" w:cs="Times New Roman"/>
          <w:lang w:val="es-ES"/>
        </w:rPr>
        <w:t xml:space="preserve"> Incluido en: Resolución de la Asamblea General de las Naciones Unidas, 13 Septiembre 2000, A/RES/55/2.</w:t>
      </w:r>
    </w:p>
  </w:footnote>
  <w:footnote w:id="7">
    <w:p w14:paraId="28BD0EC0" w14:textId="427D3022" w:rsidR="005125E3" w:rsidRPr="00CB631A" w:rsidRDefault="005125E3" w:rsidP="00390584">
      <w:pPr>
        <w:pStyle w:val="FootnoteText"/>
        <w:contextualSpacing/>
        <w:rPr>
          <w:rFonts w:ascii="Times New Roman" w:hAnsi="Times New Roman" w:cs="Times New Roman"/>
          <w:lang w:val="es-ES"/>
        </w:rPr>
      </w:pPr>
      <w:r w:rsidRPr="00CB631A">
        <w:rPr>
          <w:rStyle w:val="FootnoteReference"/>
          <w:rFonts w:ascii="Times New Roman" w:hAnsi="Times New Roman" w:cs="Times New Roman"/>
          <w:lang w:val="es-ES"/>
        </w:rPr>
        <w:footnoteRef/>
      </w:r>
      <w:r w:rsidRPr="00CB631A">
        <w:rPr>
          <w:rFonts w:ascii="Times New Roman" w:hAnsi="Times New Roman" w:cs="Times New Roman"/>
          <w:lang w:val="es-ES"/>
        </w:rPr>
        <w:t xml:space="preserve"> Adoptada por Resolución de la Asamblea General de las Naciones Unidas, 18 de septiembre de 2015, A/70/L.1 (Agenda 2030).</w:t>
      </w:r>
    </w:p>
  </w:footnote>
  <w:footnote w:id="8">
    <w:p w14:paraId="691638F6" w14:textId="3BA7F306" w:rsidR="005125E3" w:rsidRPr="00CB631A" w:rsidRDefault="005125E3" w:rsidP="00390584">
      <w:pPr>
        <w:pStyle w:val="FootnoteText"/>
        <w:contextualSpacing/>
        <w:rPr>
          <w:rFonts w:ascii="Times New Roman" w:hAnsi="Times New Roman" w:cs="Times New Roman"/>
          <w:lang w:val="es-ES"/>
        </w:rPr>
      </w:pPr>
      <w:r w:rsidRPr="00CB631A">
        <w:rPr>
          <w:rStyle w:val="FootnoteReference"/>
          <w:rFonts w:ascii="Times New Roman" w:hAnsi="Times New Roman" w:cs="Times New Roman"/>
          <w:lang w:val="es-ES"/>
        </w:rPr>
        <w:footnoteRef/>
      </w:r>
      <w:r w:rsidRPr="00CB631A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Véase el p</w:t>
      </w:r>
      <w:r w:rsidRPr="00CB631A">
        <w:rPr>
          <w:rFonts w:ascii="Times New Roman" w:hAnsi="Times New Roman" w:cs="Times New Roman"/>
          <w:lang w:val="es-ES"/>
        </w:rPr>
        <w:t xml:space="preserve">reámbulo, Acuerdo por el que se establece la Organización Mundial del Comercio (Acuerdo de Marrakech), 15 Abril 1994, </w:t>
      </w:r>
      <w:hyperlink r:id="rId1" w:history="1">
        <w:r w:rsidRPr="00CB631A">
          <w:rPr>
            <w:rStyle w:val="Hyperlink"/>
            <w:rFonts w:ascii="Times New Roman" w:hAnsi="Times New Roman" w:cs="Times New Roman"/>
            <w:i/>
            <w:lang w:val="es-ES"/>
          </w:rPr>
          <w:t>https://www.wto.org/spanish/docs_s/legal_s/legal_s.htm</w:t>
        </w:r>
      </w:hyperlink>
      <w:r w:rsidRPr="00CB631A">
        <w:rPr>
          <w:rFonts w:ascii="Times New Roman" w:hAnsi="Times New Roman" w:cs="Times New Roman"/>
          <w:i/>
          <w:lang w:val="es-ES"/>
        </w:rPr>
        <w:t xml:space="preserve"> </w:t>
      </w:r>
      <w:r w:rsidRPr="00CB631A">
        <w:rPr>
          <w:rFonts w:ascii="Times New Roman" w:hAnsi="Times New Roman" w:cs="Times New Roman"/>
          <w:lang w:val="es-ES"/>
        </w:rPr>
        <w:t>(consultada el 30 de octubre 2016).</w:t>
      </w:r>
    </w:p>
  </w:footnote>
  <w:footnote w:id="9">
    <w:p w14:paraId="186F0A70" w14:textId="553D9BC7" w:rsidR="005125E3" w:rsidRPr="00CB631A" w:rsidRDefault="005125E3" w:rsidP="00390584">
      <w:pPr>
        <w:pStyle w:val="FootnoteText"/>
        <w:contextualSpacing/>
        <w:rPr>
          <w:rFonts w:ascii="Times New Roman" w:hAnsi="Times New Roman" w:cs="Times New Roman"/>
          <w:lang w:val="es-ES"/>
        </w:rPr>
      </w:pPr>
      <w:r w:rsidRPr="00CB631A">
        <w:rPr>
          <w:rStyle w:val="FootnoteReference"/>
          <w:rFonts w:ascii="Times New Roman" w:hAnsi="Times New Roman" w:cs="Times New Roman"/>
          <w:lang w:val="es-ES"/>
        </w:rPr>
        <w:footnoteRef/>
      </w:r>
      <w:r w:rsidRPr="00CB631A">
        <w:rPr>
          <w:rFonts w:ascii="Times New Roman" w:hAnsi="Times New Roman" w:cs="Times New Roman"/>
          <w:lang w:val="es-ES"/>
        </w:rPr>
        <w:t xml:space="preserve"> Agenda 2030, nota </w:t>
      </w:r>
      <w:r w:rsidRPr="00CB631A">
        <w:rPr>
          <w:rFonts w:ascii="Times New Roman" w:hAnsi="Times New Roman" w:cs="Times New Roman"/>
          <w:lang w:val="es-ES"/>
        </w:rPr>
        <w:fldChar w:fldCharType="begin"/>
      </w:r>
      <w:r w:rsidRPr="00CB631A">
        <w:rPr>
          <w:rFonts w:ascii="Times New Roman" w:hAnsi="Times New Roman" w:cs="Times New Roman"/>
          <w:lang w:val="es-ES"/>
        </w:rPr>
        <w:instrText xml:space="preserve"> NOTEREF _Ref465784115 \h </w:instrText>
      </w:r>
      <w:r w:rsidRPr="00CB631A">
        <w:rPr>
          <w:rFonts w:ascii="Times New Roman" w:hAnsi="Times New Roman" w:cs="Times New Roman"/>
          <w:lang w:val="es-ES"/>
        </w:rPr>
      </w:r>
      <w:r w:rsidRPr="00CB631A">
        <w:rPr>
          <w:rFonts w:ascii="Times New Roman" w:hAnsi="Times New Roman" w:cs="Times New Roman"/>
          <w:lang w:val="es-ES"/>
        </w:rPr>
        <w:fldChar w:fldCharType="separate"/>
      </w:r>
      <w:r w:rsidRPr="00CB631A">
        <w:rPr>
          <w:rFonts w:ascii="Times New Roman" w:hAnsi="Times New Roman" w:cs="Times New Roman"/>
          <w:lang w:val="es-ES"/>
        </w:rPr>
        <w:t>7</w:t>
      </w:r>
      <w:r w:rsidRPr="00CB631A">
        <w:rPr>
          <w:rFonts w:ascii="Times New Roman" w:hAnsi="Times New Roman" w:cs="Times New Roman"/>
          <w:lang w:val="es-ES"/>
        </w:rPr>
        <w:fldChar w:fldCharType="end"/>
      </w:r>
      <w:r w:rsidRPr="00CB631A">
        <w:rPr>
          <w:rFonts w:ascii="Times New Roman" w:hAnsi="Times New Roman" w:cs="Times New Roman"/>
          <w:lang w:val="es-ES"/>
        </w:rPr>
        <w:t>.</w:t>
      </w:r>
    </w:p>
  </w:footnote>
  <w:footnote w:id="10">
    <w:p w14:paraId="29EC0619" w14:textId="75D83661" w:rsidR="005125E3" w:rsidRPr="00CB631A" w:rsidRDefault="005125E3" w:rsidP="00390584">
      <w:pPr>
        <w:pStyle w:val="FootnoteText"/>
        <w:contextualSpacing/>
        <w:rPr>
          <w:rFonts w:ascii="Times New Roman" w:hAnsi="Times New Roman" w:cs="Times New Roman"/>
          <w:lang w:val="es-ES"/>
        </w:rPr>
      </w:pPr>
      <w:r w:rsidRPr="00CB631A">
        <w:rPr>
          <w:rStyle w:val="FootnoteReference"/>
          <w:rFonts w:ascii="Times New Roman" w:hAnsi="Times New Roman" w:cs="Times New Roman"/>
          <w:lang w:val="es-ES"/>
        </w:rPr>
        <w:footnoteRef/>
      </w:r>
      <w:r w:rsidRPr="00CB631A">
        <w:rPr>
          <w:rFonts w:ascii="Times New Roman" w:hAnsi="Times New Roman" w:cs="Times New Roman"/>
          <w:lang w:val="es-ES"/>
        </w:rPr>
        <w:t xml:space="preserve"> Objetivos 1,6 y 5.</w:t>
      </w:r>
    </w:p>
  </w:footnote>
  <w:footnote w:id="11">
    <w:p w14:paraId="5F638FC1" w14:textId="28E59831" w:rsidR="005125E3" w:rsidRPr="00CB631A" w:rsidRDefault="005125E3" w:rsidP="00390584">
      <w:pPr>
        <w:pStyle w:val="FootnoteText"/>
        <w:contextualSpacing/>
        <w:rPr>
          <w:rFonts w:ascii="Times New Roman" w:hAnsi="Times New Roman" w:cs="Times New Roman"/>
          <w:lang w:val="es-ES"/>
        </w:rPr>
      </w:pPr>
      <w:r w:rsidRPr="00CB631A">
        <w:rPr>
          <w:rStyle w:val="FootnoteReference"/>
          <w:rFonts w:ascii="Times New Roman" w:hAnsi="Times New Roman" w:cs="Times New Roman"/>
          <w:lang w:val="es-ES"/>
        </w:rPr>
        <w:footnoteRef/>
      </w:r>
      <w:r w:rsidRPr="00CB631A">
        <w:rPr>
          <w:rFonts w:ascii="Times New Roman" w:hAnsi="Times New Roman" w:cs="Times New Roman"/>
          <w:lang w:val="es-ES"/>
        </w:rPr>
        <w:t xml:space="preserve"> Véase el preámbulo del Acuerdo Sobre La Agricultura, 15 Abril 1994, </w:t>
      </w:r>
      <w:hyperlink r:id="rId2" w:history="1">
        <w:r w:rsidRPr="00CB631A">
          <w:rPr>
            <w:rStyle w:val="Hyperlink"/>
            <w:rFonts w:ascii="Times New Roman" w:hAnsi="Times New Roman" w:cs="Times New Roman"/>
            <w:i/>
            <w:lang w:val="es-ES"/>
          </w:rPr>
          <w:t>https://www.wto.org/spanish/docs_s/legal_s/legal_s.htm</w:t>
        </w:r>
      </w:hyperlink>
      <w:r w:rsidRPr="00CB631A">
        <w:rPr>
          <w:rFonts w:ascii="Times New Roman" w:hAnsi="Times New Roman" w:cs="Times New Roman"/>
          <w:i/>
          <w:lang w:val="es-ES"/>
        </w:rPr>
        <w:t xml:space="preserve"> </w:t>
      </w:r>
      <w:r w:rsidRPr="00CB631A">
        <w:rPr>
          <w:rFonts w:ascii="Times New Roman" w:hAnsi="Times New Roman" w:cs="Times New Roman"/>
          <w:lang w:val="es-ES"/>
        </w:rPr>
        <w:t xml:space="preserve">(consultada el 30 de octubre 2016) exhortando la creación de </w:t>
      </w:r>
      <w:r w:rsidRPr="00CB631A">
        <w:rPr>
          <w:rFonts w:ascii="Times New Roman" w:hAnsi="Times New Roman" w:cs="Times New Roman"/>
          <w:color w:val="000000" w:themeColor="text1"/>
          <w:lang w:val="es-ES"/>
        </w:rPr>
        <w:t>«</w:t>
      </w:r>
      <w:r w:rsidRPr="00CB631A">
        <w:rPr>
          <w:rFonts w:ascii="Times New Roman" w:hAnsi="Times New Roman" w:cs="Times New Roman"/>
          <w:lang w:val="es-ES"/>
        </w:rPr>
        <w:t>un sistema de comercio agropecuario equitativo y orientado al mercado</w:t>
      </w:r>
      <w:r w:rsidRPr="00CB631A">
        <w:rPr>
          <w:rFonts w:ascii="Times New Roman" w:hAnsi="Times New Roman" w:cs="Times New Roman"/>
          <w:color w:val="000000" w:themeColor="text1"/>
          <w:lang w:val="es-ES"/>
        </w:rPr>
        <w:t>»</w:t>
      </w:r>
      <w:r w:rsidRPr="00CB631A">
        <w:rPr>
          <w:rFonts w:ascii="Times New Roman" w:hAnsi="Times New Roman" w:cs="Times New Roman"/>
          <w:lang w:val="es-ES"/>
        </w:rPr>
        <w:t>.</w:t>
      </w:r>
    </w:p>
  </w:footnote>
  <w:footnote w:id="12">
    <w:p w14:paraId="37AB00E3" w14:textId="635767B2" w:rsidR="005125E3" w:rsidRPr="00465CD8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465CD8">
        <w:rPr>
          <w:rFonts w:ascii="Times New Roman" w:hAnsi="Times New Roman" w:cs="Times New Roman"/>
          <w:sz w:val="20"/>
          <w:szCs w:val="20"/>
        </w:rPr>
        <w:t xml:space="preserve"> Véase </w:t>
      </w:r>
      <w:r w:rsidRPr="00465CD8">
        <w:rPr>
          <w:rFonts w:ascii="Times New Roman" w:hAnsi="Times New Roman" w:cs="Times New Roman"/>
          <w:smallCaps/>
          <w:sz w:val="20"/>
          <w:szCs w:val="20"/>
        </w:rPr>
        <w:t>Trebilcock</w:t>
      </w:r>
      <w:r w:rsidRPr="00465CD8">
        <w:rPr>
          <w:rFonts w:ascii="Times New Roman" w:hAnsi="Times New Roman" w:cs="Times New Roman"/>
          <w:sz w:val="20"/>
          <w:szCs w:val="20"/>
        </w:rPr>
        <w:t xml:space="preserve">, M., 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465CD8">
        <w:rPr>
          <w:rFonts w:ascii="Times New Roman" w:hAnsi="Times New Roman" w:cs="Times New Roman"/>
          <w:sz w:val="20"/>
          <w:szCs w:val="20"/>
        </w:rPr>
        <w:t>Between Theories of Trade and Development: The Future of the World Trading System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465CD8">
        <w:rPr>
          <w:rFonts w:ascii="Times New Roman" w:hAnsi="Times New Roman" w:cs="Times New Roman"/>
          <w:sz w:val="20"/>
          <w:szCs w:val="20"/>
        </w:rPr>
        <w:t xml:space="preserve">, </w:t>
      </w:r>
      <w:r w:rsidRPr="00465CD8">
        <w:rPr>
          <w:rFonts w:ascii="Times New Roman" w:hAnsi="Times New Roman" w:cs="Times New Roman"/>
          <w:i/>
          <w:sz w:val="20"/>
          <w:szCs w:val="20"/>
        </w:rPr>
        <w:t>JWI&amp;T</w:t>
      </w:r>
      <w:r w:rsidRPr="00465CD8">
        <w:rPr>
          <w:rFonts w:ascii="Times New Roman" w:hAnsi="Times New Roman" w:cs="Times New Roman"/>
          <w:sz w:val="20"/>
          <w:szCs w:val="20"/>
        </w:rPr>
        <w:t xml:space="preserve">, Vol. 16, 2015, p. 122. </w:t>
      </w:r>
    </w:p>
  </w:footnote>
  <w:footnote w:id="13">
    <w:p w14:paraId="364DE725" w14:textId="1A440712" w:rsidR="005125E3" w:rsidRPr="00CB631A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Escasos avances se encuentran en: </w:t>
      </w:r>
      <w:r w:rsidRPr="00CB631A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Decisión Ministerial, </w:t>
      </w:r>
      <w:r w:rsidRPr="00CB631A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s-ES"/>
        </w:rPr>
        <w:t>Constitución de existencias públicas con fines de seguridad alimentaria</w:t>
      </w:r>
      <w:r w:rsidRPr="00CB631A">
        <w:rPr>
          <w:rFonts w:ascii="Times New Roman" w:hAnsi="Times New Roman" w:cs="Times New Roman"/>
          <w:iCs/>
          <w:color w:val="000000" w:themeColor="text1"/>
          <w:sz w:val="20"/>
          <w:szCs w:val="20"/>
          <w:lang w:val="es-ES"/>
        </w:rPr>
        <w:t xml:space="preserve">, </w:t>
      </w:r>
      <w:r w:rsidRPr="00CB631A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WT/MIN(i3)/38 </w:t>
      </w:r>
      <w:r w:rsidRPr="00CB631A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WT/L/913 (2013)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; </w:t>
      </w:r>
      <w:r w:rsidRPr="00CB631A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Decisión Ministerial, </w:t>
      </w:r>
      <w:r w:rsidRPr="00CB631A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s-ES"/>
        </w:rPr>
        <w:t>Competencia de las Exportaciones</w:t>
      </w:r>
      <w:r w:rsidRPr="00CB631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lang w:val="es-ES"/>
        </w:rPr>
        <w:t xml:space="preserve">, </w:t>
      </w:r>
      <w:r w:rsidRPr="00CB631A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WT/MIN(15)/45 </w:t>
      </w:r>
      <w:r w:rsidRPr="00CB631A">
        <w:rPr>
          <w:rFonts w:ascii="Times New Roman" w:hAnsi="Times New Roman" w:cs="Times New Roman"/>
          <w:bCs/>
          <w:color w:val="000000" w:themeColor="text1"/>
          <w:sz w:val="20"/>
          <w:szCs w:val="20"/>
          <w:lang w:val="es-ES"/>
        </w:rPr>
        <w:t>WT/L/980 (2015)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>.</w:t>
      </w:r>
    </w:p>
  </w:footnote>
  <w:footnote w:id="14">
    <w:p w14:paraId="65A958BF" w14:textId="50C03BDD" w:rsidR="005125E3" w:rsidRPr="00465CD8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465CD8">
        <w:rPr>
          <w:rFonts w:ascii="Times New Roman" w:hAnsi="Times New Roman" w:cs="Times New Roman"/>
          <w:sz w:val="20"/>
          <w:szCs w:val="20"/>
        </w:rPr>
        <w:t xml:space="preserve"> </w:t>
      </w:r>
      <w:r w:rsidRPr="00465CD8">
        <w:rPr>
          <w:rFonts w:ascii="Times New Roman" w:hAnsi="Times New Roman" w:cs="Times New Roman"/>
          <w:smallCaps/>
          <w:sz w:val="20"/>
          <w:szCs w:val="20"/>
        </w:rPr>
        <w:t>de Schutter</w:t>
      </w:r>
      <w:r w:rsidRPr="00465CD8">
        <w:rPr>
          <w:rFonts w:ascii="Times New Roman" w:hAnsi="Times New Roman" w:cs="Times New Roman"/>
          <w:sz w:val="20"/>
          <w:szCs w:val="20"/>
        </w:rPr>
        <w:t xml:space="preserve">, O., 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465CD8">
        <w:rPr>
          <w:rFonts w:ascii="Times New Roman" w:hAnsi="Times New Roman" w:cs="Times New Roman"/>
          <w:sz w:val="20"/>
          <w:szCs w:val="20"/>
        </w:rPr>
        <w:t>Food Commodities Speculation and Food Price Crises: Regulation to reduce the risks of price volatility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», </w:t>
      </w:r>
      <w:r w:rsidRPr="00465CD8">
        <w:rPr>
          <w:rFonts w:ascii="Times New Roman" w:hAnsi="Times New Roman" w:cs="Times New Roman"/>
          <w:sz w:val="20"/>
          <w:szCs w:val="20"/>
        </w:rPr>
        <w:t xml:space="preserve">2010: </w:t>
      </w:r>
      <w:hyperlink r:id="rId3" w:history="1">
        <w:r w:rsidRPr="00465CD8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http://www2.ohchr.org/english/issues/food/docs/Briefing_Note_02_September_2010_EN.pdf</w:t>
        </w:r>
      </w:hyperlink>
      <w:r w:rsidRPr="00465C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5CD8">
        <w:rPr>
          <w:rFonts w:ascii="Times New Roman" w:hAnsi="Times New Roman" w:cs="Times New Roman"/>
          <w:sz w:val="20"/>
          <w:szCs w:val="20"/>
        </w:rPr>
        <w:t>(consultada el 30 de octubre 2016).</w:t>
      </w:r>
    </w:p>
  </w:footnote>
  <w:footnote w:id="15">
    <w:p w14:paraId="2CBE7D37" w14:textId="1981C679" w:rsidR="005125E3" w:rsidRPr="00CB631A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Por ejemplo, NAFTA (UNCITRAL), </w:t>
      </w:r>
      <w:r w:rsidRPr="00CB631A">
        <w:rPr>
          <w:rFonts w:ascii="Times New Roman" w:hAnsi="Times New Roman" w:cs="Times New Roman"/>
          <w:i/>
          <w:sz w:val="20"/>
          <w:szCs w:val="20"/>
          <w:lang w:val="es-ES"/>
        </w:rPr>
        <w:t>Glamis Gold Ltd v USA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, Laudo, 14 de mayo 2009. </w:t>
      </w:r>
    </w:p>
  </w:footnote>
  <w:footnote w:id="16">
    <w:p w14:paraId="2D708CC8" w14:textId="3C0D9B77" w:rsidR="005125E3" w:rsidRPr="00CB631A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Su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mayor exponente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se encuentra en, </w:t>
      </w:r>
      <w:r w:rsidRPr="00CB631A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Informe de la Comisión de Derecho Internacional, 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>«Fragmentación del derecho internacional: dificultades derivadas de la diversificación y expansión del derecho internacional</w:t>
      </w:r>
      <w:r w:rsidRPr="00CB631A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», 13 de abril 2006, A/CN4/L682.</w:t>
      </w:r>
    </w:p>
  </w:footnote>
  <w:footnote w:id="17">
    <w:p w14:paraId="70539EFA" w14:textId="24EAA89D" w:rsidR="005125E3" w:rsidRPr="00465CD8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465CD8">
        <w:rPr>
          <w:rFonts w:ascii="Times New Roman" w:hAnsi="Times New Roman" w:cs="Times New Roman"/>
          <w:sz w:val="20"/>
          <w:szCs w:val="20"/>
        </w:rPr>
        <w:t xml:space="preserve"> </w:t>
      </w:r>
      <w:r w:rsidRPr="00465CD8">
        <w:rPr>
          <w:rFonts w:ascii="Times New Roman" w:hAnsi="Times New Roman" w:cs="Times New Roman"/>
          <w:smallCaps/>
          <w:sz w:val="20"/>
          <w:szCs w:val="20"/>
        </w:rPr>
        <w:t>Mavroidis</w:t>
      </w:r>
      <w:r w:rsidRPr="00465CD8">
        <w:rPr>
          <w:rFonts w:ascii="Times New Roman" w:hAnsi="Times New Roman" w:cs="Times New Roman"/>
          <w:sz w:val="20"/>
          <w:szCs w:val="20"/>
        </w:rPr>
        <w:t>, P., «If I Don’t Do It, Somebody Else Will (Or Won’t)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465CD8">
        <w:rPr>
          <w:rFonts w:ascii="Times New Roman" w:hAnsi="Times New Roman" w:cs="Times New Roman"/>
          <w:sz w:val="20"/>
          <w:szCs w:val="20"/>
        </w:rPr>
        <w:t xml:space="preserve">, </w:t>
      </w:r>
      <w:r w:rsidRPr="00465CD8">
        <w:rPr>
          <w:rFonts w:ascii="Times New Roman" w:hAnsi="Times New Roman" w:cs="Times New Roman"/>
          <w:i/>
          <w:sz w:val="20"/>
          <w:szCs w:val="20"/>
        </w:rPr>
        <w:t>JWT</w:t>
      </w:r>
      <w:r w:rsidRPr="00465CD8">
        <w:rPr>
          <w:rFonts w:ascii="Times New Roman" w:hAnsi="Times New Roman" w:cs="Times New Roman"/>
          <w:sz w:val="20"/>
          <w:szCs w:val="20"/>
        </w:rPr>
        <w:t>, Vol. 40, 2006, p.187.</w:t>
      </w:r>
    </w:p>
  </w:footnote>
  <w:footnote w:id="18">
    <w:p w14:paraId="5862ACD4" w14:textId="4221E78E" w:rsidR="005125E3" w:rsidRPr="00CB631A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Véase </w:t>
      </w:r>
      <w:r>
        <w:rPr>
          <w:rFonts w:ascii="Times New Roman" w:hAnsi="Times New Roman" w:cs="Times New Roman"/>
          <w:sz w:val="20"/>
          <w:szCs w:val="20"/>
          <w:lang w:val="es-ES"/>
        </w:rPr>
        <w:t>Parlamento Europeo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CB631A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«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>Global Fisheries Subsidies: Note</w:t>
      </w:r>
      <w:r w:rsidRPr="00CB631A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»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(2013) pp. 23ff: </w:t>
      </w:r>
      <w:hyperlink r:id="rId4" w:history="1">
        <w:r w:rsidRPr="00CB631A">
          <w:rPr>
            <w:rStyle w:val="Hyperlink"/>
            <w:rFonts w:ascii="Times New Roman" w:hAnsi="Times New Roman" w:cs="Times New Roman"/>
            <w:i/>
            <w:sz w:val="20"/>
            <w:szCs w:val="20"/>
            <w:lang w:val="es-ES"/>
          </w:rPr>
          <w:t>http://www.europarl.europa.eu/RegData/etudes/note/join/2013/513978/IPOL-PECH_NT(2013)513978_EN.pdf</w:t>
        </w:r>
      </w:hyperlink>
      <w:r w:rsidRPr="00CB631A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>(consultada el 30 de octubre 2016).</w:t>
      </w:r>
    </w:p>
  </w:footnote>
  <w:footnote w:id="19">
    <w:p w14:paraId="5C8D2D10" w14:textId="00E6FFCA" w:rsidR="005125E3" w:rsidRPr="00CB631A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Véase párr. 3 UNCTAD-FAO-UNEP, </w:t>
      </w:r>
      <w:r w:rsidRPr="00CB631A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«</w:t>
      </w:r>
      <w:r w:rsidR="00440AB2" w:rsidRPr="00CB631A">
        <w:rPr>
          <w:rFonts w:ascii="Times New Roman" w:hAnsi="Times New Roman" w:cs="Times New Roman"/>
          <w:sz w:val="20"/>
          <w:szCs w:val="20"/>
          <w:lang w:val="es-ES"/>
        </w:rPr>
        <w:t>Declaración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Conjunta sobre Subvenciones a la Pesca</w:t>
      </w:r>
      <w:r w:rsidRPr="00CB631A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»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hyperlink r:id="rId5" w:history="1">
        <w:r w:rsidRPr="00CB631A">
          <w:rPr>
            <w:rStyle w:val="Hyperlink"/>
            <w:rFonts w:ascii="Times New Roman" w:hAnsi="Times New Roman" w:cs="Times New Roman"/>
            <w:i/>
            <w:sz w:val="20"/>
            <w:szCs w:val="20"/>
            <w:lang w:val="es-ES"/>
          </w:rPr>
          <w:t>http://unctad.org/meetings/en/SessionalDocuments/U14ditc_d16_FishSub_Statement_en.pdf</w:t>
        </w:r>
      </w:hyperlink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(consultada el 30 de octubre 2016).</w:t>
      </w:r>
    </w:p>
  </w:footnote>
  <w:footnote w:id="20">
    <w:p w14:paraId="2AADD541" w14:textId="022E0B84" w:rsidR="005125E3" w:rsidRPr="00465CD8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465CD8">
        <w:rPr>
          <w:rFonts w:ascii="Times New Roman" w:hAnsi="Times New Roman" w:cs="Times New Roman"/>
          <w:sz w:val="20"/>
          <w:szCs w:val="20"/>
        </w:rPr>
        <w:t xml:space="preserve"> Véase </w:t>
      </w:r>
      <w:r w:rsidRPr="00465CD8">
        <w:rPr>
          <w:rFonts w:ascii="Times New Roman" w:hAnsi="Times New Roman" w:cs="Times New Roman"/>
          <w:smallCaps/>
          <w:sz w:val="20"/>
          <w:szCs w:val="20"/>
        </w:rPr>
        <w:t>He</w:t>
      </w:r>
      <w:r w:rsidRPr="00465CD8">
        <w:rPr>
          <w:rFonts w:ascii="Times New Roman" w:hAnsi="Times New Roman" w:cs="Times New Roman"/>
          <w:sz w:val="20"/>
          <w:szCs w:val="20"/>
        </w:rPr>
        <w:t xml:space="preserve">, J., 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465CD8">
        <w:rPr>
          <w:rFonts w:ascii="Times New Roman" w:hAnsi="Times New Roman" w:cs="Times New Roman"/>
          <w:sz w:val="20"/>
          <w:szCs w:val="20"/>
        </w:rPr>
        <w:t>Chinese public policy on fisheries subsidies: Reconciling trade, environmental and food security stakes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465CD8">
        <w:rPr>
          <w:rFonts w:ascii="Times New Roman" w:hAnsi="Times New Roman" w:cs="Times New Roman"/>
          <w:sz w:val="20"/>
          <w:szCs w:val="20"/>
        </w:rPr>
        <w:t xml:space="preserve"> </w:t>
      </w:r>
      <w:r w:rsidRPr="00465CD8">
        <w:rPr>
          <w:rFonts w:ascii="Times New Roman" w:hAnsi="Times New Roman" w:cs="Times New Roman"/>
          <w:i/>
          <w:sz w:val="20"/>
          <w:szCs w:val="20"/>
        </w:rPr>
        <w:t>Marine Policy</w:t>
      </w:r>
      <w:r w:rsidRPr="00465CD8">
        <w:rPr>
          <w:rFonts w:ascii="Times New Roman" w:hAnsi="Times New Roman" w:cs="Times New Roman"/>
          <w:sz w:val="20"/>
          <w:szCs w:val="20"/>
        </w:rPr>
        <w:t>, Vol. 56, 2015, p. 106.</w:t>
      </w:r>
    </w:p>
  </w:footnote>
  <w:footnote w:id="21">
    <w:p w14:paraId="69DAFB26" w14:textId="60E1D532" w:rsidR="005125E3" w:rsidRPr="00465CD8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465CD8">
        <w:rPr>
          <w:rFonts w:ascii="Times New Roman" w:hAnsi="Times New Roman" w:cs="Times New Roman"/>
          <w:sz w:val="20"/>
          <w:szCs w:val="20"/>
        </w:rPr>
        <w:t xml:space="preserve"> </w:t>
      </w:r>
      <w:r w:rsidRPr="00465CD8">
        <w:rPr>
          <w:rFonts w:ascii="Times New Roman" w:hAnsi="Times New Roman" w:cs="Times New Roman"/>
          <w:smallCaps/>
          <w:sz w:val="20"/>
          <w:szCs w:val="20"/>
        </w:rPr>
        <w:t>Chang</w:t>
      </w:r>
      <w:r w:rsidRPr="00465CD8">
        <w:rPr>
          <w:rFonts w:ascii="Times New Roman" w:hAnsi="Times New Roman" w:cs="Times New Roman"/>
          <w:sz w:val="20"/>
          <w:szCs w:val="20"/>
        </w:rPr>
        <w:t xml:space="preserve">, SW., 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465CD8">
        <w:rPr>
          <w:rFonts w:ascii="Times New Roman" w:hAnsi="Times New Roman" w:cs="Times New Roman"/>
          <w:sz w:val="20"/>
          <w:szCs w:val="20"/>
        </w:rPr>
        <w:t>WTO Disciplines on Fisheries Subsidies: A Historic Step Towards Sustainability?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465CD8">
        <w:rPr>
          <w:rFonts w:ascii="Times New Roman" w:hAnsi="Times New Roman" w:cs="Times New Roman"/>
          <w:sz w:val="20"/>
          <w:szCs w:val="20"/>
        </w:rPr>
        <w:t xml:space="preserve"> </w:t>
      </w:r>
      <w:r w:rsidRPr="00465CD8">
        <w:rPr>
          <w:rFonts w:ascii="Times New Roman" w:hAnsi="Times New Roman" w:cs="Times New Roman"/>
          <w:i/>
          <w:sz w:val="20"/>
          <w:szCs w:val="20"/>
        </w:rPr>
        <w:t>JIEL,</w:t>
      </w:r>
      <w:r w:rsidRPr="00465CD8">
        <w:rPr>
          <w:rFonts w:ascii="Times New Roman" w:hAnsi="Times New Roman" w:cs="Times New Roman"/>
          <w:sz w:val="20"/>
          <w:szCs w:val="20"/>
        </w:rPr>
        <w:t xml:space="preserve"> Vol. 6, 2003, p. 879; </w:t>
      </w:r>
      <w:r w:rsidRPr="00465CD8">
        <w:rPr>
          <w:rFonts w:ascii="Times New Roman" w:hAnsi="Times New Roman" w:cs="Times New Roman"/>
          <w:smallCaps/>
          <w:sz w:val="20"/>
          <w:szCs w:val="20"/>
        </w:rPr>
        <w:t>Chou</w:t>
      </w:r>
      <w:r w:rsidRPr="00465CD8">
        <w:rPr>
          <w:rFonts w:ascii="Times New Roman" w:hAnsi="Times New Roman" w:cs="Times New Roman"/>
          <w:sz w:val="20"/>
          <w:szCs w:val="20"/>
        </w:rPr>
        <w:t xml:space="preserve">, Y., &amp; </w:t>
      </w:r>
      <w:r w:rsidRPr="00465CD8">
        <w:rPr>
          <w:rFonts w:ascii="Times New Roman" w:hAnsi="Times New Roman" w:cs="Times New Roman"/>
          <w:smallCaps/>
          <w:sz w:val="20"/>
          <w:szCs w:val="20"/>
        </w:rPr>
        <w:t>Ou</w:t>
      </w:r>
      <w:r w:rsidRPr="00465CD8">
        <w:rPr>
          <w:rFonts w:ascii="Times New Roman" w:hAnsi="Times New Roman" w:cs="Times New Roman"/>
          <w:sz w:val="20"/>
          <w:szCs w:val="20"/>
        </w:rPr>
        <w:t xml:space="preserve">, CS., 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465CD8">
        <w:rPr>
          <w:rFonts w:ascii="Times New Roman" w:hAnsi="Times New Roman" w:cs="Times New Roman"/>
          <w:sz w:val="20"/>
          <w:szCs w:val="20"/>
        </w:rPr>
        <w:t xml:space="preserve">The opportunity to regulate domestic fishery subsidies through international agreements’ </w:t>
      </w:r>
      <w:r w:rsidRPr="00465CD8">
        <w:rPr>
          <w:rFonts w:ascii="Times New Roman" w:hAnsi="Times New Roman" w:cs="Times New Roman"/>
          <w:i/>
          <w:sz w:val="20"/>
          <w:szCs w:val="20"/>
        </w:rPr>
        <w:t>Marine Policy</w:t>
      </w:r>
      <w:r w:rsidRPr="00465CD8">
        <w:rPr>
          <w:rFonts w:ascii="Times New Roman" w:hAnsi="Times New Roman" w:cs="Times New Roman"/>
          <w:sz w:val="20"/>
          <w:szCs w:val="20"/>
        </w:rPr>
        <w:t xml:space="preserve">, Vol. 63, 2016, p. 118. </w:t>
      </w:r>
    </w:p>
  </w:footnote>
  <w:footnote w:id="22">
    <w:p w14:paraId="10E1C729" w14:textId="5A74B59B" w:rsidR="005125E3" w:rsidRPr="00465CD8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465CD8">
        <w:rPr>
          <w:rFonts w:ascii="Times New Roman" w:hAnsi="Times New Roman" w:cs="Times New Roman"/>
          <w:sz w:val="20"/>
          <w:szCs w:val="20"/>
        </w:rPr>
        <w:t xml:space="preserve"> Véase </w:t>
      </w:r>
      <w:r w:rsidRPr="00465CD8">
        <w:rPr>
          <w:rFonts w:ascii="Times New Roman" w:hAnsi="Times New Roman" w:cs="Times New Roman"/>
          <w:smallCaps/>
          <w:sz w:val="20"/>
          <w:szCs w:val="20"/>
        </w:rPr>
        <w:t>Young</w:t>
      </w:r>
      <w:r w:rsidRPr="00465CD8">
        <w:rPr>
          <w:rFonts w:ascii="Times New Roman" w:hAnsi="Times New Roman" w:cs="Times New Roman"/>
          <w:sz w:val="20"/>
          <w:szCs w:val="20"/>
        </w:rPr>
        <w:t xml:space="preserve">, MA., </w:t>
      </w:r>
      <w:r w:rsidRPr="00465CD8">
        <w:rPr>
          <w:rFonts w:ascii="Times New Roman" w:hAnsi="Times New Roman" w:cs="Times New Roman"/>
          <w:i/>
          <w:sz w:val="20"/>
          <w:szCs w:val="20"/>
        </w:rPr>
        <w:t>Trading Fish, Saving Fish: The Interaction between Regimes in International Law,</w:t>
      </w:r>
      <w:r w:rsidRPr="00465CD8">
        <w:rPr>
          <w:rFonts w:ascii="Times New Roman" w:hAnsi="Times New Roman" w:cs="Times New Roman"/>
          <w:sz w:val="20"/>
          <w:szCs w:val="20"/>
        </w:rPr>
        <w:t xml:space="preserve"> Cambridge, Cambridge University Press, 2011, capítulo 2.</w:t>
      </w:r>
    </w:p>
  </w:footnote>
  <w:footnote w:id="23">
    <w:p w14:paraId="40A22804" w14:textId="5CBC5B4B" w:rsidR="005125E3" w:rsidRPr="00465CD8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465CD8">
        <w:rPr>
          <w:rFonts w:ascii="Times New Roman" w:hAnsi="Times New Roman" w:cs="Times New Roman"/>
          <w:sz w:val="20"/>
          <w:szCs w:val="20"/>
        </w:rPr>
        <w:t xml:space="preserve"> FAO, </w:t>
      </w:r>
      <w:r w:rsidRPr="00465CD8">
        <w:rPr>
          <w:rFonts w:ascii="Times New Roman" w:hAnsi="Times New Roman" w:cs="Times New Roman"/>
          <w:i/>
          <w:sz w:val="20"/>
          <w:szCs w:val="20"/>
        </w:rPr>
        <w:t>Report:</w:t>
      </w:r>
      <w:r w:rsidRPr="00465CD8">
        <w:rPr>
          <w:rFonts w:ascii="Times New Roman" w:hAnsi="Times New Roman" w:cs="Times New Roman"/>
          <w:sz w:val="20"/>
          <w:szCs w:val="20"/>
        </w:rPr>
        <w:t xml:space="preserve"> </w:t>
      </w:r>
      <w:r w:rsidRPr="00465CD8">
        <w:rPr>
          <w:rFonts w:ascii="Times New Roman" w:hAnsi="Times New Roman" w:cs="Times New Roman"/>
          <w:i/>
          <w:sz w:val="20"/>
          <w:szCs w:val="20"/>
        </w:rPr>
        <w:t>The State of World Fisheries and Aquaculture,</w:t>
      </w:r>
      <w:r w:rsidRPr="00465CD8">
        <w:rPr>
          <w:rFonts w:ascii="Times New Roman" w:hAnsi="Times New Roman" w:cs="Times New Roman"/>
          <w:sz w:val="20"/>
          <w:szCs w:val="20"/>
        </w:rPr>
        <w:t xml:space="preserve"> Roma, 2008, p. 69.</w:t>
      </w:r>
    </w:p>
  </w:footnote>
  <w:footnote w:id="24">
    <w:p w14:paraId="27E5FD2B" w14:textId="1279C25E" w:rsidR="005125E3" w:rsidRPr="00465CD8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465CD8">
        <w:rPr>
          <w:rFonts w:ascii="Times New Roman" w:hAnsi="Times New Roman" w:cs="Times New Roman"/>
          <w:sz w:val="20"/>
          <w:szCs w:val="20"/>
        </w:rPr>
        <w:t xml:space="preserve"> Véase FAO, 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465CD8">
        <w:rPr>
          <w:rFonts w:ascii="Times New Roman" w:hAnsi="Times New Roman" w:cs="Times New Roman"/>
          <w:sz w:val="20"/>
          <w:szCs w:val="20"/>
        </w:rPr>
        <w:t>Performance Reviews by Regional Fishery Bodies: Introduction, Summaries, Synthesis and Best Practices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», Vol. 1, </w:t>
      </w:r>
      <w:r w:rsidRPr="00465CD8">
        <w:rPr>
          <w:rFonts w:ascii="Times New Roman" w:hAnsi="Times New Roman" w:cs="Times New Roman"/>
          <w:sz w:val="20"/>
          <w:szCs w:val="20"/>
        </w:rPr>
        <w:t>2012, p. 26.</w:t>
      </w:r>
    </w:p>
  </w:footnote>
  <w:footnote w:id="25">
    <w:p w14:paraId="3D2E1AAF" w14:textId="522A28FF" w:rsidR="005125E3" w:rsidRPr="00CB631A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Art. 118, 1982 Convención de las Naciones Unidas sobre el Derecho del Mar, 1833 UNTS 3 (CDM).</w:t>
      </w:r>
    </w:p>
  </w:footnote>
  <w:footnote w:id="26">
    <w:p w14:paraId="2CC29107" w14:textId="1082DB63" w:rsidR="005125E3" w:rsidRPr="00CB631A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CB631A">
        <w:rPr>
          <w:rFonts w:ascii="Times New Roman" w:hAnsi="Times New Roman" w:cs="Times New Roman"/>
          <w:i/>
          <w:sz w:val="20"/>
          <w:szCs w:val="20"/>
          <w:lang w:val="es-ES"/>
        </w:rPr>
        <w:t>Inter alia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el CDM </w:t>
      </w:r>
      <w:r w:rsidRPr="00CB631A">
        <w:rPr>
          <w:rFonts w:ascii="Times New Roman" w:hAnsi="Times New Roman" w:cs="Times New Roman"/>
          <w:i/>
          <w:sz w:val="20"/>
          <w:szCs w:val="20"/>
          <w:lang w:val="es-ES"/>
        </w:rPr>
        <w:t>ibid</w:t>
      </w:r>
      <w:r>
        <w:rPr>
          <w:rFonts w:ascii="Times New Roman" w:hAnsi="Times New Roman" w:cs="Times New Roman"/>
          <w:i/>
          <w:sz w:val="20"/>
          <w:szCs w:val="20"/>
          <w:lang w:val="es-ES"/>
        </w:rPr>
        <w:t>.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; 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>el Acuerdo de la FAO para promover el cumplimiento de las medidas internacionales de conservación y ordenación por los buques pesqueros que pescan en alta mar (1993); el Acuerdo de Nueva York de la FAO relativo a la gestión de las poblaciones de peces transzonales y las poblaciones de peces altamente migratorias; el Acuerdo de la FAO sobre medidas del Estado rector del puerto destinadas a prevenir, desalentar y eliminar la pesca ilegal, no declarada y no reglamentada (2009).</w:t>
      </w:r>
    </w:p>
  </w:footnote>
  <w:footnote w:id="27">
    <w:p w14:paraId="3F429122" w14:textId="15B57CA3" w:rsidR="005125E3" w:rsidRPr="00CB631A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Párr.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6, UNCTAD-FAO-UNEP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A11726">
        <w:rPr>
          <w:rFonts w:ascii="Times New Roman" w:hAnsi="Times New Roman" w:cs="Times New Roman"/>
          <w:i/>
          <w:sz w:val="20"/>
          <w:szCs w:val="20"/>
          <w:lang w:val="es-ES"/>
        </w:rPr>
        <w:t>op. cit.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nota </w:t>
      </w:r>
      <w:r>
        <w:rPr>
          <w:rFonts w:ascii="Times New Roman" w:hAnsi="Times New Roman" w:cs="Times New Roman"/>
          <w:sz w:val="20"/>
          <w:szCs w:val="20"/>
          <w:lang w:val="es-ES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es-ES"/>
        </w:rPr>
        <w:instrText xml:space="preserve"> NOTEREF _Ref463515308 \h </w:instrText>
      </w:r>
      <w:r>
        <w:rPr>
          <w:rFonts w:ascii="Times New Roman" w:hAnsi="Times New Roman" w:cs="Times New Roman"/>
          <w:sz w:val="20"/>
          <w:szCs w:val="20"/>
          <w:lang w:val="es-ES"/>
        </w:rPr>
      </w:r>
      <w:r>
        <w:rPr>
          <w:rFonts w:ascii="Times New Roman" w:hAnsi="Times New Roman" w:cs="Times New Roman"/>
          <w:sz w:val="20"/>
          <w:szCs w:val="20"/>
          <w:lang w:val="es-ES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val="es-ES"/>
        </w:rPr>
        <w:t>19</w:t>
      </w:r>
      <w:r>
        <w:rPr>
          <w:rFonts w:ascii="Times New Roman" w:hAnsi="Times New Roman" w:cs="Times New Roman"/>
          <w:sz w:val="20"/>
          <w:szCs w:val="20"/>
          <w:lang w:val="es-ES"/>
        </w:rPr>
        <w:fldChar w:fldCharType="end"/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>.</w:t>
      </w:r>
    </w:p>
  </w:footnote>
  <w:footnote w:id="28">
    <w:p w14:paraId="77C6AC26" w14:textId="1F7280DA" w:rsidR="005125E3" w:rsidRPr="00465CD8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465CD8">
        <w:rPr>
          <w:rFonts w:ascii="Times New Roman" w:hAnsi="Times New Roman" w:cs="Times New Roman"/>
          <w:sz w:val="20"/>
          <w:szCs w:val="20"/>
        </w:rPr>
        <w:t xml:space="preserve"> Véase </w:t>
      </w:r>
      <w:r w:rsidRPr="00465CD8">
        <w:rPr>
          <w:rFonts w:ascii="Times New Roman" w:hAnsi="Times New Roman" w:cs="Times New Roman"/>
          <w:smallCaps/>
          <w:sz w:val="20"/>
          <w:szCs w:val="20"/>
        </w:rPr>
        <w:t>Cox</w:t>
      </w:r>
      <w:r w:rsidRPr="00465CD8">
        <w:rPr>
          <w:rFonts w:ascii="Times New Roman" w:hAnsi="Times New Roman" w:cs="Times New Roman"/>
          <w:sz w:val="20"/>
          <w:szCs w:val="20"/>
        </w:rPr>
        <w:t xml:space="preserve">, A., &amp; </w:t>
      </w:r>
      <w:r w:rsidRPr="00465CD8">
        <w:rPr>
          <w:rFonts w:ascii="Times New Roman" w:hAnsi="Times New Roman" w:cs="Times New Roman"/>
          <w:smallCaps/>
          <w:sz w:val="20"/>
          <w:szCs w:val="20"/>
        </w:rPr>
        <w:t>Schmidt</w:t>
      </w:r>
      <w:r w:rsidRPr="00465CD8">
        <w:rPr>
          <w:rFonts w:ascii="Times New Roman" w:hAnsi="Times New Roman" w:cs="Times New Roman"/>
          <w:sz w:val="20"/>
          <w:szCs w:val="20"/>
        </w:rPr>
        <w:t xml:space="preserve">, CC., 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465CD8">
        <w:rPr>
          <w:rFonts w:ascii="Times New Roman" w:hAnsi="Times New Roman" w:cs="Times New Roman"/>
          <w:sz w:val="20"/>
          <w:szCs w:val="20"/>
        </w:rPr>
        <w:t>Subsidies in the OECD Fisheries Sector: A Review of Recent Analysis and Future Directions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465CD8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65CD8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http://www.oecd.org/tad/fisheries/2507604.pdf</w:t>
        </w:r>
      </w:hyperlink>
      <w:r w:rsidRPr="00465CD8">
        <w:rPr>
          <w:rFonts w:ascii="Times New Roman" w:hAnsi="Times New Roman" w:cs="Times New Roman"/>
          <w:sz w:val="20"/>
          <w:szCs w:val="20"/>
        </w:rPr>
        <w:t xml:space="preserve">  (consultada el 30 de octubre 2016).</w:t>
      </w:r>
    </w:p>
  </w:footnote>
  <w:footnote w:id="29">
    <w:p w14:paraId="370AD2FF" w14:textId="4278FA93" w:rsidR="005125E3" w:rsidRPr="00465CD8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465CD8">
        <w:rPr>
          <w:rFonts w:ascii="Times New Roman" w:hAnsi="Times New Roman" w:cs="Times New Roman"/>
          <w:sz w:val="20"/>
          <w:szCs w:val="20"/>
        </w:rPr>
        <w:t xml:space="preserve"> </w:t>
      </w:r>
      <w:r w:rsidRPr="00465CD8">
        <w:rPr>
          <w:rFonts w:ascii="Times New Roman" w:hAnsi="Times New Roman" w:cs="Times New Roman"/>
          <w:smallCaps/>
          <w:sz w:val="20"/>
          <w:szCs w:val="20"/>
        </w:rPr>
        <w:t>Milazzo</w:t>
      </w:r>
      <w:r w:rsidRPr="00465CD8">
        <w:rPr>
          <w:rFonts w:ascii="Times New Roman" w:hAnsi="Times New Roman" w:cs="Times New Roman"/>
          <w:sz w:val="20"/>
          <w:szCs w:val="20"/>
        </w:rPr>
        <w:t xml:space="preserve">, M., 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465CD8">
        <w:rPr>
          <w:rFonts w:ascii="Times New Roman" w:hAnsi="Times New Roman" w:cs="Times New Roman"/>
          <w:iCs/>
          <w:sz w:val="20"/>
          <w:szCs w:val="20"/>
        </w:rPr>
        <w:t>Subsidies in World Fisheries: A Re-examination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465CD8">
        <w:rPr>
          <w:rFonts w:ascii="Times New Roman" w:hAnsi="Times New Roman" w:cs="Times New Roman"/>
          <w:sz w:val="20"/>
          <w:szCs w:val="20"/>
        </w:rPr>
        <w:t xml:space="preserve"> (1998) World Bank Technical Paper No. 406.</w:t>
      </w:r>
    </w:p>
  </w:footnote>
  <w:footnote w:id="30">
    <w:p w14:paraId="44734682" w14:textId="45D20C27" w:rsidR="005125E3" w:rsidRPr="00CB631A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Pá</w:t>
      </w:r>
      <w:r>
        <w:rPr>
          <w:rFonts w:ascii="Times New Roman" w:hAnsi="Times New Roman" w:cs="Times New Roman"/>
          <w:sz w:val="20"/>
          <w:szCs w:val="20"/>
          <w:lang w:val="es-ES"/>
        </w:rPr>
        <w:t>r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>r. 5, UNCTAD-FAO-UNEP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A11726">
        <w:rPr>
          <w:rFonts w:ascii="Times New Roman" w:hAnsi="Times New Roman" w:cs="Times New Roman"/>
          <w:i/>
          <w:sz w:val="20"/>
          <w:szCs w:val="20"/>
          <w:lang w:val="es-ES"/>
        </w:rPr>
        <w:t>op. cit.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nota </w:t>
      </w:r>
      <w:r>
        <w:rPr>
          <w:rFonts w:ascii="Times New Roman" w:hAnsi="Times New Roman" w:cs="Times New Roman"/>
          <w:sz w:val="20"/>
          <w:szCs w:val="20"/>
          <w:lang w:val="es-ES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es-ES"/>
        </w:rPr>
        <w:instrText xml:space="preserve"> NOTEREF _Ref463515308 \h </w:instrText>
      </w:r>
      <w:r>
        <w:rPr>
          <w:rFonts w:ascii="Times New Roman" w:hAnsi="Times New Roman" w:cs="Times New Roman"/>
          <w:sz w:val="20"/>
          <w:szCs w:val="20"/>
          <w:lang w:val="es-ES"/>
        </w:rPr>
      </w:r>
      <w:r>
        <w:rPr>
          <w:rFonts w:ascii="Times New Roman" w:hAnsi="Times New Roman" w:cs="Times New Roman"/>
          <w:sz w:val="20"/>
          <w:szCs w:val="20"/>
          <w:lang w:val="es-ES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val="es-ES"/>
        </w:rPr>
        <w:t>19</w:t>
      </w:r>
      <w:r>
        <w:rPr>
          <w:rFonts w:ascii="Times New Roman" w:hAnsi="Times New Roman" w:cs="Times New Roman"/>
          <w:sz w:val="20"/>
          <w:szCs w:val="20"/>
          <w:lang w:val="es-ES"/>
        </w:rPr>
        <w:fldChar w:fldCharType="end"/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>.</w:t>
      </w:r>
    </w:p>
  </w:footnote>
  <w:footnote w:id="31">
    <w:p w14:paraId="7E01A6EE" w14:textId="48345CEC" w:rsidR="005125E3" w:rsidRPr="00CB631A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Declaración ministerial, 14 de noviembre 2001, </w:t>
      </w:r>
      <w:r w:rsidRPr="00FD0854">
        <w:rPr>
          <w:rFonts w:ascii="Times New Roman" w:hAnsi="Times New Roman" w:cs="Times New Roman"/>
          <w:sz w:val="20"/>
          <w:szCs w:val="20"/>
          <w:lang w:val="es-ES"/>
        </w:rPr>
        <w:t>WT/MIN(01)/DEC/1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</w:p>
  </w:footnote>
  <w:footnote w:id="32">
    <w:p w14:paraId="206DE6AF" w14:textId="11E1D1E2" w:rsidR="005125E3" w:rsidRPr="00465CD8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465CD8">
        <w:rPr>
          <w:rFonts w:ascii="Times New Roman" w:hAnsi="Times New Roman" w:cs="Times New Roman"/>
          <w:sz w:val="20"/>
          <w:szCs w:val="20"/>
        </w:rPr>
        <w:t xml:space="preserve"> OMC, 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465CD8">
        <w:rPr>
          <w:rFonts w:ascii="Times New Roman" w:hAnsi="Times New Roman" w:cs="Times New Roman"/>
          <w:bCs/>
          <w:sz w:val="20"/>
          <w:szCs w:val="20"/>
        </w:rPr>
        <w:t>WTO members affirm interest in new international fisheries subsidies rules, but differ on way forward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465CD8">
        <w:rPr>
          <w:rFonts w:ascii="Times New Roman" w:hAnsi="Times New Roman" w:cs="Times New Roman"/>
          <w:bCs/>
          <w:sz w:val="20"/>
          <w:szCs w:val="20"/>
        </w:rPr>
        <w:t xml:space="preserve">, 29 de junio 2016: </w:t>
      </w:r>
      <w:hyperlink r:id="rId7" w:history="1">
        <w:r w:rsidRPr="00465CD8">
          <w:rPr>
            <w:rStyle w:val="Hyperlink"/>
            <w:rFonts w:ascii="Times New Roman" w:hAnsi="Times New Roman" w:cs="Times New Roman"/>
            <w:bCs/>
            <w:i/>
            <w:sz w:val="20"/>
            <w:szCs w:val="20"/>
          </w:rPr>
          <w:t>https://www.wto.org/english/news_e/news16_e/rule_06jul16_e.htm</w:t>
        </w:r>
      </w:hyperlink>
      <w:r w:rsidRPr="00465CD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5CD8">
        <w:rPr>
          <w:rFonts w:ascii="Times New Roman" w:hAnsi="Times New Roman" w:cs="Times New Roman"/>
          <w:sz w:val="20"/>
          <w:szCs w:val="20"/>
        </w:rPr>
        <w:t>(consultada el 30 de octubre 2016).</w:t>
      </w:r>
    </w:p>
  </w:footnote>
  <w:footnote w:id="33">
    <w:p w14:paraId="3337828B" w14:textId="637C67EA" w:rsidR="005125E3" w:rsidRPr="00465CD8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465CD8">
        <w:rPr>
          <w:rFonts w:ascii="Times New Roman" w:hAnsi="Times New Roman" w:cs="Times New Roman"/>
          <w:sz w:val="20"/>
          <w:szCs w:val="20"/>
        </w:rPr>
        <w:t xml:space="preserve"> Comunicación: 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465CD8">
        <w:rPr>
          <w:rFonts w:ascii="Times New Roman" w:hAnsi="Times New Roman" w:cs="Times New Roman"/>
          <w:bCs/>
          <w:sz w:val="20"/>
          <w:szCs w:val="20"/>
        </w:rPr>
        <w:t>Identifying the WTO Contribution to the 2030 Agenda for Sustainable Development: Fisheries Subsidies Questions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»,</w:t>
      </w:r>
      <w:r w:rsidRPr="00465CD8">
        <w:rPr>
          <w:rFonts w:ascii="Times New Roman" w:hAnsi="Times New Roman" w:cs="Times New Roman"/>
          <w:bCs/>
          <w:sz w:val="20"/>
          <w:szCs w:val="20"/>
        </w:rPr>
        <w:t xml:space="preserve"> 24 de mayo 2016, TN/RLW/272.</w:t>
      </w:r>
    </w:p>
  </w:footnote>
  <w:footnote w:id="34">
    <w:p w14:paraId="7397E676" w14:textId="59F92714" w:rsidR="005125E3" w:rsidRPr="00CB631A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Art. 20.16(5) TPP</w:t>
      </w:r>
      <w:r w:rsidR="00475C85">
        <w:rPr>
          <w:rFonts w:ascii="Times New Roman" w:hAnsi="Times New Roman" w:cs="Times New Roman"/>
          <w:sz w:val="20"/>
          <w:szCs w:val="20"/>
          <w:lang w:val="es-ES"/>
        </w:rPr>
        <w:t xml:space="preserve"> (o</w:t>
      </w:r>
      <w:r w:rsidR="00475C85" w:rsidRPr="00475C85">
        <w:rPr>
          <w:rFonts w:ascii="Times New Roman" w:hAnsi="Times New Roman" w:cs="Times New Roman"/>
          <w:sz w:val="20"/>
          <w:szCs w:val="20"/>
          <w:lang w:val="es-ES"/>
        </w:rPr>
        <w:t xml:space="preserve">mitidas las notas a pie de </w:t>
      </w:r>
      <w:r w:rsidR="00475C85" w:rsidRPr="00A70B05">
        <w:rPr>
          <w:rFonts w:ascii="Times New Roman" w:hAnsi="Times New Roman" w:cs="Times New Roman"/>
          <w:sz w:val="20"/>
          <w:szCs w:val="20"/>
          <w:lang w:val="es-ES"/>
        </w:rPr>
        <w:t>página</w:t>
      </w:r>
      <w:r w:rsidR="00475C85" w:rsidRPr="00C1174A">
        <w:rPr>
          <w:rFonts w:ascii="Times New Roman" w:hAnsi="Times New Roman" w:cs="Times New Roman"/>
          <w:i/>
          <w:sz w:val="20"/>
          <w:szCs w:val="20"/>
          <w:lang w:val="es-ES"/>
        </w:rPr>
        <w:t>)</w:t>
      </w:r>
      <w:r w:rsidRPr="00C1174A">
        <w:rPr>
          <w:rFonts w:ascii="Times New Roman" w:hAnsi="Times New Roman" w:cs="Times New Roman"/>
          <w:i/>
          <w:sz w:val="20"/>
          <w:szCs w:val="20"/>
          <w:lang w:val="es-ES"/>
        </w:rPr>
        <w:t xml:space="preserve">: </w:t>
      </w:r>
      <w:r w:rsidR="00A70B05" w:rsidRPr="00C1174A">
        <w:rPr>
          <w:rFonts w:ascii="Times New Roman" w:hAnsi="Times New Roman" w:cs="Times New Roman"/>
          <w:i/>
          <w:sz w:val="20"/>
          <w:szCs w:val="20"/>
        </w:rPr>
        <w:t>https://www.direcon.gob.cl/tpp/capitulos-del-acuerdo/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(co</w:t>
      </w:r>
      <w:r w:rsidR="00475C85">
        <w:rPr>
          <w:rFonts w:ascii="Times New Roman" w:hAnsi="Times New Roman" w:cs="Times New Roman"/>
          <w:sz w:val="20"/>
          <w:szCs w:val="20"/>
          <w:lang w:val="es-ES"/>
        </w:rPr>
        <w:t>nsultada el 30 de octubre 2016).</w:t>
      </w:r>
    </w:p>
  </w:footnote>
  <w:footnote w:id="35">
    <w:p w14:paraId="25712026" w14:textId="183DFEB4" w:rsidR="005125E3" w:rsidRPr="00CB631A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Declaración Conjunta sobre las Subvenciones a Pesca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, Washington DC, 14 de septiembre 2016: </w:t>
      </w:r>
      <w:hyperlink r:id="rId8" w:history="1">
        <w:r w:rsidRPr="00CB631A">
          <w:rPr>
            <w:rStyle w:val="Hyperlink"/>
            <w:rFonts w:ascii="Times New Roman" w:hAnsi="Times New Roman" w:cs="Times New Roman"/>
            <w:i/>
            <w:sz w:val="20"/>
            <w:szCs w:val="20"/>
            <w:lang w:val="es-ES"/>
          </w:rPr>
          <w:t>https://ustr.gov/sites/default/files/09142016_STATEMENT_joint_statement_fisheries_partners_FINAL.pdf</w:t>
        </w:r>
      </w:hyperlink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(consultada el 30 de octubre 2016).</w:t>
      </w:r>
    </w:p>
  </w:footnote>
  <w:footnote w:id="36">
    <w:p w14:paraId="4399BF47" w14:textId="2600E4FA" w:rsidR="005125E3" w:rsidRPr="00CB631A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CC1C18">
        <w:rPr>
          <w:rFonts w:ascii="Times New Roman" w:hAnsi="Times New Roman" w:cs="Times New Roman"/>
          <w:smallCaps/>
          <w:sz w:val="20"/>
          <w:szCs w:val="20"/>
          <w:lang w:val="es-ES"/>
        </w:rPr>
        <w:t>Malmström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C., </w:t>
      </w:r>
      <w:r w:rsidRPr="00CB631A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«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>Protecting global fisheries through the WTO</w:t>
      </w:r>
      <w:r w:rsidRPr="00CB631A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»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, 17 de octubre 2016: </w:t>
      </w:r>
      <w:hyperlink r:id="rId9" w:history="1">
        <w:r w:rsidRPr="00CB631A">
          <w:rPr>
            <w:rStyle w:val="Hyperlink"/>
            <w:rFonts w:ascii="Times New Roman" w:hAnsi="Times New Roman" w:cs="Times New Roman"/>
            <w:i/>
            <w:sz w:val="20"/>
            <w:szCs w:val="20"/>
            <w:lang w:val="es-ES"/>
          </w:rPr>
          <w:t>https://ec.europa.eu/commission/2014-2019/malmstrom/blog/protecting-global-fisheries-through-wto_en</w:t>
        </w:r>
      </w:hyperlink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(consultada el 30 de octubre 2016).</w:t>
      </w:r>
    </w:p>
  </w:footnote>
  <w:footnote w:id="37">
    <w:p w14:paraId="7FEB1F34" w14:textId="4C28A7D4" w:rsidR="005125E3" w:rsidRPr="00465CD8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465CD8">
        <w:rPr>
          <w:rFonts w:ascii="Times New Roman" w:hAnsi="Times New Roman" w:cs="Times New Roman"/>
          <w:sz w:val="20"/>
          <w:szCs w:val="20"/>
        </w:rPr>
        <w:t xml:space="preserve"> Véase ICTSD Bridges, 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465CD8">
        <w:rPr>
          <w:rFonts w:ascii="Times New Roman" w:hAnsi="Times New Roman" w:cs="Times New Roman"/>
          <w:sz w:val="20"/>
          <w:szCs w:val="20"/>
        </w:rPr>
        <w:t>Group of WTO Members Announces Talks to Ban Harmful Fisheries Subsidies</w:t>
      </w:r>
      <w:r w:rsidRPr="00465C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», </w:t>
      </w:r>
      <w:r w:rsidRPr="00465CD8">
        <w:rPr>
          <w:rFonts w:ascii="Times New Roman" w:hAnsi="Times New Roman" w:cs="Times New Roman"/>
          <w:sz w:val="20"/>
          <w:szCs w:val="20"/>
        </w:rPr>
        <w:t xml:space="preserve">22 de septiembre 2016: </w:t>
      </w:r>
      <w:hyperlink r:id="rId10" w:history="1">
        <w:r w:rsidRPr="00465CD8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http://www.ictsd.org/bridges-news/bridges/news/group-of-wto-members-announces-talks-to-ban-harmful-fisheries-subsidies</w:t>
        </w:r>
      </w:hyperlink>
      <w:r w:rsidRPr="00465CD8">
        <w:rPr>
          <w:rFonts w:ascii="Times New Roman" w:hAnsi="Times New Roman" w:cs="Times New Roman"/>
          <w:sz w:val="20"/>
          <w:szCs w:val="20"/>
        </w:rPr>
        <w:t xml:space="preserve"> (consultada el 30 de octubre 2016).</w:t>
      </w:r>
    </w:p>
  </w:footnote>
  <w:footnote w:id="38">
    <w:p w14:paraId="42F5228C" w14:textId="579CA82C" w:rsidR="005125E3" w:rsidRPr="00CB631A" w:rsidRDefault="005125E3" w:rsidP="003905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r w:rsidRPr="00CB631A">
        <w:rPr>
          <w:rStyle w:val="FootnoteReference"/>
          <w:rFonts w:ascii="Times New Roman" w:hAnsi="Times New Roman" w:cs="Times New Roman"/>
          <w:sz w:val="20"/>
          <w:szCs w:val="20"/>
          <w:lang w:val="es-ES"/>
        </w:rPr>
        <w:footnoteRef/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Declaración </w:t>
      </w:r>
      <w:r>
        <w:rPr>
          <w:rFonts w:ascii="Times New Roman" w:hAnsi="Times New Roman" w:cs="Times New Roman"/>
          <w:sz w:val="20"/>
          <w:szCs w:val="20"/>
          <w:lang w:val="es-ES"/>
        </w:rPr>
        <w:t>del</w:t>
      </w:r>
      <w:r w:rsidRPr="00CB631A">
        <w:rPr>
          <w:rFonts w:ascii="Times New Roman" w:hAnsi="Times New Roman" w:cs="Times New Roman"/>
          <w:sz w:val="20"/>
          <w:szCs w:val="20"/>
          <w:lang w:val="es-ES"/>
        </w:rPr>
        <w:t xml:space="preserve"> Representante de Comercio de los Estados Unidos, Conferencia Ministerial, Nairobi 15 a 18 diciembre 2015, WT/MIN(15)/ST/121.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1080" w14:textId="77777777" w:rsidR="005125E3" w:rsidRDefault="00512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390EF" w14:textId="2EC22469" w:rsidR="005125E3" w:rsidRDefault="00512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5138" w14:textId="77777777" w:rsidR="005125E3" w:rsidRDefault="00512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35E"/>
    <w:multiLevelType w:val="hybridMultilevel"/>
    <w:tmpl w:val="817E606C"/>
    <w:lvl w:ilvl="0" w:tplc="79680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EB47EA"/>
    <w:multiLevelType w:val="hybridMultilevel"/>
    <w:tmpl w:val="FDAC61D8"/>
    <w:lvl w:ilvl="0" w:tplc="0FE644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94FC1"/>
    <w:multiLevelType w:val="hybridMultilevel"/>
    <w:tmpl w:val="7D0CAD2A"/>
    <w:lvl w:ilvl="0" w:tplc="286E88A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5A4D9F"/>
    <w:multiLevelType w:val="hybridMultilevel"/>
    <w:tmpl w:val="63703B14"/>
    <w:lvl w:ilvl="0" w:tplc="0CC654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C3"/>
    <w:rsid w:val="00005610"/>
    <w:rsid w:val="00030891"/>
    <w:rsid w:val="000352D9"/>
    <w:rsid w:val="00045EE6"/>
    <w:rsid w:val="000530E7"/>
    <w:rsid w:val="000558DF"/>
    <w:rsid w:val="00061B3C"/>
    <w:rsid w:val="000639BD"/>
    <w:rsid w:val="00067FC0"/>
    <w:rsid w:val="0007657E"/>
    <w:rsid w:val="00083A35"/>
    <w:rsid w:val="00087EDA"/>
    <w:rsid w:val="00097D77"/>
    <w:rsid w:val="000A43D7"/>
    <w:rsid w:val="000A771E"/>
    <w:rsid w:val="000C7574"/>
    <w:rsid w:val="000E202A"/>
    <w:rsid w:val="000E3730"/>
    <w:rsid w:val="000E3E9C"/>
    <w:rsid w:val="000F05C5"/>
    <w:rsid w:val="00103934"/>
    <w:rsid w:val="00114143"/>
    <w:rsid w:val="0013159A"/>
    <w:rsid w:val="001408C1"/>
    <w:rsid w:val="001471D3"/>
    <w:rsid w:val="001516EC"/>
    <w:rsid w:val="001542F3"/>
    <w:rsid w:val="001608B9"/>
    <w:rsid w:val="001801C0"/>
    <w:rsid w:val="00181909"/>
    <w:rsid w:val="001902CC"/>
    <w:rsid w:val="001932C5"/>
    <w:rsid w:val="001A023F"/>
    <w:rsid w:val="001B32CF"/>
    <w:rsid w:val="001D3450"/>
    <w:rsid w:val="001D4E7D"/>
    <w:rsid w:val="001E7D6F"/>
    <w:rsid w:val="001F0236"/>
    <w:rsid w:val="0020391F"/>
    <w:rsid w:val="00211440"/>
    <w:rsid w:val="002146C2"/>
    <w:rsid w:val="00214E29"/>
    <w:rsid w:val="00232FB9"/>
    <w:rsid w:val="002636C1"/>
    <w:rsid w:val="00263A39"/>
    <w:rsid w:val="00287CDC"/>
    <w:rsid w:val="002A0904"/>
    <w:rsid w:val="002C42C3"/>
    <w:rsid w:val="002D2EA5"/>
    <w:rsid w:val="002D502D"/>
    <w:rsid w:val="002D56DD"/>
    <w:rsid w:val="002F723C"/>
    <w:rsid w:val="00306865"/>
    <w:rsid w:val="0031212A"/>
    <w:rsid w:val="00346B03"/>
    <w:rsid w:val="00351B2F"/>
    <w:rsid w:val="00356C6A"/>
    <w:rsid w:val="00360CF1"/>
    <w:rsid w:val="00363C41"/>
    <w:rsid w:val="00363F4F"/>
    <w:rsid w:val="00365A00"/>
    <w:rsid w:val="003705CE"/>
    <w:rsid w:val="0037477D"/>
    <w:rsid w:val="003821BF"/>
    <w:rsid w:val="00390584"/>
    <w:rsid w:val="003A07A0"/>
    <w:rsid w:val="003A272F"/>
    <w:rsid w:val="003B74D7"/>
    <w:rsid w:val="003C75F6"/>
    <w:rsid w:val="003C78FE"/>
    <w:rsid w:val="003D1EF7"/>
    <w:rsid w:val="003D4849"/>
    <w:rsid w:val="003D7102"/>
    <w:rsid w:val="003E1B44"/>
    <w:rsid w:val="003F0D52"/>
    <w:rsid w:val="00406493"/>
    <w:rsid w:val="00440AB2"/>
    <w:rsid w:val="00440D61"/>
    <w:rsid w:val="00460208"/>
    <w:rsid w:val="0046221C"/>
    <w:rsid w:val="00463B14"/>
    <w:rsid w:val="00465CD8"/>
    <w:rsid w:val="00475C85"/>
    <w:rsid w:val="00476B65"/>
    <w:rsid w:val="004829C7"/>
    <w:rsid w:val="004867C3"/>
    <w:rsid w:val="0049486D"/>
    <w:rsid w:val="004E2FBA"/>
    <w:rsid w:val="004F3AB0"/>
    <w:rsid w:val="004F5506"/>
    <w:rsid w:val="00502345"/>
    <w:rsid w:val="00506DBF"/>
    <w:rsid w:val="005125E3"/>
    <w:rsid w:val="00515C1D"/>
    <w:rsid w:val="0052761E"/>
    <w:rsid w:val="00534E68"/>
    <w:rsid w:val="00545ACC"/>
    <w:rsid w:val="0054712E"/>
    <w:rsid w:val="00565347"/>
    <w:rsid w:val="00567005"/>
    <w:rsid w:val="005737E7"/>
    <w:rsid w:val="0057515F"/>
    <w:rsid w:val="005972F7"/>
    <w:rsid w:val="005A528F"/>
    <w:rsid w:val="005A5B2F"/>
    <w:rsid w:val="005A6FE8"/>
    <w:rsid w:val="005A74BC"/>
    <w:rsid w:val="005B2F9F"/>
    <w:rsid w:val="005B3726"/>
    <w:rsid w:val="005B4279"/>
    <w:rsid w:val="005B6897"/>
    <w:rsid w:val="005D5016"/>
    <w:rsid w:val="005F67C9"/>
    <w:rsid w:val="00611407"/>
    <w:rsid w:val="00641D87"/>
    <w:rsid w:val="0065576C"/>
    <w:rsid w:val="006621C0"/>
    <w:rsid w:val="00674A6F"/>
    <w:rsid w:val="00695A95"/>
    <w:rsid w:val="006A29BD"/>
    <w:rsid w:val="006C28C9"/>
    <w:rsid w:val="006C3991"/>
    <w:rsid w:val="006D1C5C"/>
    <w:rsid w:val="006D3A85"/>
    <w:rsid w:val="006D6815"/>
    <w:rsid w:val="006E3210"/>
    <w:rsid w:val="006E61B8"/>
    <w:rsid w:val="006F582A"/>
    <w:rsid w:val="006F6316"/>
    <w:rsid w:val="0070455A"/>
    <w:rsid w:val="007078A6"/>
    <w:rsid w:val="007149D5"/>
    <w:rsid w:val="007154BB"/>
    <w:rsid w:val="007201BC"/>
    <w:rsid w:val="00730328"/>
    <w:rsid w:val="00731060"/>
    <w:rsid w:val="007352C3"/>
    <w:rsid w:val="00743ED9"/>
    <w:rsid w:val="0075639A"/>
    <w:rsid w:val="00780DCC"/>
    <w:rsid w:val="00783C92"/>
    <w:rsid w:val="00783EF6"/>
    <w:rsid w:val="007A0217"/>
    <w:rsid w:val="007A0B93"/>
    <w:rsid w:val="007C2396"/>
    <w:rsid w:val="007C50A9"/>
    <w:rsid w:val="007D2EAC"/>
    <w:rsid w:val="007E4980"/>
    <w:rsid w:val="008052D2"/>
    <w:rsid w:val="00811612"/>
    <w:rsid w:val="0083364F"/>
    <w:rsid w:val="0084095F"/>
    <w:rsid w:val="00855EDC"/>
    <w:rsid w:val="00863A13"/>
    <w:rsid w:val="00884094"/>
    <w:rsid w:val="00894021"/>
    <w:rsid w:val="008B0DF6"/>
    <w:rsid w:val="008B735E"/>
    <w:rsid w:val="008C5073"/>
    <w:rsid w:val="008C54E4"/>
    <w:rsid w:val="008D570B"/>
    <w:rsid w:val="008D6402"/>
    <w:rsid w:val="008F08C3"/>
    <w:rsid w:val="008F2595"/>
    <w:rsid w:val="008F79EC"/>
    <w:rsid w:val="0090541B"/>
    <w:rsid w:val="00906BE4"/>
    <w:rsid w:val="00911E7D"/>
    <w:rsid w:val="00920301"/>
    <w:rsid w:val="009379D8"/>
    <w:rsid w:val="00942925"/>
    <w:rsid w:val="009459CC"/>
    <w:rsid w:val="009559B2"/>
    <w:rsid w:val="00960508"/>
    <w:rsid w:val="0096391A"/>
    <w:rsid w:val="00976049"/>
    <w:rsid w:val="00982828"/>
    <w:rsid w:val="009878D4"/>
    <w:rsid w:val="00995FBD"/>
    <w:rsid w:val="009A70ED"/>
    <w:rsid w:val="009C5DDF"/>
    <w:rsid w:val="009C796C"/>
    <w:rsid w:val="009E487E"/>
    <w:rsid w:val="009E5338"/>
    <w:rsid w:val="009F0C7D"/>
    <w:rsid w:val="00A07BBE"/>
    <w:rsid w:val="00A11726"/>
    <w:rsid w:val="00A217ED"/>
    <w:rsid w:val="00A24BD8"/>
    <w:rsid w:val="00A3356C"/>
    <w:rsid w:val="00A35D6C"/>
    <w:rsid w:val="00A4564E"/>
    <w:rsid w:val="00A70B05"/>
    <w:rsid w:val="00A7247F"/>
    <w:rsid w:val="00A77486"/>
    <w:rsid w:val="00A803DA"/>
    <w:rsid w:val="00A80618"/>
    <w:rsid w:val="00A82089"/>
    <w:rsid w:val="00A9327F"/>
    <w:rsid w:val="00A9693E"/>
    <w:rsid w:val="00AC64C4"/>
    <w:rsid w:val="00AE1A65"/>
    <w:rsid w:val="00AF05CE"/>
    <w:rsid w:val="00AF2D32"/>
    <w:rsid w:val="00B1178F"/>
    <w:rsid w:val="00B30539"/>
    <w:rsid w:val="00B3252E"/>
    <w:rsid w:val="00B45EEF"/>
    <w:rsid w:val="00B541A2"/>
    <w:rsid w:val="00B60F4E"/>
    <w:rsid w:val="00B61064"/>
    <w:rsid w:val="00B66373"/>
    <w:rsid w:val="00B74996"/>
    <w:rsid w:val="00B84E02"/>
    <w:rsid w:val="00B901AF"/>
    <w:rsid w:val="00BB0D50"/>
    <w:rsid w:val="00BB289F"/>
    <w:rsid w:val="00BB5D22"/>
    <w:rsid w:val="00BB7952"/>
    <w:rsid w:val="00BC697B"/>
    <w:rsid w:val="00BD740F"/>
    <w:rsid w:val="00BF2ADF"/>
    <w:rsid w:val="00C01CD9"/>
    <w:rsid w:val="00C11644"/>
    <w:rsid w:val="00C1174A"/>
    <w:rsid w:val="00C15011"/>
    <w:rsid w:val="00C35E42"/>
    <w:rsid w:val="00C47BCE"/>
    <w:rsid w:val="00C52BB4"/>
    <w:rsid w:val="00C65497"/>
    <w:rsid w:val="00C912C1"/>
    <w:rsid w:val="00C914D8"/>
    <w:rsid w:val="00CB631A"/>
    <w:rsid w:val="00CC1C18"/>
    <w:rsid w:val="00CC36D1"/>
    <w:rsid w:val="00CE0652"/>
    <w:rsid w:val="00CE18C9"/>
    <w:rsid w:val="00CE684C"/>
    <w:rsid w:val="00CF0321"/>
    <w:rsid w:val="00CF7070"/>
    <w:rsid w:val="00D0624C"/>
    <w:rsid w:val="00D26387"/>
    <w:rsid w:val="00D33951"/>
    <w:rsid w:val="00D411F6"/>
    <w:rsid w:val="00D55CD1"/>
    <w:rsid w:val="00D70037"/>
    <w:rsid w:val="00D946E6"/>
    <w:rsid w:val="00DB6AFB"/>
    <w:rsid w:val="00DC55D3"/>
    <w:rsid w:val="00DD7DE5"/>
    <w:rsid w:val="00DF04FC"/>
    <w:rsid w:val="00E24E3B"/>
    <w:rsid w:val="00E31C14"/>
    <w:rsid w:val="00E50649"/>
    <w:rsid w:val="00E52010"/>
    <w:rsid w:val="00E52513"/>
    <w:rsid w:val="00E70D59"/>
    <w:rsid w:val="00E82431"/>
    <w:rsid w:val="00E85B77"/>
    <w:rsid w:val="00E951C4"/>
    <w:rsid w:val="00E95A1B"/>
    <w:rsid w:val="00E95C54"/>
    <w:rsid w:val="00EB1801"/>
    <w:rsid w:val="00ED173B"/>
    <w:rsid w:val="00ED18CB"/>
    <w:rsid w:val="00ED4B0F"/>
    <w:rsid w:val="00ED646D"/>
    <w:rsid w:val="00ED785D"/>
    <w:rsid w:val="00EE46EE"/>
    <w:rsid w:val="00F00B99"/>
    <w:rsid w:val="00F06BC5"/>
    <w:rsid w:val="00F2118A"/>
    <w:rsid w:val="00F2153C"/>
    <w:rsid w:val="00F263B4"/>
    <w:rsid w:val="00F3055A"/>
    <w:rsid w:val="00F32A1D"/>
    <w:rsid w:val="00F63AAA"/>
    <w:rsid w:val="00F679FC"/>
    <w:rsid w:val="00F707DB"/>
    <w:rsid w:val="00F775FF"/>
    <w:rsid w:val="00F82052"/>
    <w:rsid w:val="00F9613E"/>
    <w:rsid w:val="00FB55F8"/>
    <w:rsid w:val="00FC3315"/>
    <w:rsid w:val="00FD0854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513558"/>
  <w15:docId w15:val="{63A0CF76-405F-4F86-B6E5-E7DAEF8A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D3"/>
  </w:style>
  <w:style w:type="paragraph" w:styleId="Footer">
    <w:name w:val="footer"/>
    <w:basedOn w:val="Normal"/>
    <w:link w:val="FooterChar"/>
    <w:uiPriority w:val="99"/>
    <w:unhideWhenUsed/>
    <w:rsid w:val="0014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D3"/>
  </w:style>
  <w:style w:type="paragraph" w:styleId="ListParagraph">
    <w:name w:val="List Paragraph"/>
    <w:basedOn w:val="Normal"/>
    <w:uiPriority w:val="34"/>
    <w:qFormat/>
    <w:rsid w:val="009379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3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63B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16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5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E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0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56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180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432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4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3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06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954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str.gov/sites/default/files/09142016_STATEMENT_joint_statement_fisheries_partners_FINAL.pdf" TargetMode="External"/><Relationship Id="rId3" Type="http://schemas.openxmlformats.org/officeDocument/2006/relationships/hyperlink" Target="http://www2.ohchr.org/english/issues/food/docs/Briefing_Note_02_September_2010_EN.pdf" TargetMode="External"/><Relationship Id="rId7" Type="http://schemas.openxmlformats.org/officeDocument/2006/relationships/hyperlink" Target="https://www.wto.org/english/news_e/news16_e/rule_06jul16_e.htm" TargetMode="External"/><Relationship Id="rId2" Type="http://schemas.openxmlformats.org/officeDocument/2006/relationships/hyperlink" Target="https://www.wto.org/spanish/docs_s/legal_s/legal_s.htm" TargetMode="External"/><Relationship Id="rId1" Type="http://schemas.openxmlformats.org/officeDocument/2006/relationships/hyperlink" Target="https://www.wto.org/spanish/docs_s/legal_s/legal_s.htm" TargetMode="External"/><Relationship Id="rId6" Type="http://schemas.openxmlformats.org/officeDocument/2006/relationships/hyperlink" Target="http://www.oecd.org/tad/fisheries/2507604.pdf" TargetMode="External"/><Relationship Id="rId5" Type="http://schemas.openxmlformats.org/officeDocument/2006/relationships/hyperlink" Target="http://unctad.org/meetings/en/SessionalDocuments/U14ditc_d16_FishSub_Statement_en.pdf" TargetMode="External"/><Relationship Id="rId10" Type="http://schemas.openxmlformats.org/officeDocument/2006/relationships/hyperlink" Target="http://www.ictsd.org/bridges-news/bridges/news/group-of-wto-members-announces-talks-to-ban-harmful-fisheries-subsidies" TargetMode="External"/><Relationship Id="rId4" Type="http://schemas.openxmlformats.org/officeDocument/2006/relationships/hyperlink" Target="http://www.europarl.europa.eu/RegData/etudes/note/join/2013/513978/IPOL-PECH_NT(2013)513978_EN.pdf" TargetMode="External"/><Relationship Id="rId9" Type="http://schemas.openxmlformats.org/officeDocument/2006/relationships/hyperlink" Target="https://ec.europa.eu/commission/2014-2019/malmstrom/blog/protecting-global-fisheries-through-wto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CC05-FA3A-4B05-BCCF-D0423E30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2631</Words>
  <Characters>15000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17596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Messenger, Gregory</dc:creator>
  <cp:keywords/>
  <dc:description/>
  <cp:lastModifiedBy>Messenger, Gregory</cp:lastModifiedBy>
  <cp:revision>2</cp:revision>
  <dcterms:created xsi:type="dcterms:W3CDTF">2016-11-16T17:10:00Z</dcterms:created>
  <dcterms:modified xsi:type="dcterms:W3CDTF">2016-11-16T17:10:00Z</dcterms:modified>
</cp:coreProperties>
</file>