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3" w:rsidRPr="00C46213" w:rsidRDefault="00CE32A3" w:rsidP="00992714">
      <w:pPr>
        <w:tabs>
          <w:tab w:val="left" w:pos="567"/>
        </w:tabs>
        <w:spacing w:line="360" w:lineRule="auto"/>
        <w:contextualSpacing/>
        <w:rPr>
          <w:sz w:val="24"/>
          <w:szCs w:val="24"/>
        </w:rPr>
      </w:pPr>
      <w:r>
        <w:rPr>
          <w:sz w:val="24"/>
          <w:szCs w:val="24"/>
        </w:rPr>
        <w:t xml:space="preserve">The accessibility of </w:t>
      </w:r>
      <w:proofErr w:type="spellStart"/>
      <w:r>
        <w:rPr>
          <w:sz w:val="24"/>
          <w:szCs w:val="24"/>
        </w:rPr>
        <w:t>Ramesside</w:t>
      </w:r>
      <w:proofErr w:type="spellEnd"/>
      <w:r>
        <w:rPr>
          <w:sz w:val="24"/>
          <w:szCs w:val="24"/>
        </w:rPr>
        <w:t xml:space="preserve"> n</w:t>
      </w:r>
      <w:r w:rsidRPr="00C46213">
        <w:rPr>
          <w:sz w:val="24"/>
          <w:szCs w:val="24"/>
        </w:rPr>
        <w:t>arrative</w:t>
      </w:r>
    </w:p>
    <w:p w:rsidR="00CE32A3" w:rsidRDefault="00CE32A3" w:rsidP="00992714">
      <w:pPr>
        <w:tabs>
          <w:tab w:val="left" w:pos="567"/>
        </w:tabs>
        <w:spacing w:line="360" w:lineRule="auto"/>
        <w:contextualSpacing/>
        <w:rPr>
          <w:b/>
          <w:sz w:val="24"/>
          <w:szCs w:val="24"/>
        </w:rPr>
      </w:pPr>
    </w:p>
    <w:p w:rsidR="00CE32A3" w:rsidRPr="00772A61" w:rsidRDefault="00CE32A3" w:rsidP="00992714">
      <w:pPr>
        <w:tabs>
          <w:tab w:val="left" w:pos="567"/>
        </w:tabs>
        <w:spacing w:line="360" w:lineRule="auto"/>
        <w:contextualSpacing/>
        <w:rPr>
          <w:color w:val="000000" w:themeColor="text1"/>
          <w:sz w:val="24"/>
          <w:szCs w:val="24"/>
        </w:rPr>
      </w:pPr>
      <w:r w:rsidRPr="00772A61">
        <w:rPr>
          <w:color w:val="000000" w:themeColor="text1"/>
          <w:sz w:val="24"/>
          <w:szCs w:val="24"/>
        </w:rPr>
        <w:t>By Christopher Eyre</w:t>
      </w:r>
    </w:p>
    <w:p w:rsidR="00CE32A3" w:rsidRPr="00772A61" w:rsidRDefault="00CE32A3" w:rsidP="00992714">
      <w:pPr>
        <w:tabs>
          <w:tab w:val="left" w:pos="567"/>
        </w:tabs>
        <w:spacing w:line="360" w:lineRule="auto"/>
        <w:contextualSpacing/>
        <w:rPr>
          <w:b/>
          <w:color w:val="000000" w:themeColor="text1"/>
          <w:sz w:val="24"/>
          <w:szCs w:val="24"/>
        </w:rPr>
      </w:pPr>
    </w:p>
    <w:p w:rsidR="00CE32A3" w:rsidRPr="00FA07D0" w:rsidRDefault="00DF0230" w:rsidP="00992714">
      <w:pPr>
        <w:tabs>
          <w:tab w:val="left" w:pos="567"/>
        </w:tabs>
        <w:spacing w:line="360" w:lineRule="auto"/>
        <w:contextualSpacing/>
        <w:rPr>
          <w:sz w:val="24"/>
          <w:szCs w:val="24"/>
        </w:rPr>
      </w:pPr>
      <w:r w:rsidRPr="00772A61">
        <w:rPr>
          <w:color w:val="000000" w:themeColor="text1"/>
          <w:sz w:val="24"/>
          <w:szCs w:val="24"/>
        </w:rPr>
        <w:t xml:space="preserve">Narrative </w:t>
      </w:r>
      <w:r w:rsidR="00CE32A3" w:rsidRPr="00772A61">
        <w:rPr>
          <w:color w:val="000000" w:themeColor="text1"/>
          <w:sz w:val="24"/>
          <w:szCs w:val="24"/>
        </w:rPr>
        <w:t xml:space="preserve">is a relatively late, ill-defined, and rather diverse genre in Egyptian writing, although by the </w:t>
      </w:r>
      <w:proofErr w:type="spellStart"/>
      <w:r w:rsidR="00CE32A3" w:rsidRPr="00772A61">
        <w:rPr>
          <w:color w:val="000000" w:themeColor="text1"/>
          <w:sz w:val="24"/>
          <w:szCs w:val="24"/>
        </w:rPr>
        <w:t>Ramesside</w:t>
      </w:r>
      <w:proofErr w:type="spellEnd"/>
      <w:r w:rsidR="00CE32A3" w:rsidRPr="00772A61">
        <w:rPr>
          <w:color w:val="000000" w:themeColor="text1"/>
          <w:sz w:val="24"/>
          <w:szCs w:val="24"/>
        </w:rPr>
        <w:t xml:space="preserve"> Period a considerable and varied corpus of text surv</w:t>
      </w:r>
      <w:r w:rsidR="00AB4165" w:rsidRPr="00772A61">
        <w:rPr>
          <w:color w:val="000000" w:themeColor="text1"/>
          <w:sz w:val="24"/>
          <w:szCs w:val="24"/>
        </w:rPr>
        <w:t>ives, both inscriptional and cursive</w:t>
      </w:r>
      <w:r w:rsidR="00CE32A3" w:rsidRPr="00772A61">
        <w:rPr>
          <w:color w:val="000000" w:themeColor="text1"/>
          <w:sz w:val="24"/>
          <w:szCs w:val="24"/>
        </w:rPr>
        <w:t xml:space="preserve">. </w:t>
      </w:r>
      <w:r w:rsidRPr="00772A61">
        <w:rPr>
          <w:color w:val="000000" w:themeColor="text1"/>
          <w:sz w:val="24"/>
          <w:szCs w:val="24"/>
        </w:rPr>
        <w:t xml:space="preserve">It is, </w:t>
      </w:r>
      <w:r w:rsidR="00AB4165" w:rsidRPr="00772A61">
        <w:rPr>
          <w:color w:val="000000" w:themeColor="text1"/>
          <w:sz w:val="24"/>
          <w:szCs w:val="24"/>
        </w:rPr>
        <w:t>however</w:t>
      </w:r>
      <w:r w:rsidRPr="00772A61">
        <w:rPr>
          <w:color w:val="000000" w:themeColor="text1"/>
          <w:sz w:val="24"/>
          <w:szCs w:val="24"/>
        </w:rPr>
        <w:t>, t</w:t>
      </w:r>
      <w:r w:rsidR="00CE32A3" w:rsidRPr="00772A61">
        <w:rPr>
          <w:color w:val="000000" w:themeColor="text1"/>
          <w:sz w:val="24"/>
          <w:szCs w:val="24"/>
        </w:rPr>
        <w:t xml:space="preserve">he </w:t>
      </w:r>
      <w:r w:rsidRPr="00772A61">
        <w:rPr>
          <w:color w:val="000000" w:themeColor="text1"/>
          <w:sz w:val="24"/>
          <w:szCs w:val="24"/>
        </w:rPr>
        <w:t>history</w:t>
      </w:r>
      <w:r w:rsidR="00CE32A3" w:rsidRPr="00772A61">
        <w:rPr>
          <w:color w:val="000000" w:themeColor="text1"/>
          <w:sz w:val="24"/>
          <w:szCs w:val="24"/>
        </w:rPr>
        <w:t xml:space="preserve"> of what </w:t>
      </w:r>
      <w:r w:rsidRPr="00772A61">
        <w:rPr>
          <w:color w:val="000000" w:themeColor="text1"/>
          <w:sz w:val="24"/>
          <w:szCs w:val="24"/>
        </w:rPr>
        <w:t xml:space="preserve">actually </w:t>
      </w:r>
      <w:r w:rsidR="00CE32A3" w:rsidRPr="00772A61">
        <w:rPr>
          <w:color w:val="000000" w:themeColor="text1"/>
          <w:sz w:val="24"/>
          <w:szCs w:val="24"/>
        </w:rPr>
        <w:t>survives</w:t>
      </w:r>
      <w:r w:rsidR="00AB4165" w:rsidRPr="00772A61">
        <w:rPr>
          <w:color w:val="000000" w:themeColor="text1"/>
          <w:sz w:val="24"/>
          <w:szCs w:val="24"/>
        </w:rPr>
        <w:t xml:space="preserve"> </w:t>
      </w:r>
      <w:r w:rsidR="00CE32A3" w:rsidRPr="00772A61">
        <w:rPr>
          <w:color w:val="000000" w:themeColor="text1"/>
          <w:sz w:val="24"/>
          <w:szCs w:val="24"/>
        </w:rPr>
        <w:t xml:space="preserve">– the </w:t>
      </w:r>
      <w:r w:rsidRPr="00772A61">
        <w:rPr>
          <w:color w:val="000000" w:themeColor="text1"/>
          <w:sz w:val="24"/>
          <w:szCs w:val="24"/>
        </w:rPr>
        <w:t>documented use of writing for narrative – which best illustrates</w:t>
      </w:r>
      <w:r w:rsidR="00CE32A3" w:rsidRPr="00772A61">
        <w:rPr>
          <w:color w:val="000000" w:themeColor="text1"/>
          <w:sz w:val="24"/>
          <w:szCs w:val="24"/>
        </w:rPr>
        <w:t xml:space="preserve"> </w:t>
      </w:r>
      <w:r w:rsidR="00CE32A3" w:rsidRPr="00772A61">
        <w:rPr>
          <w:color w:val="000000" w:themeColor="text1"/>
          <w:sz w:val="24"/>
          <w:szCs w:val="24"/>
          <w:lang w:eastAsia="en-GB"/>
        </w:rPr>
        <w:t xml:space="preserve">the socially embedded relationship between </w:t>
      </w:r>
      <w:proofErr w:type="gramStart"/>
      <w:r w:rsidR="00CE32A3" w:rsidRPr="00772A61">
        <w:rPr>
          <w:color w:val="000000" w:themeColor="text1"/>
          <w:sz w:val="24"/>
          <w:szCs w:val="24"/>
          <w:lang w:eastAsia="en-GB"/>
        </w:rPr>
        <w:t>author/</w:t>
      </w:r>
      <w:proofErr w:type="gramEnd"/>
      <w:r w:rsidR="00CE32A3" w:rsidRPr="00772A61">
        <w:rPr>
          <w:color w:val="000000" w:themeColor="text1"/>
          <w:sz w:val="24"/>
          <w:szCs w:val="24"/>
          <w:lang w:eastAsia="en-GB"/>
        </w:rPr>
        <w:t xml:space="preserve"> performer and the audience/public. All</w:t>
      </w:r>
      <w:r w:rsidR="00CE32A3">
        <w:rPr>
          <w:sz w:val="24"/>
          <w:szCs w:val="24"/>
          <w:lang w:eastAsia="en-GB"/>
        </w:rPr>
        <w:t xml:space="preserve"> Egyptian written narrative invokes performance in one sense or another, but there is a necessary distinction between narrative which is primarily a performance to an audience but happens to survive in writing, and narrative displayed – published – in writing: </w:t>
      </w:r>
      <w:r w:rsidR="00CE32A3">
        <w:rPr>
          <w:sz w:val="24"/>
          <w:szCs w:val="24"/>
        </w:rPr>
        <w:t>the spectrum between a live</w:t>
      </w:r>
      <w:r w:rsidR="00CE32A3" w:rsidRPr="00C815F1">
        <w:rPr>
          <w:sz w:val="24"/>
          <w:szCs w:val="24"/>
        </w:rPr>
        <w:t xml:space="preserve"> audience (for whom a work is performed, with degree of participation) and a public (to whom an autonomous work is published).</w:t>
      </w:r>
      <w:r w:rsidR="00CE32A3">
        <w:rPr>
          <w:sz w:val="24"/>
          <w:szCs w:val="24"/>
        </w:rPr>
        <w:t xml:space="preserve"> The distinction is then a useful one for addressing the nature of Egyptian narrative, and literature in general. </w:t>
      </w:r>
      <w:r w:rsidR="00CE32A3" w:rsidRPr="00C815F1">
        <w:rPr>
          <w:sz w:val="24"/>
          <w:szCs w:val="24"/>
        </w:rPr>
        <w:t>At the core of this is an address</w:t>
      </w:r>
      <w:r w:rsidR="00CE32A3">
        <w:rPr>
          <w:sz w:val="24"/>
          <w:szCs w:val="24"/>
        </w:rPr>
        <w:t>,</w:t>
      </w:r>
      <w:r w:rsidR="00CE32A3" w:rsidRPr="00C815F1">
        <w:rPr>
          <w:sz w:val="24"/>
          <w:szCs w:val="24"/>
        </w:rPr>
        <w:t xml:space="preserve"> taken from an ethnographic approach to literature</w:t>
      </w:r>
      <w:r w:rsidR="00CE32A3">
        <w:rPr>
          <w:sz w:val="24"/>
          <w:szCs w:val="24"/>
        </w:rPr>
        <w:t>,</w:t>
      </w:r>
      <w:r w:rsidR="00CE32A3" w:rsidRPr="00C815F1">
        <w:rPr>
          <w:sz w:val="24"/>
          <w:szCs w:val="24"/>
        </w:rPr>
        <w:t xml:space="preserve"> to the distinction between the text as a publication (in the sense of addressed to a potentially open public, in ways which may become relatively autonomous), and a performance, in which communication is to an audience</w:t>
      </w:r>
      <w:r w:rsidR="00CE32A3" w:rsidRPr="00C815F1">
        <w:rPr>
          <w:rStyle w:val="FootnoteReference"/>
          <w:sz w:val="24"/>
          <w:szCs w:val="24"/>
        </w:rPr>
        <w:footnoteReference w:id="1"/>
      </w:r>
      <w:r w:rsidR="00CE32A3" w:rsidRPr="00C815F1">
        <w:rPr>
          <w:sz w:val="24"/>
          <w:szCs w:val="24"/>
        </w:rPr>
        <w:t>. The distinction is not merely a quibble, but involves the degree and nature of accessibility or restriction of the texts, and the culturally significant manner of its use.</w:t>
      </w:r>
      <w:r w:rsidR="00CE32A3">
        <w:rPr>
          <w:sz w:val="24"/>
          <w:szCs w:val="24"/>
        </w:rPr>
        <w:t xml:space="preserve"> In the Egyptian context, publication overlaps conceptually with reification: deliberate fixing the form of the individual text, as well as the communication of its content</w:t>
      </w:r>
      <w:r w:rsidR="00CE32A3">
        <w:rPr>
          <w:rStyle w:val="FootnoteReference"/>
          <w:sz w:val="24"/>
          <w:szCs w:val="24"/>
        </w:rPr>
        <w:footnoteReference w:id="2"/>
      </w:r>
      <w:r w:rsidR="00CE32A3">
        <w:rPr>
          <w:sz w:val="24"/>
          <w:szCs w:val="24"/>
        </w:rPr>
        <w:t>.</w:t>
      </w:r>
    </w:p>
    <w:p w:rsidR="00CE32A3" w:rsidRDefault="00CE32A3" w:rsidP="00992714">
      <w:pPr>
        <w:tabs>
          <w:tab w:val="left" w:pos="567"/>
        </w:tabs>
        <w:spacing w:line="360" w:lineRule="auto"/>
        <w:ind w:firstLine="720"/>
        <w:contextualSpacing/>
        <w:rPr>
          <w:sz w:val="24"/>
          <w:szCs w:val="24"/>
          <w:lang w:eastAsia="en-GB"/>
        </w:rPr>
      </w:pPr>
      <w:r w:rsidRPr="00C815F1">
        <w:rPr>
          <w:sz w:val="24"/>
          <w:szCs w:val="24"/>
        </w:rPr>
        <w:t>The relationship between functionality and aesthetic is even more difficult for Egyptian literature than for art</w:t>
      </w:r>
      <w:r w:rsidRPr="00C815F1">
        <w:rPr>
          <w:rStyle w:val="FootnoteReference"/>
          <w:sz w:val="24"/>
          <w:szCs w:val="24"/>
        </w:rPr>
        <w:footnoteReference w:id="3"/>
      </w:r>
      <w:r>
        <w:rPr>
          <w:sz w:val="24"/>
          <w:szCs w:val="24"/>
        </w:rPr>
        <w:t xml:space="preserve">: although </w:t>
      </w:r>
      <w:r>
        <w:rPr>
          <w:sz w:val="24"/>
          <w:szCs w:val="24"/>
          <w:lang w:eastAsia="en-GB"/>
        </w:rPr>
        <w:t xml:space="preserve">written literature always appears </w:t>
      </w:r>
      <w:r w:rsidRPr="00C815F1">
        <w:rPr>
          <w:sz w:val="24"/>
          <w:szCs w:val="24"/>
          <w:lang w:eastAsia="en-GB"/>
        </w:rPr>
        <w:t xml:space="preserve">purposeful </w:t>
      </w:r>
      <w:r>
        <w:rPr>
          <w:sz w:val="24"/>
          <w:szCs w:val="24"/>
          <w:lang w:eastAsia="en-GB"/>
        </w:rPr>
        <w:lastRenderedPageBreak/>
        <w:t>in context, it never appears to be crudely utilitarian</w:t>
      </w:r>
      <w:r w:rsidRPr="00C815F1">
        <w:rPr>
          <w:rStyle w:val="FootnoteReference"/>
          <w:sz w:val="24"/>
          <w:szCs w:val="24"/>
          <w:lang w:eastAsia="en-GB"/>
        </w:rPr>
        <w:footnoteReference w:id="4"/>
      </w:r>
      <w:r>
        <w:rPr>
          <w:sz w:val="24"/>
          <w:szCs w:val="24"/>
          <w:lang w:eastAsia="en-GB"/>
        </w:rPr>
        <w:t xml:space="preserve">. The debate </w:t>
      </w:r>
      <w:r w:rsidRPr="00C815F1">
        <w:rPr>
          <w:sz w:val="24"/>
          <w:szCs w:val="24"/>
        </w:rPr>
        <w:t xml:space="preserve">about the autonomy of art </w:t>
      </w:r>
      <w:r>
        <w:rPr>
          <w:sz w:val="24"/>
          <w:szCs w:val="24"/>
        </w:rPr>
        <w:t xml:space="preserve">and literature – its disengagement from specific purpose or performance – is, however, largely </w:t>
      </w:r>
      <w:r w:rsidRPr="00C815F1">
        <w:rPr>
          <w:sz w:val="24"/>
          <w:szCs w:val="24"/>
        </w:rPr>
        <w:t>anachronistic</w:t>
      </w:r>
      <w:r>
        <w:rPr>
          <w:sz w:val="24"/>
          <w:szCs w:val="24"/>
        </w:rPr>
        <w:t xml:space="preserve"> for the Egyptian material</w:t>
      </w:r>
      <w:r w:rsidRPr="00C815F1">
        <w:rPr>
          <w:sz w:val="24"/>
          <w:szCs w:val="24"/>
        </w:rPr>
        <w:t xml:space="preserve">, </w:t>
      </w:r>
      <w:r>
        <w:rPr>
          <w:sz w:val="24"/>
          <w:szCs w:val="24"/>
        </w:rPr>
        <w:t>and rooted in post-18th Century</w:t>
      </w:r>
      <w:r w:rsidRPr="00C815F1">
        <w:rPr>
          <w:sz w:val="24"/>
          <w:szCs w:val="24"/>
        </w:rPr>
        <w:t xml:space="preserve"> assumptions about </w:t>
      </w:r>
      <w:r>
        <w:rPr>
          <w:sz w:val="24"/>
          <w:szCs w:val="24"/>
        </w:rPr>
        <w:t xml:space="preserve">the nature of </w:t>
      </w:r>
      <w:r w:rsidRPr="00C815F1">
        <w:rPr>
          <w:sz w:val="24"/>
          <w:szCs w:val="24"/>
        </w:rPr>
        <w:t>authorship and publication</w:t>
      </w:r>
      <w:r>
        <w:rPr>
          <w:sz w:val="24"/>
          <w:szCs w:val="24"/>
        </w:rPr>
        <w:t xml:space="preserve">. From a standpoint of deep scepticism about </w:t>
      </w:r>
      <w:r w:rsidRPr="000C4607">
        <w:rPr>
          <w:sz w:val="24"/>
          <w:szCs w:val="24"/>
          <w:lang w:eastAsia="en-GB"/>
        </w:rPr>
        <w:t>the existence of an autonomous written literature</w:t>
      </w:r>
      <w:r>
        <w:rPr>
          <w:sz w:val="24"/>
          <w:szCs w:val="24"/>
          <w:lang w:eastAsia="en-GB"/>
        </w:rPr>
        <w:t xml:space="preserve">, and specifically written stories </w:t>
      </w:r>
      <w:r w:rsidRPr="000C4607">
        <w:rPr>
          <w:sz w:val="24"/>
          <w:szCs w:val="24"/>
          <w:lang w:eastAsia="en-GB"/>
        </w:rPr>
        <w:t>created for reading</w:t>
      </w:r>
      <w:r w:rsidRPr="000C4607">
        <w:rPr>
          <w:rStyle w:val="FootnoteReference"/>
          <w:sz w:val="24"/>
          <w:szCs w:val="24"/>
          <w:lang w:eastAsia="en-GB"/>
        </w:rPr>
        <w:footnoteReference w:id="5"/>
      </w:r>
      <w:r>
        <w:rPr>
          <w:sz w:val="24"/>
          <w:szCs w:val="24"/>
          <w:lang w:eastAsia="en-GB"/>
        </w:rPr>
        <w:t>,</w:t>
      </w:r>
      <w:r>
        <w:rPr>
          <w:sz w:val="24"/>
          <w:szCs w:val="24"/>
        </w:rPr>
        <w:t xml:space="preserve"> I would rather stress that, for Egypt, the way in which texts were</w:t>
      </w:r>
      <w:r w:rsidRPr="00C815F1">
        <w:rPr>
          <w:sz w:val="24"/>
          <w:szCs w:val="24"/>
        </w:rPr>
        <w:t xml:space="preserve"> comm</w:t>
      </w:r>
      <w:r>
        <w:rPr>
          <w:sz w:val="24"/>
          <w:szCs w:val="24"/>
        </w:rPr>
        <w:t>unicated is</w:t>
      </w:r>
      <w:r w:rsidRPr="00C815F1">
        <w:rPr>
          <w:sz w:val="24"/>
          <w:szCs w:val="24"/>
        </w:rPr>
        <w:t xml:space="preserve"> more important than the</w:t>
      </w:r>
      <w:r>
        <w:rPr>
          <w:sz w:val="24"/>
          <w:szCs w:val="24"/>
        </w:rPr>
        <w:t>ir</w:t>
      </w:r>
      <w:r w:rsidRPr="00C815F1">
        <w:rPr>
          <w:sz w:val="24"/>
          <w:szCs w:val="24"/>
        </w:rPr>
        <w:t xml:space="preserve"> authorship; or rather, one needs to think of different modes of authorship in the </w:t>
      </w:r>
      <w:r>
        <w:rPr>
          <w:sz w:val="24"/>
          <w:szCs w:val="24"/>
        </w:rPr>
        <w:t>– to</w:t>
      </w:r>
      <w:r w:rsidRPr="00C815F1">
        <w:rPr>
          <w:sz w:val="24"/>
          <w:szCs w:val="24"/>
        </w:rPr>
        <w:t xml:space="preserve"> a large extent</w:t>
      </w:r>
      <w:r>
        <w:rPr>
          <w:sz w:val="24"/>
          <w:szCs w:val="24"/>
        </w:rPr>
        <w:t xml:space="preserve"> – </w:t>
      </w:r>
      <w:r w:rsidRPr="00C815F1">
        <w:rPr>
          <w:sz w:val="24"/>
          <w:szCs w:val="24"/>
        </w:rPr>
        <w:t>pre-writing</w:t>
      </w:r>
      <w:r>
        <w:rPr>
          <w:sz w:val="24"/>
          <w:szCs w:val="24"/>
        </w:rPr>
        <w:t xml:space="preserve"> culture of Egypt: which at least include </w:t>
      </w:r>
      <w:r w:rsidRPr="00C815F1">
        <w:rPr>
          <w:sz w:val="24"/>
          <w:szCs w:val="24"/>
        </w:rPr>
        <w:t>non-writing modes of authorship</w:t>
      </w:r>
      <w:r w:rsidRPr="00C815F1">
        <w:rPr>
          <w:rStyle w:val="FootnoteReference"/>
          <w:sz w:val="24"/>
          <w:szCs w:val="24"/>
        </w:rPr>
        <w:footnoteReference w:id="6"/>
      </w:r>
      <w:r>
        <w:rPr>
          <w:sz w:val="24"/>
          <w:szCs w:val="24"/>
        </w:rPr>
        <w:t>.</w:t>
      </w:r>
      <w:r w:rsidRPr="00C815F1">
        <w:rPr>
          <w:sz w:val="24"/>
          <w:szCs w:val="24"/>
          <w:lang w:eastAsia="en-GB"/>
        </w:rPr>
        <w:t xml:space="preserve"> </w:t>
      </w:r>
    </w:p>
    <w:p w:rsidR="00CE32A3" w:rsidRDefault="00CE32A3" w:rsidP="00992714">
      <w:pPr>
        <w:tabs>
          <w:tab w:val="left" w:pos="567"/>
        </w:tabs>
        <w:spacing w:line="360" w:lineRule="auto"/>
        <w:ind w:firstLine="720"/>
        <w:contextualSpacing/>
        <w:rPr>
          <w:sz w:val="24"/>
          <w:szCs w:val="24"/>
          <w:lang w:eastAsia="en-GB"/>
        </w:rPr>
      </w:pPr>
      <w:r w:rsidRPr="000C4607">
        <w:rPr>
          <w:sz w:val="24"/>
          <w:szCs w:val="24"/>
        </w:rPr>
        <w:t xml:space="preserve">In principle a broad enough range of </w:t>
      </w:r>
      <w:r>
        <w:rPr>
          <w:sz w:val="24"/>
          <w:szCs w:val="24"/>
        </w:rPr>
        <w:t>narrative</w:t>
      </w:r>
      <w:r w:rsidRPr="000C4607">
        <w:rPr>
          <w:sz w:val="24"/>
          <w:szCs w:val="24"/>
        </w:rPr>
        <w:t xml:space="preserve"> </w:t>
      </w:r>
      <w:r>
        <w:rPr>
          <w:sz w:val="24"/>
          <w:szCs w:val="24"/>
        </w:rPr>
        <w:t>survives from</w:t>
      </w:r>
      <w:r w:rsidRPr="000C4607">
        <w:rPr>
          <w:sz w:val="24"/>
          <w:szCs w:val="24"/>
        </w:rPr>
        <w:t xml:space="preserve"> the </w:t>
      </w:r>
      <w:proofErr w:type="spellStart"/>
      <w:r w:rsidRPr="000C4607">
        <w:rPr>
          <w:sz w:val="24"/>
          <w:szCs w:val="24"/>
        </w:rPr>
        <w:t>Ramesside</w:t>
      </w:r>
      <w:proofErr w:type="spellEnd"/>
      <w:r w:rsidRPr="000C4607">
        <w:rPr>
          <w:sz w:val="24"/>
          <w:szCs w:val="24"/>
        </w:rPr>
        <w:t xml:space="preserve"> period to address </w:t>
      </w:r>
      <w:r>
        <w:rPr>
          <w:sz w:val="24"/>
          <w:szCs w:val="24"/>
        </w:rPr>
        <w:t xml:space="preserve">the generic interrelationships between papyrus and inscription. </w:t>
      </w:r>
      <w:r>
        <w:rPr>
          <w:sz w:val="24"/>
          <w:szCs w:val="24"/>
          <w:lang w:eastAsia="en-GB"/>
        </w:rPr>
        <w:t>A</w:t>
      </w:r>
      <w:r w:rsidRPr="000C4607">
        <w:rPr>
          <w:sz w:val="24"/>
          <w:szCs w:val="24"/>
          <w:lang w:eastAsia="en-GB"/>
        </w:rPr>
        <w:t xml:space="preserve"> history of </w:t>
      </w:r>
      <w:r>
        <w:rPr>
          <w:sz w:val="24"/>
          <w:szCs w:val="24"/>
          <w:lang w:eastAsia="en-GB"/>
        </w:rPr>
        <w:t>what was actually written (</w:t>
      </w:r>
      <w:r w:rsidRPr="000C4607">
        <w:rPr>
          <w:sz w:val="24"/>
          <w:szCs w:val="24"/>
          <w:lang w:eastAsia="en-GB"/>
        </w:rPr>
        <w:t xml:space="preserve">genres, content, </w:t>
      </w:r>
      <w:r>
        <w:rPr>
          <w:sz w:val="24"/>
          <w:szCs w:val="24"/>
          <w:lang w:eastAsia="en-GB"/>
        </w:rPr>
        <w:t xml:space="preserve">and literary form) is, however, more straightforward than a history </w:t>
      </w:r>
      <w:r w:rsidRPr="000C4607">
        <w:rPr>
          <w:sz w:val="24"/>
          <w:szCs w:val="24"/>
        </w:rPr>
        <w:t xml:space="preserve">of how </w:t>
      </w:r>
      <w:r>
        <w:rPr>
          <w:sz w:val="24"/>
          <w:szCs w:val="24"/>
        </w:rPr>
        <w:t xml:space="preserve">people used those texts. The shortage of direct, incidental evidence makes </w:t>
      </w:r>
      <w:r w:rsidRPr="000C4607">
        <w:rPr>
          <w:sz w:val="24"/>
          <w:szCs w:val="24"/>
        </w:rPr>
        <w:t>a history of reading more difficult for Egypt than a history of writing</w:t>
      </w:r>
      <w:r>
        <w:rPr>
          <w:sz w:val="24"/>
          <w:szCs w:val="24"/>
        </w:rPr>
        <w:t xml:space="preserve">. However, a consideration of the purpose of </w:t>
      </w:r>
      <w:r w:rsidRPr="000C4607">
        <w:rPr>
          <w:sz w:val="24"/>
          <w:szCs w:val="24"/>
        </w:rPr>
        <w:t xml:space="preserve">a narrative </w:t>
      </w:r>
      <w:r>
        <w:rPr>
          <w:sz w:val="24"/>
          <w:szCs w:val="24"/>
        </w:rPr>
        <w:t>may provide</w:t>
      </w:r>
      <w:r w:rsidRPr="000C4607">
        <w:rPr>
          <w:sz w:val="24"/>
          <w:szCs w:val="24"/>
        </w:rPr>
        <w:t xml:space="preserve"> internal evidence for accessibility and use</w:t>
      </w:r>
      <w:r>
        <w:rPr>
          <w:sz w:val="24"/>
          <w:szCs w:val="24"/>
        </w:rPr>
        <w:t>, beyond apparently direct categorisations as propaganda or ideology. T</w:t>
      </w:r>
      <w:r>
        <w:rPr>
          <w:sz w:val="24"/>
          <w:szCs w:val="24"/>
          <w:lang w:eastAsia="en-GB"/>
        </w:rPr>
        <w:t xml:space="preserve">he simple </w:t>
      </w:r>
      <w:r w:rsidRPr="000C4607">
        <w:rPr>
          <w:sz w:val="24"/>
          <w:szCs w:val="24"/>
          <w:lang w:eastAsia="en-GB"/>
        </w:rPr>
        <w:t>question</w:t>
      </w:r>
      <w:r>
        <w:rPr>
          <w:sz w:val="24"/>
          <w:szCs w:val="24"/>
          <w:lang w:eastAsia="en-GB"/>
        </w:rPr>
        <w:t xml:space="preserve"> </w:t>
      </w:r>
      <w:r w:rsidRPr="000C4607">
        <w:rPr>
          <w:sz w:val="24"/>
          <w:szCs w:val="24"/>
          <w:lang w:eastAsia="en-GB"/>
        </w:rPr>
        <w:t xml:space="preserve">is how narrative, preserved in a </w:t>
      </w:r>
      <w:r w:rsidRPr="000C4607">
        <w:rPr>
          <w:sz w:val="24"/>
          <w:szCs w:val="24"/>
          <w:lang w:eastAsia="en-GB"/>
        </w:rPr>
        <w:lastRenderedPageBreak/>
        <w:t>monumental inscription or on a papyrus, was accessible to an audience or public, and who that audience or public might be: whether oral performance, either formal or informal, defines both inscriptional and papyrus literature</w:t>
      </w:r>
      <w:r w:rsidRPr="000C4607">
        <w:rPr>
          <w:rStyle w:val="FootnoteReference"/>
          <w:sz w:val="24"/>
          <w:szCs w:val="24"/>
          <w:lang w:eastAsia="en-GB"/>
        </w:rPr>
        <w:footnoteReference w:id="7"/>
      </w:r>
      <w:r w:rsidRPr="000C4607">
        <w:rPr>
          <w:sz w:val="24"/>
          <w:szCs w:val="24"/>
          <w:lang w:eastAsia="en-GB"/>
        </w:rPr>
        <w:t xml:space="preserve">; or whether formats specific to inscription define the history of Egyptian literature as it is visible to us. </w:t>
      </w:r>
    </w:p>
    <w:p w:rsidR="00CE32A3" w:rsidRDefault="00CE32A3" w:rsidP="00992714">
      <w:pPr>
        <w:tabs>
          <w:tab w:val="left" w:pos="567"/>
        </w:tabs>
        <w:spacing w:line="360" w:lineRule="auto"/>
        <w:contextualSpacing/>
        <w:rPr>
          <w:sz w:val="24"/>
          <w:szCs w:val="24"/>
          <w:lang w:eastAsia="en-GB"/>
        </w:rPr>
      </w:pPr>
    </w:p>
    <w:p w:rsidR="00CE32A3" w:rsidRPr="00F0079F" w:rsidRDefault="00CE32A3" w:rsidP="00992714">
      <w:pPr>
        <w:tabs>
          <w:tab w:val="left" w:pos="567"/>
        </w:tabs>
        <w:spacing w:line="360" w:lineRule="auto"/>
        <w:contextualSpacing/>
        <w:rPr>
          <w:sz w:val="24"/>
          <w:szCs w:val="24"/>
        </w:rPr>
      </w:pPr>
      <w:r w:rsidRPr="00F0079F">
        <w:rPr>
          <w:sz w:val="24"/>
          <w:szCs w:val="24"/>
          <w:lang w:eastAsia="en-GB"/>
        </w:rPr>
        <w:t>The medium of narrative</w:t>
      </w:r>
    </w:p>
    <w:p w:rsidR="00CE32A3" w:rsidRDefault="00CE32A3" w:rsidP="00992714">
      <w:pPr>
        <w:tabs>
          <w:tab w:val="left" w:pos="567"/>
        </w:tabs>
        <w:spacing w:line="360" w:lineRule="auto"/>
        <w:contextualSpacing/>
        <w:rPr>
          <w:sz w:val="24"/>
          <w:szCs w:val="24"/>
        </w:rPr>
      </w:pPr>
    </w:p>
    <w:p w:rsidR="00CE32A3" w:rsidRDefault="00CE32A3" w:rsidP="00992714">
      <w:pPr>
        <w:tabs>
          <w:tab w:val="left" w:pos="567"/>
        </w:tabs>
        <w:spacing w:line="360" w:lineRule="auto"/>
        <w:contextualSpacing/>
        <w:rPr>
          <w:sz w:val="24"/>
          <w:szCs w:val="24"/>
        </w:rPr>
      </w:pPr>
      <w:r>
        <w:rPr>
          <w:sz w:val="24"/>
          <w:szCs w:val="24"/>
        </w:rPr>
        <w:t>The diversity of narrative genre in Egypt relates very closely to the medium on which it was written – inscribed hieroglyphs or cursive hieratic on papyrus – but the relationship between the two media is complex, since they appear to differ in both purpose and dissemination, and there is little concrete evidence to describe</w:t>
      </w:r>
      <w:r w:rsidRPr="00C815F1">
        <w:rPr>
          <w:sz w:val="24"/>
          <w:szCs w:val="24"/>
        </w:rPr>
        <w:t xml:space="preserve"> the process </w:t>
      </w:r>
      <w:r>
        <w:rPr>
          <w:sz w:val="24"/>
          <w:szCs w:val="24"/>
        </w:rPr>
        <w:t>of</w:t>
      </w:r>
      <w:r w:rsidRPr="00C815F1">
        <w:rPr>
          <w:sz w:val="24"/>
          <w:szCs w:val="24"/>
        </w:rPr>
        <w:t xml:space="preserve"> putting a narrative text into writing, either on a papyrus or on a monument</w:t>
      </w:r>
      <w:r>
        <w:rPr>
          <w:sz w:val="24"/>
          <w:szCs w:val="24"/>
        </w:rPr>
        <w:t xml:space="preserve">: </w:t>
      </w:r>
      <w:r w:rsidRPr="00C815F1">
        <w:rPr>
          <w:sz w:val="24"/>
          <w:szCs w:val="24"/>
        </w:rPr>
        <w:t xml:space="preserve"> </w:t>
      </w:r>
      <w:r>
        <w:rPr>
          <w:sz w:val="24"/>
          <w:szCs w:val="24"/>
        </w:rPr>
        <w:t>t</w:t>
      </w:r>
      <w:r w:rsidRPr="00C815F1">
        <w:rPr>
          <w:sz w:val="24"/>
          <w:szCs w:val="24"/>
        </w:rPr>
        <w:t>he relationship between text, performance, and process</w:t>
      </w:r>
      <w:r>
        <w:rPr>
          <w:sz w:val="24"/>
          <w:szCs w:val="24"/>
        </w:rPr>
        <w:t>es</w:t>
      </w:r>
      <w:r w:rsidRPr="00C815F1">
        <w:rPr>
          <w:sz w:val="24"/>
          <w:szCs w:val="24"/>
        </w:rPr>
        <w:t xml:space="preserve"> of transmission</w:t>
      </w:r>
      <w:r>
        <w:rPr>
          <w:sz w:val="24"/>
          <w:szCs w:val="24"/>
        </w:rPr>
        <w:t>.</w:t>
      </w:r>
      <w:r w:rsidRPr="00C815F1">
        <w:rPr>
          <w:sz w:val="24"/>
          <w:szCs w:val="24"/>
        </w:rPr>
        <w:t xml:space="preserve"> </w:t>
      </w:r>
      <w:r>
        <w:rPr>
          <w:sz w:val="24"/>
          <w:szCs w:val="24"/>
        </w:rPr>
        <w:t>Narrative on papyrus survives only in private copies, made by and for individuals; so far as we can tell scripts for recitation</w:t>
      </w:r>
      <w:r>
        <w:rPr>
          <w:rStyle w:val="FootnoteReference"/>
          <w:sz w:val="24"/>
          <w:szCs w:val="24"/>
        </w:rPr>
        <w:footnoteReference w:id="8"/>
      </w:r>
      <w:r>
        <w:rPr>
          <w:sz w:val="24"/>
          <w:szCs w:val="24"/>
        </w:rPr>
        <w:t>, and not as objects of written circulation for private reading; performances. The medium is essentially one of fiction and discourse. In contrast, inscribed text, like picture, makes incidents permanent, asserting their non-</w:t>
      </w:r>
      <w:proofErr w:type="spellStart"/>
      <w:r>
        <w:rPr>
          <w:sz w:val="24"/>
          <w:szCs w:val="24"/>
        </w:rPr>
        <w:t>fictionality</w:t>
      </w:r>
      <w:proofErr w:type="spellEnd"/>
      <w:r>
        <w:rPr>
          <w:sz w:val="24"/>
          <w:szCs w:val="24"/>
        </w:rPr>
        <w:t>, and then reifying them at the borderline between fiction and reality, truth and ideology</w:t>
      </w:r>
      <w:r>
        <w:rPr>
          <w:rStyle w:val="FootnoteReference"/>
          <w:sz w:val="24"/>
          <w:szCs w:val="24"/>
        </w:rPr>
        <w:footnoteReference w:id="9"/>
      </w:r>
      <w:r>
        <w:rPr>
          <w:sz w:val="24"/>
          <w:szCs w:val="24"/>
        </w:rPr>
        <w:t>. The inscription communicates, explicitly, with both an immediate contemporary public and a defined posterity. In that sense it takes on something of the character of a publication in fixed form</w:t>
      </w:r>
      <w:r>
        <w:rPr>
          <w:rStyle w:val="FootnoteReference"/>
          <w:sz w:val="24"/>
          <w:szCs w:val="24"/>
        </w:rPr>
        <w:footnoteReference w:id="10"/>
      </w:r>
      <w:r>
        <w:rPr>
          <w:sz w:val="24"/>
          <w:szCs w:val="24"/>
        </w:rPr>
        <w:t xml:space="preserve">: in such a way that an original – although potentially fictional – performance, is reified as a visible and invariable public display, although in reality the inscription may be located in a position that makes practical reading a virtual impossibility. </w:t>
      </w:r>
    </w:p>
    <w:p w:rsidR="00CE32A3" w:rsidRDefault="00CE32A3" w:rsidP="00992714">
      <w:pPr>
        <w:tabs>
          <w:tab w:val="left" w:pos="567"/>
        </w:tabs>
        <w:spacing w:line="360" w:lineRule="auto"/>
        <w:contextualSpacing/>
        <w:rPr>
          <w:sz w:val="24"/>
          <w:szCs w:val="24"/>
        </w:rPr>
      </w:pPr>
      <w:r>
        <w:rPr>
          <w:sz w:val="24"/>
          <w:szCs w:val="24"/>
        </w:rPr>
        <w:tab/>
        <w:t xml:space="preserve">The linguistic and stylistic relationships visible between inscriptional and hieratic narratives in the </w:t>
      </w:r>
      <w:proofErr w:type="spellStart"/>
      <w:r>
        <w:rPr>
          <w:sz w:val="24"/>
          <w:szCs w:val="24"/>
        </w:rPr>
        <w:t>Ramesside</w:t>
      </w:r>
      <w:proofErr w:type="spellEnd"/>
      <w:r>
        <w:rPr>
          <w:sz w:val="24"/>
          <w:szCs w:val="24"/>
        </w:rPr>
        <w:t xml:space="preserve"> Period are clearly rooted in the limited number – indeed the identity – of those who created both genres. Direct plagiarism is essentially a feature of written culture: direct coping of written text, as seen in the invitation to select and copy from the inscriptions </w:t>
      </w:r>
      <w:r w:rsidRPr="00AD1739">
        <w:rPr>
          <w:sz w:val="24"/>
          <w:szCs w:val="24"/>
        </w:rPr>
        <w:t>in the 2</w:t>
      </w:r>
      <w:r>
        <w:rPr>
          <w:sz w:val="24"/>
          <w:szCs w:val="24"/>
        </w:rPr>
        <w:t>6th D</w:t>
      </w:r>
      <w:r w:rsidRPr="00AD1739">
        <w:rPr>
          <w:sz w:val="24"/>
          <w:szCs w:val="24"/>
        </w:rPr>
        <w:t xml:space="preserve">ynasty tomb of </w:t>
      </w:r>
      <w:proofErr w:type="spellStart"/>
      <w:r w:rsidRPr="00AD1739">
        <w:rPr>
          <w:sz w:val="24"/>
          <w:szCs w:val="24"/>
        </w:rPr>
        <w:t>Ibi</w:t>
      </w:r>
      <w:proofErr w:type="spellEnd"/>
      <w:r w:rsidRPr="00AD1739">
        <w:rPr>
          <w:sz w:val="24"/>
          <w:szCs w:val="24"/>
        </w:rPr>
        <w:t xml:space="preserve"> </w:t>
      </w:r>
      <w:r w:rsidRPr="00AD1739">
        <w:rPr>
          <w:rStyle w:val="FootnoteReference"/>
          <w:sz w:val="24"/>
          <w:szCs w:val="24"/>
        </w:rPr>
        <w:footnoteReference w:id="11"/>
      </w:r>
      <w:r w:rsidRPr="00AD1739">
        <w:rPr>
          <w:sz w:val="24"/>
          <w:szCs w:val="24"/>
        </w:rPr>
        <w:t>.</w:t>
      </w:r>
      <w:r w:rsidRPr="00733CB5">
        <w:rPr>
          <w:color w:val="FF0000"/>
          <w:sz w:val="24"/>
          <w:szCs w:val="24"/>
        </w:rPr>
        <w:t xml:space="preserve"> </w:t>
      </w:r>
      <w:r>
        <w:rPr>
          <w:sz w:val="24"/>
          <w:szCs w:val="24"/>
        </w:rPr>
        <w:t xml:space="preserve">Productive </w:t>
      </w:r>
      <w:r>
        <w:rPr>
          <w:sz w:val="24"/>
          <w:szCs w:val="24"/>
        </w:rPr>
        <w:lastRenderedPageBreak/>
        <w:t>variation on a theme – often simply characterised as intertextuality rather than quotation – is normal, however, across the range of genres which comprise the common culture of the literate. All Egyptian creative writing depends on a rather open process of textual transmission, involving the productive reuse of phraseology in composition. This is rooted both in performance, but also in the way in which texts were copied: variation between individual literary manuscripts cannot simply be dismissed as scribal carelessness in copying, but in an attitude where the canonical accuracy of copying a primary text was not the immediate concern of the copyist</w:t>
      </w:r>
      <w:r>
        <w:rPr>
          <w:rStyle w:val="FootnoteReference"/>
          <w:sz w:val="24"/>
          <w:szCs w:val="24"/>
        </w:rPr>
        <w:footnoteReference w:id="12"/>
      </w:r>
      <w:r>
        <w:rPr>
          <w:sz w:val="24"/>
          <w:szCs w:val="24"/>
        </w:rPr>
        <w:t>, despite the regular assertion in a colophon that the copy was as found</w:t>
      </w:r>
      <w:r>
        <w:rPr>
          <w:rStyle w:val="FootnoteReference"/>
          <w:sz w:val="24"/>
          <w:szCs w:val="24"/>
        </w:rPr>
        <w:footnoteReference w:id="13"/>
      </w:r>
      <w:r>
        <w:rPr>
          <w:sz w:val="24"/>
          <w:szCs w:val="24"/>
        </w:rPr>
        <w:t>. The nature of transmission has to be contextualised in the way in which its content – the text – was the subject of oral performance or of reference and reading.</w:t>
      </w:r>
    </w:p>
    <w:p w:rsidR="00CE32A3" w:rsidRDefault="00CE32A3" w:rsidP="00992714">
      <w:pPr>
        <w:tabs>
          <w:tab w:val="left" w:pos="567"/>
        </w:tabs>
        <w:spacing w:line="360" w:lineRule="auto"/>
        <w:ind w:firstLine="720"/>
        <w:contextualSpacing/>
        <w:rPr>
          <w:sz w:val="24"/>
          <w:szCs w:val="24"/>
        </w:rPr>
      </w:pPr>
      <w:r>
        <w:rPr>
          <w:sz w:val="24"/>
          <w:szCs w:val="24"/>
        </w:rPr>
        <w:t xml:space="preserve">The New Kingdom textual corpus seems to indicate a significant </w:t>
      </w:r>
      <w:r w:rsidRPr="00C815F1">
        <w:rPr>
          <w:sz w:val="24"/>
          <w:szCs w:val="24"/>
        </w:rPr>
        <w:t xml:space="preserve">development </w:t>
      </w:r>
      <w:r>
        <w:rPr>
          <w:sz w:val="24"/>
          <w:szCs w:val="24"/>
        </w:rPr>
        <w:t xml:space="preserve">in the range </w:t>
      </w:r>
      <w:r w:rsidRPr="00C815F1">
        <w:rPr>
          <w:sz w:val="24"/>
          <w:szCs w:val="24"/>
        </w:rPr>
        <w:t xml:space="preserve">of </w:t>
      </w:r>
      <w:r>
        <w:rPr>
          <w:sz w:val="24"/>
          <w:szCs w:val="24"/>
        </w:rPr>
        <w:t>genres</w:t>
      </w:r>
      <w:r w:rsidRPr="00BF5401">
        <w:rPr>
          <w:sz w:val="24"/>
          <w:szCs w:val="24"/>
        </w:rPr>
        <w:t xml:space="preserve"> </w:t>
      </w:r>
      <w:r>
        <w:rPr>
          <w:sz w:val="24"/>
          <w:szCs w:val="24"/>
        </w:rPr>
        <w:t xml:space="preserve">which were written, and which were not purely functional </w:t>
      </w:r>
      <w:proofErr w:type="gramStart"/>
      <w:r>
        <w:rPr>
          <w:sz w:val="24"/>
          <w:szCs w:val="24"/>
        </w:rPr>
        <w:t>nor</w:t>
      </w:r>
      <w:proofErr w:type="gramEnd"/>
      <w:r>
        <w:rPr>
          <w:sz w:val="24"/>
          <w:szCs w:val="24"/>
        </w:rPr>
        <w:t xml:space="preserve"> purely decorative, but potentially </w:t>
      </w:r>
      <w:proofErr w:type="spellStart"/>
      <w:r>
        <w:rPr>
          <w:sz w:val="24"/>
          <w:szCs w:val="24"/>
        </w:rPr>
        <w:t>targetted</w:t>
      </w:r>
      <w:proofErr w:type="spellEnd"/>
      <w:r>
        <w:rPr>
          <w:sz w:val="24"/>
          <w:szCs w:val="24"/>
        </w:rPr>
        <w:t xml:space="preserve"> for reading. </w:t>
      </w:r>
      <w:r w:rsidRPr="00C815F1">
        <w:rPr>
          <w:sz w:val="24"/>
          <w:szCs w:val="24"/>
        </w:rPr>
        <w:t>The development of (written) narrative is then closely linked to the idea of the creation of (written) prose</w:t>
      </w:r>
      <w:r>
        <w:rPr>
          <w:sz w:val="24"/>
          <w:szCs w:val="24"/>
        </w:rPr>
        <w:t>, against more poetically structured formal performance styles of earlier literature</w:t>
      </w:r>
      <w:r w:rsidRPr="00C815F1">
        <w:rPr>
          <w:sz w:val="24"/>
          <w:szCs w:val="24"/>
        </w:rPr>
        <w:t xml:space="preserve">. </w:t>
      </w:r>
      <w:r>
        <w:rPr>
          <w:sz w:val="24"/>
          <w:szCs w:val="24"/>
        </w:rPr>
        <w:t xml:space="preserve">The different communicative purposes of different media do then seem to suggest variation in the process of creating the written narrative. </w:t>
      </w:r>
      <w:r>
        <w:rPr>
          <w:sz w:val="24"/>
          <w:szCs w:val="24"/>
          <w:lang w:eastAsia="en-GB"/>
        </w:rPr>
        <w:t>A narrative with genesis in story-telling to an audience</w:t>
      </w:r>
      <w:r w:rsidRPr="00955ACF">
        <w:rPr>
          <w:sz w:val="24"/>
          <w:szCs w:val="24"/>
          <w:lang w:eastAsia="en-GB"/>
        </w:rPr>
        <w:t xml:space="preserve"> put</w:t>
      </w:r>
      <w:r>
        <w:rPr>
          <w:sz w:val="24"/>
          <w:szCs w:val="24"/>
          <w:lang w:eastAsia="en-GB"/>
        </w:rPr>
        <w:t>s</w:t>
      </w:r>
      <w:r w:rsidRPr="00955ACF">
        <w:rPr>
          <w:sz w:val="24"/>
          <w:szCs w:val="24"/>
          <w:lang w:eastAsia="en-GB"/>
        </w:rPr>
        <w:t xml:space="preserve"> into writing something that is potentially a writing-free genre; something that is not </w:t>
      </w:r>
      <w:r>
        <w:rPr>
          <w:sz w:val="24"/>
          <w:szCs w:val="24"/>
          <w:lang w:eastAsia="en-GB"/>
        </w:rPr>
        <w:t>generic</w:t>
      </w:r>
      <w:r w:rsidRPr="00955ACF">
        <w:rPr>
          <w:sz w:val="24"/>
          <w:szCs w:val="24"/>
          <w:lang w:eastAsia="en-GB"/>
        </w:rPr>
        <w:t xml:space="preserve"> </w:t>
      </w:r>
      <w:r>
        <w:rPr>
          <w:sz w:val="24"/>
          <w:szCs w:val="24"/>
          <w:lang w:eastAsia="en-GB"/>
        </w:rPr>
        <w:t>to writing, but to talking</w:t>
      </w:r>
      <w:r w:rsidRPr="00955ACF">
        <w:rPr>
          <w:sz w:val="24"/>
          <w:szCs w:val="24"/>
          <w:lang w:eastAsia="en-GB"/>
        </w:rPr>
        <w:t xml:space="preserve">. </w:t>
      </w:r>
      <w:r>
        <w:rPr>
          <w:sz w:val="24"/>
          <w:szCs w:val="24"/>
          <w:lang w:eastAsia="en-GB"/>
        </w:rPr>
        <w:t>A narrative that uses documentary styles of</w:t>
      </w:r>
      <w:r w:rsidRPr="00A141D2">
        <w:rPr>
          <w:sz w:val="24"/>
          <w:szCs w:val="24"/>
          <w:lang w:eastAsia="en-GB"/>
        </w:rPr>
        <w:t xml:space="preserve"> </w:t>
      </w:r>
      <w:r w:rsidRPr="00955ACF">
        <w:rPr>
          <w:sz w:val="24"/>
          <w:szCs w:val="24"/>
          <w:lang w:eastAsia="en-GB"/>
        </w:rPr>
        <w:t>labelling</w:t>
      </w:r>
      <w:r>
        <w:rPr>
          <w:sz w:val="24"/>
          <w:szCs w:val="24"/>
          <w:lang w:eastAsia="en-GB"/>
        </w:rPr>
        <w:t>, listing</w:t>
      </w:r>
      <w:r w:rsidRPr="00955ACF">
        <w:rPr>
          <w:sz w:val="24"/>
          <w:szCs w:val="24"/>
          <w:lang w:eastAsia="en-GB"/>
        </w:rPr>
        <w:t xml:space="preserve"> and captioning</w:t>
      </w:r>
      <w:r>
        <w:rPr>
          <w:sz w:val="24"/>
          <w:szCs w:val="24"/>
          <w:lang w:eastAsia="en-GB"/>
        </w:rPr>
        <w:t xml:space="preserve"> </w:t>
      </w:r>
      <w:r w:rsidRPr="00955ACF">
        <w:rPr>
          <w:sz w:val="24"/>
          <w:szCs w:val="24"/>
          <w:lang w:eastAsia="en-GB"/>
        </w:rPr>
        <w:t xml:space="preserve">is </w:t>
      </w:r>
      <w:r>
        <w:rPr>
          <w:sz w:val="24"/>
          <w:szCs w:val="24"/>
          <w:lang w:eastAsia="en-GB"/>
        </w:rPr>
        <w:t xml:space="preserve">characteristically </w:t>
      </w:r>
      <w:r w:rsidRPr="00955ACF">
        <w:rPr>
          <w:sz w:val="24"/>
          <w:szCs w:val="24"/>
          <w:lang w:eastAsia="en-GB"/>
        </w:rPr>
        <w:t>monumental</w:t>
      </w:r>
      <w:r w:rsidRPr="00955ACF">
        <w:rPr>
          <w:rStyle w:val="FootnoteReference"/>
          <w:sz w:val="24"/>
          <w:szCs w:val="24"/>
          <w:lang w:eastAsia="en-GB"/>
        </w:rPr>
        <w:footnoteReference w:id="14"/>
      </w:r>
      <w:r>
        <w:rPr>
          <w:sz w:val="24"/>
          <w:szCs w:val="24"/>
          <w:lang w:eastAsia="en-GB"/>
        </w:rPr>
        <w:t>, and implies a different attitude to its composition. This becomes more marked in post-</w:t>
      </w:r>
      <w:proofErr w:type="spellStart"/>
      <w:r>
        <w:rPr>
          <w:sz w:val="24"/>
          <w:szCs w:val="24"/>
          <w:lang w:eastAsia="en-GB"/>
        </w:rPr>
        <w:t>Ramesside</w:t>
      </w:r>
      <w:proofErr w:type="spellEnd"/>
      <w:r>
        <w:rPr>
          <w:sz w:val="24"/>
          <w:szCs w:val="24"/>
          <w:lang w:eastAsia="en-GB"/>
        </w:rPr>
        <w:t xml:space="preserve"> inscriptional and religious texts, where the use of an </w:t>
      </w:r>
      <w:r>
        <w:rPr>
          <w:sz w:val="24"/>
          <w:szCs w:val="24"/>
          <w:lang w:eastAsia="en-GB"/>
        </w:rPr>
        <w:lastRenderedPageBreak/>
        <w:t>‘Egyptian of tradition’, both linguistically and orthographically, marks a more written genesis.</w:t>
      </w:r>
    </w:p>
    <w:p w:rsidR="00CE32A3" w:rsidRPr="004E01A2" w:rsidRDefault="00CE32A3" w:rsidP="00992714">
      <w:pPr>
        <w:tabs>
          <w:tab w:val="left" w:pos="567"/>
        </w:tabs>
        <w:spacing w:line="360" w:lineRule="auto"/>
        <w:ind w:firstLine="567"/>
        <w:contextualSpacing/>
        <w:rPr>
          <w:sz w:val="24"/>
          <w:szCs w:val="24"/>
        </w:rPr>
      </w:pPr>
      <w:r>
        <w:rPr>
          <w:sz w:val="24"/>
          <w:szCs w:val="24"/>
          <w:lang w:eastAsia="en-GB"/>
        </w:rPr>
        <w:t>Evidence for the use of inscription as a medium for narrative goes back to a much earlier date than evidence for literary narrative on papyrus. This may be because inscriptions on stone survive better than papyrus texts, but it is actually more likely that the concept of writing literary narrative on papyrus – a less purposeful activity – considerably postdates the integration of narrative themes into highly prestigious inscriptional contexts. Even so, the development of narrative inscription comes in more than one way. The most obvious way is where text is directly associated with pictorial display, so as to produce a</w:t>
      </w:r>
      <w:r w:rsidRPr="00955ACF">
        <w:rPr>
          <w:sz w:val="24"/>
          <w:szCs w:val="24"/>
          <w:lang w:eastAsia="en-GB"/>
        </w:rPr>
        <w:t xml:space="preserve"> written </w:t>
      </w:r>
      <w:r>
        <w:rPr>
          <w:sz w:val="24"/>
          <w:szCs w:val="24"/>
          <w:lang w:eastAsia="en-GB"/>
        </w:rPr>
        <w:t xml:space="preserve">narrative derived from </w:t>
      </w:r>
      <w:r w:rsidRPr="00955ACF">
        <w:rPr>
          <w:sz w:val="24"/>
          <w:szCs w:val="24"/>
          <w:lang w:eastAsia="en-GB"/>
        </w:rPr>
        <w:t>the captioning of scenes</w:t>
      </w:r>
      <w:r w:rsidRPr="00955ACF">
        <w:rPr>
          <w:rStyle w:val="FootnoteReference"/>
          <w:sz w:val="24"/>
          <w:szCs w:val="24"/>
          <w:lang w:eastAsia="en-GB"/>
        </w:rPr>
        <w:footnoteReference w:id="15"/>
      </w:r>
      <w:r>
        <w:rPr>
          <w:sz w:val="24"/>
          <w:szCs w:val="24"/>
          <w:lang w:eastAsia="en-GB"/>
        </w:rPr>
        <w:t xml:space="preserve">. This is seen in </w:t>
      </w:r>
      <w:r w:rsidRPr="00955ACF">
        <w:rPr>
          <w:sz w:val="24"/>
          <w:szCs w:val="24"/>
          <w:lang w:eastAsia="en-GB"/>
        </w:rPr>
        <w:t xml:space="preserve">developed form </w:t>
      </w:r>
      <w:r>
        <w:rPr>
          <w:sz w:val="24"/>
          <w:szCs w:val="24"/>
          <w:lang w:eastAsia="en-GB"/>
        </w:rPr>
        <w:t xml:space="preserve">at </w:t>
      </w:r>
      <w:proofErr w:type="spellStart"/>
      <w:r>
        <w:rPr>
          <w:sz w:val="24"/>
          <w:szCs w:val="24"/>
          <w:lang w:eastAsia="en-GB"/>
        </w:rPr>
        <w:t>Deir</w:t>
      </w:r>
      <w:proofErr w:type="spellEnd"/>
      <w:r>
        <w:rPr>
          <w:sz w:val="24"/>
          <w:szCs w:val="24"/>
          <w:lang w:eastAsia="en-GB"/>
        </w:rPr>
        <w:t xml:space="preserve"> el </w:t>
      </w:r>
      <w:proofErr w:type="spellStart"/>
      <w:r>
        <w:rPr>
          <w:sz w:val="24"/>
          <w:szCs w:val="24"/>
          <w:lang w:eastAsia="en-GB"/>
        </w:rPr>
        <w:t>Bahari</w:t>
      </w:r>
      <w:proofErr w:type="spellEnd"/>
      <w:r>
        <w:rPr>
          <w:sz w:val="24"/>
          <w:szCs w:val="24"/>
          <w:lang w:eastAsia="en-GB"/>
        </w:rPr>
        <w:t xml:space="preserve">, in the </w:t>
      </w:r>
      <w:proofErr w:type="spellStart"/>
      <w:r>
        <w:rPr>
          <w:sz w:val="24"/>
          <w:szCs w:val="24"/>
          <w:lang w:eastAsia="en-GB"/>
        </w:rPr>
        <w:t>narrrative</w:t>
      </w:r>
      <w:proofErr w:type="spellEnd"/>
      <w:r>
        <w:rPr>
          <w:sz w:val="24"/>
          <w:szCs w:val="24"/>
          <w:lang w:eastAsia="en-GB"/>
        </w:rPr>
        <w:t xml:space="preserve"> of Hatshepsut’s expedition to </w:t>
      </w:r>
      <w:proofErr w:type="gramStart"/>
      <w:r>
        <w:rPr>
          <w:sz w:val="24"/>
          <w:szCs w:val="24"/>
          <w:lang w:eastAsia="en-GB"/>
        </w:rPr>
        <w:t>Punt</w:t>
      </w:r>
      <w:proofErr w:type="gramEnd"/>
      <w:r>
        <w:rPr>
          <w:sz w:val="24"/>
          <w:szCs w:val="24"/>
          <w:lang w:eastAsia="en-GB"/>
        </w:rPr>
        <w:t>, where the text consists entirely of captions to the reliefs, all presented grammatically as labelling infinitives</w:t>
      </w:r>
      <w:r w:rsidRPr="00955ACF">
        <w:rPr>
          <w:rStyle w:val="FootnoteReference"/>
          <w:sz w:val="24"/>
          <w:szCs w:val="24"/>
          <w:lang w:eastAsia="en-GB"/>
        </w:rPr>
        <w:footnoteReference w:id="16"/>
      </w:r>
      <w:r>
        <w:rPr>
          <w:sz w:val="24"/>
          <w:szCs w:val="24"/>
          <w:lang w:eastAsia="en-GB"/>
        </w:rPr>
        <w:t>. I</w:t>
      </w:r>
      <w:r w:rsidRPr="00955ACF">
        <w:rPr>
          <w:sz w:val="24"/>
          <w:szCs w:val="24"/>
          <w:lang w:eastAsia="en-GB"/>
        </w:rPr>
        <w:t>n both aut</w:t>
      </w:r>
      <w:r>
        <w:rPr>
          <w:sz w:val="24"/>
          <w:szCs w:val="24"/>
          <w:lang w:eastAsia="en-GB"/>
        </w:rPr>
        <w:t xml:space="preserve">horship and transmission these texts may be taken to represent a </w:t>
      </w:r>
      <w:r w:rsidRPr="00955ACF">
        <w:rPr>
          <w:sz w:val="24"/>
          <w:szCs w:val="24"/>
          <w:lang w:eastAsia="en-GB"/>
        </w:rPr>
        <w:t>genuinely written format for narrativ</w:t>
      </w:r>
      <w:r>
        <w:rPr>
          <w:sz w:val="24"/>
          <w:szCs w:val="24"/>
          <w:lang w:eastAsia="en-GB"/>
        </w:rPr>
        <w:t xml:space="preserve">e, which is not </w:t>
      </w:r>
      <w:r w:rsidRPr="00955ACF">
        <w:rPr>
          <w:sz w:val="24"/>
          <w:szCs w:val="24"/>
          <w:lang w:eastAsia="en-GB"/>
        </w:rPr>
        <w:t xml:space="preserve">itself </w:t>
      </w:r>
      <w:r>
        <w:rPr>
          <w:sz w:val="24"/>
          <w:szCs w:val="24"/>
          <w:lang w:eastAsia="en-GB"/>
        </w:rPr>
        <w:t>explicitly</w:t>
      </w:r>
      <w:r w:rsidRPr="00955ACF">
        <w:rPr>
          <w:sz w:val="24"/>
          <w:szCs w:val="24"/>
          <w:lang w:eastAsia="en-GB"/>
        </w:rPr>
        <w:t xml:space="preserve"> derived from a</w:t>
      </w:r>
      <w:r>
        <w:rPr>
          <w:sz w:val="24"/>
          <w:szCs w:val="24"/>
          <w:lang w:eastAsia="en-GB"/>
        </w:rPr>
        <w:t>n oral performance</w:t>
      </w:r>
      <w:r w:rsidRPr="00955ACF">
        <w:rPr>
          <w:sz w:val="24"/>
          <w:szCs w:val="24"/>
          <w:lang w:eastAsia="en-GB"/>
        </w:rPr>
        <w:t xml:space="preserve">, but from </w:t>
      </w:r>
      <w:r>
        <w:rPr>
          <w:sz w:val="24"/>
          <w:szCs w:val="24"/>
          <w:lang w:eastAsia="en-GB"/>
        </w:rPr>
        <w:t>visual</w:t>
      </w:r>
      <w:r w:rsidRPr="00955ACF">
        <w:rPr>
          <w:sz w:val="24"/>
          <w:szCs w:val="24"/>
          <w:lang w:eastAsia="en-GB"/>
        </w:rPr>
        <w:t xml:space="preserve"> display.</w:t>
      </w:r>
      <w:r>
        <w:rPr>
          <w:sz w:val="24"/>
          <w:szCs w:val="24"/>
          <w:lang w:eastAsia="en-GB"/>
        </w:rPr>
        <w:t xml:space="preserve"> The Punt reliefs are, however, unusual in that respect, in presenting a sequence of illustrated events to produce a continuous narrative frame. </w:t>
      </w:r>
      <w:r w:rsidRPr="004E01A2">
        <w:rPr>
          <w:sz w:val="24"/>
          <w:szCs w:val="24"/>
          <w:lang w:eastAsia="en-GB"/>
        </w:rPr>
        <w:t xml:space="preserve">Primarily in these contexts, text </w:t>
      </w:r>
      <w:r>
        <w:rPr>
          <w:sz w:val="24"/>
          <w:szCs w:val="24"/>
          <w:lang w:eastAsia="en-GB"/>
        </w:rPr>
        <w:t xml:space="preserve">is a support for the picture, </w:t>
      </w:r>
      <w:r w:rsidRPr="004E01A2">
        <w:rPr>
          <w:sz w:val="24"/>
          <w:szCs w:val="24"/>
          <w:lang w:eastAsia="en-GB"/>
        </w:rPr>
        <w:t xml:space="preserve">and not </w:t>
      </w:r>
      <w:r w:rsidRPr="004E01A2">
        <w:rPr>
          <w:i/>
          <w:sz w:val="24"/>
          <w:szCs w:val="24"/>
          <w:lang w:eastAsia="en-GB"/>
        </w:rPr>
        <w:t>vice versa</w:t>
      </w:r>
      <w:r>
        <w:rPr>
          <w:rStyle w:val="FootnoteReference"/>
          <w:sz w:val="24"/>
          <w:szCs w:val="24"/>
          <w:lang w:eastAsia="en-GB"/>
        </w:rPr>
        <w:footnoteReference w:id="17"/>
      </w:r>
      <w:r>
        <w:rPr>
          <w:i/>
          <w:sz w:val="24"/>
          <w:szCs w:val="24"/>
          <w:lang w:eastAsia="en-GB"/>
        </w:rPr>
        <w:t xml:space="preserve">, </w:t>
      </w:r>
      <w:r>
        <w:rPr>
          <w:sz w:val="24"/>
          <w:szCs w:val="24"/>
          <w:lang w:eastAsia="en-GB"/>
        </w:rPr>
        <w:t xml:space="preserve">but in that respect the </w:t>
      </w:r>
      <w:proofErr w:type="spellStart"/>
      <w:r>
        <w:rPr>
          <w:sz w:val="24"/>
          <w:szCs w:val="24"/>
          <w:lang w:eastAsia="en-GB"/>
        </w:rPr>
        <w:t>Qadesh</w:t>
      </w:r>
      <w:proofErr w:type="spellEnd"/>
      <w:r>
        <w:rPr>
          <w:sz w:val="24"/>
          <w:szCs w:val="24"/>
          <w:lang w:eastAsia="en-GB"/>
        </w:rPr>
        <w:t xml:space="preserve"> Inscriptions of Ramesses II seem to reverse – or at least balance – the roles of text and picture, and the association of narrative texts with pictures as public display on the later 19th and 20th Dynasty temples seems to move a degree from labelled pictures as a sort of event-narrative, towards narrative with pictures of events. </w:t>
      </w:r>
    </w:p>
    <w:p w:rsidR="00CE32A3" w:rsidRDefault="00CE32A3" w:rsidP="00992714">
      <w:pPr>
        <w:tabs>
          <w:tab w:val="left" w:pos="567"/>
        </w:tabs>
        <w:spacing w:line="360" w:lineRule="auto"/>
        <w:ind w:firstLine="720"/>
        <w:contextualSpacing/>
        <w:rPr>
          <w:sz w:val="24"/>
          <w:szCs w:val="24"/>
          <w:lang w:eastAsia="en-GB"/>
        </w:rPr>
      </w:pPr>
      <w:r>
        <w:rPr>
          <w:sz w:val="24"/>
          <w:szCs w:val="24"/>
          <w:lang w:eastAsia="en-GB"/>
        </w:rPr>
        <w:t>The use of a daybook format</w:t>
      </w:r>
      <w:r w:rsidRPr="00955ACF">
        <w:rPr>
          <w:sz w:val="24"/>
          <w:szCs w:val="24"/>
          <w:lang w:eastAsia="en-GB"/>
        </w:rPr>
        <w:t xml:space="preserve"> </w:t>
      </w:r>
      <w:r>
        <w:rPr>
          <w:sz w:val="24"/>
          <w:szCs w:val="24"/>
          <w:lang w:eastAsia="en-GB"/>
        </w:rPr>
        <w:t>to structure sequential</w:t>
      </w:r>
      <w:r w:rsidRPr="00955ACF">
        <w:rPr>
          <w:sz w:val="24"/>
          <w:szCs w:val="24"/>
          <w:lang w:eastAsia="en-GB"/>
        </w:rPr>
        <w:t xml:space="preserve"> </w:t>
      </w:r>
      <w:r>
        <w:rPr>
          <w:sz w:val="24"/>
          <w:szCs w:val="24"/>
          <w:lang w:eastAsia="en-GB"/>
        </w:rPr>
        <w:t xml:space="preserve">royal </w:t>
      </w:r>
      <w:r w:rsidRPr="00955ACF">
        <w:rPr>
          <w:sz w:val="24"/>
          <w:szCs w:val="24"/>
          <w:lang w:eastAsia="en-GB"/>
        </w:rPr>
        <w:t>narrative</w:t>
      </w:r>
      <w:r>
        <w:rPr>
          <w:sz w:val="24"/>
          <w:szCs w:val="24"/>
          <w:lang w:eastAsia="en-GB"/>
        </w:rPr>
        <w:t xml:space="preserve"> differs in genesis to raw captioning</w:t>
      </w:r>
      <w:r>
        <w:rPr>
          <w:rStyle w:val="FootnoteReference"/>
          <w:sz w:val="24"/>
          <w:szCs w:val="24"/>
          <w:lang w:eastAsia="en-GB"/>
        </w:rPr>
        <w:footnoteReference w:id="18"/>
      </w:r>
      <w:r>
        <w:rPr>
          <w:sz w:val="24"/>
          <w:szCs w:val="24"/>
          <w:lang w:eastAsia="en-GB"/>
        </w:rPr>
        <w:t>, although it has the same early roots in labelling and listing for written purposes</w:t>
      </w:r>
      <w:r w:rsidRPr="00955ACF">
        <w:rPr>
          <w:sz w:val="24"/>
          <w:szCs w:val="24"/>
          <w:lang w:eastAsia="en-GB"/>
        </w:rPr>
        <w:t>.</w:t>
      </w:r>
      <w:r>
        <w:rPr>
          <w:sz w:val="24"/>
          <w:szCs w:val="24"/>
          <w:lang w:eastAsia="en-GB"/>
        </w:rPr>
        <w:t xml:space="preserve"> This is the framework of annals familiar from the reign of </w:t>
      </w:r>
      <w:proofErr w:type="spellStart"/>
      <w:r>
        <w:rPr>
          <w:sz w:val="24"/>
          <w:szCs w:val="24"/>
          <w:lang w:eastAsia="en-GB"/>
        </w:rPr>
        <w:t>Tuthmosis</w:t>
      </w:r>
      <w:proofErr w:type="spellEnd"/>
      <w:r>
        <w:rPr>
          <w:sz w:val="24"/>
          <w:szCs w:val="24"/>
          <w:lang w:eastAsia="en-GB"/>
        </w:rPr>
        <w:t xml:space="preserve"> III, where the deliberately narrative address seems to expand on a more explicitly listing format preserved in older </w:t>
      </w:r>
      <w:proofErr w:type="spellStart"/>
      <w:r>
        <w:rPr>
          <w:sz w:val="24"/>
          <w:szCs w:val="24"/>
          <w:lang w:eastAsia="en-GB"/>
        </w:rPr>
        <w:t>annal</w:t>
      </w:r>
      <w:proofErr w:type="spellEnd"/>
      <w:r>
        <w:rPr>
          <w:sz w:val="24"/>
          <w:szCs w:val="24"/>
          <w:lang w:eastAsia="en-GB"/>
        </w:rPr>
        <w:t xml:space="preserve"> inscriptions</w:t>
      </w:r>
      <w:r>
        <w:rPr>
          <w:rStyle w:val="FootnoteReference"/>
          <w:sz w:val="24"/>
          <w:szCs w:val="24"/>
          <w:lang w:eastAsia="en-GB"/>
        </w:rPr>
        <w:footnoteReference w:id="19"/>
      </w:r>
      <w:r w:rsidRPr="00F33E3C">
        <w:rPr>
          <w:sz w:val="24"/>
          <w:szCs w:val="24"/>
          <w:lang w:eastAsia="en-GB"/>
        </w:rPr>
        <w:t xml:space="preserve">, where the distinction </w:t>
      </w:r>
      <w:r w:rsidRPr="00F33E3C">
        <w:rPr>
          <w:sz w:val="24"/>
          <w:szCs w:val="24"/>
          <w:lang w:eastAsia="en-GB"/>
        </w:rPr>
        <w:lastRenderedPageBreak/>
        <w:t>between bureaucratic listing and narrative is difficult to disentangle</w:t>
      </w:r>
      <w:r>
        <w:rPr>
          <w:sz w:val="24"/>
          <w:szCs w:val="24"/>
          <w:lang w:eastAsia="en-GB"/>
        </w:rPr>
        <w:t xml:space="preserve">. Here, however, the inclusion of story-telling narrative, such as the build up to the attack on Megiddo, pulls together the different generic styles. In all cases, however, the inscribed narrative remains a reification of specific events, in which story-telling is only an element. </w:t>
      </w:r>
    </w:p>
    <w:p w:rsidR="00CE32A3" w:rsidRDefault="00CE32A3" w:rsidP="00992714">
      <w:pPr>
        <w:tabs>
          <w:tab w:val="left" w:pos="567"/>
        </w:tabs>
        <w:spacing w:line="360" w:lineRule="auto"/>
        <w:contextualSpacing/>
        <w:rPr>
          <w:sz w:val="24"/>
          <w:szCs w:val="24"/>
          <w:lang w:eastAsia="en-GB"/>
        </w:rPr>
      </w:pPr>
    </w:p>
    <w:p w:rsidR="00CE32A3" w:rsidRPr="00F0079F" w:rsidRDefault="00CE32A3" w:rsidP="00992714">
      <w:pPr>
        <w:tabs>
          <w:tab w:val="left" w:pos="567"/>
        </w:tabs>
        <w:spacing w:line="360" w:lineRule="auto"/>
        <w:contextualSpacing/>
        <w:rPr>
          <w:sz w:val="24"/>
          <w:szCs w:val="24"/>
          <w:lang w:eastAsia="en-GB"/>
        </w:rPr>
      </w:pPr>
      <w:r w:rsidRPr="00F0079F">
        <w:rPr>
          <w:sz w:val="24"/>
          <w:szCs w:val="24"/>
          <w:lang w:eastAsia="en-GB"/>
        </w:rPr>
        <w:t>The occasion of narrative</w:t>
      </w:r>
    </w:p>
    <w:p w:rsidR="00CE32A3" w:rsidRDefault="00CE32A3" w:rsidP="00992714">
      <w:pPr>
        <w:tabs>
          <w:tab w:val="left" w:pos="567"/>
        </w:tabs>
        <w:spacing w:line="360" w:lineRule="auto"/>
        <w:contextualSpacing/>
        <w:rPr>
          <w:sz w:val="24"/>
          <w:szCs w:val="24"/>
          <w:lang w:eastAsia="en-GB"/>
        </w:rPr>
      </w:pPr>
    </w:p>
    <w:p w:rsidR="00CE32A3" w:rsidRDefault="00CE32A3" w:rsidP="00992714">
      <w:pPr>
        <w:tabs>
          <w:tab w:val="left" w:pos="567"/>
        </w:tabs>
        <w:spacing w:line="360" w:lineRule="auto"/>
        <w:contextualSpacing/>
        <w:rPr>
          <w:sz w:val="24"/>
          <w:szCs w:val="24"/>
        </w:rPr>
      </w:pPr>
      <w:r>
        <w:rPr>
          <w:sz w:val="24"/>
          <w:szCs w:val="24"/>
          <w:lang w:eastAsia="en-GB"/>
        </w:rPr>
        <w:t xml:space="preserve">The overlap between ritual and royal event, reified in picture and caption, lies at the origins of inscribed royal narrative. The point is illustrated, for instance, by </w:t>
      </w:r>
      <w:r>
        <w:rPr>
          <w:sz w:val="24"/>
          <w:szCs w:val="24"/>
        </w:rPr>
        <w:t xml:space="preserve">the </w:t>
      </w:r>
      <w:r w:rsidRPr="00C815F1">
        <w:rPr>
          <w:sz w:val="24"/>
          <w:szCs w:val="24"/>
        </w:rPr>
        <w:t>long sequences presenting the festival of Min</w:t>
      </w:r>
      <w:r>
        <w:rPr>
          <w:sz w:val="24"/>
          <w:szCs w:val="24"/>
        </w:rPr>
        <w:t xml:space="preserve"> preserved in the </w:t>
      </w:r>
      <w:r w:rsidRPr="00C815F1">
        <w:rPr>
          <w:sz w:val="24"/>
          <w:szCs w:val="24"/>
        </w:rPr>
        <w:t>inscriptions of Ramesses III</w:t>
      </w:r>
      <w:r w:rsidRPr="00C815F1">
        <w:rPr>
          <w:rStyle w:val="FootnoteReference"/>
          <w:sz w:val="24"/>
          <w:szCs w:val="24"/>
        </w:rPr>
        <w:footnoteReference w:id="20"/>
      </w:r>
      <w:r>
        <w:rPr>
          <w:sz w:val="24"/>
          <w:szCs w:val="24"/>
        </w:rPr>
        <w:t xml:space="preserve">. These </w:t>
      </w:r>
      <w:r w:rsidRPr="00C815F1">
        <w:rPr>
          <w:sz w:val="24"/>
          <w:szCs w:val="24"/>
        </w:rPr>
        <w:t>begin with a scene setting</w:t>
      </w:r>
      <w:r>
        <w:rPr>
          <w:sz w:val="24"/>
          <w:szCs w:val="24"/>
        </w:rPr>
        <w:t>, in captioning style, listing the participants</w:t>
      </w:r>
      <w:r w:rsidRPr="00C815F1">
        <w:rPr>
          <w:rStyle w:val="FootnoteReference"/>
          <w:sz w:val="24"/>
          <w:szCs w:val="24"/>
        </w:rPr>
        <w:footnoteReference w:id="21"/>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Default="00CE32A3" w:rsidP="00F0079F">
      <w:pPr>
        <w:tabs>
          <w:tab w:val="left" w:pos="567"/>
        </w:tabs>
        <w:spacing w:line="360" w:lineRule="auto"/>
        <w:ind w:left="180"/>
        <w:contextualSpacing/>
        <w:rPr>
          <w:sz w:val="24"/>
          <w:szCs w:val="24"/>
        </w:rPr>
      </w:pPr>
      <w:r w:rsidRPr="00F0079F">
        <w:rPr>
          <w:szCs w:val="20"/>
        </w:rPr>
        <w:t xml:space="preserve">Processing of the king on palanquin, appeared in the Blue Crown, escort in front of him, equipped with shield, spear, sword and all gear for escorting; quadruple council at his rear; royal-children and army behind them. </w:t>
      </w:r>
      <w:proofErr w:type="gramStart"/>
      <w:r w:rsidRPr="00F0079F">
        <w:rPr>
          <w:szCs w:val="20"/>
        </w:rPr>
        <w:t>Senior lector-priest carrying out his function in the House of his father Min</w:t>
      </w:r>
      <w:r>
        <w:rPr>
          <w:sz w:val="24"/>
          <w:szCs w:val="24"/>
        </w:rPr>
        <w:t>.</w:t>
      </w:r>
      <w:proofErr w:type="gramEnd"/>
    </w:p>
    <w:p w:rsidR="00CE32A3" w:rsidRPr="00C815F1" w:rsidRDefault="00CE32A3" w:rsidP="00992714">
      <w:pPr>
        <w:tabs>
          <w:tab w:val="left" w:pos="567"/>
        </w:tabs>
        <w:spacing w:line="360" w:lineRule="auto"/>
        <w:ind w:left="454"/>
        <w:contextualSpacing/>
        <w:rPr>
          <w:sz w:val="24"/>
          <w:szCs w:val="24"/>
        </w:rPr>
      </w:pPr>
    </w:p>
    <w:p w:rsidR="00CE32A3" w:rsidRDefault="00CE32A3" w:rsidP="00992714">
      <w:pPr>
        <w:tabs>
          <w:tab w:val="left" w:pos="567"/>
        </w:tabs>
        <w:spacing w:line="360" w:lineRule="auto"/>
        <w:contextualSpacing/>
        <w:rPr>
          <w:sz w:val="24"/>
          <w:szCs w:val="24"/>
        </w:rPr>
      </w:pPr>
      <w:r>
        <w:rPr>
          <w:sz w:val="24"/>
          <w:szCs w:val="24"/>
        </w:rPr>
        <w:t>T</w:t>
      </w:r>
      <w:r w:rsidRPr="00C815F1">
        <w:rPr>
          <w:sz w:val="24"/>
          <w:szCs w:val="24"/>
        </w:rPr>
        <w:t xml:space="preserve">he </w:t>
      </w:r>
      <w:r>
        <w:rPr>
          <w:sz w:val="24"/>
          <w:szCs w:val="24"/>
        </w:rPr>
        <w:t xml:space="preserve">core of the narrative is then built on a </w:t>
      </w:r>
      <w:r w:rsidRPr="00C815F1">
        <w:rPr>
          <w:sz w:val="24"/>
          <w:szCs w:val="24"/>
        </w:rPr>
        <w:t xml:space="preserve">series of direct </w:t>
      </w:r>
      <w:r>
        <w:rPr>
          <w:sz w:val="24"/>
          <w:szCs w:val="24"/>
        </w:rPr>
        <w:t xml:space="preserve">verbal </w:t>
      </w:r>
      <w:r w:rsidRPr="00C815F1">
        <w:rPr>
          <w:sz w:val="24"/>
          <w:szCs w:val="24"/>
        </w:rPr>
        <w:t>addresses</w:t>
      </w:r>
      <w:r>
        <w:rPr>
          <w:sz w:val="24"/>
          <w:szCs w:val="24"/>
        </w:rPr>
        <w:t>,</w:t>
      </w:r>
      <w:r w:rsidRPr="00C815F1">
        <w:rPr>
          <w:sz w:val="24"/>
          <w:szCs w:val="24"/>
        </w:rPr>
        <w:t xml:space="preserve"> by gods to </w:t>
      </w:r>
      <w:r>
        <w:rPr>
          <w:sz w:val="24"/>
          <w:szCs w:val="24"/>
        </w:rPr>
        <w:t xml:space="preserve">the </w:t>
      </w:r>
      <w:r w:rsidRPr="00C815F1">
        <w:rPr>
          <w:sz w:val="24"/>
          <w:szCs w:val="24"/>
        </w:rPr>
        <w:t xml:space="preserve">king and by </w:t>
      </w:r>
      <w:r>
        <w:rPr>
          <w:sz w:val="24"/>
          <w:szCs w:val="24"/>
        </w:rPr>
        <w:t xml:space="preserve">the </w:t>
      </w:r>
      <w:r w:rsidRPr="00C815F1">
        <w:rPr>
          <w:sz w:val="24"/>
          <w:szCs w:val="24"/>
        </w:rPr>
        <w:t xml:space="preserve">king to </w:t>
      </w:r>
      <w:r w:rsidRPr="00BC388D">
        <w:rPr>
          <w:sz w:val="24"/>
          <w:szCs w:val="24"/>
        </w:rPr>
        <w:t>gods.</w:t>
      </w:r>
      <w:r w:rsidRPr="00C815F1">
        <w:rPr>
          <w:sz w:val="24"/>
          <w:szCs w:val="24"/>
        </w:rPr>
        <w:t xml:space="preserve"> </w:t>
      </w:r>
      <w:r>
        <w:rPr>
          <w:sz w:val="24"/>
          <w:szCs w:val="24"/>
        </w:rPr>
        <w:t>The list of participants here – t</w:t>
      </w:r>
      <w:r w:rsidRPr="00C815F1">
        <w:rPr>
          <w:sz w:val="24"/>
          <w:szCs w:val="24"/>
        </w:rPr>
        <w:t xml:space="preserve">he particular audience </w:t>
      </w:r>
      <w:r>
        <w:rPr>
          <w:sz w:val="24"/>
          <w:szCs w:val="24"/>
        </w:rPr>
        <w:t xml:space="preserve">– </w:t>
      </w:r>
      <w:r w:rsidRPr="00C815F1">
        <w:rPr>
          <w:sz w:val="24"/>
          <w:szCs w:val="24"/>
        </w:rPr>
        <w:t>is characteristic for the narrative-praise inscriptions of Ramesses III</w:t>
      </w:r>
      <w:r w:rsidRPr="00C815F1">
        <w:rPr>
          <w:rStyle w:val="FootnoteReference"/>
          <w:sz w:val="24"/>
          <w:szCs w:val="24"/>
        </w:rPr>
        <w:footnoteReference w:id="22"/>
      </w:r>
      <w:r>
        <w:rPr>
          <w:sz w:val="24"/>
          <w:szCs w:val="24"/>
        </w:rPr>
        <w:t>, as indeed of royal inscriptions throughout the New Kingdom:</w:t>
      </w:r>
      <w:r w:rsidRPr="00C815F1">
        <w:rPr>
          <w:sz w:val="24"/>
          <w:szCs w:val="24"/>
        </w:rPr>
        <w:t xml:space="preserve"> </w:t>
      </w:r>
      <w:r>
        <w:rPr>
          <w:sz w:val="24"/>
          <w:szCs w:val="24"/>
        </w:rPr>
        <w:t xml:space="preserve">the </w:t>
      </w:r>
      <w:r w:rsidRPr="00C815F1">
        <w:rPr>
          <w:sz w:val="24"/>
          <w:szCs w:val="24"/>
        </w:rPr>
        <w:t xml:space="preserve">praise </w:t>
      </w:r>
      <w:r>
        <w:rPr>
          <w:sz w:val="24"/>
          <w:szCs w:val="24"/>
        </w:rPr>
        <w:t xml:space="preserve">of god and king is core to the </w:t>
      </w:r>
      <w:r w:rsidRPr="00C815F1">
        <w:rPr>
          <w:sz w:val="24"/>
          <w:szCs w:val="24"/>
        </w:rPr>
        <w:t>narrative</w:t>
      </w:r>
      <w:r>
        <w:rPr>
          <w:sz w:val="24"/>
          <w:szCs w:val="24"/>
        </w:rPr>
        <w:t xml:space="preserve">, and frequently completed by discourse with the audience. This description of the Min Festival is explicit </w:t>
      </w:r>
      <w:r w:rsidRPr="00C815F1">
        <w:rPr>
          <w:sz w:val="24"/>
          <w:szCs w:val="24"/>
        </w:rPr>
        <w:t xml:space="preserve">in putting both actions and audience into </w:t>
      </w:r>
      <w:r>
        <w:rPr>
          <w:sz w:val="24"/>
          <w:szCs w:val="24"/>
        </w:rPr>
        <w:t>the narrative of the specific event, while the location of the king in public appearance – here on his</w:t>
      </w:r>
      <w:r w:rsidRPr="00C815F1">
        <w:rPr>
          <w:sz w:val="24"/>
          <w:szCs w:val="24"/>
        </w:rPr>
        <w:t xml:space="preserve"> dais</w:t>
      </w:r>
      <w:r>
        <w:rPr>
          <w:rStyle w:val="FootnoteReference"/>
          <w:sz w:val="24"/>
          <w:szCs w:val="24"/>
        </w:rPr>
        <w:footnoteReference w:id="23"/>
      </w:r>
      <w:r>
        <w:rPr>
          <w:sz w:val="24"/>
          <w:szCs w:val="24"/>
        </w:rPr>
        <w:t xml:space="preserve"> – is, from the earliest periods, characteristic of the presentation of royal event as narrative through picture and caption. The ceremonial appearance of </w:t>
      </w:r>
      <w:r>
        <w:rPr>
          <w:sz w:val="24"/>
          <w:szCs w:val="24"/>
        </w:rPr>
        <w:lastRenderedPageBreak/>
        <w:t>the king had a strongly ritualised format, so that the narrative of royal audience and ceremony is then best understood as an incidental reification of the ritualised norm</w:t>
      </w:r>
      <w:r w:rsidRPr="00C815F1">
        <w:rPr>
          <w:rStyle w:val="FootnoteReference"/>
          <w:sz w:val="24"/>
          <w:szCs w:val="24"/>
        </w:rPr>
        <w:footnoteReference w:id="24"/>
      </w:r>
      <w:r>
        <w:rPr>
          <w:sz w:val="24"/>
          <w:szCs w:val="24"/>
        </w:rPr>
        <w:t>.</w:t>
      </w:r>
    </w:p>
    <w:p w:rsidR="00CE32A3" w:rsidRDefault="00CE32A3" w:rsidP="00992714">
      <w:pPr>
        <w:tabs>
          <w:tab w:val="left" w:pos="567"/>
        </w:tabs>
        <w:spacing w:line="360" w:lineRule="auto"/>
        <w:contextualSpacing/>
        <w:rPr>
          <w:sz w:val="24"/>
          <w:szCs w:val="24"/>
        </w:rPr>
      </w:pPr>
      <w:r>
        <w:rPr>
          <w:sz w:val="24"/>
          <w:szCs w:val="24"/>
        </w:rPr>
        <w:tab/>
      </w:r>
      <w:r w:rsidRPr="00C815F1">
        <w:rPr>
          <w:sz w:val="24"/>
          <w:szCs w:val="24"/>
        </w:rPr>
        <w:t xml:space="preserve">Ramesses III’s narrative of </w:t>
      </w:r>
      <w:r>
        <w:rPr>
          <w:sz w:val="24"/>
          <w:szCs w:val="24"/>
        </w:rPr>
        <w:t xml:space="preserve">his First </w:t>
      </w:r>
      <w:r w:rsidRPr="00C815F1">
        <w:rPr>
          <w:sz w:val="24"/>
          <w:szCs w:val="24"/>
        </w:rPr>
        <w:t xml:space="preserve">Libyan </w:t>
      </w:r>
      <w:r>
        <w:rPr>
          <w:sz w:val="24"/>
          <w:szCs w:val="24"/>
        </w:rPr>
        <w:t>W</w:t>
      </w:r>
      <w:r w:rsidRPr="00C815F1">
        <w:rPr>
          <w:sz w:val="24"/>
          <w:szCs w:val="24"/>
        </w:rPr>
        <w:t xml:space="preserve">ar </w:t>
      </w:r>
      <w:r>
        <w:rPr>
          <w:sz w:val="24"/>
          <w:szCs w:val="24"/>
        </w:rPr>
        <w:t>ends</w:t>
      </w:r>
      <w:r w:rsidRPr="00C815F1">
        <w:rPr>
          <w:sz w:val="24"/>
          <w:szCs w:val="24"/>
        </w:rPr>
        <w:t xml:space="preserve"> with a description of the post-campaign presentation of captives, hands and phalli ‘under the window’ (</w:t>
      </w:r>
      <w:proofErr w:type="spellStart"/>
      <w:r w:rsidRPr="00C815F1">
        <w:rPr>
          <w:rFonts w:ascii="Trlit_CG Times" w:hAnsi="Trlit_CG Times"/>
          <w:sz w:val="24"/>
          <w:szCs w:val="24"/>
        </w:rPr>
        <w:t>Xr</w:t>
      </w:r>
      <w:proofErr w:type="spellEnd"/>
      <w:r w:rsidRPr="00C815F1">
        <w:rPr>
          <w:rFonts w:ascii="Trlit_CG Times" w:hAnsi="Trlit_CG Times"/>
          <w:sz w:val="24"/>
          <w:szCs w:val="24"/>
        </w:rPr>
        <w:t xml:space="preserve"> </w:t>
      </w:r>
      <w:proofErr w:type="spellStart"/>
      <w:r w:rsidRPr="00C815F1">
        <w:rPr>
          <w:rFonts w:ascii="Trlit_CG Times" w:hAnsi="Trlit_CG Times"/>
          <w:sz w:val="24"/>
          <w:szCs w:val="24"/>
        </w:rPr>
        <w:t>sSd</w:t>
      </w:r>
      <w:proofErr w:type="spellEnd"/>
      <w:r w:rsidRPr="00C815F1">
        <w:rPr>
          <w:sz w:val="24"/>
          <w:szCs w:val="24"/>
        </w:rPr>
        <w:t>), where ‘the Thirty and the train (</w:t>
      </w:r>
      <w:proofErr w:type="spellStart"/>
      <w:r w:rsidRPr="00C815F1">
        <w:rPr>
          <w:rFonts w:ascii="Trlit_CG Times" w:hAnsi="Trlit_CG Times"/>
          <w:sz w:val="24"/>
          <w:szCs w:val="24"/>
        </w:rPr>
        <w:t>sSmw</w:t>
      </w:r>
      <w:proofErr w:type="spellEnd"/>
      <w:r w:rsidRPr="00C815F1">
        <w:rPr>
          <w:sz w:val="24"/>
          <w:szCs w:val="24"/>
        </w:rPr>
        <w:t>) of the king’</w:t>
      </w:r>
      <w:r>
        <w:rPr>
          <w:sz w:val="24"/>
          <w:szCs w:val="24"/>
        </w:rPr>
        <w:t xml:space="preserve"> are described:</w:t>
      </w:r>
      <w:r w:rsidRPr="00C815F1">
        <w:rPr>
          <w:sz w:val="24"/>
          <w:szCs w:val="24"/>
        </w:rPr>
        <w:t xml:space="preserve"> ‘their arms stretched (up) and their acclamations to the sky’</w:t>
      </w:r>
      <w:r w:rsidRPr="00C815F1">
        <w:rPr>
          <w:rStyle w:val="FootnoteReference"/>
          <w:sz w:val="24"/>
          <w:szCs w:val="24"/>
        </w:rPr>
        <w:footnoteReference w:id="25"/>
      </w:r>
      <w:r w:rsidRPr="00C815F1">
        <w:rPr>
          <w:sz w:val="24"/>
          <w:szCs w:val="24"/>
        </w:rPr>
        <w:t xml:space="preserve">. Then at the end of </w:t>
      </w:r>
      <w:r>
        <w:rPr>
          <w:sz w:val="24"/>
          <w:szCs w:val="24"/>
        </w:rPr>
        <w:t>his Second</w:t>
      </w:r>
      <w:r w:rsidRPr="00C815F1">
        <w:rPr>
          <w:sz w:val="24"/>
          <w:szCs w:val="24"/>
        </w:rPr>
        <w:t xml:space="preserve"> Libyan War, the king</w:t>
      </w:r>
      <w:r w:rsidRPr="00C815F1">
        <w:rPr>
          <w:rStyle w:val="FootnoteReference"/>
          <w:sz w:val="24"/>
          <w:szCs w:val="24"/>
        </w:rPr>
        <w:footnoteReference w:id="26"/>
      </w:r>
    </w:p>
    <w:p w:rsidR="00CE32A3" w:rsidRPr="00C815F1" w:rsidRDefault="00CE32A3" w:rsidP="00992714">
      <w:pPr>
        <w:tabs>
          <w:tab w:val="left" w:pos="567"/>
        </w:tabs>
        <w:spacing w:line="360" w:lineRule="auto"/>
        <w:contextualSpacing/>
        <w:rPr>
          <w:sz w:val="24"/>
          <w:szCs w:val="24"/>
        </w:rPr>
      </w:pPr>
    </w:p>
    <w:p w:rsidR="00CE32A3" w:rsidRPr="006B661A" w:rsidRDefault="00CE32A3" w:rsidP="006B661A">
      <w:pPr>
        <w:tabs>
          <w:tab w:val="left" w:pos="567"/>
        </w:tabs>
        <w:spacing w:line="360" w:lineRule="auto"/>
        <w:ind w:left="180"/>
        <w:contextualSpacing/>
        <w:rPr>
          <w:szCs w:val="20"/>
        </w:rPr>
      </w:pPr>
      <w:proofErr w:type="gramStart"/>
      <w:r w:rsidRPr="006B661A">
        <w:rPr>
          <w:szCs w:val="20"/>
        </w:rPr>
        <w:t>(...) said to the Royal-Children, great officials, chiefs of the army and cavalry: “Give me your attention, to (my) declaration (</w:t>
      </w:r>
      <w:proofErr w:type="spellStart"/>
      <w:r w:rsidRPr="006B661A">
        <w:rPr>
          <w:rFonts w:ascii="Trlit_CG Times" w:hAnsi="Trlit_CG Times"/>
          <w:szCs w:val="20"/>
        </w:rPr>
        <w:t>tp</w:t>
      </w:r>
      <w:proofErr w:type="spellEnd"/>
      <w:r w:rsidRPr="006B661A">
        <w:rPr>
          <w:rFonts w:ascii="Trlit_CG Times" w:hAnsi="Trlit_CG Times"/>
          <w:szCs w:val="20"/>
        </w:rPr>
        <w:t>-r</w:t>
      </w:r>
      <w:r w:rsidRPr="006B661A">
        <w:rPr>
          <w:szCs w:val="20"/>
        </w:rPr>
        <w:t>)!</w:t>
      </w:r>
      <w:proofErr w:type="gramEnd"/>
      <w:r w:rsidRPr="006B661A">
        <w:rPr>
          <w:szCs w:val="20"/>
        </w:rPr>
        <w:t xml:space="preserve"> Hear it! I say to you, and cause you to know, I am Son of Re</w:t>
      </w:r>
      <w:r>
        <w:rPr>
          <w:szCs w:val="20"/>
        </w:rPr>
        <w:t xml:space="preserve"> (</w:t>
      </w:r>
      <w:r w:rsidRPr="006B661A">
        <w:rPr>
          <w:szCs w:val="20"/>
        </w:rPr>
        <w:t>...</w:t>
      </w:r>
      <w:r>
        <w:rPr>
          <w:szCs w:val="20"/>
        </w:rPr>
        <w:t>)</w:t>
      </w:r>
      <w:r w:rsidRPr="006B661A">
        <w:rPr>
          <w:szCs w:val="20"/>
        </w:rPr>
        <w:t>”.</w:t>
      </w:r>
    </w:p>
    <w:p w:rsidR="00CE32A3" w:rsidRPr="00C815F1" w:rsidRDefault="00CE32A3" w:rsidP="00992714">
      <w:pPr>
        <w:tabs>
          <w:tab w:val="left" w:pos="567"/>
        </w:tabs>
        <w:spacing w:line="360" w:lineRule="auto"/>
        <w:ind w:left="284"/>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This is followed by self p</w:t>
      </w:r>
      <w:r>
        <w:rPr>
          <w:sz w:val="24"/>
          <w:szCs w:val="24"/>
        </w:rPr>
        <w:t>raise of a characterising style;</w:t>
      </w:r>
      <w:r w:rsidRPr="00C815F1">
        <w:rPr>
          <w:sz w:val="24"/>
          <w:szCs w:val="24"/>
        </w:rPr>
        <w:t xml:space="preserve"> then</w:t>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Pr="006B661A" w:rsidRDefault="00CE32A3" w:rsidP="006B661A">
      <w:pPr>
        <w:tabs>
          <w:tab w:val="left" w:pos="567"/>
        </w:tabs>
        <w:spacing w:line="360" w:lineRule="auto"/>
        <w:ind w:left="180"/>
        <w:contextualSpacing/>
        <w:rPr>
          <w:szCs w:val="20"/>
        </w:rPr>
      </w:pPr>
      <w:r w:rsidRPr="006B661A">
        <w:rPr>
          <w:szCs w:val="20"/>
        </w:rPr>
        <w:t xml:space="preserve">“I have felled the </w:t>
      </w:r>
      <w:proofErr w:type="spellStart"/>
      <w:r w:rsidRPr="006B661A">
        <w:rPr>
          <w:szCs w:val="20"/>
        </w:rPr>
        <w:t>Meshwesh</w:t>
      </w:r>
      <w:proofErr w:type="spellEnd"/>
      <w:r w:rsidRPr="006B661A">
        <w:rPr>
          <w:szCs w:val="20"/>
        </w:rPr>
        <w:t xml:space="preserve"> (and/of) the Land of </w:t>
      </w:r>
      <w:proofErr w:type="spellStart"/>
      <w:r w:rsidRPr="006B661A">
        <w:rPr>
          <w:szCs w:val="20"/>
        </w:rPr>
        <w:t>Tjemehu</w:t>
      </w:r>
      <w:proofErr w:type="spellEnd"/>
      <w:r w:rsidRPr="006B661A">
        <w:rPr>
          <w:szCs w:val="20"/>
        </w:rPr>
        <w:t xml:space="preserve"> by the strength of my strong-arm; I have caused them to be prostrate. Look at them in front of you! There is not boasting. It is the might of Amon which has brought them!”</w:t>
      </w:r>
    </w:p>
    <w:p w:rsidR="00CE32A3" w:rsidRPr="00C815F1" w:rsidRDefault="00CE32A3" w:rsidP="00992714">
      <w:pPr>
        <w:tabs>
          <w:tab w:val="left" w:pos="567"/>
        </w:tabs>
        <w:spacing w:line="360" w:lineRule="auto"/>
        <w:ind w:left="227"/>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There is a nice contrast to another passage of Ramesses III</w:t>
      </w:r>
      <w:r w:rsidRPr="00C815F1">
        <w:rPr>
          <w:rStyle w:val="FootnoteReference"/>
          <w:sz w:val="24"/>
          <w:szCs w:val="24"/>
        </w:rPr>
        <w:footnoteReference w:id="27"/>
      </w:r>
      <w:r>
        <w:rPr>
          <w:sz w:val="24"/>
          <w:szCs w:val="24"/>
        </w:rPr>
        <w:t>,</w:t>
      </w:r>
      <w:r w:rsidRPr="00C815F1">
        <w:rPr>
          <w:sz w:val="24"/>
          <w:szCs w:val="24"/>
        </w:rPr>
        <w:t xml:space="preserve"> in which defeated foreign chiefs, declaring the depths of their subordination after defeat, are quoted:</w:t>
      </w:r>
    </w:p>
    <w:p w:rsidR="00CE32A3" w:rsidRPr="00C815F1" w:rsidRDefault="00CE32A3" w:rsidP="00992714">
      <w:pPr>
        <w:tabs>
          <w:tab w:val="left" w:pos="567"/>
        </w:tabs>
        <w:spacing w:line="360" w:lineRule="auto"/>
        <w:contextualSpacing/>
        <w:rPr>
          <w:sz w:val="24"/>
          <w:szCs w:val="24"/>
        </w:rPr>
      </w:pPr>
    </w:p>
    <w:p w:rsidR="00CE32A3" w:rsidRPr="006B661A" w:rsidRDefault="00CE32A3" w:rsidP="00992714">
      <w:pPr>
        <w:tabs>
          <w:tab w:val="left" w:pos="567"/>
        </w:tabs>
        <w:spacing w:line="360" w:lineRule="auto"/>
        <w:ind w:left="227"/>
        <w:contextualSpacing/>
        <w:rPr>
          <w:szCs w:val="20"/>
        </w:rPr>
      </w:pPr>
      <w:r w:rsidRPr="006B661A">
        <w:rPr>
          <w:szCs w:val="20"/>
        </w:rPr>
        <w:t>“You have caused we stop boasting in our land”.</w:t>
      </w:r>
    </w:p>
    <w:p w:rsidR="00CE32A3" w:rsidRPr="00C815F1" w:rsidRDefault="00CE32A3" w:rsidP="00992714">
      <w:pPr>
        <w:tabs>
          <w:tab w:val="left" w:pos="567"/>
        </w:tabs>
        <w:spacing w:line="360" w:lineRule="auto"/>
        <w:ind w:left="227"/>
        <w:contextualSpacing/>
        <w:rPr>
          <w:sz w:val="24"/>
          <w:szCs w:val="24"/>
        </w:rPr>
      </w:pPr>
    </w:p>
    <w:p w:rsidR="00CE32A3" w:rsidRPr="00C815F1" w:rsidRDefault="00CE32A3" w:rsidP="00992714">
      <w:pPr>
        <w:tabs>
          <w:tab w:val="left" w:pos="567"/>
        </w:tabs>
        <w:spacing w:line="360" w:lineRule="auto"/>
        <w:contextualSpacing/>
        <w:rPr>
          <w:sz w:val="24"/>
          <w:szCs w:val="24"/>
        </w:rPr>
      </w:pPr>
      <w:r w:rsidRPr="00C815F1">
        <w:rPr>
          <w:sz w:val="24"/>
          <w:szCs w:val="24"/>
        </w:rPr>
        <w:t xml:space="preserve">The theme of </w:t>
      </w:r>
      <w:r>
        <w:rPr>
          <w:sz w:val="24"/>
          <w:szCs w:val="24"/>
        </w:rPr>
        <w:t>‘</w:t>
      </w:r>
      <w:r w:rsidRPr="00C815F1">
        <w:rPr>
          <w:sz w:val="24"/>
          <w:szCs w:val="24"/>
        </w:rPr>
        <w:t>boasting’</w:t>
      </w:r>
      <w:r>
        <w:rPr>
          <w:sz w:val="24"/>
          <w:szCs w:val="24"/>
        </w:rPr>
        <w:t xml:space="preserve"> – </w:t>
      </w:r>
      <w:r w:rsidRPr="00C815F1">
        <w:rPr>
          <w:sz w:val="24"/>
          <w:szCs w:val="24"/>
        </w:rPr>
        <w:t xml:space="preserve">a wholly inadequate translation of the Egyptian term </w:t>
      </w:r>
      <w:r w:rsidRPr="00C815F1">
        <w:rPr>
          <w:rFonts w:ascii="Trlit_CG Times" w:hAnsi="Trlit_CG Times"/>
          <w:sz w:val="24"/>
          <w:szCs w:val="24"/>
        </w:rPr>
        <w:t>aba</w:t>
      </w:r>
      <w:r>
        <w:rPr>
          <w:sz w:val="24"/>
          <w:szCs w:val="24"/>
        </w:rPr>
        <w:t xml:space="preserve"> –contrasts</w:t>
      </w:r>
      <w:r w:rsidRPr="00C815F1">
        <w:rPr>
          <w:sz w:val="24"/>
          <w:szCs w:val="24"/>
        </w:rPr>
        <w:t xml:space="preserve"> strongly, as a motif, with the emphasis on </w:t>
      </w:r>
      <w:r w:rsidRPr="00042A5A">
        <w:rPr>
          <w:sz w:val="24"/>
          <w:szCs w:val="24"/>
        </w:rPr>
        <w:t>autopsy</w:t>
      </w:r>
      <w:r>
        <w:rPr>
          <w:sz w:val="24"/>
          <w:szCs w:val="24"/>
        </w:rPr>
        <w:t>. The theme that s</w:t>
      </w:r>
      <w:r w:rsidRPr="00C815F1">
        <w:rPr>
          <w:sz w:val="24"/>
          <w:szCs w:val="24"/>
        </w:rPr>
        <w:t>eeing is bel</w:t>
      </w:r>
      <w:r>
        <w:rPr>
          <w:sz w:val="24"/>
          <w:szCs w:val="24"/>
        </w:rPr>
        <w:t>ieving becomes a strong theme of</w:t>
      </w:r>
      <w:r w:rsidRPr="00C815F1">
        <w:rPr>
          <w:sz w:val="24"/>
          <w:szCs w:val="24"/>
        </w:rPr>
        <w:t xml:space="preserve"> inscriptional narrative</w:t>
      </w:r>
      <w:r>
        <w:rPr>
          <w:sz w:val="24"/>
          <w:szCs w:val="24"/>
        </w:rPr>
        <w:t xml:space="preserve">; </w:t>
      </w:r>
      <w:r w:rsidRPr="00C815F1">
        <w:rPr>
          <w:sz w:val="24"/>
          <w:szCs w:val="24"/>
        </w:rPr>
        <w:t xml:space="preserve">in these texts </w:t>
      </w:r>
      <w:r>
        <w:rPr>
          <w:sz w:val="24"/>
          <w:szCs w:val="24"/>
        </w:rPr>
        <w:t xml:space="preserve">the reference is to being present </w:t>
      </w:r>
      <w:r w:rsidRPr="00C815F1">
        <w:rPr>
          <w:sz w:val="24"/>
          <w:szCs w:val="24"/>
        </w:rPr>
        <w:t>on the occasion of the performance o</w:t>
      </w:r>
      <w:r>
        <w:rPr>
          <w:sz w:val="24"/>
          <w:szCs w:val="24"/>
        </w:rPr>
        <w:t xml:space="preserve">f the relevant praise-narrative, which is itself transmitted in the </w:t>
      </w:r>
      <w:r w:rsidRPr="00C815F1">
        <w:rPr>
          <w:sz w:val="24"/>
          <w:szCs w:val="24"/>
        </w:rPr>
        <w:t>discourse</w:t>
      </w:r>
      <w:r>
        <w:rPr>
          <w:sz w:val="24"/>
          <w:szCs w:val="24"/>
        </w:rPr>
        <w:t xml:space="preserve"> of its audience. </w:t>
      </w:r>
    </w:p>
    <w:p w:rsidR="00CE32A3" w:rsidRDefault="00CE32A3" w:rsidP="00992714">
      <w:pPr>
        <w:tabs>
          <w:tab w:val="left" w:pos="567"/>
        </w:tabs>
        <w:spacing w:line="360" w:lineRule="auto"/>
        <w:ind w:firstLine="720"/>
        <w:contextualSpacing/>
        <w:rPr>
          <w:sz w:val="24"/>
          <w:szCs w:val="24"/>
        </w:rPr>
      </w:pPr>
      <w:r w:rsidRPr="005D7756">
        <w:rPr>
          <w:sz w:val="24"/>
          <w:szCs w:val="24"/>
          <w:lang w:eastAsia="en-GB"/>
        </w:rPr>
        <w:lastRenderedPageBreak/>
        <w:t>The relationship between royal inscription and private tomb-autobiography is extremely close</w:t>
      </w:r>
      <w:r>
        <w:rPr>
          <w:sz w:val="24"/>
          <w:szCs w:val="24"/>
          <w:lang w:eastAsia="en-GB"/>
        </w:rPr>
        <w:t xml:space="preserve"> here, both in genesis and purpose. </w:t>
      </w:r>
      <w:r>
        <w:rPr>
          <w:sz w:val="24"/>
          <w:szCs w:val="24"/>
        </w:rPr>
        <w:t>Inscriptional narrative, both royal and private, is then purposeful in the sense of presenting an episode as evidence</w:t>
      </w:r>
      <w:r w:rsidRPr="00C815F1">
        <w:rPr>
          <w:sz w:val="24"/>
          <w:szCs w:val="24"/>
        </w:rPr>
        <w:t xml:space="preserve"> to an audience. The theme is characterised for the entire New Kingdom by the </w:t>
      </w:r>
      <w:r>
        <w:rPr>
          <w:sz w:val="24"/>
          <w:szCs w:val="24"/>
        </w:rPr>
        <w:t>formulaic phrase:</w:t>
      </w:r>
    </w:p>
    <w:p w:rsidR="00CE32A3" w:rsidRPr="00811C74" w:rsidRDefault="00CE32A3" w:rsidP="00992714">
      <w:pPr>
        <w:tabs>
          <w:tab w:val="left" w:pos="567"/>
        </w:tabs>
        <w:spacing w:line="360" w:lineRule="auto"/>
        <w:ind w:firstLine="720"/>
        <w:contextualSpacing/>
        <w:rPr>
          <w:sz w:val="24"/>
          <w:szCs w:val="24"/>
          <w:lang w:eastAsia="en-GB"/>
        </w:rPr>
      </w:pPr>
    </w:p>
    <w:p w:rsidR="00CE32A3" w:rsidRPr="006B661A" w:rsidRDefault="00CE32A3" w:rsidP="006B661A">
      <w:pPr>
        <w:tabs>
          <w:tab w:val="left" w:pos="567"/>
        </w:tabs>
        <w:spacing w:line="360" w:lineRule="auto"/>
        <w:ind w:left="180"/>
        <w:contextualSpacing/>
        <w:rPr>
          <w:szCs w:val="20"/>
        </w:rPr>
      </w:pPr>
      <w:r w:rsidRPr="006B661A">
        <w:rPr>
          <w:szCs w:val="20"/>
        </w:rPr>
        <w:t>The name of hero (</w:t>
      </w:r>
      <w:proofErr w:type="spellStart"/>
      <w:r w:rsidRPr="006B661A">
        <w:rPr>
          <w:rFonts w:ascii="Trlit_CG Times" w:hAnsi="Trlit_CG Times"/>
          <w:szCs w:val="20"/>
        </w:rPr>
        <w:t>qni</w:t>
      </w:r>
      <w:proofErr w:type="spellEnd"/>
      <w:r w:rsidRPr="006B661A">
        <w:rPr>
          <w:szCs w:val="20"/>
        </w:rPr>
        <w:t>) is in what he has done, without perishing in this land for ever.</w:t>
      </w:r>
    </w:p>
    <w:p w:rsidR="00CE32A3" w:rsidRDefault="00CE32A3" w:rsidP="00992714">
      <w:pPr>
        <w:tabs>
          <w:tab w:val="left" w:pos="567"/>
        </w:tabs>
        <w:spacing w:line="360" w:lineRule="auto"/>
        <w:contextualSpacing/>
        <w:rPr>
          <w:sz w:val="24"/>
          <w:szCs w:val="24"/>
        </w:rPr>
      </w:pPr>
    </w:p>
    <w:p w:rsidR="00CE32A3" w:rsidRDefault="00CE32A3" w:rsidP="006B661A">
      <w:pPr>
        <w:tabs>
          <w:tab w:val="left" w:pos="567"/>
        </w:tabs>
        <w:spacing w:line="360" w:lineRule="auto"/>
        <w:contextualSpacing/>
        <w:rPr>
          <w:sz w:val="24"/>
          <w:szCs w:val="24"/>
        </w:rPr>
      </w:pPr>
      <w:r>
        <w:rPr>
          <w:sz w:val="24"/>
          <w:szCs w:val="24"/>
        </w:rPr>
        <w:t>F</w:t>
      </w:r>
      <w:r w:rsidRPr="00C815F1">
        <w:rPr>
          <w:sz w:val="24"/>
          <w:szCs w:val="24"/>
        </w:rPr>
        <w:t xml:space="preserve">irst </w:t>
      </w:r>
      <w:r>
        <w:rPr>
          <w:sz w:val="24"/>
          <w:szCs w:val="24"/>
        </w:rPr>
        <w:t>attested</w:t>
      </w:r>
      <w:r w:rsidRPr="00C815F1">
        <w:rPr>
          <w:sz w:val="24"/>
          <w:szCs w:val="24"/>
        </w:rPr>
        <w:t xml:space="preserve"> in the autobiography of </w:t>
      </w:r>
      <w:proofErr w:type="spellStart"/>
      <w:r w:rsidRPr="00C815F1">
        <w:rPr>
          <w:sz w:val="24"/>
          <w:szCs w:val="24"/>
        </w:rPr>
        <w:t>Ahmose</w:t>
      </w:r>
      <w:proofErr w:type="spellEnd"/>
      <w:r w:rsidRPr="00C815F1">
        <w:rPr>
          <w:sz w:val="24"/>
          <w:szCs w:val="24"/>
        </w:rPr>
        <w:t xml:space="preserve"> son of </w:t>
      </w:r>
      <w:proofErr w:type="spellStart"/>
      <w:r w:rsidRPr="00C815F1">
        <w:rPr>
          <w:sz w:val="24"/>
          <w:szCs w:val="24"/>
        </w:rPr>
        <w:t>Abana</w:t>
      </w:r>
      <w:proofErr w:type="spellEnd"/>
      <w:r w:rsidRPr="00C815F1">
        <w:rPr>
          <w:rStyle w:val="FootnoteReference"/>
          <w:sz w:val="24"/>
          <w:szCs w:val="24"/>
        </w:rPr>
        <w:footnoteReference w:id="28"/>
      </w:r>
      <w:r>
        <w:rPr>
          <w:sz w:val="24"/>
          <w:szCs w:val="24"/>
        </w:rPr>
        <w:t>,</w:t>
      </w:r>
      <w:r w:rsidRPr="00C815F1">
        <w:rPr>
          <w:sz w:val="24"/>
          <w:szCs w:val="24"/>
        </w:rPr>
        <w:t xml:space="preserve"> </w:t>
      </w:r>
      <w:r>
        <w:rPr>
          <w:sz w:val="24"/>
          <w:szCs w:val="24"/>
        </w:rPr>
        <w:t>it is</w:t>
      </w:r>
      <w:r w:rsidRPr="00C815F1">
        <w:rPr>
          <w:sz w:val="24"/>
          <w:szCs w:val="24"/>
        </w:rPr>
        <w:t xml:space="preserve"> repeated </w:t>
      </w:r>
      <w:r>
        <w:rPr>
          <w:sz w:val="24"/>
          <w:szCs w:val="24"/>
        </w:rPr>
        <w:t>in</w:t>
      </w:r>
      <w:r w:rsidRPr="00C815F1">
        <w:rPr>
          <w:sz w:val="24"/>
          <w:szCs w:val="24"/>
        </w:rPr>
        <w:t xml:space="preserve"> the introduction to the Annals of </w:t>
      </w:r>
      <w:proofErr w:type="spellStart"/>
      <w:r>
        <w:rPr>
          <w:sz w:val="24"/>
          <w:szCs w:val="24"/>
        </w:rPr>
        <w:t>Tuthmosis</w:t>
      </w:r>
      <w:proofErr w:type="spellEnd"/>
      <w:r>
        <w:rPr>
          <w:sz w:val="24"/>
          <w:szCs w:val="24"/>
        </w:rPr>
        <w:t xml:space="preserve"> III, giving context to the listing of events</w:t>
      </w:r>
      <w:r w:rsidRPr="00C815F1">
        <w:rPr>
          <w:sz w:val="24"/>
          <w:szCs w:val="24"/>
        </w:rPr>
        <w:t xml:space="preserve"> in his narrative</w:t>
      </w:r>
      <w:r w:rsidRPr="00C815F1">
        <w:rPr>
          <w:rStyle w:val="FootnoteReference"/>
          <w:sz w:val="24"/>
          <w:szCs w:val="24"/>
        </w:rPr>
        <w:footnoteReference w:id="29"/>
      </w:r>
      <w:r>
        <w:rPr>
          <w:sz w:val="24"/>
          <w:szCs w:val="24"/>
        </w:rPr>
        <w:t xml:space="preserve">. </w:t>
      </w:r>
      <w:proofErr w:type="spellStart"/>
      <w:r w:rsidRPr="00C815F1">
        <w:rPr>
          <w:sz w:val="24"/>
          <w:szCs w:val="24"/>
        </w:rPr>
        <w:t>Tuthmosis</w:t>
      </w:r>
      <w:proofErr w:type="spellEnd"/>
      <w:r w:rsidRPr="00C815F1">
        <w:rPr>
          <w:sz w:val="24"/>
          <w:szCs w:val="24"/>
        </w:rPr>
        <w:t xml:space="preserve"> III picks up the theme again</w:t>
      </w:r>
      <w:r w:rsidRPr="00C815F1">
        <w:rPr>
          <w:rStyle w:val="FootnoteReference"/>
          <w:sz w:val="24"/>
          <w:szCs w:val="24"/>
        </w:rPr>
        <w:footnoteReference w:id="30"/>
      </w:r>
      <w:r>
        <w:rPr>
          <w:sz w:val="24"/>
          <w:szCs w:val="24"/>
        </w:rPr>
        <w:t>,</w:t>
      </w:r>
      <w:r w:rsidRPr="00C815F1">
        <w:rPr>
          <w:sz w:val="24"/>
          <w:szCs w:val="24"/>
        </w:rPr>
        <w:t xml:space="preserve"> assert</w:t>
      </w:r>
      <w:r>
        <w:rPr>
          <w:sz w:val="24"/>
          <w:szCs w:val="24"/>
        </w:rPr>
        <w:t>ing</w:t>
      </w:r>
      <w:r w:rsidRPr="00C815F1">
        <w:rPr>
          <w:sz w:val="24"/>
          <w:szCs w:val="24"/>
        </w:rPr>
        <w:t xml:space="preserve"> the truthfulness of what he says, and in parti</w:t>
      </w:r>
      <w:r>
        <w:rPr>
          <w:sz w:val="24"/>
          <w:szCs w:val="24"/>
        </w:rPr>
        <w:t>cular when he describes this as</w:t>
      </w:r>
    </w:p>
    <w:p w:rsidR="00CE32A3" w:rsidRDefault="00CE32A3" w:rsidP="006B661A">
      <w:pPr>
        <w:tabs>
          <w:tab w:val="left" w:pos="567"/>
        </w:tabs>
        <w:spacing w:line="360" w:lineRule="auto"/>
        <w:contextualSpacing/>
        <w:rPr>
          <w:sz w:val="24"/>
          <w:szCs w:val="24"/>
        </w:rPr>
      </w:pPr>
    </w:p>
    <w:p w:rsidR="00CE32A3" w:rsidRPr="006B661A" w:rsidRDefault="00CE32A3" w:rsidP="006B661A">
      <w:pPr>
        <w:tabs>
          <w:tab w:val="left" w:pos="567"/>
        </w:tabs>
        <w:spacing w:line="360" w:lineRule="auto"/>
        <w:ind w:left="180"/>
        <w:contextualSpacing/>
        <w:rPr>
          <w:szCs w:val="20"/>
        </w:rPr>
      </w:pPr>
      <w:proofErr w:type="gramStart"/>
      <w:r w:rsidRPr="006B661A">
        <w:rPr>
          <w:szCs w:val="20"/>
        </w:rPr>
        <w:t>to</w:t>
      </w:r>
      <w:proofErr w:type="gramEnd"/>
      <w:r w:rsidRPr="006B661A">
        <w:rPr>
          <w:szCs w:val="20"/>
        </w:rPr>
        <w:t xml:space="preserve"> public knowledge (</w:t>
      </w:r>
      <w:r w:rsidRPr="006B661A">
        <w:rPr>
          <w:rFonts w:ascii="Trlit_CG Times" w:hAnsi="Trlit_CG Times"/>
          <w:szCs w:val="20"/>
        </w:rPr>
        <w:t xml:space="preserve">r </w:t>
      </w:r>
      <w:proofErr w:type="spellStart"/>
      <w:r w:rsidRPr="006B661A">
        <w:rPr>
          <w:rFonts w:ascii="Trlit_CG Times" w:hAnsi="Trlit_CG Times"/>
          <w:szCs w:val="20"/>
        </w:rPr>
        <w:t>rxt</w:t>
      </w:r>
      <w:proofErr w:type="spellEnd"/>
      <w:r w:rsidRPr="006B661A">
        <w:rPr>
          <w:rFonts w:ascii="Trlit_CG Times" w:hAnsi="Trlit_CG Times"/>
          <w:szCs w:val="20"/>
        </w:rPr>
        <w:t xml:space="preserve"> b(w) </w:t>
      </w:r>
      <w:proofErr w:type="spellStart"/>
      <w:r w:rsidRPr="006B661A">
        <w:rPr>
          <w:rFonts w:ascii="Trlit_CG Times" w:hAnsi="Trlit_CG Times"/>
          <w:szCs w:val="20"/>
        </w:rPr>
        <w:t>nb</w:t>
      </w:r>
      <w:proofErr w:type="spellEnd"/>
      <w:r w:rsidRPr="006B661A">
        <w:rPr>
          <w:szCs w:val="20"/>
        </w:rPr>
        <w:t>).</w:t>
      </w:r>
    </w:p>
    <w:p w:rsidR="00CE32A3" w:rsidRPr="007A5F71" w:rsidRDefault="00CE32A3" w:rsidP="00992714">
      <w:pPr>
        <w:tabs>
          <w:tab w:val="left" w:pos="567"/>
        </w:tabs>
        <w:spacing w:line="360" w:lineRule="auto"/>
        <w:ind w:left="227"/>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Or when Amenhotep II on his Sphinx Stela characterises the narrative of his physical prowess</w:t>
      </w:r>
      <w:r w:rsidRPr="00C815F1">
        <w:rPr>
          <w:rStyle w:val="FootnoteReference"/>
          <w:sz w:val="24"/>
          <w:szCs w:val="24"/>
        </w:rPr>
        <w:footnoteReference w:id="31"/>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Pr="006B661A" w:rsidRDefault="00CE32A3" w:rsidP="006B661A">
      <w:pPr>
        <w:tabs>
          <w:tab w:val="left" w:pos="567"/>
        </w:tabs>
        <w:spacing w:line="360" w:lineRule="auto"/>
        <w:ind w:left="180"/>
        <w:contextualSpacing/>
        <w:rPr>
          <w:szCs w:val="20"/>
        </w:rPr>
      </w:pPr>
      <w:r w:rsidRPr="006B661A">
        <w:rPr>
          <w:szCs w:val="20"/>
        </w:rPr>
        <w:t>It is indeed an event (</w:t>
      </w:r>
      <w:r w:rsidRPr="006B661A">
        <w:rPr>
          <w:rFonts w:ascii="Trlit_CG Times" w:hAnsi="Trlit_CG Times"/>
          <w:szCs w:val="20"/>
        </w:rPr>
        <w:t>sp</w:t>
      </w:r>
      <w:r w:rsidRPr="006B661A">
        <w:rPr>
          <w:szCs w:val="20"/>
        </w:rPr>
        <w:t>); one had not in the past (done) doing it; it has not been heard in the telling (</w:t>
      </w:r>
      <w:r w:rsidRPr="006B661A">
        <w:rPr>
          <w:rFonts w:ascii="Trlit_CG Times" w:hAnsi="Trlit_CG Times"/>
          <w:i/>
          <w:szCs w:val="20"/>
        </w:rPr>
        <w:t xml:space="preserve">m </w:t>
      </w:r>
      <w:proofErr w:type="spellStart"/>
      <w:r w:rsidRPr="006B661A">
        <w:rPr>
          <w:rFonts w:ascii="Trlit_CG Times" w:hAnsi="Trlit_CG Times"/>
          <w:i/>
          <w:szCs w:val="20"/>
        </w:rPr>
        <w:t>sDdt</w:t>
      </w:r>
      <w:proofErr w:type="spellEnd"/>
      <w:r w:rsidRPr="006B661A">
        <w:rPr>
          <w:szCs w:val="20"/>
        </w:rPr>
        <w:t>)</w:t>
      </w:r>
      <w:r w:rsidRPr="006B661A">
        <w:rPr>
          <w:rStyle w:val="FootnoteReference"/>
          <w:szCs w:val="20"/>
        </w:rPr>
        <w:footnoteReference w:id="32"/>
      </w:r>
      <w:r w:rsidRPr="006B661A">
        <w:rPr>
          <w:szCs w:val="20"/>
        </w:rPr>
        <w:t>.</w:t>
      </w:r>
    </w:p>
    <w:p w:rsidR="00CE32A3" w:rsidRPr="00B540DE" w:rsidRDefault="00CE32A3" w:rsidP="00992714">
      <w:pPr>
        <w:tabs>
          <w:tab w:val="left" w:pos="567"/>
        </w:tabs>
        <w:spacing w:line="360" w:lineRule="auto"/>
        <w:ind w:left="227"/>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This passes very directly to the question of who inscriptional narrative was addressed to, and how it was addressed. Specifically an inscription might seem to fit the category of a publication: free t</w:t>
      </w:r>
      <w:r>
        <w:rPr>
          <w:sz w:val="24"/>
          <w:szCs w:val="24"/>
        </w:rPr>
        <w:t>o be looked at by an individual, and</w:t>
      </w:r>
      <w:r w:rsidRPr="00C815F1">
        <w:rPr>
          <w:sz w:val="24"/>
          <w:szCs w:val="24"/>
        </w:rPr>
        <w:t xml:space="preserve"> potentially read </w:t>
      </w:r>
      <w:r w:rsidRPr="00C815F1">
        <w:rPr>
          <w:sz w:val="24"/>
          <w:szCs w:val="24"/>
        </w:rPr>
        <w:lastRenderedPageBreak/>
        <w:t>privately. Yet the inscription presents itself as a subject for discourse, as in the classic example from the 12</w:t>
      </w:r>
      <w:r>
        <w:rPr>
          <w:sz w:val="24"/>
          <w:szCs w:val="24"/>
        </w:rPr>
        <w:t>th</w:t>
      </w:r>
      <w:r w:rsidRPr="00C815F1">
        <w:rPr>
          <w:sz w:val="24"/>
          <w:szCs w:val="24"/>
        </w:rPr>
        <w:t xml:space="preserve"> Dynasty stela of </w:t>
      </w:r>
      <w:proofErr w:type="spellStart"/>
      <w:r w:rsidRPr="00C815F1">
        <w:rPr>
          <w:sz w:val="24"/>
          <w:szCs w:val="24"/>
        </w:rPr>
        <w:t>Montuwoser</w:t>
      </w:r>
      <w:proofErr w:type="spellEnd"/>
      <w:r w:rsidRPr="00C815F1">
        <w:rPr>
          <w:rStyle w:val="FootnoteReference"/>
          <w:sz w:val="24"/>
          <w:szCs w:val="24"/>
        </w:rPr>
        <w:footnoteReference w:id="33"/>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Pr="00830881" w:rsidRDefault="00CE32A3" w:rsidP="00830881">
      <w:pPr>
        <w:tabs>
          <w:tab w:val="left" w:pos="567"/>
        </w:tabs>
        <w:spacing w:line="360" w:lineRule="auto"/>
        <w:ind w:left="180"/>
        <w:contextualSpacing/>
        <w:rPr>
          <w:szCs w:val="20"/>
        </w:rPr>
      </w:pPr>
      <w:r w:rsidRPr="00830881">
        <w:rPr>
          <w:szCs w:val="20"/>
        </w:rPr>
        <w:t>Then as for every person who will hear this stela, being among the living, they will say “It’s the truth!” Their children will say to (their) children, “It’s the truth! There is no falsehood there.” And as for every scribe who will read this stela, all people – they will come up to him (</w:t>
      </w:r>
      <w:proofErr w:type="spellStart"/>
      <w:r w:rsidRPr="00830881">
        <w:rPr>
          <w:rFonts w:ascii="Trlit_CG Times" w:hAnsi="Trlit_CG Times"/>
          <w:szCs w:val="20"/>
        </w:rPr>
        <w:t>spr</w:t>
      </w:r>
      <w:proofErr w:type="spellEnd"/>
      <w:r w:rsidRPr="00830881">
        <w:rPr>
          <w:rFonts w:ascii="Trlit_CG Times" w:hAnsi="Trlit_CG Times"/>
          <w:szCs w:val="20"/>
        </w:rPr>
        <w:t>=</w:t>
      </w:r>
      <w:proofErr w:type="spellStart"/>
      <w:r w:rsidRPr="00830881">
        <w:rPr>
          <w:rFonts w:ascii="Trlit_CG Times" w:hAnsi="Trlit_CG Times"/>
          <w:szCs w:val="20"/>
        </w:rPr>
        <w:t>sn</w:t>
      </w:r>
      <w:proofErr w:type="spellEnd"/>
      <w:r w:rsidRPr="00830881">
        <w:rPr>
          <w:rFonts w:ascii="Trlit_CG Times" w:hAnsi="Trlit_CG Times"/>
          <w:szCs w:val="20"/>
        </w:rPr>
        <w:t xml:space="preserve"> </w:t>
      </w:r>
      <w:proofErr w:type="spellStart"/>
      <w:r w:rsidRPr="00830881">
        <w:rPr>
          <w:rFonts w:ascii="Trlit_CG Times" w:hAnsi="Trlit_CG Times"/>
          <w:szCs w:val="20"/>
        </w:rPr>
        <w:t>ir</w:t>
      </w:r>
      <w:proofErr w:type="spellEnd"/>
      <w:r w:rsidRPr="00830881">
        <w:rPr>
          <w:rFonts w:ascii="Trlit_CG Times" w:hAnsi="Trlit_CG Times"/>
          <w:szCs w:val="20"/>
        </w:rPr>
        <w:t>=f</w:t>
      </w:r>
      <w:r w:rsidRPr="00830881">
        <w:rPr>
          <w:szCs w:val="20"/>
        </w:rPr>
        <w:t>).</w:t>
      </w:r>
    </w:p>
    <w:p w:rsidR="00CE32A3" w:rsidRPr="00C815F1" w:rsidRDefault="00CE32A3" w:rsidP="00992714">
      <w:pPr>
        <w:tabs>
          <w:tab w:val="left" w:pos="567"/>
        </w:tabs>
        <w:spacing w:line="360" w:lineRule="auto"/>
        <w:ind w:left="227"/>
        <w:contextualSpacing/>
        <w:rPr>
          <w:sz w:val="24"/>
          <w:szCs w:val="24"/>
        </w:rPr>
      </w:pPr>
    </w:p>
    <w:p w:rsidR="00CE32A3" w:rsidRDefault="00CE32A3" w:rsidP="00992714">
      <w:pPr>
        <w:tabs>
          <w:tab w:val="left" w:pos="567"/>
        </w:tabs>
        <w:spacing w:line="360" w:lineRule="auto"/>
        <w:contextualSpacing/>
        <w:rPr>
          <w:sz w:val="24"/>
          <w:szCs w:val="24"/>
        </w:rPr>
      </w:pPr>
      <w:r>
        <w:rPr>
          <w:sz w:val="24"/>
          <w:szCs w:val="24"/>
        </w:rPr>
        <w:t xml:space="preserve">The theme is picked up directly in the </w:t>
      </w:r>
      <w:proofErr w:type="spellStart"/>
      <w:r>
        <w:rPr>
          <w:sz w:val="24"/>
          <w:szCs w:val="24"/>
        </w:rPr>
        <w:t>Ramesside</w:t>
      </w:r>
      <w:proofErr w:type="spellEnd"/>
      <w:r>
        <w:rPr>
          <w:sz w:val="24"/>
          <w:szCs w:val="24"/>
        </w:rPr>
        <w:t xml:space="preserve"> autobiography of </w:t>
      </w:r>
      <w:proofErr w:type="spellStart"/>
      <w:r w:rsidRPr="00C815F1">
        <w:rPr>
          <w:sz w:val="24"/>
          <w:szCs w:val="24"/>
        </w:rPr>
        <w:t>Nefersekheru</w:t>
      </w:r>
      <w:proofErr w:type="spellEnd"/>
      <w:r>
        <w:rPr>
          <w:rStyle w:val="FootnoteReference"/>
          <w:sz w:val="24"/>
          <w:szCs w:val="24"/>
        </w:rPr>
        <w:footnoteReference w:id="34"/>
      </w:r>
      <w:r>
        <w:rPr>
          <w:sz w:val="24"/>
          <w:szCs w:val="24"/>
        </w:rPr>
        <w:t>, where the inscription is presented as a publication to be subject of discourse:</w:t>
      </w:r>
    </w:p>
    <w:p w:rsidR="00CE32A3" w:rsidRPr="00C815F1" w:rsidRDefault="00CE32A3" w:rsidP="00992714">
      <w:pPr>
        <w:tabs>
          <w:tab w:val="left" w:pos="567"/>
        </w:tabs>
        <w:spacing w:line="360" w:lineRule="auto"/>
        <w:contextualSpacing/>
        <w:rPr>
          <w:sz w:val="24"/>
          <w:szCs w:val="24"/>
        </w:rPr>
      </w:pPr>
    </w:p>
    <w:p w:rsidR="00CE32A3" w:rsidRPr="00830881" w:rsidRDefault="00CE32A3" w:rsidP="00830881">
      <w:pPr>
        <w:tabs>
          <w:tab w:val="left" w:pos="567"/>
        </w:tabs>
        <w:spacing w:line="360" w:lineRule="auto"/>
        <w:ind w:left="180"/>
        <w:contextualSpacing/>
        <w:rPr>
          <w:szCs w:val="20"/>
        </w:rPr>
      </w:pPr>
      <w:r w:rsidRPr="00830881">
        <w:rPr>
          <w:szCs w:val="20"/>
        </w:rPr>
        <w:t xml:space="preserve">“I say to you, who are on earth, who will exist, </w:t>
      </w:r>
      <w:proofErr w:type="spellStart"/>
      <w:r w:rsidRPr="00830881">
        <w:rPr>
          <w:rFonts w:ascii="Trlit_CG Times" w:hAnsi="Trlit_CG Times"/>
          <w:szCs w:val="20"/>
        </w:rPr>
        <w:t>wab</w:t>
      </w:r>
      <w:proofErr w:type="spellEnd"/>
      <w:r w:rsidRPr="00830881">
        <w:rPr>
          <w:szCs w:val="20"/>
        </w:rPr>
        <w:t>-priests and associates of the king, [… who decipher the] texts (</w:t>
      </w:r>
      <w:r w:rsidRPr="00830881">
        <w:rPr>
          <w:rFonts w:ascii="Trlit_CG Times" w:hAnsi="Trlit_CG Times"/>
          <w:szCs w:val="20"/>
        </w:rPr>
        <w:t>[…</w:t>
      </w:r>
      <w:proofErr w:type="gramStart"/>
      <w:r w:rsidRPr="00830881">
        <w:rPr>
          <w:rFonts w:ascii="Trlit_CG Times" w:hAnsi="Trlit_CG Times"/>
          <w:szCs w:val="20"/>
        </w:rPr>
        <w:t>.. ?</w:t>
      </w:r>
      <w:proofErr w:type="spellStart"/>
      <w:r w:rsidRPr="00830881">
        <w:rPr>
          <w:rFonts w:ascii="Trlit_CG Times" w:hAnsi="Trlit_CG Times"/>
          <w:szCs w:val="20"/>
        </w:rPr>
        <w:t>wHa</w:t>
      </w:r>
      <w:proofErr w:type="spellEnd"/>
      <w:proofErr w:type="gramEnd"/>
      <w:r w:rsidRPr="00830881">
        <w:rPr>
          <w:rFonts w:ascii="Trlit_CG Times" w:hAnsi="Trlit_CG Times"/>
          <w:szCs w:val="20"/>
        </w:rPr>
        <w:t xml:space="preserve">? </w:t>
      </w:r>
      <w:proofErr w:type="gramStart"/>
      <w:r w:rsidRPr="00830881">
        <w:rPr>
          <w:rFonts w:ascii="Trlit_CG Times" w:hAnsi="Trlit_CG Times"/>
          <w:szCs w:val="20"/>
        </w:rPr>
        <w:t>d]</w:t>
      </w:r>
      <w:proofErr w:type="spellStart"/>
      <w:r w:rsidRPr="00830881">
        <w:rPr>
          <w:rFonts w:ascii="Trlit_CG Times" w:hAnsi="Trlit_CG Times"/>
          <w:szCs w:val="20"/>
        </w:rPr>
        <w:t>rf</w:t>
      </w:r>
      <w:proofErr w:type="spellEnd"/>
      <w:proofErr w:type="gramEnd"/>
      <w:r w:rsidRPr="00830881">
        <w:rPr>
          <w:rFonts w:ascii="Trlit_CG Times" w:hAnsi="Trlit_CG Times"/>
          <w:szCs w:val="20"/>
        </w:rPr>
        <w:t>(?)</w:t>
      </w:r>
      <w:r w:rsidRPr="00830881">
        <w:rPr>
          <w:szCs w:val="20"/>
        </w:rPr>
        <w:t xml:space="preserve">) </w:t>
      </w:r>
      <w:proofErr w:type="gramStart"/>
      <w:r w:rsidRPr="00830881">
        <w:rPr>
          <w:szCs w:val="20"/>
        </w:rPr>
        <w:t>in</w:t>
      </w:r>
      <w:proofErr w:type="gramEnd"/>
      <w:r w:rsidRPr="00830881">
        <w:rPr>
          <w:szCs w:val="20"/>
        </w:rPr>
        <w:t xml:space="preserve"> my tomb which is in the Oryx </w:t>
      </w:r>
      <w:proofErr w:type="spellStart"/>
      <w:r w:rsidRPr="00830881">
        <w:rPr>
          <w:szCs w:val="20"/>
        </w:rPr>
        <w:t>nome</w:t>
      </w:r>
      <w:proofErr w:type="spellEnd"/>
      <w:r w:rsidRPr="00830881">
        <w:rPr>
          <w:szCs w:val="20"/>
        </w:rPr>
        <w:t>, your hearts shall ponder (?) (</w:t>
      </w:r>
      <w:r w:rsidRPr="00830881">
        <w:rPr>
          <w:rFonts w:ascii="Trlit_CG Times" w:hAnsi="Trlit_CG Times"/>
          <w:szCs w:val="20"/>
        </w:rPr>
        <w:t xml:space="preserve">HH </w:t>
      </w:r>
      <w:proofErr w:type="spellStart"/>
      <w:r w:rsidRPr="00830881">
        <w:rPr>
          <w:rFonts w:ascii="Trlit_CG Times" w:hAnsi="Trlit_CG Times"/>
          <w:szCs w:val="20"/>
        </w:rPr>
        <w:t>ibw</w:t>
      </w:r>
      <w:proofErr w:type="spellEnd"/>
      <w:r w:rsidRPr="00830881">
        <w:rPr>
          <w:rFonts w:ascii="Trlit_CG Times" w:hAnsi="Trlit_CG Times"/>
          <w:szCs w:val="20"/>
        </w:rPr>
        <w:t>=</w:t>
      </w:r>
      <w:proofErr w:type="spellStart"/>
      <w:r w:rsidRPr="00830881">
        <w:rPr>
          <w:rFonts w:ascii="Trlit_CG Times" w:hAnsi="Trlit_CG Times"/>
          <w:szCs w:val="20"/>
        </w:rPr>
        <w:t>Tn</w:t>
      </w:r>
      <w:proofErr w:type="spellEnd"/>
      <w:r w:rsidRPr="00830881">
        <w:rPr>
          <w:szCs w:val="20"/>
        </w:rPr>
        <w:t xml:space="preserve">) in front of this writing, and you will say in firmness (?), in doing (?) attention (?) </w:t>
      </w:r>
      <w:proofErr w:type="gramStart"/>
      <w:r w:rsidRPr="00830881">
        <w:rPr>
          <w:szCs w:val="20"/>
        </w:rPr>
        <w:t>to  [</w:t>
      </w:r>
      <w:proofErr w:type="gramEnd"/>
      <w:r w:rsidRPr="00830881">
        <w:rPr>
          <w:szCs w:val="20"/>
        </w:rPr>
        <w:t xml:space="preserve">…. ] so that the ignorant may know, like the skilled, all I have said on my chapel.” </w:t>
      </w:r>
    </w:p>
    <w:p w:rsidR="00CE32A3" w:rsidRDefault="00CE32A3" w:rsidP="00992714">
      <w:pPr>
        <w:tabs>
          <w:tab w:val="left" w:pos="567"/>
        </w:tabs>
        <w:spacing w:line="360" w:lineRule="auto"/>
        <w:contextualSpacing/>
        <w:rPr>
          <w:sz w:val="24"/>
          <w:szCs w:val="24"/>
        </w:rPr>
      </w:pPr>
    </w:p>
    <w:p w:rsidR="00CE32A3" w:rsidRDefault="00CE32A3" w:rsidP="00992714">
      <w:pPr>
        <w:tabs>
          <w:tab w:val="left" w:pos="567"/>
        </w:tabs>
        <w:spacing w:line="360" w:lineRule="auto"/>
        <w:contextualSpacing/>
        <w:rPr>
          <w:sz w:val="24"/>
          <w:szCs w:val="24"/>
        </w:rPr>
      </w:pPr>
      <w:r w:rsidRPr="00830881">
        <w:rPr>
          <w:sz w:val="24"/>
          <w:szCs w:val="24"/>
        </w:rPr>
        <w:t>Narrative of events</w:t>
      </w:r>
    </w:p>
    <w:p w:rsidR="00CE32A3" w:rsidRPr="00830881" w:rsidRDefault="00CE32A3" w:rsidP="00992714">
      <w:pPr>
        <w:tabs>
          <w:tab w:val="left" w:pos="567"/>
        </w:tabs>
        <w:spacing w:line="360" w:lineRule="auto"/>
        <w:contextualSpacing/>
        <w:rPr>
          <w:sz w:val="24"/>
          <w:szCs w:val="24"/>
        </w:rPr>
      </w:pPr>
    </w:p>
    <w:p w:rsidR="00CE32A3" w:rsidRPr="0052488F" w:rsidRDefault="00CE32A3" w:rsidP="00992714">
      <w:pPr>
        <w:tabs>
          <w:tab w:val="left" w:pos="567"/>
        </w:tabs>
        <w:spacing w:line="360" w:lineRule="auto"/>
        <w:contextualSpacing/>
        <w:rPr>
          <w:sz w:val="24"/>
          <w:szCs w:val="24"/>
        </w:rPr>
      </w:pPr>
      <w:r w:rsidRPr="00C815F1">
        <w:rPr>
          <w:sz w:val="24"/>
          <w:szCs w:val="24"/>
        </w:rPr>
        <w:t xml:space="preserve">Autopsy gives focus to the purposeful narrative, characteristic of inscriptions, just as </w:t>
      </w:r>
      <w:r w:rsidRPr="0076661A">
        <w:rPr>
          <w:sz w:val="24"/>
          <w:szCs w:val="24"/>
        </w:rPr>
        <w:t xml:space="preserve">the key term </w:t>
      </w:r>
      <w:r w:rsidRPr="00811C74">
        <w:rPr>
          <w:rFonts w:ascii="Trlit_CG Times" w:hAnsi="Trlit_CG Times"/>
          <w:sz w:val="24"/>
          <w:szCs w:val="24"/>
        </w:rPr>
        <w:t>sp</w:t>
      </w:r>
      <w:r w:rsidRPr="0076661A">
        <w:rPr>
          <w:sz w:val="24"/>
          <w:szCs w:val="24"/>
        </w:rPr>
        <w:t xml:space="preserve"> gives focus </w:t>
      </w:r>
      <w:r>
        <w:rPr>
          <w:sz w:val="24"/>
          <w:szCs w:val="24"/>
        </w:rPr>
        <w:t xml:space="preserve">to </w:t>
      </w:r>
      <w:r w:rsidRPr="0076661A">
        <w:rPr>
          <w:sz w:val="24"/>
          <w:szCs w:val="24"/>
        </w:rPr>
        <w:t xml:space="preserve">their episodic nature: the </w:t>
      </w:r>
      <w:r w:rsidRPr="00806A46">
        <w:rPr>
          <w:rFonts w:ascii="Trlit_CG Times" w:hAnsi="Trlit_CG Times"/>
          <w:sz w:val="24"/>
          <w:szCs w:val="24"/>
        </w:rPr>
        <w:t>sp</w:t>
      </w:r>
      <w:r w:rsidRPr="0076661A">
        <w:rPr>
          <w:sz w:val="24"/>
          <w:szCs w:val="24"/>
        </w:rPr>
        <w:t xml:space="preserve"> as specific events referred to in an autobiography, and the single event narrative typical of the so-called </w:t>
      </w:r>
      <w:proofErr w:type="spellStart"/>
      <w:r w:rsidRPr="005D7756">
        <w:rPr>
          <w:i/>
          <w:sz w:val="24"/>
          <w:szCs w:val="24"/>
        </w:rPr>
        <w:t>Königsnovelle</w:t>
      </w:r>
      <w:proofErr w:type="spellEnd"/>
      <w:r>
        <w:rPr>
          <w:i/>
          <w:sz w:val="24"/>
          <w:szCs w:val="24"/>
        </w:rPr>
        <w:t xml:space="preserve"> </w:t>
      </w:r>
      <w:r>
        <w:rPr>
          <w:rStyle w:val="FootnoteReference"/>
          <w:sz w:val="24"/>
          <w:szCs w:val="24"/>
        </w:rPr>
        <w:footnoteReference w:id="35"/>
      </w:r>
      <w:r w:rsidRPr="0076661A">
        <w:rPr>
          <w:sz w:val="24"/>
          <w:szCs w:val="24"/>
        </w:rPr>
        <w:t xml:space="preserve">. </w:t>
      </w:r>
      <w:r>
        <w:rPr>
          <w:sz w:val="24"/>
          <w:szCs w:val="24"/>
        </w:rPr>
        <w:t>The generic term is modern, and necessarily flexible in what it describes</w:t>
      </w:r>
      <w:r w:rsidRPr="005D7756">
        <w:rPr>
          <w:sz w:val="24"/>
          <w:szCs w:val="24"/>
        </w:rPr>
        <w:t xml:space="preserve">: </w:t>
      </w:r>
      <w:r>
        <w:rPr>
          <w:sz w:val="24"/>
          <w:szCs w:val="24"/>
        </w:rPr>
        <w:t xml:space="preserve">archetypically the king holds a council, listens the advice of his courtiers but decides himself, and his specific enterprise succeeds, </w:t>
      </w:r>
      <w:r w:rsidRPr="00B81F21">
        <w:rPr>
          <w:sz w:val="24"/>
          <w:szCs w:val="24"/>
        </w:rPr>
        <w:t>exemplif</w:t>
      </w:r>
      <w:r>
        <w:rPr>
          <w:sz w:val="24"/>
          <w:szCs w:val="24"/>
        </w:rPr>
        <w:t xml:space="preserve">ying the human superiority of the king. This is </w:t>
      </w:r>
      <w:r w:rsidRPr="00FC0EBD">
        <w:rPr>
          <w:sz w:val="24"/>
          <w:szCs w:val="24"/>
        </w:rPr>
        <w:t>not so much</w:t>
      </w:r>
      <w:r>
        <w:rPr>
          <w:sz w:val="24"/>
          <w:szCs w:val="24"/>
        </w:rPr>
        <w:t xml:space="preserve"> a genre of itself, but </w:t>
      </w:r>
      <w:r w:rsidRPr="0076661A">
        <w:rPr>
          <w:sz w:val="24"/>
          <w:szCs w:val="24"/>
        </w:rPr>
        <w:t xml:space="preserve">an </w:t>
      </w:r>
      <w:r>
        <w:rPr>
          <w:sz w:val="24"/>
          <w:szCs w:val="24"/>
        </w:rPr>
        <w:t>artefact</w:t>
      </w:r>
      <w:r w:rsidRPr="0076661A">
        <w:rPr>
          <w:sz w:val="24"/>
          <w:szCs w:val="24"/>
        </w:rPr>
        <w:t xml:space="preserve"> of the relatively short, ep</w:t>
      </w:r>
      <w:r w:rsidRPr="00B81F21">
        <w:rPr>
          <w:sz w:val="24"/>
          <w:szCs w:val="24"/>
        </w:rPr>
        <w:t>isodic struct</w:t>
      </w:r>
      <w:r>
        <w:rPr>
          <w:sz w:val="24"/>
          <w:szCs w:val="24"/>
        </w:rPr>
        <w:t xml:space="preserve">ure of all Egyptian narrative. </w:t>
      </w:r>
      <w:r w:rsidRPr="00B81F21">
        <w:rPr>
          <w:sz w:val="24"/>
          <w:szCs w:val="24"/>
        </w:rPr>
        <w:t>In that sense it is not re</w:t>
      </w:r>
      <w:r w:rsidRPr="00B81F21">
        <w:rPr>
          <w:color w:val="000000"/>
          <w:sz w:val="24"/>
          <w:szCs w:val="24"/>
        </w:rPr>
        <w:t xml:space="preserve">ally functional to draw a distinction between </w:t>
      </w:r>
      <w:proofErr w:type="spellStart"/>
      <w:r w:rsidRPr="00B81F21">
        <w:rPr>
          <w:i/>
          <w:color w:val="000000"/>
          <w:sz w:val="24"/>
          <w:szCs w:val="24"/>
        </w:rPr>
        <w:t>Idealbiographie</w:t>
      </w:r>
      <w:proofErr w:type="spellEnd"/>
      <w:r w:rsidRPr="00B81F21">
        <w:rPr>
          <w:color w:val="000000"/>
          <w:sz w:val="24"/>
          <w:szCs w:val="24"/>
        </w:rPr>
        <w:t xml:space="preserve"> and </w:t>
      </w:r>
      <w:proofErr w:type="spellStart"/>
      <w:r w:rsidRPr="00B81F21">
        <w:rPr>
          <w:i/>
          <w:color w:val="000000"/>
          <w:sz w:val="24"/>
          <w:szCs w:val="24"/>
        </w:rPr>
        <w:t>Ereignisbiographie</w:t>
      </w:r>
      <w:proofErr w:type="spellEnd"/>
      <w:r w:rsidRPr="00060610">
        <w:rPr>
          <w:rStyle w:val="FootnoteReference"/>
          <w:color w:val="000000"/>
          <w:sz w:val="24"/>
          <w:szCs w:val="24"/>
        </w:rPr>
        <w:footnoteReference w:id="36"/>
      </w:r>
      <w:r>
        <w:rPr>
          <w:color w:val="000000"/>
          <w:sz w:val="24"/>
          <w:szCs w:val="24"/>
        </w:rPr>
        <w:t>, at least for</w:t>
      </w:r>
      <w:r w:rsidRPr="00B81F21">
        <w:rPr>
          <w:color w:val="000000"/>
          <w:sz w:val="24"/>
          <w:szCs w:val="24"/>
        </w:rPr>
        <w:t xml:space="preserve"> the </w:t>
      </w:r>
      <w:proofErr w:type="spellStart"/>
      <w:r w:rsidRPr="00B81F21">
        <w:rPr>
          <w:color w:val="000000"/>
          <w:sz w:val="24"/>
          <w:szCs w:val="24"/>
        </w:rPr>
        <w:t>Ramesside</w:t>
      </w:r>
      <w:proofErr w:type="spellEnd"/>
      <w:r w:rsidRPr="00B81F21">
        <w:rPr>
          <w:color w:val="000000"/>
          <w:sz w:val="24"/>
          <w:szCs w:val="24"/>
        </w:rPr>
        <w:t xml:space="preserve"> Period</w:t>
      </w:r>
      <w:r>
        <w:rPr>
          <w:color w:val="000000"/>
          <w:sz w:val="24"/>
          <w:szCs w:val="24"/>
        </w:rPr>
        <w:t>, where ideal and event merge into a purposeful evidential narrative.</w:t>
      </w:r>
      <w:r w:rsidRPr="00B81F21">
        <w:rPr>
          <w:color w:val="000000"/>
          <w:sz w:val="24"/>
          <w:szCs w:val="24"/>
        </w:rPr>
        <w:t xml:space="preserve"> </w:t>
      </w:r>
      <w:r>
        <w:rPr>
          <w:color w:val="000000"/>
          <w:sz w:val="24"/>
          <w:szCs w:val="24"/>
        </w:rPr>
        <w:t xml:space="preserve">That distinction does, itself, involve the application of a modern construct of objective, factual historiography onto an ancient genre with quite different purpose. </w:t>
      </w:r>
      <w:r>
        <w:rPr>
          <w:sz w:val="24"/>
          <w:szCs w:val="24"/>
        </w:rPr>
        <w:t xml:space="preserve">The </w:t>
      </w:r>
      <w:proofErr w:type="spellStart"/>
      <w:r w:rsidRPr="005D7756">
        <w:rPr>
          <w:i/>
          <w:sz w:val="24"/>
          <w:szCs w:val="24"/>
        </w:rPr>
        <w:t>Königsnovelle</w:t>
      </w:r>
      <w:proofErr w:type="spellEnd"/>
      <w:r w:rsidRPr="005D7756">
        <w:rPr>
          <w:sz w:val="24"/>
          <w:szCs w:val="24"/>
        </w:rPr>
        <w:t xml:space="preserve"> </w:t>
      </w:r>
      <w:r>
        <w:rPr>
          <w:sz w:val="24"/>
          <w:szCs w:val="24"/>
        </w:rPr>
        <w:t>may then serve as a crucial structural</w:t>
      </w:r>
      <w:r w:rsidRPr="005D7756">
        <w:rPr>
          <w:sz w:val="24"/>
          <w:szCs w:val="24"/>
        </w:rPr>
        <w:t xml:space="preserve"> </w:t>
      </w:r>
      <w:r>
        <w:rPr>
          <w:sz w:val="24"/>
          <w:szCs w:val="24"/>
        </w:rPr>
        <w:t xml:space="preserve">element in royal narrative, generically closely comparable to the sort of </w:t>
      </w:r>
      <w:r>
        <w:rPr>
          <w:sz w:val="24"/>
          <w:szCs w:val="24"/>
        </w:rPr>
        <w:lastRenderedPageBreak/>
        <w:t xml:space="preserve">individual episode that one finds in papyrus narrative. Structurally the episodic focus on individual events is </w:t>
      </w:r>
      <w:r w:rsidRPr="005D7756">
        <w:rPr>
          <w:sz w:val="24"/>
          <w:szCs w:val="24"/>
        </w:rPr>
        <w:t xml:space="preserve">deeply embedded in </w:t>
      </w:r>
      <w:r>
        <w:rPr>
          <w:sz w:val="24"/>
          <w:szCs w:val="24"/>
        </w:rPr>
        <w:t xml:space="preserve">the listing style of </w:t>
      </w:r>
      <w:r w:rsidRPr="005D7756">
        <w:rPr>
          <w:sz w:val="24"/>
          <w:szCs w:val="24"/>
        </w:rPr>
        <w:t>characterising eulogy</w:t>
      </w:r>
      <w:r>
        <w:rPr>
          <w:sz w:val="24"/>
          <w:szCs w:val="24"/>
        </w:rPr>
        <w:t xml:space="preserve">, and autobiographical self-presentation: narratively undeveloped, but rooted in the </w:t>
      </w:r>
      <w:r w:rsidRPr="0052488F">
        <w:rPr>
          <w:sz w:val="24"/>
          <w:szCs w:val="24"/>
        </w:rPr>
        <w:t>assertion of character and worth on the evidence of specific behaviour and actions.</w:t>
      </w:r>
    </w:p>
    <w:p w:rsidR="00CE32A3" w:rsidRPr="00FA73F6" w:rsidRDefault="00CE32A3" w:rsidP="00992714">
      <w:pPr>
        <w:tabs>
          <w:tab w:val="left" w:pos="567"/>
        </w:tabs>
        <w:spacing w:line="360" w:lineRule="auto"/>
        <w:contextualSpacing/>
        <w:rPr>
          <w:color w:val="008000"/>
          <w:sz w:val="24"/>
          <w:szCs w:val="24"/>
        </w:rPr>
      </w:pPr>
      <w:r w:rsidRPr="0052488F">
        <w:rPr>
          <w:sz w:val="24"/>
          <w:szCs w:val="24"/>
        </w:rPr>
        <w:tab/>
        <w:t xml:space="preserve">The Egyptian verb which seems most obviously to convey a sense of narration is </w:t>
      </w:r>
      <w:proofErr w:type="spellStart"/>
      <w:r w:rsidRPr="0052488F">
        <w:rPr>
          <w:rFonts w:ascii="Trlit_CG Times" w:hAnsi="Trlit_CG Times"/>
          <w:sz w:val="24"/>
          <w:szCs w:val="24"/>
        </w:rPr>
        <w:t>sDd</w:t>
      </w:r>
      <w:proofErr w:type="spellEnd"/>
      <w:r w:rsidRPr="0052488F">
        <w:rPr>
          <w:sz w:val="24"/>
          <w:szCs w:val="24"/>
        </w:rPr>
        <w:t xml:space="preserve">, most obviously at the beginning of the Story of the Shipwrecked Sailor, where he declares that </w:t>
      </w:r>
      <w:r>
        <w:rPr>
          <w:sz w:val="24"/>
          <w:szCs w:val="24"/>
        </w:rPr>
        <w:t xml:space="preserve">“I </w:t>
      </w:r>
      <w:r w:rsidRPr="0052488F">
        <w:rPr>
          <w:sz w:val="24"/>
          <w:szCs w:val="24"/>
        </w:rPr>
        <w:t>will</w:t>
      </w:r>
      <w:r>
        <w:rPr>
          <w:sz w:val="24"/>
          <w:szCs w:val="24"/>
        </w:rPr>
        <w:t xml:space="preserve"> then</w:t>
      </w:r>
      <w:r w:rsidRPr="0052488F">
        <w:rPr>
          <w:sz w:val="24"/>
          <w:szCs w:val="24"/>
        </w:rPr>
        <w:t xml:space="preserve"> </w:t>
      </w:r>
      <w:proofErr w:type="spellStart"/>
      <w:r w:rsidRPr="0052488F">
        <w:rPr>
          <w:rFonts w:ascii="Trlit_CG Times" w:hAnsi="Trlit_CG Times"/>
          <w:sz w:val="24"/>
          <w:szCs w:val="24"/>
        </w:rPr>
        <w:t>sDd</w:t>
      </w:r>
      <w:proofErr w:type="spellEnd"/>
      <w:r w:rsidRPr="0052488F">
        <w:rPr>
          <w:sz w:val="24"/>
          <w:szCs w:val="24"/>
        </w:rPr>
        <w:t xml:space="preserve"> </w:t>
      </w:r>
      <w:r>
        <w:rPr>
          <w:sz w:val="24"/>
          <w:szCs w:val="24"/>
        </w:rPr>
        <w:t xml:space="preserve">to you </w:t>
      </w:r>
      <w:r w:rsidRPr="0052488F">
        <w:rPr>
          <w:sz w:val="24"/>
          <w:szCs w:val="24"/>
        </w:rPr>
        <w:t xml:space="preserve">a comparable set of events that happened to </w:t>
      </w:r>
      <w:r>
        <w:rPr>
          <w:sz w:val="24"/>
          <w:szCs w:val="24"/>
        </w:rPr>
        <w:t xml:space="preserve">me personally”: a play on the denial of </w:t>
      </w:r>
      <w:proofErr w:type="spellStart"/>
      <w:r>
        <w:rPr>
          <w:sz w:val="24"/>
          <w:szCs w:val="24"/>
        </w:rPr>
        <w:t>fictionality</w:t>
      </w:r>
      <w:proofErr w:type="spellEnd"/>
      <w:r w:rsidRPr="0052488F">
        <w:rPr>
          <w:rStyle w:val="FootnoteReference"/>
          <w:sz w:val="24"/>
          <w:szCs w:val="24"/>
        </w:rPr>
        <w:footnoteReference w:id="37"/>
      </w:r>
      <w:r>
        <w:rPr>
          <w:sz w:val="24"/>
          <w:szCs w:val="24"/>
        </w:rPr>
        <w:t>.</w:t>
      </w:r>
      <w:r w:rsidRPr="0052488F">
        <w:rPr>
          <w:sz w:val="24"/>
          <w:szCs w:val="24"/>
        </w:rPr>
        <w:t xml:space="preserve"> Or in a Middle Kingdom stela which invokes its </w:t>
      </w:r>
      <w:proofErr w:type="gramStart"/>
      <w:r w:rsidRPr="0052488F">
        <w:rPr>
          <w:sz w:val="24"/>
          <w:szCs w:val="24"/>
        </w:rPr>
        <w:t>readers</w:t>
      </w:r>
      <w:proofErr w:type="gramEnd"/>
      <w:r w:rsidRPr="0052488F">
        <w:rPr>
          <w:sz w:val="24"/>
          <w:szCs w:val="24"/>
        </w:rPr>
        <w:t xml:space="preserve"> expectations, that on return home, “You shall </w:t>
      </w:r>
      <w:proofErr w:type="spellStart"/>
      <w:r w:rsidRPr="0052488F">
        <w:rPr>
          <w:rFonts w:ascii="Trlit_CG Times" w:hAnsi="Trlit_CG Times"/>
          <w:sz w:val="24"/>
          <w:szCs w:val="24"/>
        </w:rPr>
        <w:t>sDd</w:t>
      </w:r>
      <w:proofErr w:type="spellEnd"/>
      <w:r w:rsidRPr="0052488F">
        <w:rPr>
          <w:sz w:val="24"/>
          <w:szCs w:val="24"/>
        </w:rPr>
        <w:t xml:space="preserve"> your travels to your wives”</w:t>
      </w:r>
      <w:r w:rsidRPr="0052488F">
        <w:rPr>
          <w:rStyle w:val="FootnoteReference"/>
          <w:sz w:val="24"/>
          <w:szCs w:val="24"/>
        </w:rPr>
        <w:footnoteReference w:id="38"/>
      </w:r>
      <w:r w:rsidRPr="0052488F">
        <w:rPr>
          <w:sz w:val="24"/>
          <w:szCs w:val="24"/>
        </w:rPr>
        <w:t xml:space="preserve">. The root sense seems to be oral communication, not limited to narrative as a genre, but </w:t>
      </w:r>
      <w:r>
        <w:rPr>
          <w:sz w:val="24"/>
          <w:szCs w:val="24"/>
        </w:rPr>
        <w:t>normally focussed on the oral presentation to an audience</w:t>
      </w:r>
      <w:r>
        <w:rPr>
          <w:rStyle w:val="FootnoteReference"/>
          <w:sz w:val="24"/>
          <w:szCs w:val="24"/>
        </w:rPr>
        <w:footnoteReference w:id="39"/>
      </w:r>
      <w:r>
        <w:rPr>
          <w:sz w:val="24"/>
          <w:szCs w:val="24"/>
        </w:rPr>
        <w:t xml:space="preserve">, when the performance of song and story-telling can overlap. </w:t>
      </w:r>
      <w:r w:rsidRPr="0052488F">
        <w:rPr>
          <w:sz w:val="24"/>
          <w:szCs w:val="24"/>
        </w:rPr>
        <w:t xml:space="preserve">Characteristic of the New Kingdom is its use in the phrases </w:t>
      </w:r>
      <w:proofErr w:type="spellStart"/>
      <w:r w:rsidRPr="0052488F">
        <w:rPr>
          <w:rFonts w:ascii="Trlit_CG Times" w:hAnsi="Trlit_CG Times"/>
          <w:sz w:val="24"/>
          <w:szCs w:val="24"/>
        </w:rPr>
        <w:t>sDd</w:t>
      </w:r>
      <w:proofErr w:type="spellEnd"/>
      <w:r w:rsidRPr="0052488F">
        <w:rPr>
          <w:rFonts w:ascii="Trlit_CG Times" w:hAnsi="Trlit_CG Times"/>
          <w:sz w:val="24"/>
          <w:szCs w:val="24"/>
        </w:rPr>
        <w:t xml:space="preserve"> </w:t>
      </w:r>
      <w:proofErr w:type="spellStart"/>
      <w:r w:rsidRPr="0052488F">
        <w:rPr>
          <w:rFonts w:ascii="Trlit_CG Times" w:hAnsi="Trlit_CG Times"/>
          <w:sz w:val="24"/>
          <w:szCs w:val="24"/>
        </w:rPr>
        <w:t>nxtw</w:t>
      </w:r>
      <w:proofErr w:type="spellEnd"/>
      <w:r w:rsidRPr="0052488F">
        <w:rPr>
          <w:sz w:val="24"/>
          <w:szCs w:val="24"/>
        </w:rPr>
        <w:t xml:space="preserve"> and </w:t>
      </w:r>
      <w:proofErr w:type="spellStart"/>
      <w:r w:rsidRPr="0052488F">
        <w:rPr>
          <w:rFonts w:ascii="Trlit_CG Times" w:hAnsi="Trlit_CG Times"/>
          <w:sz w:val="24"/>
          <w:szCs w:val="24"/>
        </w:rPr>
        <w:t>sDd</w:t>
      </w:r>
      <w:proofErr w:type="spellEnd"/>
      <w:r w:rsidRPr="0052488F">
        <w:rPr>
          <w:rFonts w:ascii="Trlit_CG Times" w:hAnsi="Trlit_CG Times"/>
          <w:sz w:val="24"/>
          <w:szCs w:val="24"/>
        </w:rPr>
        <w:t xml:space="preserve"> </w:t>
      </w:r>
      <w:proofErr w:type="spellStart"/>
      <w:r w:rsidRPr="0052488F">
        <w:rPr>
          <w:rFonts w:ascii="Trlit_CG Times" w:hAnsi="Trlit_CG Times"/>
          <w:sz w:val="24"/>
          <w:szCs w:val="24"/>
        </w:rPr>
        <w:t>bAw</w:t>
      </w:r>
      <w:proofErr w:type="spellEnd"/>
      <w:r w:rsidRPr="0052488F">
        <w:rPr>
          <w:sz w:val="24"/>
          <w:szCs w:val="24"/>
        </w:rPr>
        <w:t>: communicating specific episodes of royal and divine success and intervention,</w:t>
      </w:r>
      <w:r>
        <w:rPr>
          <w:sz w:val="24"/>
          <w:szCs w:val="24"/>
        </w:rPr>
        <w:t xml:space="preserve"> in purposeful way,</w:t>
      </w:r>
      <w:r w:rsidRPr="0052488F">
        <w:rPr>
          <w:sz w:val="24"/>
          <w:szCs w:val="24"/>
        </w:rPr>
        <w:t xml:space="preserve"> </w:t>
      </w:r>
      <w:r w:rsidRPr="007F4EB5">
        <w:rPr>
          <w:sz w:val="24"/>
          <w:szCs w:val="24"/>
        </w:rPr>
        <w:t>using the event, experienced</w:t>
      </w:r>
      <w:r w:rsidRPr="0052488F">
        <w:rPr>
          <w:sz w:val="24"/>
          <w:szCs w:val="24"/>
        </w:rPr>
        <w:t xml:space="preserve"> and declared true, </w:t>
      </w:r>
      <w:r>
        <w:rPr>
          <w:sz w:val="24"/>
          <w:szCs w:val="24"/>
        </w:rPr>
        <w:t>to praise and to and proselytise</w:t>
      </w:r>
      <w:r w:rsidRPr="0052488F">
        <w:rPr>
          <w:sz w:val="24"/>
          <w:szCs w:val="24"/>
        </w:rPr>
        <w:t xml:space="preserve"> for the king or god</w:t>
      </w:r>
      <w:r w:rsidRPr="0052488F">
        <w:rPr>
          <w:rStyle w:val="FootnoteReference"/>
          <w:sz w:val="24"/>
          <w:szCs w:val="24"/>
        </w:rPr>
        <w:footnoteReference w:id="40"/>
      </w:r>
      <w:r>
        <w:rPr>
          <w:sz w:val="24"/>
          <w:szCs w:val="24"/>
        </w:rPr>
        <w:t>. In these contexts, eulogy and royal or autobiographical narrative are essentially inseparable, both in purpose and presumably in occasion for performance as for publication in text</w:t>
      </w:r>
      <w:r>
        <w:rPr>
          <w:rStyle w:val="FootnoteReference"/>
          <w:sz w:val="24"/>
          <w:szCs w:val="24"/>
        </w:rPr>
        <w:footnoteReference w:id="41"/>
      </w:r>
      <w:r>
        <w:rPr>
          <w:sz w:val="24"/>
          <w:szCs w:val="24"/>
        </w:rPr>
        <w:t xml:space="preserve">. </w:t>
      </w:r>
    </w:p>
    <w:p w:rsidR="00CE32A3" w:rsidRDefault="00CE32A3" w:rsidP="00992714">
      <w:pPr>
        <w:tabs>
          <w:tab w:val="left" w:pos="567"/>
        </w:tabs>
        <w:spacing w:line="360" w:lineRule="auto"/>
        <w:contextualSpacing/>
        <w:rPr>
          <w:sz w:val="24"/>
          <w:szCs w:val="24"/>
        </w:rPr>
      </w:pPr>
      <w:r>
        <w:rPr>
          <w:sz w:val="24"/>
          <w:szCs w:val="24"/>
          <w:lang w:eastAsia="en-GB"/>
        </w:rPr>
        <w:tab/>
      </w:r>
      <w:r w:rsidRPr="00C815F1">
        <w:rPr>
          <w:sz w:val="24"/>
          <w:szCs w:val="24"/>
          <w:lang w:eastAsia="en-GB"/>
        </w:rPr>
        <w:t xml:space="preserve">Episodic structure is a key compositional technique in </w:t>
      </w:r>
      <w:proofErr w:type="spellStart"/>
      <w:r>
        <w:rPr>
          <w:sz w:val="24"/>
          <w:szCs w:val="24"/>
          <w:lang w:eastAsia="en-GB"/>
        </w:rPr>
        <w:t>Ramesside</w:t>
      </w:r>
      <w:proofErr w:type="spellEnd"/>
      <w:r w:rsidRPr="00C815F1">
        <w:rPr>
          <w:sz w:val="24"/>
          <w:szCs w:val="24"/>
          <w:lang w:eastAsia="en-GB"/>
        </w:rPr>
        <w:t xml:space="preserve"> literary </w:t>
      </w:r>
      <w:r>
        <w:rPr>
          <w:sz w:val="24"/>
          <w:szCs w:val="24"/>
          <w:lang w:eastAsia="en-GB"/>
        </w:rPr>
        <w:t>narrative on papyrus</w:t>
      </w:r>
      <w:r w:rsidRPr="00C815F1">
        <w:rPr>
          <w:sz w:val="24"/>
          <w:szCs w:val="24"/>
          <w:lang w:eastAsia="en-GB"/>
        </w:rPr>
        <w:t>: each episode about a page long</w:t>
      </w:r>
      <w:r>
        <w:rPr>
          <w:sz w:val="24"/>
          <w:szCs w:val="24"/>
          <w:lang w:eastAsia="en-GB"/>
        </w:rPr>
        <w:t>. This is reinforced by significant repetition, giving structure. This includes both repetitions</w:t>
      </w:r>
      <w:r w:rsidRPr="00C815F1">
        <w:rPr>
          <w:sz w:val="24"/>
          <w:szCs w:val="24"/>
          <w:lang w:eastAsia="en-GB"/>
        </w:rPr>
        <w:t xml:space="preserve"> of content</w:t>
      </w:r>
      <w:r>
        <w:rPr>
          <w:sz w:val="24"/>
          <w:szCs w:val="24"/>
          <w:lang w:eastAsia="en-GB"/>
        </w:rPr>
        <w:t xml:space="preserve"> and the use of</w:t>
      </w:r>
      <w:r w:rsidRPr="00C815F1">
        <w:rPr>
          <w:sz w:val="24"/>
          <w:szCs w:val="24"/>
          <w:lang w:eastAsia="en-GB"/>
        </w:rPr>
        <w:t xml:space="preserve"> attention-collecting formulae</w:t>
      </w:r>
      <w:r>
        <w:rPr>
          <w:sz w:val="24"/>
          <w:szCs w:val="24"/>
          <w:lang w:eastAsia="en-GB"/>
        </w:rPr>
        <w:t>,</w:t>
      </w:r>
      <w:r w:rsidRPr="00C815F1">
        <w:rPr>
          <w:sz w:val="24"/>
          <w:szCs w:val="24"/>
          <w:lang w:eastAsia="en-GB"/>
        </w:rPr>
        <w:t xml:space="preserve"> like </w:t>
      </w:r>
      <w:proofErr w:type="spellStart"/>
      <w:r w:rsidRPr="00C815F1">
        <w:rPr>
          <w:rFonts w:ascii="Trlit_CG Times" w:hAnsi="Trlit_CG Times"/>
          <w:sz w:val="24"/>
          <w:szCs w:val="24"/>
          <w:lang w:eastAsia="en-GB"/>
        </w:rPr>
        <w:t>xr</w:t>
      </w:r>
      <w:proofErr w:type="spellEnd"/>
      <w:r w:rsidRPr="00C815F1">
        <w:rPr>
          <w:rFonts w:ascii="Trlit_CG Times" w:hAnsi="Trlit_CG Times"/>
          <w:sz w:val="24"/>
          <w:szCs w:val="24"/>
          <w:lang w:eastAsia="en-GB"/>
        </w:rPr>
        <w:t xml:space="preserve"> </w:t>
      </w:r>
      <w:proofErr w:type="spellStart"/>
      <w:r w:rsidRPr="00C815F1">
        <w:rPr>
          <w:rFonts w:ascii="Trlit_CG Times" w:hAnsi="Trlit_CG Times"/>
          <w:sz w:val="24"/>
          <w:szCs w:val="24"/>
          <w:lang w:eastAsia="en-GB"/>
        </w:rPr>
        <w:t>ir</w:t>
      </w:r>
      <w:proofErr w:type="spellEnd"/>
      <w:r w:rsidRPr="00C815F1">
        <w:rPr>
          <w:rFonts w:ascii="Trlit_CG Times" w:hAnsi="Trlit_CG Times"/>
          <w:sz w:val="24"/>
          <w:szCs w:val="24"/>
          <w:lang w:eastAsia="en-GB"/>
        </w:rPr>
        <w:t xml:space="preserve"> </w:t>
      </w:r>
      <w:proofErr w:type="spellStart"/>
      <w:r w:rsidRPr="00C815F1">
        <w:rPr>
          <w:rFonts w:ascii="Trlit_CG Times" w:hAnsi="Trlit_CG Times"/>
          <w:sz w:val="24"/>
          <w:szCs w:val="24"/>
          <w:lang w:eastAsia="en-GB"/>
        </w:rPr>
        <w:t>hrw</w:t>
      </w:r>
      <w:proofErr w:type="spellEnd"/>
      <w:r w:rsidRPr="00C815F1">
        <w:rPr>
          <w:rFonts w:ascii="Trlit_CG Times" w:hAnsi="Trlit_CG Times"/>
          <w:sz w:val="24"/>
          <w:szCs w:val="24"/>
          <w:lang w:eastAsia="en-GB"/>
        </w:rPr>
        <w:t xml:space="preserve"> </w:t>
      </w:r>
      <w:proofErr w:type="spellStart"/>
      <w:r w:rsidRPr="00C815F1">
        <w:rPr>
          <w:rFonts w:ascii="Trlit_CG Times" w:hAnsi="Trlit_CG Times"/>
          <w:sz w:val="24"/>
          <w:szCs w:val="24"/>
          <w:lang w:eastAsia="en-GB"/>
        </w:rPr>
        <w:t>qnw</w:t>
      </w:r>
      <w:proofErr w:type="spellEnd"/>
      <w:r w:rsidRPr="00C815F1">
        <w:rPr>
          <w:rFonts w:ascii="Trlit_CG Times" w:hAnsi="Trlit_CG Times"/>
          <w:sz w:val="24"/>
          <w:szCs w:val="24"/>
          <w:lang w:eastAsia="en-GB"/>
        </w:rPr>
        <w:t xml:space="preserve"> Hr-</w:t>
      </w:r>
      <w:proofErr w:type="spellStart"/>
      <w:r w:rsidRPr="00C815F1">
        <w:rPr>
          <w:rFonts w:ascii="Trlit_CG Times" w:hAnsi="Trlit_CG Times"/>
          <w:sz w:val="24"/>
          <w:szCs w:val="24"/>
          <w:lang w:eastAsia="en-GB"/>
        </w:rPr>
        <w:t>sA</w:t>
      </w:r>
      <w:proofErr w:type="spellEnd"/>
      <w:r w:rsidRPr="00C815F1">
        <w:rPr>
          <w:rFonts w:ascii="Trlit_CG Times" w:hAnsi="Trlit_CG Times"/>
          <w:sz w:val="24"/>
          <w:szCs w:val="24"/>
          <w:lang w:eastAsia="en-GB"/>
        </w:rPr>
        <w:t xml:space="preserve"> </w:t>
      </w:r>
      <w:proofErr w:type="spellStart"/>
      <w:r w:rsidRPr="00C815F1">
        <w:rPr>
          <w:rFonts w:ascii="Trlit_CG Times" w:hAnsi="Trlit_CG Times"/>
          <w:sz w:val="24"/>
          <w:szCs w:val="24"/>
          <w:lang w:eastAsia="en-GB"/>
        </w:rPr>
        <w:t>nn</w:t>
      </w:r>
      <w:proofErr w:type="spellEnd"/>
      <w:r>
        <w:rPr>
          <w:sz w:val="24"/>
          <w:szCs w:val="24"/>
          <w:lang w:eastAsia="en-GB"/>
        </w:rPr>
        <w:t xml:space="preserve">, ‘And so many days after this’: a phrase which is not literal in its time reference, but in practice is used to in the sense ‘And so later’, or ‘And so then’. These </w:t>
      </w:r>
      <w:r w:rsidRPr="00C815F1">
        <w:rPr>
          <w:sz w:val="24"/>
          <w:szCs w:val="24"/>
          <w:lang w:eastAsia="en-GB"/>
        </w:rPr>
        <w:t xml:space="preserve">are not </w:t>
      </w:r>
      <w:r>
        <w:rPr>
          <w:sz w:val="24"/>
          <w:szCs w:val="24"/>
          <w:lang w:eastAsia="en-GB"/>
        </w:rPr>
        <w:t xml:space="preserve">themselves section-beginning phrases: not paragraph marking as such, </w:t>
      </w:r>
      <w:r w:rsidRPr="00C815F1">
        <w:rPr>
          <w:sz w:val="24"/>
          <w:szCs w:val="24"/>
          <w:lang w:eastAsia="en-GB"/>
        </w:rPr>
        <w:t xml:space="preserve">but </w:t>
      </w:r>
      <w:r>
        <w:rPr>
          <w:sz w:val="24"/>
          <w:szCs w:val="24"/>
          <w:lang w:eastAsia="en-GB"/>
        </w:rPr>
        <w:t xml:space="preserve">rather </w:t>
      </w:r>
      <w:r w:rsidRPr="00C815F1">
        <w:rPr>
          <w:sz w:val="24"/>
          <w:szCs w:val="24"/>
          <w:lang w:eastAsia="en-GB"/>
        </w:rPr>
        <w:t>attention</w:t>
      </w:r>
      <w:r>
        <w:rPr>
          <w:sz w:val="24"/>
          <w:szCs w:val="24"/>
          <w:lang w:eastAsia="en-GB"/>
        </w:rPr>
        <w:t xml:space="preserve"> catching formulae. I take them</w:t>
      </w:r>
      <w:r w:rsidRPr="00C815F1">
        <w:rPr>
          <w:sz w:val="24"/>
          <w:szCs w:val="24"/>
          <w:lang w:eastAsia="en-GB"/>
        </w:rPr>
        <w:t xml:space="preserve"> to be features of </w:t>
      </w:r>
      <w:proofErr w:type="spellStart"/>
      <w:r w:rsidRPr="00C815F1">
        <w:rPr>
          <w:sz w:val="24"/>
          <w:szCs w:val="24"/>
          <w:lang w:eastAsia="en-GB"/>
        </w:rPr>
        <w:t>recitational</w:t>
      </w:r>
      <w:proofErr w:type="spellEnd"/>
      <w:r w:rsidRPr="00C815F1">
        <w:rPr>
          <w:sz w:val="24"/>
          <w:szCs w:val="24"/>
          <w:lang w:eastAsia="en-GB"/>
        </w:rPr>
        <w:t xml:space="preserve"> performance, not narrative structure</w:t>
      </w:r>
      <w:r>
        <w:rPr>
          <w:sz w:val="24"/>
          <w:szCs w:val="24"/>
          <w:lang w:eastAsia="en-GB"/>
        </w:rPr>
        <w:t xml:space="preserve">. </w:t>
      </w:r>
      <w:r>
        <w:rPr>
          <w:sz w:val="24"/>
          <w:szCs w:val="24"/>
        </w:rPr>
        <w:t>It is</w:t>
      </w:r>
      <w:r w:rsidRPr="00C815F1">
        <w:rPr>
          <w:sz w:val="24"/>
          <w:szCs w:val="24"/>
        </w:rPr>
        <w:t xml:space="preserve">, however, </w:t>
      </w:r>
      <w:r>
        <w:rPr>
          <w:sz w:val="24"/>
          <w:szCs w:val="24"/>
        </w:rPr>
        <w:t xml:space="preserve">such features of </w:t>
      </w:r>
      <w:r w:rsidRPr="00C815F1">
        <w:rPr>
          <w:sz w:val="24"/>
          <w:szCs w:val="24"/>
        </w:rPr>
        <w:t xml:space="preserve">format and </w:t>
      </w:r>
      <w:r>
        <w:rPr>
          <w:sz w:val="24"/>
          <w:szCs w:val="24"/>
        </w:rPr>
        <w:t>structure</w:t>
      </w:r>
      <w:r w:rsidRPr="00C815F1">
        <w:rPr>
          <w:sz w:val="24"/>
          <w:szCs w:val="24"/>
        </w:rPr>
        <w:t xml:space="preserve"> of the text</w:t>
      </w:r>
      <w:r>
        <w:rPr>
          <w:sz w:val="24"/>
          <w:szCs w:val="24"/>
        </w:rPr>
        <w:t xml:space="preserve">, as well as linguistic register and </w:t>
      </w:r>
      <w:r>
        <w:rPr>
          <w:sz w:val="24"/>
          <w:szCs w:val="24"/>
        </w:rPr>
        <w:lastRenderedPageBreak/>
        <w:t>content, which</w:t>
      </w:r>
      <w:r w:rsidRPr="00C815F1">
        <w:rPr>
          <w:sz w:val="24"/>
          <w:szCs w:val="24"/>
        </w:rPr>
        <w:t xml:space="preserve"> provide the only direct evidence for the target audience or public</w:t>
      </w:r>
      <w:r w:rsidRPr="00C815F1">
        <w:rPr>
          <w:rStyle w:val="FootnoteReference"/>
          <w:sz w:val="24"/>
          <w:szCs w:val="24"/>
        </w:rPr>
        <w:footnoteReference w:id="42"/>
      </w:r>
      <w:r>
        <w:rPr>
          <w:sz w:val="24"/>
          <w:szCs w:val="24"/>
        </w:rPr>
        <w:t>.</w:t>
      </w:r>
      <w:r w:rsidRPr="00C815F1">
        <w:rPr>
          <w:sz w:val="24"/>
          <w:szCs w:val="24"/>
        </w:rPr>
        <w:t xml:space="preserve"> The differences between inscription and papyrus </w:t>
      </w:r>
      <w:r>
        <w:rPr>
          <w:sz w:val="24"/>
          <w:szCs w:val="24"/>
        </w:rPr>
        <w:t xml:space="preserve">go deeper than contrasts of </w:t>
      </w:r>
      <w:r w:rsidRPr="00C815F1">
        <w:rPr>
          <w:sz w:val="24"/>
          <w:szCs w:val="24"/>
        </w:rPr>
        <w:t>linguistic register.</w:t>
      </w:r>
    </w:p>
    <w:p w:rsidR="00CE32A3" w:rsidRDefault="00CE32A3" w:rsidP="00992714">
      <w:pPr>
        <w:tabs>
          <w:tab w:val="left" w:pos="567"/>
        </w:tabs>
        <w:spacing w:line="360" w:lineRule="auto"/>
        <w:contextualSpacing/>
        <w:rPr>
          <w:sz w:val="24"/>
          <w:szCs w:val="24"/>
        </w:rPr>
      </w:pPr>
    </w:p>
    <w:p w:rsidR="00CE32A3" w:rsidRDefault="00CE32A3" w:rsidP="00992714">
      <w:pPr>
        <w:tabs>
          <w:tab w:val="left" w:pos="567"/>
        </w:tabs>
        <w:spacing w:line="360" w:lineRule="auto"/>
        <w:contextualSpacing/>
        <w:rPr>
          <w:sz w:val="24"/>
          <w:szCs w:val="24"/>
        </w:rPr>
      </w:pPr>
      <w:r w:rsidRPr="00937CE7">
        <w:rPr>
          <w:sz w:val="24"/>
          <w:szCs w:val="24"/>
        </w:rPr>
        <w:t>Papyri and inscription</w:t>
      </w:r>
    </w:p>
    <w:p w:rsidR="00CE32A3" w:rsidRPr="00937CE7" w:rsidRDefault="00CE32A3" w:rsidP="00992714">
      <w:pPr>
        <w:tabs>
          <w:tab w:val="left" w:pos="567"/>
        </w:tabs>
        <w:spacing w:line="360" w:lineRule="auto"/>
        <w:contextualSpacing/>
        <w:rPr>
          <w:color w:val="0070C0"/>
          <w:sz w:val="24"/>
          <w:szCs w:val="24"/>
          <w:lang w:eastAsia="en-GB"/>
        </w:rPr>
      </w:pPr>
    </w:p>
    <w:p w:rsidR="00CE32A3" w:rsidRDefault="00CE32A3" w:rsidP="00992714">
      <w:pPr>
        <w:tabs>
          <w:tab w:val="left" w:pos="567"/>
        </w:tabs>
        <w:spacing w:line="360" w:lineRule="auto"/>
        <w:contextualSpacing/>
        <w:rPr>
          <w:sz w:val="24"/>
          <w:szCs w:val="24"/>
          <w:lang w:eastAsia="en-GB"/>
        </w:rPr>
      </w:pPr>
      <w:r>
        <w:rPr>
          <w:sz w:val="24"/>
          <w:szCs w:val="24"/>
          <w:lang w:eastAsia="en-GB"/>
        </w:rPr>
        <w:t>I</w:t>
      </w:r>
      <w:r w:rsidRPr="00955ACF">
        <w:rPr>
          <w:sz w:val="24"/>
          <w:szCs w:val="24"/>
          <w:lang w:eastAsia="en-GB"/>
        </w:rPr>
        <w:t>nscribed narrative</w:t>
      </w:r>
      <w:r>
        <w:rPr>
          <w:sz w:val="24"/>
          <w:szCs w:val="24"/>
          <w:lang w:eastAsia="en-GB"/>
        </w:rPr>
        <w:t xml:space="preserve">, royal and private, </w:t>
      </w:r>
      <w:r w:rsidRPr="00955ACF">
        <w:rPr>
          <w:sz w:val="24"/>
          <w:szCs w:val="24"/>
          <w:lang w:eastAsia="en-GB"/>
        </w:rPr>
        <w:t xml:space="preserve">is explicitly purposeful, providing forms of written evidence that are propagandistic, in the sense of </w:t>
      </w:r>
      <w:r>
        <w:rPr>
          <w:sz w:val="24"/>
          <w:szCs w:val="24"/>
          <w:lang w:eastAsia="en-GB"/>
        </w:rPr>
        <w:t>praise and (self-</w:t>
      </w:r>
      <w:proofErr w:type="gramStart"/>
      <w:r>
        <w:rPr>
          <w:sz w:val="24"/>
          <w:szCs w:val="24"/>
          <w:lang w:eastAsia="en-GB"/>
        </w:rPr>
        <w:t>)justification</w:t>
      </w:r>
      <w:proofErr w:type="gramEnd"/>
      <w:r>
        <w:rPr>
          <w:sz w:val="24"/>
          <w:szCs w:val="24"/>
          <w:lang w:eastAsia="en-GB"/>
        </w:rPr>
        <w:t xml:space="preserve">. Inscribing the event – putting it into </w:t>
      </w:r>
      <w:r w:rsidRPr="00955ACF">
        <w:rPr>
          <w:sz w:val="24"/>
          <w:szCs w:val="24"/>
          <w:lang w:eastAsia="en-GB"/>
        </w:rPr>
        <w:t>writing</w:t>
      </w:r>
      <w:r>
        <w:rPr>
          <w:sz w:val="24"/>
          <w:szCs w:val="24"/>
          <w:lang w:eastAsia="en-GB"/>
        </w:rPr>
        <w:t xml:space="preserve"> – gives a documentary</w:t>
      </w:r>
      <w:r w:rsidRPr="00955ACF">
        <w:rPr>
          <w:sz w:val="24"/>
          <w:szCs w:val="24"/>
          <w:lang w:eastAsia="en-GB"/>
        </w:rPr>
        <w:t xml:space="preserve"> authority</w:t>
      </w:r>
      <w:r>
        <w:rPr>
          <w:sz w:val="24"/>
          <w:szCs w:val="24"/>
          <w:lang w:eastAsia="en-GB"/>
        </w:rPr>
        <w:t>.</w:t>
      </w:r>
      <w:r w:rsidRPr="00955ACF">
        <w:rPr>
          <w:sz w:val="24"/>
          <w:szCs w:val="24"/>
          <w:lang w:eastAsia="en-GB"/>
        </w:rPr>
        <w:t xml:space="preserve"> </w:t>
      </w:r>
      <w:r>
        <w:rPr>
          <w:sz w:val="24"/>
          <w:szCs w:val="24"/>
          <w:lang w:eastAsia="en-GB"/>
        </w:rPr>
        <w:t>Typically presented as a</w:t>
      </w:r>
      <w:r w:rsidRPr="000C4607">
        <w:rPr>
          <w:sz w:val="24"/>
          <w:szCs w:val="24"/>
          <w:lang w:eastAsia="en-GB"/>
        </w:rPr>
        <w:t xml:space="preserve"> </w:t>
      </w:r>
      <w:r>
        <w:rPr>
          <w:sz w:val="24"/>
          <w:szCs w:val="24"/>
          <w:lang w:eastAsia="en-GB"/>
        </w:rPr>
        <w:t xml:space="preserve">reified performance, non-fictional, and with a marked public audience, royal and private narrative self-presentation stands in marked contrast to papyrus literature, which can include idle story-telling and explicit markers of </w:t>
      </w:r>
      <w:proofErr w:type="spellStart"/>
      <w:r>
        <w:rPr>
          <w:sz w:val="24"/>
          <w:szCs w:val="24"/>
          <w:lang w:eastAsia="en-GB"/>
        </w:rPr>
        <w:t>fictionality</w:t>
      </w:r>
      <w:proofErr w:type="spellEnd"/>
      <w:r>
        <w:rPr>
          <w:sz w:val="24"/>
          <w:szCs w:val="24"/>
          <w:lang w:eastAsia="en-GB"/>
        </w:rPr>
        <w:t xml:space="preserve">. </w:t>
      </w:r>
      <w:r w:rsidRPr="007C7A48">
        <w:rPr>
          <w:sz w:val="24"/>
          <w:szCs w:val="24"/>
        </w:rPr>
        <w:t xml:space="preserve">Narrative inscription </w:t>
      </w:r>
      <w:r>
        <w:rPr>
          <w:sz w:val="24"/>
          <w:szCs w:val="24"/>
        </w:rPr>
        <w:t xml:space="preserve">(whether royal or individual self-presentation) </w:t>
      </w:r>
      <w:r w:rsidRPr="007C7A48">
        <w:rPr>
          <w:sz w:val="24"/>
          <w:szCs w:val="24"/>
        </w:rPr>
        <w:t xml:space="preserve">is characteristically personalised, </w:t>
      </w:r>
      <w:r>
        <w:rPr>
          <w:sz w:val="24"/>
          <w:szCs w:val="24"/>
        </w:rPr>
        <w:t xml:space="preserve">marked by its direct formal address to a public, and by its invocation of discourse </w:t>
      </w:r>
      <w:r w:rsidRPr="007C7A48">
        <w:rPr>
          <w:sz w:val="24"/>
          <w:szCs w:val="24"/>
        </w:rPr>
        <w:t>between the narrator and his public. Papyri seem more impersonal in their address</w:t>
      </w:r>
      <w:r>
        <w:rPr>
          <w:sz w:val="24"/>
          <w:szCs w:val="24"/>
        </w:rPr>
        <w:t xml:space="preserve"> to a general audience and not a specific public</w:t>
      </w:r>
      <w:r w:rsidRPr="007C7A48">
        <w:rPr>
          <w:sz w:val="24"/>
          <w:szCs w:val="24"/>
        </w:rPr>
        <w:t>, and characteristically claim written transmission</w:t>
      </w:r>
      <w:r>
        <w:rPr>
          <w:sz w:val="24"/>
          <w:szCs w:val="24"/>
        </w:rPr>
        <w:t xml:space="preserve"> by copying</w:t>
      </w:r>
      <w:r w:rsidRPr="007C7A48">
        <w:rPr>
          <w:sz w:val="24"/>
          <w:szCs w:val="24"/>
        </w:rPr>
        <w:t xml:space="preserve">. Two particular features of Egyptian narrative </w:t>
      </w:r>
      <w:r>
        <w:rPr>
          <w:sz w:val="24"/>
          <w:szCs w:val="24"/>
        </w:rPr>
        <w:t>–</w:t>
      </w:r>
      <w:r w:rsidRPr="007C7A48">
        <w:rPr>
          <w:sz w:val="24"/>
          <w:szCs w:val="24"/>
        </w:rPr>
        <w:t xml:space="preserve"> and literature as a whole </w:t>
      </w:r>
      <w:r>
        <w:rPr>
          <w:sz w:val="24"/>
          <w:szCs w:val="24"/>
        </w:rPr>
        <w:t>–</w:t>
      </w:r>
      <w:r w:rsidRPr="007C7A48">
        <w:rPr>
          <w:sz w:val="24"/>
          <w:szCs w:val="24"/>
        </w:rPr>
        <w:t xml:space="preserve"> are then directly relevant to the nature of interaction with audience or public: the episodic form of all narrative, and the highly allusive nature of the language and plot.</w:t>
      </w:r>
    </w:p>
    <w:p w:rsidR="00CE32A3" w:rsidRPr="00585B87" w:rsidRDefault="00CE32A3" w:rsidP="00992714">
      <w:pPr>
        <w:tabs>
          <w:tab w:val="left" w:pos="567"/>
        </w:tabs>
        <w:spacing w:line="360" w:lineRule="auto"/>
        <w:ind w:firstLine="720"/>
        <w:contextualSpacing/>
        <w:rPr>
          <w:sz w:val="24"/>
          <w:szCs w:val="24"/>
        </w:rPr>
      </w:pPr>
      <w:r>
        <w:rPr>
          <w:sz w:val="24"/>
          <w:szCs w:val="24"/>
          <w:lang w:eastAsia="en-GB"/>
        </w:rPr>
        <w:t xml:space="preserve">By the </w:t>
      </w:r>
      <w:proofErr w:type="spellStart"/>
      <w:r>
        <w:rPr>
          <w:sz w:val="24"/>
          <w:szCs w:val="24"/>
          <w:lang w:eastAsia="en-GB"/>
        </w:rPr>
        <w:t>Ramesside</w:t>
      </w:r>
      <w:proofErr w:type="spellEnd"/>
      <w:r>
        <w:rPr>
          <w:sz w:val="24"/>
          <w:szCs w:val="24"/>
          <w:lang w:eastAsia="en-GB"/>
        </w:rPr>
        <w:t xml:space="preserve"> P</w:t>
      </w:r>
      <w:r w:rsidRPr="000C4607">
        <w:rPr>
          <w:sz w:val="24"/>
          <w:szCs w:val="24"/>
          <w:lang w:eastAsia="en-GB"/>
        </w:rPr>
        <w:t xml:space="preserve">eriod – as in the </w:t>
      </w:r>
      <w:proofErr w:type="spellStart"/>
      <w:r w:rsidRPr="000C4607">
        <w:rPr>
          <w:sz w:val="24"/>
          <w:szCs w:val="24"/>
          <w:lang w:eastAsia="en-GB"/>
        </w:rPr>
        <w:t>Qadesh</w:t>
      </w:r>
      <w:proofErr w:type="spellEnd"/>
      <w:r w:rsidRPr="000C4607">
        <w:rPr>
          <w:sz w:val="24"/>
          <w:szCs w:val="24"/>
          <w:lang w:eastAsia="en-GB"/>
        </w:rPr>
        <w:t xml:space="preserve"> texts – the</w:t>
      </w:r>
      <w:r>
        <w:rPr>
          <w:sz w:val="24"/>
          <w:szCs w:val="24"/>
          <w:lang w:eastAsia="en-GB"/>
        </w:rPr>
        <w:t>re is a very clear</w:t>
      </w:r>
      <w:r w:rsidRPr="000C4607">
        <w:rPr>
          <w:sz w:val="24"/>
          <w:szCs w:val="24"/>
          <w:lang w:eastAsia="en-GB"/>
        </w:rPr>
        <w:t xml:space="preserve"> interaction between papyrus and monumental writing</w:t>
      </w:r>
      <w:r w:rsidRPr="000C4607">
        <w:rPr>
          <w:rStyle w:val="FootnoteReference"/>
          <w:sz w:val="24"/>
          <w:szCs w:val="24"/>
          <w:lang w:eastAsia="en-GB"/>
        </w:rPr>
        <w:footnoteReference w:id="43"/>
      </w:r>
      <w:r>
        <w:rPr>
          <w:sz w:val="24"/>
          <w:szCs w:val="24"/>
          <w:lang w:eastAsia="en-GB"/>
        </w:rPr>
        <w:t>. Howeve</w:t>
      </w:r>
      <w:r w:rsidRPr="007F4EB5">
        <w:rPr>
          <w:sz w:val="24"/>
          <w:szCs w:val="24"/>
          <w:lang w:eastAsia="en-GB"/>
        </w:rPr>
        <w:t>r,</w:t>
      </w:r>
      <w:r>
        <w:rPr>
          <w:sz w:val="24"/>
          <w:szCs w:val="24"/>
          <w:lang w:eastAsia="en-GB"/>
        </w:rPr>
        <w:t xml:space="preserve"> this direct interaction is already seen </w:t>
      </w:r>
      <w:r w:rsidRPr="000C4607">
        <w:rPr>
          <w:sz w:val="24"/>
          <w:szCs w:val="24"/>
          <w:lang w:eastAsia="en-GB"/>
        </w:rPr>
        <w:t>at the beginning of written literary narrative</w:t>
      </w:r>
      <w:r>
        <w:rPr>
          <w:sz w:val="24"/>
          <w:szCs w:val="24"/>
          <w:lang w:eastAsia="en-GB"/>
        </w:rPr>
        <w:t xml:space="preserve">. The Story of </w:t>
      </w:r>
      <w:proofErr w:type="spellStart"/>
      <w:r>
        <w:rPr>
          <w:sz w:val="24"/>
          <w:szCs w:val="24"/>
          <w:lang w:eastAsia="en-GB"/>
        </w:rPr>
        <w:t>Sinuhe</w:t>
      </w:r>
      <w:proofErr w:type="spellEnd"/>
      <w:r>
        <w:rPr>
          <w:sz w:val="24"/>
          <w:szCs w:val="24"/>
          <w:lang w:eastAsia="en-GB"/>
        </w:rPr>
        <w:t xml:space="preserve"> </w:t>
      </w:r>
      <w:r w:rsidRPr="000C4607">
        <w:rPr>
          <w:sz w:val="24"/>
          <w:szCs w:val="24"/>
          <w:lang w:eastAsia="en-GB"/>
        </w:rPr>
        <w:t>exploit</w:t>
      </w:r>
      <w:r>
        <w:rPr>
          <w:sz w:val="24"/>
          <w:szCs w:val="24"/>
          <w:lang w:eastAsia="en-GB"/>
        </w:rPr>
        <w:t>s</w:t>
      </w:r>
      <w:r w:rsidRPr="000C4607">
        <w:rPr>
          <w:sz w:val="24"/>
          <w:szCs w:val="24"/>
          <w:lang w:eastAsia="en-GB"/>
        </w:rPr>
        <w:t xml:space="preserve"> the format of inscribed autobiography, including the captioning use</w:t>
      </w:r>
      <w:r>
        <w:rPr>
          <w:sz w:val="24"/>
          <w:szCs w:val="24"/>
          <w:lang w:eastAsia="en-GB"/>
        </w:rPr>
        <w:t xml:space="preserve"> of narrative infinitives; it includes passages in the (written) format of letters; and it </w:t>
      </w:r>
      <w:r w:rsidRPr="000C4607">
        <w:rPr>
          <w:sz w:val="24"/>
          <w:szCs w:val="24"/>
          <w:lang w:eastAsia="en-GB"/>
        </w:rPr>
        <w:t xml:space="preserve">also </w:t>
      </w:r>
      <w:r>
        <w:rPr>
          <w:sz w:val="24"/>
          <w:szCs w:val="24"/>
          <w:lang w:eastAsia="en-GB"/>
        </w:rPr>
        <w:lastRenderedPageBreak/>
        <w:t xml:space="preserve">includes sections in the </w:t>
      </w:r>
      <w:proofErr w:type="spellStart"/>
      <w:r>
        <w:rPr>
          <w:sz w:val="24"/>
          <w:szCs w:val="24"/>
          <w:lang w:eastAsia="en-GB"/>
        </w:rPr>
        <w:t>recitational</w:t>
      </w:r>
      <w:proofErr w:type="spellEnd"/>
      <w:r w:rsidRPr="000C4607">
        <w:rPr>
          <w:sz w:val="24"/>
          <w:szCs w:val="24"/>
          <w:lang w:eastAsia="en-GB"/>
        </w:rPr>
        <w:t xml:space="preserve"> format of oral eulogy</w:t>
      </w:r>
      <w:r w:rsidRPr="000C4607">
        <w:rPr>
          <w:rStyle w:val="FootnoteReference"/>
          <w:sz w:val="24"/>
          <w:szCs w:val="24"/>
          <w:lang w:eastAsia="en-GB"/>
        </w:rPr>
        <w:footnoteReference w:id="44"/>
      </w:r>
      <w:r w:rsidRPr="000C4607">
        <w:rPr>
          <w:sz w:val="24"/>
          <w:szCs w:val="24"/>
          <w:lang w:eastAsia="en-GB"/>
        </w:rPr>
        <w:t xml:space="preserve">. </w:t>
      </w:r>
      <w:proofErr w:type="spellStart"/>
      <w:r w:rsidRPr="000C4607">
        <w:rPr>
          <w:sz w:val="24"/>
          <w:szCs w:val="24"/>
          <w:lang w:eastAsia="en-GB"/>
        </w:rPr>
        <w:t>Sinuhe</w:t>
      </w:r>
      <w:proofErr w:type="spellEnd"/>
      <w:r w:rsidRPr="000C4607">
        <w:rPr>
          <w:sz w:val="24"/>
          <w:szCs w:val="24"/>
          <w:lang w:eastAsia="en-GB"/>
        </w:rPr>
        <w:t xml:space="preserve"> can, at the extreme, be treated as a script for performance</w:t>
      </w:r>
      <w:r w:rsidRPr="000C4607">
        <w:rPr>
          <w:rStyle w:val="FootnoteReference"/>
          <w:sz w:val="24"/>
          <w:szCs w:val="24"/>
          <w:lang w:eastAsia="en-GB"/>
        </w:rPr>
        <w:footnoteReference w:id="45"/>
      </w:r>
      <w:r w:rsidRPr="000C4607">
        <w:rPr>
          <w:sz w:val="24"/>
          <w:szCs w:val="24"/>
          <w:lang w:eastAsia="en-GB"/>
        </w:rPr>
        <w:t>,</w:t>
      </w:r>
      <w:r>
        <w:rPr>
          <w:sz w:val="24"/>
          <w:szCs w:val="24"/>
          <w:lang w:eastAsia="en-GB"/>
        </w:rPr>
        <w:t xml:space="preserve"> but the interaction between the inscriptional – written – style of presentation, merged with the story-telling and presumably fictional genre, poses complex questions about the new habit of writing narrative on papyrus. </w:t>
      </w:r>
      <w:r w:rsidRPr="000C4607">
        <w:rPr>
          <w:sz w:val="24"/>
          <w:szCs w:val="24"/>
          <w:lang w:eastAsia="en-GB"/>
        </w:rPr>
        <w:t xml:space="preserve">There is a real issue here, of the historical sequence in which particular genres (for want of a better term) were actually written </w:t>
      </w:r>
      <w:r>
        <w:rPr>
          <w:sz w:val="24"/>
          <w:szCs w:val="24"/>
          <w:lang w:eastAsia="en-GB"/>
        </w:rPr>
        <w:t>down</w:t>
      </w:r>
      <w:r>
        <w:rPr>
          <w:rStyle w:val="FootnoteReference"/>
          <w:sz w:val="24"/>
          <w:szCs w:val="24"/>
          <w:lang w:eastAsia="en-GB"/>
        </w:rPr>
        <w:footnoteReference w:id="46"/>
      </w:r>
      <w:r>
        <w:rPr>
          <w:sz w:val="24"/>
          <w:szCs w:val="24"/>
          <w:lang w:eastAsia="en-GB"/>
        </w:rPr>
        <w:t xml:space="preserve">. The argument has been complicated by recent attempts to date much of the </w:t>
      </w:r>
      <w:r w:rsidRPr="000C4607">
        <w:rPr>
          <w:sz w:val="24"/>
          <w:szCs w:val="24"/>
          <w:lang w:eastAsia="en-GB"/>
        </w:rPr>
        <w:t xml:space="preserve">classical </w:t>
      </w:r>
      <w:r>
        <w:rPr>
          <w:sz w:val="24"/>
          <w:szCs w:val="24"/>
          <w:lang w:eastAsia="en-GB"/>
        </w:rPr>
        <w:t xml:space="preserve">corpus of Egyptian </w:t>
      </w:r>
      <w:r w:rsidRPr="000C4607">
        <w:rPr>
          <w:sz w:val="24"/>
          <w:szCs w:val="24"/>
          <w:lang w:eastAsia="en-GB"/>
        </w:rPr>
        <w:t xml:space="preserve">literature </w:t>
      </w:r>
      <w:r>
        <w:rPr>
          <w:sz w:val="24"/>
          <w:szCs w:val="24"/>
          <w:lang w:eastAsia="en-GB"/>
        </w:rPr>
        <w:t xml:space="preserve">into the 18th Dynasty, closer to the dates of the earliest surviving manuscripts. The implications are potentially very serious for the history of writing </w:t>
      </w:r>
      <w:r w:rsidRPr="000C4607">
        <w:rPr>
          <w:sz w:val="24"/>
          <w:szCs w:val="24"/>
          <w:lang w:eastAsia="en-GB"/>
        </w:rPr>
        <w:t xml:space="preserve">literature on papyrus, </w:t>
      </w:r>
      <w:r>
        <w:rPr>
          <w:sz w:val="24"/>
          <w:szCs w:val="24"/>
          <w:lang w:eastAsia="en-GB"/>
        </w:rPr>
        <w:t xml:space="preserve">implying a much slower </w:t>
      </w:r>
      <w:r w:rsidRPr="000C4607">
        <w:rPr>
          <w:sz w:val="24"/>
          <w:szCs w:val="24"/>
          <w:lang w:eastAsia="en-GB"/>
        </w:rPr>
        <w:t xml:space="preserve">establishment of </w:t>
      </w:r>
      <w:r>
        <w:rPr>
          <w:sz w:val="24"/>
          <w:szCs w:val="24"/>
          <w:lang w:eastAsia="en-GB"/>
        </w:rPr>
        <w:t xml:space="preserve">narrative as a written genre on papyrus, and giving a different focus to </w:t>
      </w:r>
      <w:r w:rsidRPr="000C4607">
        <w:rPr>
          <w:sz w:val="24"/>
          <w:szCs w:val="24"/>
          <w:lang w:eastAsia="en-GB"/>
        </w:rPr>
        <w:t xml:space="preserve">the relative lack of </w:t>
      </w:r>
      <w:r>
        <w:rPr>
          <w:sz w:val="24"/>
          <w:szCs w:val="24"/>
          <w:lang w:eastAsia="en-GB"/>
        </w:rPr>
        <w:t xml:space="preserve">inscribed </w:t>
      </w:r>
      <w:r w:rsidRPr="000C4607">
        <w:rPr>
          <w:sz w:val="24"/>
          <w:szCs w:val="24"/>
          <w:lang w:eastAsia="en-GB"/>
        </w:rPr>
        <w:t xml:space="preserve">royal narrative in the </w:t>
      </w:r>
      <w:r>
        <w:rPr>
          <w:sz w:val="24"/>
          <w:szCs w:val="24"/>
          <w:lang w:eastAsia="en-GB"/>
        </w:rPr>
        <w:t>Middle Kingdom. It remains most likely, however, that the issue is simply one of the limited physical preservation of textual material – both inscribed and cursive literary – from the Middle Kingdom</w:t>
      </w:r>
      <w:r>
        <w:rPr>
          <w:rStyle w:val="FootnoteReference"/>
          <w:sz w:val="24"/>
          <w:szCs w:val="24"/>
          <w:lang w:eastAsia="en-GB"/>
        </w:rPr>
        <w:footnoteReference w:id="47"/>
      </w:r>
      <w:r>
        <w:rPr>
          <w:sz w:val="24"/>
          <w:szCs w:val="24"/>
          <w:lang w:eastAsia="en-GB"/>
        </w:rPr>
        <w:t xml:space="preserve">. </w:t>
      </w:r>
      <w:r>
        <w:rPr>
          <w:sz w:val="24"/>
          <w:szCs w:val="24"/>
        </w:rPr>
        <w:t>The</w:t>
      </w:r>
      <w:r w:rsidRPr="00C815F1">
        <w:rPr>
          <w:sz w:val="24"/>
          <w:szCs w:val="24"/>
        </w:rPr>
        <w:t xml:space="preserve"> roots of written literature </w:t>
      </w:r>
      <w:r>
        <w:rPr>
          <w:sz w:val="24"/>
          <w:szCs w:val="24"/>
        </w:rPr>
        <w:t xml:space="preserve">clearly </w:t>
      </w:r>
      <w:r w:rsidRPr="00C815F1">
        <w:rPr>
          <w:sz w:val="24"/>
          <w:szCs w:val="24"/>
        </w:rPr>
        <w:t>lie</w:t>
      </w:r>
      <w:r>
        <w:rPr>
          <w:sz w:val="24"/>
          <w:szCs w:val="24"/>
        </w:rPr>
        <w:t>, however,</w:t>
      </w:r>
      <w:r w:rsidRPr="00C815F1">
        <w:rPr>
          <w:sz w:val="24"/>
          <w:szCs w:val="24"/>
        </w:rPr>
        <w:t xml:space="preserve"> in </w:t>
      </w:r>
      <w:r>
        <w:rPr>
          <w:sz w:val="24"/>
          <w:szCs w:val="24"/>
        </w:rPr>
        <w:t xml:space="preserve">the history of the </w:t>
      </w:r>
      <w:r w:rsidRPr="00C815F1">
        <w:rPr>
          <w:sz w:val="24"/>
          <w:szCs w:val="24"/>
        </w:rPr>
        <w:t xml:space="preserve">practice </w:t>
      </w:r>
      <w:r>
        <w:rPr>
          <w:sz w:val="24"/>
          <w:szCs w:val="24"/>
        </w:rPr>
        <w:t xml:space="preserve">of writing: the </w:t>
      </w:r>
      <w:r w:rsidRPr="00C815F1">
        <w:rPr>
          <w:sz w:val="24"/>
          <w:szCs w:val="24"/>
        </w:rPr>
        <w:t>extension of what was written down</w:t>
      </w:r>
      <w:r>
        <w:rPr>
          <w:sz w:val="24"/>
          <w:szCs w:val="24"/>
          <w:lang w:eastAsia="en-GB"/>
        </w:rPr>
        <w:t xml:space="preserve">, through </w:t>
      </w:r>
      <w:r w:rsidRPr="00C815F1">
        <w:rPr>
          <w:sz w:val="24"/>
          <w:szCs w:val="24"/>
        </w:rPr>
        <w:t>culturally embedded extension</w:t>
      </w:r>
      <w:r>
        <w:rPr>
          <w:sz w:val="24"/>
          <w:szCs w:val="24"/>
        </w:rPr>
        <w:t xml:space="preserve">s of the use of writing – simply writing more, and more varied texts – rather than a series of </w:t>
      </w:r>
      <w:r w:rsidRPr="00C815F1">
        <w:rPr>
          <w:sz w:val="24"/>
          <w:szCs w:val="24"/>
        </w:rPr>
        <w:t>st</w:t>
      </w:r>
      <w:r>
        <w:rPr>
          <w:sz w:val="24"/>
          <w:szCs w:val="24"/>
        </w:rPr>
        <w:t xml:space="preserve">ep change in cultural behaviour, that the </w:t>
      </w:r>
      <w:r w:rsidRPr="000C4607">
        <w:rPr>
          <w:sz w:val="24"/>
          <w:szCs w:val="24"/>
        </w:rPr>
        <w:t>application of a model of cultural evolution</w:t>
      </w:r>
      <w:r>
        <w:rPr>
          <w:sz w:val="24"/>
          <w:szCs w:val="24"/>
        </w:rPr>
        <w:t xml:space="preserve"> to literary development</w:t>
      </w:r>
      <w:r w:rsidRPr="000C4607">
        <w:rPr>
          <w:sz w:val="24"/>
          <w:szCs w:val="24"/>
        </w:rPr>
        <w:t xml:space="preserve"> </w:t>
      </w:r>
      <w:r>
        <w:rPr>
          <w:sz w:val="24"/>
          <w:szCs w:val="24"/>
        </w:rPr>
        <w:t>would imply. For instance, the</w:t>
      </w:r>
      <w:r w:rsidRPr="00C815F1">
        <w:rPr>
          <w:sz w:val="24"/>
          <w:szCs w:val="24"/>
        </w:rPr>
        <w:t xml:space="preserve"> exploitation of letter formats in literary narrative</w:t>
      </w:r>
      <w:r>
        <w:rPr>
          <w:sz w:val="24"/>
          <w:szCs w:val="24"/>
        </w:rPr>
        <w:t>, and the integration of rhetoric</w:t>
      </w:r>
      <w:r w:rsidRPr="00C815F1">
        <w:rPr>
          <w:sz w:val="24"/>
          <w:szCs w:val="24"/>
        </w:rPr>
        <w:t xml:space="preserve"> </w:t>
      </w:r>
      <w:r>
        <w:rPr>
          <w:sz w:val="24"/>
          <w:szCs w:val="24"/>
        </w:rPr>
        <w:t>and listing in inscriptional narrative point strongly to the conclusion that</w:t>
      </w:r>
      <w:r w:rsidRPr="00C815F1">
        <w:rPr>
          <w:sz w:val="24"/>
          <w:szCs w:val="24"/>
          <w:lang w:eastAsia="en-GB"/>
        </w:rPr>
        <w:t xml:space="preserve"> no clear distinction </w:t>
      </w:r>
      <w:r>
        <w:rPr>
          <w:sz w:val="24"/>
          <w:szCs w:val="24"/>
          <w:lang w:eastAsia="en-GB"/>
        </w:rPr>
        <w:t>can</w:t>
      </w:r>
      <w:r w:rsidRPr="00C815F1">
        <w:rPr>
          <w:sz w:val="24"/>
          <w:szCs w:val="24"/>
          <w:lang w:eastAsia="en-GB"/>
        </w:rPr>
        <w:t xml:space="preserve"> be drawn between a person who writes in well-attested documentary formats</w:t>
      </w:r>
      <w:r>
        <w:rPr>
          <w:sz w:val="24"/>
          <w:szCs w:val="24"/>
          <w:lang w:eastAsia="en-GB"/>
        </w:rPr>
        <w:t>, a person who performs literature,</w:t>
      </w:r>
      <w:r w:rsidRPr="00C815F1">
        <w:rPr>
          <w:sz w:val="24"/>
          <w:szCs w:val="24"/>
          <w:lang w:eastAsia="en-GB"/>
        </w:rPr>
        <w:t xml:space="preserve"> and one who is </w:t>
      </w:r>
      <w:r>
        <w:rPr>
          <w:sz w:val="24"/>
          <w:szCs w:val="24"/>
          <w:lang w:eastAsia="en-GB"/>
        </w:rPr>
        <w:t>responsible for</w:t>
      </w:r>
      <w:r w:rsidRPr="00C815F1">
        <w:rPr>
          <w:sz w:val="24"/>
          <w:szCs w:val="24"/>
          <w:lang w:eastAsia="en-GB"/>
        </w:rPr>
        <w:t xml:space="preserve"> litera</w:t>
      </w:r>
      <w:r>
        <w:rPr>
          <w:sz w:val="24"/>
          <w:szCs w:val="24"/>
          <w:lang w:eastAsia="en-GB"/>
        </w:rPr>
        <w:t>ture</w:t>
      </w:r>
      <w:r w:rsidRPr="00C815F1">
        <w:rPr>
          <w:sz w:val="24"/>
          <w:szCs w:val="24"/>
          <w:lang w:eastAsia="en-GB"/>
        </w:rPr>
        <w:t xml:space="preserve"> that </w:t>
      </w:r>
      <w:r>
        <w:rPr>
          <w:sz w:val="24"/>
          <w:szCs w:val="24"/>
          <w:lang w:eastAsia="en-GB"/>
        </w:rPr>
        <w:t>is</w:t>
      </w:r>
      <w:r w:rsidRPr="00C815F1">
        <w:rPr>
          <w:sz w:val="24"/>
          <w:szCs w:val="24"/>
          <w:lang w:eastAsia="en-GB"/>
        </w:rPr>
        <w:t xml:space="preserve"> newly put into writing.</w:t>
      </w:r>
      <w:r>
        <w:rPr>
          <w:sz w:val="24"/>
          <w:szCs w:val="24"/>
          <w:lang w:eastAsia="en-GB"/>
        </w:rPr>
        <w:t xml:space="preserve"> And </w:t>
      </w:r>
      <w:r>
        <w:rPr>
          <w:sz w:val="24"/>
          <w:szCs w:val="24"/>
          <w:lang w:eastAsia="en-GB"/>
        </w:rPr>
        <w:lastRenderedPageBreak/>
        <w:t>conversely, that the idea of writing narrative – distinct perhaps from the idea of narrative itself – is closely related to the practice of writing as something purposeful.</w:t>
      </w:r>
    </w:p>
    <w:p w:rsidR="00CE32A3" w:rsidRDefault="00CE32A3" w:rsidP="00992714">
      <w:pPr>
        <w:tabs>
          <w:tab w:val="left" w:pos="567"/>
        </w:tabs>
        <w:spacing w:line="360" w:lineRule="auto"/>
        <w:ind w:firstLine="720"/>
        <w:contextualSpacing/>
        <w:rPr>
          <w:sz w:val="24"/>
          <w:szCs w:val="24"/>
        </w:rPr>
      </w:pPr>
      <w:r>
        <w:rPr>
          <w:sz w:val="24"/>
          <w:szCs w:val="24"/>
          <w:lang w:eastAsia="en-GB"/>
        </w:rPr>
        <w:t xml:space="preserve">The </w:t>
      </w:r>
      <w:proofErr w:type="spellStart"/>
      <w:r>
        <w:rPr>
          <w:sz w:val="24"/>
          <w:szCs w:val="24"/>
          <w:lang w:eastAsia="en-GB"/>
        </w:rPr>
        <w:t>Ramesside</w:t>
      </w:r>
      <w:proofErr w:type="spellEnd"/>
      <w:r>
        <w:rPr>
          <w:sz w:val="24"/>
          <w:szCs w:val="24"/>
          <w:lang w:eastAsia="en-GB"/>
        </w:rPr>
        <w:t xml:space="preserve"> scribe </w:t>
      </w:r>
      <w:proofErr w:type="spellStart"/>
      <w:r w:rsidRPr="00C815F1">
        <w:rPr>
          <w:sz w:val="24"/>
          <w:szCs w:val="24"/>
          <w:lang w:eastAsia="en-GB"/>
        </w:rPr>
        <w:t>Pentaweret</w:t>
      </w:r>
      <w:proofErr w:type="spellEnd"/>
      <w:r w:rsidRPr="00C815F1">
        <w:rPr>
          <w:rStyle w:val="FootnoteReference"/>
          <w:sz w:val="24"/>
          <w:szCs w:val="24"/>
          <w:lang w:eastAsia="en-GB"/>
        </w:rPr>
        <w:footnoteReference w:id="48"/>
      </w:r>
      <w:r>
        <w:rPr>
          <w:sz w:val="24"/>
          <w:szCs w:val="24"/>
          <w:lang w:eastAsia="en-GB"/>
        </w:rPr>
        <w:t>,</w:t>
      </w:r>
      <w:r w:rsidRPr="00C815F1">
        <w:rPr>
          <w:sz w:val="24"/>
          <w:szCs w:val="24"/>
          <w:lang w:eastAsia="en-GB"/>
        </w:rPr>
        <w:t xml:space="preserve"> writing for his chief, the Scr</w:t>
      </w:r>
      <w:r>
        <w:rPr>
          <w:sz w:val="24"/>
          <w:szCs w:val="24"/>
          <w:lang w:eastAsia="en-GB"/>
        </w:rPr>
        <w:t xml:space="preserve">ibe of the Treasury </w:t>
      </w:r>
      <w:proofErr w:type="spellStart"/>
      <w:r>
        <w:rPr>
          <w:sz w:val="24"/>
          <w:szCs w:val="24"/>
          <w:lang w:eastAsia="en-GB"/>
        </w:rPr>
        <w:t>Amenemone</w:t>
      </w:r>
      <w:proofErr w:type="spellEnd"/>
      <w:r>
        <w:rPr>
          <w:sz w:val="24"/>
          <w:szCs w:val="24"/>
          <w:lang w:eastAsia="en-GB"/>
        </w:rPr>
        <w:t>, wa</w:t>
      </w:r>
      <w:r w:rsidRPr="00C815F1">
        <w:rPr>
          <w:sz w:val="24"/>
          <w:szCs w:val="24"/>
          <w:lang w:eastAsia="en-GB"/>
        </w:rPr>
        <w:t xml:space="preserve">s responsible for both Papyrus </w:t>
      </w:r>
      <w:proofErr w:type="spellStart"/>
      <w:r>
        <w:rPr>
          <w:sz w:val="24"/>
          <w:szCs w:val="24"/>
          <w:lang w:eastAsia="en-GB"/>
        </w:rPr>
        <w:t>Sallier</w:t>
      </w:r>
      <w:proofErr w:type="spellEnd"/>
      <w:r>
        <w:rPr>
          <w:sz w:val="24"/>
          <w:szCs w:val="24"/>
          <w:lang w:eastAsia="en-GB"/>
        </w:rPr>
        <w:t xml:space="preserve"> I and </w:t>
      </w:r>
      <w:proofErr w:type="spellStart"/>
      <w:r w:rsidRPr="00C815F1">
        <w:rPr>
          <w:sz w:val="24"/>
          <w:szCs w:val="24"/>
          <w:lang w:eastAsia="en-GB"/>
        </w:rPr>
        <w:t>Sallier</w:t>
      </w:r>
      <w:proofErr w:type="spellEnd"/>
      <w:r w:rsidRPr="00C815F1">
        <w:rPr>
          <w:sz w:val="24"/>
          <w:szCs w:val="24"/>
          <w:lang w:eastAsia="en-GB"/>
        </w:rPr>
        <w:t xml:space="preserve"> III</w:t>
      </w:r>
      <w:r>
        <w:rPr>
          <w:sz w:val="24"/>
          <w:szCs w:val="24"/>
          <w:lang w:eastAsia="en-GB"/>
        </w:rPr>
        <w:t>. B</w:t>
      </w:r>
      <w:r w:rsidRPr="00C815F1">
        <w:rPr>
          <w:sz w:val="24"/>
          <w:szCs w:val="24"/>
          <w:lang w:eastAsia="en-GB"/>
        </w:rPr>
        <w:t>oth seem to come from a personal collection of literary works</w:t>
      </w:r>
      <w:r>
        <w:rPr>
          <w:sz w:val="24"/>
          <w:szCs w:val="24"/>
          <w:lang w:eastAsia="en-GB"/>
        </w:rPr>
        <w:t>,</w:t>
      </w:r>
      <w:r w:rsidRPr="00C815F1">
        <w:rPr>
          <w:sz w:val="24"/>
          <w:szCs w:val="24"/>
          <w:lang w:eastAsia="en-GB"/>
        </w:rPr>
        <w:t xml:space="preserve"> from a tomb at Saqqara</w:t>
      </w:r>
      <w:r w:rsidRPr="00C815F1">
        <w:rPr>
          <w:rStyle w:val="FootnoteReference"/>
          <w:sz w:val="24"/>
          <w:szCs w:val="24"/>
          <w:lang w:eastAsia="en-GB"/>
        </w:rPr>
        <w:footnoteReference w:id="49"/>
      </w:r>
      <w:r>
        <w:rPr>
          <w:sz w:val="24"/>
          <w:szCs w:val="24"/>
          <w:lang w:eastAsia="en-GB"/>
        </w:rPr>
        <w:t xml:space="preserve">. </w:t>
      </w:r>
      <w:proofErr w:type="spellStart"/>
      <w:r w:rsidRPr="00C815F1">
        <w:rPr>
          <w:sz w:val="24"/>
          <w:szCs w:val="24"/>
          <w:lang w:eastAsia="en-GB"/>
        </w:rPr>
        <w:t>Sallier</w:t>
      </w:r>
      <w:proofErr w:type="spellEnd"/>
      <w:r w:rsidRPr="00C815F1">
        <w:rPr>
          <w:sz w:val="24"/>
          <w:szCs w:val="24"/>
          <w:lang w:eastAsia="en-GB"/>
        </w:rPr>
        <w:t xml:space="preserve"> I contains texts of the Instruction of </w:t>
      </w:r>
      <w:proofErr w:type="spellStart"/>
      <w:r w:rsidRPr="00C815F1">
        <w:rPr>
          <w:sz w:val="24"/>
          <w:szCs w:val="24"/>
          <w:lang w:eastAsia="en-GB"/>
        </w:rPr>
        <w:t>Amenemhet</w:t>
      </w:r>
      <w:proofErr w:type="spellEnd"/>
      <w:r w:rsidRPr="00C815F1">
        <w:rPr>
          <w:sz w:val="24"/>
          <w:szCs w:val="24"/>
          <w:lang w:eastAsia="en-GB"/>
        </w:rPr>
        <w:t xml:space="preserve"> I, the Story of Apophis and </w:t>
      </w:r>
      <w:proofErr w:type="spellStart"/>
      <w:r w:rsidRPr="00C815F1">
        <w:rPr>
          <w:sz w:val="24"/>
          <w:szCs w:val="24"/>
          <w:lang w:eastAsia="en-GB"/>
        </w:rPr>
        <w:t>Seqenenre</w:t>
      </w:r>
      <w:proofErr w:type="spellEnd"/>
      <w:r w:rsidRPr="00C815F1">
        <w:rPr>
          <w:sz w:val="24"/>
          <w:szCs w:val="24"/>
          <w:lang w:eastAsia="en-GB"/>
        </w:rPr>
        <w:t xml:space="preserve">, and a set of Late Egyptian Miscellanies (including a eulogy of </w:t>
      </w:r>
      <w:proofErr w:type="spellStart"/>
      <w:r w:rsidRPr="00C815F1">
        <w:rPr>
          <w:sz w:val="24"/>
          <w:szCs w:val="24"/>
          <w:lang w:eastAsia="en-GB"/>
        </w:rPr>
        <w:t>Merenptah</w:t>
      </w:r>
      <w:proofErr w:type="spellEnd"/>
      <w:r w:rsidRPr="00C815F1">
        <w:rPr>
          <w:sz w:val="24"/>
          <w:szCs w:val="24"/>
          <w:lang w:eastAsia="en-GB"/>
        </w:rPr>
        <w:t xml:space="preserve">). </w:t>
      </w:r>
      <w:proofErr w:type="spellStart"/>
      <w:r>
        <w:rPr>
          <w:sz w:val="24"/>
          <w:szCs w:val="24"/>
          <w:lang w:eastAsia="en-GB"/>
        </w:rPr>
        <w:t>Sallier</w:t>
      </w:r>
      <w:proofErr w:type="spellEnd"/>
      <w:r>
        <w:rPr>
          <w:sz w:val="24"/>
          <w:szCs w:val="24"/>
          <w:lang w:eastAsia="en-GB"/>
        </w:rPr>
        <w:t xml:space="preserve"> III preserves a</w:t>
      </w:r>
      <w:r w:rsidRPr="00C815F1">
        <w:rPr>
          <w:sz w:val="24"/>
          <w:szCs w:val="24"/>
          <w:lang w:eastAsia="en-GB"/>
        </w:rPr>
        <w:t xml:space="preserve"> </w:t>
      </w:r>
      <w:r>
        <w:rPr>
          <w:sz w:val="24"/>
          <w:szCs w:val="24"/>
          <w:lang w:eastAsia="en-GB"/>
        </w:rPr>
        <w:t xml:space="preserve">copy of the </w:t>
      </w:r>
      <w:proofErr w:type="spellStart"/>
      <w:r>
        <w:rPr>
          <w:sz w:val="24"/>
          <w:szCs w:val="24"/>
          <w:lang w:eastAsia="en-GB"/>
        </w:rPr>
        <w:t>Q</w:t>
      </w:r>
      <w:r w:rsidRPr="00C815F1">
        <w:rPr>
          <w:sz w:val="24"/>
          <w:szCs w:val="24"/>
          <w:lang w:eastAsia="en-GB"/>
        </w:rPr>
        <w:t>adesh</w:t>
      </w:r>
      <w:proofErr w:type="spellEnd"/>
      <w:r w:rsidRPr="00C815F1">
        <w:rPr>
          <w:sz w:val="24"/>
          <w:szCs w:val="24"/>
          <w:lang w:eastAsia="en-GB"/>
        </w:rPr>
        <w:t xml:space="preserve"> </w:t>
      </w:r>
      <w:r>
        <w:rPr>
          <w:sz w:val="24"/>
          <w:szCs w:val="24"/>
          <w:lang w:eastAsia="en-GB"/>
        </w:rPr>
        <w:t>P</w:t>
      </w:r>
      <w:r w:rsidRPr="00C815F1">
        <w:rPr>
          <w:sz w:val="24"/>
          <w:szCs w:val="24"/>
          <w:lang w:eastAsia="en-GB"/>
        </w:rPr>
        <w:t>oem</w:t>
      </w:r>
      <w:r>
        <w:rPr>
          <w:sz w:val="24"/>
          <w:szCs w:val="24"/>
          <w:lang w:eastAsia="en-GB"/>
        </w:rPr>
        <w:t xml:space="preserve"> of Ramesses II, otherwise known from temple inscriptions, but </w:t>
      </w:r>
      <w:r w:rsidRPr="00550E9D">
        <w:rPr>
          <w:sz w:val="24"/>
          <w:szCs w:val="24"/>
          <w:lang w:eastAsia="en-GB"/>
        </w:rPr>
        <w:t xml:space="preserve">also in the partial copy of the scribe </w:t>
      </w:r>
      <w:proofErr w:type="spellStart"/>
      <w:r w:rsidRPr="00550E9D">
        <w:rPr>
          <w:sz w:val="24"/>
          <w:szCs w:val="24"/>
          <w:lang w:eastAsia="en-GB"/>
        </w:rPr>
        <w:t>Qeniherkhopeshef</w:t>
      </w:r>
      <w:proofErr w:type="spellEnd"/>
      <w:r w:rsidRPr="00550E9D">
        <w:rPr>
          <w:sz w:val="24"/>
          <w:szCs w:val="24"/>
          <w:lang w:eastAsia="en-GB"/>
        </w:rPr>
        <w:t xml:space="preserve"> on the verso of </w:t>
      </w:r>
      <w:proofErr w:type="spellStart"/>
      <w:r>
        <w:rPr>
          <w:sz w:val="24"/>
          <w:szCs w:val="24"/>
          <w:lang w:eastAsia="en-GB"/>
        </w:rPr>
        <w:t>p</w:t>
      </w:r>
      <w:r w:rsidRPr="00550E9D">
        <w:rPr>
          <w:sz w:val="24"/>
          <w:szCs w:val="24"/>
          <w:lang w:eastAsia="en-GB"/>
        </w:rPr>
        <w:t>Chester</w:t>
      </w:r>
      <w:proofErr w:type="spellEnd"/>
      <w:r w:rsidRPr="00550E9D">
        <w:rPr>
          <w:sz w:val="24"/>
          <w:szCs w:val="24"/>
          <w:lang w:eastAsia="en-GB"/>
        </w:rPr>
        <w:t xml:space="preserve"> Beatty III. </w:t>
      </w:r>
      <w:proofErr w:type="spellStart"/>
      <w:r>
        <w:rPr>
          <w:sz w:val="24"/>
          <w:szCs w:val="24"/>
          <w:lang w:eastAsia="en-GB"/>
        </w:rPr>
        <w:t>Pentaweret’s</w:t>
      </w:r>
      <w:proofErr w:type="spellEnd"/>
      <w:r w:rsidRPr="00C815F1">
        <w:rPr>
          <w:sz w:val="24"/>
          <w:szCs w:val="24"/>
          <w:lang w:eastAsia="en-GB"/>
        </w:rPr>
        <w:t xml:space="preserve"> range is impressive</w:t>
      </w:r>
      <w:r w:rsidRPr="00C815F1">
        <w:rPr>
          <w:rStyle w:val="FootnoteReference"/>
          <w:sz w:val="24"/>
          <w:szCs w:val="24"/>
          <w:lang w:eastAsia="en-GB"/>
        </w:rPr>
        <w:footnoteReference w:id="50"/>
      </w:r>
      <w:r>
        <w:rPr>
          <w:sz w:val="24"/>
          <w:szCs w:val="24"/>
          <w:lang w:eastAsia="en-GB"/>
        </w:rPr>
        <w:t>.</w:t>
      </w:r>
      <w:r w:rsidRPr="00C815F1">
        <w:rPr>
          <w:sz w:val="24"/>
          <w:szCs w:val="24"/>
          <w:lang w:eastAsia="en-GB"/>
        </w:rPr>
        <w:t xml:space="preserve"> </w:t>
      </w:r>
      <w:r w:rsidRPr="00C815F1">
        <w:rPr>
          <w:sz w:val="24"/>
          <w:szCs w:val="24"/>
        </w:rPr>
        <w:t xml:space="preserve">This obviously poses direct question of the </w:t>
      </w:r>
      <w:proofErr w:type="spellStart"/>
      <w:r w:rsidRPr="00C815F1">
        <w:rPr>
          <w:sz w:val="24"/>
          <w:szCs w:val="24"/>
        </w:rPr>
        <w:t>Qadesh</w:t>
      </w:r>
      <w:proofErr w:type="spellEnd"/>
      <w:r w:rsidRPr="00C815F1">
        <w:rPr>
          <w:sz w:val="24"/>
          <w:szCs w:val="24"/>
        </w:rPr>
        <w:t xml:space="preserve"> inscriptions, how or if they were read, how they relate to papyrus copies</w:t>
      </w:r>
      <w:r>
        <w:rPr>
          <w:sz w:val="24"/>
          <w:szCs w:val="24"/>
        </w:rPr>
        <w:t>, and how in fact their narrative was disseminated as performance or written publication</w:t>
      </w:r>
      <w:r w:rsidRPr="00C815F1">
        <w:rPr>
          <w:sz w:val="24"/>
          <w:szCs w:val="24"/>
        </w:rPr>
        <w:t>.</w:t>
      </w:r>
      <w:r>
        <w:rPr>
          <w:sz w:val="24"/>
          <w:szCs w:val="24"/>
        </w:rPr>
        <w:t xml:space="preserve"> </w:t>
      </w:r>
    </w:p>
    <w:p w:rsidR="00CE32A3" w:rsidRDefault="00CE32A3" w:rsidP="00992714">
      <w:pPr>
        <w:tabs>
          <w:tab w:val="left" w:pos="567"/>
        </w:tabs>
        <w:spacing w:line="360" w:lineRule="auto"/>
        <w:ind w:firstLine="720"/>
        <w:contextualSpacing/>
        <w:rPr>
          <w:sz w:val="24"/>
          <w:szCs w:val="24"/>
        </w:rPr>
      </w:pPr>
      <w:r>
        <w:rPr>
          <w:sz w:val="24"/>
          <w:szCs w:val="24"/>
        </w:rPr>
        <w:t xml:space="preserve">What </w:t>
      </w:r>
      <w:r w:rsidRPr="00C815F1">
        <w:rPr>
          <w:sz w:val="24"/>
          <w:szCs w:val="24"/>
          <w:lang w:eastAsia="en-GB"/>
        </w:rPr>
        <w:t xml:space="preserve">is important is that there is no identifiable division between different literacies, but </w:t>
      </w:r>
      <w:r>
        <w:rPr>
          <w:sz w:val="24"/>
          <w:szCs w:val="24"/>
          <w:lang w:eastAsia="en-GB"/>
        </w:rPr>
        <w:t xml:space="preserve">clear </w:t>
      </w:r>
      <w:r w:rsidRPr="00C815F1">
        <w:rPr>
          <w:sz w:val="24"/>
          <w:szCs w:val="24"/>
          <w:lang w:eastAsia="en-GB"/>
        </w:rPr>
        <w:t>inter</w:t>
      </w:r>
      <w:r>
        <w:rPr>
          <w:sz w:val="24"/>
          <w:szCs w:val="24"/>
          <w:lang w:eastAsia="en-GB"/>
        </w:rPr>
        <w:t>-</w:t>
      </w:r>
      <w:proofErr w:type="spellStart"/>
      <w:r w:rsidRPr="00C815F1">
        <w:rPr>
          <w:sz w:val="24"/>
          <w:szCs w:val="24"/>
          <w:lang w:eastAsia="en-GB"/>
        </w:rPr>
        <w:t>textuality</w:t>
      </w:r>
      <w:proofErr w:type="spellEnd"/>
      <w:r w:rsidRPr="00C815F1">
        <w:rPr>
          <w:sz w:val="24"/>
          <w:szCs w:val="24"/>
          <w:lang w:eastAsia="en-GB"/>
        </w:rPr>
        <w:t xml:space="preserve"> between documentary formats and literary compositions: the culture of literacy seems homogenous, so that even where it seems possible </w:t>
      </w:r>
      <w:r>
        <w:rPr>
          <w:sz w:val="24"/>
          <w:szCs w:val="24"/>
          <w:lang w:eastAsia="en-GB"/>
        </w:rPr>
        <w:t>to</w:t>
      </w:r>
      <w:r w:rsidRPr="00C815F1">
        <w:rPr>
          <w:sz w:val="24"/>
          <w:szCs w:val="24"/>
          <w:lang w:eastAsia="en-GB"/>
        </w:rPr>
        <w:t xml:space="preserve"> envisage </w:t>
      </w:r>
      <w:r>
        <w:rPr>
          <w:sz w:val="24"/>
          <w:szCs w:val="24"/>
          <w:lang w:eastAsia="en-GB"/>
        </w:rPr>
        <w:t xml:space="preserve">a </w:t>
      </w:r>
      <w:r w:rsidRPr="00C815F1">
        <w:rPr>
          <w:sz w:val="24"/>
          <w:szCs w:val="24"/>
          <w:lang w:eastAsia="en-GB"/>
        </w:rPr>
        <w:t xml:space="preserve">different genesis </w:t>
      </w:r>
      <w:r>
        <w:rPr>
          <w:sz w:val="24"/>
          <w:szCs w:val="24"/>
          <w:lang w:eastAsia="en-GB"/>
        </w:rPr>
        <w:t>for genres of narrative text</w:t>
      </w:r>
      <w:r w:rsidRPr="00C815F1">
        <w:rPr>
          <w:sz w:val="24"/>
          <w:szCs w:val="24"/>
          <w:lang w:eastAsia="en-GB"/>
        </w:rPr>
        <w:t>, this need not come out of, or even relate to different scribal competencies or different contexts for the use of literacy</w:t>
      </w:r>
      <w:r>
        <w:rPr>
          <w:rStyle w:val="FootnoteReference"/>
          <w:sz w:val="24"/>
          <w:szCs w:val="24"/>
          <w:lang w:eastAsia="en-GB"/>
        </w:rPr>
        <w:footnoteReference w:id="51"/>
      </w:r>
      <w:r w:rsidRPr="00C815F1">
        <w:rPr>
          <w:sz w:val="24"/>
          <w:szCs w:val="24"/>
          <w:lang w:eastAsia="en-GB"/>
        </w:rPr>
        <w:t xml:space="preserve">. For instance, the inscription of </w:t>
      </w:r>
      <w:proofErr w:type="spellStart"/>
      <w:r w:rsidRPr="00C815F1">
        <w:rPr>
          <w:sz w:val="24"/>
          <w:szCs w:val="24"/>
        </w:rPr>
        <w:t>Samut</w:t>
      </w:r>
      <w:proofErr w:type="spellEnd"/>
      <w:r w:rsidRPr="00C815F1">
        <w:rPr>
          <w:sz w:val="24"/>
          <w:szCs w:val="24"/>
        </w:rPr>
        <w:t xml:space="preserve"> </w:t>
      </w:r>
      <w:proofErr w:type="spellStart"/>
      <w:r w:rsidRPr="00C815F1">
        <w:rPr>
          <w:sz w:val="24"/>
          <w:szCs w:val="24"/>
        </w:rPr>
        <w:t>Kyky</w:t>
      </w:r>
      <w:proofErr w:type="spellEnd"/>
      <w:r w:rsidRPr="00C815F1">
        <w:rPr>
          <w:sz w:val="24"/>
          <w:szCs w:val="24"/>
        </w:rPr>
        <w:t xml:space="preserve"> has the same literary beginning</w:t>
      </w:r>
      <w:r w:rsidRPr="00C815F1">
        <w:rPr>
          <w:sz w:val="24"/>
          <w:szCs w:val="24"/>
          <w:lang w:eastAsia="en-GB"/>
        </w:rPr>
        <w:t xml:space="preserve"> </w:t>
      </w:r>
      <w:r w:rsidRPr="00C815F1">
        <w:rPr>
          <w:sz w:val="24"/>
          <w:szCs w:val="24"/>
        </w:rPr>
        <w:t>as the story of the Eloquent Peasant: his personal narrative uses an echo of what seems to be a low-tradition ‘once upon a time’ formulation</w:t>
      </w:r>
      <w:r>
        <w:rPr>
          <w:rStyle w:val="FootnoteReference"/>
          <w:sz w:val="24"/>
          <w:szCs w:val="24"/>
        </w:rPr>
        <w:footnoteReference w:id="52"/>
      </w:r>
      <w:r w:rsidRPr="00C815F1">
        <w:rPr>
          <w:sz w:val="24"/>
          <w:szCs w:val="24"/>
        </w:rPr>
        <w:t xml:space="preserve">. </w:t>
      </w:r>
      <w:r>
        <w:rPr>
          <w:sz w:val="24"/>
          <w:szCs w:val="24"/>
        </w:rPr>
        <w:t xml:space="preserve">Similarly the formula </w:t>
      </w:r>
      <w:proofErr w:type="spellStart"/>
      <w:r w:rsidRPr="00626D73">
        <w:rPr>
          <w:rFonts w:ascii="Trlit_CG Times" w:hAnsi="Trlit_CG Times"/>
          <w:sz w:val="24"/>
          <w:szCs w:val="24"/>
        </w:rPr>
        <w:t>xpr</w:t>
      </w:r>
      <w:proofErr w:type="spellEnd"/>
      <w:r w:rsidRPr="00626D73">
        <w:rPr>
          <w:rFonts w:ascii="Trlit_CG Times" w:hAnsi="Trlit_CG Times"/>
          <w:sz w:val="24"/>
          <w:szCs w:val="24"/>
        </w:rPr>
        <w:t xml:space="preserve"> </w:t>
      </w:r>
      <w:proofErr w:type="spellStart"/>
      <w:r w:rsidRPr="00626D73">
        <w:rPr>
          <w:rFonts w:ascii="Trlit_CG Times" w:hAnsi="Trlit_CG Times"/>
          <w:sz w:val="24"/>
          <w:szCs w:val="24"/>
        </w:rPr>
        <w:t>swt</w:t>
      </w:r>
      <w:proofErr w:type="spellEnd"/>
      <w:r>
        <w:rPr>
          <w:sz w:val="24"/>
          <w:szCs w:val="24"/>
        </w:rPr>
        <w:t xml:space="preserve">, used to begin the story of Apophis and </w:t>
      </w:r>
      <w:proofErr w:type="spellStart"/>
      <w:r>
        <w:rPr>
          <w:sz w:val="24"/>
          <w:szCs w:val="24"/>
        </w:rPr>
        <w:t>Seqenenre</w:t>
      </w:r>
      <w:proofErr w:type="spellEnd"/>
      <w:r>
        <w:rPr>
          <w:rStyle w:val="FootnoteReference"/>
          <w:sz w:val="24"/>
          <w:szCs w:val="24"/>
        </w:rPr>
        <w:footnoteReference w:id="53"/>
      </w:r>
      <w:r>
        <w:rPr>
          <w:sz w:val="24"/>
          <w:szCs w:val="24"/>
        </w:rPr>
        <w:t xml:space="preserve">, is found in the same way in the stela of </w:t>
      </w:r>
      <w:proofErr w:type="spellStart"/>
      <w:r>
        <w:rPr>
          <w:sz w:val="24"/>
          <w:szCs w:val="24"/>
        </w:rPr>
        <w:t>Ahmose</w:t>
      </w:r>
      <w:proofErr w:type="spellEnd"/>
      <w:r>
        <w:rPr>
          <w:sz w:val="24"/>
          <w:szCs w:val="24"/>
        </w:rPr>
        <w:t xml:space="preserve"> concerning his donation for </w:t>
      </w:r>
      <w:proofErr w:type="spellStart"/>
      <w:r>
        <w:rPr>
          <w:sz w:val="24"/>
          <w:szCs w:val="24"/>
        </w:rPr>
        <w:t>Tetish</w:t>
      </w:r>
      <w:r w:rsidRPr="005D7215">
        <w:rPr>
          <w:sz w:val="24"/>
          <w:szCs w:val="24"/>
        </w:rPr>
        <w:t>eri</w:t>
      </w:r>
      <w:proofErr w:type="spellEnd"/>
      <w:r w:rsidRPr="005D7215">
        <w:rPr>
          <w:rStyle w:val="FootnoteReference"/>
          <w:sz w:val="24"/>
          <w:szCs w:val="24"/>
        </w:rPr>
        <w:footnoteReference w:id="54"/>
      </w:r>
      <w:r w:rsidRPr="005D7215">
        <w:rPr>
          <w:sz w:val="24"/>
          <w:szCs w:val="24"/>
        </w:rPr>
        <w:t xml:space="preserve">, </w:t>
      </w:r>
      <w:r>
        <w:rPr>
          <w:sz w:val="24"/>
          <w:szCs w:val="24"/>
        </w:rPr>
        <w:t xml:space="preserve">and at the beginning of an account of the coronation of </w:t>
      </w:r>
      <w:proofErr w:type="spellStart"/>
      <w:r>
        <w:rPr>
          <w:sz w:val="24"/>
          <w:szCs w:val="24"/>
        </w:rPr>
        <w:t>Tuthmos</w:t>
      </w:r>
      <w:r w:rsidRPr="005D7215">
        <w:rPr>
          <w:sz w:val="24"/>
          <w:szCs w:val="24"/>
        </w:rPr>
        <w:t>is</w:t>
      </w:r>
      <w:proofErr w:type="spellEnd"/>
      <w:r w:rsidRPr="005D7215">
        <w:rPr>
          <w:sz w:val="24"/>
          <w:szCs w:val="24"/>
        </w:rPr>
        <w:t xml:space="preserve"> III</w:t>
      </w:r>
      <w:r w:rsidRPr="005D7215">
        <w:rPr>
          <w:rStyle w:val="FootnoteReference"/>
          <w:sz w:val="24"/>
          <w:szCs w:val="24"/>
        </w:rPr>
        <w:footnoteReference w:id="55"/>
      </w:r>
      <w:r w:rsidRPr="005D7215">
        <w:rPr>
          <w:sz w:val="24"/>
          <w:szCs w:val="24"/>
        </w:rPr>
        <w:t xml:space="preserve">. The autobiography of </w:t>
      </w:r>
      <w:proofErr w:type="spellStart"/>
      <w:r w:rsidRPr="005D7215">
        <w:rPr>
          <w:sz w:val="24"/>
          <w:szCs w:val="24"/>
        </w:rPr>
        <w:lastRenderedPageBreak/>
        <w:t>Nefersekheru</w:t>
      </w:r>
      <w:proofErr w:type="spellEnd"/>
      <w:r w:rsidRPr="005D7215">
        <w:rPr>
          <w:rStyle w:val="FootnoteReference"/>
          <w:sz w:val="24"/>
          <w:szCs w:val="24"/>
        </w:rPr>
        <w:footnoteReference w:id="56"/>
      </w:r>
      <w:r w:rsidRPr="005D7215">
        <w:rPr>
          <w:sz w:val="24"/>
          <w:szCs w:val="24"/>
        </w:rPr>
        <w:t xml:space="preserve">, as a variation, seems to use a quotation from </w:t>
      </w:r>
      <w:proofErr w:type="spellStart"/>
      <w:r w:rsidRPr="005D7215">
        <w:rPr>
          <w:sz w:val="24"/>
          <w:szCs w:val="24"/>
        </w:rPr>
        <w:t>Ptahhotep</w:t>
      </w:r>
      <w:proofErr w:type="spellEnd"/>
      <w:r w:rsidRPr="005D7215">
        <w:rPr>
          <w:sz w:val="24"/>
          <w:szCs w:val="24"/>
        </w:rPr>
        <w:t xml:space="preserve"> to define himself as a person good to listen to, before he begins his direct address to posterity</w:t>
      </w:r>
      <w:r>
        <w:rPr>
          <w:sz w:val="24"/>
          <w:szCs w:val="24"/>
        </w:rPr>
        <w:t xml:space="preserve"> </w:t>
      </w:r>
      <w:r w:rsidRPr="005D7215">
        <w:rPr>
          <w:sz w:val="24"/>
          <w:szCs w:val="24"/>
        </w:rPr>
        <w:t>(</w:t>
      </w:r>
      <w:proofErr w:type="spellStart"/>
      <w:r w:rsidRPr="005D7215">
        <w:rPr>
          <w:rFonts w:ascii="Trlit_CG Times" w:hAnsi="Trlit_CG Times"/>
          <w:sz w:val="24"/>
          <w:szCs w:val="24"/>
        </w:rPr>
        <w:t>Dd</w:t>
      </w:r>
      <w:proofErr w:type="spellEnd"/>
      <w:r w:rsidRPr="005D7215">
        <w:rPr>
          <w:rFonts w:ascii="Trlit_CG Times" w:hAnsi="Trlit_CG Times"/>
          <w:sz w:val="24"/>
          <w:szCs w:val="24"/>
        </w:rPr>
        <w:t>=</w:t>
      </w:r>
      <w:proofErr w:type="spellStart"/>
      <w:r w:rsidRPr="005D7215">
        <w:rPr>
          <w:rFonts w:ascii="Trlit_CG Times" w:hAnsi="Trlit_CG Times"/>
          <w:sz w:val="24"/>
          <w:szCs w:val="24"/>
        </w:rPr>
        <w:t>i</w:t>
      </w:r>
      <w:proofErr w:type="spellEnd"/>
      <w:r w:rsidRPr="005D7215">
        <w:rPr>
          <w:rFonts w:ascii="Trlit_CG Times" w:hAnsi="Trlit_CG Times"/>
          <w:sz w:val="24"/>
          <w:szCs w:val="24"/>
        </w:rPr>
        <w:t xml:space="preserve"> n=</w:t>
      </w:r>
      <w:proofErr w:type="spellStart"/>
      <w:r w:rsidRPr="005D7215">
        <w:rPr>
          <w:rFonts w:ascii="Trlit_CG Times" w:hAnsi="Trlit_CG Times"/>
          <w:sz w:val="24"/>
          <w:szCs w:val="24"/>
        </w:rPr>
        <w:t>tn</w:t>
      </w:r>
      <w:proofErr w:type="spellEnd"/>
      <w:r w:rsidRPr="005D7215">
        <w:rPr>
          <w:sz w:val="24"/>
          <w:szCs w:val="24"/>
        </w:rPr>
        <w:t xml:space="preserve"> ‘I say to you…’), recounting his career as display of his merit. </w:t>
      </w:r>
      <w:r>
        <w:rPr>
          <w:sz w:val="24"/>
          <w:szCs w:val="24"/>
        </w:rPr>
        <w:t>The dividing-line between direct quotation and formula is often impossible to draw</w:t>
      </w:r>
      <w:r>
        <w:rPr>
          <w:rStyle w:val="FootnoteReference"/>
          <w:sz w:val="24"/>
          <w:szCs w:val="24"/>
        </w:rPr>
        <w:footnoteReference w:id="57"/>
      </w:r>
      <w:r>
        <w:rPr>
          <w:sz w:val="24"/>
          <w:szCs w:val="24"/>
        </w:rPr>
        <w:t>, but it marks the fact that l</w:t>
      </w:r>
      <w:r w:rsidRPr="005D7215">
        <w:rPr>
          <w:sz w:val="24"/>
          <w:szCs w:val="24"/>
        </w:rPr>
        <w:t xml:space="preserve">iterate culture was not on a large scale; and </w:t>
      </w:r>
      <w:r>
        <w:rPr>
          <w:sz w:val="24"/>
          <w:szCs w:val="24"/>
        </w:rPr>
        <w:t xml:space="preserve">that the </w:t>
      </w:r>
      <w:r w:rsidRPr="005D7215">
        <w:rPr>
          <w:sz w:val="24"/>
          <w:szCs w:val="24"/>
        </w:rPr>
        <w:t xml:space="preserve">people who </w:t>
      </w:r>
      <w:r>
        <w:rPr>
          <w:sz w:val="24"/>
          <w:szCs w:val="24"/>
        </w:rPr>
        <w:t>were cultured wro</w:t>
      </w:r>
      <w:r w:rsidRPr="00C815F1">
        <w:rPr>
          <w:sz w:val="24"/>
          <w:szCs w:val="24"/>
        </w:rPr>
        <w:t>te all sorts of texts.</w:t>
      </w:r>
    </w:p>
    <w:p w:rsidR="00CE32A3" w:rsidRDefault="00CE32A3" w:rsidP="00992714">
      <w:pPr>
        <w:tabs>
          <w:tab w:val="left" w:pos="567"/>
        </w:tabs>
        <w:spacing w:line="360" w:lineRule="auto"/>
        <w:contextualSpacing/>
        <w:rPr>
          <w:sz w:val="24"/>
          <w:szCs w:val="24"/>
        </w:rPr>
      </w:pPr>
      <w:r>
        <w:rPr>
          <w:sz w:val="24"/>
          <w:szCs w:val="24"/>
          <w:lang w:eastAsia="en-GB"/>
        </w:rPr>
        <w:tab/>
      </w:r>
      <w:r w:rsidRPr="00C815F1">
        <w:rPr>
          <w:sz w:val="24"/>
          <w:szCs w:val="24"/>
        </w:rPr>
        <w:t xml:space="preserve">Superficially the historical section of the </w:t>
      </w:r>
      <w:r>
        <w:rPr>
          <w:sz w:val="24"/>
          <w:szCs w:val="24"/>
        </w:rPr>
        <w:t>G</w:t>
      </w:r>
      <w:r w:rsidRPr="00C815F1">
        <w:rPr>
          <w:sz w:val="24"/>
          <w:szCs w:val="24"/>
        </w:rPr>
        <w:t xml:space="preserve">reat Harris </w:t>
      </w:r>
      <w:r>
        <w:rPr>
          <w:sz w:val="24"/>
          <w:szCs w:val="24"/>
        </w:rPr>
        <w:t>P</w:t>
      </w:r>
      <w:r w:rsidRPr="00C815F1">
        <w:rPr>
          <w:sz w:val="24"/>
          <w:szCs w:val="24"/>
        </w:rPr>
        <w:t>apyrus</w:t>
      </w:r>
      <w:r w:rsidRPr="00C815F1">
        <w:rPr>
          <w:rStyle w:val="FootnoteReference"/>
          <w:sz w:val="24"/>
          <w:szCs w:val="24"/>
        </w:rPr>
        <w:footnoteReference w:id="58"/>
      </w:r>
      <w:r w:rsidRPr="00C815F1">
        <w:rPr>
          <w:sz w:val="24"/>
          <w:szCs w:val="24"/>
        </w:rPr>
        <w:t xml:space="preserve"> – a summary of his reign – would appear </w:t>
      </w:r>
      <w:r>
        <w:rPr>
          <w:sz w:val="24"/>
          <w:szCs w:val="24"/>
        </w:rPr>
        <w:t xml:space="preserve">to be an </w:t>
      </w:r>
      <w:r w:rsidRPr="00C815F1">
        <w:rPr>
          <w:sz w:val="24"/>
          <w:szCs w:val="24"/>
        </w:rPr>
        <w:t xml:space="preserve">exception </w:t>
      </w:r>
      <w:r>
        <w:rPr>
          <w:sz w:val="24"/>
          <w:szCs w:val="24"/>
        </w:rPr>
        <w:t xml:space="preserve">to </w:t>
      </w:r>
      <w:proofErr w:type="spellStart"/>
      <w:r>
        <w:rPr>
          <w:sz w:val="24"/>
          <w:szCs w:val="24"/>
        </w:rPr>
        <w:t>Ramesside</w:t>
      </w:r>
      <w:proofErr w:type="spellEnd"/>
      <w:r>
        <w:rPr>
          <w:sz w:val="24"/>
          <w:szCs w:val="24"/>
        </w:rPr>
        <w:t xml:space="preserve"> norms of narrative style: </w:t>
      </w:r>
      <w:r w:rsidRPr="00C815F1">
        <w:rPr>
          <w:sz w:val="24"/>
          <w:szCs w:val="24"/>
        </w:rPr>
        <w:t>difficult to separate, in theme or present</w:t>
      </w:r>
      <w:r>
        <w:rPr>
          <w:sz w:val="24"/>
          <w:szCs w:val="24"/>
        </w:rPr>
        <w:t>ation, from inscriptional texts, although it survives a long cursive text. T</w:t>
      </w:r>
      <w:r w:rsidRPr="00C815F1">
        <w:rPr>
          <w:sz w:val="24"/>
          <w:szCs w:val="24"/>
        </w:rPr>
        <w:t xml:space="preserve">he scene-setting description of </w:t>
      </w:r>
      <w:r>
        <w:rPr>
          <w:sz w:val="24"/>
          <w:szCs w:val="24"/>
        </w:rPr>
        <w:t xml:space="preserve">the </w:t>
      </w:r>
      <w:r w:rsidRPr="00C815F1">
        <w:rPr>
          <w:sz w:val="24"/>
          <w:szCs w:val="24"/>
        </w:rPr>
        <w:t xml:space="preserve">chaos </w:t>
      </w:r>
      <w:r>
        <w:rPr>
          <w:sz w:val="24"/>
          <w:szCs w:val="24"/>
        </w:rPr>
        <w:t xml:space="preserve">existing </w:t>
      </w:r>
      <w:r w:rsidRPr="00C815F1">
        <w:rPr>
          <w:sz w:val="24"/>
          <w:szCs w:val="24"/>
        </w:rPr>
        <w:t xml:space="preserve">before his time </w:t>
      </w:r>
      <w:r>
        <w:rPr>
          <w:sz w:val="24"/>
          <w:szCs w:val="24"/>
        </w:rPr>
        <w:t xml:space="preserve">is a repeated theme of royal inscriptions, although notably that of Ramesses III </w:t>
      </w:r>
      <w:r w:rsidRPr="00C815F1">
        <w:rPr>
          <w:sz w:val="24"/>
          <w:szCs w:val="24"/>
        </w:rPr>
        <w:t xml:space="preserve">compares very closely with inscriptions of </w:t>
      </w:r>
      <w:proofErr w:type="spellStart"/>
      <w:r w:rsidRPr="00C815F1">
        <w:rPr>
          <w:sz w:val="24"/>
          <w:szCs w:val="24"/>
        </w:rPr>
        <w:t>Meren</w:t>
      </w:r>
      <w:r>
        <w:rPr>
          <w:sz w:val="24"/>
          <w:szCs w:val="24"/>
        </w:rPr>
        <w:t>ptah</w:t>
      </w:r>
      <w:proofErr w:type="spellEnd"/>
      <w:r w:rsidRPr="00C815F1">
        <w:rPr>
          <w:sz w:val="24"/>
          <w:szCs w:val="24"/>
        </w:rPr>
        <w:t xml:space="preserve">, </w:t>
      </w:r>
      <w:r>
        <w:rPr>
          <w:sz w:val="24"/>
          <w:szCs w:val="24"/>
        </w:rPr>
        <w:t xml:space="preserve">who faced similar military and political problems. The descriptions of Ramesses’ </w:t>
      </w:r>
      <w:r w:rsidRPr="00C815F1">
        <w:rPr>
          <w:sz w:val="24"/>
          <w:szCs w:val="24"/>
        </w:rPr>
        <w:t xml:space="preserve">recognition as heir, </w:t>
      </w:r>
      <w:r>
        <w:rPr>
          <w:sz w:val="24"/>
          <w:szCs w:val="24"/>
        </w:rPr>
        <w:t xml:space="preserve">his </w:t>
      </w:r>
      <w:r w:rsidRPr="00C815F1">
        <w:rPr>
          <w:sz w:val="24"/>
          <w:szCs w:val="24"/>
        </w:rPr>
        <w:t xml:space="preserve">accession, campaigns, and their results </w:t>
      </w:r>
      <w:r>
        <w:rPr>
          <w:sz w:val="24"/>
          <w:szCs w:val="24"/>
        </w:rPr>
        <w:t xml:space="preserve">then </w:t>
      </w:r>
      <w:r w:rsidRPr="00C815F1">
        <w:rPr>
          <w:sz w:val="24"/>
          <w:szCs w:val="24"/>
        </w:rPr>
        <w:t>fall into styles entirely familiar from the inscriptions of the period</w:t>
      </w:r>
      <w:r>
        <w:rPr>
          <w:rStyle w:val="FootnoteReference"/>
          <w:sz w:val="24"/>
          <w:szCs w:val="24"/>
        </w:rPr>
        <w:footnoteReference w:id="59"/>
      </w:r>
      <w:r w:rsidRPr="00C815F1">
        <w:rPr>
          <w:sz w:val="24"/>
          <w:szCs w:val="24"/>
        </w:rPr>
        <w:t>:</w:t>
      </w:r>
    </w:p>
    <w:p w:rsidR="00CE32A3" w:rsidRPr="005D7215" w:rsidRDefault="00CE32A3" w:rsidP="00992714">
      <w:pPr>
        <w:tabs>
          <w:tab w:val="left" w:pos="567"/>
        </w:tabs>
        <w:spacing w:line="360" w:lineRule="auto"/>
        <w:contextualSpacing/>
        <w:rPr>
          <w:sz w:val="24"/>
          <w:szCs w:val="24"/>
        </w:rPr>
      </w:pPr>
    </w:p>
    <w:p w:rsidR="00CE32A3" w:rsidRPr="00CB0106" w:rsidRDefault="00CE32A3" w:rsidP="00CB0106">
      <w:pPr>
        <w:tabs>
          <w:tab w:val="left" w:pos="567"/>
        </w:tabs>
        <w:spacing w:line="360" w:lineRule="auto"/>
        <w:ind w:left="180"/>
        <w:contextualSpacing/>
        <w:rPr>
          <w:rFonts w:cs="Minion-Regular"/>
          <w:szCs w:val="20"/>
          <w:lang w:val="en-US"/>
        </w:rPr>
      </w:pPr>
      <w:r w:rsidRPr="00CB0106">
        <w:rPr>
          <w:rFonts w:cs="Minion-Regular"/>
          <w:szCs w:val="20"/>
          <w:lang w:val="en-US"/>
        </w:rPr>
        <w:t xml:space="preserve">I made the entire land flourish with trees and plants (? </w:t>
      </w:r>
      <w:proofErr w:type="spellStart"/>
      <w:r w:rsidRPr="00CB0106">
        <w:rPr>
          <w:rFonts w:ascii="Trlit_CG Times" w:hAnsi="Trlit_CG Times" w:cs="TransliterationItalic"/>
          <w:i/>
          <w:iCs/>
          <w:szCs w:val="20"/>
          <w:lang w:val="en-US"/>
        </w:rPr>
        <w:t>AxAx</w:t>
      </w:r>
      <w:proofErr w:type="spellEnd"/>
      <w:r w:rsidRPr="00CB0106">
        <w:rPr>
          <w:rFonts w:cs="Minion-Regular"/>
          <w:szCs w:val="20"/>
          <w:lang w:val="en-US"/>
        </w:rPr>
        <w:t>). I caused</w:t>
      </w:r>
      <w:r w:rsidRPr="00CB0106">
        <w:rPr>
          <w:szCs w:val="20"/>
        </w:rPr>
        <w:t xml:space="preserve"> </w:t>
      </w:r>
      <w:r w:rsidRPr="00CB0106">
        <w:rPr>
          <w:rFonts w:cs="Minion-Regular"/>
          <w:szCs w:val="20"/>
          <w:lang w:val="en-US"/>
        </w:rPr>
        <w:t>the populace (</w:t>
      </w:r>
      <w:proofErr w:type="spellStart"/>
      <w:r w:rsidRPr="00CB0106">
        <w:rPr>
          <w:rFonts w:ascii="Trlit_CG Times" w:hAnsi="Trlit_CG Times" w:cs="TransliterationItalic"/>
          <w:i/>
          <w:iCs/>
          <w:szCs w:val="20"/>
          <w:lang w:val="en-US"/>
        </w:rPr>
        <w:t>rxyt</w:t>
      </w:r>
      <w:proofErr w:type="spellEnd"/>
      <w:r w:rsidRPr="00CB0106">
        <w:rPr>
          <w:rFonts w:cs="Minion-Regular"/>
          <w:szCs w:val="20"/>
          <w:lang w:val="en-US"/>
        </w:rPr>
        <w:t>) to live (</w:t>
      </w:r>
      <w:proofErr w:type="spellStart"/>
      <w:r w:rsidRPr="00CB0106">
        <w:rPr>
          <w:rFonts w:ascii="Trlit_CG Times" w:hAnsi="Trlit_CG Times" w:cs="TransliterationItalic"/>
          <w:i/>
          <w:iCs/>
          <w:szCs w:val="20"/>
          <w:lang w:val="en-US"/>
        </w:rPr>
        <w:t>Hmsi</w:t>
      </w:r>
      <w:proofErr w:type="spellEnd"/>
      <w:r w:rsidRPr="00CB0106">
        <w:rPr>
          <w:rFonts w:cs="Minion-Regular"/>
          <w:szCs w:val="20"/>
          <w:lang w:val="en-US"/>
        </w:rPr>
        <w:t>) in their shade. I ensured that the</w:t>
      </w:r>
      <w:r w:rsidRPr="00CB0106">
        <w:rPr>
          <w:szCs w:val="20"/>
        </w:rPr>
        <w:t xml:space="preserve"> </w:t>
      </w:r>
      <w:r w:rsidRPr="00CB0106">
        <w:rPr>
          <w:rFonts w:cs="Minion-Regular"/>
          <w:szCs w:val="20"/>
          <w:lang w:val="en-US"/>
        </w:rPr>
        <w:t>woman of Egypt went about where she wanted, with nobody else molesting</w:t>
      </w:r>
      <w:r w:rsidRPr="00CB0106">
        <w:rPr>
          <w:szCs w:val="20"/>
        </w:rPr>
        <w:t xml:space="preserve"> </w:t>
      </w:r>
      <w:r w:rsidRPr="00CB0106">
        <w:rPr>
          <w:rFonts w:cs="Minion-Regular"/>
          <w:szCs w:val="20"/>
          <w:lang w:val="en-US"/>
        </w:rPr>
        <w:t xml:space="preserve">her on the road. I caused the army and </w:t>
      </w:r>
      <w:proofErr w:type="spellStart"/>
      <w:r w:rsidRPr="00CB0106">
        <w:rPr>
          <w:rFonts w:cs="Minion-Regular"/>
          <w:szCs w:val="20"/>
          <w:lang w:val="en-US"/>
        </w:rPr>
        <w:t>chariotry</w:t>
      </w:r>
      <w:proofErr w:type="spellEnd"/>
      <w:r w:rsidRPr="00CB0106">
        <w:rPr>
          <w:rFonts w:cs="Minion-Regular"/>
          <w:szCs w:val="20"/>
          <w:lang w:val="en-US"/>
        </w:rPr>
        <w:t xml:space="preserve"> to rest (</w:t>
      </w:r>
      <w:proofErr w:type="spellStart"/>
      <w:r w:rsidRPr="00CB0106">
        <w:rPr>
          <w:rFonts w:ascii="Trlit_CG Times" w:hAnsi="Trlit_CG Times" w:cs="TransliterationItalic"/>
          <w:i/>
          <w:iCs/>
          <w:szCs w:val="20"/>
          <w:lang w:val="en-US"/>
        </w:rPr>
        <w:t>Hmsi</w:t>
      </w:r>
      <w:proofErr w:type="spellEnd"/>
      <w:r w:rsidRPr="00CB0106">
        <w:rPr>
          <w:rFonts w:cs="Minion-Regular"/>
          <w:szCs w:val="20"/>
          <w:lang w:val="en-US"/>
        </w:rPr>
        <w:t>)</w:t>
      </w:r>
      <w:r w:rsidRPr="00CB0106">
        <w:rPr>
          <w:szCs w:val="20"/>
        </w:rPr>
        <w:t xml:space="preserve"> </w:t>
      </w:r>
      <w:r w:rsidRPr="00CB0106">
        <w:rPr>
          <w:rFonts w:cs="Minion-Regular"/>
          <w:szCs w:val="20"/>
          <w:lang w:val="en-US"/>
        </w:rPr>
        <w:t>in my time</w:t>
      </w:r>
      <w:r>
        <w:rPr>
          <w:rFonts w:cs="Minion-Regular"/>
          <w:szCs w:val="20"/>
          <w:lang w:val="en-US"/>
        </w:rPr>
        <w:t xml:space="preserve"> – </w:t>
      </w:r>
      <w:r w:rsidRPr="00CB0106">
        <w:rPr>
          <w:rFonts w:cs="Minion-Regular"/>
          <w:szCs w:val="20"/>
          <w:lang w:val="en-US"/>
        </w:rPr>
        <w:t xml:space="preserve">the </w:t>
      </w:r>
      <w:proofErr w:type="spellStart"/>
      <w:r w:rsidRPr="00CB0106">
        <w:rPr>
          <w:rFonts w:cs="Minion-Regular"/>
          <w:szCs w:val="20"/>
          <w:lang w:val="en-US"/>
        </w:rPr>
        <w:t>Sherden</w:t>
      </w:r>
      <w:proofErr w:type="spellEnd"/>
      <w:r w:rsidRPr="00CB0106">
        <w:rPr>
          <w:rFonts w:cs="Minion-Regular"/>
          <w:szCs w:val="20"/>
          <w:lang w:val="en-US"/>
        </w:rPr>
        <w:t xml:space="preserve">, </w:t>
      </w:r>
      <w:proofErr w:type="spellStart"/>
      <w:r w:rsidRPr="00CB0106">
        <w:rPr>
          <w:rFonts w:cs="Minion-Regular"/>
          <w:szCs w:val="20"/>
          <w:lang w:val="en-US"/>
        </w:rPr>
        <w:t>Qeheq</w:t>
      </w:r>
      <w:proofErr w:type="spellEnd"/>
      <w:r w:rsidRPr="00CB0106">
        <w:rPr>
          <w:rFonts w:cs="Minion-Regular"/>
          <w:szCs w:val="20"/>
          <w:lang w:val="en-US"/>
        </w:rPr>
        <w:t xml:space="preserve"> in their towns (</w:t>
      </w:r>
      <w:proofErr w:type="spellStart"/>
      <w:r w:rsidRPr="00CB0106">
        <w:rPr>
          <w:rFonts w:ascii="Trlit_CG Times" w:hAnsi="Trlit_CG Times" w:cs="Minion-Italic"/>
          <w:i/>
          <w:iCs/>
          <w:szCs w:val="20"/>
          <w:lang w:val="en-US"/>
        </w:rPr>
        <w:t>dmi</w:t>
      </w:r>
      <w:proofErr w:type="spellEnd"/>
      <w:r w:rsidRPr="00CB0106">
        <w:rPr>
          <w:rFonts w:ascii="Trlit_CG Times" w:hAnsi="Trlit_CG Times" w:cs="Minion-Regular"/>
          <w:szCs w:val="20"/>
          <w:lang w:val="en-US"/>
        </w:rPr>
        <w:t>)</w:t>
      </w:r>
      <w:r w:rsidRPr="00CB0106">
        <w:rPr>
          <w:rFonts w:cs="Minion-Regular"/>
          <w:szCs w:val="20"/>
          <w:lang w:val="en-US"/>
        </w:rPr>
        <w:t>, lying on their</w:t>
      </w:r>
      <w:r w:rsidRPr="00CB0106">
        <w:rPr>
          <w:szCs w:val="20"/>
        </w:rPr>
        <w:t xml:space="preserve"> </w:t>
      </w:r>
      <w:r w:rsidRPr="00CB0106">
        <w:rPr>
          <w:rFonts w:cs="Minion-Regular"/>
          <w:szCs w:val="20"/>
          <w:lang w:val="en-US"/>
        </w:rPr>
        <w:t>backs, unperturbed, without Nubian conflict, nor Syrian war</w:t>
      </w:r>
      <w:r>
        <w:rPr>
          <w:rFonts w:cs="Minion-Regular"/>
          <w:szCs w:val="20"/>
          <w:lang w:val="en-US"/>
        </w:rPr>
        <w:t xml:space="preserve"> – </w:t>
      </w:r>
      <w:r w:rsidRPr="00CB0106">
        <w:rPr>
          <w:rFonts w:cs="Minion-Regular"/>
          <w:szCs w:val="20"/>
          <w:lang w:val="en-US"/>
        </w:rPr>
        <w:t>their</w:t>
      </w:r>
      <w:r w:rsidRPr="00CB0106">
        <w:rPr>
          <w:szCs w:val="20"/>
        </w:rPr>
        <w:t xml:space="preserve"> </w:t>
      </w:r>
      <w:r w:rsidRPr="00CB0106">
        <w:rPr>
          <w:rFonts w:cs="Minion-Regular"/>
          <w:szCs w:val="20"/>
          <w:lang w:val="en-US"/>
        </w:rPr>
        <w:t>bows and equipment put into storage.</w:t>
      </w:r>
    </w:p>
    <w:p w:rsidR="00CE32A3" w:rsidRPr="00C815F1" w:rsidRDefault="00CE32A3" w:rsidP="00992714">
      <w:pPr>
        <w:tabs>
          <w:tab w:val="left" w:pos="567"/>
        </w:tabs>
        <w:spacing w:line="360" w:lineRule="auto"/>
        <w:ind w:left="227"/>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The initial list of those to whom the king speaks is broadly phrased, but is not outside what one expects in an inscription of his reign</w:t>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Default="00CE32A3" w:rsidP="00FE4D50">
      <w:pPr>
        <w:tabs>
          <w:tab w:val="left" w:pos="567"/>
        </w:tabs>
        <w:spacing w:line="360" w:lineRule="auto"/>
        <w:ind w:left="180"/>
        <w:contextualSpacing/>
        <w:rPr>
          <w:szCs w:val="20"/>
        </w:rPr>
      </w:pPr>
      <w:proofErr w:type="gramStart"/>
      <w:r w:rsidRPr="00FE4D50">
        <w:rPr>
          <w:szCs w:val="20"/>
        </w:rPr>
        <w:t>to</w:t>
      </w:r>
      <w:proofErr w:type="gramEnd"/>
      <w:r w:rsidRPr="00FE4D50">
        <w:rPr>
          <w:szCs w:val="20"/>
        </w:rPr>
        <w:t xml:space="preserve"> magistrates, leaders of the land, army and cavalry, </w:t>
      </w:r>
      <w:proofErr w:type="spellStart"/>
      <w:r w:rsidRPr="00FE4D50">
        <w:rPr>
          <w:szCs w:val="20"/>
        </w:rPr>
        <w:t>Sherden</w:t>
      </w:r>
      <w:proofErr w:type="spellEnd"/>
      <w:r w:rsidRPr="00FE4D50">
        <w:rPr>
          <w:szCs w:val="20"/>
        </w:rPr>
        <w:t xml:space="preserve">, the ordinary archers, all living-ones of the Land of </w:t>
      </w:r>
      <w:proofErr w:type="spellStart"/>
      <w:r w:rsidRPr="00FE4D50">
        <w:rPr>
          <w:szCs w:val="20"/>
        </w:rPr>
        <w:t>Tameri</w:t>
      </w:r>
      <w:proofErr w:type="spellEnd"/>
      <w:r w:rsidRPr="00FE4D50">
        <w:rPr>
          <w:szCs w:val="20"/>
        </w:rPr>
        <w:t>. Listen as</w:t>
      </w:r>
      <w:r>
        <w:rPr>
          <w:szCs w:val="20"/>
        </w:rPr>
        <w:t xml:space="preserve"> </w:t>
      </w:r>
      <w:r w:rsidRPr="00FE4D50">
        <w:rPr>
          <w:szCs w:val="20"/>
        </w:rPr>
        <w:t>(?) I cause you to know about my benefits (</w:t>
      </w:r>
      <w:proofErr w:type="spellStart"/>
      <w:r w:rsidRPr="00FE4D50">
        <w:rPr>
          <w:rFonts w:ascii="Trlit_CG Times" w:hAnsi="Trlit_CG Times"/>
          <w:szCs w:val="20"/>
        </w:rPr>
        <w:t>Axw</w:t>
      </w:r>
      <w:proofErr w:type="spellEnd"/>
      <w:r w:rsidRPr="00FE4D50">
        <w:rPr>
          <w:szCs w:val="20"/>
        </w:rPr>
        <w:t>) which I performed when I was king.</w:t>
      </w:r>
    </w:p>
    <w:p w:rsidR="00CE32A3" w:rsidRPr="00FE4D50" w:rsidRDefault="00CE32A3" w:rsidP="00FE4D50">
      <w:pPr>
        <w:tabs>
          <w:tab w:val="left" w:pos="567"/>
        </w:tabs>
        <w:spacing w:line="360" w:lineRule="auto"/>
        <w:ind w:left="180"/>
        <w:contextualSpacing/>
        <w:rPr>
          <w:szCs w:val="20"/>
        </w:rPr>
      </w:pPr>
    </w:p>
    <w:p w:rsidR="00CE32A3" w:rsidRPr="00C815F1" w:rsidRDefault="00CE32A3" w:rsidP="00992714">
      <w:pPr>
        <w:tabs>
          <w:tab w:val="left" w:pos="567"/>
        </w:tabs>
        <w:spacing w:line="360" w:lineRule="auto"/>
        <w:contextualSpacing/>
        <w:rPr>
          <w:sz w:val="24"/>
          <w:szCs w:val="24"/>
        </w:rPr>
      </w:pPr>
      <w:r w:rsidRPr="00C815F1">
        <w:rPr>
          <w:sz w:val="24"/>
          <w:szCs w:val="24"/>
        </w:rPr>
        <w:lastRenderedPageBreak/>
        <w:t>The real exception, that it is a text post-mortem, legitimising Ramesses IV, is the oddity: it is otherwise in the format of a royal inscription. Access to, or readability o</w:t>
      </w:r>
      <w:r>
        <w:rPr>
          <w:sz w:val="24"/>
          <w:szCs w:val="24"/>
        </w:rPr>
        <w:t>f that text is untestable. O</w:t>
      </w:r>
      <w:r w:rsidRPr="00C815F1">
        <w:rPr>
          <w:sz w:val="24"/>
          <w:szCs w:val="24"/>
        </w:rPr>
        <w:t xml:space="preserve">ne can hardly take seriously </w:t>
      </w:r>
      <w:proofErr w:type="spellStart"/>
      <w:r w:rsidRPr="00CB0106">
        <w:rPr>
          <w:smallCaps/>
          <w:sz w:val="24"/>
          <w:szCs w:val="24"/>
        </w:rPr>
        <w:t>Grandet</w:t>
      </w:r>
      <w:r w:rsidRPr="00C815F1">
        <w:rPr>
          <w:sz w:val="24"/>
          <w:szCs w:val="24"/>
        </w:rPr>
        <w:t>’s</w:t>
      </w:r>
      <w:proofErr w:type="spellEnd"/>
      <w:r w:rsidRPr="00C815F1">
        <w:rPr>
          <w:sz w:val="24"/>
          <w:szCs w:val="24"/>
        </w:rPr>
        <w:t xml:space="preserve"> suggestion that the entire papyrus was posted up as some sort of public notice</w:t>
      </w:r>
      <w:r>
        <w:rPr>
          <w:sz w:val="24"/>
          <w:szCs w:val="24"/>
        </w:rPr>
        <w:t>,</w:t>
      </w:r>
      <w:r w:rsidRPr="00C815F1">
        <w:rPr>
          <w:sz w:val="24"/>
          <w:szCs w:val="24"/>
        </w:rPr>
        <w:t xml:space="preserve"> but the particular section does fit as well as other inscriptions of the period into a vision of formal recitation to an audience</w:t>
      </w:r>
      <w:r>
        <w:rPr>
          <w:sz w:val="24"/>
          <w:szCs w:val="24"/>
        </w:rPr>
        <w:t xml:space="preserve"> on a formal occasion</w:t>
      </w:r>
      <w:r w:rsidRPr="00C815F1">
        <w:rPr>
          <w:rStyle w:val="FootnoteReference"/>
          <w:sz w:val="24"/>
          <w:szCs w:val="24"/>
        </w:rPr>
        <w:footnoteReference w:id="60"/>
      </w:r>
      <w:r w:rsidRPr="00C815F1">
        <w:rPr>
          <w:sz w:val="24"/>
          <w:szCs w:val="24"/>
        </w:rPr>
        <w:t xml:space="preserve">. </w:t>
      </w:r>
    </w:p>
    <w:p w:rsidR="00CE32A3" w:rsidRDefault="00CE32A3" w:rsidP="00992714">
      <w:pPr>
        <w:tabs>
          <w:tab w:val="left" w:pos="567"/>
        </w:tabs>
        <w:spacing w:line="360" w:lineRule="auto"/>
        <w:contextualSpacing/>
        <w:rPr>
          <w:sz w:val="24"/>
          <w:szCs w:val="24"/>
        </w:rPr>
      </w:pPr>
      <w:r w:rsidRPr="00C815F1">
        <w:rPr>
          <w:sz w:val="24"/>
          <w:szCs w:val="24"/>
        </w:rPr>
        <w:tab/>
        <w:t xml:space="preserve">The inscriptions, whether more rhetorical or more documentary, provide the primary source for </w:t>
      </w:r>
      <w:r>
        <w:rPr>
          <w:sz w:val="24"/>
          <w:szCs w:val="24"/>
        </w:rPr>
        <w:t xml:space="preserve">modern </w:t>
      </w:r>
      <w:r w:rsidRPr="00C815F1">
        <w:rPr>
          <w:sz w:val="24"/>
          <w:szCs w:val="24"/>
        </w:rPr>
        <w:t>reconstruction of historical narrative</w:t>
      </w:r>
      <w:r>
        <w:rPr>
          <w:sz w:val="24"/>
          <w:szCs w:val="24"/>
        </w:rPr>
        <w:t xml:space="preserve">, and are too frequently then valued according to their potential for </w:t>
      </w:r>
      <w:r w:rsidRPr="00934BF2">
        <w:rPr>
          <w:sz w:val="24"/>
          <w:szCs w:val="24"/>
        </w:rPr>
        <w:t>reconstructing an objective</w:t>
      </w:r>
      <w:r>
        <w:rPr>
          <w:sz w:val="24"/>
          <w:szCs w:val="24"/>
        </w:rPr>
        <w:t xml:space="preserve"> sequence of historical facts. </w:t>
      </w:r>
      <w:r w:rsidRPr="00C815F1">
        <w:rPr>
          <w:sz w:val="24"/>
          <w:szCs w:val="24"/>
        </w:rPr>
        <w:t xml:space="preserve">The </w:t>
      </w:r>
      <w:r>
        <w:rPr>
          <w:sz w:val="24"/>
          <w:szCs w:val="24"/>
        </w:rPr>
        <w:t>use of</w:t>
      </w:r>
      <w:r w:rsidRPr="00C815F1">
        <w:rPr>
          <w:sz w:val="24"/>
          <w:szCs w:val="24"/>
        </w:rPr>
        <w:t xml:space="preserve"> historical narrative is, however, equally central to </w:t>
      </w:r>
      <w:proofErr w:type="spellStart"/>
      <w:r w:rsidRPr="00C815F1">
        <w:rPr>
          <w:sz w:val="24"/>
          <w:szCs w:val="24"/>
        </w:rPr>
        <w:t>Ramesside</w:t>
      </w:r>
      <w:proofErr w:type="spellEnd"/>
      <w:r w:rsidRPr="00C815F1">
        <w:rPr>
          <w:sz w:val="24"/>
          <w:szCs w:val="24"/>
        </w:rPr>
        <w:t xml:space="preserve"> narratives on papyrus. While classical Egyptian literature is characteristically situated in a past of indeterminate depth,</w:t>
      </w:r>
      <w:r>
        <w:rPr>
          <w:sz w:val="24"/>
          <w:szCs w:val="24"/>
        </w:rPr>
        <w:t xml:space="preserve"> </w:t>
      </w:r>
      <w:r w:rsidRPr="00C815F1">
        <w:rPr>
          <w:sz w:val="24"/>
          <w:szCs w:val="24"/>
        </w:rPr>
        <w:t xml:space="preserve">the sorts of story that appear in the </w:t>
      </w:r>
      <w:proofErr w:type="spellStart"/>
      <w:r w:rsidRPr="00C815F1">
        <w:rPr>
          <w:sz w:val="24"/>
          <w:szCs w:val="24"/>
        </w:rPr>
        <w:t>Ramesside</w:t>
      </w:r>
      <w:proofErr w:type="spellEnd"/>
      <w:r w:rsidRPr="00C815F1">
        <w:rPr>
          <w:sz w:val="24"/>
          <w:szCs w:val="24"/>
        </w:rPr>
        <w:t xml:space="preserve"> </w:t>
      </w:r>
      <w:r>
        <w:rPr>
          <w:sz w:val="24"/>
          <w:szCs w:val="24"/>
        </w:rPr>
        <w:t>P</w:t>
      </w:r>
      <w:r w:rsidRPr="00C815F1">
        <w:rPr>
          <w:sz w:val="24"/>
          <w:szCs w:val="24"/>
        </w:rPr>
        <w:t xml:space="preserve">eriod include works that have as specific a focus on events as </w:t>
      </w:r>
      <w:r w:rsidRPr="00D95D45">
        <w:rPr>
          <w:sz w:val="24"/>
          <w:szCs w:val="24"/>
        </w:rPr>
        <w:t>autobiography and inscriptions do: notably the Taking of Joppa, Apop</w:t>
      </w:r>
      <w:r>
        <w:rPr>
          <w:sz w:val="24"/>
          <w:szCs w:val="24"/>
        </w:rPr>
        <w:t>h</w:t>
      </w:r>
      <w:r w:rsidRPr="00D95D45">
        <w:rPr>
          <w:sz w:val="24"/>
          <w:szCs w:val="24"/>
        </w:rPr>
        <w:t xml:space="preserve">is and </w:t>
      </w:r>
      <w:proofErr w:type="spellStart"/>
      <w:r w:rsidRPr="00D95D45">
        <w:rPr>
          <w:sz w:val="24"/>
          <w:szCs w:val="24"/>
        </w:rPr>
        <w:t>Seqenenre</w:t>
      </w:r>
      <w:proofErr w:type="spellEnd"/>
      <w:r w:rsidRPr="00D95D45">
        <w:rPr>
          <w:sz w:val="24"/>
          <w:szCs w:val="24"/>
        </w:rPr>
        <w:t xml:space="preserve">, the Turin Story about </w:t>
      </w:r>
      <w:proofErr w:type="spellStart"/>
      <w:r w:rsidRPr="00D95D45">
        <w:rPr>
          <w:sz w:val="24"/>
          <w:szCs w:val="24"/>
        </w:rPr>
        <w:t>Tuthmosis</w:t>
      </w:r>
      <w:proofErr w:type="spellEnd"/>
      <w:r w:rsidRPr="00D95D45">
        <w:rPr>
          <w:sz w:val="24"/>
          <w:szCs w:val="24"/>
        </w:rPr>
        <w:t xml:space="preserve"> III, and </w:t>
      </w:r>
      <w:r w:rsidRPr="00D95D45">
        <w:rPr>
          <w:sz w:val="24"/>
          <w:szCs w:val="24"/>
          <w:lang w:eastAsia="en-GB"/>
        </w:rPr>
        <w:t>Louvre N3136 about Ramesses III</w:t>
      </w:r>
      <w:r w:rsidRPr="00D95D45">
        <w:rPr>
          <w:rStyle w:val="FootnoteReference"/>
          <w:sz w:val="24"/>
          <w:szCs w:val="24"/>
          <w:lang w:eastAsia="en-GB"/>
        </w:rPr>
        <w:footnoteReference w:id="61"/>
      </w:r>
      <w:r w:rsidRPr="00D95D45">
        <w:rPr>
          <w:sz w:val="24"/>
          <w:szCs w:val="24"/>
        </w:rPr>
        <w:t>, but</w:t>
      </w:r>
      <w:r w:rsidRPr="00C815F1">
        <w:rPr>
          <w:sz w:val="24"/>
          <w:szCs w:val="24"/>
        </w:rPr>
        <w:t xml:space="preserve"> the Doomed Prince as well</w:t>
      </w:r>
      <w:r>
        <w:rPr>
          <w:sz w:val="24"/>
          <w:szCs w:val="24"/>
        </w:rPr>
        <w:t xml:space="preserve">: a use of history that is seen slightly earlier in the stories of Papyrus </w:t>
      </w:r>
      <w:proofErr w:type="spellStart"/>
      <w:r>
        <w:rPr>
          <w:sz w:val="24"/>
          <w:szCs w:val="24"/>
        </w:rPr>
        <w:t>Westcar</w:t>
      </w:r>
      <w:proofErr w:type="spellEnd"/>
      <w:r>
        <w:rPr>
          <w:sz w:val="24"/>
          <w:szCs w:val="24"/>
        </w:rPr>
        <w:t xml:space="preserve">, but probably also in the Eloquent Peasant and even </w:t>
      </w:r>
      <w:proofErr w:type="spellStart"/>
      <w:r>
        <w:rPr>
          <w:sz w:val="24"/>
          <w:szCs w:val="24"/>
        </w:rPr>
        <w:t>Sinuhe</w:t>
      </w:r>
      <w:proofErr w:type="spellEnd"/>
      <w:r>
        <w:rPr>
          <w:sz w:val="24"/>
          <w:szCs w:val="24"/>
        </w:rPr>
        <w:t>.</w:t>
      </w:r>
      <w:r w:rsidRPr="00C815F1">
        <w:rPr>
          <w:sz w:val="24"/>
          <w:szCs w:val="24"/>
        </w:rPr>
        <w:t xml:space="preserve"> Most particularly they have the character of the historical narratives that appear in Herodotus </w:t>
      </w:r>
      <w:r>
        <w:rPr>
          <w:sz w:val="24"/>
          <w:szCs w:val="24"/>
        </w:rPr>
        <w:t xml:space="preserve">and </w:t>
      </w:r>
      <w:proofErr w:type="spellStart"/>
      <w:r w:rsidRPr="00C815F1">
        <w:rPr>
          <w:sz w:val="24"/>
          <w:szCs w:val="24"/>
        </w:rPr>
        <w:t>Manetho</w:t>
      </w:r>
      <w:proofErr w:type="spellEnd"/>
      <w:r w:rsidRPr="00C815F1">
        <w:rPr>
          <w:sz w:val="24"/>
          <w:szCs w:val="24"/>
        </w:rPr>
        <w:t xml:space="preserve"> as history, </w:t>
      </w:r>
      <w:r w:rsidRPr="00934BF2">
        <w:rPr>
          <w:sz w:val="24"/>
          <w:szCs w:val="24"/>
        </w:rPr>
        <w:t>and where the</w:t>
      </w:r>
      <w:r>
        <w:rPr>
          <w:sz w:val="24"/>
          <w:szCs w:val="24"/>
        </w:rPr>
        <w:t xml:space="preserve"> generic link through</w:t>
      </w:r>
      <w:r w:rsidRPr="00C815F1">
        <w:rPr>
          <w:sz w:val="24"/>
          <w:szCs w:val="24"/>
        </w:rPr>
        <w:t xml:space="preserve"> Demotic historical narratives, can be demonstrated directly</w:t>
      </w:r>
      <w:r>
        <w:rPr>
          <w:rStyle w:val="FootnoteReference"/>
          <w:sz w:val="24"/>
          <w:szCs w:val="24"/>
        </w:rPr>
        <w:footnoteReference w:id="62"/>
      </w:r>
      <w:r w:rsidRPr="00C815F1">
        <w:rPr>
          <w:sz w:val="24"/>
          <w:szCs w:val="24"/>
        </w:rPr>
        <w:t xml:space="preserve">. </w:t>
      </w:r>
      <w:r>
        <w:rPr>
          <w:sz w:val="24"/>
          <w:szCs w:val="24"/>
        </w:rPr>
        <w:t>The interplay between fiction and non-</w:t>
      </w:r>
      <w:proofErr w:type="spellStart"/>
      <w:r>
        <w:rPr>
          <w:sz w:val="24"/>
          <w:szCs w:val="24"/>
        </w:rPr>
        <w:t>fictionality</w:t>
      </w:r>
      <w:proofErr w:type="spellEnd"/>
      <w:r>
        <w:rPr>
          <w:sz w:val="24"/>
          <w:szCs w:val="24"/>
        </w:rPr>
        <w:t xml:space="preserve"> is particularly strong in the Story of </w:t>
      </w:r>
      <w:proofErr w:type="spellStart"/>
      <w:r>
        <w:rPr>
          <w:sz w:val="24"/>
          <w:szCs w:val="24"/>
        </w:rPr>
        <w:t>Wenamun</w:t>
      </w:r>
      <w:proofErr w:type="spellEnd"/>
      <w:r>
        <w:rPr>
          <w:sz w:val="24"/>
          <w:szCs w:val="24"/>
        </w:rPr>
        <w:t xml:space="preserve">: currently (like </w:t>
      </w:r>
      <w:proofErr w:type="spellStart"/>
      <w:r>
        <w:rPr>
          <w:sz w:val="24"/>
          <w:szCs w:val="24"/>
        </w:rPr>
        <w:t>Sinuhe</w:t>
      </w:r>
      <w:proofErr w:type="spellEnd"/>
      <w:r>
        <w:rPr>
          <w:sz w:val="24"/>
          <w:szCs w:val="24"/>
        </w:rPr>
        <w:t xml:space="preserve">) taken as a work of fiction, it exploits the non-fictional format of a letter of report, and seems to mark a movement to a more extended, less markedly episodic story-telling. The relationship between story-telling and historiography – what became native knowledge of the past – is then visible in inscriptional form in the Ptolemaic </w:t>
      </w:r>
      <w:proofErr w:type="spellStart"/>
      <w:r>
        <w:rPr>
          <w:sz w:val="24"/>
          <w:szCs w:val="24"/>
        </w:rPr>
        <w:t>Bentresh</w:t>
      </w:r>
      <w:proofErr w:type="spellEnd"/>
      <w:r>
        <w:rPr>
          <w:sz w:val="24"/>
          <w:szCs w:val="24"/>
        </w:rPr>
        <w:t xml:space="preserve"> Stela: presented as a narrative of events in the reign of Ramesses II – as history – its date and purpose of composition seem at least to be post-</w:t>
      </w:r>
      <w:proofErr w:type="spellStart"/>
      <w:r>
        <w:rPr>
          <w:sz w:val="24"/>
          <w:szCs w:val="24"/>
        </w:rPr>
        <w:t>Ramesside</w:t>
      </w:r>
      <w:proofErr w:type="spellEnd"/>
      <w:r>
        <w:rPr>
          <w:rStyle w:val="FootnoteReference"/>
          <w:sz w:val="24"/>
          <w:szCs w:val="24"/>
        </w:rPr>
        <w:footnoteReference w:id="63"/>
      </w:r>
      <w:r>
        <w:rPr>
          <w:sz w:val="24"/>
          <w:szCs w:val="24"/>
        </w:rPr>
        <w:t xml:space="preserve">. </w:t>
      </w:r>
    </w:p>
    <w:p w:rsidR="00CE32A3" w:rsidRDefault="00CE32A3" w:rsidP="00992714">
      <w:pPr>
        <w:tabs>
          <w:tab w:val="left" w:pos="567"/>
        </w:tabs>
        <w:spacing w:line="360" w:lineRule="auto"/>
        <w:contextualSpacing/>
        <w:rPr>
          <w:sz w:val="24"/>
          <w:szCs w:val="24"/>
        </w:rPr>
      </w:pPr>
    </w:p>
    <w:p w:rsidR="00CE32A3" w:rsidRPr="00BA1846" w:rsidRDefault="00CE32A3" w:rsidP="00992714">
      <w:pPr>
        <w:tabs>
          <w:tab w:val="left" w:pos="567"/>
        </w:tabs>
        <w:spacing w:line="360" w:lineRule="auto"/>
        <w:contextualSpacing/>
        <w:rPr>
          <w:sz w:val="24"/>
          <w:szCs w:val="24"/>
        </w:rPr>
      </w:pPr>
      <w:r w:rsidRPr="00BA1846">
        <w:rPr>
          <w:sz w:val="24"/>
          <w:szCs w:val="24"/>
        </w:rPr>
        <w:lastRenderedPageBreak/>
        <w:t>Narrative as history and myth</w:t>
      </w:r>
    </w:p>
    <w:p w:rsidR="00CE32A3" w:rsidRDefault="00CE32A3" w:rsidP="00992714">
      <w:pPr>
        <w:tabs>
          <w:tab w:val="left" w:pos="567"/>
        </w:tabs>
        <w:spacing w:line="360" w:lineRule="auto"/>
        <w:contextualSpacing/>
        <w:rPr>
          <w:sz w:val="24"/>
          <w:szCs w:val="24"/>
          <w:lang w:eastAsia="en-GB"/>
        </w:rPr>
      </w:pPr>
    </w:p>
    <w:p w:rsidR="00CE32A3" w:rsidRPr="00563EA4" w:rsidRDefault="00CE32A3" w:rsidP="00992714">
      <w:pPr>
        <w:tabs>
          <w:tab w:val="left" w:pos="567"/>
        </w:tabs>
        <w:spacing w:line="360" w:lineRule="auto"/>
        <w:contextualSpacing/>
        <w:rPr>
          <w:sz w:val="24"/>
          <w:szCs w:val="24"/>
          <w:lang w:eastAsia="en-GB"/>
        </w:rPr>
      </w:pPr>
      <w:r w:rsidRPr="00E97EDA">
        <w:rPr>
          <w:sz w:val="24"/>
          <w:szCs w:val="24"/>
          <w:lang w:eastAsia="en-GB"/>
        </w:rPr>
        <w:t xml:space="preserve">The context is </w:t>
      </w:r>
      <w:r>
        <w:rPr>
          <w:sz w:val="24"/>
          <w:szCs w:val="24"/>
          <w:lang w:eastAsia="en-GB"/>
        </w:rPr>
        <w:t>one in</w:t>
      </w:r>
      <w:r w:rsidRPr="00E97EDA">
        <w:rPr>
          <w:sz w:val="24"/>
          <w:szCs w:val="24"/>
          <w:lang w:eastAsia="en-GB"/>
        </w:rPr>
        <w:t xml:space="preserve"> which history is a form of </w:t>
      </w:r>
      <w:r>
        <w:rPr>
          <w:sz w:val="24"/>
          <w:szCs w:val="24"/>
          <w:lang w:eastAsia="en-GB"/>
        </w:rPr>
        <w:t>story-telling,</w:t>
      </w:r>
      <w:r w:rsidRPr="00E97EDA">
        <w:rPr>
          <w:sz w:val="24"/>
          <w:szCs w:val="24"/>
          <w:lang w:eastAsia="en-GB"/>
        </w:rPr>
        <w:t xml:space="preserve"> exploiting multiple genres: like Herodotus, </w:t>
      </w:r>
      <w:proofErr w:type="spellStart"/>
      <w:r w:rsidRPr="00E97EDA">
        <w:rPr>
          <w:sz w:val="24"/>
          <w:szCs w:val="24"/>
          <w:lang w:eastAsia="en-GB"/>
        </w:rPr>
        <w:t>Manetho</w:t>
      </w:r>
      <w:proofErr w:type="spellEnd"/>
      <w:r w:rsidRPr="00E97EDA">
        <w:rPr>
          <w:sz w:val="24"/>
          <w:szCs w:val="24"/>
          <w:lang w:eastAsia="en-GB"/>
        </w:rPr>
        <w:t>, and their roots in Demotic Romances, so the</w:t>
      </w:r>
      <w:r>
        <w:rPr>
          <w:sz w:val="24"/>
          <w:szCs w:val="24"/>
          <w:lang w:eastAsia="en-GB"/>
        </w:rPr>
        <w:t xml:space="preserve"> New Kingdom</w:t>
      </w:r>
      <w:r w:rsidRPr="00E97EDA">
        <w:rPr>
          <w:sz w:val="24"/>
          <w:szCs w:val="24"/>
          <w:lang w:eastAsia="en-GB"/>
        </w:rPr>
        <w:t xml:space="preserve"> rooting of narratives in </w:t>
      </w:r>
      <w:r>
        <w:rPr>
          <w:sz w:val="24"/>
          <w:szCs w:val="24"/>
          <w:lang w:eastAsia="en-GB"/>
        </w:rPr>
        <w:t xml:space="preserve">historical events, Cheops, </w:t>
      </w:r>
      <w:proofErr w:type="spellStart"/>
      <w:r>
        <w:rPr>
          <w:sz w:val="24"/>
          <w:szCs w:val="24"/>
          <w:lang w:eastAsia="en-GB"/>
        </w:rPr>
        <w:t>Sesostris</w:t>
      </w:r>
      <w:proofErr w:type="spellEnd"/>
      <w:r w:rsidRPr="00E97EDA">
        <w:rPr>
          <w:sz w:val="24"/>
          <w:szCs w:val="24"/>
          <w:lang w:eastAsia="en-GB"/>
        </w:rPr>
        <w:t xml:space="preserve">, </w:t>
      </w:r>
      <w:proofErr w:type="spellStart"/>
      <w:r w:rsidRPr="00E97EDA">
        <w:rPr>
          <w:sz w:val="24"/>
          <w:szCs w:val="24"/>
          <w:lang w:eastAsia="en-GB"/>
        </w:rPr>
        <w:t>Tuthmosis</w:t>
      </w:r>
      <w:proofErr w:type="spellEnd"/>
      <w:r w:rsidRPr="00E97EDA">
        <w:rPr>
          <w:sz w:val="24"/>
          <w:szCs w:val="24"/>
          <w:lang w:eastAsia="en-GB"/>
        </w:rPr>
        <w:t xml:space="preserve"> III and Ramesses II are the prime, but not only examples.</w:t>
      </w:r>
      <w:r>
        <w:rPr>
          <w:sz w:val="24"/>
          <w:szCs w:val="24"/>
          <w:lang w:eastAsia="en-GB"/>
        </w:rPr>
        <w:t xml:space="preserve"> </w:t>
      </w:r>
      <w:r>
        <w:rPr>
          <w:sz w:val="24"/>
          <w:szCs w:val="24"/>
        </w:rPr>
        <w:t>It</w:t>
      </w:r>
      <w:r w:rsidRPr="00C815F1">
        <w:rPr>
          <w:sz w:val="24"/>
          <w:szCs w:val="24"/>
        </w:rPr>
        <w:t xml:space="preserve"> is </w:t>
      </w:r>
      <w:r>
        <w:rPr>
          <w:sz w:val="24"/>
          <w:szCs w:val="24"/>
        </w:rPr>
        <w:t xml:space="preserve">not </w:t>
      </w:r>
      <w:r w:rsidRPr="00C815F1">
        <w:rPr>
          <w:sz w:val="24"/>
          <w:szCs w:val="24"/>
        </w:rPr>
        <w:t xml:space="preserve">quite enough to explain this, as </w:t>
      </w:r>
      <w:proofErr w:type="spellStart"/>
      <w:r w:rsidRPr="00BA1846">
        <w:rPr>
          <w:smallCaps/>
          <w:sz w:val="24"/>
          <w:szCs w:val="24"/>
        </w:rPr>
        <w:t>Manassa</w:t>
      </w:r>
      <w:proofErr w:type="spellEnd"/>
      <w:r w:rsidRPr="00C815F1">
        <w:rPr>
          <w:sz w:val="24"/>
          <w:szCs w:val="24"/>
        </w:rPr>
        <w:t xml:space="preserve"> recently </w:t>
      </w:r>
      <w:r w:rsidRPr="00E97EDA">
        <w:rPr>
          <w:sz w:val="24"/>
          <w:szCs w:val="24"/>
        </w:rPr>
        <w:t xml:space="preserve">does, on the basis that </w:t>
      </w:r>
      <w:r w:rsidRPr="00E97EDA">
        <w:rPr>
          <w:sz w:val="24"/>
          <w:szCs w:val="24"/>
          <w:lang w:eastAsia="en-GB"/>
        </w:rPr>
        <w:t>‘history itself was found to be entertaining’</w:t>
      </w:r>
      <w:r w:rsidRPr="00E97EDA">
        <w:rPr>
          <w:rStyle w:val="FootnoteReference"/>
          <w:sz w:val="24"/>
          <w:szCs w:val="24"/>
          <w:lang w:eastAsia="en-GB"/>
        </w:rPr>
        <w:footnoteReference w:id="64"/>
      </w:r>
      <w:r w:rsidRPr="00E97EDA">
        <w:rPr>
          <w:sz w:val="24"/>
          <w:szCs w:val="24"/>
          <w:lang w:eastAsia="en-GB"/>
        </w:rPr>
        <w:t>.</w:t>
      </w:r>
      <w:r>
        <w:rPr>
          <w:sz w:val="24"/>
          <w:szCs w:val="24"/>
          <w:lang w:eastAsia="en-GB"/>
        </w:rPr>
        <w:t xml:space="preserve"> On the one hand there is the formality – ideologically normative and </w:t>
      </w:r>
      <w:r w:rsidRPr="001E336E">
        <w:rPr>
          <w:sz w:val="24"/>
          <w:szCs w:val="24"/>
          <w:lang w:eastAsia="en-GB"/>
        </w:rPr>
        <w:t xml:space="preserve">characteristically humour-free – of the inscriptions, against the characteristically ironic and satirical humour of the papyrus narratives. </w:t>
      </w:r>
      <w:proofErr w:type="spellStart"/>
      <w:r w:rsidRPr="001E336E">
        <w:rPr>
          <w:sz w:val="24"/>
          <w:szCs w:val="24"/>
          <w:lang w:eastAsia="en-GB"/>
        </w:rPr>
        <w:t>Ramesside</w:t>
      </w:r>
      <w:proofErr w:type="spellEnd"/>
      <w:r w:rsidRPr="001E336E">
        <w:rPr>
          <w:sz w:val="24"/>
          <w:szCs w:val="24"/>
          <w:lang w:eastAsia="en-GB"/>
        </w:rPr>
        <w:t xml:space="preserve"> stories focus on the behaviour of the great – typically royal or divine characters – and their fallibility, so</w:t>
      </w:r>
      <w:r>
        <w:rPr>
          <w:sz w:val="24"/>
          <w:szCs w:val="24"/>
          <w:lang w:eastAsia="en-GB"/>
        </w:rPr>
        <w:t xml:space="preserve"> that the rare examples of illustrated narrative on papyrus are also satirical in their engagement with formal ideology: the interplay between inscriptional and papyrus genre is marked by that between an engagement with public seriousness and audience entertainment: a theme that is rather less marked in the Middle Kingdom stories of </w:t>
      </w:r>
      <w:proofErr w:type="spellStart"/>
      <w:r>
        <w:rPr>
          <w:sz w:val="24"/>
          <w:szCs w:val="24"/>
          <w:lang w:eastAsia="en-GB"/>
        </w:rPr>
        <w:t>Sinuhe</w:t>
      </w:r>
      <w:proofErr w:type="spellEnd"/>
      <w:r>
        <w:rPr>
          <w:sz w:val="24"/>
          <w:szCs w:val="24"/>
          <w:lang w:eastAsia="en-GB"/>
        </w:rPr>
        <w:t xml:space="preserve"> </w:t>
      </w:r>
      <w:r w:rsidRPr="00354F48">
        <w:rPr>
          <w:sz w:val="24"/>
          <w:szCs w:val="24"/>
          <w:lang w:eastAsia="en-GB"/>
        </w:rPr>
        <w:t>and the Eloquent Peasant,</w:t>
      </w:r>
      <w:r>
        <w:rPr>
          <w:sz w:val="24"/>
          <w:szCs w:val="24"/>
          <w:lang w:eastAsia="en-GB"/>
        </w:rPr>
        <w:t xml:space="preserve"> which carry a stronger didactic seriousness in their </w:t>
      </w:r>
      <w:proofErr w:type="spellStart"/>
      <w:r>
        <w:rPr>
          <w:sz w:val="24"/>
          <w:szCs w:val="24"/>
          <w:lang w:eastAsia="en-GB"/>
        </w:rPr>
        <w:t>performability</w:t>
      </w:r>
      <w:proofErr w:type="spellEnd"/>
      <w:r>
        <w:rPr>
          <w:sz w:val="24"/>
          <w:szCs w:val="24"/>
          <w:lang w:eastAsia="en-GB"/>
        </w:rPr>
        <w:t>.</w:t>
      </w:r>
      <w:r w:rsidRPr="00C815F1">
        <w:rPr>
          <w:color w:val="FF0000"/>
          <w:sz w:val="24"/>
          <w:szCs w:val="24"/>
          <w:lang w:eastAsia="en-GB"/>
        </w:rPr>
        <w:tab/>
      </w:r>
    </w:p>
    <w:p w:rsidR="00CE32A3" w:rsidRPr="001E336E" w:rsidRDefault="00CE32A3" w:rsidP="00992714">
      <w:pPr>
        <w:tabs>
          <w:tab w:val="left" w:pos="567"/>
        </w:tabs>
        <w:spacing w:line="360" w:lineRule="auto"/>
        <w:ind w:firstLine="720"/>
        <w:contextualSpacing/>
        <w:rPr>
          <w:sz w:val="24"/>
          <w:szCs w:val="24"/>
        </w:rPr>
      </w:pPr>
      <w:r>
        <w:rPr>
          <w:sz w:val="24"/>
          <w:szCs w:val="24"/>
        </w:rPr>
        <w:t xml:space="preserve">When </w:t>
      </w:r>
      <w:proofErr w:type="spellStart"/>
      <w:r w:rsidRPr="00C815F1">
        <w:rPr>
          <w:sz w:val="24"/>
          <w:szCs w:val="24"/>
        </w:rPr>
        <w:t>Ramesside</w:t>
      </w:r>
      <w:proofErr w:type="spellEnd"/>
      <w:r w:rsidRPr="00C815F1">
        <w:rPr>
          <w:sz w:val="24"/>
          <w:szCs w:val="24"/>
        </w:rPr>
        <w:t xml:space="preserve"> Stories overlap with, and contextualise myth</w:t>
      </w:r>
      <w:r>
        <w:rPr>
          <w:sz w:val="24"/>
          <w:szCs w:val="24"/>
        </w:rPr>
        <w:t>, they humanise deities even more than kings</w:t>
      </w:r>
      <w:r w:rsidRPr="00C815F1">
        <w:rPr>
          <w:sz w:val="24"/>
          <w:szCs w:val="24"/>
        </w:rPr>
        <w:t>: Horus and Seth, Two Brothers, Truth and Falsehood</w:t>
      </w:r>
      <w:r>
        <w:rPr>
          <w:sz w:val="24"/>
          <w:szCs w:val="24"/>
        </w:rPr>
        <w:t xml:space="preserve">. They do this, however, at </w:t>
      </w:r>
      <w:r w:rsidRPr="00C815F1">
        <w:rPr>
          <w:sz w:val="24"/>
          <w:szCs w:val="24"/>
        </w:rPr>
        <w:t>a level that is not itself obviously ‘popular’</w:t>
      </w:r>
      <w:r>
        <w:rPr>
          <w:sz w:val="24"/>
          <w:szCs w:val="24"/>
        </w:rPr>
        <w:t xml:space="preserve"> in the necessary awareness of mythology and theology</w:t>
      </w:r>
      <w:r>
        <w:rPr>
          <w:rStyle w:val="FootnoteReference"/>
          <w:sz w:val="24"/>
          <w:szCs w:val="24"/>
        </w:rPr>
        <w:footnoteReference w:id="65"/>
      </w:r>
      <w:r>
        <w:rPr>
          <w:sz w:val="24"/>
          <w:szCs w:val="24"/>
        </w:rPr>
        <w:t>.</w:t>
      </w:r>
      <w:r w:rsidRPr="00C815F1">
        <w:rPr>
          <w:sz w:val="24"/>
          <w:szCs w:val="24"/>
        </w:rPr>
        <w:t xml:space="preserve"> It is not clear how one might tell whether these themes represent the intrusion of informal narrative genres into a more formal performance, or even written context, or whether its genesis – characteristically ironical, satirical, joking – derives from a play on the formal more apparently functional-context narrative, seen </w:t>
      </w:r>
      <w:r>
        <w:rPr>
          <w:sz w:val="24"/>
          <w:szCs w:val="24"/>
        </w:rPr>
        <w:t xml:space="preserve">in </w:t>
      </w:r>
      <w:r w:rsidRPr="00C815F1">
        <w:rPr>
          <w:sz w:val="24"/>
          <w:szCs w:val="24"/>
        </w:rPr>
        <w:t>ins</w:t>
      </w:r>
      <w:r>
        <w:rPr>
          <w:sz w:val="24"/>
          <w:szCs w:val="24"/>
        </w:rPr>
        <w:t xml:space="preserve">criptions. </w:t>
      </w:r>
      <w:r w:rsidRPr="00C815F1">
        <w:rPr>
          <w:sz w:val="24"/>
          <w:szCs w:val="24"/>
        </w:rPr>
        <w:t>The parallel with the appearance of love poetry</w:t>
      </w:r>
      <w:r w:rsidRPr="00C815F1">
        <w:rPr>
          <w:rStyle w:val="FootnoteReference"/>
          <w:sz w:val="24"/>
          <w:szCs w:val="24"/>
        </w:rPr>
        <w:footnoteReference w:id="66"/>
      </w:r>
      <w:r w:rsidRPr="00C815F1">
        <w:rPr>
          <w:sz w:val="24"/>
          <w:szCs w:val="24"/>
        </w:rPr>
        <w:t xml:space="preserve"> falls into the same area: whether it is a </w:t>
      </w:r>
      <w:proofErr w:type="spellStart"/>
      <w:r w:rsidRPr="00C815F1">
        <w:rPr>
          <w:sz w:val="24"/>
          <w:szCs w:val="24"/>
        </w:rPr>
        <w:t>Ramesside</w:t>
      </w:r>
      <w:proofErr w:type="spellEnd"/>
      <w:r w:rsidRPr="00C815F1">
        <w:rPr>
          <w:sz w:val="24"/>
          <w:szCs w:val="24"/>
        </w:rPr>
        <w:t xml:space="preserve"> intrusion of the </w:t>
      </w:r>
      <w:r w:rsidRPr="00C815F1">
        <w:rPr>
          <w:sz w:val="24"/>
          <w:szCs w:val="24"/>
        </w:rPr>
        <w:lastRenderedPageBreak/>
        <w:t xml:space="preserve">popular, or the appearance in writing of an oral </w:t>
      </w:r>
      <w:proofErr w:type="spellStart"/>
      <w:r w:rsidRPr="00C815F1">
        <w:rPr>
          <w:sz w:val="24"/>
          <w:szCs w:val="24"/>
        </w:rPr>
        <w:t>performatory</w:t>
      </w:r>
      <w:proofErr w:type="spellEnd"/>
      <w:r w:rsidRPr="00C815F1">
        <w:rPr>
          <w:sz w:val="24"/>
          <w:szCs w:val="24"/>
        </w:rPr>
        <w:t xml:space="preserve"> style. Stylistically love poetry is complex, both linguistically and thematically, and it survives on manuscripts which contain narratives: </w:t>
      </w:r>
      <w:proofErr w:type="spellStart"/>
      <w:r>
        <w:rPr>
          <w:sz w:val="24"/>
          <w:szCs w:val="24"/>
        </w:rPr>
        <w:t>p</w:t>
      </w:r>
      <w:r w:rsidRPr="00C815F1">
        <w:rPr>
          <w:sz w:val="24"/>
          <w:szCs w:val="24"/>
        </w:rPr>
        <w:t>Chester</w:t>
      </w:r>
      <w:proofErr w:type="spellEnd"/>
      <w:r w:rsidRPr="00C815F1">
        <w:rPr>
          <w:sz w:val="24"/>
          <w:szCs w:val="24"/>
        </w:rPr>
        <w:t xml:space="preserve"> Beatty I with the Story of Horus and Seth</w:t>
      </w:r>
      <w:r>
        <w:rPr>
          <w:rStyle w:val="FootnoteReference"/>
          <w:sz w:val="24"/>
          <w:szCs w:val="24"/>
        </w:rPr>
        <w:footnoteReference w:id="67"/>
      </w:r>
      <w:r w:rsidRPr="00C815F1">
        <w:rPr>
          <w:sz w:val="24"/>
          <w:szCs w:val="24"/>
        </w:rPr>
        <w:t xml:space="preserve">, and </w:t>
      </w:r>
      <w:proofErr w:type="spellStart"/>
      <w:r>
        <w:rPr>
          <w:sz w:val="24"/>
          <w:szCs w:val="24"/>
        </w:rPr>
        <w:t>p</w:t>
      </w:r>
      <w:r w:rsidRPr="001E336E">
        <w:rPr>
          <w:sz w:val="24"/>
          <w:szCs w:val="24"/>
        </w:rPr>
        <w:t>Harris</w:t>
      </w:r>
      <w:proofErr w:type="spellEnd"/>
      <w:r w:rsidRPr="001E336E">
        <w:rPr>
          <w:sz w:val="24"/>
          <w:szCs w:val="24"/>
        </w:rPr>
        <w:t xml:space="preserve"> 500, with the Doomed Prince and the Taking of Joppa, as well as the copy of the Harper’s Song of </w:t>
      </w:r>
      <w:proofErr w:type="spellStart"/>
      <w:r w:rsidRPr="001E336E">
        <w:rPr>
          <w:sz w:val="24"/>
          <w:szCs w:val="24"/>
        </w:rPr>
        <w:t>Antef</w:t>
      </w:r>
      <w:proofErr w:type="spellEnd"/>
      <w:r w:rsidRPr="001E336E">
        <w:rPr>
          <w:rStyle w:val="FootnoteReference"/>
          <w:sz w:val="24"/>
          <w:szCs w:val="24"/>
        </w:rPr>
        <w:footnoteReference w:id="68"/>
      </w:r>
      <w:r w:rsidRPr="001E336E">
        <w:rPr>
          <w:sz w:val="24"/>
          <w:szCs w:val="24"/>
        </w:rPr>
        <w:t xml:space="preserve">. The contexts of copying, ownership and use evidently overlap, whatever the specific use might be. </w:t>
      </w:r>
    </w:p>
    <w:p w:rsidR="00CE32A3" w:rsidRPr="00772A61" w:rsidRDefault="00CE32A3" w:rsidP="00992714">
      <w:pPr>
        <w:tabs>
          <w:tab w:val="left" w:pos="567"/>
        </w:tabs>
        <w:spacing w:line="360" w:lineRule="auto"/>
        <w:contextualSpacing/>
        <w:rPr>
          <w:sz w:val="24"/>
          <w:szCs w:val="24"/>
        </w:rPr>
      </w:pPr>
      <w:r w:rsidRPr="001E336E">
        <w:rPr>
          <w:sz w:val="24"/>
          <w:szCs w:val="24"/>
        </w:rPr>
        <w:tab/>
        <w:t xml:space="preserve">Evaluation of </w:t>
      </w:r>
      <w:proofErr w:type="spellStart"/>
      <w:r w:rsidRPr="001E336E">
        <w:rPr>
          <w:sz w:val="24"/>
          <w:szCs w:val="24"/>
        </w:rPr>
        <w:t>Ramesside</w:t>
      </w:r>
      <w:proofErr w:type="spellEnd"/>
      <w:r w:rsidRPr="001E336E">
        <w:rPr>
          <w:sz w:val="24"/>
          <w:szCs w:val="24"/>
        </w:rPr>
        <w:t xml:space="preserve"> narrative has characteristically sought to find relationships with a genre of folk-literature: itself rather problematic as a (universal) genre</w:t>
      </w:r>
      <w:r w:rsidRPr="001E336E">
        <w:rPr>
          <w:rStyle w:val="FootnoteReference"/>
          <w:sz w:val="24"/>
          <w:szCs w:val="24"/>
        </w:rPr>
        <w:footnoteReference w:id="69"/>
      </w:r>
      <w:r w:rsidRPr="001E336E">
        <w:rPr>
          <w:sz w:val="24"/>
          <w:szCs w:val="24"/>
        </w:rPr>
        <w:t xml:space="preserve">. </w:t>
      </w:r>
      <w:r w:rsidRPr="001E336E">
        <w:rPr>
          <w:sz w:val="24"/>
          <w:szCs w:val="24"/>
          <w:lang w:eastAsia="en-GB"/>
        </w:rPr>
        <w:t>In papyrus narratives the balance between apparently serious and apparently</w:t>
      </w:r>
      <w:r w:rsidRPr="00955ACF">
        <w:rPr>
          <w:sz w:val="24"/>
          <w:szCs w:val="24"/>
          <w:lang w:eastAsia="en-GB"/>
        </w:rPr>
        <w:t xml:space="preserve"> idle narrative tends to be distinguished in </w:t>
      </w:r>
      <w:proofErr w:type="spellStart"/>
      <w:r w:rsidRPr="00955ACF">
        <w:rPr>
          <w:sz w:val="24"/>
          <w:szCs w:val="24"/>
          <w:lang w:eastAsia="en-GB"/>
        </w:rPr>
        <w:t>Egyptological</w:t>
      </w:r>
      <w:proofErr w:type="spellEnd"/>
      <w:r w:rsidRPr="00955ACF">
        <w:rPr>
          <w:sz w:val="24"/>
          <w:szCs w:val="24"/>
          <w:lang w:eastAsia="en-GB"/>
        </w:rPr>
        <w:t xml:space="preserve"> commentary as the contrast between a high and a low tradition. </w:t>
      </w:r>
      <w:r w:rsidRPr="00C815F1">
        <w:rPr>
          <w:sz w:val="24"/>
          <w:szCs w:val="24"/>
        </w:rPr>
        <w:t xml:space="preserve"> </w:t>
      </w:r>
      <w:r>
        <w:rPr>
          <w:sz w:val="24"/>
          <w:szCs w:val="24"/>
        </w:rPr>
        <w:t>Yet this model is</w:t>
      </w:r>
      <w:r w:rsidRPr="00C815F1">
        <w:rPr>
          <w:sz w:val="24"/>
          <w:szCs w:val="24"/>
        </w:rPr>
        <w:t xml:space="preserve"> not properly embedded as a functioning culture-specific model</w:t>
      </w:r>
      <w:r>
        <w:rPr>
          <w:sz w:val="24"/>
          <w:szCs w:val="24"/>
        </w:rPr>
        <w:t xml:space="preserve"> in Egypt</w:t>
      </w:r>
      <w:r>
        <w:rPr>
          <w:rStyle w:val="FootnoteReference"/>
          <w:sz w:val="24"/>
          <w:szCs w:val="24"/>
        </w:rPr>
        <w:footnoteReference w:id="70"/>
      </w:r>
      <w:r>
        <w:rPr>
          <w:sz w:val="24"/>
          <w:szCs w:val="24"/>
        </w:rPr>
        <w:t>. I</w:t>
      </w:r>
      <w:r w:rsidRPr="00C815F1">
        <w:rPr>
          <w:sz w:val="24"/>
          <w:szCs w:val="24"/>
        </w:rPr>
        <w:t xml:space="preserve">t is somehow difficult to envisage the </w:t>
      </w:r>
      <w:proofErr w:type="spellStart"/>
      <w:r w:rsidRPr="00C815F1">
        <w:rPr>
          <w:sz w:val="24"/>
          <w:szCs w:val="24"/>
        </w:rPr>
        <w:t>Ramesside</w:t>
      </w:r>
      <w:proofErr w:type="spellEnd"/>
      <w:r w:rsidRPr="00C815F1">
        <w:rPr>
          <w:sz w:val="24"/>
          <w:szCs w:val="24"/>
        </w:rPr>
        <w:t xml:space="preserve"> scribal class – the owners of the relevant papyri: </w:t>
      </w:r>
      <w:proofErr w:type="spellStart"/>
      <w:r w:rsidRPr="00C815F1">
        <w:rPr>
          <w:sz w:val="24"/>
          <w:szCs w:val="24"/>
        </w:rPr>
        <w:t>Pentaweret</w:t>
      </w:r>
      <w:proofErr w:type="spellEnd"/>
      <w:r w:rsidRPr="00C815F1">
        <w:rPr>
          <w:sz w:val="24"/>
          <w:szCs w:val="24"/>
        </w:rPr>
        <w:t xml:space="preserve">, or </w:t>
      </w:r>
      <w:proofErr w:type="spellStart"/>
      <w:r w:rsidRPr="00C815F1">
        <w:rPr>
          <w:sz w:val="24"/>
          <w:szCs w:val="24"/>
        </w:rPr>
        <w:t>Qeniherkhopeshef</w:t>
      </w:r>
      <w:proofErr w:type="spellEnd"/>
      <w:r w:rsidRPr="00C815F1">
        <w:rPr>
          <w:sz w:val="24"/>
          <w:szCs w:val="24"/>
        </w:rPr>
        <w:t xml:space="preserve"> – going out collecting </w:t>
      </w:r>
      <w:r>
        <w:rPr>
          <w:sz w:val="24"/>
          <w:szCs w:val="24"/>
        </w:rPr>
        <w:t xml:space="preserve">folk literature </w:t>
      </w:r>
      <w:r w:rsidRPr="00C815F1">
        <w:rPr>
          <w:sz w:val="24"/>
          <w:szCs w:val="24"/>
        </w:rPr>
        <w:t>among the peasants, on a par with 19</w:t>
      </w:r>
      <w:r>
        <w:rPr>
          <w:sz w:val="24"/>
          <w:szCs w:val="24"/>
        </w:rPr>
        <w:t>th</w:t>
      </w:r>
      <w:r w:rsidRPr="00C815F1">
        <w:rPr>
          <w:sz w:val="24"/>
          <w:szCs w:val="24"/>
        </w:rPr>
        <w:t xml:space="preserve"> Century folk-story collectors</w:t>
      </w:r>
      <w:r>
        <w:rPr>
          <w:rStyle w:val="FootnoteReference"/>
          <w:sz w:val="24"/>
          <w:szCs w:val="24"/>
        </w:rPr>
        <w:footnoteReference w:id="71"/>
      </w:r>
      <w:r w:rsidRPr="00C815F1">
        <w:rPr>
          <w:sz w:val="24"/>
          <w:szCs w:val="24"/>
        </w:rPr>
        <w:t xml:space="preserve">. </w:t>
      </w:r>
      <w:r>
        <w:rPr>
          <w:sz w:val="24"/>
          <w:szCs w:val="24"/>
        </w:rPr>
        <w:t>M</w:t>
      </w:r>
      <w:r w:rsidRPr="00C815F1">
        <w:rPr>
          <w:sz w:val="24"/>
          <w:szCs w:val="24"/>
        </w:rPr>
        <w:t>odels of performance literature in non-writing contexts, or limited writing contexts</w:t>
      </w:r>
      <w:r>
        <w:rPr>
          <w:sz w:val="24"/>
          <w:szCs w:val="24"/>
        </w:rPr>
        <w:t>, are, however, difficult to locate in specific cultural contexts. There remain serious problems of expectation</w:t>
      </w:r>
      <w:r w:rsidRPr="00C815F1">
        <w:rPr>
          <w:sz w:val="24"/>
          <w:szCs w:val="24"/>
        </w:rPr>
        <w:t xml:space="preserve"> about the nature of oral literature</w:t>
      </w:r>
      <w:r>
        <w:rPr>
          <w:sz w:val="24"/>
          <w:szCs w:val="24"/>
        </w:rPr>
        <w:t>, that are not easily rooted in ethnographic observation</w:t>
      </w:r>
      <w:r w:rsidRPr="00C815F1">
        <w:rPr>
          <w:sz w:val="24"/>
          <w:szCs w:val="24"/>
        </w:rPr>
        <w:t xml:space="preserve">: a tendency to use the term in a very loose way, when the real issue is one of conventions and occasions for formalised linguistic performance. </w:t>
      </w:r>
      <w:r>
        <w:rPr>
          <w:sz w:val="24"/>
          <w:szCs w:val="24"/>
        </w:rPr>
        <w:t xml:space="preserve">In principle, </w:t>
      </w:r>
      <w:r w:rsidRPr="00772A61">
        <w:rPr>
          <w:sz w:val="24"/>
          <w:szCs w:val="24"/>
        </w:rPr>
        <w:t xml:space="preserve">however, the </w:t>
      </w:r>
      <w:proofErr w:type="spellStart"/>
      <w:r w:rsidRPr="00772A61">
        <w:rPr>
          <w:sz w:val="24"/>
          <w:szCs w:val="24"/>
        </w:rPr>
        <w:t>Ramesside</w:t>
      </w:r>
      <w:proofErr w:type="spellEnd"/>
      <w:r w:rsidRPr="00772A61">
        <w:rPr>
          <w:sz w:val="24"/>
          <w:szCs w:val="24"/>
        </w:rPr>
        <w:t xml:space="preserve"> material permits an address to the interrelationships between art, </w:t>
      </w:r>
      <w:proofErr w:type="spellStart"/>
      <w:r w:rsidRPr="00772A61">
        <w:rPr>
          <w:sz w:val="24"/>
          <w:szCs w:val="24"/>
        </w:rPr>
        <w:t>fictionality</w:t>
      </w:r>
      <w:proofErr w:type="spellEnd"/>
      <w:r w:rsidRPr="00772A61">
        <w:rPr>
          <w:sz w:val="24"/>
          <w:szCs w:val="24"/>
        </w:rPr>
        <w:t xml:space="preserve"> and accessibility in the full range of written expression of narrative. </w:t>
      </w:r>
    </w:p>
    <w:p w:rsidR="00CE32A3" w:rsidRDefault="00CE32A3" w:rsidP="00992714">
      <w:pPr>
        <w:tabs>
          <w:tab w:val="left" w:pos="567"/>
        </w:tabs>
        <w:spacing w:line="360" w:lineRule="auto"/>
        <w:contextualSpacing/>
        <w:rPr>
          <w:color w:val="0000FF"/>
          <w:sz w:val="24"/>
          <w:szCs w:val="24"/>
        </w:rPr>
      </w:pPr>
      <w:r w:rsidRPr="00772A61">
        <w:rPr>
          <w:sz w:val="24"/>
          <w:szCs w:val="24"/>
        </w:rPr>
        <w:tab/>
        <w:t>The Stories of Horus and Seth and the Two Brothers, for i</w:t>
      </w:r>
      <w:r w:rsidR="00930469" w:rsidRPr="00772A61">
        <w:rPr>
          <w:sz w:val="24"/>
          <w:szCs w:val="24"/>
        </w:rPr>
        <w:t>nstance, are characterised by a structure based on short and self-contained</w:t>
      </w:r>
      <w:r w:rsidRPr="00772A61">
        <w:rPr>
          <w:sz w:val="24"/>
          <w:szCs w:val="24"/>
        </w:rPr>
        <w:t xml:space="preserve"> e</w:t>
      </w:r>
      <w:r w:rsidR="00930469" w:rsidRPr="00772A61">
        <w:rPr>
          <w:sz w:val="24"/>
          <w:szCs w:val="24"/>
        </w:rPr>
        <w:t xml:space="preserve">pisodes, </w:t>
      </w:r>
      <w:r w:rsidRPr="00772A61">
        <w:rPr>
          <w:sz w:val="24"/>
          <w:szCs w:val="24"/>
        </w:rPr>
        <w:t xml:space="preserve">and </w:t>
      </w:r>
      <w:r w:rsidR="00930469" w:rsidRPr="00772A61">
        <w:rPr>
          <w:sz w:val="24"/>
          <w:szCs w:val="24"/>
        </w:rPr>
        <w:t xml:space="preserve">by the use of </w:t>
      </w:r>
      <w:r w:rsidRPr="00772A61">
        <w:rPr>
          <w:sz w:val="24"/>
          <w:szCs w:val="24"/>
        </w:rPr>
        <w:t>verbal games</w:t>
      </w:r>
      <w:r w:rsidR="00D75875" w:rsidRPr="00772A61">
        <w:rPr>
          <w:sz w:val="24"/>
          <w:szCs w:val="24"/>
        </w:rPr>
        <w:t>:</w:t>
      </w:r>
      <w:r w:rsidR="00930469" w:rsidRPr="00772A61">
        <w:rPr>
          <w:sz w:val="24"/>
          <w:szCs w:val="24"/>
        </w:rPr>
        <w:t xml:space="preserve"> </w:t>
      </w:r>
      <w:r w:rsidR="00930469" w:rsidRPr="00772A61">
        <w:rPr>
          <w:i/>
          <w:sz w:val="24"/>
          <w:szCs w:val="24"/>
        </w:rPr>
        <w:t>doubles-entendres</w:t>
      </w:r>
      <w:r w:rsidR="00930469" w:rsidRPr="00772A61">
        <w:rPr>
          <w:sz w:val="24"/>
          <w:szCs w:val="24"/>
        </w:rPr>
        <w:t xml:space="preserve"> based on the sounds of words and phrases</w:t>
      </w:r>
      <w:r w:rsidR="00D75875" w:rsidRPr="00772A61">
        <w:rPr>
          <w:sz w:val="24"/>
          <w:szCs w:val="24"/>
        </w:rPr>
        <w:t xml:space="preserve">. These </w:t>
      </w:r>
      <w:r w:rsidRPr="00772A61">
        <w:rPr>
          <w:sz w:val="24"/>
          <w:szCs w:val="24"/>
        </w:rPr>
        <w:t>relate</w:t>
      </w:r>
      <w:r w:rsidR="00930469" w:rsidRPr="00772A61">
        <w:rPr>
          <w:sz w:val="24"/>
          <w:szCs w:val="24"/>
        </w:rPr>
        <w:t xml:space="preserve"> more obviously</w:t>
      </w:r>
      <w:r w:rsidRPr="00772A61">
        <w:rPr>
          <w:sz w:val="24"/>
          <w:szCs w:val="24"/>
        </w:rPr>
        <w:t xml:space="preserve"> to </w:t>
      </w:r>
      <w:r w:rsidR="00930469" w:rsidRPr="00772A61">
        <w:rPr>
          <w:sz w:val="24"/>
          <w:szCs w:val="24"/>
        </w:rPr>
        <w:t xml:space="preserve">a </w:t>
      </w:r>
      <w:proofErr w:type="spellStart"/>
      <w:r w:rsidRPr="00772A61">
        <w:rPr>
          <w:sz w:val="24"/>
          <w:szCs w:val="24"/>
        </w:rPr>
        <w:t>recitational</w:t>
      </w:r>
      <w:proofErr w:type="spellEnd"/>
      <w:r w:rsidRPr="00772A61">
        <w:rPr>
          <w:sz w:val="24"/>
          <w:szCs w:val="24"/>
        </w:rPr>
        <w:t xml:space="preserve"> performance</w:t>
      </w:r>
      <w:r w:rsidR="00D75875" w:rsidRPr="00772A61">
        <w:rPr>
          <w:sz w:val="24"/>
          <w:szCs w:val="24"/>
        </w:rPr>
        <w:t xml:space="preserve">, invoking reactions from </w:t>
      </w:r>
      <w:proofErr w:type="gramStart"/>
      <w:r w:rsidR="00D75875" w:rsidRPr="00772A61">
        <w:rPr>
          <w:sz w:val="24"/>
          <w:szCs w:val="24"/>
        </w:rPr>
        <w:t>a</w:t>
      </w:r>
      <w:proofErr w:type="gramEnd"/>
      <w:r w:rsidR="00D75875" w:rsidRPr="00772A61">
        <w:rPr>
          <w:sz w:val="24"/>
          <w:szCs w:val="24"/>
        </w:rPr>
        <w:t xml:space="preserve"> </w:t>
      </w:r>
      <w:proofErr w:type="spellStart"/>
      <w:r w:rsidR="00930469" w:rsidRPr="00772A61">
        <w:rPr>
          <w:sz w:val="24"/>
          <w:szCs w:val="24"/>
        </w:rPr>
        <w:t>a</w:t>
      </w:r>
      <w:proofErr w:type="spellEnd"/>
      <w:r w:rsidR="00930469" w:rsidRPr="00772A61">
        <w:rPr>
          <w:sz w:val="24"/>
          <w:szCs w:val="24"/>
        </w:rPr>
        <w:t xml:space="preserve"> live </w:t>
      </w:r>
      <w:r w:rsidRPr="00772A61">
        <w:rPr>
          <w:sz w:val="24"/>
          <w:szCs w:val="24"/>
        </w:rPr>
        <w:t>audience</w:t>
      </w:r>
      <w:r w:rsidR="00D75875" w:rsidRPr="00772A61">
        <w:rPr>
          <w:sz w:val="24"/>
          <w:szCs w:val="24"/>
        </w:rPr>
        <w:t>,</w:t>
      </w:r>
      <w:r w:rsidRPr="00772A61">
        <w:rPr>
          <w:sz w:val="24"/>
          <w:szCs w:val="24"/>
        </w:rPr>
        <w:t xml:space="preserve"> than </w:t>
      </w:r>
      <w:r w:rsidR="00930469" w:rsidRPr="00772A61">
        <w:rPr>
          <w:sz w:val="24"/>
          <w:szCs w:val="24"/>
        </w:rPr>
        <w:t xml:space="preserve">they do </w:t>
      </w:r>
      <w:r w:rsidRPr="00772A61">
        <w:rPr>
          <w:sz w:val="24"/>
          <w:szCs w:val="24"/>
        </w:rPr>
        <w:t>to the publication or dissemination of a written narrative. They invoke the participation of their audience in the same way as the contemporary love-</w:t>
      </w:r>
      <w:r>
        <w:rPr>
          <w:sz w:val="24"/>
          <w:szCs w:val="24"/>
        </w:rPr>
        <w:lastRenderedPageBreak/>
        <w:t>poetry</w:t>
      </w:r>
      <w:r>
        <w:rPr>
          <w:rStyle w:val="FootnoteReference"/>
          <w:sz w:val="24"/>
          <w:szCs w:val="24"/>
        </w:rPr>
        <w:footnoteReference w:id="72"/>
      </w:r>
      <w:r>
        <w:rPr>
          <w:sz w:val="24"/>
          <w:szCs w:val="24"/>
        </w:rPr>
        <w:t>, in ways quite different from a written publication</w:t>
      </w:r>
      <w:r w:rsidRPr="00C815F1">
        <w:rPr>
          <w:sz w:val="24"/>
          <w:szCs w:val="24"/>
        </w:rPr>
        <w:t xml:space="preserve">. </w:t>
      </w:r>
      <w:r>
        <w:rPr>
          <w:sz w:val="24"/>
          <w:szCs w:val="24"/>
        </w:rPr>
        <w:t xml:space="preserve">The </w:t>
      </w:r>
      <w:r w:rsidRPr="00C815F1">
        <w:rPr>
          <w:sz w:val="24"/>
          <w:szCs w:val="24"/>
        </w:rPr>
        <w:t>level of externalised knowledge necessary to participate fully in literature like</w:t>
      </w:r>
      <w:r>
        <w:rPr>
          <w:sz w:val="24"/>
          <w:szCs w:val="24"/>
        </w:rPr>
        <w:t xml:space="preserve"> this</w:t>
      </w:r>
      <w:r w:rsidRPr="00C815F1">
        <w:rPr>
          <w:sz w:val="24"/>
          <w:szCs w:val="24"/>
        </w:rPr>
        <w:t xml:space="preserve"> is not self-evident</w:t>
      </w:r>
      <w:r>
        <w:rPr>
          <w:sz w:val="24"/>
          <w:szCs w:val="24"/>
        </w:rPr>
        <w:t xml:space="preserve">. Egyptian literature is characteristically allusive – a general characteristic of oral literatures – not </w:t>
      </w:r>
      <w:r w:rsidRPr="00186E39">
        <w:rPr>
          <w:sz w:val="24"/>
          <w:szCs w:val="24"/>
        </w:rPr>
        <w:t xml:space="preserve">requiring narrative cohesion, much less the narrative continuity expected in modern writing. The theme of necessary knowledge is, however, an important criterion for considering the accessibility of different </w:t>
      </w:r>
      <w:proofErr w:type="spellStart"/>
      <w:r w:rsidRPr="00186E39">
        <w:rPr>
          <w:sz w:val="24"/>
          <w:szCs w:val="24"/>
        </w:rPr>
        <w:t>Ramesside</w:t>
      </w:r>
      <w:proofErr w:type="spellEnd"/>
      <w:r w:rsidRPr="00186E39">
        <w:rPr>
          <w:sz w:val="24"/>
          <w:szCs w:val="24"/>
        </w:rPr>
        <w:t xml:space="preserve"> narratives to specific audiences or publics. Engagement with content – for entertainment as much as communication – evidently requires a degree of cultural knowledge</w:t>
      </w:r>
      <w:r w:rsidRPr="00186E39">
        <w:rPr>
          <w:rStyle w:val="FootnoteReference"/>
          <w:sz w:val="24"/>
          <w:szCs w:val="24"/>
        </w:rPr>
        <w:footnoteReference w:id="73"/>
      </w:r>
      <w:r w:rsidRPr="00186E39">
        <w:rPr>
          <w:sz w:val="24"/>
          <w:szCs w:val="24"/>
        </w:rPr>
        <w:t>, but it is more likely that the surviving literary texts stand as evidence of a broad spectrum of cultural engagement with ritual knowledge than imply narrowly restricted, initiate access to the narratives. This is quite distinct from the episodic narrative of royal inscriptions and private autobiography, which fit events into what are evidently publically understood cultural and ideological norms.</w:t>
      </w:r>
      <w:r w:rsidRPr="00BF30FF">
        <w:rPr>
          <w:color w:val="0000FF"/>
          <w:sz w:val="24"/>
          <w:szCs w:val="24"/>
        </w:rPr>
        <w:t xml:space="preserve"> </w:t>
      </w:r>
    </w:p>
    <w:p w:rsidR="00CE32A3" w:rsidRDefault="00CE32A3" w:rsidP="00992714">
      <w:pPr>
        <w:tabs>
          <w:tab w:val="left" w:pos="567"/>
        </w:tabs>
        <w:spacing w:line="360" w:lineRule="auto"/>
        <w:contextualSpacing/>
        <w:rPr>
          <w:sz w:val="24"/>
          <w:szCs w:val="24"/>
        </w:rPr>
      </w:pPr>
      <w:r w:rsidRPr="00C61170">
        <w:rPr>
          <w:sz w:val="24"/>
          <w:szCs w:val="24"/>
        </w:rPr>
        <w:tab/>
        <w:t>The characteristically referential use of myth in ritual performance</w:t>
      </w:r>
      <w:r w:rsidRPr="00C61170">
        <w:rPr>
          <w:rStyle w:val="FootnoteReference"/>
          <w:sz w:val="24"/>
          <w:szCs w:val="24"/>
        </w:rPr>
        <w:footnoteReference w:id="74"/>
      </w:r>
      <w:r w:rsidRPr="00C61170">
        <w:rPr>
          <w:sz w:val="24"/>
          <w:szCs w:val="24"/>
        </w:rPr>
        <w:t xml:space="preserve">, provides a sort of anti-narrative, that is allusive but not fictional, suggesting a degree of initiation into restricted knowledge for full comprehension: a level of external, possibly restricted knowledge. But full comprehension is not necessary for different levels of participation around a performance, in the same way that lack of knowledge restricts cultural appreciation of (written) publication. </w:t>
      </w:r>
    </w:p>
    <w:p w:rsidR="00CE32A3" w:rsidRDefault="00CE32A3" w:rsidP="00992714">
      <w:pPr>
        <w:tabs>
          <w:tab w:val="left" w:pos="567"/>
        </w:tabs>
        <w:spacing w:line="360" w:lineRule="auto"/>
        <w:contextualSpacing/>
        <w:rPr>
          <w:sz w:val="24"/>
          <w:szCs w:val="24"/>
        </w:rPr>
      </w:pPr>
    </w:p>
    <w:p w:rsidR="00CE32A3" w:rsidRDefault="00CE32A3" w:rsidP="00992714">
      <w:pPr>
        <w:tabs>
          <w:tab w:val="left" w:pos="567"/>
        </w:tabs>
        <w:spacing w:line="360" w:lineRule="auto"/>
        <w:contextualSpacing/>
        <w:rPr>
          <w:sz w:val="24"/>
          <w:szCs w:val="24"/>
        </w:rPr>
      </w:pPr>
      <w:r w:rsidRPr="0086329B">
        <w:rPr>
          <w:sz w:val="24"/>
          <w:szCs w:val="24"/>
        </w:rPr>
        <w:t>Narrative as self-presentation</w:t>
      </w:r>
    </w:p>
    <w:p w:rsidR="00CE32A3" w:rsidRPr="0086329B" w:rsidRDefault="00CE32A3" w:rsidP="00992714">
      <w:pPr>
        <w:tabs>
          <w:tab w:val="left" w:pos="567"/>
        </w:tabs>
        <w:spacing w:line="360" w:lineRule="auto"/>
        <w:contextualSpacing/>
        <w:rPr>
          <w:sz w:val="24"/>
          <w:szCs w:val="24"/>
        </w:rPr>
      </w:pPr>
    </w:p>
    <w:p w:rsidR="00CE32A3" w:rsidRDefault="00CE32A3" w:rsidP="00992714">
      <w:pPr>
        <w:tabs>
          <w:tab w:val="left" w:pos="567"/>
        </w:tabs>
        <w:spacing w:line="360" w:lineRule="auto"/>
        <w:contextualSpacing/>
        <w:rPr>
          <w:sz w:val="24"/>
          <w:szCs w:val="24"/>
        </w:rPr>
      </w:pPr>
      <w:r w:rsidRPr="00C61170">
        <w:rPr>
          <w:sz w:val="24"/>
          <w:szCs w:val="24"/>
        </w:rPr>
        <w:t xml:space="preserve">The discourse in Egyptian genres of narrative self-praise uses exactly the same referential technique for characterisation in constructing the essentially non-narrative </w:t>
      </w:r>
      <w:proofErr w:type="spellStart"/>
      <w:r w:rsidRPr="00C61170">
        <w:rPr>
          <w:sz w:val="24"/>
          <w:szCs w:val="24"/>
        </w:rPr>
        <w:t>aretalogy</w:t>
      </w:r>
      <w:proofErr w:type="spellEnd"/>
      <w:r w:rsidRPr="00C61170">
        <w:rPr>
          <w:sz w:val="24"/>
          <w:szCs w:val="24"/>
        </w:rPr>
        <w:t xml:space="preserve"> of the</w:t>
      </w:r>
      <w:r w:rsidRPr="00C815F1">
        <w:rPr>
          <w:sz w:val="24"/>
          <w:szCs w:val="24"/>
        </w:rPr>
        <w:t xml:space="preserve"> </w:t>
      </w:r>
      <w:proofErr w:type="spellStart"/>
      <w:r w:rsidRPr="00C815F1">
        <w:rPr>
          <w:i/>
          <w:sz w:val="24"/>
          <w:szCs w:val="24"/>
        </w:rPr>
        <w:t>Idealbiographie</w:t>
      </w:r>
      <w:proofErr w:type="spellEnd"/>
      <w:r>
        <w:rPr>
          <w:sz w:val="24"/>
          <w:szCs w:val="24"/>
        </w:rPr>
        <w:t xml:space="preserve">. In contrast, </w:t>
      </w:r>
      <w:r w:rsidRPr="00C815F1">
        <w:rPr>
          <w:sz w:val="24"/>
          <w:szCs w:val="24"/>
        </w:rPr>
        <w:t>the more narrative-seeming language and structure of some</w:t>
      </w:r>
      <w:r>
        <w:rPr>
          <w:sz w:val="24"/>
          <w:szCs w:val="24"/>
        </w:rPr>
        <w:t xml:space="preserve"> New Kingdom autobiographies, which are more </w:t>
      </w:r>
      <w:r w:rsidRPr="00C815F1">
        <w:rPr>
          <w:sz w:val="24"/>
          <w:szCs w:val="24"/>
        </w:rPr>
        <w:t xml:space="preserve">direct and </w:t>
      </w:r>
      <w:r>
        <w:rPr>
          <w:sz w:val="24"/>
          <w:szCs w:val="24"/>
        </w:rPr>
        <w:lastRenderedPageBreak/>
        <w:t xml:space="preserve">include more </w:t>
      </w:r>
      <w:r w:rsidRPr="00C815F1">
        <w:rPr>
          <w:sz w:val="24"/>
          <w:szCs w:val="24"/>
        </w:rPr>
        <w:t>self-contained</w:t>
      </w:r>
      <w:r>
        <w:rPr>
          <w:sz w:val="24"/>
          <w:szCs w:val="24"/>
        </w:rPr>
        <w:t xml:space="preserve"> events, seem</w:t>
      </w:r>
      <w:r w:rsidRPr="00C815F1">
        <w:rPr>
          <w:sz w:val="24"/>
          <w:szCs w:val="24"/>
        </w:rPr>
        <w:t xml:space="preserve"> to address a broad public able and interested to discuss and comment</w:t>
      </w:r>
      <w:r>
        <w:rPr>
          <w:sz w:val="24"/>
          <w:szCs w:val="24"/>
        </w:rPr>
        <w:t xml:space="preserve">, in ways which seem </w:t>
      </w:r>
      <w:r w:rsidRPr="00C815F1">
        <w:rPr>
          <w:sz w:val="24"/>
          <w:szCs w:val="24"/>
        </w:rPr>
        <w:t>to show a relationship to papyrus stories.</w:t>
      </w:r>
      <w:r>
        <w:rPr>
          <w:sz w:val="24"/>
          <w:szCs w:val="24"/>
        </w:rPr>
        <w:t xml:space="preserve"> </w:t>
      </w:r>
      <w:r w:rsidRPr="00C815F1">
        <w:rPr>
          <w:sz w:val="24"/>
          <w:szCs w:val="24"/>
        </w:rPr>
        <w:t xml:space="preserve">The </w:t>
      </w:r>
      <w:proofErr w:type="spellStart"/>
      <w:r w:rsidRPr="00C815F1">
        <w:rPr>
          <w:sz w:val="24"/>
          <w:szCs w:val="24"/>
        </w:rPr>
        <w:t>Ramesside</w:t>
      </w:r>
      <w:proofErr w:type="spellEnd"/>
      <w:r w:rsidRPr="00C815F1">
        <w:rPr>
          <w:sz w:val="24"/>
          <w:szCs w:val="24"/>
        </w:rPr>
        <w:t xml:space="preserve"> inscriptions of </w:t>
      </w:r>
      <w:proofErr w:type="spellStart"/>
      <w:r w:rsidRPr="00C815F1">
        <w:rPr>
          <w:sz w:val="24"/>
          <w:szCs w:val="24"/>
        </w:rPr>
        <w:t>Nefersekheru</w:t>
      </w:r>
      <w:proofErr w:type="spellEnd"/>
      <w:r w:rsidRPr="00C815F1">
        <w:rPr>
          <w:sz w:val="24"/>
          <w:szCs w:val="24"/>
        </w:rPr>
        <w:t xml:space="preserve"> are particularly interesting in this context. His autobiography contextualises formal recitation of praise</w:t>
      </w:r>
      <w:r>
        <w:rPr>
          <w:rStyle w:val="FootnoteReference"/>
          <w:sz w:val="24"/>
          <w:szCs w:val="24"/>
        </w:rPr>
        <w:footnoteReference w:id="75"/>
      </w:r>
      <w:r>
        <w:rPr>
          <w:sz w:val="24"/>
          <w:szCs w:val="24"/>
        </w:rPr>
        <w:t>:</w:t>
      </w:r>
    </w:p>
    <w:p w:rsidR="00CE32A3" w:rsidRPr="00C815F1" w:rsidRDefault="00CE32A3" w:rsidP="00992714">
      <w:pPr>
        <w:tabs>
          <w:tab w:val="left" w:pos="567"/>
        </w:tabs>
        <w:spacing w:line="360" w:lineRule="auto"/>
        <w:contextualSpacing/>
        <w:rPr>
          <w:sz w:val="24"/>
          <w:szCs w:val="24"/>
        </w:rPr>
      </w:pPr>
    </w:p>
    <w:p w:rsidR="00CE32A3" w:rsidRPr="0086329B" w:rsidRDefault="00CE32A3" w:rsidP="0086329B">
      <w:pPr>
        <w:tabs>
          <w:tab w:val="left" w:pos="567"/>
        </w:tabs>
        <w:spacing w:line="360" w:lineRule="auto"/>
        <w:ind w:left="180"/>
        <w:contextualSpacing/>
        <w:rPr>
          <w:szCs w:val="20"/>
        </w:rPr>
      </w:pPr>
      <w:r w:rsidRPr="0086329B">
        <w:rPr>
          <w:szCs w:val="20"/>
        </w:rPr>
        <w:t xml:space="preserve">I have been praised without cease, every day </w:t>
      </w:r>
      <w:r>
        <w:rPr>
          <w:szCs w:val="20"/>
        </w:rPr>
        <w:t>(…)</w:t>
      </w:r>
      <w:r w:rsidRPr="0086329B">
        <w:rPr>
          <w:szCs w:val="20"/>
        </w:rPr>
        <w:t>. I would go out at the gates of the king’s house, all people are acclaiming to the height of the sky; everyone who saw me (say</w:t>
      </w:r>
      <w:proofErr w:type="gramStart"/>
      <w:r w:rsidRPr="0086329B">
        <w:rPr>
          <w:szCs w:val="20"/>
        </w:rPr>
        <w:t>)</w:t>
      </w:r>
      <w:proofErr w:type="spellStart"/>
      <w:r w:rsidRPr="0086329B">
        <w:rPr>
          <w:szCs w:val="20"/>
        </w:rPr>
        <w:t>ing</w:t>
      </w:r>
      <w:proofErr w:type="spellEnd"/>
      <w:proofErr w:type="gramEnd"/>
      <w:r w:rsidRPr="0086329B">
        <w:rPr>
          <w:szCs w:val="20"/>
        </w:rPr>
        <w:t xml:space="preserve">: “It is fitting for him, </w:t>
      </w:r>
      <w:proofErr w:type="spellStart"/>
      <w:r w:rsidRPr="0086329B">
        <w:rPr>
          <w:szCs w:val="20"/>
        </w:rPr>
        <w:t>Nefersekheru</w:t>
      </w:r>
      <w:proofErr w:type="spellEnd"/>
      <w:r w:rsidRPr="0086329B">
        <w:rPr>
          <w:szCs w:val="20"/>
        </w:rPr>
        <w:t>, true of heart”.</w:t>
      </w:r>
    </w:p>
    <w:p w:rsidR="00CE32A3" w:rsidRPr="00C815F1" w:rsidRDefault="00CE32A3" w:rsidP="00992714">
      <w:pPr>
        <w:tabs>
          <w:tab w:val="left" w:pos="567"/>
        </w:tabs>
        <w:spacing w:line="360" w:lineRule="auto"/>
        <w:ind w:left="284"/>
        <w:contextualSpacing/>
        <w:rPr>
          <w:sz w:val="24"/>
          <w:szCs w:val="24"/>
        </w:rPr>
      </w:pPr>
    </w:p>
    <w:p w:rsidR="00CE32A3" w:rsidRDefault="00CE32A3" w:rsidP="00992714">
      <w:pPr>
        <w:tabs>
          <w:tab w:val="left" w:pos="567"/>
        </w:tabs>
        <w:spacing w:line="360" w:lineRule="auto"/>
        <w:contextualSpacing/>
        <w:rPr>
          <w:sz w:val="24"/>
          <w:szCs w:val="24"/>
        </w:rPr>
      </w:pPr>
      <w:r w:rsidRPr="00C815F1">
        <w:rPr>
          <w:sz w:val="24"/>
          <w:szCs w:val="24"/>
        </w:rPr>
        <w:t>Th</w:t>
      </w:r>
      <w:r>
        <w:rPr>
          <w:sz w:val="24"/>
          <w:szCs w:val="24"/>
        </w:rPr>
        <w:t xml:space="preserve">is specific narrative is in fact </w:t>
      </w:r>
      <w:r w:rsidRPr="00C815F1">
        <w:rPr>
          <w:sz w:val="24"/>
          <w:szCs w:val="24"/>
        </w:rPr>
        <w:t xml:space="preserve">illustrated </w:t>
      </w:r>
      <w:r>
        <w:rPr>
          <w:sz w:val="24"/>
          <w:szCs w:val="24"/>
        </w:rPr>
        <w:t xml:space="preserve">directly </w:t>
      </w:r>
      <w:r w:rsidRPr="00C815F1">
        <w:rPr>
          <w:sz w:val="24"/>
          <w:szCs w:val="24"/>
        </w:rPr>
        <w:t>by s</w:t>
      </w:r>
      <w:r>
        <w:rPr>
          <w:sz w:val="24"/>
          <w:szCs w:val="24"/>
        </w:rPr>
        <w:t xml:space="preserve">cenes in the tomb of </w:t>
      </w:r>
      <w:proofErr w:type="spellStart"/>
      <w:r>
        <w:rPr>
          <w:sz w:val="24"/>
          <w:szCs w:val="24"/>
        </w:rPr>
        <w:t>Neferhotep</w:t>
      </w:r>
      <w:proofErr w:type="spellEnd"/>
      <w:r>
        <w:rPr>
          <w:rStyle w:val="FootnoteReference"/>
          <w:sz w:val="24"/>
          <w:szCs w:val="24"/>
        </w:rPr>
        <w:footnoteReference w:id="76"/>
      </w:r>
      <w:r>
        <w:rPr>
          <w:sz w:val="24"/>
          <w:szCs w:val="24"/>
        </w:rPr>
        <w:t xml:space="preserve">. </w:t>
      </w:r>
      <w:r w:rsidRPr="008B2E93">
        <w:rPr>
          <w:sz w:val="24"/>
          <w:szCs w:val="24"/>
        </w:rPr>
        <w:t xml:space="preserve">The theme is important: </w:t>
      </w:r>
      <w:r w:rsidR="008B2E93" w:rsidRPr="008B2E93">
        <w:rPr>
          <w:sz w:val="24"/>
          <w:szCs w:val="24"/>
        </w:rPr>
        <w:t xml:space="preserve">that formal praise is </w:t>
      </w:r>
      <w:r w:rsidR="008B2E93" w:rsidRPr="00772A61">
        <w:rPr>
          <w:sz w:val="24"/>
          <w:szCs w:val="24"/>
        </w:rPr>
        <w:t>two sided. Praise is</w:t>
      </w:r>
      <w:r w:rsidRPr="00772A61">
        <w:rPr>
          <w:sz w:val="24"/>
          <w:szCs w:val="24"/>
        </w:rPr>
        <w:t xml:space="preserve"> </w:t>
      </w:r>
      <w:r w:rsidR="008B2E93" w:rsidRPr="00772A61">
        <w:rPr>
          <w:sz w:val="24"/>
          <w:szCs w:val="24"/>
        </w:rPr>
        <w:t>directed to</w:t>
      </w:r>
      <w:r w:rsidRPr="00772A61">
        <w:rPr>
          <w:sz w:val="24"/>
          <w:szCs w:val="24"/>
        </w:rPr>
        <w:t xml:space="preserve"> the lord, as well as </w:t>
      </w:r>
      <w:r w:rsidR="008B2E93" w:rsidRPr="00772A61">
        <w:rPr>
          <w:sz w:val="24"/>
          <w:szCs w:val="24"/>
        </w:rPr>
        <w:t xml:space="preserve">issued </w:t>
      </w:r>
      <w:r w:rsidRPr="00772A61">
        <w:rPr>
          <w:sz w:val="24"/>
          <w:szCs w:val="24"/>
        </w:rPr>
        <w:t xml:space="preserve">by the lord; for big men as well as </w:t>
      </w:r>
      <w:r w:rsidR="00E564FD" w:rsidRPr="00772A61">
        <w:rPr>
          <w:sz w:val="24"/>
          <w:szCs w:val="24"/>
        </w:rPr>
        <w:t xml:space="preserve">for </w:t>
      </w:r>
      <w:r w:rsidRPr="00772A61">
        <w:rPr>
          <w:sz w:val="24"/>
          <w:szCs w:val="24"/>
        </w:rPr>
        <w:t>kings</w:t>
      </w:r>
      <w:r w:rsidR="00E564FD" w:rsidRPr="00772A61">
        <w:rPr>
          <w:sz w:val="24"/>
          <w:szCs w:val="24"/>
        </w:rPr>
        <w:t>.</w:t>
      </w:r>
      <w:r>
        <w:rPr>
          <w:sz w:val="24"/>
          <w:szCs w:val="24"/>
        </w:rPr>
        <w:t xml:space="preserve"> </w:t>
      </w:r>
      <w:proofErr w:type="spellStart"/>
      <w:r>
        <w:rPr>
          <w:sz w:val="24"/>
          <w:szCs w:val="24"/>
        </w:rPr>
        <w:t>Nefersekheru’s</w:t>
      </w:r>
      <w:proofErr w:type="spellEnd"/>
      <w:r>
        <w:rPr>
          <w:sz w:val="24"/>
          <w:szCs w:val="24"/>
        </w:rPr>
        <w:t xml:space="preserve"> </w:t>
      </w:r>
      <w:r w:rsidRPr="00C815F1">
        <w:rPr>
          <w:sz w:val="24"/>
          <w:szCs w:val="24"/>
        </w:rPr>
        <w:t xml:space="preserve">personal narrative </w:t>
      </w:r>
      <w:r>
        <w:rPr>
          <w:sz w:val="24"/>
          <w:szCs w:val="24"/>
        </w:rPr>
        <w:t>is striking</w:t>
      </w:r>
      <w:r w:rsidRPr="00C815F1">
        <w:rPr>
          <w:sz w:val="24"/>
          <w:szCs w:val="24"/>
        </w:rPr>
        <w:t xml:space="preserve"> because, like a small number of other </w:t>
      </w:r>
      <w:proofErr w:type="spellStart"/>
      <w:r w:rsidRPr="00C815F1">
        <w:rPr>
          <w:sz w:val="24"/>
          <w:szCs w:val="24"/>
        </w:rPr>
        <w:t>Ramesside</w:t>
      </w:r>
      <w:proofErr w:type="spellEnd"/>
      <w:r w:rsidRPr="00C815F1">
        <w:rPr>
          <w:sz w:val="24"/>
          <w:szCs w:val="24"/>
        </w:rPr>
        <w:t xml:space="preserve"> autobiographies</w:t>
      </w:r>
      <w:r>
        <w:rPr>
          <w:sz w:val="24"/>
          <w:szCs w:val="24"/>
        </w:rPr>
        <w:t>, it</w:t>
      </w:r>
      <w:r w:rsidRPr="00C815F1">
        <w:rPr>
          <w:sz w:val="24"/>
          <w:szCs w:val="24"/>
        </w:rPr>
        <w:t xml:space="preserve"> moves signifi</w:t>
      </w:r>
      <w:r>
        <w:rPr>
          <w:sz w:val="24"/>
          <w:szCs w:val="24"/>
        </w:rPr>
        <w:t>cantly out of the</w:t>
      </w:r>
      <w:r w:rsidRPr="00C815F1">
        <w:rPr>
          <w:sz w:val="24"/>
          <w:szCs w:val="24"/>
        </w:rPr>
        <w:t xml:space="preserve"> earlier focus of autobiographical narrative on (military) expeditions, by expansion of different ranges of events</w:t>
      </w:r>
      <w:r>
        <w:rPr>
          <w:sz w:val="24"/>
          <w:szCs w:val="24"/>
        </w:rPr>
        <w:t>, to make the individual’s self-narrative a central part of his self-presentation: more personally and incidentally autobiographical</w:t>
      </w:r>
      <w:r w:rsidRPr="00C815F1">
        <w:rPr>
          <w:sz w:val="24"/>
          <w:szCs w:val="24"/>
        </w:rPr>
        <w:t xml:space="preserve">. But equally </w:t>
      </w:r>
      <w:r w:rsidRPr="00AE2C95">
        <w:rPr>
          <w:sz w:val="24"/>
          <w:szCs w:val="24"/>
        </w:rPr>
        <w:t>interesting is the</w:t>
      </w:r>
      <w:r w:rsidRPr="00C815F1">
        <w:rPr>
          <w:sz w:val="24"/>
          <w:szCs w:val="24"/>
        </w:rPr>
        <w:t xml:space="preserve"> association of this </w:t>
      </w:r>
      <w:r w:rsidRPr="00772A61">
        <w:rPr>
          <w:sz w:val="24"/>
          <w:szCs w:val="24"/>
        </w:rPr>
        <w:t>autobiography with highly poetic</w:t>
      </w:r>
      <w:r w:rsidRPr="00C815F1">
        <w:rPr>
          <w:sz w:val="24"/>
          <w:szCs w:val="24"/>
        </w:rPr>
        <w:t xml:space="preserve"> laments and songs: </w:t>
      </w:r>
      <w:proofErr w:type="spellStart"/>
      <w:r w:rsidRPr="00C815F1">
        <w:rPr>
          <w:sz w:val="24"/>
          <w:szCs w:val="24"/>
        </w:rPr>
        <w:t>Nefersekheru</w:t>
      </w:r>
      <w:proofErr w:type="spellEnd"/>
      <w:r w:rsidRPr="00C815F1">
        <w:rPr>
          <w:sz w:val="24"/>
          <w:szCs w:val="24"/>
        </w:rPr>
        <w:t xml:space="preserve"> has literary inscriptions, in a way tha</w:t>
      </w:r>
      <w:r>
        <w:rPr>
          <w:sz w:val="24"/>
          <w:szCs w:val="24"/>
        </w:rPr>
        <w:t xml:space="preserve">t </w:t>
      </w:r>
      <w:r w:rsidRPr="00AE2C95">
        <w:rPr>
          <w:sz w:val="24"/>
          <w:szCs w:val="24"/>
        </w:rPr>
        <w:t>connects his cultural</w:t>
      </w:r>
      <w:r>
        <w:rPr>
          <w:sz w:val="24"/>
          <w:szCs w:val="24"/>
        </w:rPr>
        <w:t xml:space="preserve"> environment</w:t>
      </w:r>
      <w:r w:rsidRPr="00C815F1">
        <w:rPr>
          <w:sz w:val="24"/>
          <w:szCs w:val="24"/>
        </w:rPr>
        <w:t xml:space="preserve"> with that of the owners of papyri</w:t>
      </w:r>
      <w:r w:rsidRPr="00C815F1">
        <w:rPr>
          <w:rStyle w:val="FootnoteReference"/>
          <w:sz w:val="24"/>
          <w:szCs w:val="24"/>
        </w:rPr>
        <w:footnoteReference w:id="77"/>
      </w:r>
      <w:r>
        <w:rPr>
          <w:sz w:val="24"/>
          <w:szCs w:val="24"/>
        </w:rPr>
        <w:t>.</w:t>
      </w:r>
    </w:p>
    <w:p w:rsidR="00CE32A3" w:rsidRDefault="00CE32A3" w:rsidP="00992714">
      <w:pPr>
        <w:tabs>
          <w:tab w:val="left" w:pos="567"/>
        </w:tabs>
        <w:spacing w:line="360" w:lineRule="auto"/>
        <w:contextualSpacing/>
        <w:rPr>
          <w:sz w:val="24"/>
          <w:szCs w:val="24"/>
          <w:lang w:val="en-US"/>
        </w:rPr>
      </w:pPr>
      <w:r w:rsidRPr="0094039C">
        <w:rPr>
          <w:sz w:val="24"/>
          <w:szCs w:val="24"/>
        </w:rPr>
        <w:tab/>
        <w:t xml:space="preserve">Also central to the narrative of the New Kingdom is the wider use of prose. In the long term, and crudely over-simplifying, the victory of prose over poetic formats is that of writing over recitation: of factual narrative over rhetoric. </w:t>
      </w:r>
      <w:r w:rsidRPr="0094039C">
        <w:rPr>
          <w:sz w:val="24"/>
          <w:szCs w:val="24"/>
          <w:lang w:val="en-US"/>
        </w:rPr>
        <w:t xml:space="preserve">Prose becomes more common in the New Kingdom material: the Peasant wraps his rhetoric in prose, but the early 18th Dynasty inscriptions </w:t>
      </w:r>
      <w:r>
        <w:rPr>
          <w:sz w:val="24"/>
          <w:szCs w:val="24"/>
          <w:lang w:val="en-US"/>
        </w:rPr>
        <w:t>–</w:t>
      </w:r>
      <w:r w:rsidRPr="0094039C">
        <w:rPr>
          <w:sz w:val="24"/>
          <w:szCs w:val="24"/>
          <w:lang w:val="en-US"/>
        </w:rPr>
        <w:t xml:space="preserve"> autobiographical accounts, private and royal </w:t>
      </w:r>
      <w:r>
        <w:rPr>
          <w:sz w:val="24"/>
          <w:szCs w:val="24"/>
          <w:lang w:val="en-US"/>
        </w:rPr>
        <w:t>–</w:t>
      </w:r>
      <w:r w:rsidRPr="0094039C">
        <w:rPr>
          <w:sz w:val="24"/>
          <w:szCs w:val="24"/>
          <w:lang w:val="en-US"/>
        </w:rPr>
        <w:t xml:space="preserve"> expand the use of prose very considerably in a linguistic sense. The implication would naturally be that this material attests to a different style or register of performance, whether that would be a change in performance itself, or in the decorum of what was written. I am, however, deeply </w:t>
      </w:r>
      <w:proofErr w:type="spellStart"/>
      <w:r w:rsidRPr="0094039C">
        <w:rPr>
          <w:sz w:val="24"/>
          <w:szCs w:val="24"/>
          <w:lang w:val="en-US"/>
        </w:rPr>
        <w:t>sceptical</w:t>
      </w:r>
      <w:proofErr w:type="spellEnd"/>
      <w:r w:rsidRPr="0094039C">
        <w:rPr>
          <w:sz w:val="24"/>
          <w:szCs w:val="24"/>
          <w:lang w:val="en-US"/>
        </w:rPr>
        <w:t xml:space="preserve"> of any suggestion that this might </w:t>
      </w:r>
      <w:r w:rsidRPr="0094039C">
        <w:rPr>
          <w:sz w:val="24"/>
          <w:szCs w:val="24"/>
          <w:lang w:val="en-US"/>
        </w:rPr>
        <w:lastRenderedPageBreak/>
        <w:t xml:space="preserve">seriously reflect a change from a literature </w:t>
      </w:r>
      <w:r>
        <w:rPr>
          <w:sz w:val="24"/>
          <w:szCs w:val="24"/>
          <w:lang w:val="en-US"/>
        </w:rPr>
        <w:t xml:space="preserve">– </w:t>
      </w:r>
      <w:r w:rsidRPr="0094039C">
        <w:rPr>
          <w:sz w:val="24"/>
          <w:szCs w:val="24"/>
          <w:lang w:val="en-US"/>
        </w:rPr>
        <w:t xml:space="preserve">and specifically narrative in literature </w:t>
      </w:r>
      <w:r>
        <w:rPr>
          <w:sz w:val="24"/>
          <w:szCs w:val="24"/>
          <w:lang w:val="en-US"/>
        </w:rPr>
        <w:t>–</w:t>
      </w:r>
      <w:r w:rsidRPr="0094039C">
        <w:rPr>
          <w:sz w:val="24"/>
          <w:szCs w:val="24"/>
          <w:lang w:val="en-US"/>
        </w:rPr>
        <w:t xml:space="preserve"> that might be better </w:t>
      </w:r>
      <w:proofErr w:type="spellStart"/>
      <w:r w:rsidRPr="0094039C">
        <w:rPr>
          <w:sz w:val="24"/>
          <w:szCs w:val="24"/>
          <w:lang w:val="en-US"/>
        </w:rPr>
        <w:t>characterised</w:t>
      </w:r>
      <w:proofErr w:type="spellEnd"/>
      <w:r w:rsidRPr="0094039C">
        <w:rPr>
          <w:sz w:val="24"/>
          <w:szCs w:val="24"/>
          <w:lang w:val="en-US"/>
        </w:rPr>
        <w:t xml:space="preserve"> as publication (for reading) over performance for (immediate) audience. </w:t>
      </w:r>
    </w:p>
    <w:p w:rsidR="00CE32A3" w:rsidRDefault="00CE32A3" w:rsidP="00992714">
      <w:pPr>
        <w:tabs>
          <w:tab w:val="left" w:pos="567"/>
        </w:tabs>
        <w:spacing w:line="360" w:lineRule="auto"/>
        <w:contextualSpacing/>
        <w:rPr>
          <w:sz w:val="24"/>
          <w:szCs w:val="24"/>
          <w:lang w:val="en-US"/>
        </w:rPr>
      </w:pPr>
    </w:p>
    <w:p w:rsidR="00CE32A3" w:rsidRPr="003979FB" w:rsidRDefault="00CE32A3" w:rsidP="00992714">
      <w:pPr>
        <w:tabs>
          <w:tab w:val="left" w:pos="567"/>
        </w:tabs>
        <w:spacing w:line="360" w:lineRule="auto"/>
        <w:contextualSpacing/>
        <w:rPr>
          <w:sz w:val="24"/>
          <w:szCs w:val="24"/>
          <w:lang w:val="en-US"/>
        </w:rPr>
      </w:pPr>
      <w:r w:rsidRPr="003979FB">
        <w:rPr>
          <w:sz w:val="24"/>
          <w:szCs w:val="24"/>
          <w:lang w:val="en-US"/>
        </w:rPr>
        <w:t>Narrative and the individual</w:t>
      </w:r>
    </w:p>
    <w:p w:rsidR="00CE32A3" w:rsidRPr="00FA73F6" w:rsidRDefault="00CE32A3" w:rsidP="00992714">
      <w:pPr>
        <w:tabs>
          <w:tab w:val="left" w:pos="567"/>
        </w:tabs>
        <w:spacing w:line="360" w:lineRule="auto"/>
        <w:contextualSpacing/>
        <w:rPr>
          <w:b/>
          <w:sz w:val="24"/>
          <w:szCs w:val="24"/>
          <w:u w:val="single"/>
        </w:rPr>
      </w:pPr>
    </w:p>
    <w:p w:rsidR="00CE32A3" w:rsidRPr="00E84E4F" w:rsidRDefault="00CE32A3" w:rsidP="00992714">
      <w:pPr>
        <w:tabs>
          <w:tab w:val="left" w:pos="567"/>
        </w:tabs>
        <w:spacing w:line="360" w:lineRule="auto"/>
        <w:contextualSpacing/>
        <w:rPr>
          <w:sz w:val="24"/>
          <w:szCs w:val="24"/>
          <w:lang w:val="en-US"/>
        </w:rPr>
      </w:pPr>
      <w:r w:rsidRPr="00E84E4F">
        <w:rPr>
          <w:sz w:val="24"/>
          <w:szCs w:val="24"/>
          <w:lang w:val="en-US"/>
        </w:rPr>
        <w:t xml:space="preserve">To come back to the collection of material associated with the scribe </w:t>
      </w:r>
      <w:proofErr w:type="spellStart"/>
      <w:r w:rsidRPr="00E84E4F">
        <w:rPr>
          <w:sz w:val="24"/>
          <w:szCs w:val="24"/>
          <w:lang w:val="en-US"/>
        </w:rPr>
        <w:t>Pentaweret</w:t>
      </w:r>
      <w:proofErr w:type="spellEnd"/>
      <w:r w:rsidRPr="00E84E4F">
        <w:rPr>
          <w:sz w:val="24"/>
          <w:szCs w:val="24"/>
          <w:lang w:val="en-US"/>
        </w:rPr>
        <w:t xml:space="preserve">, which allows the possession of text to be </w:t>
      </w:r>
      <w:proofErr w:type="spellStart"/>
      <w:r w:rsidRPr="00E84E4F">
        <w:rPr>
          <w:sz w:val="24"/>
          <w:szCs w:val="24"/>
          <w:lang w:val="en-US"/>
        </w:rPr>
        <w:t>problematicised</w:t>
      </w:r>
      <w:proofErr w:type="spellEnd"/>
      <w:r w:rsidRPr="00E84E4F">
        <w:rPr>
          <w:sz w:val="24"/>
          <w:szCs w:val="24"/>
          <w:lang w:val="en-US"/>
        </w:rPr>
        <w:t xml:space="preserve">. Papyrus </w:t>
      </w:r>
      <w:proofErr w:type="spellStart"/>
      <w:r w:rsidRPr="00E84E4F">
        <w:rPr>
          <w:sz w:val="24"/>
          <w:szCs w:val="24"/>
          <w:lang w:val="en-US"/>
        </w:rPr>
        <w:t>Sallier</w:t>
      </w:r>
      <w:proofErr w:type="spellEnd"/>
      <w:r w:rsidRPr="00E84E4F">
        <w:rPr>
          <w:sz w:val="24"/>
          <w:szCs w:val="24"/>
          <w:lang w:val="en-US"/>
        </w:rPr>
        <w:t xml:space="preserve"> I includes a section of the Instruction for </w:t>
      </w:r>
      <w:proofErr w:type="spellStart"/>
      <w:r w:rsidRPr="00E84E4F">
        <w:rPr>
          <w:sz w:val="24"/>
          <w:szCs w:val="24"/>
          <w:lang w:val="en-US"/>
        </w:rPr>
        <w:t>Amenemhet</w:t>
      </w:r>
      <w:proofErr w:type="spellEnd"/>
      <w:r w:rsidRPr="00E84E4F">
        <w:rPr>
          <w:sz w:val="24"/>
          <w:szCs w:val="24"/>
          <w:lang w:val="en-US"/>
        </w:rPr>
        <w:t xml:space="preserve"> I. One possibility is that such tex</w:t>
      </w:r>
      <w:r>
        <w:rPr>
          <w:sz w:val="24"/>
          <w:szCs w:val="24"/>
          <w:lang w:val="en-US"/>
        </w:rPr>
        <w:t xml:space="preserve">ts, by the </w:t>
      </w:r>
      <w:proofErr w:type="spellStart"/>
      <w:r>
        <w:rPr>
          <w:sz w:val="24"/>
          <w:szCs w:val="24"/>
          <w:lang w:val="en-US"/>
        </w:rPr>
        <w:t>Ramesside</w:t>
      </w:r>
      <w:proofErr w:type="spellEnd"/>
      <w:r>
        <w:rPr>
          <w:sz w:val="24"/>
          <w:szCs w:val="24"/>
          <w:lang w:val="en-US"/>
        </w:rPr>
        <w:t xml:space="preserve"> Period, were</w:t>
      </w:r>
      <w:r w:rsidRPr="00E84E4F">
        <w:rPr>
          <w:sz w:val="24"/>
          <w:szCs w:val="24"/>
          <w:lang w:val="en-US"/>
        </w:rPr>
        <w:t xml:space="preserve"> in practice dead literature, which is to say material that counts as published</w:t>
      </w:r>
      <w:r>
        <w:rPr>
          <w:sz w:val="24"/>
          <w:szCs w:val="24"/>
          <w:lang w:val="en-US"/>
        </w:rPr>
        <w:t>,</w:t>
      </w:r>
      <w:r w:rsidRPr="00E84E4F">
        <w:rPr>
          <w:sz w:val="24"/>
          <w:szCs w:val="24"/>
          <w:lang w:val="en-US"/>
        </w:rPr>
        <w:t xml:space="preserve"> in that its essential use is written acculturation in scribal </w:t>
      </w:r>
      <w:r>
        <w:rPr>
          <w:sz w:val="24"/>
          <w:szCs w:val="24"/>
          <w:lang w:val="en-US"/>
        </w:rPr>
        <w:t xml:space="preserve">training and no longer performed. </w:t>
      </w:r>
      <w:r w:rsidRPr="00AE2C95">
        <w:rPr>
          <w:sz w:val="24"/>
          <w:szCs w:val="24"/>
          <w:lang w:val="en-US"/>
        </w:rPr>
        <w:t>However, the</w:t>
      </w:r>
      <w:r>
        <w:rPr>
          <w:sz w:val="24"/>
          <w:szCs w:val="24"/>
          <w:lang w:val="en-US"/>
        </w:rPr>
        <w:t xml:space="preserve"> same</w:t>
      </w:r>
      <w:r w:rsidRPr="00E84E4F">
        <w:rPr>
          <w:sz w:val="24"/>
          <w:szCs w:val="24"/>
          <w:lang w:val="en-US"/>
        </w:rPr>
        <w:t xml:space="preserve"> papyrus also contains Miscellany texts: a category that includes what appear to be writing or compositional exercises in sophisticated documentary (particularly report and letter) writing, but they also include performance texts </w:t>
      </w:r>
      <w:r>
        <w:rPr>
          <w:sz w:val="24"/>
          <w:szCs w:val="24"/>
          <w:lang w:val="en-US"/>
        </w:rPr>
        <w:t xml:space="preserve">– </w:t>
      </w:r>
      <w:r w:rsidRPr="00E84E4F">
        <w:rPr>
          <w:sz w:val="24"/>
          <w:szCs w:val="24"/>
          <w:lang w:val="en-US"/>
        </w:rPr>
        <w:t xml:space="preserve">specifically transmitted (copied) literary performance texts </w:t>
      </w:r>
      <w:r>
        <w:rPr>
          <w:sz w:val="24"/>
          <w:szCs w:val="24"/>
          <w:lang w:val="en-US"/>
        </w:rPr>
        <w:t xml:space="preserve">– </w:t>
      </w:r>
      <w:r w:rsidRPr="00E84E4F">
        <w:rPr>
          <w:sz w:val="24"/>
          <w:szCs w:val="24"/>
          <w:lang w:val="en-US"/>
        </w:rPr>
        <w:t xml:space="preserve">in </w:t>
      </w:r>
      <w:proofErr w:type="spellStart"/>
      <w:r w:rsidRPr="00E84E4F">
        <w:rPr>
          <w:sz w:val="24"/>
          <w:szCs w:val="24"/>
          <w:lang w:val="en-US"/>
        </w:rPr>
        <w:t>recitational</w:t>
      </w:r>
      <w:proofErr w:type="spellEnd"/>
      <w:r w:rsidRPr="00E84E4F">
        <w:rPr>
          <w:sz w:val="24"/>
          <w:szCs w:val="24"/>
          <w:lang w:val="en-US"/>
        </w:rPr>
        <w:t xml:space="preserve"> format: prayers, but most specifically praise </w:t>
      </w:r>
      <w:r w:rsidRPr="00AE2C95">
        <w:rPr>
          <w:sz w:val="24"/>
          <w:szCs w:val="24"/>
          <w:lang w:val="en-US"/>
        </w:rPr>
        <w:t>texts, for</w:t>
      </w:r>
      <w:r w:rsidRPr="00E84E4F">
        <w:rPr>
          <w:sz w:val="24"/>
          <w:szCs w:val="24"/>
          <w:lang w:val="en-US"/>
        </w:rPr>
        <w:t xml:space="preserve"> cities and for the teacher. These put praise in a more secular context: praise to master from his subordinates</w:t>
      </w:r>
      <w:r>
        <w:rPr>
          <w:sz w:val="24"/>
          <w:szCs w:val="24"/>
          <w:lang w:val="en-US"/>
        </w:rPr>
        <w:t>, in contrast to</w:t>
      </w:r>
      <w:r w:rsidRPr="00E84E4F">
        <w:rPr>
          <w:sz w:val="24"/>
          <w:szCs w:val="24"/>
          <w:lang w:val="en-US"/>
        </w:rPr>
        <w:t xml:space="preserve"> the formal praise he expected from his superior or king</w:t>
      </w:r>
      <w:r>
        <w:rPr>
          <w:sz w:val="24"/>
          <w:szCs w:val="24"/>
          <w:lang w:val="en-US"/>
        </w:rPr>
        <w:t>.</w:t>
      </w:r>
      <w:r w:rsidRPr="00E84E4F">
        <w:rPr>
          <w:sz w:val="24"/>
          <w:szCs w:val="24"/>
          <w:lang w:val="en-US"/>
        </w:rPr>
        <w:t xml:space="preserve"> Royal praise is another motif of the Mi</w:t>
      </w:r>
      <w:r>
        <w:rPr>
          <w:sz w:val="24"/>
          <w:szCs w:val="24"/>
          <w:lang w:val="en-US"/>
        </w:rPr>
        <w:t xml:space="preserve">scellanies: </w:t>
      </w:r>
      <w:proofErr w:type="spellStart"/>
      <w:r>
        <w:rPr>
          <w:sz w:val="24"/>
          <w:szCs w:val="24"/>
          <w:lang w:val="en-US"/>
        </w:rPr>
        <w:t>p</w:t>
      </w:r>
      <w:r w:rsidRPr="00E84E4F">
        <w:rPr>
          <w:sz w:val="24"/>
          <w:szCs w:val="24"/>
          <w:lang w:val="en-US"/>
        </w:rPr>
        <w:t>Sallier</w:t>
      </w:r>
      <w:proofErr w:type="spellEnd"/>
      <w:r w:rsidRPr="00E84E4F">
        <w:rPr>
          <w:sz w:val="24"/>
          <w:szCs w:val="24"/>
          <w:lang w:val="en-US"/>
        </w:rPr>
        <w:t xml:space="preserve"> I specifically includes a praise of </w:t>
      </w:r>
      <w:proofErr w:type="spellStart"/>
      <w:r w:rsidRPr="00E84E4F">
        <w:rPr>
          <w:sz w:val="24"/>
          <w:szCs w:val="24"/>
          <w:lang w:val="en-US"/>
        </w:rPr>
        <w:t>Merenptah</w:t>
      </w:r>
      <w:proofErr w:type="spellEnd"/>
      <w:r w:rsidRPr="00E84E4F">
        <w:rPr>
          <w:sz w:val="24"/>
          <w:szCs w:val="24"/>
          <w:lang w:val="en-US"/>
        </w:rPr>
        <w:t xml:space="preserve"> (in whose reign the manuscript was written). This connects reasonably directly with </w:t>
      </w:r>
      <w:proofErr w:type="spellStart"/>
      <w:r w:rsidRPr="00E84E4F">
        <w:rPr>
          <w:sz w:val="24"/>
          <w:szCs w:val="24"/>
          <w:lang w:val="en-US"/>
        </w:rPr>
        <w:t>Pentaweret’s</w:t>
      </w:r>
      <w:proofErr w:type="spellEnd"/>
      <w:r w:rsidRPr="00E84E4F">
        <w:rPr>
          <w:sz w:val="24"/>
          <w:szCs w:val="24"/>
          <w:lang w:val="en-US"/>
        </w:rPr>
        <w:t xml:space="preserve"> copy of the </w:t>
      </w:r>
      <w:proofErr w:type="spellStart"/>
      <w:r w:rsidRPr="00E84E4F">
        <w:rPr>
          <w:sz w:val="24"/>
          <w:szCs w:val="24"/>
          <w:lang w:val="en-US"/>
        </w:rPr>
        <w:t>Qadesh</w:t>
      </w:r>
      <w:proofErr w:type="spellEnd"/>
      <w:r w:rsidRPr="00E84E4F">
        <w:rPr>
          <w:sz w:val="24"/>
          <w:szCs w:val="24"/>
          <w:lang w:val="en-US"/>
        </w:rPr>
        <w:t xml:space="preserve"> </w:t>
      </w:r>
      <w:r>
        <w:rPr>
          <w:sz w:val="24"/>
          <w:szCs w:val="24"/>
          <w:lang w:val="en-US"/>
        </w:rPr>
        <w:t>P</w:t>
      </w:r>
      <w:r w:rsidRPr="00E84E4F">
        <w:rPr>
          <w:sz w:val="24"/>
          <w:szCs w:val="24"/>
          <w:lang w:val="en-US"/>
        </w:rPr>
        <w:t xml:space="preserve">oem on </w:t>
      </w:r>
      <w:proofErr w:type="spellStart"/>
      <w:r>
        <w:rPr>
          <w:sz w:val="24"/>
          <w:szCs w:val="24"/>
          <w:lang w:val="en-US"/>
        </w:rPr>
        <w:t>p</w:t>
      </w:r>
      <w:r w:rsidRPr="00E84E4F">
        <w:rPr>
          <w:sz w:val="24"/>
          <w:szCs w:val="24"/>
          <w:lang w:val="en-US"/>
        </w:rPr>
        <w:t>Sallier</w:t>
      </w:r>
      <w:proofErr w:type="spellEnd"/>
      <w:r w:rsidRPr="00E84E4F">
        <w:rPr>
          <w:sz w:val="24"/>
          <w:szCs w:val="24"/>
          <w:lang w:val="en-US"/>
        </w:rPr>
        <w:t xml:space="preserve"> III, comparable to the fragment on </w:t>
      </w:r>
      <w:proofErr w:type="spellStart"/>
      <w:r>
        <w:rPr>
          <w:sz w:val="24"/>
          <w:szCs w:val="24"/>
          <w:lang w:val="en-US"/>
        </w:rPr>
        <w:t>p</w:t>
      </w:r>
      <w:r w:rsidRPr="00E84E4F">
        <w:rPr>
          <w:sz w:val="24"/>
          <w:szCs w:val="24"/>
          <w:lang w:val="en-US"/>
        </w:rPr>
        <w:t>Chester</w:t>
      </w:r>
      <w:proofErr w:type="spellEnd"/>
      <w:r w:rsidRPr="00E84E4F">
        <w:rPr>
          <w:sz w:val="24"/>
          <w:szCs w:val="24"/>
          <w:lang w:val="en-US"/>
        </w:rPr>
        <w:t xml:space="preserve"> Beatty </w:t>
      </w:r>
      <w:r>
        <w:rPr>
          <w:sz w:val="24"/>
          <w:szCs w:val="24"/>
          <w:lang w:val="en-US"/>
        </w:rPr>
        <w:t xml:space="preserve">III </w:t>
      </w:r>
      <w:r w:rsidRPr="00E84E4F">
        <w:rPr>
          <w:sz w:val="24"/>
          <w:szCs w:val="24"/>
          <w:lang w:val="en-US"/>
        </w:rPr>
        <w:t xml:space="preserve">from the collection of his contemporary </w:t>
      </w:r>
      <w:proofErr w:type="spellStart"/>
      <w:r w:rsidRPr="00E84E4F">
        <w:rPr>
          <w:sz w:val="24"/>
          <w:szCs w:val="24"/>
          <w:lang w:val="en-US"/>
        </w:rPr>
        <w:t>Qeniherkhopeshef</w:t>
      </w:r>
      <w:proofErr w:type="spellEnd"/>
      <w:r w:rsidRPr="00E84E4F">
        <w:rPr>
          <w:sz w:val="24"/>
          <w:szCs w:val="24"/>
          <w:lang w:val="en-US"/>
        </w:rPr>
        <w:t xml:space="preserve">. Papyrus </w:t>
      </w:r>
      <w:proofErr w:type="spellStart"/>
      <w:r w:rsidRPr="00E84E4F">
        <w:rPr>
          <w:sz w:val="24"/>
          <w:szCs w:val="24"/>
          <w:lang w:val="en-US"/>
        </w:rPr>
        <w:t>Sallier</w:t>
      </w:r>
      <w:proofErr w:type="spellEnd"/>
      <w:r w:rsidRPr="00E84E4F">
        <w:rPr>
          <w:sz w:val="24"/>
          <w:szCs w:val="24"/>
          <w:lang w:val="en-US"/>
        </w:rPr>
        <w:t xml:space="preserve"> I also contains the Story of Apophis and </w:t>
      </w:r>
      <w:proofErr w:type="spellStart"/>
      <w:r w:rsidRPr="00E84E4F">
        <w:rPr>
          <w:sz w:val="24"/>
          <w:szCs w:val="24"/>
          <w:lang w:val="en-US"/>
        </w:rPr>
        <w:t>Seqenenre</w:t>
      </w:r>
      <w:proofErr w:type="spellEnd"/>
      <w:r w:rsidRPr="00E84E4F">
        <w:rPr>
          <w:sz w:val="24"/>
          <w:szCs w:val="24"/>
          <w:lang w:val="en-US"/>
        </w:rPr>
        <w:t xml:space="preserve">. </w:t>
      </w:r>
    </w:p>
    <w:p w:rsidR="00CE32A3" w:rsidRPr="008D32D5" w:rsidRDefault="00CE32A3" w:rsidP="00992714">
      <w:pPr>
        <w:tabs>
          <w:tab w:val="left" w:pos="567"/>
        </w:tabs>
        <w:spacing w:line="360" w:lineRule="auto"/>
        <w:contextualSpacing/>
        <w:rPr>
          <w:sz w:val="24"/>
          <w:szCs w:val="24"/>
          <w:lang w:val="en-US"/>
        </w:rPr>
      </w:pPr>
      <w:r w:rsidRPr="008D32D5">
        <w:rPr>
          <w:sz w:val="24"/>
          <w:szCs w:val="24"/>
          <w:lang w:val="en-US"/>
        </w:rPr>
        <w:tab/>
        <w:t>For inscriptional texts</w:t>
      </w:r>
      <w:r>
        <w:rPr>
          <w:sz w:val="24"/>
          <w:szCs w:val="24"/>
          <w:lang w:val="en-US"/>
        </w:rPr>
        <w:t xml:space="preserve"> – </w:t>
      </w:r>
      <w:r w:rsidRPr="008D32D5">
        <w:rPr>
          <w:sz w:val="24"/>
          <w:szCs w:val="24"/>
          <w:lang w:val="en-US"/>
        </w:rPr>
        <w:t xml:space="preserve">royal inscriptions </w:t>
      </w:r>
      <w:r w:rsidRPr="00772A61">
        <w:rPr>
          <w:sz w:val="24"/>
          <w:szCs w:val="24"/>
          <w:lang w:val="en-US"/>
        </w:rPr>
        <w:t>often rather clearly, but also autobiography – the scenario of public ceremony provides a context</w:t>
      </w:r>
      <w:r w:rsidR="004466EA" w:rsidRPr="00772A61">
        <w:rPr>
          <w:sz w:val="24"/>
          <w:szCs w:val="24"/>
          <w:lang w:val="en-US"/>
        </w:rPr>
        <w:t xml:space="preserve"> for</w:t>
      </w:r>
      <w:r w:rsidRPr="00772A61">
        <w:rPr>
          <w:sz w:val="24"/>
          <w:szCs w:val="24"/>
          <w:lang w:val="en-US"/>
        </w:rPr>
        <w:t xml:space="preserve"> performance to an audience. Counter-intuitively it is much more difficult to </w:t>
      </w:r>
      <w:proofErr w:type="spellStart"/>
      <w:r w:rsidRPr="00772A61">
        <w:rPr>
          <w:sz w:val="24"/>
          <w:szCs w:val="24"/>
          <w:lang w:val="en-US"/>
        </w:rPr>
        <w:t>contextualise</w:t>
      </w:r>
      <w:proofErr w:type="spellEnd"/>
      <w:r w:rsidRPr="00772A61">
        <w:rPr>
          <w:sz w:val="24"/>
          <w:szCs w:val="24"/>
          <w:lang w:val="en-US"/>
        </w:rPr>
        <w:t xml:space="preserve"> access to performance of the literature preserved on papyrus. The </w:t>
      </w:r>
      <w:r w:rsidR="004466EA" w:rsidRPr="00772A61">
        <w:rPr>
          <w:sz w:val="24"/>
          <w:szCs w:val="24"/>
          <w:lang w:val="en-US"/>
        </w:rPr>
        <w:t>limited</w:t>
      </w:r>
      <w:r w:rsidRPr="00772A61">
        <w:rPr>
          <w:sz w:val="24"/>
          <w:szCs w:val="24"/>
          <w:lang w:val="en-US"/>
        </w:rPr>
        <w:t xml:space="preserve"> evidence in the pre-</w:t>
      </w:r>
      <w:proofErr w:type="spellStart"/>
      <w:r w:rsidRPr="00772A61">
        <w:rPr>
          <w:sz w:val="24"/>
          <w:szCs w:val="24"/>
          <w:lang w:val="en-US"/>
        </w:rPr>
        <w:t>Ramesside</w:t>
      </w:r>
      <w:proofErr w:type="spellEnd"/>
      <w:r w:rsidRPr="00772A61">
        <w:rPr>
          <w:sz w:val="24"/>
          <w:szCs w:val="24"/>
          <w:lang w:val="en-US"/>
        </w:rPr>
        <w:t xml:space="preserve"> material seem</w:t>
      </w:r>
      <w:r w:rsidR="00A409BA" w:rsidRPr="00772A61">
        <w:rPr>
          <w:sz w:val="24"/>
          <w:szCs w:val="24"/>
          <w:lang w:val="en-US"/>
        </w:rPr>
        <w:t>s</w:t>
      </w:r>
      <w:r w:rsidRPr="00772A61">
        <w:rPr>
          <w:sz w:val="24"/>
          <w:szCs w:val="24"/>
          <w:lang w:val="en-US"/>
        </w:rPr>
        <w:t xml:space="preserve"> to </w:t>
      </w:r>
      <w:r w:rsidR="00A409BA" w:rsidRPr="00772A61">
        <w:rPr>
          <w:sz w:val="24"/>
          <w:szCs w:val="24"/>
          <w:lang w:val="en-US"/>
        </w:rPr>
        <w:t xml:space="preserve">locate performance at court – </w:t>
      </w:r>
      <w:r w:rsidRPr="00772A61">
        <w:rPr>
          <w:sz w:val="24"/>
          <w:szCs w:val="24"/>
          <w:lang w:val="en-US"/>
        </w:rPr>
        <w:t>an address to the king in audience</w:t>
      </w:r>
      <w:r w:rsidR="00A409BA" w:rsidRPr="00772A61">
        <w:rPr>
          <w:sz w:val="24"/>
          <w:szCs w:val="24"/>
          <w:lang w:val="en-US"/>
        </w:rPr>
        <w:t xml:space="preserve"> – although there are</w:t>
      </w:r>
      <w:r w:rsidRPr="00772A61">
        <w:rPr>
          <w:sz w:val="24"/>
          <w:szCs w:val="24"/>
          <w:lang w:val="en-US"/>
        </w:rPr>
        <w:t xml:space="preserve"> wider overlap</w:t>
      </w:r>
      <w:r w:rsidR="00A409BA" w:rsidRPr="00772A61">
        <w:rPr>
          <w:sz w:val="24"/>
          <w:szCs w:val="24"/>
          <w:lang w:val="en-US"/>
        </w:rPr>
        <w:t xml:space="preserve">s with ritual performances or </w:t>
      </w:r>
      <w:r w:rsidRPr="00772A61">
        <w:rPr>
          <w:sz w:val="24"/>
          <w:szCs w:val="24"/>
          <w:lang w:val="en-US"/>
        </w:rPr>
        <w:t xml:space="preserve">festival occasions, and </w:t>
      </w:r>
      <w:r w:rsidR="00A409BA" w:rsidRPr="00772A61">
        <w:rPr>
          <w:sz w:val="24"/>
          <w:szCs w:val="24"/>
          <w:lang w:val="en-US"/>
        </w:rPr>
        <w:t xml:space="preserve">with </w:t>
      </w:r>
      <w:r w:rsidRPr="00772A61">
        <w:rPr>
          <w:sz w:val="24"/>
          <w:szCs w:val="24"/>
          <w:lang w:val="en-US"/>
        </w:rPr>
        <w:t>musical performance</w:t>
      </w:r>
      <w:r w:rsidR="00A409BA" w:rsidRPr="00772A61">
        <w:rPr>
          <w:sz w:val="24"/>
          <w:szCs w:val="24"/>
          <w:lang w:val="en-US"/>
        </w:rPr>
        <w:t xml:space="preserve">. Clearly, however, </w:t>
      </w:r>
      <w:r w:rsidRPr="00772A61">
        <w:rPr>
          <w:sz w:val="24"/>
          <w:szCs w:val="24"/>
          <w:lang w:val="en-US"/>
        </w:rPr>
        <w:t>the context is that of a performer, and one of performance, not publication: not circulation of physical copies to a reading public</w:t>
      </w:r>
      <w:r w:rsidR="00A409BA" w:rsidRPr="00772A61">
        <w:rPr>
          <w:sz w:val="24"/>
          <w:szCs w:val="24"/>
          <w:lang w:val="en-US"/>
        </w:rPr>
        <w:t xml:space="preserve">. </w:t>
      </w:r>
      <w:r w:rsidRPr="00772A61">
        <w:rPr>
          <w:sz w:val="24"/>
          <w:szCs w:val="24"/>
          <w:lang w:val="en-US"/>
        </w:rPr>
        <w:t>Pre-</w:t>
      </w:r>
      <w:proofErr w:type="spellStart"/>
      <w:r w:rsidRPr="00772A61">
        <w:rPr>
          <w:sz w:val="24"/>
          <w:szCs w:val="24"/>
          <w:lang w:val="en-US"/>
        </w:rPr>
        <w:t>Ramesside</w:t>
      </w:r>
      <w:proofErr w:type="spellEnd"/>
      <w:r w:rsidRPr="00772A61">
        <w:rPr>
          <w:sz w:val="24"/>
          <w:szCs w:val="24"/>
          <w:lang w:val="en-US"/>
        </w:rPr>
        <w:t xml:space="preserve"> poetry is essentially</w:t>
      </w:r>
      <w:r w:rsidRPr="008D32D5">
        <w:rPr>
          <w:sz w:val="24"/>
          <w:szCs w:val="24"/>
          <w:lang w:val="en-US"/>
        </w:rPr>
        <w:t xml:space="preserve"> rhetorical, not lyrical, which </w:t>
      </w:r>
      <w:r w:rsidRPr="008D32D5">
        <w:rPr>
          <w:sz w:val="24"/>
          <w:szCs w:val="24"/>
          <w:lang w:val="en-US"/>
        </w:rPr>
        <w:lastRenderedPageBreak/>
        <w:t xml:space="preserve">is more characteristic of material we have in the </w:t>
      </w:r>
      <w:proofErr w:type="spellStart"/>
      <w:r w:rsidRPr="008D32D5">
        <w:rPr>
          <w:sz w:val="24"/>
          <w:szCs w:val="24"/>
          <w:lang w:val="en-US"/>
        </w:rPr>
        <w:t>Ramesside</w:t>
      </w:r>
      <w:proofErr w:type="spellEnd"/>
      <w:r w:rsidRPr="008D32D5">
        <w:rPr>
          <w:sz w:val="24"/>
          <w:szCs w:val="24"/>
          <w:lang w:val="en-US"/>
        </w:rPr>
        <w:t xml:space="preserve"> and post-</w:t>
      </w:r>
      <w:proofErr w:type="spellStart"/>
      <w:r w:rsidRPr="008D32D5">
        <w:rPr>
          <w:sz w:val="24"/>
          <w:szCs w:val="24"/>
          <w:lang w:val="en-US"/>
        </w:rPr>
        <w:t>Ramesside</w:t>
      </w:r>
      <w:proofErr w:type="spellEnd"/>
      <w:r w:rsidRPr="008D32D5">
        <w:rPr>
          <w:sz w:val="24"/>
          <w:szCs w:val="24"/>
          <w:lang w:val="en-US"/>
        </w:rPr>
        <w:t xml:space="preserve"> </w:t>
      </w:r>
      <w:r>
        <w:rPr>
          <w:sz w:val="24"/>
          <w:szCs w:val="24"/>
          <w:lang w:val="en-US"/>
        </w:rPr>
        <w:t>P</w:t>
      </w:r>
      <w:r w:rsidRPr="008D32D5">
        <w:rPr>
          <w:sz w:val="24"/>
          <w:szCs w:val="24"/>
          <w:lang w:val="en-US"/>
        </w:rPr>
        <w:t>eriod</w:t>
      </w:r>
      <w:r>
        <w:rPr>
          <w:sz w:val="24"/>
          <w:szCs w:val="24"/>
          <w:lang w:val="en-US"/>
        </w:rPr>
        <w:t>.</w:t>
      </w:r>
    </w:p>
    <w:p w:rsidR="00CE32A3" w:rsidRPr="00772A61" w:rsidRDefault="00CE32A3" w:rsidP="00992714">
      <w:pPr>
        <w:tabs>
          <w:tab w:val="left" w:pos="567"/>
        </w:tabs>
        <w:spacing w:line="360" w:lineRule="auto"/>
        <w:contextualSpacing/>
        <w:rPr>
          <w:sz w:val="24"/>
          <w:szCs w:val="24"/>
        </w:rPr>
      </w:pPr>
      <w:r w:rsidRPr="00C815F1">
        <w:rPr>
          <w:sz w:val="24"/>
          <w:szCs w:val="24"/>
        </w:rPr>
        <w:tab/>
      </w:r>
      <w:r>
        <w:rPr>
          <w:sz w:val="24"/>
          <w:szCs w:val="24"/>
        </w:rPr>
        <w:t>At</w:t>
      </w:r>
      <w:r w:rsidRPr="00C815F1">
        <w:rPr>
          <w:sz w:val="24"/>
          <w:szCs w:val="24"/>
        </w:rPr>
        <w:t xml:space="preserve"> the centre of our problem over the cultural role of narrative in Egypt is an essentially ethnographic question: t</w:t>
      </w:r>
      <w:r>
        <w:rPr>
          <w:sz w:val="24"/>
          <w:szCs w:val="24"/>
        </w:rPr>
        <w:t>he degree to which simple story-</w:t>
      </w:r>
      <w:r w:rsidRPr="00C815F1">
        <w:rPr>
          <w:sz w:val="24"/>
          <w:szCs w:val="24"/>
        </w:rPr>
        <w:t xml:space="preserve">telling was an ordinary everyday cultural activity, or regarded as essentially time-wasting, disapproved of and culturally problematic at lower levels of society. Contempt for </w:t>
      </w:r>
      <w:proofErr w:type="spellStart"/>
      <w:r w:rsidRPr="00C815F1">
        <w:rPr>
          <w:sz w:val="24"/>
          <w:szCs w:val="24"/>
        </w:rPr>
        <w:t>fictionality</w:t>
      </w:r>
      <w:proofErr w:type="spellEnd"/>
      <w:r w:rsidRPr="00C815F1">
        <w:rPr>
          <w:sz w:val="24"/>
          <w:szCs w:val="24"/>
        </w:rPr>
        <w:t xml:space="preserve"> (and indeed literature), as a waste of time, can potentially be a marker of (lower) social hierarchy</w:t>
      </w:r>
      <w:r>
        <w:rPr>
          <w:sz w:val="24"/>
          <w:szCs w:val="24"/>
        </w:rPr>
        <w:t xml:space="preserve">, </w:t>
      </w:r>
      <w:r w:rsidRPr="00C815F1">
        <w:rPr>
          <w:sz w:val="24"/>
          <w:szCs w:val="24"/>
        </w:rPr>
        <w:t xml:space="preserve">without excluding its mobilisation in non-everyday contexts. In Egypt the surviving narrative on papyrus evidently belongs physically to a culturally higher stratum of society, from the fact that it is written. That is not to </w:t>
      </w:r>
      <w:r>
        <w:rPr>
          <w:sz w:val="24"/>
          <w:szCs w:val="24"/>
        </w:rPr>
        <w:t>argue that story-</w:t>
      </w:r>
      <w:r w:rsidRPr="00C815F1">
        <w:rPr>
          <w:sz w:val="24"/>
          <w:szCs w:val="24"/>
        </w:rPr>
        <w:t xml:space="preserve">telling was necessarily an elite activity, but that the evidence we have suggests a contextualised, formalised, and purposeful activity. The minimal evidence we have for its use then seems to put it into higher status contexts of entertainment, but entertainment that is not only secular but can also overlap with ritual and formal </w:t>
      </w:r>
      <w:r w:rsidRPr="00772A61">
        <w:rPr>
          <w:sz w:val="24"/>
          <w:szCs w:val="24"/>
        </w:rPr>
        <w:t>occasions</w:t>
      </w:r>
      <w:r w:rsidRPr="00772A61">
        <w:rPr>
          <w:rStyle w:val="FootnoteReference"/>
          <w:sz w:val="24"/>
          <w:szCs w:val="24"/>
        </w:rPr>
        <w:footnoteReference w:id="78"/>
      </w:r>
      <w:r w:rsidRPr="00772A61">
        <w:rPr>
          <w:sz w:val="24"/>
          <w:szCs w:val="24"/>
        </w:rPr>
        <w:t>.</w:t>
      </w:r>
    </w:p>
    <w:p w:rsidR="00CE32A3" w:rsidRPr="00465923" w:rsidRDefault="00CE32A3" w:rsidP="00992714">
      <w:pPr>
        <w:tabs>
          <w:tab w:val="left" w:pos="567"/>
        </w:tabs>
        <w:spacing w:line="360" w:lineRule="auto"/>
        <w:contextualSpacing/>
        <w:rPr>
          <w:sz w:val="24"/>
          <w:szCs w:val="24"/>
          <w:lang w:val="en-US"/>
        </w:rPr>
      </w:pPr>
      <w:r w:rsidRPr="00772A61">
        <w:rPr>
          <w:sz w:val="24"/>
          <w:szCs w:val="24"/>
          <w:lang w:val="en-US"/>
        </w:rPr>
        <w:tab/>
        <w:t>The most plausible gue</w:t>
      </w:r>
      <w:r w:rsidR="007508EA" w:rsidRPr="00772A61">
        <w:rPr>
          <w:sz w:val="24"/>
          <w:szCs w:val="24"/>
          <w:lang w:val="en-US"/>
        </w:rPr>
        <w:t>ss, and it remains only a guess</w:t>
      </w:r>
      <w:r w:rsidRPr="00772A61">
        <w:rPr>
          <w:rStyle w:val="FootnoteReference"/>
          <w:sz w:val="24"/>
          <w:szCs w:val="24"/>
          <w:lang w:val="en-US"/>
        </w:rPr>
        <w:footnoteReference w:id="79"/>
      </w:r>
      <w:r w:rsidRPr="00772A61">
        <w:rPr>
          <w:sz w:val="24"/>
          <w:szCs w:val="24"/>
          <w:lang w:val="en-US"/>
        </w:rPr>
        <w:t>, is that praise</w:t>
      </w:r>
      <w:r w:rsidR="007508EA" w:rsidRPr="00772A61">
        <w:rPr>
          <w:sz w:val="24"/>
          <w:szCs w:val="24"/>
          <w:lang w:val="en-US"/>
        </w:rPr>
        <w:t xml:space="preserve"> narrative</w:t>
      </w:r>
      <w:r w:rsidRPr="00772A61">
        <w:rPr>
          <w:sz w:val="24"/>
          <w:szCs w:val="24"/>
          <w:lang w:val="en-US"/>
        </w:rPr>
        <w:t xml:space="preserve">, historical </w:t>
      </w:r>
      <w:r w:rsidR="007508EA" w:rsidRPr="00772A61">
        <w:rPr>
          <w:sz w:val="24"/>
          <w:szCs w:val="24"/>
          <w:lang w:val="en-US"/>
        </w:rPr>
        <w:t xml:space="preserve">narrative, </w:t>
      </w:r>
      <w:r w:rsidRPr="00772A61">
        <w:rPr>
          <w:sz w:val="24"/>
          <w:szCs w:val="24"/>
          <w:lang w:val="en-US"/>
        </w:rPr>
        <w:t>and mythological narrative all belong to formal perfor</w:t>
      </w:r>
      <w:r w:rsidR="007508EA" w:rsidRPr="00772A61">
        <w:rPr>
          <w:sz w:val="24"/>
          <w:szCs w:val="24"/>
          <w:lang w:val="en-US"/>
        </w:rPr>
        <w:t>mance around festival occasions. These</w:t>
      </w:r>
      <w:r w:rsidRPr="00772A61">
        <w:rPr>
          <w:sz w:val="24"/>
          <w:szCs w:val="24"/>
          <w:lang w:val="en-US"/>
        </w:rPr>
        <w:t xml:space="preserve"> are occasions where the celebration and cult of kingship are to the fore, </w:t>
      </w:r>
      <w:r w:rsidR="007508EA" w:rsidRPr="00772A61">
        <w:rPr>
          <w:sz w:val="24"/>
          <w:szCs w:val="24"/>
          <w:lang w:val="en-US"/>
        </w:rPr>
        <w:t>but also they</w:t>
      </w:r>
      <w:r w:rsidRPr="00772A61">
        <w:rPr>
          <w:sz w:val="24"/>
          <w:szCs w:val="24"/>
          <w:lang w:val="en-US"/>
        </w:rPr>
        <w:t xml:space="preserve"> are occasions where the role of drunkenness and riotous </w:t>
      </w:r>
      <w:proofErr w:type="spellStart"/>
      <w:r w:rsidRPr="00772A61">
        <w:rPr>
          <w:sz w:val="24"/>
          <w:szCs w:val="24"/>
          <w:lang w:val="en-US"/>
        </w:rPr>
        <w:t>behaviour</w:t>
      </w:r>
      <w:proofErr w:type="spellEnd"/>
      <w:r w:rsidRPr="00772A61">
        <w:rPr>
          <w:sz w:val="24"/>
          <w:szCs w:val="24"/>
          <w:lang w:val="en-US"/>
        </w:rPr>
        <w:t xml:space="preserve"> should not be underestimated: as recent publications of Demotic texts have once again served as reminder</w:t>
      </w:r>
      <w:r w:rsidRPr="00772A61">
        <w:rPr>
          <w:rStyle w:val="FootnoteReference"/>
          <w:sz w:val="24"/>
          <w:szCs w:val="24"/>
          <w:lang w:val="en-US"/>
        </w:rPr>
        <w:footnoteReference w:id="80"/>
      </w:r>
      <w:r w:rsidR="007508EA" w:rsidRPr="00772A61">
        <w:rPr>
          <w:sz w:val="24"/>
          <w:szCs w:val="24"/>
          <w:lang w:val="en-US"/>
        </w:rPr>
        <w:t>,</w:t>
      </w:r>
      <w:r w:rsidRPr="00772A61">
        <w:rPr>
          <w:sz w:val="24"/>
          <w:szCs w:val="24"/>
          <w:lang w:val="en-US"/>
        </w:rPr>
        <w:t xml:space="preserve"> the </w:t>
      </w:r>
      <w:proofErr w:type="spellStart"/>
      <w:r w:rsidRPr="00772A61">
        <w:rPr>
          <w:i/>
          <w:sz w:val="24"/>
          <w:szCs w:val="24"/>
          <w:lang w:val="en-US"/>
        </w:rPr>
        <w:t>mulid</w:t>
      </w:r>
      <w:proofErr w:type="spellEnd"/>
      <w:r w:rsidRPr="00772A61">
        <w:rPr>
          <w:sz w:val="24"/>
          <w:szCs w:val="24"/>
          <w:lang w:val="en-US"/>
        </w:rPr>
        <w:t xml:space="preserve"> has always been disordered in Egypt. This does not resolve the question of the popular nature of literary narrative:</w:t>
      </w:r>
      <w:r w:rsidRPr="00992714">
        <w:rPr>
          <w:sz w:val="24"/>
          <w:szCs w:val="24"/>
          <w:lang w:val="en-US"/>
        </w:rPr>
        <w:t xml:space="preserve"> its survival is within the context of those who are particularly literate; its language and content are culturally complex; and its themes and forms link very directly with inscriptional texts. </w:t>
      </w:r>
      <w:r w:rsidRPr="00992714">
        <w:rPr>
          <w:sz w:val="24"/>
          <w:szCs w:val="24"/>
        </w:rPr>
        <w:t>Perhaps counter-intuitively, the apparently late writing down of stories in Egypt</w:t>
      </w:r>
      <w:r w:rsidRPr="008D32D5">
        <w:rPr>
          <w:sz w:val="24"/>
          <w:szCs w:val="24"/>
        </w:rPr>
        <w:t xml:space="preserve"> does not necessarily define them as an intrusion of an oral </w:t>
      </w:r>
      <w:r>
        <w:rPr>
          <w:sz w:val="24"/>
          <w:szCs w:val="24"/>
        </w:rPr>
        <w:t xml:space="preserve">culture </w:t>
      </w:r>
      <w:r w:rsidRPr="008D32D5">
        <w:rPr>
          <w:sz w:val="24"/>
          <w:szCs w:val="24"/>
        </w:rPr>
        <w:t>that is culturally distinct from</w:t>
      </w:r>
      <w:r>
        <w:rPr>
          <w:sz w:val="24"/>
          <w:szCs w:val="24"/>
        </w:rPr>
        <w:t xml:space="preserve"> what was written earlier, or </w:t>
      </w:r>
      <w:r w:rsidRPr="008D32D5">
        <w:rPr>
          <w:sz w:val="24"/>
          <w:szCs w:val="24"/>
        </w:rPr>
        <w:t>of a socially more p</w:t>
      </w:r>
      <w:r>
        <w:rPr>
          <w:sz w:val="24"/>
          <w:szCs w:val="24"/>
        </w:rPr>
        <w:t xml:space="preserve">opular literature, compared to </w:t>
      </w:r>
      <w:r w:rsidRPr="008D32D5">
        <w:rPr>
          <w:sz w:val="24"/>
          <w:szCs w:val="24"/>
        </w:rPr>
        <w:t>the more formal, more poetical/rhetorical literature</w:t>
      </w:r>
      <w:r>
        <w:rPr>
          <w:sz w:val="24"/>
          <w:szCs w:val="24"/>
        </w:rPr>
        <w:t xml:space="preserve"> known </w:t>
      </w:r>
      <w:r>
        <w:rPr>
          <w:sz w:val="24"/>
          <w:szCs w:val="24"/>
        </w:rPr>
        <w:lastRenderedPageBreak/>
        <w:t>earlier</w:t>
      </w:r>
      <w:r w:rsidRPr="008D32D5">
        <w:rPr>
          <w:sz w:val="24"/>
          <w:szCs w:val="24"/>
        </w:rPr>
        <w:t>. Nor does the fine language of an archaising, poetic dialect of praise poetry mean that it was inaccessible to a large stratum of society. A performance – ritual, praise, rhetorical, display – is not necessarily inaccessible, especially in that cultural pleasure can come from sound and rhythm and does not require comp</w:t>
      </w:r>
      <w:r>
        <w:rPr>
          <w:sz w:val="24"/>
          <w:szCs w:val="24"/>
        </w:rPr>
        <w:t>l</w:t>
      </w:r>
      <w:r w:rsidRPr="008D32D5">
        <w:rPr>
          <w:sz w:val="24"/>
          <w:szCs w:val="24"/>
        </w:rPr>
        <w:t>ete comprehension. The problem of all Egyptian literature can be encapsulated in the problem of its accessibility: to whom it was targeted, and the specific circumstances of its use.</w:t>
      </w:r>
    </w:p>
    <w:p w:rsidR="00CE32A3" w:rsidRDefault="00CE32A3" w:rsidP="00992714">
      <w:pPr>
        <w:tabs>
          <w:tab w:val="left" w:pos="567"/>
        </w:tabs>
        <w:spacing w:line="360" w:lineRule="auto"/>
        <w:contextualSpacing/>
        <w:rPr>
          <w:sz w:val="24"/>
          <w:szCs w:val="24"/>
          <w:u w:val="single"/>
        </w:rPr>
      </w:pPr>
      <w:bookmarkStart w:id="0" w:name="_GoBack"/>
      <w:bookmarkEnd w:id="0"/>
    </w:p>
    <w:sectPr w:rsidR="00CE32A3" w:rsidSect="00D3502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6C" w:rsidRDefault="007A396C" w:rsidP="00C07D87">
      <w:r>
        <w:separator/>
      </w:r>
    </w:p>
  </w:endnote>
  <w:endnote w:type="continuationSeparator" w:id="0">
    <w:p w:rsidR="007A396C" w:rsidRDefault="007A396C" w:rsidP="00C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lit_CG Times">
    <w:panose1 w:val="020B7200000000000000"/>
    <w:charset w:val="00"/>
    <w:family w:val="swiss"/>
    <w:pitch w:val="variable"/>
    <w:sig w:usb0="00000003" w:usb1="00000000" w:usb2="00000000" w:usb3="00000000" w:csb0="00000001" w:csb1="00000000"/>
  </w:font>
  <w:font w:name="Minion-Regular">
    <w:altName w:val="Palatino"/>
    <w:panose1 w:val="00000000000000000000"/>
    <w:charset w:val="00"/>
    <w:family w:val="roman"/>
    <w:notTrueType/>
    <w:pitch w:val="default"/>
    <w:sig w:usb0="00000003" w:usb1="00000000" w:usb2="00000000" w:usb3="00000000" w:csb0="00000001" w:csb1="00000000"/>
  </w:font>
  <w:font w:name="TransliterationItalic">
    <w:altName w:val="Palatino"/>
    <w:panose1 w:val="00000000000000000000"/>
    <w:charset w:val="00"/>
    <w:family w:val="auto"/>
    <w:notTrueType/>
    <w:pitch w:val="default"/>
    <w:sig w:usb0="00000003" w:usb1="00000000" w:usb2="00000000" w:usb3="00000000" w:csb0="00000001" w:csb1="00000000"/>
  </w:font>
  <w:font w:name="Minion-Italic">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EA" w:rsidRDefault="004466EA" w:rsidP="00F57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6EA" w:rsidRDefault="004466EA" w:rsidP="00F57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EA" w:rsidRDefault="004466EA" w:rsidP="00F57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A61">
      <w:rPr>
        <w:rStyle w:val="PageNumber"/>
        <w:noProof/>
      </w:rPr>
      <w:t>22</w:t>
    </w:r>
    <w:r>
      <w:rPr>
        <w:rStyle w:val="PageNumber"/>
      </w:rPr>
      <w:fldChar w:fldCharType="end"/>
    </w:r>
  </w:p>
  <w:p w:rsidR="004466EA" w:rsidRDefault="004466EA" w:rsidP="00F575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6C" w:rsidRDefault="007A396C" w:rsidP="00C07D87">
      <w:r>
        <w:separator/>
      </w:r>
    </w:p>
  </w:footnote>
  <w:footnote w:type="continuationSeparator" w:id="0">
    <w:p w:rsidR="007A396C" w:rsidRDefault="007A396C" w:rsidP="00C07D87">
      <w:r>
        <w:continuationSeparator/>
      </w:r>
    </w:p>
  </w:footnote>
  <w:footnote w:id="1">
    <w:p w:rsidR="004466EA" w:rsidRDefault="004466EA" w:rsidP="00992714">
      <w:pPr>
        <w:spacing w:line="360" w:lineRule="auto"/>
        <w:contextualSpacing/>
      </w:pPr>
      <w:r w:rsidRPr="00992714">
        <w:rPr>
          <w:rStyle w:val="FootnoteReference"/>
          <w:szCs w:val="20"/>
        </w:rPr>
        <w:footnoteRef/>
      </w:r>
      <w:r w:rsidRPr="00992714">
        <w:t xml:space="preserve"> </w:t>
      </w:r>
      <w:proofErr w:type="gramStart"/>
      <w:r w:rsidRPr="00992714">
        <w:t>B</w:t>
      </w:r>
      <w:r w:rsidRPr="00992714">
        <w:rPr>
          <w:smallCaps/>
          <w:szCs w:val="20"/>
        </w:rPr>
        <w:t>arber</w:t>
      </w:r>
      <w:r w:rsidRPr="00992714">
        <w:t xml:space="preserve"> 2007; </w:t>
      </w:r>
      <w:r w:rsidRPr="00992714">
        <w:rPr>
          <w:smallCaps/>
          <w:szCs w:val="20"/>
        </w:rPr>
        <w:t xml:space="preserve">Eyre </w:t>
      </w:r>
      <w:r w:rsidRPr="00992714">
        <w:t>2013.</w:t>
      </w:r>
      <w:proofErr w:type="gramEnd"/>
    </w:p>
  </w:footnote>
  <w:footnote w:id="2">
    <w:p w:rsidR="004466EA" w:rsidRDefault="004466EA" w:rsidP="00992714">
      <w:pPr>
        <w:pStyle w:val="FootnoteText"/>
        <w:spacing w:line="360" w:lineRule="auto"/>
        <w:contextualSpacing/>
      </w:pPr>
      <w:r w:rsidRPr="00992714">
        <w:rPr>
          <w:rStyle w:val="FootnoteReference"/>
          <w:rFonts w:cs="Palatino"/>
        </w:rPr>
        <w:footnoteRef/>
      </w:r>
      <w:r w:rsidRPr="00992714">
        <w:t xml:space="preserve"> This overlaps with, but differs from the distinction drawn by </w:t>
      </w:r>
      <w:r w:rsidRPr="00992714">
        <w:rPr>
          <w:smallCaps/>
          <w:szCs w:val="20"/>
        </w:rPr>
        <w:t xml:space="preserve">Franke </w:t>
      </w:r>
      <w:r w:rsidRPr="00992714">
        <w:t>2003, 122-135</w:t>
      </w:r>
      <w:r>
        <w:t>,</w:t>
      </w:r>
      <w:r w:rsidRPr="00992714">
        <w:t xml:space="preserve"> between ‘publication’ of a text on a visible monument against ‘recording’, where it will be invisible, on a coffin or in a tomb chamber.</w:t>
      </w:r>
    </w:p>
  </w:footnote>
  <w:footnote w:id="3">
    <w:p w:rsidR="004466EA" w:rsidRDefault="004466EA" w:rsidP="00992714">
      <w:pPr>
        <w:spacing w:line="360" w:lineRule="auto"/>
        <w:contextualSpacing/>
      </w:pPr>
      <w:r w:rsidRPr="00992714">
        <w:rPr>
          <w:rStyle w:val="FootnoteReference"/>
          <w:szCs w:val="20"/>
        </w:rPr>
        <w:footnoteRef/>
      </w:r>
      <w:r w:rsidRPr="00992714">
        <w:t xml:space="preserve"> </w:t>
      </w:r>
      <w:proofErr w:type="gramStart"/>
      <w:r w:rsidRPr="00992714">
        <w:rPr>
          <w:smallCaps/>
          <w:szCs w:val="20"/>
        </w:rPr>
        <w:t>Eyre</w:t>
      </w:r>
      <w:r w:rsidRPr="00992714">
        <w:t xml:space="preserve"> 2013, 102-106, 132-133; </w:t>
      </w:r>
      <w:r w:rsidRPr="00992714">
        <w:rPr>
          <w:smallCaps/>
          <w:szCs w:val="20"/>
        </w:rPr>
        <w:t>Baines</w:t>
      </w:r>
      <w:r w:rsidRPr="00992714">
        <w:t xml:space="preserve"> 2015.</w:t>
      </w:r>
      <w:proofErr w:type="gramEnd"/>
      <w:r w:rsidRPr="00992714">
        <w:t xml:space="preserve"> Neither picture nor text can be treated as an autonomous category in a modern sense, but embedded in functional or </w:t>
      </w:r>
      <w:proofErr w:type="spellStart"/>
      <w:r w:rsidRPr="00992714">
        <w:t>performative</w:t>
      </w:r>
      <w:proofErr w:type="spellEnd"/>
      <w:r w:rsidRPr="00992714">
        <w:t xml:space="preserve"> context; cf. also </w:t>
      </w:r>
      <w:r w:rsidRPr="00992714">
        <w:rPr>
          <w:smallCaps/>
          <w:szCs w:val="20"/>
        </w:rPr>
        <w:t>Arnold</w:t>
      </w:r>
      <w:r w:rsidRPr="00992714">
        <w:t xml:space="preserve"> 2008.  </w:t>
      </w:r>
    </w:p>
  </w:footnote>
  <w:footnote w:id="4">
    <w:p w:rsidR="004466EA" w:rsidRDefault="004466EA" w:rsidP="00992714">
      <w:pPr>
        <w:spacing w:line="360" w:lineRule="auto"/>
        <w:contextualSpacing/>
      </w:pPr>
      <w:r w:rsidRPr="00992714">
        <w:rPr>
          <w:rStyle w:val="FootnoteReference"/>
          <w:szCs w:val="20"/>
        </w:rPr>
        <w:footnoteRef/>
      </w:r>
      <w:r w:rsidRPr="00992714">
        <w:t xml:space="preserve"> To put the </w:t>
      </w:r>
      <w:proofErr w:type="spellStart"/>
      <w:r w:rsidRPr="00992714">
        <w:t>Egyptological</w:t>
      </w:r>
      <w:proofErr w:type="spellEnd"/>
      <w:r w:rsidRPr="00992714">
        <w:t xml:space="preserve"> issue into broader context one may contrast </w:t>
      </w:r>
      <w:r w:rsidRPr="00262D03">
        <w:rPr>
          <w:smallCaps/>
        </w:rPr>
        <w:t>Barthes</w:t>
      </w:r>
      <w:r>
        <w:t>’ 1967</w:t>
      </w:r>
      <w:r w:rsidRPr="00992714">
        <w:t xml:space="preserve"> declarati</w:t>
      </w:r>
      <w:r>
        <w:t>on of the death of the author: „</w:t>
      </w:r>
      <w:r w:rsidRPr="00992714">
        <w:t>in primitive societies, narrative is never undertaken by a person, but by a mediator, shaman or speaker, whose “performance” may be admired (that is, his mastery of the narrative code), but not his “genius”</w:t>
      </w:r>
      <w:r>
        <w:t>.</w:t>
      </w:r>
      <w:r w:rsidRPr="00992714">
        <w:t xml:space="preserve"> The author is a modern figure, produced no doubt by our society insofar as, at the end of the middle ages, with English empiricism, French rationalism and the personal faith of the Reformation, it discovered the prestige of the individual, or, to put it more nobly, of the “human </w:t>
      </w:r>
      <w:proofErr w:type="spellStart"/>
      <w:r w:rsidRPr="00992714">
        <w:t>person”.</w:t>
      </w:r>
      <w:r>
        <w:t>”</w:t>
      </w:r>
      <w:r w:rsidRPr="00992714">
        <w:t>The</w:t>
      </w:r>
      <w:proofErr w:type="spellEnd"/>
      <w:r w:rsidRPr="00992714">
        <w:t xml:space="preserve"> text is a tissue of quotations drawn from the innumerable centres of culture.’ Cf. </w:t>
      </w:r>
      <w:r w:rsidRPr="00992714">
        <w:rPr>
          <w:smallCaps/>
          <w:szCs w:val="20"/>
        </w:rPr>
        <w:t>Simon</w:t>
      </w:r>
      <w:r w:rsidRPr="00992714">
        <w:t xml:space="preserve"> 2013, 227-231.</w:t>
      </w:r>
    </w:p>
  </w:footnote>
  <w:footnote w:id="5">
    <w:p w:rsidR="004466EA" w:rsidRDefault="004466EA" w:rsidP="00992714">
      <w:pPr>
        <w:spacing w:line="360" w:lineRule="auto"/>
        <w:contextualSpacing/>
      </w:pPr>
      <w:r w:rsidRPr="00992714">
        <w:rPr>
          <w:rStyle w:val="FootnoteReference"/>
          <w:szCs w:val="20"/>
        </w:rPr>
        <w:footnoteRef/>
      </w:r>
      <w:r w:rsidRPr="00992714">
        <w:t xml:space="preserve"> </w:t>
      </w:r>
      <w:r w:rsidRPr="00992714">
        <w:rPr>
          <w:lang w:eastAsia="en-GB"/>
        </w:rPr>
        <w:t>The expectation of a specially written – autonomous – literature imposes a modern written vision of creativity, where the publishing of a literary artefact is a stage in a developmental and evolutionary aetiology.  This is anachronistic for Egypt, where it is more appropriate to minimise the functional distinctions between author, plagiarist, and performer, and to bring into stronger focus the differentiation between audience and public, performance and publication. Despite S</w:t>
      </w:r>
      <w:r w:rsidRPr="00992714">
        <w:rPr>
          <w:smallCaps/>
          <w:lang w:eastAsia="en-GB"/>
        </w:rPr>
        <w:t>imon</w:t>
      </w:r>
      <w:r w:rsidRPr="00992714">
        <w:rPr>
          <w:lang w:eastAsia="en-GB"/>
        </w:rPr>
        <w:t xml:space="preserve"> 2013, 225-226, 298, 302, 305, 312; </w:t>
      </w:r>
      <w:r w:rsidRPr="00992714">
        <w:rPr>
          <w:smallCaps/>
          <w:szCs w:val="20"/>
          <w:lang w:eastAsia="en-GB"/>
        </w:rPr>
        <w:t>Janssen</w:t>
      </w:r>
      <w:r w:rsidRPr="00992714">
        <w:rPr>
          <w:lang w:eastAsia="en-GB"/>
        </w:rPr>
        <w:t xml:space="preserve"> 1992, 86-87; S</w:t>
      </w:r>
      <w:r w:rsidRPr="00992714">
        <w:rPr>
          <w:smallCaps/>
          <w:szCs w:val="20"/>
          <w:lang w:eastAsia="en-GB"/>
        </w:rPr>
        <w:t>palinger</w:t>
      </w:r>
      <w:r w:rsidRPr="00992714">
        <w:rPr>
          <w:lang w:eastAsia="en-GB"/>
        </w:rPr>
        <w:t xml:space="preserve"> 2011, esp. 363, 370-374</w:t>
      </w:r>
      <w:r>
        <w:rPr>
          <w:lang w:eastAsia="en-GB"/>
        </w:rPr>
        <w:t>,</w:t>
      </w:r>
      <w:r w:rsidRPr="00992714">
        <w:rPr>
          <w:lang w:eastAsia="en-GB"/>
        </w:rPr>
        <w:t xml:space="preserve"> I express doubt about people reading literature for themselves.</w:t>
      </w:r>
    </w:p>
  </w:footnote>
  <w:footnote w:id="6">
    <w:p w:rsidR="004466EA" w:rsidRDefault="004466EA" w:rsidP="00992714">
      <w:pPr>
        <w:spacing w:line="360" w:lineRule="auto"/>
        <w:contextualSpacing/>
      </w:pPr>
      <w:r w:rsidRPr="00992714">
        <w:rPr>
          <w:rStyle w:val="FootnoteReference"/>
          <w:szCs w:val="20"/>
        </w:rPr>
        <w:footnoteRef/>
      </w:r>
      <w:r w:rsidRPr="00992714">
        <w:t xml:space="preserve"> For recent survey of the state of the argument about authorship in Egypt see </w:t>
      </w:r>
      <w:r w:rsidRPr="00992714">
        <w:rPr>
          <w:smallCaps/>
          <w:szCs w:val="20"/>
          <w:lang w:eastAsia="en-GB"/>
        </w:rPr>
        <w:t>Simon</w:t>
      </w:r>
      <w:r w:rsidRPr="00992714">
        <w:rPr>
          <w:lang w:eastAsia="en-GB"/>
        </w:rPr>
        <w:t xml:space="preserve"> 2013, 227-281</w:t>
      </w:r>
      <w:r>
        <w:rPr>
          <w:lang w:eastAsia="en-GB"/>
        </w:rPr>
        <w:t>;</w:t>
      </w:r>
      <w:r w:rsidRPr="00992714">
        <w:rPr>
          <w:lang w:eastAsia="en-GB"/>
        </w:rPr>
        <w:t xml:space="preserve"> </w:t>
      </w:r>
      <w:r w:rsidRPr="00992714">
        <w:rPr>
          <w:smallCaps/>
          <w:szCs w:val="20"/>
          <w:lang w:eastAsia="en-GB"/>
        </w:rPr>
        <w:t>Eyre</w:t>
      </w:r>
      <w:r w:rsidRPr="00992714">
        <w:rPr>
          <w:lang w:eastAsia="en-GB"/>
        </w:rPr>
        <w:t xml:space="preserve"> 2013, 130-138; for specific discussion of the authorship of monuments see </w:t>
      </w:r>
      <w:proofErr w:type="spellStart"/>
      <w:r w:rsidRPr="00992714">
        <w:rPr>
          <w:lang w:eastAsia="en-GB"/>
        </w:rPr>
        <w:t>P</w:t>
      </w:r>
      <w:r w:rsidRPr="00992714">
        <w:rPr>
          <w:smallCaps/>
          <w:szCs w:val="20"/>
          <w:lang w:eastAsia="en-GB"/>
        </w:rPr>
        <w:t>opko</w:t>
      </w:r>
      <w:proofErr w:type="spellEnd"/>
      <w:r w:rsidRPr="00992714">
        <w:rPr>
          <w:lang w:eastAsia="en-GB"/>
        </w:rPr>
        <w:t xml:space="preserve"> 2006, 45-55; for a joking description of how a text was cobbled together, see </w:t>
      </w:r>
      <w:proofErr w:type="spellStart"/>
      <w:r>
        <w:rPr>
          <w:lang w:eastAsia="en-GB"/>
        </w:rPr>
        <w:t>pAnastasi</w:t>
      </w:r>
      <w:proofErr w:type="spellEnd"/>
      <w:r>
        <w:rPr>
          <w:lang w:eastAsia="en-GB"/>
        </w:rPr>
        <w:t xml:space="preserve"> I, 5, 5-</w:t>
      </w:r>
      <w:r w:rsidRPr="00992714">
        <w:rPr>
          <w:lang w:eastAsia="en-GB"/>
        </w:rPr>
        <w:t>7, 4.</w:t>
      </w:r>
    </w:p>
  </w:footnote>
  <w:footnote w:id="7">
    <w:p w:rsidR="004466EA" w:rsidRDefault="004466EA" w:rsidP="00992714">
      <w:pPr>
        <w:spacing w:line="360" w:lineRule="auto"/>
        <w:contextualSpacing/>
      </w:pPr>
      <w:r w:rsidRPr="00992714">
        <w:rPr>
          <w:rStyle w:val="FootnoteReference"/>
          <w:szCs w:val="20"/>
        </w:rPr>
        <w:footnoteRef/>
      </w:r>
      <w:r w:rsidRPr="00992714">
        <w:t xml:space="preserve"> Cf. </w:t>
      </w:r>
      <w:r w:rsidRPr="00992714">
        <w:rPr>
          <w:smallCaps/>
          <w:szCs w:val="20"/>
        </w:rPr>
        <w:t>Roeder</w:t>
      </w:r>
      <w:r w:rsidRPr="00992714">
        <w:t xml:space="preserve"> 2009.  </w:t>
      </w:r>
    </w:p>
  </w:footnote>
  <w:footnote w:id="8">
    <w:p w:rsidR="004466EA" w:rsidRDefault="004466EA" w:rsidP="00992714">
      <w:pPr>
        <w:spacing w:line="360" w:lineRule="auto"/>
        <w:contextualSpacing/>
      </w:pPr>
      <w:r w:rsidRPr="00992714">
        <w:rPr>
          <w:rStyle w:val="FootnoteReference"/>
        </w:rPr>
        <w:footnoteRef/>
      </w:r>
      <w:r w:rsidRPr="00992714">
        <w:t xml:space="preserve"> </w:t>
      </w:r>
      <w:proofErr w:type="gramStart"/>
      <w:r w:rsidRPr="00992714">
        <w:t>Illustration of, or as narrative is exceptional on papyrus</w:t>
      </w:r>
      <w:r>
        <w:t>,</w:t>
      </w:r>
      <w:r w:rsidRPr="00992714">
        <w:t xml:space="preserve"> </w:t>
      </w:r>
      <w:r w:rsidRPr="00F0079F">
        <w:rPr>
          <w:smallCaps/>
        </w:rPr>
        <w:t>Brunner-</w:t>
      </w:r>
      <w:proofErr w:type="spellStart"/>
      <w:r w:rsidRPr="00F0079F">
        <w:rPr>
          <w:smallCaps/>
          <w:color w:val="000000"/>
        </w:rPr>
        <w:t>Traut</w:t>
      </w:r>
      <w:proofErr w:type="spellEnd"/>
      <w:r w:rsidRPr="00992714">
        <w:rPr>
          <w:color w:val="000000"/>
        </w:rPr>
        <w:t xml:space="preserve"> 1968; </w:t>
      </w:r>
      <w:r w:rsidRPr="00F0079F">
        <w:rPr>
          <w:smallCaps/>
          <w:color w:val="000000"/>
        </w:rPr>
        <w:t>O’Connor</w:t>
      </w:r>
      <w:r w:rsidRPr="00992714">
        <w:rPr>
          <w:color w:val="000000"/>
        </w:rPr>
        <w:t xml:space="preserve"> 2011.</w:t>
      </w:r>
      <w:proofErr w:type="gramEnd"/>
    </w:p>
  </w:footnote>
  <w:footnote w:id="9">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gramStart"/>
      <w:r w:rsidRPr="00992714">
        <w:t xml:space="preserve">Cf. </w:t>
      </w:r>
      <w:proofErr w:type="spellStart"/>
      <w:r w:rsidRPr="00992714">
        <w:t>L</w:t>
      </w:r>
      <w:r w:rsidRPr="00992714">
        <w:rPr>
          <w:smallCaps/>
          <w:szCs w:val="20"/>
        </w:rPr>
        <w:t>oprieno</w:t>
      </w:r>
      <w:proofErr w:type="spellEnd"/>
      <w:r w:rsidRPr="00992714">
        <w:rPr>
          <w:smallCaps/>
          <w:szCs w:val="20"/>
        </w:rPr>
        <w:t xml:space="preserve"> </w:t>
      </w:r>
      <w:r w:rsidRPr="00992714">
        <w:t xml:space="preserve">1996, introduction; </w:t>
      </w:r>
      <w:r w:rsidRPr="00F0079F">
        <w:rPr>
          <w:smallCaps/>
        </w:rPr>
        <w:t>Moers</w:t>
      </w:r>
      <w:r w:rsidRPr="00992714">
        <w:t xml:space="preserve"> 2001.</w:t>
      </w:r>
      <w:proofErr w:type="gramEnd"/>
    </w:p>
  </w:footnote>
  <w:footnote w:id="10">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r w:rsidRPr="00992714">
        <w:rPr>
          <w:smallCaps/>
          <w:szCs w:val="20"/>
        </w:rPr>
        <w:t xml:space="preserve">Eyre </w:t>
      </w:r>
      <w:r w:rsidRPr="00992714">
        <w:t>2013, 138-139.</w:t>
      </w:r>
    </w:p>
  </w:footnote>
  <w:footnote w:id="11">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r w:rsidRPr="00992714">
        <w:t>K</w:t>
      </w:r>
      <w:r w:rsidRPr="00992714">
        <w:rPr>
          <w:smallCaps/>
          <w:szCs w:val="20"/>
        </w:rPr>
        <w:t>uhlmann</w:t>
      </w:r>
      <w:proofErr w:type="spellEnd"/>
      <w:r>
        <w:t>/</w:t>
      </w:r>
      <w:proofErr w:type="spellStart"/>
      <w:r w:rsidRPr="00992714">
        <w:t>S</w:t>
      </w:r>
      <w:r w:rsidRPr="00992714">
        <w:rPr>
          <w:smallCaps/>
          <w:szCs w:val="20"/>
        </w:rPr>
        <w:t>chenkel</w:t>
      </w:r>
      <w:proofErr w:type="spellEnd"/>
      <w:r w:rsidRPr="00992714">
        <w:rPr>
          <w:smallCaps/>
          <w:szCs w:val="20"/>
        </w:rPr>
        <w:t xml:space="preserve"> 1983, 71-73.</w:t>
      </w:r>
    </w:p>
  </w:footnote>
  <w:footnote w:id="12">
    <w:p w:rsidR="004466EA" w:rsidRDefault="004466EA" w:rsidP="00F0079F">
      <w:pPr>
        <w:spacing w:line="360" w:lineRule="auto"/>
        <w:contextualSpacing/>
      </w:pPr>
      <w:r w:rsidRPr="00992714">
        <w:rPr>
          <w:rStyle w:val="FootnoteReference"/>
        </w:rPr>
        <w:footnoteRef/>
      </w:r>
      <w:r w:rsidRPr="00992714">
        <w:t xml:space="preserve"> </w:t>
      </w:r>
      <w:r w:rsidRPr="00992714">
        <w:rPr>
          <w:szCs w:val="20"/>
        </w:rPr>
        <w:t>The same issues arise, in the transmission of texts from wall to wall, as they do from papyrus to papyrus: common speculation about the use of ‘pattern books’ for art, and the common assumption that an inscription was necessarily transcribed onto a wall, contrast with the ‘formulaic composition’ of texts, where in neither case is a concrete vision established for the reality of practice and the working of productive reuse, in cultural production – text and picture – rooted in apprenticeship.</w:t>
      </w:r>
      <w:r w:rsidRPr="00992714">
        <w:rPr>
          <w:color w:val="FF0000"/>
          <w:szCs w:val="20"/>
        </w:rPr>
        <w:t xml:space="preserve"> </w:t>
      </w:r>
      <w:r w:rsidRPr="00992714">
        <w:rPr>
          <w:szCs w:val="20"/>
        </w:rPr>
        <w:t xml:space="preserve">The more living the text, the less mechanical the copying: the contrast between Middle Kingdom classical literature, copied badly but deliberately in </w:t>
      </w:r>
      <w:proofErr w:type="spellStart"/>
      <w:r w:rsidRPr="00992714">
        <w:rPr>
          <w:szCs w:val="20"/>
        </w:rPr>
        <w:t>Ramesside</w:t>
      </w:r>
      <w:proofErr w:type="spellEnd"/>
      <w:r w:rsidRPr="00992714">
        <w:rPr>
          <w:szCs w:val="20"/>
        </w:rPr>
        <w:t xml:space="preserve"> schooling, or the often careless copying of Books of the Dead, contrasted with the more open transmission of living texts</w:t>
      </w:r>
      <w:r>
        <w:rPr>
          <w:szCs w:val="20"/>
        </w:rPr>
        <w:t>, c</w:t>
      </w:r>
      <w:r w:rsidRPr="00992714">
        <w:t>f. M</w:t>
      </w:r>
      <w:r w:rsidRPr="00992714">
        <w:rPr>
          <w:smallCaps/>
          <w:szCs w:val="20"/>
        </w:rPr>
        <w:t>orenz</w:t>
      </w:r>
      <w:r w:rsidRPr="00992714">
        <w:t xml:space="preserve"> 2002; </w:t>
      </w:r>
      <w:proofErr w:type="spellStart"/>
      <w:r w:rsidRPr="00992714">
        <w:rPr>
          <w:smallCaps/>
          <w:szCs w:val="20"/>
        </w:rPr>
        <w:t>Verhoeven</w:t>
      </w:r>
      <w:proofErr w:type="spellEnd"/>
      <w:r w:rsidRPr="00992714">
        <w:t xml:space="preserve"> 2009, 315</w:t>
      </w:r>
      <w:r>
        <w:t>;</w:t>
      </w:r>
      <w:r w:rsidRPr="00992714">
        <w:t xml:space="preserve"> </w:t>
      </w:r>
      <w:r w:rsidRPr="00992714">
        <w:rPr>
          <w:smallCaps/>
          <w:szCs w:val="20"/>
        </w:rPr>
        <w:t>Eyre</w:t>
      </w:r>
      <w:r w:rsidRPr="00992714">
        <w:rPr>
          <w:szCs w:val="20"/>
        </w:rPr>
        <w:t xml:space="preserve"> 2013, 138-139</w:t>
      </w:r>
      <w:r w:rsidRPr="00992714">
        <w:t>, and see below n. 47 on transmission.</w:t>
      </w:r>
    </w:p>
  </w:footnote>
  <w:footnote w:id="13">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proofErr w:type="gramStart"/>
      <w:r w:rsidRPr="00992714">
        <w:rPr>
          <w:smallCaps/>
          <w:szCs w:val="20"/>
        </w:rPr>
        <w:t>Lenzo</w:t>
      </w:r>
      <w:proofErr w:type="spellEnd"/>
      <w:r w:rsidRPr="00992714">
        <w:rPr>
          <w:smallCaps/>
          <w:szCs w:val="20"/>
        </w:rPr>
        <w:t xml:space="preserve"> </w:t>
      </w:r>
      <w:proofErr w:type="spellStart"/>
      <w:r w:rsidRPr="00992714">
        <w:rPr>
          <w:smallCaps/>
          <w:szCs w:val="20"/>
        </w:rPr>
        <w:t>Marchese</w:t>
      </w:r>
      <w:proofErr w:type="spellEnd"/>
      <w:r w:rsidRPr="00992714">
        <w:rPr>
          <w:smallCaps/>
          <w:szCs w:val="20"/>
        </w:rPr>
        <w:t xml:space="preserve"> </w:t>
      </w:r>
      <w:r w:rsidRPr="00992714">
        <w:t>2004.</w:t>
      </w:r>
      <w:proofErr w:type="gramEnd"/>
    </w:p>
  </w:footnote>
  <w:footnote w:id="14">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992714">
        <w:rPr>
          <w:smallCaps/>
          <w:szCs w:val="20"/>
          <w:lang w:eastAsia="en-GB"/>
        </w:rPr>
        <w:t>Assmann</w:t>
      </w:r>
      <w:proofErr w:type="spellEnd"/>
      <w:r w:rsidRPr="00992714">
        <w:rPr>
          <w:smallCaps/>
          <w:szCs w:val="20"/>
          <w:lang w:eastAsia="en-GB"/>
        </w:rPr>
        <w:t xml:space="preserve"> </w:t>
      </w:r>
      <w:r w:rsidRPr="00992714">
        <w:rPr>
          <w:lang w:eastAsia="en-GB"/>
        </w:rPr>
        <w:t>1983.</w:t>
      </w:r>
    </w:p>
  </w:footnote>
  <w:footnote w:id="15">
    <w:p w:rsidR="004466EA" w:rsidRDefault="004466EA" w:rsidP="00992714">
      <w:pPr>
        <w:spacing w:line="360" w:lineRule="auto"/>
        <w:contextualSpacing/>
      </w:pPr>
      <w:r w:rsidRPr="00992714">
        <w:rPr>
          <w:rStyle w:val="FootnoteReference"/>
          <w:szCs w:val="20"/>
        </w:rPr>
        <w:footnoteRef/>
      </w:r>
      <w:r w:rsidRPr="00992714">
        <w:t xml:space="preserve"> </w:t>
      </w:r>
      <w:r w:rsidRPr="00992714">
        <w:rPr>
          <w:lang w:eastAsia="en-GB"/>
        </w:rPr>
        <w:t>S</w:t>
      </w:r>
      <w:r w:rsidRPr="00992714">
        <w:rPr>
          <w:smallCaps/>
          <w:lang w:eastAsia="en-GB"/>
        </w:rPr>
        <w:t>palinger</w:t>
      </w:r>
      <w:r w:rsidRPr="00992714">
        <w:rPr>
          <w:lang w:eastAsia="en-GB"/>
        </w:rPr>
        <w:t xml:space="preserve"> 2011; </w:t>
      </w:r>
      <w:proofErr w:type="spellStart"/>
      <w:r w:rsidRPr="00992714">
        <w:rPr>
          <w:lang w:eastAsia="en-GB"/>
        </w:rPr>
        <w:t>F</w:t>
      </w:r>
      <w:r w:rsidRPr="00992714">
        <w:rPr>
          <w:smallCaps/>
          <w:lang w:eastAsia="en-GB"/>
        </w:rPr>
        <w:t>arout</w:t>
      </w:r>
      <w:proofErr w:type="spellEnd"/>
      <w:r w:rsidRPr="00992714">
        <w:rPr>
          <w:lang w:eastAsia="en-GB"/>
        </w:rPr>
        <w:t xml:space="preserve"> 2014 for Old Kingdom roots stressing text as support of picture, and not </w:t>
      </w:r>
      <w:r w:rsidRPr="00992714">
        <w:rPr>
          <w:i/>
          <w:lang w:eastAsia="en-GB"/>
        </w:rPr>
        <w:t>vice versa</w:t>
      </w:r>
      <w:r w:rsidRPr="00992714">
        <w:rPr>
          <w:lang w:eastAsia="en-GB"/>
        </w:rPr>
        <w:t>.</w:t>
      </w:r>
    </w:p>
  </w:footnote>
  <w:footnote w:id="16">
    <w:p w:rsidR="004466EA" w:rsidRDefault="004466EA" w:rsidP="00992714">
      <w:pPr>
        <w:spacing w:line="360" w:lineRule="auto"/>
        <w:contextualSpacing/>
      </w:pPr>
      <w:r w:rsidRPr="00992714">
        <w:rPr>
          <w:rStyle w:val="FootnoteReference"/>
          <w:szCs w:val="20"/>
        </w:rPr>
        <w:footnoteRef/>
      </w:r>
      <w:r w:rsidRPr="00992714">
        <w:t xml:space="preserve"> </w:t>
      </w:r>
      <w:r w:rsidRPr="00992714">
        <w:rPr>
          <w:lang w:eastAsia="en-GB"/>
        </w:rPr>
        <w:t>D</w:t>
      </w:r>
      <w:r w:rsidRPr="00992714">
        <w:rPr>
          <w:smallCaps/>
          <w:lang w:eastAsia="en-GB"/>
        </w:rPr>
        <w:t>orman</w:t>
      </w:r>
      <w:r w:rsidRPr="00992714">
        <w:rPr>
          <w:lang w:eastAsia="en-GB"/>
        </w:rPr>
        <w:t xml:space="preserve"> 2014, </w:t>
      </w:r>
      <w:r>
        <w:rPr>
          <w:lang w:eastAsia="en-GB"/>
        </w:rPr>
        <w:t>5, talks about the „</w:t>
      </w:r>
      <w:r w:rsidRPr="00992714">
        <w:rPr>
          <w:lang w:eastAsia="en-GB"/>
        </w:rPr>
        <w:t>public narrative art</w:t>
      </w:r>
      <w:r>
        <w:rPr>
          <w:lang w:eastAsia="en-GB"/>
        </w:rPr>
        <w:t>”</w:t>
      </w:r>
      <w:r w:rsidRPr="00992714">
        <w:rPr>
          <w:lang w:eastAsia="en-GB"/>
        </w:rPr>
        <w:t xml:space="preserve"> of the reign of Hatshepsut. </w:t>
      </w:r>
    </w:p>
  </w:footnote>
  <w:footnote w:id="17">
    <w:p w:rsidR="004466EA" w:rsidRDefault="004466EA" w:rsidP="00992714">
      <w:pPr>
        <w:pStyle w:val="FootnoteText"/>
        <w:spacing w:line="360" w:lineRule="auto"/>
        <w:contextualSpacing/>
      </w:pPr>
      <w:r w:rsidRPr="00992714">
        <w:rPr>
          <w:rStyle w:val="FootnoteReference"/>
          <w:rFonts w:cs="Palatino"/>
        </w:rPr>
        <w:footnoteRef/>
      </w:r>
      <w:r w:rsidRPr="00830881">
        <w:rPr>
          <w:lang w:val="de-DE"/>
        </w:rPr>
        <w:t xml:space="preserve"> </w:t>
      </w:r>
      <w:r w:rsidRPr="00830881">
        <w:rPr>
          <w:lang w:val="de-DE" w:eastAsia="en-GB"/>
        </w:rPr>
        <w:t>P</w:t>
      </w:r>
      <w:r w:rsidRPr="00830881">
        <w:rPr>
          <w:smallCaps/>
          <w:szCs w:val="20"/>
          <w:lang w:val="de-DE" w:eastAsia="en-GB"/>
        </w:rPr>
        <w:t>opko</w:t>
      </w:r>
      <w:r w:rsidRPr="00830881">
        <w:rPr>
          <w:lang w:val="de-DE" w:eastAsia="en-GB"/>
        </w:rPr>
        <w:t xml:space="preserve"> 2006, 81-83.</w:t>
      </w:r>
    </w:p>
  </w:footnote>
  <w:footnote w:id="18">
    <w:p w:rsidR="004466EA" w:rsidRDefault="004466EA" w:rsidP="00992714">
      <w:pPr>
        <w:pStyle w:val="FootnoteText"/>
        <w:spacing w:line="360" w:lineRule="auto"/>
        <w:contextualSpacing/>
      </w:pPr>
      <w:r w:rsidRPr="00992714">
        <w:rPr>
          <w:rStyle w:val="FootnoteReference"/>
          <w:rFonts w:cs="Palatino"/>
          <w:color w:val="000000"/>
        </w:rPr>
        <w:footnoteRef/>
      </w:r>
      <w:r w:rsidRPr="00830881">
        <w:rPr>
          <w:color w:val="000000"/>
          <w:lang w:val="de-DE"/>
        </w:rPr>
        <w:t xml:space="preserve"> </w:t>
      </w:r>
      <w:r w:rsidRPr="00830881">
        <w:rPr>
          <w:color w:val="000000"/>
          <w:lang w:val="de-DE" w:eastAsia="en-GB"/>
        </w:rPr>
        <w:t>S</w:t>
      </w:r>
      <w:r w:rsidRPr="00830881">
        <w:rPr>
          <w:smallCaps/>
          <w:color w:val="000000"/>
          <w:lang w:val="de-DE" w:eastAsia="en-GB"/>
        </w:rPr>
        <w:t>palinger</w:t>
      </w:r>
      <w:r w:rsidRPr="00830881">
        <w:rPr>
          <w:color w:val="000000"/>
          <w:szCs w:val="20"/>
          <w:lang w:val="de-DE" w:eastAsia="en-GB"/>
        </w:rPr>
        <w:t xml:space="preserve">1982; </w:t>
      </w:r>
      <w:r w:rsidRPr="00830881">
        <w:rPr>
          <w:smallCaps/>
          <w:color w:val="000000"/>
          <w:lang w:val="de-DE" w:eastAsia="en-GB"/>
        </w:rPr>
        <w:t>Redford 1986</w:t>
      </w:r>
      <w:r w:rsidRPr="00830881">
        <w:rPr>
          <w:color w:val="000000"/>
          <w:szCs w:val="20"/>
          <w:lang w:val="de-DE" w:eastAsia="en-GB"/>
        </w:rPr>
        <w:t>.</w:t>
      </w:r>
    </w:p>
  </w:footnote>
  <w:footnote w:id="19">
    <w:p w:rsidR="004466EA" w:rsidRDefault="004466EA" w:rsidP="00992714">
      <w:pPr>
        <w:pStyle w:val="FootnoteText"/>
        <w:spacing w:line="360" w:lineRule="auto"/>
        <w:contextualSpacing/>
      </w:pPr>
      <w:r w:rsidRPr="00992714">
        <w:rPr>
          <w:rStyle w:val="FootnoteReference"/>
          <w:rFonts w:cs="Palatino"/>
          <w:szCs w:val="20"/>
        </w:rPr>
        <w:footnoteRef/>
      </w:r>
      <w:r w:rsidRPr="00830881">
        <w:rPr>
          <w:szCs w:val="20"/>
          <w:lang w:val="de-DE"/>
        </w:rPr>
        <w:t xml:space="preserve"> </w:t>
      </w:r>
      <w:r w:rsidRPr="00830881">
        <w:rPr>
          <w:szCs w:val="20"/>
          <w:lang w:val="de-DE"/>
        </w:rPr>
        <w:t>A</w:t>
      </w:r>
      <w:r w:rsidRPr="00830881">
        <w:rPr>
          <w:smallCaps/>
          <w:szCs w:val="20"/>
          <w:lang w:val="de-DE"/>
        </w:rPr>
        <w:t>ltenm</w:t>
      </w:r>
      <w:r w:rsidRPr="00830881">
        <w:rPr>
          <w:rFonts w:cs="Times New Roman"/>
          <w:smallCaps/>
          <w:szCs w:val="20"/>
          <w:lang w:val="de-DE"/>
        </w:rPr>
        <w:t>ü</w:t>
      </w:r>
      <w:r w:rsidRPr="00830881">
        <w:rPr>
          <w:smallCaps/>
          <w:szCs w:val="20"/>
          <w:lang w:val="de-DE"/>
        </w:rPr>
        <w:t>ller</w:t>
      </w:r>
      <w:r w:rsidRPr="00830881">
        <w:rPr>
          <w:szCs w:val="20"/>
          <w:lang w:val="de-DE"/>
        </w:rPr>
        <w:t xml:space="preserve"> 2015; </w:t>
      </w:r>
      <w:r w:rsidRPr="00830881">
        <w:rPr>
          <w:rFonts w:cs="Times New Roman"/>
          <w:smallCaps/>
          <w:szCs w:val="20"/>
          <w:lang w:val="de-DE"/>
        </w:rPr>
        <w:t>Barbotin</w:t>
      </w:r>
      <w:r w:rsidRPr="00830881">
        <w:rPr>
          <w:rFonts w:cs="Times New Roman"/>
          <w:szCs w:val="20"/>
          <w:lang w:val="de-DE"/>
        </w:rPr>
        <w:t>/</w:t>
      </w:r>
      <w:r w:rsidRPr="00830881">
        <w:rPr>
          <w:rFonts w:cs="Times New Roman"/>
          <w:smallCaps/>
          <w:szCs w:val="20"/>
          <w:lang w:val="de-DE"/>
        </w:rPr>
        <w:t>Clère</w:t>
      </w:r>
      <w:r w:rsidRPr="00830881">
        <w:rPr>
          <w:rFonts w:cs="Times New Roman"/>
          <w:szCs w:val="20"/>
          <w:lang w:val="de-DE"/>
        </w:rPr>
        <w:t xml:space="preserve"> 1992.</w:t>
      </w:r>
    </w:p>
  </w:footnote>
  <w:footnote w:id="20">
    <w:p w:rsidR="004466EA" w:rsidRDefault="004466EA" w:rsidP="00992714">
      <w:pPr>
        <w:spacing w:line="360" w:lineRule="auto"/>
        <w:contextualSpacing/>
      </w:pPr>
      <w:r w:rsidRPr="00992714">
        <w:rPr>
          <w:rStyle w:val="FootnoteReference"/>
          <w:szCs w:val="20"/>
        </w:rPr>
        <w:footnoteRef/>
      </w:r>
      <w:r w:rsidRPr="00992714">
        <w:t xml:space="preserve"> </w:t>
      </w:r>
      <w:proofErr w:type="gramStart"/>
      <w:r w:rsidRPr="006B661A">
        <w:rPr>
          <w:smallCaps/>
        </w:rPr>
        <w:t>Kitchen</w:t>
      </w:r>
      <w:r>
        <w:t xml:space="preserve"> 1983</w:t>
      </w:r>
      <w:r w:rsidRPr="00992714">
        <w:t xml:space="preserve">, 200-213 from </w:t>
      </w:r>
      <w:proofErr w:type="spellStart"/>
      <w:r w:rsidRPr="00992714">
        <w:t>Medinet</w:t>
      </w:r>
      <w:proofErr w:type="spellEnd"/>
      <w:r w:rsidRPr="00992714">
        <w:t xml:space="preserve"> </w:t>
      </w:r>
      <w:proofErr w:type="spellStart"/>
      <w:r w:rsidRPr="00992714">
        <w:t>Habu</w:t>
      </w:r>
      <w:proofErr w:type="spellEnd"/>
      <w:r w:rsidRPr="00992714">
        <w:t xml:space="preserve">, and 213 from </w:t>
      </w:r>
      <w:proofErr w:type="spellStart"/>
      <w:r w:rsidRPr="00992714">
        <w:t>Karnak</w:t>
      </w:r>
      <w:proofErr w:type="spellEnd"/>
      <w:r>
        <w:t xml:space="preserve"> </w:t>
      </w:r>
      <w:r w:rsidRPr="00992714">
        <w:t>(?).</w:t>
      </w:r>
      <w:proofErr w:type="gramEnd"/>
    </w:p>
  </w:footnote>
  <w:footnote w:id="21">
    <w:p w:rsidR="004466EA" w:rsidRDefault="004466EA" w:rsidP="00992714">
      <w:pPr>
        <w:spacing w:line="360" w:lineRule="auto"/>
        <w:contextualSpacing/>
      </w:pPr>
      <w:r w:rsidRPr="00992714">
        <w:rPr>
          <w:rStyle w:val="FootnoteReference"/>
          <w:szCs w:val="20"/>
        </w:rPr>
        <w:footnoteRef/>
      </w:r>
      <w:r w:rsidRPr="00992714">
        <w:t xml:space="preserve"> </w:t>
      </w:r>
      <w:r w:rsidRPr="006B661A">
        <w:rPr>
          <w:smallCaps/>
        </w:rPr>
        <w:t>Kitchen</w:t>
      </w:r>
      <w:r>
        <w:t xml:space="preserve"> 1983</w:t>
      </w:r>
      <w:r w:rsidRPr="00992714">
        <w:t xml:space="preserve">, 201, 2-4. </w:t>
      </w:r>
    </w:p>
  </w:footnote>
  <w:footnote w:id="22">
    <w:p w:rsidR="004466EA" w:rsidRDefault="004466EA" w:rsidP="00992714">
      <w:pPr>
        <w:spacing w:line="360" w:lineRule="auto"/>
        <w:contextualSpacing/>
      </w:pPr>
      <w:r w:rsidRPr="00992714">
        <w:rPr>
          <w:rStyle w:val="FootnoteReference"/>
          <w:szCs w:val="20"/>
        </w:rPr>
        <w:footnoteRef/>
      </w:r>
      <w:r w:rsidRPr="00992714">
        <w:t xml:space="preserve"> Similar </w:t>
      </w:r>
      <w:proofErr w:type="spellStart"/>
      <w:r w:rsidRPr="00992714">
        <w:t>contextualisations</w:t>
      </w:r>
      <w:proofErr w:type="spellEnd"/>
      <w:r w:rsidRPr="00992714">
        <w:t xml:space="preserve">, such as the meeting of the king with the barks of Amon, </w:t>
      </w:r>
      <w:proofErr w:type="spellStart"/>
      <w:r w:rsidRPr="00992714">
        <w:t>Mut</w:t>
      </w:r>
      <w:proofErr w:type="spellEnd"/>
      <w:r w:rsidRPr="00992714">
        <w:t xml:space="preserve"> and </w:t>
      </w:r>
      <w:proofErr w:type="spellStart"/>
      <w:r w:rsidRPr="00992714">
        <w:t>Khonsu</w:t>
      </w:r>
      <w:proofErr w:type="spellEnd"/>
      <w:r w:rsidRPr="00992714">
        <w:t xml:space="preserve">, with very extensive praise-interaction discourses between gods and king </w:t>
      </w:r>
      <w:r w:rsidRPr="006B661A">
        <w:rPr>
          <w:smallCaps/>
        </w:rPr>
        <w:t>Kitchen</w:t>
      </w:r>
      <w:r>
        <w:t xml:space="preserve"> 1983</w:t>
      </w:r>
      <w:r w:rsidRPr="00992714">
        <w:t>, 216-218, can be taken as equally realistic, although the degree of incidental scene-setting is much more limited.</w:t>
      </w:r>
    </w:p>
  </w:footnote>
  <w:footnote w:id="23">
    <w:p w:rsidR="004466EA" w:rsidRDefault="004466EA" w:rsidP="00992714">
      <w:pPr>
        <w:pStyle w:val="FootnoteText"/>
        <w:spacing w:line="360" w:lineRule="auto"/>
        <w:contextualSpacing/>
      </w:pPr>
      <w:r w:rsidRPr="00992714">
        <w:rPr>
          <w:rStyle w:val="FootnoteReference"/>
          <w:rFonts w:cs="Palatino"/>
        </w:rPr>
        <w:footnoteRef/>
      </w:r>
      <w:r w:rsidRPr="00992714">
        <w:t xml:space="preserve"> Cf., for example, the narrative presentation of prisoners and praise to </w:t>
      </w:r>
      <w:proofErr w:type="spellStart"/>
      <w:r w:rsidRPr="00992714">
        <w:t>Tuthmosis</w:t>
      </w:r>
      <w:proofErr w:type="spellEnd"/>
      <w:r w:rsidRPr="00992714">
        <w:t xml:space="preserve"> II, sitting on his </w:t>
      </w:r>
      <w:proofErr w:type="spellStart"/>
      <w:proofErr w:type="gramStart"/>
      <w:r w:rsidRPr="00992714">
        <w:t>dias</w:t>
      </w:r>
      <w:proofErr w:type="spellEnd"/>
      <w:proofErr w:type="gramEnd"/>
      <w:r w:rsidRPr="00992714">
        <w:t xml:space="preserve">, in his Aswan stela, </w:t>
      </w:r>
      <w:proofErr w:type="spellStart"/>
      <w:r w:rsidRPr="006B661A">
        <w:rPr>
          <w:smallCaps/>
        </w:rPr>
        <w:t>Sethe</w:t>
      </w:r>
      <w:proofErr w:type="spellEnd"/>
      <w:r w:rsidRPr="006B661A">
        <w:t xml:space="preserve"> 1906, 1</w:t>
      </w:r>
      <w:r>
        <w:t>40, 15-</w:t>
      </w:r>
      <w:r w:rsidRPr="00992714">
        <w:t>141, 4.</w:t>
      </w:r>
    </w:p>
  </w:footnote>
  <w:footnote w:id="24">
    <w:p w:rsidR="004466EA" w:rsidRDefault="004466EA" w:rsidP="00992714">
      <w:pPr>
        <w:spacing w:line="360" w:lineRule="auto"/>
        <w:contextualSpacing/>
      </w:pPr>
      <w:r w:rsidRPr="00992714">
        <w:rPr>
          <w:rStyle w:val="FootnoteReference"/>
          <w:szCs w:val="20"/>
        </w:rPr>
        <w:footnoteRef/>
      </w:r>
      <w:r w:rsidRPr="00992714">
        <w:t xml:space="preserve"> The description by </w:t>
      </w:r>
      <w:proofErr w:type="spellStart"/>
      <w:r w:rsidRPr="00992714">
        <w:t>Diodorus</w:t>
      </w:r>
      <w:proofErr w:type="spellEnd"/>
      <w:r w:rsidRPr="00992714">
        <w:t xml:space="preserve"> </w:t>
      </w:r>
      <w:proofErr w:type="spellStart"/>
      <w:r w:rsidRPr="00992714">
        <w:t>Siculus</w:t>
      </w:r>
      <w:proofErr w:type="spellEnd"/>
      <w:r w:rsidRPr="00992714">
        <w:t xml:space="preserve"> I, 70-71</w:t>
      </w:r>
      <w:r>
        <w:t>,</w:t>
      </w:r>
      <w:r w:rsidRPr="00992714">
        <w:t xml:space="preserve"> of the formal constraints on the life of </w:t>
      </w:r>
      <w:r>
        <w:t>t</w:t>
      </w:r>
      <w:r w:rsidRPr="00992714">
        <w:t>he Egyptian king grossly exaggerate in order to idealise, but the underlying point of a highly ritualised behaviour must be valid.</w:t>
      </w:r>
    </w:p>
  </w:footnote>
  <w:footnote w:id="25">
    <w:p w:rsidR="004466EA" w:rsidRDefault="004466EA" w:rsidP="00992714">
      <w:pPr>
        <w:spacing w:line="360" w:lineRule="auto"/>
        <w:contextualSpacing/>
      </w:pPr>
      <w:r w:rsidRPr="00992714">
        <w:rPr>
          <w:rStyle w:val="FootnoteReference"/>
          <w:szCs w:val="20"/>
        </w:rPr>
        <w:footnoteRef/>
      </w:r>
      <w:r w:rsidRPr="006B661A">
        <w:t xml:space="preserve"> </w:t>
      </w:r>
      <w:r w:rsidRPr="006B661A">
        <w:rPr>
          <w:smallCaps/>
        </w:rPr>
        <w:t>Kitchen</w:t>
      </w:r>
      <w:r>
        <w:t xml:space="preserve"> 1983</w:t>
      </w:r>
      <w:r w:rsidRPr="006B661A">
        <w:t>, 23, 12-14.</w:t>
      </w:r>
    </w:p>
  </w:footnote>
  <w:footnote w:id="26">
    <w:p w:rsidR="004466EA" w:rsidRDefault="004466EA" w:rsidP="00992714">
      <w:pPr>
        <w:spacing w:line="360" w:lineRule="auto"/>
        <w:contextualSpacing/>
      </w:pPr>
      <w:r w:rsidRPr="00992714">
        <w:rPr>
          <w:rStyle w:val="FootnoteReference"/>
          <w:szCs w:val="20"/>
        </w:rPr>
        <w:footnoteRef/>
      </w:r>
      <w:r w:rsidRPr="006B661A">
        <w:t xml:space="preserve"> </w:t>
      </w:r>
      <w:r w:rsidRPr="006B661A">
        <w:rPr>
          <w:smallCaps/>
        </w:rPr>
        <w:t>Kitchen</w:t>
      </w:r>
      <w:r>
        <w:t xml:space="preserve"> 1983</w:t>
      </w:r>
      <w:r w:rsidRPr="006B661A">
        <w:t>, 66, 6-7, 12-14.</w:t>
      </w:r>
    </w:p>
  </w:footnote>
  <w:footnote w:id="27">
    <w:p w:rsidR="004466EA" w:rsidRDefault="004466EA" w:rsidP="00992714">
      <w:pPr>
        <w:spacing w:line="360" w:lineRule="auto"/>
        <w:contextualSpacing/>
      </w:pPr>
      <w:r w:rsidRPr="00992714">
        <w:rPr>
          <w:rStyle w:val="FootnoteReference"/>
          <w:szCs w:val="20"/>
        </w:rPr>
        <w:footnoteRef/>
      </w:r>
      <w:r>
        <w:rPr>
          <w:smallCaps/>
        </w:rPr>
        <w:t xml:space="preserve"> </w:t>
      </w:r>
      <w:r w:rsidRPr="006B661A">
        <w:rPr>
          <w:smallCaps/>
        </w:rPr>
        <w:t>Kitchen</w:t>
      </w:r>
      <w:r>
        <w:t xml:space="preserve"> 1983</w:t>
      </w:r>
      <w:r w:rsidRPr="006B661A">
        <w:t>, 86, 11-12.</w:t>
      </w:r>
    </w:p>
  </w:footnote>
  <w:footnote w:id="28">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6B661A">
        <w:rPr>
          <w:smallCaps/>
        </w:rPr>
        <w:t>Sethe</w:t>
      </w:r>
      <w:proofErr w:type="spellEnd"/>
      <w:r w:rsidRPr="006B661A">
        <w:t xml:space="preserve"> 1906</w:t>
      </w:r>
      <w:r w:rsidRPr="00992714">
        <w:t>, 2, 5-6.</w:t>
      </w:r>
    </w:p>
  </w:footnote>
  <w:footnote w:id="29">
    <w:p w:rsidR="004466EA" w:rsidRDefault="004466EA" w:rsidP="00992714">
      <w:pPr>
        <w:spacing w:line="360" w:lineRule="auto"/>
        <w:contextualSpacing/>
      </w:pPr>
      <w:r w:rsidRPr="00992714">
        <w:rPr>
          <w:rStyle w:val="FootnoteReference"/>
          <w:szCs w:val="20"/>
        </w:rPr>
        <w:footnoteRef/>
      </w:r>
      <w:r w:rsidRPr="00992714">
        <w:t xml:space="preserve"> </w:t>
      </w:r>
      <w:proofErr w:type="spellStart"/>
      <w:proofErr w:type="gramStart"/>
      <w:r w:rsidRPr="006B661A">
        <w:rPr>
          <w:smallCaps/>
        </w:rPr>
        <w:t>Sethe</w:t>
      </w:r>
      <w:proofErr w:type="spellEnd"/>
      <w:r w:rsidRPr="006B661A">
        <w:t xml:space="preserve"> 190</w:t>
      </w:r>
      <w:r>
        <w:t>7,</w:t>
      </w:r>
      <w:r w:rsidRPr="00992714">
        <w:t xml:space="preserve"> 684, 9-10; also 780, 14-15, façade of </w:t>
      </w:r>
      <w:r>
        <w:t>the 7th</w:t>
      </w:r>
      <w:r w:rsidRPr="00992714">
        <w:t xml:space="preserve"> Pylon.</w:t>
      </w:r>
      <w:proofErr w:type="gramEnd"/>
    </w:p>
  </w:footnote>
  <w:footnote w:id="30">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6B661A">
        <w:rPr>
          <w:smallCaps/>
        </w:rPr>
        <w:t>Sethe</w:t>
      </w:r>
      <w:proofErr w:type="spellEnd"/>
      <w:r w:rsidRPr="006B661A">
        <w:t xml:space="preserve"> 190</w:t>
      </w:r>
      <w:r>
        <w:t>7</w:t>
      </w:r>
      <w:r w:rsidRPr="00992714">
        <w:t>, 833, 11-14.</w:t>
      </w:r>
    </w:p>
  </w:footnote>
  <w:footnote w:id="31">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FC0EBD">
        <w:rPr>
          <w:smallCaps/>
        </w:rPr>
        <w:t>Helck</w:t>
      </w:r>
      <w:proofErr w:type="spellEnd"/>
      <w:r w:rsidRPr="00FC0EBD">
        <w:t xml:space="preserve"> 1955, 1281</w:t>
      </w:r>
      <w:r w:rsidRPr="00992714">
        <w:t xml:space="preserve">, 2-3. The contrast between the use of the auxiliary in the first clause </w:t>
      </w:r>
      <w:r w:rsidRPr="00992714">
        <w:rPr>
          <w:rFonts w:ascii="Trlit_CG Times" w:hAnsi="Trlit_CG Times"/>
        </w:rPr>
        <w:t xml:space="preserve">n pAi.tw </w:t>
      </w:r>
      <w:proofErr w:type="spellStart"/>
      <w:r w:rsidRPr="00992714">
        <w:rPr>
          <w:rFonts w:ascii="Trlit_CG Times" w:hAnsi="Trlit_CG Times"/>
        </w:rPr>
        <w:t>irit</w:t>
      </w:r>
      <w:proofErr w:type="spellEnd"/>
      <w:r w:rsidRPr="00992714">
        <w:rPr>
          <w:rFonts w:ascii="Trlit_CG Times" w:hAnsi="Trlit_CG Times"/>
        </w:rPr>
        <w:t>=f</w:t>
      </w:r>
      <w:r w:rsidRPr="00992714">
        <w:t xml:space="preserve"> – the origins of the later Egyptian negation, and the classical </w:t>
      </w:r>
      <w:r w:rsidRPr="00992714">
        <w:rPr>
          <w:rFonts w:ascii="Trlit_CG Times" w:hAnsi="Trlit_CG Times"/>
        </w:rPr>
        <w:t xml:space="preserve">n sDm.tw=f m </w:t>
      </w:r>
      <w:proofErr w:type="spellStart"/>
      <w:r w:rsidRPr="00992714">
        <w:rPr>
          <w:rFonts w:ascii="Trlit_CG Times" w:hAnsi="Trlit_CG Times"/>
        </w:rPr>
        <w:t>sDdt</w:t>
      </w:r>
      <w:proofErr w:type="spellEnd"/>
      <w:r w:rsidRPr="00992714">
        <w:t xml:space="preserve"> in the second clause provides a direct linguistic contrast between the ‘doing’ and the ‘relating’ as objects of the verbs.</w:t>
      </w:r>
    </w:p>
  </w:footnote>
  <w:footnote w:id="32">
    <w:p w:rsidR="004466EA" w:rsidRDefault="004466EA" w:rsidP="00992714">
      <w:pPr>
        <w:spacing w:line="360" w:lineRule="auto"/>
        <w:contextualSpacing/>
      </w:pPr>
      <w:r w:rsidRPr="00FC0EBD">
        <w:rPr>
          <w:rStyle w:val="FootnoteReference"/>
          <w:szCs w:val="20"/>
        </w:rPr>
        <w:footnoteRef/>
      </w:r>
      <w:r w:rsidRPr="00FC0EBD">
        <w:rPr>
          <w:szCs w:val="20"/>
        </w:rPr>
        <w:t xml:space="preserve"> Cf. </w:t>
      </w:r>
      <w:r w:rsidRPr="00FC0EBD">
        <w:rPr>
          <w:smallCaps/>
          <w:szCs w:val="20"/>
        </w:rPr>
        <w:t>Kitchen</w:t>
      </w:r>
      <w:r w:rsidRPr="00FC0EBD">
        <w:rPr>
          <w:szCs w:val="20"/>
        </w:rPr>
        <w:t xml:space="preserve"> 1979, 254, 1 (Hittite Marriage Text), referring to things not remembered either mouth to mouth or in ancient </w:t>
      </w:r>
      <w:r w:rsidRPr="00772A61">
        <w:rPr>
          <w:szCs w:val="20"/>
        </w:rPr>
        <w:t>writing. Cf.</w:t>
      </w:r>
      <w:r w:rsidRPr="00772A61">
        <w:rPr>
          <w:color w:val="FF0000"/>
          <w:szCs w:val="20"/>
        </w:rPr>
        <w:t xml:space="preserve"> </w:t>
      </w:r>
      <w:r w:rsidRPr="00772A61">
        <w:rPr>
          <w:szCs w:val="20"/>
        </w:rPr>
        <w:t>the</w:t>
      </w:r>
      <w:r w:rsidRPr="00FC0EBD">
        <w:rPr>
          <w:szCs w:val="20"/>
        </w:rPr>
        <w:t xml:space="preserve"> sub-title of </w:t>
      </w:r>
      <w:proofErr w:type="spellStart"/>
      <w:r w:rsidRPr="00FC0EBD">
        <w:rPr>
          <w:szCs w:val="20"/>
        </w:rPr>
        <w:t>P</w:t>
      </w:r>
      <w:r w:rsidRPr="00FC0EBD">
        <w:rPr>
          <w:smallCaps/>
          <w:szCs w:val="20"/>
        </w:rPr>
        <w:t>opko</w:t>
      </w:r>
      <w:proofErr w:type="spellEnd"/>
      <w:r w:rsidRPr="00FC0EBD">
        <w:rPr>
          <w:smallCaps/>
          <w:szCs w:val="20"/>
        </w:rPr>
        <w:t xml:space="preserve"> </w:t>
      </w:r>
      <w:r w:rsidRPr="00FC0EBD">
        <w:rPr>
          <w:szCs w:val="20"/>
        </w:rPr>
        <w:t>2006 on the royal narrative of the 18th Dynasty „…</w:t>
      </w:r>
      <w:proofErr w:type="spellStart"/>
      <w:r w:rsidRPr="00FC0EBD">
        <w:rPr>
          <w:szCs w:val="20"/>
        </w:rPr>
        <w:t>damit</w:t>
      </w:r>
      <w:proofErr w:type="spellEnd"/>
      <w:r w:rsidRPr="00FC0EBD">
        <w:rPr>
          <w:szCs w:val="20"/>
        </w:rPr>
        <w:t xml:space="preserve"> man von </w:t>
      </w:r>
      <w:proofErr w:type="spellStart"/>
      <w:r w:rsidRPr="00FC0EBD">
        <w:rPr>
          <w:szCs w:val="20"/>
        </w:rPr>
        <w:t>seinen</w:t>
      </w:r>
      <w:proofErr w:type="spellEnd"/>
      <w:r w:rsidRPr="00FC0EBD">
        <w:rPr>
          <w:szCs w:val="20"/>
        </w:rPr>
        <w:t xml:space="preserve"> </w:t>
      </w:r>
      <w:proofErr w:type="spellStart"/>
      <w:r w:rsidRPr="00FC0EBD">
        <w:rPr>
          <w:szCs w:val="20"/>
        </w:rPr>
        <w:t>Taten</w:t>
      </w:r>
      <w:proofErr w:type="spellEnd"/>
      <w:r w:rsidRPr="00FC0EBD">
        <w:rPr>
          <w:szCs w:val="20"/>
        </w:rPr>
        <w:t xml:space="preserve"> </w:t>
      </w:r>
      <w:proofErr w:type="spellStart"/>
      <w:r w:rsidRPr="00FC0EBD">
        <w:rPr>
          <w:szCs w:val="20"/>
        </w:rPr>
        <w:t>noch</w:t>
      </w:r>
      <w:proofErr w:type="spellEnd"/>
      <w:r w:rsidRPr="00FC0EBD">
        <w:rPr>
          <w:szCs w:val="20"/>
        </w:rPr>
        <w:t xml:space="preserve"> in </w:t>
      </w:r>
      <w:proofErr w:type="spellStart"/>
      <w:r w:rsidRPr="00FC0EBD">
        <w:rPr>
          <w:szCs w:val="20"/>
        </w:rPr>
        <w:t>Millionen</w:t>
      </w:r>
      <w:proofErr w:type="spellEnd"/>
      <w:r w:rsidRPr="00FC0EBD">
        <w:rPr>
          <w:szCs w:val="20"/>
        </w:rPr>
        <w:t xml:space="preserve"> von </w:t>
      </w:r>
      <w:proofErr w:type="spellStart"/>
      <w:r w:rsidRPr="00FC0EBD">
        <w:rPr>
          <w:szCs w:val="20"/>
        </w:rPr>
        <w:t>Jahren</w:t>
      </w:r>
      <w:proofErr w:type="spellEnd"/>
      <w:r w:rsidRPr="00FC0EBD">
        <w:rPr>
          <w:szCs w:val="20"/>
        </w:rPr>
        <w:t xml:space="preserve"> </w:t>
      </w:r>
      <w:proofErr w:type="spellStart"/>
      <w:r w:rsidRPr="00FC0EBD">
        <w:rPr>
          <w:szCs w:val="20"/>
        </w:rPr>
        <w:t>sprechen</w:t>
      </w:r>
      <w:proofErr w:type="spellEnd"/>
      <w:r w:rsidRPr="00FC0EBD">
        <w:rPr>
          <w:szCs w:val="20"/>
        </w:rPr>
        <w:t xml:space="preserve"> </w:t>
      </w:r>
      <w:proofErr w:type="spellStart"/>
      <w:r w:rsidRPr="00FC0EBD">
        <w:rPr>
          <w:szCs w:val="20"/>
        </w:rPr>
        <w:t>wird</w:t>
      </w:r>
      <w:proofErr w:type="spellEnd"/>
      <w:r w:rsidRPr="00FC0EBD">
        <w:rPr>
          <w:szCs w:val="20"/>
        </w:rPr>
        <w:t>”.</w:t>
      </w:r>
    </w:p>
  </w:footnote>
  <w:footnote w:id="33">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Pr>
          <w:smallCaps/>
          <w:szCs w:val="20"/>
        </w:rPr>
        <w:t>Sethe</w:t>
      </w:r>
      <w:proofErr w:type="spellEnd"/>
      <w:r w:rsidRPr="00992714">
        <w:rPr>
          <w:smallCaps/>
          <w:szCs w:val="20"/>
        </w:rPr>
        <w:t xml:space="preserve"> </w:t>
      </w:r>
      <w:r w:rsidRPr="00992714">
        <w:t>19</w:t>
      </w:r>
      <w:r>
        <w:t xml:space="preserve">28, </w:t>
      </w:r>
      <w:r w:rsidRPr="00992714">
        <w:t>80, 1-4.</w:t>
      </w:r>
    </w:p>
  </w:footnote>
  <w:footnote w:id="34">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proofErr w:type="gramStart"/>
      <w:r w:rsidRPr="00992714">
        <w:rPr>
          <w:smallCaps/>
          <w:szCs w:val="20"/>
        </w:rPr>
        <w:t>Osing</w:t>
      </w:r>
      <w:proofErr w:type="spellEnd"/>
      <w:r w:rsidRPr="00992714">
        <w:rPr>
          <w:smallCaps/>
          <w:szCs w:val="20"/>
        </w:rPr>
        <w:t xml:space="preserve"> </w:t>
      </w:r>
      <w:r w:rsidRPr="00992714">
        <w:t>1992, 46</w:t>
      </w:r>
      <w:r>
        <w:t>,</w:t>
      </w:r>
      <w:r w:rsidRPr="00992714">
        <w:t xml:space="preserve"> and pl. 9, 35; </w:t>
      </w:r>
      <w:r w:rsidRPr="00992714">
        <w:rPr>
          <w:smallCaps/>
          <w:szCs w:val="20"/>
        </w:rPr>
        <w:t>Frood</w:t>
      </w:r>
      <w:r w:rsidRPr="00992714">
        <w:t xml:space="preserve"> 2007, 144.</w:t>
      </w:r>
      <w:proofErr w:type="gramEnd"/>
    </w:p>
  </w:footnote>
  <w:footnote w:id="35">
    <w:p w:rsidR="004466EA" w:rsidRDefault="004466EA" w:rsidP="00992714">
      <w:pPr>
        <w:pStyle w:val="FootnoteText"/>
        <w:spacing w:line="360" w:lineRule="auto"/>
        <w:contextualSpacing/>
      </w:pPr>
      <w:r w:rsidRPr="00992714">
        <w:rPr>
          <w:rStyle w:val="FootnoteReference"/>
          <w:rFonts w:cs="Palatino"/>
          <w:szCs w:val="20"/>
        </w:rPr>
        <w:footnoteRef/>
      </w:r>
      <w:r w:rsidRPr="00992714">
        <w:rPr>
          <w:szCs w:val="20"/>
        </w:rPr>
        <w:t xml:space="preserve"> </w:t>
      </w:r>
      <w:proofErr w:type="spellStart"/>
      <w:r w:rsidRPr="00992714">
        <w:rPr>
          <w:szCs w:val="20"/>
        </w:rPr>
        <w:t>L</w:t>
      </w:r>
      <w:r w:rsidRPr="00992714">
        <w:rPr>
          <w:smallCaps/>
          <w:szCs w:val="20"/>
        </w:rPr>
        <w:t>oprieno</w:t>
      </w:r>
      <w:proofErr w:type="spellEnd"/>
      <w:r w:rsidRPr="00992714">
        <w:rPr>
          <w:szCs w:val="20"/>
        </w:rPr>
        <w:t xml:space="preserve"> 1996</w:t>
      </w:r>
      <w:r w:rsidRPr="004F7395">
        <w:rPr>
          <w:color w:val="000000"/>
          <w:szCs w:val="20"/>
        </w:rPr>
        <w:t>.</w:t>
      </w:r>
    </w:p>
  </w:footnote>
  <w:footnote w:id="36">
    <w:p w:rsidR="004466EA" w:rsidRDefault="004466EA" w:rsidP="00992714">
      <w:pPr>
        <w:spacing w:line="360" w:lineRule="auto"/>
        <w:contextualSpacing/>
      </w:pPr>
      <w:r w:rsidRPr="00992714">
        <w:rPr>
          <w:rStyle w:val="FootnoteReference"/>
          <w:szCs w:val="20"/>
        </w:rPr>
        <w:footnoteRef/>
      </w:r>
      <w:r w:rsidRPr="00992714">
        <w:rPr>
          <w:szCs w:val="20"/>
        </w:rPr>
        <w:t xml:space="preserve"> </w:t>
      </w:r>
      <w:proofErr w:type="spellStart"/>
      <w:proofErr w:type="gramStart"/>
      <w:r w:rsidRPr="00992714">
        <w:rPr>
          <w:szCs w:val="20"/>
        </w:rPr>
        <w:t>A</w:t>
      </w:r>
      <w:r w:rsidRPr="00992714">
        <w:rPr>
          <w:smallCaps/>
          <w:szCs w:val="20"/>
        </w:rPr>
        <w:t>ssmann</w:t>
      </w:r>
      <w:proofErr w:type="spellEnd"/>
      <w:r w:rsidRPr="00992714">
        <w:rPr>
          <w:smallCaps/>
          <w:szCs w:val="20"/>
        </w:rPr>
        <w:t xml:space="preserve"> </w:t>
      </w:r>
      <w:r w:rsidRPr="00992714">
        <w:rPr>
          <w:szCs w:val="20"/>
        </w:rPr>
        <w:t xml:space="preserve">1987; </w:t>
      </w:r>
      <w:proofErr w:type="spellStart"/>
      <w:r w:rsidRPr="00992714">
        <w:rPr>
          <w:smallCaps/>
          <w:szCs w:val="20"/>
        </w:rPr>
        <w:t>Kubisch</w:t>
      </w:r>
      <w:proofErr w:type="spellEnd"/>
      <w:r w:rsidRPr="00992714">
        <w:rPr>
          <w:szCs w:val="20"/>
        </w:rPr>
        <w:t xml:space="preserve"> 2008, 2; </w:t>
      </w:r>
      <w:proofErr w:type="spellStart"/>
      <w:r w:rsidRPr="00992714">
        <w:rPr>
          <w:rFonts w:cs="Tahoma"/>
          <w:smallCaps/>
          <w:szCs w:val="20"/>
        </w:rPr>
        <w:t>Stauder-Porchet</w:t>
      </w:r>
      <w:proofErr w:type="spellEnd"/>
      <w:r w:rsidRPr="00992714">
        <w:rPr>
          <w:rFonts w:cs="Tahoma"/>
          <w:szCs w:val="20"/>
        </w:rPr>
        <w:t xml:space="preserve"> 2011</w:t>
      </w:r>
      <w:r w:rsidRPr="004F7395">
        <w:rPr>
          <w:color w:val="000000"/>
          <w:szCs w:val="20"/>
        </w:rPr>
        <w:t>.</w:t>
      </w:r>
      <w:proofErr w:type="gramEnd"/>
    </w:p>
  </w:footnote>
  <w:footnote w:id="37">
    <w:p w:rsidR="004466EA" w:rsidRDefault="004466EA" w:rsidP="00992714">
      <w:pPr>
        <w:pStyle w:val="FootnoteText"/>
        <w:spacing w:line="360" w:lineRule="auto"/>
        <w:contextualSpacing/>
      </w:pPr>
      <w:r w:rsidRPr="00992714">
        <w:rPr>
          <w:rStyle w:val="FootnoteReference"/>
          <w:rFonts w:cs="Palatino"/>
          <w:szCs w:val="20"/>
        </w:rPr>
        <w:footnoteRef/>
      </w:r>
      <w:r w:rsidRPr="00992714">
        <w:rPr>
          <w:szCs w:val="20"/>
        </w:rPr>
        <w:t xml:space="preserve"> Lines 21-23 = </w:t>
      </w:r>
      <w:r>
        <w:rPr>
          <w:smallCaps/>
          <w:szCs w:val="20"/>
        </w:rPr>
        <w:t>Blackman</w:t>
      </w:r>
      <w:r w:rsidRPr="00992714">
        <w:rPr>
          <w:smallCaps/>
          <w:szCs w:val="20"/>
        </w:rPr>
        <w:t xml:space="preserve"> </w:t>
      </w:r>
      <w:r w:rsidRPr="00992714">
        <w:t>19</w:t>
      </w:r>
      <w:r>
        <w:t xml:space="preserve">32, </w:t>
      </w:r>
      <w:r w:rsidRPr="00992714">
        <w:rPr>
          <w:szCs w:val="20"/>
        </w:rPr>
        <w:t>42, 7.</w:t>
      </w:r>
    </w:p>
  </w:footnote>
  <w:footnote w:id="38">
    <w:p w:rsidR="004466EA" w:rsidRDefault="004466EA" w:rsidP="00992714">
      <w:pPr>
        <w:pStyle w:val="FootnoteText"/>
        <w:spacing w:line="360" w:lineRule="auto"/>
        <w:contextualSpacing/>
      </w:pPr>
      <w:r w:rsidRPr="00992714">
        <w:rPr>
          <w:rStyle w:val="FootnoteReference"/>
          <w:rFonts w:cs="Palatino"/>
          <w:szCs w:val="20"/>
        </w:rPr>
        <w:footnoteRef/>
      </w:r>
      <w:r w:rsidRPr="00992714">
        <w:rPr>
          <w:szCs w:val="20"/>
        </w:rPr>
        <w:t xml:space="preserve"> </w:t>
      </w:r>
      <w:proofErr w:type="spellStart"/>
      <w:r w:rsidRPr="00992714">
        <w:rPr>
          <w:szCs w:val="20"/>
        </w:rPr>
        <w:t>T</w:t>
      </w:r>
      <w:r w:rsidRPr="00992714">
        <w:rPr>
          <w:rFonts w:cs="Times New Roman"/>
          <w:szCs w:val="20"/>
        </w:rPr>
        <w:t>ü</w:t>
      </w:r>
      <w:r w:rsidRPr="00992714">
        <w:rPr>
          <w:szCs w:val="20"/>
        </w:rPr>
        <w:t>bingen</w:t>
      </w:r>
      <w:proofErr w:type="spellEnd"/>
      <w:r w:rsidRPr="00992714">
        <w:rPr>
          <w:szCs w:val="20"/>
        </w:rPr>
        <w:t xml:space="preserve"> Inv. Nr. 458.11 = </w:t>
      </w:r>
      <w:proofErr w:type="spellStart"/>
      <w:r>
        <w:rPr>
          <w:smallCaps/>
          <w:szCs w:val="20"/>
        </w:rPr>
        <w:t>Sethe</w:t>
      </w:r>
      <w:proofErr w:type="spellEnd"/>
      <w:r w:rsidRPr="00992714">
        <w:rPr>
          <w:smallCaps/>
          <w:szCs w:val="20"/>
        </w:rPr>
        <w:t xml:space="preserve"> </w:t>
      </w:r>
      <w:r w:rsidRPr="00992714">
        <w:t>19</w:t>
      </w:r>
      <w:r>
        <w:t xml:space="preserve">28, </w:t>
      </w:r>
      <w:r w:rsidRPr="00992714">
        <w:rPr>
          <w:szCs w:val="20"/>
        </w:rPr>
        <w:t>88, 22-23; see also above n. 30.</w:t>
      </w:r>
    </w:p>
  </w:footnote>
  <w:footnote w:id="39">
    <w:p w:rsidR="004466EA" w:rsidRDefault="004466EA" w:rsidP="00992714">
      <w:pPr>
        <w:pStyle w:val="FootnoteText"/>
        <w:spacing w:line="360" w:lineRule="auto"/>
        <w:contextualSpacing/>
      </w:pPr>
      <w:r w:rsidRPr="00992714">
        <w:rPr>
          <w:rStyle w:val="FootnoteReference"/>
          <w:rFonts w:cs="Palatino"/>
        </w:rPr>
        <w:footnoteRef/>
      </w:r>
      <w:r w:rsidRPr="00992714">
        <w:t xml:space="preserve"> Cf. </w:t>
      </w:r>
      <w:r w:rsidRPr="00992714">
        <w:rPr>
          <w:smallCaps/>
          <w:szCs w:val="20"/>
        </w:rPr>
        <w:t>Eyre</w:t>
      </w:r>
      <w:r w:rsidRPr="00992714">
        <w:t xml:space="preserve"> 2013, 125.</w:t>
      </w:r>
    </w:p>
  </w:footnote>
  <w:footnote w:id="40">
    <w:p w:rsidR="004466EA" w:rsidRDefault="004466EA" w:rsidP="00992714">
      <w:pPr>
        <w:spacing w:line="360" w:lineRule="auto"/>
        <w:contextualSpacing/>
      </w:pPr>
      <w:r w:rsidRPr="00992714">
        <w:rPr>
          <w:rStyle w:val="FootnoteReference"/>
          <w:szCs w:val="20"/>
        </w:rPr>
        <w:footnoteRef/>
      </w:r>
      <w:r w:rsidRPr="00992714">
        <w:rPr>
          <w:szCs w:val="20"/>
        </w:rPr>
        <w:t xml:space="preserve"> For recent discussions see </w:t>
      </w:r>
      <w:r w:rsidRPr="00992714">
        <w:rPr>
          <w:smallCaps/>
          <w:szCs w:val="20"/>
        </w:rPr>
        <w:t>Fischer-</w:t>
      </w:r>
      <w:proofErr w:type="spellStart"/>
      <w:r w:rsidRPr="00992714">
        <w:rPr>
          <w:smallCaps/>
          <w:szCs w:val="20"/>
        </w:rPr>
        <w:t>Elfert</w:t>
      </w:r>
      <w:proofErr w:type="spellEnd"/>
      <w:r w:rsidRPr="00992714">
        <w:rPr>
          <w:szCs w:val="20"/>
        </w:rPr>
        <w:t xml:space="preserve"> 1999; </w:t>
      </w:r>
      <w:r w:rsidRPr="00D36F4D">
        <w:rPr>
          <w:smallCaps/>
          <w:szCs w:val="20"/>
        </w:rPr>
        <w:t>Spalinger</w:t>
      </w:r>
      <w:r>
        <w:rPr>
          <w:szCs w:val="20"/>
        </w:rPr>
        <w:t xml:space="preserve"> 2006,</w:t>
      </w:r>
      <w:r w:rsidRPr="00992714">
        <w:rPr>
          <w:szCs w:val="20"/>
        </w:rPr>
        <w:t xml:space="preserve"> 26</w:t>
      </w:r>
      <w:r>
        <w:rPr>
          <w:szCs w:val="20"/>
        </w:rPr>
        <w:t>;</w:t>
      </w:r>
      <w:r w:rsidRPr="00992714">
        <w:rPr>
          <w:szCs w:val="20"/>
        </w:rPr>
        <w:t xml:space="preserve"> </w:t>
      </w:r>
      <w:proofErr w:type="spellStart"/>
      <w:r>
        <w:rPr>
          <w:smallCaps/>
          <w:szCs w:val="20"/>
          <w:lang w:eastAsia="en-GB"/>
        </w:rPr>
        <w:t>Gnirs</w:t>
      </w:r>
      <w:proofErr w:type="spellEnd"/>
      <w:r>
        <w:rPr>
          <w:smallCaps/>
          <w:szCs w:val="20"/>
          <w:lang w:eastAsia="en-GB"/>
        </w:rPr>
        <w:t>/</w:t>
      </w:r>
      <w:proofErr w:type="spellStart"/>
      <w:r w:rsidRPr="00992714">
        <w:rPr>
          <w:smallCaps/>
          <w:szCs w:val="20"/>
          <w:lang w:eastAsia="en-GB"/>
        </w:rPr>
        <w:t>Loprieno</w:t>
      </w:r>
      <w:proofErr w:type="spellEnd"/>
      <w:r w:rsidRPr="00992714">
        <w:rPr>
          <w:smallCaps/>
          <w:szCs w:val="20"/>
          <w:lang w:eastAsia="en-GB"/>
        </w:rPr>
        <w:t xml:space="preserve"> 2009, 243, 267, 278; Quack 2009, 302; </w:t>
      </w:r>
      <w:proofErr w:type="spellStart"/>
      <w:r w:rsidRPr="00992714">
        <w:rPr>
          <w:smallCaps/>
          <w:szCs w:val="20"/>
          <w:lang w:eastAsia="en-GB"/>
        </w:rPr>
        <w:t>Collombert</w:t>
      </w:r>
      <w:proofErr w:type="spellEnd"/>
      <w:r w:rsidRPr="00992714">
        <w:rPr>
          <w:smallCaps/>
          <w:szCs w:val="20"/>
          <w:lang w:eastAsia="en-GB"/>
        </w:rPr>
        <w:t>/</w:t>
      </w:r>
      <w:proofErr w:type="spellStart"/>
      <w:r w:rsidRPr="00992714">
        <w:rPr>
          <w:smallCaps/>
          <w:szCs w:val="20"/>
          <w:lang w:eastAsia="en-GB"/>
        </w:rPr>
        <w:t>Coulon</w:t>
      </w:r>
      <w:proofErr w:type="spellEnd"/>
      <w:r w:rsidRPr="00992714">
        <w:rPr>
          <w:smallCaps/>
          <w:szCs w:val="20"/>
          <w:lang w:eastAsia="en-GB"/>
        </w:rPr>
        <w:t xml:space="preserve"> </w:t>
      </w:r>
      <w:r w:rsidRPr="00992714">
        <w:rPr>
          <w:szCs w:val="20"/>
          <w:lang w:eastAsia="en-GB"/>
        </w:rPr>
        <w:t xml:space="preserve">2000; </w:t>
      </w:r>
      <w:r w:rsidRPr="00992714">
        <w:rPr>
          <w:smallCaps/>
          <w:szCs w:val="20"/>
          <w:lang w:eastAsia="en-GB"/>
        </w:rPr>
        <w:t xml:space="preserve">Simon </w:t>
      </w:r>
      <w:r w:rsidRPr="00992714">
        <w:rPr>
          <w:szCs w:val="20"/>
          <w:lang w:eastAsia="en-GB"/>
        </w:rPr>
        <w:t>2013, 127.</w:t>
      </w:r>
    </w:p>
  </w:footnote>
  <w:footnote w:id="41">
    <w:p w:rsidR="004466EA" w:rsidRDefault="004466EA" w:rsidP="00992714">
      <w:pPr>
        <w:spacing w:line="360" w:lineRule="auto"/>
        <w:contextualSpacing/>
      </w:pPr>
      <w:r w:rsidRPr="00992714">
        <w:rPr>
          <w:rStyle w:val="FootnoteReference"/>
          <w:szCs w:val="20"/>
        </w:rPr>
        <w:footnoteRef/>
      </w:r>
      <w:r w:rsidRPr="00992714">
        <w:rPr>
          <w:szCs w:val="20"/>
        </w:rPr>
        <w:t xml:space="preserve"> </w:t>
      </w:r>
      <w:proofErr w:type="spellStart"/>
      <w:proofErr w:type="gramStart"/>
      <w:r w:rsidRPr="00992714">
        <w:rPr>
          <w:szCs w:val="20"/>
        </w:rPr>
        <w:t>C</w:t>
      </w:r>
      <w:r w:rsidRPr="00992714">
        <w:rPr>
          <w:smallCaps/>
          <w:szCs w:val="20"/>
        </w:rPr>
        <w:t>oulon</w:t>
      </w:r>
      <w:proofErr w:type="spellEnd"/>
      <w:r w:rsidRPr="00992714">
        <w:rPr>
          <w:smallCaps/>
          <w:szCs w:val="20"/>
        </w:rPr>
        <w:t xml:space="preserve"> </w:t>
      </w:r>
      <w:r>
        <w:rPr>
          <w:szCs w:val="20"/>
        </w:rPr>
        <w:t>1997; 2009;</w:t>
      </w:r>
      <w:r w:rsidRPr="00992714">
        <w:rPr>
          <w:szCs w:val="20"/>
        </w:rPr>
        <w:t xml:space="preserve"> S</w:t>
      </w:r>
      <w:r w:rsidRPr="00992714">
        <w:rPr>
          <w:smallCaps/>
          <w:szCs w:val="20"/>
        </w:rPr>
        <w:t xml:space="preserve">palinger </w:t>
      </w:r>
      <w:r w:rsidRPr="00992714">
        <w:rPr>
          <w:szCs w:val="20"/>
        </w:rPr>
        <w:t>2011, 359.</w:t>
      </w:r>
      <w:proofErr w:type="gramEnd"/>
      <w:r w:rsidRPr="00992714">
        <w:rPr>
          <w:szCs w:val="20"/>
        </w:rPr>
        <w:t xml:space="preserve">  </w:t>
      </w:r>
    </w:p>
  </w:footnote>
  <w:footnote w:id="42">
    <w:p w:rsidR="004466EA" w:rsidRDefault="004466EA" w:rsidP="00992714">
      <w:pPr>
        <w:spacing w:line="360" w:lineRule="auto"/>
        <w:contextualSpacing/>
      </w:pPr>
      <w:r w:rsidRPr="00992714">
        <w:rPr>
          <w:rStyle w:val="FootnoteReference"/>
          <w:szCs w:val="20"/>
        </w:rPr>
        <w:footnoteRef/>
      </w:r>
      <w:r w:rsidRPr="00992714">
        <w:rPr>
          <w:szCs w:val="20"/>
        </w:rPr>
        <w:t xml:space="preserve"> </w:t>
      </w:r>
      <w:r w:rsidRPr="00992714">
        <w:rPr>
          <w:smallCaps/>
          <w:szCs w:val="20"/>
        </w:rPr>
        <w:t xml:space="preserve">Eyre </w:t>
      </w:r>
      <w:r w:rsidRPr="00992714">
        <w:rPr>
          <w:szCs w:val="20"/>
        </w:rPr>
        <w:t xml:space="preserve">2013, 136-137; cf. also </w:t>
      </w:r>
      <w:proofErr w:type="spellStart"/>
      <w:r w:rsidRPr="00992714">
        <w:rPr>
          <w:szCs w:val="20"/>
        </w:rPr>
        <w:t>V</w:t>
      </w:r>
      <w:r w:rsidRPr="00992714">
        <w:rPr>
          <w:smallCaps/>
          <w:szCs w:val="20"/>
        </w:rPr>
        <w:t>erhoeven</w:t>
      </w:r>
      <w:proofErr w:type="spellEnd"/>
      <w:r w:rsidRPr="00992714">
        <w:rPr>
          <w:szCs w:val="20"/>
        </w:rPr>
        <w:t xml:space="preserve"> 2009. For inscriptions, the generic questions naturally</w:t>
      </w:r>
      <w:r w:rsidRPr="00992714">
        <w:t xml:space="preserve"> focus on the relation to the inscription of ritual, in which obfuscation was structural to the composition, evidently requiring a degree of initiation for comprehension: a level of external, perhaps highly restricted knowledge. In contrast, the discourse in Egyptian genres of narrative self-praise is direct and self-contained, seeming to assert a broad public able and interested to discuss and comment.</w:t>
      </w:r>
    </w:p>
  </w:footnote>
  <w:footnote w:id="43">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992714">
        <w:rPr>
          <w:smallCaps/>
          <w:szCs w:val="20"/>
        </w:rPr>
        <w:t>Gnirs</w:t>
      </w:r>
      <w:proofErr w:type="spellEnd"/>
      <w:r>
        <w:t>/</w:t>
      </w:r>
      <w:proofErr w:type="spellStart"/>
      <w:r w:rsidRPr="00992714">
        <w:rPr>
          <w:smallCaps/>
          <w:szCs w:val="20"/>
        </w:rPr>
        <w:t>Loprieno</w:t>
      </w:r>
      <w:proofErr w:type="spellEnd"/>
      <w:r w:rsidRPr="00992714">
        <w:t xml:space="preserve"> 2009, 262-267, 279-281; as earlier in the monumental and hieratic versions of the </w:t>
      </w:r>
      <w:proofErr w:type="spellStart"/>
      <w:r w:rsidRPr="00992714">
        <w:t>Kamose</w:t>
      </w:r>
      <w:proofErr w:type="spellEnd"/>
      <w:r w:rsidRPr="00992714">
        <w:t xml:space="preserve"> </w:t>
      </w:r>
      <w:r>
        <w:t>S</w:t>
      </w:r>
      <w:r w:rsidRPr="00992714">
        <w:t xml:space="preserve">tela, and cf. </w:t>
      </w:r>
      <w:r w:rsidRPr="00992714">
        <w:rPr>
          <w:smallCaps/>
          <w:szCs w:val="20"/>
          <w:lang w:eastAsia="en-GB"/>
        </w:rPr>
        <w:t>Eyre</w:t>
      </w:r>
      <w:r w:rsidRPr="00992714">
        <w:rPr>
          <w:lang w:eastAsia="en-GB"/>
        </w:rPr>
        <w:t xml:space="preserve"> 1990,152</w:t>
      </w:r>
      <w:r>
        <w:rPr>
          <w:lang w:eastAsia="en-GB"/>
        </w:rPr>
        <w:t>,</w:t>
      </w:r>
      <w:r w:rsidRPr="00992714">
        <w:rPr>
          <w:lang w:eastAsia="en-GB"/>
        </w:rPr>
        <w:t xml:space="preserve"> on the style and content of direct address in the </w:t>
      </w:r>
      <w:proofErr w:type="spellStart"/>
      <w:r w:rsidRPr="00992714">
        <w:rPr>
          <w:lang w:eastAsia="en-GB"/>
        </w:rPr>
        <w:t>Semna</w:t>
      </w:r>
      <w:proofErr w:type="spellEnd"/>
      <w:r w:rsidRPr="00992714">
        <w:rPr>
          <w:lang w:eastAsia="en-GB"/>
        </w:rPr>
        <w:t xml:space="preserve"> Stela of </w:t>
      </w:r>
      <w:proofErr w:type="spellStart"/>
      <w:r w:rsidRPr="00992714">
        <w:rPr>
          <w:lang w:eastAsia="en-GB"/>
        </w:rPr>
        <w:t>Sesostris</w:t>
      </w:r>
      <w:proofErr w:type="spellEnd"/>
      <w:r w:rsidRPr="00992714">
        <w:rPr>
          <w:lang w:eastAsia="en-GB"/>
        </w:rPr>
        <w:t xml:space="preserve"> III, and the overlap between literature, royal inscription, and self-praising a</w:t>
      </w:r>
      <w:r>
        <w:rPr>
          <w:lang w:eastAsia="en-GB"/>
        </w:rPr>
        <w:t>utobiography, and the que</w:t>
      </w:r>
      <w:r w:rsidRPr="00992714">
        <w:rPr>
          <w:lang w:eastAsia="en-GB"/>
        </w:rPr>
        <w:t>stion of the extent to which what is on the wall is an exploitation of literary/ritual performance that is not a written, but a performance genre, with an audience.</w:t>
      </w:r>
    </w:p>
  </w:footnote>
  <w:footnote w:id="44">
    <w:p w:rsidR="004466EA" w:rsidRDefault="004466EA" w:rsidP="00992714">
      <w:pPr>
        <w:spacing w:line="360" w:lineRule="auto"/>
        <w:contextualSpacing/>
      </w:pPr>
      <w:r w:rsidRPr="00992714">
        <w:rPr>
          <w:rStyle w:val="FootnoteReference"/>
          <w:szCs w:val="20"/>
        </w:rPr>
        <w:footnoteRef/>
      </w:r>
      <w:r w:rsidRPr="00992714">
        <w:t xml:space="preserve"> On structuring a narrative from all sorts of bits of different genres, cf. B</w:t>
      </w:r>
      <w:r w:rsidRPr="00992714">
        <w:rPr>
          <w:smallCaps/>
        </w:rPr>
        <w:t>arber</w:t>
      </w:r>
      <w:r w:rsidRPr="00992714">
        <w:t xml:space="preserve"> 2007, 147</w:t>
      </w:r>
      <w:r>
        <w:t>.</w:t>
      </w:r>
    </w:p>
  </w:footnote>
  <w:footnote w:id="45">
    <w:p w:rsidR="004466EA" w:rsidRDefault="004466EA" w:rsidP="00992714">
      <w:pPr>
        <w:spacing w:line="360" w:lineRule="auto"/>
        <w:contextualSpacing/>
      </w:pPr>
      <w:r w:rsidRPr="00992714">
        <w:rPr>
          <w:rStyle w:val="FootnoteReference"/>
          <w:szCs w:val="20"/>
        </w:rPr>
        <w:footnoteRef/>
      </w:r>
      <w:r w:rsidRPr="00992714">
        <w:t xml:space="preserve"> P</w:t>
      </w:r>
      <w:r w:rsidRPr="00992714">
        <w:rPr>
          <w:smallCaps/>
          <w:szCs w:val="20"/>
        </w:rPr>
        <w:t xml:space="preserve">arkinson </w:t>
      </w:r>
      <w:r w:rsidRPr="00992714">
        <w:t xml:space="preserve">2009.  </w:t>
      </w:r>
    </w:p>
  </w:footnote>
  <w:footnote w:id="46">
    <w:p w:rsidR="004466EA" w:rsidRDefault="004466EA" w:rsidP="00992714">
      <w:pPr>
        <w:pStyle w:val="FootnoteText"/>
        <w:spacing w:line="360" w:lineRule="auto"/>
        <w:contextualSpacing/>
      </w:pPr>
      <w:r w:rsidRPr="00992714">
        <w:rPr>
          <w:rStyle w:val="FootnoteReference"/>
          <w:rFonts w:cs="Palatino"/>
        </w:rPr>
        <w:footnoteRef/>
      </w:r>
      <w:r w:rsidRPr="00992714">
        <w:t xml:space="preserve"> Compare the narrative autobiographies of </w:t>
      </w:r>
      <w:proofErr w:type="spellStart"/>
      <w:r w:rsidRPr="00992714">
        <w:t>Khnumhotep</w:t>
      </w:r>
      <w:proofErr w:type="spellEnd"/>
      <w:r w:rsidRPr="00992714">
        <w:t xml:space="preserve"> II from </w:t>
      </w:r>
      <w:proofErr w:type="spellStart"/>
      <w:r w:rsidRPr="00992714">
        <w:t>Beni</w:t>
      </w:r>
      <w:proofErr w:type="spellEnd"/>
      <w:r w:rsidRPr="00992714">
        <w:t xml:space="preserve"> Hasan</w:t>
      </w:r>
      <w:r>
        <w:t xml:space="preserve"> (</w:t>
      </w:r>
      <w:r w:rsidRPr="00992714">
        <w:t>L</w:t>
      </w:r>
      <w:r w:rsidRPr="00992714">
        <w:rPr>
          <w:smallCaps/>
          <w:szCs w:val="20"/>
        </w:rPr>
        <w:t>loyd 1992</w:t>
      </w:r>
      <w:r>
        <w:rPr>
          <w:smallCaps/>
          <w:szCs w:val="20"/>
        </w:rPr>
        <w:t>)</w:t>
      </w:r>
      <w:r w:rsidRPr="00992714">
        <w:rPr>
          <w:szCs w:val="20"/>
        </w:rPr>
        <w:t xml:space="preserve"> and of his son </w:t>
      </w:r>
      <w:proofErr w:type="spellStart"/>
      <w:r w:rsidRPr="00992714">
        <w:rPr>
          <w:szCs w:val="20"/>
        </w:rPr>
        <w:t>Khnumhotpe</w:t>
      </w:r>
      <w:proofErr w:type="spellEnd"/>
      <w:r w:rsidRPr="00992714">
        <w:rPr>
          <w:szCs w:val="20"/>
        </w:rPr>
        <w:t xml:space="preserve"> from </w:t>
      </w:r>
      <w:proofErr w:type="spellStart"/>
      <w:r w:rsidRPr="00992714">
        <w:rPr>
          <w:szCs w:val="20"/>
        </w:rPr>
        <w:t>Dahshur</w:t>
      </w:r>
      <w:proofErr w:type="spellEnd"/>
      <w:r w:rsidRPr="00992714">
        <w:rPr>
          <w:szCs w:val="20"/>
        </w:rPr>
        <w:t xml:space="preserve"> (</w:t>
      </w:r>
      <w:r w:rsidRPr="00992714">
        <w:rPr>
          <w:smallCaps/>
          <w:szCs w:val="20"/>
        </w:rPr>
        <w:t>Allen 2008</w:t>
      </w:r>
      <w:r w:rsidRPr="00992714">
        <w:rPr>
          <w:szCs w:val="20"/>
        </w:rPr>
        <w:t xml:space="preserve">), which pose some of the same compositional questions as the Story of </w:t>
      </w:r>
      <w:proofErr w:type="spellStart"/>
      <w:r w:rsidRPr="00992714">
        <w:rPr>
          <w:szCs w:val="20"/>
        </w:rPr>
        <w:t>Sinuhe</w:t>
      </w:r>
      <w:proofErr w:type="spellEnd"/>
      <w:r w:rsidRPr="00992714">
        <w:rPr>
          <w:szCs w:val="20"/>
        </w:rPr>
        <w:t>.</w:t>
      </w:r>
    </w:p>
  </w:footnote>
  <w:footnote w:id="47">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992714">
        <w:t>S</w:t>
      </w:r>
      <w:r w:rsidRPr="00992714">
        <w:rPr>
          <w:smallCaps/>
        </w:rPr>
        <w:t>tauder</w:t>
      </w:r>
      <w:proofErr w:type="spellEnd"/>
      <w:r w:rsidRPr="00992714">
        <w:rPr>
          <w:smallCaps/>
        </w:rPr>
        <w:t xml:space="preserve"> </w:t>
      </w:r>
      <w:r>
        <w:rPr>
          <w:smallCaps/>
        </w:rPr>
        <w:t xml:space="preserve">2013 </w:t>
      </w:r>
      <w:r w:rsidRPr="00992714">
        <w:t>with review E</w:t>
      </w:r>
      <w:r w:rsidRPr="00992714">
        <w:rPr>
          <w:smallCaps/>
        </w:rPr>
        <w:t>yre</w:t>
      </w:r>
      <w:r>
        <w:rPr>
          <w:smallCaps/>
        </w:rPr>
        <w:t xml:space="preserve"> 2014</w:t>
      </w:r>
      <w:r w:rsidRPr="00992714">
        <w:rPr>
          <w:smallCaps/>
        </w:rPr>
        <w:t xml:space="preserve">. </w:t>
      </w:r>
      <w:r w:rsidRPr="00992714">
        <w:rPr>
          <w:szCs w:val="20"/>
        </w:rPr>
        <w:t>At the root of the argument is a question of transmission: whether the appearance of post-Dynasty 12 features in 18</w:t>
      </w:r>
      <w:r>
        <w:rPr>
          <w:szCs w:val="20"/>
        </w:rPr>
        <w:t>th</w:t>
      </w:r>
      <w:r w:rsidRPr="00992714">
        <w:rPr>
          <w:szCs w:val="20"/>
        </w:rPr>
        <w:t xml:space="preserve"> Dynasty manuscripts provide reliable evidence to date composition, or merely reflect a degree of modernisation, conscious or unconscious, in texts that retained a living role – </w:t>
      </w:r>
      <w:proofErr w:type="spellStart"/>
      <w:r w:rsidRPr="00992714">
        <w:rPr>
          <w:szCs w:val="20"/>
        </w:rPr>
        <w:t>recitational</w:t>
      </w:r>
      <w:proofErr w:type="spellEnd"/>
      <w:r w:rsidRPr="00992714">
        <w:rPr>
          <w:szCs w:val="20"/>
        </w:rPr>
        <w:t xml:space="preserve"> and </w:t>
      </w:r>
      <w:proofErr w:type="spellStart"/>
      <w:r w:rsidRPr="00992714">
        <w:rPr>
          <w:szCs w:val="20"/>
        </w:rPr>
        <w:t>performative</w:t>
      </w:r>
      <w:proofErr w:type="spellEnd"/>
      <w:r w:rsidRPr="00992714">
        <w:rPr>
          <w:szCs w:val="20"/>
        </w:rPr>
        <w:t xml:space="preserve"> – and had not become canonised as written.</w:t>
      </w:r>
      <w:r>
        <w:rPr>
          <w:szCs w:val="20"/>
        </w:rPr>
        <w:t xml:space="preserve"> </w:t>
      </w:r>
      <w:r w:rsidRPr="00992714">
        <w:rPr>
          <w:szCs w:val="20"/>
        </w:rPr>
        <w:t xml:space="preserve">Note also </w:t>
      </w:r>
      <w:proofErr w:type="spellStart"/>
      <w:r w:rsidRPr="00992714">
        <w:rPr>
          <w:smallCaps/>
          <w:szCs w:val="20"/>
        </w:rPr>
        <w:t>Buchberger</w:t>
      </w:r>
      <w:proofErr w:type="spellEnd"/>
      <w:r w:rsidRPr="00992714">
        <w:rPr>
          <w:szCs w:val="20"/>
        </w:rPr>
        <w:t xml:space="preserve"> 2006 using similar arguments to date the Tod inscription in the name of </w:t>
      </w:r>
      <w:proofErr w:type="spellStart"/>
      <w:r w:rsidRPr="00992714">
        <w:rPr>
          <w:szCs w:val="20"/>
        </w:rPr>
        <w:t>Sesostris</w:t>
      </w:r>
      <w:proofErr w:type="spellEnd"/>
      <w:r w:rsidRPr="00992714">
        <w:rPr>
          <w:szCs w:val="20"/>
        </w:rPr>
        <w:t xml:space="preserve"> I to a New Kingdom date, in the same way that the text of the Berli</w:t>
      </w:r>
      <w:r>
        <w:rPr>
          <w:szCs w:val="20"/>
        </w:rPr>
        <w:t>n L</w:t>
      </w:r>
      <w:r w:rsidRPr="00992714">
        <w:rPr>
          <w:szCs w:val="20"/>
        </w:rPr>
        <w:t xml:space="preserve">eather </w:t>
      </w:r>
      <w:r>
        <w:rPr>
          <w:szCs w:val="20"/>
        </w:rPr>
        <w:t>R</w:t>
      </w:r>
      <w:r w:rsidRPr="00992714">
        <w:rPr>
          <w:szCs w:val="20"/>
        </w:rPr>
        <w:t>oll is frequently treated as a later, pseudo-epigraph.</w:t>
      </w:r>
    </w:p>
  </w:footnote>
  <w:footnote w:id="48">
    <w:p w:rsidR="004466EA" w:rsidRDefault="004466EA" w:rsidP="00992714">
      <w:pPr>
        <w:spacing w:line="360" w:lineRule="auto"/>
        <w:contextualSpacing/>
      </w:pPr>
      <w:r w:rsidRPr="00992714">
        <w:rPr>
          <w:rStyle w:val="FootnoteReference"/>
          <w:szCs w:val="20"/>
        </w:rPr>
        <w:footnoteRef/>
      </w:r>
      <w:r w:rsidRPr="00992714">
        <w:rPr>
          <w:szCs w:val="20"/>
        </w:rPr>
        <w:t xml:space="preserve"> </w:t>
      </w:r>
      <w:proofErr w:type="gramStart"/>
      <w:r w:rsidRPr="00992714">
        <w:rPr>
          <w:szCs w:val="20"/>
        </w:rPr>
        <w:t>S</w:t>
      </w:r>
      <w:r w:rsidRPr="00992714">
        <w:rPr>
          <w:smallCaps/>
          <w:szCs w:val="20"/>
        </w:rPr>
        <w:t xml:space="preserve">palinger </w:t>
      </w:r>
      <w:r w:rsidRPr="00992714">
        <w:rPr>
          <w:szCs w:val="20"/>
        </w:rPr>
        <w:t>2002, 330.</w:t>
      </w:r>
      <w:proofErr w:type="gramEnd"/>
    </w:p>
  </w:footnote>
  <w:footnote w:id="49">
    <w:p w:rsidR="004466EA" w:rsidRDefault="004466EA" w:rsidP="00992714">
      <w:pPr>
        <w:spacing w:line="360" w:lineRule="auto"/>
        <w:contextualSpacing/>
      </w:pPr>
      <w:r w:rsidRPr="00992714">
        <w:rPr>
          <w:rStyle w:val="FootnoteReference"/>
          <w:szCs w:val="20"/>
        </w:rPr>
        <w:footnoteRef/>
      </w:r>
      <w:r w:rsidRPr="00992714">
        <w:t xml:space="preserve">  </w:t>
      </w:r>
      <w:r w:rsidRPr="004952A3">
        <w:rPr>
          <w:smallCaps/>
          <w:szCs w:val="20"/>
        </w:rPr>
        <w:t xml:space="preserve">Quirke </w:t>
      </w:r>
      <w:r w:rsidRPr="00992714">
        <w:t xml:space="preserve">1996. </w:t>
      </w:r>
    </w:p>
  </w:footnote>
  <w:footnote w:id="50">
    <w:p w:rsidR="004466EA" w:rsidRDefault="004466EA" w:rsidP="00992714">
      <w:pPr>
        <w:spacing w:line="360" w:lineRule="auto"/>
        <w:contextualSpacing/>
      </w:pPr>
      <w:r w:rsidRPr="00992714">
        <w:rPr>
          <w:rStyle w:val="FootnoteReference"/>
          <w:szCs w:val="20"/>
        </w:rPr>
        <w:footnoteRef/>
      </w:r>
      <w:r w:rsidRPr="00992714">
        <w:t xml:space="preserve"> </w:t>
      </w:r>
      <w:r w:rsidRPr="00992714">
        <w:rPr>
          <w:lang w:eastAsia="en-GB"/>
        </w:rPr>
        <w:t xml:space="preserve">Including the updating of the more traditional language of the </w:t>
      </w:r>
      <w:proofErr w:type="spellStart"/>
      <w:r w:rsidRPr="00992714">
        <w:rPr>
          <w:lang w:eastAsia="en-GB"/>
        </w:rPr>
        <w:t>Qadesh</w:t>
      </w:r>
      <w:proofErr w:type="spellEnd"/>
      <w:r w:rsidRPr="00992714">
        <w:rPr>
          <w:lang w:eastAsia="en-GB"/>
        </w:rPr>
        <w:t xml:space="preserve"> inscription into the slightly more literary Late Egyptian found on the papyrus, and despite </w:t>
      </w:r>
      <w:proofErr w:type="spellStart"/>
      <w:r w:rsidRPr="00F55990">
        <w:rPr>
          <w:smallCaps/>
          <w:lang w:eastAsia="en-GB"/>
        </w:rPr>
        <w:t>Spalinger</w:t>
      </w:r>
      <w:r w:rsidRPr="00992714">
        <w:rPr>
          <w:lang w:eastAsia="en-GB"/>
        </w:rPr>
        <w:t>’s</w:t>
      </w:r>
      <w:proofErr w:type="spellEnd"/>
      <w:r w:rsidRPr="00992714">
        <w:rPr>
          <w:lang w:eastAsia="en-GB"/>
        </w:rPr>
        <w:t xml:space="preserve"> assertions that </w:t>
      </w:r>
      <w:proofErr w:type="spellStart"/>
      <w:r w:rsidRPr="00992714">
        <w:rPr>
          <w:lang w:eastAsia="en-GB"/>
        </w:rPr>
        <w:t>Pentaweret</w:t>
      </w:r>
      <w:proofErr w:type="spellEnd"/>
      <w:r w:rsidRPr="00992714">
        <w:rPr>
          <w:lang w:eastAsia="en-GB"/>
        </w:rPr>
        <w:t xml:space="preserve"> was incompetent in his understanding of the grammar and his editing of the inscribed text.</w:t>
      </w:r>
    </w:p>
  </w:footnote>
  <w:footnote w:id="51">
    <w:p w:rsidR="004466EA" w:rsidRDefault="004466EA" w:rsidP="00992714">
      <w:pPr>
        <w:pStyle w:val="FootnoteText"/>
        <w:spacing w:line="360" w:lineRule="auto"/>
        <w:contextualSpacing/>
      </w:pPr>
      <w:r w:rsidRPr="00992714">
        <w:rPr>
          <w:rStyle w:val="FootnoteReference"/>
          <w:rFonts w:cs="Palatino"/>
        </w:rPr>
        <w:footnoteRef/>
      </w:r>
      <w:r w:rsidRPr="00992714">
        <w:t xml:space="preserve"> Cf</w:t>
      </w:r>
      <w:r w:rsidRPr="00992714">
        <w:rPr>
          <w:smallCaps/>
          <w:szCs w:val="20"/>
        </w:rPr>
        <w:t xml:space="preserve">. </w:t>
      </w:r>
      <w:proofErr w:type="spellStart"/>
      <w:r w:rsidRPr="00992714">
        <w:rPr>
          <w:smallCaps/>
          <w:szCs w:val="20"/>
        </w:rPr>
        <w:t>Loprieno</w:t>
      </w:r>
      <w:proofErr w:type="spellEnd"/>
      <w:r w:rsidRPr="00992714">
        <w:t xml:space="preserve"> 2001, although his approach seriously over-emphasises the written over the oral.</w:t>
      </w:r>
    </w:p>
  </w:footnote>
  <w:footnote w:id="52">
    <w:p w:rsidR="004466EA" w:rsidRDefault="004466EA" w:rsidP="00992714">
      <w:pPr>
        <w:spacing w:line="360" w:lineRule="auto"/>
        <w:contextualSpacing/>
      </w:pPr>
      <w:r w:rsidRPr="00992714">
        <w:rPr>
          <w:rStyle w:val="FootnoteReference"/>
          <w:szCs w:val="20"/>
        </w:rPr>
        <w:footnoteRef/>
      </w:r>
      <w:r w:rsidRPr="00992714">
        <w:rPr>
          <w:szCs w:val="20"/>
        </w:rPr>
        <w:t xml:space="preserve"> </w:t>
      </w:r>
      <w:proofErr w:type="spellStart"/>
      <w:r w:rsidRPr="00992714">
        <w:rPr>
          <w:smallCaps/>
          <w:szCs w:val="20"/>
          <w:lang w:eastAsia="ja-JP"/>
        </w:rPr>
        <w:t>Negm</w:t>
      </w:r>
      <w:proofErr w:type="spellEnd"/>
      <w:r w:rsidRPr="00992714">
        <w:rPr>
          <w:szCs w:val="20"/>
          <w:lang w:eastAsia="ja-JP"/>
        </w:rPr>
        <w:t xml:space="preserve"> 1997</w:t>
      </w:r>
      <w:r w:rsidRPr="00992714">
        <w:rPr>
          <w:szCs w:val="20"/>
        </w:rPr>
        <w:t>.</w:t>
      </w:r>
    </w:p>
  </w:footnote>
  <w:footnote w:id="53">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proofErr w:type="gramStart"/>
      <w:r>
        <w:rPr>
          <w:smallCaps/>
          <w:szCs w:val="20"/>
        </w:rPr>
        <w:t>Sethe</w:t>
      </w:r>
      <w:proofErr w:type="spellEnd"/>
      <w:r w:rsidRPr="00992714">
        <w:rPr>
          <w:smallCaps/>
          <w:szCs w:val="20"/>
        </w:rPr>
        <w:t xml:space="preserve"> </w:t>
      </w:r>
      <w:r>
        <w:t xml:space="preserve">1906-1909, </w:t>
      </w:r>
      <w:r w:rsidRPr="00992714">
        <w:t>85, 4.</w:t>
      </w:r>
      <w:proofErr w:type="gramEnd"/>
    </w:p>
  </w:footnote>
  <w:footnote w:id="54">
    <w:p w:rsidR="004466EA" w:rsidRDefault="004466EA" w:rsidP="00992714">
      <w:pPr>
        <w:pStyle w:val="FootnoteText"/>
        <w:tabs>
          <w:tab w:val="left" w:pos="1701"/>
        </w:tabs>
        <w:spacing w:line="360" w:lineRule="auto"/>
        <w:contextualSpacing/>
      </w:pPr>
      <w:r w:rsidRPr="00992714">
        <w:rPr>
          <w:rStyle w:val="FootnoteReference"/>
          <w:rFonts w:cs="Palatino"/>
        </w:rPr>
        <w:footnoteRef/>
      </w:r>
      <w:r w:rsidRPr="00992714">
        <w:t xml:space="preserve"> </w:t>
      </w:r>
      <w:r w:rsidRPr="00F55990">
        <w:rPr>
          <w:smallCaps/>
          <w:szCs w:val="20"/>
          <w:lang w:val="de-DE"/>
        </w:rPr>
        <w:t>Sethe 1906-1909</w:t>
      </w:r>
      <w:r w:rsidRPr="00F55990">
        <w:rPr>
          <w:szCs w:val="20"/>
        </w:rPr>
        <w:t>, 26, 12.</w:t>
      </w:r>
    </w:p>
  </w:footnote>
  <w:footnote w:id="55">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proofErr w:type="gramStart"/>
      <w:r>
        <w:rPr>
          <w:smallCaps/>
          <w:szCs w:val="20"/>
        </w:rPr>
        <w:t>Sethe</w:t>
      </w:r>
      <w:proofErr w:type="spellEnd"/>
      <w:r w:rsidRPr="00992714">
        <w:rPr>
          <w:smallCaps/>
          <w:szCs w:val="20"/>
        </w:rPr>
        <w:t xml:space="preserve"> </w:t>
      </w:r>
      <w:r>
        <w:t>1906-1909</w:t>
      </w:r>
      <w:r w:rsidRPr="00992714">
        <w:t>, 180, 16.</w:t>
      </w:r>
      <w:proofErr w:type="gramEnd"/>
    </w:p>
  </w:footnote>
  <w:footnote w:id="56">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proofErr w:type="gramStart"/>
      <w:r w:rsidRPr="00992714">
        <w:rPr>
          <w:smallCaps/>
          <w:szCs w:val="20"/>
        </w:rPr>
        <w:t>Osing</w:t>
      </w:r>
      <w:proofErr w:type="spellEnd"/>
      <w:r w:rsidRPr="00992714">
        <w:rPr>
          <w:smallCaps/>
          <w:szCs w:val="20"/>
        </w:rPr>
        <w:t xml:space="preserve"> </w:t>
      </w:r>
      <w:r w:rsidRPr="00992714">
        <w:t xml:space="preserve">1992, 46 and pl. 9, 35; </w:t>
      </w:r>
      <w:r w:rsidRPr="00992714">
        <w:rPr>
          <w:smallCaps/>
          <w:szCs w:val="20"/>
        </w:rPr>
        <w:t>Frood</w:t>
      </w:r>
      <w:r w:rsidRPr="00992714">
        <w:t xml:space="preserve"> 2007, 144; </w:t>
      </w:r>
      <w:r w:rsidRPr="00992714">
        <w:rPr>
          <w:smallCaps/>
          <w:szCs w:val="20"/>
        </w:rPr>
        <w:t>Fischer-</w:t>
      </w:r>
      <w:proofErr w:type="spellStart"/>
      <w:r w:rsidRPr="00992714">
        <w:rPr>
          <w:smallCaps/>
          <w:szCs w:val="20"/>
        </w:rPr>
        <w:t>Elfert</w:t>
      </w:r>
      <w:proofErr w:type="spellEnd"/>
      <w:r w:rsidRPr="00992714">
        <w:t xml:space="preserve"> 1994, 45.</w:t>
      </w:r>
      <w:proofErr w:type="gramEnd"/>
    </w:p>
  </w:footnote>
  <w:footnote w:id="57">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r w:rsidRPr="00992714">
        <w:rPr>
          <w:smallCaps/>
          <w:szCs w:val="20"/>
        </w:rPr>
        <w:t>Eyre</w:t>
      </w:r>
      <w:r w:rsidRPr="00992714">
        <w:t xml:space="preserve"> 2013</w:t>
      </w:r>
      <w:r>
        <w:t>,</w:t>
      </w:r>
      <w:r w:rsidRPr="00992714">
        <w:t xml:space="preserve"> 133-134.</w:t>
      </w:r>
    </w:p>
  </w:footnote>
  <w:footnote w:id="58">
    <w:p w:rsidR="004466EA" w:rsidRPr="00772A61" w:rsidRDefault="004466EA" w:rsidP="00992714">
      <w:pPr>
        <w:spacing w:line="360" w:lineRule="auto"/>
        <w:contextualSpacing/>
        <w:rPr>
          <w:color w:val="000000" w:themeColor="text1"/>
        </w:rPr>
      </w:pPr>
      <w:r w:rsidRPr="00772A61">
        <w:rPr>
          <w:rStyle w:val="FootnoteReference"/>
          <w:color w:val="000000" w:themeColor="text1"/>
          <w:szCs w:val="20"/>
        </w:rPr>
        <w:footnoteRef/>
      </w:r>
      <w:r w:rsidRPr="00772A61">
        <w:rPr>
          <w:color w:val="000000" w:themeColor="text1"/>
        </w:rPr>
        <w:t xml:space="preserve"> </w:t>
      </w:r>
      <w:proofErr w:type="spellStart"/>
      <w:proofErr w:type="gramStart"/>
      <w:r w:rsidRPr="00772A61">
        <w:rPr>
          <w:color w:val="000000" w:themeColor="text1"/>
        </w:rPr>
        <w:t>pHarris</w:t>
      </w:r>
      <w:proofErr w:type="spellEnd"/>
      <w:proofErr w:type="gramEnd"/>
      <w:r w:rsidRPr="00772A61">
        <w:rPr>
          <w:color w:val="000000" w:themeColor="text1"/>
        </w:rPr>
        <w:t xml:space="preserve"> I, 75, 1-79, 12</w:t>
      </w:r>
      <w:r w:rsidR="00772A61">
        <w:rPr>
          <w:color w:val="000000" w:themeColor="text1"/>
        </w:rPr>
        <w:t xml:space="preserve">; </w:t>
      </w:r>
      <w:proofErr w:type="spellStart"/>
      <w:r w:rsidR="00772A61" w:rsidRPr="00772A61">
        <w:rPr>
          <w:smallCaps/>
          <w:color w:val="000000" w:themeColor="text1"/>
        </w:rPr>
        <w:t>Maderna-Sieben</w:t>
      </w:r>
      <w:proofErr w:type="spellEnd"/>
      <w:r w:rsidR="00772A61">
        <w:rPr>
          <w:smallCaps/>
          <w:color w:val="000000" w:themeColor="text1"/>
        </w:rPr>
        <w:t xml:space="preserve"> 199; </w:t>
      </w:r>
      <w:proofErr w:type="spellStart"/>
      <w:r w:rsidRPr="00772A61">
        <w:rPr>
          <w:smallCaps/>
          <w:color w:val="000000" w:themeColor="text1"/>
        </w:rPr>
        <w:t>Grandet</w:t>
      </w:r>
      <w:proofErr w:type="spellEnd"/>
      <w:r w:rsidRPr="00772A61">
        <w:rPr>
          <w:smallCaps/>
          <w:color w:val="000000" w:themeColor="text1"/>
        </w:rPr>
        <w:t xml:space="preserve"> </w:t>
      </w:r>
      <w:r w:rsidR="00772A61">
        <w:rPr>
          <w:color w:val="000000" w:themeColor="text1"/>
        </w:rPr>
        <w:t>1994, I, 335-340</w:t>
      </w:r>
      <w:r w:rsidR="00772A61">
        <w:rPr>
          <w:smallCaps/>
          <w:color w:val="000000" w:themeColor="text1"/>
        </w:rPr>
        <w:t>.</w:t>
      </w:r>
    </w:p>
  </w:footnote>
  <w:footnote w:id="59">
    <w:p w:rsidR="004466EA" w:rsidRDefault="004466EA" w:rsidP="00992714">
      <w:pPr>
        <w:spacing w:line="360" w:lineRule="auto"/>
        <w:contextualSpacing/>
      </w:pPr>
      <w:r w:rsidRPr="00992714">
        <w:rPr>
          <w:rStyle w:val="FootnoteReference"/>
          <w:szCs w:val="20"/>
        </w:rPr>
        <w:footnoteRef/>
      </w:r>
      <w:r>
        <w:t xml:space="preserve"> </w:t>
      </w:r>
      <w:proofErr w:type="spellStart"/>
      <w:proofErr w:type="gramStart"/>
      <w:r>
        <w:t>p</w:t>
      </w:r>
      <w:r w:rsidRPr="00992714">
        <w:t>Harris</w:t>
      </w:r>
      <w:proofErr w:type="spellEnd"/>
      <w:proofErr w:type="gramEnd"/>
      <w:r w:rsidRPr="00992714">
        <w:t xml:space="preserve"> I</w:t>
      </w:r>
      <w:r>
        <w:t>,78.8–11</w:t>
      </w:r>
      <w:r w:rsidRPr="00992714">
        <w:t xml:space="preserve">. Compare specifically the description of the consequences of his </w:t>
      </w:r>
      <w:r>
        <w:t>First</w:t>
      </w:r>
      <w:r w:rsidRPr="00992714">
        <w:t xml:space="preserve"> Libyan War, </w:t>
      </w:r>
      <w:r w:rsidRPr="00FE4D50">
        <w:rPr>
          <w:smallCaps/>
        </w:rPr>
        <w:t>Kitchen</w:t>
      </w:r>
      <w:r w:rsidRPr="00FE4D50">
        <w:t xml:space="preserve"> 1983, 2</w:t>
      </w:r>
      <w:r w:rsidRPr="00992714">
        <w:t>7, 4-5.</w:t>
      </w:r>
    </w:p>
  </w:footnote>
  <w:footnote w:id="60">
    <w:p w:rsidR="004466EA" w:rsidRDefault="004466EA" w:rsidP="00992714">
      <w:pPr>
        <w:spacing w:line="360" w:lineRule="auto"/>
        <w:contextualSpacing/>
      </w:pPr>
      <w:r w:rsidRPr="00992714">
        <w:rPr>
          <w:rStyle w:val="FootnoteReference"/>
          <w:szCs w:val="20"/>
        </w:rPr>
        <w:footnoteRef/>
      </w:r>
      <w:r w:rsidRPr="00992714">
        <w:t xml:space="preserve"> </w:t>
      </w:r>
      <w:proofErr w:type="spellStart"/>
      <w:proofErr w:type="gramStart"/>
      <w:r w:rsidRPr="00992714">
        <w:rPr>
          <w:smallCaps/>
          <w:szCs w:val="20"/>
        </w:rPr>
        <w:t>Grandet</w:t>
      </w:r>
      <w:proofErr w:type="spellEnd"/>
      <w:r w:rsidRPr="00992714">
        <w:rPr>
          <w:smallCaps/>
          <w:szCs w:val="20"/>
        </w:rPr>
        <w:t xml:space="preserve"> 1994, I, </w:t>
      </w:r>
      <w:r w:rsidRPr="00992714">
        <w:t xml:space="preserve">122-127; cf. </w:t>
      </w:r>
      <w:r w:rsidRPr="00992714">
        <w:rPr>
          <w:smallCaps/>
          <w:szCs w:val="20"/>
        </w:rPr>
        <w:t>Haring</w:t>
      </w:r>
      <w:r w:rsidRPr="00992714">
        <w:t xml:space="preserve"> 1997</w:t>
      </w:r>
      <w:r>
        <w:t>,</w:t>
      </w:r>
      <w:r w:rsidRPr="00992714">
        <w:t xml:space="preserve"> 158-161.</w:t>
      </w:r>
      <w:proofErr w:type="gramEnd"/>
    </w:p>
  </w:footnote>
  <w:footnote w:id="61">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r w:rsidRPr="00992714">
        <w:t>M</w:t>
      </w:r>
      <w:r w:rsidRPr="00992714">
        <w:rPr>
          <w:smallCaps/>
          <w:szCs w:val="20"/>
        </w:rPr>
        <w:t>anassa</w:t>
      </w:r>
      <w:proofErr w:type="spellEnd"/>
      <w:r w:rsidRPr="00992714">
        <w:t xml:space="preserve"> 2013.</w:t>
      </w:r>
    </w:p>
  </w:footnote>
  <w:footnote w:id="62">
    <w:p w:rsidR="004466EA" w:rsidRDefault="004466EA" w:rsidP="00992714">
      <w:pPr>
        <w:spacing w:line="360" w:lineRule="auto"/>
        <w:contextualSpacing/>
      </w:pPr>
      <w:r w:rsidRPr="00992714">
        <w:rPr>
          <w:rStyle w:val="FootnoteReference"/>
          <w:szCs w:val="20"/>
        </w:rPr>
        <w:footnoteRef/>
      </w:r>
      <w:r w:rsidRPr="00992714">
        <w:rPr>
          <w:szCs w:val="20"/>
        </w:rPr>
        <w:t xml:space="preserve"> </w:t>
      </w:r>
      <w:proofErr w:type="gramStart"/>
      <w:r w:rsidRPr="00992714">
        <w:rPr>
          <w:szCs w:val="20"/>
        </w:rPr>
        <w:t>R</w:t>
      </w:r>
      <w:r w:rsidRPr="00992714">
        <w:rPr>
          <w:smallCaps/>
          <w:szCs w:val="20"/>
        </w:rPr>
        <w:t>yholt</w:t>
      </w:r>
      <w:r w:rsidRPr="00992714">
        <w:rPr>
          <w:bCs/>
          <w:szCs w:val="20"/>
        </w:rPr>
        <w:t xml:space="preserve">  2005</w:t>
      </w:r>
      <w:proofErr w:type="gramEnd"/>
      <w:r w:rsidRPr="00992714">
        <w:rPr>
          <w:bCs/>
          <w:szCs w:val="20"/>
        </w:rPr>
        <w:t>, 41; J</w:t>
      </w:r>
      <w:r w:rsidRPr="00992714">
        <w:rPr>
          <w:smallCaps/>
          <w:szCs w:val="20"/>
        </w:rPr>
        <w:t>ay</w:t>
      </w:r>
      <w:r w:rsidRPr="00992714">
        <w:rPr>
          <w:bCs/>
          <w:szCs w:val="20"/>
        </w:rPr>
        <w:t xml:space="preserve"> 2015</w:t>
      </w:r>
      <w:r>
        <w:rPr>
          <w:bCs/>
          <w:szCs w:val="20"/>
        </w:rPr>
        <w:t>,</w:t>
      </w:r>
      <w:r w:rsidRPr="00992714">
        <w:rPr>
          <w:bCs/>
          <w:szCs w:val="20"/>
        </w:rPr>
        <w:t xml:space="preserve"> esp. 243-244. </w:t>
      </w:r>
    </w:p>
  </w:footnote>
  <w:footnote w:id="63">
    <w:p w:rsidR="004466EA" w:rsidRDefault="004466EA" w:rsidP="00992714">
      <w:pPr>
        <w:pStyle w:val="FootnoteText"/>
        <w:spacing w:line="360" w:lineRule="auto"/>
        <w:contextualSpacing/>
      </w:pPr>
      <w:r w:rsidRPr="00992714">
        <w:rPr>
          <w:rStyle w:val="FootnoteReference"/>
          <w:rFonts w:cs="Palatino"/>
          <w:szCs w:val="20"/>
        </w:rPr>
        <w:footnoteRef/>
      </w:r>
      <w:r w:rsidRPr="00992714">
        <w:rPr>
          <w:szCs w:val="20"/>
        </w:rPr>
        <w:t xml:space="preserve"> </w:t>
      </w:r>
      <w:r w:rsidRPr="00BA1846">
        <w:rPr>
          <w:smallCaps/>
          <w:szCs w:val="20"/>
          <w:lang w:eastAsia="en-GB"/>
        </w:rPr>
        <w:t>Kitchen</w:t>
      </w:r>
      <w:r>
        <w:rPr>
          <w:szCs w:val="20"/>
          <w:lang w:eastAsia="en-GB"/>
        </w:rPr>
        <w:t xml:space="preserve"> 1979</w:t>
      </w:r>
      <w:r w:rsidRPr="00992714">
        <w:rPr>
          <w:szCs w:val="20"/>
          <w:lang w:eastAsia="en-GB"/>
        </w:rPr>
        <w:t xml:space="preserve">, 284-287. For recent translation and re-evaluation of the state of knowledge, see </w:t>
      </w:r>
      <w:proofErr w:type="spellStart"/>
      <w:r w:rsidRPr="00992714">
        <w:rPr>
          <w:rFonts w:cs="Times New Roman"/>
          <w:smallCaps/>
          <w:color w:val="000000"/>
          <w:szCs w:val="20"/>
        </w:rPr>
        <w:t>Witthuhn</w:t>
      </w:r>
      <w:proofErr w:type="spellEnd"/>
      <w:r w:rsidRPr="00992714">
        <w:rPr>
          <w:rFonts w:cs="Times New Roman"/>
          <w:smallCaps/>
          <w:color w:val="000000"/>
          <w:szCs w:val="20"/>
        </w:rPr>
        <w:t>, et al.</w:t>
      </w:r>
      <w:r w:rsidRPr="00992714">
        <w:rPr>
          <w:rFonts w:cs="Times New Roman"/>
          <w:color w:val="000000"/>
          <w:szCs w:val="20"/>
        </w:rPr>
        <w:t xml:space="preserve"> 2015. </w:t>
      </w:r>
    </w:p>
  </w:footnote>
  <w:footnote w:id="64">
    <w:p w:rsidR="004466EA" w:rsidRDefault="004466EA" w:rsidP="00992714">
      <w:pPr>
        <w:spacing w:line="360" w:lineRule="auto"/>
        <w:contextualSpacing/>
      </w:pPr>
      <w:r w:rsidRPr="00992714">
        <w:rPr>
          <w:rStyle w:val="FootnoteReference"/>
          <w:szCs w:val="20"/>
        </w:rPr>
        <w:footnoteRef/>
      </w:r>
      <w:r w:rsidRPr="00992714">
        <w:t xml:space="preserve"> </w:t>
      </w:r>
      <w:proofErr w:type="spellStart"/>
      <w:r w:rsidRPr="00992714">
        <w:t>M</w:t>
      </w:r>
      <w:r w:rsidRPr="00992714">
        <w:rPr>
          <w:smallCaps/>
        </w:rPr>
        <w:t>anassa</w:t>
      </w:r>
      <w:proofErr w:type="spellEnd"/>
      <w:r>
        <w:t xml:space="preserve"> 2013,</w:t>
      </w:r>
      <w:r w:rsidRPr="00992714">
        <w:t xml:space="preserve"> </w:t>
      </w:r>
      <w:r w:rsidRPr="00992714">
        <w:rPr>
          <w:lang w:eastAsia="en-GB"/>
        </w:rPr>
        <w:t xml:space="preserve">144-146. </w:t>
      </w:r>
    </w:p>
  </w:footnote>
  <w:footnote w:id="65">
    <w:p w:rsidR="004466EA" w:rsidRDefault="004466EA" w:rsidP="00992714">
      <w:pPr>
        <w:pStyle w:val="FootnoteText"/>
        <w:spacing w:line="360" w:lineRule="auto"/>
        <w:contextualSpacing/>
      </w:pPr>
      <w:r w:rsidRPr="00992714">
        <w:rPr>
          <w:rStyle w:val="FootnoteReference"/>
          <w:rFonts w:cs="Palatino"/>
        </w:rPr>
        <w:footnoteRef/>
      </w:r>
      <w:r w:rsidRPr="00992714">
        <w:t xml:space="preserve"> Written myth appears in Egypt as incidental reference in (ritual) performance, and only later as coherent narrative</w:t>
      </w:r>
      <w:r>
        <w:t>,</w:t>
      </w:r>
      <w:r w:rsidRPr="00992714">
        <w:t xml:space="preserve"> cf. </w:t>
      </w:r>
      <w:r w:rsidRPr="00992714">
        <w:rPr>
          <w:smallCaps/>
          <w:szCs w:val="20"/>
        </w:rPr>
        <w:t xml:space="preserve">Quack </w:t>
      </w:r>
      <w:r w:rsidRPr="00992714">
        <w:t xml:space="preserve">2009, 291-301. The argument about generic priority – indeed the very </w:t>
      </w:r>
      <w:r>
        <w:t xml:space="preserve">essence of myth as narrative, </w:t>
      </w:r>
      <w:r w:rsidRPr="00992714">
        <w:t xml:space="preserve">see </w:t>
      </w:r>
      <w:r w:rsidRPr="00992714">
        <w:rPr>
          <w:smallCaps/>
          <w:szCs w:val="20"/>
        </w:rPr>
        <w:t xml:space="preserve">Baines </w:t>
      </w:r>
      <w:r w:rsidRPr="00992714">
        <w:t>1991, 100 – or that the presentation of myth as narrative is itself an indication of its de-sacralisation (</w:t>
      </w:r>
      <w:proofErr w:type="spellStart"/>
      <w:r w:rsidRPr="00992714">
        <w:rPr>
          <w:smallCaps/>
          <w:szCs w:val="20"/>
        </w:rPr>
        <w:t>Vernus</w:t>
      </w:r>
      <w:proofErr w:type="spellEnd"/>
      <w:r w:rsidRPr="00992714">
        <w:t xml:space="preserve"> 2001; cf. </w:t>
      </w:r>
      <w:r w:rsidRPr="00992714">
        <w:rPr>
          <w:smallCaps/>
          <w:szCs w:val="20"/>
        </w:rPr>
        <w:t>Eyre</w:t>
      </w:r>
      <w:r w:rsidRPr="00992714">
        <w:t xml:space="preserve"> 2002, 4-5, 32-35; </w:t>
      </w:r>
      <w:r w:rsidRPr="00992714">
        <w:rPr>
          <w:smallCaps/>
          <w:szCs w:val="20"/>
        </w:rPr>
        <w:t>Eyre</w:t>
      </w:r>
      <w:r w:rsidRPr="00992714">
        <w:t xml:space="preserve"> 2011</w:t>
      </w:r>
      <w:r>
        <w:t>,</w:t>
      </w:r>
      <w:r w:rsidRPr="00992714">
        <w:t xml:space="preserve"> 177, 182; </w:t>
      </w:r>
      <w:r w:rsidRPr="00992714">
        <w:rPr>
          <w:smallCaps/>
          <w:szCs w:val="20"/>
        </w:rPr>
        <w:t>Eyre</w:t>
      </w:r>
      <w:r w:rsidRPr="00992714">
        <w:t xml:space="preserve"> 2013, n. 129) marks different foci on the use and function of myth, but any approach assumes contexts of knowledge related to expectations of contact and discourse with the divine world.</w:t>
      </w:r>
    </w:p>
  </w:footnote>
  <w:footnote w:id="66">
    <w:p w:rsidR="004466EA" w:rsidRDefault="004466EA" w:rsidP="00992714">
      <w:pPr>
        <w:spacing w:line="360" w:lineRule="auto"/>
        <w:contextualSpacing/>
      </w:pPr>
      <w:r w:rsidRPr="00992714">
        <w:rPr>
          <w:rStyle w:val="FootnoteReference"/>
          <w:szCs w:val="20"/>
        </w:rPr>
        <w:footnoteRef/>
      </w:r>
      <w:r w:rsidRPr="00992714">
        <w:t xml:space="preserve"> Q</w:t>
      </w:r>
      <w:r w:rsidRPr="00992714">
        <w:rPr>
          <w:smallCaps/>
        </w:rPr>
        <w:t>uack</w:t>
      </w:r>
      <w:r w:rsidRPr="00992714">
        <w:t xml:space="preserve"> 2009, 300-301</w:t>
      </w:r>
      <w:r>
        <w:t>,</w:t>
      </w:r>
      <w:r w:rsidRPr="00992714">
        <w:t xml:space="preserve"> makes the po</w:t>
      </w:r>
      <w:r w:rsidRPr="00BA1846">
        <w:rPr>
          <w:szCs w:val="20"/>
        </w:rPr>
        <w:t xml:space="preserve">int for </w:t>
      </w:r>
      <w:proofErr w:type="spellStart"/>
      <w:r w:rsidRPr="00BA1846">
        <w:rPr>
          <w:szCs w:val="20"/>
        </w:rPr>
        <w:t>pChester</w:t>
      </w:r>
      <w:proofErr w:type="spellEnd"/>
      <w:r w:rsidRPr="00BA1846">
        <w:rPr>
          <w:szCs w:val="20"/>
        </w:rPr>
        <w:t xml:space="preserve"> Beatty I and </w:t>
      </w:r>
      <w:proofErr w:type="spellStart"/>
      <w:r w:rsidRPr="00BA1846">
        <w:rPr>
          <w:szCs w:val="20"/>
        </w:rPr>
        <w:t>p</w:t>
      </w:r>
      <w:r w:rsidRPr="00992714">
        <w:t>Harris</w:t>
      </w:r>
      <w:proofErr w:type="spellEnd"/>
      <w:r w:rsidRPr="00992714">
        <w:t xml:space="preserve"> 500.</w:t>
      </w:r>
    </w:p>
  </w:footnote>
  <w:footnote w:id="67">
    <w:p w:rsidR="004466EA" w:rsidRDefault="004466EA" w:rsidP="00992714">
      <w:pPr>
        <w:pStyle w:val="FootnoteText"/>
        <w:spacing w:line="360" w:lineRule="auto"/>
        <w:contextualSpacing/>
      </w:pPr>
      <w:r w:rsidRPr="00992714">
        <w:rPr>
          <w:rStyle w:val="FootnoteReference"/>
          <w:rFonts w:cs="Palatino"/>
        </w:rPr>
        <w:footnoteRef/>
      </w:r>
      <w:r w:rsidRPr="00992714">
        <w:t xml:space="preserve"> Which also, notably, contained a fragment of a hymn and a praise text for Ramesses V.</w:t>
      </w:r>
    </w:p>
  </w:footnote>
  <w:footnote w:id="68">
    <w:p w:rsidR="004466EA" w:rsidRDefault="004466EA" w:rsidP="00992714">
      <w:pPr>
        <w:spacing w:line="360" w:lineRule="auto"/>
        <w:contextualSpacing/>
      </w:pPr>
      <w:r w:rsidRPr="00992714">
        <w:rPr>
          <w:rStyle w:val="FootnoteReference"/>
          <w:szCs w:val="20"/>
        </w:rPr>
        <w:footnoteRef/>
      </w:r>
      <w:r w:rsidRPr="00992714">
        <w:t xml:space="preserve"> On the love songs see E</w:t>
      </w:r>
      <w:r w:rsidRPr="00992714">
        <w:rPr>
          <w:smallCaps/>
        </w:rPr>
        <w:t>yre</w:t>
      </w:r>
      <w:r w:rsidRPr="00992714">
        <w:t xml:space="preserve"> 2013</w:t>
      </w:r>
      <w:r>
        <w:t>,</w:t>
      </w:r>
      <w:r w:rsidRPr="00992714">
        <w:t xml:space="preserve"> 110-113.</w:t>
      </w:r>
      <w:r w:rsidRPr="00992714">
        <w:rPr>
          <w:rStyle w:val="FootnoteReference"/>
          <w:szCs w:val="20"/>
        </w:rPr>
        <w:t xml:space="preserve">    </w:t>
      </w:r>
    </w:p>
  </w:footnote>
  <w:footnote w:id="69">
    <w:p w:rsidR="004466EA" w:rsidRDefault="004466EA" w:rsidP="00992714">
      <w:pPr>
        <w:spacing w:line="360" w:lineRule="auto"/>
        <w:contextualSpacing/>
      </w:pPr>
      <w:r w:rsidRPr="00992714">
        <w:rPr>
          <w:rStyle w:val="FootnoteReference"/>
          <w:szCs w:val="20"/>
        </w:rPr>
        <w:footnoteRef/>
      </w:r>
      <w:r w:rsidRPr="00C46213">
        <w:rPr>
          <w:rFonts w:ascii="Palatino Linotype" w:hAnsi="Palatino Linotype"/>
          <w:lang w:val="de-DE"/>
        </w:rPr>
        <w:t xml:space="preserve"> </w:t>
      </w:r>
      <w:r w:rsidRPr="00BA1846">
        <w:rPr>
          <w:smallCaps/>
          <w:szCs w:val="20"/>
          <w:lang w:val="de-DE"/>
        </w:rPr>
        <w:t>Wettengel</w:t>
      </w:r>
      <w:r w:rsidRPr="00BA1846">
        <w:rPr>
          <w:lang w:val="de-DE"/>
        </w:rPr>
        <w:t xml:space="preserve"> 2003, 1-16; S</w:t>
      </w:r>
      <w:r w:rsidRPr="00BA1846">
        <w:rPr>
          <w:smallCaps/>
          <w:szCs w:val="20"/>
          <w:lang w:val="de-DE"/>
        </w:rPr>
        <w:t>palinger 2006,</w:t>
      </w:r>
      <w:r w:rsidRPr="00BA1846">
        <w:rPr>
          <w:lang w:val="de-DE"/>
        </w:rPr>
        <w:t xml:space="preserve"> 123-136; S</w:t>
      </w:r>
      <w:r w:rsidRPr="00BA1846">
        <w:rPr>
          <w:smallCaps/>
          <w:szCs w:val="20"/>
          <w:lang w:val="de-DE"/>
        </w:rPr>
        <w:t>palinger 2007.</w:t>
      </w:r>
    </w:p>
  </w:footnote>
  <w:footnote w:id="70">
    <w:p w:rsidR="004466EA" w:rsidRDefault="004466EA" w:rsidP="00992714">
      <w:pPr>
        <w:pStyle w:val="FootnoteText"/>
        <w:spacing w:line="360" w:lineRule="auto"/>
        <w:contextualSpacing/>
      </w:pPr>
      <w:r w:rsidRPr="00992714">
        <w:rPr>
          <w:rStyle w:val="FootnoteReference"/>
          <w:rFonts w:cs="Palatino"/>
          <w:szCs w:val="20"/>
        </w:rPr>
        <w:footnoteRef/>
      </w:r>
      <w:r w:rsidRPr="00C46213">
        <w:rPr>
          <w:szCs w:val="20"/>
          <w:lang w:val="de-DE"/>
        </w:rPr>
        <w:t xml:space="preserve">  </w:t>
      </w:r>
      <w:r w:rsidRPr="00C46213">
        <w:rPr>
          <w:smallCaps/>
          <w:szCs w:val="20"/>
          <w:lang w:val="de-DE"/>
        </w:rPr>
        <w:t xml:space="preserve">Eyre </w:t>
      </w:r>
      <w:r w:rsidRPr="00C46213">
        <w:rPr>
          <w:szCs w:val="20"/>
          <w:lang w:val="de-DE"/>
        </w:rPr>
        <w:t>2011, 178; E</w:t>
      </w:r>
      <w:r w:rsidRPr="00C46213">
        <w:rPr>
          <w:smallCaps/>
          <w:szCs w:val="20"/>
          <w:lang w:val="de-DE"/>
        </w:rPr>
        <w:t>yre</w:t>
      </w:r>
      <w:r w:rsidRPr="00C46213">
        <w:rPr>
          <w:szCs w:val="20"/>
          <w:lang w:val="de-DE"/>
        </w:rPr>
        <w:t xml:space="preserve"> 2013, 121, 135-136.    </w:t>
      </w:r>
    </w:p>
  </w:footnote>
  <w:footnote w:id="71">
    <w:p w:rsidR="004466EA" w:rsidRDefault="004466EA" w:rsidP="00992714">
      <w:pPr>
        <w:spacing w:line="360" w:lineRule="auto"/>
        <w:contextualSpacing/>
      </w:pPr>
      <w:r w:rsidRPr="00992714">
        <w:rPr>
          <w:rStyle w:val="FootnoteReference"/>
        </w:rPr>
        <w:footnoteRef/>
      </w:r>
      <w:r w:rsidRPr="00992714">
        <w:t xml:space="preserve"> </w:t>
      </w:r>
      <w:proofErr w:type="spellStart"/>
      <w:r w:rsidRPr="00992714">
        <w:rPr>
          <w:szCs w:val="20"/>
        </w:rPr>
        <w:t>M</w:t>
      </w:r>
      <w:r w:rsidRPr="00992714">
        <w:rPr>
          <w:smallCaps/>
          <w:szCs w:val="20"/>
        </w:rPr>
        <w:t>anassa</w:t>
      </w:r>
      <w:proofErr w:type="spellEnd"/>
      <w:r w:rsidRPr="00992714">
        <w:rPr>
          <w:smallCaps/>
          <w:szCs w:val="20"/>
        </w:rPr>
        <w:t xml:space="preserve"> </w:t>
      </w:r>
      <w:r w:rsidRPr="00992714">
        <w:rPr>
          <w:szCs w:val="20"/>
        </w:rPr>
        <w:t xml:space="preserve">2013, </w:t>
      </w:r>
      <w:r w:rsidRPr="00992714">
        <w:rPr>
          <w:szCs w:val="20"/>
          <w:lang w:eastAsia="en-GB"/>
        </w:rPr>
        <w:t>145</w:t>
      </w:r>
      <w:r>
        <w:rPr>
          <w:szCs w:val="20"/>
          <w:lang w:eastAsia="en-GB"/>
        </w:rPr>
        <w:t>,</w:t>
      </w:r>
      <w:r w:rsidRPr="00992714">
        <w:rPr>
          <w:szCs w:val="20"/>
          <w:lang w:eastAsia="en-GB"/>
        </w:rPr>
        <w:t xml:space="preserve"> following </w:t>
      </w:r>
      <w:proofErr w:type="spellStart"/>
      <w:r w:rsidRPr="00BA1846">
        <w:rPr>
          <w:smallCaps/>
          <w:szCs w:val="20"/>
          <w:lang w:eastAsia="en-GB"/>
        </w:rPr>
        <w:t>Spalinger</w:t>
      </w:r>
      <w:r w:rsidRPr="00992714">
        <w:rPr>
          <w:szCs w:val="20"/>
          <w:lang w:eastAsia="en-GB"/>
        </w:rPr>
        <w:t>’s</w:t>
      </w:r>
      <w:proofErr w:type="spellEnd"/>
      <w:r w:rsidRPr="00992714">
        <w:rPr>
          <w:szCs w:val="20"/>
          <w:lang w:eastAsia="en-GB"/>
        </w:rPr>
        <w:t xml:space="preserve"> argument for </w:t>
      </w:r>
      <w:r>
        <w:rPr>
          <w:szCs w:val="20"/>
          <w:lang w:eastAsia="en-GB"/>
        </w:rPr>
        <w:t>the Satire on the Trades, that „</w:t>
      </w:r>
      <w:r w:rsidRPr="00992714">
        <w:rPr>
          <w:szCs w:val="20"/>
          <w:lang w:eastAsia="en-GB"/>
        </w:rPr>
        <w:t>satirical attitudes</w:t>
      </w:r>
      <w:r>
        <w:rPr>
          <w:szCs w:val="20"/>
          <w:lang w:eastAsia="en-GB"/>
        </w:rPr>
        <w:t>” were „</w:t>
      </w:r>
      <w:r w:rsidRPr="00992714">
        <w:rPr>
          <w:szCs w:val="20"/>
          <w:lang w:eastAsia="en-GB"/>
        </w:rPr>
        <w:t>reflections of the social distance desired by the scribal class</w:t>
      </w:r>
      <w:r>
        <w:rPr>
          <w:szCs w:val="20"/>
          <w:lang w:eastAsia="en-GB"/>
        </w:rPr>
        <w:t>”</w:t>
      </w:r>
      <w:r w:rsidRPr="00992714">
        <w:rPr>
          <w:szCs w:val="20"/>
          <w:lang w:eastAsia="en-GB"/>
        </w:rPr>
        <w:t>.</w:t>
      </w:r>
    </w:p>
  </w:footnote>
  <w:footnote w:id="72">
    <w:p w:rsidR="004466EA" w:rsidRDefault="004466EA" w:rsidP="00992714">
      <w:pPr>
        <w:pStyle w:val="FootnoteText"/>
        <w:spacing w:line="360" w:lineRule="auto"/>
        <w:contextualSpacing/>
      </w:pPr>
      <w:r w:rsidRPr="00992714">
        <w:rPr>
          <w:rStyle w:val="FootnoteReference"/>
          <w:rFonts w:cs="Palatino"/>
        </w:rPr>
        <w:footnoteRef/>
      </w:r>
      <w:r w:rsidRPr="00992714">
        <w:t xml:space="preserve"> On the manner of audience participation see E</w:t>
      </w:r>
      <w:r w:rsidRPr="00992714">
        <w:rPr>
          <w:smallCaps/>
        </w:rPr>
        <w:t>yre</w:t>
      </w:r>
      <w:r w:rsidRPr="00992714">
        <w:t xml:space="preserve"> 2013, 113-119.    </w:t>
      </w:r>
    </w:p>
  </w:footnote>
  <w:footnote w:id="73">
    <w:p w:rsidR="004466EA" w:rsidRDefault="004466EA" w:rsidP="00992714">
      <w:pPr>
        <w:spacing w:line="360" w:lineRule="auto"/>
        <w:contextualSpacing/>
      </w:pPr>
      <w:r w:rsidRPr="00992714">
        <w:rPr>
          <w:rStyle w:val="FootnoteReference"/>
          <w:szCs w:val="20"/>
        </w:rPr>
        <w:footnoteRef/>
      </w:r>
      <w:r w:rsidRPr="00992714">
        <w:t xml:space="preserve"> Cf. </w:t>
      </w:r>
      <w:r w:rsidRPr="00992714">
        <w:rPr>
          <w:smallCaps/>
          <w:szCs w:val="20"/>
        </w:rPr>
        <w:t>Barber</w:t>
      </w:r>
      <w:r w:rsidRPr="00992714">
        <w:t xml:space="preserve"> 2007, 147; cf.</w:t>
      </w:r>
      <w:r w:rsidRPr="00992714">
        <w:rPr>
          <w:szCs w:val="20"/>
        </w:rPr>
        <w:t xml:space="preserve"> </w:t>
      </w:r>
      <w:r w:rsidRPr="00992714">
        <w:rPr>
          <w:smallCaps/>
          <w:szCs w:val="20"/>
        </w:rPr>
        <w:t>Eyre</w:t>
      </w:r>
      <w:r w:rsidRPr="00992714">
        <w:t xml:space="preserve"> 2013, 140-142, arguing a different position to the cultural-evolutionary analysis of </w:t>
      </w:r>
      <w:proofErr w:type="spellStart"/>
      <w:r w:rsidRPr="00992714">
        <w:rPr>
          <w:smallCaps/>
          <w:szCs w:val="20"/>
        </w:rPr>
        <w:t>Assmann</w:t>
      </w:r>
      <w:proofErr w:type="spellEnd"/>
      <w:r w:rsidRPr="00992714">
        <w:t xml:space="preserve"> 1996, 1999.</w:t>
      </w:r>
    </w:p>
  </w:footnote>
  <w:footnote w:id="74">
    <w:p w:rsidR="004466EA" w:rsidRDefault="004466EA" w:rsidP="00992714">
      <w:pPr>
        <w:spacing w:line="360" w:lineRule="auto"/>
        <w:contextualSpacing/>
      </w:pPr>
      <w:r w:rsidRPr="00992714">
        <w:rPr>
          <w:rStyle w:val="FootnoteReference"/>
          <w:szCs w:val="20"/>
        </w:rPr>
        <w:footnoteRef/>
      </w:r>
      <w:r w:rsidRPr="00C46213">
        <w:rPr>
          <w:lang w:val="de-DE"/>
        </w:rPr>
        <w:t xml:space="preserve"> </w:t>
      </w:r>
      <w:r w:rsidRPr="00C46213">
        <w:rPr>
          <w:smallCaps/>
          <w:szCs w:val="20"/>
          <w:lang w:val="de-DE"/>
        </w:rPr>
        <w:t xml:space="preserve">Quack </w:t>
      </w:r>
      <w:r w:rsidRPr="00C46213">
        <w:rPr>
          <w:lang w:val="de-DE"/>
        </w:rPr>
        <w:t>2009, 305-</w:t>
      </w:r>
      <w:r>
        <w:rPr>
          <w:lang w:val="de-DE"/>
        </w:rPr>
        <w:t>306: „</w:t>
      </w:r>
      <w:r w:rsidRPr="00C46213">
        <w:rPr>
          <w:lang w:val="de-DE"/>
        </w:rPr>
        <w:t>Für die Ägypter ist eben nicht ein neutrales Erzählen die normale Situierung des Mythos, sondern seine Verwendung in Kompositionen mit de</w:t>
      </w:r>
      <w:r>
        <w:rPr>
          <w:lang w:val="de-DE"/>
        </w:rPr>
        <w:t>m</w:t>
      </w:r>
      <w:r w:rsidRPr="00C46213">
        <w:rPr>
          <w:lang w:val="de-DE"/>
        </w:rPr>
        <w:t xml:space="preserve"> Ziel </w:t>
      </w:r>
      <w:r w:rsidRPr="00C46213">
        <w:rPr>
          <w:lang w:val="de-DE"/>
        </w:rPr>
        <w:t xml:space="preserve">des Preisens </w:t>
      </w:r>
      <w:r w:rsidRPr="00772A61">
        <w:rPr>
          <w:color w:val="000000" w:themeColor="text1"/>
          <w:lang w:val="de-DE"/>
        </w:rPr>
        <w:t xml:space="preserve">und </w:t>
      </w:r>
      <w:r w:rsidR="00772A61" w:rsidRPr="00772A61">
        <w:rPr>
          <w:color w:val="000000" w:themeColor="text1"/>
          <w:lang w:val="de-DE"/>
        </w:rPr>
        <w:t>Aufwert</w:t>
      </w:r>
      <w:r w:rsidRPr="00772A61">
        <w:rPr>
          <w:color w:val="000000" w:themeColor="text1"/>
          <w:lang w:val="de-DE"/>
        </w:rPr>
        <w:t>ens</w:t>
      </w:r>
      <w:r>
        <w:rPr>
          <w:lang w:val="de-DE"/>
        </w:rPr>
        <w:t xml:space="preserve"> </w:t>
      </w:r>
      <w:r w:rsidRPr="0086329B">
        <w:rPr>
          <w:color w:val="FF0000"/>
          <w:lang w:val="de-DE"/>
        </w:rPr>
        <w:t>(?)</w:t>
      </w:r>
      <w:r>
        <w:rPr>
          <w:lang w:val="de-DE"/>
        </w:rPr>
        <w:t>“, and then a little below „</w:t>
      </w:r>
      <w:r w:rsidRPr="00C46213">
        <w:rPr>
          <w:lang w:val="de-DE"/>
        </w:rPr>
        <w:t>Genau genommen ist er weniger ein narrativer Mythos, sondern eine Aretalogie</w:t>
      </w:r>
      <w:r>
        <w:rPr>
          <w:lang w:val="de-DE"/>
        </w:rPr>
        <w:t>“.</w:t>
      </w:r>
      <w:r w:rsidRPr="00C46213">
        <w:rPr>
          <w:lang w:val="de-DE"/>
        </w:rPr>
        <w:t xml:space="preserve">  </w:t>
      </w:r>
      <w:r w:rsidRPr="00992714">
        <w:t>The underlying problem is a differentiation between incidental ‘praise’ and continuous ‘narration’.</w:t>
      </w:r>
    </w:p>
  </w:footnote>
  <w:footnote w:id="75">
    <w:p w:rsidR="004466EA" w:rsidRDefault="004466EA" w:rsidP="00992714">
      <w:pPr>
        <w:pStyle w:val="FootnoteText"/>
        <w:spacing w:line="360" w:lineRule="auto"/>
        <w:contextualSpacing/>
      </w:pPr>
      <w:r w:rsidRPr="00992714">
        <w:rPr>
          <w:rStyle w:val="FootnoteReference"/>
          <w:rFonts w:cs="Palatino"/>
        </w:rPr>
        <w:footnoteRef/>
      </w:r>
      <w:r w:rsidRPr="00992714">
        <w:t xml:space="preserve"> </w:t>
      </w:r>
      <w:proofErr w:type="spellStart"/>
      <w:r w:rsidRPr="00992714">
        <w:rPr>
          <w:smallCaps/>
          <w:szCs w:val="20"/>
        </w:rPr>
        <w:t>Osing</w:t>
      </w:r>
      <w:proofErr w:type="spellEnd"/>
      <w:r w:rsidRPr="00992714">
        <w:rPr>
          <w:smallCaps/>
          <w:szCs w:val="20"/>
        </w:rPr>
        <w:t xml:space="preserve"> </w:t>
      </w:r>
      <w:r w:rsidRPr="00992714">
        <w:t>1992, 46</w:t>
      </w:r>
      <w:r>
        <w:t>,</w:t>
      </w:r>
      <w:r w:rsidRPr="00992714">
        <w:t xml:space="preserve"> and pl. 9, 35</w:t>
      </w:r>
      <w:r>
        <w:t xml:space="preserve"> (l</w:t>
      </w:r>
      <w:r w:rsidRPr="00992714">
        <w:t>ines 12-14</w:t>
      </w:r>
      <w:r>
        <w:t>)</w:t>
      </w:r>
      <w:r w:rsidRPr="00992714">
        <w:t xml:space="preserve">; </w:t>
      </w:r>
      <w:r w:rsidRPr="00992714">
        <w:rPr>
          <w:smallCaps/>
          <w:szCs w:val="20"/>
        </w:rPr>
        <w:t>Frood</w:t>
      </w:r>
      <w:r w:rsidRPr="00992714">
        <w:t xml:space="preserve"> 2007, 144.</w:t>
      </w:r>
    </w:p>
  </w:footnote>
  <w:footnote w:id="76">
    <w:p w:rsidR="004466EA" w:rsidRDefault="004466EA" w:rsidP="00992714">
      <w:pPr>
        <w:pStyle w:val="FootnoteText"/>
        <w:spacing w:line="360" w:lineRule="auto"/>
        <w:contextualSpacing/>
      </w:pPr>
      <w:r w:rsidRPr="00992714">
        <w:rPr>
          <w:rStyle w:val="FootnoteReference"/>
          <w:rFonts w:cs="Palatino"/>
          <w:szCs w:val="20"/>
        </w:rPr>
        <w:footnoteRef/>
      </w:r>
      <w:r w:rsidRPr="00992714">
        <w:rPr>
          <w:szCs w:val="20"/>
        </w:rPr>
        <w:t xml:space="preserve"> </w:t>
      </w:r>
      <w:r w:rsidRPr="00992714">
        <w:rPr>
          <w:smallCaps/>
          <w:szCs w:val="20"/>
        </w:rPr>
        <w:t>Davies,</w:t>
      </w:r>
      <w:r w:rsidRPr="00992714">
        <w:t xml:space="preserve"> 1933, I, pl. 16</w:t>
      </w:r>
      <w:r>
        <w:t>,</w:t>
      </w:r>
      <w:r w:rsidRPr="00992714">
        <w:t xml:space="preserve"> and II, pl. 1; cf. also </w:t>
      </w:r>
      <w:r w:rsidRPr="00992714">
        <w:rPr>
          <w:smallCaps/>
          <w:szCs w:val="20"/>
        </w:rPr>
        <w:t>Schulman</w:t>
      </w:r>
      <w:r w:rsidRPr="00992714">
        <w:t xml:space="preserve"> 1988, 117-118</w:t>
      </w:r>
      <w:r>
        <w:t>,</w:t>
      </w:r>
      <w:r w:rsidRPr="00992714">
        <w:t xml:space="preserve"> with partial collection of related material.</w:t>
      </w:r>
    </w:p>
  </w:footnote>
  <w:footnote w:id="77">
    <w:p w:rsidR="004466EA" w:rsidRDefault="004466EA" w:rsidP="00992714">
      <w:pPr>
        <w:spacing w:line="360" w:lineRule="auto"/>
        <w:contextualSpacing/>
      </w:pPr>
      <w:r w:rsidRPr="00992714">
        <w:rPr>
          <w:rStyle w:val="FootnoteReference"/>
          <w:szCs w:val="20"/>
        </w:rPr>
        <w:footnoteRef/>
      </w:r>
      <w:r w:rsidRPr="00992714">
        <w:t xml:space="preserve"> </w:t>
      </w:r>
      <w:r w:rsidRPr="00992714">
        <w:rPr>
          <w:smallCaps/>
          <w:szCs w:val="20"/>
        </w:rPr>
        <w:t xml:space="preserve">von </w:t>
      </w:r>
      <w:proofErr w:type="spellStart"/>
      <w:r w:rsidRPr="00992714">
        <w:rPr>
          <w:smallCaps/>
          <w:szCs w:val="20"/>
        </w:rPr>
        <w:t>Lieven</w:t>
      </w:r>
      <w:proofErr w:type="spellEnd"/>
      <w:r w:rsidRPr="00992714">
        <w:t xml:space="preserve"> 2010, 47-50</w:t>
      </w:r>
      <w:r>
        <w:t>, f</w:t>
      </w:r>
      <w:r w:rsidRPr="00992714">
        <w:t xml:space="preserve">or tomb as archive: discussing royal tomb decoration of walls with ritual and religious astronomy </w:t>
      </w:r>
      <w:r w:rsidRPr="00772A61">
        <w:t>texts, and arguing for their originally</w:t>
      </w:r>
      <w:r>
        <w:t xml:space="preserve"> non-funerary origins.</w:t>
      </w:r>
    </w:p>
  </w:footnote>
  <w:footnote w:id="78">
    <w:p w:rsidR="004466EA" w:rsidRDefault="004466EA" w:rsidP="00992714">
      <w:pPr>
        <w:spacing w:line="360" w:lineRule="auto"/>
        <w:contextualSpacing/>
      </w:pPr>
      <w:r w:rsidRPr="00992714">
        <w:rPr>
          <w:rStyle w:val="FootnoteReference"/>
          <w:szCs w:val="20"/>
        </w:rPr>
        <w:footnoteRef/>
      </w:r>
      <w:r w:rsidRPr="00992714">
        <w:t xml:space="preserve"> </w:t>
      </w:r>
      <w:proofErr w:type="gramStart"/>
      <w:r w:rsidRPr="00992714">
        <w:t>Q</w:t>
      </w:r>
      <w:r w:rsidRPr="00992714">
        <w:rPr>
          <w:smallCaps/>
        </w:rPr>
        <w:t>uack</w:t>
      </w:r>
      <w:r w:rsidRPr="00992714">
        <w:t xml:space="preserve"> 2009, 302</w:t>
      </w:r>
      <w:r>
        <w:t>,</w:t>
      </w:r>
      <w:r w:rsidRPr="00992714">
        <w:t xml:space="preserve"> stressing the need to include the ritual as well as the literary and political dimensions of ‘historical’ inscriptions.</w:t>
      </w:r>
      <w:proofErr w:type="gramEnd"/>
    </w:p>
  </w:footnote>
  <w:footnote w:id="79">
    <w:p w:rsidR="004466EA" w:rsidRPr="007508EA" w:rsidRDefault="004466EA" w:rsidP="00992714">
      <w:pPr>
        <w:spacing w:line="360" w:lineRule="auto"/>
        <w:contextualSpacing/>
      </w:pPr>
      <w:r w:rsidRPr="00772A61">
        <w:rPr>
          <w:rStyle w:val="FootnoteReference"/>
          <w:szCs w:val="20"/>
        </w:rPr>
        <w:footnoteRef/>
      </w:r>
      <w:r w:rsidRPr="00772A61">
        <w:t xml:space="preserve"> </w:t>
      </w:r>
      <w:r w:rsidR="007508EA" w:rsidRPr="00772A61">
        <w:rPr>
          <w:szCs w:val="24"/>
          <w:lang w:val="en-US"/>
        </w:rPr>
        <w:t xml:space="preserve">As for the Chester Beatty manuscript of Horus and Seth: </w:t>
      </w:r>
      <w:proofErr w:type="spellStart"/>
      <w:r w:rsidRPr="00772A61">
        <w:rPr>
          <w:smallCaps/>
          <w:szCs w:val="20"/>
        </w:rPr>
        <w:t>Verhoeven</w:t>
      </w:r>
      <w:proofErr w:type="spellEnd"/>
      <w:r w:rsidRPr="00772A61">
        <w:rPr>
          <w:smallCaps/>
          <w:szCs w:val="20"/>
        </w:rPr>
        <w:t xml:space="preserve"> 1</w:t>
      </w:r>
      <w:r w:rsidRPr="00772A61">
        <w:t>996.</w:t>
      </w:r>
    </w:p>
  </w:footnote>
  <w:footnote w:id="80">
    <w:p w:rsidR="004466EA" w:rsidRPr="00992714" w:rsidRDefault="004466EA" w:rsidP="00992714">
      <w:pPr>
        <w:spacing w:line="360" w:lineRule="auto"/>
        <w:ind w:left="720" w:hanging="720"/>
        <w:contextualSpacing/>
        <w:rPr>
          <w:szCs w:val="20"/>
          <w:lang w:eastAsia="ja-JP"/>
        </w:rPr>
      </w:pPr>
      <w:r w:rsidRPr="00992714">
        <w:rPr>
          <w:rStyle w:val="FootnoteReference"/>
          <w:szCs w:val="20"/>
        </w:rPr>
        <w:footnoteRef/>
      </w:r>
      <w:r w:rsidRPr="00992714">
        <w:rPr>
          <w:szCs w:val="20"/>
        </w:rPr>
        <w:t xml:space="preserve"> </w:t>
      </w:r>
      <w:proofErr w:type="spellStart"/>
      <w:proofErr w:type="gramStart"/>
      <w:r w:rsidRPr="00992714">
        <w:rPr>
          <w:szCs w:val="20"/>
        </w:rPr>
        <w:t>D</w:t>
      </w:r>
      <w:r w:rsidRPr="00992714">
        <w:rPr>
          <w:smallCaps/>
          <w:szCs w:val="20"/>
        </w:rPr>
        <w:t>epauw</w:t>
      </w:r>
      <w:proofErr w:type="spellEnd"/>
      <w:r>
        <w:rPr>
          <w:szCs w:val="20"/>
        </w:rPr>
        <w:t>/S</w:t>
      </w:r>
      <w:r w:rsidRPr="00992714">
        <w:rPr>
          <w:smallCaps/>
          <w:szCs w:val="20"/>
        </w:rPr>
        <w:t>mith</w:t>
      </w:r>
      <w:r w:rsidRPr="00992714">
        <w:rPr>
          <w:szCs w:val="20"/>
        </w:rPr>
        <w:t xml:space="preserve"> </w:t>
      </w:r>
      <w:r w:rsidRPr="00992714">
        <w:rPr>
          <w:color w:val="000000"/>
          <w:szCs w:val="20"/>
        </w:rPr>
        <w:t>2004;</w:t>
      </w:r>
      <w:r w:rsidRPr="00992714">
        <w:rPr>
          <w:color w:val="FF0000"/>
          <w:szCs w:val="20"/>
        </w:rPr>
        <w:t xml:space="preserve"> </w:t>
      </w:r>
      <w:proofErr w:type="spellStart"/>
      <w:r w:rsidRPr="00992714">
        <w:rPr>
          <w:smallCaps/>
          <w:szCs w:val="20"/>
          <w:lang w:eastAsia="ja-JP"/>
        </w:rPr>
        <w:t>Jasnow</w:t>
      </w:r>
      <w:proofErr w:type="spellEnd"/>
      <w:r>
        <w:rPr>
          <w:szCs w:val="20"/>
          <w:lang w:eastAsia="ja-JP"/>
        </w:rPr>
        <w:t>/</w:t>
      </w:r>
      <w:r w:rsidRPr="00992714">
        <w:rPr>
          <w:smallCaps/>
          <w:szCs w:val="20"/>
          <w:lang w:eastAsia="ja-JP"/>
        </w:rPr>
        <w:t>Smith</w:t>
      </w:r>
      <w:r w:rsidRPr="00992714">
        <w:rPr>
          <w:szCs w:val="20"/>
          <w:lang w:eastAsia="ja-JP"/>
        </w:rPr>
        <w:t xml:space="preserve"> 2010-2011.</w:t>
      </w:r>
      <w:proofErr w:type="gramEnd"/>
    </w:p>
    <w:p w:rsidR="004466EA" w:rsidRPr="00992714" w:rsidRDefault="004466EA" w:rsidP="00992714">
      <w:pPr>
        <w:spacing w:line="360" w:lineRule="auto"/>
        <w:ind w:left="720" w:hanging="720"/>
        <w:contextualSpacing/>
        <w:rPr>
          <w:sz w:val="24"/>
          <w:szCs w:val="24"/>
        </w:rPr>
      </w:pPr>
    </w:p>
    <w:p w:rsidR="004466EA" w:rsidRDefault="004466EA" w:rsidP="00992714">
      <w:pPr>
        <w:spacing w:line="360" w:lineRule="auto"/>
        <w:ind w:left="720" w:hanging="720"/>
        <w:contextual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B0"/>
    <w:multiLevelType w:val="hybridMultilevel"/>
    <w:tmpl w:val="15F4B9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3E4495"/>
    <w:multiLevelType w:val="hybridMultilevel"/>
    <w:tmpl w:val="BFBC2B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3D74E6"/>
    <w:multiLevelType w:val="hybridMultilevel"/>
    <w:tmpl w:val="A7C6D8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0649B3"/>
    <w:multiLevelType w:val="hybridMultilevel"/>
    <w:tmpl w:val="0F8A5D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7D87"/>
    <w:rsid w:val="00000207"/>
    <w:rsid w:val="000007DA"/>
    <w:rsid w:val="000135BD"/>
    <w:rsid w:val="000406BD"/>
    <w:rsid w:val="00040903"/>
    <w:rsid w:val="00042A5A"/>
    <w:rsid w:val="000508B3"/>
    <w:rsid w:val="00053F5A"/>
    <w:rsid w:val="00055926"/>
    <w:rsid w:val="00060610"/>
    <w:rsid w:val="00062181"/>
    <w:rsid w:val="0007162C"/>
    <w:rsid w:val="00075F0A"/>
    <w:rsid w:val="000A0E9E"/>
    <w:rsid w:val="000A2E53"/>
    <w:rsid w:val="000A4D2C"/>
    <w:rsid w:val="000B63CD"/>
    <w:rsid w:val="000C4607"/>
    <w:rsid w:val="000E1613"/>
    <w:rsid w:val="000F0B5D"/>
    <w:rsid w:val="0010360A"/>
    <w:rsid w:val="00114364"/>
    <w:rsid w:val="00117E4C"/>
    <w:rsid w:val="001239AA"/>
    <w:rsid w:val="00124E63"/>
    <w:rsid w:val="00135D06"/>
    <w:rsid w:val="001528C8"/>
    <w:rsid w:val="00153944"/>
    <w:rsid w:val="0015755E"/>
    <w:rsid w:val="00160930"/>
    <w:rsid w:val="00161B6A"/>
    <w:rsid w:val="00166C77"/>
    <w:rsid w:val="0017062F"/>
    <w:rsid w:val="00174986"/>
    <w:rsid w:val="00175276"/>
    <w:rsid w:val="00175878"/>
    <w:rsid w:val="00184208"/>
    <w:rsid w:val="00184870"/>
    <w:rsid w:val="00185CB9"/>
    <w:rsid w:val="00186E39"/>
    <w:rsid w:val="001901B1"/>
    <w:rsid w:val="00190812"/>
    <w:rsid w:val="00190AC8"/>
    <w:rsid w:val="001A5E8B"/>
    <w:rsid w:val="001B58A3"/>
    <w:rsid w:val="001B757A"/>
    <w:rsid w:val="001D1398"/>
    <w:rsid w:val="001D2499"/>
    <w:rsid w:val="001E336E"/>
    <w:rsid w:val="001E7352"/>
    <w:rsid w:val="001F2175"/>
    <w:rsid w:val="001F2266"/>
    <w:rsid w:val="001F6683"/>
    <w:rsid w:val="00205FD3"/>
    <w:rsid w:val="002061AD"/>
    <w:rsid w:val="00216351"/>
    <w:rsid w:val="00236793"/>
    <w:rsid w:val="00250619"/>
    <w:rsid w:val="00250AFD"/>
    <w:rsid w:val="00262D03"/>
    <w:rsid w:val="00272E73"/>
    <w:rsid w:val="0029046F"/>
    <w:rsid w:val="002A19A8"/>
    <w:rsid w:val="002A2B56"/>
    <w:rsid w:val="002B024E"/>
    <w:rsid w:val="002B28BD"/>
    <w:rsid w:val="002B55A0"/>
    <w:rsid w:val="002D1B6E"/>
    <w:rsid w:val="002D3B06"/>
    <w:rsid w:val="002E154D"/>
    <w:rsid w:val="002E4E22"/>
    <w:rsid w:val="00322427"/>
    <w:rsid w:val="0032411B"/>
    <w:rsid w:val="0032620D"/>
    <w:rsid w:val="003342B5"/>
    <w:rsid w:val="00344227"/>
    <w:rsid w:val="00345565"/>
    <w:rsid w:val="00347E6B"/>
    <w:rsid w:val="00354F48"/>
    <w:rsid w:val="00357299"/>
    <w:rsid w:val="00364301"/>
    <w:rsid w:val="0037680B"/>
    <w:rsid w:val="00387DB1"/>
    <w:rsid w:val="003979FB"/>
    <w:rsid w:val="003A367B"/>
    <w:rsid w:val="003A66CE"/>
    <w:rsid w:val="003A69A4"/>
    <w:rsid w:val="003A7B7E"/>
    <w:rsid w:val="003B0BE2"/>
    <w:rsid w:val="003B2AD4"/>
    <w:rsid w:val="003C1D7C"/>
    <w:rsid w:val="003C4B4E"/>
    <w:rsid w:val="003E26B7"/>
    <w:rsid w:val="004152CD"/>
    <w:rsid w:val="004159F7"/>
    <w:rsid w:val="00425AE6"/>
    <w:rsid w:val="00430348"/>
    <w:rsid w:val="00434B3E"/>
    <w:rsid w:val="0044278C"/>
    <w:rsid w:val="00442F8C"/>
    <w:rsid w:val="004466EA"/>
    <w:rsid w:val="00450609"/>
    <w:rsid w:val="00450F2A"/>
    <w:rsid w:val="00453238"/>
    <w:rsid w:val="0045468E"/>
    <w:rsid w:val="004612D3"/>
    <w:rsid w:val="00465923"/>
    <w:rsid w:val="00470CF7"/>
    <w:rsid w:val="00470E90"/>
    <w:rsid w:val="00481CD1"/>
    <w:rsid w:val="004952A3"/>
    <w:rsid w:val="00496167"/>
    <w:rsid w:val="004A683E"/>
    <w:rsid w:val="004A7497"/>
    <w:rsid w:val="004B01CC"/>
    <w:rsid w:val="004B1B24"/>
    <w:rsid w:val="004C2AC3"/>
    <w:rsid w:val="004C3F8E"/>
    <w:rsid w:val="004C4799"/>
    <w:rsid w:val="004E01A2"/>
    <w:rsid w:val="004E1743"/>
    <w:rsid w:val="004E272F"/>
    <w:rsid w:val="004F58B7"/>
    <w:rsid w:val="004F7395"/>
    <w:rsid w:val="004F76B7"/>
    <w:rsid w:val="00503785"/>
    <w:rsid w:val="00515A38"/>
    <w:rsid w:val="0052488F"/>
    <w:rsid w:val="00532BBF"/>
    <w:rsid w:val="00542968"/>
    <w:rsid w:val="00542A4F"/>
    <w:rsid w:val="00545258"/>
    <w:rsid w:val="00547B5E"/>
    <w:rsid w:val="00550E9D"/>
    <w:rsid w:val="00553627"/>
    <w:rsid w:val="00554EFB"/>
    <w:rsid w:val="005552E7"/>
    <w:rsid w:val="00563EA4"/>
    <w:rsid w:val="005843F8"/>
    <w:rsid w:val="00585B87"/>
    <w:rsid w:val="005A09EC"/>
    <w:rsid w:val="005A3FDC"/>
    <w:rsid w:val="005A68E6"/>
    <w:rsid w:val="005A79FE"/>
    <w:rsid w:val="005B0876"/>
    <w:rsid w:val="005C4BEE"/>
    <w:rsid w:val="005D55D2"/>
    <w:rsid w:val="005D7215"/>
    <w:rsid w:val="005D7756"/>
    <w:rsid w:val="005D7FD3"/>
    <w:rsid w:val="005D7FF3"/>
    <w:rsid w:val="005E3272"/>
    <w:rsid w:val="005F6EAB"/>
    <w:rsid w:val="0062178E"/>
    <w:rsid w:val="00624DE8"/>
    <w:rsid w:val="00626D73"/>
    <w:rsid w:val="006375FA"/>
    <w:rsid w:val="006603F8"/>
    <w:rsid w:val="00660C02"/>
    <w:rsid w:val="00660E3D"/>
    <w:rsid w:val="00670718"/>
    <w:rsid w:val="00681845"/>
    <w:rsid w:val="00686CAD"/>
    <w:rsid w:val="006B661A"/>
    <w:rsid w:val="006B6C2F"/>
    <w:rsid w:val="006C1136"/>
    <w:rsid w:val="006D370E"/>
    <w:rsid w:val="006D4EE5"/>
    <w:rsid w:val="006E153D"/>
    <w:rsid w:val="006E7221"/>
    <w:rsid w:val="0070435D"/>
    <w:rsid w:val="0070736D"/>
    <w:rsid w:val="00714244"/>
    <w:rsid w:val="00714CF8"/>
    <w:rsid w:val="00716F10"/>
    <w:rsid w:val="00717FDC"/>
    <w:rsid w:val="007249E7"/>
    <w:rsid w:val="00733CB5"/>
    <w:rsid w:val="007352DC"/>
    <w:rsid w:val="00737AB3"/>
    <w:rsid w:val="007508EA"/>
    <w:rsid w:val="007532C3"/>
    <w:rsid w:val="0076661A"/>
    <w:rsid w:val="00772A61"/>
    <w:rsid w:val="00772D3B"/>
    <w:rsid w:val="00796910"/>
    <w:rsid w:val="007A396C"/>
    <w:rsid w:val="007A5F71"/>
    <w:rsid w:val="007B0526"/>
    <w:rsid w:val="007B68BD"/>
    <w:rsid w:val="007C7A48"/>
    <w:rsid w:val="007D34F8"/>
    <w:rsid w:val="007D3782"/>
    <w:rsid w:val="007D6A35"/>
    <w:rsid w:val="007E02DA"/>
    <w:rsid w:val="007E6E57"/>
    <w:rsid w:val="007F4EB5"/>
    <w:rsid w:val="008044C8"/>
    <w:rsid w:val="00806914"/>
    <w:rsid w:val="00806A46"/>
    <w:rsid w:val="00811C74"/>
    <w:rsid w:val="00814F67"/>
    <w:rsid w:val="00817BCE"/>
    <w:rsid w:val="00821EE0"/>
    <w:rsid w:val="00830881"/>
    <w:rsid w:val="00834BF5"/>
    <w:rsid w:val="008426DA"/>
    <w:rsid w:val="00843CE2"/>
    <w:rsid w:val="00845B17"/>
    <w:rsid w:val="00852E58"/>
    <w:rsid w:val="008539DA"/>
    <w:rsid w:val="0086329B"/>
    <w:rsid w:val="008664C9"/>
    <w:rsid w:val="00874F0F"/>
    <w:rsid w:val="00875E7F"/>
    <w:rsid w:val="00882100"/>
    <w:rsid w:val="00892595"/>
    <w:rsid w:val="00897DE4"/>
    <w:rsid w:val="00897E3F"/>
    <w:rsid w:val="008B2E93"/>
    <w:rsid w:val="008D206A"/>
    <w:rsid w:val="008D32D5"/>
    <w:rsid w:val="008D5731"/>
    <w:rsid w:val="008E5420"/>
    <w:rsid w:val="008F58E6"/>
    <w:rsid w:val="008F7C0B"/>
    <w:rsid w:val="009012BC"/>
    <w:rsid w:val="00903EF5"/>
    <w:rsid w:val="00930469"/>
    <w:rsid w:val="009342DE"/>
    <w:rsid w:val="00934BF2"/>
    <w:rsid w:val="00935DC4"/>
    <w:rsid w:val="00935EC2"/>
    <w:rsid w:val="00937CE7"/>
    <w:rsid w:val="0094039C"/>
    <w:rsid w:val="00941CE3"/>
    <w:rsid w:val="0094214A"/>
    <w:rsid w:val="00942F83"/>
    <w:rsid w:val="0094312D"/>
    <w:rsid w:val="00943D5B"/>
    <w:rsid w:val="00955ACF"/>
    <w:rsid w:val="0097382A"/>
    <w:rsid w:val="0097668F"/>
    <w:rsid w:val="00992714"/>
    <w:rsid w:val="009B42C7"/>
    <w:rsid w:val="009E17CE"/>
    <w:rsid w:val="009E4DE4"/>
    <w:rsid w:val="009E5F09"/>
    <w:rsid w:val="009E5FF4"/>
    <w:rsid w:val="009F1AA6"/>
    <w:rsid w:val="009F442F"/>
    <w:rsid w:val="00A029F2"/>
    <w:rsid w:val="00A07F19"/>
    <w:rsid w:val="00A141D2"/>
    <w:rsid w:val="00A409BA"/>
    <w:rsid w:val="00A43E97"/>
    <w:rsid w:val="00A50004"/>
    <w:rsid w:val="00A537F7"/>
    <w:rsid w:val="00A60A26"/>
    <w:rsid w:val="00A73109"/>
    <w:rsid w:val="00A84694"/>
    <w:rsid w:val="00A87199"/>
    <w:rsid w:val="00AA0640"/>
    <w:rsid w:val="00AA2CF5"/>
    <w:rsid w:val="00AA3DAF"/>
    <w:rsid w:val="00AA60F7"/>
    <w:rsid w:val="00AB2F2B"/>
    <w:rsid w:val="00AB4165"/>
    <w:rsid w:val="00AC69AC"/>
    <w:rsid w:val="00AC7444"/>
    <w:rsid w:val="00AD1739"/>
    <w:rsid w:val="00AE2554"/>
    <w:rsid w:val="00AE2719"/>
    <w:rsid w:val="00AE2C95"/>
    <w:rsid w:val="00AE3C9C"/>
    <w:rsid w:val="00AE7FC4"/>
    <w:rsid w:val="00AF1BDE"/>
    <w:rsid w:val="00B221A6"/>
    <w:rsid w:val="00B540DE"/>
    <w:rsid w:val="00B667B2"/>
    <w:rsid w:val="00B67D58"/>
    <w:rsid w:val="00B73B2D"/>
    <w:rsid w:val="00B81F21"/>
    <w:rsid w:val="00B83843"/>
    <w:rsid w:val="00B85465"/>
    <w:rsid w:val="00B93F9C"/>
    <w:rsid w:val="00BA1846"/>
    <w:rsid w:val="00BA2310"/>
    <w:rsid w:val="00BB4310"/>
    <w:rsid w:val="00BC388D"/>
    <w:rsid w:val="00BC747A"/>
    <w:rsid w:val="00BE67A6"/>
    <w:rsid w:val="00BE7B54"/>
    <w:rsid w:val="00BE7E9A"/>
    <w:rsid w:val="00BF2BA4"/>
    <w:rsid w:val="00BF30FF"/>
    <w:rsid w:val="00BF5401"/>
    <w:rsid w:val="00C0418C"/>
    <w:rsid w:val="00C05DC9"/>
    <w:rsid w:val="00C07D87"/>
    <w:rsid w:val="00C21F42"/>
    <w:rsid w:val="00C403C8"/>
    <w:rsid w:val="00C417F4"/>
    <w:rsid w:val="00C443D1"/>
    <w:rsid w:val="00C45EE1"/>
    <w:rsid w:val="00C46213"/>
    <w:rsid w:val="00C517B7"/>
    <w:rsid w:val="00C54FBD"/>
    <w:rsid w:val="00C56CBD"/>
    <w:rsid w:val="00C61170"/>
    <w:rsid w:val="00C663DB"/>
    <w:rsid w:val="00C76EA0"/>
    <w:rsid w:val="00C815F1"/>
    <w:rsid w:val="00C9699F"/>
    <w:rsid w:val="00CB0106"/>
    <w:rsid w:val="00CB1D81"/>
    <w:rsid w:val="00CD56A3"/>
    <w:rsid w:val="00CD78AD"/>
    <w:rsid w:val="00CE1A3C"/>
    <w:rsid w:val="00CE32A3"/>
    <w:rsid w:val="00CF63F2"/>
    <w:rsid w:val="00D00064"/>
    <w:rsid w:val="00D06150"/>
    <w:rsid w:val="00D07CB4"/>
    <w:rsid w:val="00D125E7"/>
    <w:rsid w:val="00D15F8D"/>
    <w:rsid w:val="00D244F8"/>
    <w:rsid w:val="00D3502E"/>
    <w:rsid w:val="00D36F4D"/>
    <w:rsid w:val="00D4114B"/>
    <w:rsid w:val="00D6230C"/>
    <w:rsid w:val="00D714C7"/>
    <w:rsid w:val="00D75875"/>
    <w:rsid w:val="00D77328"/>
    <w:rsid w:val="00D855A3"/>
    <w:rsid w:val="00D86126"/>
    <w:rsid w:val="00D940DD"/>
    <w:rsid w:val="00D95D45"/>
    <w:rsid w:val="00DA4F79"/>
    <w:rsid w:val="00DB184C"/>
    <w:rsid w:val="00DB3BDB"/>
    <w:rsid w:val="00DB5A9A"/>
    <w:rsid w:val="00DB6D1B"/>
    <w:rsid w:val="00DE38BD"/>
    <w:rsid w:val="00DE3AFE"/>
    <w:rsid w:val="00DF0230"/>
    <w:rsid w:val="00DF494B"/>
    <w:rsid w:val="00E0350F"/>
    <w:rsid w:val="00E05DC5"/>
    <w:rsid w:val="00E112C6"/>
    <w:rsid w:val="00E15396"/>
    <w:rsid w:val="00E17E49"/>
    <w:rsid w:val="00E323D0"/>
    <w:rsid w:val="00E3653A"/>
    <w:rsid w:val="00E564FD"/>
    <w:rsid w:val="00E56A58"/>
    <w:rsid w:val="00E70848"/>
    <w:rsid w:val="00E84E4F"/>
    <w:rsid w:val="00E927E4"/>
    <w:rsid w:val="00E97EDA"/>
    <w:rsid w:val="00EA1070"/>
    <w:rsid w:val="00EA3A74"/>
    <w:rsid w:val="00EB39BB"/>
    <w:rsid w:val="00F0079F"/>
    <w:rsid w:val="00F2310C"/>
    <w:rsid w:val="00F3123D"/>
    <w:rsid w:val="00F31609"/>
    <w:rsid w:val="00F33E3C"/>
    <w:rsid w:val="00F41BA5"/>
    <w:rsid w:val="00F47C78"/>
    <w:rsid w:val="00F55990"/>
    <w:rsid w:val="00F55E36"/>
    <w:rsid w:val="00F56800"/>
    <w:rsid w:val="00F575D4"/>
    <w:rsid w:val="00F6031C"/>
    <w:rsid w:val="00F90C18"/>
    <w:rsid w:val="00F90C20"/>
    <w:rsid w:val="00F927C7"/>
    <w:rsid w:val="00F94F5F"/>
    <w:rsid w:val="00F950D9"/>
    <w:rsid w:val="00F97BD7"/>
    <w:rsid w:val="00FA07D0"/>
    <w:rsid w:val="00FA35D8"/>
    <w:rsid w:val="00FA73F6"/>
    <w:rsid w:val="00FB23BA"/>
    <w:rsid w:val="00FB2C82"/>
    <w:rsid w:val="00FB675D"/>
    <w:rsid w:val="00FC0AA2"/>
    <w:rsid w:val="00FC0EBD"/>
    <w:rsid w:val="00FD0F70"/>
    <w:rsid w:val="00FE058E"/>
    <w:rsid w:val="00FE4D50"/>
    <w:rsid w:val="00FE5D74"/>
    <w:rsid w:val="00FF7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MS ??" w:hAnsi="Palatino Linotype"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87"/>
    <w:rPr>
      <w:rFonts w:ascii="Times New Roman" w:hAnsi="Times New Roman"/>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76B7"/>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sid w:val="00124E63"/>
    <w:rPr>
      <w:rFonts w:ascii="Times New Roman" w:hAnsi="Times New Roman" w:cs="Times New Roman"/>
      <w:sz w:val="2"/>
      <w:lang w:val="en-GB" w:eastAsia="en-US"/>
    </w:rPr>
  </w:style>
  <w:style w:type="paragraph" w:styleId="FootnoteText">
    <w:name w:val="footnote text"/>
    <w:basedOn w:val="Normal"/>
    <w:link w:val="FootnoteTextChar"/>
    <w:uiPriority w:val="99"/>
    <w:rsid w:val="00C07D87"/>
    <w:rPr>
      <w:rFonts w:cs="Palatino"/>
      <w:szCs w:val="24"/>
    </w:rPr>
  </w:style>
  <w:style w:type="character" w:customStyle="1" w:styleId="FootnoteTextChar">
    <w:name w:val="Footnote Text Char"/>
    <w:basedOn w:val="DefaultParagraphFont"/>
    <w:link w:val="FootnoteText"/>
    <w:uiPriority w:val="99"/>
    <w:locked/>
    <w:rsid w:val="00C07D87"/>
    <w:rPr>
      <w:rFonts w:ascii="Times New Roman" w:hAnsi="Times New Roman" w:cs="Palatino"/>
      <w:sz w:val="20"/>
      <w:lang w:val="en-GB" w:eastAsia="en-US"/>
    </w:rPr>
  </w:style>
  <w:style w:type="character" w:styleId="FootnoteReference">
    <w:name w:val="footnote reference"/>
    <w:basedOn w:val="DefaultParagraphFont"/>
    <w:uiPriority w:val="99"/>
    <w:rsid w:val="00C07D87"/>
    <w:rPr>
      <w:rFonts w:cs="Times New Roman"/>
      <w:vertAlign w:val="superscript"/>
    </w:rPr>
  </w:style>
  <w:style w:type="paragraph" w:styleId="ListParagraph">
    <w:name w:val="List Paragraph"/>
    <w:basedOn w:val="Normal"/>
    <w:uiPriority w:val="99"/>
    <w:qFormat/>
    <w:rsid w:val="007249E7"/>
    <w:pPr>
      <w:ind w:left="720"/>
      <w:contextualSpacing/>
    </w:pPr>
  </w:style>
  <w:style w:type="paragraph" w:styleId="Footer">
    <w:name w:val="footer"/>
    <w:basedOn w:val="Normal"/>
    <w:link w:val="FooterChar"/>
    <w:uiPriority w:val="99"/>
    <w:rsid w:val="00F575D4"/>
    <w:pPr>
      <w:tabs>
        <w:tab w:val="center" w:pos="4320"/>
        <w:tab w:val="right" w:pos="8640"/>
      </w:tabs>
    </w:pPr>
  </w:style>
  <w:style w:type="character" w:customStyle="1" w:styleId="FooterChar">
    <w:name w:val="Footer Char"/>
    <w:basedOn w:val="DefaultParagraphFont"/>
    <w:link w:val="Footer"/>
    <w:uiPriority w:val="99"/>
    <w:locked/>
    <w:rsid w:val="00F575D4"/>
    <w:rPr>
      <w:rFonts w:ascii="Times New Roman" w:hAnsi="Times New Roman" w:cs="Times New Roman"/>
      <w:sz w:val="22"/>
      <w:szCs w:val="22"/>
      <w:lang w:val="en-GB" w:eastAsia="en-US"/>
    </w:rPr>
  </w:style>
  <w:style w:type="character" w:styleId="PageNumber">
    <w:name w:val="page number"/>
    <w:basedOn w:val="DefaultParagraphFont"/>
    <w:uiPriority w:val="99"/>
    <w:semiHidden/>
    <w:rsid w:val="00F575D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6291</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Eyre</dc:creator>
  <cp:lastModifiedBy>Eyre, Christopher John</cp:lastModifiedBy>
  <cp:revision>2</cp:revision>
  <cp:lastPrinted>2016-07-19T10:45:00Z</cp:lastPrinted>
  <dcterms:created xsi:type="dcterms:W3CDTF">2016-11-17T14:34:00Z</dcterms:created>
  <dcterms:modified xsi:type="dcterms:W3CDTF">2016-11-17T14:34:00Z</dcterms:modified>
</cp:coreProperties>
</file>