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03" w:rsidRPr="00DF2803" w:rsidRDefault="00DF2803" w:rsidP="00DF2803">
      <w:pPr>
        <w:spacing w:before="161" w:after="161" w:line="240" w:lineRule="auto"/>
        <w:outlineLvl w:val="0"/>
        <w:rPr>
          <w:rFonts w:ascii="Open Sans" w:eastAsia="Times New Roman" w:hAnsi="Open Sans" w:cs="Arial"/>
          <w:b/>
          <w:bCs/>
          <w:kern w:val="36"/>
          <w:sz w:val="48"/>
          <w:szCs w:val="48"/>
          <w:lang w:val="en" w:eastAsia="en-GB"/>
        </w:rPr>
      </w:pPr>
      <w:r w:rsidRPr="00DF2803">
        <w:rPr>
          <w:rFonts w:ascii="Open Sans" w:eastAsia="Times New Roman" w:hAnsi="Open Sans" w:cs="Arial"/>
          <w:b/>
          <w:bCs/>
          <w:kern w:val="36"/>
          <w:sz w:val="48"/>
          <w:szCs w:val="48"/>
          <w:lang w:val="en" w:eastAsia="en-GB"/>
        </w:rPr>
        <w:t xml:space="preserve">Human resources and models of mental healthcare integration into primary and community care in India: an exploration of 72 </w:t>
      </w:r>
      <w:proofErr w:type="spellStart"/>
      <w:r w:rsidRPr="00DF2803">
        <w:rPr>
          <w:rFonts w:ascii="Open Sans" w:eastAsia="Times New Roman" w:hAnsi="Open Sans" w:cs="Arial"/>
          <w:b/>
          <w:bCs/>
          <w:kern w:val="36"/>
          <w:sz w:val="48"/>
          <w:szCs w:val="48"/>
          <w:lang w:val="en" w:eastAsia="en-GB"/>
        </w:rPr>
        <w:t>programmes</w:t>
      </w:r>
      <w:proofErr w:type="spellEnd"/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Conference: 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hyperlink r:id="rId4" w:history="1">
        <w:r w:rsidRPr="00DF2803">
          <w:rPr>
            <w:rFonts w:ascii="Open Sans" w:eastAsia="Times New Roman" w:hAnsi="Open Sans" w:cs="Arial"/>
            <w:color w:val="0000FF"/>
            <w:sz w:val="24"/>
            <w:szCs w:val="24"/>
            <w:u w:val="single"/>
            <w:lang w:val="en" w:eastAsia="en-GB"/>
          </w:rPr>
          <w:t>Dublin 2016</w:t>
        </w:r>
      </w:hyperlink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Talk Code: 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EP2B.09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Presenter: 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Nadja van Ginneken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Co-authors: 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Meera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S.M. (3), Sarah Ghani (3),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Jayashree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Ramakrishna (4),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Anusha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Raja (5) and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Vikram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Patel (1</w:t>
      </w:r>
      <w:proofErr w:type="gram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,3</w:t>
      </w:r>
      <w:proofErr w:type="gram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)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Author institutions: 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Me (1</w:t>
      </w:r>
      <w:proofErr w:type="gram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,2,3</w:t>
      </w:r>
      <w:proofErr w:type="gram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). 1. LSHTM; 2.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Univ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of Liverpool; 3.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Sangath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, Goa; 4. NIMHANS, Bangalore; 5. Yale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Univ</w:t>
      </w:r>
      <w:proofErr w:type="spellEnd"/>
    </w:p>
    <w:p w:rsidR="00DF2803" w:rsidRPr="00DF2803" w:rsidRDefault="00DF2803" w:rsidP="00DF280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Arial"/>
          <w:b/>
          <w:bCs/>
          <w:sz w:val="36"/>
          <w:szCs w:val="36"/>
          <w:lang w:val="en" w:eastAsia="en-GB"/>
        </w:rPr>
      </w:pPr>
      <w:r w:rsidRPr="00DF2803">
        <w:rPr>
          <w:rFonts w:ascii="Open Sans" w:eastAsia="Times New Roman" w:hAnsi="Open Sans" w:cs="Arial"/>
          <w:b/>
          <w:bCs/>
          <w:sz w:val="36"/>
          <w:szCs w:val="36"/>
          <w:lang w:val="en" w:eastAsia="en-GB"/>
        </w:rPr>
        <w:t>Problem</w:t>
      </w:r>
    </w:p>
    <w:p w:rsidR="00DF2803" w:rsidRPr="00DF2803" w:rsidRDefault="00DF2803" w:rsidP="00DF2803">
      <w:pPr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Given the scarcity of specialist mental healthcare, diverse community mental healthcare models have evolved. This study explores and compares Indian models of mental healthcare delivered by primary-level workers (PHW), and health workers’ roles. We aim to describe current service delivery to identify feasible and acceptable models which could be scaled up.</w:t>
      </w:r>
    </w:p>
    <w:p w:rsidR="00DF2803" w:rsidRPr="00DF2803" w:rsidRDefault="00DF2803" w:rsidP="00DF280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Arial"/>
          <w:b/>
          <w:bCs/>
          <w:sz w:val="36"/>
          <w:szCs w:val="36"/>
          <w:lang w:val="en" w:eastAsia="en-GB"/>
        </w:rPr>
      </w:pPr>
      <w:r w:rsidRPr="00DF2803">
        <w:rPr>
          <w:rFonts w:ascii="Open Sans" w:eastAsia="Times New Roman" w:hAnsi="Open Sans" w:cs="Arial"/>
          <w:b/>
          <w:bCs/>
          <w:sz w:val="36"/>
          <w:szCs w:val="36"/>
          <w:lang w:val="en" w:eastAsia="en-GB"/>
        </w:rPr>
        <w:t>Approach</w:t>
      </w:r>
    </w:p>
    <w:p w:rsidR="00DF2803" w:rsidRPr="00DF2803" w:rsidRDefault="00DF2803" w:rsidP="00DF2803">
      <w:pPr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Seventy two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programmes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(governmental and non-governmental) across 12 states were visited. 204 PHWs, coordinators, leaders, specialists and other staff were interviewed to understand the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programme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structure, the model of mental health delivery and health workers’ roles. Data were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analysed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using framework analysis.</w:t>
      </w:r>
    </w:p>
    <w:p w:rsidR="00DF2803" w:rsidRPr="00DF2803" w:rsidRDefault="00DF2803" w:rsidP="00DF280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Arial"/>
          <w:b/>
          <w:bCs/>
          <w:sz w:val="36"/>
          <w:szCs w:val="36"/>
          <w:lang w:val="en" w:eastAsia="en-GB"/>
        </w:rPr>
      </w:pPr>
      <w:r w:rsidRPr="00DF2803">
        <w:rPr>
          <w:rFonts w:ascii="Open Sans" w:eastAsia="Times New Roman" w:hAnsi="Open Sans" w:cs="Arial"/>
          <w:b/>
          <w:bCs/>
          <w:sz w:val="36"/>
          <w:szCs w:val="36"/>
          <w:lang w:val="en" w:eastAsia="en-GB"/>
        </w:rPr>
        <w:t>Findings</w:t>
      </w:r>
    </w:p>
    <w:p w:rsidR="00DF2803" w:rsidRPr="00DF2803" w:rsidRDefault="00DF2803" w:rsidP="00DF2803">
      <w:pPr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We identified four models of PHW-delivered mental healthcare delivery: 1) collaborative care models, which mainly collaborate outside government primary care (PC) settings; 2) one-off PHW-training to deliver interventions or 3) identify, refer and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sensitise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; 4) a unique community outreach model, not currently described in high income countries (HICs), whereby PHWs are trained within specialist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programmes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. Most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programmes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use lay health workers (LHWs) and care coordinators. PC doctors are seldom used.</w:t>
      </w:r>
    </w:p>
    <w:p w:rsidR="00DF2803" w:rsidRPr="00DF2803" w:rsidRDefault="00DF2803" w:rsidP="00DF280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Arial"/>
          <w:b/>
          <w:bCs/>
          <w:sz w:val="36"/>
          <w:szCs w:val="36"/>
          <w:lang w:val="en" w:eastAsia="en-GB"/>
        </w:rPr>
      </w:pPr>
      <w:r w:rsidRPr="00DF2803">
        <w:rPr>
          <w:rFonts w:ascii="Open Sans" w:eastAsia="Times New Roman" w:hAnsi="Open Sans" w:cs="Arial"/>
          <w:b/>
          <w:bCs/>
          <w:sz w:val="36"/>
          <w:szCs w:val="36"/>
          <w:lang w:val="en" w:eastAsia="en-GB"/>
        </w:rPr>
        <w:t>Consequences</w:t>
      </w:r>
    </w:p>
    <w:p w:rsidR="00DF2803" w:rsidRPr="00DF2803" w:rsidRDefault="00DF2803" w:rsidP="00DF2803">
      <w:pPr>
        <w:spacing w:before="100" w:beforeAutospacing="1" w:after="100" w:afterAutospacing="1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lastRenderedPageBreak/>
        <w:t xml:space="preserve">Indian models differ significantly to those in HICs. Despite collaborative care having most benefit, few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programmes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implement this model. Other models have less evidence. The differences and possible repercussions are discussed. The priority now is to evaluate the effectiveness and cost-effectiveness of these innovative collaborative care and community outreach models in resource-limited settings as these may profoundly improve access to mental healthcare if scaled up.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Submitted by: 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Nadja van Ginneken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Funding acknowledgement: </w:t>
      </w:r>
    </w:p>
    <w:p w:rsidR="00DF2803" w:rsidRPr="00DF2803" w:rsidRDefault="00DF2803" w:rsidP="00DF2803">
      <w:pPr>
        <w:spacing w:after="0" w:line="240" w:lineRule="auto"/>
        <w:rPr>
          <w:rFonts w:ascii="Open Sans" w:eastAsia="Times New Roman" w:hAnsi="Open Sans" w:cs="Arial"/>
          <w:sz w:val="24"/>
          <w:szCs w:val="24"/>
          <w:lang w:val="en" w:eastAsia="en-GB"/>
        </w:rPr>
      </w:pPr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Funded by the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Wellcome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Trust on a Clinical PhD </w:t>
      </w:r>
      <w:proofErr w:type="spellStart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>Programme</w:t>
      </w:r>
      <w:proofErr w:type="spellEnd"/>
      <w:r w:rsidRPr="00DF2803">
        <w:rPr>
          <w:rFonts w:ascii="Open Sans" w:eastAsia="Times New Roman" w:hAnsi="Open Sans" w:cs="Arial"/>
          <w:sz w:val="24"/>
          <w:szCs w:val="24"/>
          <w:lang w:val="en" w:eastAsia="en-GB"/>
        </w:rPr>
        <w:t xml:space="preserve"> through the London School of Hygiene and Tropical Medicine</w:t>
      </w:r>
    </w:p>
    <w:p w:rsidR="00DF53DB" w:rsidRDefault="00DF53DB"/>
    <w:p w:rsidR="00DF2803" w:rsidRDefault="00DF2803">
      <w:r>
        <w:t xml:space="preserve">Available at: </w:t>
      </w:r>
      <w:r w:rsidRPr="00DF2803">
        <w:t>https://sapc.ac.uk/conference/2016/abstract/human-resources-and-models-of-mental-healthcare-integration-primary-and</w:t>
      </w:r>
      <w:bookmarkStart w:id="0" w:name="_GoBack"/>
      <w:bookmarkEnd w:id="0"/>
    </w:p>
    <w:sectPr w:rsidR="00DF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3"/>
    <w:rsid w:val="00DF2803"/>
    <w:rsid w:val="00D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C8D3D-7F7A-4EDF-9E38-46D3EA7F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80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F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8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F28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F2803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F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0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4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pc.ac.uk/conference/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Ginneken, Nadja</dc:creator>
  <cp:keywords/>
  <dc:description/>
  <cp:lastModifiedBy>Van Ginneken, Nadja</cp:lastModifiedBy>
  <cp:revision>1</cp:revision>
  <dcterms:created xsi:type="dcterms:W3CDTF">2016-11-28T14:11:00Z</dcterms:created>
  <dcterms:modified xsi:type="dcterms:W3CDTF">2016-11-28T14:12:00Z</dcterms:modified>
</cp:coreProperties>
</file>