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A6FCC" w14:textId="4B34E9FD" w:rsidR="00B40B16" w:rsidRPr="00622B6B" w:rsidRDefault="003F24A2" w:rsidP="007C744F">
      <w:pPr>
        <w:jc w:val="right"/>
        <w:rPr>
          <w:rFonts w:ascii="Times New Roman" w:hAnsi="Times New Roman" w:cs="Times New Roman"/>
        </w:rPr>
      </w:pPr>
      <w:r w:rsidRPr="00622B6B">
        <w:rPr>
          <w:rFonts w:ascii="Times New Roman" w:hAnsi="Times New Roman" w:cs="Times New Roman"/>
          <w:b/>
        </w:rPr>
        <w:t>Equity and Equitable Principles in the World Trade Organization</w:t>
      </w:r>
      <w:r w:rsidR="0072262A" w:rsidRPr="00622B6B">
        <w:rPr>
          <w:rFonts w:ascii="Times New Roman" w:hAnsi="Times New Roman" w:cs="Times New Roman"/>
          <w:b/>
        </w:rPr>
        <w:t>:</w:t>
      </w:r>
      <w:r w:rsidRPr="00E4650E">
        <w:rPr>
          <w:rFonts w:ascii="Times New Roman" w:hAnsi="Times New Roman" w:cs="Times New Roman"/>
          <w:b/>
        </w:rPr>
        <w:t xml:space="preserve"> Addressing conflicts and overlaps between the WTO and other regimes</w:t>
      </w:r>
      <w:r w:rsidR="00BA243B" w:rsidRPr="00622B6B">
        <w:rPr>
          <w:rFonts w:ascii="Times New Roman" w:hAnsi="Times New Roman" w:cs="Times New Roman"/>
        </w:rPr>
        <w:t xml:space="preserve">. By Anastasios Gourgourinis. </w:t>
      </w:r>
      <w:r w:rsidR="0072262A" w:rsidRPr="00622B6B">
        <w:rPr>
          <w:rFonts w:ascii="Times New Roman" w:hAnsi="Times New Roman" w:cs="Times New Roman"/>
          <w:i/>
        </w:rPr>
        <w:t xml:space="preserve"> </w:t>
      </w:r>
      <w:r w:rsidR="00BA243B" w:rsidRPr="00622B6B">
        <w:rPr>
          <w:rFonts w:ascii="Times New Roman" w:hAnsi="Times New Roman" w:cs="Times New Roman"/>
        </w:rPr>
        <w:t xml:space="preserve">Abingdon: </w:t>
      </w:r>
      <w:r w:rsidRPr="00622B6B">
        <w:rPr>
          <w:rFonts w:ascii="Times New Roman" w:hAnsi="Times New Roman" w:cs="Times New Roman"/>
        </w:rPr>
        <w:t>Routledge</w:t>
      </w:r>
      <w:r w:rsidR="00EF545D" w:rsidRPr="00622B6B">
        <w:rPr>
          <w:rFonts w:ascii="Times New Roman" w:hAnsi="Times New Roman" w:cs="Times New Roman"/>
        </w:rPr>
        <w:t>, 2016.</w:t>
      </w:r>
      <w:r w:rsidR="00950542" w:rsidRPr="00622B6B">
        <w:rPr>
          <w:rFonts w:ascii="Times New Roman" w:hAnsi="Times New Roman" w:cs="Times New Roman"/>
        </w:rPr>
        <w:t xml:space="preserve"> £90.00</w:t>
      </w:r>
      <w:r w:rsidR="00EF545D" w:rsidRPr="00622B6B">
        <w:rPr>
          <w:rFonts w:ascii="Times New Roman" w:hAnsi="Times New Roman" w:cs="Times New Roman"/>
        </w:rPr>
        <w:t xml:space="preserve"> ISBN 9780415715485, 284</w:t>
      </w:r>
      <w:r w:rsidR="00BA243B" w:rsidRPr="00622B6B">
        <w:rPr>
          <w:rFonts w:ascii="Times New Roman" w:hAnsi="Times New Roman" w:cs="Times New Roman"/>
        </w:rPr>
        <w:t>pp.</w:t>
      </w:r>
    </w:p>
    <w:p w14:paraId="10B764A2" w14:textId="77777777" w:rsidR="003F24A2" w:rsidRPr="00622B6B" w:rsidRDefault="003F24A2" w:rsidP="00F35146">
      <w:pPr>
        <w:jc w:val="both"/>
        <w:rPr>
          <w:rFonts w:ascii="Times New Roman" w:hAnsi="Times New Roman" w:cs="Times New Roman"/>
        </w:rPr>
      </w:pPr>
    </w:p>
    <w:p w14:paraId="178C6623" w14:textId="799AA9D8" w:rsidR="003F24A2" w:rsidRPr="00622B6B" w:rsidRDefault="0045698C" w:rsidP="00F35146">
      <w:pPr>
        <w:jc w:val="both"/>
        <w:rPr>
          <w:rFonts w:ascii="Times New Roman" w:hAnsi="Times New Roman" w:cs="Times New Roman"/>
        </w:rPr>
      </w:pPr>
      <w:r w:rsidRPr="00622B6B">
        <w:rPr>
          <w:rFonts w:ascii="Times New Roman" w:hAnsi="Times New Roman" w:cs="Times New Roman"/>
        </w:rPr>
        <w:t xml:space="preserve">The </w:t>
      </w:r>
      <w:r w:rsidR="002C2E28" w:rsidRPr="00622B6B">
        <w:rPr>
          <w:rFonts w:ascii="Times New Roman" w:hAnsi="Times New Roman" w:cs="Times New Roman"/>
        </w:rPr>
        <w:t>WTO</w:t>
      </w:r>
      <w:r w:rsidRPr="00622B6B">
        <w:rPr>
          <w:rFonts w:ascii="Times New Roman" w:hAnsi="Times New Roman" w:cs="Times New Roman"/>
        </w:rPr>
        <w:t xml:space="preserve"> </w:t>
      </w:r>
      <w:r w:rsidR="00B93C38" w:rsidRPr="00622B6B">
        <w:rPr>
          <w:rFonts w:ascii="Times New Roman" w:hAnsi="Times New Roman" w:cs="Times New Roman"/>
        </w:rPr>
        <w:t xml:space="preserve">and its law is a system of </w:t>
      </w:r>
      <w:r w:rsidR="00CA4BC4" w:rsidRPr="00622B6B">
        <w:rPr>
          <w:rFonts w:ascii="Times New Roman" w:hAnsi="Times New Roman" w:cs="Times New Roman"/>
        </w:rPr>
        <w:t>ba</w:t>
      </w:r>
      <w:r w:rsidR="005554E1" w:rsidRPr="00622B6B">
        <w:rPr>
          <w:rFonts w:ascii="Times New Roman" w:hAnsi="Times New Roman" w:cs="Times New Roman"/>
        </w:rPr>
        <w:t>lance and contradictions.</w:t>
      </w:r>
      <w:r w:rsidR="00CA4BC4" w:rsidRPr="00622B6B">
        <w:rPr>
          <w:rFonts w:ascii="Times New Roman" w:hAnsi="Times New Roman" w:cs="Times New Roman"/>
        </w:rPr>
        <w:t xml:space="preserve"> </w:t>
      </w:r>
      <w:r w:rsidR="005554E1" w:rsidRPr="00622B6B">
        <w:rPr>
          <w:rFonts w:ascii="Times New Roman" w:hAnsi="Times New Roman" w:cs="Times New Roman"/>
        </w:rPr>
        <w:t>On the one hand, i</w:t>
      </w:r>
      <w:r w:rsidRPr="00622B6B">
        <w:rPr>
          <w:rFonts w:ascii="Times New Roman" w:hAnsi="Times New Roman" w:cs="Times New Roman"/>
        </w:rPr>
        <w:t xml:space="preserve">t matches </w:t>
      </w:r>
      <w:r w:rsidR="00CA4BC4" w:rsidRPr="00E4650E">
        <w:rPr>
          <w:rFonts w:ascii="Times New Roman" w:hAnsi="Times New Roman" w:cs="Times New Roman"/>
        </w:rPr>
        <w:t xml:space="preserve">a </w:t>
      </w:r>
      <w:r w:rsidRPr="00E4650E">
        <w:rPr>
          <w:rFonts w:ascii="Times New Roman" w:hAnsi="Times New Roman" w:cs="Times New Roman"/>
        </w:rPr>
        <w:t xml:space="preserve">comparatively detailed set of legal obligations with startling gaps in the covered agreements </w:t>
      </w:r>
      <w:r w:rsidR="001D7A52" w:rsidRPr="00622B6B">
        <w:rPr>
          <w:rFonts w:ascii="Times New Roman" w:hAnsi="Times New Roman" w:cs="Times New Roman"/>
        </w:rPr>
        <w:t>–</w:t>
      </w:r>
      <w:r w:rsidRPr="00622B6B">
        <w:rPr>
          <w:rFonts w:ascii="Times New Roman" w:hAnsi="Times New Roman" w:cs="Times New Roman"/>
        </w:rPr>
        <w:t xml:space="preserve"> explicitly as in Art </w:t>
      </w:r>
      <w:r w:rsidR="00CA4BC4" w:rsidRPr="00622B6B">
        <w:rPr>
          <w:rFonts w:ascii="Times New Roman" w:hAnsi="Times New Roman" w:cs="Times New Roman"/>
        </w:rPr>
        <w:t>X</w:t>
      </w:r>
      <w:r w:rsidRPr="00622B6B">
        <w:rPr>
          <w:rFonts w:ascii="Times New Roman" w:hAnsi="Times New Roman" w:cs="Times New Roman"/>
        </w:rPr>
        <w:t xml:space="preserve"> G</w:t>
      </w:r>
      <w:r w:rsidR="00C12852" w:rsidRPr="00622B6B">
        <w:rPr>
          <w:rFonts w:ascii="Times New Roman" w:hAnsi="Times New Roman" w:cs="Times New Roman"/>
        </w:rPr>
        <w:t xml:space="preserve">eneral </w:t>
      </w:r>
      <w:r w:rsidRPr="00622B6B">
        <w:rPr>
          <w:rFonts w:ascii="Times New Roman" w:hAnsi="Times New Roman" w:cs="Times New Roman"/>
        </w:rPr>
        <w:t>A</w:t>
      </w:r>
      <w:r w:rsidR="00C12852" w:rsidRPr="00622B6B">
        <w:rPr>
          <w:rFonts w:ascii="Times New Roman" w:hAnsi="Times New Roman" w:cs="Times New Roman"/>
        </w:rPr>
        <w:t>greem</w:t>
      </w:r>
      <w:bookmarkStart w:id="0" w:name="_GoBack"/>
      <w:bookmarkEnd w:id="0"/>
      <w:r w:rsidR="00C12852" w:rsidRPr="00622B6B">
        <w:rPr>
          <w:rFonts w:ascii="Times New Roman" w:hAnsi="Times New Roman" w:cs="Times New Roman"/>
        </w:rPr>
        <w:t xml:space="preserve">ent on </w:t>
      </w:r>
      <w:r w:rsidRPr="00622B6B">
        <w:rPr>
          <w:rFonts w:ascii="Times New Roman" w:hAnsi="Times New Roman" w:cs="Times New Roman"/>
        </w:rPr>
        <w:t>T</w:t>
      </w:r>
      <w:r w:rsidR="00C12852" w:rsidRPr="00622B6B">
        <w:rPr>
          <w:rFonts w:ascii="Times New Roman" w:hAnsi="Times New Roman" w:cs="Times New Roman"/>
        </w:rPr>
        <w:t xml:space="preserve">rade in </w:t>
      </w:r>
      <w:r w:rsidRPr="00622B6B">
        <w:rPr>
          <w:rFonts w:ascii="Times New Roman" w:hAnsi="Times New Roman" w:cs="Times New Roman"/>
        </w:rPr>
        <w:t>S</w:t>
      </w:r>
      <w:r w:rsidR="00C12852" w:rsidRPr="00622B6B">
        <w:rPr>
          <w:rFonts w:ascii="Times New Roman" w:hAnsi="Times New Roman" w:cs="Times New Roman"/>
        </w:rPr>
        <w:t>ervices</w:t>
      </w:r>
      <w:r w:rsidR="00CA4BC4" w:rsidRPr="00622B6B">
        <w:rPr>
          <w:rFonts w:ascii="Times New Roman" w:hAnsi="Times New Roman" w:cs="Times New Roman"/>
        </w:rPr>
        <w:t xml:space="preserve"> which mandated further negotiations</w:t>
      </w:r>
      <w:r w:rsidRPr="00622B6B">
        <w:rPr>
          <w:rFonts w:ascii="Times New Roman" w:hAnsi="Times New Roman" w:cs="Times New Roman"/>
        </w:rPr>
        <w:t>,</w:t>
      </w:r>
      <w:r w:rsidRPr="00622B6B">
        <w:rPr>
          <w:rStyle w:val="FootnoteReference"/>
          <w:rFonts w:ascii="Times New Roman" w:hAnsi="Times New Roman" w:cs="Times New Roman"/>
        </w:rPr>
        <w:footnoteReference w:id="1"/>
      </w:r>
      <w:r w:rsidRPr="00622B6B">
        <w:rPr>
          <w:rFonts w:ascii="Times New Roman" w:hAnsi="Times New Roman" w:cs="Times New Roman"/>
        </w:rPr>
        <w:t xml:space="preserve"> implicitly as </w:t>
      </w:r>
      <w:r w:rsidR="001D7A52" w:rsidRPr="00622B6B">
        <w:rPr>
          <w:rFonts w:ascii="Times New Roman" w:hAnsi="Times New Roman" w:cs="Times New Roman"/>
        </w:rPr>
        <w:t xml:space="preserve">regards </w:t>
      </w:r>
      <w:r w:rsidR="00CA4BC4" w:rsidRPr="00E4650E">
        <w:rPr>
          <w:rFonts w:ascii="Times New Roman" w:hAnsi="Times New Roman" w:cs="Times New Roman"/>
        </w:rPr>
        <w:t xml:space="preserve">standard of review </w:t>
      </w:r>
      <w:r w:rsidRPr="00E4650E">
        <w:rPr>
          <w:rFonts w:ascii="Times New Roman" w:hAnsi="Times New Roman" w:cs="Times New Roman"/>
        </w:rPr>
        <w:t xml:space="preserve">where it was understood that members would return to discuss </w:t>
      </w:r>
      <w:r w:rsidR="00CA4BC4" w:rsidRPr="00622B6B">
        <w:rPr>
          <w:rFonts w:ascii="Times New Roman" w:hAnsi="Times New Roman" w:cs="Times New Roman"/>
        </w:rPr>
        <w:t xml:space="preserve">the appropriate </w:t>
      </w:r>
      <w:r w:rsidR="005554E1" w:rsidRPr="00622B6B">
        <w:rPr>
          <w:rFonts w:ascii="Times New Roman" w:hAnsi="Times New Roman" w:cs="Times New Roman"/>
        </w:rPr>
        <w:t xml:space="preserve">standard </w:t>
      </w:r>
      <w:r w:rsidR="00CA4BC4" w:rsidRPr="00622B6B">
        <w:rPr>
          <w:rFonts w:ascii="Times New Roman" w:hAnsi="Times New Roman" w:cs="Times New Roman"/>
        </w:rPr>
        <w:t xml:space="preserve">between the applicable Article 11 </w:t>
      </w:r>
      <w:r w:rsidR="002F4BFF" w:rsidRPr="00622B6B">
        <w:rPr>
          <w:rFonts w:ascii="Times New Roman" w:hAnsi="Times New Roman" w:cs="Times New Roman"/>
        </w:rPr>
        <w:t>of the Dispute Settlement Understanding (‘</w:t>
      </w:r>
      <w:r w:rsidR="00CA4BC4" w:rsidRPr="00622B6B">
        <w:rPr>
          <w:rFonts w:ascii="Times New Roman" w:hAnsi="Times New Roman" w:cs="Times New Roman"/>
        </w:rPr>
        <w:t>DSU</w:t>
      </w:r>
      <w:r w:rsidR="002F4BFF" w:rsidRPr="00622B6B">
        <w:rPr>
          <w:rFonts w:ascii="Times New Roman" w:hAnsi="Times New Roman" w:cs="Times New Roman"/>
        </w:rPr>
        <w:t>’)</w:t>
      </w:r>
      <w:r w:rsidR="00CA4BC4" w:rsidRPr="00622B6B">
        <w:rPr>
          <w:rFonts w:ascii="Times New Roman" w:hAnsi="Times New Roman" w:cs="Times New Roman"/>
        </w:rPr>
        <w:t xml:space="preserve"> or the more deferential </w:t>
      </w:r>
      <w:r w:rsidRPr="00622B6B">
        <w:rPr>
          <w:rFonts w:ascii="Times New Roman" w:hAnsi="Times New Roman" w:cs="Times New Roman"/>
        </w:rPr>
        <w:t xml:space="preserve">Art 17.6 </w:t>
      </w:r>
      <w:r w:rsidR="00CA4BC4" w:rsidRPr="00622B6B">
        <w:rPr>
          <w:rFonts w:ascii="Times New Roman" w:hAnsi="Times New Roman" w:cs="Times New Roman"/>
        </w:rPr>
        <w:t>A</w:t>
      </w:r>
      <w:r w:rsidR="00C12852" w:rsidRPr="00622B6B">
        <w:rPr>
          <w:rFonts w:ascii="Times New Roman" w:hAnsi="Times New Roman" w:cs="Times New Roman"/>
        </w:rPr>
        <w:t>nti-</w:t>
      </w:r>
      <w:r w:rsidR="00CA4BC4" w:rsidRPr="00622B6B">
        <w:rPr>
          <w:rFonts w:ascii="Times New Roman" w:hAnsi="Times New Roman" w:cs="Times New Roman"/>
        </w:rPr>
        <w:t>D</w:t>
      </w:r>
      <w:r w:rsidR="00C12852" w:rsidRPr="00622B6B">
        <w:rPr>
          <w:rFonts w:ascii="Times New Roman" w:hAnsi="Times New Roman" w:cs="Times New Roman"/>
        </w:rPr>
        <w:t xml:space="preserve">umping </w:t>
      </w:r>
      <w:r w:rsidR="00CA4BC4" w:rsidRPr="00622B6B">
        <w:rPr>
          <w:rFonts w:ascii="Times New Roman" w:hAnsi="Times New Roman" w:cs="Times New Roman"/>
        </w:rPr>
        <w:t>A</w:t>
      </w:r>
      <w:r w:rsidR="00C12852" w:rsidRPr="00622B6B">
        <w:rPr>
          <w:rFonts w:ascii="Times New Roman" w:hAnsi="Times New Roman" w:cs="Times New Roman"/>
        </w:rPr>
        <w:t>greement</w:t>
      </w:r>
      <w:r w:rsidRPr="00622B6B">
        <w:rPr>
          <w:rFonts w:ascii="Times New Roman" w:hAnsi="Times New Roman" w:cs="Times New Roman"/>
        </w:rPr>
        <w:t>,</w:t>
      </w:r>
      <w:r w:rsidR="00CA4BC4" w:rsidRPr="00622B6B">
        <w:rPr>
          <w:rStyle w:val="FootnoteReference"/>
          <w:rFonts w:ascii="Times New Roman" w:hAnsi="Times New Roman" w:cs="Times New Roman"/>
        </w:rPr>
        <w:footnoteReference w:id="2"/>
      </w:r>
      <w:r w:rsidRPr="00622B6B">
        <w:rPr>
          <w:rFonts w:ascii="Times New Roman" w:hAnsi="Times New Roman" w:cs="Times New Roman"/>
        </w:rPr>
        <w:t xml:space="preserve"> or accidental</w:t>
      </w:r>
      <w:r w:rsidR="00CA4BC4" w:rsidRPr="00622B6B">
        <w:rPr>
          <w:rFonts w:ascii="Times New Roman" w:hAnsi="Times New Roman" w:cs="Times New Roman"/>
        </w:rPr>
        <w:t>ly</w:t>
      </w:r>
      <w:r w:rsidRPr="00E4650E">
        <w:rPr>
          <w:rFonts w:ascii="Times New Roman" w:hAnsi="Times New Roman" w:cs="Times New Roman"/>
        </w:rPr>
        <w:t xml:space="preserve"> such as in Art 2.1 </w:t>
      </w:r>
      <w:r w:rsidR="00B44462" w:rsidRPr="00622B6B">
        <w:rPr>
          <w:rFonts w:ascii="Times New Roman" w:hAnsi="Times New Roman" w:cs="Times New Roman"/>
        </w:rPr>
        <w:t>Agreement</w:t>
      </w:r>
      <w:r w:rsidR="00C12852" w:rsidRPr="00622B6B">
        <w:rPr>
          <w:rFonts w:ascii="Times New Roman" w:hAnsi="Times New Roman" w:cs="Times New Roman"/>
        </w:rPr>
        <w:t xml:space="preserve"> </w:t>
      </w:r>
      <w:r w:rsidRPr="00622B6B">
        <w:rPr>
          <w:rFonts w:ascii="Times New Roman" w:hAnsi="Times New Roman" w:cs="Times New Roman"/>
        </w:rPr>
        <w:t>o</w:t>
      </w:r>
      <w:r w:rsidR="00C12852" w:rsidRPr="00622B6B">
        <w:rPr>
          <w:rFonts w:ascii="Times New Roman" w:hAnsi="Times New Roman" w:cs="Times New Roman"/>
        </w:rPr>
        <w:t xml:space="preserve">n </w:t>
      </w:r>
      <w:r w:rsidRPr="00622B6B">
        <w:rPr>
          <w:rFonts w:ascii="Times New Roman" w:hAnsi="Times New Roman" w:cs="Times New Roman"/>
        </w:rPr>
        <w:t>S</w:t>
      </w:r>
      <w:r w:rsidR="00C12852" w:rsidRPr="00622B6B">
        <w:rPr>
          <w:rFonts w:ascii="Times New Roman" w:hAnsi="Times New Roman" w:cs="Times New Roman"/>
        </w:rPr>
        <w:t>afeguards</w:t>
      </w:r>
      <w:r w:rsidRPr="00622B6B">
        <w:rPr>
          <w:rFonts w:ascii="Times New Roman" w:hAnsi="Times New Roman" w:cs="Times New Roman"/>
        </w:rPr>
        <w:t xml:space="preserve"> where the text </w:t>
      </w:r>
      <w:r w:rsidR="00CA4BC4" w:rsidRPr="00622B6B">
        <w:rPr>
          <w:rFonts w:ascii="Times New Roman" w:hAnsi="Times New Roman" w:cs="Times New Roman"/>
        </w:rPr>
        <w:t>is ‘deficient’</w:t>
      </w:r>
      <w:r w:rsidR="005554E1" w:rsidRPr="00622B6B">
        <w:rPr>
          <w:rFonts w:ascii="Times New Roman" w:hAnsi="Times New Roman" w:cs="Times New Roman"/>
        </w:rPr>
        <w:t>,</w:t>
      </w:r>
      <w:r w:rsidR="00CA4BC4" w:rsidRPr="00622B6B">
        <w:rPr>
          <w:rFonts w:ascii="Times New Roman" w:hAnsi="Times New Roman" w:cs="Times New Roman"/>
        </w:rPr>
        <w:t xml:space="preserve"> mandating an economic test which</w:t>
      </w:r>
      <w:r w:rsidR="005554E1" w:rsidRPr="00622B6B">
        <w:rPr>
          <w:rFonts w:ascii="Times New Roman" w:hAnsi="Times New Roman" w:cs="Times New Roman"/>
        </w:rPr>
        <w:t xml:space="preserve"> </w:t>
      </w:r>
      <w:r w:rsidR="00CA4BC4" w:rsidRPr="00622B6B">
        <w:rPr>
          <w:rFonts w:ascii="Times New Roman" w:hAnsi="Times New Roman" w:cs="Times New Roman"/>
        </w:rPr>
        <w:t xml:space="preserve">cannot be </w:t>
      </w:r>
      <w:r w:rsidR="005554E1" w:rsidRPr="00622B6B">
        <w:rPr>
          <w:rFonts w:ascii="Times New Roman" w:hAnsi="Times New Roman" w:cs="Times New Roman"/>
        </w:rPr>
        <w:t>fulfilled</w:t>
      </w:r>
      <w:r w:rsidR="00CA4BC4" w:rsidRPr="00622B6B">
        <w:rPr>
          <w:rFonts w:ascii="Times New Roman" w:hAnsi="Times New Roman" w:cs="Times New Roman"/>
        </w:rPr>
        <w:t xml:space="preserve"> without further </w:t>
      </w:r>
      <w:r w:rsidR="005554E1" w:rsidRPr="00622B6B">
        <w:rPr>
          <w:rFonts w:ascii="Times New Roman" w:hAnsi="Times New Roman" w:cs="Times New Roman"/>
        </w:rPr>
        <w:t xml:space="preserve">implying a number of </w:t>
      </w:r>
      <w:r w:rsidR="00CA4BC4" w:rsidRPr="00622B6B">
        <w:rPr>
          <w:rFonts w:ascii="Times New Roman" w:hAnsi="Times New Roman" w:cs="Times New Roman"/>
        </w:rPr>
        <w:t xml:space="preserve">assumptions into the </w:t>
      </w:r>
      <w:r w:rsidR="005554E1" w:rsidRPr="00622B6B">
        <w:rPr>
          <w:rFonts w:ascii="Times New Roman" w:hAnsi="Times New Roman" w:cs="Times New Roman"/>
        </w:rPr>
        <w:t xml:space="preserve">economic </w:t>
      </w:r>
      <w:r w:rsidR="00CA4BC4" w:rsidRPr="00622B6B">
        <w:rPr>
          <w:rFonts w:ascii="Times New Roman" w:hAnsi="Times New Roman" w:cs="Times New Roman"/>
        </w:rPr>
        <w:t>analysis</w:t>
      </w:r>
      <w:r w:rsidRPr="00622B6B">
        <w:rPr>
          <w:rFonts w:ascii="Times New Roman" w:hAnsi="Times New Roman" w:cs="Times New Roman"/>
        </w:rPr>
        <w:t>.</w:t>
      </w:r>
      <w:r w:rsidRPr="00622B6B">
        <w:rPr>
          <w:rStyle w:val="FootnoteReference"/>
          <w:rFonts w:ascii="Times New Roman" w:hAnsi="Times New Roman" w:cs="Times New Roman"/>
        </w:rPr>
        <w:footnoteReference w:id="3"/>
      </w:r>
      <w:r w:rsidR="00CA4BC4" w:rsidRPr="00622B6B">
        <w:rPr>
          <w:rFonts w:ascii="Times New Roman" w:hAnsi="Times New Roman" w:cs="Times New Roman"/>
        </w:rPr>
        <w:t xml:space="preserve"> </w:t>
      </w:r>
      <w:r w:rsidR="00EF3E40" w:rsidRPr="00622B6B">
        <w:rPr>
          <w:rFonts w:ascii="Times New Roman" w:hAnsi="Times New Roman" w:cs="Times New Roman"/>
        </w:rPr>
        <w:t>O</w:t>
      </w:r>
      <w:r w:rsidR="00B93C38" w:rsidRPr="00E4650E">
        <w:rPr>
          <w:rFonts w:ascii="Times New Roman" w:hAnsi="Times New Roman" w:cs="Times New Roman"/>
        </w:rPr>
        <w:t>n the</w:t>
      </w:r>
      <w:r w:rsidR="00EF3E40" w:rsidRPr="00E4650E">
        <w:rPr>
          <w:rFonts w:ascii="Times New Roman" w:hAnsi="Times New Roman" w:cs="Times New Roman"/>
        </w:rPr>
        <w:t xml:space="preserve"> other</w:t>
      </w:r>
      <w:r w:rsidR="00B93C38" w:rsidRPr="0093582F">
        <w:rPr>
          <w:rFonts w:ascii="Times New Roman" w:hAnsi="Times New Roman" w:cs="Times New Roman"/>
        </w:rPr>
        <w:t xml:space="preserve"> hand, WTO law is relatively self-contained in that it </w:t>
      </w:r>
      <w:r w:rsidR="00DD3978" w:rsidRPr="00622B6B">
        <w:rPr>
          <w:rFonts w:ascii="Times New Roman" w:hAnsi="Times New Roman" w:cs="Times New Roman"/>
        </w:rPr>
        <w:t>includes</w:t>
      </w:r>
      <w:r w:rsidR="00B93C38" w:rsidRPr="00622B6B">
        <w:rPr>
          <w:rFonts w:ascii="Times New Roman" w:hAnsi="Times New Roman" w:cs="Times New Roman"/>
        </w:rPr>
        <w:t xml:space="preserve"> the legal apparatus for rule-creation, rule-elaboration, and rule-interpretation and has been (to date) almost exclusively focussed on regulating matters which fall under its trade mandate – and yet, the influence of trade and trade regulation is wide and deep, drawing the attention of interest groups from many other areas of international law, most notably environmental, human</w:t>
      </w:r>
      <w:r w:rsidR="001B3373" w:rsidRPr="00622B6B">
        <w:rPr>
          <w:rFonts w:ascii="Times New Roman" w:hAnsi="Times New Roman" w:cs="Times New Roman"/>
        </w:rPr>
        <w:t>,</w:t>
      </w:r>
      <w:r w:rsidR="00EF3E40" w:rsidRPr="00622B6B">
        <w:rPr>
          <w:rFonts w:ascii="Times New Roman" w:hAnsi="Times New Roman" w:cs="Times New Roman"/>
        </w:rPr>
        <w:t xml:space="preserve"> </w:t>
      </w:r>
      <w:r w:rsidR="001B3373" w:rsidRPr="00622B6B">
        <w:rPr>
          <w:rFonts w:ascii="Times New Roman" w:hAnsi="Times New Roman" w:cs="Times New Roman"/>
        </w:rPr>
        <w:t xml:space="preserve">investment, </w:t>
      </w:r>
      <w:r w:rsidR="00EF3E40" w:rsidRPr="00622B6B">
        <w:rPr>
          <w:rFonts w:ascii="Times New Roman" w:hAnsi="Times New Roman" w:cs="Times New Roman"/>
        </w:rPr>
        <w:t xml:space="preserve">and labour </w:t>
      </w:r>
      <w:r w:rsidR="00B93C38" w:rsidRPr="00622B6B">
        <w:rPr>
          <w:rFonts w:ascii="Times New Roman" w:hAnsi="Times New Roman" w:cs="Times New Roman"/>
        </w:rPr>
        <w:t xml:space="preserve">rights. </w:t>
      </w:r>
    </w:p>
    <w:p w14:paraId="4B294ABC" w14:textId="77777777" w:rsidR="0045698C" w:rsidRPr="00622B6B" w:rsidRDefault="0045698C" w:rsidP="00F35146">
      <w:pPr>
        <w:jc w:val="both"/>
        <w:rPr>
          <w:rFonts w:ascii="Times New Roman" w:hAnsi="Times New Roman" w:cs="Times New Roman"/>
        </w:rPr>
      </w:pPr>
    </w:p>
    <w:p w14:paraId="1FED76F1" w14:textId="3D72BC67" w:rsidR="000114B5" w:rsidRPr="00622B6B" w:rsidRDefault="00944FE0" w:rsidP="00F35146">
      <w:pPr>
        <w:jc w:val="both"/>
        <w:rPr>
          <w:rFonts w:ascii="Times New Roman" w:hAnsi="Times New Roman" w:cs="Times New Roman"/>
        </w:rPr>
      </w:pPr>
      <w:r w:rsidRPr="00622B6B">
        <w:rPr>
          <w:rFonts w:ascii="Times New Roman" w:hAnsi="Times New Roman" w:cs="Times New Roman"/>
        </w:rPr>
        <w:t xml:space="preserve">It is in this context, between detailed legal texts and inevitable </w:t>
      </w:r>
      <w:r w:rsidRPr="00622B6B">
        <w:rPr>
          <w:rFonts w:ascii="Times New Roman" w:hAnsi="Times New Roman" w:cs="Times New Roman"/>
          <w:i/>
        </w:rPr>
        <w:t>lacunae</w:t>
      </w:r>
      <w:r w:rsidRPr="00622B6B">
        <w:rPr>
          <w:rFonts w:ascii="Times New Roman" w:hAnsi="Times New Roman" w:cs="Times New Roman"/>
        </w:rPr>
        <w:t xml:space="preserve">, regulatory isolation and interconnection, that Gourgourinis’s monograph is situated. In </w:t>
      </w:r>
      <w:r w:rsidRPr="00622B6B">
        <w:rPr>
          <w:rFonts w:ascii="Times New Roman" w:hAnsi="Times New Roman" w:cs="Times New Roman"/>
          <w:i/>
        </w:rPr>
        <w:t>Equity and Equitable Principles in the World Trade Organization</w:t>
      </w:r>
      <w:r w:rsidRPr="00622B6B">
        <w:rPr>
          <w:rFonts w:ascii="Times New Roman" w:hAnsi="Times New Roman" w:cs="Times New Roman"/>
        </w:rPr>
        <w:t xml:space="preserve"> </w:t>
      </w:r>
      <w:r w:rsidR="0098340A" w:rsidRPr="00622B6B">
        <w:rPr>
          <w:rFonts w:ascii="Times New Roman" w:hAnsi="Times New Roman" w:cs="Times New Roman"/>
        </w:rPr>
        <w:t xml:space="preserve">the author </w:t>
      </w:r>
      <w:r w:rsidRPr="00622B6B">
        <w:rPr>
          <w:rFonts w:ascii="Times New Roman" w:hAnsi="Times New Roman" w:cs="Times New Roman"/>
        </w:rPr>
        <w:t xml:space="preserve">puts forward an approach for resolving conflicts or overlaps between legal regimes by reinvigorating the analysis of equity in international law and then demonstrating how it </w:t>
      </w:r>
      <w:r w:rsidR="007D4ED1" w:rsidRPr="00622B6B">
        <w:rPr>
          <w:rFonts w:ascii="Times New Roman" w:hAnsi="Times New Roman" w:cs="Times New Roman"/>
        </w:rPr>
        <w:t xml:space="preserve">might </w:t>
      </w:r>
      <w:r w:rsidRPr="00622B6B">
        <w:rPr>
          <w:rFonts w:ascii="Times New Roman" w:hAnsi="Times New Roman" w:cs="Times New Roman"/>
        </w:rPr>
        <w:t>be used within</w:t>
      </w:r>
      <w:r w:rsidR="000114B5" w:rsidRPr="00622B6B">
        <w:rPr>
          <w:rFonts w:ascii="Times New Roman" w:hAnsi="Times New Roman" w:cs="Times New Roman"/>
        </w:rPr>
        <w:t xml:space="preserve"> the WTO. As such, the focus of the book is centred squarely within the fragmentation debate in international law generally, and the ‘trade and’ debates in WTO law more specifically. </w:t>
      </w:r>
      <w:r w:rsidR="00050701" w:rsidRPr="00622B6B">
        <w:rPr>
          <w:rFonts w:ascii="Times New Roman" w:hAnsi="Times New Roman" w:cs="Times New Roman"/>
        </w:rPr>
        <w:t xml:space="preserve">Clearly, this is well-trodden ground. </w:t>
      </w:r>
      <w:r w:rsidR="00651D01" w:rsidRPr="00622B6B">
        <w:rPr>
          <w:rFonts w:ascii="Times New Roman" w:hAnsi="Times New Roman" w:cs="Times New Roman"/>
        </w:rPr>
        <w:t>Worryingly for the reader</w:t>
      </w:r>
      <w:r w:rsidR="00050701" w:rsidRPr="00622B6B">
        <w:rPr>
          <w:rFonts w:ascii="Times New Roman" w:hAnsi="Times New Roman" w:cs="Times New Roman"/>
        </w:rPr>
        <w:t xml:space="preserve">, this is a debate where little progress has been made in spite of the abundant literature, and most importantly, a debate where the underlying existential challenge </w:t>
      </w:r>
      <w:r w:rsidR="00651D01" w:rsidRPr="00622B6B">
        <w:rPr>
          <w:rFonts w:ascii="Times New Roman" w:hAnsi="Times New Roman" w:cs="Times New Roman"/>
        </w:rPr>
        <w:t xml:space="preserve">of </w:t>
      </w:r>
      <w:r w:rsidR="00F86893" w:rsidRPr="00622B6B">
        <w:rPr>
          <w:rFonts w:ascii="Times New Roman" w:hAnsi="Times New Roman" w:cs="Times New Roman"/>
        </w:rPr>
        <w:t>fragmentation</w:t>
      </w:r>
      <w:r w:rsidR="00651D01" w:rsidRPr="00622B6B">
        <w:rPr>
          <w:rFonts w:ascii="Times New Roman" w:hAnsi="Times New Roman" w:cs="Times New Roman"/>
        </w:rPr>
        <w:t xml:space="preserve"> </w:t>
      </w:r>
      <w:r w:rsidR="00574C60" w:rsidRPr="00622B6B">
        <w:rPr>
          <w:rFonts w:ascii="Times New Roman" w:hAnsi="Times New Roman" w:cs="Times New Roman"/>
        </w:rPr>
        <w:t>has not materialised;</w:t>
      </w:r>
      <w:r w:rsidR="00050701" w:rsidRPr="00622B6B">
        <w:rPr>
          <w:rFonts w:ascii="Times New Roman" w:hAnsi="Times New Roman" w:cs="Times New Roman"/>
        </w:rPr>
        <w:t xml:space="preserve"> for all the questions about conflicts, in practice </w:t>
      </w:r>
      <w:r w:rsidR="00574C60" w:rsidRPr="00622B6B">
        <w:rPr>
          <w:rFonts w:ascii="Times New Roman" w:hAnsi="Times New Roman" w:cs="Times New Roman"/>
        </w:rPr>
        <w:t xml:space="preserve">the </w:t>
      </w:r>
      <w:r w:rsidR="00574C60" w:rsidRPr="00622B6B">
        <w:rPr>
          <w:rFonts w:ascii="Times New Roman" w:hAnsi="Times New Roman" w:cs="Times New Roman"/>
          <w:i/>
        </w:rPr>
        <w:t>Kadi</w:t>
      </w:r>
      <w:r w:rsidR="00574C60" w:rsidRPr="00622B6B">
        <w:rPr>
          <w:rFonts w:ascii="Times New Roman" w:hAnsi="Times New Roman" w:cs="Times New Roman"/>
        </w:rPr>
        <w:t>,</w:t>
      </w:r>
      <w:r w:rsidR="00574C60" w:rsidRPr="00622B6B">
        <w:rPr>
          <w:rFonts w:ascii="Times New Roman" w:hAnsi="Times New Roman" w:cs="Times New Roman"/>
          <w:i/>
        </w:rPr>
        <w:t xml:space="preserve"> Lauder</w:t>
      </w:r>
      <w:r w:rsidR="00C12852" w:rsidRPr="00622B6B">
        <w:rPr>
          <w:rFonts w:ascii="Times New Roman" w:hAnsi="Times New Roman" w:cs="Times New Roman"/>
          <w:i/>
        </w:rPr>
        <w:t>, Micula</w:t>
      </w:r>
      <w:r w:rsidR="00574C60" w:rsidRPr="00622B6B">
        <w:rPr>
          <w:rFonts w:ascii="Times New Roman" w:hAnsi="Times New Roman" w:cs="Times New Roman"/>
        </w:rPr>
        <w:t xml:space="preserve"> and </w:t>
      </w:r>
      <w:r w:rsidR="00574C60" w:rsidRPr="00622B6B">
        <w:rPr>
          <w:rFonts w:ascii="Times New Roman" w:hAnsi="Times New Roman" w:cs="Times New Roman"/>
          <w:i/>
        </w:rPr>
        <w:t>South</w:t>
      </w:r>
      <w:r w:rsidR="007F1DEA" w:rsidRPr="00622B6B">
        <w:rPr>
          <w:rFonts w:ascii="Times New Roman" w:hAnsi="Times New Roman" w:cs="Times New Roman"/>
          <w:i/>
        </w:rPr>
        <w:t>ern</w:t>
      </w:r>
      <w:r w:rsidR="00574C60" w:rsidRPr="00622B6B">
        <w:rPr>
          <w:rFonts w:ascii="Times New Roman" w:hAnsi="Times New Roman" w:cs="Times New Roman"/>
          <w:i/>
        </w:rPr>
        <w:t xml:space="preserve"> Bluefin Tuna </w:t>
      </w:r>
      <w:r w:rsidR="00574C60" w:rsidRPr="00622B6B">
        <w:rPr>
          <w:rFonts w:ascii="Times New Roman" w:hAnsi="Times New Roman" w:cs="Times New Roman"/>
        </w:rPr>
        <w:t xml:space="preserve">sagas constitute </w:t>
      </w:r>
      <w:r w:rsidR="00651D01" w:rsidRPr="00622B6B">
        <w:rPr>
          <w:rFonts w:ascii="Times New Roman" w:hAnsi="Times New Roman" w:cs="Times New Roman"/>
        </w:rPr>
        <w:t xml:space="preserve">rare exceptions </w:t>
      </w:r>
      <w:r w:rsidR="003363D7" w:rsidRPr="00622B6B">
        <w:rPr>
          <w:rFonts w:ascii="Times New Roman" w:hAnsi="Times New Roman" w:cs="Times New Roman"/>
        </w:rPr>
        <w:t>to</w:t>
      </w:r>
      <w:r w:rsidR="00651D01" w:rsidRPr="00622B6B">
        <w:rPr>
          <w:rFonts w:ascii="Times New Roman" w:hAnsi="Times New Roman" w:cs="Times New Roman"/>
        </w:rPr>
        <w:t xml:space="preserve"> the norm</w:t>
      </w:r>
      <w:r w:rsidR="00050701" w:rsidRPr="00622B6B">
        <w:rPr>
          <w:rFonts w:ascii="Times New Roman" w:hAnsi="Times New Roman" w:cs="Times New Roman"/>
        </w:rPr>
        <w:t>.</w:t>
      </w:r>
      <w:r w:rsidR="007C7224" w:rsidRPr="00622B6B">
        <w:rPr>
          <w:rStyle w:val="FootnoteReference"/>
          <w:rFonts w:ascii="Times New Roman" w:hAnsi="Times New Roman" w:cs="Times New Roman"/>
        </w:rPr>
        <w:footnoteReference w:id="4"/>
      </w:r>
      <w:r w:rsidR="00050701" w:rsidRPr="00622B6B">
        <w:rPr>
          <w:rFonts w:ascii="Times New Roman" w:hAnsi="Times New Roman" w:cs="Times New Roman"/>
        </w:rPr>
        <w:t xml:space="preserve"> This is not to say that </w:t>
      </w:r>
      <w:r w:rsidR="00574C60" w:rsidRPr="00622B6B">
        <w:rPr>
          <w:rFonts w:ascii="Times New Roman" w:hAnsi="Times New Roman" w:cs="Times New Roman"/>
        </w:rPr>
        <w:t>this</w:t>
      </w:r>
      <w:r w:rsidR="00050701" w:rsidRPr="00E4650E">
        <w:rPr>
          <w:rFonts w:ascii="Times New Roman" w:hAnsi="Times New Roman" w:cs="Times New Roman"/>
        </w:rPr>
        <w:t xml:space="preserve"> </w:t>
      </w:r>
      <w:r w:rsidR="00651D01" w:rsidRPr="00E4650E">
        <w:rPr>
          <w:rFonts w:ascii="Times New Roman" w:hAnsi="Times New Roman" w:cs="Times New Roman"/>
        </w:rPr>
        <w:t>topic</w:t>
      </w:r>
      <w:r w:rsidR="00050701" w:rsidRPr="0093582F">
        <w:rPr>
          <w:rFonts w:ascii="Times New Roman" w:hAnsi="Times New Roman" w:cs="Times New Roman"/>
        </w:rPr>
        <w:t xml:space="preserve"> </w:t>
      </w:r>
      <w:r w:rsidR="00651D01" w:rsidRPr="00622B6B">
        <w:rPr>
          <w:rFonts w:ascii="Times New Roman" w:hAnsi="Times New Roman" w:cs="Times New Roman"/>
        </w:rPr>
        <w:t>need</w:t>
      </w:r>
      <w:r w:rsidR="0072593B" w:rsidRPr="00622B6B">
        <w:rPr>
          <w:rFonts w:ascii="Times New Roman" w:hAnsi="Times New Roman" w:cs="Times New Roman"/>
        </w:rPr>
        <w:t>s</w:t>
      </w:r>
      <w:r w:rsidR="00651D01" w:rsidRPr="00622B6B">
        <w:rPr>
          <w:rFonts w:ascii="Times New Roman" w:hAnsi="Times New Roman" w:cs="Times New Roman"/>
        </w:rPr>
        <w:t xml:space="preserve"> no discussion</w:t>
      </w:r>
      <w:r w:rsidR="00050701" w:rsidRPr="00622B6B">
        <w:rPr>
          <w:rFonts w:ascii="Times New Roman" w:hAnsi="Times New Roman" w:cs="Times New Roman"/>
        </w:rPr>
        <w:t xml:space="preserve">, but that academe’s focus </w:t>
      </w:r>
      <w:r w:rsidR="00F86893" w:rsidRPr="00622B6B">
        <w:rPr>
          <w:rFonts w:ascii="Times New Roman" w:hAnsi="Times New Roman" w:cs="Times New Roman"/>
        </w:rPr>
        <w:t>has been</w:t>
      </w:r>
      <w:r w:rsidR="00050701" w:rsidRPr="00622B6B">
        <w:rPr>
          <w:rFonts w:ascii="Times New Roman" w:hAnsi="Times New Roman" w:cs="Times New Roman"/>
        </w:rPr>
        <w:t xml:space="preserve"> out of all proportion to </w:t>
      </w:r>
      <w:r w:rsidR="00651D01" w:rsidRPr="00622B6B">
        <w:rPr>
          <w:rFonts w:ascii="Times New Roman" w:hAnsi="Times New Roman" w:cs="Times New Roman"/>
        </w:rPr>
        <w:t xml:space="preserve">its </w:t>
      </w:r>
      <w:r w:rsidR="00F31B3E" w:rsidRPr="00622B6B">
        <w:rPr>
          <w:rFonts w:ascii="Times New Roman" w:hAnsi="Times New Roman" w:cs="Times New Roman"/>
        </w:rPr>
        <w:t>actual effect.</w:t>
      </w:r>
      <w:r w:rsidR="00562C87" w:rsidRPr="00622B6B">
        <w:rPr>
          <w:rStyle w:val="FootnoteReference"/>
          <w:rFonts w:ascii="Times New Roman" w:hAnsi="Times New Roman" w:cs="Times New Roman"/>
        </w:rPr>
        <w:footnoteReference w:id="5"/>
      </w:r>
      <w:r w:rsidR="00F31B3E" w:rsidRPr="00622B6B">
        <w:rPr>
          <w:rFonts w:ascii="Times New Roman" w:hAnsi="Times New Roman" w:cs="Times New Roman"/>
        </w:rPr>
        <w:t xml:space="preserve"> </w:t>
      </w:r>
      <w:r w:rsidR="001B651F" w:rsidRPr="00622B6B">
        <w:rPr>
          <w:rFonts w:ascii="Times New Roman" w:hAnsi="Times New Roman" w:cs="Times New Roman"/>
        </w:rPr>
        <w:t>What then can Gourgourinis</w:t>
      </w:r>
      <w:r w:rsidR="00574C60" w:rsidRPr="00E4650E">
        <w:rPr>
          <w:rFonts w:ascii="Times New Roman" w:hAnsi="Times New Roman" w:cs="Times New Roman"/>
        </w:rPr>
        <w:t>’ contribution</w:t>
      </w:r>
      <w:r w:rsidR="001B651F" w:rsidRPr="00E4650E">
        <w:rPr>
          <w:rFonts w:ascii="Times New Roman" w:hAnsi="Times New Roman" w:cs="Times New Roman"/>
        </w:rPr>
        <w:t xml:space="preserve"> add to this </w:t>
      </w:r>
      <w:r w:rsidR="00EE7D05" w:rsidRPr="0093582F">
        <w:rPr>
          <w:rFonts w:ascii="Times New Roman" w:hAnsi="Times New Roman" w:cs="Times New Roman"/>
        </w:rPr>
        <w:t>debate</w:t>
      </w:r>
      <w:r w:rsidR="00574C60" w:rsidRPr="00622B6B">
        <w:rPr>
          <w:rFonts w:ascii="Times New Roman" w:hAnsi="Times New Roman" w:cs="Times New Roman"/>
        </w:rPr>
        <w:t xml:space="preserve">? </w:t>
      </w:r>
    </w:p>
    <w:p w14:paraId="19DFC95F" w14:textId="77777777" w:rsidR="00DF3877" w:rsidRPr="00622B6B" w:rsidRDefault="00DF3877" w:rsidP="00F35146">
      <w:pPr>
        <w:jc w:val="both"/>
        <w:rPr>
          <w:rFonts w:ascii="Times New Roman" w:hAnsi="Times New Roman" w:cs="Times New Roman"/>
        </w:rPr>
      </w:pPr>
    </w:p>
    <w:p w14:paraId="5A4AFB7C" w14:textId="103113AF" w:rsidR="001D433A" w:rsidRPr="00622B6B" w:rsidRDefault="00612152" w:rsidP="00F35146">
      <w:pPr>
        <w:jc w:val="both"/>
        <w:rPr>
          <w:rFonts w:ascii="Times New Roman" w:hAnsi="Times New Roman" w:cs="Times New Roman"/>
        </w:rPr>
      </w:pPr>
      <w:r w:rsidRPr="00622B6B">
        <w:rPr>
          <w:rFonts w:ascii="Times New Roman" w:hAnsi="Times New Roman" w:cs="Times New Roman"/>
        </w:rPr>
        <w:t xml:space="preserve">A simplified version of </w:t>
      </w:r>
      <w:r w:rsidR="001D433A" w:rsidRPr="00622B6B">
        <w:rPr>
          <w:rFonts w:ascii="Times New Roman" w:hAnsi="Times New Roman" w:cs="Times New Roman"/>
        </w:rPr>
        <w:t xml:space="preserve">Gourgourinis’ argument runs as follows: </w:t>
      </w:r>
      <w:r w:rsidR="00D8762D" w:rsidRPr="00622B6B">
        <w:rPr>
          <w:rFonts w:ascii="Times New Roman" w:hAnsi="Times New Roman" w:cs="Times New Roman"/>
        </w:rPr>
        <w:t xml:space="preserve">(1) </w:t>
      </w:r>
      <w:r w:rsidR="001D433A" w:rsidRPr="00622B6B">
        <w:rPr>
          <w:rFonts w:ascii="Times New Roman" w:hAnsi="Times New Roman" w:cs="Times New Roman"/>
        </w:rPr>
        <w:t xml:space="preserve">equity </w:t>
      </w:r>
      <w:r w:rsidR="00CD2890" w:rsidRPr="00622B6B">
        <w:rPr>
          <w:rFonts w:ascii="Times New Roman" w:hAnsi="Times New Roman" w:cs="Times New Roman"/>
        </w:rPr>
        <w:t xml:space="preserve">serves a number of purposes, one </w:t>
      </w:r>
      <w:r w:rsidR="00DF3877" w:rsidRPr="00622B6B">
        <w:rPr>
          <w:rFonts w:ascii="Times New Roman" w:hAnsi="Times New Roman" w:cs="Times New Roman"/>
        </w:rPr>
        <w:t xml:space="preserve">of </w:t>
      </w:r>
      <w:r w:rsidR="00CD2890" w:rsidRPr="00622B6B">
        <w:rPr>
          <w:rFonts w:ascii="Times New Roman" w:hAnsi="Times New Roman" w:cs="Times New Roman"/>
        </w:rPr>
        <w:t xml:space="preserve">which is to avoid or resolve conflicts between norms; </w:t>
      </w:r>
      <w:r w:rsidR="00D8762D" w:rsidRPr="00622B6B">
        <w:rPr>
          <w:rFonts w:ascii="Times New Roman" w:hAnsi="Times New Roman" w:cs="Times New Roman"/>
        </w:rPr>
        <w:t xml:space="preserve">(2) </w:t>
      </w:r>
      <w:r w:rsidR="00CD2890" w:rsidRPr="00622B6B">
        <w:rPr>
          <w:rFonts w:ascii="Times New Roman" w:hAnsi="Times New Roman" w:cs="Times New Roman"/>
        </w:rPr>
        <w:t xml:space="preserve">equity </w:t>
      </w:r>
      <w:r w:rsidR="00644736" w:rsidRPr="00622B6B">
        <w:rPr>
          <w:rFonts w:ascii="Times New Roman" w:hAnsi="Times New Roman" w:cs="Times New Roman"/>
        </w:rPr>
        <w:t xml:space="preserve">is expressed through </w:t>
      </w:r>
      <w:r w:rsidR="00A93A4C" w:rsidRPr="00622B6B">
        <w:rPr>
          <w:rFonts w:ascii="Times New Roman" w:hAnsi="Times New Roman" w:cs="Times New Roman"/>
        </w:rPr>
        <w:t>the traditional ‘sources’ (</w:t>
      </w:r>
      <w:r w:rsidR="00644736" w:rsidRPr="00622B6B">
        <w:rPr>
          <w:rFonts w:ascii="Times New Roman" w:hAnsi="Times New Roman" w:cs="Times New Roman"/>
        </w:rPr>
        <w:t xml:space="preserve">treaty, custom, general principles of law, judicial </w:t>
      </w:r>
      <w:r w:rsidR="00644736" w:rsidRPr="00622B6B">
        <w:rPr>
          <w:rFonts w:ascii="Times New Roman" w:hAnsi="Times New Roman" w:cs="Times New Roman"/>
        </w:rPr>
        <w:lastRenderedPageBreak/>
        <w:t>decisions, and scholarly teachings</w:t>
      </w:r>
      <w:r w:rsidR="00A93A4C" w:rsidRPr="00622B6B">
        <w:rPr>
          <w:rFonts w:ascii="Times New Roman" w:hAnsi="Times New Roman" w:cs="Times New Roman"/>
        </w:rPr>
        <w:t>)</w:t>
      </w:r>
      <w:r w:rsidR="00CD2890" w:rsidRPr="00622B6B">
        <w:rPr>
          <w:rFonts w:ascii="Times New Roman" w:hAnsi="Times New Roman" w:cs="Times New Roman"/>
        </w:rPr>
        <w:t xml:space="preserve">; and </w:t>
      </w:r>
      <w:r w:rsidR="00D8762D" w:rsidRPr="00622B6B">
        <w:rPr>
          <w:rFonts w:ascii="Times New Roman" w:hAnsi="Times New Roman" w:cs="Times New Roman"/>
        </w:rPr>
        <w:t xml:space="preserve">(3) </w:t>
      </w:r>
      <w:r w:rsidR="00CD2890" w:rsidRPr="00622B6B">
        <w:rPr>
          <w:rFonts w:ascii="Times New Roman" w:hAnsi="Times New Roman" w:cs="Times New Roman"/>
        </w:rPr>
        <w:t xml:space="preserve">nothing in WTO law precludes organs of the Dispute Settlement Body </w:t>
      </w:r>
      <w:r w:rsidR="00DF3877" w:rsidRPr="00622B6B">
        <w:rPr>
          <w:rFonts w:ascii="Times New Roman" w:hAnsi="Times New Roman" w:cs="Times New Roman"/>
        </w:rPr>
        <w:t xml:space="preserve">(that is, panels and the Appellate Body) </w:t>
      </w:r>
      <w:r w:rsidR="00CD2890" w:rsidRPr="00622B6B">
        <w:rPr>
          <w:rFonts w:ascii="Times New Roman" w:hAnsi="Times New Roman" w:cs="Times New Roman"/>
        </w:rPr>
        <w:t xml:space="preserve">from applying </w:t>
      </w:r>
      <w:r w:rsidR="00DF3877" w:rsidRPr="00622B6B">
        <w:rPr>
          <w:rFonts w:ascii="Times New Roman" w:hAnsi="Times New Roman" w:cs="Times New Roman"/>
        </w:rPr>
        <w:t xml:space="preserve">‘non-WTO’ </w:t>
      </w:r>
      <w:r w:rsidR="00CD2890" w:rsidRPr="00622B6B">
        <w:rPr>
          <w:rFonts w:ascii="Times New Roman" w:hAnsi="Times New Roman" w:cs="Times New Roman"/>
        </w:rPr>
        <w:t>law</w:t>
      </w:r>
      <w:r w:rsidR="00DF3877" w:rsidRPr="00622B6B">
        <w:rPr>
          <w:rFonts w:ascii="Times New Roman" w:hAnsi="Times New Roman" w:cs="Times New Roman"/>
        </w:rPr>
        <w:t xml:space="preserve"> </w:t>
      </w:r>
      <w:r w:rsidR="0005692F" w:rsidRPr="00622B6B">
        <w:rPr>
          <w:rFonts w:ascii="Times New Roman" w:hAnsi="Times New Roman" w:cs="Times New Roman"/>
        </w:rPr>
        <w:t xml:space="preserve">- </w:t>
      </w:r>
      <w:r w:rsidR="00DF3877" w:rsidRPr="00622B6B">
        <w:rPr>
          <w:rFonts w:ascii="Times New Roman" w:hAnsi="Times New Roman" w:cs="Times New Roman"/>
        </w:rPr>
        <w:t>which includes equity and equitable principles</w:t>
      </w:r>
      <w:r w:rsidR="0005692F" w:rsidRPr="00622B6B">
        <w:rPr>
          <w:rFonts w:ascii="Times New Roman" w:hAnsi="Times New Roman" w:cs="Times New Roman"/>
        </w:rPr>
        <w:t xml:space="preserve"> – to resolve normative conflicts</w:t>
      </w:r>
      <w:r w:rsidR="00CD2890" w:rsidRPr="00622B6B">
        <w:rPr>
          <w:rFonts w:ascii="Times New Roman" w:hAnsi="Times New Roman" w:cs="Times New Roman"/>
        </w:rPr>
        <w:t>.</w:t>
      </w:r>
      <w:r w:rsidR="001D433A" w:rsidRPr="00622B6B">
        <w:rPr>
          <w:rFonts w:ascii="Times New Roman" w:hAnsi="Times New Roman" w:cs="Times New Roman"/>
        </w:rPr>
        <w:t xml:space="preserve"> </w:t>
      </w:r>
    </w:p>
    <w:p w14:paraId="4C3D6BCA" w14:textId="77777777" w:rsidR="00574C60" w:rsidRPr="00622B6B" w:rsidRDefault="00574C60" w:rsidP="00F35146">
      <w:pPr>
        <w:jc w:val="both"/>
        <w:rPr>
          <w:rFonts w:ascii="Times New Roman" w:hAnsi="Times New Roman" w:cs="Times New Roman"/>
        </w:rPr>
      </w:pPr>
    </w:p>
    <w:p w14:paraId="00479A88" w14:textId="25AFDE39" w:rsidR="007009CC" w:rsidRPr="00622B6B" w:rsidRDefault="007D63D4" w:rsidP="00502AC2">
      <w:pPr>
        <w:jc w:val="both"/>
        <w:rPr>
          <w:rFonts w:ascii="Times New Roman" w:hAnsi="Times New Roman" w:cs="Times New Roman"/>
        </w:rPr>
      </w:pPr>
      <w:r w:rsidRPr="00622B6B">
        <w:rPr>
          <w:rFonts w:ascii="Times New Roman" w:hAnsi="Times New Roman" w:cs="Times New Roman"/>
        </w:rPr>
        <w:t xml:space="preserve">Each of these claims is made with careful consideration and close </w:t>
      </w:r>
      <w:r w:rsidR="006E6448" w:rsidRPr="00622B6B">
        <w:rPr>
          <w:rFonts w:ascii="Times New Roman" w:hAnsi="Times New Roman" w:cs="Times New Roman"/>
        </w:rPr>
        <w:t>analysis</w:t>
      </w:r>
      <w:r w:rsidRPr="00622B6B">
        <w:rPr>
          <w:rFonts w:ascii="Times New Roman" w:hAnsi="Times New Roman" w:cs="Times New Roman"/>
        </w:rPr>
        <w:t xml:space="preserve"> of the jurisprudence of international tribunals across the board. For example, in Chapter 1 the author</w:t>
      </w:r>
      <w:r w:rsidR="004E29C4" w:rsidRPr="00622B6B">
        <w:rPr>
          <w:rFonts w:ascii="Times New Roman" w:hAnsi="Times New Roman" w:cs="Times New Roman"/>
        </w:rPr>
        <w:t xml:space="preserve"> provides a comprehensive overview of equity’s origins and context in international law</w:t>
      </w:r>
      <w:r w:rsidR="00622B6B" w:rsidRPr="00622B6B">
        <w:rPr>
          <w:rFonts w:ascii="Times New Roman" w:hAnsi="Times New Roman" w:cs="Times New Roman"/>
        </w:rPr>
        <w:t xml:space="preserve"> (</w:t>
      </w:r>
      <w:r w:rsidR="00622B6B" w:rsidRPr="007C744F">
        <w:rPr>
          <w:rFonts w:ascii="Times New Roman" w:hAnsi="Times New Roman" w:cs="Times New Roman"/>
        </w:rPr>
        <w:t>pp 17-26)</w:t>
      </w:r>
      <w:r w:rsidR="00622B6B" w:rsidRPr="00622B6B" w:rsidDel="00622B6B">
        <w:rPr>
          <w:rStyle w:val="FootnoteReference"/>
          <w:rFonts w:ascii="Times New Roman" w:hAnsi="Times New Roman" w:cs="Times New Roman"/>
        </w:rPr>
        <w:t xml:space="preserve"> </w:t>
      </w:r>
      <w:r w:rsidR="004E29C4" w:rsidRPr="00622B6B">
        <w:rPr>
          <w:rFonts w:ascii="Times New Roman" w:hAnsi="Times New Roman" w:cs="Times New Roman"/>
        </w:rPr>
        <w:t xml:space="preserve"> and then </w:t>
      </w:r>
      <w:r w:rsidR="00A138A0" w:rsidRPr="00622B6B">
        <w:rPr>
          <w:rFonts w:ascii="Times New Roman" w:hAnsi="Times New Roman" w:cs="Times New Roman"/>
        </w:rPr>
        <w:t>the</w:t>
      </w:r>
      <w:r w:rsidR="004E29C4" w:rsidRPr="00622B6B">
        <w:rPr>
          <w:rFonts w:ascii="Times New Roman" w:hAnsi="Times New Roman" w:cs="Times New Roman"/>
        </w:rPr>
        <w:t xml:space="preserve"> </w:t>
      </w:r>
      <w:r w:rsidR="00A138A0" w:rsidRPr="00622B6B">
        <w:rPr>
          <w:rFonts w:ascii="Times New Roman" w:hAnsi="Times New Roman" w:cs="Times New Roman"/>
        </w:rPr>
        <w:t>different ways in which it</w:t>
      </w:r>
      <w:r w:rsidR="004E29C4" w:rsidRPr="00622B6B">
        <w:rPr>
          <w:rFonts w:ascii="Times New Roman" w:hAnsi="Times New Roman" w:cs="Times New Roman"/>
        </w:rPr>
        <w:t xml:space="preserve"> function</w:t>
      </w:r>
      <w:r w:rsidR="00A138A0" w:rsidRPr="00622B6B">
        <w:rPr>
          <w:rFonts w:ascii="Times New Roman" w:hAnsi="Times New Roman" w:cs="Times New Roman"/>
        </w:rPr>
        <w:t>s</w:t>
      </w:r>
      <w:r w:rsidR="00BD77CF" w:rsidRPr="00622B6B">
        <w:rPr>
          <w:rFonts w:ascii="Times New Roman" w:hAnsi="Times New Roman" w:cs="Times New Roman"/>
        </w:rPr>
        <w:t xml:space="preserve"> and can be characterised</w:t>
      </w:r>
      <w:r w:rsidR="004E29C4" w:rsidRPr="00622B6B">
        <w:rPr>
          <w:rFonts w:ascii="Times New Roman" w:hAnsi="Times New Roman" w:cs="Times New Roman"/>
        </w:rPr>
        <w:t xml:space="preserve">, acting </w:t>
      </w:r>
      <w:r w:rsidR="00724337" w:rsidRPr="00622B6B">
        <w:rPr>
          <w:rFonts w:ascii="Times New Roman" w:hAnsi="Times New Roman" w:cs="Times New Roman"/>
        </w:rPr>
        <w:t>as an interpretative aid, to fill gaps, or as a trump (</w:t>
      </w:r>
      <w:r w:rsidR="004E29C4" w:rsidRPr="00E4650E">
        <w:rPr>
          <w:rFonts w:ascii="Times New Roman" w:hAnsi="Times New Roman" w:cs="Times New Roman"/>
          <w:i/>
        </w:rPr>
        <w:t xml:space="preserve">infra, </w:t>
      </w:r>
      <w:r w:rsidR="00A138A0" w:rsidRPr="00E4650E">
        <w:rPr>
          <w:rFonts w:ascii="Times New Roman" w:hAnsi="Times New Roman" w:cs="Times New Roman"/>
          <w:i/>
        </w:rPr>
        <w:t>praete</w:t>
      </w:r>
      <w:r w:rsidR="004E29C4" w:rsidRPr="0093582F">
        <w:rPr>
          <w:rFonts w:ascii="Times New Roman" w:hAnsi="Times New Roman" w:cs="Times New Roman"/>
          <w:i/>
        </w:rPr>
        <w:t xml:space="preserve">r, </w:t>
      </w:r>
      <w:r w:rsidR="004E29C4" w:rsidRPr="00622B6B">
        <w:rPr>
          <w:rFonts w:ascii="Times New Roman" w:hAnsi="Times New Roman" w:cs="Times New Roman"/>
        </w:rPr>
        <w:t>and</w:t>
      </w:r>
      <w:r w:rsidR="004E29C4" w:rsidRPr="00622B6B">
        <w:rPr>
          <w:rFonts w:ascii="Times New Roman" w:hAnsi="Times New Roman" w:cs="Times New Roman"/>
          <w:i/>
        </w:rPr>
        <w:t xml:space="preserve"> contra legem</w:t>
      </w:r>
      <w:r w:rsidR="006E6448" w:rsidRPr="00622B6B">
        <w:rPr>
          <w:rFonts w:ascii="Times New Roman" w:hAnsi="Times New Roman" w:cs="Times New Roman"/>
          <w:i/>
        </w:rPr>
        <w:t xml:space="preserve"> </w:t>
      </w:r>
      <w:r w:rsidR="00315EA2" w:rsidRPr="00622B6B">
        <w:rPr>
          <w:rFonts w:ascii="Times New Roman" w:hAnsi="Times New Roman" w:cs="Times New Roman"/>
        </w:rPr>
        <w:t>respectively)</w:t>
      </w:r>
      <w:r w:rsidR="00724337" w:rsidRPr="00622B6B">
        <w:rPr>
          <w:rFonts w:ascii="Times New Roman" w:hAnsi="Times New Roman" w:cs="Times New Roman"/>
        </w:rPr>
        <w:t xml:space="preserve"> </w:t>
      </w:r>
      <w:r w:rsidR="006E6448" w:rsidRPr="00622B6B">
        <w:rPr>
          <w:rFonts w:ascii="Times New Roman" w:hAnsi="Times New Roman" w:cs="Times New Roman"/>
        </w:rPr>
        <w:t xml:space="preserve">both </w:t>
      </w:r>
      <w:r w:rsidR="006E6448" w:rsidRPr="00622B6B">
        <w:rPr>
          <w:rFonts w:ascii="Times New Roman" w:hAnsi="Times New Roman" w:cs="Times New Roman"/>
          <w:i/>
        </w:rPr>
        <w:t>stricto sensu</w:t>
      </w:r>
      <w:r w:rsidR="006E6448" w:rsidRPr="00622B6B">
        <w:rPr>
          <w:rFonts w:ascii="Times New Roman" w:hAnsi="Times New Roman" w:cs="Times New Roman"/>
        </w:rPr>
        <w:t xml:space="preserve"> and </w:t>
      </w:r>
      <w:r w:rsidR="006E6448" w:rsidRPr="00622B6B">
        <w:rPr>
          <w:rFonts w:ascii="Times New Roman" w:hAnsi="Times New Roman" w:cs="Times New Roman"/>
          <w:i/>
        </w:rPr>
        <w:t>lato sensu</w:t>
      </w:r>
      <w:r w:rsidR="00622B6B" w:rsidRPr="00622B6B">
        <w:rPr>
          <w:rFonts w:ascii="Times New Roman" w:hAnsi="Times New Roman" w:cs="Times New Roman"/>
          <w:i/>
        </w:rPr>
        <w:t xml:space="preserve"> </w:t>
      </w:r>
      <w:r w:rsidR="00622B6B" w:rsidRPr="00622B6B">
        <w:rPr>
          <w:rFonts w:ascii="Times New Roman" w:hAnsi="Times New Roman" w:cs="Times New Roman"/>
        </w:rPr>
        <w:t>(</w:t>
      </w:r>
      <w:r w:rsidR="00622B6B" w:rsidRPr="007C744F">
        <w:rPr>
          <w:rFonts w:ascii="Times New Roman" w:hAnsi="Times New Roman" w:cs="Times New Roman"/>
        </w:rPr>
        <w:t>pp 26-39)</w:t>
      </w:r>
      <w:r w:rsidR="004E29C4" w:rsidRPr="00622B6B">
        <w:rPr>
          <w:rFonts w:ascii="Times New Roman" w:hAnsi="Times New Roman" w:cs="Times New Roman"/>
        </w:rPr>
        <w:t xml:space="preserve">. </w:t>
      </w:r>
      <w:r w:rsidR="00502AC2" w:rsidRPr="00622B6B">
        <w:rPr>
          <w:rFonts w:ascii="Times New Roman" w:hAnsi="Times New Roman" w:cs="Times New Roman"/>
        </w:rPr>
        <w:t>In each instance, the author draws clear and reasoned distinctions within each, offe</w:t>
      </w:r>
      <w:r w:rsidR="00502AC2" w:rsidRPr="00E4650E">
        <w:rPr>
          <w:rFonts w:ascii="Times New Roman" w:hAnsi="Times New Roman" w:cs="Times New Roman"/>
        </w:rPr>
        <w:t xml:space="preserve">ring what is essentially a </w:t>
      </w:r>
      <w:r w:rsidR="00076033" w:rsidRPr="00E4650E">
        <w:rPr>
          <w:rFonts w:ascii="Times New Roman" w:hAnsi="Times New Roman" w:cs="Times New Roman"/>
        </w:rPr>
        <w:t>dissection of the normative framework of equity</w:t>
      </w:r>
      <w:r w:rsidR="00502AC2" w:rsidRPr="00622B6B">
        <w:rPr>
          <w:rFonts w:ascii="Times New Roman" w:hAnsi="Times New Roman" w:cs="Times New Roman"/>
        </w:rPr>
        <w:t xml:space="preserve"> that borders on typology. </w:t>
      </w:r>
      <w:r w:rsidR="006E6448" w:rsidRPr="00622B6B">
        <w:rPr>
          <w:rFonts w:ascii="Times New Roman" w:hAnsi="Times New Roman" w:cs="Times New Roman"/>
        </w:rPr>
        <w:t>I</w:t>
      </w:r>
      <w:r w:rsidR="00502AC2" w:rsidRPr="00622B6B">
        <w:rPr>
          <w:rFonts w:ascii="Times New Roman" w:hAnsi="Times New Roman" w:cs="Times New Roman"/>
        </w:rPr>
        <w:t xml:space="preserve">mportantly, he identifies the ways in which equity is found in </w:t>
      </w:r>
      <w:r w:rsidR="00337C09" w:rsidRPr="00622B6B">
        <w:rPr>
          <w:rFonts w:ascii="Times New Roman" w:hAnsi="Times New Roman" w:cs="Times New Roman"/>
        </w:rPr>
        <w:t xml:space="preserve">norms that meet the ‘positive law tests’, </w:t>
      </w:r>
      <w:r w:rsidR="00502AC2" w:rsidRPr="00622B6B">
        <w:rPr>
          <w:rFonts w:ascii="Times New Roman" w:hAnsi="Times New Roman" w:cs="Times New Roman"/>
        </w:rPr>
        <w:t xml:space="preserve">which is to say, not only as a general principle of international law, but also through treaty or custom. This process </w:t>
      </w:r>
      <w:r w:rsidR="00315EA2" w:rsidRPr="00622B6B">
        <w:rPr>
          <w:rFonts w:ascii="Times New Roman" w:hAnsi="Times New Roman" w:cs="Times New Roman"/>
        </w:rPr>
        <w:t xml:space="preserve">of tying principles to positive rules or principles </w:t>
      </w:r>
      <w:r w:rsidR="00502AC2" w:rsidRPr="00622B6B">
        <w:rPr>
          <w:rFonts w:ascii="Times New Roman" w:hAnsi="Times New Roman" w:cs="Times New Roman"/>
        </w:rPr>
        <w:t>sa</w:t>
      </w:r>
      <w:r w:rsidR="00315EA2" w:rsidRPr="00622B6B">
        <w:rPr>
          <w:rFonts w:ascii="Times New Roman" w:hAnsi="Times New Roman" w:cs="Times New Roman"/>
        </w:rPr>
        <w:t>ys much of the author’s project. The author is</w:t>
      </w:r>
      <w:r w:rsidR="00502AC2" w:rsidRPr="00622B6B">
        <w:rPr>
          <w:rFonts w:ascii="Times New Roman" w:hAnsi="Times New Roman" w:cs="Times New Roman"/>
        </w:rPr>
        <w:t xml:space="preserve"> relentlessly focussed on tying the application of equity and equitable principles to the sources of international law</w:t>
      </w:r>
      <w:r w:rsidR="009555E7" w:rsidRPr="00622B6B">
        <w:rPr>
          <w:rFonts w:ascii="Times New Roman" w:hAnsi="Times New Roman" w:cs="Times New Roman"/>
        </w:rPr>
        <w:t xml:space="preserve"> and thus implicitly </w:t>
      </w:r>
      <w:r w:rsidR="00E313AE" w:rsidRPr="00622B6B">
        <w:rPr>
          <w:rFonts w:ascii="Times New Roman" w:hAnsi="Times New Roman" w:cs="Times New Roman"/>
        </w:rPr>
        <w:t xml:space="preserve">(and at times explicitly) </w:t>
      </w:r>
      <w:r w:rsidR="00315EA2" w:rsidRPr="00622B6B">
        <w:rPr>
          <w:rFonts w:ascii="Times New Roman" w:hAnsi="Times New Roman" w:cs="Times New Roman"/>
        </w:rPr>
        <w:t>to give</w:t>
      </w:r>
      <w:r w:rsidR="009555E7" w:rsidRPr="00622B6B">
        <w:rPr>
          <w:rFonts w:ascii="Times New Roman" w:hAnsi="Times New Roman" w:cs="Times New Roman"/>
        </w:rPr>
        <w:t xml:space="preserve"> panels the legitimate (i.e. on the basis of positive law) grounds to apply equity in </w:t>
      </w:r>
      <w:r w:rsidR="00315EA2" w:rsidRPr="00622B6B">
        <w:rPr>
          <w:rFonts w:ascii="Times New Roman" w:hAnsi="Times New Roman" w:cs="Times New Roman"/>
        </w:rPr>
        <w:t xml:space="preserve">a wider </w:t>
      </w:r>
      <w:r w:rsidR="009555E7" w:rsidRPr="00622B6B">
        <w:rPr>
          <w:rFonts w:ascii="Times New Roman" w:hAnsi="Times New Roman" w:cs="Times New Roman"/>
        </w:rPr>
        <w:t xml:space="preserve">way </w:t>
      </w:r>
      <w:r w:rsidR="00315EA2" w:rsidRPr="00622B6B">
        <w:rPr>
          <w:rFonts w:ascii="Times New Roman" w:hAnsi="Times New Roman" w:cs="Times New Roman"/>
        </w:rPr>
        <w:t>than might otherwise be customary</w:t>
      </w:r>
      <w:r w:rsidR="00622B6B" w:rsidRPr="00622B6B">
        <w:rPr>
          <w:rFonts w:ascii="Times New Roman" w:hAnsi="Times New Roman" w:cs="Times New Roman"/>
        </w:rPr>
        <w:t xml:space="preserve"> (</w:t>
      </w:r>
      <w:r w:rsidR="00622B6B" w:rsidRPr="007C744F">
        <w:rPr>
          <w:rFonts w:ascii="Times New Roman" w:hAnsi="Times New Roman" w:cs="Times New Roman"/>
        </w:rPr>
        <w:t>p 4)</w:t>
      </w:r>
      <w:r w:rsidR="00502AC2" w:rsidRPr="00622B6B">
        <w:rPr>
          <w:rFonts w:ascii="Times New Roman" w:hAnsi="Times New Roman" w:cs="Times New Roman"/>
        </w:rPr>
        <w:t xml:space="preserve">. </w:t>
      </w:r>
    </w:p>
    <w:p w14:paraId="5A3FFBD5" w14:textId="77777777" w:rsidR="007009CC" w:rsidRPr="00E4650E" w:rsidRDefault="007009CC" w:rsidP="00502AC2">
      <w:pPr>
        <w:jc w:val="both"/>
        <w:rPr>
          <w:rFonts w:ascii="Times New Roman" w:hAnsi="Times New Roman" w:cs="Times New Roman"/>
        </w:rPr>
      </w:pPr>
    </w:p>
    <w:p w14:paraId="1622733D" w14:textId="66ED0779" w:rsidR="00132FF5" w:rsidRPr="00622B6B" w:rsidRDefault="007009CC" w:rsidP="00502AC2">
      <w:pPr>
        <w:jc w:val="both"/>
        <w:rPr>
          <w:rFonts w:ascii="Times New Roman" w:hAnsi="Times New Roman" w:cs="Times New Roman"/>
        </w:rPr>
      </w:pPr>
      <w:r w:rsidRPr="00622B6B">
        <w:rPr>
          <w:rFonts w:ascii="Times New Roman" w:hAnsi="Times New Roman" w:cs="Times New Roman"/>
        </w:rPr>
        <w:t>In</w:t>
      </w:r>
      <w:r w:rsidR="00A739EA" w:rsidRPr="00622B6B">
        <w:rPr>
          <w:rFonts w:ascii="Times New Roman" w:hAnsi="Times New Roman" w:cs="Times New Roman"/>
        </w:rPr>
        <w:t xml:space="preserve"> doing so, </w:t>
      </w:r>
      <w:r w:rsidR="00440152" w:rsidRPr="00622B6B">
        <w:rPr>
          <w:rFonts w:ascii="Times New Roman" w:hAnsi="Times New Roman" w:cs="Times New Roman"/>
        </w:rPr>
        <w:t>we are</w:t>
      </w:r>
      <w:r w:rsidR="00A739EA" w:rsidRPr="00622B6B">
        <w:rPr>
          <w:rFonts w:ascii="Times New Roman" w:hAnsi="Times New Roman" w:cs="Times New Roman"/>
        </w:rPr>
        <w:t xml:space="preserve"> </w:t>
      </w:r>
      <w:r w:rsidR="00440152" w:rsidRPr="00622B6B">
        <w:rPr>
          <w:rFonts w:ascii="Times New Roman" w:hAnsi="Times New Roman" w:cs="Times New Roman"/>
        </w:rPr>
        <w:t>offered</w:t>
      </w:r>
      <w:r w:rsidR="00502AC2" w:rsidRPr="00622B6B">
        <w:rPr>
          <w:rFonts w:ascii="Times New Roman" w:hAnsi="Times New Roman" w:cs="Times New Roman"/>
        </w:rPr>
        <w:t xml:space="preserve"> an account of equity that encompasses a great number of norms, including those within treaties that are ‘infused’ by equity</w:t>
      </w:r>
      <w:r w:rsidR="00622B6B" w:rsidRPr="00622B6B">
        <w:rPr>
          <w:rFonts w:ascii="Times New Roman" w:hAnsi="Times New Roman" w:cs="Times New Roman"/>
        </w:rPr>
        <w:t xml:space="preserve"> (</w:t>
      </w:r>
      <w:r w:rsidR="00622B6B" w:rsidRPr="007C744F">
        <w:rPr>
          <w:rFonts w:ascii="Times New Roman" w:hAnsi="Times New Roman" w:cs="Times New Roman"/>
        </w:rPr>
        <w:t>p 119ff)</w:t>
      </w:r>
      <w:r w:rsidR="00502AC2" w:rsidRPr="00622B6B">
        <w:rPr>
          <w:rFonts w:ascii="Times New Roman" w:hAnsi="Times New Roman" w:cs="Times New Roman"/>
        </w:rPr>
        <w:t xml:space="preserve">. </w:t>
      </w:r>
      <w:r w:rsidR="003C1E47" w:rsidRPr="00622B6B">
        <w:rPr>
          <w:rFonts w:ascii="Times New Roman" w:hAnsi="Times New Roman" w:cs="Times New Roman"/>
        </w:rPr>
        <w:t xml:space="preserve">Thus equity is routed in specific and identifiable positive rules, </w:t>
      </w:r>
      <w:r w:rsidR="00502AC2" w:rsidRPr="00E4650E">
        <w:rPr>
          <w:rFonts w:ascii="Times New Roman" w:hAnsi="Times New Roman" w:cs="Times New Roman"/>
        </w:rPr>
        <w:t xml:space="preserve">swallowing a great number of </w:t>
      </w:r>
      <w:r w:rsidR="003C1E47" w:rsidRPr="00E4650E">
        <w:rPr>
          <w:rFonts w:ascii="Times New Roman" w:hAnsi="Times New Roman" w:cs="Times New Roman"/>
        </w:rPr>
        <w:t>norms</w:t>
      </w:r>
      <w:r w:rsidR="00502AC2" w:rsidRPr="0093582F">
        <w:rPr>
          <w:rFonts w:ascii="Times New Roman" w:hAnsi="Times New Roman" w:cs="Times New Roman"/>
        </w:rPr>
        <w:t xml:space="preserve"> </w:t>
      </w:r>
      <w:r w:rsidR="003C1E47" w:rsidRPr="00622B6B">
        <w:rPr>
          <w:rFonts w:ascii="Times New Roman" w:hAnsi="Times New Roman" w:cs="Times New Roman"/>
        </w:rPr>
        <w:t>by identifying their underlying equitable nature</w:t>
      </w:r>
      <w:r w:rsidRPr="00622B6B">
        <w:rPr>
          <w:rFonts w:ascii="Times New Roman" w:hAnsi="Times New Roman" w:cs="Times New Roman"/>
        </w:rPr>
        <w:t xml:space="preserve"> (these include </w:t>
      </w:r>
      <w:r w:rsidR="00192F6C" w:rsidRPr="00622B6B">
        <w:rPr>
          <w:rFonts w:ascii="Times New Roman" w:hAnsi="Times New Roman" w:cs="Times New Roman"/>
        </w:rPr>
        <w:t xml:space="preserve">a smörgåsbord of rules and principles, from </w:t>
      </w:r>
      <w:r w:rsidR="00192F6C" w:rsidRPr="00622B6B">
        <w:rPr>
          <w:rFonts w:ascii="Times New Roman" w:hAnsi="Times New Roman" w:cs="Times New Roman"/>
          <w:i/>
        </w:rPr>
        <w:t>abus du droit</w:t>
      </w:r>
      <w:r w:rsidR="00192F6C" w:rsidRPr="00622B6B">
        <w:rPr>
          <w:rFonts w:ascii="Times New Roman" w:hAnsi="Times New Roman" w:cs="Times New Roman"/>
        </w:rPr>
        <w:t xml:space="preserve"> to </w:t>
      </w:r>
      <w:r w:rsidR="00895080" w:rsidRPr="00622B6B">
        <w:rPr>
          <w:rFonts w:ascii="Times New Roman" w:hAnsi="Times New Roman" w:cs="Times New Roman"/>
        </w:rPr>
        <w:t>proportionality</w:t>
      </w:r>
      <w:r w:rsidR="00192F6C" w:rsidRPr="00622B6B">
        <w:rPr>
          <w:rFonts w:ascii="Times New Roman" w:hAnsi="Times New Roman" w:cs="Times New Roman"/>
        </w:rPr>
        <w:t>)</w:t>
      </w:r>
      <w:r w:rsidR="00502AC2" w:rsidRPr="00622B6B">
        <w:rPr>
          <w:rFonts w:ascii="Times New Roman" w:hAnsi="Times New Roman" w:cs="Times New Roman"/>
        </w:rPr>
        <w:t>.</w:t>
      </w:r>
    </w:p>
    <w:p w14:paraId="7D7D5C86" w14:textId="77777777" w:rsidR="00351D11" w:rsidRPr="00622B6B" w:rsidRDefault="00351D11" w:rsidP="00502AC2">
      <w:pPr>
        <w:jc w:val="both"/>
        <w:rPr>
          <w:rFonts w:ascii="Times New Roman" w:hAnsi="Times New Roman" w:cs="Times New Roman"/>
        </w:rPr>
      </w:pPr>
    </w:p>
    <w:p w14:paraId="58ECEFB3" w14:textId="2ED5C0DE" w:rsidR="00502AC2" w:rsidRPr="00622B6B" w:rsidRDefault="00D66106" w:rsidP="00502AC2">
      <w:pPr>
        <w:jc w:val="both"/>
        <w:rPr>
          <w:rFonts w:ascii="Times New Roman" w:hAnsi="Times New Roman" w:cs="Times New Roman"/>
        </w:rPr>
      </w:pPr>
      <w:r w:rsidRPr="00622B6B">
        <w:rPr>
          <w:rFonts w:ascii="Times New Roman" w:hAnsi="Times New Roman" w:cs="Times New Roman"/>
        </w:rPr>
        <w:t>I</w:t>
      </w:r>
      <w:r w:rsidR="00502AC2" w:rsidRPr="00622B6B">
        <w:rPr>
          <w:rFonts w:ascii="Times New Roman" w:hAnsi="Times New Roman" w:cs="Times New Roman"/>
        </w:rPr>
        <w:t xml:space="preserve">n Chapter 3, </w:t>
      </w:r>
      <w:r w:rsidRPr="00622B6B">
        <w:rPr>
          <w:rFonts w:ascii="Times New Roman" w:hAnsi="Times New Roman" w:cs="Times New Roman"/>
        </w:rPr>
        <w:t xml:space="preserve">for example, </w:t>
      </w:r>
      <w:r w:rsidR="00502AC2" w:rsidRPr="00622B6B">
        <w:rPr>
          <w:rFonts w:ascii="Times New Roman" w:hAnsi="Times New Roman" w:cs="Times New Roman"/>
        </w:rPr>
        <w:t>the author identifies a wide range of instances where equity and equitable principle</w:t>
      </w:r>
      <w:r w:rsidR="00724337" w:rsidRPr="00622B6B">
        <w:rPr>
          <w:rFonts w:ascii="Times New Roman" w:hAnsi="Times New Roman" w:cs="Times New Roman"/>
        </w:rPr>
        <w:t>s</w:t>
      </w:r>
      <w:r w:rsidR="00502AC2" w:rsidRPr="00622B6B">
        <w:rPr>
          <w:rFonts w:ascii="Times New Roman" w:hAnsi="Times New Roman" w:cs="Times New Roman"/>
        </w:rPr>
        <w:t xml:space="preserve"> are </w:t>
      </w:r>
      <w:r w:rsidR="00D249D8" w:rsidRPr="00622B6B">
        <w:rPr>
          <w:rFonts w:ascii="Times New Roman" w:hAnsi="Times New Roman" w:cs="Times New Roman"/>
        </w:rPr>
        <w:t xml:space="preserve">(in his view) </w:t>
      </w:r>
      <w:r w:rsidR="00502AC2" w:rsidRPr="00622B6B">
        <w:rPr>
          <w:rFonts w:ascii="Times New Roman" w:hAnsi="Times New Roman" w:cs="Times New Roman"/>
        </w:rPr>
        <w:t xml:space="preserve">already </w:t>
      </w:r>
      <w:r w:rsidR="00A739D6" w:rsidRPr="00622B6B">
        <w:rPr>
          <w:rFonts w:ascii="Times New Roman" w:hAnsi="Times New Roman" w:cs="Times New Roman"/>
        </w:rPr>
        <w:t>applied within the WTO by</w:t>
      </w:r>
      <w:r w:rsidR="00502AC2" w:rsidRPr="00622B6B">
        <w:rPr>
          <w:rFonts w:ascii="Times New Roman" w:hAnsi="Times New Roman" w:cs="Times New Roman"/>
        </w:rPr>
        <w:t xml:space="preserve"> </w:t>
      </w:r>
      <w:r w:rsidR="00A739D6" w:rsidRPr="00622B6B">
        <w:rPr>
          <w:rFonts w:ascii="Times New Roman" w:hAnsi="Times New Roman" w:cs="Times New Roman"/>
        </w:rPr>
        <w:t>identifying</w:t>
      </w:r>
      <w:r w:rsidR="00502AC2" w:rsidRPr="00622B6B">
        <w:rPr>
          <w:rFonts w:ascii="Times New Roman" w:hAnsi="Times New Roman" w:cs="Times New Roman"/>
        </w:rPr>
        <w:t xml:space="preserve"> a number of </w:t>
      </w:r>
      <w:r w:rsidR="003C1E47" w:rsidRPr="00622B6B">
        <w:rPr>
          <w:rFonts w:ascii="Times New Roman" w:hAnsi="Times New Roman" w:cs="Times New Roman"/>
        </w:rPr>
        <w:t>treaty-</w:t>
      </w:r>
      <w:r w:rsidR="00A739D6" w:rsidRPr="00622B6B">
        <w:rPr>
          <w:rFonts w:ascii="Times New Roman" w:hAnsi="Times New Roman" w:cs="Times New Roman"/>
        </w:rPr>
        <w:t xml:space="preserve">based </w:t>
      </w:r>
      <w:r w:rsidR="00502AC2" w:rsidRPr="00622B6B">
        <w:rPr>
          <w:rFonts w:ascii="Times New Roman" w:hAnsi="Times New Roman" w:cs="Times New Roman"/>
        </w:rPr>
        <w:t xml:space="preserve">examples where </w:t>
      </w:r>
      <w:r w:rsidR="00A739D6" w:rsidRPr="00622B6B">
        <w:rPr>
          <w:rFonts w:ascii="Times New Roman" w:hAnsi="Times New Roman" w:cs="Times New Roman"/>
        </w:rPr>
        <w:t xml:space="preserve">equitable principles have been applied </w:t>
      </w:r>
      <w:r w:rsidR="00502AC2" w:rsidRPr="00622B6B">
        <w:rPr>
          <w:rFonts w:ascii="Times New Roman" w:hAnsi="Times New Roman" w:cs="Times New Roman"/>
        </w:rPr>
        <w:t>b</w:t>
      </w:r>
      <w:r w:rsidR="00A739D6" w:rsidRPr="00622B6B">
        <w:rPr>
          <w:rFonts w:ascii="Times New Roman" w:hAnsi="Times New Roman" w:cs="Times New Roman"/>
        </w:rPr>
        <w:t>y</w:t>
      </w:r>
      <w:r w:rsidR="0057467A" w:rsidRPr="00622B6B">
        <w:rPr>
          <w:rFonts w:ascii="Times New Roman" w:hAnsi="Times New Roman" w:cs="Times New Roman"/>
        </w:rPr>
        <w:t xml:space="preserve"> panels and the Appellate Body </w:t>
      </w:r>
      <w:r w:rsidR="003E3767" w:rsidRPr="00622B6B">
        <w:rPr>
          <w:rFonts w:ascii="Times New Roman" w:hAnsi="Times New Roman" w:cs="Times New Roman"/>
        </w:rPr>
        <w:t>through the covered agreements</w:t>
      </w:r>
      <w:r w:rsidR="00622B6B" w:rsidRPr="00622B6B">
        <w:rPr>
          <w:rFonts w:ascii="Times New Roman" w:hAnsi="Times New Roman" w:cs="Times New Roman"/>
        </w:rPr>
        <w:t xml:space="preserve"> (e</w:t>
      </w:r>
      <w:r w:rsidR="00622B6B" w:rsidRPr="007C744F">
        <w:rPr>
          <w:rFonts w:ascii="Times New Roman" w:hAnsi="Times New Roman" w:cs="Times New Roman"/>
        </w:rPr>
        <w:t>g, pp 96-109)</w:t>
      </w:r>
      <w:r w:rsidR="0040328F" w:rsidRPr="00622B6B">
        <w:rPr>
          <w:rFonts w:ascii="Times New Roman" w:hAnsi="Times New Roman" w:cs="Times New Roman"/>
        </w:rPr>
        <w:t xml:space="preserve">, or used to fill gaps </w:t>
      </w:r>
      <w:r w:rsidR="00622B6B" w:rsidRPr="00622B6B">
        <w:rPr>
          <w:rFonts w:ascii="Times New Roman" w:hAnsi="Times New Roman" w:cs="Times New Roman"/>
        </w:rPr>
        <w:t>(e</w:t>
      </w:r>
      <w:r w:rsidR="00622B6B" w:rsidRPr="007C744F">
        <w:rPr>
          <w:rFonts w:ascii="Times New Roman" w:hAnsi="Times New Roman" w:cs="Times New Roman"/>
        </w:rPr>
        <w:t xml:space="preserve">g, pp 109-113) </w:t>
      </w:r>
      <w:r w:rsidR="0040328F" w:rsidRPr="00622B6B">
        <w:rPr>
          <w:rFonts w:ascii="Times New Roman" w:hAnsi="Times New Roman" w:cs="Times New Roman"/>
        </w:rPr>
        <w:t>within them (in particular, the DSU).</w:t>
      </w:r>
      <w:r w:rsidR="003C1E47" w:rsidRPr="00622B6B">
        <w:rPr>
          <w:rFonts w:ascii="Times New Roman" w:hAnsi="Times New Roman" w:cs="Times New Roman"/>
        </w:rPr>
        <w:t xml:space="preserve"> Equity, in </w:t>
      </w:r>
      <w:r w:rsidR="00351D11" w:rsidRPr="00622B6B">
        <w:rPr>
          <w:rFonts w:ascii="Times New Roman" w:hAnsi="Times New Roman" w:cs="Times New Roman"/>
        </w:rPr>
        <w:t>Gourgourinis</w:t>
      </w:r>
      <w:r w:rsidR="003C1E47" w:rsidRPr="00622B6B">
        <w:rPr>
          <w:rFonts w:ascii="Times New Roman" w:hAnsi="Times New Roman" w:cs="Times New Roman"/>
        </w:rPr>
        <w:t xml:space="preserve">’ view, is </w:t>
      </w:r>
      <w:r w:rsidR="003C1E47" w:rsidRPr="00E4650E">
        <w:rPr>
          <w:rFonts w:ascii="Times New Roman" w:hAnsi="Times New Roman" w:cs="Times New Roman"/>
          <w:i/>
        </w:rPr>
        <w:t>already</w:t>
      </w:r>
      <w:r w:rsidR="003C1E47" w:rsidRPr="00E4650E">
        <w:rPr>
          <w:rFonts w:ascii="Times New Roman" w:hAnsi="Times New Roman" w:cs="Times New Roman"/>
        </w:rPr>
        <w:t xml:space="preserve"> used to amend the applic</w:t>
      </w:r>
      <w:r w:rsidR="00080A0F" w:rsidRPr="0093582F">
        <w:rPr>
          <w:rFonts w:ascii="Times New Roman" w:hAnsi="Times New Roman" w:cs="Times New Roman"/>
        </w:rPr>
        <w:t xml:space="preserve">ation of a provision, fill in </w:t>
      </w:r>
      <w:r w:rsidR="003C1E47" w:rsidRPr="00622B6B">
        <w:rPr>
          <w:rFonts w:ascii="Times New Roman" w:hAnsi="Times New Roman" w:cs="Times New Roman"/>
        </w:rPr>
        <w:t>gap</w:t>
      </w:r>
      <w:r w:rsidR="00080A0F" w:rsidRPr="00622B6B">
        <w:rPr>
          <w:rFonts w:ascii="Times New Roman" w:hAnsi="Times New Roman" w:cs="Times New Roman"/>
        </w:rPr>
        <w:t>s</w:t>
      </w:r>
      <w:r w:rsidR="003C1E47" w:rsidRPr="00622B6B">
        <w:rPr>
          <w:rFonts w:ascii="Times New Roman" w:hAnsi="Times New Roman" w:cs="Times New Roman"/>
        </w:rPr>
        <w:t xml:space="preserve">, or counter the otherwise application of a rule that would result in an unacceptable result (in both procedural and substantive areas). </w:t>
      </w:r>
      <w:r w:rsidR="00351D11" w:rsidRPr="00622B6B">
        <w:rPr>
          <w:rFonts w:ascii="Times New Roman" w:hAnsi="Times New Roman" w:cs="Times New Roman"/>
        </w:rPr>
        <w:t>While acknowledging</w:t>
      </w:r>
      <w:r w:rsidR="008D6CEA" w:rsidRPr="00622B6B">
        <w:rPr>
          <w:rFonts w:ascii="Times New Roman" w:hAnsi="Times New Roman" w:cs="Times New Roman"/>
        </w:rPr>
        <w:t xml:space="preserve"> that </w:t>
      </w:r>
      <w:r w:rsidR="00351D11" w:rsidRPr="00622B6B">
        <w:rPr>
          <w:rFonts w:ascii="Times New Roman" w:hAnsi="Times New Roman" w:cs="Times New Roman"/>
        </w:rPr>
        <w:t xml:space="preserve">other </w:t>
      </w:r>
      <w:r w:rsidR="008D6CEA" w:rsidRPr="00622B6B">
        <w:rPr>
          <w:rFonts w:ascii="Times New Roman" w:hAnsi="Times New Roman" w:cs="Times New Roman"/>
        </w:rPr>
        <w:t>explanations</w:t>
      </w:r>
      <w:r w:rsidR="0036265A" w:rsidRPr="00622B6B">
        <w:rPr>
          <w:rFonts w:ascii="Times New Roman" w:hAnsi="Times New Roman" w:cs="Times New Roman"/>
        </w:rPr>
        <w:t xml:space="preserve"> </w:t>
      </w:r>
      <w:r w:rsidR="00351D11" w:rsidRPr="00622B6B">
        <w:rPr>
          <w:rFonts w:ascii="Times New Roman" w:hAnsi="Times New Roman" w:cs="Times New Roman"/>
        </w:rPr>
        <w:t xml:space="preserve">could account for the identification of equity in WTO decisions (such as the acceptance of </w:t>
      </w:r>
      <w:r w:rsidR="00351D11" w:rsidRPr="00622B6B">
        <w:rPr>
          <w:rFonts w:ascii="Times New Roman" w:hAnsi="Times New Roman" w:cs="Times New Roman"/>
          <w:i/>
        </w:rPr>
        <w:t xml:space="preserve">amicus </w:t>
      </w:r>
      <w:r w:rsidR="00351D11" w:rsidRPr="00622B6B">
        <w:rPr>
          <w:rFonts w:ascii="Times New Roman" w:hAnsi="Times New Roman" w:cs="Times New Roman"/>
        </w:rPr>
        <w:t>briefs)</w:t>
      </w:r>
      <w:r w:rsidR="008D6CEA" w:rsidRPr="00622B6B">
        <w:rPr>
          <w:rFonts w:ascii="Times New Roman" w:hAnsi="Times New Roman" w:cs="Times New Roman"/>
        </w:rPr>
        <w:t>, in particular noting the possible use of inherent</w:t>
      </w:r>
      <w:r w:rsidR="00351D11" w:rsidRPr="00622B6B">
        <w:rPr>
          <w:rFonts w:ascii="Times New Roman" w:hAnsi="Times New Roman" w:cs="Times New Roman"/>
        </w:rPr>
        <w:t xml:space="preserve"> </w:t>
      </w:r>
      <w:r w:rsidR="0036265A" w:rsidRPr="00622B6B">
        <w:rPr>
          <w:rFonts w:ascii="Times New Roman" w:hAnsi="Times New Roman" w:cs="Times New Roman"/>
        </w:rPr>
        <w:t>or implied powers</w:t>
      </w:r>
      <w:r w:rsidR="00351D11" w:rsidRPr="00622B6B">
        <w:rPr>
          <w:rFonts w:ascii="Times New Roman" w:hAnsi="Times New Roman" w:cs="Times New Roman"/>
        </w:rPr>
        <w:t>,</w:t>
      </w:r>
      <w:r w:rsidR="0036265A" w:rsidRPr="00622B6B">
        <w:rPr>
          <w:rFonts w:ascii="Times New Roman" w:hAnsi="Times New Roman" w:cs="Times New Roman"/>
        </w:rPr>
        <w:t xml:space="preserve"> these are </w:t>
      </w:r>
      <w:r w:rsidR="00004BA3" w:rsidRPr="00622B6B">
        <w:rPr>
          <w:rFonts w:ascii="Times New Roman" w:hAnsi="Times New Roman" w:cs="Times New Roman"/>
        </w:rPr>
        <w:t>rejected in favour of equity</w:t>
      </w:r>
      <w:r w:rsidR="00C05F5F" w:rsidRPr="00622B6B">
        <w:rPr>
          <w:rFonts w:ascii="Times New Roman" w:hAnsi="Times New Roman" w:cs="Times New Roman"/>
        </w:rPr>
        <w:t>. This is</w:t>
      </w:r>
      <w:r w:rsidR="00004BA3" w:rsidRPr="00622B6B">
        <w:rPr>
          <w:rFonts w:ascii="Times New Roman" w:hAnsi="Times New Roman" w:cs="Times New Roman"/>
        </w:rPr>
        <w:t xml:space="preserve"> in part </w:t>
      </w:r>
      <w:r w:rsidR="004E0511" w:rsidRPr="00622B6B">
        <w:rPr>
          <w:rFonts w:ascii="Times New Roman" w:hAnsi="Times New Roman" w:cs="Times New Roman"/>
        </w:rPr>
        <w:t xml:space="preserve">because </w:t>
      </w:r>
      <w:r w:rsidR="006054BC" w:rsidRPr="00622B6B">
        <w:rPr>
          <w:rFonts w:ascii="Times New Roman" w:hAnsi="Times New Roman" w:cs="Times New Roman"/>
        </w:rPr>
        <w:t>it can be roo</w:t>
      </w:r>
      <w:r w:rsidR="00004BA3" w:rsidRPr="00622B6B">
        <w:rPr>
          <w:rFonts w:ascii="Times New Roman" w:hAnsi="Times New Roman" w:cs="Times New Roman"/>
        </w:rPr>
        <w:t>ted within positive international law</w:t>
      </w:r>
      <w:r w:rsidR="009417A6" w:rsidRPr="00622B6B">
        <w:rPr>
          <w:rFonts w:ascii="Times New Roman" w:hAnsi="Times New Roman" w:cs="Times New Roman"/>
        </w:rPr>
        <w:t xml:space="preserve"> as understood here</w:t>
      </w:r>
      <w:r w:rsidR="00622B6B">
        <w:rPr>
          <w:rFonts w:ascii="Times New Roman" w:hAnsi="Times New Roman" w:cs="Times New Roman"/>
        </w:rPr>
        <w:t xml:space="preserve"> (e</w:t>
      </w:r>
      <w:r w:rsidR="00622B6B" w:rsidRPr="00622B6B">
        <w:rPr>
          <w:rFonts w:ascii="Times New Roman" w:hAnsi="Times New Roman" w:cs="Times New Roman"/>
        </w:rPr>
        <w:t>g, pp 108, 133-134</w:t>
      </w:r>
      <w:r w:rsidR="00622B6B">
        <w:rPr>
          <w:rFonts w:ascii="Times New Roman" w:hAnsi="Times New Roman" w:cs="Times New Roman"/>
        </w:rPr>
        <w:t>)</w:t>
      </w:r>
      <w:r w:rsidR="00A00466" w:rsidRPr="00622B6B">
        <w:rPr>
          <w:rFonts w:ascii="Times New Roman" w:hAnsi="Times New Roman" w:cs="Times New Roman"/>
        </w:rPr>
        <w:t>, but also because (in the author’s view) equity provides a more intellectually consistent explanation of DSB practice in these areas.</w:t>
      </w:r>
      <w:r w:rsidR="00A00466" w:rsidRPr="00622B6B">
        <w:rPr>
          <w:rStyle w:val="FootnoteReference"/>
          <w:rFonts w:ascii="Times New Roman" w:hAnsi="Times New Roman" w:cs="Times New Roman"/>
        </w:rPr>
        <w:footnoteReference w:id="6"/>
      </w:r>
      <w:r w:rsidR="004D3561" w:rsidRPr="00622B6B">
        <w:rPr>
          <w:rFonts w:ascii="Times New Roman" w:hAnsi="Times New Roman" w:cs="Times New Roman"/>
        </w:rPr>
        <w:t xml:space="preserve"> </w:t>
      </w:r>
      <w:r w:rsidR="00351D11" w:rsidRPr="00622B6B">
        <w:rPr>
          <w:rFonts w:ascii="Times New Roman" w:hAnsi="Times New Roman" w:cs="Times New Roman"/>
        </w:rPr>
        <w:t xml:space="preserve">These two trends – a focus on justification through claiming identification of </w:t>
      </w:r>
      <w:r w:rsidR="00351D11" w:rsidRPr="00622B6B">
        <w:rPr>
          <w:rFonts w:ascii="Times New Roman" w:hAnsi="Times New Roman" w:cs="Times New Roman"/>
          <w:i/>
        </w:rPr>
        <w:t>lex lata</w:t>
      </w:r>
      <w:r w:rsidR="00351D11" w:rsidRPr="00622B6B">
        <w:rPr>
          <w:rFonts w:ascii="Times New Roman" w:hAnsi="Times New Roman" w:cs="Times New Roman"/>
        </w:rPr>
        <w:t xml:space="preserve">, and a desire for intellectual order within the legal system – run through the argumentation in the book. As we shall return to, this has </w:t>
      </w:r>
      <w:r w:rsidR="00655610" w:rsidRPr="00622B6B">
        <w:rPr>
          <w:rFonts w:ascii="Times New Roman" w:hAnsi="Times New Roman" w:cs="Times New Roman"/>
        </w:rPr>
        <w:t>great merit</w:t>
      </w:r>
      <w:r w:rsidR="00351D11" w:rsidRPr="00622B6B">
        <w:rPr>
          <w:rFonts w:ascii="Times New Roman" w:hAnsi="Times New Roman" w:cs="Times New Roman"/>
        </w:rPr>
        <w:t xml:space="preserve"> but also begs questions of the proposed solutions</w:t>
      </w:r>
      <w:r w:rsidR="00655610" w:rsidRPr="00622B6B">
        <w:rPr>
          <w:rFonts w:ascii="Times New Roman" w:hAnsi="Times New Roman" w:cs="Times New Roman"/>
        </w:rPr>
        <w:t>’</w:t>
      </w:r>
      <w:r w:rsidR="00351D11" w:rsidRPr="00622B6B">
        <w:rPr>
          <w:rFonts w:ascii="Times New Roman" w:hAnsi="Times New Roman" w:cs="Times New Roman"/>
        </w:rPr>
        <w:t xml:space="preserve"> practical applicability within the WTO.   </w:t>
      </w:r>
    </w:p>
    <w:p w14:paraId="14B49A2B" w14:textId="77777777" w:rsidR="00502AC2" w:rsidRPr="00E4650E" w:rsidRDefault="00502AC2" w:rsidP="00F35146">
      <w:pPr>
        <w:jc w:val="both"/>
        <w:rPr>
          <w:rFonts w:ascii="Times New Roman" w:hAnsi="Times New Roman" w:cs="Times New Roman"/>
        </w:rPr>
      </w:pPr>
    </w:p>
    <w:p w14:paraId="39236DA5" w14:textId="1E208D0C" w:rsidR="00385139" w:rsidRPr="00622B6B" w:rsidRDefault="00985786" w:rsidP="00F35146">
      <w:pPr>
        <w:jc w:val="both"/>
        <w:rPr>
          <w:rFonts w:ascii="Times New Roman" w:hAnsi="Times New Roman" w:cs="Times New Roman"/>
        </w:rPr>
      </w:pPr>
      <w:r w:rsidRPr="00622B6B">
        <w:rPr>
          <w:rFonts w:ascii="Times New Roman" w:hAnsi="Times New Roman" w:cs="Times New Roman"/>
        </w:rPr>
        <w:t xml:space="preserve">In making his argument, each step of Gourgourinis’ analysis is meticulously </w:t>
      </w:r>
      <w:r w:rsidR="00BE35AF" w:rsidRPr="00622B6B">
        <w:rPr>
          <w:rFonts w:ascii="Times New Roman" w:hAnsi="Times New Roman" w:cs="Times New Roman"/>
        </w:rPr>
        <w:t>set out</w:t>
      </w:r>
      <w:r w:rsidRPr="00622B6B">
        <w:rPr>
          <w:rFonts w:ascii="Times New Roman" w:hAnsi="Times New Roman" w:cs="Times New Roman"/>
        </w:rPr>
        <w:t xml:space="preserve"> </w:t>
      </w:r>
      <w:r w:rsidR="00BE35AF" w:rsidRPr="00622B6B">
        <w:rPr>
          <w:rFonts w:ascii="Times New Roman" w:hAnsi="Times New Roman" w:cs="Times New Roman"/>
        </w:rPr>
        <w:t xml:space="preserve">and </w:t>
      </w:r>
      <w:r w:rsidR="00C11707" w:rsidRPr="00622B6B">
        <w:rPr>
          <w:rFonts w:ascii="Times New Roman" w:hAnsi="Times New Roman" w:cs="Times New Roman"/>
        </w:rPr>
        <w:t>rarely</w:t>
      </w:r>
      <w:r w:rsidR="0054461E" w:rsidRPr="00622B6B">
        <w:rPr>
          <w:rFonts w:ascii="Times New Roman" w:hAnsi="Times New Roman" w:cs="Times New Roman"/>
        </w:rPr>
        <w:t xml:space="preserve"> is the reader expected to take anything for granted. </w:t>
      </w:r>
      <w:r w:rsidRPr="00622B6B">
        <w:rPr>
          <w:rFonts w:ascii="Times New Roman" w:hAnsi="Times New Roman" w:cs="Times New Roman"/>
        </w:rPr>
        <w:t>This is both a strength and weakness</w:t>
      </w:r>
      <w:r w:rsidR="00ED6621" w:rsidRPr="00622B6B">
        <w:rPr>
          <w:rFonts w:ascii="Times New Roman" w:hAnsi="Times New Roman" w:cs="Times New Roman"/>
        </w:rPr>
        <w:t>.</w:t>
      </w:r>
      <w:r w:rsidRPr="00622B6B">
        <w:rPr>
          <w:rFonts w:ascii="Times New Roman" w:hAnsi="Times New Roman" w:cs="Times New Roman"/>
        </w:rPr>
        <w:t xml:space="preserve"> </w:t>
      </w:r>
      <w:r w:rsidR="00ED6621" w:rsidRPr="00622B6B">
        <w:rPr>
          <w:rFonts w:ascii="Times New Roman" w:hAnsi="Times New Roman" w:cs="Times New Roman"/>
        </w:rPr>
        <w:t>T</w:t>
      </w:r>
      <w:r w:rsidR="00790F4E" w:rsidRPr="00622B6B">
        <w:rPr>
          <w:rFonts w:ascii="Times New Roman" w:hAnsi="Times New Roman" w:cs="Times New Roman"/>
        </w:rPr>
        <w:t xml:space="preserve">here is no questioning Gourgourinis’ knowledge and </w:t>
      </w:r>
      <w:r w:rsidR="00ED6621" w:rsidRPr="00622B6B">
        <w:rPr>
          <w:rFonts w:ascii="Times New Roman" w:hAnsi="Times New Roman" w:cs="Times New Roman"/>
        </w:rPr>
        <w:t>technical skill</w:t>
      </w:r>
      <w:r w:rsidR="00790F4E" w:rsidRPr="00622B6B">
        <w:rPr>
          <w:rFonts w:ascii="Times New Roman" w:hAnsi="Times New Roman" w:cs="Times New Roman"/>
        </w:rPr>
        <w:t xml:space="preserve"> </w:t>
      </w:r>
      <w:r w:rsidR="00ED6621" w:rsidRPr="00622B6B">
        <w:rPr>
          <w:rFonts w:ascii="Times New Roman" w:hAnsi="Times New Roman" w:cs="Times New Roman"/>
        </w:rPr>
        <w:t>(</w:t>
      </w:r>
      <w:r w:rsidR="00790F4E" w:rsidRPr="00622B6B">
        <w:rPr>
          <w:rFonts w:ascii="Times New Roman" w:hAnsi="Times New Roman" w:cs="Times New Roman"/>
        </w:rPr>
        <w:t>not only in WTO law but in international law generally</w:t>
      </w:r>
      <w:r w:rsidR="00ED6621" w:rsidRPr="00622B6B">
        <w:rPr>
          <w:rFonts w:ascii="Times New Roman" w:hAnsi="Times New Roman" w:cs="Times New Roman"/>
        </w:rPr>
        <w:t>)</w:t>
      </w:r>
      <w:r w:rsidR="00790F4E" w:rsidRPr="00622B6B">
        <w:rPr>
          <w:rFonts w:ascii="Times New Roman" w:hAnsi="Times New Roman" w:cs="Times New Roman"/>
        </w:rPr>
        <w:t xml:space="preserve"> </w:t>
      </w:r>
      <w:r w:rsidR="00ED6621" w:rsidRPr="00622B6B">
        <w:rPr>
          <w:rFonts w:ascii="Times New Roman" w:hAnsi="Times New Roman" w:cs="Times New Roman"/>
        </w:rPr>
        <w:t>y</w:t>
      </w:r>
      <w:r w:rsidR="00790F4E" w:rsidRPr="00622B6B">
        <w:rPr>
          <w:rFonts w:ascii="Times New Roman" w:hAnsi="Times New Roman" w:cs="Times New Roman"/>
        </w:rPr>
        <w:t>e</w:t>
      </w:r>
      <w:r w:rsidR="00ED6621" w:rsidRPr="00622B6B">
        <w:rPr>
          <w:rFonts w:ascii="Times New Roman" w:hAnsi="Times New Roman" w:cs="Times New Roman"/>
        </w:rPr>
        <w:t>t</w:t>
      </w:r>
      <w:r w:rsidR="00790F4E" w:rsidRPr="00622B6B">
        <w:rPr>
          <w:rFonts w:ascii="Times New Roman" w:hAnsi="Times New Roman" w:cs="Times New Roman"/>
        </w:rPr>
        <w:t xml:space="preserve"> there are steps of the argumen</w:t>
      </w:r>
      <w:r w:rsidR="00BE35AF" w:rsidRPr="00622B6B">
        <w:rPr>
          <w:rFonts w:ascii="Times New Roman" w:hAnsi="Times New Roman" w:cs="Times New Roman"/>
        </w:rPr>
        <w:t xml:space="preserve">t which are of </w:t>
      </w:r>
      <w:r w:rsidR="00BE35AF" w:rsidRPr="00622B6B">
        <w:rPr>
          <w:rFonts w:ascii="Times New Roman" w:hAnsi="Times New Roman" w:cs="Times New Roman"/>
        </w:rPr>
        <w:lastRenderedPageBreak/>
        <w:t>questionable utility</w:t>
      </w:r>
      <w:r w:rsidR="003225B4" w:rsidRPr="00622B6B">
        <w:rPr>
          <w:rFonts w:ascii="Times New Roman" w:hAnsi="Times New Roman" w:cs="Times New Roman"/>
        </w:rPr>
        <w:t>.</w:t>
      </w:r>
      <w:r w:rsidR="00790F4E" w:rsidRPr="00622B6B">
        <w:rPr>
          <w:rFonts w:ascii="Times New Roman" w:hAnsi="Times New Roman" w:cs="Times New Roman"/>
        </w:rPr>
        <w:t xml:space="preserve"> </w:t>
      </w:r>
      <w:r w:rsidR="003225B4" w:rsidRPr="00622B6B">
        <w:rPr>
          <w:rFonts w:ascii="Times New Roman" w:hAnsi="Times New Roman" w:cs="Times New Roman"/>
        </w:rPr>
        <w:t>T</w:t>
      </w:r>
      <w:r w:rsidR="00DF0FD6" w:rsidRPr="00622B6B">
        <w:rPr>
          <w:rFonts w:ascii="Times New Roman" w:hAnsi="Times New Roman" w:cs="Times New Roman"/>
        </w:rPr>
        <w:t xml:space="preserve">hat WTO law constitutes part of international law is </w:t>
      </w:r>
      <w:r w:rsidR="003225B4" w:rsidRPr="00622B6B">
        <w:rPr>
          <w:rFonts w:ascii="Times New Roman" w:hAnsi="Times New Roman" w:cs="Times New Roman"/>
        </w:rPr>
        <w:t xml:space="preserve">almost entirely </w:t>
      </w:r>
      <w:r w:rsidR="00DF0FD6" w:rsidRPr="00622B6B">
        <w:rPr>
          <w:rFonts w:ascii="Times New Roman" w:hAnsi="Times New Roman" w:cs="Times New Roman"/>
        </w:rPr>
        <w:t xml:space="preserve">unquestioned by </w:t>
      </w:r>
      <w:r w:rsidR="003225B4" w:rsidRPr="00622B6B">
        <w:rPr>
          <w:rFonts w:ascii="Times New Roman" w:hAnsi="Times New Roman" w:cs="Times New Roman"/>
        </w:rPr>
        <w:t xml:space="preserve">commentators, </w:t>
      </w:r>
      <w:r w:rsidR="00DF0FD6" w:rsidRPr="00622B6B">
        <w:rPr>
          <w:rFonts w:ascii="Times New Roman" w:hAnsi="Times New Roman" w:cs="Times New Roman"/>
        </w:rPr>
        <w:t>WTO bodies</w:t>
      </w:r>
      <w:r w:rsidR="003225B4" w:rsidRPr="00622B6B">
        <w:rPr>
          <w:rFonts w:ascii="Times New Roman" w:hAnsi="Times New Roman" w:cs="Times New Roman"/>
        </w:rPr>
        <w:t>,</w:t>
      </w:r>
      <w:r w:rsidR="003225B4" w:rsidRPr="00622B6B">
        <w:rPr>
          <w:rStyle w:val="FootnoteReference"/>
          <w:rFonts w:ascii="Times New Roman" w:hAnsi="Times New Roman" w:cs="Times New Roman"/>
        </w:rPr>
        <w:footnoteReference w:id="7"/>
      </w:r>
      <w:r w:rsidR="00DF0FD6" w:rsidRPr="00622B6B">
        <w:rPr>
          <w:rFonts w:ascii="Times New Roman" w:hAnsi="Times New Roman" w:cs="Times New Roman"/>
        </w:rPr>
        <w:t xml:space="preserve"> or other international organizations</w:t>
      </w:r>
      <w:r w:rsidR="007D5FEC" w:rsidRPr="00622B6B">
        <w:rPr>
          <w:rFonts w:ascii="Times New Roman" w:hAnsi="Times New Roman" w:cs="Times New Roman"/>
        </w:rPr>
        <w:t>.</w:t>
      </w:r>
      <w:r w:rsidR="00027AFD" w:rsidRPr="00622B6B">
        <w:rPr>
          <w:rStyle w:val="FootnoteReference"/>
          <w:rFonts w:ascii="Times New Roman" w:hAnsi="Times New Roman" w:cs="Times New Roman"/>
        </w:rPr>
        <w:footnoteReference w:id="8"/>
      </w:r>
      <w:r w:rsidR="007D5FEC" w:rsidRPr="00622B6B">
        <w:rPr>
          <w:rFonts w:ascii="Times New Roman" w:hAnsi="Times New Roman" w:cs="Times New Roman"/>
        </w:rPr>
        <w:t xml:space="preserve"> T</w:t>
      </w:r>
      <w:r w:rsidR="00DF0FD6" w:rsidRPr="00622B6B">
        <w:rPr>
          <w:rFonts w:ascii="Times New Roman" w:hAnsi="Times New Roman" w:cs="Times New Roman"/>
        </w:rPr>
        <w:t>his claim does not require two pages and 12 footnotes</w:t>
      </w:r>
      <w:r w:rsidR="00622B6B">
        <w:rPr>
          <w:rFonts w:ascii="Times New Roman" w:hAnsi="Times New Roman" w:cs="Times New Roman"/>
        </w:rPr>
        <w:t xml:space="preserve"> (</w:t>
      </w:r>
      <w:r w:rsidR="00622B6B" w:rsidRPr="00622B6B">
        <w:rPr>
          <w:rFonts w:ascii="Times New Roman" w:hAnsi="Times New Roman" w:cs="Times New Roman"/>
        </w:rPr>
        <w:t>pp 8-9</w:t>
      </w:r>
      <w:r w:rsidR="00622B6B">
        <w:rPr>
          <w:rFonts w:ascii="Times New Roman" w:hAnsi="Times New Roman" w:cs="Times New Roman"/>
        </w:rPr>
        <w:t>)</w:t>
      </w:r>
      <w:r w:rsidR="007D5FEC" w:rsidRPr="00622B6B">
        <w:rPr>
          <w:rFonts w:ascii="Times New Roman" w:hAnsi="Times New Roman" w:cs="Times New Roman"/>
        </w:rPr>
        <w:t>. T</w:t>
      </w:r>
      <w:r w:rsidR="00DF0FD6" w:rsidRPr="00622B6B">
        <w:rPr>
          <w:rFonts w:ascii="Times New Roman" w:hAnsi="Times New Roman" w:cs="Times New Roman"/>
        </w:rPr>
        <w:t>hat panels and the Appellate Body constitute international tribunals the author himself acknowledges ‘is largely accepted’</w:t>
      </w:r>
      <w:r w:rsidR="0093582F">
        <w:rPr>
          <w:rFonts w:ascii="Times New Roman" w:hAnsi="Times New Roman" w:cs="Times New Roman"/>
        </w:rPr>
        <w:t xml:space="preserve"> (</w:t>
      </w:r>
      <w:r w:rsidR="0093582F" w:rsidRPr="0093582F">
        <w:rPr>
          <w:rFonts w:ascii="Times New Roman" w:hAnsi="Times New Roman" w:cs="Times New Roman"/>
        </w:rPr>
        <w:t>p 11</w:t>
      </w:r>
      <w:r w:rsidR="0093582F">
        <w:rPr>
          <w:rFonts w:ascii="Times New Roman" w:hAnsi="Times New Roman" w:cs="Times New Roman"/>
        </w:rPr>
        <w:t>)</w:t>
      </w:r>
      <w:r w:rsidR="00DF0FD6" w:rsidRPr="00622B6B">
        <w:rPr>
          <w:rFonts w:ascii="Times New Roman" w:hAnsi="Times New Roman" w:cs="Times New Roman"/>
        </w:rPr>
        <w:t xml:space="preserve">, </w:t>
      </w:r>
      <w:r w:rsidR="00D6155B" w:rsidRPr="00622B6B">
        <w:rPr>
          <w:rFonts w:ascii="Times New Roman" w:hAnsi="Times New Roman" w:cs="Times New Roman"/>
        </w:rPr>
        <w:t>yet we are treated to</w:t>
      </w:r>
      <w:r w:rsidR="00DF0FD6" w:rsidRPr="00622B6B">
        <w:rPr>
          <w:rFonts w:ascii="Times New Roman" w:hAnsi="Times New Roman" w:cs="Times New Roman"/>
        </w:rPr>
        <w:t xml:space="preserve"> </w:t>
      </w:r>
      <w:r w:rsidR="00F62923" w:rsidRPr="00622B6B">
        <w:rPr>
          <w:rFonts w:ascii="Times New Roman" w:hAnsi="Times New Roman" w:cs="Times New Roman"/>
        </w:rPr>
        <w:t>five</w:t>
      </w:r>
      <w:r w:rsidR="0099544A" w:rsidRPr="00622B6B">
        <w:rPr>
          <w:rFonts w:ascii="Times New Roman" w:hAnsi="Times New Roman" w:cs="Times New Roman"/>
        </w:rPr>
        <w:t xml:space="preserve"> heavily-</w:t>
      </w:r>
      <w:r w:rsidR="00D6155B" w:rsidRPr="00622B6B">
        <w:rPr>
          <w:rFonts w:ascii="Times New Roman" w:hAnsi="Times New Roman" w:cs="Times New Roman"/>
        </w:rPr>
        <w:t>footnoted pages making this point</w:t>
      </w:r>
      <w:r w:rsidR="00622B6B">
        <w:rPr>
          <w:rFonts w:ascii="Times New Roman" w:hAnsi="Times New Roman" w:cs="Times New Roman"/>
        </w:rPr>
        <w:t xml:space="preserve"> (</w:t>
      </w:r>
      <w:r w:rsidR="00622B6B" w:rsidRPr="00622B6B">
        <w:rPr>
          <w:rFonts w:ascii="Times New Roman" w:hAnsi="Times New Roman" w:cs="Times New Roman"/>
        </w:rPr>
        <w:t>pp 10-14</w:t>
      </w:r>
      <w:r w:rsidR="00622B6B">
        <w:rPr>
          <w:rFonts w:ascii="Times New Roman" w:hAnsi="Times New Roman" w:cs="Times New Roman"/>
        </w:rPr>
        <w:t>)</w:t>
      </w:r>
      <w:r w:rsidR="00D6155B" w:rsidRPr="00622B6B">
        <w:rPr>
          <w:rFonts w:ascii="Times New Roman" w:hAnsi="Times New Roman" w:cs="Times New Roman"/>
        </w:rPr>
        <w:t>.</w:t>
      </w:r>
      <w:r w:rsidR="00DF0FD6" w:rsidRPr="00622B6B">
        <w:rPr>
          <w:rFonts w:ascii="Times New Roman" w:hAnsi="Times New Roman" w:cs="Times New Roman"/>
        </w:rPr>
        <w:t xml:space="preserve"> </w:t>
      </w:r>
      <w:r w:rsidR="00D6155B" w:rsidRPr="00622B6B">
        <w:rPr>
          <w:rFonts w:ascii="Times New Roman" w:hAnsi="Times New Roman" w:cs="Times New Roman"/>
        </w:rPr>
        <w:t xml:space="preserve">It may seem churlish to identify such examples when the author’s objective is </w:t>
      </w:r>
      <w:r w:rsidR="00246F53" w:rsidRPr="00622B6B">
        <w:rPr>
          <w:rFonts w:ascii="Times New Roman" w:hAnsi="Times New Roman" w:cs="Times New Roman"/>
        </w:rPr>
        <w:t>to provide a watertight position and defen</w:t>
      </w:r>
      <w:r w:rsidR="0014081E" w:rsidRPr="00622B6B">
        <w:rPr>
          <w:rFonts w:ascii="Times New Roman" w:hAnsi="Times New Roman" w:cs="Times New Roman"/>
        </w:rPr>
        <w:t>d against fundamental critiques, yet it</w:t>
      </w:r>
      <w:r w:rsidR="005871D4" w:rsidRPr="00622B6B">
        <w:rPr>
          <w:rFonts w:ascii="Times New Roman" w:hAnsi="Times New Roman" w:cs="Times New Roman"/>
        </w:rPr>
        <w:t xml:space="preserve"> matters</w:t>
      </w:r>
      <w:r w:rsidR="00246F53" w:rsidRPr="00622B6B">
        <w:rPr>
          <w:rFonts w:ascii="Times New Roman" w:hAnsi="Times New Roman" w:cs="Times New Roman"/>
        </w:rPr>
        <w:t xml:space="preserve"> because space is not unlimited and the best of the author’s ideas </w:t>
      </w:r>
      <w:r w:rsidR="00E40D14" w:rsidRPr="00E4650E">
        <w:rPr>
          <w:rFonts w:ascii="Times New Roman" w:hAnsi="Times New Roman" w:cs="Times New Roman"/>
        </w:rPr>
        <w:t xml:space="preserve">are given less opportunity </w:t>
      </w:r>
      <w:r w:rsidR="00AD7F05" w:rsidRPr="00E4650E">
        <w:rPr>
          <w:rFonts w:ascii="Times New Roman" w:hAnsi="Times New Roman" w:cs="Times New Roman"/>
        </w:rPr>
        <w:t xml:space="preserve">to be explored exactly because so much analysis is dedicated to answering questions that could be </w:t>
      </w:r>
      <w:r w:rsidR="00E40D14" w:rsidRPr="00622B6B">
        <w:rPr>
          <w:rFonts w:ascii="Times New Roman" w:hAnsi="Times New Roman" w:cs="Times New Roman"/>
        </w:rPr>
        <w:t>skipped</w:t>
      </w:r>
      <w:r w:rsidR="00AD7F05" w:rsidRPr="00622B6B">
        <w:rPr>
          <w:rFonts w:ascii="Times New Roman" w:hAnsi="Times New Roman" w:cs="Times New Roman"/>
        </w:rPr>
        <w:t xml:space="preserve">. </w:t>
      </w:r>
    </w:p>
    <w:p w14:paraId="5FD929C3" w14:textId="77777777" w:rsidR="00385139" w:rsidRPr="00622B6B" w:rsidRDefault="00385139" w:rsidP="00F35146">
      <w:pPr>
        <w:jc w:val="both"/>
        <w:rPr>
          <w:rFonts w:ascii="Times New Roman" w:hAnsi="Times New Roman" w:cs="Times New Roman"/>
        </w:rPr>
      </w:pPr>
    </w:p>
    <w:p w14:paraId="559B0106" w14:textId="1D67780B" w:rsidR="008C1A9D" w:rsidRPr="00622B6B" w:rsidRDefault="002E727D" w:rsidP="00F35146">
      <w:pPr>
        <w:jc w:val="both"/>
        <w:rPr>
          <w:rFonts w:ascii="Times New Roman" w:hAnsi="Times New Roman" w:cs="Times New Roman"/>
        </w:rPr>
      </w:pPr>
      <w:r w:rsidRPr="00622B6B">
        <w:rPr>
          <w:rFonts w:ascii="Times New Roman" w:hAnsi="Times New Roman" w:cs="Times New Roman"/>
        </w:rPr>
        <w:t>And there is much innova</w:t>
      </w:r>
      <w:r w:rsidR="00E652E7" w:rsidRPr="00622B6B">
        <w:rPr>
          <w:rFonts w:ascii="Times New Roman" w:hAnsi="Times New Roman" w:cs="Times New Roman"/>
        </w:rPr>
        <w:t>tion here: C</w:t>
      </w:r>
      <w:r w:rsidR="00AD7F05" w:rsidRPr="00622B6B">
        <w:rPr>
          <w:rFonts w:ascii="Times New Roman" w:hAnsi="Times New Roman" w:cs="Times New Roman"/>
        </w:rPr>
        <w:t xml:space="preserve">hapter 4 </w:t>
      </w:r>
      <w:r w:rsidR="00FE133A" w:rsidRPr="00622B6B">
        <w:rPr>
          <w:rFonts w:ascii="Times New Roman" w:hAnsi="Times New Roman" w:cs="Times New Roman"/>
        </w:rPr>
        <w:t xml:space="preserve">provides an </w:t>
      </w:r>
      <w:r w:rsidR="00E40D14" w:rsidRPr="00622B6B">
        <w:rPr>
          <w:rFonts w:ascii="Times New Roman" w:hAnsi="Times New Roman" w:cs="Times New Roman"/>
        </w:rPr>
        <w:t>account</w:t>
      </w:r>
      <w:r w:rsidR="00FE133A" w:rsidRPr="00622B6B">
        <w:rPr>
          <w:rFonts w:ascii="Times New Roman" w:hAnsi="Times New Roman" w:cs="Times New Roman"/>
        </w:rPr>
        <w:t xml:space="preserve"> of ‘normative </w:t>
      </w:r>
      <w:r w:rsidR="00E40D14" w:rsidRPr="00622B6B">
        <w:rPr>
          <w:rFonts w:ascii="Times New Roman" w:hAnsi="Times New Roman" w:cs="Times New Roman"/>
        </w:rPr>
        <w:t xml:space="preserve">parallelism’ and ‘normative </w:t>
      </w:r>
      <w:r w:rsidR="00FE133A" w:rsidRPr="00622B6B">
        <w:rPr>
          <w:rFonts w:ascii="Times New Roman" w:hAnsi="Times New Roman" w:cs="Times New Roman"/>
        </w:rPr>
        <w:t xml:space="preserve">conflict’ which is quite different to </w:t>
      </w:r>
      <w:r w:rsidR="00132FF5" w:rsidRPr="00622B6B">
        <w:rPr>
          <w:rFonts w:ascii="Times New Roman" w:hAnsi="Times New Roman" w:cs="Times New Roman"/>
        </w:rPr>
        <w:t>comparable accounts</w:t>
      </w:r>
      <w:r w:rsidR="002672E1" w:rsidRPr="00622B6B">
        <w:rPr>
          <w:rFonts w:ascii="Times New Roman" w:hAnsi="Times New Roman" w:cs="Times New Roman"/>
        </w:rPr>
        <w:t xml:space="preserve">. </w:t>
      </w:r>
      <w:r w:rsidR="003232AB" w:rsidRPr="00622B6B">
        <w:rPr>
          <w:rFonts w:ascii="Times New Roman" w:hAnsi="Times New Roman" w:cs="Times New Roman"/>
        </w:rPr>
        <w:t xml:space="preserve">Here the author distinguishes ‘genuine normative conflicts’ from ‘conflicting </w:t>
      </w:r>
      <w:r w:rsidR="003E2A5B" w:rsidRPr="00622B6B">
        <w:rPr>
          <w:rFonts w:ascii="Times New Roman" w:hAnsi="Times New Roman" w:cs="Times New Roman"/>
        </w:rPr>
        <w:t>obligations</w:t>
      </w:r>
      <w:r w:rsidR="003232AB" w:rsidRPr="00622B6B">
        <w:rPr>
          <w:rFonts w:ascii="Times New Roman" w:hAnsi="Times New Roman" w:cs="Times New Roman"/>
        </w:rPr>
        <w:t xml:space="preserve"> of a given State’ and </w:t>
      </w:r>
      <w:r w:rsidR="00785122" w:rsidRPr="00622B6B">
        <w:rPr>
          <w:rFonts w:ascii="Times New Roman" w:hAnsi="Times New Roman" w:cs="Times New Roman"/>
        </w:rPr>
        <w:t>‘inherent normative conflicts’</w:t>
      </w:r>
      <w:r w:rsidR="0093582F">
        <w:rPr>
          <w:rFonts w:ascii="Times New Roman" w:hAnsi="Times New Roman" w:cs="Times New Roman"/>
        </w:rPr>
        <w:t xml:space="preserve"> (</w:t>
      </w:r>
      <w:r w:rsidR="0093582F" w:rsidRPr="0093582F">
        <w:rPr>
          <w:rFonts w:ascii="Times New Roman" w:hAnsi="Times New Roman" w:cs="Times New Roman"/>
        </w:rPr>
        <w:t>pp 178-9</w:t>
      </w:r>
      <w:r w:rsidR="0093582F">
        <w:rPr>
          <w:rFonts w:ascii="Times New Roman" w:hAnsi="Times New Roman" w:cs="Times New Roman"/>
        </w:rPr>
        <w:t>)</w:t>
      </w:r>
      <w:r w:rsidR="003E2A5B" w:rsidRPr="0093582F">
        <w:rPr>
          <w:rFonts w:ascii="Times New Roman" w:hAnsi="Times New Roman" w:cs="Times New Roman"/>
        </w:rPr>
        <w:t>.</w:t>
      </w:r>
      <w:r w:rsidR="003E2A5B" w:rsidRPr="00622B6B">
        <w:rPr>
          <w:rFonts w:ascii="Times New Roman" w:hAnsi="Times New Roman" w:cs="Times New Roman"/>
        </w:rPr>
        <w:t xml:space="preserve"> </w:t>
      </w:r>
      <w:r w:rsidR="006010F6" w:rsidRPr="00622B6B">
        <w:rPr>
          <w:rFonts w:ascii="Times New Roman" w:hAnsi="Times New Roman" w:cs="Times New Roman"/>
        </w:rPr>
        <w:t xml:space="preserve">It is a conceptually dense </w:t>
      </w:r>
      <w:r w:rsidR="00913CCC" w:rsidRPr="00622B6B">
        <w:rPr>
          <w:rFonts w:ascii="Times New Roman" w:hAnsi="Times New Roman" w:cs="Times New Roman"/>
        </w:rPr>
        <w:t xml:space="preserve">method of identifying conflicts: </w:t>
      </w:r>
      <w:r w:rsidR="00997484" w:rsidRPr="00622B6B">
        <w:rPr>
          <w:rFonts w:ascii="Times New Roman" w:hAnsi="Times New Roman" w:cs="Times New Roman"/>
        </w:rPr>
        <w:t>we are told that a true normative conflict exists where ‘each [norm’s] final application would lead to a different, if not opposite, juridical result, so that, in effect, alternative application as the result of the resolution of the normative conflicts constitutes essentially an implicit choice among potential judicial outcomes of the dispute.’</w:t>
      </w:r>
      <w:r w:rsidR="0093582F">
        <w:rPr>
          <w:rFonts w:ascii="Times New Roman" w:hAnsi="Times New Roman" w:cs="Times New Roman"/>
        </w:rPr>
        <w:t xml:space="preserve"> (</w:t>
      </w:r>
      <w:r w:rsidR="0093582F" w:rsidRPr="0093582F">
        <w:rPr>
          <w:rFonts w:ascii="Times New Roman" w:hAnsi="Times New Roman" w:cs="Times New Roman"/>
        </w:rPr>
        <w:t>p 175</w:t>
      </w:r>
      <w:r w:rsidR="0093582F">
        <w:rPr>
          <w:rFonts w:ascii="Times New Roman" w:hAnsi="Times New Roman" w:cs="Times New Roman"/>
        </w:rPr>
        <w:t>)</w:t>
      </w:r>
      <w:r w:rsidR="000B63E3" w:rsidRPr="00622B6B">
        <w:rPr>
          <w:rFonts w:ascii="Times New Roman" w:hAnsi="Times New Roman" w:cs="Times New Roman"/>
        </w:rPr>
        <w:t xml:space="preserve"> </w:t>
      </w:r>
      <w:r w:rsidR="003F2158" w:rsidRPr="00622B6B">
        <w:rPr>
          <w:rFonts w:ascii="Times New Roman" w:hAnsi="Times New Roman" w:cs="Times New Roman"/>
        </w:rPr>
        <w:t xml:space="preserve">The structure of this definition is closely tied to processes of judicial decision-making, </w:t>
      </w:r>
      <w:r w:rsidR="00171313" w:rsidRPr="00622B6B">
        <w:rPr>
          <w:rFonts w:ascii="Times New Roman" w:hAnsi="Times New Roman" w:cs="Times New Roman"/>
        </w:rPr>
        <w:t xml:space="preserve">and of making claims within the judicial process: </w:t>
      </w:r>
      <w:r w:rsidR="00171313" w:rsidRPr="00E4650E">
        <w:rPr>
          <w:rFonts w:ascii="Times New Roman" w:hAnsi="Times New Roman" w:cs="Times New Roman"/>
        </w:rPr>
        <w:t>‘genuinely conflicting claims are essentially expressive of the invocation of conflicting norms</w:t>
      </w:r>
      <w:r w:rsidR="008952A8" w:rsidRPr="0093582F">
        <w:rPr>
          <w:rFonts w:ascii="Times New Roman" w:hAnsi="Times New Roman" w:cs="Times New Roman"/>
        </w:rPr>
        <w:t>’</w:t>
      </w:r>
      <w:r w:rsidR="0093582F">
        <w:rPr>
          <w:rFonts w:ascii="Times New Roman" w:hAnsi="Times New Roman" w:cs="Times New Roman"/>
        </w:rPr>
        <w:t xml:space="preserve"> (</w:t>
      </w:r>
      <w:r w:rsidR="0093582F" w:rsidRPr="0093582F">
        <w:rPr>
          <w:rFonts w:ascii="Times New Roman" w:hAnsi="Times New Roman" w:cs="Times New Roman"/>
        </w:rPr>
        <w:t>p 176</w:t>
      </w:r>
      <w:r w:rsidR="0093582F">
        <w:rPr>
          <w:rFonts w:ascii="Times New Roman" w:hAnsi="Times New Roman" w:cs="Times New Roman"/>
        </w:rPr>
        <w:t>)</w:t>
      </w:r>
      <w:r w:rsidR="00171313" w:rsidRPr="0093582F">
        <w:rPr>
          <w:rFonts w:ascii="Times New Roman" w:hAnsi="Times New Roman" w:cs="Times New Roman"/>
        </w:rPr>
        <w:t>.</w:t>
      </w:r>
      <w:r w:rsidR="003F2158" w:rsidRPr="00622B6B">
        <w:rPr>
          <w:rFonts w:ascii="Times New Roman" w:hAnsi="Times New Roman" w:cs="Times New Roman"/>
        </w:rPr>
        <w:t xml:space="preserve"> </w:t>
      </w:r>
    </w:p>
    <w:p w14:paraId="6252D414" w14:textId="77777777" w:rsidR="008C1A9D" w:rsidRPr="00622B6B" w:rsidRDefault="008C1A9D" w:rsidP="00F35146">
      <w:pPr>
        <w:jc w:val="both"/>
        <w:rPr>
          <w:rFonts w:ascii="Times New Roman" w:hAnsi="Times New Roman" w:cs="Times New Roman"/>
        </w:rPr>
      </w:pPr>
    </w:p>
    <w:p w14:paraId="459E8668" w14:textId="2574F838" w:rsidR="00F85F3B" w:rsidRPr="00622B6B" w:rsidRDefault="00FB5710" w:rsidP="00F85F3B">
      <w:pPr>
        <w:jc w:val="both"/>
        <w:rPr>
          <w:rFonts w:ascii="Times New Roman" w:hAnsi="Times New Roman" w:cs="Times New Roman"/>
        </w:rPr>
      </w:pPr>
      <w:r w:rsidRPr="00E4650E">
        <w:rPr>
          <w:rFonts w:ascii="Times New Roman" w:hAnsi="Times New Roman" w:cs="Times New Roman"/>
        </w:rPr>
        <w:t xml:space="preserve">By </w:t>
      </w:r>
      <w:r w:rsidR="008952A8" w:rsidRPr="00E4650E">
        <w:rPr>
          <w:rFonts w:ascii="Times New Roman" w:hAnsi="Times New Roman" w:cs="Times New Roman"/>
        </w:rPr>
        <w:t xml:space="preserve">framing </w:t>
      </w:r>
      <w:r w:rsidRPr="0093582F">
        <w:rPr>
          <w:rFonts w:ascii="Times New Roman" w:hAnsi="Times New Roman" w:cs="Times New Roman"/>
        </w:rPr>
        <w:t xml:space="preserve">the definition of conflicts in this way, the author is able to </w:t>
      </w:r>
      <w:r w:rsidR="000C7715" w:rsidRPr="0093582F">
        <w:rPr>
          <w:rFonts w:ascii="Times New Roman" w:hAnsi="Times New Roman" w:cs="Times New Roman"/>
        </w:rPr>
        <w:t xml:space="preserve">subsequently </w:t>
      </w:r>
      <w:r w:rsidRPr="0093582F">
        <w:rPr>
          <w:rFonts w:ascii="Times New Roman" w:hAnsi="Times New Roman" w:cs="Times New Roman"/>
        </w:rPr>
        <w:t xml:space="preserve">discuss the use of equity in conflict avoidance/resolution beyond strict legal conflicts hitherto understood. </w:t>
      </w:r>
      <w:r w:rsidR="00A82F53" w:rsidRPr="0093582F">
        <w:rPr>
          <w:rFonts w:ascii="Times New Roman" w:hAnsi="Times New Roman" w:cs="Times New Roman"/>
        </w:rPr>
        <w:t xml:space="preserve">This is a bold move, seeking to support </w:t>
      </w:r>
      <w:r w:rsidR="000C7715" w:rsidRPr="0093582F">
        <w:rPr>
          <w:rFonts w:ascii="Times New Roman" w:hAnsi="Times New Roman" w:cs="Times New Roman"/>
        </w:rPr>
        <w:t>conceptions of</w:t>
      </w:r>
      <w:r w:rsidR="00A82F53" w:rsidRPr="0093582F">
        <w:rPr>
          <w:rFonts w:ascii="Times New Roman" w:hAnsi="Times New Roman" w:cs="Times New Roman"/>
        </w:rPr>
        <w:t xml:space="preserve"> legitimacy and fairness </w:t>
      </w:r>
      <w:r w:rsidR="000C7715" w:rsidRPr="00622B6B">
        <w:rPr>
          <w:rFonts w:ascii="Times New Roman" w:hAnsi="Times New Roman" w:cs="Times New Roman"/>
        </w:rPr>
        <w:t>within the</w:t>
      </w:r>
      <w:r w:rsidR="00A82F53" w:rsidRPr="00622B6B">
        <w:rPr>
          <w:rFonts w:ascii="Times New Roman" w:hAnsi="Times New Roman" w:cs="Times New Roman"/>
        </w:rPr>
        <w:t xml:space="preserve"> WTO legal order and </w:t>
      </w:r>
      <w:r w:rsidR="000C7715" w:rsidRPr="00622B6B">
        <w:rPr>
          <w:rFonts w:ascii="Times New Roman" w:hAnsi="Times New Roman" w:cs="Times New Roman"/>
        </w:rPr>
        <w:t xml:space="preserve">international law more widely </w:t>
      </w:r>
      <w:r w:rsidR="000036AB" w:rsidRPr="00622B6B">
        <w:rPr>
          <w:rFonts w:ascii="Times New Roman" w:hAnsi="Times New Roman" w:cs="Times New Roman"/>
        </w:rPr>
        <w:t>by allowing equity to play a role in more than narrow c</w:t>
      </w:r>
      <w:r w:rsidR="000C7715" w:rsidRPr="00622B6B">
        <w:rPr>
          <w:rFonts w:ascii="Times New Roman" w:hAnsi="Times New Roman" w:cs="Times New Roman"/>
        </w:rPr>
        <w:t>onflicts and moving</w:t>
      </w:r>
      <w:r w:rsidR="000036AB" w:rsidRPr="00622B6B">
        <w:rPr>
          <w:rFonts w:ascii="Times New Roman" w:hAnsi="Times New Roman" w:cs="Times New Roman"/>
        </w:rPr>
        <w:t xml:space="preserve"> away from the use of </w:t>
      </w:r>
      <w:r w:rsidR="008952A8" w:rsidRPr="00622B6B">
        <w:rPr>
          <w:rFonts w:ascii="Times New Roman" w:hAnsi="Times New Roman" w:cs="Times New Roman"/>
        </w:rPr>
        <w:t xml:space="preserve">Article </w:t>
      </w:r>
      <w:r w:rsidR="000036AB" w:rsidRPr="00622B6B">
        <w:rPr>
          <w:rFonts w:ascii="Times New Roman" w:hAnsi="Times New Roman" w:cs="Times New Roman"/>
        </w:rPr>
        <w:t xml:space="preserve">31(3)(C) </w:t>
      </w:r>
      <w:r w:rsidR="002F4BFF" w:rsidRPr="00622B6B">
        <w:rPr>
          <w:rFonts w:ascii="Times New Roman" w:hAnsi="Times New Roman" w:cs="Times New Roman"/>
        </w:rPr>
        <w:t xml:space="preserve">of the Vienna Convention of the Law of Treaties </w:t>
      </w:r>
      <w:r w:rsidR="000036AB" w:rsidRPr="00622B6B">
        <w:rPr>
          <w:rFonts w:ascii="Times New Roman" w:hAnsi="Times New Roman" w:cs="Times New Roman"/>
        </w:rPr>
        <w:t xml:space="preserve">as </w:t>
      </w:r>
      <w:r w:rsidR="000B63E3" w:rsidRPr="00622B6B">
        <w:rPr>
          <w:rFonts w:ascii="Times New Roman" w:hAnsi="Times New Roman" w:cs="Times New Roman"/>
        </w:rPr>
        <w:t>a ‘</w:t>
      </w:r>
      <w:r w:rsidR="000036AB" w:rsidRPr="00622B6B">
        <w:rPr>
          <w:rFonts w:ascii="Times New Roman" w:hAnsi="Times New Roman" w:cs="Times New Roman"/>
        </w:rPr>
        <w:t>panacea</w:t>
      </w:r>
      <w:r w:rsidR="000B63E3" w:rsidRPr="00622B6B">
        <w:rPr>
          <w:rFonts w:ascii="Times New Roman" w:hAnsi="Times New Roman" w:cs="Times New Roman"/>
        </w:rPr>
        <w:t>’</w:t>
      </w:r>
      <w:r w:rsidR="000C7715" w:rsidRPr="00622B6B">
        <w:rPr>
          <w:rFonts w:ascii="Times New Roman" w:hAnsi="Times New Roman" w:cs="Times New Roman"/>
        </w:rPr>
        <w:t>.</w:t>
      </w:r>
      <w:r w:rsidR="00185EA2" w:rsidRPr="00622B6B">
        <w:rPr>
          <w:rStyle w:val="FootnoteReference"/>
          <w:rFonts w:ascii="Times New Roman" w:hAnsi="Times New Roman" w:cs="Times New Roman"/>
        </w:rPr>
        <w:footnoteReference w:id="9"/>
      </w:r>
      <w:r w:rsidR="000036AB" w:rsidRPr="00622B6B">
        <w:rPr>
          <w:rFonts w:ascii="Times New Roman" w:hAnsi="Times New Roman" w:cs="Times New Roman"/>
        </w:rPr>
        <w:t xml:space="preserve"> </w:t>
      </w:r>
      <w:r w:rsidR="00443602" w:rsidRPr="00622B6B">
        <w:rPr>
          <w:rFonts w:ascii="Times New Roman" w:hAnsi="Times New Roman" w:cs="Times New Roman"/>
        </w:rPr>
        <w:t xml:space="preserve">Hiding under the focus on positive law and doctrinal analysis </w:t>
      </w:r>
      <w:r w:rsidR="00D81982" w:rsidRPr="00622B6B">
        <w:rPr>
          <w:rFonts w:ascii="Times New Roman" w:hAnsi="Times New Roman" w:cs="Times New Roman"/>
        </w:rPr>
        <w:t xml:space="preserve">as indicative of </w:t>
      </w:r>
      <w:r w:rsidR="00D81982" w:rsidRPr="00622B6B">
        <w:rPr>
          <w:rFonts w:ascii="Times New Roman" w:hAnsi="Times New Roman" w:cs="Times New Roman"/>
          <w:i/>
        </w:rPr>
        <w:t>lex lata</w:t>
      </w:r>
      <w:r w:rsidR="00D81982" w:rsidRPr="00622B6B">
        <w:rPr>
          <w:rFonts w:ascii="Times New Roman" w:hAnsi="Times New Roman" w:cs="Times New Roman"/>
        </w:rPr>
        <w:t xml:space="preserve"> </w:t>
      </w:r>
      <w:r w:rsidR="00443602" w:rsidRPr="00E4650E">
        <w:rPr>
          <w:rFonts w:ascii="Times New Roman" w:hAnsi="Times New Roman" w:cs="Times New Roman"/>
        </w:rPr>
        <w:t xml:space="preserve">lies a </w:t>
      </w:r>
      <w:r w:rsidR="00F91CE4" w:rsidRPr="00E4650E">
        <w:rPr>
          <w:rFonts w:ascii="Times New Roman" w:hAnsi="Times New Roman" w:cs="Times New Roman"/>
        </w:rPr>
        <w:t>bold argument that seeks</w:t>
      </w:r>
      <w:r w:rsidR="000A6C7D" w:rsidRPr="0093582F">
        <w:rPr>
          <w:rFonts w:ascii="Times New Roman" w:hAnsi="Times New Roman" w:cs="Times New Roman"/>
        </w:rPr>
        <w:t xml:space="preserve"> to </w:t>
      </w:r>
      <w:r w:rsidR="00C16AE1" w:rsidRPr="0093582F">
        <w:rPr>
          <w:rFonts w:ascii="Times New Roman" w:hAnsi="Times New Roman" w:cs="Times New Roman"/>
        </w:rPr>
        <w:t>re</w:t>
      </w:r>
      <w:r w:rsidR="000A6C7D" w:rsidRPr="0093582F">
        <w:rPr>
          <w:rFonts w:ascii="Times New Roman" w:hAnsi="Times New Roman" w:cs="Times New Roman"/>
        </w:rPr>
        <w:t>shape the way i</w:t>
      </w:r>
      <w:r w:rsidR="008952A8" w:rsidRPr="0093582F">
        <w:rPr>
          <w:rFonts w:ascii="Times New Roman" w:hAnsi="Times New Roman" w:cs="Times New Roman"/>
        </w:rPr>
        <w:t xml:space="preserve">n which WTO law can be applied. </w:t>
      </w:r>
      <w:r w:rsidR="00CA0074" w:rsidRPr="00622B6B">
        <w:rPr>
          <w:rFonts w:ascii="Times New Roman" w:hAnsi="Times New Roman" w:cs="Times New Roman"/>
        </w:rPr>
        <w:t>Somewhat sadly, i</w:t>
      </w:r>
      <w:r w:rsidR="00E7594E" w:rsidRPr="00622B6B">
        <w:rPr>
          <w:rFonts w:ascii="Times New Roman" w:hAnsi="Times New Roman" w:cs="Times New Roman"/>
        </w:rPr>
        <w:t xml:space="preserve">ts application </w:t>
      </w:r>
      <w:r w:rsidR="00F85F3B" w:rsidRPr="00622B6B">
        <w:rPr>
          <w:rFonts w:ascii="Times New Roman" w:hAnsi="Times New Roman" w:cs="Times New Roman"/>
        </w:rPr>
        <w:t>in</w:t>
      </w:r>
      <w:r w:rsidR="00E7594E" w:rsidRPr="00622B6B">
        <w:rPr>
          <w:rFonts w:ascii="Times New Roman" w:hAnsi="Times New Roman" w:cs="Times New Roman"/>
        </w:rPr>
        <w:t xml:space="preserve"> </w:t>
      </w:r>
      <w:r w:rsidR="00CA0074" w:rsidRPr="00622B6B">
        <w:rPr>
          <w:rFonts w:ascii="Times New Roman" w:hAnsi="Times New Roman" w:cs="Times New Roman"/>
        </w:rPr>
        <w:t xml:space="preserve">only </w:t>
      </w:r>
      <w:r w:rsidR="00E7594E" w:rsidRPr="00622B6B">
        <w:rPr>
          <w:rFonts w:ascii="Times New Roman" w:hAnsi="Times New Roman" w:cs="Times New Roman"/>
        </w:rPr>
        <w:t>one subsequent chapter, on equity’s</w:t>
      </w:r>
      <w:r w:rsidR="002317F9" w:rsidRPr="00622B6B">
        <w:rPr>
          <w:rFonts w:ascii="Times New Roman" w:hAnsi="Times New Roman" w:cs="Times New Roman"/>
        </w:rPr>
        <w:t xml:space="preserve"> role as a ‘negative catalyst’ </w:t>
      </w:r>
      <w:r w:rsidR="00E7594E" w:rsidRPr="00622B6B">
        <w:rPr>
          <w:rFonts w:ascii="Times New Roman" w:hAnsi="Times New Roman" w:cs="Times New Roman"/>
        </w:rPr>
        <w:t>permitting panels and the Appellate Body to respond to potential conflicts</w:t>
      </w:r>
      <w:r w:rsidR="002317F9" w:rsidRPr="00622B6B">
        <w:rPr>
          <w:rFonts w:ascii="Times New Roman" w:hAnsi="Times New Roman" w:cs="Times New Roman"/>
        </w:rPr>
        <w:t>,</w:t>
      </w:r>
      <w:r w:rsidR="00E7594E" w:rsidRPr="00622B6B">
        <w:rPr>
          <w:rFonts w:ascii="Times New Roman" w:hAnsi="Times New Roman" w:cs="Times New Roman"/>
        </w:rPr>
        <w:t xml:space="preserve"> </w:t>
      </w:r>
      <w:r w:rsidR="00F85F3B" w:rsidRPr="00622B6B">
        <w:rPr>
          <w:rFonts w:ascii="Times New Roman" w:hAnsi="Times New Roman" w:cs="Times New Roman"/>
        </w:rPr>
        <w:t>feels brief by comparison to the earlier dissections in the book.</w:t>
      </w:r>
      <w:r w:rsidR="00CA0074" w:rsidRPr="00622B6B">
        <w:rPr>
          <w:rFonts w:ascii="Times New Roman" w:hAnsi="Times New Roman" w:cs="Times New Roman"/>
        </w:rPr>
        <w:t xml:space="preserve"> This is felt more acutely as the consequences of the author’s positions are key. </w:t>
      </w:r>
    </w:p>
    <w:p w14:paraId="0346A6BC" w14:textId="124BC4A8" w:rsidR="00422A30" w:rsidRPr="00622B6B" w:rsidRDefault="00422A30" w:rsidP="00F35146">
      <w:pPr>
        <w:jc w:val="both"/>
        <w:rPr>
          <w:rFonts w:ascii="Times New Roman" w:hAnsi="Times New Roman" w:cs="Times New Roman"/>
        </w:rPr>
      </w:pPr>
    </w:p>
    <w:p w14:paraId="5F81D474" w14:textId="5A20D8B1" w:rsidR="00724337" w:rsidRPr="00622B6B" w:rsidRDefault="00CA0074" w:rsidP="00F35146">
      <w:pPr>
        <w:jc w:val="both"/>
        <w:rPr>
          <w:rFonts w:ascii="Times New Roman" w:hAnsi="Times New Roman" w:cs="Times New Roman"/>
        </w:rPr>
      </w:pPr>
      <w:r w:rsidRPr="00622B6B">
        <w:rPr>
          <w:rFonts w:ascii="Times New Roman" w:hAnsi="Times New Roman" w:cs="Times New Roman"/>
        </w:rPr>
        <w:t>For example, t</w:t>
      </w:r>
      <w:r w:rsidR="002D4D22" w:rsidRPr="00622B6B">
        <w:rPr>
          <w:rFonts w:ascii="Times New Roman" w:hAnsi="Times New Roman" w:cs="Times New Roman"/>
        </w:rPr>
        <w:t xml:space="preserve">he author </w:t>
      </w:r>
      <w:r w:rsidR="00B44462" w:rsidRPr="00622B6B">
        <w:rPr>
          <w:rFonts w:ascii="Times New Roman" w:hAnsi="Times New Roman" w:cs="Times New Roman"/>
        </w:rPr>
        <w:t xml:space="preserve">suggests </w:t>
      </w:r>
      <w:r w:rsidR="002D4D22" w:rsidRPr="00622B6B">
        <w:rPr>
          <w:rFonts w:ascii="Times New Roman" w:hAnsi="Times New Roman" w:cs="Times New Roman"/>
        </w:rPr>
        <w:t xml:space="preserve">that </w:t>
      </w:r>
      <w:r w:rsidR="00724337" w:rsidRPr="00622B6B">
        <w:rPr>
          <w:rFonts w:ascii="Times New Roman" w:hAnsi="Times New Roman" w:cs="Times New Roman"/>
        </w:rPr>
        <w:t>‘</w:t>
      </w:r>
      <w:r w:rsidR="002D4D22" w:rsidRPr="00622B6B">
        <w:rPr>
          <w:rFonts w:ascii="Times New Roman" w:hAnsi="Times New Roman" w:cs="Times New Roman"/>
        </w:rPr>
        <w:t>[t]</w:t>
      </w:r>
      <w:r w:rsidR="00724337" w:rsidRPr="00622B6B">
        <w:rPr>
          <w:rFonts w:ascii="Times New Roman" w:hAnsi="Times New Roman" w:cs="Times New Roman"/>
        </w:rPr>
        <w:t xml:space="preserve">he overarching aim of this book is to demonstrate that equity and equitable principles constitute a judicial tool available to panels and the Appellate Body when they are confronted with problems posed by the </w:t>
      </w:r>
      <w:r w:rsidR="00997484" w:rsidRPr="00E4650E">
        <w:rPr>
          <w:rFonts w:ascii="Times New Roman" w:hAnsi="Times New Roman" w:cs="Times New Roman"/>
        </w:rPr>
        <w:t>normative</w:t>
      </w:r>
      <w:r w:rsidR="00724337" w:rsidRPr="00E4650E">
        <w:rPr>
          <w:rFonts w:ascii="Times New Roman" w:hAnsi="Times New Roman" w:cs="Times New Roman"/>
        </w:rPr>
        <w:t xml:space="preserve"> fragmentation of international law.’</w:t>
      </w:r>
      <w:r w:rsidR="00B606AD" w:rsidRPr="00622B6B">
        <w:rPr>
          <w:rStyle w:val="FootnoteReference"/>
          <w:rFonts w:ascii="Times New Roman" w:hAnsi="Times New Roman" w:cs="Times New Roman"/>
        </w:rPr>
        <w:footnoteReference w:id="10"/>
      </w:r>
      <w:r w:rsidR="008952A8" w:rsidRPr="00622B6B">
        <w:rPr>
          <w:rFonts w:ascii="Times New Roman" w:hAnsi="Times New Roman" w:cs="Times New Roman"/>
        </w:rPr>
        <w:t xml:space="preserve"> </w:t>
      </w:r>
      <w:r w:rsidR="0019672E" w:rsidRPr="00622B6B">
        <w:rPr>
          <w:rFonts w:ascii="Times New Roman" w:hAnsi="Times New Roman" w:cs="Times New Roman"/>
        </w:rPr>
        <w:t xml:space="preserve">Yet the difficulty here is that it is </w:t>
      </w:r>
      <w:r w:rsidR="007F4EFC" w:rsidRPr="00622B6B">
        <w:rPr>
          <w:rFonts w:ascii="Times New Roman" w:hAnsi="Times New Roman" w:cs="Times New Roman"/>
        </w:rPr>
        <w:t>incumbent</w:t>
      </w:r>
      <w:r w:rsidR="0019672E" w:rsidRPr="00622B6B">
        <w:rPr>
          <w:rFonts w:ascii="Times New Roman" w:hAnsi="Times New Roman" w:cs="Times New Roman"/>
        </w:rPr>
        <w:t xml:space="preserve"> </w:t>
      </w:r>
      <w:r w:rsidR="007F4EFC" w:rsidRPr="00622B6B">
        <w:rPr>
          <w:rFonts w:ascii="Times New Roman" w:hAnsi="Times New Roman" w:cs="Times New Roman"/>
        </w:rPr>
        <w:t>up</w:t>
      </w:r>
      <w:r w:rsidR="0019672E" w:rsidRPr="00E4650E">
        <w:rPr>
          <w:rFonts w:ascii="Times New Roman" w:hAnsi="Times New Roman" w:cs="Times New Roman"/>
        </w:rPr>
        <w:t>on panels and the Appellate Body</w:t>
      </w:r>
      <w:r w:rsidR="007F4EFC" w:rsidRPr="0093582F">
        <w:rPr>
          <w:rFonts w:ascii="Times New Roman" w:hAnsi="Times New Roman" w:cs="Times New Roman"/>
        </w:rPr>
        <w:t xml:space="preserve"> to consider that a conflict exists. </w:t>
      </w:r>
      <w:r w:rsidRPr="00622B6B">
        <w:rPr>
          <w:rFonts w:ascii="Times New Roman" w:hAnsi="Times New Roman" w:cs="Times New Roman"/>
        </w:rPr>
        <w:t>Note</w:t>
      </w:r>
      <w:r w:rsidR="0005517D" w:rsidRPr="00622B6B">
        <w:rPr>
          <w:rFonts w:ascii="Times New Roman" w:hAnsi="Times New Roman" w:cs="Times New Roman"/>
        </w:rPr>
        <w:t xml:space="preserve">, one of the challenges confronted by the author when discussing the possibility of using equity </w:t>
      </w:r>
      <w:r w:rsidR="00714DA6" w:rsidRPr="00622B6B">
        <w:rPr>
          <w:rFonts w:ascii="Times New Roman" w:hAnsi="Times New Roman" w:cs="Times New Roman"/>
        </w:rPr>
        <w:t xml:space="preserve">at the WTO is that </w:t>
      </w:r>
      <w:r w:rsidR="0005517D" w:rsidRPr="00622B6B">
        <w:rPr>
          <w:rFonts w:ascii="Times New Roman" w:hAnsi="Times New Roman" w:cs="Times New Roman"/>
        </w:rPr>
        <w:t xml:space="preserve">of forum selection clauses in </w:t>
      </w:r>
      <w:r w:rsidR="002F4BFF" w:rsidRPr="00622B6B">
        <w:rPr>
          <w:rFonts w:ascii="Times New Roman" w:hAnsi="Times New Roman" w:cs="Times New Roman"/>
        </w:rPr>
        <w:t xml:space="preserve">regional trade agreements </w:t>
      </w:r>
      <w:r w:rsidR="0005517D" w:rsidRPr="00622B6B">
        <w:rPr>
          <w:rFonts w:ascii="Times New Roman" w:hAnsi="Times New Roman" w:cs="Times New Roman"/>
        </w:rPr>
        <w:t>and their interaction with the WTO.</w:t>
      </w:r>
      <w:r w:rsidR="0005517D" w:rsidRPr="00622B6B">
        <w:rPr>
          <w:rStyle w:val="FootnoteReference"/>
          <w:rFonts w:ascii="Times New Roman" w:hAnsi="Times New Roman" w:cs="Times New Roman"/>
        </w:rPr>
        <w:footnoteReference w:id="11"/>
      </w:r>
      <w:r w:rsidR="00714DA6" w:rsidRPr="00622B6B">
        <w:rPr>
          <w:rFonts w:ascii="Times New Roman" w:hAnsi="Times New Roman" w:cs="Times New Roman"/>
        </w:rPr>
        <w:t xml:space="preserve"> </w:t>
      </w:r>
      <w:r w:rsidR="005325D1" w:rsidRPr="00622B6B">
        <w:rPr>
          <w:rFonts w:ascii="Times New Roman" w:hAnsi="Times New Roman" w:cs="Times New Roman"/>
        </w:rPr>
        <w:lastRenderedPageBreak/>
        <w:t xml:space="preserve">Where fork-in-the-road provisions or exclusivity is at play, there is a legitimate question about the desirability of one international tribunal examining a claim that (per the rules of another regime) should not be raised. The author’s analysis on this point is meticulous, suggesting an innovative use of estoppel to resolve this situation. </w:t>
      </w:r>
      <w:r w:rsidR="0038661C" w:rsidRPr="00E4650E">
        <w:rPr>
          <w:rFonts w:ascii="Times New Roman" w:hAnsi="Times New Roman" w:cs="Times New Roman"/>
        </w:rPr>
        <w:t>This would require a panel or the Appellate Body to decide that estoppel was the appro</w:t>
      </w:r>
      <w:r w:rsidR="0038661C" w:rsidRPr="0093582F">
        <w:rPr>
          <w:rFonts w:ascii="Times New Roman" w:hAnsi="Times New Roman" w:cs="Times New Roman"/>
        </w:rPr>
        <w:t xml:space="preserve">priate tool and to refuse to hear a claim on such grounds. One can see why an objective </w:t>
      </w:r>
      <w:r w:rsidR="0038661C" w:rsidRPr="00622B6B">
        <w:rPr>
          <w:rFonts w:ascii="Times New Roman" w:hAnsi="Times New Roman" w:cs="Times New Roman"/>
        </w:rPr>
        <w:t>international lawyer might wish such a thing, but there is little in a panel’s interest to do so, especially as the priority norm (in terms of quasi-</w:t>
      </w:r>
      <w:r w:rsidR="0017398F" w:rsidRPr="00622B6B">
        <w:rPr>
          <w:rFonts w:ascii="Times New Roman" w:hAnsi="Times New Roman" w:cs="Times New Roman"/>
        </w:rPr>
        <w:t>constitutional</w:t>
      </w:r>
      <w:r w:rsidR="0038661C" w:rsidRPr="00622B6B">
        <w:rPr>
          <w:rFonts w:ascii="Times New Roman" w:hAnsi="Times New Roman" w:cs="Times New Roman"/>
        </w:rPr>
        <w:t xml:space="preserve"> legitimation) here is Article 3.2 DSU and the invocation not to ‘diminish the rights and obligations provided in the covered agreements.’</w:t>
      </w:r>
      <w:r w:rsidR="0017398F" w:rsidRPr="00622B6B">
        <w:rPr>
          <w:rStyle w:val="FootnoteReference"/>
          <w:rFonts w:ascii="Times New Roman" w:hAnsi="Times New Roman" w:cs="Times New Roman"/>
        </w:rPr>
        <w:footnoteReference w:id="12"/>
      </w:r>
      <w:r w:rsidR="001C70F4" w:rsidRPr="00622B6B">
        <w:rPr>
          <w:rFonts w:ascii="Times New Roman" w:hAnsi="Times New Roman" w:cs="Times New Roman"/>
        </w:rPr>
        <w:t xml:space="preserve"> The author makes an excellent argument for not understanding </w:t>
      </w:r>
      <w:r w:rsidR="00780401" w:rsidRPr="00622B6B">
        <w:rPr>
          <w:rFonts w:ascii="Times New Roman" w:hAnsi="Times New Roman" w:cs="Times New Roman"/>
        </w:rPr>
        <w:t xml:space="preserve">Article </w:t>
      </w:r>
      <w:r w:rsidR="001C70F4" w:rsidRPr="00622B6B">
        <w:rPr>
          <w:rFonts w:ascii="Times New Roman" w:hAnsi="Times New Roman" w:cs="Times New Roman"/>
        </w:rPr>
        <w:t xml:space="preserve">3.2 </w:t>
      </w:r>
      <w:r w:rsidR="00780401" w:rsidRPr="00622B6B">
        <w:rPr>
          <w:rFonts w:ascii="Times New Roman" w:hAnsi="Times New Roman" w:cs="Times New Roman"/>
        </w:rPr>
        <w:t xml:space="preserve">DSU </w:t>
      </w:r>
      <w:r w:rsidR="001C70F4" w:rsidRPr="00E4650E">
        <w:rPr>
          <w:rFonts w:ascii="Times New Roman" w:hAnsi="Times New Roman" w:cs="Times New Roman"/>
        </w:rPr>
        <w:t xml:space="preserve">in narrow </w:t>
      </w:r>
      <w:r w:rsidR="00780401" w:rsidRPr="0093582F">
        <w:rPr>
          <w:rFonts w:ascii="Times New Roman" w:hAnsi="Times New Roman" w:cs="Times New Roman"/>
        </w:rPr>
        <w:t>terms</w:t>
      </w:r>
      <w:r w:rsidR="001C70F4" w:rsidRPr="0093582F">
        <w:rPr>
          <w:rFonts w:ascii="Times New Roman" w:hAnsi="Times New Roman" w:cs="Times New Roman"/>
        </w:rPr>
        <w:t xml:space="preserve">, but when expecting autonomous decision-makers to take decisions, we must appreciate the context within which such acts are taken. There is little benefit but great cost in acting to benefit international law as a system </w:t>
      </w:r>
      <w:r w:rsidR="001C70F4" w:rsidRPr="00622B6B">
        <w:rPr>
          <w:rFonts w:ascii="Times New Roman" w:hAnsi="Times New Roman" w:cs="Times New Roman"/>
          <w:i/>
        </w:rPr>
        <w:t>in abstracto</w:t>
      </w:r>
      <w:r w:rsidR="001C70F4" w:rsidRPr="00622B6B">
        <w:rPr>
          <w:rFonts w:ascii="Times New Roman" w:hAnsi="Times New Roman" w:cs="Times New Roman"/>
        </w:rPr>
        <w:t xml:space="preserve"> over the legitimacy of an institution </w:t>
      </w:r>
      <w:r w:rsidR="001C70F4" w:rsidRPr="00622B6B">
        <w:rPr>
          <w:rFonts w:ascii="Times New Roman" w:hAnsi="Times New Roman" w:cs="Times New Roman"/>
          <w:i/>
        </w:rPr>
        <w:t>in concreto</w:t>
      </w:r>
      <w:r w:rsidR="001C70F4" w:rsidRPr="00622B6B">
        <w:rPr>
          <w:rFonts w:ascii="Times New Roman" w:hAnsi="Times New Roman" w:cs="Times New Roman"/>
        </w:rPr>
        <w:t xml:space="preserve">. This need not necessarily be the case, but </w:t>
      </w:r>
      <w:r w:rsidR="00332AC3" w:rsidRPr="00622B6B">
        <w:rPr>
          <w:rFonts w:ascii="Times New Roman" w:hAnsi="Times New Roman" w:cs="Times New Roman"/>
        </w:rPr>
        <w:t>discussion on these sorts of critiques would be welcome, especially as they form an important element of current literature on trade law’s role and influence</w:t>
      </w:r>
      <w:r w:rsidR="001C70F4" w:rsidRPr="00622B6B">
        <w:rPr>
          <w:rFonts w:ascii="Times New Roman" w:hAnsi="Times New Roman" w:cs="Times New Roman"/>
        </w:rPr>
        <w:t>.</w:t>
      </w:r>
      <w:r w:rsidR="00332AC3" w:rsidRPr="00622B6B">
        <w:rPr>
          <w:rStyle w:val="FootnoteReference"/>
          <w:rFonts w:ascii="Times New Roman" w:hAnsi="Times New Roman" w:cs="Times New Roman"/>
        </w:rPr>
        <w:footnoteReference w:id="13"/>
      </w:r>
    </w:p>
    <w:p w14:paraId="419A7259" w14:textId="0C956A5D" w:rsidR="00CF50FA" w:rsidRPr="00622B6B" w:rsidRDefault="00CF50FA" w:rsidP="00F35146">
      <w:pPr>
        <w:jc w:val="both"/>
        <w:rPr>
          <w:rFonts w:ascii="Times New Roman" w:hAnsi="Times New Roman" w:cs="Times New Roman"/>
        </w:rPr>
      </w:pPr>
    </w:p>
    <w:p w14:paraId="36CD0191" w14:textId="3925E39B" w:rsidR="00502E97" w:rsidRPr="00622B6B" w:rsidRDefault="00502E97" w:rsidP="00F35146">
      <w:pPr>
        <w:jc w:val="both"/>
        <w:rPr>
          <w:rFonts w:ascii="Times New Roman" w:hAnsi="Times New Roman" w:cs="Times New Roman"/>
        </w:rPr>
      </w:pPr>
      <w:r w:rsidRPr="00E4650E">
        <w:rPr>
          <w:rFonts w:ascii="Times New Roman" w:hAnsi="Times New Roman" w:cs="Times New Roman"/>
          <w:i/>
        </w:rPr>
        <w:t>Equity and Equitable Principles in the World Trade Organization</w:t>
      </w:r>
      <w:r w:rsidRPr="0093582F">
        <w:rPr>
          <w:rFonts w:ascii="Times New Roman" w:hAnsi="Times New Roman" w:cs="Times New Roman"/>
        </w:rPr>
        <w:t xml:space="preserve"> can leave no doubt of the author’s </w:t>
      </w:r>
      <w:r w:rsidR="001C70F4" w:rsidRPr="0093582F">
        <w:rPr>
          <w:rFonts w:ascii="Times New Roman" w:hAnsi="Times New Roman" w:cs="Times New Roman"/>
        </w:rPr>
        <w:t>impressive skill. The author</w:t>
      </w:r>
      <w:r w:rsidRPr="0093582F">
        <w:rPr>
          <w:rFonts w:ascii="Times New Roman" w:hAnsi="Times New Roman" w:cs="Times New Roman"/>
        </w:rPr>
        <w:t xml:space="preserve"> commands not only the detail but also the breadth of trade law</w:t>
      </w:r>
      <w:r w:rsidR="00AD78C1" w:rsidRPr="00622B6B">
        <w:rPr>
          <w:rFonts w:ascii="Times New Roman" w:hAnsi="Times New Roman" w:cs="Times New Roman"/>
        </w:rPr>
        <w:t xml:space="preserve"> and general international law, </w:t>
      </w:r>
      <w:r w:rsidRPr="00622B6B">
        <w:rPr>
          <w:rFonts w:ascii="Times New Roman" w:hAnsi="Times New Roman" w:cs="Times New Roman"/>
        </w:rPr>
        <w:t>matched by a precise analysis of the underlying logic of the legal reasoning found in a plethora of decisions</w:t>
      </w:r>
      <w:r w:rsidR="00AD78C1" w:rsidRPr="00622B6B">
        <w:rPr>
          <w:rFonts w:ascii="Times New Roman" w:hAnsi="Times New Roman" w:cs="Times New Roman"/>
        </w:rPr>
        <w:t xml:space="preserve">. </w:t>
      </w:r>
      <w:r w:rsidR="00354FAF" w:rsidRPr="00622B6B">
        <w:rPr>
          <w:rFonts w:ascii="Times New Roman" w:hAnsi="Times New Roman" w:cs="Times New Roman"/>
        </w:rPr>
        <w:t xml:space="preserve">The fragmentation debate may have subsided, though for those unsettled by its failure to provide any convincing resolutions, Gourgourinis </w:t>
      </w:r>
      <w:r w:rsidR="00666859" w:rsidRPr="00622B6B">
        <w:rPr>
          <w:rFonts w:ascii="Times New Roman" w:hAnsi="Times New Roman" w:cs="Times New Roman"/>
        </w:rPr>
        <w:t>offers</w:t>
      </w:r>
      <w:r w:rsidR="00354FAF" w:rsidRPr="00622B6B">
        <w:rPr>
          <w:rFonts w:ascii="Times New Roman" w:hAnsi="Times New Roman" w:cs="Times New Roman"/>
        </w:rPr>
        <w:t xml:space="preserve"> a provocative contribution w</w:t>
      </w:r>
      <w:r w:rsidR="002C2E28" w:rsidRPr="00622B6B">
        <w:rPr>
          <w:rFonts w:ascii="Times New Roman" w:hAnsi="Times New Roman" w:cs="Times New Roman"/>
        </w:rPr>
        <w:t>orthy of careful consideration.</w:t>
      </w:r>
    </w:p>
    <w:p w14:paraId="422E7E8C" w14:textId="77777777" w:rsidR="0062169D" w:rsidRPr="00622B6B" w:rsidRDefault="0062169D" w:rsidP="00F35146">
      <w:pPr>
        <w:jc w:val="both"/>
        <w:rPr>
          <w:rFonts w:ascii="Times New Roman" w:hAnsi="Times New Roman" w:cs="Times New Roman"/>
        </w:rPr>
      </w:pPr>
    </w:p>
    <w:p w14:paraId="1694C2ED" w14:textId="77777777" w:rsidR="0062169D" w:rsidRPr="00622B6B" w:rsidRDefault="0062169D" w:rsidP="00F35146">
      <w:pPr>
        <w:jc w:val="both"/>
        <w:rPr>
          <w:rFonts w:ascii="Times New Roman" w:hAnsi="Times New Roman" w:cs="Times New Roman"/>
        </w:rPr>
      </w:pPr>
    </w:p>
    <w:p w14:paraId="6406B086" w14:textId="77777777" w:rsidR="0062169D" w:rsidRPr="00622B6B" w:rsidRDefault="0062169D" w:rsidP="00F35146">
      <w:pPr>
        <w:jc w:val="both"/>
        <w:rPr>
          <w:rFonts w:ascii="Times New Roman" w:hAnsi="Times New Roman" w:cs="Times New Roman"/>
        </w:rPr>
      </w:pPr>
    </w:p>
    <w:p w14:paraId="6FAEE7E2" w14:textId="77777777" w:rsidR="0062169D" w:rsidRPr="00622B6B" w:rsidRDefault="0062169D" w:rsidP="00F35146">
      <w:pPr>
        <w:jc w:val="both"/>
        <w:rPr>
          <w:rFonts w:ascii="Times New Roman" w:hAnsi="Times New Roman" w:cs="Times New Roman"/>
        </w:rPr>
      </w:pPr>
    </w:p>
    <w:p w14:paraId="0CB985CC" w14:textId="444E9AC8" w:rsidR="0062169D" w:rsidRPr="00622B6B" w:rsidRDefault="0062169D" w:rsidP="0062169D">
      <w:pPr>
        <w:jc w:val="right"/>
        <w:rPr>
          <w:rFonts w:ascii="Times New Roman" w:hAnsi="Times New Roman" w:cs="Times New Roman"/>
        </w:rPr>
      </w:pPr>
      <w:r w:rsidRPr="00622B6B">
        <w:rPr>
          <w:rFonts w:ascii="Times New Roman" w:hAnsi="Times New Roman" w:cs="Times New Roman"/>
        </w:rPr>
        <w:t>Gregory Messenger</w:t>
      </w:r>
    </w:p>
    <w:p w14:paraId="2402B5D3" w14:textId="170628B6" w:rsidR="0062169D" w:rsidRPr="00622B6B" w:rsidRDefault="0062169D" w:rsidP="0062169D">
      <w:pPr>
        <w:jc w:val="right"/>
        <w:rPr>
          <w:rFonts w:ascii="Times New Roman" w:hAnsi="Times New Roman" w:cs="Times New Roman"/>
        </w:rPr>
      </w:pPr>
      <w:r w:rsidRPr="00622B6B">
        <w:rPr>
          <w:rFonts w:ascii="Times New Roman" w:hAnsi="Times New Roman" w:cs="Times New Roman"/>
        </w:rPr>
        <w:t>Lecturer, University of Liverpool</w:t>
      </w:r>
    </w:p>
    <w:p w14:paraId="6016C4C4" w14:textId="7D997AF6" w:rsidR="003363D7" w:rsidRPr="00622B6B" w:rsidRDefault="00B44462" w:rsidP="0062169D">
      <w:pPr>
        <w:jc w:val="right"/>
        <w:rPr>
          <w:rFonts w:ascii="Times New Roman" w:hAnsi="Times New Roman" w:cs="Times New Roman"/>
        </w:rPr>
      </w:pPr>
      <w:r w:rsidRPr="00622B6B">
        <w:rPr>
          <w:rFonts w:ascii="Times New Roman" w:hAnsi="Times New Roman" w:cs="Times New Roman"/>
        </w:rPr>
        <w:t>gregory.messenger@liverpool.ac.uk</w:t>
      </w:r>
    </w:p>
    <w:sectPr w:rsidR="003363D7" w:rsidRPr="00622B6B" w:rsidSect="0029737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AA1E7" w14:textId="77777777" w:rsidR="00717436" w:rsidRDefault="00717436" w:rsidP="002B264C">
      <w:r>
        <w:separator/>
      </w:r>
    </w:p>
  </w:endnote>
  <w:endnote w:type="continuationSeparator" w:id="0">
    <w:p w14:paraId="221FC657" w14:textId="77777777" w:rsidR="00717436" w:rsidRDefault="00717436" w:rsidP="002B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A2B03" w14:textId="77777777" w:rsidR="00717436" w:rsidRDefault="00717436" w:rsidP="002B264C">
      <w:r>
        <w:separator/>
      </w:r>
    </w:p>
  </w:footnote>
  <w:footnote w:type="continuationSeparator" w:id="0">
    <w:p w14:paraId="4810C75D" w14:textId="77777777" w:rsidR="00717436" w:rsidRDefault="00717436" w:rsidP="002B264C">
      <w:r>
        <w:continuationSeparator/>
      </w:r>
    </w:p>
  </w:footnote>
  <w:footnote w:id="1">
    <w:p w14:paraId="63366555" w14:textId="1883CCA4"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‘There shall be multilateral negotiations on the question of emergency safeguard measures based on the principle of non-discrimination. The results of such negotiations shall enter into effect on a date not later than three years from the date of entry into force of the WTO Agreement.’</w:t>
      </w:r>
    </w:p>
  </w:footnote>
  <w:footnote w:id="2">
    <w:p w14:paraId="56B8F5EE" w14:textId="1D416981"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Though this never came to be. Decision on Review of article 17.6 of the Agreement on Implementation of article VI of the General Agreement on Tariffs and Trade 1994, </w:t>
      </w:r>
      <w:r w:rsidRPr="007C744F">
        <w:rPr>
          <w:rFonts w:ascii="Times New Roman" w:hAnsi="Times New Roman" w:cs="Times New Roman"/>
          <w:sz w:val="20"/>
          <w:szCs w:val="20"/>
          <w:lang w:val="en-US"/>
        </w:rPr>
        <w:t>adopted by the Trade Negotiations Committee, 15 December 1993, (1994) 33 ILM 1140.</w:t>
      </w:r>
    </w:p>
  </w:footnote>
  <w:footnote w:id="3">
    <w:p w14:paraId="4309EF14" w14:textId="040F1E6A" w:rsidR="003363D7" w:rsidRPr="007C744F" w:rsidRDefault="003363D7" w:rsidP="007C744F">
      <w:pPr>
        <w:widowControl w:val="0"/>
        <w:autoSpaceDE w:val="0"/>
        <w:autoSpaceDN w:val="0"/>
        <w:adjustRightInd w:val="0"/>
        <w:spacing w:after="240"/>
        <w:contextualSpacing/>
        <w:rPr>
          <w:rFonts w:ascii="Times New Roman" w:hAnsi="Times New Roman" w:cs="Times New Roman"/>
          <w:color w:val="000000"/>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w:t>
      </w:r>
      <w:r w:rsidRPr="007C744F">
        <w:rPr>
          <w:rFonts w:ascii="Times New Roman" w:hAnsi="Times New Roman" w:cs="Times New Roman"/>
          <w:color w:val="000000"/>
          <w:sz w:val="20"/>
          <w:szCs w:val="20"/>
        </w:rPr>
        <w:t>A</w:t>
      </w:r>
      <w:r w:rsidR="00C85CA9" w:rsidRPr="007C744F">
        <w:rPr>
          <w:rFonts w:ascii="Times New Roman" w:hAnsi="Times New Roman" w:cs="Times New Roman"/>
          <w:color w:val="000000"/>
          <w:sz w:val="20"/>
          <w:szCs w:val="20"/>
        </w:rPr>
        <w:t>lan</w:t>
      </w:r>
      <w:r w:rsidRPr="007C744F">
        <w:rPr>
          <w:rFonts w:ascii="Times New Roman" w:hAnsi="Times New Roman" w:cs="Times New Roman"/>
          <w:color w:val="000000"/>
          <w:sz w:val="20"/>
          <w:szCs w:val="20"/>
        </w:rPr>
        <w:t xml:space="preserve"> Sykes, ‘The Safeguards Mess: A Critique of WTO Jurisprudence’, (2003) 2(3) </w:t>
      </w:r>
      <w:r w:rsidRPr="007C744F">
        <w:rPr>
          <w:rFonts w:ascii="Times New Roman" w:hAnsi="Times New Roman" w:cs="Times New Roman"/>
          <w:iCs/>
          <w:color w:val="000000"/>
          <w:sz w:val="20"/>
          <w:szCs w:val="20"/>
        </w:rPr>
        <w:t xml:space="preserve">World Trade Review </w:t>
      </w:r>
      <w:r w:rsidRPr="007C744F">
        <w:rPr>
          <w:rFonts w:ascii="Times New Roman" w:hAnsi="Times New Roman" w:cs="Times New Roman"/>
          <w:color w:val="000000"/>
          <w:sz w:val="20"/>
          <w:szCs w:val="20"/>
        </w:rPr>
        <w:t>261.</w:t>
      </w:r>
    </w:p>
  </w:footnote>
  <w:footnote w:id="4">
    <w:p w14:paraId="2ED2B6E2" w14:textId="6987DA2E" w:rsidR="007C7224" w:rsidRPr="007C744F" w:rsidRDefault="007C7224" w:rsidP="007C744F">
      <w:pPr>
        <w:widowControl w:val="0"/>
        <w:autoSpaceDE w:val="0"/>
        <w:autoSpaceDN w:val="0"/>
        <w:adjustRightInd w:val="0"/>
        <w:spacing w:after="240"/>
        <w:contextualSpacing/>
        <w:rPr>
          <w:rFonts w:ascii="Times New Roman" w:hAnsi="Times New Roman" w:cs="Times New Roman"/>
          <w:color w:val="000000"/>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w:t>
      </w:r>
      <w:r w:rsidR="00C12852" w:rsidRPr="007C744F">
        <w:rPr>
          <w:rFonts w:ascii="Times New Roman" w:hAnsi="Times New Roman" w:cs="Times New Roman"/>
          <w:color w:val="000000"/>
          <w:sz w:val="20"/>
          <w:szCs w:val="20"/>
        </w:rPr>
        <w:t xml:space="preserve">Case C-402/05 P </w:t>
      </w:r>
      <w:r w:rsidR="00C12852" w:rsidRPr="007C744F">
        <w:rPr>
          <w:rFonts w:ascii="Times New Roman" w:hAnsi="Times New Roman" w:cs="Times New Roman"/>
          <w:i/>
          <w:iCs/>
          <w:color w:val="000000"/>
          <w:sz w:val="20"/>
          <w:szCs w:val="20"/>
        </w:rPr>
        <w:t xml:space="preserve">Kadi &amp; Al Barakaat International Foundation v Council, Commission &amp; United Kingdom </w:t>
      </w:r>
      <w:r w:rsidR="00C12852" w:rsidRPr="007C744F">
        <w:rPr>
          <w:rFonts w:ascii="Times New Roman" w:hAnsi="Times New Roman" w:cs="Times New Roman"/>
          <w:color w:val="000000"/>
          <w:sz w:val="20"/>
          <w:szCs w:val="20"/>
        </w:rPr>
        <w:t xml:space="preserve">[2008] ECR I-6351; </w:t>
      </w:r>
      <w:r w:rsidR="00B44462" w:rsidRPr="007C744F">
        <w:rPr>
          <w:rFonts w:ascii="Times New Roman" w:hAnsi="Times New Roman" w:cs="Times New Roman"/>
          <w:i/>
          <w:color w:val="000000"/>
          <w:sz w:val="20"/>
          <w:szCs w:val="20"/>
        </w:rPr>
        <w:t>CME v Czech Republic,</w:t>
      </w:r>
      <w:r w:rsidR="00B44462" w:rsidRPr="007C744F">
        <w:rPr>
          <w:rFonts w:ascii="Times New Roman" w:hAnsi="Times New Roman" w:cs="Times New Roman"/>
          <w:color w:val="000000"/>
          <w:sz w:val="20"/>
          <w:szCs w:val="20"/>
        </w:rPr>
        <w:t xml:space="preserve"> Partial Award, 13 September 2001, 9 ICSID Reports 121 &amp; </w:t>
      </w:r>
      <w:r w:rsidR="00B44462" w:rsidRPr="007C744F">
        <w:rPr>
          <w:rFonts w:ascii="Times New Roman" w:hAnsi="Times New Roman" w:cs="Times New Roman"/>
          <w:i/>
          <w:color w:val="000000"/>
          <w:sz w:val="20"/>
          <w:szCs w:val="20"/>
        </w:rPr>
        <w:t>Lauder v Czech Republic</w:t>
      </w:r>
      <w:r w:rsidR="00B44462" w:rsidRPr="007C744F">
        <w:rPr>
          <w:rFonts w:ascii="Times New Roman" w:hAnsi="Times New Roman" w:cs="Times New Roman"/>
          <w:color w:val="000000"/>
          <w:sz w:val="20"/>
          <w:szCs w:val="20"/>
        </w:rPr>
        <w:t xml:space="preserve">, Award, 3 September 2001, 9 ICSID Reports 66; </w:t>
      </w:r>
      <w:r w:rsidR="00B44462" w:rsidRPr="007C744F">
        <w:rPr>
          <w:rFonts w:ascii="Times New Roman" w:hAnsi="Times New Roman" w:cs="Times New Roman"/>
          <w:i/>
          <w:color w:val="000000"/>
          <w:sz w:val="20"/>
          <w:szCs w:val="20"/>
        </w:rPr>
        <w:t>Micula v Romania</w:t>
      </w:r>
      <w:r w:rsidR="00B44462" w:rsidRPr="007C744F">
        <w:rPr>
          <w:rFonts w:ascii="Times New Roman" w:hAnsi="Times New Roman" w:cs="Times New Roman"/>
          <w:color w:val="000000"/>
          <w:sz w:val="20"/>
          <w:szCs w:val="20"/>
        </w:rPr>
        <w:t xml:space="preserve">, Decision on Jurisdiction and Admissibility, 24 September 2008, 48 </w:t>
      </w:r>
      <w:r w:rsidR="00B44462" w:rsidRPr="007C744F">
        <w:rPr>
          <w:rFonts w:ascii="Times New Roman" w:hAnsi="Times New Roman" w:cs="Times New Roman"/>
          <w:i/>
          <w:color w:val="000000"/>
          <w:sz w:val="20"/>
          <w:szCs w:val="20"/>
        </w:rPr>
        <w:t>ILM</w:t>
      </w:r>
      <w:r w:rsidR="00B44462" w:rsidRPr="007C744F">
        <w:rPr>
          <w:rFonts w:ascii="Times New Roman" w:hAnsi="Times New Roman" w:cs="Times New Roman"/>
          <w:color w:val="000000"/>
          <w:sz w:val="20"/>
          <w:szCs w:val="20"/>
        </w:rPr>
        <w:t xml:space="preserve"> (2009) 51; </w:t>
      </w:r>
      <w:r w:rsidR="00CC25EE" w:rsidRPr="007C744F">
        <w:rPr>
          <w:rFonts w:ascii="Times New Roman" w:hAnsi="Times New Roman" w:cs="Times New Roman"/>
          <w:i/>
          <w:color w:val="000000"/>
          <w:sz w:val="20"/>
          <w:szCs w:val="20"/>
        </w:rPr>
        <w:t>Southern Bluefin Tuna cases (New Zealand v Japan; Australia v Japan)</w:t>
      </w:r>
      <w:r w:rsidR="00CC25EE" w:rsidRPr="007C744F">
        <w:rPr>
          <w:rFonts w:ascii="Times New Roman" w:hAnsi="Times New Roman" w:cs="Times New Roman"/>
          <w:color w:val="000000"/>
          <w:sz w:val="20"/>
          <w:szCs w:val="20"/>
        </w:rPr>
        <w:t xml:space="preserve"> (Provisional Measures) , Order of 27 August 1999 (ITLOS cases No. 3 and 4), 38 </w:t>
      </w:r>
      <w:r w:rsidR="00CC25EE" w:rsidRPr="007C744F">
        <w:rPr>
          <w:rFonts w:ascii="Times New Roman" w:hAnsi="Times New Roman" w:cs="Times New Roman"/>
          <w:i/>
          <w:color w:val="000000"/>
          <w:sz w:val="20"/>
          <w:szCs w:val="20"/>
        </w:rPr>
        <w:t>ILM</w:t>
      </w:r>
      <w:r w:rsidR="00CC25EE" w:rsidRPr="007C744F">
        <w:rPr>
          <w:rFonts w:ascii="Times New Roman" w:hAnsi="Times New Roman" w:cs="Times New Roman"/>
          <w:color w:val="000000"/>
          <w:sz w:val="20"/>
          <w:szCs w:val="20"/>
        </w:rPr>
        <w:t xml:space="preserve"> 1624 and their subsequent debates, respectively.</w:t>
      </w:r>
    </w:p>
  </w:footnote>
  <w:footnote w:id="5">
    <w:p w14:paraId="09AB0C74" w14:textId="4C2252FD" w:rsidR="00562C87" w:rsidRPr="007C744F" w:rsidRDefault="00562C87" w:rsidP="007C744F">
      <w:pPr>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See similarly Yuval Shany, ‘Forum Shopping in International Adjudication: The Role of Preliminary Objections, </w:t>
      </w:r>
      <w:r w:rsidRPr="007C744F">
        <w:rPr>
          <w:rFonts w:ascii="Times New Roman" w:hAnsi="Times New Roman" w:cs="Times New Roman"/>
          <w:i/>
          <w:sz w:val="20"/>
          <w:szCs w:val="20"/>
        </w:rPr>
        <w:t xml:space="preserve">written by </w:t>
      </w:r>
      <w:r w:rsidRPr="007C744F">
        <w:rPr>
          <w:rFonts w:ascii="Times New Roman" w:hAnsi="Times New Roman" w:cs="Times New Roman"/>
          <w:sz w:val="20"/>
          <w:szCs w:val="20"/>
        </w:rPr>
        <w:t xml:space="preserve">Luiz Eduardo Salles’ (2016) 17 </w:t>
      </w:r>
      <w:r w:rsidRPr="007C744F">
        <w:rPr>
          <w:rFonts w:ascii="Times New Roman" w:hAnsi="Times New Roman" w:cs="Times New Roman"/>
          <w:i/>
          <w:sz w:val="20"/>
          <w:szCs w:val="20"/>
        </w:rPr>
        <w:t>JWIT</w:t>
      </w:r>
      <w:r w:rsidRPr="007C744F">
        <w:rPr>
          <w:rFonts w:ascii="Times New Roman" w:hAnsi="Times New Roman" w:cs="Times New Roman"/>
          <w:sz w:val="20"/>
          <w:szCs w:val="20"/>
        </w:rPr>
        <w:t xml:space="preserve"> 159, 159-160.  </w:t>
      </w:r>
    </w:p>
  </w:footnote>
  <w:footnote w:id="6">
    <w:p w14:paraId="2334AD65" w14:textId="52BDAA55"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An openly ‘ex post facto’ exercise: p 133.</w:t>
      </w:r>
    </w:p>
  </w:footnote>
  <w:footnote w:id="7">
    <w:p w14:paraId="4E32158E" w14:textId="0FD8F87F"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Classically </w:t>
      </w:r>
      <w:r w:rsidRPr="007C744F">
        <w:rPr>
          <w:rFonts w:ascii="Times New Roman" w:hAnsi="Times New Roman" w:cs="Times New Roman"/>
          <w:i/>
          <w:iCs/>
          <w:sz w:val="20"/>
          <w:szCs w:val="20"/>
        </w:rPr>
        <w:t>United States—Standards of Reformulated and Conventional Gasoline</w:t>
      </w:r>
      <w:r w:rsidRPr="007C744F">
        <w:rPr>
          <w:rFonts w:ascii="Times New Roman" w:hAnsi="Times New Roman" w:cs="Times New Roman"/>
          <w:sz w:val="20"/>
          <w:szCs w:val="20"/>
        </w:rPr>
        <w:t>, Report of the Appellate Body (20 May 1996) WT/DS2/AB/R, DSR 1996:I, 16.</w:t>
      </w:r>
    </w:p>
  </w:footnote>
  <w:footnote w:id="8">
    <w:p w14:paraId="4DECE251" w14:textId="27602546" w:rsidR="003363D7" w:rsidRPr="007C744F" w:rsidRDefault="003363D7" w:rsidP="007C744F">
      <w:pPr>
        <w:pStyle w:val="FootnoteText"/>
        <w:contextualSpacing/>
        <w:rPr>
          <w:rFonts w:ascii="Times New Roman" w:hAnsi="Times New Roman" w:cs="Times New Roman"/>
          <w:bCs/>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See, for example, comparative analysis at the ICJ: </w:t>
      </w:r>
      <w:r w:rsidRPr="007C744F">
        <w:rPr>
          <w:rFonts w:ascii="Times New Roman" w:hAnsi="Times New Roman" w:cs="Times New Roman"/>
          <w:bCs/>
          <w:i/>
          <w:sz w:val="20"/>
          <w:szCs w:val="20"/>
        </w:rPr>
        <w:t>Case Concerning Pulp Mills on the River Uruguay (Argentina</w:t>
      </w:r>
      <w:r w:rsidRPr="007C744F">
        <w:rPr>
          <w:rFonts w:ascii="Times New Roman" w:hAnsi="Times New Roman" w:cs="Times New Roman"/>
          <w:bCs/>
          <w:i/>
          <w:iCs/>
          <w:sz w:val="20"/>
          <w:szCs w:val="20"/>
        </w:rPr>
        <w:t xml:space="preserve"> v. Uruguay)</w:t>
      </w:r>
      <w:r w:rsidRPr="007C744F">
        <w:rPr>
          <w:rFonts w:ascii="Times New Roman" w:hAnsi="Times New Roman" w:cs="Times New Roman"/>
          <w:bCs/>
          <w:iCs/>
          <w:sz w:val="20"/>
          <w:szCs w:val="20"/>
        </w:rPr>
        <w:t xml:space="preserve"> Judgment (20 April 2010),</w:t>
      </w:r>
      <w:r w:rsidRPr="007C744F">
        <w:rPr>
          <w:rFonts w:ascii="Times New Roman" w:hAnsi="Times New Roman" w:cs="Times New Roman"/>
          <w:bCs/>
          <w:sz w:val="20"/>
          <w:szCs w:val="20"/>
        </w:rPr>
        <w:t xml:space="preserve"> Joint Dissenting Opinion of Judges Al-Khasawneh and Simma, p6.</w:t>
      </w:r>
    </w:p>
  </w:footnote>
  <w:footnote w:id="9">
    <w:p w14:paraId="2A2056F5" w14:textId="0A570294"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p 180.</w:t>
      </w:r>
    </w:p>
  </w:footnote>
  <w:footnote w:id="10">
    <w:p w14:paraId="115F406B" w14:textId="76C5C31A"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p 39.</w:t>
      </w:r>
    </w:p>
  </w:footnote>
  <w:footnote w:id="11">
    <w:p w14:paraId="5575ED92" w14:textId="731BCB1B"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pp 192-203.</w:t>
      </w:r>
    </w:p>
  </w:footnote>
  <w:footnote w:id="12">
    <w:p w14:paraId="3E49981C" w14:textId="07F1553F"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A challenge only made greater in light of the most recent developments with Appellate Body reappointments. See: ‘</w:t>
      </w:r>
      <w:r w:rsidRPr="007C744F">
        <w:rPr>
          <w:rFonts w:ascii="Times New Roman" w:hAnsi="Times New Roman" w:cs="Times New Roman"/>
          <w:bCs/>
          <w:sz w:val="20"/>
          <w:szCs w:val="20"/>
        </w:rPr>
        <w:t xml:space="preserve">Farewell Speech of Seung Wha Chang at the DSB on 26 September 2016’ available at: </w:t>
      </w:r>
      <w:r w:rsidRPr="007C744F">
        <w:rPr>
          <w:rFonts w:ascii="Times New Roman" w:hAnsi="Times New Roman" w:cs="Times New Roman"/>
          <w:sz w:val="20"/>
          <w:szCs w:val="20"/>
        </w:rPr>
        <w:t xml:space="preserve">&lt;https://www.wto.org/english/news_e/news16_e/changfarwellspeech_e.pdf&gt; </w:t>
      </w:r>
    </w:p>
  </w:footnote>
  <w:footnote w:id="13">
    <w:p w14:paraId="020B46FF" w14:textId="2EBF2672" w:rsidR="003363D7" w:rsidRPr="007C744F" w:rsidRDefault="003363D7" w:rsidP="007C744F">
      <w:pPr>
        <w:pStyle w:val="FootnoteText"/>
        <w:contextualSpacing/>
        <w:rPr>
          <w:rFonts w:ascii="Times New Roman" w:hAnsi="Times New Roman" w:cs="Times New Roman"/>
          <w:sz w:val="20"/>
          <w:szCs w:val="20"/>
        </w:rPr>
      </w:pPr>
      <w:r w:rsidRPr="007C744F">
        <w:rPr>
          <w:rStyle w:val="FootnoteReference"/>
          <w:rFonts w:ascii="Times New Roman" w:hAnsi="Times New Roman" w:cs="Times New Roman"/>
          <w:sz w:val="20"/>
          <w:szCs w:val="20"/>
        </w:rPr>
        <w:footnoteRef/>
      </w:r>
      <w:r w:rsidRPr="007C744F">
        <w:rPr>
          <w:rFonts w:ascii="Times New Roman" w:hAnsi="Times New Roman" w:cs="Times New Roman"/>
          <w:sz w:val="20"/>
          <w:szCs w:val="20"/>
        </w:rPr>
        <w:t xml:space="preserve"> Paradigmatically, A Lang, </w:t>
      </w:r>
      <w:r w:rsidRPr="007C744F">
        <w:rPr>
          <w:rFonts w:ascii="Times New Roman" w:hAnsi="Times New Roman" w:cs="Times New Roman"/>
          <w:i/>
          <w:sz w:val="20"/>
          <w:szCs w:val="20"/>
        </w:rPr>
        <w:t>World Trade Law After Neoliberalism: Reimaging the Global Economic Order</w:t>
      </w:r>
    </w:p>
    <w:p w14:paraId="76D2AF73" w14:textId="061A5B8F" w:rsidR="003363D7" w:rsidRPr="007C744F" w:rsidRDefault="003363D7" w:rsidP="007C744F">
      <w:pPr>
        <w:pStyle w:val="FootnoteText"/>
        <w:contextualSpacing/>
        <w:rPr>
          <w:rFonts w:ascii="Times New Roman" w:hAnsi="Times New Roman" w:cs="Times New Roman"/>
          <w:sz w:val="20"/>
          <w:szCs w:val="20"/>
        </w:rPr>
      </w:pPr>
      <w:r w:rsidRPr="007C744F">
        <w:rPr>
          <w:rFonts w:ascii="Times New Roman" w:hAnsi="Times New Roman" w:cs="Times New Roman"/>
          <w:sz w:val="20"/>
          <w:szCs w:val="20"/>
        </w:rPr>
        <w:t>(OUP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2A"/>
    <w:rsid w:val="000036AB"/>
    <w:rsid w:val="00004BA3"/>
    <w:rsid w:val="000114B5"/>
    <w:rsid w:val="0002402A"/>
    <w:rsid w:val="00027AFD"/>
    <w:rsid w:val="00050701"/>
    <w:rsid w:val="0005517D"/>
    <w:rsid w:val="00055CEF"/>
    <w:rsid w:val="0005692F"/>
    <w:rsid w:val="00063676"/>
    <w:rsid w:val="00076033"/>
    <w:rsid w:val="00080A0F"/>
    <w:rsid w:val="000A6C7D"/>
    <w:rsid w:val="000B63E3"/>
    <w:rsid w:val="000C7715"/>
    <w:rsid w:val="00115396"/>
    <w:rsid w:val="001248B1"/>
    <w:rsid w:val="00126498"/>
    <w:rsid w:val="00132FF5"/>
    <w:rsid w:val="0014081E"/>
    <w:rsid w:val="00140996"/>
    <w:rsid w:val="00171313"/>
    <w:rsid w:val="0017398F"/>
    <w:rsid w:val="00185EA2"/>
    <w:rsid w:val="00192F6C"/>
    <w:rsid w:val="0019672E"/>
    <w:rsid w:val="001B3373"/>
    <w:rsid w:val="001B4177"/>
    <w:rsid w:val="001B651F"/>
    <w:rsid w:val="001C70F4"/>
    <w:rsid w:val="001D433A"/>
    <w:rsid w:val="001D7A52"/>
    <w:rsid w:val="001F4CFB"/>
    <w:rsid w:val="00211453"/>
    <w:rsid w:val="002317F9"/>
    <w:rsid w:val="00246F53"/>
    <w:rsid w:val="00265D89"/>
    <w:rsid w:val="002672E1"/>
    <w:rsid w:val="002710B6"/>
    <w:rsid w:val="00274657"/>
    <w:rsid w:val="00290F35"/>
    <w:rsid w:val="0029737F"/>
    <w:rsid w:val="002B264C"/>
    <w:rsid w:val="002B3393"/>
    <w:rsid w:val="002C11C0"/>
    <w:rsid w:val="002C2E28"/>
    <w:rsid w:val="002D4D22"/>
    <w:rsid w:val="002E2243"/>
    <w:rsid w:val="002E727D"/>
    <w:rsid w:val="002F4BFF"/>
    <w:rsid w:val="00315EA2"/>
    <w:rsid w:val="003208A1"/>
    <w:rsid w:val="00322024"/>
    <w:rsid w:val="003225B4"/>
    <w:rsid w:val="003232AB"/>
    <w:rsid w:val="00332AC3"/>
    <w:rsid w:val="003363D7"/>
    <w:rsid w:val="00337C09"/>
    <w:rsid w:val="00351D11"/>
    <w:rsid w:val="00354FAF"/>
    <w:rsid w:val="003564A8"/>
    <w:rsid w:val="0036265A"/>
    <w:rsid w:val="00365F62"/>
    <w:rsid w:val="00381A71"/>
    <w:rsid w:val="00385139"/>
    <w:rsid w:val="0038661C"/>
    <w:rsid w:val="003C1E47"/>
    <w:rsid w:val="003D189C"/>
    <w:rsid w:val="003D1A3A"/>
    <w:rsid w:val="003E1EC5"/>
    <w:rsid w:val="003E2A5B"/>
    <w:rsid w:val="003E3767"/>
    <w:rsid w:val="003F2158"/>
    <w:rsid w:val="003F24A2"/>
    <w:rsid w:val="0040328F"/>
    <w:rsid w:val="004145B3"/>
    <w:rsid w:val="00422A30"/>
    <w:rsid w:val="0042343D"/>
    <w:rsid w:val="00440152"/>
    <w:rsid w:val="00443602"/>
    <w:rsid w:val="004436B0"/>
    <w:rsid w:val="00446B51"/>
    <w:rsid w:val="0045698C"/>
    <w:rsid w:val="004931BC"/>
    <w:rsid w:val="004A09F7"/>
    <w:rsid w:val="004C1CC3"/>
    <w:rsid w:val="004D3561"/>
    <w:rsid w:val="004E0511"/>
    <w:rsid w:val="004E29C4"/>
    <w:rsid w:val="00502AC2"/>
    <w:rsid w:val="00502E97"/>
    <w:rsid w:val="005133D8"/>
    <w:rsid w:val="005325D1"/>
    <w:rsid w:val="0054461E"/>
    <w:rsid w:val="005554E1"/>
    <w:rsid w:val="00562C87"/>
    <w:rsid w:val="0057467A"/>
    <w:rsid w:val="00574C60"/>
    <w:rsid w:val="00586FE9"/>
    <w:rsid w:val="005871D4"/>
    <w:rsid w:val="005C3288"/>
    <w:rsid w:val="005D1CCE"/>
    <w:rsid w:val="006010F6"/>
    <w:rsid w:val="006054BC"/>
    <w:rsid w:val="00612152"/>
    <w:rsid w:val="0062169D"/>
    <w:rsid w:val="00622B6B"/>
    <w:rsid w:val="00644736"/>
    <w:rsid w:val="00651D01"/>
    <w:rsid w:val="00655610"/>
    <w:rsid w:val="0066264C"/>
    <w:rsid w:val="0066438B"/>
    <w:rsid w:val="00666859"/>
    <w:rsid w:val="00685B66"/>
    <w:rsid w:val="006924BD"/>
    <w:rsid w:val="006A1D8F"/>
    <w:rsid w:val="006A1E11"/>
    <w:rsid w:val="006E6448"/>
    <w:rsid w:val="007009CC"/>
    <w:rsid w:val="00703245"/>
    <w:rsid w:val="007077C4"/>
    <w:rsid w:val="00714DA6"/>
    <w:rsid w:val="00717436"/>
    <w:rsid w:val="0072262A"/>
    <w:rsid w:val="00724337"/>
    <w:rsid w:val="0072593B"/>
    <w:rsid w:val="007770B3"/>
    <w:rsid w:val="00780401"/>
    <w:rsid w:val="00785122"/>
    <w:rsid w:val="00787EC2"/>
    <w:rsid w:val="007905A0"/>
    <w:rsid w:val="00790F4E"/>
    <w:rsid w:val="007C0761"/>
    <w:rsid w:val="007C7224"/>
    <w:rsid w:val="007C744F"/>
    <w:rsid w:val="007D4ED1"/>
    <w:rsid w:val="007D5FEC"/>
    <w:rsid w:val="007D63D4"/>
    <w:rsid w:val="007F1DEA"/>
    <w:rsid w:val="007F4EFC"/>
    <w:rsid w:val="00807AAA"/>
    <w:rsid w:val="00821DFC"/>
    <w:rsid w:val="008457C0"/>
    <w:rsid w:val="00861743"/>
    <w:rsid w:val="00895080"/>
    <w:rsid w:val="008952A8"/>
    <w:rsid w:val="008B53D2"/>
    <w:rsid w:val="008C1A9D"/>
    <w:rsid w:val="008D6CEA"/>
    <w:rsid w:val="008E1E01"/>
    <w:rsid w:val="008E7A01"/>
    <w:rsid w:val="009042F0"/>
    <w:rsid w:val="00910ACF"/>
    <w:rsid w:val="00913CCC"/>
    <w:rsid w:val="0093582F"/>
    <w:rsid w:val="009417A6"/>
    <w:rsid w:val="00944FE0"/>
    <w:rsid w:val="00950542"/>
    <w:rsid w:val="009555E7"/>
    <w:rsid w:val="00967EB6"/>
    <w:rsid w:val="00970824"/>
    <w:rsid w:val="0098340A"/>
    <w:rsid w:val="00985786"/>
    <w:rsid w:val="0099544A"/>
    <w:rsid w:val="00997484"/>
    <w:rsid w:val="009A64CF"/>
    <w:rsid w:val="009F7D2B"/>
    <w:rsid w:val="00A00466"/>
    <w:rsid w:val="00A03800"/>
    <w:rsid w:val="00A12DE5"/>
    <w:rsid w:val="00A138A0"/>
    <w:rsid w:val="00A24A62"/>
    <w:rsid w:val="00A36D62"/>
    <w:rsid w:val="00A739D6"/>
    <w:rsid w:val="00A739EA"/>
    <w:rsid w:val="00A82F53"/>
    <w:rsid w:val="00A93A4C"/>
    <w:rsid w:val="00AA4373"/>
    <w:rsid w:val="00AC1549"/>
    <w:rsid w:val="00AC43D9"/>
    <w:rsid w:val="00AC6AE1"/>
    <w:rsid w:val="00AD78C1"/>
    <w:rsid w:val="00AD7F05"/>
    <w:rsid w:val="00B00A9B"/>
    <w:rsid w:val="00B1082C"/>
    <w:rsid w:val="00B40B16"/>
    <w:rsid w:val="00B44462"/>
    <w:rsid w:val="00B606AD"/>
    <w:rsid w:val="00B668C0"/>
    <w:rsid w:val="00B72242"/>
    <w:rsid w:val="00B93BF2"/>
    <w:rsid w:val="00B93C38"/>
    <w:rsid w:val="00BA0583"/>
    <w:rsid w:val="00BA243B"/>
    <w:rsid w:val="00BA6D3E"/>
    <w:rsid w:val="00BC5273"/>
    <w:rsid w:val="00BD77CF"/>
    <w:rsid w:val="00BE19F0"/>
    <w:rsid w:val="00BE35AF"/>
    <w:rsid w:val="00C05F5F"/>
    <w:rsid w:val="00C11707"/>
    <w:rsid w:val="00C12852"/>
    <w:rsid w:val="00C16AE1"/>
    <w:rsid w:val="00C4081F"/>
    <w:rsid w:val="00C54997"/>
    <w:rsid w:val="00C85CA9"/>
    <w:rsid w:val="00CA0074"/>
    <w:rsid w:val="00CA4BC4"/>
    <w:rsid w:val="00CC25EE"/>
    <w:rsid w:val="00CD2890"/>
    <w:rsid w:val="00CF50FA"/>
    <w:rsid w:val="00D05006"/>
    <w:rsid w:val="00D127DA"/>
    <w:rsid w:val="00D13D0D"/>
    <w:rsid w:val="00D22953"/>
    <w:rsid w:val="00D249D8"/>
    <w:rsid w:val="00D45DF5"/>
    <w:rsid w:val="00D6155B"/>
    <w:rsid w:val="00D66106"/>
    <w:rsid w:val="00D72D00"/>
    <w:rsid w:val="00D81982"/>
    <w:rsid w:val="00D8762D"/>
    <w:rsid w:val="00DA0382"/>
    <w:rsid w:val="00DD3978"/>
    <w:rsid w:val="00DF0FD6"/>
    <w:rsid w:val="00DF3877"/>
    <w:rsid w:val="00DF5294"/>
    <w:rsid w:val="00DF6ABA"/>
    <w:rsid w:val="00E313AE"/>
    <w:rsid w:val="00E40D14"/>
    <w:rsid w:val="00E4650E"/>
    <w:rsid w:val="00E652E7"/>
    <w:rsid w:val="00E7594E"/>
    <w:rsid w:val="00E901EC"/>
    <w:rsid w:val="00EC134D"/>
    <w:rsid w:val="00ED2483"/>
    <w:rsid w:val="00ED6621"/>
    <w:rsid w:val="00EE7D05"/>
    <w:rsid w:val="00EF3E40"/>
    <w:rsid w:val="00EF545D"/>
    <w:rsid w:val="00F15AB6"/>
    <w:rsid w:val="00F31B3E"/>
    <w:rsid w:val="00F35146"/>
    <w:rsid w:val="00F50C72"/>
    <w:rsid w:val="00F61631"/>
    <w:rsid w:val="00F62923"/>
    <w:rsid w:val="00F85F3B"/>
    <w:rsid w:val="00F86893"/>
    <w:rsid w:val="00F91CE4"/>
    <w:rsid w:val="00FB5710"/>
    <w:rsid w:val="00FC6207"/>
    <w:rsid w:val="00FD0F1A"/>
    <w:rsid w:val="00FE133A"/>
    <w:rsid w:val="00FF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EE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264C"/>
  </w:style>
  <w:style w:type="character" w:customStyle="1" w:styleId="FootnoteTextChar">
    <w:name w:val="Footnote Text Char"/>
    <w:basedOn w:val="DefaultParagraphFont"/>
    <w:link w:val="FootnoteText"/>
    <w:uiPriority w:val="99"/>
    <w:rsid w:val="002B264C"/>
  </w:style>
  <w:style w:type="character" w:styleId="FootnoteReference">
    <w:name w:val="footnote reference"/>
    <w:basedOn w:val="DefaultParagraphFont"/>
    <w:uiPriority w:val="99"/>
    <w:unhideWhenUsed/>
    <w:rsid w:val="002B264C"/>
    <w:rPr>
      <w:vertAlign w:val="superscript"/>
    </w:rPr>
  </w:style>
  <w:style w:type="character" w:styleId="Strong">
    <w:name w:val="Strong"/>
    <w:basedOn w:val="DefaultParagraphFont"/>
    <w:uiPriority w:val="22"/>
    <w:qFormat/>
    <w:rsid w:val="000B63E3"/>
    <w:rPr>
      <w:b/>
      <w:bCs/>
    </w:rPr>
  </w:style>
  <w:style w:type="paragraph" w:styleId="NormalWeb">
    <w:name w:val="Normal (Web)"/>
    <w:basedOn w:val="Normal"/>
    <w:uiPriority w:val="99"/>
    <w:semiHidden/>
    <w:unhideWhenUsed/>
    <w:rsid w:val="00861743"/>
    <w:rPr>
      <w:rFonts w:ascii="Times New Roman" w:hAnsi="Times New Roman" w:cs="Times New Roman"/>
    </w:rPr>
  </w:style>
  <w:style w:type="character" w:styleId="CommentReference">
    <w:name w:val="annotation reference"/>
    <w:basedOn w:val="DefaultParagraphFont"/>
    <w:uiPriority w:val="99"/>
    <w:semiHidden/>
    <w:unhideWhenUsed/>
    <w:rsid w:val="003363D7"/>
    <w:rPr>
      <w:sz w:val="16"/>
      <w:szCs w:val="16"/>
    </w:rPr>
  </w:style>
  <w:style w:type="paragraph" w:styleId="CommentText">
    <w:name w:val="annotation text"/>
    <w:basedOn w:val="Normal"/>
    <w:link w:val="CommentTextChar"/>
    <w:uiPriority w:val="99"/>
    <w:semiHidden/>
    <w:unhideWhenUsed/>
    <w:rsid w:val="003363D7"/>
    <w:rPr>
      <w:sz w:val="20"/>
      <w:szCs w:val="20"/>
    </w:rPr>
  </w:style>
  <w:style w:type="character" w:customStyle="1" w:styleId="CommentTextChar">
    <w:name w:val="Comment Text Char"/>
    <w:basedOn w:val="DefaultParagraphFont"/>
    <w:link w:val="CommentText"/>
    <w:uiPriority w:val="99"/>
    <w:semiHidden/>
    <w:rsid w:val="003363D7"/>
    <w:rPr>
      <w:sz w:val="20"/>
      <w:szCs w:val="20"/>
    </w:rPr>
  </w:style>
  <w:style w:type="paragraph" w:styleId="CommentSubject">
    <w:name w:val="annotation subject"/>
    <w:basedOn w:val="CommentText"/>
    <w:next w:val="CommentText"/>
    <w:link w:val="CommentSubjectChar"/>
    <w:uiPriority w:val="99"/>
    <w:semiHidden/>
    <w:unhideWhenUsed/>
    <w:rsid w:val="003363D7"/>
    <w:rPr>
      <w:b/>
      <w:bCs/>
    </w:rPr>
  </w:style>
  <w:style w:type="character" w:customStyle="1" w:styleId="CommentSubjectChar">
    <w:name w:val="Comment Subject Char"/>
    <w:basedOn w:val="CommentTextChar"/>
    <w:link w:val="CommentSubject"/>
    <w:uiPriority w:val="99"/>
    <w:semiHidden/>
    <w:rsid w:val="003363D7"/>
    <w:rPr>
      <w:b/>
      <w:bCs/>
      <w:sz w:val="20"/>
      <w:szCs w:val="20"/>
    </w:rPr>
  </w:style>
  <w:style w:type="paragraph" w:styleId="BalloonText">
    <w:name w:val="Balloon Text"/>
    <w:basedOn w:val="Normal"/>
    <w:link w:val="BalloonTextChar"/>
    <w:uiPriority w:val="99"/>
    <w:semiHidden/>
    <w:unhideWhenUsed/>
    <w:rsid w:val="003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379">
      <w:bodyDiv w:val="1"/>
      <w:marLeft w:val="0"/>
      <w:marRight w:val="0"/>
      <w:marTop w:val="0"/>
      <w:marBottom w:val="0"/>
      <w:divBdr>
        <w:top w:val="none" w:sz="0" w:space="0" w:color="auto"/>
        <w:left w:val="none" w:sz="0" w:space="0" w:color="auto"/>
        <w:bottom w:val="none" w:sz="0" w:space="0" w:color="auto"/>
        <w:right w:val="none" w:sz="0" w:space="0" w:color="auto"/>
      </w:divBdr>
      <w:divsChild>
        <w:div w:id="291719246">
          <w:marLeft w:val="0"/>
          <w:marRight w:val="0"/>
          <w:marTop w:val="0"/>
          <w:marBottom w:val="0"/>
          <w:divBdr>
            <w:top w:val="none" w:sz="0" w:space="0" w:color="auto"/>
            <w:left w:val="none" w:sz="0" w:space="0" w:color="auto"/>
            <w:bottom w:val="none" w:sz="0" w:space="0" w:color="auto"/>
            <w:right w:val="none" w:sz="0" w:space="0" w:color="auto"/>
          </w:divBdr>
          <w:divsChild>
            <w:div w:id="255138394">
              <w:marLeft w:val="0"/>
              <w:marRight w:val="0"/>
              <w:marTop w:val="0"/>
              <w:marBottom w:val="0"/>
              <w:divBdr>
                <w:top w:val="none" w:sz="0" w:space="0" w:color="auto"/>
                <w:left w:val="none" w:sz="0" w:space="0" w:color="auto"/>
                <w:bottom w:val="none" w:sz="0" w:space="0" w:color="auto"/>
                <w:right w:val="none" w:sz="0" w:space="0" w:color="auto"/>
              </w:divBdr>
              <w:divsChild>
                <w:div w:id="20213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3801">
      <w:bodyDiv w:val="1"/>
      <w:marLeft w:val="0"/>
      <w:marRight w:val="0"/>
      <w:marTop w:val="0"/>
      <w:marBottom w:val="0"/>
      <w:divBdr>
        <w:top w:val="none" w:sz="0" w:space="0" w:color="auto"/>
        <w:left w:val="none" w:sz="0" w:space="0" w:color="auto"/>
        <w:bottom w:val="none" w:sz="0" w:space="0" w:color="auto"/>
        <w:right w:val="none" w:sz="0" w:space="0" w:color="auto"/>
      </w:divBdr>
      <w:divsChild>
        <w:div w:id="500972206">
          <w:marLeft w:val="0"/>
          <w:marRight w:val="0"/>
          <w:marTop w:val="0"/>
          <w:marBottom w:val="0"/>
          <w:divBdr>
            <w:top w:val="none" w:sz="0" w:space="0" w:color="auto"/>
            <w:left w:val="none" w:sz="0" w:space="0" w:color="auto"/>
            <w:bottom w:val="none" w:sz="0" w:space="0" w:color="auto"/>
            <w:right w:val="none" w:sz="0" w:space="0" w:color="auto"/>
          </w:divBdr>
          <w:divsChild>
            <w:div w:id="141581206">
              <w:marLeft w:val="0"/>
              <w:marRight w:val="0"/>
              <w:marTop w:val="0"/>
              <w:marBottom w:val="0"/>
              <w:divBdr>
                <w:top w:val="none" w:sz="0" w:space="0" w:color="auto"/>
                <w:left w:val="none" w:sz="0" w:space="0" w:color="auto"/>
                <w:bottom w:val="none" w:sz="0" w:space="0" w:color="auto"/>
                <w:right w:val="none" w:sz="0" w:space="0" w:color="auto"/>
              </w:divBdr>
              <w:divsChild>
                <w:div w:id="12634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18C66-0378-42ED-93F2-583A6032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Joseph Hage Aaronson LLP</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Messenger, Gregory</dc:creator>
  <cp:lastModifiedBy>Messenger, Gregory</cp:lastModifiedBy>
  <cp:revision>2</cp:revision>
  <dcterms:created xsi:type="dcterms:W3CDTF">2016-12-06T17:28:00Z</dcterms:created>
  <dcterms:modified xsi:type="dcterms:W3CDTF">2016-12-06T17:28:00Z</dcterms:modified>
</cp:coreProperties>
</file>