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E62" w:rsidRDefault="00363E1A">
      <w:pPr>
        <w:pBdr>
          <w:top w:val="nil"/>
          <w:left w:val="nil"/>
          <w:bottom w:val="nil"/>
          <w:right w:val="nil"/>
          <w:between w:val="nil"/>
        </w:pBdr>
        <w:rPr>
          <w:rFonts w:ascii="Arial Unicode MS" w:eastAsia="Arial Unicode MS" w:hAnsi="Arial Unicode MS" w:cs="Arial Unicode MS"/>
          <w:b/>
          <w:sz w:val="32"/>
          <w:szCs w:val="32"/>
        </w:rPr>
      </w:pPr>
      <w:bookmarkStart w:id="0" w:name="_GoBack"/>
      <w:bookmarkEnd w:id="0"/>
      <w:r>
        <w:rPr>
          <w:rFonts w:ascii="Arial Unicode MS" w:eastAsia="Arial Unicode MS" w:hAnsi="Arial Unicode MS" w:cs="Arial Unicode MS"/>
          <w:b/>
          <w:sz w:val="32"/>
          <w:szCs w:val="32"/>
        </w:rPr>
        <w:t>BSG 2016 - Abstract Submission</w:t>
      </w:r>
    </w:p>
    <w:p w:rsidR="00486E62" w:rsidRDefault="00363E1A">
      <w:pPr>
        <w:pBdr>
          <w:top w:val="nil"/>
          <w:left w:val="nil"/>
          <w:bottom w:val="nil"/>
          <w:right w:val="nil"/>
          <w:between w:val="nil"/>
        </w:pBdr>
        <w:rPr>
          <w:rFonts w:ascii="Arial Unicode MS" w:eastAsia="Arial Unicode MS" w:hAnsi="Arial Unicode MS" w:cs="Arial Unicode MS"/>
          <w:b/>
          <w:sz w:val="32"/>
          <w:szCs w:val="32"/>
        </w:rPr>
      </w:pPr>
      <w:r>
        <w:rPr>
          <w:rFonts w:ascii="Arial Unicode MS" w:eastAsia="Arial Unicode MS" w:hAnsi="Arial Unicode MS" w:cs="Arial Unicode MS"/>
          <w:b/>
          <w:i/>
        </w:rPr>
        <w:t>Gastroenterology service: development, delivery, IT</w:t>
      </w:r>
    </w:p>
    <w:p w:rsidR="00486E62" w:rsidRDefault="00363E1A">
      <w:pPr>
        <w:pBdr>
          <w:top w:val="nil"/>
          <w:left w:val="nil"/>
          <w:bottom w:val="nil"/>
          <w:right w:val="nil"/>
          <w:between w:val="nil"/>
        </w:pBdr>
        <w:tabs>
          <w:tab w:val="left" w:pos="3450"/>
        </w:tabs>
        <w:rPr>
          <w:rFonts w:ascii="Arial Unicode MS" w:eastAsia="Arial Unicode MS" w:hAnsi="Arial Unicode MS" w:cs="Arial Unicode MS"/>
          <w:szCs w:val="20"/>
        </w:rPr>
      </w:pPr>
      <w:r>
        <w:rPr>
          <w:rFonts w:ascii="Arial Unicode MS" w:eastAsia="Arial Unicode MS" w:hAnsi="Arial Unicode MS" w:cs="Arial Unicode MS"/>
          <w:szCs w:val="20"/>
        </w:rPr>
        <w:t>BSG16-ABS-1509</w:t>
      </w:r>
    </w:p>
    <w:p w:rsidR="00486E62" w:rsidRDefault="00363E1A">
      <w:pPr>
        <w:pBdr>
          <w:top w:val="nil"/>
          <w:left w:val="nil"/>
          <w:bottom w:val="nil"/>
          <w:right w:val="nil"/>
          <w:between w:val="nil"/>
        </w:pBdr>
        <w:rPr>
          <w:rFonts w:ascii="Arial Unicode MS" w:eastAsia="Arial Unicode MS" w:hAnsi="Arial Unicode MS" w:cs="Arial Unicode MS"/>
          <w:b/>
          <w:szCs w:val="20"/>
        </w:rPr>
      </w:pPr>
      <w:r>
        <w:rPr>
          <w:rFonts w:ascii="Arial Unicode MS" w:eastAsia="Arial Unicode MS" w:hAnsi="Arial Unicode MS" w:cs="Arial Unicode MS"/>
          <w:b/>
          <w:szCs w:val="20"/>
        </w:rPr>
        <w:t>AN OBSERVATIONAL PROSPECTIVE CLINICAL AUDIT TO DETERMINE THE PRESENCE OF ALCOHOL-RELATED BRAIN INJURY (ARBI) IN PATIENTS PRESENTING TO ACUTE CARE.</w:t>
      </w:r>
    </w:p>
    <w:p w:rsidR="00486E62" w:rsidRPr="002E012D" w:rsidRDefault="00363E1A">
      <w:pPr>
        <w:pBdr>
          <w:top w:val="nil"/>
          <w:left w:val="nil"/>
          <w:bottom w:val="nil"/>
          <w:right w:val="nil"/>
          <w:between w:val="nil"/>
        </w:pBdr>
        <w:rPr>
          <w:rFonts w:ascii="Arial Unicode MS" w:eastAsia="Arial Unicode MS" w:hAnsi="Arial Unicode MS" w:cs="Arial Unicode MS"/>
          <w:szCs w:val="20"/>
        </w:rPr>
      </w:pPr>
      <w:r>
        <w:rPr>
          <w:rFonts w:ascii="Arial Unicode MS" w:eastAsia="Arial Unicode MS" w:hAnsi="Arial Unicode MS" w:cs="Arial Unicode MS"/>
          <w:szCs w:val="20"/>
        </w:rPr>
        <w:t xml:space="preserve">L. </w:t>
      </w:r>
      <w:r>
        <w:t>Owens</w:t>
      </w:r>
      <w:r>
        <w:rPr>
          <w:rFonts w:ascii="Arial Unicode MS" w:eastAsia="Arial Unicode MS" w:hAnsi="Arial Unicode MS" w:cs="Arial Unicode MS"/>
          <w:szCs w:val="20"/>
          <w:vertAlign w:val="superscript"/>
        </w:rPr>
        <w:t>*</w:t>
      </w:r>
      <w:r>
        <w:rPr>
          <w:rFonts w:ascii="Arial Unicode MS" w:eastAsia="Arial Unicode MS" w:hAnsi="Arial Unicode MS" w:cs="Arial Unicode MS" w:hint="eastAsia"/>
          <w:szCs w:val="20"/>
          <w:vertAlign w:val="superscript"/>
        </w:rPr>
        <w:t xml:space="preserve"> </w:t>
      </w:r>
      <w:r>
        <w:rPr>
          <w:rFonts w:ascii="Arial Unicode MS" w:eastAsia="Arial Unicode MS" w:hAnsi="Arial Unicode MS" w:cs="Arial Unicode MS"/>
          <w:szCs w:val="20"/>
          <w:vertAlign w:val="superscript"/>
        </w:rPr>
        <w:t>1,</w:t>
      </w:r>
      <w:r>
        <w:rPr>
          <w:rFonts w:ascii="Arial Unicode MS" w:eastAsia="Arial Unicode MS" w:hAnsi="Arial Unicode MS" w:cs="Arial Unicode MS" w:hint="eastAsia"/>
          <w:szCs w:val="20"/>
          <w:vertAlign w:val="superscript"/>
        </w:rPr>
        <w:t xml:space="preserve"> </w:t>
      </w:r>
      <w:r>
        <w:rPr>
          <w:rFonts w:ascii="Arial Unicode MS" w:eastAsia="Arial Unicode MS" w:hAnsi="Arial Unicode MS" w:cs="Arial Unicode MS"/>
          <w:szCs w:val="20"/>
          <w:vertAlign w:val="superscript"/>
        </w:rPr>
        <w:t>2</w:t>
      </w:r>
      <w:r>
        <w:rPr>
          <w:rFonts w:ascii="Arial Unicode MS" w:eastAsia="Arial Unicode MS" w:hAnsi="Arial Unicode MS" w:cs="Arial Unicode MS"/>
          <w:szCs w:val="20"/>
        </w:rPr>
        <w:t xml:space="preserve">, L. </w:t>
      </w:r>
      <w:r>
        <w:t>Chinnappan</w:t>
      </w:r>
      <w:r>
        <w:rPr>
          <w:rFonts w:ascii="Arial Unicode MS" w:eastAsia="Arial Unicode MS" w:hAnsi="Arial Unicode MS" w:cs="Arial Unicode MS"/>
          <w:szCs w:val="20"/>
          <w:vertAlign w:val="superscript"/>
        </w:rPr>
        <w:t>2</w:t>
      </w:r>
      <w:r>
        <w:rPr>
          <w:rFonts w:ascii="Arial Unicode MS" w:eastAsia="Arial Unicode MS" w:hAnsi="Arial Unicode MS" w:cs="Arial Unicode MS"/>
          <w:szCs w:val="20"/>
        </w:rPr>
        <w:t xml:space="preserve">, A. </w:t>
      </w:r>
      <w:r>
        <w:t>Thompson</w:t>
      </w:r>
      <w:r>
        <w:rPr>
          <w:rFonts w:ascii="Arial Unicode MS" w:eastAsia="Arial Unicode MS" w:hAnsi="Arial Unicode MS" w:cs="Arial Unicode MS"/>
          <w:szCs w:val="20"/>
          <w:vertAlign w:val="superscript"/>
        </w:rPr>
        <w:t>1</w:t>
      </w:r>
      <w:r>
        <w:rPr>
          <w:rFonts w:ascii="Arial Unicode MS" w:eastAsia="Arial Unicode MS" w:hAnsi="Arial Unicode MS" w:cs="Arial Unicode MS"/>
          <w:szCs w:val="20"/>
        </w:rPr>
        <w:t xml:space="preserve">, C. </w:t>
      </w:r>
      <w:r>
        <w:t>Kullu</w:t>
      </w:r>
      <w:r>
        <w:rPr>
          <w:rFonts w:ascii="Arial Unicode MS" w:eastAsia="Arial Unicode MS" w:hAnsi="Arial Unicode MS" w:cs="Arial Unicode MS"/>
          <w:szCs w:val="20"/>
          <w:vertAlign w:val="superscript"/>
        </w:rPr>
        <w:t>3</w:t>
      </w:r>
      <w:r>
        <w:rPr>
          <w:rFonts w:ascii="Arial Unicode MS" w:eastAsia="Arial Unicode MS" w:hAnsi="Arial Unicode MS" w:cs="Arial Unicode MS"/>
          <w:szCs w:val="20"/>
        </w:rPr>
        <w:t xml:space="preserve">, P. </w:t>
      </w:r>
      <w:r>
        <w:t>Richardson</w:t>
      </w:r>
      <w:r>
        <w:rPr>
          <w:rFonts w:ascii="Arial Unicode MS" w:eastAsia="Arial Unicode MS" w:hAnsi="Arial Unicode MS" w:cs="Arial Unicode MS"/>
          <w:szCs w:val="20"/>
          <w:vertAlign w:val="superscript"/>
        </w:rPr>
        <w:t>2</w:t>
      </w:r>
      <w:r w:rsidR="002E012D">
        <w:rPr>
          <w:rFonts w:ascii="Arial Unicode MS" w:eastAsia="Arial Unicode MS" w:hAnsi="Arial Unicode MS" w:cs="Arial Unicode MS"/>
          <w:szCs w:val="20"/>
        </w:rPr>
        <w:t>, K. Mannix</w:t>
      </w:r>
      <w:r w:rsidR="002E012D">
        <w:rPr>
          <w:rFonts w:ascii="Arial Unicode MS" w:eastAsia="Arial Unicode MS" w:hAnsi="Arial Unicode MS" w:cs="Arial Unicode MS"/>
          <w:szCs w:val="20"/>
          <w:vertAlign w:val="superscript"/>
        </w:rPr>
        <w:t>2</w:t>
      </w:r>
      <w:r w:rsidR="002E012D">
        <w:rPr>
          <w:rFonts w:ascii="Arial Unicode MS" w:eastAsia="Arial Unicode MS" w:hAnsi="Arial Unicode MS" w:cs="Arial Unicode MS"/>
          <w:szCs w:val="20"/>
        </w:rPr>
        <w:t xml:space="preserve"> </w:t>
      </w:r>
    </w:p>
    <w:p w:rsidR="00486E62" w:rsidRDefault="00363E1A">
      <w:pPr>
        <w:pBdr>
          <w:top w:val="nil"/>
          <w:left w:val="nil"/>
          <w:bottom w:val="nil"/>
          <w:right w:val="nil"/>
          <w:between w:val="nil"/>
        </w:pBdr>
        <w:rPr>
          <w:rFonts w:ascii="Arial Unicode MS" w:eastAsia="Arial Unicode MS" w:hAnsi="Arial Unicode MS" w:cs="Arial Unicode MS"/>
          <w:szCs w:val="20"/>
        </w:rPr>
      </w:pPr>
      <w:r>
        <w:rPr>
          <w:rFonts w:ascii="Arial Unicode MS" w:eastAsia="Arial Unicode MS" w:hAnsi="Arial Unicode MS" w:cs="Arial Unicode MS"/>
          <w:szCs w:val="20"/>
          <w:vertAlign w:val="superscript"/>
        </w:rPr>
        <w:t>1</w:t>
      </w:r>
      <w:r>
        <w:rPr>
          <w:rFonts w:ascii="Arial Unicode MS" w:eastAsia="Arial Unicode MS" w:hAnsi="Arial Unicode MS" w:cs="Arial Unicode MS"/>
          <w:szCs w:val="20"/>
        </w:rPr>
        <w:t xml:space="preserve">Institute of Translational Medicine, University of Liverpool, </w:t>
      </w:r>
      <w:r>
        <w:rPr>
          <w:rFonts w:ascii="Arial Unicode MS" w:eastAsia="Arial Unicode MS" w:hAnsi="Arial Unicode MS" w:cs="Arial Unicode MS"/>
          <w:szCs w:val="20"/>
          <w:vertAlign w:val="superscript"/>
        </w:rPr>
        <w:t>2</w:t>
      </w:r>
      <w:r>
        <w:rPr>
          <w:rFonts w:ascii="Arial Unicode MS" w:eastAsia="Arial Unicode MS" w:hAnsi="Arial Unicode MS" w:cs="Arial Unicode MS"/>
          <w:szCs w:val="20"/>
        </w:rPr>
        <w:t xml:space="preserve">Hepatology, Royal Liverpool &amp; Broadgreen University Hospital Trust, </w:t>
      </w:r>
      <w:r>
        <w:rPr>
          <w:rFonts w:ascii="Arial Unicode MS" w:eastAsia="Arial Unicode MS" w:hAnsi="Arial Unicode MS" w:cs="Arial Unicode MS"/>
          <w:szCs w:val="20"/>
          <w:vertAlign w:val="superscript"/>
        </w:rPr>
        <w:t>3</w:t>
      </w:r>
      <w:r>
        <w:rPr>
          <w:rFonts w:ascii="Arial Unicode MS" w:eastAsia="Arial Unicode MS" w:hAnsi="Arial Unicode MS" w:cs="Arial Unicode MS"/>
          <w:szCs w:val="20"/>
        </w:rPr>
        <w:t>Psychiatric Liaison, Mersey Care NHS Trust, Liverpool, United Kingdom</w:t>
      </w:r>
    </w:p>
    <w:p w:rsidR="00486E62" w:rsidRDefault="00486E62">
      <w:pPr>
        <w:pBdr>
          <w:top w:val="nil"/>
          <w:left w:val="nil"/>
          <w:bottom w:val="nil"/>
          <w:right w:val="nil"/>
          <w:between w:val="nil"/>
        </w:pBdr>
        <w:rPr>
          <w:rFonts w:ascii="Arial Unicode MS" w:eastAsia="Arial Unicode MS" w:hAnsi="Arial Unicode MS" w:cs="Arial Unicode MS"/>
          <w:szCs w:val="20"/>
        </w:rPr>
      </w:pPr>
    </w:p>
    <w:p w:rsidR="00486E62" w:rsidRDefault="00363E1A">
      <w:pPr>
        <w:pBdr>
          <w:top w:val="nil"/>
          <w:left w:val="nil"/>
          <w:bottom w:val="nil"/>
          <w:right w:val="nil"/>
          <w:between w:val="nil"/>
        </w:pBdr>
        <w:tabs>
          <w:tab w:val="left" w:pos="5055"/>
        </w:tabs>
        <w:rPr>
          <w:rFonts w:ascii="Arial Unicode MS" w:eastAsia="Arial Unicode MS" w:hAnsi="Arial Unicode MS" w:cs="Arial Unicode MS"/>
          <w:b/>
          <w:szCs w:val="20"/>
        </w:rPr>
      </w:pPr>
      <w:r>
        <w:rPr>
          <w:rFonts w:ascii="Arial Unicode MS" w:eastAsia="Arial Unicode MS" w:hAnsi="Arial Unicode MS" w:cs="Arial Unicode MS"/>
          <w:b/>
          <w:szCs w:val="20"/>
        </w:rPr>
        <w:t>Does this abstract contain original data?:</w:t>
      </w:r>
      <w:r>
        <w:rPr>
          <w:rFonts w:ascii="Arial Unicode MS" w:eastAsia="Arial Unicode MS" w:hAnsi="Arial Unicode MS" w:cs="Arial Unicode MS"/>
          <w:szCs w:val="20"/>
        </w:rPr>
        <w:t xml:space="preserve"> Yes</w:t>
      </w:r>
    </w:p>
    <w:p w:rsidR="00486E62" w:rsidRDefault="00363E1A">
      <w:pPr>
        <w:pBdr>
          <w:top w:val="nil"/>
          <w:left w:val="nil"/>
          <w:bottom w:val="nil"/>
          <w:right w:val="nil"/>
          <w:between w:val="nil"/>
        </w:pBdr>
        <w:tabs>
          <w:tab w:val="left" w:pos="5055"/>
        </w:tabs>
        <w:rPr>
          <w:rFonts w:ascii="Arial Unicode MS" w:eastAsia="Arial Unicode MS" w:hAnsi="Arial Unicode MS" w:cs="Arial Unicode MS"/>
          <w:szCs w:val="20"/>
        </w:rPr>
      </w:pPr>
      <w:r>
        <w:rPr>
          <w:rFonts w:ascii="Arial Unicode MS" w:eastAsia="Arial Unicode MS" w:hAnsi="Arial Unicode MS" w:cs="Arial Unicode MS"/>
          <w:b/>
          <w:szCs w:val="20"/>
        </w:rPr>
        <w:t>Will this abstract be published/presented prior to June 2016?:</w:t>
      </w:r>
      <w:r>
        <w:rPr>
          <w:rFonts w:ascii="Arial Unicode MS" w:eastAsia="Arial Unicode MS" w:hAnsi="Arial Unicode MS" w:cs="Arial Unicode MS"/>
          <w:szCs w:val="20"/>
        </w:rPr>
        <w:t xml:space="preserve"> No</w:t>
      </w:r>
    </w:p>
    <w:p w:rsidR="00486E62" w:rsidRDefault="00363E1A">
      <w:pPr>
        <w:pBdr>
          <w:top w:val="nil"/>
          <w:left w:val="nil"/>
          <w:bottom w:val="nil"/>
          <w:right w:val="nil"/>
          <w:between w:val="nil"/>
        </w:pBdr>
        <w:tabs>
          <w:tab w:val="left" w:pos="5055"/>
        </w:tabs>
        <w:rPr>
          <w:rFonts w:ascii="Arial Unicode MS" w:eastAsia="Arial Unicode MS" w:hAnsi="Arial Unicode MS" w:cs="Arial Unicode MS"/>
          <w:szCs w:val="20"/>
        </w:rPr>
      </w:pPr>
      <w:r>
        <w:rPr>
          <w:rFonts w:ascii="Arial Unicode MS" w:eastAsia="Arial Unicode MS" w:hAnsi="Arial Unicode MS" w:cs="Arial Unicode MS"/>
          <w:b/>
          <w:szCs w:val="20"/>
        </w:rPr>
        <w:t>This abstract is:</w:t>
      </w:r>
      <w:r>
        <w:rPr>
          <w:rFonts w:ascii="Arial Unicode MS" w:eastAsia="Arial Unicode MS" w:hAnsi="Arial Unicode MS" w:cs="Arial Unicode MS"/>
          <w:szCs w:val="20"/>
        </w:rPr>
        <w:t xml:space="preserve"> Authored by a nurse</w:t>
      </w:r>
    </w:p>
    <w:p w:rsidR="00486E62" w:rsidRDefault="00363E1A">
      <w:pPr>
        <w:pBdr>
          <w:top w:val="nil"/>
          <w:left w:val="nil"/>
          <w:bottom w:val="nil"/>
          <w:right w:val="nil"/>
          <w:between w:val="nil"/>
        </w:pBdr>
        <w:tabs>
          <w:tab w:val="left" w:pos="5055"/>
        </w:tabs>
        <w:rPr>
          <w:rFonts w:ascii="Arial Unicode MS" w:eastAsia="Arial Unicode MS" w:hAnsi="Arial Unicode MS" w:cs="Arial Unicode MS"/>
          <w:szCs w:val="20"/>
        </w:rPr>
      </w:pPr>
      <w:r>
        <w:rPr>
          <w:rFonts w:ascii="Arial Unicode MS" w:eastAsia="Arial Unicode MS" w:hAnsi="Arial Unicode MS" w:cs="Arial Unicode MS"/>
          <w:b/>
          <w:szCs w:val="20"/>
        </w:rPr>
        <w:t>Does your Endoscopy abstract include a video?:</w:t>
      </w:r>
      <w:r>
        <w:rPr>
          <w:rFonts w:ascii="Arial Unicode MS" w:eastAsia="Arial Unicode MS" w:hAnsi="Arial Unicode MS" w:cs="Arial Unicode MS"/>
          <w:szCs w:val="20"/>
        </w:rPr>
        <w:t xml:space="preserve"> No</w:t>
      </w:r>
    </w:p>
    <w:p w:rsidR="00486E62" w:rsidRDefault="00363E1A">
      <w:pPr>
        <w:pBdr>
          <w:top w:val="nil"/>
          <w:left w:val="nil"/>
          <w:bottom w:val="nil"/>
          <w:right w:val="nil"/>
          <w:between w:val="nil"/>
        </w:pBdr>
        <w:tabs>
          <w:tab w:val="left" w:pos="5055"/>
        </w:tabs>
        <w:rPr>
          <w:rFonts w:ascii="Arial Unicode MS" w:eastAsia="Arial Unicode MS" w:hAnsi="Arial Unicode MS" w:cs="Arial Unicode MS"/>
          <w:szCs w:val="20"/>
        </w:rPr>
      </w:pPr>
      <w:r>
        <w:rPr>
          <w:rFonts w:ascii="Arial Unicode MS" w:eastAsia="Arial Unicode MS" w:hAnsi="Arial Unicode MS" w:cs="Arial Unicode MS"/>
          <w:b/>
          <w:szCs w:val="20"/>
        </w:rPr>
        <w:t>Preferred presentation type:</w:t>
      </w:r>
      <w:r>
        <w:rPr>
          <w:rFonts w:ascii="Arial Unicode MS" w:eastAsia="Arial Unicode MS" w:hAnsi="Arial Unicode MS" w:cs="Arial Unicode MS"/>
          <w:szCs w:val="20"/>
        </w:rPr>
        <w:t xml:space="preserve"> Oral or Poster</w:t>
      </w:r>
    </w:p>
    <w:p w:rsidR="00486E62" w:rsidRDefault="00363E1A">
      <w:pPr>
        <w:pBdr>
          <w:top w:val="nil"/>
          <w:left w:val="nil"/>
          <w:bottom w:val="nil"/>
          <w:right w:val="nil"/>
          <w:between w:val="nil"/>
        </w:pBdr>
        <w:tabs>
          <w:tab w:val="left" w:pos="5055"/>
        </w:tabs>
        <w:rPr>
          <w:rFonts w:ascii="Arial Unicode MS" w:eastAsia="Arial Unicode MS" w:hAnsi="Arial Unicode MS" w:cs="Arial Unicode MS"/>
          <w:szCs w:val="20"/>
        </w:rPr>
      </w:pPr>
      <w:r>
        <w:rPr>
          <w:rFonts w:ascii="Arial Unicode MS" w:eastAsia="Arial Unicode MS" w:hAnsi="Arial Unicode MS" w:cs="Arial Unicode MS"/>
          <w:b/>
          <w:szCs w:val="20"/>
        </w:rPr>
        <w:t>Introduction:</w:t>
      </w:r>
      <w:r>
        <w:rPr>
          <w:rFonts w:ascii="Arial Unicode MS" w:eastAsia="Arial Unicode MS" w:hAnsi="Arial Unicode MS" w:cs="Arial Unicode MS"/>
          <w:szCs w:val="20"/>
        </w:rPr>
        <w:t xml:space="preserve"> </w:t>
      </w:r>
      <w:r>
        <w:rPr>
          <w:rFonts w:ascii="Arial Unicode MS" w:eastAsia="Arial Unicode MS" w:hAnsi="Arial Unicode MS"/>
        </w:rPr>
        <w:t>Alcohol dependence is a relapsing condition resulting in significant comorbidity and subsequent use of health resources. Patients are repeatedly admitted into acute care for acute alcohol withdrawal management and stabilisation of their physical condition. Patients are frequently labelled as treatment resistant/non-compliant, despite the fact that a significant proportion of these individuals will have Alcohol Related Brain Injury (ARBI) lacking the capacity to understand or engage in treatment</w:t>
      </w:r>
      <w:r>
        <w:rPr>
          <w:rFonts w:ascii="Arial Unicode MS" w:eastAsia="Arial Unicode MS" w:hAnsi="Arial Unicode MS"/>
          <w:vertAlign w:val="superscript"/>
        </w:rPr>
        <w:t>1</w:t>
      </w:r>
      <w:r>
        <w:rPr>
          <w:rFonts w:ascii="Arial Unicode MS" w:eastAsia="Arial Unicode MS" w:hAnsi="Arial Unicode MS"/>
        </w:rPr>
        <w:t>. Unfortunately, it is rare that assessment for ARBI is undertaken, and therefore the condition goes undetected.</w:t>
      </w:r>
    </w:p>
    <w:p w:rsidR="00486E62" w:rsidRDefault="00363E1A">
      <w:pPr>
        <w:pBdr>
          <w:top w:val="nil"/>
          <w:left w:val="nil"/>
          <w:bottom w:val="nil"/>
          <w:right w:val="nil"/>
          <w:between w:val="nil"/>
        </w:pBdr>
        <w:tabs>
          <w:tab w:val="left" w:pos="5055"/>
        </w:tabs>
        <w:rPr>
          <w:rFonts w:ascii="Arial Unicode MS" w:eastAsia="Arial Unicode MS" w:hAnsi="Arial Unicode MS" w:cs="Arial Unicode MS"/>
          <w:szCs w:val="20"/>
        </w:rPr>
      </w:pPr>
      <w:r>
        <w:rPr>
          <w:rFonts w:ascii="Arial Unicode MS" w:eastAsia="Arial Unicode MS" w:hAnsi="Arial Unicode MS" w:cs="Arial Unicode MS"/>
          <w:b/>
          <w:szCs w:val="20"/>
        </w:rPr>
        <w:t>Methods:</w:t>
      </w:r>
      <w:r>
        <w:rPr>
          <w:rFonts w:ascii="Arial Unicode MS" w:eastAsia="Arial Unicode MS" w:hAnsi="Arial Unicode MS" w:cs="Arial Unicode MS"/>
          <w:szCs w:val="20"/>
        </w:rPr>
        <w:t xml:space="preserve"> </w:t>
      </w:r>
      <w:r>
        <w:rPr>
          <w:rFonts w:ascii="Arial Unicode MS" w:eastAsia="Arial Unicode MS" w:hAnsi="Arial Unicode MS"/>
        </w:rPr>
        <w:t xml:space="preserve">Patients presenting to acute care with an alcohol-related problem were assessed for risk of ARBI by the Alcohol Specialist Nurse performing a </w:t>
      </w:r>
      <w:r>
        <w:rPr>
          <w:rFonts w:ascii="Arial Unicode MS" w:eastAsia="Arial Unicode MS" w:hAnsi="Arial Unicode MS"/>
          <w:b/>
        </w:rPr>
        <w:t>MoCA</w:t>
      </w:r>
      <w:r>
        <w:rPr>
          <w:rFonts w:ascii="Arial Unicode MS" w:eastAsia="Arial Unicode MS" w:hAnsi="Arial Unicode MS"/>
          <w:b/>
          <w:vertAlign w:val="superscript"/>
        </w:rPr>
        <w:t>©</w:t>
      </w:r>
      <w:r>
        <w:rPr>
          <w:rFonts w:ascii="Arial Unicode MS" w:eastAsia="Arial Unicode MS" w:hAnsi="Arial Unicode MS"/>
          <w:vertAlign w:val="superscript"/>
        </w:rPr>
        <w:t>2</w:t>
      </w:r>
      <w:r>
        <w:rPr>
          <w:rFonts w:ascii="Arial Unicode MS" w:eastAsia="Arial Unicode MS" w:hAnsi="Arial Unicode MS"/>
        </w:rPr>
        <w:t>. A score of &lt;26 triggered a referral to a dedicated ARBI clinic delivered by a liaison psychiatrist. The aims of this study were to a) determine the scale of the problem, b) describe the complexity of the patient group c) provide evidence toward the development of bespoke, integrated care pathways.</w:t>
      </w:r>
    </w:p>
    <w:p w:rsidR="00486E62" w:rsidRDefault="00363E1A">
      <w:pPr>
        <w:pBdr>
          <w:top w:val="nil"/>
          <w:left w:val="nil"/>
          <w:bottom w:val="nil"/>
          <w:right w:val="nil"/>
          <w:between w:val="nil"/>
        </w:pBdr>
        <w:tabs>
          <w:tab w:val="left" w:pos="5055"/>
        </w:tabs>
        <w:rPr>
          <w:rFonts w:ascii="Arial Unicode MS" w:eastAsia="Arial Unicode MS" w:hAnsi="Arial Unicode MS" w:cs="Arial Unicode MS"/>
          <w:szCs w:val="20"/>
        </w:rPr>
      </w:pPr>
      <w:r>
        <w:rPr>
          <w:rFonts w:ascii="Arial Unicode MS" w:eastAsia="Arial Unicode MS" w:hAnsi="Arial Unicode MS" w:cs="Arial Unicode MS"/>
          <w:b/>
          <w:szCs w:val="20"/>
        </w:rPr>
        <w:t>Results:</w:t>
      </w:r>
      <w:r>
        <w:rPr>
          <w:rFonts w:ascii="Arial Unicode MS" w:eastAsia="Arial Unicode MS" w:hAnsi="Arial Unicode MS" w:cs="Arial Unicode MS"/>
          <w:szCs w:val="20"/>
        </w:rPr>
        <w:t xml:space="preserve"> </w:t>
      </w:r>
      <w:r>
        <w:rPr>
          <w:rFonts w:ascii="Arial Unicode MS" w:eastAsia="Arial Unicode MS" w:hAnsi="Arial Unicode MS"/>
        </w:rPr>
        <w:t>Eighty-nine patients were diagnosed as having ARBI in 12 months 35 female; 57 male, with a mean age of 54 yrs (SD =10).  An average of 9 hospital admissions in 5 years (range 1 to 48). Patients primary reason for admission was; 31 (46%) ALD/Cirrhosis, 21 (23%) alcohol excess (o) 13 (15%) seizure, 6 (7%) ARBI, 2 (1%) stroke &amp; 6 (7%) other. In the previous 5 yrs; 50 (56%) patients had a fracture, 10 had multiple fractures and 20 had &gt;2 grand mall seizures. Median alcohol consumption was 24 units per day (IQR = 15) at baseline and showed no statistical difference at 3 or 6 month follow-up.</w:t>
      </w:r>
    </w:p>
    <w:p w:rsidR="00486E62" w:rsidRDefault="00363E1A">
      <w:pPr>
        <w:pBdr>
          <w:top w:val="nil"/>
          <w:left w:val="nil"/>
          <w:bottom w:val="nil"/>
          <w:right w:val="nil"/>
          <w:between w:val="nil"/>
        </w:pBdr>
        <w:tabs>
          <w:tab w:val="left" w:pos="5055"/>
        </w:tabs>
        <w:rPr>
          <w:rFonts w:ascii="Arial Unicode MS" w:eastAsia="Arial Unicode MS" w:hAnsi="Arial Unicode MS" w:cs="Arial Unicode MS"/>
          <w:szCs w:val="20"/>
        </w:rPr>
      </w:pPr>
      <w:r>
        <w:rPr>
          <w:rFonts w:ascii="Arial Unicode MS" w:eastAsia="Arial Unicode MS" w:hAnsi="Arial Unicode MS" w:cs="Arial Unicode MS"/>
          <w:b/>
          <w:szCs w:val="20"/>
        </w:rPr>
        <w:t>Conclusion:</w:t>
      </w:r>
      <w:r>
        <w:rPr>
          <w:rFonts w:ascii="Arial Unicode MS" w:eastAsia="Arial Unicode MS" w:hAnsi="Arial Unicode MS" w:cs="Arial Unicode MS"/>
          <w:szCs w:val="20"/>
        </w:rPr>
        <w:t xml:space="preserve"> </w:t>
      </w:r>
      <w:r>
        <w:rPr>
          <w:rFonts w:ascii="Arial Unicode MS" w:eastAsia="Arial Unicode MS" w:hAnsi="Arial Unicode MS"/>
        </w:rPr>
        <w:t xml:space="preserve">Screening for ARBI results in detection of otherwise undiagnosed cognitive impairment that renders traditional alcohol treatment approaches ineffective. This group of patients have significant co-morbid conditions likely to benefit from integrated bespoke pathways of care. An acute admission should be utilised as an ideal window of opportunity to assess the patient while they are alcohol free, and plan appropriate treatment which has the potential to prevent people progressing to end stage dementia. </w:t>
      </w:r>
    </w:p>
    <w:p w:rsidR="00486E62" w:rsidRDefault="00363E1A">
      <w:pPr>
        <w:pBdr>
          <w:top w:val="nil"/>
          <w:left w:val="nil"/>
          <w:bottom w:val="nil"/>
          <w:right w:val="nil"/>
          <w:between w:val="nil"/>
        </w:pBdr>
        <w:tabs>
          <w:tab w:val="left" w:pos="5055"/>
        </w:tabs>
        <w:rPr>
          <w:rFonts w:ascii="Arial Unicode MS" w:eastAsia="Arial Unicode MS" w:hAnsi="Arial Unicode MS" w:cs="Arial Unicode MS"/>
          <w:szCs w:val="20"/>
        </w:rPr>
      </w:pPr>
      <w:r>
        <w:rPr>
          <w:rFonts w:ascii="Arial Unicode MS" w:eastAsia="Arial Unicode MS" w:hAnsi="Arial Unicode MS" w:cs="Arial Unicode MS"/>
          <w:b/>
          <w:szCs w:val="20"/>
        </w:rPr>
        <w:lastRenderedPageBreak/>
        <w:t>References:</w:t>
      </w:r>
      <w:r>
        <w:rPr>
          <w:rFonts w:ascii="Arial Unicode MS" w:eastAsia="Arial Unicode MS" w:hAnsi="Arial Unicode MS" w:cs="Arial Unicode MS"/>
          <w:szCs w:val="20"/>
        </w:rPr>
        <w:t xml:space="preserve"> </w:t>
      </w:r>
      <w:r>
        <w:rPr>
          <w:rFonts w:ascii="Arial Unicode MS" w:eastAsia="Arial Unicode MS" w:hAnsi="Arial Unicode MS"/>
        </w:rPr>
        <w:t xml:space="preserve">1. Wilson K. </w:t>
      </w:r>
      <w:r>
        <w:rPr>
          <w:rFonts w:ascii="Arial Unicode MS" w:eastAsia="Arial Unicode MS" w:hAnsi="Arial Unicode MS"/>
          <w:i/>
        </w:rPr>
        <w:t>Alcohol and brain damage in adults with reference to high-risk groups</w:t>
      </w:r>
      <w:r>
        <w:rPr>
          <w:rFonts w:ascii="Arial Unicode MS" w:eastAsia="Arial Unicode MS" w:hAnsi="Arial Unicode MS"/>
        </w:rPr>
        <w:t>. Royal College of Psychiatrists. Report number: CR185, 2014.</w:t>
      </w:r>
    </w:p>
    <w:p w:rsidR="00486E62" w:rsidRDefault="00363E1A">
      <w:r>
        <w:rPr>
          <w:rFonts w:ascii="Arial Unicode MS" w:eastAsia="Arial Unicode MS" w:hAnsi="Arial Unicode MS" w:cs="Arial Unicode MS"/>
        </w:rPr>
        <w:t xml:space="preserve">2. Wester AJ, Westhoff J, Kessels RPC et al. The Montreal Cognitive Assessment (MoCA) as a Measure of Severity of Amnesia in Patients with Alcohol-Related Cognitive Impairments and Korsakoff Syndrome. </w:t>
      </w:r>
      <w:r>
        <w:rPr>
          <w:rFonts w:ascii="Arial Unicode MS" w:eastAsia="Arial Unicode MS" w:hAnsi="Arial Unicode MS" w:cs="Arial Unicode MS"/>
          <w:i/>
        </w:rPr>
        <w:t xml:space="preserve">Clinical Neuropsychiatry. </w:t>
      </w:r>
      <w:r>
        <w:rPr>
          <w:rFonts w:ascii="Arial Unicode MS" w:eastAsia="Arial Unicode MS" w:hAnsi="Arial Unicode MS" w:cs="Arial Unicode MS"/>
        </w:rPr>
        <w:t xml:space="preserve">2013; 10: 131-141 </w:t>
      </w:r>
    </w:p>
    <w:p w:rsidR="00486E62" w:rsidRDefault="00486E62">
      <w:pPr>
        <w:pBdr>
          <w:top w:val="nil"/>
          <w:left w:val="nil"/>
          <w:bottom w:val="nil"/>
          <w:right w:val="nil"/>
          <w:between w:val="nil"/>
        </w:pBdr>
        <w:rPr>
          <w:rFonts w:ascii="Arial Unicode MS" w:eastAsia="Arial Unicode MS" w:hAnsi="Arial Unicode MS" w:cs="Arial Unicode MS"/>
          <w:szCs w:val="20"/>
        </w:rPr>
      </w:pPr>
    </w:p>
    <w:p w:rsidR="00486E62" w:rsidRDefault="00363E1A">
      <w:pPr>
        <w:pBdr>
          <w:top w:val="nil"/>
          <w:left w:val="nil"/>
          <w:bottom w:val="nil"/>
          <w:right w:val="nil"/>
          <w:between w:val="nil"/>
        </w:pBdr>
        <w:rPr>
          <w:rFonts w:ascii="Arial Unicode MS" w:eastAsia="Arial Unicode MS" w:hAnsi="Arial Unicode MS" w:cs="Arial Unicode MS"/>
          <w:szCs w:val="20"/>
        </w:rPr>
      </w:pPr>
      <w:r>
        <w:rPr>
          <w:rFonts w:ascii="Arial Unicode MS" w:eastAsia="Arial Unicode MS" w:hAnsi="Arial Unicode MS" w:cs="Arial Unicode MS"/>
          <w:b/>
          <w:szCs w:val="20"/>
        </w:rPr>
        <w:t>Disclosure of Interest</w:t>
      </w:r>
      <w:r>
        <w:rPr>
          <w:rFonts w:ascii="Arial Unicode MS" w:eastAsia="Arial Unicode MS" w:hAnsi="Arial Unicode MS" w:cs="Arial Unicode MS"/>
          <w:szCs w:val="20"/>
        </w:rPr>
        <w:t>: None Declared</w:t>
      </w:r>
    </w:p>
    <w:p w:rsidR="00EE1B38" w:rsidRDefault="00EE1B38">
      <w:pPr>
        <w:pBdr>
          <w:top w:val="nil"/>
          <w:left w:val="nil"/>
          <w:bottom w:val="nil"/>
          <w:right w:val="nil"/>
          <w:between w:val="nil"/>
        </w:pBdr>
        <w:rPr>
          <w:rFonts w:ascii="Arial Unicode MS" w:eastAsia="Arial Unicode MS" w:hAnsi="Arial Unicode MS" w:cs="Arial Unicode MS"/>
          <w:szCs w:val="20"/>
        </w:rPr>
      </w:pPr>
    </w:p>
    <w:p w:rsidR="00EE1B38" w:rsidRDefault="0066218B">
      <w:pPr>
        <w:pBdr>
          <w:top w:val="nil"/>
          <w:left w:val="nil"/>
          <w:bottom w:val="nil"/>
          <w:right w:val="nil"/>
          <w:between w:val="nil"/>
        </w:pBdr>
        <w:rPr>
          <w:rFonts w:ascii="Arial Unicode MS" w:eastAsia="Arial Unicode MS" w:hAnsi="Arial Unicode MS" w:cs="Arial Unicode MS"/>
          <w:szCs w:val="20"/>
        </w:rPr>
      </w:pPr>
      <w:r w:rsidRPr="00984558">
        <w:rPr>
          <w:rFonts w:ascii="Arial Unicode MS" w:eastAsia="Arial Unicode MS" w:hAnsi="Arial Unicode MS" w:cs="Arial Unicode MS"/>
          <w:noProof/>
          <w:szCs w:val="20"/>
        </w:rPr>
        <w:drawing>
          <wp:inline distT="0" distB="0" distL="0" distR="0">
            <wp:extent cx="3375660" cy="2522220"/>
            <wp:effectExtent l="0" t="0" r="0" b="0"/>
            <wp:docPr id="1" name="Picture 1" descr="MoCA cri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CA criter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5660" cy="2522220"/>
                    </a:xfrm>
                    <a:prstGeom prst="rect">
                      <a:avLst/>
                    </a:prstGeom>
                    <a:noFill/>
                    <a:ln>
                      <a:noFill/>
                    </a:ln>
                  </pic:spPr>
                </pic:pic>
              </a:graphicData>
            </a:graphic>
          </wp:inline>
        </w:drawing>
      </w:r>
    </w:p>
    <w:p w:rsidR="00486E62" w:rsidRDefault="00486E62">
      <w:pPr>
        <w:pBdr>
          <w:top w:val="nil"/>
          <w:left w:val="nil"/>
          <w:bottom w:val="nil"/>
          <w:right w:val="nil"/>
          <w:between w:val="nil"/>
        </w:pBdr>
        <w:rPr>
          <w:rFonts w:ascii="Arial Unicode MS" w:eastAsia="Arial Unicode MS" w:hAnsi="Arial Unicode MS" w:cs="Arial Unicode MS"/>
          <w:szCs w:val="20"/>
        </w:rPr>
      </w:pPr>
    </w:p>
    <w:p w:rsidR="00486E62" w:rsidRDefault="00486E62">
      <w:pPr>
        <w:pBdr>
          <w:top w:val="nil"/>
          <w:left w:val="nil"/>
          <w:bottom w:val="nil"/>
          <w:right w:val="nil"/>
          <w:between w:val="nil"/>
        </w:pBdr>
        <w:rPr>
          <w:rFonts w:ascii="Arial Unicode MS" w:eastAsia="Arial Unicode MS" w:hAnsi="Arial Unicode MS" w:cs="Arial Unicode MS"/>
          <w:szCs w:val="20"/>
        </w:rPr>
      </w:pPr>
    </w:p>
    <w:sectPr w:rsidR="00486E62" w:rsidSect="00486E62">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E39" w:rsidRDefault="00BD4E39" w:rsidP="00486E62">
      <w:r>
        <w:separator/>
      </w:r>
    </w:p>
  </w:endnote>
  <w:endnote w:type="continuationSeparator" w:id="0">
    <w:p w:rsidR="00BD4E39" w:rsidRDefault="00BD4E39" w:rsidP="0048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62" w:rsidRDefault="00486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62" w:rsidRDefault="00486E62"/>
  <w:p w:rsidR="00246B24" w:rsidRDefault="00246B24"/>
  <w:p w:rsidR="00486E62" w:rsidRDefault="00486E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62" w:rsidRDefault="00486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E39" w:rsidRDefault="00BD4E39" w:rsidP="00486E62">
      <w:r>
        <w:separator/>
      </w:r>
    </w:p>
  </w:footnote>
  <w:footnote w:type="continuationSeparator" w:id="0">
    <w:p w:rsidR="00BD4E39" w:rsidRDefault="00BD4E39" w:rsidP="00486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62" w:rsidRDefault="00486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62" w:rsidRDefault="00486E62"/>
  <w:p w:rsidR="00246B24" w:rsidRDefault="00246B24"/>
  <w:p w:rsidR="00486E62" w:rsidRDefault="00486E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62" w:rsidRDefault="00486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62"/>
    <w:rsid w:val="00246B24"/>
    <w:rsid w:val="002E012D"/>
    <w:rsid w:val="00363E1A"/>
    <w:rsid w:val="003A2DDE"/>
    <w:rsid w:val="00486E62"/>
    <w:rsid w:val="0066218B"/>
    <w:rsid w:val="007606DC"/>
    <w:rsid w:val="00984558"/>
    <w:rsid w:val="00BD4E39"/>
    <w:rsid w:val="00BE2965"/>
    <w:rsid w:val="00EE1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154127-9A59-4F77-A856-98578E7A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86E62"/>
    <w:rPr>
      <w:rFonts w:ascii="Arial" w:hAnsi="Arial"/>
      <w:szCs w:val="24"/>
    </w:rPr>
  </w:style>
  <w:style w:type="paragraph" w:styleId="Heading1">
    <w:name w:val="heading 1"/>
    <w:qFormat/>
    <w:rsid w:val="00486E62"/>
    <w:pPr>
      <w:outlineLvl w:val="0"/>
    </w:pPr>
    <w:rPr>
      <w:rFonts w:ascii="Arial Unicode MS" w:eastAsia="Arial Unicode MS" w:hAnsi="Arial Unicode MS" w:cs="Arial Unicode MS"/>
      <w:lang w:val="en-US" w:eastAsia="en-US" w:bidi="en-US"/>
    </w:rPr>
  </w:style>
  <w:style w:type="paragraph" w:styleId="Heading2">
    <w:name w:val="heading 2"/>
    <w:qFormat/>
    <w:rsid w:val="00486E62"/>
    <w:pPr>
      <w:outlineLvl w:val="1"/>
    </w:pPr>
    <w:rPr>
      <w:rFonts w:ascii="Arial Unicode MS" w:eastAsia="Arial Unicode MS" w:hAnsi="Arial Unicode MS" w:cs="Arial Unicode MS"/>
      <w:lang w:val="en-US" w:eastAsia="en-US" w:bidi="en-US"/>
    </w:rPr>
  </w:style>
  <w:style w:type="paragraph" w:styleId="Heading3">
    <w:name w:val="heading 3"/>
    <w:qFormat/>
    <w:rsid w:val="00486E62"/>
    <w:pPr>
      <w:outlineLvl w:val="2"/>
    </w:pPr>
    <w:rPr>
      <w:rFonts w:ascii="Arial Unicode MS" w:eastAsia="Arial Unicode MS" w:hAnsi="Arial Unicode MS" w:cs="Arial Unicode MS"/>
      <w:lang w:val="en-US" w:eastAsia="en-US" w:bidi="en-US"/>
    </w:rPr>
  </w:style>
  <w:style w:type="paragraph" w:styleId="Heading4">
    <w:name w:val="heading 4"/>
    <w:qFormat/>
    <w:rsid w:val="00486E62"/>
    <w:pPr>
      <w:outlineLvl w:val="3"/>
    </w:pPr>
    <w:rPr>
      <w:rFonts w:ascii="Arial Unicode MS" w:eastAsia="Arial Unicode MS" w:hAnsi="Arial Unicode MS" w:cs="Arial Unicode MS"/>
      <w:lang w:val="en-US" w:eastAsia="en-US" w:bidi="en-US"/>
    </w:rPr>
  </w:style>
  <w:style w:type="paragraph" w:styleId="Heading5">
    <w:name w:val="heading 5"/>
    <w:qFormat/>
    <w:rsid w:val="00486E62"/>
    <w:pPr>
      <w:outlineLvl w:val="4"/>
    </w:pPr>
    <w:rPr>
      <w:rFonts w:ascii="Arial Unicode MS" w:eastAsia="Arial Unicode MS" w:hAnsi="Arial Unicode MS" w:cs="Arial Unicode MS"/>
      <w:lang w:val="en-US" w:eastAsia="en-US" w:bidi="en-US"/>
    </w:rPr>
  </w:style>
  <w:style w:type="paragraph" w:styleId="Heading6">
    <w:name w:val="heading 6"/>
    <w:qFormat/>
    <w:rsid w:val="00486E62"/>
    <w:pPr>
      <w:outlineLvl w:val="5"/>
    </w:pPr>
    <w:rPr>
      <w:rFonts w:ascii="Arial Unicode MS" w:eastAsia="Arial Unicode MS" w:hAnsi="Arial Unicode MS" w:cs="Arial Unicode MS"/>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6E62"/>
    <w:pPr>
      <w:pBdr>
        <w:top w:val="nil"/>
        <w:left w:val="nil"/>
        <w:bottom w:val="nil"/>
        <w:right w:val="nil"/>
        <w:between w:val="nil"/>
      </w:pBdr>
    </w:pPr>
    <w:tblPr/>
  </w:style>
  <w:style w:type="paragraph" w:styleId="BalloonText">
    <w:name w:val="Balloon Text"/>
    <w:basedOn w:val="Normal"/>
    <w:link w:val="BalloonTextChar"/>
    <w:rsid w:val="00486E62"/>
    <w:pPr>
      <w:pBdr>
        <w:top w:val="nil"/>
        <w:left w:val="nil"/>
        <w:bottom w:val="nil"/>
        <w:right w:val="nil"/>
        <w:between w:val="nil"/>
      </w:pBdr>
    </w:pPr>
    <w:rPr>
      <w:rFonts w:ascii="Tahoma" w:hAnsi="Tahoma" w:cs="Tahoma"/>
      <w:sz w:val="16"/>
      <w:szCs w:val="16"/>
    </w:rPr>
  </w:style>
  <w:style w:type="character" w:customStyle="1" w:styleId="BalloonTextChar">
    <w:name w:val="Balloon Text Char"/>
    <w:link w:val="BalloonText"/>
    <w:rsid w:val="00486E62"/>
    <w:rPr>
      <w:rFonts w:ascii="Tahoma" w:hAnsi="Tahoma" w:cs="Tahoma"/>
      <w:sz w:val="16"/>
      <w:szCs w:val="16"/>
    </w:rPr>
  </w:style>
  <w:style w:type="paragraph" w:styleId="Header">
    <w:name w:val="header"/>
    <w:basedOn w:val="Normal"/>
    <w:link w:val="HeaderChar"/>
    <w:rsid w:val="00486E62"/>
    <w:pPr>
      <w:pBdr>
        <w:top w:val="nil"/>
        <w:left w:val="nil"/>
        <w:bottom w:val="nil"/>
        <w:right w:val="nil"/>
        <w:between w:val="nil"/>
      </w:pBdr>
      <w:tabs>
        <w:tab w:val="center" w:pos="4680"/>
        <w:tab w:val="right" w:pos="9360"/>
      </w:tabs>
    </w:pPr>
  </w:style>
  <w:style w:type="character" w:customStyle="1" w:styleId="HeaderChar">
    <w:name w:val="Header Char"/>
    <w:link w:val="Header"/>
    <w:rsid w:val="00486E62"/>
    <w:rPr>
      <w:rFonts w:ascii="Arial" w:hAnsi="Arial"/>
      <w:szCs w:val="24"/>
    </w:rPr>
  </w:style>
  <w:style w:type="paragraph" w:styleId="Footer">
    <w:name w:val="footer"/>
    <w:basedOn w:val="Normal"/>
    <w:link w:val="FooterChar"/>
    <w:rsid w:val="00486E62"/>
    <w:pPr>
      <w:pBdr>
        <w:top w:val="nil"/>
        <w:left w:val="nil"/>
        <w:bottom w:val="nil"/>
        <w:right w:val="nil"/>
        <w:between w:val="nil"/>
      </w:pBdr>
      <w:tabs>
        <w:tab w:val="center" w:pos="4680"/>
        <w:tab w:val="right" w:pos="9360"/>
      </w:tabs>
    </w:pPr>
  </w:style>
  <w:style w:type="character" w:customStyle="1" w:styleId="FooterChar">
    <w:name w:val="Footer Char"/>
    <w:link w:val="Footer"/>
    <w:rsid w:val="00486E62"/>
    <w:rPr>
      <w:rFonts w:ascii="Arial" w:hAnsi="Arial"/>
      <w:szCs w:val="24"/>
    </w:rPr>
  </w:style>
  <w:style w:type="character" w:customStyle="1" w:styleId="DefaultParagraphFont0">
    <w:name w:val="DefaultParagraphFont"/>
    <w:rsid w:val="00486E62"/>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MCI Suisse SA</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Owens</dc:creator>
  <cp:keywords/>
  <dc:description/>
  <cp:lastModifiedBy>Owens, Lynn</cp:lastModifiedBy>
  <cp:revision>2</cp:revision>
  <cp:lastPrinted>2016-02-24T09:06:00Z</cp:lastPrinted>
  <dcterms:created xsi:type="dcterms:W3CDTF">2016-12-07T08:47:00Z</dcterms:created>
  <dcterms:modified xsi:type="dcterms:W3CDTF">2016-12-07T08:47:00Z</dcterms:modified>
</cp:coreProperties>
</file>