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0443" w14:textId="77777777" w:rsidR="0050750C" w:rsidRDefault="0050750C" w:rsidP="0050750C">
      <w:r>
        <w:t xml:space="preserve">We read with interest the article by Shah et al and </w:t>
      </w:r>
      <w:r w:rsidRPr="00693A27">
        <w:t>have some concerns</w:t>
      </w:r>
      <w:r>
        <w:t xml:space="preserve">. </w:t>
      </w:r>
      <w:r>
        <w:fldChar w:fldCharType="begin" w:fldLock="1"/>
      </w:r>
      <w:r>
        <w:instrText>ADDIN CSL_CITATION { "citationItems" : [ { "id" : "ITEM-1", "itemData" : { "DOI" : "10.1016/S0140-6736(15)00391-8", "ISSN" : "0140-6736", "author" : [ { "dropping-particle" : "V", "family" : "Shah", "given" : "Anoop S", "non-dropping-particle" : "", "parse-names" : false, "suffix" : "" }, { "dropping-particle" : "", "family" : "Anand", "given" : "Atul", "non-dropping-particle" : "", "parse-names" : false, "suffix" : "" }, { "dropping-particle" : "", "family" : "Sandoval", "given" : "Yader", "non-dropping-particle" : "", "parse-names" : false, "suffix" : "" }, { "dropping-particle" : "", "family" : "Lee", "given" : "Kuan Ken", "non-dropping-particle" : "", "parse-names" : false, "suffix" : "" }, { "dropping-particle" : "", "family" : "Smith", "given" : "Stephen W", "non-dropping-particle" : "", "parse-names" : false, "suffix" : "" }, { "dropping-particle" : "", "family" : "Adamson", "given" : "Philip D", "non-dropping-particle" : "", "parse-names" : false, "suffix" : "" }, { "dropping-particle" : "", "family" : "Chapman", "given" : "Andrew R", "non-dropping-particle" : "", "parse-names" : false, "suffix" : "" }, { "dropping-particle" : "", "family" : "Langdon", "given" : "Timothy", "non-dropping-particle" : "", "parse-names" : false, "suffix" : "" }, { "dropping-particle" : "", "family" : "Sandeman", "given" : "Dennis", "non-dropping-particle" : "", "parse-names" : false, "suffix" : "" }, { "dropping-particle" : "", "family" : "Vaswani", "given" : "Amar", "non-dropping-particle" : "", "parse-names" : false, "suffix" : "" }, { "dropping-particle" : "", "family" : "Strachan", "given" : "Fiona E", "non-dropping-particle" : "", "parse-names" : false, "suffix" : "" }, { "dropping-particle" : "", "family" : "Ferry", "given" : "Amy", "non-dropping-particle" : "", "parse-names" : false, "suffix" : "" }, { "dropping-particle" : "", "family" : "Stirzaker", "given" : "Alexandra G", "non-dropping-particle" : "", "parse-names" : false, "suffix" : "" }, { "dropping-particle" : "", "family" : "Reid", "given" : "Alan", "non-dropping-particle" : "", "parse-names" : false, "suffix" : "" }, { "dropping-particle" : "", "family" : "Gray", "given" : "Alasdair J", "non-dropping-particle" : "", "parse-names" : false, "suffix" : "" }, { "dropping-particle" : "", "family" : "Collinson", "given" : "Paul O", "non-dropping-particle" : "", "parse-names" : false, "suffix" : "" } ], "container-title" : "The Lancet", "id" : "ITEM-1", "issue" : "15", "issued" : { "date-parts" : [ [ "2015" ] ] }, "page" : "1-8", "publisher" : "Shah et al. Open Access article distributed under the terms of CC BY-NC-ND", "title" : "High-sensitivity cardiac troponin I at presentation in patients with suspected acute coronary syndrome : a cohort study", "type" : "article-journal", "volume" : "6736" }, "uris" : [ "http://www.mendeley.com/documents/?uuid=04c01eb4-b1d5-4173-95cc-f8411d62e0d8"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21021">
        <w:rPr>
          <w:noProof/>
          <w:vertAlign w:val="superscript"/>
        </w:rPr>
        <w:t>1</w:t>
      </w:r>
      <w:r>
        <w:fldChar w:fldCharType="end"/>
      </w:r>
      <w:r>
        <w:t xml:space="preserve"> </w:t>
      </w:r>
    </w:p>
    <w:p w14:paraId="424530D7" w14:textId="77777777" w:rsidR="0050750C" w:rsidRDefault="0050750C" w:rsidP="0050750C"/>
    <w:p w14:paraId="736F9247" w14:textId="60E1BE9D" w:rsidR="0050750C" w:rsidRDefault="0050037F" w:rsidP="0050750C">
      <w:r>
        <w:t xml:space="preserve">The use of regional, </w:t>
      </w:r>
      <w:r w:rsidR="0050750C">
        <w:t>as opposed to national</w:t>
      </w:r>
      <w:r>
        <w:t>,</w:t>
      </w:r>
      <w:r w:rsidR="0050750C">
        <w:t xml:space="preserve"> </w:t>
      </w:r>
      <w:r>
        <w:t>registry data</w:t>
      </w:r>
      <w:r w:rsidR="0050750C">
        <w:t xml:space="preserve"> could underestimate total myocardial infarction</w:t>
      </w:r>
      <w:r w:rsidR="00BC5F65">
        <w:t xml:space="preserve"> </w:t>
      </w:r>
      <w:bookmarkStart w:id="0" w:name="_GoBack"/>
      <w:bookmarkEnd w:id="0"/>
      <w:r w:rsidR="0050750C">
        <w:t xml:space="preserve">(MI) events. Even 3 additional MIs out-with </w:t>
      </w:r>
      <w:r w:rsidR="00693A27" w:rsidRPr="00693A27">
        <w:t>South-East</w:t>
      </w:r>
      <w:r w:rsidR="0050750C" w:rsidRPr="00693A27">
        <w:t xml:space="preserve"> </w:t>
      </w:r>
      <w:r w:rsidR="0050750C">
        <w:t>Scotland would reduce negative predictive value (NPV) to &lt;99.5%.</w:t>
      </w:r>
      <w:r w:rsidR="00693A27">
        <w:t xml:space="preserve"> Furthermore the reliance on </w:t>
      </w:r>
      <w:r>
        <w:t xml:space="preserve">cause of death </w:t>
      </w:r>
      <w:r w:rsidR="00693A27">
        <w:t xml:space="preserve">coding and preceding death certification is a potential methodological weakness. It has been proven that a significant proportion of death certificates are inaccurate. </w:t>
      </w:r>
      <w:r>
        <w:fldChar w:fldCharType="begin" w:fldLock="1"/>
      </w:r>
      <w:r>
        <w:instrText>ADDIN CSL_CITATION { "citationItems" : [ { "id" : "ITEM-1", "itemData" : { "DOI" : "10.1111/j.1365-2559.2005.02243.x", "ISBN" : "1365-2559", "ISSN" : "03090167", "PMID" : "16324191", "abstract" : "The autopsy is in decline, despite the fact that accurate mortality statistics remain essential for public health and health service planning. The falling autopsy rate combined with the Coroners Review and Human Tissue Act have contributed to this decline, and to a falling use of autopsy histology, with potential impact on clinical audit and mortality statistics. At a time when the need for reform and improvement in the death certification process is so prominent, we felt it important to assess the value of the autopsy and autopsy histology. We carried out a meta-analysis of discrepancies between clinical and autopsy diagnoses and the contribution of autopsy histology. There has been little improvement in the overall rate of discrepancies between the 1960s and the present. At least a third of death certificates are likely to be incorrect and 50% of autopsies produce findings unsuspected before death. In addition, the cases which give rise to discrepancies cannot be identified prior to autopsy. Over 20% of clinically unexpected autopsy findings, including 5% of major findings, can be correctly diagnosed only by histological examination. Although the autopsy and particularly autopsy histology are being undermined, they are still the most accurate method of determining the cause of death and auditing accuracy of clinical diagnosis, diagnostic tests and death certification.", "author" : [ { "dropping-particle" : "", "family" : "Roulson", "given" : "J.", "non-dropping-particle" : "", "parse-names" : false, "suffix" : "" }, { "dropping-particle" : "", "family" : "Benbow", "given" : "E. W.", "non-dropping-particle" : "", "parse-names" : false, "suffix" : "" }, { "dropping-particle" : "", "family" : "Hasleton", "given" : "P. S.", "non-dropping-particle" : "", "parse-names" : false, "suffix" : "" } ], "container-title" : "Histopathology", "id" : "ITEM-1", "issue" : "6", "issued" : { "date-parts" : [ [ "2005" ] ] }, "page" : "551-559", "title" : "Discrepancies between clinical and autopsy diagnosis and the value of post mortem histology; a meta-analysis and review", "type" : "article-journal", "volume" : "47" }, "uris" : [ "http://www.mendeley.com/documents/?uuid=54f707c9-5fb1-4946-b34a-09c843468c88" ] } ], "mendeley" : { "formattedCitation" : "&lt;sup&gt;2&lt;/sup&gt;", "plainTextFormattedCitation" : "2" }, "properties" : { "noteIndex" : 0 }, "schema" : "https://github.com/citation-style-language/schema/raw/master/csl-citation.json" }</w:instrText>
      </w:r>
      <w:r>
        <w:fldChar w:fldCharType="separate"/>
      </w:r>
      <w:r w:rsidRPr="0050037F">
        <w:rPr>
          <w:noProof/>
          <w:vertAlign w:val="superscript"/>
        </w:rPr>
        <w:t>2</w:t>
      </w:r>
      <w:r>
        <w:fldChar w:fldCharType="end"/>
      </w:r>
      <w:r>
        <w:t xml:space="preserve"> </w:t>
      </w:r>
      <w:r w:rsidR="00693A27">
        <w:t>True “cardiac deaths” may have been miscounted and all-cause mortality may be the more apposite outcome measure.</w:t>
      </w:r>
    </w:p>
    <w:p w14:paraId="1A4B9665" w14:textId="77777777" w:rsidR="0050750C" w:rsidRDefault="0050750C" w:rsidP="0050750C"/>
    <w:p w14:paraId="60D56A0B" w14:textId="33894DA2" w:rsidR="0050750C" w:rsidRPr="00693A27" w:rsidRDefault="0050750C" w:rsidP="0050750C">
      <w:pPr>
        <w:rPr>
          <w:color w:val="FF0000"/>
        </w:rPr>
      </w:pPr>
      <w:r>
        <w:t xml:space="preserve">A 12-lead ECG is invaluable in determining risk for patients with suspected </w:t>
      </w:r>
      <w:r w:rsidR="0050037F">
        <w:t>Acute Coronary Syndrome</w:t>
      </w:r>
      <w:r>
        <w:t xml:space="preserve">. </w:t>
      </w:r>
      <w:r>
        <w:fldChar w:fldCharType="begin" w:fldLock="1"/>
      </w:r>
      <w:r w:rsidR="0050037F">
        <w:instrText>ADDIN CSL_CITATION { "citationItems" : [ { "id" : "ITEM-1", "itemData" : { "DOI" : "10.1136/bmj.38985.646481.55", "ISBN" : "1468-5833 (Electronic)\\n0959-535X (Linking)", "ISSN" : "1756-1833", "PMID" : "17032691", "abstract" : "OBJECTIVE: To develop a clinical risk prediction tool for estimating the cumulative six month risk of death and death or myocardial infarction to facilitate triage and management of patients with acute coronary syndrome. DESIGN: Prospective multinational observational study in which we used multivariable regression to develop a final predictive model, with prospective and external validation. SETTING: Ninety four hospitals in 14 countries in Europe, North and South America, Australia, and New Zealand. POPULATION: 43,810 patients (21,688 in derivation set; 22,122 in validation set) presenting with acute coronary syndrome with or without ST segment elevation enrolled in the global registry of acute coronary events (GRACE) study between April 1999 and September 2005. MAIN OUTCOME MEASURES: Death and myocardial infarction. RESULTS: 1989 patients died in hospital, 1466 died between discharge and six month follow-up, and 2793 sustained a new non-fatal myocardial infarction. Nine factors independently predicted death and the combined end point of death or myocardial infarction in the period from admission to six months after discharge: age, development (or history) of heart failure, peripheral vascular disease, systolic blood pressure, Killip class, initial serum creatinine concentration, elevated initial cardiac markers, cardiac arrest on admission, and ST segment deviation. The simplified model was robust, with prospectively validated C-statistics of 0.81 for predicting death and 0.73 for death or myocardial infarction from admission to six months after discharge. The external applicability of the model was validated in the dataset from GUSTO IIb (global use of strategies to open occluded coronary arteries). CONCLUSIONS: This risk prediction tool uses readily identifiable variables to provide robust prediction of the cumulative six month risk of death or myocardial infarction. It is a rapid and widely applicable method for assessing cardiovascular risk to complement clinical assessment and can guide patient triage and management across the spectrum of patients with acute coronary syndrome.", "author" : [ { "dropping-particle" : "", "family" : "Fox", "given" : "Keith a a", "non-dropping-particle" : "", "parse-names" : false, "suffix" : "" }, { "dropping-particle" : "", "family" : "Dabbous", "given" : "Omar H", "non-dropping-particle" : "", "parse-names" : false, "suffix" : "" }, { "dropping-particle" : "", "family" : "Goldberg", "given" : "Robert J", "non-dropping-particle" : "", "parse-names" : false, "suffix" : "" }, { "dropping-particle" : "", "family" : "Pieper", "given" : "Karen S", "non-dropping-particle" : "", "parse-names" : false, "suffix" : "" }, { "dropping-particle" : "", "family" : "Eagle", "given" : "Kim a", "non-dropping-particle" : "", "parse-names" : false, "suffix" : "" }, { "dropping-particle" : "", "family" : "Werf", "given" : "Frans", "non-dropping-particle" : "Van de", "parse-names" : false, "suffix" : "" }, { "dropping-particle" : "", "family" : "Avezum", "given" : "Alvaro", "non-dropping-particle" : "", "parse-names" : false, "suffix" : "" }, { "dropping-particle" : "", "family" : "Goodman", "given" : "Shaun G", "non-dropping-particle" : "", "parse-names" : false, "suffix" : "" }, { "dropping-particle" : "", "family" : "Flather", "given" : "Marcus D", "non-dropping-particle" : "", "parse-names" : false, "suffix" : "" }, { "dropping-particle" : "", "family" : "Anderson", "given" : "Frederick a", "non-dropping-particle" : "", "parse-names" : false, "suffix" : "" }, { "dropping-particle" : "", "family" : "Granger", "given" : "Christopher B", "non-dropping-particle" : "", "parse-names" : false, "suffix" : "" } ], "container-title" : "BMJ (Clinical research ed.)", "id" : "ITEM-1", "issue" : "7578", "issued" : { "date-parts" : [ [ "2006" ] ] }, "page" : "1091", "title" : "Prediction of risk of death and myocardial infarction in the six months after presentation with acute coronary syndrome: prospective multinational observational study (GRACE).", "type" : "article-journal", "volume" : "333" }, "uris" : [ "http://www.mendeley.com/documents/?uuid=2841eeb6-f346-4621-b5e6-bddaf67edb25" ] }, { "id" : "ITEM-2", "itemData" : { "DOI" : "10.1093/eurheartj/ehi395", "ISSN" : "0195-668X", "author" : [ { "dropping-particle" : "", "family" : "Savonitto", "given" : "S.", "non-dropping-particle" : "", "parse-names" : false, "suffix" : "" } ], "container-title" : "European Heart Journal", "id" : "ITEM-2", "issue" : "20", "issued" : { "date-parts" : [ [ "2005" ] ] }, "page" : "2106-2113", "title" : "Extent of ST-segment depression and cardiac events in non-ST-segment elevation acute coronary syndromes", "type" : "article-journal", "volume" : "26" }, "uris" : [ "http://www.mendeley.com/documents/?uuid=7c93310d-73bc-4c0e-a4dc-f354db3e8b9b" ] } ], "mendeley" : { "formattedCitation" : "&lt;sup&gt;3,4&lt;/sup&gt;", "plainTextFormattedCitation" : "3,4", "previouslyFormattedCitation" : "&lt;sup&gt;2,3&lt;/sup&gt;" }, "properties" : { "noteIndex" : 0 }, "schema" : "https://github.com/citation-style-language/schema/raw/master/csl-citation.json" }</w:instrText>
      </w:r>
      <w:r>
        <w:fldChar w:fldCharType="separate"/>
      </w:r>
      <w:r w:rsidR="0050037F" w:rsidRPr="0050037F">
        <w:rPr>
          <w:noProof/>
          <w:vertAlign w:val="superscript"/>
        </w:rPr>
        <w:t>3,4</w:t>
      </w:r>
      <w:r>
        <w:fldChar w:fldCharType="end"/>
      </w:r>
      <w:r>
        <w:t xml:space="preserve"> 9% of patients with troponin &lt;5ng/L in this cohort had “</w:t>
      </w:r>
      <w:proofErr w:type="spellStart"/>
      <w:r>
        <w:t>ischaemia</w:t>
      </w:r>
      <w:proofErr w:type="spellEnd"/>
      <w:r>
        <w:t>” on ECG. The absence of available ECGs to the investigators in 13% of patients may have affected the accuracy of index MI adjudication, as ECG changes are a key component of the 3</w:t>
      </w:r>
      <w:r w:rsidRPr="0088594B">
        <w:rPr>
          <w:vertAlign w:val="superscript"/>
        </w:rPr>
        <w:t>rd</w:t>
      </w:r>
      <w:r>
        <w:t xml:space="preserve"> universal definition. </w:t>
      </w:r>
      <w:r>
        <w:fldChar w:fldCharType="begin" w:fldLock="1"/>
      </w:r>
      <w:r w:rsidR="0050037F">
        <w:instrText>ADDIN CSL_CITATION { "citationItems" : [ { "id" : "ITEM-1", "itemData" : { "DOI" : "10.1093/eurheartj/ehs184", "ISSN" : "1522-9645", "PMID" : "22922414",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"Chaitman", "given" : "Bernard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"Robert O",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"Menasch\u00e9",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"Jos\u00e9-Luis",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"Michael",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"container-title" : "European heart journal", "id" : "ITEM-1", "issue" : "20", "issued" : { "date-parts" : [ [ "2012", "10" ] ] }, "page" : "2551-67", "title" : "Third universal definition of myocardial infarction.", "type" : "article-journal", "volume" : "33" }, "uris" : [ "http://www.mendeley.com/documents/?uuid=16d178d7-9e04-4dcf-80d6-6e89624d9a7b" ] } ], "mendeley" : { "formattedCitation" : "&lt;sup&gt;5&lt;/sup&gt;", "plainTextFormattedCitation" : "5", "previouslyFormattedCitation" : "&lt;sup&gt;4&lt;/sup&gt;" }, "properties" : { "noteIndex" : 0 }, "schema" : "https://github.com/citation-style-language/schema/raw/master/csl-citation.json" }</w:instrText>
      </w:r>
      <w:r>
        <w:fldChar w:fldCharType="separate"/>
      </w:r>
      <w:r w:rsidR="0050037F" w:rsidRPr="0050037F">
        <w:rPr>
          <w:noProof/>
          <w:vertAlign w:val="superscript"/>
        </w:rPr>
        <w:t>5</w:t>
      </w:r>
      <w:r>
        <w:fldChar w:fldCharType="end"/>
      </w:r>
      <w:r>
        <w:t xml:space="preserve"> </w:t>
      </w:r>
    </w:p>
    <w:p w14:paraId="76522187" w14:textId="77777777" w:rsidR="0050750C" w:rsidRDefault="0050750C" w:rsidP="0050750C"/>
    <w:p w14:paraId="47DD29B6" w14:textId="77777777" w:rsidR="0050750C" w:rsidRDefault="0050750C" w:rsidP="0050750C">
      <w:r>
        <w:t>It is noteworthy that the NPV of troponin I&lt;5ng/L dropped to 97.6% if performed within 2 hours of pain onset with wide confidence intervals suggesting early presenters cannot be discharged at presentation.</w:t>
      </w:r>
    </w:p>
    <w:p w14:paraId="0A95F3BA" w14:textId="77777777" w:rsidR="0050750C" w:rsidRDefault="0050750C" w:rsidP="0050750C"/>
    <w:p w14:paraId="35B3DA6C" w14:textId="7F668C38" w:rsidR="0050750C" w:rsidRDefault="0050750C" w:rsidP="0050750C">
      <w:r>
        <w:t xml:space="preserve">Finally there is no assessment made in this prospective cohort of the typicality of chest pain. Despite the impressive NPV it would seem injudicious to discharge a patient with symptoms consistent with unstable angina, particularly in the presence of an </w:t>
      </w:r>
      <w:proofErr w:type="spellStart"/>
      <w:r>
        <w:t>i</w:t>
      </w:r>
      <w:r w:rsidR="0050037F">
        <w:t>schaemic</w:t>
      </w:r>
      <w:proofErr w:type="spellEnd"/>
      <w:r w:rsidR="0050037F">
        <w:t xml:space="preserve"> ECG, regardless of </w:t>
      </w:r>
      <w:r>
        <w:t xml:space="preserve">troponin. </w:t>
      </w:r>
    </w:p>
    <w:p w14:paraId="4FCF2F62" w14:textId="77777777" w:rsidR="002F3CE2" w:rsidRDefault="002F3CE2" w:rsidP="0050750C">
      <w:pPr>
        <w:rPr>
          <w:i/>
        </w:rPr>
      </w:pPr>
    </w:p>
    <w:p w14:paraId="5A59ADBF" w14:textId="77777777" w:rsidR="0050750C" w:rsidRPr="00617EA4" w:rsidRDefault="0050750C" w:rsidP="0050750C">
      <w:r w:rsidRPr="0088594B">
        <w:t>We believe the</w:t>
      </w:r>
      <w:r>
        <w:t>se</w:t>
      </w:r>
      <w:r w:rsidRPr="0088594B">
        <w:t xml:space="preserve"> limitations </w:t>
      </w:r>
      <w:r>
        <w:t>contribute to the overestimation of</w:t>
      </w:r>
      <w:r w:rsidRPr="0088594B">
        <w:t xml:space="preserve"> pote</w:t>
      </w:r>
      <w:r>
        <w:t>ntial discharge</w:t>
      </w:r>
      <w:r w:rsidR="002F3CE2">
        <w:t>s</w:t>
      </w:r>
      <w:r>
        <w:t xml:space="preserve"> at presentation with acute chest pain.</w:t>
      </w:r>
      <w:r w:rsidRPr="0088594B">
        <w:t xml:space="preserve"> </w:t>
      </w:r>
      <w:r>
        <w:t>The true figure for early safe discharge is likely to be significantly lower</w:t>
      </w:r>
      <w:r w:rsidR="002F3CE2">
        <w:t xml:space="preserve"> even with novel highly sensitive </w:t>
      </w:r>
      <w:r w:rsidR="00693A27" w:rsidRPr="00693A27">
        <w:t>Troponin</w:t>
      </w:r>
      <w:r w:rsidR="002F3CE2" w:rsidRPr="00BC5F65">
        <w:rPr>
          <w:color w:val="FF0000"/>
        </w:rPr>
        <w:t xml:space="preserve"> </w:t>
      </w:r>
      <w:r w:rsidR="002F3CE2">
        <w:t>assays</w:t>
      </w:r>
      <w:r>
        <w:t>.</w:t>
      </w:r>
    </w:p>
    <w:p w14:paraId="3D6B6ED9" w14:textId="77777777" w:rsidR="0050750C" w:rsidRDefault="0050750C" w:rsidP="0050750C"/>
    <w:p w14:paraId="4173B629" w14:textId="40463811" w:rsidR="0050037F" w:rsidRPr="0050037F" w:rsidRDefault="001853E4">
      <w:pPr>
        <w:pStyle w:val="NormalWeb"/>
        <w:ind w:left="640" w:hanging="640"/>
        <w:divId w:val="896745787"/>
        <w:rPr>
          <w:rFonts w:ascii="Calibri" w:hAnsi="Calibri"/>
          <w:noProof/>
          <w:sz w:val="24"/>
        </w:rPr>
      </w:pPr>
      <w:r>
        <w:fldChar w:fldCharType="begin" w:fldLock="1"/>
      </w:r>
      <w:r>
        <w:instrText xml:space="preserve">ADDIN Mendeley Bibliography CSL_BIBLIOGRAPHY </w:instrText>
      </w:r>
      <w:r>
        <w:fldChar w:fldCharType="separate"/>
      </w:r>
      <w:r w:rsidR="0050037F" w:rsidRPr="0050037F">
        <w:rPr>
          <w:rFonts w:ascii="Calibri" w:hAnsi="Calibri"/>
          <w:noProof/>
          <w:sz w:val="24"/>
        </w:rPr>
        <w:t xml:space="preserve">1. </w:t>
      </w:r>
      <w:r w:rsidR="0050037F" w:rsidRPr="0050037F">
        <w:rPr>
          <w:rFonts w:ascii="Calibri" w:hAnsi="Calibri"/>
          <w:noProof/>
          <w:sz w:val="24"/>
        </w:rPr>
        <w:tab/>
        <w:t xml:space="preserve">Shah AS V, Anand A, Sandoval Y, et al. High-sensitivity cardiac troponin I at presentation in patients with suspected acute coronary syndrome : a cohort study. </w:t>
      </w:r>
      <w:r w:rsidR="0050037F" w:rsidRPr="0050037F">
        <w:rPr>
          <w:rFonts w:ascii="Calibri" w:hAnsi="Calibri"/>
          <w:i/>
          <w:iCs/>
          <w:noProof/>
          <w:sz w:val="24"/>
        </w:rPr>
        <w:t>Lancet</w:t>
      </w:r>
      <w:r w:rsidR="0050037F" w:rsidRPr="0050037F">
        <w:rPr>
          <w:rFonts w:ascii="Calibri" w:hAnsi="Calibri"/>
          <w:noProof/>
          <w:sz w:val="24"/>
        </w:rPr>
        <w:t>. 2015;6736(15):1-8. doi:10.1016/S0140-6736(15)00391-8.</w:t>
      </w:r>
    </w:p>
    <w:p w14:paraId="0F20291A" w14:textId="77777777" w:rsidR="0050037F" w:rsidRPr="0050037F" w:rsidRDefault="0050037F">
      <w:pPr>
        <w:pStyle w:val="NormalWeb"/>
        <w:ind w:left="640" w:hanging="640"/>
        <w:divId w:val="896745787"/>
        <w:rPr>
          <w:rFonts w:ascii="Calibri" w:hAnsi="Calibri"/>
          <w:noProof/>
          <w:sz w:val="24"/>
        </w:rPr>
      </w:pPr>
      <w:r w:rsidRPr="0050037F">
        <w:rPr>
          <w:rFonts w:ascii="Calibri" w:hAnsi="Calibri"/>
          <w:noProof/>
          <w:sz w:val="24"/>
        </w:rPr>
        <w:t xml:space="preserve">2. </w:t>
      </w:r>
      <w:r w:rsidRPr="0050037F">
        <w:rPr>
          <w:rFonts w:ascii="Calibri" w:hAnsi="Calibri"/>
          <w:noProof/>
          <w:sz w:val="24"/>
        </w:rPr>
        <w:tab/>
        <w:t xml:space="preserve">Roulson J, Benbow EW, Hasleton PS. Discrepancies between clinical and autopsy diagnosis and the value of post mortem histology; a meta-analysis and review. </w:t>
      </w:r>
      <w:r w:rsidRPr="0050037F">
        <w:rPr>
          <w:rFonts w:ascii="Calibri" w:hAnsi="Calibri"/>
          <w:i/>
          <w:iCs/>
          <w:noProof/>
          <w:sz w:val="24"/>
        </w:rPr>
        <w:t>Histopathology</w:t>
      </w:r>
      <w:r w:rsidRPr="0050037F">
        <w:rPr>
          <w:rFonts w:ascii="Calibri" w:hAnsi="Calibri"/>
          <w:noProof/>
          <w:sz w:val="24"/>
        </w:rPr>
        <w:t>. 2005;47(6):551-559. doi:10.1111/j.1365-2559.2005.02243.x.</w:t>
      </w:r>
    </w:p>
    <w:p w14:paraId="5FD574A1" w14:textId="77777777" w:rsidR="0050037F" w:rsidRPr="0050037F" w:rsidRDefault="0050037F">
      <w:pPr>
        <w:pStyle w:val="NormalWeb"/>
        <w:ind w:left="640" w:hanging="640"/>
        <w:divId w:val="896745787"/>
        <w:rPr>
          <w:rFonts w:ascii="Calibri" w:hAnsi="Calibri"/>
          <w:noProof/>
          <w:sz w:val="24"/>
        </w:rPr>
      </w:pPr>
      <w:r w:rsidRPr="0050037F">
        <w:rPr>
          <w:rFonts w:ascii="Calibri" w:hAnsi="Calibri"/>
          <w:noProof/>
          <w:sz w:val="24"/>
        </w:rPr>
        <w:t xml:space="preserve">3. </w:t>
      </w:r>
      <w:r w:rsidRPr="0050037F">
        <w:rPr>
          <w:rFonts w:ascii="Calibri" w:hAnsi="Calibri"/>
          <w:noProof/>
          <w:sz w:val="24"/>
        </w:rPr>
        <w:tab/>
        <w:t xml:space="preserve">Fox K a a, Dabbous OH, Goldberg RJ, et al. Prediction of risk of death and myocardial infarction in the six months after presentation with acute coronary syndrome: prospective multinational observational study (GRACE). </w:t>
      </w:r>
      <w:r w:rsidRPr="0050037F">
        <w:rPr>
          <w:rFonts w:ascii="Calibri" w:hAnsi="Calibri"/>
          <w:i/>
          <w:iCs/>
          <w:noProof/>
          <w:sz w:val="24"/>
        </w:rPr>
        <w:t>BMJ</w:t>
      </w:r>
      <w:r w:rsidRPr="0050037F">
        <w:rPr>
          <w:rFonts w:ascii="Calibri" w:hAnsi="Calibri"/>
          <w:noProof/>
          <w:sz w:val="24"/>
        </w:rPr>
        <w:t>. 2006;333(7578):1091. doi:10.1136/bmj.38985.646481.55.</w:t>
      </w:r>
    </w:p>
    <w:p w14:paraId="1AE82872" w14:textId="77777777" w:rsidR="0050037F" w:rsidRPr="0050037F" w:rsidRDefault="0050037F">
      <w:pPr>
        <w:pStyle w:val="NormalWeb"/>
        <w:ind w:left="640" w:hanging="640"/>
        <w:divId w:val="896745787"/>
        <w:rPr>
          <w:rFonts w:ascii="Calibri" w:hAnsi="Calibri"/>
          <w:noProof/>
          <w:sz w:val="24"/>
        </w:rPr>
      </w:pPr>
      <w:r w:rsidRPr="0050037F">
        <w:rPr>
          <w:rFonts w:ascii="Calibri" w:hAnsi="Calibri"/>
          <w:noProof/>
          <w:sz w:val="24"/>
        </w:rPr>
        <w:t xml:space="preserve">4. </w:t>
      </w:r>
      <w:r w:rsidRPr="0050037F">
        <w:rPr>
          <w:rFonts w:ascii="Calibri" w:hAnsi="Calibri"/>
          <w:noProof/>
          <w:sz w:val="24"/>
        </w:rPr>
        <w:tab/>
        <w:t xml:space="preserve">Savonitto S. Extent of ST-segment depression and cardiac events in non-ST-segment elevation acute coronary syndromes. </w:t>
      </w:r>
      <w:r w:rsidRPr="0050037F">
        <w:rPr>
          <w:rFonts w:ascii="Calibri" w:hAnsi="Calibri"/>
          <w:i/>
          <w:iCs/>
          <w:noProof/>
          <w:sz w:val="24"/>
        </w:rPr>
        <w:t>Eur Heart J</w:t>
      </w:r>
      <w:r w:rsidRPr="0050037F">
        <w:rPr>
          <w:rFonts w:ascii="Calibri" w:hAnsi="Calibri"/>
          <w:noProof/>
          <w:sz w:val="24"/>
        </w:rPr>
        <w:t>. 2005;26(20):2106-2113. doi:10.1093/eurheartj/ehi395.</w:t>
      </w:r>
    </w:p>
    <w:p w14:paraId="57645CBA" w14:textId="77777777" w:rsidR="0050037F" w:rsidRPr="0050037F" w:rsidRDefault="0050037F">
      <w:pPr>
        <w:pStyle w:val="NormalWeb"/>
        <w:ind w:left="640" w:hanging="640"/>
        <w:divId w:val="896745787"/>
        <w:rPr>
          <w:rFonts w:ascii="Calibri" w:hAnsi="Calibri"/>
          <w:noProof/>
          <w:sz w:val="24"/>
        </w:rPr>
      </w:pPr>
      <w:r w:rsidRPr="0050037F">
        <w:rPr>
          <w:rFonts w:ascii="Calibri" w:hAnsi="Calibri"/>
          <w:noProof/>
          <w:sz w:val="24"/>
        </w:rPr>
        <w:lastRenderedPageBreak/>
        <w:t xml:space="preserve">5. </w:t>
      </w:r>
      <w:r w:rsidRPr="0050037F">
        <w:rPr>
          <w:rFonts w:ascii="Calibri" w:hAnsi="Calibri"/>
          <w:noProof/>
          <w:sz w:val="24"/>
        </w:rPr>
        <w:tab/>
        <w:t xml:space="preserve">Thygesen K, Alpert JS, Jaffe AS, et al. Third universal definition of myocardial infarction. </w:t>
      </w:r>
      <w:r w:rsidRPr="0050037F">
        <w:rPr>
          <w:rFonts w:ascii="Calibri" w:hAnsi="Calibri"/>
          <w:i/>
          <w:iCs/>
          <w:noProof/>
          <w:sz w:val="24"/>
        </w:rPr>
        <w:t>Eur Heart J</w:t>
      </w:r>
      <w:r w:rsidRPr="0050037F">
        <w:rPr>
          <w:rFonts w:ascii="Calibri" w:hAnsi="Calibri"/>
          <w:noProof/>
          <w:sz w:val="24"/>
        </w:rPr>
        <w:t xml:space="preserve">. 2012;33(20):2551-67. doi:10.1093/eurheartj/ehs184. </w:t>
      </w:r>
    </w:p>
    <w:p w14:paraId="301D82F6" w14:textId="20F07576" w:rsidR="007C0127" w:rsidRDefault="001853E4" w:rsidP="0050037F">
      <w:pPr>
        <w:pStyle w:val="NormalWeb"/>
        <w:ind w:left="640" w:hanging="640"/>
      </w:pPr>
      <w:r>
        <w:fldChar w:fldCharType="end"/>
      </w:r>
    </w:p>
    <w:sectPr w:rsidR="007C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0C"/>
    <w:rsid w:val="001853E4"/>
    <w:rsid w:val="002F3CE2"/>
    <w:rsid w:val="0050037F"/>
    <w:rsid w:val="0050750C"/>
    <w:rsid w:val="00693A27"/>
    <w:rsid w:val="007C0127"/>
    <w:rsid w:val="00BC5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3E4"/>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3E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5787">
      <w:bodyDiv w:val="1"/>
      <w:marLeft w:val="0"/>
      <w:marRight w:val="0"/>
      <w:marTop w:val="0"/>
      <w:marBottom w:val="0"/>
      <w:divBdr>
        <w:top w:val="none" w:sz="0" w:space="0" w:color="auto"/>
        <w:left w:val="none" w:sz="0" w:space="0" w:color="auto"/>
        <w:bottom w:val="none" w:sz="0" w:space="0" w:color="auto"/>
        <w:right w:val="none" w:sz="0" w:space="0" w:color="auto"/>
      </w:divBdr>
    </w:div>
    <w:div w:id="10871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3369</Words>
  <Characters>18971</Characters>
  <Application>Microsoft Macintosh Word</Application>
  <DocSecurity>0</DocSecurity>
  <Lines>332</Lines>
  <Paragraphs>126</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 Aleem</dc:creator>
  <cp:lastModifiedBy>Liam Mullen</cp:lastModifiedBy>
  <cp:revision>5</cp:revision>
  <dcterms:created xsi:type="dcterms:W3CDTF">2015-10-21T14:34:00Z</dcterms:created>
  <dcterms:modified xsi:type="dcterms:W3CDTF">2015-10-21T16:07:00Z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liammullen@doctors.org.uk@www.mendeley.com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