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558" w:rsidRPr="00F9446A" w:rsidRDefault="00EE4558" w:rsidP="0080664C">
      <w:pPr>
        <w:jc w:val="both"/>
        <w:rPr>
          <w:rFonts w:ascii="Arial" w:hAnsi="Arial" w:cs="Arial"/>
          <w:sz w:val="24"/>
          <w:szCs w:val="22"/>
        </w:rPr>
      </w:pPr>
    </w:p>
    <w:p w:rsidR="00EE4558" w:rsidRPr="00F9446A" w:rsidRDefault="00EE4558" w:rsidP="00F142AC">
      <w:pPr>
        <w:spacing w:line="480" w:lineRule="auto"/>
        <w:jc w:val="center"/>
        <w:rPr>
          <w:rFonts w:ascii="Arial" w:hAnsi="Arial" w:cs="Arial"/>
          <w:b/>
          <w:sz w:val="24"/>
          <w:szCs w:val="22"/>
        </w:rPr>
      </w:pPr>
      <w:r w:rsidRPr="00F9446A">
        <w:rPr>
          <w:rFonts w:ascii="Arial" w:hAnsi="Arial" w:cs="Arial"/>
          <w:b/>
          <w:sz w:val="24"/>
          <w:szCs w:val="22"/>
        </w:rPr>
        <w:t>A</w:t>
      </w:r>
      <w:r>
        <w:rPr>
          <w:rFonts w:ascii="Arial" w:hAnsi="Arial" w:cs="Arial"/>
          <w:b/>
          <w:sz w:val="24"/>
          <w:szCs w:val="22"/>
        </w:rPr>
        <w:t>n Open-Label</w:t>
      </w:r>
      <w:r w:rsidRPr="00F9446A">
        <w:rPr>
          <w:rFonts w:ascii="Arial" w:hAnsi="Arial" w:cs="Arial"/>
          <w:b/>
          <w:sz w:val="24"/>
          <w:szCs w:val="22"/>
        </w:rPr>
        <w:t xml:space="preserve"> </w:t>
      </w:r>
      <w:r>
        <w:rPr>
          <w:rFonts w:ascii="Arial" w:hAnsi="Arial" w:cs="Arial"/>
          <w:b/>
          <w:sz w:val="24"/>
          <w:szCs w:val="22"/>
        </w:rPr>
        <w:t xml:space="preserve">Phase 1 </w:t>
      </w:r>
      <w:r w:rsidRPr="00F9446A">
        <w:rPr>
          <w:rFonts w:ascii="Arial" w:hAnsi="Arial" w:cs="Arial"/>
          <w:b/>
          <w:sz w:val="24"/>
          <w:szCs w:val="22"/>
        </w:rPr>
        <w:t xml:space="preserve">Compartmental Pharmacokinetic and Pharmacodynamic </w:t>
      </w:r>
      <w:r>
        <w:rPr>
          <w:rFonts w:ascii="Arial" w:hAnsi="Arial" w:cs="Arial"/>
          <w:b/>
          <w:sz w:val="24"/>
          <w:szCs w:val="22"/>
        </w:rPr>
        <w:t>Assessment</w:t>
      </w:r>
      <w:r w:rsidRPr="00F9446A">
        <w:rPr>
          <w:rFonts w:ascii="Arial" w:hAnsi="Arial" w:cs="Arial"/>
          <w:b/>
          <w:sz w:val="24"/>
          <w:szCs w:val="22"/>
        </w:rPr>
        <w:t xml:space="preserve"> of Rilpivirine Long-Acting Pre-Exposure Prophylaxis </w:t>
      </w:r>
      <w:r>
        <w:rPr>
          <w:rFonts w:ascii="Arial" w:hAnsi="Arial" w:cs="Arial"/>
          <w:b/>
          <w:sz w:val="24"/>
          <w:szCs w:val="22"/>
        </w:rPr>
        <w:t>for HIV Prevention</w:t>
      </w:r>
    </w:p>
    <w:p w:rsidR="00EE4558" w:rsidRPr="00F9446A" w:rsidRDefault="00EE4558" w:rsidP="0080664C">
      <w:pPr>
        <w:pStyle w:val="Head"/>
        <w:jc w:val="both"/>
        <w:rPr>
          <w:rFonts w:ascii="Arial" w:hAnsi="Arial" w:cs="Arial"/>
          <w:sz w:val="24"/>
          <w:szCs w:val="22"/>
        </w:rPr>
      </w:pPr>
    </w:p>
    <w:p w:rsidR="00EE4558" w:rsidRPr="00F9446A" w:rsidRDefault="00EE4558" w:rsidP="001401A9">
      <w:pPr>
        <w:pStyle w:val="Teaser"/>
        <w:spacing w:line="480" w:lineRule="auto"/>
        <w:jc w:val="both"/>
        <w:rPr>
          <w:rFonts w:ascii="Arial" w:hAnsi="Arial" w:cs="Arial"/>
          <w:szCs w:val="22"/>
          <w:vertAlign w:val="superscript"/>
        </w:rPr>
      </w:pPr>
      <w:r w:rsidRPr="00F9446A">
        <w:rPr>
          <w:rFonts w:ascii="Arial" w:hAnsi="Arial" w:cs="Arial"/>
          <w:b/>
          <w:szCs w:val="22"/>
        </w:rPr>
        <w:t>Authors:</w:t>
      </w:r>
      <w:r>
        <w:rPr>
          <w:rFonts w:ascii="Arial" w:hAnsi="Arial" w:cs="Arial"/>
          <w:szCs w:val="22"/>
        </w:rPr>
        <w:t xml:space="preserve">  </w:t>
      </w:r>
      <w:r w:rsidR="00B33216">
        <w:rPr>
          <w:rFonts w:ascii="Arial" w:hAnsi="Arial" w:cs="Arial"/>
          <w:szCs w:val="22"/>
        </w:rPr>
        <w:t xml:space="preserve">Prof </w:t>
      </w:r>
      <w:r>
        <w:rPr>
          <w:rFonts w:ascii="Arial" w:hAnsi="Arial" w:cs="Arial"/>
          <w:szCs w:val="22"/>
        </w:rPr>
        <w:t>Ian</w:t>
      </w:r>
      <w:r w:rsidRPr="00F9446A">
        <w:rPr>
          <w:rFonts w:ascii="Arial" w:hAnsi="Arial" w:cs="Arial"/>
          <w:szCs w:val="22"/>
        </w:rPr>
        <w:t xml:space="preserve"> McGowan</w:t>
      </w:r>
      <w:r w:rsidR="00B33216">
        <w:rPr>
          <w:rFonts w:ascii="Arial" w:hAnsi="Arial" w:cs="Arial"/>
          <w:szCs w:val="22"/>
        </w:rPr>
        <w:t xml:space="preserve"> MD</w:t>
      </w:r>
      <w:r w:rsidRPr="00F9446A">
        <w:rPr>
          <w:rFonts w:ascii="Arial" w:hAnsi="Arial" w:cs="Arial"/>
          <w:szCs w:val="22"/>
          <w:vertAlign w:val="superscript"/>
        </w:rPr>
        <w:t>1</w:t>
      </w:r>
      <w:r>
        <w:rPr>
          <w:rFonts w:ascii="Arial" w:hAnsi="Arial" w:cs="Arial"/>
          <w:szCs w:val="22"/>
        </w:rPr>
        <w:t>, Charlene</w:t>
      </w:r>
      <w:r w:rsidRPr="00F9446A">
        <w:rPr>
          <w:rFonts w:ascii="Arial" w:hAnsi="Arial" w:cs="Arial"/>
          <w:szCs w:val="22"/>
        </w:rPr>
        <w:t xml:space="preserve"> S. Dezzutti</w:t>
      </w:r>
      <w:r w:rsidR="00B33216">
        <w:rPr>
          <w:rFonts w:ascii="Arial" w:hAnsi="Arial" w:cs="Arial"/>
          <w:szCs w:val="22"/>
        </w:rPr>
        <w:t xml:space="preserve"> PhD</w:t>
      </w:r>
      <w:r w:rsidRPr="00F9446A">
        <w:rPr>
          <w:rFonts w:ascii="Arial" w:hAnsi="Arial" w:cs="Arial"/>
          <w:szCs w:val="22"/>
          <w:vertAlign w:val="superscript"/>
        </w:rPr>
        <w:t>1,2</w:t>
      </w:r>
      <w:r w:rsidRPr="00F9446A">
        <w:rPr>
          <w:rFonts w:ascii="Arial" w:hAnsi="Arial" w:cs="Arial"/>
          <w:szCs w:val="22"/>
        </w:rPr>
        <w:t>, A</w:t>
      </w:r>
      <w:r>
        <w:rPr>
          <w:rFonts w:ascii="Arial" w:hAnsi="Arial" w:cs="Arial"/>
          <w:szCs w:val="22"/>
        </w:rPr>
        <w:t>aron</w:t>
      </w:r>
      <w:r w:rsidRPr="00F9446A">
        <w:rPr>
          <w:rFonts w:ascii="Arial" w:hAnsi="Arial" w:cs="Arial"/>
          <w:szCs w:val="22"/>
        </w:rPr>
        <w:t xml:space="preserve"> Siegel</w:t>
      </w:r>
      <w:r w:rsidR="00B33216">
        <w:rPr>
          <w:rFonts w:ascii="Arial" w:hAnsi="Arial" w:cs="Arial"/>
          <w:szCs w:val="22"/>
        </w:rPr>
        <w:t xml:space="preserve"> BS</w:t>
      </w:r>
      <w:r w:rsidRPr="00F9446A">
        <w:rPr>
          <w:rFonts w:ascii="Arial" w:hAnsi="Arial" w:cs="Arial"/>
          <w:szCs w:val="22"/>
          <w:vertAlign w:val="superscript"/>
        </w:rPr>
        <w:t>2</w:t>
      </w:r>
      <w:r w:rsidRPr="00F9446A">
        <w:rPr>
          <w:rFonts w:ascii="Arial" w:hAnsi="Arial" w:cs="Arial"/>
          <w:szCs w:val="22"/>
        </w:rPr>
        <w:t>, J</w:t>
      </w:r>
      <w:r>
        <w:rPr>
          <w:rFonts w:ascii="Arial" w:hAnsi="Arial" w:cs="Arial"/>
          <w:szCs w:val="22"/>
        </w:rPr>
        <w:t xml:space="preserve">arret </w:t>
      </w:r>
      <w:r w:rsidRPr="00F9446A">
        <w:rPr>
          <w:rFonts w:ascii="Arial" w:hAnsi="Arial" w:cs="Arial"/>
          <w:szCs w:val="22"/>
        </w:rPr>
        <w:t>Engstrom</w:t>
      </w:r>
      <w:r w:rsidR="00B33216">
        <w:rPr>
          <w:rFonts w:ascii="Arial" w:hAnsi="Arial" w:cs="Arial"/>
          <w:szCs w:val="22"/>
        </w:rPr>
        <w:t xml:space="preserve"> MBA</w:t>
      </w:r>
      <w:r w:rsidRPr="00F9446A">
        <w:rPr>
          <w:rFonts w:ascii="Arial" w:hAnsi="Arial" w:cs="Arial"/>
          <w:szCs w:val="22"/>
          <w:vertAlign w:val="superscript"/>
        </w:rPr>
        <w:t>2</w:t>
      </w:r>
      <w:r w:rsidRPr="00F9446A">
        <w:rPr>
          <w:rFonts w:ascii="Arial" w:hAnsi="Arial" w:cs="Arial"/>
          <w:szCs w:val="22"/>
        </w:rPr>
        <w:t>, A</w:t>
      </w:r>
      <w:r>
        <w:rPr>
          <w:rFonts w:ascii="Arial" w:hAnsi="Arial" w:cs="Arial"/>
          <w:szCs w:val="22"/>
        </w:rPr>
        <w:t>lexiy</w:t>
      </w:r>
      <w:r w:rsidRPr="00F9446A">
        <w:rPr>
          <w:rFonts w:ascii="Arial" w:hAnsi="Arial" w:cs="Arial"/>
          <w:szCs w:val="22"/>
        </w:rPr>
        <w:t xml:space="preserve"> Nikiforov</w:t>
      </w:r>
      <w:r w:rsidR="00B33216">
        <w:rPr>
          <w:rFonts w:ascii="Arial" w:hAnsi="Arial" w:cs="Arial"/>
          <w:szCs w:val="22"/>
        </w:rPr>
        <w:t xml:space="preserve"> BS</w:t>
      </w:r>
      <w:r w:rsidRPr="00F9446A">
        <w:rPr>
          <w:rFonts w:ascii="Arial" w:hAnsi="Arial" w:cs="Arial"/>
          <w:szCs w:val="22"/>
          <w:vertAlign w:val="superscript"/>
        </w:rPr>
        <w:t>2</w:t>
      </w:r>
      <w:r w:rsidRPr="00F9446A">
        <w:rPr>
          <w:rFonts w:ascii="Arial" w:hAnsi="Arial" w:cs="Arial"/>
          <w:szCs w:val="22"/>
        </w:rPr>
        <w:t>, K</w:t>
      </w:r>
      <w:r>
        <w:rPr>
          <w:rFonts w:ascii="Arial" w:hAnsi="Arial" w:cs="Arial"/>
          <w:szCs w:val="22"/>
        </w:rPr>
        <w:t>athryn</w:t>
      </w:r>
      <w:r w:rsidRPr="00F9446A">
        <w:rPr>
          <w:rFonts w:ascii="Arial" w:hAnsi="Arial" w:cs="Arial"/>
          <w:szCs w:val="22"/>
        </w:rPr>
        <w:t xml:space="preserve"> Duffill</w:t>
      </w:r>
      <w:r w:rsidR="00B33216">
        <w:rPr>
          <w:rFonts w:ascii="Arial" w:hAnsi="Arial" w:cs="Arial"/>
          <w:szCs w:val="22"/>
        </w:rPr>
        <w:t xml:space="preserve"> BS</w:t>
      </w:r>
      <w:r w:rsidRPr="00F9446A">
        <w:rPr>
          <w:rFonts w:ascii="Arial" w:hAnsi="Arial" w:cs="Arial"/>
          <w:szCs w:val="22"/>
          <w:vertAlign w:val="superscript"/>
        </w:rPr>
        <w:t>2</w:t>
      </w:r>
      <w:r w:rsidRPr="00F9446A">
        <w:rPr>
          <w:rFonts w:ascii="Arial" w:hAnsi="Arial" w:cs="Arial"/>
          <w:szCs w:val="22"/>
        </w:rPr>
        <w:t>, C</w:t>
      </w:r>
      <w:r>
        <w:rPr>
          <w:rFonts w:ascii="Arial" w:hAnsi="Arial" w:cs="Arial"/>
          <w:szCs w:val="22"/>
        </w:rPr>
        <w:t>ory</w:t>
      </w:r>
      <w:r w:rsidRPr="00F9446A">
        <w:rPr>
          <w:rFonts w:ascii="Arial" w:hAnsi="Arial" w:cs="Arial"/>
          <w:szCs w:val="22"/>
        </w:rPr>
        <w:t xml:space="preserve"> Shetler</w:t>
      </w:r>
      <w:r w:rsidR="00B33216">
        <w:rPr>
          <w:rFonts w:ascii="Arial" w:hAnsi="Arial" w:cs="Arial"/>
          <w:szCs w:val="22"/>
        </w:rPr>
        <w:t xml:space="preserve"> BS</w:t>
      </w:r>
      <w:r w:rsidRPr="00F9446A">
        <w:rPr>
          <w:rFonts w:ascii="Arial" w:hAnsi="Arial" w:cs="Arial"/>
          <w:szCs w:val="22"/>
          <w:vertAlign w:val="superscript"/>
        </w:rPr>
        <w:t>2</w:t>
      </w:r>
      <w:r w:rsidRPr="00F9446A">
        <w:rPr>
          <w:rFonts w:ascii="Arial" w:hAnsi="Arial" w:cs="Arial"/>
          <w:szCs w:val="22"/>
        </w:rPr>
        <w:t>, N</w:t>
      </w:r>
      <w:r>
        <w:rPr>
          <w:rFonts w:ascii="Arial" w:hAnsi="Arial" w:cs="Arial"/>
          <w:szCs w:val="22"/>
        </w:rPr>
        <w:t>icola</w:t>
      </w:r>
      <w:r w:rsidRPr="00F9446A">
        <w:rPr>
          <w:rFonts w:ascii="Arial" w:hAnsi="Arial" w:cs="Arial"/>
          <w:szCs w:val="22"/>
        </w:rPr>
        <w:t xml:space="preserve"> Richardson-Harman</w:t>
      </w:r>
      <w:r w:rsidR="00B33216">
        <w:rPr>
          <w:rFonts w:ascii="Arial" w:hAnsi="Arial" w:cs="Arial"/>
          <w:szCs w:val="22"/>
        </w:rPr>
        <w:t xml:space="preserve"> PhD</w:t>
      </w:r>
      <w:r w:rsidRPr="00F9446A">
        <w:rPr>
          <w:rFonts w:ascii="Arial" w:hAnsi="Arial" w:cs="Arial"/>
          <w:szCs w:val="22"/>
          <w:vertAlign w:val="superscript"/>
        </w:rPr>
        <w:t>3</w:t>
      </w:r>
      <w:r w:rsidRPr="00F9446A">
        <w:rPr>
          <w:rFonts w:ascii="Arial" w:hAnsi="Arial" w:cs="Arial"/>
          <w:szCs w:val="22"/>
        </w:rPr>
        <w:t>, K</w:t>
      </w:r>
      <w:r>
        <w:rPr>
          <w:rFonts w:ascii="Arial" w:hAnsi="Arial" w:cs="Arial"/>
          <w:szCs w:val="22"/>
        </w:rPr>
        <w:t>aleab</w:t>
      </w:r>
      <w:r w:rsidRPr="00F9446A">
        <w:rPr>
          <w:rFonts w:ascii="Arial" w:hAnsi="Arial" w:cs="Arial"/>
          <w:szCs w:val="22"/>
        </w:rPr>
        <w:t xml:space="preserve"> Abebe</w:t>
      </w:r>
      <w:r w:rsidR="00B33216">
        <w:rPr>
          <w:rFonts w:ascii="Arial" w:hAnsi="Arial" w:cs="Arial"/>
          <w:szCs w:val="22"/>
        </w:rPr>
        <w:t xml:space="preserve"> PhD</w:t>
      </w:r>
      <w:r w:rsidRPr="00F9446A">
        <w:rPr>
          <w:rFonts w:ascii="Arial" w:hAnsi="Arial" w:cs="Arial"/>
          <w:szCs w:val="22"/>
          <w:vertAlign w:val="superscript"/>
        </w:rPr>
        <w:t>1</w:t>
      </w:r>
      <w:r w:rsidRPr="00F9446A">
        <w:rPr>
          <w:rFonts w:ascii="Arial" w:hAnsi="Arial" w:cs="Arial"/>
          <w:szCs w:val="22"/>
        </w:rPr>
        <w:t xml:space="preserve">, </w:t>
      </w:r>
      <w:r w:rsidR="00B33216">
        <w:rPr>
          <w:rFonts w:ascii="Arial" w:hAnsi="Arial" w:cs="Arial"/>
          <w:szCs w:val="22"/>
        </w:rPr>
        <w:t xml:space="preserve">Prof </w:t>
      </w:r>
      <w:r w:rsidRPr="00F9446A">
        <w:rPr>
          <w:rFonts w:ascii="Arial" w:hAnsi="Arial" w:cs="Arial"/>
          <w:szCs w:val="22"/>
        </w:rPr>
        <w:t>D</w:t>
      </w:r>
      <w:r>
        <w:rPr>
          <w:rFonts w:ascii="Arial" w:hAnsi="Arial" w:cs="Arial"/>
          <w:szCs w:val="22"/>
        </w:rPr>
        <w:t>avid</w:t>
      </w:r>
      <w:r w:rsidRPr="00F9446A">
        <w:rPr>
          <w:rFonts w:ascii="Arial" w:hAnsi="Arial" w:cs="Arial"/>
          <w:szCs w:val="22"/>
        </w:rPr>
        <w:t xml:space="preserve"> Back</w:t>
      </w:r>
      <w:r w:rsidR="00B33216">
        <w:rPr>
          <w:rFonts w:ascii="Arial" w:hAnsi="Arial" w:cs="Arial"/>
          <w:szCs w:val="22"/>
        </w:rPr>
        <w:t xml:space="preserve"> PhD</w:t>
      </w:r>
      <w:r w:rsidRPr="00F9446A">
        <w:rPr>
          <w:rFonts w:ascii="Arial" w:hAnsi="Arial" w:cs="Arial"/>
          <w:szCs w:val="22"/>
          <w:vertAlign w:val="superscript"/>
        </w:rPr>
        <w:t>4</w:t>
      </w:r>
      <w:r>
        <w:rPr>
          <w:rFonts w:ascii="Arial" w:hAnsi="Arial" w:cs="Arial"/>
          <w:szCs w:val="22"/>
        </w:rPr>
        <w:t>, Laura</w:t>
      </w:r>
      <w:r w:rsidRPr="00F9446A">
        <w:rPr>
          <w:rFonts w:ascii="Arial" w:hAnsi="Arial" w:cs="Arial"/>
          <w:szCs w:val="22"/>
        </w:rPr>
        <w:t xml:space="preserve"> Else</w:t>
      </w:r>
      <w:r w:rsidR="00B33216">
        <w:rPr>
          <w:rFonts w:ascii="Arial" w:hAnsi="Arial" w:cs="Arial"/>
          <w:szCs w:val="22"/>
        </w:rPr>
        <w:t xml:space="preserve"> PhD</w:t>
      </w:r>
      <w:r w:rsidRPr="00F9446A">
        <w:rPr>
          <w:rFonts w:ascii="Arial" w:hAnsi="Arial" w:cs="Arial"/>
          <w:szCs w:val="22"/>
          <w:vertAlign w:val="superscript"/>
        </w:rPr>
        <w:t>4</w:t>
      </w:r>
      <w:r w:rsidRPr="00F9446A">
        <w:rPr>
          <w:rFonts w:ascii="Arial" w:hAnsi="Arial" w:cs="Arial"/>
          <w:szCs w:val="22"/>
        </w:rPr>
        <w:t>, D</w:t>
      </w:r>
      <w:r>
        <w:rPr>
          <w:rFonts w:ascii="Arial" w:hAnsi="Arial" w:cs="Arial"/>
          <w:szCs w:val="22"/>
        </w:rPr>
        <w:t>eidre</w:t>
      </w:r>
      <w:r w:rsidRPr="00F9446A">
        <w:rPr>
          <w:rFonts w:ascii="Arial" w:hAnsi="Arial" w:cs="Arial"/>
          <w:szCs w:val="22"/>
        </w:rPr>
        <w:t xml:space="preserve"> Egan</w:t>
      </w:r>
      <w:r w:rsidR="00B33216">
        <w:rPr>
          <w:rFonts w:ascii="Arial" w:hAnsi="Arial" w:cs="Arial"/>
          <w:szCs w:val="22"/>
        </w:rPr>
        <w:t xml:space="preserve"> PhD</w:t>
      </w:r>
      <w:r w:rsidRPr="00F9446A">
        <w:rPr>
          <w:rFonts w:ascii="Arial" w:hAnsi="Arial" w:cs="Arial"/>
          <w:szCs w:val="22"/>
          <w:vertAlign w:val="superscript"/>
        </w:rPr>
        <w:t>4</w:t>
      </w:r>
      <w:r w:rsidRPr="00F9446A">
        <w:rPr>
          <w:rFonts w:ascii="Arial" w:hAnsi="Arial" w:cs="Arial"/>
          <w:szCs w:val="22"/>
        </w:rPr>
        <w:t xml:space="preserve">, </w:t>
      </w:r>
      <w:r w:rsidR="00B33216">
        <w:rPr>
          <w:rFonts w:ascii="Arial" w:hAnsi="Arial" w:cs="Arial"/>
          <w:szCs w:val="22"/>
        </w:rPr>
        <w:t xml:space="preserve">Prof </w:t>
      </w:r>
      <w:r w:rsidRPr="00F9446A">
        <w:rPr>
          <w:rFonts w:ascii="Arial" w:hAnsi="Arial" w:cs="Arial"/>
          <w:szCs w:val="22"/>
        </w:rPr>
        <w:t>S</w:t>
      </w:r>
      <w:r>
        <w:rPr>
          <w:rFonts w:ascii="Arial" w:hAnsi="Arial" w:cs="Arial"/>
          <w:szCs w:val="22"/>
        </w:rPr>
        <w:t>aye</w:t>
      </w:r>
      <w:r w:rsidRPr="00F9446A">
        <w:rPr>
          <w:rFonts w:ascii="Arial" w:hAnsi="Arial" w:cs="Arial"/>
          <w:szCs w:val="22"/>
        </w:rPr>
        <w:t xml:space="preserve"> Khoo</w:t>
      </w:r>
      <w:r w:rsidR="00B33216">
        <w:rPr>
          <w:rFonts w:ascii="Arial" w:hAnsi="Arial" w:cs="Arial"/>
          <w:szCs w:val="22"/>
        </w:rPr>
        <w:t xml:space="preserve"> MD</w:t>
      </w:r>
      <w:r w:rsidRPr="00F9446A">
        <w:rPr>
          <w:rFonts w:ascii="Arial" w:hAnsi="Arial" w:cs="Arial"/>
          <w:szCs w:val="22"/>
          <w:vertAlign w:val="superscript"/>
        </w:rPr>
        <w:t>4</w:t>
      </w:r>
      <w:r w:rsidRPr="00F9446A">
        <w:rPr>
          <w:rFonts w:ascii="Arial" w:hAnsi="Arial" w:cs="Arial"/>
          <w:szCs w:val="22"/>
        </w:rPr>
        <w:t>, J</w:t>
      </w:r>
      <w:r>
        <w:rPr>
          <w:rFonts w:ascii="Arial" w:hAnsi="Arial" w:cs="Arial"/>
          <w:szCs w:val="22"/>
        </w:rPr>
        <w:t>ames</w:t>
      </w:r>
      <w:r w:rsidRPr="00F9446A">
        <w:rPr>
          <w:rFonts w:ascii="Arial" w:hAnsi="Arial" w:cs="Arial"/>
          <w:szCs w:val="22"/>
        </w:rPr>
        <w:t xml:space="preserve"> E. Egan</w:t>
      </w:r>
      <w:r w:rsidR="00B33216">
        <w:rPr>
          <w:rFonts w:ascii="Arial" w:hAnsi="Arial" w:cs="Arial"/>
          <w:szCs w:val="22"/>
        </w:rPr>
        <w:t xml:space="preserve"> PhD</w:t>
      </w:r>
      <w:r w:rsidRPr="00F9446A">
        <w:rPr>
          <w:rFonts w:ascii="Arial" w:hAnsi="Arial" w:cs="Arial"/>
          <w:szCs w:val="22"/>
          <w:vertAlign w:val="superscript"/>
        </w:rPr>
        <w:t>4</w:t>
      </w:r>
      <w:r w:rsidRPr="00F9446A">
        <w:rPr>
          <w:rFonts w:ascii="Arial" w:hAnsi="Arial" w:cs="Arial"/>
          <w:szCs w:val="22"/>
        </w:rPr>
        <w:t xml:space="preserve">, </w:t>
      </w:r>
      <w:r w:rsidR="00B33216">
        <w:rPr>
          <w:rFonts w:ascii="Arial" w:hAnsi="Arial" w:cs="Arial"/>
          <w:szCs w:val="22"/>
        </w:rPr>
        <w:t xml:space="preserve">Prof </w:t>
      </w:r>
      <w:r w:rsidRPr="00F9446A">
        <w:rPr>
          <w:rFonts w:ascii="Arial" w:hAnsi="Arial" w:cs="Arial"/>
          <w:szCs w:val="22"/>
        </w:rPr>
        <w:t>R</w:t>
      </w:r>
      <w:r>
        <w:rPr>
          <w:rFonts w:ascii="Arial" w:hAnsi="Arial" w:cs="Arial"/>
          <w:szCs w:val="22"/>
        </w:rPr>
        <w:t>onald</w:t>
      </w:r>
      <w:r w:rsidRPr="00F9446A">
        <w:rPr>
          <w:rFonts w:ascii="Arial" w:hAnsi="Arial" w:cs="Arial"/>
          <w:szCs w:val="22"/>
        </w:rPr>
        <w:t xml:space="preserve"> Stall</w:t>
      </w:r>
      <w:r w:rsidR="00B33216">
        <w:rPr>
          <w:rFonts w:ascii="Arial" w:hAnsi="Arial" w:cs="Arial"/>
          <w:szCs w:val="22"/>
        </w:rPr>
        <w:t xml:space="preserve"> PhD</w:t>
      </w:r>
      <w:r w:rsidRPr="00F9446A">
        <w:rPr>
          <w:rFonts w:ascii="Arial" w:hAnsi="Arial" w:cs="Arial"/>
          <w:szCs w:val="22"/>
          <w:vertAlign w:val="superscript"/>
        </w:rPr>
        <w:t>5</w:t>
      </w:r>
      <w:r w:rsidRPr="00F9446A">
        <w:rPr>
          <w:rFonts w:ascii="Arial" w:hAnsi="Arial" w:cs="Arial"/>
          <w:szCs w:val="22"/>
        </w:rPr>
        <w:t>, P</w:t>
      </w:r>
      <w:r>
        <w:rPr>
          <w:rFonts w:ascii="Arial" w:hAnsi="Arial" w:cs="Arial"/>
          <w:szCs w:val="22"/>
        </w:rPr>
        <w:t>eter</w:t>
      </w:r>
      <w:r w:rsidRPr="00F9446A">
        <w:rPr>
          <w:rFonts w:ascii="Arial" w:hAnsi="Arial" w:cs="Arial"/>
          <w:szCs w:val="22"/>
        </w:rPr>
        <w:t xml:space="preserve"> </w:t>
      </w:r>
      <w:r>
        <w:rPr>
          <w:rFonts w:ascii="Arial" w:hAnsi="Arial" w:cs="Arial"/>
          <w:szCs w:val="22"/>
        </w:rPr>
        <w:t xml:space="preserve">E. </w:t>
      </w:r>
      <w:r w:rsidRPr="00F9446A">
        <w:rPr>
          <w:rFonts w:ascii="Arial" w:hAnsi="Arial" w:cs="Arial"/>
          <w:szCs w:val="22"/>
        </w:rPr>
        <w:t>Williams</w:t>
      </w:r>
      <w:r w:rsidR="00B33216">
        <w:rPr>
          <w:rFonts w:ascii="Arial" w:hAnsi="Arial" w:cs="Arial"/>
          <w:szCs w:val="22"/>
        </w:rPr>
        <w:t xml:space="preserve"> MD</w:t>
      </w:r>
      <w:r w:rsidRPr="00F9446A">
        <w:rPr>
          <w:rFonts w:ascii="Arial" w:hAnsi="Arial" w:cs="Arial"/>
          <w:szCs w:val="22"/>
          <w:vertAlign w:val="superscript"/>
        </w:rPr>
        <w:t>6</w:t>
      </w:r>
      <w:r w:rsidRPr="00F9446A">
        <w:rPr>
          <w:rFonts w:ascii="Arial" w:hAnsi="Arial" w:cs="Arial"/>
          <w:szCs w:val="22"/>
        </w:rPr>
        <w:t>, K</w:t>
      </w:r>
      <w:r>
        <w:rPr>
          <w:rFonts w:ascii="Arial" w:hAnsi="Arial" w:cs="Arial"/>
          <w:szCs w:val="22"/>
        </w:rPr>
        <w:t>haleel</w:t>
      </w:r>
      <w:r w:rsidRPr="00F9446A">
        <w:rPr>
          <w:rFonts w:ascii="Arial" w:hAnsi="Arial" w:cs="Arial"/>
          <w:szCs w:val="22"/>
        </w:rPr>
        <w:t xml:space="preserve"> K. Rehman</w:t>
      </w:r>
      <w:r w:rsidR="00B33216">
        <w:rPr>
          <w:rFonts w:ascii="Arial" w:hAnsi="Arial" w:cs="Arial"/>
          <w:szCs w:val="22"/>
        </w:rPr>
        <w:t xml:space="preserve"> PhD</w:t>
      </w:r>
      <w:r w:rsidRPr="00F9446A">
        <w:rPr>
          <w:rFonts w:ascii="Arial" w:hAnsi="Arial" w:cs="Arial"/>
          <w:szCs w:val="22"/>
          <w:vertAlign w:val="superscript"/>
        </w:rPr>
        <w:t>2</w:t>
      </w:r>
      <w:r>
        <w:rPr>
          <w:rFonts w:ascii="Arial" w:hAnsi="Arial" w:cs="Arial"/>
          <w:szCs w:val="22"/>
        </w:rPr>
        <w:t>, Amy</w:t>
      </w:r>
      <w:r w:rsidRPr="00F9446A">
        <w:rPr>
          <w:rFonts w:ascii="Arial" w:hAnsi="Arial" w:cs="Arial"/>
          <w:szCs w:val="22"/>
        </w:rPr>
        <w:t xml:space="preserve"> Adler</w:t>
      </w:r>
      <w:r w:rsidR="00B33216">
        <w:rPr>
          <w:rFonts w:ascii="Arial" w:hAnsi="Arial" w:cs="Arial"/>
          <w:szCs w:val="22"/>
        </w:rPr>
        <w:t xml:space="preserve"> RN</w:t>
      </w:r>
      <w:r w:rsidRPr="00F9446A">
        <w:rPr>
          <w:rFonts w:ascii="Arial" w:hAnsi="Arial" w:cs="Arial"/>
          <w:szCs w:val="22"/>
          <w:vertAlign w:val="superscript"/>
        </w:rPr>
        <w:t>7</w:t>
      </w:r>
      <w:r w:rsidRPr="00F9446A">
        <w:rPr>
          <w:rFonts w:ascii="Arial" w:hAnsi="Arial" w:cs="Arial"/>
          <w:szCs w:val="22"/>
        </w:rPr>
        <w:t>, R</w:t>
      </w:r>
      <w:r>
        <w:rPr>
          <w:rFonts w:ascii="Arial" w:hAnsi="Arial" w:cs="Arial"/>
          <w:szCs w:val="22"/>
        </w:rPr>
        <w:t>honda</w:t>
      </w:r>
      <w:r w:rsidRPr="00F9446A">
        <w:rPr>
          <w:rFonts w:ascii="Arial" w:hAnsi="Arial" w:cs="Arial"/>
          <w:szCs w:val="22"/>
        </w:rPr>
        <w:t xml:space="preserve"> M. Brand</w:t>
      </w:r>
      <w:r w:rsidR="00B33216">
        <w:rPr>
          <w:rFonts w:ascii="Arial" w:hAnsi="Arial" w:cs="Arial"/>
          <w:szCs w:val="22"/>
        </w:rPr>
        <w:t xml:space="preserve"> PhD</w:t>
      </w:r>
      <w:r w:rsidRPr="00F9446A">
        <w:rPr>
          <w:rFonts w:ascii="Arial" w:hAnsi="Arial" w:cs="Arial"/>
          <w:szCs w:val="22"/>
          <w:vertAlign w:val="superscript"/>
        </w:rPr>
        <w:t>1</w:t>
      </w:r>
      <w:r w:rsidRPr="00F9446A">
        <w:rPr>
          <w:rFonts w:ascii="Arial" w:hAnsi="Arial" w:cs="Arial"/>
          <w:szCs w:val="22"/>
        </w:rPr>
        <w:t xml:space="preserve">, </w:t>
      </w:r>
      <w:r>
        <w:rPr>
          <w:rFonts w:ascii="Arial" w:hAnsi="Arial" w:cs="Arial"/>
          <w:szCs w:val="22"/>
        </w:rPr>
        <w:t>Beatrice Chen</w:t>
      </w:r>
      <w:r w:rsidR="00B33216">
        <w:rPr>
          <w:rFonts w:ascii="Arial" w:hAnsi="Arial" w:cs="Arial"/>
          <w:szCs w:val="22"/>
        </w:rPr>
        <w:t xml:space="preserve"> MD</w:t>
      </w:r>
      <w:r w:rsidRPr="00F9446A">
        <w:rPr>
          <w:rFonts w:ascii="Arial" w:hAnsi="Arial" w:cs="Arial"/>
          <w:szCs w:val="22"/>
          <w:vertAlign w:val="superscript"/>
        </w:rPr>
        <w:t>1</w:t>
      </w:r>
      <w:r>
        <w:rPr>
          <w:rFonts w:ascii="Arial" w:hAnsi="Arial" w:cs="Arial"/>
          <w:szCs w:val="22"/>
        </w:rPr>
        <w:t>, Sharon Achilles</w:t>
      </w:r>
      <w:r w:rsidR="00B33216">
        <w:rPr>
          <w:rFonts w:ascii="Arial" w:hAnsi="Arial" w:cs="Arial"/>
          <w:szCs w:val="22"/>
        </w:rPr>
        <w:t xml:space="preserve"> MD</w:t>
      </w:r>
      <w:r w:rsidRPr="00F9446A">
        <w:rPr>
          <w:rFonts w:ascii="Arial" w:hAnsi="Arial" w:cs="Arial"/>
          <w:szCs w:val="22"/>
          <w:vertAlign w:val="superscript"/>
        </w:rPr>
        <w:t>1</w:t>
      </w:r>
      <w:r>
        <w:rPr>
          <w:rFonts w:ascii="Arial" w:hAnsi="Arial" w:cs="Arial"/>
          <w:szCs w:val="22"/>
        </w:rPr>
        <w:t>, Ross</w:t>
      </w:r>
      <w:r w:rsidRPr="00F9446A">
        <w:rPr>
          <w:rFonts w:ascii="Arial" w:hAnsi="Arial" w:cs="Arial"/>
          <w:szCs w:val="22"/>
        </w:rPr>
        <w:t xml:space="preserve"> D. Cranston</w:t>
      </w:r>
      <w:r w:rsidR="00B33216">
        <w:rPr>
          <w:rFonts w:ascii="Arial" w:hAnsi="Arial" w:cs="Arial"/>
          <w:szCs w:val="22"/>
        </w:rPr>
        <w:t xml:space="preserve"> MD</w:t>
      </w:r>
      <w:r w:rsidRPr="00F9446A">
        <w:rPr>
          <w:rFonts w:ascii="Arial" w:hAnsi="Arial" w:cs="Arial"/>
          <w:szCs w:val="22"/>
          <w:vertAlign w:val="superscript"/>
        </w:rPr>
        <w:t>1</w:t>
      </w:r>
    </w:p>
    <w:p w:rsidR="00EE4558" w:rsidRPr="00F9446A" w:rsidRDefault="00EE4558" w:rsidP="0080664C">
      <w:pPr>
        <w:pStyle w:val="Paragraph"/>
        <w:spacing w:line="480" w:lineRule="auto"/>
        <w:ind w:firstLine="0"/>
        <w:jc w:val="both"/>
        <w:rPr>
          <w:rFonts w:ascii="Arial" w:hAnsi="Arial" w:cs="Arial"/>
          <w:b/>
          <w:szCs w:val="22"/>
        </w:rPr>
      </w:pPr>
      <w:r w:rsidRPr="00F9446A">
        <w:rPr>
          <w:rFonts w:ascii="Arial" w:hAnsi="Arial" w:cs="Arial"/>
          <w:b/>
          <w:szCs w:val="22"/>
        </w:rPr>
        <w:t>Affiliations:</w:t>
      </w:r>
    </w:p>
    <w:p w:rsidR="00EE4558" w:rsidRPr="00F9446A" w:rsidRDefault="00EE4558" w:rsidP="0080664C">
      <w:pPr>
        <w:spacing w:line="480" w:lineRule="auto"/>
        <w:jc w:val="both"/>
        <w:rPr>
          <w:rFonts w:ascii="Arial" w:hAnsi="Arial" w:cs="Arial"/>
          <w:sz w:val="24"/>
          <w:szCs w:val="22"/>
        </w:rPr>
      </w:pPr>
      <w:r w:rsidRPr="00F9446A">
        <w:rPr>
          <w:rFonts w:ascii="Arial" w:hAnsi="Arial" w:cs="Arial"/>
          <w:sz w:val="24"/>
          <w:szCs w:val="22"/>
          <w:vertAlign w:val="superscript"/>
        </w:rPr>
        <w:t>1</w:t>
      </w:r>
      <w:r w:rsidRPr="00F9446A">
        <w:rPr>
          <w:rFonts w:ascii="Arial" w:hAnsi="Arial" w:cs="Arial"/>
          <w:sz w:val="24"/>
          <w:szCs w:val="22"/>
        </w:rPr>
        <w:t>University of Pittsburgh School of Medicine</w:t>
      </w:r>
      <w:r>
        <w:rPr>
          <w:rFonts w:ascii="Arial" w:hAnsi="Arial" w:cs="Arial"/>
          <w:sz w:val="24"/>
          <w:szCs w:val="22"/>
        </w:rPr>
        <w:t>, Pittsburgh, PA, United States.</w:t>
      </w:r>
      <w:r w:rsidRPr="00F9446A">
        <w:rPr>
          <w:rFonts w:ascii="Arial" w:hAnsi="Arial" w:cs="Arial"/>
          <w:sz w:val="24"/>
          <w:szCs w:val="22"/>
        </w:rPr>
        <w:t xml:space="preserve"> </w:t>
      </w:r>
    </w:p>
    <w:p w:rsidR="00EE4558" w:rsidRPr="00F9446A" w:rsidRDefault="00EE4558" w:rsidP="0080664C">
      <w:pPr>
        <w:spacing w:line="480" w:lineRule="auto"/>
        <w:jc w:val="both"/>
        <w:rPr>
          <w:rFonts w:ascii="Arial" w:hAnsi="Arial" w:cs="Arial"/>
          <w:sz w:val="24"/>
          <w:szCs w:val="22"/>
        </w:rPr>
      </w:pPr>
      <w:r w:rsidRPr="00F9446A">
        <w:rPr>
          <w:rFonts w:ascii="Arial" w:hAnsi="Arial" w:cs="Arial"/>
          <w:sz w:val="24"/>
          <w:szCs w:val="22"/>
          <w:vertAlign w:val="superscript"/>
        </w:rPr>
        <w:t>2</w:t>
      </w:r>
      <w:r w:rsidRPr="00F9446A">
        <w:rPr>
          <w:rFonts w:ascii="Arial" w:hAnsi="Arial" w:cs="Arial"/>
          <w:sz w:val="24"/>
          <w:szCs w:val="22"/>
        </w:rPr>
        <w:t>Magee Women Research Institute</w:t>
      </w:r>
      <w:r>
        <w:rPr>
          <w:rFonts w:ascii="Arial" w:hAnsi="Arial" w:cs="Arial"/>
          <w:sz w:val="24"/>
          <w:szCs w:val="22"/>
        </w:rPr>
        <w:t>, Pittsburgh, PA, United States.</w:t>
      </w:r>
      <w:r w:rsidRPr="00F9446A">
        <w:rPr>
          <w:rFonts w:ascii="Arial" w:hAnsi="Arial" w:cs="Arial"/>
          <w:sz w:val="24"/>
          <w:szCs w:val="22"/>
        </w:rPr>
        <w:t xml:space="preserve"> </w:t>
      </w:r>
    </w:p>
    <w:p w:rsidR="00EE4558" w:rsidRPr="00F9446A" w:rsidRDefault="00EE4558" w:rsidP="0080664C">
      <w:pPr>
        <w:spacing w:line="480" w:lineRule="auto"/>
        <w:jc w:val="both"/>
        <w:rPr>
          <w:rFonts w:ascii="Arial" w:hAnsi="Arial" w:cs="Arial"/>
          <w:sz w:val="24"/>
          <w:szCs w:val="22"/>
        </w:rPr>
      </w:pPr>
      <w:r w:rsidRPr="00F9446A">
        <w:rPr>
          <w:rFonts w:ascii="Arial" w:hAnsi="Arial" w:cs="Arial"/>
          <w:sz w:val="24"/>
          <w:szCs w:val="22"/>
          <w:vertAlign w:val="superscript"/>
        </w:rPr>
        <w:t>3</w:t>
      </w:r>
      <w:r w:rsidRPr="00F9446A">
        <w:rPr>
          <w:rFonts w:ascii="Arial" w:hAnsi="Arial" w:cs="Arial"/>
          <w:sz w:val="24"/>
          <w:szCs w:val="22"/>
        </w:rPr>
        <w:t>Alpha StatConsult L</w:t>
      </w:r>
      <w:r>
        <w:rPr>
          <w:rFonts w:ascii="Arial" w:hAnsi="Arial" w:cs="Arial"/>
          <w:sz w:val="24"/>
          <w:szCs w:val="22"/>
        </w:rPr>
        <w:t>LC, Damascus, MD, United States.</w:t>
      </w:r>
      <w:r w:rsidRPr="00F9446A">
        <w:rPr>
          <w:rFonts w:ascii="Arial" w:hAnsi="Arial" w:cs="Arial"/>
          <w:sz w:val="24"/>
          <w:szCs w:val="22"/>
        </w:rPr>
        <w:t xml:space="preserve"> </w:t>
      </w:r>
    </w:p>
    <w:p w:rsidR="00EE4558" w:rsidRPr="00F9446A" w:rsidRDefault="00EE4558" w:rsidP="0080664C">
      <w:pPr>
        <w:spacing w:line="480" w:lineRule="auto"/>
        <w:jc w:val="both"/>
        <w:rPr>
          <w:rFonts w:ascii="Arial" w:hAnsi="Arial" w:cs="Arial"/>
          <w:sz w:val="24"/>
          <w:szCs w:val="22"/>
        </w:rPr>
      </w:pPr>
      <w:r w:rsidRPr="00F9446A">
        <w:rPr>
          <w:rFonts w:ascii="Arial" w:hAnsi="Arial" w:cs="Arial"/>
          <w:sz w:val="24"/>
          <w:szCs w:val="22"/>
          <w:vertAlign w:val="superscript"/>
        </w:rPr>
        <w:t>4</w:t>
      </w:r>
      <w:r w:rsidRPr="00F9446A">
        <w:rPr>
          <w:rFonts w:ascii="Arial" w:hAnsi="Arial" w:cs="Arial"/>
          <w:sz w:val="24"/>
          <w:szCs w:val="22"/>
        </w:rPr>
        <w:t>University of Liver</w:t>
      </w:r>
      <w:r>
        <w:rPr>
          <w:rFonts w:ascii="Arial" w:hAnsi="Arial" w:cs="Arial"/>
          <w:sz w:val="24"/>
          <w:szCs w:val="22"/>
        </w:rPr>
        <w:t>pool, Liverpool, United Kingdom.</w:t>
      </w:r>
      <w:r w:rsidRPr="00F9446A">
        <w:rPr>
          <w:rFonts w:ascii="Arial" w:hAnsi="Arial" w:cs="Arial"/>
          <w:sz w:val="24"/>
          <w:szCs w:val="22"/>
        </w:rPr>
        <w:t xml:space="preserve"> </w:t>
      </w:r>
    </w:p>
    <w:p w:rsidR="00EE4558" w:rsidRDefault="00EE4558" w:rsidP="0080664C">
      <w:pPr>
        <w:spacing w:line="480" w:lineRule="auto"/>
        <w:jc w:val="both"/>
        <w:rPr>
          <w:rFonts w:ascii="Arial" w:hAnsi="Arial" w:cs="Arial"/>
          <w:sz w:val="24"/>
          <w:szCs w:val="22"/>
        </w:rPr>
      </w:pPr>
      <w:r w:rsidRPr="00F9446A">
        <w:rPr>
          <w:rFonts w:ascii="Arial" w:hAnsi="Arial" w:cs="Arial"/>
          <w:sz w:val="24"/>
          <w:szCs w:val="22"/>
          <w:vertAlign w:val="superscript"/>
        </w:rPr>
        <w:t>5</w:t>
      </w:r>
      <w:r w:rsidRPr="00F9446A">
        <w:rPr>
          <w:rFonts w:ascii="Arial" w:hAnsi="Arial" w:cs="Arial"/>
          <w:sz w:val="24"/>
          <w:szCs w:val="22"/>
        </w:rPr>
        <w:t>University of Pittsburgh Graduate School of Public Health, Pittsburgh, PA, United</w:t>
      </w:r>
      <w:r>
        <w:rPr>
          <w:rFonts w:ascii="Arial" w:hAnsi="Arial" w:cs="Arial"/>
          <w:sz w:val="24"/>
          <w:szCs w:val="22"/>
        </w:rPr>
        <w:t xml:space="preserve"> States.</w:t>
      </w:r>
      <w:r w:rsidRPr="00F9446A">
        <w:rPr>
          <w:rFonts w:ascii="Arial" w:hAnsi="Arial" w:cs="Arial"/>
          <w:sz w:val="24"/>
          <w:szCs w:val="22"/>
        </w:rPr>
        <w:t xml:space="preserve"> </w:t>
      </w:r>
    </w:p>
    <w:p w:rsidR="00EE4558" w:rsidRPr="00F9446A" w:rsidRDefault="00EE4558" w:rsidP="0080664C">
      <w:pPr>
        <w:spacing w:line="480" w:lineRule="auto"/>
        <w:jc w:val="both"/>
        <w:rPr>
          <w:rFonts w:ascii="Arial" w:hAnsi="Arial" w:cs="Arial"/>
          <w:sz w:val="24"/>
          <w:szCs w:val="22"/>
        </w:rPr>
      </w:pPr>
      <w:r w:rsidRPr="00F9446A">
        <w:rPr>
          <w:rFonts w:ascii="Arial" w:hAnsi="Arial" w:cs="Arial"/>
          <w:sz w:val="24"/>
          <w:szCs w:val="22"/>
          <w:vertAlign w:val="superscript"/>
        </w:rPr>
        <w:t>6</w:t>
      </w:r>
      <w:r w:rsidRPr="00F9446A">
        <w:rPr>
          <w:rFonts w:ascii="Arial" w:hAnsi="Arial" w:cs="Arial"/>
          <w:sz w:val="24"/>
          <w:szCs w:val="22"/>
        </w:rPr>
        <w:t>Janssen Research an</w:t>
      </w:r>
      <w:r>
        <w:rPr>
          <w:rFonts w:ascii="Arial" w:hAnsi="Arial" w:cs="Arial"/>
          <w:sz w:val="24"/>
          <w:szCs w:val="22"/>
        </w:rPr>
        <w:t>d Development, Beerse, Belgium.</w:t>
      </w:r>
    </w:p>
    <w:p w:rsidR="00EE4558" w:rsidRPr="00F9446A" w:rsidRDefault="00EE4558" w:rsidP="0080664C">
      <w:pPr>
        <w:spacing w:line="480" w:lineRule="auto"/>
        <w:jc w:val="both"/>
        <w:rPr>
          <w:rFonts w:ascii="Arial" w:hAnsi="Arial" w:cs="Arial"/>
          <w:sz w:val="24"/>
          <w:szCs w:val="22"/>
        </w:rPr>
      </w:pPr>
      <w:r w:rsidRPr="00F9446A">
        <w:rPr>
          <w:rFonts w:ascii="Arial" w:hAnsi="Arial" w:cs="Arial"/>
          <w:sz w:val="24"/>
          <w:szCs w:val="22"/>
          <w:vertAlign w:val="superscript"/>
        </w:rPr>
        <w:t>7</w:t>
      </w:r>
      <w:r w:rsidRPr="00F9446A">
        <w:rPr>
          <w:rFonts w:ascii="Arial" w:hAnsi="Arial" w:cs="Arial"/>
          <w:sz w:val="24"/>
          <w:szCs w:val="22"/>
        </w:rPr>
        <w:t>The Translational Science Corp, Los Angeles, CA, United States</w:t>
      </w:r>
      <w:r>
        <w:rPr>
          <w:rFonts w:ascii="Arial" w:hAnsi="Arial" w:cs="Arial"/>
          <w:sz w:val="24"/>
          <w:szCs w:val="22"/>
        </w:rPr>
        <w:t>.</w:t>
      </w:r>
    </w:p>
    <w:p w:rsidR="00EE4558" w:rsidRPr="00F9446A" w:rsidRDefault="00EE4558" w:rsidP="0080664C">
      <w:pPr>
        <w:spacing w:line="480" w:lineRule="auto"/>
        <w:jc w:val="both"/>
        <w:rPr>
          <w:rFonts w:ascii="Arial" w:hAnsi="Arial" w:cs="Arial"/>
          <w:b/>
          <w:sz w:val="24"/>
          <w:szCs w:val="22"/>
        </w:rPr>
      </w:pPr>
    </w:p>
    <w:p w:rsidR="00EE4558" w:rsidRPr="00F9446A" w:rsidRDefault="00EE4558" w:rsidP="0080664C">
      <w:pPr>
        <w:spacing w:line="480" w:lineRule="auto"/>
        <w:jc w:val="both"/>
        <w:rPr>
          <w:rFonts w:ascii="Arial" w:hAnsi="Arial" w:cs="Arial"/>
          <w:b/>
          <w:sz w:val="24"/>
          <w:szCs w:val="22"/>
        </w:rPr>
      </w:pPr>
      <w:r w:rsidRPr="00F9446A">
        <w:rPr>
          <w:rFonts w:ascii="Arial" w:hAnsi="Arial" w:cs="Arial"/>
          <w:b/>
          <w:sz w:val="24"/>
          <w:szCs w:val="22"/>
        </w:rPr>
        <w:t>Correspondence</w:t>
      </w:r>
    </w:p>
    <w:p w:rsidR="00EE4558" w:rsidRPr="00F9446A" w:rsidRDefault="00EE4558" w:rsidP="00843A04">
      <w:pPr>
        <w:spacing w:line="276" w:lineRule="auto"/>
        <w:jc w:val="both"/>
        <w:rPr>
          <w:rFonts w:ascii="Arial" w:hAnsi="Arial" w:cs="Arial"/>
          <w:sz w:val="24"/>
          <w:szCs w:val="22"/>
        </w:rPr>
      </w:pPr>
      <w:r w:rsidRPr="00F9446A">
        <w:rPr>
          <w:rFonts w:ascii="Arial" w:hAnsi="Arial" w:cs="Arial"/>
          <w:sz w:val="24"/>
          <w:szCs w:val="22"/>
        </w:rPr>
        <w:t>*Ian McGowan MD PhD FRCP</w:t>
      </w:r>
    </w:p>
    <w:p w:rsidR="00EE4558" w:rsidRPr="00F9446A" w:rsidRDefault="00EE4558" w:rsidP="00843A04">
      <w:pPr>
        <w:spacing w:line="276" w:lineRule="auto"/>
        <w:jc w:val="both"/>
        <w:rPr>
          <w:rFonts w:ascii="Arial" w:hAnsi="Arial" w:cs="Arial"/>
          <w:sz w:val="24"/>
          <w:szCs w:val="22"/>
        </w:rPr>
      </w:pPr>
      <w:r w:rsidRPr="00F9446A">
        <w:rPr>
          <w:rFonts w:ascii="Arial" w:hAnsi="Arial" w:cs="Arial"/>
          <w:sz w:val="24"/>
          <w:szCs w:val="22"/>
        </w:rPr>
        <w:t>University of Pittsburgh School of Medicine</w:t>
      </w:r>
    </w:p>
    <w:p w:rsidR="00EE4558" w:rsidRPr="00F9446A" w:rsidRDefault="00EE4558" w:rsidP="00843A04">
      <w:pPr>
        <w:spacing w:line="276" w:lineRule="auto"/>
        <w:jc w:val="both"/>
        <w:rPr>
          <w:rFonts w:ascii="Arial" w:hAnsi="Arial" w:cs="Arial"/>
          <w:sz w:val="24"/>
          <w:szCs w:val="22"/>
        </w:rPr>
      </w:pPr>
      <w:r>
        <w:rPr>
          <w:rFonts w:ascii="Arial" w:hAnsi="Arial" w:cs="Arial"/>
          <w:sz w:val="24"/>
          <w:szCs w:val="22"/>
        </w:rPr>
        <w:t>204 Craft Ave, Room B621</w:t>
      </w:r>
    </w:p>
    <w:p w:rsidR="00EE4558" w:rsidRPr="00F9446A" w:rsidRDefault="00EE4558" w:rsidP="00843A04">
      <w:pPr>
        <w:spacing w:line="276" w:lineRule="auto"/>
        <w:jc w:val="both"/>
        <w:rPr>
          <w:rFonts w:ascii="Arial" w:hAnsi="Arial" w:cs="Arial"/>
          <w:sz w:val="24"/>
          <w:szCs w:val="22"/>
        </w:rPr>
      </w:pPr>
      <w:r w:rsidRPr="00F9446A">
        <w:rPr>
          <w:rFonts w:ascii="Arial" w:hAnsi="Arial" w:cs="Arial"/>
          <w:sz w:val="24"/>
          <w:szCs w:val="22"/>
        </w:rPr>
        <w:lastRenderedPageBreak/>
        <w:t>Pittsburgh, PA 15213</w:t>
      </w:r>
    </w:p>
    <w:p w:rsidR="00EE4558" w:rsidRPr="00F9446A" w:rsidRDefault="00EE4558" w:rsidP="00843A04">
      <w:pPr>
        <w:spacing w:line="276" w:lineRule="auto"/>
        <w:jc w:val="both"/>
        <w:rPr>
          <w:rFonts w:ascii="Arial" w:hAnsi="Arial" w:cs="Arial"/>
          <w:sz w:val="24"/>
          <w:szCs w:val="22"/>
          <w:lang w:val="de-AT"/>
        </w:rPr>
      </w:pPr>
      <w:r w:rsidRPr="00F9446A">
        <w:rPr>
          <w:rFonts w:ascii="Arial" w:hAnsi="Arial" w:cs="Arial"/>
          <w:sz w:val="24"/>
          <w:szCs w:val="22"/>
          <w:lang w:val="de-AT"/>
        </w:rPr>
        <w:t xml:space="preserve">T: </w:t>
      </w:r>
      <w:r w:rsidRPr="00F9446A">
        <w:rPr>
          <w:rFonts w:ascii="Arial" w:hAnsi="Arial" w:cs="Arial"/>
          <w:sz w:val="24"/>
          <w:szCs w:val="22"/>
          <w:lang w:val="de-AT"/>
        </w:rPr>
        <w:tab/>
      </w:r>
      <w:r w:rsidRPr="00F9446A">
        <w:rPr>
          <w:rFonts w:ascii="Arial" w:hAnsi="Arial" w:cs="Arial"/>
          <w:sz w:val="24"/>
          <w:szCs w:val="22"/>
          <w:lang w:val="de-AT"/>
        </w:rPr>
        <w:tab/>
        <w:t xml:space="preserve">+1 412 641 4710 </w:t>
      </w:r>
    </w:p>
    <w:p w:rsidR="00EE4558" w:rsidRPr="001E2886" w:rsidRDefault="00EE4558" w:rsidP="001E2886">
      <w:pPr>
        <w:spacing w:line="276" w:lineRule="auto"/>
        <w:jc w:val="both"/>
        <w:rPr>
          <w:rFonts w:ascii="Arial" w:hAnsi="Arial" w:cs="Arial"/>
          <w:sz w:val="24"/>
          <w:szCs w:val="22"/>
          <w:lang w:val="de-AT"/>
        </w:rPr>
      </w:pPr>
      <w:r w:rsidRPr="00F9446A">
        <w:rPr>
          <w:rFonts w:ascii="Arial" w:hAnsi="Arial" w:cs="Arial"/>
          <w:sz w:val="24"/>
          <w:szCs w:val="22"/>
          <w:lang w:val="de-AT"/>
        </w:rPr>
        <w:t>Email:</w:t>
      </w:r>
      <w:r w:rsidRPr="00F9446A">
        <w:rPr>
          <w:rFonts w:ascii="Arial" w:hAnsi="Arial" w:cs="Arial"/>
          <w:sz w:val="24"/>
          <w:szCs w:val="22"/>
          <w:lang w:val="de-AT"/>
        </w:rPr>
        <w:tab/>
      </w:r>
      <w:r w:rsidRPr="00F9446A">
        <w:rPr>
          <w:rFonts w:ascii="Arial" w:hAnsi="Arial" w:cs="Arial"/>
          <w:sz w:val="24"/>
          <w:szCs w:val="22"/>
          <w:lang w:val="de-AT"/>
        </w:rPr>
        <w:tab/>
      </w:r>
      <w:hyperlink r:id="rId8" w:history="1">
        <w:r w:rsidRPr="00F9446A">
          <w:rPr>
            <w:rStyle w:val="Hyperlink"/>
            <w:rFonts w:ascii="Arial" w:hAnsi="Arial" w:cs="Arial"/>
            <w:sz w:val="24"/>
            <w:szCs w:val="22"/>
            <w:lang w:val="de-AT"/>
          </w:rPr>
          <w:t>imcgowan@pitt.edu</w:t>
        </w:r>
      </w:hyperlink>
    </w:p>
    <w:p w:rsidR="00EE4558" w:rsidRDefault="00EE4558" w:rsidP="0080664C">
      <w:pPr>
        <w:spacing w:line="480" w:lineRule="auto"/>
        <w:jc w:val="both"/>
        <w:rPr>
          <w:rFonts w:ascii="Arial" w:hAnsi="Arial" w:cs="Arial"/>
          <w:b/>
          <w:sz w:val="24"/>
          <w:szCs w:val="22"/>
        </w:rPr>
      </w:pPr>
      <w:r w:rsidRPr="00F9446A">
        <w:rPr>
          <w:rFonts w:ascii="Arial" w:hAnsi="Arial" w:cs="Arial"/>
          <w:b/>
          <w:sz w:val="24"/>
          <w:szCs w:val="22"/>
        </w:rPr>
        <w:br w:type="page"/>
      </w:r>
      <w:r>
        <w:rPr>
          <w:rFonts w:ascii="Arial" w:hAnsi="Arial" w:cs="Arial"/>
          <w:b/>
          <w:sz w:val="24"/>
          <w:szCs w:val="22"/>
        </w:rPr>
        <w:lastRenderedPageBreak/>
        <w:t>Summary</w:t>
      </w:r>
    </w:p>
    <w:p w:rsidR="00EE4558" w:rsidRDefault="00EE4558" w:rsidP="0080664C">
      <w:pPr>
        <w:spacing w:line="480" w:lineRule="auto"/>
        <w:jc w:val="both"/>
        <w:rPr>
          <w:rFonts w:ascii="Arial" w:hAnsi="Arial" w:cs="Arial"/>
          <w:b/>
          <w:sz w:val="24"/>
          <w:szCs w:val="22"/>
        </w:rPr>
      </w:pPr>
    </w:p>
    <w:p w:rsidR="00EE4558" w:rsidRDefault="00EE4558" w:rsidP="00CC7C1F">
      <w:pPr>
        <w:spacing w:line="480" w:lineRule="auto"/>
        <w:jc w:val="both"/>
        <w:rPr>
          <w:rFonts w:ascii="Arial" w:hAnsi="Arial" w:cs="Arial"/>
          <w:b/>
          <w:sz w:val="24"/>
          <w:szCs w:val="22"/>
        </w:rPr>
      </w:pPr>
      <w:r>
        <w:rPr>
          <w:rFonts w:ascii="Arial" w:hAnsi="Arial" w:cs="Arial"/>
          <w:b/>
          <w:sz w:val="24"/>
          <w:szCs w:val="22"/>
        </w:rPr>
        <w:t xml:space="preserve">Background </w:t>
      </w:r>
      <w:r w:rsidRPr="00C055C7">
        <w:rPr>
          <w:rFonts w:ascii="Arial" w:hAnsi="Arial" w:cs="Arial"/>
          <w:sz w:val="24"/>
          <w:szCs w:val="22"/>
        </w:rPr>
        <w:t xml:space="preserve">Long-acting </w:t>
      </w:r>
      <w:r>
        <w:rPr>
          <w:rFonts w:ascii="Arial" w:hAnsi="Arial" w:cs="Arial"/>
          <w:sz w:val="24"/>
          <w:szCs w:val="22"/>
        </w:rPr>
        <w:t xml:space="preserve">(LA) injectable </w:t>
      </w:r>
      <w:r w:rsidRPr="00C055C7">
        <w:rPr>
          <w:rFonts w:ascii="Arial" w:hAnsi="Arial" w:cs="Arial"/>
          <w:sz w:val="24"/>
          <w:szCs w:val="22"/>
        </w:rPr>
        <w:t>antiretroviral</w:t>
      </w:r>
      <w:r>
        <w:rPr>
          <w:rFonts w:ascii="Arial" w:hAnsi="Arial" w:cs="Arial"/>
          <w:b/>
          <w:sz w:val="24"/>
          <w:szCs w:val="22"/>
        </w:rPr>
        <w:t xml:space="preserve"> </w:t>
      </w:r>
      <w:r>
        <w:rPr>
          <w:rFonts w:ascii="Arial" w:hAnsi="Arial" w:cs="Arial"/>
          <w:sz w:val="24"/>
          <w:szCs w:val="22"/>
        </w:rPr>
        <w:t xml:space="preserve">agents are being developed for HIV prevention. </w:t>
      </w:r>
      <w:r w:rsidRPr="003B72E2">
        <w:rPr>
          <w:rFonts w:ascii="Arial" w:hAnsi="Arial" w:cs="Arial"/>
          <w:sz w:val="24"/>
          <w:szCs w:val="22"/>
        </w:rPr>
        <w:t>T</w:t>
      </w:r>
      <w:r w:rsidRPr="00F9446A">
        <w:rPr>
          <w:rFonts w:ascii="Arial" w:hAnsi="Arial" w:cs="Arial"/>
          <w:sz w:val="24"/>
          <w:szCs w:val="22"/>
        </w:rPr>
        <w:t>he MWRI-01 study</w:t>
      </w:r>
      <w:r>
        <w:rPr>
          <w:rFonts w:ascii="Arial" w:hAnsi="Arial" w:cs="Arial"/>
          <w:sz w:val="24"/>
          <w:szCs w:val="22"/>
        </w:rPr>
        <w:t xml:space="preserve"> </w:t>
      </w:r>
      <w:r w:rsidRPr="00F9446A">
        <w:rPr>
          <w:rFonts w:ascii="Arial" w:hAnsi="Arial" w:cs="Arial"/>
          <w:sz w:val="24"/>
          <w:szCs w:val="22"/>
        </w:rPr>
        <w:t xml:space="preserve">was undertaken to characterize the safety, acceptability, pharmacokinetic (PK), and pharmacodynamic (PD) profile of rilpivirine (RPV) </w:t>
      </w:r>
      <w:r>
        <w:rPr>
          <w:rFonts w:ascii="Arial" w:hAnsi="Arial" w:cs="Arial"/>
          <w:sz w:val="24"/>
          <w:szCs w:val="22"/>
        </w:rPr>
        <w:t>LA</w:t>
      </w:r>
      <w:r w:rsidRPr="00F9446A">
        <w:rPr>
          <w:rFonts w:ascii="Arial" w:hAnsi="Arial" w:cs="Arial"/>
          <w:sz w:val="24"/>
          <w:szCs w:val="22"/>
        </w:rPr>
        <w:t>.</w:t>
      </w:r>
    </w:p>
    <w:p w:rsidR="00EE4558" w:rsidRDefault="00EE4558" w:rsidP="00CC7C1F">
      <w:pPr>
        <w:spacing w:line="480" w:lineRule="auto"/>
        <w:jc w:val="both"/>
        <w:rPr>
          <w:rFonts w:ascii="Arial" w:hAnsi="Arial" w:cs="Arial"/>
          <w:b/>
          <w:sz w:val="24"/>
          <w:szCs w:val="22"/>
        </w:rPr>
      </w:pPr>
    </w:p>
    <w:p w:rsidR="00EE4558" w:rsidRDefault="00EE4558" w:rsidP="00CC7C1F">
      <w:pPr>
        <w:spacing w:line="480" w:lineRule="auto"/>
        <w:jc w:val="both"/>
        <w:rPr>
          <w:rFonts w:ascii="Arial" w:hAnsi="Arial" w:cs="Arial"/>
          <w:b/>
          <w:sz w:val="24"/>
          <w:szCs w:val="22"/>
        </w:rPr>
      </w:pPr>
      <w:r>
        <w:rPr>
          <w:rFonts w:ascii="Arial" w:hAnsi="Arial" w:cs="Arial"/>
          <w:b/>
          <w:sz w:val="24"/>
          <w:szCs w:val="22"/>
        </w:rPr>
        <w:t xml:space="preserve">Methods </w:t>
      </w:r>
      <w:r>
        <w:rPr>
          <w:rFonts w:ascii="Arial" w:hAnsi="Arial" w:cs="Arial"/>
          <w:sz w:val="24"/>
          <w:szCs w:val="22"/>
        </w:rPr>
        <w:t>In the Phase 1 MWRI-01 trial, an</w:t>
      </w:r>
      <w:r w:rsidRPr="00C055C7">
        <w:rPr>
          <w:rFonts w:ascii="Arial" w:hAnsi="Arial" w:cs="Arial"/>
          <w:sz w:val="24"/>
          <w:szCs w:val="22"/>
        </w:rPr>
        <w:t xml:space="preserve"> open-label</w:t>
      </w:r>
      <w:r>
        <w:rPr>
          <w:rFonts w:ascii="Arial" w:hAnsi="Arial" w:cs="Arial"/>
          <w:sz w:val="24"/>
          <w:szCs w:val="22"/>
        </w:rPr>
        <w:t xml:space="preserve"> </w:t>
      </w:r>
      <w:r w:rsidRPr="00C055C7">
        <w:rPr>
          <w:rFonts w:ascii="Arial" w:hAnsi="Arial" w:cs="Arial"/>
          <w:sz w:val="24"/>
          <w:szCs w:val="22"/>
        </w:rPr>
        <w:t xml:space="preserve">study </w:t>
      </w:r>
      <w:r>
        <w:rPr>
          <w:rFonts w:ascii="Arial" w:hAnsi="Arial" w:cs="Arial"/>
          <w:sz w:val="24"/>
          <w:szCs w:val="22"/>
        </w:rPr>
        <w:t>conducted at the University of Pittsburgh, PA, USA, HIV-1 uninfected participants received a single</w:t>
      </w:r>
      <w:r w:rsidRPr="00F9446A">
        <w:rPr>
          <w:rFonts w:ascii="Arial" w:hAnsi="Arial" w:cs="Arial"/>
          <w:sz w:val="24"/>
          <w:szCs w:val="22"/>
        </w:rPr>
        <w:t xml:space="preserve"> intramuscular dose of either </w:t>
      </w:r>
      <w:r>
        <w:rPr>
          <w:rFonts w:ascii="Arial" w:hAnsi="Arial" w:cs="Arial"/>
          <w:sz w:val="24"/>
          <w:szCs w:val="22"/>
        </w:rPr>
        <w:t>12</w:t>
      </w:r>
      <w:r w:rsidRPr="00F9446A">
        <w:rPr>
          <w:rFonts w:ascii="Arial" w:hAnsi="Arial" w:cs="Arial"/>
          <w:sz w:val="24"/>
          <w:szCs w:val="22"/>
        </w:rPr>
        <w:t xml:space="preserve">00 </w:t>
      </w:r>
      <w:r>
        <w:rPr>
          <w:rFonts w:ascii="Arial" w:hAnsi="Arial" w:cs="Arial"/>
          <w:sz w:val="24"/>
          <w:szCs w:val="22"/>
        </w:rPr>
        <w:t xml:space="preserve">or 600 </w:t>
      </w:r>
      <w:r w:rsidRPr="00F9446A">
        <w:rPr>
          <w:rFonts w:ascii="Arial" w:hAnsi="Arial" w:cs="Arial"/>
          <w:sz w:val="24"/>
          <w:szCs w:val="22"/>
        </w:rPr>
        <w:t>mg of RPV LA. Plasma, genital/rectal fl</w:t>
      </w:r>
      <w:r>
        <w:rPr>
          <w:rFonts w:ascii="Arial" w:hAnsi="Arial" w:cs="Arial"/>
          <w:sz w:val="24"/>
          <w:szCs w:val="22"/>
        </w:rPr>
        <w:t>uids, and tissue (rectal (RT), cervical (CT), and vaginal (VT)</w:t>
      </w:r>
      <w:r w:rsidRPr="00F9446A">
        <w:rPr>
          <w:rFonts w:ascii="Arial" w:hAnsi="Arial" w:cs="Arial"/>
          <w:sz w:val="24"/>
          <w:szCs w:val="22"/>
        </w:rPr>
        <w:t xml:space="preserve">) were collected before and after exposure to RPV LA for assessment of PK and </w:t>
      </w:r>
      <w:r w:rsidRPr="00F9446A">
        <w:rPr>
          <w:rFonts w:ascii="Arial" w:hAnsi="Arial" w:cs="Arial"/>
          <w:i/>
          <w:sz w:val="24"/>
          <w:szCs w:val="22"/>
        </w:rPr>
        <w:t>ex vivo</w:t>
      </w:r>
      <w:r w:rsidRPr="00F9446A">
        <w:rPr>
          <w:rFonts w:ascii="Arial" w:hAnsi="Arial" w:cs="Arial"/>
          <w:sz w:val="24"/>
          <w:szCs w:val="22"/>
        </w:rPr>
        <w:t xml:space="preserve"> </w:t>
      </w:r>
      <w:r>
        <w:rPr>
          <w:rFonts w:ascii="Arial" w:hAnsi="Arial" w:cs="Arial"/>
          <w:sz w:val="24"/>
          <w:szCs w:val="22"/>
        </w:rPr>
        <w:t>biopsy</w:t>
      </w:r>
      <w:r w:rsidRPr="00F9446A">
        <w:rPr>
          <w:rFonts w:ascii="Arial" w:hAnsi="Arial" w:cs="Arial"/>
          <w:sz w:val="24"/>
          <w:szCs w:val="22"/>
        </w:rPr>
        <w:t xml:space="preserve"> challenge with HIV-1. </w:t>
      </w:r>
      <w:r>
        <w:rPr>
          <w:rFonts w:ascii="Arial" w:hAnsi="Arial" w:cs="Arial"/>
          <w:sz w:val="24"/>
          <w:szCs w:val="22"/>
        </w:rPr>
        <w:t xml:space="preserve">The primary study objective was to characterize product safety and the analysis included all enrolled participants. This trial is registered with ClinicalTrials.gov, number </w:t>
      </w:r>
      <w:r w:rsidRPr="003B72E2">
        <w:rPr>
          <w:rFonts w:ascii="Arial" w:hAnsi="Arial" w:cs="Arial"/>
          <w:sz w:val="24"/>
          <w:lang w:val="en"/>
        </w:rPr>
        <w:t>NCT01656018</w:t>
      </w:r>
      <w:r>
        <w:rPr>
          <w:rFonts w:ascii="Arial" w:hAnsi="Arial" w:cs="Arial"/>
          <w:sz w:val="24"/>
          <w:lang w:val="en"/>
        </w:rPr>
        <w:t>.</w:t>
      </w:r>
    </w:p>
    <w:p w:rsidR="00EE4558" w:rsidRDefault="00EE4558" w:rsidP="00CC7C1F">
      <w:pPr>
        <w:spacing w:line="480" w:lineRule="auto"/>
        <w:jc w:val="both"/>
        <w:rPr>
          <w:rFonts w:ascii="Arial" w:hAnsi="Arial" w:cs="Arial"/>
          <w:b/>
          <w:sz w:val="24"/>
          <w:szCs w:val="22"/>
        </w:rPr>
      </w:pPr>
    </w:p>
    <w:p w:rsidR="00EE4558" w:rsidRDefault="00EE4558" w:rsidP="00CC7C1F">
      <w:pPr>
        <w:spacing w:line="480" w:lineRule="auto"/>
        <w:jc w:val="both"/>
        <w:rPr>
          <w:rFonts w:ascii="Arial" w:hAnsi="Arial" w:cs="Arial"/>
          <w:b/>
          <w:sz w:val="24"/>
          <w:szCs w:val="22"/>
        </w:rPr>
      </w:pPr>
      <w:r>
        <w:rPr>
          <w:rFonts w:ascii="Arial" w:hAnsi="Arial" w:cs="Arial"/>
          <w:b/>
          <w:sz w:val="24"/>
          <w:szCs w:val="22"/>
        </w:rPr>
        <w:t xml:space="preserve">Findings </w:t>
      </w:r>
      <w:r w:rsidRPr="00BD226E">
        <w:rPr>
          <w:rFonts w:ascii="Arial" w:hAnsi="Arial" w:cs="Arial"/>
          <w:sz w:val="24"/>
          <w:szCs w:val="22"/>
        </w:rPr>
        <w:t>A total of 24 females and 12 males were enrolled in the study.</w:t>
      </w:r>
      <w:r>
        <w:rPr>
          <w:rFonts w:ascii="Arial" w:hAnsi="Arial" w:cs="Arial"/>
          <w:b/>
          <w:sz w:val="24"/>
          <w:szCs w:val="22"/>
        </w:rPr>
        <w:t xml:space="preserve"> </w:t>
      </w:r>
      <w:r w:rsidRPr="008F0298">
        <w:rPr>
          <w:rFonts w:ascii="Arial" w:hAnsi="Arial" w:cs="Arial"/>
          <w:sz w:val="24"/>
          <w:szCs w:val="22"/>
        </w:rPr>
        <w:t>Within the 36 participants enrolled in the study,</w:t>
      </w:r>
      <w:r>
        <w:rPr>
          <w:rFonts w:ascii="Arial" w:hAnsi="Arial" w:cs="Arial"/>
          <w:b/>
          <w:sz w:val="24"/>
          <w:szCs w:val="22"/>
        </w:rPr>
        <w:t xml:space="preserve"> </w:t>
      </w:r>
      <w:r>
        <w:rPr>
          <w:rFonts w:ascii="Arial" w:hAnsi="Arial" w:cs="Arial"/>
          <w:sz w:val="24"/>
          <w:szCs w:val="22"/>
        </w:rPr>
        <w:t>t</w:t>
      </w:r>
      <w:r w:rsidRPr="00F9446A">
        <w:rPr>
          <w:rFonts w:ascii="Arial" w:hAnsi="Arial" w:cs="Arial"/>
          <w:sz w:val="24"/>
          <w:szCs w:val="22"/>
        </w:rPr>
        <w:t xml:space="preserve">here were a total of </w:t>
      </w:r>
      <w:r>
        <w:rPr>
          <w:rFonts w:ascii="Arial" w:hAnsi="Arial" w:cs="Arial"/>
          <w:sz w:val="24"/>
          <w:szCs w:val="22"/>
        </w:rPr>
        <w:t>204</w:t>
      </w:r>
      <w:r w:rsidRPr="00F9446A">
        <w:rPr>
          <w:rFonts w:ascii="Arial" w:hAnsi="Arial" w:cs="Arial"/>
          <w:sz w:val="24"/>
          <w:szCs w:val="22"/>
        </w:rPr>
        <w:t xml:space="preserve"> adverse events reported of which </w:t>
      </w:r>
      <w:r>
        <w:rPr>
          <w:rFonts w:ascii="Arial" w:hAnsi="Arial" w:cs="Arial"/>
          <w:sz w:val="24"/>
          <w:szCs w:val="22"/>
        </w:rPr>
        <w:t>200</w:t>
      </w:r>
      <w:r w:rsidRPr="00F9446A">
        <w:rPr>
          <w:rFonts w:ascii="Arial" w:hAnsi="Arial" w:cs="Arial"/>
          <w:sz w:val="24"/>
          <w:szCs w:val="22"/>
        </w:rPr>
        <w:t xml:space="preserve"> (9</w:t>
      </w:r>
      <w:r>
        <w:rPr>
          <w:rFonts w:ascii="Arial" w:hAnsi="Arial" w:cs="Arial"/>
          <w:sz w:val="24"/>
          <w:szCs w:val="22"/>
        </w:rPr>
        <w:t>8∙0</w:t>
      </w:r>
      <w:r w:rsidRPr="00F9446A">
        <w:rPr>
          <w:rFonts w:ascii="Arial" w:hAnsi="Arial" w:cs="Arial"/>
          <w:sz w:val="24"/>
          <w:szCs w:val="22"/>
        </w:rPr>
        <w:t xml:space="preserve">%) were Grade 1/2. Geometric mean (GM; 90% CI) plasma RPV concentrations at Day 28 post-dose for the 1200 mg and 600 mg cohorts were 53 (38-67) ng/mL (female) / 43 (23-63) ng/mL (male) and 28 (19-37) ng/mL (female) / 17 (9-24) ng/mL (male) respectively. The RPV tissue: plasma ratio </w:t>
      </w:r>
      <w:r>
        <w:rPr>
          <w:rFonts w:ascii="Arial" w:hAnsi="Arial" w:cs="Arial"/>
          <w:sz w:val="24"/>
          <w:szCs w:val="22"/>
        </w:rPr>
        <w:t>in</w:t>
      </w:r>
      <w:r w:rsidRPr="00F9446A">
        <w:rPr>
          <w:rFonts w:ascii="Arial" w:hAnsi="Arial" w:cs="Arial"/>
          <w:sz w:val="24"/>
          <w:szCs w:val="22"/>
        </w:rPr>
        <w:t xml:space="preserve"> RT was approximately two-fold higher than </w:t>
      </w:r>
      <w:r>
        <w:rPr>
          <w:rFonts w:ascii="Arial" w:hAnsi="Arial" w:cs="Arial"/>
          <w:sz w:val="24"/>
          <w:szCs w:val="22"/>
        </w:rPr>
        <w:t xml:space="preserve">in </w:t>
      </w:r>
      <w:r w:rsidRPr="00F9446A">
        <w:rPr>
          <w:rFonts w:ascii="Arial" w:hAnsi="Arial" w:cs="Arial"/>
          <w:sz w:val="24"/>
          <w:szCs w:val="22"/>
        </w:rPr>
        <w:t xml:space="preserve">VT or CT. Exposure to RPV LA was associated with significant </w:t>
      </w:r>
      <w:r w:rsidRPr="00F9446A">
        <w:rPr>
          <w:rFonts w:ascii="Arial" w:hAnsi="Arial" w:cs="Arial"/>
          <w:sz w:val="24"/>
          <w:szCs w:val="22"/>
        </w:rPr>
        <w:lastRenderedPageBreak/>
        <w:t>suppression of viral replication in RT (p &lt; 0</w:t>
      </w:r>
      <w:r>
        <w:rPr>
          <w:rFonts w:ascii="Arial" w:hAnsi="Arial" w:cs="Arial"/>
          <w:sz w:val="24"/>
          <w:szCs w:val="22"/>
        </w:rPr>
        <w:t>∙</w:t>
      </w:r>
      <w:r w:rsidRPr="00F9446A">
        <w:rPr>
          <w:rFonts w:ascii="Arial" w:hAnsi="Arial" w:cs="Arial"/>
          <w:sz w:val="24"/>
          <w:szCs w:val="22"/>
        </w:rPr>
        <w:t xml:space="preserve">0001) that persisted for up to four months. In contrast, no viral suppression was seen in </w:t>
      </w:r>
      <w:r>
        <w:rPr>
          <w:rFonts w:ascii="Arial" w:hAnsi="Arial" w:cs="Arial"/>
          <w:sz w:val="24"/>
          <w:szCs w:val="22"/>
        </w:rPr>
        <w:t>CT or VT</w:t>
      </w:r>
      <w:r w:rsidRPr="00F9446A">
        <w:rPr>
          <w:rFonts w:ascii="Arial" w:hAnsi="Arial" w:cs="Arial"/>
          <w:sz w:val="24"/>
          <w:szCs w:val="22"/>
        </w:rPr>
        <w:t>.</w:t>
      </w:r>
    </w:p>
    <w:p w:rsidR="00EE4558" w:rsidRDefault="00EE4558" w:rsidP="00CC7C1F">
      <w:pPr>
        <w:spacing w:line="480" w:lineRule="auto"/>
        <w:jc w:val="both"/>
        <w:rPr>
          <w:rFonts w:ascii="Arial" w:hAnsi="Arial" w:cs="Arial"/>
          <w:b/>
          <w:sz w:val="24"/>
          <w:szCs w:val="22"/>
        </w:rPr>
      </w:pPr>
    </w:p>
    <w:p w:rsidR="00EE4558" w:rsidRPr="00F9446A" w:rsidRDefault="00EE4558" w:rsidP="00CC7C1F">
      <w:pPr>
        <w:spacing w:line="480" w:lineRule="auto"/>
        <w:jc w:val="both"/>
        <w:rPr>
          <w:rFonts w:ascii="Arial" w:hAnsi="Arial" w:cs="Arial"/>
          <w:sz w:val="24"/>
          <w:szCs w:val="22"/>
        </w:rPr>
      </w:pPr>
      <w:r>
        <w:rPr>
          <w:rFonts w:ascii="Arial" w:hAnsi="Arial" w:cs="Arial"/>
          <w:b/>
          <w:sz w:val="24"/>
          <w:szCs w:val="22"/>
        </w:rPr>
        <w:t xml:space="preserve">Interpretation </w:t>
      </w:r>
      <w:r w:rsidRPr="00F9446A">
        <w:rPr>
          <w:rFonts w:ascii="Arial" w:hAnsi="Arial" w:cs="Arial"/>
          <w:sz w:val="24"/>
          <w:szCs w:val="22"/>
        </w:rPr>
        <w:t xml:space="preserve">Single dose administration of RPV LA was safe and well tolerated with dose dependent plasma PK exposure. This is the first study to demonstrate prolonged suppression of </w:t>
      </w:r>
      <w:r>
        <w:rPr>
          <w:rFonts w:ascii="Arial" w:hAnsi="Arial" w:cs="Arial"/>
          <w:sz w:val="24"/>
          <w:szCs w:val="22"/>
        </w:rPr>
        <w:t>RT</w:t>
      </w:r>
      <w:r w:rsidRPr="00F9446A">
        <w:rPr>
          <w:rFonts w:ascii="Arial" w:hAnsi="Arial" w:cs="Arial"/>
          <w:sz w:val="24"/>
          <w:szCs w:val="22"/>
        </w:rPr>
        <w:t xml:space="preserve"> viral replication following systemic antiretroviral exposure. </w:t>
      </w:r>
    </w:p>
    <w:p w:rsidR="00EE4558" w:rsidRDefault="00EE4558" w:rsidP="004410DD">
      <w:pPr>
        <w:pStyle w:val="Paragraph"/>
        <w:spacing w:line="480" w:lineRule="auto"/>
        <w:ind w:firstLine="0"/>
        <w:jc w:val="both"/>
        <w:rPr>
          <w:rFonts w:ascii="Arial" w:hAnsi="Arial" w:cs="Arial"/>
          <w:szCs w:val="22"/>
        </w:rPr>
      </w:pPr>
      <w:r w:rsidRPr="00BD226E">
        <w:rPr>
          <w:rFonts w:ascii="Arial" w:hAnsi="Arial" w:cs="Arial"/>
          <w:szCs w:val="22"/>
        </w:rPr>
        <w:t xml:space="preserve">The MWRI-01 study was funded by a grant from the Bill </w:t>
      </w:r>
      <w:r w:rsidR="004410DD">
        <w:rPr>
          <w:rFonts w:ascii="Arial" w:hAnsi="Arial" w:cs="Arial"/>
          <w:szCs w:val="22"/>
        </w:rPr>
        <w:t>&amp;</w:t>
      </w:r>
      <w:r w:rsidR="004410DD" w:rsidRPr="00BD226E">
        <w:rPr>
          <w:rFonts w:ascii="Arial" w:hAnsi="Arial" w:cs="Arial"/>
          <w:szCs w:val="22"/>
        </w:rPr>
        <w:t xml:space="preserve"> </w:t>
      </w:r>
      <w:r w:rsidRPr="00BD226E">
        <w:rPr>
          <w:rFonts w:ascii="Arial" w:hAnsi="Arial" w:cs="Arial"/>
          <w:szCs w:val="22"/>
        </w:rPr>
        <w:t>Melinda Gates Foundation.</w:t>
      </w:r>
      <w:r>
        <w:rPr>
          <w:rFonts w:ascii="Arial" w:hAnsi="Arial" w:cs="Arial"/>
          <w:b/>
          <w:szCs w:val="22"/>
        </w:rPr>
        <w:t xml:space="preserve"> </w:t>
      </w:r>
      <w:r w:rsidRPr="00F9446A">
        <w:rPr>
          <w:rFonts w:ascii="Arial" w:hAnsi="Arial" w:cs="Arial"/>
          <w:b/>
          <w:szCs w:val="22"/>
        </w:rPr>
        <w:br w:type="page"/>
      </w:r>
      <w:r w:rsidRPr="00F9446A">
        <w:rPr>
          <w:rFonts w:ascii="Arial" w:hAnsi="Arial" w:cs="Arial"/>
          <w:b/>
          <w:szCs w:val="22"/>
        </w:rPr>
        <w:lastRenderedPageBreak/>
        <w:t>Introduction</w:t>
      </w:r>
      <w:r>
        <w:rPr>
          <w:rFonts w:ascii="Arial" w:hAnsi="Arial" w:cs="Arial"/>
          <w:b/>
          <w:szCs w:val="22"/>
        </w:rPr>
        <w:t xml:space="preserve"> </w:t>
      </w:r>
    </w:p>
    <w:p w:rsidR="00EE4558" w:rsidRPr="00F9446A" w:rsidRDefault="00EE4558" w:rsidP="0080664C">
      <w:pPr>
        <w:pStyle w:val="Paragraph"/>
        <w:ind w:firstLine="0"/>
        <w:jc w:val="both"/>
        <w:rPr>
          <w:rFonts w:ascii="Arial" w:hAnsi="Arial" w:cs="Arial"/>
          <w:b/>
          <w:szCs w:val="22"/>
        </w:rPr>
      </w:pPr>
    </w:p>
    <w:p w:rsidR="00EE4558" w:rsidRPr="00F9446A" w:rsidRDefault="00EE4558" w:rsidP="0080664C">
      <w:pPr>
        <w:spacing w:after="200" w:line="480" w:lineRule="auto"/>
        <w:jc w:val="both"/>
        <w:rPr>
          <w:rFonts w:ascii="Arial" w:hAnsi="Arial" w:cs="Arial"/>
          <w:sz w:val="24"/>
          <w:szCs w:val="22"/>
        </w:rPr>
      </w:pPr>
      <w:r>
        <w:rPr>
          <w:rFonts w:ascii="Arial" w:hAnsi="Arial" w:cs="Arial"/>
          <w:sz w:val="24"/>
          <w:szCs w:val="22"/>
        </w:rPr>
        <w:t xml:space="preserve">Long–acting (LA) injectable antiretrovirals are being developed for the prevention and treatment of HIV infection. </w:t>
      </w:r>
      <w:r>
        <w:rPr>
          <w:rFonts w:ascii="Arial" w:hAnsi="Arial" w:cs="Arial"/>
          <w:noProof/>
          <w:sz w:val="24"/>
          <w:szCs w:val="22"/>
        </w:rPr>
        <w:t>(1, 2)</w:t>
      </w:r>
      <w:r>
        <w:rPr>
          <w:rFonts w:ascii="Arial" w:hAnsi="Arial" w:cs="Arial"/>
          <w:sz w:val="24"/>
          <w:szCs w:val="22"/>
        </w:rPr>
        <w:t xml:space="preserve"> </w:t>
      </w:r>
      <w:r w:rsidRPr="00F9446A">
        <w:rPr>
          <w:rFonts w:ascii="Arial" w:hAnsi="Arial" w:cs="Arial"/>
          <w:sz w:val="24"/>
          <w:szCs w:val="22"/>
        </w:rPr>
        <w:t>TMC278 or Rilpivirine (RPV) is a non-nucleoside reverse transcriptase inhibitor (NNRTI) that is licensed for the treatment of chronic HIV infection</w:t>
      </w:r>
      <w:r>
        <w:rPr>
          <w:rFonts w:ascii="Arial" w:hAnsi="Arial" w:cs="Arial"/>
          <w:sz w:val="24"/>
          <w:szCs w:val="22"/>
        </w:rPr>
        <w:t>.</w:t>
      </w:r>
      <w:r w:rsidR="00560556">
        <w:rPr>
          <w:rFonts w:ascii="Arial" w:hAnsi="Arial" w:cs="Arial"/>
          <w:sz w:val="24"/>
          <w:szCs w:val="22"/>
        </w:rPr>
        <w:t xml:space="preserve"> </w:t>
      </w:r>
      <w:r>
        <w:rPr>
          <w:rFonts w:ascii="Arial" w:hAnsi="Arial" w:cs="Arial"/>
          <w:noProof/>
          <w:sz w:val="24"/>
          <w:szCs w:val="22"/>
        </w:rPr>
        <w:t>(3)</w:t>
      </w:r>
      <w:r w:rsidRPr="009361CC">
        <w:rPr>
          <w:rFonts w:ascii="Arial" w:hAnsi="Arial" w:cs="Arial"/>
          <w:i/>
          <w:sz w:val="24"/>
          <w:szCs w:val="22"/>
        </w:rPr>
        <w:t xml:space="preserve"> </w:t>
      </w:r>
      <w:r w:rsidRPr="00F9446A">
        <w:rPr>
          <w:rFonts w:ascii="Arial" w:hAnsi="Arial" w:cs="Arial"/>
          <w:sz w:val="24"/>
          <w:szCs w:val="22"/>
        </w:rPr>
        <w:t xml:space="preserve">NNRTIs are attractive </w:t>
      </w:r>
      <w:r>
        <w:rPr>
          <w:rFonts w:ascii="Arial" w:hAnsi="Arial" w:cs="Arial"/>
          <w:sz w:val="24"/>
          <w:szCs w:val="22"/>
        </w:rPr>
        <w:t>pre-exposure prophylaxis (</w:t>
      </w:r>
      <w:r w:rsidRPr="00F9446A">
        <w:rPr>
          <w:rFonts w:ascii="Arial" w:hAnsi="Arial" w:cs="Arial"/>
          <w:sz w:val="24"/>
          <w:szCs w:val="22"/>
        </w:rPr>
        <w:t>PrEP</w:t>
      </w:r>
      <w:r>
        <w:rPr>
          <w:rFonts w:ascii="Arial" w:hAnsi="Arial" w:cs="Arial"/>
          <w:sz w:val="24"/>
          <w:szCs w:val="22"/>
        </w:rPr>
        <w:t>)</w:t>
      </w:r>
      <w:r w:rsidRPr="00F9446A">
        <w:rPr>
          <w:rFonts w:ascii="Arial" w:hAnsi="Arial" w:cs="Arial"/>
          <w:sz w:val="24"/>
          <w:szCs w:val="22"/>
        </w:rPr>
        <w:t xml:space="preserve"> agents because they act early in the viral replication cycle, are potent antiretroviral agents, and unlike TFV do not require cellular metabolism to be active against HIV.</w:t>
      </w:r>
      <w:r>
        <w:rPr>
          <w:rFonts w:ascii="Arial" w:hAnsi="Arial" w:cs="Arial"/>
          <w:sz w:val="24"/>
          <w:szCs w:val="22"/>
        </w:rPr>
        <w:t xml:space="preserve"> </w:t>
      </w:r>
      <w:r w:rsidRPr="00F9446A">
        <w:rPr>
          <w:rFonts w:ascii="Arial" w:hAnsi="Arial" w:cs="Arial"/>
          <w:sz w:val="24"/>
          <w:szCs w:val="22"/>
        </w:rPr>
        <w:t xml:space="preserve">In a recent study conducted using </w:t>
      </w:r>
      <w:r>
        <w:rPr>
          <w:rFonts w:ascii="Arial" w:hAnsi="Arial" w:cs="Arial"/>
          <w:sz w:val="24"/>
          <w:szCs w:val="22"/>
        </w:rPr>
        <w:t>BLT humanized mice, Kovarova</w:t>
      </w:r>
      <w:r w:rsidRPr="00F9446A">
        <w:rPr>
          <w:rFonts w:ascii="Arial" w:hAnsi="Arial" w:cs="Arial"/>
          <w:sz w:val="24"/>
          <w:szCs w:val="22"/>
        </w:rPr>
        <w:t xml:space="preserve"> et al. were able to show that mice treated with RPV </w:t>
      </w:r>
      <w:r>
        <w:rPr>
          <w:rFonts w:ascii="Arial" w:hAnsi="Arial" w:cs="Arial"/>
          <w:sz w:val="24"/>
          <w:szCs w:val="22"/>
        </w:rPr>
        <w:t xml:space="preserve">LA </w:t>
      </w:r>
      <w:r w:rsidRPr="00F9446A">
        <w:rPr>
          <w:rFonts w:ascii="Arial" w:hAnsi="Arial" w:cs="Arial"/>
          <w:sz w:val="24"/>
          <w:szCs w:val="22"/>
        </w:rPr>
        <w:t>were protected from HIV infection when challenged vaginally with HIV-1</w:t>
      </w:r>
      <w:r w:rsidRPr="00F9446A">
        <w:rPr>
          <w:rFonts w:ascii="Arial" w:hAnsi="Arial" w:cs="Arial"/>
          <w:sz w:val="24"/>
          <w:szCs w:val="22"/>
          <w:vertAlign w:val="subscript"/>
        </w:rPr>
        <w:t>CH040</w:t>
      </w:r>
      <w:r w:rsidRPr="00A242DE">
        <w:rPr>
          <w:rFonts w:ascii="Arial" w:hAnsi="Arial" w:cs="Arial"/>
          <w:sz w:val="24"/>
          <w:szCs w:val="22"/>
        </w:rPr>
        <w:t>.</w:t>
      </w:r>
      <w:r w:rsidR="00560556">
        <w:rPr>
          <w:rFonts w:ascii="Arial" w:hAnsi="Arial" w:cs="Arial"/>
          <w:sz w:val="24"/>
          <w:szCs w:val="22"/>
        </w:rPr>
        <w:t xml:space="preserve"> </w:t>
      </w:r>
      <w:r>
        <w:rPr>
          <w:rFonts w:ascii="Arial" w:hAnsi="Arial" w:cs="Arial"/>
          <w:noProof/>
          <w:sz w:val="24"/>
          <w:szCs w:val="22"/>
        </w:rPr>
        <w:t>(4)</w:t>
      </w:r>
    </w:p>
    <w:p w:rsidR="00EE4558" w:rsidRDefault="00EE4558" w:rsidP="0080664C">
      <w:pPr>
        <w:spacing w:line="480" w:lineRule="auto"/>
        <w:jc w:val="both"/>
        <w:rPr>
          <w:rFonts w:ascii="Arial" w:hAnsi="Arial" w:cs="Arial"/>
          <w:sz w:val="24"/>
          <w:szCs w:val="22"/>
        </w:rPr>
      </w:pPr>
      <w:r w:rsidRPr="00F9446A">
        <w:rPr>
          <w:rFonts w:ascii="Arial" w:hAnsi="Arial" w:cs="Arial"/>
          <w:sz w:val="24"/>
          <w:szCs w:val="22"/>
        </w:rPr>
        <w:t xml:space="preserve">A series of Phase 1 clinical trials of RPV LA (alone or in combination with cabotegravir LA, an integrase inhibitor) have established the initial safety, acceptability, and PK profile of this </w:t>
      </w:r>
      <w:r>
        <w:rPr>
          <w:rFonts w:ascii="Arial" w:hAnsi="Arial" w:cs="Arial"/>
          <w:sz w:val="24"/>
          <w:szCs w:val="22"/>
        </w:rPr>
        <w:t>formulation</w:t>
      </w:r>
      <w:r w:rsidRPr="00F9446A">
        <w:rPr>
          <w:rFonts w:ascii="Arial" w:hAnsi="Arial" w:cs="Arial"/>
          <w:sz w:val="24"/>
          <w:szCs w:val="22"/>
        </w:rPr>
        <w:t xml:space="preserve">. In </w:t>
      </w:r>
      <w:r>
        <w:rPr>
          <w:rFonts w:ascii="Arial" w:hAnsi="Arial" w:cs="Arial"/>
          <w:sz w:val="24"/>
          <w:szCs w:val="22"/>
        </w:rPr>
        <w:t>a</w:t>
      </w:r>
      <w:r w:rsidRPr="00F9446A">
        <w:rPr>
          <w:rFonts w:ascii="Arial" w:hAnsi="Arial" w:cs="Arial"/>
          <w:sz w:val="24"/>
          <w:szCs w:val="22"/>
        </w:rPr>
        <w:t xml:space="preserve"> recent study, participan</w:t>
      </w:r>
      <w:r>
        <w:rPr>
          <w:rFonts w:ascii="Arial" w:hAnsi="Arial" w:cs="Arial"/>
          <w:sz w:val="24"/>
          <w:szCs w:val="22"/>
        </w:rPr>
        <w:t xml:space="preserve">ts received single doses of 300-1200 mg </w:t>
      </w:r>
      <w:r w:rsidRPr="00F9446A">
        <w:rPr>
          <w:rFonts w:ascii="Arial" w:hAnsi="Arial" w:cs="Arial"/>
          <w:sz w:val="24"/>
          <w:szCs w:val="22"/>
        </w:rPr>
        <w:t>of RPV LA followed by comprehensive sampling of plasma, rectal fluid, cervical fluid, and more limited sampling of rectal and vaginal tissue</w:t>
      </w:r>
      <w:r>
        <w:rPr>
          <w:rFonts w:ascii="Arial" w:hAnsi="Arial" w:cs="Arial"/>
          <w:sz w:val="24"/>
          <w:szCs w:val="22"/>
        </w:rPr>
        <w:t>.</w:t>
      </w:r>
      <w:r w:rsidR="00560556">
        <w:rPr>
          <w:rFonts w:ascii="Arial" w:hAnsi="Arial" w:cs="Arial"/>
          <w:sz w:val="24"/>
          <w:szCs w:val="22"/>
        </w:rPr>
        <w:t xml:space="preserve"> </w:t>
      </w:r>
      <w:r>
        <w:rPr>
          <w:rFonts w:ascii="Arial" w:hAnsi="Arial" w:cs="Arial"/>
          <w:noProof/>
          <w:sz w:val="24"/>
          <w:szCs w:val="22"/>
        </w:rPr>
        <w:t>(5)</w:t>
      </w:r>
      <w:r w:rsidRPr="00F9446A">
        <w:rPr>
          <w:rFonts w:ascii="Arial" w:hAnsi="Arial" w:cs="Arial"/>
          <w:sz w:val="24"/>
          <w:szCs w:val="22"/>
        </w:rPr>
        <w:t xml:space="preserve"> All doses were well tolerated and provided prolonged plasma and genital-tract RPV exposure through 84 days. There was a significant correlation between the concentration of RPV in </w:t>
      </w:r>
      <w:r>
        <w:rPr>
          <w:rFonts w:ascii="Arial" w:hAnsi="Arial" w:cs="Arial"/>
          <w:sz w:val="24"/>
          <w:szCs w:val="22"/>
        </w:rPr>
        <w:t>cervicovaginal lavage</w:t>
      </w:r>
      <w:r w:rsidRPr="00F9446A">
        <w:rPr>
          <w:rFonts w:ascii="Arial" w:hAnsi="Arial" w:cs="Arial"/>
          <w:sz w:val="24"/>
          <w:szCs w:val="22"/>
        </w:rPr>
        <w:t xml:space="preserve"> </w:t>
      </w:r>
      <w:r>
        <w:rPr>
          <w:rFonts w:ascii="Arial" w:hAnsi="Arial" w:cs="Arial"/>
          <w:sz w:val="24"/>
          <w:szCs w:val="22"/>
        </w:rPr>
        <w:t xml:space="preserve">fluid </w:t>
      </w:r>
      <w:r w:rsidRPr="00F9446A">
        <w:rPr>
          <w:rFonts w:ascii="Arial" w:hAnsi="Arial" w:cs="Arial"/>
          <w:sz w:val="24"/>
          <w:szCs w:val="22"/>
        </w:rPr>
        <w:t xml:space="preserve">and the degree of HIV inhibition. </w:t>
      </w:r>
      <w:r>
        <w:rPr>
          <w:rFonts w:ascii="Arial" w:hAnsi="Arial" w:cs="Arial"/>
          <w:sz w:val="24"/>
          <w:szCs w:val="22"/>
        </w:rPr>
        <w:t xml:space="preserve"> </w:t>
      </w:r>
    </w:p>
    <w:p w:rsidR="00EE4558" w:rsidRDefault="00EE4558" w:rsidP="0080664C">
      <w:pPr>
        <w:spacing w:line="480" w:lineRule="auto"/>
        <w:jc w:val="both"/>
        <w:rPr>
          <w:rFonts w:ascii="Arial" w:hAnsi="Arial" w:cs="Arial"/>
          <w:sz w:val="24"/>
          <w:szCs w:val="22"/>
        </w:rPr>
      </w:pPr>
    </w:p>
    <w:p w:rsidR="00EE4558" w:rsidRDefault="00EE4558" w:rsidP="0080664C">
      <w:pPr>
        <w:spacing w:line="480" w:lineRule="auto"/>
        <w:jc w:val="both"/>
        <w:rPr>
          <w:rFonts w:ascii="Arial" w:hAnsi="Arial" w:cs="Arial"/>
          <w:sz w:val="24"/>
          <w:szCs w:val="22"/>
        </w:rPr>
      </w:pPr>
      <w:r w:rsidRPr="00F9446A">
        <w:rPr>
          <w:rFonts w:ascii="Arial" w:hAnsi="Arial" w:cs="Arial"/>
          <w:sz w:val="24"/>
          <w:szCs w:val="22"/>
        </w:rPr>
        <w:t xml:space="preserve">The purpose of the MWRI-01 study was to further characterize the safety and acceptability of RPV LA, to provide compartmental PK data, and to determine whether </w:t>
      </w:r>
      <w:r w:rsidRPr="00F9446A">
        <w:rPr>
          <w:rFonts w:ascii="Arial" w:hAnsi="Arial" w:cs="Arial"/>
          <w:sz w:val="24"/>
          <w:szCs w:val="22"/>
        </w:rPr>
        <w:lastRenderedPageBreak/>
        <w:t xml:space="preserve">exposure to RPV LA was associated with protection of rectal, cervical, and vaginal tissue </w:t>
      </w:r>
      <w:r>
        <w:rPr>
          <w:rFonts w:ascii="Arial" w:hAnsi="Arial" w:cs="Arial"/>
          <w:sz w:val="24"/>
          <w:szCs w:val="22"/>
        </w:rPr>
        <w:t>biopsies</w:t>
      </w:r>
      <w:r w:rsidRPr="00F9446A">
        <w:rPr>
          <w:rFonts w:ascii="Arial" w:hAnsi="Arial" w:cs="Arial"/>
          <w:sz w:val="24"/>
          <w:szCs w:val="22"/>
        </w:rPr>
        <w:t xml:space="preserve"> from HIV-1 infection.</w:t>
      </w:r>
    </w:p>
    <w:p w:rsidR="004410DD" w:rsidRDefault="004410DD">
      <w:pPr>
        <w:spacing w:after="160" w:line="259" w:lineRule="auto"/>
        <w:rPr>
          <w:rFonts w:ascii="Arial" w:eastAsia="Times New Roman" w:hAnsi="Arial" w:cs="Arial"/>
          <w:b/>
          <w:sz w:val="24"/>
          <w:szCs w:val="22"/>
        </w:rPr>
      </w:pPr>
      <w:r>
        <w:rPr>
          <w:rFonts w:ascii="Arial" w:hAnsi="Arial" w:cs="Arial"/>
          <w:b/>
          <w:szCs w:val="22"/>
        </w:rPr>
        <w:br w:type="page"/>
      </w:r>
    </w:p>
    <w:p w:rsidR="00EE4558" w:rsidRPr="00F9446A" w:rsidRDefault="00EE4558" w:rsidP="004B442A">
      <w:pPr>
        <w:pStyle w:val="Paragraph"/>
        <w:spacing w:line="480" w:lineRule="auto"/>
        <w:ind w:firstLine="0"/>
        <w:jc w:val="both"/>
        <w:rPr>
          <w:rFonts w:ascii="Arial" w:hAnsi="Arial" w:cs="Arial"/>
          <w:b/>
          <w:szCs w:val="22"/>
        </w:rPr>
      </w:pPr>
      <w:r w:rsidRPr="00F9446A">
        <w:rPr>
          <w:rFonts w:ascii="Arial" w:hAnsi="Arial" w:cs="Arial"/>
          <w:b/>
          <w:szCs w:val="22"/>
        </w:rPr>
        <w:lastRenderedPageBreak/>
        <w:t>Materials and Methods</w:t>
      </w:r>
    </w:p>
    <w:p w:rsidR="00EE4558" w:rsidRPr="00F9446A" w:rsidRDefault="00EE4558" w:rsidP="004B442A">
      <w:pPr>
        <w:spacing w:after="200" w:line="480" w:lineRule="auto"/>
        <w:jc w:val="both"/>
        <w:rPr>
          <w:rFonts w:ascii="Arial" w:hAnsi="Arial" w:cs="Arial"/>
          <w:b/>
          <w:sz w:val="24"/>
          <w:szCs w:val="22"/>
        </w:rPr>
      </w:pPr>
      <w:r w:rsidRPr="00F9446A">
        <w:rPr>
          <w:rFonts w:ascii="Arial" w:hAnsi="Arial" w:cs="Arial"/>
          <w:b/>
          <w:sz w:val="24"/>
          <w:szCs w:val="22"/>
        </w:rPr>
        <w:t>Study Design</w:t>
      </w:r>
    </w:p>
    <w:p w:rsidR="00EE4558" w:rsidRPr="00F9446A" w:rsidRDefault="00EE4558" w:rsidP="004B442A">
      <w:pPr>
        <w:spacing w:after="200" w:line="480" w:lineRule="auto"/>
        <w:jc w:val="both"/>
        <w:rPr>
          <w:rFonts w:ascii="Arial" w:hAnsi="Arial" w:cs="Arial"/>
          <w:sz w:val="24"/>
          <w:szCs w:val="22"/>
        </w:rPr>
      </w:pPr>
      <w:r w:rsidRPr="00F9446A">
        <w:rPr>
          <w:rFonts w:ascii="Arial" w:hAnsi="Arial" w:cs="Arial"/>
          <w:sz w:val="24"/>
          <w:szCs w:val="22"/>
        </w:rPr>
        <w:t>This st</w:t>
      </w:r>
      <w:r>
        <w:rPr>
          <w:rFonts w:ascii="Arial" w:hAnsi="Arial" w:cs="Arial"/>
          <w:sz w:val="24"/>
          <w:szCs w:val="22"/>
        </w:rPr>
        <w:t>udy was a Phase 1, single centre</w:t>
      </w:r>
      <w:r w:rsidRPr="00F9446A">
        <w:rPr>
          <w:rFonts w:ascii="Arial" w:hAnsi="Arial" w:cs="Arial"/>
          <w:sz w:val="24"/>
          <w:szCs w:val="22"/>
        </w:rPr>
        <w:t xml:space="preserve">, open-label, exploratory dose ranging study of RPV LA conducted in healthy HIV seronegative men and women. </w:t>
      </w:r>
      <w:r>
        <w:rPr>
          <w:rFonts w:ascii="Arial" w:hAnsi="Arial" w:cs="Arial"/>
          <w:sz w:val="24"/>
          <w:szCs w:val="22"/>
        </w:rPr>
        <w:t xml:space="preserve">The study was performed at the Magee-Womens Hospital Clinical and Translational Research Center, Pittsburgh, PA, USA. </w:t>
      </w:r>
      <w:r w:rsidRPr="00F9446A">
        <w:rPr>
          <w:rFonts w:ascii="Arial" w:hAnsi="Arial" w:cs="Arial"/>
          <w:sz w:val="24"/>
          <w:szCs w:val="22"/>
        </w:rPr>
        <w:t>The final protocol was approved by the Institutional Review Board at</w:t>
      </w:r>
      <w:r>
        <w:rPr>
          <w:rFonts w:ascii="Arial" w:hAnsi="Arial" w:cs="Arial"/>
          <w:sz w:val="24"/>
          <w:szCs w:val="22"/>
        </w:rPr>
        <w:t xml:space="preserve"> the University of Pittsburgh and study p</w:t>
      </w:r>
      <w:r w:rsidRPr="00F9446A">
        <w:rPr>
          <w:rFonts w:ascii="Arial" w:hAnsi="Arial" w:cs="Arial"/>
          <w:sz w:val="24"/>
          <w:szCs w:val="22"/>
        </w:rPr>
        <w:t xml:space="preserve">articipants provided written </w:t>
      </w:r>
      <w:r w:rsidR="00940D10">
        <w:rPr>
          <w:rFonts w:ascii="Arial" w:hAnsi="Arial" w:cs="Arial"/>
          <w:sz w:val="24"/>
          <w:szCs w:val="22"/>
        </w:rPr>
        <w:t xml:space="preserve">informed </w:t>
      </w:r>
      <w:r w:rsidRPr="00F9446A">
        <w:rPr>
          <w:rFonts w:ascii="Arial" w:hAnsi="Arial" w:cs="Arial"/>
          <w:sz w:val="24"/>
          <w:szCs w:val="22"/>
        </w:rPr>
        <w:t>consent</w:t>
      </w:r>
      <w:r w:rsidR="00940D10">
        <w:rPr>
          <w:rFonts w:ascii="Arial" w:hAnsi="Arial" w:cs="Arial"/>
          <w:sz w:val="24"/>
          <w:szCs w:val="22"/>
        </w:rPr>
        <w:t xml:space="preserve"> in English</w:t>
      </w:r>
      <w:r w:rsidRPr="00F9446A">
        <w:rPr>
          <w:rFonts w:ascii="Arial" w:hAnsi="Arial" w:cs="Arial"/>
          <w:sz w:val="24"/>
          <w:szCs w:val="22"/>
        </w:rPr>
        <w:t xml:space="preserve">. </w:t>
      </w:r>
    </w:p>
    <w:p w:rsidR="00EE4558" w:rsidRPr="00F9446A" w:rsidRDefault="00EE4558" w:rsidP="004B442A">
      <w:pPr>
        <w:spacing w:after="200" w:line="480" w:lineRule="auto"/>
        <w:jc w:val="both"/>
        <w:rPr>
          <w:rFonts w:ascii="Arial" w:hAnsi="Arial" w:cs="Arial"/>
          <w:sz w:val="24"/>
          <w:szCs w:val="22"/>
        </w:rPr>
      </w:pPr>
    </w:p>
    <w:p w:rsidR="00EE4558" w:rsidRPr="00F9446A" w:rsidRDefault="00EE4558" w:rsidP="004B442A">
      <w:pPr>
        <w:spacing w:after="200" w:line="480" w:lineRule="auto"/>
        <w:jc w:val="both"/>
        <w:rPr>
          <w:rFonts w:ascii="Arial" w:hAnsi="Arial" w:cs="Arial"/>
          <w:b/>
          <w:sz w:val="24"/>
          <w:szCs w:val="22"/>
        </w:rPr>
      </w:pPr>
      <w:r w:rsidRPr="00F9446A">
        <w:rPr>
          <w:rFonts w:ascii="Arial" w:hAnsi="Arial" w:cs="Arial"/>
          <w:b/>
          <w:sz w:val="24"/>
          <w:szCs w:val="22"/>
        </w:rPr>
        <w:t>Participants</w:t>
      </w:r>
    </w:p>
    <w:p w:rsidR="00EE4558" w:rsidRPr="00F9446A" w:rsidRDefault="00EE4558" w:rsidP="004B442A">
      <w:pPr>
        <w:spacing w:after="200" w:line="480" w:lineRule="auto"/>
        <w:jc w:val="both"/>
        <w:rPr>
          <w:rFonts w:ascii="Arial" w:hAnsi="Arial" w:cs="Arial"/>
          <w:sz w:val="24"/>
          <w:szCs w:val="22"/>
        </w:rPr>
      </w:pPr>
      <w:r w:rsidRPr="00F9446A">
        <w:rPr>
          <w:rFonts w:ascii="Arial" w:hAnsi="Arial" w:cs="Arial"/>
          <w:sz w:val="24"/>
          <w:szCs w:val="22"/>
        </w:rPr>
        <w:t xml:space="preserve">Participants were initially eligible for inclusion if they were </w:t>
      </w:r>
      <w:r>
        <w:rPr>
          <w:rFonts w:ascii="Arial" w:hAnsi="Arial" w:cs="Arial"/>
          <w:sz w:val="24"/>
          <w:szCs w:val="22"/>
        </w:rPr>
        <w:t>between 18 and</w:t>
      </w:r>
      <w:r w:rsidRPr="00F9446A">
        <w:rPr>
          <w:rFonts w:ascii="Arial" w:hAnsi="Arial" w:cs="Arial"/>
          <w:sz w:val="24"/>
          <w:szCs w:val="22"/>
        </w:rPr>
        <w:t xml:space="preserve"> 45 years of age, had a body mass index between 18 </w:t>
      </w:r>
      <w:r>
        <w:rPr>
          <w:rFonts w:ascii="Arial" w:hAnsi="Arial" w:cs="Arial"/>
          <w:sz w:val="24"/>
          <w:szCs w:val="22"/>
        </w:rPr>
        <w:t>and</w:t>
      </w:r>
      <w:r w:rsidRPr="00F9446A">
        <w:rPr>
          <w:rFonts w:ascii="Arial" w:hAnsi="Arial" w:cs="Arial"/>
          <w:sz w:val="24"/>
          <w:szCs w:val="22"/>
        </w:rPr>
        <w:t xml:space="preserve"> 35 kg/m</w:t>
      </w:r>
      <w:r w:rsidRPr="00F9446A">
        <w:rPr>
          <w:rFonts w:ascii="Arial" w:hAnsi="Arial" w:cs="Arial"/>
          <w:sz w:val="24"/>
          <w:szCs w:val="22"/>
          <w:vertAlign w:val="superscript"/>
        </w:rPr>
        <w:t>2</w:t>
      </w:r>
      <w:r w:rsidRPr="00F9446A">
        <w:rPr>
          <w:rFonts w:ascii="Arial" w:hAnsi="Arial" w:cs="Arial"/>
          <w:sz w:val="24"/>
          <w:szCs w:val="22"/>
        </w:rPr>
        <w:t xml:space="preserve">, were HIV-1 seronegative, were not pregnant or breastfeeding, had a regular menstrual cycle, were willing to use an acceptable form of contraception, had satisfactory cervical cytology and were willing to abstain from sperm donation for the duration of the study. The full list of inclusion criteria </w:t>
      </w:r>
      <w:r w:rsidR="00E903DD" w:rsidRPr="00F9446A">
        <w:rPr>
          <w:rFonts w:ascii="Arial" w:hAnsi="Arial" w:cs="Arial"/>
          <w:sz w:val="24"/>
          <w:szCs w:val="22"/>
        </w:rPr>
        <w:t>is</w:t>
      </w:r>
      <w:r w:rsidRPr="00F9446A">
        <w:rPr>
          <w:rFonts w:ascii="Arial" w:hAnsi="Arial" w:cs="Arial"/>
          <w:sz w:val="24"/>
          <w:szCs w:val="22"/>
        </w:rPr>
        <w:t xml:space="preserve"> provided in the study protocol (</w:t>
      </w:r>
      <w:r w:rsidR="00001940">
        <w:rPr>
          <w:rFonts w:ascii="Arial" w:hAnsi="Arial" w:cs="Arial"/>
          <w:sz w:val="24"/>
          <w:szCs w:val="22"/>
        </w:rPr>
        <w:t>appendix p 14</w:t>
      </w:r>
      <w:r w:rsidRPr="00F9446A">
        <w:rPr>
          <w:rFonts w:ascii="Arial" w:hAnsi="Arial" w:cs="Arial"/>
          <w:sz w:val="24"/>
          <w:szCs w:val="22"/>
        </w:rPr>
        <w:t>).</w:t>
      </w:r>
    </w:p>
    <w:p w:rsidR="00EE4558" w:rsidRPr="00F9446A" w:rsidRDefault="00EE4558" w:rsidP="004B442A">
      <w:pPr>
        <w:spacing w:after="200" w:line="480" w:lineRule="auto"/>
        <w:jc w:val="both"/>
        <w:rPr>
          <w:rFonts w:ascii="Arial" w:hAnsi="Arial" w:cs="Arial"/>
          <w:sz w:val="24"/>
          <w:szCs w:val="22"/>
        </w:rPr>
      </w:pPr>
      <w:r w:rsidRPr="00F9446A">
        <w:rPr>
          <w:rFonts w:ascii="Arial" w:hAnsi="Arial" w:cs="Arial"/>
          <w:sz w:val="24"/>
          <w:szCs w:val="22"/>
        </w:rPr>
        <w:t xml:space="preserve">Major exclusion criteria </w:t>
      </w:r>
      <w:r>
        <w:rPr>
          <w:rFonts w:ascii="Arial" w:hAnsi="Arial" w:cs="Arial"/>
          <w:sz w:val="24"/>
          <w:szCs w:val="22"/>
        </w:rPr>
        <w:t>were the use of antiretroviral PrEP</w:t>
      </w:r>
      <w:r w:rsidRPr="00F9446A">
        <w:rPr>
          <w:rFonts w:ascii="Arial" w:hAnsi="Arial" w:cs="Arial"/>
          <w:sz w:val="24"/>
          <w:szCs w:val="22"/>
        </w:rPr>
        <w:t xml:space="preserve"> or post exposure prophylaxis, unprotected insertive or receptive anal intercourse within six months of screening, non-therapeutic injection drug use, use of immunomodulatory medications, use of the following medications (heparin, warfarin, clopidogrel bisulfate, any drugs likely to increase the risk of post-biopsy bleeding, rectally or vaginally administered medications, rifamycin, anticonvulsants, dexamethasone, and St. John’s wort), history </w:t>
      </w:r>
      <w:r w:rsidRPr="00F9446A">
        <w:rPr>
          <w:rFonts w:ascii="Arial" w:hAnsi="Arial" w:cs="Arial"/>
          <w:sz w:val="24"/>
          <w:szCs w:val="22"/>
        </w:rPr>
        <w:lastRenderedPageBreak/>
        <w:t>of or electrocardiogram (ECG) demonstrating a prolonged QT interval (QTc), abnormalities of the cervical, vaginal, or rectal mucosa which would be a contraindication to taking biopsies, at screening symptoms or laboratory test evidence of untreated rectal or reproductive tract infection, any of the following laboratory abnormalities (hemoglobin &lt;10</w:t>
      </w:r>
      <w:r>
        <w:rPr>
          <w:rFonts w:ascii="Arial" w:hAnsi="Arial" w:cs="Arial"/>
          <w:sz w:val="24"/>
          <w:szCs w:val="22"/>
        </w:rPr>
        <w:t>∙</w:t>
      </w:r>
      <w:r w:rsidRPr="00F9446A">
        <w:rPr>
          <w:rFonts w:ascii="Arial" w:hAnsi="Arial" w:cs="Arial"/>
          <w:sz w:val="24"/>
          <w:szCs w:val="22"/>
        </w:rPr>
        <w:t xml:space="preserve">0 g/dL, platelet count &lt;100,000 per </w:t>
      </w:r>
      <w:r w:rsidRPr="00F9446A">
        <w:rPr>
          <w:rFonts w:ascii="Symbol" w:hAnsi="Symbol" w:cs="Arial"/>
          <w:sz w:val="24"/>
          <w:szCs w:val="22"/>
        </w:rPr>
        <w:t></w:t>
      </w:r>
      <w:r w:rsidRPr="00F9446A">
        <w:rPr>
          <w:rFonts w:ascii="Arial" w:hAnsi="Arial" w:cs="Arial"/>
          <w:sz w:val="24"/>
          <w:szCs w:val="22"/>
        </w:rPr>
        <w:t xml:space="preserve">L, white blood count &lt;2,000  or &gt;15,000 cells per </w:t>
      </w:r>
      <w:r w:rsidRPr="00F9446A">
        <w:rPr>
          <w:rFonts w:ascii="Symbol" w:hAnsi="Symbol" w:cs="Arial"/>
          <w:sz w:val="24"/>
          <w:szCs w:val="22"/>
        </w:rPr>
        <w:t></w:t>
      </w:r>
      <w:r w:rsidRPr="00F9446A">
        <w:rPr>
          <w:rFonts w:ascii="Arial" w:hAnsi="Arial" w:cs="Arial"/>
          <w:sz w:val="24"/>
          <w:szCs w:val="22"/>
        </w:rPr>
        <w:t>L, serum creatinine &gt;1</w:t>
      </w:r>
      <w:r>
        <w:rPr>
          <w:rFonts w:ascii="Arial" w:hAnsi="Arial" w:cs="Arial"/>
          <w:sz w:val="24"/>
          <w:szCs w:val="22"/>
        </w:rPr>
        <w:t>∙</w:t>
      </w:r>
      <w:r w:rsidRPr="00F9446A">
        <w:rPr>
          <w:rFonts w:ascii="Arial" w:hAnsi="Arial" w:cs="Arial"/>
          <w:sz w:val="24"/>
          <w:szCs w:val="22"/>
        </w:rPr>
        <w:t>3× the local upper limit of normal (ULN), alanine transaminase (ALT) and aspartate aminotransferase (AST) &gt;2</w:t>
      </w:r>
      <w:r>
        <w:rPr>
          <w:rFonts w:ascii="Arial" w:hAnsi="Arial" w:cs="Arial"/>
          <w:sz w:val="24"/>
          <w:szCs w:val="22"/>
        </w:rPr>
        <w:t>∙</w:t>
      </w:r>
      <w:r w:rsidRPr="00F9446A">
        <w:rPr>
          <w:rFonts w:ascii="Arial" w:hAnsi="Arial" w:cs="Arial"/>
          <w:sz w:val="24"/>
          <w:szCs w:val="22"/>
        </w:rPr>
        <w:t xml:space="preserve">5× ULN, +1 glucose or +2 protein on urinalysis, hepatitis B surface antigen (HBsAg) or hepatitis C virus (HCV) antibody positive. The full list of exclusion criteria </w:t>
      </w:r>
      <w:r w:rsidR="00E903DD">
        <w:rPr>
          <w:rFonts w:ascii="Arial" w:hAnsi="Arial" w:cs="Arial"/>
          <w:sz w:val="24"/>
          <w:szCs w:val="22"/>
        </w:rPr>
        <w:t>is</w:t>
      </w:r>
      <w:r w:rsidRPr="00F9446A">
        <w:rPr>
          <w:rFonts w:ascii="Arial" w:hAnsi="Arial" w:cs="Arial"/>
          <w:sz w:val="24"/>
          <w:szCs w:val="22"/>
        </w:rPr>
        <w:t xml:space="preserve"> provided in the study protocol (</w:t>
      </w:r>
      <w:r w:rsidR="00C83B66">
        <w:rPr>
          <w:rFonts w:ascii="Arial" w:hAnsi="Arial" w:cs="Arial"/>
          <w:sz w:val="24"/>
          <w:szCs w:val="22"/>
        </w:rPr>
        <w:t>appendix p 14</w:t>
      </w:r>
      <w:r w:rsidRPr="00F9446A">
        <w:rPr>
          <w:rFonts w:ascii="Arial" w:hAnsi="Arial" w:cs="Arial"/>
          <w:sz w:val="24"/>
          <w:szCs w:val="22"/>
        </w:rPr>
        <w:t>).</w:t>
      </w:r>
    </w:p>
    <w:p w:rsidR="00EE4558" w:rsidRPr="00F9446A" w:rsidRDefault="00EE4558" w:rsidP="004B442A">
      <w:pPr>
        <w:spacing w:after="200" w:line="480" w:lineRule="auto"/>
        <w:jc w:val="both"/>
        <w:rPr>
          <w:rFonts w:ascii="Arial" w:hAnsi="Arial" w:cs="Arial"/>
          <w:b/>
          <w:sz w:val="24"/>
          <w:szCs w:val="22"/>
        </w:rPr>
      </w:pPr>
    </w:p>
    <w:p w:rsidR="00EE4558" w:rsidRPr="00F9446A" w:rsidRDefault="00EE4558" w:rsidP="004B442A">
      <w:pPr>
        <w:spacing w:after="200" w:line="480" w:lineRule="auto"/>
        <w:jc w:val="both"/>
        <w:rPr>
          <w:rFonts w:ascii="Arial" w:hAnsi="Arial" w:cs="Arial"/>
          <w:b/>
          <w:sz w:val="24"/>
          <w:szCs w:val="22"/>
        </w:rPr>
      </w:pPr>
      <w:r>
        <w:rPr>
          <w:rFonts w:ascii="Arial" w:hAnsi="Arial" w:cs="Arial"/>
          <w:b/>
          <w:sz w:val="24"/>
          <w:szCs w:val="22"/>
        </w:rPr>
        <w:t>Product Allocation</w:t>
      </w:r>
    </w:p>
    <w:p w:rsidR="00EE4558" w:rsidRPr="00F9446A" w:rsidRDefault="00EE4558" w:rsidP="004B442A">
      <w:pPr>
        <w:spacing w:after="200" w:line="480" w:lineRule="auto"/>
        <w:jc w:val="both"/>
        <w:rPr>
          <w:rFonts w:ascii="Arial" w:hAnsi="Arial" w:cs="Arial"/>
          <w:sz w:val="24"/>
          <w:szCs w:val="22"/>
        </w:rPr>
      </w:pPr>
      <w:r w:rsidRPr="00F9446A">
        <w:rPr>
          <w:rFonts w:ascii="Arial" w:hAnsi="Arial" w:cs="Arial"/>
          <w:sz w:val="24"/>
          <w:szCs w:val="22"/>
        </w:rPr>
        <w:t xml:space="preserve">The participants were not randomized to the two doses. Instead the first female or male participant received the 1200 mg dose and thereafter </w:t>
      </w:r>
      <w:r>
        <w:rPr>
          <w:rFonts w:ascii="Arial" w:hAnsi="Arial" w:cs="Arial"/>
          <w:sz w:val="24"/>
          <w:szCs w:val="22"/>
        </w:rPr>
        <w:t>participants</w:t>
      </w:r>
      <w:r w:rsidRPr="00F9446A">
        <w:rPr>
          <w:rFonts w:ascii="Arial" w:hAnsi="Arial" w:cs="Arial"/>
          <w:sz w:val="24"/>
          <w:szCs w:val="22"/>
        </w:rPr>
        <w:t xml:space="preserve"> were alternate</w:t>
      </w:r>
      <w:r>
        <w:rPr>
          <w:rFonts w:ascii="Arial" w:hAnsi="Arial" w:cs="Arial"/>
          <w:sz w:val="24"/>
          <w:szCs w:val="22"/>
        </w:rPr>
        <w:t>ly assigned to</w:t>
      </w:r>
      <w:r w:rsidRPr="00F9446A">
        <w:rPr>
          <w:rFonts w:ascii="Arial" w:hAnsi="Arial" w:cs="Arial"/>
          <w:sz w:val="24"/>
          <w:szCs w:val="22"/>
        </w:rPr>
        <w:t xml:space="preserve"> </w:t>
      </w:r>
      <w:r>
        <w:rPr>
          <w:rFonts w:ascii="Arial" w:hAnsi="Arial" w:cs="Arial"/>
          <w:sz w:val="24"/>
          <w:szCs w:val="22"/>
        </w:rPr>
        <w:t>the</w:t>
      </w:r>
      <w:r w:rsidRPr="00F9446A">
        <w:rPr>
          <w:rFonts w:ascii="Arial" w:hAnsi="Arial" w:cs="Arial"/>
          <w:sz w:val="24"/>
          <w:szCs w:val="22"/>
        </w:rPr>
        <w:t xml:space="preserve"> 600 mg </w:t>
      </w:r>
      <w:r>
        <w:rPr>
          <w:rFonts w:ascii="Arial" w:hAnsi="Arial" w:cs="Arial"/>
          <w:sz w:val="24"/>
          <w:szCs w:val="22"/>
        </w:rPr>
        <w:t xml:space="preserve">or </w:t>
      </w:r>
      <w:r w:rsidRPr="00F9446A">
        <w:rPr>
          <w:rFonts w:ascii="Arial" w:hAnsi="Arial" w:cs="Arial"/>
          <w:sz w:val="24"/>
          <w:szCs w:val="22"/>
        </w:rPr>
        <w:t xml:space="preserve">1200 mg </w:t>
      </w:r>
      <w:r>
        <w:rPr>
          <w:rFonts w:ascii="Arial" w:hAnsi="Arial" w:cs="Arial"/>
          <w:sz w:val="24"/>
          <w:szCs w:val="22"/>
        </w:rPr>
        <w:t>study arms.</w:t>
      </w:r>
      <w:r w:rsidRPr="00F9446A">
        <w:rPr>
          <w:rFonts w:ascii="Arial" w:hAnsi="Arial" w:cs="Arial"/>
          <w:sz w:val="24"/>
          <w:szCs w:val="22"/>
        </w:rPr>
        <w:t xml:space="preserve"> The RPV LA (300 mg/mL) was administered as one 2 mL (600 mg) or two 2 mL (1200 mg) </w:t>
      </w:r>
      <w:r>
        <w:rPr>
          <w:rFonts w:ascii="Arial" w:hAnsi="Arial" w:cs="Arial"/>
          <w:sz w:val="24"/>
          <w:szCs w:val="22"/>
        </w:rPr>
        <w:t>intramuscular (</w:t>
      </w:r>
      <w:r w:rsidRPr="00F9446A">
        <w:rPr>
          <w:rFonts w:ascii="Arial" w:hAnsi="Arial" w:cs="Arial"/>
          <w:sz w:val="24"/>
          <w:szCs w:val="22"/>
        </w:rPr>
        <w:t>IM</w:t>
      </w:r>
      <w:r>
        <w:rPr>
          <w:rFonts w:ascii="Arial" w:hAnsi="Arial" w:cs="Arial"/>
          <w:sz w:val="24"/>
          <w:szCs w:val="22"/>
        </w:rPr>
        <w:t>)</w:t>
      </w:r>
      <w:r w:rsidRPr="00F9446A">
        <w:rPr>
          <w:rFonts w:ascii="Arial" w:hAnsi="Arial" w:cs="Arial"/>
          <w:sz w:val="24"/>
          <w:szCs w:val="22"/>
        </w:rPr>
        <w:t xml:space="preserve"> gluteal injections. The two 2 mL injections were given approximately 1 h</w:t>
      </w:r>
      <w:r w:rsidR="00E903DD">
        <w:rPr>
          <w:rFonts w:ascii="Arial" w:hAnsi="Arial" w:cs="Arial"/>
          <w:sz w:val="24"/>
          <w:szCs w:val="22"/>
        </w:rPr>
        <w:t>ou</w:t>
      </w:r>
      <w:r w:rsidRPr="00F9446A">
        <w:rPr>
          <w:rFonts w:ascii="Arial" w:hAnsi="Arial" w:cs="Arial"/>
          <w:sz w:val="24"/>
          <w:szCs w:val="22"/>
        </w:rPr>
        <w:t xml:space="preserve">r </w:t>
      </w:r>
      <w:r w:rsidR="00E903DD">
        <w:rPr>
          <w:rFonts w:ascii="Arial" w:hAnsi="Arial" w:cs="Arial"/>
          <w:sz w:val="24"/>
          <w:szCs w:val="22"/>
        </w:rPr>
        <w:t xml:space="preserve">(hr) </w:t>
      </w:r>
      <w:r w:rsidRPr="00F9446A">
        <w:rPr>
          <w:rFonts w:ascii="Arial" w:hAnsi="Arial" w:cs="Arial"/>
          <w:sz w:val="24"/>
          <w:szCs w:val="22"/>
        </w:rPr>
        <w:t>apart. There was no oral RPV lead-in in any subject.</w:t>
      </w:r>
    </w:p>
    <w:p w:rsidR="00C83B66" w:rsidRDefault="00C83B66" w:rsidP="004B442A">
      <w:pPr>
        <w:spacing w:after="200" w:line="480" w:lineRule="auto"/>
        <w:jc w:val="both"/>
        <w:rPr>
          <w:rFonts w:ascii="Arial" w:hAnsi="Arial" w:cs="Arial"/>
          <w:b/>
          <w:sz w:val="24"/>
          <w:szCs w:val="22"/>
        </w:rPr>
      </w:pPr>
    </w:p>
    <w:p w:rsidR="00C83B66" w:rsidRDefault="00C83B66" w:rsidP="004B442A">
      <w:pPr>
        <w:spacing w:after="200" w:line="480" w:lineRule="auto"/>
        <w:jc w:val="both"/>
        <w:rPr>
          <w:rFonts w:ascii="Arial" w:hAnsi="Arial" w:cs="Arial"/>
          <w:b/>
          <w:sz w:val="24"/>
          <w:szCs w:val="22"/>
        </w:rPr>
      </w:pPr>
    </w:p>
    <w:p w:rsidR="00001940" w:rsidRDefault="00001940" w:rsidP="004B442A">
      <w:pPr>
        <w:spacing w:after="200" w:line="480" w:lineRule="auto"/>
        <w:jc w:val="both"/>
        <w:rPr>
          <w:rFonts w:ascii="Arial" w:hAnsi="Arial" w:cs="Arial"/>
          <w:b/>
          <w:sz w:val="24"/>
          <w:szCs w:val="22"/>
        </w:rPr>
      </w:pPr>
    </w:p>
    <w:p w:rsidR="00EE4558" w:rsidRPr="00F9446A" w:rsidRDefault="00EE4558" w:rsidP="004B442A">
      <w:pPr>
        <w:spacing w:after="200" w:line="480" w:lineRule="auto"/>
        <w:jc w:val="both"/>
        <w:rPr>
          <w:rFonts w:ascii="Arial" w:hAnsi="Arial" w:cs="Arial"/>
          <w:b/>
          <w:sz w:val="24"/>
          <w:szCs w:val="22"/>
        </w:rPr>
      </w:pPr>
      <w:r w:rsidRPr="00F9446A">
        <w:rPr>
          <w:rFonts w:ascii="Arial" w:hAnsi="Arial" w:cs="Arial"/>
          <w:b/>
          <w:sz w:val="24"/>
          <w:szCs w:val="22"/>
        </w:rPr>
        <w:lastRenderedPageBreak/>
        <w:t>Study Product</w:t>
      </w:r>
    </w:p>
    <w:p w:rsidR="00EE4558" w:rsidRPr="00F9446A" w:rsidRDefault="00EE4558" w:rsidP="004B442A">
      <w:pPr>
        <w:spacing w:after="200" w:line="480" w:lineRule="auto"/>
        <w:jc w:val="both"/>
        <w:rPr>
          <w:rFonts w:ascii="Arial" w:hAnsi="Arial" w:cs="Arial"/>
          <w:sz w:val="24"/>
          <w:szCs w:val="22"/>
        </w:rPr>
      </w:pPr>
      <w:r w:rsidRPr="00F9446A">
        <w:rPr>
          <w:rFonts w:ascii="Arial" w:hAnsi="Arial" w:cs="Arial"/>
          <w:sz w:val="24"/>
          <w:szCs w:val="22"/>
        </w:rPr>
        <w:t>The investigational product (RPV LA) was supplied in vials as a sterile aqueous nanosuspension formulation (G001) at a concentration of 300 mg</w:t>
      </w:r>
      <w:r>
        <w:rPr>
          <w:rFonts w:ascii="Arial" w:hAnsi="Arial" w:cs="Arial"/>
          <w:sz w:val="24"/>
          <w:szCs w:val="22"/>
        </w:rPr>
        <w:t xml:space="preserve"> RPV</w:t>
      </w:r>
      <w:r w:rsidRPr="00F9446A">
        <w:rPr>
          <w:rFonts w:ascii="Arial" w:hAnsi="Arial" w:cs="Arial"/>
          <w:sz w:val="24"/>
          <w:szCs w:val="22"/>
        </w:rPr>
        <w:t>/mL. Prior to use the RPV LA was stored in a temperature controlled environment (2-8</w:t>
      </w:r>
      <w:r>
        <w:rPr>
          <w:rFonts w:ascii="Arial" w:hAnsi="Arial" w:cs="Arial"/>
          <w:sz w:val="24"/>
          <w:szCs w:val="22"/>
          <w:vertAlign w:val="superscript"/>
        </w:rPr>
        <w:t>o</w:t>
      </w:r>
      <w:r w:rsidRPr="00F9446A">
        <w:rPr>
          <w:rFonts w:ascii="Arial" w:hAnsi="Arial" w:cs="Arial"/>
          <w:sz w:val="24"/>
          <w:szCs w:val="22"/>
        </w:rPr>
        <w:t>C).</w:t>
      </w:r>
    </w:p>
    <w:p w:rsidR="00560556" w:rsidRDefault="00560556" w:rsidP="004B442A">
      <w:pPr>
        <w:spacing w:after="200" w:line="480" w:lineRule="auto"/>
        <w:jc w:val="both"/>
        <w:rPr>
          <w:rFonts w:ascii="Arial" w:hAnsi="Arial" w:cs="Arial"/>
          <w:b/>
          <w:sz w:val="24"/>
          <w:szCs w:val="22"/>
        </w:rPr>
      </w:pPr>
    </w:p>
    <w:p w:rsidR="00EE4558" w:rsidRPr="00F9446A" w:rsidRDefault="00EE4558" w:rsidP="004B442A">
      <w:pPr>
        <w:spacing w:after="200" w:line="480" w:lineRule="auto"/>
        <w:jc w:val="both"/>
        <w:rPr>
          <w:rFonts w:ascii="Arial" w:hAnsi="Arial" w:cs="Arial"/>
          <w:b/>
          <w:sz w:val="24"/>
          <w:szCs w:val="22"/>
        </w:rPr>
      </w:pPr>
      <w:r w:rsidRPr="00F9446A">
        <w:rPr>
          <w:rFonts w:ascii="Arial" w:hAnsi="Arial" w:cs="Arial"/>
          <w:b/>
          <w:sz w:val="24"/>
          <w:szCs w:val="22"/>
        </w:rPr>
        <w:t>Procedures</w:t>
      </w:r>
    </w:p>
    <w:p w:rsidR="00EE4558" w:rsidRPr="00F9446A" w:rsidRDefault="00EE4558" w:rsidP="004B442A">
      <w:pPr>
        <w:spacing w:line="480" w:lineRule="auto"/>
        <w:jc w:val="both"/>
        <w:rPr>
          <w:rFonts w:ascii="Arial" w:hAnsi="Arial" w:cs="Arial"/>
          <w:sz w:val="24"/>
          <w:szCs w:val="22"/>
        </w:rPr>
      </w:pPr>
      <w:r w:rsidRPr="00F9446A">
        <w:rPr>
          <w:rFonts w:ascii="Arial" w:hAnsi="Arial" w:cs="Arial"/>
          <w:sz w:val="24"/>
          <w:szCs w:val="22"/>
        </w:rPr>
        <w:t>There were a total of twelve study visits. After obtaining informed consent all participants were screened with a medical history</w:t>
      </w:r>
      <w:r>
        <w:rPr>
          <w:rFonts w:ascii="Arial" w:hAnsi="Arial" w:cs="Arial"/>
          <w:sz w:val="24"/>
          <w:szCs w:val="22"/>
        </w:rPr>
        <w:t xml:space="preserve">, </w:t>
      </w:r>
      <w:r w:rsidRPr="00F9446A">
        <w:rPr>
          <w:rFonts w:ascii="Arial" w:hAnsi="Arial" w:cs="Arial"/>
          <w:sz w:val="24"/>
          <w:szCs w:val="22"/>
        </w:rPr>
        <w:t>a physical examination including rectal and vaginal examination</w:t>
      </w:r>
      <w:r>
        <w:rPr>
          <w:rFonts w:ascii="Arial" w:hAnsi="Arial" w:cs="Arial"/>
          <w:sz w:val="24"/>
          <w:szCs w:val="22"/>
        </w:rPr>
        <w:t xml:space="preserve">, and laboratory tests to exclude hematological, renal, or hepatic abnormality (Visit (V) 1). In addition, samples were collected to exclude pregnancy or anorectal/cervicovaginal sexually transmitted infections (STIs). </w:t>
      </w:r>
      <w:r w:rsidRPr="00F9446A">
        <w:rPr>
          <w:rFonts w:ascii="Arial" w:hAnsi="Arial" w:cs="Arial"/>
          <w:sz w:val="24"/>
          <w:szCs w:val="22"/>
        </w:rPr>
        <w:t>A 12 lead ECG was recorded in triplicate. Participants who met the inclusion/exclusion criteria during the Screening Visit were enrolled into the study. At the Enrollment Visit</w:t>
      </w:r>
      <w:r>
        <w:rPr>
          <w:rFonts w:ascii="Arial" w:hAnsi="Arial" w:cs="Arial"/>
          <w:sz w:val="24"/>
          <w:szCs w:val="22"/>
        </w:rPr>
        <w:t xml:space="preserve"> (V2)</w:t>
      </w:r>
      <w:r w:rsidRPr="00F9446A">
        <w:rPr>
          <w:rFonts w:ascii="Arial" w:hAnsi="Arial" w:cs="Arial"/>
          <w:sz w:val="24"/>
          <w:szCs w:val="22"/>
        </w:rPr>
        <w:t xml:space="preserve">, a web-based behavioral questionnaire was administered, and a focused physical examination was performed. </w:t>
      </w:r>
      <w:r>
        <w:rPr>
          <w:rFonts w:ascii="Arial" w:hAnsi="Arial" w:cs="Arial"/>
          <w:sz w:val="24"/>
          <w:szCs w:val="22"/>
        </w:rPr>
        <w:t xml:space="preserve">Samples were collected to exclude pregnancy and STIs. </w:t>
      </w:r>
      <w:r w:rsidRPr="00F9446A">
        <w:rPr>
          <w:rFonts w:ascii="Arial" w:hAnsi="Arial" w:cs="Arial"/>
          <w:sz w:val="24"/>
          <w:szCs w:val="22"/>
        </w:rPr>
        <w:t xml:space="preserve">Flexible sigmoidoscopy was performed with collection of 10 rectal biopsies acquired at approximately 15 cm from the anal verge as previously described </w:t>
      </w:r>
      <w:r>
        <w:rPr>
          <w:rFonts w:ascii="Arial" w:hAnsi="Arial" w:cs="Arial"/>
          <w:noProof/>
          <w:sz w:val="24"/>
          <w:szCs w:val="22"/>
        </w:rPr>
        <w:t>(6-8)</w:t>
      </w:r>
      <w:r w:rsidRPr="00F9446A">
        <w:rPr>
          <w:rFonts w:ascii="Arial" w:hAnsi="Arial" w:cs="Arial"/>
          <w:sz w:val="24"/>
          <w:szCs w:val="22"/>
        </w:rPr>
        <w:t>. Female participants had two ectocervical and three vaginal biopsies. Biopsies were used for PK and PD (</w:t>
      </w:r>
      <w:r w:rsidRPr="00F9446A">
        <w:rPr>
          <w:rFonts w:ascii="Arial" w:hAnsi="Arial" w:cs="Arial"/>
          <w:i/>
          <w:sz w:val="24"/>
          <w:szCs w:val="22"/>
        </w:rPr>
        <w:t>ex vivo</w:t>
      </w:r>
      <w:r w:rsidRPr="00F9446A">
        <w:rPr>
          <w:rFonts w:ascii="Arial" w:hAnsi="Arial" w:cs="Arial"/>
          <w:sz w:val="24"/>
          <w:szCs w:val="22"/>
        </w:rPr>
        <w:t xml:space="preserve"> </w:t>
      </w:r>
      <w:r>
        <w:rPr>
          <w:rFonts w:ascii="Arial" w:hAnsi="Arial" w:cs="Arial"/>
          <w:sz w:val="24"/>
          <w:szCs w:val="22"/>
        </w:rPr>
        <w:t>biopsy</w:t>
      </w:r>
      <w:r w:rsidRPr="00F9446A">
        <w:rPr>
          <w:rFonts w:ascii="Arial" w:hAnsi="Arial" w:cs="Arial"/>
          <w:sz w:val="24"/>
          <w:szCs w:val="22"/>
        </w:rPr>
        <w:t xml:space="preserve"> challenge). Participants then received an IM injection of RPV LA. Blood and rectal/genital tract fluids were collected 24 hr (V3), 1 week (V4), and 2 weeks (V5) after the injection. Additional blood and fluids were collected every 2 weeks thereafter until V12 (</w:t>
      </w:r>
      <w:r>
        <w:rPr>
          <w:rFonts w:ascii="Arial" w:hAnsi="Arial" w:cs="Arial"/>
          <w:sz w:val="24"/>
          <w:szCs w:val="22"/>
        </w:rPr>
        <w:t>16 weeks</w:t>
      </w:r>
      <w:r w:rsidRPr="00F9446A">
        <w:rPr>
          <w:rFonts w:ascii="Arial" w:hAnsi="Arial" w:cs="Arial"/>
          <w:sz w:val="24"/>
          <w:szCs w:val="22"/>
        </w:rPr>
        <w:t xml:space="preserve"> after the injection of RPV LA). Rectal</w:t>
      </w:r>
      <w:r>
        <w:rPr>
          <w:rFonts w:ascii="Arial" w:hAnsi="Arial" w:cs="Arial"/>
          <w:sz w:val="24"/>
          <w:szCs w:val="22"/>
        </w:rPr>
        <w:t xml:space="preserve"> (RT)</w:t>
      </w:r>
      <w:r w:rsidRPr="00F9446A">
        <w:rPr>
          <w:rFonts w:ascii="Arial" w:hAnsi="Arial" w:cs="Arial"/>
          <w:sz w:val="24"/>
          <w:szCs w:val="22"/>
        </w:rPr>
        <w:t>, cervical</w:t>
      </w:r>
      <w:r>
        <w:rPr>
          <w:rFonts w:ascii="Arial" w:hAnsi="Arial" w:cs="Arial"/>
          <w:sz w:val="24"/>
          <w:szCs w:val="22"/>
        </w:rPr>
        <w:t xml:space="preserve"> (CT)</w:t>
      </w:r>
      <w:r w:rsidRPr="00F9446A">
        <w:rPr>
          <w:rFonts w:ascii="Arial" w:hAnsi="Arial" w:cs="Arial"/>
          <w:sz w:val="24"/>
          <w:szCs w:val="22"/>
        </w:rPr>
        <w:t xml:space="preserve">, </w:t>
      </w:r>
      <w:r w:rsidRPr="00F9446A">
        <w:rPr>
          <w:rFonts w:ascii="Arial" w:hAnsi="Arial" w:cs="Arial"/>
          <w:sz w:val="24"/>
          <w:szCs w:val="22"/>
        </w:rPr>
        <w:lastRenderedPageBreak/>
        <w:t xml:space="preserve">and vaginal </w:t>
      </w:r>
      <w:r>
        <w:rPr>
          <w:rFonts w:ascii="Arial" w:hAnsi="Arial" w:cs="Arial"/>
          <w:sz w:val="24"/>
          <w:szCs w:val="22"/>
        </w:rPr>
        <w:t xml:space="preserve">(VT) </w:t>
      </w:r>
      <w:r w:rsidRPr="00F9446A">
        <w:rPr>
          <w:rFonts w:ascii="Arial" w:hAnsi="Arial" w:cs="Arial"/>
          <w:sz w:val="24"/>
          <w:szCs w:val="22"/>
        </w:rPr>
        <w:t xml:space="preserve">tissue was collected 4 weeks after the injection (V6) and every 4 weeks thereafter (V8, V10, and V12). Study participants could elect to have two additional visits (Visits 12A and 12B) where additional PK and PD samples were collected at </w:t>
      </w:r>
      <w:r>
        <w:rPr>
          <w:rFonts w:ascii="Arial" w:hAnsi="Arial" w:cs="Arial"/>
          <w:sz w:val="24"/>
          <w:szCs w:val="22"/>
        </w:rPr>
        <w:t>20 and 24</w:t>
      </w:r>
      <w:r w:rsidRPr="00F9446A">
        <w:rPr>
          <w:rFonts w:ascii="Arial" w:hAnsi="Arial" w:cs="Arial"/>
          <w:sz w:val="24"/>
          <w:szCs w:val="22"/>
        </w:rPr>
        <w:t xml:space="preserve"> </w:t>
      </w:r>
      <w:r>
        <w:rPr>
          <w:rFonts w:ascii="Arial" w:hAnsi="Arial" w:cs="Arial"/>
          <w:sz w:val="24"/>
          <w:szCs w:val="22"/>
        </w:rPr>
        <w:t>weeks</w:t>
      </w:r>
      <w:r w:rsidRPr="00F9446A">
        <w:rPr>
          <w:rFonts w:ascii="Arial" w:hAnsi="Arial" w:cs="Arial"/>
          <w:sz w:val="24"/>
          <w:szCs w:val="22"/>
        </w:rPr>
        <w:t xml:space="preserve"> after the injection of RPV LA.</w:t>
      </w:r>
    </w:p>
    <w:p w:rsidR="00EE4558" w:rsidRPr="00F9446A" w:rsidRDefault="00EE4558" w:rsidP="004B442A">
      <w:pPr>
        <w:spacing w:line="480" w:lineRule="auto"/>
        <w:jc w:val="both"/>
        <w:rPr>
          <w:rFonts w:ascii="Arial" w:hAnsi="Arial" w:cs="Arial"/>
          <w:sz w:val="24"/>
          <w:szCs w:val="22"/>
        </w:rPr>
      </w:pPr>
    </w:p>
    <w:p w:rsidR="00560556" w:rsidRDefault="00560556" w:rsidP="004B442A">
      <w:pPr>
        <w:spacing w:line="480" w:lineRule="auto"/>
        <w:jc w:val="both"/>
        <w:rPr>
          <w:rFonts w:ascii="Arial" w:hAnsi="Arial" w:cs="Arial"/>
          <w:b/>
          <w:sz w:val="24"/>
          <w:szCs w:val="22"/>
        </w:rPr>
      </w:pPr>
    </w:p>
    <w:p w:rsidR="00EE4558" w:rsidRPr="00F9446A" w:rsidRDefault="00EE4558" w:rsidP="004B442A">
      <w:pPr>
        <w:spacing w:line="480" w:lineRule="auto"/>
        <w:jc w:val="both"/>
        <w:rPr>
          <w:rFonts w:ascii="Arial" w:hAnsi="Arial" w:cs="Arial"/>
          <w:b/>
          <w:sz w:val="24"/>
          <w:szCs w:val="22"/>
        </w:rPr>
      </w:pPr>
      <w:r w:rsidRPr="00F9446A">
        <w:rPr>
          <w:rFonts w:ascii="Arial" w:hAnsi="Arial" w:cs="Arial"/>
          <w:b/>
          <w:sz w:val="24"/>
          <w:szCs w:val="22"/>
        </w:rPr>
        <w:t>Clinical Safety and Laboratory Assessments</w:t>
      </w:r>
    </w:p>
    <w:p w:rsidR="00EE4558" w:rsidRPr="00F9446A" w:rsidRDefault="00EE4558" w:rsidP="004B442A">
      <w:pPr>
        <w:spacing w:line="480" w:lineRule="auto"/>
        <w:jc w:val="both"/>
        <w:rPr>
          <w:rFonts w:ascii="Arial" w:hAnsi="Arial" w:cs="Arial"/>
          <w:sz w:val="24"/>
          <w:szCs w:val="22"/>
        </w:rPr>
      </w:pPr>
      <w:r w:rsidRPr="00F9446A">
        <w:rPr>
          <w:rFonts w:ascii="Arial" w:hAnsi="Arial" w:cs="Arial"/>
          <w:sz w:val="24"/>
          <w:szCs w:val="22"/>
        </w:rPr>
        <w:t xml:space="preserve">Emergent adverse events (AEs) were graded using the </w:t>
      </w:r>
      <w:r w:rsidRPr="00F9446A">
        <w:rPr>
          <w:rFonts w:ascii="Arial" w:hAnsi="Arial" w:cs="Arial"/>
          <w:bCs/>
          <w:color w:val="000000"/>
          <w:sz w:val="24"/>
          <w:szCs w:val="22"/>
        </w:rPr>
        <w:t>Division of AIDS Table for Grading the Severity of Adult and Pediatric Adverse Events, Version 1</w:t>
      </w:r>
      <w:r>
        <w:rPr>
          <w:rFonts w:ascii="Arial" w:hAnsi="Arial" w:cs="Arial"/>
          <w:sz w:val="24"/>
          <w:szCs w:val="22"/>
        </w:rPr>
        <w:t>∙</w:t>
      </w:r>
      <w:r w:rsidRPr="00F9446A">
        <w:rPr>
          <w:rFonts w:ascii="Arial" w:hAnsi="Arial" w:cs="Arial"/>
          <w:bCs/>
          <w:color w:val="000000"/>
          <w:sz w:val="24"/>
          <w:szCs w:val="22"/>
        </w:rPr>
        <w:t xml:space="preserve">0, December 2004 as well as </w:t>
      </w:r>
      <w:r w:rsidRPr="00F9446A">
        <w:rPr>
          <w:rFonts w:ascii="Arial" w:hAnsi="Arial" w:cs="Arial"/>
          <w:sz w:val="24"/>
          <w:szCs w:val="22"/>
        </w:rPr>
        <w:t>Addenda 1-3 (</w:t>
      </w:r>
      <w:hyperlink r:id="rId9" w:history="1">
        <w:r w:rsidRPr="00F9446A">
          <w:rPr>
            <w:rStyle w:val="Hyperlink"/>
            <w:rFonts w:ascii="Arial" w:hAnsi="Arial" w:cs="Arial"/>
            <w:sz w:val="24"/>
            <w:szCs w:val="22"/>
            <w:lang w:val="en-AU"/>
          </w:rPr>
          <w:t>http://rsc.tech-res.com/safetyandpharmacovigilance/</w:t>
        </w:r>
      </w:hyperlink>
      <w:r>
        <w:rPr>
          <w:rFonts w:ascii="Arial" w:hAnsi="Arial" w:cs="Arial"/>
          <w:sz w:val="24"/>
          <w:szCs w:val="22"/>
        </w:rPr>
        <w:t xml:space="preserve">). </w:t>
      </w:r>
    </w:p>
    <w:p w:rsidR="00EE4558" w:rsidRPr="00F9446A" w:rsidRDefault="00EE4558" w:rsidP="004B442A">
      <w:pPr>
        <w:spacing w:line="480" w:lineRule="auto"/>
        <w:jc w:val="both"/>
        <w:rPr>
          <w:rFonts w:ascii="Arial" w:hAnsi="Arial" w:cs="Arial"/>
          <w:b/>
          <w:sz w:val="24"/>
          <w:szCs w:val="22"/>
        </w:rPr>
      </w:pPr>
    </w:p>
    <w:p w:rsidR="00EE4558" w:rsidRPr="00F9446A" w:rsidRDefault="00EE4558" w:rsidP="004B442A">
      <w:pPr>
        <w:spacing w:line="480" w:lineRule="auto"/>
        <w:jc w:val="both"/>
        <w:rPr>
          <w:rFonts w:ascii="Arial" w:hAnsi="Arial" w:cs="Arial"/>
          <w:b/>
          <w:sz w:val="24"/>
          <w:szCs w:val="22"/>
        </w:rPr>
      </w:pPr>
      <w:r w:rsidRPr="00F9446A">
        <w:rPr>
          <w:rFonts w:ascii="Arial" w:hAnsi="Arial" w:cs="Arial"/>
          <w:b/>
          <w:sz w:val="24"/>
          <w:szCs w:val="22"/>
        </w:rPr>
        <w:t>Behavioral Evaluations and Procedures</w:t>
      </w:r>
    </w:p>
    <w:p w:rsidR="00BD6C97" w:rsidRDefault="00EE4558" w:rsidP="004B442A">
      <w:pPr>
        <w:spacing w:line="480" w:lineRule="auto"/>
        <w:jc w:val="both"/>
        <w:rPr>
          <w:rFonts w:ascii="Arial" w:hAnsi="Arial" w:cs="Arial"/>
          <w:sz w:val="24"/>
          <w:szCs w:val="24"/>
        </w:rPr>
      </w:pPr>
      <w:r>
        <w:rPr>
          <w:rFonts w:ascii="Arial" w:hAnsi="Arial" w:cs="Arial"/>
          <w:sz w:val="24"/>
          <w:szCs w:val="22"/>
        </w:rPr>
        <w:t>C</w:t>
      </w:r>
      <w:r w:rsidRPr="00F9446A">
        <w:rPr>
          <w:rFonts w:ascii="Arial" w:hAnsi="Arial" w:cs="Arial"/>
          <w:sz w:val="24"/>
          <w:szCs w:val="22"/>
        </w:rPr>
        <w:t>omputer-assisted self-interview (CASI) was completed by the participant at V2. In addition to demographics, this questionnaire also assessed the participants’ history of HIV sexual risk behaviors and experience with safer sex practices. Participants com</w:t>
      </w:r>
      <w:r>
        <w:rPr>
          <w:rFonts w:ascii="Arial" w:hAnsi="Arial" w:cs="Arial"/>
          <w:sz w:val="24"/>
          <w:szCs w:val="22"/>
        </w:rPr>
        <w:t>pleted product acceptability</w:t>
      </w:r>
      <w:r w:rsidRPr="00F9446A">
        <w:rPr>
          <w:rFonts w:ascii="Arial" w:hAnsi="Arial" w:cs="Arial"/>
          <w:sz w:val="24"/>
          <w:szCs w:val="22"/>
        </w:rPr>
        <w:t xml:space="preserve"> CASIs at V3, V4, and V12. </w:t>
      </w:r>
      <w:r w:rsidRPr="007A5F40">
        <w:rPr>
          <w:rFonts w:ascii="Arial" w:hAnsi="Arial" w:cs="Arial"/>
          <w:sz w:val="24"/>
          <w:szCs w:val="24"/>
        </w:rPr>
        <w:t>Participants were asked to rate acceptability on a scale from one to ten, with one representing less acceptable/unlikely</w:t>
      </w:r>
      <w:r>
        <w:rPr>
          <w:rFonts w:ascii="Arial" w:hAnsi="Arial" w:cs="Arial"/>
          <w:sz w:val="24"/>
          <w:szCs w:val="24"/>
        </w:rPr>
        <w:t xml:space="preserve"> to use in the future</w:t>
      </w:r>
      <w:r w:rsidRPr="007A5F40">
        <w:rPr>
          <w:rFonts w:ascii="Arial" w:hAnsi="Arial" w:cs="Arial"/>
          <w:sz w:val="24"/>
          <w:szCs w:val="24"/>
        </w:rPr>
        <w:t xml:space="preserve">. </w:t>
      </w:r>
      <w:r w:rsidR="00C31FD7">
        <w:rPr>
          <w:rFonts w:ascii="Arial" w:hAnsi="Arial" w:cs="Arial"/>
          <w:sz w:val="24"/>
          <w:szCs w:val="24"/>
        </w:rPr>
        <w:t>In this paper, we will only report product acceptability and factors that might influence product use in the future as a second b</w:t>
      </w:r>
      <w:r w:rsidR="00C83B66">
        <w:rPr>
          <w:rFonts w:ascii="Arial" w:hAnsi="Arial" w:cs="Arial"/>
          <w:sz w:val="24"/>
          <w:szCs w:val="24"/>
        </w:rPr>
        <w:t>e</w:t>
      </w:r>
      <w:r w:rsidR="00C31FD7">
        <w:rPr>
          <w:rFonts w:ascii="Arial" w:hAnsi="Arial" w:cs="Arial"/>
          <w:sz w:val="24"/>
          <w:szCs w:val="24"/>
        </w:rPr>
        <w:t>havioral manuscript is in preparation.</w:t>
      </w:r>
    </w:p>
    <w:p w:rsidR="00EE4558" w:rsidRPr="00F9446A" w:rsidRDefault="00EE4558" w:rsidP="004B442A">
      <w:pPr>
        <w:spacing w:line="480" w:lineRule="auto"/>
        <w:jc w:val="both"/>
        <w:rPr>
          <w:rFonts w:ascii="Arial" w:hAnsi="Arial" w:cs="Arial"/>
          <w:b/>
          <w:sz w:val="24"/>
          <w:szCs w:val="22"/>
        </w:rPr>
      </w:pPr>
    </w:p>
    <w:p w:rsidR="00C83B66" w:rsidRDefault="00C83B66" w:rsidP="004B442A">
      <w:pPr>
        <w:spacing w:line="480" w:lineRule="auto"/>
        <w:jc w:val="both"/>
        <w:rPr>
          <w:rFonts w:ascii="Arial" w:hAnsi="Arial" w:cs="Arial"/>
          <w:b/>
          <w:sz w:val="24"/>
          <w:szCs w:val="22"/>
        </w:rPr>
      </w:pPr>
    </w:p>
    <w:p w:rsidR="00C83B66" w:rsidRDefault="00C83B66" w:rsidP="004B442A">
      <w:pPr>
        <w:spacing w:line="480" w:lineRule="auto"/>
        <w:jc w:val="both"/>
        <w:rPr>
          <w:rFonts w:ascii="Arial" w:hAnsi="Arial" w:cs="Arial"/>
          <w:b/>
          <w:sz w:val="24"/>
          <w:szCs w:val="22"/>
        </w:rPr>
      </w:pPr>
    </w:p>
    <w:p w:rsidR="00EE4558" w:rsidRDefault="00EE4558" w:rsidP="004B442A">
      <w:pPr>
        <w:spacing w:line="480" w:lineRule="auto"/>
        <w:jc w:val="both"/>
        <w:rPr>
          <w:rFonts w:ascii="Arial" w:hAnsi="Arial" w:cs="Arial"/>
          <w:b/>
          <w:sz w:val="24"/>
          <w:szCs w:val="22"/>
        </w:rPr>
      </w:pPr>
      <w:r w:rsidRPr="00F9446A">
        <w:rPr>
          <w:rFonts w:ascii="Arial" w:hAnsi="Arial" w:cs="Arial"/>
          <w:b/>
          <w:sz w:val="24"/>
          <w:szCs w:val="22"/>
        </w:rPr>
        <w:lastRenderedPageBreak/>
        <w:t>Pharmacokinetic Analysis</w:t>
      </w:r>
    </w:p>
    <w:p w:rsidR="00FC4FA9" w:rsidRPr="00FC4FA9" w:rsidRDefault="00FC4FA9" w:rsidP="00FC4FA9">
      <w:pPr>
        <w:spacing w:line="480" w:lineRule="auto"/>
        <w:jc w:val="both"/>
        <w:rPr>
          <w:rFonts w:ascii="Arial" w:hAnsi="Arial" w:cs="Arial"/>
          <w:sz w:val="24"/>
          <w:szCs w:val="24"/>
        </w:rPr>
      </w:pPr>
      <w:r w:rsidRPr="00FC4FA9">
        <w:rPr>
          <w:rFonts w:ascii="Arial" w:hAnsi="Arial" w:cs="Arial"/>
          <w:sz w:val="24"/>
          <w:szCs w:val="24"/>
        </w:rPr>
        <w:t>Merocel sponges were used to collect RF while Dacron swabs were used to collect CVF. Merocel® sponges are a type of PVA-based sponge. The bioanalytical method (used for PK analysis) as described by Else et al was fully validated for PVA-based sponges, in accordance with FDA bioanalytical guidelines.</w:t>
      </w:r>
      <w:r>
        <w:rPr>
          <w:rFonts w:ascii="Arial" w:hAnsi="Arial" w:cs="Arial"/>
          <w:sz w:val="24"/>
          <w:szCs w:val="24"/>
        </w:rPr>
        <w:t xml:space="preserve"> (9) </w:t>
      </w:r>
      <w:r w:rsidRPr="00FC4FA9">
        <w:rPr>
          <w:rFonts w:ascii="Arial" w:hAnsi="Arial" w:cs="Arial"/>
          <w:sz w:val="24"/>
          <w:szCs w:val="24"/>
        </w:rPr>
        <w:t>The analytical method used a mixture of hexane/ethyl acetate to extract RPV from the Merocel® sponges. Extraction (or percentage recovery) of RPV was acceptable (as per FDA guidelines). An organic solvent could not be used to extract RPV from the Dacron polyester swabs for the TZM-bl assay as this would have lysed the cells. The Dacron swab extraction process was non-validated</w:t>
      </w:r>
      <w:r>
        <w:rPr>
          <w:rFonts w:ascii="Arial" w:hAnsi="Arial" w:cs="Arial"/>
          <w:sz w:val="24"/>
          <w:szCs w:val="24"/>
        </w:rPr>
        <w:t>.</w:t>
      </w:r>
    </w:p>
    <w:p w:rsidR="00BD6C97" w:rsidRPr="00F9446A" w:rsidRDefault="00BD6C97" w:rsidP="004B442A">
      <w:pPr>
        <w:spacing w:line="480" w:lineRule="auto"/>
        <w:jc w:val="both"/>
        <w:rPr>
          <w:rFonts w:ascii="Arial" w:hAnsi="Arial" w:cs="Arial"/>
          <w:b/>
          <w:sz w:val="24"/>
          <w:szCs w:val="22"/>
        </w:rPr>
      </w:pPr>
    </w:p>
    <w:p w:rsidR="00EE4558" w:rsidRPr="00F9446A" w:rsidRDefault="00EE4558" w:rsidP="00DD46F7">
      <w:pPr>
        <w:spacing w:line="480" w:lineRule="auto"/>
        <w:jc w:val="both"/>
        <w:rPr>
          <w:rFonts w:ascii="Arial" w:eastAsia="MinionPro-Regular" w:hAnsi="Arial" w:cs="Arial"/>
          <w:color w:val="000000"/>
          <w:sz w:val="24"/>
          <w:szCs w:val="22"/>
          <w:lang w:val="en-GB"/>
        </w:rPr>
      </w:pPr>
      <w:r w:rsidRPr="00F9446A">
        <w:rPr>
          <w:rFonts w:ascii="Arial" w:hAnsi="Arial" w:cs="Arial"/>
          <w:sz w:val="24"/>
          <w:szCs w:val="22"/>
        </w:rPr>
        <w:t>RPV concentrations in all matrices (plasma, mucosal fluids (rectal, endocervical, and vaginal), and tissue (rectal, ectocervical, and vaginal)) were quantified by validated high-pressure liquid c</w:t>
      </w:r>
      <w:r>
        <w:rPr>
          <w:rFonts w:ascii="Arial" w:hAnsi="Arial" w:cs="Arial"/>
          <w:sz w:val="24"/>
          <w:szCs w:val="22"/>
        </w:rPr>
        <w:t xml:space="preserve">hromatography-mass spectrometry. </w:t>
      </w:r>
      <w:r w:rsidRPr="00F9446A">
        <w:rPr>
          <w:rFonts w:ascii="Arial" w:hAnsi="Arial" w:cs="Arial"/>
          <w:sz w:val="24"/>
          <w:szCs w:val="22"/>
        </w:rPr>
        <w:t>Full methodological validation of this process is provided in a separate publication</w:t>
      </w:r>
      <w:r w:rsidR="00560556">
        <w:rPr>
          <w:rFonts w:ascii="Arial" w:hAnsi="Arial" w:cs="Arial"/>
          <w:sz w:val="24"/>
          <w:szCs w:val="22"/>
        </w:rPr>
        <w:t>.</w:t>
      </w:r>
      <w:r>
        <w:rPr>
          <w:rFonts w:ascii="Arial" w:hAnsi="Arial" w:cs="Arial"/>
          <w:sz w:val="24"/>
          <w:szCs w:val="22"/>
        </w:rPr>
        <w:t xml:space="preserve"> </w:t>
      </w:r>
      <w:r>
        <w:rPr>
          <w:rFonts w:ascii="Arial" w:hAnsi="Arial" w:cs="Arial"/>
          <w:noProof/>
          <w:sz w:val="24"/>
          <w:szCs w:val="22"/>
        </w:rPr>
        <w:t>(9)</w:t>
      </w:r>
      <w:r w:rsidRPr="00F9446A">
        <w:rPr>
          <w:rFonts w:ascii="Arial" w:hAnsi="Arial" w:cs="Arial"/>
          <w:sz w:val="24"/>
          <w:szCs w:val="22"/>
        </w:rPr>
        <w:t xml:space="preserve"> </w:t>
      </w:r>
      <w:r w:rsidRPr="00F9446A">
        <w:rPr>
          <w:rFonts w:ascii="Arial" w:eastAsia="MinionPro-Regular" w:hAnsi="Arial" w:cs="Arial"/>
          <w:color w:val="000000"/>
          <w:sz w:val="24"/>
          <w:szCs w:val="22"/>
          <w:lang w:val="en-GB"/>
        </w:rPr>
        <w:t>RPV concentrations in all matrices were expressed as ng/mL. Tissue homogenate and rectal/vaginal/endocervical fluid samples were initially quantified using an ng/sample calibration curve and then converted to ng/mL by adjusting for the recorded tissue and fluid volumes. Concentrations that were below the assay limit of quantification (LLOQ) were expressed as ½ LLOQ values.</w:t>
      </w:r>
    </w:p>
    <w:p w:rsidR="00EE4558" w:rsidRPr="00F9446A" w:rsidRDefault="00EE4558" w:rsidP="004B442A">
      <w:pPr>
        <w:spacing w:line="480" w:lineRule="auto"/>
        <w:jc w:val="both"/>
        <w:rPr>
          <w:rFonts w:ascii="Arial" w:hAnsi="Arial" w:cs="Arial"/>
          <w:b/>
          <w:i/>
          <w:sz w:val="24"/>
          <w:szCs w:val="22"/>
        </w:rPr>
      </w:pPr>
    </w:p>
    <w:p w:rsidR="00C83B66" w:rsidRDefault="00C83B66" w:rsidP="004B442A">
      <w:pPr>
        <w:spacing w:line="480" w:lineRule="auto"/>
        <w:jc w:val="both"/>
        <w:rPr>
          <w:rFonts w:ascii="Arial" w:hAnsi="Arial" w:cs="Arial"/>
          <w:b/>
          <w:sz w:val="24"/>
          <w:szCs w:val="22"/>
        </w:rPr>
      </w:pPr>
    </w:p>
    <w:p w:rsidR="00C83B66" w:rsidRDefault="00C83B66" w:rsidP="004B442A">
      <w:pPr>
        <w:spacing w:line="480" w:lineRule="auto"/>
        <w:jc w:val="both"/>
        <w:rPr>
          <w:rFonts w:ascii="Arial" w:hAnsi="Arial" w:cs="Arial"/>
          <w:b/>
          <w:sz w:val="24"/>
          <w:szCs w:val="22"/>
        </w:rPr>
      </w:pPr>
    </w:p>
    <w:p w:rsidR="00EE4558" w:rsidRPr="00CC7C1F" w:rsidRDefault="00EE4558" w:rsidP="004B442A">
      <w:pPr>
        <w:spacing w:line="480" w:lineRule="auto"/>
        <w:jc w:val="both"/>
        <w:rPr>
          <w:rFonts w:ascii="Arial" w:hAnsi="Arial" w:cs="Arial"/>
          <w:b/>
          <w:sz w:val="24"/>
          <w:szCs w:val="22"/>
        </w:rPr>
      </w:pPr>
      <w:r w:rsidRPr="00CC7C1F">
        <w:rPr>
          <w:rFonts w:ascii="Arial" w:hAnsi="Arial" w:cs="Arial"/>
          <w:b/>
          <w:sz w:val="24"/>
          <w:szCs w:val="22"/>
        </w:rPr>
        <w:lastRenderedPageBreak/>
        <w:t>Pharmacodynamic analysis</w:t>
      </w:r>
    </w:p>
    <w:p w:rsidR="00EE4558" w:rsidRPr="00DD46F7" w:rsidRDefault="00EE4558" w:rsidP="00DD46F7">
      <w:pPr>
        <w:spacing w:line="480" w:lineRule="auto"/>
        <w:ind w:right="272"/>
        <w:jc w:val="both"/>
        <w:rPr>
          <w:rFonts w:ascii="Arial" w:hAnsi="Arial" w:cs="Arial"/>
          <w:color w:val="000000"/>
          <w:sz w:val="24"/>
          <w:szCs w:val="22"/>
        </w:rPr>
      </w:pPr>
      <w:r w:rsidRPr="00F9446A">
        <w:rPr>
          <w:rFonts w:ascii="Arial" w:hAnsi="Arial" w:cs="Arial"/>
          <w:sz w:val="24"/>
          <w:szCs w:val="22"/>
        </w:rPr>
        <w:t>At Baseline (V2) and post-product exposure timepoints (V6, V8, V10, and V12), rectal, cervical, and vaginal biopsies were collected in 20 mL RPMI (with 1</w:t>
      </w:r>
      <w:r>
        <w:rPr>
          <w:rFonts w:ascii="Arial" w:hAnsi="Arial" w:cs="Arial"/>
          <w:sz w:val="24"/>
          <w:szCs w:val="22"/>
        </w:rPr>
        <w:t>∙</w:t>
      </w:r>
      <w:r w:rsidRPr="00F9446A">
        <w:rPr>
          <w:rFonts w:ascii="Arial" w:hAnsi="Arial" w:cs="Arial"/>
          <w:sz w:val="24"/>
          <w:szCs w:val="22"/>
        </w:rPr>
        <w:t xml:space="preserve">125 µg/mL of Fungizone and 0.5 mg/mL of Zosyn) and transported to the laboratory for </w:t>
      </w:r>
      <w:r w:rsidRPr="00F9446A">
        <w:rPr>
          <w:rFonts w:ascii="Arial" w:hAnsi="Arial" w:cs="Arial"/>
          <w:i/>
          <w:sz w:val="24"/>
          <w:szCs w:val="22"/>
        </w:rPr>
        <w:t>ex vivo</w:t>
      </w:r>
      <w:r w:rsidRPr="00F9446A">
        <w:rPr>
          <w:rFonts w:ascii="Arial" w:hAnsi="Arial" w:cs="Arial"/>
          <w:sz w:val="24"/>
          <w:szCs w:val="22"/>
        </w:rPr>
        <w:t xml:space="preserve"> infection within 30 minutes using a common viral stock of HIV-1</w:t>
      </w:r>
      <w:r w:rsidRPr="00F9446A">
        <w:rPr>
          <w:rFonts w:ascii="Arial" w:hAnsi="Arial" w:cs="Arial"/>
          <w:sz w:val="24"/>
          <w:szCs w:val="22"/>
          <w:vertAlign w:val="subscript"/>
        </w:rPr>
        <w:t>BaL</w:t>
      </w:r>
      <w:r w:rsidRPr="00F9446A">
        <w:rPr>
          <w:rFonts w:ascii="Arial" w:hAnsi="Arial" w:cs="Arial"/>
          <w:sz w:val="24"/>
          <w:szCs w:val="22"/>
        </w:rPr>
        <w:t xml:space="preserve"> (10</w:t>
      </w:r>
      <w:r w:rsidRPr="00F9446A">
        <w:rPr>
          <w:rFonts w:ascii="Arial" w:hAnsi="Arial" w:cs="Arial"/>
          <w:sz w:val="24"/>
          <w:szCs w:val="22"/>
          <w:vertAlign w:val="superscript"/>
        </w:rPr>
        <w:t>5</w:t>
      </w:r>
      <w:r w:rsidRPr="00F9446A">
        <w:rPr>
          <w:rFonts w:ascii="Arial" w:hAnsi="Arial" w:cs="Arial"/>
          <w:sz w:val="24"/>
          <w:szCs w:val="22"/>
        </w:rPr>
        <w:t xml:space="preserve"> TCID</w:t>
      </w:r>
      <w:r w:rsidRPr="00F9446A">
        <w:rPr>
          <w:rFonts w:ascii="Arial" w:hAnsi="Arial" w:cs="Arial"/>
          <w:sz w:val="24"/>
          <w:szCs w:val="22"/>
          <w:vertAlign w:val="subscript"/>
        </w:rPr>
        <w:t xml:space="preserve">50 </w:t>
      </w:r>
      <w:r w:rsidRPr="00F9446A">
        <w:rPr>
          <w:rFonts w:ascii="Arial" w:hAnsi="Arial" w:cs="Arial"/>
          <w:sz w:val="24"/>
          <w:szCs w:val="22"/>
        </w:rPr>
        <w:t>for rectal and 5</w:t>
      </w:r>
      <w:r>
        <w:rPr>
          <w:rFonts w:ascii="Arial" w:hAnsi="Arial" w:cs="Arial"/>
          <w:sz w:val="24"/>
          <w:szCs w:val="22"/>
        </w:rPr>
        <w:t>×</w:t>
      </w:r>
      <w:r w:rsidRPr="00F9446A">
        <w:rPr>
          <w:rFonts w:ascii="Arial" w:hAnsi="Arial" w:cs="Arial"/>
          <w:sz w:val="24"/>
          <w:szCs w:val="22"/>
        </w:rPr>
        <w:t>10</w:t>
      </w:r>
      <w:r w:rsidRPr="00F9446A">
        <w:rPr>
          <w:rFonts w:ascii="Arial" w:hAnsi="Arial" w:cs="Arial"/>
          <w:sz w:val="24"/>
          <w:szCs w:val="22"/>
          <w:vertAlign w:val="superscript"/>
        </w:rPr>
        <w:t>4</w:t>
      </w:r>
      <w:r>
        <w:rPr>
          <w:rFonts w:ascii="Arial" w:hAnsi="Arial" w:cs="Arial"/>
          <w:sz w:val="24"/>
          <w:szCs w:val="22"/>
        </w:rPr>
        <w:t xml:space="preserve"> </w:t>
      </w:r>
      <w:r w:rsidRPr="00F9446A">
        <w:rPr>
          <w:rFonts w:ascii="Arial" w:hAnsi="Arial" w:cs="Arial"/>
          <w:sz w:val="24"/>
          <w:szCs w:val="22"/>
        </w:rPr>
        <w:t>TCID</w:t>
      </w:r>
      <w:r w:rsidRPr="00F9446A">
        <w:rPr>
          <w:rFonts w:ascii="Arial" w:hAnsi="Arial" w:cs="Arial"/>
          <w:sz w:val="24"/>
          <w:szCs w:val="22"/>
          <w:vertAlign w:val="subscript"/>
        </w:rPr>
        <w:t>50</w:t>
      </w:r>
      <w:r w:rsidRPr="00F9446A">
        <w:rPr>
          <w:rFonts w:ascii="Arial" w:hAnsi="Arial" w:cs="Arial"/>
          <w:sz w:val="24"/>
          <w:szCs w:val="22"/>
        </w:rPr>
        <w:t xml:space="preserve"> for cervicovaginal tissue), as previously described</w:t>
      </w:r>
      <w:r>
        <w:rPr>
          <w:rFonts w:ascii="Arial" w:hAnsi="Arial" w:cs="Arial"/>
          <w:sz w:val="24"/>
          <w:szCs w:val="22"/>
        </w:rPr>
        <w:t xml:space="preserve">. </w:t>
      </w:r>
      <w:r>
        <w:rPr>
          <w:rFonts w:ascii="Arial" w:hAnsi="Arial" w:cs="Arial"/>
          <w:noProof/>
          <w:sz w:val="24"/>
          <w:szCs w:val="22"/>
        </w:rPr>
        <w:t>(10-13)</w:t>
      </w:r>
      <w:r w:rsidRPr="00F9446A">
        <w:rPr>
          <w:rFonts w:ascii="Arial" w:hAnsi="Arial" w:cs="Arial"/>
          <w:sz w:val="24"/>
          <w:szCs w:val="22"/>
        </w:rPr>
        <w:t xml:space="preserve"> Results were adjusted for initial biopsy weight, and reported as Day 14 cumulative p24 (p24 HIV antigen ELISA; Alliance; Perkin-Elmer Life Sciences Inc., Boston, MA) where the assay’s LLOQ was 10 pg/mL. Non-detectable cumulative p24 measures at Day 14 were converted to 1/2 LLOQ prior to log transformation</w:t>
      </w:r>
      <w:r w:rsidRPr="00F9446A">
        <w:rPr>
          <w:rFonts w:ascii="Arial" w:hAnsi="Arial" w:cs="Arial"/>
          <w:color w:val="000000"/>
          <w:sz w:val="24"/>
          <w:szCs w:val="22"/>
        </w:rPr>
        <w:t xml:space="preserve">. </w:t>
      </w:r>
      <w:r w:rsidRPr="00F9446A">
        <w:rPr>
          <w:rFonts w:ascii="Arial" w:hAnsi="Arial" w:cs="Arial"/>
          <w:bCs/>
          <w:sz w:val="24"/>
          <w:szCs w:val="22"/>
        </w:rPr>
        <w:t>TZM-bl cells (NIH AIDS Research and Reference Reagent Program, Division of AIDS, NIAID, NIH) were used to determine pharmacodynamic activity of the mucosal fluid</w:t>
      </w:r>
      <w:r>
        <w:rPr>
          <w:rFonts w:ascii="Arial" w:hAnsi="Arial" w:cs="Arial"/>
          <w:bCs/>
          <w:sz w:val="24"/>
          <w:szCs w:val="22"/>
        </w:rPr>
        <w:t>.</w:t>
      </w:r>
      <w:r w:rsidR="00001940">
        <w:rPr>
          <w:rFonts w:ascii="Arial" w:hAnsi="Arial" w:cs="Arial"/>
          <w:bCs/>
          <w:sz w:val="24"/>
          <w:szCs w:val="22"/>
        </w:rPr>
        <w:t xml:space="preserve"> </w:t>
      </w:r>
      <w:r>
        <w:rPr>
          <w:rFonts w:ascii="Arial" w:hAnsi="Arial" w:cs="Arial"/>
          <w:bCs/>
          <w:noProof/>
          <w:sz w:val="24"/>
          <w:szCs w:val="22"/>
        </w:rPr>
        <w:t>(14)</w:t>
      </w:r>
      <w:r w:rsidRPr="00F9446A">
        <w:rPr>
          <w:rFonts w:ascii="Arial" w:hAnsi="Arial" w:cs="Arial"/>
          <w:bCs/>
          <w:sz w:val="24"/>
          <w:szCs w:val="22"/>
        </w:rPr>
        <w:t xml:space="preserve"> Inhibition was determined based on deviations from the HIV-1 only control and presented as the percentage inhibition.</w:t>
      </w:r>
    </w:p>
    <w:p w:rsidR="00EE4558" w:rsidRPr="00F9446A" w:rsidRDefault="00EE4558" w:rsidP="004B442A">
      <w:pPr>
        <w:spacing w:after="200" w:line="480" w:lineRule="auto"/>
        <w:jc w:val="both"/>
        <w:rPr>
          <w:rFonts w:ascii="Arial" w:hAnsi="Arial" w:cs="Arial"/>
          <w:b/>
          <w:sz w:val="24"/>
          <w:szCs w:val="22"/>
        </w:rPr>
      </w:pPr>
    </w:p>
    <w:p w:rsidR="00EE4558" w:rsidRPr="00F9446A" w:rsidRDefault="00EE4558" w:rsidP="004B442A">
      <w:pPr>
        <w:spacing w:after="200" w:line="480" w:lineRule="auto"/>
        <w:jc w:val="both"/>
        <w:rPr>
          <w:rFonts w:ascii="Arial" w:hAnsi="Arial" w:cs="Arial"/>
          <w:b/>
          <w:sz w:val="24"/>
          <w:szCs w:val="22"/>
        </w:rPr>
      </w:pPr>
      <w:r w:rsidRPr="00F9446A">
        <w:rPr>
          <w:rFonts w:ascii="Arial" w:hAnsi="Arial" w:cs="Arial"/>
          <w:b/>
          <w:sz w:val="24"/>
          <w:szCs w:val="22"/>
        </w:rPr>
        <w:t>Statistical Analyses</w:t>
      </w:r>
    </w:p>
    <w:p w:rsidR="00EE4558" w:rsidRPr="00F9446A" w:rsidRDefault="00EE4558" w:rsidP="004B442A">
      <w:pPr>
        <w:spacing w:line="480" w:lineRule="auto"/>
        <w:jc w:val="both"/>
        <w:rPr>
          <w:rFonts w:ascii="Arial" w:hAnsi="Arial" w:cs="Arial"/>
          <w:sz w:val="24"/>
          <w:szCs w:val="22"/>
        </w:rPr>
      </w:pPr>
      <w:r w:rsidRPr="00F9446A">
        <w:rPr>
          <w:rFonts w:ascii="Arial" w:hAnsi="Arial" w:cs="Arial"/>
          <w:sz w:val="24"/>
          <w:szCs w:val="22"/>
        </w:rPr>
        <w:t>Given the small sample size in this Phase 1 study, there was insufficient power to observe any adverse events other than those occurring at high frequency. We assessed between-arm differences in baseline characteristics by using two-sample t tests, chi-square tests, or thei</w:t>
      </w:r>
      <w:r>
        <w:rPr>
          <w:rFonts w:ascii="Arial" w:hAnsi="Arial" w:cs="Arial"/>
          <w:sz w:val="24"/>
          <w:szCs w:val="22"/>
        </w:rPr>
        <w:t xml:space="preserve">r non-parametric counterparts. </w:t>
      </w:r>
      <w:r w:rsidRPr="00F9446A">
        <w:rPr>
          <w:rFonts w:ascii="Arial" w:hAnsi="Arial" w:cs="Arial"/>
          <w:sz w:val="24"/>
          <w:szCs w:val="22"/>
        </w:rPr>
        <w:t xml:space="preserve">The proportion of participants experiencing a Grade 2 or higher adverse event </w:t>
      </w:r>
      <w:r>
        <w:rPr>
          <w:rFonts w:ascii="Arial" w:hAnsi="Arial" w:cs="Arial"/>
          <w:sz w:val="24"/>
          <w:szCs w:val="22"/>
        </w:rPr>
        <w:t>was</w:t>
      </w:r>
      <w:r w:rsidRPr="00F9446A">
        <w:rPr>
          <w:rFonts w:ascii="Arial" w:hAnsi="Arial" w:cs="Arial"/>
          <w:sz w:val="24"/>
          <w:szCs w:val="22"/>
        </w:rPr>
        <w:t xml:space="preserve"> the primary outcome and was compared between arms using Fisher’s Exact test. Acceptability ratings related to study drug were compared between study arms and within study arms over the duration of </w:t>
      </w:r>
      <w:r w:rsidRPr="00F9446A">
        <w:rPr>
          <w:rFonts w:ascii="Arial" w:hAnsi="Arial" w:cs="Arial"/>
          <w:sz w:val="24"/>
          <w:szCs w:val="22"/>
        </w:rPr>
        <w:lastRenderedPageBreak/>
        <w:t xml:space="preserve">participation. The proportion of product acceptability was calculated for each study arm along with the 95% confidence intervals.  Fisher’s exact test was utilized to compare arms with regard to this endpoint. </w:t>
      </w:r>
    </w:p>
    <w:p w:rsidR="00EE4558" w:rsidRPr="00F9446A" w:rsidRDefault="00EE4558" w:rsidP="004B442A">
      <w:pPr>
        <w:spacing w:line="480" w:lineRule="auto"/>
        <w:jc w:val="both"/>
        <w:rPr>
          <w:rFonts w:ascii="Arial" w:hAnsi="Arial" w:cs="Arial"/>
          <w:sz w:val="24"/>
          <w:szCs w:val="22"/>
        </w:rPr>
      </w:pPr>
    </w:p>
    <w:p w:rsidR="00EE4558" w:rsidRPr="00F9446A" w:rsidRDefault="00EE4558" w:rsidP="004B442A">
      <w:pPr>
        <w:pStyle w:val="Default"/>
        <w:spacing w:line="480" w:lineRule="auto"/>
        <w:jc w:val="both"/>
        <w:rPr>
          <w:szCs w:val="22"/>
        </w:rPr>
      </w:pPr>
      <w:r w:rsidRPr="00F9446A">
        <w:rPr>
          <w:szCs w:val="22"/>
        </w:rPr>
        <w:t>Plasma and compartmental PK endpoints included the area under the concentration-time curve over 112 days (AUC</w:t>
      </w:r>
      <w:r w:rsidRPr="00F9446A">
        <w:rPr>
          <w:szCs w:val="22"/>
          <w:vertAlign w:val="subscript"/>
        </w:rPr>
        <w:t>112</w:t>
      </w:r>
      <w:r w:rsidRPr="00F9446A">
        <w:rPr>
          <w:szCs w:val="22"/>
        </w:rPr>
        <w:t>), maximum concentration (C</w:t>
      </w:r>
      <w:r w:rsidRPr="00F9446A">
        <w:rPr>
          <w:szCs w:val="22"/>
          <w:vertAlign w:val="subscript"/>
        </w:rPr>
        <w:t>max</w:t>
      </w:r>
      <w:r w:rsidRPr="00F9446A">
        <w:rPr>
          <w:szCs w:val="22"/>
        </w:rPr>
        <w:t>), time to maximum concentration (T</w:t>
      </w:r>
      <w:r w:rsidRPr="00F9446A">
        <w:rPr>
          <w:szCs w:val="22"/>
          <w:vertAlign w:val="subscript"/>
        </w:rPr>
        <w:t>max</w:t>
      </w:r>
      <w:r w:rsidRPr="00F9446A">
        <w:rPr>
          <w:szCs w:val="22"/>
        </w:rPr>
        <w:t xml:space="preserve">), half-life (t½) and concentrations measured at </w:t>
      </w:r>
      <w:r>
        <w:rPr>
          <w:szCs w:val="22"/>
        </w:rPr>
        <w:t>4-weekly</w:t>
      </w:r>
      <w:r w:rsidRPr="00F9446A">
        <w:rPr>
          <w:szCs w:val="22"/>
        </w:rPr>
        <w:t xml:space="preserve"> intervals (C</w:t>
      </w:r>
      <w:r w:rsidRPr="00F9446A">
        <w:rPr>
          <w:szCs w:val="22"/>
          <w:vertAlign w:val="subscript"/>
        </w:rPr>
        <w:t>28</w:t>
      </w:r>
      <w:r w:rsidRPr="00F9446A">
        <w:rPr>
          <w:szCs w:val="22"/>
        </w:rPr>
        <w:t>, C</w:t>
      </w:r>
      <w:r w:rsidRPr="00F9446A">
        <w:rPr>
          <w:szCs w:val="22"/>
          <w:vertAlign w:val="subscript"/>
        </w:rPr>
        <w:t>56</w:t>
      </w:r>
      <w:r w:rsidRPr="00F9446A">
        <w:rPr>
          <w:szCs w:val="22"/>
        </w:rPr>
        <w:t>, C</w:t>
      </w:r>
      <w:r w:rsidRPr="00F9446A">
        <w:rPr>
          <w:szCs w:val="22"/>
          <w:vertAlign w:val="subscript"/>
        </w:rPr>
        <w:t>84</w:t>
      </w:r>
      <w:r w:rsidRPr="00F9446A">
        <w:rPr>
          <w:szCs w:val="22"/>
        </w:rPr>
        <w:t xml:space="preserve">, </w:t>
      </w:r>
      <w:r>
        <w:rPr>
          <w:szCs w:val="22"/>
        </w:rPr>
        <w:t xml:space="preserve">and </w:t>
      </w:r>
      <w:r w:rsidRPr="00F9446A">
        <w:rPr>
          <w:szCs w:val="22"/>
        </w:rPr>
        <w:t>C</w:t>
      </w:r>
      <w:r w:rsidRPr="00F9446A">
        <w:rPr>
          <w:szCs w:val="22"/>
          <w:vertAlign w:val="subscript"/>
        </w:rPr>
        <w:t>112</w:t>
      </w:r>
      <w:r w:rsidRPr="00F9446A">
        <w:rPr>
          <w:szCs w:val="22"/>
        </w:rPr>
        <w:t xml:space="preserve">).  For male participants this included plasma and rectal secretions and tissue. For female participants this included values from plasma, endocervical and vaginal secretions, and </w:t>
      </w:r>
      <w:r>
        <w:rPr>
          <w:szCs w:val="22"/>
        </w:rPr>
        <w:t>CT</w:t>
      </w:r>
      <w:r w:rsidRPr="00F9446A">
        <w:rPr>
          <w:szCs w:val="22"/>
        </w:rPr>
        <w:t xml:space="preserve"> and </w:t>
      </w:r>
      <w:r>
        <w:rPr>
          <w:szCs w:val="22"/>
        </w:rPr>
        <w:t>VT</w:t>
      </w:r>
      <w:r w:rsidRPr="00F9446A">
        <w:rPr>
          <w:szCs w:val="22"/>
        </w:rPr>
        <w:t xml:space="preserve">. Rectal secretion and </w:t>
      </w:r>
      <w:r>
        <w:rPr>
          <w:szCs w:val="22"/>
        </w:rPr>
        <w:t>RT</w:t>
      </w:r>
      <w:r w:rsidRPr="00F9446A">
        <w:rPr>
          <w:szCs w:val="22"/>
        </w:rPr>
        <w:t xml:space="preserve"> PK data were also available from those female participants who elected rectal samples collected. PK parameters were calculated using non-compartmental analysis (WinNonlin Phoenix, version 6</w:t>
      </w:r>
      <w:r>
        <w:rPr>
          <w:szCs w:val="22"/>
        </w:rPr>
        <w:t>∙</w:t>
      </w:r>
      <w:r w:rsidRPr="00F9446A">
        <w:rPr>
          <w:szCs w:val="22"/>
        </w:rPr>
        <w:t>1; Pharsight, Mountain View, CA). Data were expressed as geometric means (GM) with 90% confidence intervals (CI). Measures of drug exposure and ratios of compartmental-to-systemic drug ([RPV]</w:t>
      </w:r>
      <w:r w:rsidRPr="00F9446A">
        <w:rPr>
          <w:szCs w:val="22"/>
          <w:vertAlign w:val="subscript"/>
        </w:rPr>
        <w:t>COMP</w:t>
      </w:r>
      <w:r w:rsidRPr="00F9446A">
        <w:rPr>
          <w:szCs w:val="22"/>
        </w:rPr>
        <w:t>/[RPV]</w:t>
      </w:r>
      <w:r w:rsidRPr="00F9446A">
        <w:rPr>
          <w:szCs w:val="22"/>
          <w:vertAlign w:val="subscript"/>
        </w:rPr>
        <w:t>Plasma</w:t>
      </w:r>
      <w:r w:rsidRPr="00F9446A">
        <w:rPr>
          <w:szCs w:val="22"/>
        </w:rPr>
        <w:t xml:space="preserve">) over 112 days were compared between arms and concentration differences were analyzed. </w:t>
      </w:r>
    </w:p>
    <w:p w:rsidR="00EE4558" w:rsidRDefault="00EE4558" w:rsidP="004B442A">
      <w:pPr>
        <w:spacing w:line="480" w:lineRule="auto"/>
        <w:jc w:val="both"/>
        <w:rPr>
          <w:rFonts w:ascii="Arial" w:hAnsi="Arial" w:cs="Arial"/>
          <w:sz w:val="24"/>
          <w:szCs w:val="22"/>
        </w:rPr>
      </w:pPr>
    </w:p>
    <w:p w:rsidR="00EE4558" w:rsidRPr="001E2886" w:rsidRDefault="00EE4558" w:rsidP="001E2886">
      <w:pPr>
        <w:spacing w:line="480" w:lineRule="auto"/>
        <w:jc w:val="both"/>
        <w:rPr>
          <w:rFonts w:ascii="Arial" w:hAnsi="Arial" w:cs="Arial"/>
          <w:sz w:val="24"/>
          <w:szCs w:val="22"/>
        </w:rPr>
      </w:pPr>
      <w:r w:rsidRPr="00F9446A">
        <w:rPr>
          <w:rFonts w:ascii="Arial" w:hAnsi="Arial" w:cs="Arial"/>
          <w:sz w:val="24"/>
          <w:szCs w:val="22"/>
        </w:rPr>
        <w:t xml:space="preserve">Changes in culture supernatant HIV-1 p24 antigen were the primary outcome in the </w:t>
      </w:r>
      <w:r>
        <w:rPr>
          <w:rFonts w:ascii="Arial" w:hAnsi="Arial" w:cs="Arial"/>
          <w:sz w:val="24"/>
          <w:szCs w:val="22"/>
        </w:rPr>
        <w:t xml:space="preserve">biopsy </w:t>
      </w:r>
      <w:r w:rsidRPr="00F9446A">
        <w:rPr>
          <w:rFonts w:ascii="Arial" w:hAnsi="Arial" w:cs="Arial"/>
          <w:sz w:val="24"/>
          <w:szCs w:val="22"/>
        </w:rPr>
        <w:t xml:space="preserve">studies, which were designed to assess potential pharmacodynamic activity as realized by a negative slope </w:t>
      </w:r>
      <w:r>
        <w:rPr>
          <w:rFonts w:ascii="Arial" w:hAnsi="Arial" w:cs="Arial"/>
          <w:sz w:val="24"/>
          <w:szCs w:val="22"/>
        </w:rPr>
        <w:t xml:space="preserve">between </w:t>
      </w:r>
      <w:r w:rsidRPr="00F9446A">
        <w:rPr>
          <w:rFonts w:ascii="Arial" w:hAnsi="Arial" w:cs="Arial"/>
          <w:sz w:val="24"/>
          <w:szCs w:val="22"/>
        </w:rPr>
        <w:t>HIV-1 p24 release</w:t>
      </w:r>
      <w:r>
        <w:rPr>
          <w:rFonts w:ascii="Arial" w:hAnsi="Arial" w:cs="Arial"/>
          <w:sz w:val="24"/>
          <w:szCs w:val="22"/>
        </w:rPr>
        <w:t xml:space="preserve"> and drug concentrations</w:t>
      </w:r>
      <w:r w:rsidRPr="00F9446A">
        <w:rPr>
          <w:rFonts w:ascii="Arial" w:hAnsi="Arial" w:cs="Arial"/>
          <w:sz w:val="24"/>
          <w:szCs w:val="22"/>
        </w:rPr>
        <w:t xml:space="preserve">.  Multiple </w:t>
      </w:r>
      <w:r>
        <w:rPr>
          <w:rFonts w:ascii="Arial" w:hAnsi="Arial" w:cs="Arial"/>
          <w:sz w:val="24"/>
          <w:szCs w:val="22"/>
        </w:rPr>
        <w:t xml:space="preserve">tissue </w:t>
      </w:r>
      <w:r w:rsidRPr="00F9446A">
        <w:rPr>
          <w:rFonts w:ascii="Arial" w:hAnsi="Arial" w:cs="Arial"/>
          <w:sz w:val="24"/>
          <w:szCs w:val="22"/>
        </w:rPr>
        <w:t xml:space="preserve">sites (cervical, vaginal, and rectal) were </w:t>
      </w:r>
      <w:r>
        <w:rPr>
          <w:rFonts w:ascii="Arial" w:hAnsi="Arial" w:cs="Arial"/>
          <w:sz w:val="24"/>
          <w:szCs w:val="22"/>
        </w:rPr>
        <w:t xml:space="preserve">infected, </w:t>
      </w:r>
      <w:r w:rsidRPr="00CC7C1F">
        <w:rPr>
          <w:rFonts w:ascii="Arial" w:hAnsi="Arial" w:cs="Arial"/>
          <w:i/>
          <w:sz w:val="24"/>
          <w:szCs w:val="22"/>
        </w:rPr>
        <w:t>ex vivo</w:t>
      </w:r>
      <w:r>
        <w:rPr>
          <w:rFonts w:ascii="Arial" w:hAnsi="Arial" w:cs="Arial"/>
          <w:sz w:val="24"/>
          <w:szCs w:val="22"/>
        </w:rPr>
        <w:t>, with</w:t>
      </w:r>
      <w:r w:rsidRPr="00F9446A">
        <w:rPr>
          <w:rFonts w:ascii="Arial" w:hAnsi="Arial" w:cs="Arial"/>
          <w:sz w:val="24"/>
          <w:szCs w:val="22"/>
        </w:rPr>
        <w:t xml:space="preserve"> HIV-1</w:t>
      </w:r>
      <w:r w:rsidRPr="00F9446A">
        <w:rPr>
          <w:rFonts w:ascii="Arial" w:hAnsi="Arial" w:cs="Arial"/>
          <w:sz w:val="24"/>
          <w:szCs w:val="22"/>
          <w:vertAlign w:val="subscript"/>
        </w:rPr>
        <w:t>BaL</w:t>
      </w:r>
      <w:r w:rsidRPr="00F9446A">
        <w:rPr>
          <w:rFonts w:ascii="Arial" w:hAnsi="Arial" w:cs="Arial"/>
          <w:sz w:val="24"/>
          <w:szCs w:val="22"/>
        </w:rPr>
        <w:t>. Using a two-sided paired t-test with α = 0</w:t>
      </w:r>
      <w:r>
        <w:rPr>
          <w:rFonts w:ascii="Arial" w:hAnsi="Arial" w:cs="Arial"/>
          <w:sz w:val="24"/>
          <w:szCs w:val="22"/>
        </w:rPr>
        <w:t>∙</w:t>
      </w:r>
      <w:r w:rsidRPr="00F9446A">
        <w:rPr>
          <w:rFonts w:ascii="Arial" w:hAnsi="Arial" w:cs="Arial"/>
          <w:sz w:val="24"/>
          <w:szCs w:val="22"/>
        </w:rPr>
        <w:t>05, the study had 80% power to detect effect sizes as small as 0</w:t>
      </w:r>
      <w:r>
        <w:rPr>
          <w:rFonts w:ascii="Arial" w:hAnsi="Arial" w:cs="Arial"/>
          <w:sz w:val="24"/>
          <w:szCs w:val="22"/>
        </w:rPr>
        <w:t>∙</w:t>
      </w:r>
      <w:r w:rsidRPr="00F9446A">
        <w:rPr>
          <w:rFonts w:ascii="Arial" w:hAnsi="Arial" w:cs="Arial"/>
          <w:sz w:val="24"/>
          <w:szCs w:val="22"/>
        </w:rPr>
        <w:t>89 in the female arms and 1</w:t>
      </w:r>
      <w:r>
        <w:rPr>
          <w:rFonts w:ascii="Arial" w:hAnsi="Arial" w:cs="Arial"/>
          <w:sz w:val="24"/>
          <w:szCs w:val="22"/>
        </w:rPr>
        <w:t>∙</w:t>
      </w:r>
      <w:r w:rsidRPr="00F9446A">
        <w:rPr>
          <w:rFonts w:ascii="Arial" w:hAnsi="Arial" w:cs="Arial"/>
          <w:sz w:val="24"/>
          <w:szCs w:val="22"/>
        </w:rPr>
        <w:t xml:space="preserve">43 in the male arms for </w:t>
      </w:r>
      <w:r>
        <w:rPr>
          <w:rFonts w:ascii="Arial" w:hAnsi="Arial" w:cs="Arial"/>
          <w:sz w:val="24"/>
          <w:szCs w:val="22"/>
        </w:rPr>
        <w:t>RT</w:t>
      </w:r>
      <w:r w:rsidRPr="00F9446A">
        <w:rPr>
          <w:rFonts w:ascii="Arial" w:hAnsi="Arial" w:cs="Arial"/>
          <w:sz w:val="24"/>
          <w:szCs w:val="22"/>
        </w:rPr>
        <w:t xml:space="preserve">. </w:t>
      </w:r>
      <w:r w:rsidRPr="00F9446A">
        <w:rPr>
          <w:rFonts w:ascii="Arial" w:hAnsi="Arial" w:cs="Arial"/>
          <w:sz w:val="24"/>
          <w:szCs w:val="22"/>
        </w:rPr>
        <w:lastRenderedPageBreak/>
        <w:t>Comparisons between study arms for each gender with respect to p24 antigen across visits were made using linear mixed models with fixed effects for visit</w:t>
      </w:r>
      <w:r>
        <w:rPr>
          <w:rFonts w:ascii="Arial" w:hAnsi="Arial" w:cs="Arial"/>
          <w:sz w:val="24"/>
          <w:szCs w:val="22"/>
        </w:rPr>
        <w:t>,</w:t>
      </w:r>
      <w:r w:rsidRPr="00F9446A">
        <w:rPr>
          <w:rFonts w:ascii="Arial" w:hAnsi="Arial" w:cs="Arial"/>
          <w:sz w:val="24"/>
          <w:szCs w:val="22"/>
        </w:rPr>
        <w:t xml:space="preserve"> arm, and their interaction </w:t>
      </w:r>
      <w:r>
        <w:rPr>
          <w:rFonts w:ascii="Arial" w:hAnsi="Arial" w:cs="Arial"/>
          <w:sz w:val="24"/>
          <w:szCs w:val="22"/>
        </w:rPr>
        <w:t>plus</w:t>
      </w:r>
      <w:r w:rsidRPr="00F9446A">
        <w:rPr>
          <w:rFonts w:ascii="Arial" w:hAnsi="Arial" w:cs="Arial"/>
          <w:sz w:val="24"/>
          <w:szCs w:val="22"/>
        </w:rPr>
        <w:t xml:space="preserve"> a random effect for subject.</w:t>
      </w:r>
      <w:r>
        <w:rPr>
          <w:rFonts w:ascii="Arial" w:hAnsi="Arial" w:cs="Arial"/>
          <w:sz w:val="24"/>
          <w:szCs w:val="22"/>
        </w:rPr>
        <w:t xml:space="preserve"> </w:t>
      </w:r>
      <w:r w:rsidRPr="00F9446A">
        <w:rPr>
          <w:rFonts w:ascii="Arial" w:hAnsi="Arial" w:cs="Arial"/>
          <w:sz w:val="24"/>
          <w:szCs w:val="22"/>
        </w:rPr>
        <w:t>Detectable PK drug levels and cumulative p24 antigen levels for measures taken from the same subjects/visits were correlated using a linear mixed effect model to test for a signifi</w:t>
      </w:r>
      <w:r>
        <w:rPr>
          <w:rFonts w:ascii="Arial" w:hAnsi="Arial" w:cs="Arial"/>
          <w:sz w:val="24"/>
          <w:szCs w:val="22"/>
        </w:rPr>
        <w:t>cant slope estimate for each PK/</w:t>
      </w:r>
      <w:r w:rsidRPr="00F9446A">
        <w:rPr>
          <w:rFonts w:ascii="Arial" w:hAnsi="Arial" w:cs="Arial"/>
          <w:sz w:val="24"/>
          <w:szCs w:val="22"/>
        </w:rPr>
        <w:t>PD pair.  Stat</w:t>
      </w:r>
      <w:r>
        <w:rPr>
          <w:rFonts w:ascii="Arial" w:hAnsi="Arial" w:cs="Arial"/>
          <w:sz w:val="24"/>
          <w:szCs w:val="22"/>
        </w:rPr>
        <w:t>istically significant linear PK/</w:t>
      </w:r>
      <w:r w:rsidRPr="00F9446A">
        <w:rPr>
          <w:rFonts w:ascii="Arial" w:hAnsi="Arial" w:cs="Arial"/>
          <w:sz w:val="24"/>
          <w:szCs w:val="22"/>
        </w:rPr>
        <w:t>PD relationships were further tested using a non-</w:t>
      </w:r>
      <w:r w:rsidRPr="009136F0">
        <w:rPr>
          <w:rFonts w:ascii="Arial" w:hAnsi="Arial" w:cs="Arial"/>
          <w:sz w:val="24"/>
          <w:szCs w:val="24"/>
        </w:rPr>
        <w:t>linear E</w:t>
      </w:r>
      <w:r w:rsidRPr="009136F0">
        <w:rPr>
          <w:rFonts w:ascii="Arial" w:hAnsi="Arial" w:cs="Arial"/>
          <w:sz w:val="24"/>
          <w:szCs w:val="24"/>
          <w:vertAlign w:val="subscript"/>
        </w:rPr>
        <w:t>max</w:t>
      </w:r>
      <w:r w:rsidRPr="009136F0">
        <w:rPr>
          <w:rFonts w:ascii="Arial" w:hAnsi="Arial" w:cs="Arial"/>
          <w:sz w:val="24"/>
          <w:szCs w:val="24"/>
        </w:rPr>
        <w:t xml:space="preserve"> model. </w:t>
      </w:r>
      <w:r w:rsidR="009136F0" w:rsidRPr="009136F0">
        <w:rPr>
          <w:rFonts w:ascii="Arial" w:eastAsia="Times New Roman" w:hAnsi="Arial" w:cs="Arial"/>
          <w:sz w:val="24"/>
          <w:szCs w:val="24"/>
        </w:rPr>
        <w:t xml:space="preserve">The non-linear Emax model was chosen using the Akaiki Information </w:t>
      </w:r>
      <w:r w:rsidR="009136F0" w:rsidRPr="00463EA6">
        <w:rPr>
          <w:rFonts w:ascii="Arial" w:eastAsia="Times New Roman" w:hAnsi="Arial" w:cs="Arial"/>
          <w:sz w:val="24"/>
          <w:szCs w:val="24"/>
        </w:rPr>
        <w:t>Criteria.</w:t>
      </w:r>
      <w:r w:rsidR="00463EA6" w:rsidRPr="00463EA6">
        <w:rPr>
          <w:rFonts w:ascii="Arial" w:eastAsia="Times New Roman" w:hAnsi="Arial" w:cs="Arial"/>
          <w:sz w:val="24"/>
          <w:szCs w:val="24"/>
        </w:rPr>
        <w:t xml:space="preserve"> The upper and lower asymptotes were constrained to 100 and 0% virus control, respectively.</w:t>
      </w:r>
    </w:p>
    <w:p w:rsidR="00EE4558" w:rsidRDefault="00EE4558" w:rsidP="004B442A">
      <w:pPr>
        <w:spacing w:line="480" w:lineRule="auto"/>
        <w:jc w:val="both"/>
        <w:rPr>
          <w:rFonts w:ascii="Arial" w:hAnsi="Arial" w:cs="Arial"/>
          <w:color w:val="000000"/>
          <w:sz w:val="24"/>
          <w:szCs w:val="22"/>
          <w:shd w:val="clear" w:color="auto" w:fill="FFFFFF"/>
        </w:rPr>
      </w:pPr>
    </w:p>
    <w:p w:rsidR="00EE4558" w:rsidRPr="00401753" w:rsidRDefault="00EE4558" w:rsidP="004B442A">
      <w:pPr>
        <w:spacing w:line="480" w:lineRule="auto"/>
        <w:jc w:val="both"/>
        <w:rPr>
          <w:rFonts w:ascii="Arial" w:hAnsi="Arial" w:cs="Arial"/>
          <w:b/>
          <w:color w:val="000000"/>
          <w:sz w:val="24"/>
          <w:szCs w:val="22"/>
          <w:shd w:val="clear" w:color="auto" w:fill="FFFFFF"/>
        </w:rPr>
      </w:pPr>
      <w:r w:rsidRPr="00401753">
        <w:rPr>
          <w:rFonts w:ascii="Arial" w:hAnsi="Arial" w:cs="Arial"/>
          <w:b/>
          <w:color w:val="000000"/>
          <w:sz w:val="24"/>
          <w:szCs w:val="22"/>
          <w:shd w:val="clear" w:color="auto" w:fill="FFFFFF"/>
        </w:rPr>
        <w:t>Role of the funding source</w:t>
      </w:r>
    </w:p>
    <w:p w:rsidR="00940D10" w:rsidRDefault="00940D10" w:rsidP="004B442A">
      <w:pPr>
        <w:spacing w:line="480" w:lineRule="auto"/>
        <w:jc w:val="both"/>
        <w:rPr>
          <w:rFonts w:ascii="Arial" w:hAnsi="Arial" w:cs="Arial"/>
          <w:color w:val="000000"/>
          <w:sz w:val="24"/>
          <w:szCs w:val="22"/>
          <w:shd w:val="clear" w:color="auto" w:fill="FFFFFF"/>
        </w:rPr>
      </w:pPr>
      <w:r w:rsidRPr="00C83B66">
        <w:rPr>
          <w:rFonts w:ascii="Arial" w:hAnsi="Arial" w:cs="Arial"/>
          <w:sz w:val="24"/>
          <w:szCs w:val="24"/>
        </w:rPr>
        <w:t>The funder of the study had no role in study design, data collection, data analysis, data interpretation, or writing of the report. The corresponding author had full access to all the data in the study and had final responsibility for the decision to submit for publication.</w:t>
      </w:r>
    </w:p>
    <w:p w:rsidR="00EE4558" w:rsidRPr="00F9446A" w:rsidRDefault="00EE4558" w:rsidP="0080664C">
      <w:pPr>
        <w:pStyle w:val="Paragraph"/>
        <w:ind w:firstLine="0"/>
        <w:jc w:val="both"/>
        <w:rPr>
          <w:rFonts w:ascii="Arial" w:hAnsi="Arial" w:cs="Arial"/>
          <w:szCs w:val="22"/>
        </w:rPr>
      </w:pPr>
      <w:r w:rsidRPr="00F9446A">
        <w:rPr>
          <w:rFonts w:ascii="Arial" w:hAnsi="Arial" w:cs="Arial"/>
          <w:b/>
          <w:szCs w:val="22"/>
        </w:rPr>
        <w:br w:type="page"/>
      </w:r>
      <w:r w:rsidRPr="00F9446A">
        <w:rPr>
          <w:rFonts w:ascii="Arial" w:hAnsi="Arial" w:cs="Arial"/>
          <w:b/>
          <w:szCs w:val="22"/>
        </w:rPr>
        <w:lastRenderedPageBreak/>
        <w:t>Results</w:t>
      </w:r>
      <w:r w:rsidRPr="00F9446A">
        <w:rPr>
          <w:rFonts w:ascii="Arial" w:hAnsi="Arial" w:cs="Arial"/>
          <w:szCs w:val="22"/>
        </w:rPr>
        <w:t xml:space="preserve"> </w:t>
      </w:r>
    </w:p>
    <w:p w:rsidR="00EE4558" w:rsidRPr="00F9446A" w:rsidRDefault="00EE4558" w:rsidP="0080664C">
      <w:pPr>
        <w:spacing w:line="480" w:lineRule="auto"/>
        <w:jc w:val="both"/>
        <w:rPr>
          <w:rFonts w:ascii="Arial" w:hAnsi="Arial" w:cs="Arial"/>
          <w:b/>
          <w:sz w:val="24"/>
          <w:szCs w:val="22"/>
        </w:rPr>
      </w:pPr>
    </w:p>
    <w:p w:rsidR="00EE4558" w:rsidRPr="00843A04" w:rsidRDefault="00EE4558" w:rsidP="0080664C">
      <w:pPr>
        <w:spacing w:line="480" w:lineRule="auto"/>
        <w:jc w:val="both"/>
        <w:rPr>
          <w:rFonts w:ascii="Arial" w:hAnsi="Arial" w:cs="Arial"/>
          <w:i/>
          <w:sz w:val="24"/>
          <w:szCs w:val="22"/>
        </w:rPr>
      </w:pPr>
      <w:r w:rsidRPr="00843A04">
        <w:rPr>
          <w:rFonts w:ascii="Arial" w:hAnsi="Arial" w:cs="Arial"/>
          <w:i/>
          <w:sz w:val="24"/>
          <w:szCs w:val="22"/>
        </w:rPr>
        <w:t>Participants</w:t>
      </w:r>
    </w:p>
    <w:p w:rsidR="00EE4558" w:rsidRPr="00F9446A" w:rsidRDefault="00EE4558" w:rsidP="00882DF0">
      <w:pPr>
        <w:spacing w:line="480" w:lineRule="auto"/>
        <w:jc w:val="both"/>
        <w:rPr>
          <w:rFonts w:ascii="Arial" w:hAnsi="Arial" w:cs="Arial"/>
          <w:sz w:val="24"/>
          <w:szCs w:val="22"/>
        </w:rPr>
      </w:pPr>
      <w:r w:rsidRPr="00F9446A">
        <w:rPr>
          <w:rFonts w:ascii="Arial" w:hAnsi="Arial" w:cs="Arial"/>
          <w:sz w:val="24"/>
          <w:szCs w:val="22"/>
        </w:rPr>
        <w:t xml:space="preserve">Enrollment was conducted from </w:t>
      </w:r>
      <w:r>
        <w:rPr>
          <w:rFonts w:ascii="Arial" w:hAnsi="Arial" w:cs="Arial"/>
          <w:sz w:val="24"/>
          <w:szCs w:val="22"/>
        </w:rPr>
        <w:t>the 3</w:t>
      </w:r>
      <w:r w:rsidRPr="00CF734B">
        <w:rPr>
          <w:rFonts w:ascii="Arial" w:hAnsi="Arial" w:cs="Arial"/>
          <w:sz w:val="24"/>
          <w:szCs w:val="22"/>
          <w:vertAlign w:val="superscript"/>
        </w:rPr>
        <w:t>rd</w:t>
      </w:r>
      <w:r>
        <w:rPr>
          <w:rFonts w:ascii="Arial" w:hAnsi="Arial" w:cs="Arial"/>
          <w:sz w:val="24"/>
          <w:szCs w:val="22"/>
        </w:rPr>
        <w:t xml:space="preserve"> January,</w:t>
      </w:r>
      <w:r w:rsidRPr="00F9446A">
        <w:rPr>
          <w:rFonts w:ascii="Arial" w:hAnsi="Arial" w:cs="Arial"/>
          <w:sz w:val="24"/>
          <w:szCs w:val="22"/>
        </w:rPr>
        <w:t xml:space="preserve"> 2013 through </w:t>
      </w:r>
      <w:r>
        <w:rPr>
          <w:rFonts w:ascii="Arial" w:hAnsi="Arial" w:cs="Arial"/>
          <w:sz w:val="24"/>
          <w:szCs w:val="22"/>
        </w:rPr>
        <w:t>17</w:t>
      </w:r>
      <w:r w:rsidRPr="00CF734B">
        <w:rPr>
          <w:rFonts w:ascii="Arial" w:hAnsi="Arial" w:cs="Arial"/>
          <w:sz w:val="24"/>
          <w:szCs w:val="22"/>
          <w:vertAlign w:val="superscript"/>
        </w:rPr>
        <w:t>th</w:t>
      </w:r>
      <w:r>
        <w:rPr>
          <w:rFonts w:ascii="Arial" w:hAnsi="Arial" w:cs="Arial"/>
          <w:sz w:val="24"/>
          <w:szCs w:val="22"/>
        </w:rPr>
        <w:t xml:space="preserve"> </w:t>
      </w:r>
      <w:r w:rsidRPr="00F9446A">
        <w:rPr>
          <w:rFonts w:ascii="Arial" w:hAnsi="Arial" w:cs="Arial"/>
          <w:sz w:val="24"/>
          <w:szCs w:val="22"/>
        </w:rPr>
        <w:t>February</w:t>
      </w:r>
      <w:r>
        <w:rPr>
          <w:rFonts w:ascii="Arial" w:hAnsi="Arial" w:cs="Arial"/>
          <w:sz w:val="24"/>
          <w:szCs w:val="22"/>
        </w:rPr>
        <w:t>,</w:t>
      </w:r>
      <w:r w:rsidRPr="00F9446A">
        <w:rPr>
          <w:rFonts w:ascii="Arial" w:hAnsi="Arial" w:cs="Arial"/>
          <w:sz w:val="24"/>
          <w:szCs w:val="22"/>
        </w:rPr>
        <w:t xml:space="preserve"> 2014. Study follow up was completed </w:t>
      </w:r>
      <w:r>
        <w:rPr>
          <w:rFonts w:ascii="Arial" w:hAnsi="Arial" w:cs="Arial"/>
          <w:sz w:val="24"/>
          <w:szCs w:val="22"/>
        </w:rPr>
        <w:t>on the 4</w:t>
      </w:r>
      <w:r w:rsidRPr="00CF734B">
        <w:rPr>
          <w:rFonts w:ascii="Arial" w:hAnsi="Arial" w:cs="Arial"/>
          <w:sz w:val="24"/>
          <w:szCs w:val="22"/>
          <w:vertAlign w:val="superscript"/>
        </w:rPr>
        <w:t>th</w:t>
      </w:r>
      <w:r>
        <w:rPr>
          <w:rFonts w:ascii="Arial" w:hAnsi="Arial" w:cs="Arial"/>
          <w:sz w:val="24"/>
          <w:szCs w:val="22"/>
        </w:rPr>
        <w:t xml:space="preserve"> </w:t>
      </w:r>
      <w:r w:rsidRPr="00F9446A">
        <w:rPr>
          <w:rFonts w:ascii="Arial" w:hAnsi="Arial" w:cs="Arial"/>
          <w:sz w:val="24"/>
          <w:szCs w:val="22"/>
        </w:rPr>
        <w:t>August</w:t>
      </w:r>
      <w:r>
        <w:rPr>
          <w:rFonts w:ascii="Arial" w:hAnsi="Arial" w:cs="Arial"/>
          <w:sz w:val="24"/>
          <w:szCs w:val="22"/>
        </w:rPr>
        <w:t>,</w:t>
      </w:r>
      <w:r w:rsidRPr="00F9446A">
        <w:rPr>
          <w:rFonts w:ascii="Arial" w:hAnsi="Arial" w:cs="Arial"/>
          <w:sz w:val="24"/>
          <w:szCs w:val="22"/>
        </w:rPr>
        <w:t xml:space="preserve"> 2014. A total of 62 participants were screened and 36 were enrolled in the study (Figure 1</w:t>
      </w:r>
      <w:r w:rsidR="009F69C5">
        <w:rPr>
          <w:rFonts w:ascii="Arial" w:hAnsi="Arial" w:cs="Arial"/>
          <w:sz w:val="24"/>
          <w:szCs w:val="22"/>
        </w:rPr>
        <w:t xml:space="preserve"> and Table 1</w:t>
      </w:r>
      <w:r w:rsidRPr="00F9446A">
        <w:rPr>
          <w:rFonts w:ascii="Arial" w:hAnsi="Arial" w:cs="Arial"/>
          <w:sz w:val="24"/>
          <w:szCs w:val="22"/>
        </w:rPr>
        <w:t xml:space="preserve">). </w:t>
      </w:r>
      <w:r w:rsidR="00505C44">
        <w:rPr>
          <w:rFonts w:ascii="Arial" w:hAnsi="Arial" w:cs="Arial"/>
          <w:noProof/>
          <w:sz w:val="24"/>
          <w:szCs w:val="22"/>
        </w:rPr>
        <w:pict>
          <v:rect id="_x0000_s1026" style="position:absolute;left:0;text-align:left;margin-left:21.45pt;margin-top:31.7pt;width:63.85pt;height:28.1pt;z-index:251659264;mso-position-horizontal-relative:text;mso-position-vertical-relative:text" filled="f" stroked="f"/>
        </w:pict>
      </w:r>
      <w:r w:rsidRPr="00F9446A">
        <w:rPr>
          <w:rFonts w:ascii="Arial" w:hAnsi="Arial" w:cs="Arial"/>
          <w:sz w:val="24"/>
          <w:szCs w:val="22"/>
        </w:rPr>
        <w:t>Eighteen of the participants (12 females and 6 males) received a single 1200 mg dose of RPV LA and 18 participants (12 females and 6 males) received a single 600 mg dose. All 36 participants completed the original final study visit (Visit 12; 112 days post dose). Seven of the 24 female participants completed two additional visits; Visits 12A and 12B (28 and 56 days following Visit 12 respectively) and two female participants completed Visit 12A but not Visit 12B. Although the study participants were not randomized there were no significant demographic differences between the two groups (1200 mg versus 600 mg RPV LA).</w:t>
      </w:r>
    </w:p>
    <w:p w:rsidR="00EE4558" w:rsidRPr="00F9446A" w:rsidRDefault="00EE4558" w:rsidP="0080664C">
      <w:pPr>
        <w:spacing w:line="480" w:lineRule="auto"/>
        <w:jc w:val="both"/>
        <w:rPr>
          <w:rFonts w:ascii="Arial" w:hAnsi="Arial" w:cs="Arial"/>
          <w:sz w:val="24"/>
          <w:szCs w:val="22"/>
        </w:rPr>
      </w:pPr>
    </w:p>
    <w:p w:rsidR="00EE4558" w:rsidRPr="00843A04" w:rsidRDefault="00EE4558" w:rsidP="00685943">
      <w:pPr>
        <w:spacing w:line="480" w:lineRule="auto"/>
        <w:jc w:val="both"/>
        <w:rPr>
          <w:rFonts w:ascii="Arial" w:hAnsi="Arial" w:cs="Arial"/>
          <w:i/>
          <w:sz w:val="24"/>
          <w:szCs w:val="22"/>
        </w:rPr>
      </w:pPr>
      <w:r w:rsidRPr="00843A04">
        <w:rPr>
          <w:rFonts w:ascii="Arial" w:hAnsi="Arial" w:cs="Arial"/>
          <w:i/>
          <w:sz w:val="24"/>
          <w:szCs w:val="22"/>
        </w:rPr>
        <w:t>Safety</w:t>
      </w:r>
    </w:p>
    <w:p w:rsidR="00EE4558" w:rsidRPr="00F9446A" w:rsidRDefault="00EE4558" w:rsidP="0080664C">
      <w:pPr>
        <w:spacing w:line="480" w:lineRule="auto"/>
        <w:jc w:val="both"/>
        <w:rPr>
          <w:rFonts w:ascii="Arial" w:hAnsi="Arial" w:cs="Arial"/>
          <w:b/>
          <w:sz w:val="24"/>
          <w:szCs w:val="22"/>
        </w:rPr>
      </w:pPr>
    </w:p>
    <w:p w:rsidR="00EE4558" w:rsidRPr="00F9446A" w:rsidRDefault="00EE4558" w:rsidP="000251AE">
      <w:pPr>
        <w:spacing w:line="480" w:lineRule="auto"/>
        <w:jc w:val="both"/>
        <w:rPr>
          <w:rFonts w:ascii="Arial" w:hAnsi="Arial" w:cs="Arial"/>
          <w:sz w:val="24"/>
          <w:szCs w:val="22"/>
        </w:rPr>
      </w:pPr>
      <w:r>
        <w:rPr>
          <w:rFonts w:ascii="Arial" w:hAnsi="Arial" w:cs="Arial"/>
          <w:sz w:val="24"/>
          <w:szCs w:val="22"/>
        </w:rPr>
        <w:t>For the primary safety endpoint, t</w:t>
      </w:r>
      <w:r w:rsidRPr="00F9446A">
        <w:rPr>
          <w:rFonts w:ascii="Arial" w:hAnsi="Arial" w:cs="Arial"/>
          <w:sz w:val="24"/>
          <w:szCs w:val="22"/>
        </w:rPr>
        <w:t xml:space="preserve">here were a total of </w:t>
      </w:r>
      <w:r>
        <w:rPr>
          <w:rFonts w:ascii="Arial" w:hAnsi="Arial" w:cs="Arial"/>
          <w:sz w:val="24"/>
          <w:szCs w:val="22"/>
        </w:rPr>
        <w:t>204</w:t>
      </w:r>
      <w:r w:rsidRPr="00F9446A">
        <w:rPr>
          <w:rFonts w:ascii="Arial" w:hAnsi="Arial" w:cs="Arial"/>
          <w:sz w:val="24"/>
          <w:szCs w:val="22"/>
        </w:rPr>
        <w:t xml:space="preserve"> adverse events (AEs) reported in 36 participants: </w:t>
      </w:r>
      <w:r>
        <w:rPr>
          <w:rFonts w:ascii="Arial" w:hAnsi="Arial" w:cs="Arial"/>
          <w:sz w:val="24"/>
          <w:szCs w:val="22"/>
        </w:rPr>
        <w:t>170</w:t>
      </w:r>
      <w:r w:rsidRPr="00F9446A">
        <w:rPr>
          <w:rFonts w:ascii="Arial" w:hAnsi="Arial" w:cs="Arial"/>
          <w:sz w:val="24"/>
          <w:szCs w:val="22"/>
        </w:rPr>
        <w:t xml:space="preserve"> (8</w:t>
      </w:r>
      <w:r>
        <w:rPr>
          <w:rFonts w:ascii="Arial" w:hAnsi="Arial" w:cs="Arial"/>
          <w:sz w:val="24"/>
          <w:szCs w:val="22"/>
        </w:rPr>
        <w:t>3∙3</w:t>
      </w:r>
      <w:r w:rsidRPr="00F9446A">
        <w:rPr>
          <w:rFonts w:ascii="Arial" w:hAnsi="Arial" w:cs="Arial"/>
          <w:sz w:val="24"/>
          <w:szCs w:val="22"/>
        </w:rPr>
        <w:t>%) Grade 1, 30 (1</w:t>
      </w:r>
      <w:r>
        <w:rPr>
          <w:rFonts w:ascii="Arial" w:hAnsi="Arial" w:cs="Arial"/>
          <w:sz w:val="24"/>
          <w:szCs w:val="22"/>
        </w:rPr>
        <w:t>4∙7</w:t>
      </w:r>
      <w:r w:rsidRPr="00F9446A">
        <w:rPr>
          <w:rFonts w:ascii="Arial" w:hAnsi="Arial" w:cs="Arial"/>
          <w:sz w:val="24"/>
          <w:szCs w:val="22"/>
        </w:rPr>
        <w:t>%) Grade 2, 2 (</w:t>
      </w:r>
      <w:r>
        <w:rPr>
          <w:rFonts w:ascii="Arial" w:hAnsi="Arial" w:cs="Arial"/>
          <w:sz w:val="24"/>
          <w:szCs w:val="22"/>
        </w:rPr>
        <w:t>1∙0</w:t>
      </w:r>
      <w:r w:rsidRPr="00F9446A">
        <w:rPr>
          <w:rFonts w:ascii="Arial" w:hAnsi="Arial" w:cs="Arial"/>
          <w:sz w:val="24"/>
          <w:szCs w:val="22"/>
        </w:rPr>
        <w:t>%) Grade 3, and 2 (</w:t>
      </w:r>
      <w:r>
        <w:rPr>
          <w:rFonts w:ascii="Arial" w:hAnsi="Arial" w:cs="Arial"/>
          <w:sz w:val="24"/>
          <w:szCs w:val="22"/>
        </w:rPr>
        <w:t>1∙0</w:t>
      </w:r>
      <w:r w:rsidRPr="00F9446A">
        <w:rPr>
          <w:rFonts w:ascii="Arial" w:hAnsi="Arial" w:cs="Arial"/>
          <w:sz w:val="24"/>
          <w:szCs w:val="22"/>
        </w:rPr>
        <w:t xml:space="preserve">%) Grade 4 (Table 2). All Grade 3 and 4 AEs were deemed Not Related to study product. There were no statistically significant differences in Grade 2 or higher AE reporting at a participant level within sex cohorts between the 1200mg and 600mg dose (Table </w:t>
      </w:r>
      <w:r>
        <w:rPr>
          <w:rFonts w:ascii="Arial" w:hAnsi="Arial" w:cs="Arial"/>
          <w:sz w:val="24"/>
          <w:szCs w:val="22"/>
        </w:rPr>
        <w:t>2</w:t>
      </w:r>
      <w:r w:rsidRPr="00F9446A">
        <w:rPr>
          <w:rFonts w:ascii="Arial" w:hAnsi="Arial" w:cs="Arial"/>
          <w:sz w:val="24"/>
          <w:szCs w:val="22"/>
        </w:rPr>
        <w:t>). Injection site reaction (ISR) was the most frequent AE, and was reported in 3</w:t>
      </w:r>
      <w:r>
        <w:rPr>
          <w:rFonts w:ascii="Arial" w:hAnsi="Arial" w:cs="Arial"/>
          <w:sz w:val="24"/>
          <w:szCs w:val="22"/>
        </w:rPr>
        <w:t>2</w:t>
      </w:r>
      <w:r w:rsidRPr="00F9446A">
        <w:rPr>
          <w:rFonts w:ascii="Arial" w:hAnsi="Arial" w:cs="Arial"/>
          <w:sz w:val="24"/>
          <w:szCs w:val="22"/>
        </w:rPr>
        <w:t xml:space="preserve"> </w:t>
      </w:r>
      <w:r>
        <w:rPr>
          <w:rFonts w:ascii="Arial" w:hAnsi="Arial" w:cs="Arial"/>
          <w:sz w:val="24"/>
          <w:szCs w:val="22"/>
        </w:rPr>
        <w:t xml:space="preserve">of 36 </w:t>
      </w:r>
      <w:r w:rsidRPr="00F9446A">
        <w:rPr>
          <w:rFonts w:ascii="Arial" w:hAnsi="Arial" w:cs="Arial"/>
          <w:sz w:val="24"/>
          <w:szCs w:val="22"/>
        </w:rPr>
        <w:t xml:space="preserve">participants. In both male and female cohorts, the ratio of </w:t>
      </w:r>
      <w:r>
        <w:rPr>
          <w:rFonts w:ascii="Arial" w:hAnsi="Arial" w:cs="Arial"/>
          <w:sz w:val="24"/>
          <w:szCs w:val="22"/>
        </w:rPr>
        <w:t xml:space="preserve">participants with </w:t>
      </w:r>
      <w:r w:rsidRPr="00F9446A">
        <w:rPr>
          <w:rFonts w:ascii="Arial" w:hAnsi="Arial" w:cs="Arial"/>
          <w:sz w:val="24"/>
          <w:szCs w:val="22"/>
        </w:rPr>
        <w:lastRenderedPageBreak/>
        <w:t>Grade 1/2 ISR AEs was approximately 2:1 (</w:t>
      </w:r>
      <w:r w:rsidR="00C83B66">
        <w:rPr>
          <w:rFonts w:ascii="Arial" w:hAnsi="Arial" w:cs="Arial"/>
          <w:sz w:val="24"/>
          <w:szCs w:val="22"/>
        </w:rPr>
        <w:t>appendix p 5</w:t>
      </w:r>
      <w:r w:rsidRPr="00F9446A">
        <w:rPr>
          <w:rFonts w:ascii="Arial" w:hAnsi="Arial" w:cs="Arial"/>
          <w:sz w:val="24"/>
          <w:szCs w:val="22"/>
        </w:rPr>
        <w:t xml:space="preserve">). The average length of Grade 1 and 2 ISR AEs was 2-3 days and 1-2 days, respectively in all participants. </w:t>
      </w:r>
    </w:p>
    <w:p w:rsidR="00EE4558" w:rsidRPr="00F9446A" w:rsidRDefault="00EE4558" w:rsidP="000251AE">
      <w:pPr>
        <w:spacing w:line="480" w:lineRule="auto"/>
        <w:jc w:val="both"/>
        <w:rPr>
          <w:rFonts w:ascii="Arial" w:hAnsi="Arial" w:cs="Arial"/>
          <w:sz w:val="24"/>
          <w:szCs w:val="22"/>
        </w:rPr>
      </w:pPr>
    </w:p>
    <w:p w:rsidR="00EE4558" w:rsidRPr="00F9446A" w:rsidRDefault="00EE4558" w:rsidP="000251AE">
      <w:pPr>
        <w:spacing w:line="480" w:lineRule="auto"/>
        <w:jc w:val="both"/>
        <w:rPr>
          <w:rFonts w:ascii="Arial" w:hAnsi="Arial" w:cs="Arial"/>
          <w:sz w:val="24"/>
          <w:szCs w:val="22"/>
        </w:rPr>
      </w:pPr>
      <w:r w:rsidRPr="00F9446A">
        <w:rPr>
          <w:rFonts w:ascii="Arial" w:hAnsi="Arial" w:cs="Arial"/>
          <w:sz w:val="24"/>
          <w:szCs w:val="22"/>
        </w:rPr>
        <w:t xml:space="preserve">Electrocardiograms were performed throughout the study. There were </w:t>
      </w:r>
      <w:r>
        <w:rPr>
          <w:rFonts w:ascii="Arial" w:hAnsi="Arial" w:cs="Arial"/>
          <w:sz w:val="24"/>
          <w:szCs w:val="22"/>
        </w:rPr>
        <w:t>2</w:t>
      </w:r>
      <w:r w:rsidRPr="00F9446A">
        <w:rPr>
          <w:rFonts w:ascii="Arial" w:hAnsi="Arial" w:cs="Arial"/>
          <w:sz w:val="24"/>
          <w:szCs w:val="22"/>
        </w:rPr>
        <w:t>8 participants with a prolonged QT interval (QTc) (</w:t>
      </w:r>
      <w:r>
        <w:rPr>
          <w:rFonts w:ascii="Arial" w:hAnsi="Arial" w:cs="Arial"/>
          <w:sz w:val="24"/>
          <w:szCs w:val="22"/>
        </w:rPr>
        <w:t>26 participants with</w:t>
      </w:r>
      <w:r w:rsidRPr="00F9446A">
        <w:rPr>
          <w:rFonts w:ascii="Arial" w:hAnsi="Arial" w:cs="Arial"/>
          <w:sz w:val="24"/>
          <w:szCs w:val="22"/>
        </w:rPr>
        <w:t xml:space="preserve"> Grade 1 and 2 </w:t>
      </w:r>
      <w:r>
        <w:rPr>
          <w:rFonts w:ascii="Arial" w:hAnsi="Arial" w:cs="Arial"/>
          <w:sz w:val="24"/>
          <w:szCs w:val="22"/>
        </w:rPr>
        <w:t xml:space="preserve">participants with </w:t>
      </w:r>
      <w:r w:rsidRPr="00F9446A">
        <w:rPr>
          <w:rFonts w:ascii="Arial" w:hAnsi="Arial" w:cs="Arial"/>
          <w:sz w:val="24"/>
          <w:szCs w:val="22"/>
        </w:rPr>
        <w:t>Grade 2). Both Grade 2 AES were in the 1200mg cohort (</w:t>
      </w:r>
      <w:r w:rsidR="00C83B66">
        <w:rPr>
          <w:rFonts w:ascii="Arial" w:hAnsi="Arial" w:cs="Arial"/>
          <w:sz w:val="24"/>
          <w:szCs w:val="22"/>
        </w:rPr>
        <w:t>appendix p 5</w:t>
      </w:r>
      <w:r w:rsidRPr="00F9446A">
        <w:rPr>
          <w:rFonts w:ascii="Arial" w:hAnsi="Arial" w:cs="Arial"/>
          <w:sz w:val="24"/>
          <w:szCs w:val="22"/>
        </w:rPr>
        <w:t>).</w:t>
      </w:r>
      <w:r w:rsidRPr="00F9446A">
        <w:rPr>
          <w:sz w:val="22"/>
        </w:rPr>
        <w:t xml:space="preserve"> </w:t>
      </w:r>
      <w:r w:rsidRPr="00F9446A">
        <w:rPr>
          <w:rFonts w:ascii="Arial" w:hAnsi="Arial" w:cs="Arial"/>
          <w:sz w:val="24"/>
          <w:szCs w:val="22"/>
        </w:rPr>
        <w:t>There was one skin rash reported du</w:t>
      </w:r>
      <w:r>
        <w:rPr>
          <w:rFonts w:ascii="Arial" w:hAnsi="Arial" w:cs="Arial"/>
          <w:sz w:val="24"/>
          <w:szCs w:val="22"/>
        </w:rPr>
        <w:t>ring the study that was deemed possibly r</w:t>
      </w:r>
      <w:r w:rsidRPr="00F9446A">
        <w:rPr>
          <w:rFonts w:ascii="Arial" w:hAnsi="Arial" w:cs="Arial"/>
          <w:sz w:val="24"/>
          <w:szCs w:val="22"/>
        </w:rPr>
        <w:t xml:space="preserve">elated to product. The rash was noted at Visit 4, was Grade 1, and resolved spontaneously after 5 days. </w:t>
      </w:r>
    </w:p>
    <w:p w:rsidR="00EE4558" w:rsidRPr="00F9446A" w:rsidRDefault="00EE4558" w:rsidP="0080664C">
      <w:pPr>
        <w:spacing w:line="480" w:lineRule="auto"/>
        <w:jc w:val="both"/>
        <w:rPr>
          <w:rFonts w:ascii="Arial" w:hAnsi="Arial" w:cs="Arial"/>
          <w:sz w:val="24"/>
          <w:szCs w:val="22"/>
        </w:rPr>
      </w:pPr>
    </w:p>
    <w:p w:rsidR="00EE4558" w:rsidRPr="00F9446A" w:rsidRDefault="00EE4558" w:rsidP="0080664C">
      <w:pPr>
        <w:spacing w:line="480" w:lineRule="auto"/>
        <w:jc w:val="both"/>
        <w:rPr>
          <w:rFonts w:ascii="Arial" w:hAnsi="Arial" w:cs="Arial"/>
          <w:b/>
          <w:sz w:val="24"/>
          <w:szCs w:val="22"/>
        </w:rPr>
      </w:pPr>
      <w:r w:rsidRPr="00F9446A">
        <w:rPr>
          <w:rFonts w:ascii="Arial" w:hAnsi="Arial" w:cs="Arial"/>
          <w:b/>
          <w:sz w:val="24"/>
          <w:szCs w:val="22"/>
        </w:rPr>
        <w:t>Behavioral Evaluation and Product Acceptability</w:t>
      </w:r>
    </w:p>
    <w:p w:rsidR="00EE4558" w:rsidRPr="00F9446A" w:rsidRDefault="00EE4558" w:rsidP="00E33784">
      <w:pPr>
        <w:spacing w:line="480" w:lineRule="auto"/>
        <w:jc w:val="both"/>
        <w:rPr>
          <w:rFonts w:ascii="Arial" w:hAnsi="Arial" w:cs="Arial"/>
          <w:sz w:val="24"/>
          <w:szCs w:val="22"/>
        </w:rPr>
      </w:pPr>
      <w:r w:rsidRPr="00F9446A">
        <w:rPr>
          <w:rFonts w:ascii="Arial" w:hAnsi="Arial" w:cs="Arial"/>
          <w:sz w:val="24"/>
          <w:szCs w:val="22"/>
        </w:rPr>
        <w:t xml:space="preserve">Overall, participants reported </w:t>
      </w:r>
      <w:r>
        <w:rPr>
          <w:rFonts w:ascii="Arial" w:hAnsi="Arial" w:cs="Arial"/>
          <w:sz w:val="24"/>
          <w:szCs w:val="22"/>
        </w:rPr>
        <w:t>acceptable</w:t>
      </w:r>
      <w:r w:rsidRPr="00F9446A">
        <w:rPr>
          <w:rFonts w:ascii="Arial" w:hAnsi="Arial" w:cs="Arial"/>
          <w:sz w:val="24"/>
          <w:szCs w:val="22"/>
        </w:rPr>
        <w:t xml:space="preserve"> levels of anxiety related to injections (Mean score (M) =</w:t>
      </w:r>
      <w:r>
        <w:rPr>
          <w:rFonts w:ascii="Arial" w:hAnsi="Arial" w:cs="Arial"/>
          <w:sz w:val="24"/>
          <w:szCs w:val="22"/>
        </w:rPr>
        <w:t xml:space="preserve"> </w:t>
      </w:r>
      <w:r w:rsidRPr="00F9446A">
        <w:rPr>
          <w:rFonts w:ascii="Arial" w:hAnsi="Arial" w:cs="Arial"/>
          <w:sz w:val="24"/>
          <w:szCs w:val="22"/>
        </w:rPr>
        <w:t>6</w:t>
      </w:r>
      <w:r>
        <w:rPr>
          <w:rFonts w:ascii="Arial" w:hAnsi="Arial" w:cs="Arial"/>
          <w:sz w:val="24"/>
          <w:szCs w:val="22"/>
        </w:rPr>
        <w:t>∙</w:t>
      </w:r>
      <w:r w:rsidRPr="00F9446A">
        <w:rPr>
          <w:rFonts w:ascii="Arial" w:hAnsi="Arial" w:cs="Arial"/>
          <w:sz w:val="24"/>
          <w:szCs w:val="22"/>
        </w:rPr>
        <w:t>6, SD</w:t>
      </w:r>
      <w:r>
        <w:rPr>
          <w:rFonts w:ascii="Arial" w:hAnsi="Arial" w:cs="Arial"/>
          <w:sz w:val="24"/>
          <w:szCs w:val="22"/>
        </w:rPr>
        <w:t xml:space="preserve"> </w:t>
      </w:r>
      <w:r w:rsidRPr="00F9446A">
        <w:rPr>
          <w:rFonts w:ascii="Arial" w:hAnsi="Arial" w:cs="Arial"/>
          <w:sz w:val="24"/>
          <w:szCs w:val="22"/>
        </w:rPr>
        <w:t>=</w:t>
      </w:r>
      <w:r>
        <w:rPr>
          <w:rFonts w:ascii="Arial" w:hAnsi="Arial" w:cs="Arial"/>
          <w:sz w:val="24"/>
          <w:szCs w:val="22"/>
        </w:rPr>
        <w:t xml:space="preserve"> </w:t>
      </w:r>
      <w:r w:rsidRPr="00F9446A">
        <w:rPr>
          <w:rFonts w:ascii="Arial" w:hAnsi="Arial" w:cs="Arial"/>
          <w:sz w:val="24"/>
          <w:szCs w:val="22"/>
        </w:rPr>
        <w:t>2</w:t>
      </w:r>
      <w:r>
        <w:rPr>
          <w:rFonts w:ascii="Arial" w:hAnsi="Arial" w:cs="Arial"/>
          <w:sz w:val="24"/>
          <w:szCs w:val="22"/>
        </w:rPr>
        <w:t>∙</w:t>
      </w:r>
      <w:r w:rsidRPr="00F9446A">
        <w:rPr>
          <w:rFonts w:ascii="Arial" w:hAnsi="Arial" w:cs="Arial"/>
          <w:sz w:val="24"/>
          <w:szCs w:val="22"/>
        </w:rPr>
        <w:t>4). On average, however, anxiety was significant lower among women than men (β</w:t>
      </w:r>
      <w:r>
        <w:rPr>
          <w:rFonts w:ascii="Arial" w:hAnsi="Arial" w:cs="Arial"/>
          <w:sz w:val="24"/>
          <w:szCs w:val="22"/>
        </w:rPr>
        <w:t xml:space="preserve"> </w:t>
      </w:r>
      <w:r w:rsidRPr="00F9446A">
        <w:rPr>
          <w:rFonts w:ascii="Arial" w:hAnsi="Arial" w:cs="Arial"/>
          <w:sz w:val="24"/>
          <w:szCs w:val="22"/>
        </w:rPr>
        <w:t>=</w:t>
      </w:r>
      <w:r>
        <w:rPr>
          <w:rFonts w:ascii="Arial" w:hAnsi="Arial" w:cs="Arial"/>
          <w:sz w:val="24"/>
          <w:szCs w:val="22"/>
        </w:rPr>
        <w:t xml:space="preserve"> </w:t>
      </w:r>
      <w:r w:rsidRPr="00F9446A">
        <w:rPr>
          <w:rFonts w:ascii="Arial" w:hAnsi="Arial" w:cs="Arial"/>
          <w:sz w:val="24"/>
          <w:szCs w:val="22"/>
        </w:rPr>
        <w:t>-1</w:t>
      </w:r>
      <w:r>
        <w:rPr>
          <w:rFonts w:ascii="Arial" w:hAnsi="Arial" w:cs="Arial"/>
          <w:sz w:val="24"/>
          <w:szCs w:val="22"/>
        </w:rPr>
        <w:t>∙</w:t>
      </w:r>
      <w:r w:rsidRPr="00F9446A">
        <w:rPr>
          <w:rFonts w:ascii="Arial" w:hAnsi="Arial" w:cs="Arial"/>
          <w:sz w:val="24"/>
          <w:szCs w:val="22"/>
        </w:rPr>
        <w:t>78, p</w:t>
      </w:r>
      <w:r>
        <w:rPr>
          <w:rFonts w:ascii="Arial" w:hAnsi="Arial" w:cs="Arial"/>
          <w:sz w:val="24"/>
          <w:szCs w:val="22"/>
        </w:rPr>
        <w:t xml:space="preserve"> </w:t>
      </w:r>
      <w:r w:rsidRPr="00F9446A">
        <w:rPr>
          <w:rFonts w:ascii="Arial" w:hAnsi="Arial" w:cs="Arial"/>
          <w:sz w:val="24"/>
          <w:szCs w:val="22"/>
        </w:rPr>
        <w:t>=</w:t>
      </w:r>
      <w:r>
        <w:rPr>
          <w:rFonts w:ascii="Arial" w:hAnsi="Arial" w:cs="Arial"/>
          <w:sz w:val="24"/>
          <w:szCs w:val="22"/>
        </w:rPr>
        <w:t xml:space="preserve"> </w:t>
      </w:r>
      <w:r w:rsidRPr="00F9446A">
        <w:rPr>
          <w:rFonts w:ascii="Arial" w:hAnsi="Arial" w:cs="Arial"/>
          <w:sz w:val="24"/>
          <w:szCs w:val="22"/>
        </w:rPr>
        <w:t>0</w:t>
      </w:r>
      <w:r>
        <w:rPr>
          <w:rFonts w:ascii="Arial" w:hAnsi="Arial" w:cs="Arial"/>
          <w:sz w:val="24"/>
          <w:szCs w:val="22"/>
        </w:rPr>
        <w:t>∙</w:t>
      </w:r>
      <w:r w:rsidRPr="00F9446A">
        <w:rPr>
          <w:rFonts w:ascii="Arial" w:hAnsi="Arial" w:cs="Arial"/>
          <w:sz w:val="24"/>
          <w:szCs w:val="22"/>
        </w:rPr>
        <w:t>04). Similarly, mean scores suggested participants did not experience pain associated with the injection (M</w:t>
      </w:r>
      <w:r>
        <w:rPr>
          <w:rFonts w:ascii="Arial" w:hAnsi="Arial" w:cs="Arial"/>
          <w:sz w:val="24"/>
          <w:szCs w:val="22"/>
        </w:rPr>
        <w:t xml:space="preserve"> </w:t>
      </w:r>
      <w:r w:rsidRPr="00F9446A">
        <w:rPr>
          <w:rFonts w:ascii="Arial" w:hAnsi="Arial" w:cs="Arial"/>
          <w:sz w:val="24"/>
          <w:szCs w:val="22"/>
        </w:rPr>
        <w:t>=</w:t>
      </w:r>
      <w:r>
        <w:rPr>
          <w:rFonts w:ascii="Arial" w:hAnsi="Arial" w:cs="Arial"/>
          <w:sz w:val="24"/>
          <w:szCs w:val="22"/>
        </w:rPr>
        <w:t xml:space="preserve"> </w:t>
      </w:r>
      <w:r w:rsidRPr="00F9446A">
        <w:rPr>
          <w:rFonts w:ascii="Arial" w:hAnsi="Arial" w:cs="Arial"/>
          <w:sz w:val="24"/>
          <w:szCs w:val="22"/>
        </w:rPr>
        <w:t>6</w:t>
      </w:r>
      <w:r>
        <w:rPr>
          <w:rFonts w:ascii="Arial" w:hAnsi="Arial" w:cs="Arial"/>
          <w:sz w:val="24"/>
          <w:szCs w:val="22"/>
        </w:rPr>
        <w:t>∙</w:t>
      </w:r>
      <w:r w:rsidRPr="00F9446A">
        <w:rPr>
          <w:rFonts w:ascii="Arial" w:hAnsi="Arial" w:cs="Arial"/>
          <w:sz w:val="24"/>
          <w:szCs w:val="22"/>
        </w:rPr>
        <w:t>6, SD</w:t>
      </w:r>
      <w:r>
        <w:rPr>
          <w:rFonts w:ascii="Arial" w:hAnsi="Arial" w:cs="Arial"/>
          <w:sz w:val="24"/>
          <w:szCs w:val="22"/>
        </w:rPr>
        <w:t xml:space="preserve"> </w:t>
      </w:r>
      <w:r w:rsidRPr="00F9446A">
        <w:rPr>
          <w:rFonts w:ascii="Arial" w:hAnsi="Arial" w:cs="Arial"/>
          <w:sz w:val="24"/>
          <w:szCs w:val="22"/>
        </w:rPr>
        <w:t>=</w:t>
      </w:r>
      <w:r>
        <w:rPr>
          <w:rFonts w:ascii="Arial" w:hAnsi="Arial" w:cs="Arial"/>
          <w:sz w:val="24"/>
          <w:szCs w:val="22"/>
        </w:rPr>
        <w:t xml:space="preserve"> </w:t>
      </w:r>
      <w:r w:rsidRPr="00F9446A">
        <w:rPr>
          <w:rFonts w:ascii="Arial" w:hAnsi="Arial" w:cs="Arial"/>
          <w:sz w:val="24"/>
          <w:szCs w:val="22"/>
        </w:rPr>
        <w:t>1</w:t>
      </w:r>
      <w:r>
        <w:rPr>
          <w:rFonts w:ascii="Arial" w:hAnsi="Arial" w:cs="Arial"/>
          <w:sz w:val="24"/>
          <w:szCs w:val="22"/>
        </w:rPr>
        <w:t>∙</w:t>
      </w:r>
      <w:r w:rsidRPr="00F9446A">
        <w:rPr>
          <w:rFonts w:ascii="Arial" w:hAnsi="Arial" w:cs="Arial"/>
          <w:sz w:val="24"/>
          <w:szCs w:val="22"/>
        </w:rPr>
        <w:t>98). These data, based on self-reported survey responses, differ from findings on injection site pain collected in the safety data. The behavioral data did not capture this difference.</w:t>
      </w:r>
    </w:p>
    <w:p w:rsidR="00560556" w:rsidRDefault="00560556" w:rsidP="0080664C">
      <w:pPr>
        <w:spacing w:line="480" w:lineRule="auto"/>
        <w:jc w:val="both"/>
        <w:rPr>
          <w:rFonts w:ascii="Arial" w:hAnsi="Arial" w:cs="Arial"/>
          <w:sz w:val="24"/>
          <w:szCs w:val="22"/>
        </w:rPr>
      </w:pPr>
    </w:p>
    <w:p w:rsidR="00EE4558" w:rsidRPr="00F9446A" w:rsidRDefault="00EE4558" w:rsidP="0080664C">
      <w:pPr>
        <w:spacing w:line="480" w:lineRule="auto"/>
        <w:jc w:val="both"/>
        <w:rPr>
          <w:rFonts w:ascii="Arial" w:hAnsi="Arial" w:cs="Arial"/>
          <w:sz w:val="24"/>
          <w:szCs w:val="22"/>
        </w:rPr>
      </w:pPr>
      <w:r w:rsidRPr="00F9446A">
        <w:rPr>
          <w:rFonts w:ascii="Arial" w:hAnsi="Arial" w:cs="Arial"/>
          <w:sz w:val="24"/>
          <w:szCs w:val="22"/>
        </w:rPr>
        <w:t>When asked about uptake of the product (assuming ‘very good’ protection), likelihood was high that participants reported they would use this product (M</w:t>
      </w:r>
      <w:r>
        <w:rPr>
          <w:rFonts w:ascii="Arial" w:hAnsi="Arial" w:cs="Arial"/>
          <w:sz w:val="24"/>
          <w:szCs w:val="22"/>
        </w:rPr>
        <w:t xml:space="preserve"> </w:t>
      </w:r>
      <w:r w:rsidRPr="00F9446A">
        <w:rPr>
          <w:rFonts w:ascii="Arial" w:hAnsi="Arial" w:cs="Arial"/>
          <w:sz w:val="24"/>
          <w:szCs w:val="22"/>
        </w:rPr>
        <w:t>=</w:t>
      </w:r>
      <w:r>
        <w:rPr>
          <w:rFonts w:ascii="Arial" w:hAnsi="Arial" w:cs="Arial"/>
          <w:sz w:val="24"/>
          <w:szCs w:val="22"/>
        </w:rPr>
        <w:t xml:space="preserve"> </w:t>
      </w:r>
      <w:r w:rsidRPr="00F9446A">
        <w:rPr>
          <w:rFonts w:ascii="Arial" w:hAnsi="Arial" w:cs="Arial"/>
          <w:sz w:val="24"/>
          <w:szCs w:val="22"/>
        </w:rPr>
        <w:t>6</w:t>
      </w:r>
      <w:r>
        <w:rPr>
          <w:rFonts w:ascii="Arial" w:hAnsi="Arial" w:cs="Arial"/>
          <w:sz w:val="24"/>
          <w:szCs w:val="22"/>
        </w:rPr>
        <w:t>∙</w:t>
      </w:r>
      <w:r w:rsidRPr="00F9446A">
        <w:rPr>
          <w:rFonts w:ascii="Arial" w:hAnsi="Arial" w:cs="Arial"/>
          <w:sz w:val="24"/>
          <w:szCs w:val="22"/>
        </w:rPr>
        <w:t>83 SD</w:t>
      </w:r>
      <w:r>
        <w:rPr>
          <w:rFonts w:ascii="Arial" w:hAnsi="Arial" w:cs="Arial"/>
          <w:sz w:val="24"/>
          <w:szCs w:val="22"/>
        </w:rPr>
        <w:t xml:space="preserve"> </w:t>
      </w:r>
      <w:r w:rsidRPr="00F9446A">
        <w:rPr>
          <w:rFonts w:ascii="Arial" w:hAnsi="Arial" w:cs="Arial"/>
          <w:sz w:val="24"/>
          <w:szCs w:val="22"/>
        </w:rPr>
        <w:t>=</w:t>
      </w:r>
      <w:r>
        <w:rPr>
          <w:rFonts w:ascii="Arial" w:hAnsi="Arial" w:cs="Arial"/>
          <w:sz w:val="24"/>
          <w:szCs w:val="22"/>
        </w:rPr>
        <w:t xml:space="preserve"> </w:t>
      </w:r>
      <w:r w:rsidRPr="00F9446A">
        <w:rPr>
          <w:rFonts w:ascii="Arial" w:hAnsi="Arial" w:cs="Arial"/>
          <w:sz w:val="24"/>
          <w:szCs w:val="22"/>
        </w:rPr>
        <w:t>2</w:t>
      </w:r>
      <w:r>
        <w:rPr>
          <w:rFonts w:ascii="Arial" w:hAnsi="Arial" w:cs="Arial"/>
          <w:sz w:val="24"/>
          <w:szCs w:val="22"/>
        </w:rPr>
        <w:t>∙</w:t>
      </w:r>
      <w:r w:rsidRPr="00F9446A">
        <w:rPr>
          <w:rFonts w:ascii="Arial" w:hAnsi="Arial" w:cs="Arial"/>
          <w:sz w:val="24"/>
          <w:szCs w:val="22"/>
        </w:rPr>
        <w:t>21). When asked if they might use the product given a specific price, the likelihood decreased as the price increased. At $25 the mean score was just over 6 (M</w:t>
      </w:r>
      <w:r>
        <w:rPr>
          <w:rFonts w:ascii="Arial" w:hAnsi="Arial" w:cs="Arial"/>
          <w:sz w:val="24"/>
          <w:szCs w:val="22"/>
        </w:rPr>
        <w:t xml:space="preserve"> </w:t>
      </w:r>
      <w:r w:rsidRPr="00F9446A">
        <w:rPr>
          <w:rFonts w:ascii="Arial" w:hAnsi="Arial" w:cs="Arial"/>
          <w:sz w:val="24"/>
          <w:szCs w:val="22"/>
        </w:rPr>
        <w:t>=</w:t>
      </w:r>
      <w:r>
        <w:rPr>
          <w:rFonts w:ascii="Arial" w:hAnsi="Arial" w:cs="Arial"/>
          <w:sz w:val="24"/>
          <w:szCs w:val="22"/>
        </w:rPr>
        <w:t xml:space="preserve"> </w:t>
      </w:r>
      <w:r w:rsidRPr="00F9446A">
        <w:rPr>
          <w:rFonts w:ascii="Arial" w:hAnsi="Arial" w:cs="Arial"/>
          <w:sz w:val="24"/>
          <w:szCs w:val="22"/>
        </w:rPr>
        <w:t>6</w:t>
      </w:r>
      <w:r>
        <w:rPr>
          <w:rFonts w:ascii="Arial" w:hAnsi="Arial" w:cs="Arial"/>
          <w:sz w:val="24"/>
          <w:szCs w:val="22"/>
        </w:rPr>
        <w:t>∙</w:t>
      </w:r>
      <w:r w:rsidRPr="00F9446A">
        <w:rPr>
          <w:rFonts w:ascii="Arial" w:hAnsi="Arial" w:cs="Arial"/>
          <w:sz w:val="24"/>
          <w:szCs w:val="22"/>
        </w:rPr>
        <w:t>29, SD</w:t>
      </w:r>
      <w:r>
        <w:rPr>
          <w:rFonts w:ascii="Arial" w:hAnsi="Arial" w:cs="Arial"/>
          <w:sz w:val="24"/>
          <w:szCs w:val="22"/>
        </w:rPr>
        <w:t xml:space="preserve"> </w:t>
      </w:r>
      <w:r w:rsidRPr="00F9446A">
        <w:rPr>
          <w:rFonts w:ascii="Arial" w:hAnsi="Arial" w:cs="Arial"/>
          <w:sz w:val="24"/>
          <w:szCs w:val="22"/>
        </w:rPr>
        <w:t>=</w:t>
      </w:r>
      <w:r>
        <w:rPr>
          <w:rFonts w:ascii="Arial" w:hAnsi="Arial" w:cs="Arial"/>
          <w:sz w:val="24"/>
          <w:szCs w:val="22"/>
        </w:rPr>
        <w:t xml:space="preserve"> </w:t>
      </w:r>
      <w:r w:rsidRPr="00F9446A">
        <w:rPr>
          <w:rFonts w:ascii="Arial" w:hAnsi="Arial" w:cs="Arial"/>
          <w:sz w:val="24"/>
          <w:szCs w:val="22"/>
        </w:rPr>
        <w:t>2</w:t>
      </w:r>
      <w:r>
        <w:rPr>
          <w:rFonts w:ascii="Arial" w:hAnsi="Arial" w:cs="Arial"/>
          <w:sz w:val="24"/>
          <w:szCs w:val="22"/>
        </w:rPr>
        <w:t>∙</w:t>
      </w:r>
      <w:r w:rsidRPr="00F9446A">
        <w:rPr>
          <w:rFonts w:ascii="Arial" w:hAnsi="Arial" w:cs="Arial"/>
          <w:sz w:val="24"/>
          <w:szCs w:val="22"/>
        </w:rPr>
        <w:t>31), at $50 the mean score dropped to about 5 (M</w:t>
      </w:r>
      <w:r>
        <w:rPr>
          <w:rFonts w:ascii="Arial" w:hAnsi="Arial" w:cs="Arial"/>
          <w:sz w:val="24"/>
          <w:szCs w:val="22"/>
        </w:rPr>
        <w:t xml:space="preserve"> </w:t>
      </w:r>
      <w:r w:rsidRPr="00F9446A">
        <w:rPr>
          <w:rFonts w:ascii="Arial" w:hAnsi="Arial" w:cs="Arial"/>
          <w:sz w:val="24"/>
          <w:szCs w:val="22"/>
        </w:rPr>
        <w:t>=</w:t>
      </w:r>
      <w:r>
        <w:rPr>
          <w:rFonts w:ascii="Arial" w:hAnsi="Arial" w:cs="Arial"/>
          <w:sz w:val="24"/>
          <w:szCs w:val="22"/>
        </w:rPr>
        <w:t xml:space="preserve"> </w:t>
      </w:r>
      <w:r w:rsidRPr="00F9446A">
        <w:rPr>
          <w:rFonts w:ascii="Arial" w:hAnsi="Arial" w:cs="Arial"/>
          <w:sz w:val="24"/>
          <w:szCs w:val="22"/>
        </w:rPr>
        <w:t>4</w:t>
      </w:r>
      <w:r>
        <w:rPr>
          <w:rFonts w:ascii="Arial" w:hAnsi="Arial" w:cs="Arial"/>
          <w:sz w:val="24"/>
          <w:szCs w:val="22"/>
        </w:rPr>
        <w:t>∙</w:t>
      </w:r>
      <w:r w:rsidRPr="00F9446A">
        <w:rPr>
          <w:rFonts w:ascii="Arial" w:hAnsi="Arial" w:cs="Arial"/>
          <w:sz w:val="24"/>
          <w:szCs w:val="22"/>
        </w:rPr>
        <w:t>92, SD</w:t>
      </w:r>
      <w:r>
        <w:rPr>
          <w:rFonts w:ascii="Arial" w:hAnsi="Arial" w:cs="Arial"/>
          <w:sz w:val="24"/>
          <w:szCs w:val="22"/>
        </w:rPr>
        <w:t xml:space="preserve"> </w:t>
      </w:r>
      <w:r w:rsidRPr="00F9446A">
        <w:rPr>
          <w:rFonts w:ascii="Arial" w:hAnsi="Arial" w:cs="Arial"/>
          <w:sz w:val="24"/>
          <w:szCs w:val="22"/>
        </w:rPr>
        <w:t>=</w:t>
      </w:r>
      <w:r>
        <w:rPr>
          <w:rFonts w:ascii="Arial" w:hAnsi="Arial" w:cs="Arial"/>
          <w:sz w:val="24"/>
          <w:szCs w:val="22"/>
        </w:rPr>
        <w:t xml:space="preserve"> </w:t>
      </w:r>
      <w:r w:rsidRPr="00F9446A">
        <w:rPr>
          <w:rFonts w:ascii="Arial" w:hAnsi="Arial" w:cs="Arial"/>
          <w:sz w:val="24"/>
          <w:szCs w:val="22"/>
        </w:rPr>
        <w:t>2</w:t>
      </w:r>
      <w:r>
        <w:rPr>
          <w:rFonts w:ascii="Arial" w:hAnsi="Arial" w:cs="Arial"/>
          <w:sz w:val="24"/>
          <w:szCs w:val="22"/>
        </w:rPr>
        <w:t>∙</w:t>
      </w:r>
      <w:r w:rsidRPr="00F9446A">
        <w:rPr>
          <w:rFonts w:ascii="Arial" w:hAnsi="Arial" w:cs="Arial"/>
          <w:sz w:val="24"/>
          <w:szCs w:val="22"/>
        </w:rPr>
        <w:t>16), and finally, at $100 the mean score dropped to less than 4 (M</w:t>
      </w:r>
      <w:r>
        <w:rPr>
          <w:rFonts w:ascii="Arial" w:hAnsi="Arial" w:cs="Arial"/>
          <w:sz w:val="24"/>
          <w:szCs w:val="22"/>
        </w:rPr>
        <w:t xml:space="preserve"> </w:t>
      </w:r>
      <w:r w:rsidRPr="00F9446A">
        <w:rPr>
          <w:rFonts w:ascii="Arial" w:hAnsi="Arial" w:cs="Arial"/>
          <w:sz w:val="24"/>
          <w:szCs w:val="22"/>
        </w:rPr>
        <w:t>=</w:t>
      </w:r>
      <w:r>
        <w:rPr>
          <w:rFonts w:ascii="Arial" w:hAnsi="Arial" w:cs="Arial"/>
          <w:sz w:val="24"/>
          <w:szCs w:val="22"/>
        </w:rPr>
        <w:t xml:space="preserve"> </w:t>
      </w:r>
      <w:r w:rsidRPr="00F9446A">
        <w:rPr>
          <w:rFonts w:ascii="Arial" w:hAnsi="Arial" w:cs="Arial"/>
          <w:sz w:val="24"/>
          <w:szCs w:val="22"/>
        </w:rPr>
        <w:t>3</w:t>
      </w:r>
      <w:r>
        <w:rPr>
          <w:rFonts w:ascii="Arial" w:hAnsi="Arial" w:cs="Arial"/>
          <w:sz w:val="24"/>
          <w:szCs w:val="22"/>
        </w:rPr>
        <w:t>∙</w:t>
      </w:r>
      <w:r w:rsidRPr="00F9446A">
        <w:rPr>
          <w:rFonts w:ascii="Arial" w:hAnsi="Arial" w:cs="Arial"/>
          <w:sz w:val="24"/>
          <w:szCs w:val="22"/>
        </w:rPr>
        <w:t>76, SD</w:t>
      </w:r>
      <w:r>
        <w:rPr>
          <w:rFonts w:ascii="Arial" w:hAnsi="Arial" w:cs="Arial"/>
          <w:sz w:val="24"/>
          <w:szCs w:val="22"/>
        </w:rPr>
        <w:t xml:space="preserve"> </w:t>
      </w:r>
      <w:r w:rsidRPr="00F9446A">
        <w:rPr>
          <w:rFonts w:ascii="Arial" w:hAnsi="Arial" w:cs="Arial"/>
          <w:sz w:val="24"/>
          <w:szCs w:val="22"/>
        </w:rPr>
        <w:t>=</w:t>
      </w:r>
      <w:r>
        <w:rPr>
          <w:rFonts w:ascii="Arial" w:hAnsi="Arial" w:cs="Arial"/>
          <w:sz w:val="24"/>
          <w:szCs w:val="22"/>
        </w:rPr>
        <w:t xml:space="preserve"> </w:t>
      </w:r>
      <w:r w:rsidRPr="00F9446A">
        <w:rPr>
          <w:rFonts w:ascii="Arial" w:hAnsi="Arial" w:cs="Arial"/>
          <w:sz w:val="24"/>
          <w:szCs w:val="22"/>
        </w:rPr>
        <w:t>2</w:t>
      </w:r>
      <w:r>
        <w:rPr>
          <w:rFonts w:ascii="Arial" w:hAnsi="Arial" w:cs="Arial"/>
          <w:sz w:val="24"/>
          <w:szCs w:val="22"/>
        </w:rPr>
        <w:t>∙</w:t>
      </w:r>
      <w:r w:rsidRPr="00F9446A">
        <w:rPr>
          <w:rFonts w:ascii="Arial" w:hAnsi="Arial" w:cs="Arial"/>
          <w:sz w:val="24"/>
          <w:szCs w:val="22"/>
        </w:rPr>
        <w:t>20).</w:t>
      </w:r>
      <w:r>
        <w:rPr>
          <w:rFonts w:ascii="Arial" w:hAnsi="Arial" w:cs="Arial"/>
          <w:sz w:val="24"/>
          <w:szCs w:val="22"/>
        </w:rPr>
        <w:t xml:space="preserve"> </w:t>
      </w:r>
      <w:r w:rsidRPr="00F9446A">
        <w:rPr>
          <w:rFonts w:ascii="Arial" w:hAnsi="Arial" w:cs="Arial"/>
          <w:sz w:val="24"/>
          <w:szCs w:val="22"/>
        </w:rPr>
        <w:t xml:space="preserve">Of the suggested </w:t>
      </w:r>
      <w:r>
        <w:rPr>
          <w:rFonts w:ascii="Arial" w:hAnsi="Arial" w:cs="Arial"/>
          <w:sz w:val="24"/>
          <w:szCs w:val="22"/>
        </w:rPr>
        <w:lastRenderedPageBreak/>
        <w:t>barriers</w:t>
      </w:r>
      <w:r w:rsidRPr="00F9446A">
        <w:rPr>
          <w:rFonts w:ascii="Arial" w:hAnsi="Arial" w:cs="Arial"/>
          <w:sz w:val="24"/>
          <w:szCs w:val="22"/>
        </w:rPr>
        <w:t xml:space="preserve"> to uptake, participants were most concerned with cost (M</w:t>
      </w:r>
      <w:r>
        <w:rPr>
          <w:rFonts w:ascii="Arial" w:hAnsi="Arial" w:cs="Arial"/>
          <w:sz w:val="24"/>
          <w:szCs w:val="22"/>
        </w:rPr>
        <w:t xml:space="preserve"> </w:t>
      </w:r>
      <w:r w:rsidRPr="00F9446A">
        <w:rPr>
          <w:rFonts w:ascii="Arial" w:hAnsi="Arial" w:cs="Arial"/>
          <w:sz w:val="24"/>
          <w:szCs w:val="22"/>
        </w:rPr>
        <w:t>=</w:t>
      </w:r>
      <w:r>
        <w:rPr>
          <w:rFonts w:ascii="Arial" w:hAnsi="Arial" w:cs="Arial"/>
          <w:sz w:val="24"/>
          <w:szCs w:val="22"/>
        </w:rPr>
        <w:t xml:space="preserve"> </w:t>
      </w:r>
      <w:r w:rsidRPr="00F9446A">
        <w:rPr>
          <w:rFonts w:ascii="Arial" w:hAnsi="Arial" w:cs="Arial"/>
          <w:sz w:val="24"/>
          <w:szCs w:val="22"/>
        </w:rPr>
        <w:t>7</w:t>
      </w:r>
      <w:r>
        <w:rPr>
          <w:rFonts w:ascii="Arial" w:hAnsi="Arial" w:cs="Arial"/>
          <w:sz w:val="24"/>
          <w:szCs w:val="22"/>
        </w:rPr>
        <w:t>∙</w:t>
      </w:r>
      <w:r w:rsidRPr="00F9446A">
        <w:rPr>
          <w:rFonts w:ascii="Arial" w:hAnsi="Arial" w:cs="Arial"/>
          <w:sz w:val="24"/>
          <w:szCs w:val="22"/>
        </w:rPr>
        <w:t>60, SD</w:t>
      </w:r>
      <w:r>
        <w:rPr>
          <w:rFonts w:ascii="Arial" w:hAnsi="Arial" w:cs="Arial"/>
          <w:sz w:val="24"/>
          <w:szCs w:val="22"/>
        </w:rPr>
        <w:t xml:space="preserve"> </w:t>
      </w:r>
      <w:r w:rsidRPr="00F9446A">
        <w:rPr>
          <w:rFonts w:ascii="Arial" w:hAnsi="Arial" w:cs="Arial"/>
          <w:sz w:val="24"/>
          <w:szCs w:val="22"/>
        </w:rPr>
        <w:t>=</w:t>
      </w:r>
      <w:r>
        <w:rPr>
          <w:rFonts w:ascii="Arial" w:hAnsi="Arial" w:cs="Arial"/>
          <w:sz w:val="24"/>
          <w:szCs w:val="22"/>
        </w:rPr>
        <w:t xml:space="preserve"> </w:t>
      </w:r>
      <w:r w:rsidRPr="00F9446A">
        <w:rPr>
          <w:rFonts w:ascii="Arial" w:hAnsi="Arial" w:cs="Arial"/>
          <w:sz w:val="24"/>
          <w:szCs w:val="22"/>
        </w:rPr>
        <w:t>2</w:t>
      </w:r>
      <w:r>
        <w:rPr>
          <w:rFonts w:ascii="Arial" w:hAnsi="Arial" w:cs="Arial"/>
          <w:sz w:val="24"/>
          <w:szCs w:val="22"/>
        </w:rPr>
        <w:t>∙</w:t>
      </w:r>
      <w:r w:rsidRPr="00F9446A">
        <w:rPr>
          <w:rFonts w:ascii="Arial" w:hAnsi="Arial" w:cs="Arial"/>
          <w:sz w:val="24"/>
          <w:szCs w:val="22"/>
        </w:rPr>
        <w:t>02), possible medication side effects (M</w:t>
      </w:r>
      <w:r>
        <w:rPr>
          <w:rFonts w:ascii="Arial" w:hAnsi="Arial" w:cs="Arial"/>
          <w:sz w:val="24"/>
          <w:szCs w:val="22"/>
        </w:rPr>
        <w:t xml:space="preserve"> </w:t>
      </w:r>
      <w:r w:rsidRPr="00F9446A">
        <w:rPr>
          <w:rFonts w:ascii="Arial" w:hAnsi="Arial" w:cs="Arial"/>
          <w:sz w:val="24"/>
          <w:szCs w:val="22"/>
        </w:rPr>
        <w:t>=</w:t>
      </w:r>
      <w:r>
        <w:rPr>
          <w:rFonts w:ascii="Arial" w:hAnsi="Arial" w:cs="Arial"/>
          <w:sz w:val="24"/>
          <w:szCs w:val="22"/>
        </w:rPr>
        <w:t xml:space="preserve"> </w:t>
      </w:r>
      <w:r w:rsidRPr="00F9446A">
        <w:rPr>
          <w:rFonts w:ascii="Arial" w:hAnsi="Arial" w:cs="Arial"/>
          <w:sz w:val="24"/>
          <w:szCs w:val="22"/>
        </w:rPr>
        <w:t>7</w:t>
      </w:r>
      <w:r>
        <w:rPr>
          <w:rFonts w:ascii="Arial" w:hAnsi="Arial" w:cs="Arial"/>
          <w:sz w:val="24"/>
          <w:szCs w:val="22"/>
        </w:rPr>
        <w:t>∙</w:t>
      </w:r>
      <w:r w:rsidRPr="00F9446A">
        <w:rPr>
          <w:rFonts w:ascii="Arial" w:hAnsi="Arial" w:cs="Arial"/>
          <w:sz w:val="24"/>
          <w:szCs w:val="22"/>
        </w:rPr>
        <w:t>19, SD</w:t>
      </w:r>
      <w:r>
        <w:rPr>
          <w:rFonts w:ascii="Arial" w:hAnsi="Arial" w:cs="Arial"/>
          <w:sz w:val="24"/>
          <w:szCs w:val="22"/>
        </w:rPr>
        <w:t xml:space="preserve"> </w:t>
      </w:r>
      <w:r w:rsidRPr="00F9446A">
        <w:rPr>
          <w:rFonts w:ascii="Arial" w:hAnsi="Arial" w:cs="Arial"/>
          <w:sz w:val="24"/>
          <w:szCs w:val="22"/>
        </w:rPr>
        <w:t>=</w:t>
      </w:r>
      <w:r>
        <w:rPr>
          <w:rFonts w:ascii="Arial" w:hAnsi="Arial" w:cs="Arial"/>
          <w:sz w:val="24"/>
          <w:szCs w:val="22"/>
        </w:rPr>
        <w:t xml:space="preserve"> </w:t>
      </w:r>
      <w:r w:rsidRPr="00F9446A">
        <w:rPr>
          <w:rFonts w:ascii="Arial" w:hAnsi="Arial" w:cs="Arial"/>
          <w:sz w:val="24"/>
          <w:szCs w:val="22"/>
        </w:rPr>
        <w:t>1</w:t>
      </w:r>
      <w:r>
        <w:rPr>
          <w:rFonts w:ascii="Arial" w:hAnsi="Arial" w:cs="Arial"/>
          <w:sz w:val="24"/>
          <w:szCs w:val="22"/>
        </w:rPr>
        <w:t>∙</w:t>
      </w:r>
      <w:r w:rsidRPr="00F9446A">
        <w:rPr>
          <w:rFonts w:ascii="Arial" w:hAnsi="Arial" w:cs="Arial"/>
          <w:sz w:val="24"/>
          <w:szCs w:val="22"/>
        </w:rPr>
        <w:t>98), and fear that medications could be harmful to their health (M</w:t>
      </w:r>
      <w:r>
        <w:rPr>
          <w:rFonts w:ascii="Arial" w:hAnsi="Arial" w:cs="Arial"/>
          <w:sz w:val="24"/>
          <w:szCs w:val="22"/>
        </w:rPr>
        <w:t xml:space="preserve"> </w:t>
      </w:r>
      <w:r w:rsidRPr="00F9446A">
        <w:rPr>
          <w:rFonts w:ascii="Arial" w:hAnsi="Arial" w:cs="Arial"/>
          <w:sz w:val="24"/>
          <w:szCs w:val="22"/>
        </w:rPr>
        <w:t>=</w:t>
      </w:r>
      <w:r>
        <w:rPr>
          <w:rFonts w:ascii="Arial" w:hAnsi="Arial" w:cs="Arial"/>
          <w:sz w:val="24"/>
          <w:szCs w:val="22"/>
        </w:rPr>
        <w:t xml:space="preserve"> </w:t>
      </w:r>
      <w:r w:rsidRPr="00F9446A">
        <w:rPr>
          <w:rFonts w:ascii="Arial" w:hAnsi="Arial" w:cs="Arial"/>
          <w:sz w:val="24"/>
          <w:szCs w:val="22"/>
        </w:rPr>
        <w:t>6</w:t>
      </w:r>
      <w:r>
        <w:rPr>
          <w:rFonts w:ascii="Arial" w:hAnsi="Arial" w:cs="Arial"/>
          <w:sz w:val="24"/>
          <w:szCs w:val="22"/>
        </w:rPr>
        <w:t>∙</w:t>
      </w:r>
      <w:r w:rsidRPr="00F9446A">
        <w:rPr>
          <w:rFonts w:ascii="Arial" w:hAnsi="Arial" w:cs="Arial"/>
          <w:sz w:val="24"/>
          <w:szCs w:val="22"/>
        </w:rPr>
        <w:t>30, SD</w:t>
      </w:r>
      <w:r>
        <w:rPr>
          <w:rFonts w:ascii="Arial" w:hAnsi="Arial" w:cs="Arial"/>
          <w:sz w:val="24"/>
          <w:szCs w:val="22"/>
        </w:rPr>
        <w:t xml:space="preserve"> </w:t>
      </w:r>
      <w:r w:rsidRPr="00F9446A">
        <w:rPr>
          <w:rFonts w:ascii="Arial" w:hAnsi="Arial" w:cs="Arial"/>
          <w:sz w:val="24"/>
          <w:szCs w:val="22"/>
        </w:rPr>
        <w:t>=</w:t>
      </w:r>
      <w:r>
        <w:rPr>
          <w:rFonts w:ascii="Arial" w:hAnsi="Arial" w:cs="Arial"/>
          <w:sz w:val="24"/>
          <w:szCs w:val="22"/>
        </w:rPr>
        <w:t xml:space="preserve"> </w:t>
      </w:r>
      <w:r w:rsidRPr="00F9446A">
        <w:rPr>
          <w:rFonts w:ascii="Arial" w:hAnsi="Arial" w:cs="Arial"/>
          <w:sz w:val="24"/>
          <w:szCs w:val="22"/>
        </w:rPr>
        <w:t>2</w:t>
      </w:r>
      <w:r>
        <w:rPr>
          <w:rFonts w:ascii="Arial" w:hAnsi="Arial" w:cs="Arial"/>
          <w:sz w:val="24"/>
          <w:szCs w:val="22"/>
        </w:rPr>
        <w:t>∙</w:t>
      </w:r>
      <w:r w:rsidRPr="00F9446A">
        <w:rPr>
          <w:rFonts w:ascii="Arial" w:hAnsi="Arial" w:cs="Arial"/>
          <w:sz w:val="24"/>
          <w:szCs w:val="22"/>
        </w:rPr>
        <w:t>32). Least likely to impact future uptake was: the ability to protect oneself without their partner knowing (M</w:t>
      </w:r>
      <w:r>
        <w:rPr>
          <w:rFonts w:ascii="Arial" w:hAnsi="Arial" w:cs="Arial"/>
          <w:sz w:val="24"/>
          <w:szCs w:val="22"/>
        </w:rPr>
        <w:t xml:space="preserve"> </w:t>
      </w:r>
      <w:r w:rsidRPr="00F9446A">
        <w:rPr>
          <w:rFonts w:ascii="Arial" w:hAnsi="Arial" w:cs="Arial"/>
          <w:sz w:val="24"/>
          <w:szCs w:val="22"/>
        </w:rPr>
        <w:t>=</w:t>
      </w:r>
      <w:r>
        <w:rPr>
          <w:rFonts w:ascii="Arial" w:hAnsi="Arial" w:cs="Arial"/>
          <w:sz w:val="24"/>
          <w:szCs w:val="22"/>
        </w:rPr>
        <w:t xml:space="preserve"> </w:t>
      </w:r>
      <w:r w:rsidRPr="00F9446A">
        <w:rPr>
          <w:rFonts w:ascii="Arial" w:hAnsi="Arial" w:cs="Arial"/>
          <w:sz w:val="24"/>
          <w:szCs w:val="22"/>
        </w:rPr>
        <w:t>4</w:t>
      </w:r>
      <w:r>
        <w:rPr>
          <w:rFonts w:ascii="Arial" w:hAnsi="Arial" w:cs="Arial"/>
          <w:sz w:val="24"/>
          <w:szCs w:val="22"/>
        </w:rPr>
        <w:t>∙</w:t>
      </w:r>
      <w:r w:rsidRPr="00F9446A">
        <w:rPr>
          <w:rFonts w:ascii="Arial" w:hAnsi="Arial" w:cs="Arial"/>
          <w:sz w:val="24"/>
          <w:szCs w:val="22"/>
        </w:rPr>
        <w:t>06, SD</w:t>
      </w:r>
      <w:r>
        <w:rPr>
          <w:rFonts w:ascii="Arial" w:hAnsi="Arial" w:cs="Arial"/>
          <w:sz w:val="24"/>
          <w:szCs w:val="22"/>
        </w:rPr>
        <w:t xml:space="preserve"> </w:t>
      </w:r>
      <w:r w:rsidRPr="00F9446A">
        <w:rPr>
          <w:rFonts w:ascii="Arial" w:hAnsi="Arial" w:cs="Arial"/>
          <w:sz w:val="24"/>
          <w:szCs w:val="22"/>
        </w:rPr>
        <w:t>=</w:t>
      </w:r>
      <w:r>
        <w:rPr>
          <w:rFonts w:ascii="Arial" w:hAnsi="Arial" w:cs="Arial"/>
          <w:sz w:val="24"/>
          <w:szCs w:val="22"/>
        </w:rPr>
        <w:t xml:space="preserve"> </w:t>
      </w:r>
      <w:r w:rsidRPr="00F9446A">
        <w:rPr>
          <w:rFonts w:ascii="Arial" w:hAnsi="Arial" w:cs="Arial"/>
          <w:sz w:val="24"/>
          <w:szCs w:val="22"/>
        </w:rPr>
        <w:t>1</w:t>
      </w:r>
      <w:r>
        <w:rPr>
          <w:rFonts w:ascii="Arial" w:hAnsi="Arial" w:cs="Arial"/>
          <w:sz w:val="24"/>
          <w:szCs w:val="22"/>
        </w:rPr>
        <w:t>∙</w:t>
      </w:r>
      <w:r w:rsidRPr="00F9446A">
        <w:rPr>
          <w:rFonts w:ascii="Arial" w:hAnsi="Arial" w:cs="Arial"/>
          <w:sz w:val="24"/>
          <w:szCs w:val="22"/>
        </w:rPr>
        <w:t>97), stigma associated with using an HIV medication (M</w:t>
      </w:r>
      <w:r>
        <w:rPr>
          <w:rFonts w:ascii="Arial" w:hAnsi="Arial" w:cs="Arial"/>
          <w:sz w:val="24"/>
          <w:szCs w:val="22"/>
        </w:rPr>
        <w:t xml:space="preserve"> </w:t>
      </w:r>
      <w:r w:rsidRPr="00F9446A">
        <w:rPr>
          <w:rFonts w:ascii="Arial" w:hAnsi="Arial" w:cs="Arial"/>
          <w:sz w:val="24"/>
          <w:szCs w:val="22"/>
        </w:rPr>
        <w:t>=</w:t>
      </w:r>
      <w:r>
        <w:rPr>
          <w:rFonts w:ascii="Arial" w:hAnsi="Arial" w:cs="Arial"/>
          <w:sz w:val="24"/>
          <w:szCs w:val="22"/>
        </w:rPr>
        <w:t xml:space="preserve"> </w:t>
      </w:r>
      <w:r w:rsidRPr="00F9446A">
        <w:rPr>
          <w:rFonts w:ascii="Arial" w:hAnsi="Arial" w:cs="Arial"/>
          <w:sz w:val="24"/>
          <w:szCs w:val="22"/>
        </w:rPr>
        <w:t>3</w:t>
      </w:r>
      <w:r>
        <w:rPr>
          <w:rFonts w:ascii="Arial" w:hAnsi="Arial" w:cs="Arial"/>
          <w:sz w:val="24"/>
          <w:szCs w:val="22"/>
        </w:rPr>
        <w:t>∙</w:t>
      </w:r>
      <w:r w:rsidRPr="00F9446A">
        <w:rPr>
          <w:rFonts w:ascii="Arial" w:hAnsi="Arial" w:cs="Arial"/>
          <w:sz w:val="24"/>
          <w:szCs w:val="22"/>
        </w:rPr>
        <w:t>18, SD</w:t>
      </w:r>
      <w:r>
        <w:rPr>
          <w:rFonts w:ascii="Arial" w:hAnsi="Arial" w:cs="Arial"/>
          <w:sz w:val="24"/>
          <w:szCs w:val="22"/>
        </w:rPr>
        <w:t xml:space="preserve"> </w:t>
      </w:r>
      <w:r w:rsidRPr="00F9446A">
        <w:rPr>
          <w:rFonts w:ascii="Arial" w:hAnsi="Arial" w:cs="Arial"/>
          <w:sz w:val="24"/>
          <w:szCs w:val="22"/>
        </w:rPr>
        <w:t>=</w:t>
      </w:r>
      <w:r>
        <w:rPr>
          <w:rFonts w:ascii="Arial" w:hAnsi="Arial" w:cs="Arial"/>
          <w:sz w:val="24"/>
          <w:szCs w:val="22"/>
        </w:rPr>
        <w:t xml:space="preserve"> </w:t>
      </w:r>
      <w:r w:rsidRPr="00F9446A">
        <w:rPr>
          <w:rFonts w:ascii="Arial" w:hAnsi="Arial" w:cs="Arial"/>
          <w:sz w:val="24"/>
          <w:szCs w:val="22"/>
        </w:rPr>
        <w:t>2</w:t>
      </w:r>
      <w:r>
        <w:rPr>
          <w:rFonts w:ascii="Arial" w:hAnsi="Arial" w:cs="Arial"/>
          <w:sz w:val="24"/>
          <w:szCs w:val="22"/>
        </w:rPr>
        <w:t>∙</w:t>
      </w:r>
      <w:r w:rsidRPr="00F9446A">
        <w:rPr>
          <w:rFonts w:ascii="Arial" w:hAnsi="Arial" w:cs="Arial"/>
          <w:sz w:val="24"/>
          <w:szCs w:val="22"/>
        </w:rPr>
        <w:t>06), and fear of needles (M</w:t>
      </w:r>
      <w:r>
        <w:rPr>
          <w:rFonts w:ascii="Arial" w:hAnsi="Arial" w:cs="Arial"/>
          <w:sz w:val="24"/>
          <w:szCs w:val="22"/>
        </w:rPr>
        <w:t xml:space="preserve"> </w:t>
      </w:r>
      <w:r w:rsidRPr="00F9446A">
        <w:rPr>
          <w:rFonts w:ascii="Arial" w:hAnsi="Arial" w:cs="Arial"/>
          <w:sz w:val="24"/>
          <w:szCs w:val="22"/>
        </w:rPr>
        <w:t>=</w:t>
      </w:r>
      <w:r>
        <w:rPr>
          <w:rFonts w:ascii="Arial" w:hAnsi="Arial" w:cs="Arial"/>
          <w:sz w:val="24"/>
          <w:szCs w:val="22"/>
        </w:rPr>
        <w:t xml:space="preserve"> </w:t>
      </w:r>
      <w:r w:rsidRPr="00F9446A">
        <w:rPr>
          <w:rFonts w:ascii="Arial" w:hAnsi="Arial" w:cs="Arial"/>
          <w:sz w:val="24"/>
          <w:szCs w:val="22"/>
        </w:rPr>
        <w:t>3</w:t>
      </w:r>
      <w:r>
        <w:rPr>
          <w:rFonts w:ascii="Arial" w:hAnsi="Arial" w:cs="Arial"/>
          <w:sz w:val="24"/>
          <w:szCs w:val="22"/>
        </w:rPr>
        <w:t>∙</w:t>
      </w:r>
      <w:r w:rsidRPr="00F9446A">
        <w:rPr>
          <w:rFonts w:ascii="Arial" w:hAnsi="Arial" w:cs="Arial"/>
          <w:sz w:val="24"/>
          <w:szCs w:val="22"/>
        </w:rPr>
        <w:t>05, SD</w:t>
      </w:r>
      <w:r>
        <w:rPr>
          <w:rFonts w:ascii="Arial" w:hAnsi="Arial" w:cs="Arial"/>
          <w:sz w:val="24"/>
          <w:szCs w:val="22"/>
        </w:rPr>
        <w:t xml:space="preserve"> </w:t>
      </w:r>
      <w:r w:rsidRPr="00F9446A">
        <w:rPr>
          <w:rFonts w:ascii="Arial" w:hAnsi="Arial" w:cs="Arial"/>
          <w:sz w:val="24"/>
          <w:szCs w:val="22"/>
        </w:rPr>
        <w:t>=</w:t>
      </w:r>
      <w:r>
        <w:rPr>
          <w:rFonts w:ascii="Arial" w:hAnsi="Arial" w:cs="Arial"/>
          <w:sz w:val="24"/>
          <w:szCs w:val="22"/>
        </w:rPr>
        <w:t xml:space="preserve"> </w:t>
      </w:r>
      <w:r w:rsidRPr="00F9446A">
        <w:rPr>
          <w:rFonts w:ascii="Arial" w:hAnsi="Arial" w:cs="Arial"/>
          <w:sz w:val="24"/>
          <w:szCs w:val="22"/>
        </w:rPr>
        <w:t>2</w:t>
      </w:r>
      <w:r>
        <w:rPr>
          <w:rFonts w:ascii="Arial" w:hAnsi="Arial" w:cs="Arial"/>
          <w:sz w:val="24"/>
          <w:szCs w:val="22"/>
        </w:rPr>
        <w:t>∙</w:t>
      </w:r>
      <w:r w:rsidRPr="00F9446A">
        <w:rPr>
          <w:rFonts w:ascii="Arial" w:hAnsi="Arial" w:cs="Arial"/>
          <w:sz w:val="24"/>
          <w:szCs w:val="22"/>
        </w:rPr>
        <w:t>32).</w:t>
      </w:r>
    </w:p>
    <w:p w:rsidR="00EE4558" w:rsidRDefault="00EE4558" w:rsidP="0080664C">
      <w:pPr>
        <w:spacing w:after="200" w:line="276" w:lineRule="auto"/>
        <w:jc w:val="both"/>
        <w:rPr>
          <w:rFonts w:ascii="Arial" w:hAnsi="Arial" w:cs="Arial"/>
          <w:b/>
          <w:sz w:val="24"/>
          <w:szCs w:val="22"/>
        </w:rPr>
      </w:pPr>
    </w:p>
    <w:p w:rsidR="00EE4558" w:rsidRPr="00F9446A" w:rsidRDefault="00EE4558" w:rsidP="0080664C">
      <w:pPr>
        <w:spacing w:after="200" w:line="276" w:lineRule="auto"/>
        <w:jc w:val="both"/>
        <w:rPr>
          <w:rFonts w:ascii="Arial" w:hAnsi="Arial" w:cs="Arial"/>
          <w:b/>
          <w:sz w:val="24"/>
          <w:szCs w:val="22"/>
        </w:rPr>
      </w:pPr>
      <w:r w:rsidRPr="00F9446A">
        <w:rPr>
          <w:rFonts w:ascii="Arial" w:hAnsi="Arial" w:cs="Arial"/>
          <w:b/>
          <w:sz w:val="24"/>
          <w:szCs w:val="22"/>
        </w:rPr>
        <w:t>Pharmacokinetic Analysis</w:t>
      </w:r>
    </w:p>
    <w:p w:rsidR="00EE4558" w:rsidRPr="00F9446A" w:rsidRDefault="00EE4558" w:rsidP="0080664C">
      <w:pPr>
        <w:spacing w:after="200" w:line="276" w:lineRule="auto"/>
        <w:jc w:val="both"/>
        <w:rPr>
          <w:rFonts w:ascii="Arial" w:hAnsi="Arial" w:cs="Arial"/>
          <w:b/>
          <w:sz w:val="24"/>
          <w:szCs w:val="22"/>
        </w:rPr>
      </w:pPr>
    </w:p>
    <w:p w:rsidR="00EE4558" w:rsidRPr="00F9446A" w:rsidRDefault="00EE4558" w:rsidP="00163156">
      <w:pPr>
        <w:spacing w:after="200" w:line="480" w:lineRule="auto"/>
        <w:jc w:val="both"/>
        <w:rPr>
          <w:rFonts w:ascii="Arial" w:hAnsi="Arial" w:cs="Arial"/>
          <w:sz w:val="24"/>
          <w:szCs w:val="22"/>
        </w:rPr>
      </w:pPr>
      <w:r w:rsidRPr="00F9446A">
        <w:rPr>
          <w:rFonts w:ascii="Arial" w:hAnsi="Arial" w:cs="Arial"/>
          <w:sz w:val="24"/>
          <w:szCs w:val="22"/>
        </w:rPr>
        <w:t xml:space="preserve">PK profiles (Geometric Mean [GM]; 90% Confidence Interval [CI]) for RPV in the plasma, genital tract (vaginal fluid [VF], endocervical fluid [EF] and VT, and CT) and rectum (rectal fluid [RF] and RT) of females over 168 days after dosing </w:t>
      </w:r>
      <w:r>
        <w:rPr>
          <w:rFonts w:ascii="Arial" w:hAnsi="Arial" w:cs="Arial"/>
          <w:sz w:val="24"/>
          <w:szCs w:val="22"/>
        </w:rPr>
        <w:t>(</w:t>
      </w:r>
      <w:r w:rsidRPr="00F9446A">
        <w:rPr>
          <w:rFonts w:ascii="Arial" w:hAnsi="Arial" w:cs="Arial"/>
          <w:sz w:val="24"/>
          <w:szCs w:val="22"/>
        </w:rPr>
        <w:t xml:space="preserve">Figure </w:t>
      </w:r>
      <w:r w:rsidR="00C83B66">
        <w:rPr>
          <w:rFonts w:ascii="Arial" w:hAnsi="Arial" w:cs="Arial"/>
          <w:sz w:val="24"/>
          <w:szCs w:val="22"/>
        </w:rPr>
        <w:t>2</w:t>
      </w:r>
      <w:r>
        <w:rPr>
          <w:rFonts w:ascii="Arial" w:hAnsi="Arial" w:cs="Arial"/>
          <w:sz w:val="24"/>
          <w:szCs w:val="22"/>
        </w:rPr>
        <w:t>,</w:t>
      </w:r>
      <w:r w:rsidRPr="00F9446A">
        <w:rPr>
          <w:rFonts w:ascii="Arial" w:hAnsi="Arial" w:cs="Arial"/>
          <w:sz w:val="24"/>
          <w:szCs w:val="22"/>
        </w:rPr>
        <w:t xml:space="preserve"> and </w:t>
      </w:r>
      <w:r w:rsidR="00C83B66">
        <w:rPr>
          <w:rFonts w:ascii="Arial" w:hAnsi="Arial" w:cs="Arial"/>
          <w:sz w:val="24"/>
          <w:szCs w:val="22"/>
        </w:rPr>
        <w:t>appendix p 7-8</w:t>
      </w:r>
      <w:r>
        <w:rPr>
          <w:rFonts w:ascii="Arial" w:hAnsi="Arial" w:cs="Arial"/>
          <w:sz w:val="24"/>
          <w:szCs w:val="22"/>
        </w:rPr>
        <w:t>)</w:t>
      </w:r>
      <w:r w:rsidRPr="00F9446A">
        <w:rPr>
          <w:rFonts w:ascii="Arial" w:hAnsi="Arial" w:cs="Arial"/>
          <w:sz w:val="24"/>
          <w:szCs w:val="22"/>
        </w:rPr>
        <w:t xml:space="preserve">.  RPV PK profiles for the male subjects are </w:t>
      </w:r>
      <w:r w:rsidR="00C83B66">
        <w:rPr>
          <w:rFonts w:ascii="Arial" w:hAnsi="Arial" w:cs="Arial"/>
          <w:sz w:val="24"/>
          <w:szCs w:val="22"/>
        </w:rPr>
        <w:t>presented in the appendix p 2</w:t>
      </w:r>
      <w:r w:rsidR="009F69C5">
        <w:rPr>
          <w:rFonts w:ascii="Arial" w:hAnsi="Arial" w:cs="Arial"/>
          <w:sz w:val="24"/>
          <w:szCs w:val="22"/>
        </w:rPr>
        <w:t xml:space="preserve"> and 12-13</w:t>
      </w:r>
      <w:r w:rsidRPr="00F9446A">
        <w:rPr>
          <w:rFonts w:ascii="Arial" w:hAnsi="Arial" w:cs="Arial"/>
          <w:sz w:val="24"/>
          <w:szCs w:val="22"/>
        </w:rPr>
        <w:t>.</w:t>
      </w:r>
      <w:r>
        <w:rPr>
          <w:rFonts w:ascii="Arial" w:hAnsi="Arial" w:cs="Arial"/>
          <w:sz w:val="24"/>
          <w:szCs w:val="22"/>
        </w:rPr>
        <w:t xml:space="preserve"> </w:t>
      </w:r>
      <w:r w:rsidRPr="00F9446A">
        <w:rPr>
          <w:rFonts w:ascii="Arial" w:hAnsi="Arial" w:cs="Arial"/>
          <w:sz w:val="24"/>
          <w:szCs w:val="22"/>
        </w:rPr>
        <w:t xml:space="preserve">The target concentration for HIV prevention is unknown, but for comparison we utilized the </w:t>
      </w:r>
      <w:r w:rsidRPr="000667CA">
        <w:rPr>
          <w:rFonts w:ascii="Arial" w:hAnsi="Arial" w:cs="Arial"/>
          <w:i/>
          <w:sz w:val="24"/>
          <w:szCs w:val="22"/>
        </w:rPr>
        <w:t>in vitro</w:t>
      </w:r>
      <w:r w:rsidRPr="00F9446A">
        <w:rPr>
          <w:rFonts w:ascii="Arial" w:hAnsi="Arial" w:cs="Arial"/>
          <w:sz w:val="24"/>
          <w:szCs w:val="22"/>
        </w:rPr>
        <w:t xml:space="preserve"> EC</w:t>
      </w:r>
      <w:r w:rsidRPr="00F9446A">
        <w:rPr>
          <w:rFonts w:ascii="Arial" w:hAnsi="Arial" w:cs="Arial"/>
          <w:sz w:val="24"/>
          <w:szCs w:val="22"/>
          <w:vertAlign w:val="subscript"/>
        </w:rPr>
        <w:t>90</w:t>
      </w:r>
      <w:r w:rsidRPr="00F9446A">
        <w:rPr>
          <w:rFonts w:ascii="Arial" w:hAnsi="Arial" w:cs="Arial"/>
          <w:sz w:val="24"/>
          <w:szCs w:val="22"/>
        </w:rPr>
        <w:t xml:space="preserve"> for wild-type HIV, corrected for protein binding to yield a putative target concentration of 12</w:t>
      </w:r>
      <w:r>
        <w:rPr>
          <w:rFonts w:ascii="Arial" w:hAnsi="Arial" w:cs="Arial"/>
          <w:sz w:val="24"/>
          <w:szCs w:val="22"/>
        </w:rPr>
        <w:t>∙</w:t>
      </w:r>
      <w:r w:rsidRPr="00F9446A">
        <w:rPr>
          <w:rFonts w:ascii="Arial" w:hAnsi="Arial" w:cs="Arial"/>
          <w:sz w:val="24"/>
          <w:szCs w:val="22"/>
        </w:rPr>
        <w:t>2</w:t>
      </w:r>
      <w:r>
        <w:rPr>
          <w:rFonts w:ascii="Arial" w:hAnsi="Arial" w:cs="Arial"/>
          <w:sz w:val="24"/>
          <w:szCs w:val="22"/>
        </w:rPr>
        <w:t xml:space="preserve"> </w:t>
      </w:r>
      <w:r w:rsidRPr="00F9446A">
        <w:rPr>
          <w:rFonts w:ascii="Arial" w:hAnsi="Arial" w:cs="Arial"/>
          <w:sz w:val="24"/>
          <w:szCs w:val="22"/>
        </w:rPr>
        <w:t>ng/</w:t>
      </w:r>
      <w:r>
        <w:rPr>
          <w:rFonts w:ascii="Arial" w:hAnsi="Arial" w:cs="Arial"/>
          <w:sz w:val="24"/>
          <w:szCs w:val="22"/>
        </w:rPr>
        <w:t xml:space="preserve">mL. </w:t>
      </w:r>
      <w:r>
        <w:rPr>
          <w:rFonts w:ascii="Arial" w:hAnsi="Arial" w:cs="Arial"/>
          <w:noProof/>
          <w:sz w:val="24"/>
          <w:szCs w:val="22"/>
        </w:rPr>
        <w:t>(15)</w:t>
      </w:r>
    </w:p>
    <w:p w:rsidR="00EE4558" w:rsidRPr="00F9446A" w:rsidRDefault="00EE4558" w:rsidP="0080664C">
      <w:pPr>
        <w:spacing w:after="200" w:line="480" w:lineRule="auto"/>
        <w:jc w:val="both"/>
        <w:rPr>
          <w:rFonts w:ascii="Arial" w:hAnsi="Arial" w:cs="Arial"/>
          <w:sz w:val="24"/>
          <w:szCs w:val="22"/>
        </w:rPr>
      </w:pPr>
    </w:p>
    <w:p w:rsidR="00EE4558" w:rsidRPr="00560556" w:rsidRDefault="00EE4558" w:rsidP="000C76B0">
      <w:pPr>
        <w:spacing w:after="200" w:line="480" w:lineRule="auto"/>
        <w:jc w:val="both"/>
        <w:rPr>
          <w:rFonts w:ascii="Arial" w:hAnsi="Arial" w:cs="Arial"/>
          <w:sz w:val="24"/>
          <w:szCs w:val="22"/>
        </w:rPr>
      </w:pPr>
      <w:r w:rsidRPr="00456151">
        <w:rPr>
          <w:rFonts w:ascii="Arial" w:hAnsi="Arial" w:cs="Arial"/>
          <w:i/>
          <w:sz w:val="24"/>
          <w:szCs w:val="22"/>
        </w:rPr>
        <w:t>Plasma</w:t>
      </w:r>
    </w:p>
    <w:p w:rsidR="00EE4558" w:rsidRPr="000A1842" w:rsidRDefault="00EE4558" w:rsidP="000C76B0">
      <w:pPr>
        <w:spacing w:line="480" w:lineRule="auto"/>
        <w:jc w:val="both"/>
        <w:rPr>
          <w:rFonts w:ascii="Arial" w:hAnsi="Arial" w:cs="Arial"/>
          <w:color w:val="FF0000"/>
          <w:sz w:val="24"/>
        </w:rPr>
      </w:pPr>
      <w:r w:rsidRPr="00F9446A">
        <w:rPr>
          <w:rFonts w:ascii="Arial" w:hAnsi="Arial" w:cs="Arial"/>
          <w:sz w:val="24"/>
          <w:szCs w:val="22"/>
        </w:rPr>
        <w:t>RPV persisted in the plasma for up to 112 days</w:t>
      </w:r>
      <w:r>
        <w:rPr>
          <w:rFonts w:ascii="Arial" w:hAnsi="Arial" w:cs="Arial"/>
          <w:sz w:val="24"/>
          <w:szCs w:val="22"/>
        </w:rPr>
        <w:t xml:space="preserve"> in both males and females, and</w:t>
      </w:r>
      <w:r w:rsidRPr="00F9446A">
        <w:rPr>
          <w:rFonts w:ascii="Arial" w:hAnsi="Arial" w:cs="Arial"/>
          <w:sz w:val="24"/>
          <w:szCs w:val="22"/>
        </w:rPr>
        <w:t xml:space="preserve"> was also detectable at 168 days post dose in females that undertook additional visits in the 2 arms (GM = 5</w:t>
      </w:r>
      <w:r>
        <w:rPr>
          <w:rFonts w:ascii="Arial" w:hAnsi="Arial" w:cs="Arial"/>
          <w:sz w:val="24"/>
          <w:szCs w:val="22"/>
        </w:rPr>
        <w:t>∙</w:t>
      </w:r>
      <w:r w:rsidRPr="00F9446A">
        <w:rPr>
          <w:rFonts w:ascii="Arial" w:hAnsi="Arial" w:cs="Arial"/>
          <w:sz w:val="24"/>
          <w:szCs w:val="22"/>
        </w:rPr>
        <w:t>8 and 13</w:t>
      </w:r>
      <w:r>
        <w:rPr>
          <w:rFonts w:ascii="Arial" w:hAnsi="Arial" w:cs="Arial"/>
          <w:sz w:val="24"/>
          <w:szCs w:val="22"/>
        </w:rPr>
        <w:t>∙</w:t>
      </w:r>
      <w:r w:rsidRPr="00F9446A">
        <w:rPr>
          <w:rFonts w:ascii="Arial" w:hAnsi="Arial" w:cs="Arial"/>
          <w:sz w:val="24"/>
          <w:szCs w:val="22"/>
        </w:rPr>
        <w:t>3 ng/mL). Time to peak plasma concentrations was variable, and in individual cases could be delayed beyond the T</w:t>
      </w:r>
      <w:r w:rsidRPr="00F9446A">
        <w:rPr>
          <w:rFonts w:ascii="Arial" w:hAnsi="Arial" w:cs="Arial"/>
          <w:sz w:val="24"/>
          <w:szCs w:val="22"/>
          <w:vertAlign w:val="subscript"/>
        </w:rPr>
        <w:t>max</w:t>
      </w:r>
      <w:r w:rsidRPr="00F9446A">
        <w:rPr>
          <w:rFonts w:ascii="Arial" w:hAnsi="Arial" w:cs="Arial"/>
          <w:sz w:val="24"/>
          <w:szCs w:val="22"/>
        </w:rPr>
        <w:t xml:space="preserve"> observed in the population profiles which are based on mean concentrations at each time point </w:t>
      </w:r>
      <w:r>
        <w:rPr>
          <w:rFonts w:ascii="Arial" w:hAnsi="Arial" w:cs="Arial"/>
          <w:sz w:val="24"/>
          <w:szCs w:val="22"/>
        </w:rPr>
        <w:t>(F</w:t>
      </w:r>
      <w:r w:rsidRPr="00F9446A">
        <w:rPr>
          <w:rFonts w:ascii="Arial" w:hAnsi="Arial" w:cs="Arial"/>
          <w:sz w:val="24"/>
          <w:szCs w:val="22"/>
        </w:rPr>
        <w:t xml:space="preserve">igure </w:t>
      </w:r>
      <w:r w:rsidR="00C83B66">
        <w:rPr>
          <w:rFonts w:ascii="Arial" w:hAnsi="Arial" w:cs="Arial"/>
          <w:sz w:val="24"/>
          <w:szCs w:val="22"/>
        </w:rPr>
        <w:t>2</w:t>
      </w:r>
      <w:r>
        <w:rPr>
          <w:rFonts w:ascii="Arial" w:hAnsi="Arial" w:cs="Arial"/>
          <w:sz w:val="24"/>
          <w:szCs w:val="22"/>
        </w:rPr>
        <w:t xml:space="preserve"> and </w:t>
      </w:r>
      <w:r w:rsidR="00C83B66">
        <w:rPr>
          <w:rFonts w:ascii="Arial" w:hAnsi="Arial" w:cs="Arial"/>
          <w:sz w:val="24"/>
          <w:szCs w:val="22"/>
        </w:rPr>
        <w:lastRenderedPageBreak/>
        <w:t>appendix p 2</w:t>
      </w:r>
      <w:r>
        <w:rPr>
          <w:rFonts w:ascii="Arial" w:hAnsi="Arial" w:cs="Arial"/>
          <w:sz w:val="24"/>
          <w:szCs w:val="22"/>
        </w:rPr>
        <w:t>)</w:t>
      </w:r>
      <w:r w:rsidRPr="00F9446A">
        <w:rPr>
          <w:rFonts w:ascii="Arial" w:hAnsi="Arial" w:cs="Arial"/>
          <w:sz w:val="24"/>
          <w:szCs w:val="22"/>
        </w:rPr>
        <w:t>.  RPV exposures (AUC</w:t>
      </w:r>
      <w:r w:rsidRPr="00F9446A">
        <w:rPr>
          <w:rFonts w:ascii="Arial" w:hAnsi="Arial" w:cs="Arial"/>
          <w:sz w:val="24"/>
          <w:szCs w:val="22"/>
          <w:vertAlign w:val="subscript"/>
        </w:rPr>
        <w:t>112</w:t>
      </w:r>
      <w:r w:rsidRPr="00F9446A">
        <w:rPr>
          <w:rFonts w:ascii="Arial" w:hAnsi="Arial" w:cs="Arial"/>
          <w:sz w:val="24"/>
          <w:szCs w:val="22"/>
        </w:rPr>
        <w:t>) in plasma were</w:t>
      </w:r>
      <w:r>
        <w:rPr>
          <w:rFonts w:ascii="Arial" w:hAnsi="Arial" w:cs="Arial"/>
          <w:sz w:val="24"/>
          <w:szCs w:val="22"/>
        </w:rPr>
        <w:t xml:space="preserve"> not significantly </w:t>
      </w:r>
      <w:r w:rsidRPr="00CF734B">
        <w:rPr>
          <w:rFonts w:ascii="Arial" w:hAnsi="Arial" w:cs="Arial"/>
          <w:color w:val="000000"/>
          <w:sz w:val="24"/>
          <w:szCs w:val="22"/>
        </w:rPr>
        <w:t>different between males and females receiving an equivalent 600mg and 1200 mg dose.</w:t>
      </w:r>
      <w:r w:rsidRPr="00CF734B">
        <w:rPr>
          <w:rFonts w:ascii="Arial" w:hAnsi="Arial" w:cs="Arial"/>
          <w:color w:val="000000"/>
          <w:sz w:val="24"/>
        </w:rPr>
        <w:t xml:space="preserve"> Plasma concentrations &gt;EC</w:t>
      </w:r>
      <w:r w:rsidRPr="00CF734B">
        <w:rPr>
          <w:rFonts w:ascii="Arial" w:hAnsi="Arial" w:cs="Arial"/>
          <w:color w:val="000000"/>
          <w:sz w:val="24"/>
          <w:vertAlign w:val="subscript"/>
        </w:rPr>
        <w:t>90</w:t>
      </w:r>
      <w:r w:rsidRPr="00CF734B">
        <w:rPr>
          <w:rFonts w:ascii="Arial" w:hAnsi="Arial" w:cs="Arial"/>
          <w:color w:val="000000"/>
          <w:sz w:val="24"/>
        </w:rPr>
        <w:t xml:space="preserve"> were reached for all subjects, irrespective of dose or gender, at the time of the first PK sampling at 1-day post dose (Visit 3). Following a 1200 mg dose, all female subjects had RPV concentrations above the protein adjusted EC</w:t>
      </w:r>
      <w:r w:rsidRPr="00CF734B">
        <w:rPr>
          <w:rFonts w:ascii="Arial" w:hAnsi="Arial" w:cs="Arial"/>
          <w:color w:val="000000"/>
          <w:sz w:val="24"/>
          <w:vertAlign w:val="subscript"/>
        </w:rPr>
        <w:t>90</w:t>
      </w:r>
      <w:r w:rsidRPr="00CF734B">
        <w:rPr>
          <w:rFonts w:ascii="Arial" w:hAnsi="Arial" w:cs="Arial"/>
          <w:color w:val="000000"/>
          <w:sz w:val="24"/>
        </w:rPr>
        <w:t xml:space="preserve"> for up to 98 days, and 92% remained above the EC</w:t>
      </w:r>
      <w:r w:rsidRPr="00CF734B">
        <w:rPr>
          <w:rFonts w:ascii="Arial" w:hAnsi="Arial" w:cs="Arial"/>
          <w:color w:val="000000"/>
          <w:sz w:val="24"/>
          <w:vertAlign w:val="subscript"/>
        </w:rPr>
        <w:t>90</w:t>
      </w:r>
      <w:r w:rsidRPr="00CF734B">
        <w:rPr>
          <w:rFonts w:ascii="Arial" w:hAnsi="Arial" w:cs="Arial"/>
          <w:color w:val="000000"/>
          <w:sz w:val="24"/>
        </w:rPr>
        <w:t xml:space="preserve"> at 112 days post dose. However, in the 600 mg cohort, the percentage of female subjects with plasma concentrations &gt;EC</w:t>
      </w:r>
      <w:r w:rsidRPr="00CF734B">
        <w:rPr>
          <w:rFonts w:ascii="Arial" w:hAnsi="Arial" w:cs="Arial"/>
          <w:color w:val="000000"/>
          <w:sz w:val="24"/>
          <w:vertAlign w:val="subscript"/>
        </w:rPr>
        <w:t>90</w:t>
      </w:r>
      <w:r w:rsidRPr="00CF734B">
        <w:rPr>
          <w:rFonts w:ascii="Arial" w:hAnsi="Arial" w:cs="Arial"/>
          <w:color w:val="000000"/>
          <w:sz w:val="24"/>
        </w:rPr>
        <w:t xml:space="preserve"> fell below 100% by day 42 (92%), and all subjects were below this target by 112 days post dose. In males, plasma concentrations were above the EC</w:t>
      </w:r>
      <w:r w:rsidRPr="00CF734B">
        <w:rPr>
          <w:rFonts w:ascii="Arial" w:hAnsi="Arial" w:cs="Arial"/>
          <w:color w:val="000000"/>
          <w:sz w:val="24"/>
          <w:vertAlign w:val="subscript"/>
        </w:rPr>
        <w:t>90</w:t>
      </w:r>
      <w:r w:rsidRPr="00CF734B">
        <w:rPr>
          <w:rFonts w:ascii="Arial" w:hAnsi="Arial" w:cs="Arial"/>
          <w:color w:val="000000"/>
          <w:sz w:val="24"/>
        </w:rPr>
        <w:t xml:space="preserve"> for up to 14 days (600 mg dose) and 84 days (1200 mg dose), and the percentage above target fell to 17% and 33% at 112 days post dose.</w:t>
      </w:r>
    </w:p>
    <w:p w:rsidR="00EE4558" w:rsidRDefault="00EE4558" w:rsidP="000C76B0">
      <w:pPr>
        <w:spacing w:after="200" w:line="480" w:lineRule="auto"/>
        <w:jc w:val="both"/>
        <w:rPr>
          <w:rFonts w:ascii="Arial" w:hAnsi="Arial" w:cs="Arial"/>
          <w:sz w:val="24"/>
          <w:szCs w:val="22"/>
        </w:rPr>
      </w:pPr>
      <w:r w:rsidRPr="00F9446A">
        <w:rPr>
          <w:rFonts w:ascii="Arial" w:hAnsi="Arial" w:cs="Arial"/>
          <w:sz w:val="24"/>
          <w:szCs w:val="22"/>
        </w:rPr>
        <w:t xml:space="preserve"> </w:t>
      </w:r>
    </w:p>
    <w:p w:rsidR="00EE4558" w:rsidRPr="00F83952" w:rsidRDefault="00EE4558" w:rsidP="000C76B0">
      <w:pPr>
        <w:spacing w:after="200" w:line="480" w:lineRule="auto"/>
        <w:jc w:val="both"/>
        <w:rPr>
          <w:rFonts w:ascii="Arial" w:hAnsi="Arial" w:cs="Arial"/>
          <w:i/>
          <w:sz w:val="24"/>
          <w:szCs w:val="22"/>
        </w:rPr>
      </w:pPr>
      <w:r w:rsidRPr="00F83952">
        <w:rPr>
          <w:rFonts w:ascii="Arial" w:hAnsi="Arial" w:cs="Arial"/>
          <w:i/>
          <w:sz w:val="24"/>
          <w:szCs w:val="22"/>
        </w:rPr>
        <w:t>Female genital tract</w:t>
      </w:r>
    </w:p>
    <w:p w:rsidR="00EE4558" w:rsidRPr="00CF734B" w:rsidRDefault="00EE4558" w:rsidP="000C76B0">
      <w:pPr>
        <w:spacing w:after="200" w:line="480" w:lineRule="auto"/>
        <w:jc w:val="both"/>
        <w:rPr>
          <w:rFonts w:ascii="Arial" w:hAnsi="Arial" w:cs="Arial"/>
          <w:color w:val="000000"/>
          <w:sz w:val="24"/>
        </w:rPr>
      </w:pPr>
      <w:r w:rsidRPr="00CF734B">
        <w:rPr>
          <w:rFonts w:ascii="Arial" w:hAnsi="Arial" w:cs="Arial"/>
          <w:color w:val="000000"/>
          <w:sz w:val="24"/>
          <w:szCs w:val="24"/>
        </w:rPr>
        <w:t>VF C</w:t>
      </w:r>
      <w:r w:rsidRPr="00CF734B">
        <w:rPr>
          <w:rFonts w:ascii="Arial" w:hAnsi="Arial" w:cs="Arial"/>
          <w:color w:val="000000"/>
          <w:sz w:val="24"/>
          <w:szCs w:val="24"/>
          <w:vertAlign w:val="subscript"/>
        </w:rPr>
        <w:t>max</w:t>
      </w:r>
      <w:r w:rsidRPr="00CF734B">
        <w:rPr>
          <w:rFonts w:ascii="Arial" w:hAnsi="Arial" w:cs="Arial"/>
          <w:color w:val="000000"/>
          <w:sz w:val="24"/>
          <w:szCs w:val="24"/>
        </w:rPr>
        <w:t xml:space="preserve"> was achieved slightly later than systemic levels (Figure </w:t>
      </w:r>
      <w:r w:rsidR="00C83B66">
        <w:rPr>
          <w:rFonts w:ascii="Arial" w:hAnsi="Arial" w:cs="Arial"/>
          <w:color w:val="000000"/>
          <w:sz w:val="24"/>
          <w:szCs w:val="24"/>
        </w:rPr>
        <w:t>2</w:t>
      </w:r>
      <w:r w:rsidRPr="00CF734B">
        <w:rPr>
          <w:rFonts w:ascii="Arial" w:hAnsi="Arial" w:cs="Arial"/>
          <w:color w:val="000000"/>
          <w:sz w:val="24"/>
          <w:szCs w:val="24"/>
        </w:rPr>
        <w:t>b), suggesting a delay in drug absorption into the female genital tract. RPV exposures (AUC</w:t>
      </w:r>
      <w:r w:rsidRPr="00CF734B">
        <w:rPr>
          <w:rFonts w:ascii="Arial" w:hAnsi="Arial" w:cs="Arial"/>
          <w:color w:val="000000"/>
          <w:sz w:val="24"/>
          <w:szCs w:val="24"/>
          <w:vertAlign w:val="subscript"/>
        </w:rPr>
        <w:t>112</w:t>
      </w:r>
      <w:r w:rsidRPr="00CF734B">
        <w:rPr>
          <w:rFonts w:ascii="Arial" w:hAnsi="Arial" w:cs="Arial"/>
          <w:color w:val="000000"/>
          <w:sz w:val="24"/>
          <w:szCs w:val="24"/>
        </w:rPr>
        <w:t>) in VF were consistently higher (significant for the 600 mg dose; p=0</w:t>
      </w:r>
      <w:r w:rsidRPr="00CF734B">
        <w:rPr>
          <w:rFonts w:ascii="Arial" w:hAnsi="Arial" w:cs="Arial"/>
          <w:color w:val="000000"/>
          <w:sz w:val="24"/>
          <w:szCs w:val="22"/>
        </w:rPr>
        <w:t>∙</w:t>
      </w:r>
      <w:r w:rsidRPr="00CF734B">
        <w:rPr>
          <w:rFonts w:ascii="Arial" w:hAnsi="Arial" w:cs="Arial"/>
          <w:color w:val="000000"/>
          <w:sz w:val="24"/>
          <w:szCs w:val="24"/>
        </w:rPr>
        <w:t>02) than corresponding plasma levels: VF-to-plasma drug ratios were ≥1 (</w:t>
      </w:r>
      <w:r w:rsidR="00C83B66">
        <w:rPr>
          <w:rFonts w:ascii="Arial" w:hAnsi="Arial" w:cs="Arial"/>
          <w:color w:val="000000"/>
          <w:sz w:val="24"/>
          <w:szCs w:val="24"/>
        </w:rPr>
        <w:t>appendix p 7</w:t>
      </w:r>
      <w:r w:rsidRPr="00CF734B">
        <w:rPr>
          <w:rFonts w:ascii="Arial" w:hAnsi="Arial" w:cs="Arial"/>
          <w:color w:val="000000"/>
          <w:sz w:val="24"/>
          <w:szCs w:val="24"/>
        </w:rPr>
        <w:t xml:space="preserve">). Concentrations in EF were lower: </w:t>
      </w:r>
      <w:r w:rsidRPr="00CF734B">
        <w:rPr>
          <w:rFonts w:ascii="Arial" w:hAnsi="Arial" w:cs="Arial"/>
          <w:color w:val="000000"/>
          <w:sz w:val="24"/>
        </w:rPr>
        <w:t>EF-to-</w:t>
      </w:r>
      <w:r w:rsidRPr="00CF734B">
        <w:rPr>
          <w:rFonts w:ascii="Arial" w:hAnsi="Arial" w:cs="Arial"/>
          <w:color w:val="000000"/>
          <w:sz w:val="24"/>
          <w:szCs w:val="22"/>
        </w:rPr>
        <w:t>plasma ratios</w:t>
      </w:r>
      <w:r w:rsidRPr="00CF734B">
        <w:rPr>
          <w:rFonts w:ascii="Arial" w:hAnsi="Arial" w:cs="Arial"/>
          <w:color w:val="000000"/>
          <w:sz w:val="24"/>
        </w:rPr>
        <w:t xml:space="preserve"> = 0</w:t>
      </w:r>
      <w:r w:rsidRPr="00CF734B">
        <w:rPr>
          <w:rFonts w:ascii="Arial" w:hAnsi="Arial" w:cs="Arial"/>
          <w:color w:val="000000"/>
          <w:sz w:val="24"/>
          <w:szCs w:val="22"/>
        </w:rPr>
        <w:t>∙</w:t>
      </w:r>
      <w:r w:rsidRPr="00CF734B">
        <w:rPr>
          <w:rFonts w:ascii="Arial" w:hAnsi="Arial" w:cs="Arial"/>
          <w:color w:val="000000"/>
          <w:sz w:val="24"/>
        </w:rPr>
        <w:t>69-0</w:t>
      </w:r>
      <w:r w:rsidRPr="00CF734B">
        <w:rPr>
          <w:rFonts w:ascii="Arial" w:hAnsi="Arial" w:cs="Arial"/>
          <w:color w:val="000000"/>
          <w:sz w:val="24"/>
          <w:szCs w:val="22"/>
        </w:rPr>
        <w:t>∙</w:t>
      </w:r>
      <w:r w:rsidRPr="00CF734B">
        <w:rPr>
          <w:rFonts w:ascii="Arial" w:hAnsi="Arial" w:cs="Arial"/>
          <w:color w:val="000000"/>
          <w:sz w:val="24"/>
        </w:rPr>
        <w:t xml:space="preserve">77 </w:t>
      </w:r>
      <w:r w:rsidRPr="00CF734B">
        <w:rPr>
          <w:rFonts w:ascii="Arial" w:hAnsi="Arial" w:cs="Arial"/>
          <w:color w:val="000000"/>
          <w:sz w:val="24"/>
          <w:szCs w:val="22"/>
        </w:rPr>
        <w:t>for 600 and 1200mg do</w:t>
      </w:r>
      <w:r w:rsidRPr="00CF734B">
        <w:rPr>
          <w:rFonts w:ascii="Arial" w:hAnsi="Arial" w:cs="Arial"/>
          <w:color w:val="000000"/>
          <w:sz w:val="24"/>
        </w:rPr>
        <w:t>ses (p&gt;0</w:t>
      </w:r>
      <w:r w:rsidRPr="00CF734B">
        <w:rPr>
          <w:rFonts w:ascii="Arial" w:hAnsi="Arial" w:cs="Arial"/>
          <w:color w:val="000000"/>
          <w:sz w:val="24"/>
          <w:szCs w:val="22"/>
        </w:rPr>
        <w:t>∙</w:t>
      </w:r>
      <w:r w:rsidRPr="00CF734B">
        <w:rPr>
          <w:rFonts w:ascii="Arial" w:hAnsi="Arial" w:cs="Arial"/>
          <w:color w:val="000000"/>
          <w:sz w:val="24"/>
        </w:rPr>
        <w:t>08). Both matrices were associated with plasma (</w:t>
      </w:r>
      <w:r w:rsidRPr="00CF734B">
        <w:rPr>
          <w:rFonts w:ascii="Arial" w:hAnsi="Arial" w:cs="Arial"/>
          <w:color w:val="000000"/>
          <w:sz w:val="24"/>
          <w:szCs w:val="22"/>
        </w:rPr>
        <w:t>VF</w:t>
      </w:r>
      <w:r w:rsidRPr="00CF734B">
        <w:rPr>
          <w:rFonts w:ascii="Arial" w:hAnsi="Arial" w:cs="Arial"/>
          <w:color w:val="000000"/>
          <w:sz w:val="24"/>
        </w:rPr>
        <w:t xml:space="preserve"> </w:t>
      </w:r>
      <w:r w:rsidRPr="00CF734B">
        <w:rPr>
          <w:rFonts w:ascii="Arial" w:hAnsi="Arial" w:cs="Arial"/>
          <w:i/>
          <w:color w:val="000000"/>
          <w:sz w:val="24"/>
          <w:szCs w:val="22"/>
        </w:rPr>
        <w:t>r</w:t>
      </w:r>
      <w:r w:rsidRPr="00CF734B">
        <w:rPr>
          <w:rFonts w:ascii="Arial" w:hAnsi="Arial" w:cs="Arial"/>
          <w:color w:val="000000"/>
          <w:sz w:val="24"/>
          <w:szCs w:val="22"/>
          <w:vertAlign w:val="superscript"/>
        </w:rPr>
        <w:t xml:space="preserve">2 </w:t>
      </w:r>
      <w:r w:rsidRPr="00CF734B">
        <w:rPr>
          <w:rFonts w:ascii="Arial" w:hAnsi="Arial" w:cs="Arial"/>
          <w:color w:val="000000"/>
          <w:sz w:val="24"/>
          <w:szCs w:val="22"/>
        </w:rPr>
        <w:t>= 0∙423</w:t>
      </w:r>
      <w:r w:rsidRPr="00CF734B">
        <w:rPr>
          <w:rFonts w:ascii="Arial" w:hAnsi="Arial" w:cs="Arial"/>
          <w:color w:val="000000"/>
          <w:sz w:val="24"/>
        </w:rPr>
        <w:t xml:space="preserve">; </w:t>
      </w:r>
      <w:r w:rsidRPr="00CF734B">
        <w:rPr>
          <w:rFonts w:ascii="Arial" w:hAnsi="Arial" w:cs="Arial"/>
          <w:color w:val="000000"/>
          <w:sz w:val="24"/>
          <w:szCs w:val="22"/>
        </w:rPr>
        <w:t>EF</w:t>
      </w:r>
      <w:r w:rsidRPr="00CF734B">
        <w:rPr>
          <w:rFonts w:ascii="Arial" w:hAnsi="Arial" w:cs="Arial"/>
          <w:color w:val="000000"/>
          <w:sz w:val="24"/>
        </w:rPr>
        <w:t xml:space="preserve"> </w:t>
      </w:r>
      <w:r w:rsidRPr="00CF734B">
        <w:rPr>
          <w:rFonts w:ascii="Arial" w:hAnsi="Arial" w:cs="Arial"/>
          <w:i/>
          <w:color w:val="000000"/>
          <w:sz w:val="24"/>
          <w:szCs w:val="22"/>
        </w:rPr>
        <w:t>r</w:t>
      </w:r>
      <w:r w:rsidRPr="00CF734B">
        <w:rPr>
          <w:rFonts w:ascii="Arial" w:hAnsi="Arial" w:cs="Arial"/>
          <w:color w:val="000000"/>
          <w:sz w:val="24"/>
          <w:szCs w:val="22"/>
          <w:vertAlign w:val="superscript"/>
        </w:rPr>
        <w:t xml:space="preserve">2 </w:t>
      </w:r>
      <w:r w:rsidRPr="00CF734B">
        <w:rPr>
          <w:rFonts w:ascii="Arial" w:hAnsi="Arial" w:cs="Arial"/>
          <w:color w:val="000000"/>
          <w:sz w:val="24"/>
          <w:szCs w:val="22"/>
        </w:rPr>
        <w:t>= 0∙471)</w:t>
      </w:r>
      <w:r w:rsidRPr="00CF734B">
        <w:rPr>
          <w:rFonts w:ascii="Arial" w:hAnsi="Arial" w:cs="Arial"/>
          <w:color w:val="000000"/>
          <w:sz w:val="24"/>
        </w:rPr>
        <w:t xml:space="preserve">; </w:t>
      </w:r>
      <w:r w:rsidRPr="00CF734B">
        <w:rPr>
          <w:rFonts w:ascii="Arial" w:hAnsi="Arial" w:cs="Arial"/>
          <w:color w:val="000000"/>
          <w:sz w:val="24"/>
          <w:szCs w:val="22"/>
        </w:rPr>
        <w:t xml:space="preserve">VF </w:t>
      </w:r>
      <w:r w:rsidRPr="00CF734B">
        <w:rPr>
          <w:rFonts w:ascii="Arial" w:hAnsi="Arial" w:cs="Arial"/>
          <w:color w:val="000000"/>
          <w:sz w:val="24"/>
        </w:rPr>
        <w:t xml:space="preserve">and EF were also highly correlated </w:t>
      </w:r>
      <w:r w:rsidRPr="00CF734B">
        <w:rPr>
          <w:rFonts w:ascii="Arial" w:hAnsi="Arial" w:cs="Arial"/>
          <w:color w:val="000000"/>
          <w:sz w:val="24"/>
          <w:szCs w:val="22"/>
        </w:rPr>
        <w:t>(r</w:t>
      </w:r>
      <w:r w:rsidRPr="00CF734B">
        <w:rPr>
          <w:rFonts w:ascii="Arial" w:hAnsi="Arial" w:cs="Arial"/>
          <w:color w:val="000000"/>
          <w:sz w:val="24"/>
          <w:szCs w:val="22"/>
          <w:vertAlign w:val="superscript"/>
        </w:rPr>
        <w:t xml:space="preserve">2 </w:t>
      </w:r>
      <w:r w:rsidRPr="00CF734B">
        <w:rPr>
          <w:rFonts w:ascii="Arial" w:hAnsi="Arial" w:cs="Arial"/>
          <w:color w:val="000000"/>
          <w:sz w:val="24"/>
          <w:szCs w:val="22"/>
        </w:rPr>
        <w:t xml:space="preserve">= 0∙760). </w:t>
      </w:r>
    </w:p>
    <w:p w:rsidR="00001940" w:rsidRDefault="00001940" w:rsidP="000C76B0">
      <w:pPr>
        <w:spacing w:after="200" w:line="276" w:lineRule="auto"/>
        <w:jc w:val="both"/>
        <w:rPr>
          <w:rFonts w:ascii="Arial" w:hAnsi="Arial" w:cs="Arial"/>
          <w:i/>
          <w:color w:val="000000"/>
          <w:sz w:val="24"/>
        </w:rPr>
      </w:pPr>
    </w:p>
    <w:p w:rsidR="00001940" w:rsidRDefault="00001940" w:rsidP="000C76B0">
      <w:pPr>
        <w:spacing w:after="200" w:line="276" w:lineRule="auto"/>
        <w:jc w:val="both"/>
        <w:rPr>
          <w:rFonts w:ascii="Arial" w:hAnsi="Arial" w:cs="Arial"/>
          <w:i/>
          <w:color w:val="000000"/>
          <w:sz w:val="24"/>
        </w:rPr>
      </w:pPr>
    </w:p>
    <w:p w:rsidR="00001940" w:rsidRDefault="00001940" w:rsidP="000C76B0">
      <w:pPr>
        <w:spacing w:after="200" w:line="276" w:lineRule="auto"/>
        <w:jc w:val="both"/>
        <w:rPr>
          <w:rFonts w:ascii="Arial" w:hAnsi="Arial" w:cs="Arial"/>
          <w:i/>
          <w:color w:val="000000"/>
          <w:sz w:val="24"/>
        </w:rPr>
      </w:pPr>
    </w:p>
    <w:p w:rsidR="00EE4558" w:rsidRPr="00CF734B" w:rsidRDefault="00EE4558" w:rsidP="000C76B0">
      <w:pPr>
        <w:spacing w:after="200" w:line="276" w:lineRule="auto"/>
        <w:jc w:val="both"/>
        <w:rPr>
          <w:rFonts w:ascii="Arial" w:hAnsi="Arial" w:cs="Arial"/>
          <w:i/>
          <w:color w:val="000000"/>
          <w:sz w:val="24"/>
        </w:rPr>
      </w:pPr>
      <w:r w:rsidRPr="00CF734B">
        <w:rPr>
          <w:rFonts w:ascii="Arial" w:hAnsi="Arial" w:cs="Arial"/>
          <w:i/>
          <w:color w:val="000000"/>
          <w:sz w:val="24"/>
        </w:rPr>
        <w:lastRenderedPageBreak/>
        <w:t>Rectum</w:t>
      </w:r>
    </w:p>
    <w:p w:rsidR="00EE4558" w:rsidRPr="00CF734B" w:rsidRDefault="00EE4558" w:rsidP="000C76B0">
      <w:pPr>
        <w:spacing w:after="200" w:line="480" w:lineRule="auto"/>
        <w:jc w:val="both"/>
        <w:rPr>
          <w:rFonts w:ascii="Arial" w:hAnsi="Arial" w:cs="Arial"/>
          <w:color w:val="000000"/>
          <w:sz w:val="24"/>
          <w:szCs w:val="22"/>
        </w:rPr>
      </w:pPr>
      <w:r w:rsidRPr="00CF734B">
        <w:rPr>
          <w:rFonts w:ascii="Arial" w:hAnsi="Arial" w:cs="Arial"/>
          <w:color w:val="000000"/>
          <w:sz w:val="24"/>
          <w:szCs w:val="22"/>
        </w:rPr>
        <w:t xml:space="preserve">RPV concentrations in both female and male RF were highly variable and substantially lower than levels observed in plasma: </w:t>
      </w:r>
      <w:r w:rsidRPr="00CF734B">
        <w:rPr>
          <w:rFonts w:ascii="Arial" w:hAnsi="Arial" w:cs="Arial"/>
          <w:color w:val="000000"/>
          <w:sz w:val="24"/>
        </w:rPr>
        <w:t>GM RF-to-plasma</w:t>
      </w:r>
      <w:r w:rsidRPr="00CF734B">
        <w:rPr>
          <w:rFonts w:ascii="Arial" w:hAnsi="Arial" w:cs="Arial"/>
          <w:color w:val="000000"/>
          <w:sz w:val="24"/>
          <w:szCs w:val="22"/>
          <w:vertAlign w:val="subscript"/>
        </w:rPr>
        <w:t xml:space="preserve"> </w:t>
      </w:r>
      <w:r w:rsidRPr="00CF734B">
        <w:rPr>
          <w:rFonts w:ascii="Arial" w:hAnsi="Arial" w:cs="Arial"/>
          <w:color w:val="000000"/>
          <w:sz w:val="24"/>
        </w:rPr>
        <w:t>ratios ranged between 0</w:t>
      </w:r>
      <w:r w:rsidRPr="00CF734B">
        <w:rPr>
          <w:rFonts w:ascii="Arial" w:hAnsi="Arial" w:cs="Arial"/>
          <w:color w:val="000000"/>
          <w:sz w:val="24"/>
          <w:szCs w:val="22"/>
        </w:rPr>
        <w:t>∙</w:t>
      </w:r>
      <w:r w:rsidRPr="00CF734B">
        <w:rPr>
          <w:rFonts w:ascii="Arial" w:hAnsi="Arial" w:cs="Arial"/>
          <w:color w:val="000000"/>
          <w:sz w:val="24"/>
        </w:rPr>
        <w:t>28-0</w:t>
      </w:r>
      <w:r>
        <w:rPr>
          <w:rFonts w:ascii="Arial" w:hAnsi="Arial" w:cs="Arial"/>
          <w:sz w:val="24"/>
          <w:szCs w:val="22"/>
        </w:rPr>
        <w:t>∙</w:t>
      </w:r>
      <w:r w:rsidRPr="00CF734B">
        <w:rPr>
          <w:rFonts w:ascii="Arial" w:hAnsi="Arial" w:cs="Arial"/>
          <w:color w:val="000000"/>
          <w:sz w:val="24"/>
        </w:rPr>
        <w:t>66, and no gender-related differences were observed in overall RF AUC</w:t>
      </w:r>
      <w:r w:rsidRPr="00CF734B">
        <w:rPr>
          <w:rFonts w:ascii="Arial" w:hAnsi="Arial" w:cs="Arial"/>
          <w:color w:val="000000"/>
          <w:sz w:val="24"/>
          <w:vertAlign w:val="subscript"/>
        </w:rPr>
        <w:t>112</w:t>
      </w:r>
      <w:r w:rsidRPr="00CF734B">
        <w:rPr>
          <w:rFonts w:ascii="Arial" w:hAnsi="Arial" w:cs="Arial"/>
          <w:color w:val="000000"/>
          <w:sz w:val="24"/>
        </w:rPr>
        <w:t xml:space="preserve"> (p&gt;0</w:t>
      </w:r>
      <w:r w:rsidRPr="00CF734B">
        <w:rPr>
          <w:rFonts w:ascii="Arial" w:hAnsi="Arial" w:cs="Arial"/>
          <w:color w:val="000000"/>
          <w:sz w:val="24"/>
          <w:szCs w:val="22"/>
        </w:rPr>
        <w:t>∙</w:t>
      </w:r>
      <w:r w:rsidRPr="00CF734B">
        <w:rPr>
          <w:rFonts w:ascii="Arial" w:hAnsi="Arial" w:cs="Arial"/>
          <w:color w:val="000000"/>
          <w:sz w:val="24"/>
        </w:rPr>
        <w:t xml:space="preserve">23). </w:t>
      </w:r>
      <w:r w:rsidRPr="00CF734B">
        <w:rPr>
          <w:rFonts w:ascii="Arial" w:hAnsi="Arial" w:cs="Arial"/>
          <w:color w:val="000000"/>
          <w:sz w:val="24"/>
          <w:szCs w:val="22"/>
        </w:rPr>
        <w:t>Furthermore, unlike</w:t>
      </w:r>
      <w:r w:rsidRPr="00CF734B">
        <w:rPr>
          <w:rFonts w:ascii="Arial" w:hAnsi="Arial" w:cs="Arial"/>
          <w:color w:val="000000"/>
          <w:sz w:val="24"/>
        </w:rPr>
        <w:t xml:space="preserve"> the cervical/vaginal fluids, RF was only weakly correlated with corresponding plasma</w:t>
      </w:r>
      <w:r w:rsidRPr="00CF734B">
        <w:rPr>
          <w:rFonts w:ascii="Arial" w:hAnsi="Arial" w:cs="Arial"/>
          <w:color w:val="000000"/>
          <w:sz w:val="24"/>
          <w:szCs w:val="22"/>
        </w:rPr>
        <w:t xml:space="preserve"> drug concentrations (</w:t>
      </w:r>
      <w:r w:rsidRPr="00CF734B">
        <w:rPr>
          <w:rFonts w:ascii="Arial" w:hAnsi="Arial" w:cs="Arial"/>
          <w:i/>
          <w:color w:val="000000"/>
          <w:sz w:val="24"/>
          <w:szCs w:val="22"/>
        </w:rPr>
        <w:t>r</w:t>
      </w:r>
      <w:r w:rsidRPr="00CF734B">
        <w:rPr>
          <w:rFonts w:ascii="Arial" w:hAnsi="Arial" w:cs="Arial"/>
          <w:color w:val="000000"/>
          <w:sz w:val="24"/>
          <w:szCs w:val="22"/>
          <w:vertAlign w:val="superscript"/>
        </w:rPr>
        <w:t xml:space="preserve">2 </w:t>
      </w:r>
      <w:r w:rsidRPr="00CF734B">
        <w:rPr>
          <w:rFonts w:ascii="Arial" w:hAnsi="Arial" w:cs="Arial"/>
          <w:color w:val="000000"/>
          <w:sz w:val="24"/>
          <w:szCs w:val="22"/>
        </w:rPr>
        <w:t>= 0∙09).</w:t>
      </w:r>
    </w:p>
    <w:p w:rsidR="00EE4558" w:rsidRPr="00CF734B" w:rsidRDefault="00EE4558" w:rsidP="000C76B0">
      <w:pPr>
        <w:spacing w:after="200" w:line="480" w:lineRule="auto"/>
        <w:jc w:val="both"/>
        <w:rPr>
          <w:rFonts w:ascii="Arial" w:hAnsi="Arial" w:cs="Arial"/>
          <w:i/>
          <w:color w:val="000000"/>
          <w:sz w:val="24"/>
          <w:szCs w:val="22"/>
        </w:rPr>
      </w:pPr>
      <w:r w:rsidRPr="00CF734B">
        <w:rPr>
          <w:rFonts w:ascii="Arial" w:hAnsi="Arial" w:cs="Arial"/>
          <w:i/>
          <w:color w:val="000000"/>
          <w:sz w:val="24"/>
          <w:szCs w:val="22"/>
        </w:rPr>
        <w:t>Tissue</w:t>
      </w:r>
    </w:p>
    <w:p w:rsidR="00EE4558" w:rsidRPr="00CF734B" w:rsidRDefault="00EE4558" w:rsidP="000C76B0">
      <w:pPr>
        <w:spacing w:after="200" w:line="480" w:lineRule="auto"/>
        <w:jc w:val="both"/>
        <w:rPr>
          <w:rFonts w:ascii="Arial" w:hAnsi="Arial" w:cs="Arial"/>
          <w:color w:val="000000"/>
          <w:sz w:val="24"/>
        </w:rPr>
      </w:pPr>
      <w:r w:rsidRPr="00CF734B">
        <w:rPr>
          <w:rFonts w:ascii="Arial" w:hAnsi="Arial" w:cs="Arial"/>
          <w:color w:val="000000"/>
          <w:sz w:val="24"/>
          <w:szCs w:val="22"/>
        </w:rPr>
        <w:t xml:space="preserve">Tissue biopsies were taken at 4-weekly intervals between 28 and 112 days (and at 168 days in women undertaking additional visits). </w:t>
      </w:r>
      <w:r w:rsidRPr="00CF734B">
        <w:rPr>
          <w:rFonts w:ascii="Arial" w:hAnsi="Arial" w:cs="Arial"/>
          <w:color w:val="000000"/>
          <w:sz w:val="24"/>
        </w:rPr>
        <w:t>For females, VT and CT concentrations, when expressed as ng/mL, were significantly lower than paired plasma (p&lt;0</w:t>
      </w:r>
      <w:r w:rsidRPr="00CF734B">
        <w:rPr>
          <w:rFonts w:ascii="Arial" w:hAnsi="Arial" w:cs="Arial"/>
          <w:color w:val="000000"/>
          <w:sz w:val="24"/>
          <w:szCs w:val="22"/>
        </w:rPr>
        <w:t>∙</w:t>
      </w:r>
      <w:r w:rsidRPr="00CF734B">
        <w:rPr>
          <w:rFonts w:ascii="Arial" w:hAnsi="Arial" w:cs="Arial"/>
          <w:color w:val="000000"/>
          <w:sz w:val="24"/>
        </w:rPr>
        <w:t>0001): GM Tissue-to-plasma</w:t>
      </w:r>
      <w:r w:rsidRPr="00CF734B">
        <w:rPr>
          <w:rFonts w:ascii="Arial" w:hAnsi="Arial" w:cs="Arial"/>
          <w:color w:val="000000"/>
          <w:sz w:val="24"/>
          <w:szCs w:val="22"/>
        </w:rPr>
        <w:t xml:space="preserve"> </w:t>
      </w:r>
      <w:r w:rsidRPr="00CF734B">
        <w:rPr>
          <w:rFonts w:ascii="Arial" w:hAnsi="Arial" w:cs="Arial"/>
          <w:color w:val="000000"/>
          <w:sz w:val="24"/>
        </w:rPr>
        <w:t>ratios were 0</w:t>
      </w:r>
      <w:r w:rsidRPr="00CF734B">
        <w:rPr>
          <w:rFonts w:ascii="Arial" w:hAnsi="Arial" w:cs="Arial"/>
          <w:color w:val="000000"/>
          <w:sz w:val="24"/>
          <w:szCs w:val="22"/>
        </w:rPr>
        <w:t>∙</w:t>
      </w:r>
      <w:r w:rsidRPr="00CF734B">
        <w:rPr>
          <w:rFonts w:ascii="Arial" w:hAnsi="Arial" w:cs="Arial"/>
          <w:color w:val="000000"/>
          <w:sz w:val="24"/>
        </w:rPr>
        <w:t>44-0</w:t>
      </w:r>
      <w:r w:rsidRPr="00CF734B">
        <w:rPr>
          <w:rFonts w:ascii="Arial" w:hAnsi="Arial" w:cs="Arial"/>
          <w:color w:val="000000"/>
          <w:sz w:val="24"/>
          <w:szCs w:val="22"/>
        </w:rPr>
        <w:t>∙</w:t>
      </w:r>
      <w:r w:rsidRPr="00CF734B">
        <w:rPr>
          <w:rFonts w:ascii="Arial" w:hAnsi="Arial" w:cs="Arial"/>
          <w:color w:val="000000"/>
          <w:sz w:val="24"/>
        </w:rPr>
        <w:t>72 for VT and 0</w:t>
      </w:r>
      <w:r w:rsidRPr="00CF734B">
        <w:rPr>
          <w:rFonts w:ascii="Arial" w:hAnsi="Arial" w:cs="Arial"/>
          <w:color w:val="000000"/>
          <w:sz w:val="24"/>
          <w:szCs w:val="22"/>
        </w:rPr>
        <w:t>∙</w:t>
      </w:r>
      <w:r w:rsidRPr="00CF734B">
        <w:rPr>
          <w:rFonts w:ascii="Arial" w:hAnsi="Arial" w:cs="Arial"/>
          <w:color w:val="000000"/>
          <w:sz w:val="24"/>
        </w:rPr>
        <w:t>42-0</w:t>
      </w:r>
      <w:r w:rsidRPr="00CF734B">
        <w:rPr>
          <w:rFonts w:ascii="Arial" w:hAnsi="Arial" w:cs="Arial"/>
          <w:color w:val="000000"/>
          <w:sz w:val="24"/>
          <w:szCs w:val="22"/>
        </w:rPr>
        <w:t>∙</w:t>
      </w:r>
      <w:r w:rsidRPr="00CF734B">
        <w:rPr>
          <w:rFonts w:ascii="Arial" w:hAnsi="Arial" w:cs="Arial"/>
          <w:color w:val="000000"/>
          <w:sz w:val="24"/>
        </w:rPr>
        <w:t>77 for</w:t>
      </w:r>
      <w:r w:rsidRPr="00CF734B">
        <w:rPr>
          <w:rFonts w:ascii="Arial" w:hAnsi="Arial" w:cs="Arial"/>
          <w:color w:val="000000"/>
          <w:sz w:val="24"/>
          <w:szCs w:val="22"/>
        </w:rPr>
        <w:t xml:space="preserve"> CT</w:t>
      </w:r>
      <w:r w:rsidRPr="00CF734B">
        <w:rPr>
          <w:rFonts w:ascii="Arial" w:hAnsi="Arial" w:cs="Arial"/>
          <w:color w:val="000000"/>
          <w:sz w:val="24"/>
        </w:rPr>
        <w:t xml:space="preserve"> over the course of 112 days. Plasma and VT (r</w:t>
      </w:r>
      <w:r w:rsidRPr="00CF734B">
        <w:rPr>
          <w:rFonts w:ascii="Arial" w:hAnsi="Arial" w:cs="Arial"/>
          <w:color w:val="000000"/>
          <w:sz w:val="24"/>
          <w:vertAlign w:val="superscript"/>
        </w:rPr>
        <w:t>2</w:t>
      </w:r>
      <w:r w:rsidRPr="00CF734B">
        <w:rPr>
          <w:rFonts w:ascii="Arial" w:hAnsi="Arial" w:cs="Arial"/>
          <w:color w:val="000000"/>
          <w:sz w:val="24"/>
        </w:rPr>
        <w:t>=0</w:t>
      </w:r>
      <w:r w:rsidRPr="00CF734B">
        <w:rPr>
          <w:rFonts w:ascii="Arial" w:hAnsi="Arial" w:cs="Arial"/>
          <w:color w:val="000000"/>
          <w:sz w:val="24"/>
          <w:szCs w:val="22"/>
        </w:rPr>
        <w:t>∙</w:t>
      </w:r>
      <w:r w:rsidRPr="00CF734B">
        <w:rPr>
          <w:rFonts w:ascii="Arial" w:hAnsi="Arial" w:cs="Arial"/>
          <w:color w:val="000000"/>
          <w:sz w:val="24"/>
        </w:rPr>
        <w:t>721) and CT</w:t>
      </w:r>
      <w:r w:rsidRPr="00CF734B">
        <w:rPr>
          <w:rFonts w:ascii="Arial" w:hAnsi="Arial" w:cs="Arial"/>
          <w:color w:val="000000"/>
          <w:sz w:val="24"/>
          <w:szCs w:val="22"/>
        </w:rPr>
        <w:t xml:space="preserve"> </w:t>
      </w:r>
      <w:r w:rsidRPr="00CF734B">
        <w:rPr>
          <w:rFonts w:ascii="Arial" w:hAnsi="Arial" w:cs="Arial"/>
          <w:color w:val="000000"/>
          <w:sz w:val="24"/>
        </w:rPr>
        <w:t>(r</w:t>
      </w:r>
      <w:r w:rsidRPr="00CF734B">
        <w:rPr>
          <w:rFonts w:ascii="Arial" w:hAnsi="Arial" w:cs="Arial"/>
          <w:color w:val="000000"/>
          <w:sz w:val="24"/>
          <w:vertAlign w:val="superscript"/>
        </w:rPr>
        <w:t>2</w:t>
      </w:r>
      <w:r w:rsidRPr="00CF734B">
        <w:rPr>
          <w:rFonts w:ascii="Arial" w:hAnsi="Arial" w:cs="Arial"/>
          <w:color w:val="000000"/>
          <w:sz w:val="24"/>
        </w:rPr>
        <w:t>=0</w:t>
      </w:r>
      <w:r w:rsidRPr="00CF734B">
        <w:rPr>
          <w:rFonts w:ascii="Arial" w:hAnsi="Arial" w:cs="Arial"/>
          <w:color w:val="000000"/>
          <w:sz w:val="24"/>
          <w:szCs w:val="22"/>
        </w:rPr>
        <w:t>∙</w:t>
      </w:r>
      <w:r w:rsidRPr="00CF734B">
        <w:rPr>
          <w:rFonts w:ascii="Arial" w:hAnsi="Arial" w:cs="Arial"/>
          <w:color w:val="000000"/>
          <w:sz w:val="24"/>
        </w:rPr>
        <w:t xml:space="preserve">666) concentrations were also highly correlated. </w:t>
      </w:r>
    </w:p>
    <w:p w:rsidR="00EE4558" w:rsidRPr="00F9446A" w:rsidRDefault="00EE4558" w:rsidP="000C76B0">
      <w:pPr>
        <w:spacing w:line="480" w:lineRule="auto"/>
        <w:jc w:val="both"/>
        <w:rPr>
          <w:rFonts w:ascii="Arial" w:hAnsi="Arial" w:cs="Arial"/>
          <w:sz w:val="24"/>
          <w:szCs w:val="22"/>
        </w:rPr>
      </w:pPr>
      <w:r w:rsidRPr="00F9446A">
        <w:rPr>
          <w:rFonts w:ascii="Arial" w:hAnsi="Arial" w:cs="Arial"/>
          <w:sz w:val="24"/>
          <w:szCs w:val="22"/>
        </w:rPr>
        <w:t>Ten of 12 females in each dosing arm also opted to undergo RF and RT sampling. RT concentrations in females</w:t>
      </w:r>
      <w:r>
        <w:rPr>
          <w:rFonts w:ascii="Arial" w:hAnsi="Arial" w:cs="Arial"/>
          <w:sz w:val="24"/>
          <w:szCs w:val="22"/>
        </w:rPr>
        <w:t xml:space="preserve">, when expressed as ng/ml, exceeded systemic levels (GM </w:t>
      </w:r>
      <w:r w:rsidRPr="00CF734B">
        <w:rPr>
          <w:rFonts w:ascii="Arial" w:hAnsi="Arial" w:cs="Arial"/>
          <w:color w:val="000000"/>
          <w:sz w:val="24"/>
          <w:szCs w:val="22"/>
        </w:rPr>
        <w:t xml:space="preserve">RT-to-plasma ratios ranged between 1∙10-1∙22; p=0∙001) and were approximately 1∙5 to 2∙5-fold higher (p&lt;0∙003) than drug exposures in the female genital tract (in VT or CT). </w:t>
      </w:r>
      <w:r w:rsidRPr="00CF734B">
        <w:rPr>
          <w:rFonts w:ascii="Arial" w:hAnsi="Arial" w:cs="Arial"/>
          <w:color w:val="000000"/>
          <w:sz w:val="24"/>
        </w:rPr>
        <w:t>RT concentrations were comparable in males and females (both doses; p&gt;0</w:t>
      </w:r>
      <w:r w:rsidRPr="00CF734B">
        <w:rPr>
          <w:rFonts w:ascii="Arial" w:hAnsi="Arial" w:cs="Arial"/>
          <w:color w:val="000000"/>
          <w:sz w:val="24"/>
          <w:szCs w:val="22"/>
        </w:rPr>
        <w:t>∙</w:t>
      </w:r>
      <w:r w:rsidRPr="00CF734B">
        <w:rPr>
          <w:rFonts w:ascii="Arial" w:hAnsi="Arial" w:cs="Arial"/>
          <w:color w:val="000000"/>
          <w:sz w:val="24"/>
        </w:rPr>
        <w:t>566) and were strongly associated with paired plasma concentrations (r</w:t>
      </w:r>
      <w:r w:rsidRPr="00CF734B">
        <w:rPr>
          <w:rFonts w:ascii="Arial" w:hAnsi="Arial" w:cs="Arial"/>
          <w:color w:val="000000"/>
          <w:sz w:val="24"/>
          <w:vertAlign w:val="superscript"/>
        </w:rPr>
        <w:t>2</w:t>
      </w:r>
      <w:r w:rsidRPr="00CF734B">
        <w:rPr>
          <w:rFonts w:ascii="Arial" w:hAnsi="Arial" w:cs="Arial"/>
          <w:color w:val="000000"/>
          <w:sz w:val="24"/>
        </w:rPr>
        <w:t>=0</w:t>
      </w:r>
      <w:r w:rsidRPr="00CF734B">
        <w:rPr>
          <w:rFonts w:ascii="Arial" w:hAnsi="Arial" w:cs="Arial"/>
          <w:color w:val="000000"/>
          <w:sz w:val="24"/>
          <w:szCs w:val="22"/>
        </w:rPr>
        <w:t>∙</w:t>
      </w:r>
      <w:r w:rsidRPr="00CF734B">
        <w:rPr>
          <w:rFonts w:ascii="Arial" w:hAnsi="Arial" w:cs="Arial"/>
          <w:color w:val="000000"/>
          <w:sz w:val="24"/>
        </w:rPr>
        <w:t>795, females; r</w:t>
      </w:r>
      <w:r w:rsidRPr="00CF734B">
        <w:rPr>
          <w:rFonts w:ascii="Arial" w:hAnsi="Arial" w:cs="Arial"/>
          <w:color w:val="000000"/>
          <w:sz w:val="24"/>
          <w:vertAlign w:val="superscript"/>
        </w:rPr>
        <w:t>2</w:t>
      </w:r>
      <w:r w:rsidRPr="00CF734B">
        <w:rPr>
          <w:rFonts w:ascii="Arial" w:hAnsi="Arial" w:cs="Arial"/>
          <w:color w:val="000000"/>
          <w:sz w:val="24"/>
        </w:rPr>
        <w:t>=0</w:t>
      </w:r>
      <w:r w:rsidRPr="00CF734B">
        <w:rPr>
          <w:rFonts w:ascii="Arial" w:hAnsi="Arial" w:cs="Arial"/>
          <w:color w:val="000000"/>
          <w:sz w:val="24"/>
          <w:szCs w:val="22"/>
        </w:rPr>
        <w:t>∙</w:t>
      </w:r>
      <w:r w:rsidRPr="00CF734B">
        <w:rPr>
          <w:rFonts w:ascii="Arial" w:hAnsi="Arial" w:cs="Arial"/>
          <w:color w:val="000000"/>
          <w:sz w:val="24"/>
        </w:rPr>
        <w:t>812, males).</w:t>
      </w:r>
      <w:r>
        <w:rPr>
          <w:rFonts w:ascii="Arial" w:hAnsi="Arial" w:cs="Arial"/>
          <w:color w:val="FF0000"/>
          <w:sz w:val="24"/>
        </w:rPr>
        <w:t xml:space="preserve"> </w:t>
      </w:r>
      <w:r w:rsidRPr="00F9446A">
        <w:rPr>
          <w:rFonts w:ascii="Arial" w:hAnsi="Arial" w:cs="Arial"/>
          <w:sz w:val="24"/>
          <w:szCs w:val="22"/>
        </w:rPr>
        <w:t xml:space="preserve"> </w:t>
      </w:r>
    </w:p>
    <w:p w:rsidR="00C83B66" w:rsidRDefault="00C83B66" w:rsidP="004548CB">
      <w:pPr>
        <w:spacing w:after="200" w:line="276" w:lineRule="auto"/>
        <w:jc w:val="both"/>
        <w:rPr>
          <w:rFonts w:ascii="Arial" w:hAnsi="Arial" w:cs="Arial"/>
          <w:b/>
          <w:sz w:val="24"/>
          <w:szCs w:val="22"/>
        </w:rPr>
      </w:pPr>
    </w:p>
    <w:p w:rsidR="00C83B66" w:rsidRDefault="00C83B66" w:rsidP="004548CB">
      <w:pPr>
        <w:spacing w:after="200" w:line="276" w:lineRule="auto"/>
        <w:jc w:val="both"/>
        <w:rPr>
          <w:rFonts w:ascii="Arial" w:hAnsi="Arial" w:cs="Arial"/>
          <w:b/>
          <w:sz w:val="24"/>
          <w:szCs w:val="22"/>
        </w:rPr>
      </w:pPr>
    </w:p>
    <w:p w:rsidR="00C83B66" w:rsidRDefault="00C83B66" w:rsidP="004548CB">
      <w:pPr>
        <w:spacing w:after="200" w:line="276" w:lineRule="auto"/>
        <w:jc w:val="both"/>
        <w:rPr>
          <w:rFonts w:ascii="Arial" w:hAnsi="Arial" w:cs="Arial"/>
          <w:b/>
          <w:sz w:val="24"/>
          <w:szCs w:val="22"/>
        </w:rPr>
      </w:pPr>
    </w:p>
    <w:p w:rsidR="00EE4558" w:rsidRPr="00F9446A" w:rsidRDefault="00EE4558" w:rsidP="004548CB">
      <w:pPr>
        <w:spacing w:after="200" w:line="276" w:lineRule="auto"/>
        <w:jc w:val="both"/>
        <w:rPr>
          <w:rFonts w:ascii="Arial" w:hAnsi="Arial" w:cs="Arial"/>
          <w:b/>
          <w:sz w:val="24"/>
          <w:szCs w:val="22"/>
        </w:rPr>
      </w:pPr>
      <w:r w:rsidRPr="00F9446A">
        <w:rPr>
          <w:rFonts w:ascii="Arial" w:hAnsi="Arial" w:cs="Arial"/>
          <w:b/>
          <w:sz w:val="24"/>
          <w:szCs w:val="22"/>
        </w:rPr>
        <w:lastRenderedPageBreak/>
        <w:t>Pharmacodynamics</w:t>
      </w:r>
    </w:p>
    <w:p w:rsidR="00EE4558" w:rsidRPr="00F9446A" w:rsidRDefault="00EE4558" w:rsidP="004B442A">
      <w:pPr>
        <w:spacing w:line="480" w:lineRule="auto"/>
        <w:jc w:val="both"/>
        <w:rPr>
          <w:rFonts w:ascii="Arial" w:hAnsi="Arial" w:cs="Arial"/>
          <w:sz w:val="24"/>
          <w:szCs w:val="22"/>
        </w:rPr>
      </w:pPr>
      <w:r w:rsidRPr="00F9446A">
        <w:rPr>
          <w:rFonts w:ascii="Arial" w:hAnsi="Arial" w:cs="Arial"/>
          <w:i/>
          <w:sz w:val="24"/>
          <w:szCs w:val="22"/>
        </w:rPr>
        <w:t>Ex vivo</w:t>
      </w:r>
      <w:r w:rsidRPr="00F9446A">
        <w:rPr>
          <w:rFonts w:ascii="Arial" w:hAnsi="Arial" w:cs="Arial"/>
          <w:sz w:val="24"/>
          <w:szCs w:val="22"/>
        </w:rPr>
        <w:t xml:space="preserve"> HIV-1 infection (log</w:t>
      </w:r>
      <w:r w:rsidRPr="00F9446A">
        <w:rPr>
          <w:rFonts w:ascii="Arial" w:hAnsi="Arial" w:cs="Arial"/>
          <w:sz w:val="24"/>
          <w:szCs w:val="22"/>
          <w:vertAlign w:val="subscript"/>
        </w:rPr>
        <w:t xml:space="preserve">10 </w:t>
      </w:r>
      <w:r w:rsidRPr="00F9446A">
        <w:rPr>
          <w:rFonts w:ascii="Arial" w:hAnsi="Arial" w:cs="Arial"/>
          <w:sz w:val="24"/>
          <w:szCs w:val="22"/>
        </w:rPr>
        <w:t>p24 pg/mg) in RT, CT, and VT was compared between doses (600 versus 1200 mg) and across Days 0-</w:t>
      </w:r>
      <w:r>
        <w:rPr>
          <w:rFonts w:ascii="Arial" w:hAnsi="Arial" w:cs="Arial"/>
          <w:sz w:val="24"/>
          <w:szCs w:val="22"/>
        </w:rPr>
        <w:t>168</w:t>
      </w:r>
      <w:r w:rsidRPr="00F9446A">
        <w:rPr>
          <w:rFonts w:ascii="Arial" w:hAnsi="Arial" w:cs="Arial"/>
          <w:sz w:val="24"/>
          <w:szCs w:val="22"/>
        </w:rPr>
        <w:t xml:space="preserve"> post IM injection of RPV LA (F</w:t>
      </w:r>
      <w:r>
        <w:rPr>
          <w:rFonts w:ascii="Arial" w:hAnsi="Arial" w:cs="Arial"/>
          <w:sz w:val="24"/>
          <w:szCs w:val="22"/>
        </w:rPr>
        <w:t xml:space="preserve">igure </w:t>
      </w:r>
      <w:r w:rsidR="00C83B66">
        <w:rPr>
          <w:rFonts w:ascii="Arial" w:hAnsi="Arial" w:cs="Arial"/>
          <w:sz w:val="24"/>
          <w:szCs w:val="22"/>
        </w:rPr>
        <w:t>3</w:t>
      </w:r>
      <w:r>
        <w:rPr>
          <w:rFonts w:ascii="Arial" w:hAnsi="Arial" w:cs="Arial"/>
          <w:sz w:val="24"/>
          <w:szCs w:val="22"/>
        </w:rPr>
        <w:t>) by mixed model ANOVA. Th</w:t>
      </w:r>
      <w:r w:rsidRPr="00F9446A">
        <w:rPr>
          <w:rFonts w:ascii="Arial" w:hAnsi="Arial" w:cs="Arial"/>
          <w:sz w:val="24"/>
          <w:szCs w:val="22"/>
        </w:rPr>
        <w:t>ere was an effect of dose for RT (p = 0</w:t>
      </w:r>
      <w:r>
        <w:rPr>
          <w:rFonts w:ascii="Arial" w:hAnsi="Arial" w:cs="Arial"/>
          <w:sz w:val="24"/>
          <w:szCs w:val="22"/>
        </w:rPr>
        <w:t>∙</w:t>
      </w:r>
      <w:r w:rsidRPr="00F9446A">
        <w:rPr>
          <w:rFonts w:ascii="Arial" w:hAnsi="Arial" w:cs="Arial"/>
          <w:sz w:val="24"/>
          <w:szCs w:val="22"/>
        </w:rPr>
        <w:t xml:space="preserve">04; Figure </w:t>
      </w:r>
      <w:r w:rsidR="00C83B66">
        <w:rPr>
          <w:rFonts w:ascii="Arial" w:hAnsi="Arial" w:cs="Arial"/>
          <w:sz w:val="24"/>
          <w:szCs w:val="22"/>
        </w:rPr>
        <w:t>3</w:t>
      </w:r>
      <w:r w:rsidRPr="00F9446A">
        <w:rPr>
          <w:rFonts w:ascii="Arial" w:hAnsi="Arial" w:cs="Arial"/>
          <w:sz w:val="24"/>
          <w:szCs w:val="22"/>
        </w:rPr>
        <w:t>a) but no significant effects of dose were found for either CT (p = 0</w:t>
      </w:r>
      <w:r>
        <w:rPr>
          <w:rFonts w:ascii="Arial" w:hAnsi="Arial" w:cs="Arial"/>
          <w:sz w:val="24"/>
          <w:szCs w:val="22"/>
        </w:rPr>
        <w:t>∙</w:t>
      </w:r>
      <w:r w:rsidRPr="00F9446A">
        <w:rPr>
          <w:rFonts w:ascii="Arial" w:hAnsi="Arial" w:cs="Arial"/>
          <w:sz w:val="24"/>
          <w:szCs w:val="22"/>
        </w:rPr>
        <w:t xml:space="preserve">55; Figure </w:t>
      </w:r>
      <w:r w:rsidR="00C83B66">
        <w:rPr>
          <w:rFonts w:ascii="Arial" w:hAnsi="Arial" w:cs="Arial"/>
          <w:sz w:val="24"/>
          <w:szCs w:val="22"/>
        </w:rPr>
        <w:t>3</w:t>
      </w:r>
      <w:r w:rsidRPr="00F9446A">
        <w:rPr>
          <w:rFonts w:ascii="Arial" w:hAnsi="Arial" w:cs="Arial"/>
          <w:sz w:val="24"/>
          <w:szCs w:val="22"/>
        </w:rPr>
        <w:t>b) or VT (p = 0</w:t>
      </w:r>
      <w:r>
        <w:rPr>
          <w:rFonts w:ascii="Arial" w:hAnsi="Arial" w:cs="Arial"/>
          <w:sz w:val="24"/>
          <w:szCs w:val="22"/>
        </w:rPr>
        <w:t>∙</w:t>
      </w:r>
      <w:r w:rsidRPr="00F9446A">
        <w:rPr>
          <w:rFonts w:ascii="Arial" w:hAnsi="Arial" w:cs="Arial"/>
          <w:sz w:val="24"/>
          <w:szCs w:val="22"/>
        </w:rPr>
        <w:t xml:space="preserve">07; Figure </w:t>
      </w:r>
      <w:r w:rsidR="00C83B66">
        <w:rPr>
          <w:rFonts w:ascii="Arial" w:hAnsi="Arial" w:cs="Arial"/>
          <w:sz w:val="24"/>
          <w:szCs w:val="22"/>
        </w:rPr>
        <w:t>3</w:t>
      </w:r>
      <w:r w:rsidRPr="00F9446A">
        <w:rPr>
          <w:rFonts w:ascii="Arial" w:hAnsi="Arial" w:cs="Arial"/>
          <w:sz w:val="24"/>
          <w:szCs w:val="22"/>
        </w:rPr>
        <w:t>c). There was also an effect of visit for RT (p &lt; 0</w:t>
      </w:r>
      <w:r>
        <w:rPr>
          <w:rFonts w:ascii="Arial" w:hAnsi="Arial" w:cs="Arial"/>
          <w:sz w:val="24"/>
          <w:szCs w:val="22"/>
        </w:rPr>
        <w:t>∙</w:t>
      </w:r>
      <w:r w:rsidRPr="00F9446A">
        <w:rPr>
          <w:rFonts w:ascii="Arial" w:hAnsi="Arial" w:cs="Arial"/>
          <w:sz w:val="24"/>
          <w:szCs w:val="22"/>
        </w:rPr>
        <w:t xml:space="preserve">0001) but, again, no effects of visit were found for either CT or VT.  </w:t>
      </w:r>
    </w:p>
    <w:p w:rsidR="00EE4558" w:rsidRPr="00F9446A" w:rsidRDefault="00EE4558" w:rsidP="00845972">
      <w:pPr>
        <w:spacing w:line="480" w:lineRule="auto"/>
        <w:jc w:val="both"/>
        <w:rPr>
          <w:rFonts w:ascii="Arial" w:hAnsi="Arial" w:cs="Arial"/>
          <w:sz w:val="24"/>
          <w:szCs w:val="22"/>
        </w:rPr>
      </w:pPr>
    </w:p>
    <w:p w:rsidR="00EE4558" w:rsidRPr="00F9446A" w:rsidRDefault="00EE4558" w:rsidP="007E469C">
      <w:pPr>
        <w:spacing w:line="480" w:lineRule="auto"/>
        <w:jc w:val="both"/>
        <w:rPr>
          <w:rFonts w:ascii="Arial" w:hAnsi="Arial" w:cs="Arial"/>
          <w:sz w:val="24"/>
          <w:szCs w:val="22"/>
        </w:rPr>
      </w:pPr>
      <w:r w:rsidRPr="00F9446A">
        <w:rPr>
          <w:rFonts w:ascii="Arial" w:hAnsi="Arial" w:cs="Arial"/>
          <w:sz w:val="24"/>
          <w:szCs w:val="22"/>
        </w:rPr>
        <w:t>Pairwise comparisons were performed for rectal infection results between Baseline (Visit 2) and Days 28 (Visit 6), 56 (Visit 8), 84 (Visit 10), 112 (Visit 12), 140 (Visit 12A), and 168 (Visit 12B) for each dose group. Suppressed p24 was found at Visits 6-12 compared to Visit 2 for both the 600mg and 1200mg doses (p &lt; 0</w:t>
      </w:r>
      <w:r>
        <w:rPr>
          <w:rFonts w:ascii="Arial" w:hAnsi="Arial" w:cs="Arial"/>
          <w:sz w:val="24"/>
          <w:szCs w:val="22"/>
        </w:rPr>
        <w:t>∙</w:t>
      </w:r>
      <w:r w:rsidRPr="00F9446A">
        <w:rPr>
          <w:rFonts w:ascii="Arial" w:hAnsi="Arial" w:cs="Arial"/>
          <w:sz w:val="24"/>
          <w:szCs w:val="22"/>
        </w:rPr>
        <w:t>05). At Visits 12A and 12B the p24 levels had reverted back to Visit 2 levels (p &gt; 0</w:t>
      </w:r>
      <w:r>
        <w:rPr>
          <w:rFonts w:ascii="Arial" w:hAnsi="Arial" w:cs="Arial"/>
          <w:sz w:val="24"/>
          <w:szCs w:val="22"/>
        </w:rPr>
        <w:t>∙</w:t>
      </w:r>
      <w:r w:rsidRPr="00F9446A">
        <w:rPr>
          <w:rFonts w:ascii="Arial" w:hAnsi="Arial" w:cs="Arial"/>
          <w:sz w:val="24"/>
          <w:szCs w:val="22"/>
        </w:rPr>
        <w:t xml:space="preserve">05) for both doses. Pairwise comparisons were performed to compare rectal infection between doses for each visit; the only visits where a significant difference in p24 infection was found between the 1200 mg and 600 mg arms were Visits 10 and 12 where p24 infection </w:t>
      </w:r>
      <w:r>
        <w:rPr>
          <w:rFonts w:ascii="Arial" w:hAnsi="Arial" w:cs="Arial"/>
          <w:sz w:val="24"/>
          <w:szCs w:val="22"/>
        </w:rPr>
        <w:t>levels were</w:t>
      </w:r>
      <w:r w:rsidRPr="00F9446A">
        <w:rPr>
          <w:rFonts w:ascii="Arial" w:hAnsi="Arial" w:cs="Arial"/>
          <w:sz w:val="24"/>
          <w:szCs w:val="22"/>
        </w:rPr>
        <w:t xml:space="preserve"> lower for the 1200 mg dose group.  RF, EF, and VF were unable to </w:t>
      </w:r>
      <w:r>
        <w:rPr>
          <w:rFonts w:ascii="Arial" w:hAnsi="Arial" w:cs="Arial"/>
          <w:sz w:val="24"/>
          <w:szCs w:val="22"/>
        </w:rPr>
        <w:t>demonstrate drug-related inhibition of HIV-1</w:t>
      </w:r>
      <w:r w:rsidRPr="00F9446A">
        <w:rPr>
          <w:rFonts w:ascii="Arial" w:hAnsi="Arial" w:cs="Arial"/>
          <w:sz w:val="24"/>
          <w:szCs w:val="22"/>
        </w:rPr>
        <w:t xml:space="preserve"> </w:t>
      </w:r>
      <w:r>
        <w:rPr>
          <w:rFonts w:ascii="Arial" w:hAnsi="Arial" w:cs="Arial"/>
          <w:sz w:val="24"/>
          <w:szCs w:val="22"/>
        </w:rPr>
        <w:t>in the</w:t>
      </w:r>
      <w:r w:rsidRPr="00F9446A">
        <w:rPr>
          <w:rFonts w:ascii="Arial" w:hAnsi="Arial" w:cs="Arial"/>
          <w:sz w:val="24"/>
          <w:szCs w:val="22"/>
        </w:rPr>
        <w:t xml:space="preserve"> TZM-bl </w:t>
      </w:r>
      <w:r>
        <w:rPr>
          <w:rFonts w:ascii="Arial" w:hAnsi="Arial" w:cs="Arial"/>
          <w:sz w:val="24"/>
          <w:szCs w:val="22"/>
        </w:rPr>
        <w:t>assay</w:t>
      </w:r>
      <w:r w:rsidRPr="00F9446A">
        <w:rPr>
          <w:rFonts w:ascii="Arial" w:hAnsi="Arial" w:cs="Arial"/>
          <w:sz w:val="24"/>
          <w:szCs w:val="22"/>
        </w:rPr>
        <w:t xml:space="preserve"> (</w:t>
      </w:r>
      <w:r w:rsidR="00232A4F">
        <w:rPr>
          <w:rFonts w:ascii="Arial" w:hAnsi="Arial" w:cs="Arial"/>
          <w:sz w:val="24"/>
          <w:szCs w:val="22"/>
        </w:rPr>
        <w:t>appendix p 3</w:t>
      </w:r>
      <w:r w:rsidRPr="00F9446A">
        <w:rPr>
          <w:rFonts w:ascii="Arial" w:hAnsi="Arial" w:cs="Arial"/>
          <w:sz w:val="24"/>
          <w:szCs w:val="22"/>
        </w:rPr>
        <w:t xml:space="preserve">). </w:t>
      </w:r>
      <w:r>
        <w:rPr>
          <w:rFonts w:ascii="Arial" w:hAnsi="Arial" w:cs="Arial"/>
          <w:sz w:val="24"/>
          <w:szCs w:val="22"/>
        </w:rPr>
        <w:t>This is likely due to the poor recovery of the hydrophobic RPV from the collection matrix.</w:t>
      </w:r>
    </w:p>
    <w:p w:rsidR="00EE4558" w:rsidRPr="00F9446A" w:rsidRDefault="00EE4558" w:rsidP="007E469C">
      <w:pPr>
        <w:spacing w:line="480" w:lineRule="auto"/>
        <w:rPr>
          <w:rFonts w:ascii="Arial" w:hAnsi="Arial" w:cs="Arial"/>
          <w:sz w:val="24"/>
          <w:szCs w:val="22"/>
        </w:rPr>
      </w:pPr>
    </w:p>
    <w:p w:rsidR="00EE4558" w:rsidRPr="00F9446A" w:rsidRDefault="00EE4558" w:rsidP="00F2328C">
      <w:pPr>
        <w:spacing w:after="200" w:line="276" w:lineRule="auto"/>
        <w:jc w:val="both"/>
        <w:rPr>
          <w:rFonts w:ascii="Arial" w:hAnsi="Arial" w:cs="Arial"/>
          <w:b/>
          <w:sz w:val="24"/>
          <w:szCs w:val="22"/>
        </w:rPr>
      </w:pPr>
      <w:r w:rsidRPr="00F9446A">
        <w:rPr>
          <w:rFonts w:ascii="Arial" w:hAnsi="Arial" w:cs="Arial"/>
          <w:b/>
          <w:sz w:val="24"/>
          <w:szCs w:val="22"/>
        </w:rPr>
        <w:t>Pharmacokinetic / Pharmacodynamic Relationship</w:t>
      </w:r>
    </w:p>
    <w:p w:rsidR="00EE4558" w:rsidRPr="00F9446A" w:rsidRDefault="00EE4558" w:rsidP="00F2328C">
      <w:pPr>
        <w:spacing w:line="480" w:lineRule="auto"/>
        <w:rPr>
          <w:rFonts w:ascii="Arial" w:hAnsi="Arial" w:cs="Arial"/>
          <w:sz w:val="24"/>
          <w:szCs w:val="22"/>
        </w:rPr>
      </w:pPr>
    </w:p>
    <w:p w:rsidR="00EE4558" w:rsidRPr="00F9446A" w:rsidRDefault="00EE4558" w:rsidP="004B442A">
      <w:pPr>
        <w:spacing w:line="480" w:lineRule="auto"/>
        <w:rPr>
          <w:rFonts w:ascii="Arial" w:hAnsi="Arial" w:cs="Arial"/>
          <w:sz w:val="24"/>
          <w:szCs w:val="22"/>
        </w:rPr>
      </w:pPr>
      <w:r w:rsidRPr="00F9446A">
        <w:rPr>
          <w:rFonts w:ascii="Arial" w:hAnsi="Arial" w:cs="Arial"/>
          <w:i/>
          <w:sz w:val="24"/>
          <w:szCs w:val="22"/>
        </w:rPr>
        <w:t>Ex vivo</w:t>
      </w:r>
      <w:r w:rsidRPr="00F9446A">
        <w:rPr>
          <w:rFonts w:ascii="Arial" w:hAnsi="Arial" w:cs="Arial"/>
          <w:sz w:val="24"/>
          <w:szCs w:val="22"/>
        </w:rPr>
        <w:t xml:space="preserve"> infection results in RT, CT, and VT were correlated with paired PK drug levels in the respective tissue and fluids or plasma across all visits (Figure </w:t>
      </w:r>
      <w:r w:rsidR="00232A4F">
        <w:rPr>
          <w:rFonts w:ascii="Arial" w:hAnsi="Arial" w:cs="Arial"/>
          <w:sz w:val="24"/>
          <w:szCs w:val="22"/>
        </w:rPr>
        <w:t>4</w:t>
      </w:r>
      <w:r w:rsidRPr="00F9446A">
        <w:rPr>
          <w:rFonts w:ascii="Arial" w:hAnsi="Arial" w:cs="Arial"/>
          <w:sz w:val="24"/>
          <w:szCs w:val="22"/>
        </w:rPr>
        <w:t>).</w:t>
      </w:r>
      <w:r>
        <w:rPr>
          <w:rFonts w:ascii="Arial" w:hAnsi="Arial" w:cs="Arial"/>
          <w:sz w:val="24"/>
          <w:szCs w:val="22"/>
        </w:rPr>
        <w:t xml:space="preserve"> </w:t>
      </w:r>
      <w:r w:rsidRPr="00F9446A">
        <w:rPr>
          <w:rFonts w:ascii="Arial" w:hAnsi="Arial" w:cs="Arial"/>
          <w:sz w:val="24"/>
          <w:szCs w:val="22"/>
        </w:rPr>
        <w:t xml:space="preserve">A linear mixed </w:t>
      </w:r>
      <w:r w:rsidRPr="00F9446A">
        <w:rPr>
          <w:rFonts w:ascii="Arial" w:hAnsi="Arial" w:cs="Arial"/>
          <w:sz w:val="24"/>
          <w:szCs w:val="22"/>
        </w:rPr>
        <w:lastRenderedPageBreak/>
        <w:t xml:space="preserve">effect model was performed to correlate the PK levels (i.e. concentration in tissue, fluid and plasma) with the PD response (i.e. </w:t>
      </w:r>
      <w:r w:rsidRPr="00163156">
        <w:rPr>
          <w:rFonts w:ascii="Arial" w:hAnsi="Arial" w:cs="Arial"/>
          <w:i/>
          <w:sz w:val="24"/>
          <w:szCs w:val="22"/>
        </w:rPr>
        <w:t>ex vivo</w:t>
      </w:r>
      <w:r w:rsidRPr="00F9446A">
        <w:rPr>
          <w:rFonts w:ascii="Arial" w:hAnsi="Arial" w:cs="Arial"/>
          <w:sz w:val="24"/>
          <w:szCs w:val="22"/>
        </w:rPr>
        <w:t xml:space="preserve"> </w:t>
      </w:r>
      <w:r>
        <w:rPr>
          <w:rFonts w:ascii="Arial" w:hAnsi="Arial" w:cs="Arial"/>
          <w:sz w:val="24"/>
          <w:szCs w:val="22"/>
        </w:rPr>
        <w:t xml:space="preserve">HIV-1 </w:t>
      </w:r>
      <w:r w:rsidRPr="00F9446A">
        <w:rPr>
          <w:rFonts w:ascii="Arial" w:hAnsi="Arial" w:cs="Arial"/>
          <w:sz w:val="24"/>
          <w:szCs w:val="22"/>
        </w:rPr>
        <w:t>p24</w:t>
      </w:r>
      <w:r>
        <w:rPr>
          <w:rFonts w:ascii="Arial" w:hAnsi="Arial" w:cs="Arial"/>
          <w:sz w:val="24"/>
          <w:szCs w:val="22"/>
        </w:rPr>
        <w:t xml:space="preserve"> in the explant supernatant fluid</w:t>
      </w:r>
      <w:r w:rsidRPr="00F9446A">
        <w:rPr>
          <w:rFonts w:ascii="Arial" w:hAnsi="Arial" w:cs="Arial"/>
          <w:sz w:val="24"/>
          <w:szCs w:val="22"/>
        </w:rPr>
        <w:t>). A significant negative slope value supports a finding of drug mediated virus suppression and was found for rectal PK:</w:t>
      </w:r>
      <w:r w:rsidR="00805373">
        <w:rPr>
          <w:rFonts w:ascii="Arial" w:hAnsi="Arial" w:cs="Arial"/>
          <w:sz w:val="24"/>
          <w:szCs w:val="22"/>
        </w:rPr>
        <w:t xml:space="preserve"> </w:t>
      </w:r>
      <w:r w:rsidRPr="00F9446A">
        <w:rPr>
          <w:rFonts w:ascii="Arial" w:hAnsi="Arial" w:cs="Arial"/>
          <w:sz w:val="24"/>
          <w:szCs w:val="22"/>
        </w:rPr>
        <w:t>PD models (p &lt; 0</w:t>
      </w:r>
      <w:r>
        <w:rPr>
          <w:rFonts w:ascii="Arial" w:hAnsi="Arial" w:cs="Arial"/>
          <w:sz w:val="24"/>
          <w:szCs w:val="22"/>
        </w:rPr>
        <w:t>∙</w:t>
      </w:r>
      <w:r w:rsidRPr="00F9446A">
        <w:rPr>
          <w:rFonts w:ascii="Arial" w:hAnsi="Arial" w:cs="Arial"/>
          <w:sz w:val="24"/>
          <w:szCs w:val="22"/>
        </w:rPr>
        <w:t xml:space="preserve">001; Figure </w:t>
      </w:r>
      <w:r w:rsidR="00232A4F">
        <w:rPr>
          <w:rFonts w:ascii="Arial" w:hAnsi="Arial" w:cs="Arial"/>
          <w:sz w:val="24"/>
          <w:szCs w:val="22"/>
        </w:rPr>
        <w:t>4</w:t>
      </w:r>
      <w:r w:rsidRPr="00F9446A">
        <w:rPr>
          <w:rFonts w:ascii="Arial" w:hAnsi="Arial" w:cs="Arial"/>
          <w:sz w:val="24"/>
          <w:szCs w:val="22"/>
        </w:rPr>
        <w:t>a,</w:t>
      </w:r>
      <w:r>
        <w:rPr>
          <w:rFonts w:ascii="Arial" w:hAnsi="Arial" w:cs="Arial"/>
          <w:sz w:val="24"/>
          <w:szCs w:val="22"/>
        </w:rPr>
        <w:t xml:space="preserve"> </w:t>
      </w:r>
      <w:r w:rsidRPr="00F9446A">
        <w:rPr>
          <w:rFonts w:ascii="Arial" w:hAnsi="Arial" w:cs="Arial"/>
          <w:sz w:val="24"/>
          <w:szCs w:val="22"/>
        </w:rPr>
        <w:t>b</w:t>
      </w:r>
      <w:r>
        <w:rPr>
          <w:rFonts w:ascii="Arial" w:hAnsi="Arial" w:cs="Arial"/>
          <w:sz w:val="24"/>
          <w:szCs w:val="22"/>
        </w:rPr>
        <w:t>,</w:t>
      </w:r>
      <w:r w:rsidRPr="00F9446A">
        <w:rPr>
          <w:rFonts w:ascii="Arial" w:hAnsi="Arial" w:cs="Arial"/>
          <w:sz w:val="24"/>
          <w:szCs w:val="22"/>
        </w:rPr>
        <w:t xml:space="preserve"> </w:t>
      </w:r>
      <w:r>
        <w:rPr>
          <w:rFonts w:ascii="Arial" w:hAnsi="Arial" w:cs="Arial"/>
          <w:sz w:val="24"/>
          <w:szCs w:val="22"/>
        </w:rPr>
        <w:t>and</w:t>
      </w:r>
      <w:r w:rsidRPr="00F9446A">
        <w:rPr>
          <w:rFonts w:ascii="Arial" w:hAnsi="Arial" w:cs="Arial"/>
          <w:sz w:val="24"/>
          <w:szCs w:val="22"/>
        </w:rPr>
        <w:t xml:space="preserve"> c).  There were no significant PK:</w:t>
      </w:r>
      <w:r w:rsidR="00805373">
        <w:rPr>
          <w:rFonts w:ascii="Arial" w:hAnsi="Arial" w:cs="Arial"/>
          <w:sz w:val="24"/>
          <w:szCs w:val="22"/>
        </w:rPr>
        <w:t xml:space="preserve"> </w:t>
      </w:r>
      <w:r w:rsidRPr="00F9446A">
        <w:rPr>
          <w:rFonts w:ascii="Arial" w:hAnsi="Arial" w:cs="Arial"/>
          <w:sz w:val="24"/>
          <w:szCs w:val="22"/>
        </w:rPr>
        <w:t xml:space="preserve">PD relationships found for cervical (Figure </w:t>
      </w:r>
      <w:r w:rsidR="00232A4F">
        <w:rPr>
          <w:rFonts w:ascii="Arial" w:hAnsi="Arial" w:cs="Arial"/>
          <w:sz w:val="24"/>
          <w:szCs w:val="22"/>
        </w:rPr>
        <w:t>4</w:t>
      </w:r>
      <w:r w:rsidRPr="00F9446A">
        <w:rPr>
          <w:rFonts w:ascii="Arial" w:hAnsi="Arial" w:cs="Arial"/>
          <w:sz w:val="24"/>
          <w:szCs w:val="22"/>
        </w:rPr>
        <w:t>d,</w:t>
      </w:r>
      <w:r>
        <w:rPr>
          <w:rFonts w:ascii="Arial" w:hAnsi="Arial" w:cs="Arial"/>
          <w:sz w:val="24"/>
          <w:szCs w:val="22"/>
        </w:rPr>
        <w:t xml:space="preserve"> </w:t>
      </w:r>
      <w:r w:rsidRPr="00F9446A">
        <w:rPr>
          <w:rFonts w:ascii="Arial" w:hAnsi="Arial" w:cs="Arial"/>
          <w:sz w:val="24"/>
          <w:szCs w:val="22"/>
        </w:rPr>
        <w:t>e</w:t>
      </w:r>
      <w:r>
        <w:rPr>
          <w:rFonts w:ascii="Arial" w:hAnsi="Arial" w:cs="Arial"/>
          <w:sz w:val="24"/>
          <w:szCs w:val="22"/>
        </w:rPr>
        <w:t xml:space="preserve">, and </w:t>
      </w:r>
      <w:r w:rsidRPr="00F9446A">
        <w:rPr>
          <w:rFonts w:ascii="Arial" w:hAnsi="Arial" w:cs="Arial"/>
          <w:sz w:val="24"/>
          <w:szCs w:val="22"/>
        </w:rPr>
        <w:t xml:space="preserve">f) or vaginal (Figure </w:t>
      </w:r>
      <w:r w:rsidR="00232A4F">
        <w:rPr>
          <w:rFonts w:ascii="Arial" w:hAnsi="Arial" w:cs="Arial"/>
          <w:sz w:val="24"/>
          <w:szCs w:val="22"/>
        </w:rPr>
        <w:t>4</w:t>
      </w:r>
      <w:r w:rsidRPr="00F9446A">
        <w:rPr>
          <w:rFonts w:ascii="Arial" w:hAnsi="Arial" w:cs="Arial"/>
          <w:sz w:val="24"/>
          <w:szCs w:val="22"/>
        </w:rPr>
        <w:t>g,</w:t>
      </w:r>
      <w:r>
        <w:rPr>
          <w:rFonts w:ascii="Arial" w:hAnsi="Arial" w:cs="Arial"/>
          <w:sz w:val="24"/>
          <w:szCs w:val="22"/>
        </w:rPr>
        <w:t xml:space="preserve"> </w:t>
      </w:r>
      <w:r w:rsidRPr="00F9446A">
        <w:rPr>
          <w:rFonts w:ascii="Arial" w:hAnsi="Arial" w:cs="Arial"/>
          <w:sz w:val="24"/>
          <w:szCs w:val="22"/>
        </w:rPr>
        <w:t xml:space="preserve">h </w:t>
      </w:r>
      <w:r>
        <w:rPr>
          <w:rFonts w:ascii="Arial" w:hAnsi="Arial" w:cs="Arial"/>
          <w:sz w:val="24"/>
          <w:szCs w:val="22"/>
        </w:rPr>
        <w:t xml:space="preserve">and </w:t>
      </w:r>
      <w:r w:rsidRPr="00F9446A">
        <w:rPr>
          <w:rFonts w:ascii="Arial" w:hAnsi="Arial" w:cs="Arial"/>
          <w:sz w:val="24"/>
          <w:szCs w:val="22"/>
        </w:rPr>
        <w:t>i) linear models.  The significant linear mixed PK:</w:t>
      </w:r>
      <w:r w:rsidR="00805373">
        <w:rPr>
          <w:rFonts w:ascii="Arial" w:hAnsi="Arial" w:cs="Arial"/>
          <w:sz w:val="24"/>
          <w:szCs w:val="22"/>
        </w:rPr>
        <w:t xml:space="preserve"> </w:t>
      </w:r>
      <w:r w:rsidRPr="00F9446A">
        <w:rPr>
          <w:rFonts w:ascii="Arial" w:hAnsi="Arial" w:cs="Arial"/>
          <w:sz w:val="24"/>
          <w:szCs w:val="22"/>
        </w:rPr>
        <w:t>PD effects found for rectal tissues were further explored with an E</w:t>
      </w:r>
      <w:r w:rsidRPr="00F9446A">
        <w:rPr>
          <w:rFonts w:ascii="Arial" w:hAnsi="Arial" w:cs="Arial"/>
          <w:sz w:val="24"/>
          <w:szCs w:val="22"/>
          <w:vertAlign w:val="subscript"/>
        </w:rPr>
        <w:t>max</w:t>
      </w:r>
      <w:r w:rsidRPr="00F9446A">
        <w:rPr>
          <w:rFonts w:ascii="Arial" w:hAnsi="Arial" w:cs="Arial"/>
          <w:sz w:val="24"/>
          <w:szCs w:val="22"/>
        </w:rPr>
        <w:t xml:space="preserve"> model</w:t>
      </w:r>
      <w:r>
        <w:rPr>
          <w:rFonts w:ascii="Arial" w:hAnsi="Arial" w:cs="Arial"/>
          <w:sz w:val="24"/>
          <w:szCs w:val="22"/>
        </w:rPr>
        <w:t>.</w:t>
      </w:r>
    </w:p>
    <w:p w:rsidR="00EE4558" w:rsidRPr="00F9446A" w:rsidRDefault="00EE4558" w:rsidP="00F2328C">
      <w:pPr>
        <w:spacing w:line="480" w:lineRule="auto"/>
        <w:jc w:val="both"/>
        <w:rPr>
          <w:rFonts w:ascii="Arial" w:hAnsi="Arial" w:cs="Arial"/>
          <w:sz w:val="24"/>
          <w:szCs w:val="22"/>
        </w:rPr>
      </w:pPr>
    </w:p>
    <w:p w:rsidR="009136F0" w:rsidRPr="00671ADB" w:rsidRDefault="00EE4558" w:rsidP="00913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heme="minorHAnsi" w:eastAsia="Times New Roman" w:hAnsiTheme="minorHAnsi" w:cs="Courier New"/>
          <w:sz w:val="22"/>
          <w:szCs w:val="22"/>
        </w:rPr>
      </w:pPr>
      <w:r w:rsidRPr="00F9446A">
        <w:rPr>
          <w:rFonts w:ascii="Arial" w:hAnsi="Arial" w:cs="Arial"/>
          <w:sz w:val="24"/>
          <w:szCs w:val="22"/>
        </w:rPr>
        <w:t>The EC</w:t>
      </w:r>
      <w:r w:rsidRPr="00F9446A">
        <w:rPr>
          <w:rFonts w:ascii="Arial" w:hAnsi="Arial" w:cs="Arial"/>
          <w:sz w:val="24"/>
          <w:szCs w:val="22"/>
          <w:vertAlign w:val="subscript"/>
        </w:rPr>
        <w:t>50</w:t>
      </w:r>
      <w:r w:rsidRPr="00F9446A">
        <w:rPr>
          <w:rFonts w:ascii="Arial" w:hAnsi="Arial" w:cs="Arial"/>
          <w:sz w:val="24"/>
          <w:szCs w:val="22"/>
        </w:rPr>
        <w:t xml:space="preserve"> (i.e. </w:t>
      </w:r>
      <w:r w:rsidR="005A1EEE">
        <w:rPr>
          <w:rFonts w:ascii="Arial" w:hAnsi="Arial" w:cs="Arial"/>
          <w:sz w:val="24"/>
          <w:szCs w:val="22"/>
        </w:rPr>
        <w:t xml:space="preserve">the </w:t>
      </w:r>
      <w:r w:rsidRPr="00F9446A">
        <w:rPr>
          <w:rFonts w:ascii="Arial" w:hAnsi="Arial" w:cs="Arial"/>
          <w:sz w:val="24"/>
          <w:szCs w:val="22"/>
        </w:rPr>
        <w:t xml:space="preserve">concentration of RPV predicted to suppress 50% of </w:t>
      </w:r>
      <w:r w:rsidRPr="00F9446A">
        <w:rPr>
          <w:rFonts w:ascii="Arial" w:hAnsi="Arial" w:cs="Arial"/>
          <w:i/>
          <w:sz w:val="24"/>
          <w:szCs w:val="22"/>
        </w:rPr>
        <w:t>ex vivo</w:t>
      </w:r>
      <w:r w:rsidRPr="00F9446A">
        <w:rPr>
          <w:rFonts w:ascii="Arial" w:hAnsi="Arial" w:cs="Arial"/>
          <w:sz w:val="24"/>
          <w:szCs w:val="22"/>
        </w:rPr>
        <w:t xml:space="preserve"> infection) for </w:t>
      </w:r>
      <w:r w:rsidR="00805373">
        <w:rPr>
          <w:rFonts w:ascii="Arial" w:hAnsi="Arial" w:cs="Arial"/>
          <w:sz w:val="24"/>
          <w:szCs w:val="22"/>
        </w:rPr>
        <w:t xml:space="preserve">rectal </w:t>
      </w:r>
      <w:r w:rsidRPr="00F9446A">
        <w:rPr>
          <w:rFonts w:ascii="Arial" w:hAnsi="Arial" w:cs="Arial"/>
          <w:sz w:val="24"/>
          <w:szCs w:val="22"/>
        </w:rPr>
        <w:t xml:space="preserve">tissue </w:t>
      </w:r>
      <w:r w:rsidR="005A1EEE">
        <w:rPr>
          <w:rFonts w:ascii="Arial" w:hAnsi="Arial" w:cs="Arial"/>
          <w:sz w:val="24"/>
          <w:szCs w:val="22"/>
        </w:rPr>
        <w:t xml:space="preserve">(1.01 </w:t>
      </w:r>
      <w:r w:rsidR="005A1EEE" w:rsidRPr="00F9446A">
        <w:rPr>
          <w:rFonts w:ascii="Arial" w:hAnsi="Arial" w:cs="Arial"/>
          <w:sz w:val="24"/>
          <w:szCs w:val="22"/>
        </w:rPr>
        <w:t>log</w:t>
      </w:r>
      <w:r w:rsidR="005A1EEE" w:rsidRPr="00F9446A">
        <w:rPr>
          <w:rFonts w:ascii="Arial" w:hAnsi="Arial" w:cs="Arial"/>
          <w:sz w:val="24"/>
          <w:szCs w:val="22"/>
          <w:vertAlign w:val="subscript"/>
        </w:rPr>
        <w:t>10</w:t>
      </w:r>
      <w:r w:rsidR="005A1EEE" w:rsidRPr="005A1EEE">
        <w:rPr>
          <w:rFonts w:ascii="Arial" w:hAnsi="Arial" w:cs="Arial"/>
          <w:sz w:val="24"/>
          <w:szCs w:val="22"/>
        </w:rPr>
        <w:t xml:space="preserve"> ng/mL)</w:t>
      </w:r>
      <w:r w:rsidR="005A1EEE">
        <w:rPr>
          <w:rFonts w:ascii="Arial" w:hAnsi="Arial" w:cs="Arial"/>
          <w:sz w:val="24"/>
          <w:szCs w:val="22"/>
        </w:rPr>
        <w:t xml:space="preserve"> </w:t>
      </w:r>
      <w:r w:rsidRPr="00F9446A">
        <w:rPr>
          <w:rFonts w:ascii="Arial" w:hAnsi="Arial" w:cs="Arial"/>
          <w:sz w:val="24"/>
          <w:szCs w:val="22"/>
        </w:rPr>
        <w:t xml:space="preserve">and plasma </w:t>
      </w:r>
      <w:r w:rsidR="005A1EEE">
        <w:rPr>
          <w:rFonts w:ascii="Arial" w:hAnsi="Arial" w:cs="Arial"/>
          <w:sz w:val="24"/>
          <w:szCs w:val="22"/>
        </w:rPr>
        <w:t xml:space="preserve">(0.92 </w:t>
      </w:r>
      <w:r w:rsidR="005A1EEE" w:rsidRPr="00F9446A">
        <w:rPr>
          <w:rFonts w:ascii="Arial" w:hAnsi="Arial" w:cs="Arial"/>
          <w:sz w:val="24"/>
          <w:szCs w:val="22"/>
        </w:rPr>
        <w:t>log</w:t>
      </w:r>
      <w:r w:rsidR="005A1EEE" w:rsidRPr="00F9446A">
        <w:rPr>
          <w:rFonts w:ascii="Arial" w:hAnsi="Arial" w:cs="Arial"/>
          <w:sz w:val="24"/>
          <w:szCs w:val="22"/>
          <w:vertAlign w:val="subscript"/>
        </w:rPr>
        <w:t>10</w:t>
      </w:r>
      <w:r w:rsidR="005A1EEE" w:rsidRPr="00A841B9">
        <w:rPr>
          <w:rFonts w:ascii="Arial" w:hAnsi="Arial" w:cs="Arial"/>
          <w:sz w:val="24"/>
          <w:szCs w:val="22"/>
        </w:rPr>
        <w:t xml:space="preserve"> ng/mL)</w:t>
      </w:r>
      <w:r w:rsidR="005A1EEE">
        <w:rPr>
          <w:rFonts w:ascii="Arial" w:hAnsi="Arial" w:cs="Arial"/>
          <w:sz w:val="24"/>
          <w:szCs w:val="22"/>
        </w:rPr>
        <w:t xml:space="preserve"> </w:t>
      </w:r>
      <w:r w:rsidRPr="00F9446A">
        <w:rPr>
          <w:rFonts w:ascii="Arial" w:hAnsi="Arial" w:cs="Arial"/>
          <w:sz w:val="24"/>
          <w:szCs w:val="22"/>
        </w:rPr>
        <w:t>were similar in both compartments</w:t>
      </w:r>
      <w:r w:rsidR="005A1EEE">
        <w:rPr>
          <w:rFonts w:ascii="Arial" w:hAnsi="Arial" w:cs="Arial"/>
          <w:sz w:val="24"/>
          <w:szCs w:val="22"/>
        </w:rPr>
        <w:t xml:space="preserve">. </w:t>
      </w:r>
      <w:r w:rsidRPr="00F9446A">
        <w:rPr>
          <w:rFonts w:ascii="Arial" w:hAnsi="Arial" w:cs="Arial"/>
          <w:sz w:val="24"/>
          <w:szCs w:val="22"/>
        </w:rPr>
        <w:t>Drug levels at or above 1</w:t>
      </w:r>
      <w:r>
        <w:rPr>
          <w:rFonts w:ascii="Arial" w:hAnsi="Arial" w:cs="Arial"/>
          <w:sz w:val="24"/>
          <w:szCs w:val="22"/>
        </w:rPr>
        <w:t>∙</w:t>
      </w:r>
      <w:r w:rsidRPr="00F9446A">
        <w:rPr>
          <w:rFonts w:ascii="Arial" w:hAnsi="Arial" w:cs="Arial"/>
          <w:sz w:val="24"/>
          <w:szCs w:val="22"/>
        </w:rPr>
        <w:t>1 log</w:t>
      </w:r>
      <w:r w:rsidRPr="00F9446A">
        <w:rPr>
          <w:rFonts w:ascii="Arial" w:hAnsi="Arial" w:cs="Arial"/>
          <w:sz w:val="24"/>
          <w:szCs w:val="22"/>
          <w:vertAlign w:val="subscript"/>
        </w:rPr>
        <w:t xml:space="preserve">10 </w:t>
      </w:r>
      <w:r w:rsidRPr="00F9446A">
        <w:rPr>
          <w:rFonts w:ascii="Arial" w:hAnsi="Arial" w:cs="Arial"/>
          <w:sz w:val="24"/>
          <w:szCs w:val="22"/>
        </w:rPr>
        <w:t xml:space="preserve">ng/mL were mostly found </w:t>
      </w:r>
      <w:r w:rsidRPr="009136F0">
        <w:rPr>
          <w:rFonts w:ascii="Arial" w:hAnsi="Arial" w:cs="Arial"/>
          <w:sz w:val="24"/>
          <w:szCs w:val="24"/>
        </w:rPr>
        <w:t>for the 1200 mg dose (</w:t>
      </w:r>
      <w:r w:rsidR="00232A4F">
        <w:rPr>
          <w:rFonts w:ascii="Arial" w:hAnsi="Arial" w:cs="Arial"/>
          <w:sz w:val="24"/>
          <w:szCs w:val="24"/>
        </w:rPr>
        <w:t>appendix p 4</w:t>
      </w:r>
      <w:r w:rsidRPr="009136F0">
        <w:rPr>
          <w:rFonts w:ascii="Arial" w:hAnsi="Arial" w:cs="Arial"/>
          <w:sz w:val="24"/>
          <w:szCs w:val="24"/>
        </w:rPr>
        <w:t>).</w:t>
      </w:r>
      <w:r w:rsidRPr="009136F0">
        <w:rPr>
          <w:rFonts w:ascii="Arial" w:hAnsi="Arial" w:cs="Arial"/>
          <w:sz w:val="24"/>
          <w:szCs w:val="24"/>
          <w:vertAlign w:val="subscript"/>
        </w:rPr>
        <w:t xml:space="preserve"> </w:t>
      </w:r>
      <w:r w:rsidRPr="009136F0">
        <w:rPr>
          <w:rFonts w:ascii="Arial" w:hAnsi="Arial" w:cs="Arial"/>
          <w:sz w:val="24"/>
          <w:szCs w:val="24"/>
        </w:rPr>
        <w:t xml:space="preserve">  </w:t>
      </w:r>
      <w:r w:rsidR="009136F0" w:rsidRPr="009136F0">
        <w:rPr>
          <w:rFonts w:ascii="Arial" w:eastAsia="Times New Roman" w:hAnsi="Arial" w:cs="Arial"/>
          <w:sz w:val="24"/>
          <w:szCs w:val="24"/>
        </w:rPr>
        <w:t>The rectal tissue EC</w:t>
      </w:r>
      <w:r w:rsidR="009136F0" w:rsidRPr="009136F0">
        <w:rPr>
          <w:rFonts w:ascii="Arial" w:eastAsia="Times New Roman" w:hAnsi="Arial" w:cs="Arial"/>
          <w:sz w:val="24"/>
          <w:szCs w:val="24"/>
          <w:vertAlign w:val="subscript"/>
        </w:rPr>
        <w:t>90</w:t>
      </w:r>
      <w:r w:rsidR="009136F0" w:rsidRPr="009136F0">
        <w:rPr>
          <w:rFonts w:ascii="Arial" w:eastAsia="Times New Roman" w:hAnsi="Arial" w:cs="Arial"/>
          <w:sz w:val="24"/>
          <w:szCs w:val="24"/>
        </w:rPr>
        <w:t xml:space="preserve"> = 1.96 (1.83-2.09; 95% CI) log</w:t>
      </w:r>
      <w:r w:rsidR="009136F0" w:rsidRPr="009136F0">
        <w:rPr>
          <w:rFonts w:ascii="Arial" w:eastAsia="Times New Roman" w:hAnsi="Arial" w:cs="Arial"/>
          <w:sz w:val="24"/>
          <w:szCs w:val="24"/>
          <w:vertAlign w:val="subscript"/>
        </w:rPr>
        <w:t>10</w:t>
      </w:r>
      <w:r w:rsidR="009136F0" w:rsidRPr="009136F0">
        <w:rPr>
          <w:rFonts w:ascii="Arial" w:eastAsia="Times New Roman" w:hAnsi="Arial" w:cs="Arial"/>
          <w:sz w:val="24"/>
          <w:szCs w:val="24"/>
        </w:rPr>
        <w:t xml:space="preserve"> ng/mL and the plasma EC</w:t>
      </w:r>
      <w:r w:rsidR="009136F0" w:rsidRPr="009136F0">
        <w:rPr>
          <w:rFonts w:ascii="Arial" w:eastAsia="Times New Roman" w:hAnsi="Arial" w:cs="Arial"/>
          <w:sz w:val="24"/>
          <w:szCs w:val="24"/>
          <w:vertAlign w:val="subscript"/>
        </w:rPr>
        <w:t>90</w:t>
      </w:r>
      <w:r w:rsidR="009136F0" w:rsidRPr="009136F0">
        <w:rPr>
          <w:rFonts w:ascii="Arial" w:eastAsia="Times New Roman" w:hAnsi="Arial" w:cs="Arial"/>
          <w:sz w:val="24"/>
          <w:szCs w:val="24"/>
        </w:rPr>
        <w:t xml:space="preserve"> = 1.87 (1.74-2.00) log</w:t>
      </w:r>
      <w:r w:rsidR="009136F0" w:rsidRPr="009136F0">
        <w:rPr>
          <w:rFonts w:ascii="Arial" w:eastAsia="Times New Roman" w:hAnsi="Arial" w:cs="Arial"/>
          <w:sz w:val="24"/>
          <w:szCs w:val="24"/>
          <w:vertAlign w:val="subscript"/>
        </w:rPr>
        <w:t>10</w:t>
      </w:r>
      <w:r w:rsidR="009136F0" w:rsidRPr="009136F0">
        <w:rPr>
          <w:rFonts w:ascii="Arial" w:eastAsia="Times New Roman" w:hAnsi="Arial" w:cs="Arial"/>
          <w:sz w:val="24"/>
          <w:szCs w:val="24"/>
        </w:rPr>
        <w:t xml:space="preserve"> ng/mL values were higher than the in vitro EC</w:t>
      </w:r>
      <w:r w:rsidR="009136F0" w:rsidRPr="009136F0">
        <w:rPr>
          <w:rFonts w:ascii="Arial" w:eastAsia="Times New Roman" w:hAnsi="Arial" w:cs="Arial"/>
          <w:sz w:val="24"/>
          <w:szCs w:val="24"/>
          <w:vertAlign w:val="subscript"/>
        </w:rPr>
        <w:t>90</w:t>
      </w:r>
      <w:r w:rsidR="009136F0" w:rsidRPr="009136F0">
        <w:rPr>
          <w:rFonts w:ascii="Arial" w:eastAsia="Times New Roman" w:hAnsi="Arial" w:cs="Arial"/>
          <w:sz w:val="24"/>
          <w:szCs w:val="24"/>
        </w:rPr>
        <w:t xml:space="preserve"> for wild-type HIV, corrected for protein binding to yield a putative target concentration of 1.09 log</w:t>
      </w:r>
      <w:r w:rsidR="009136F0" w:rsidRPr="009136F0">
        <w:rPr>
          <w:rFonts w:ascii="Arial" w:eastAsia="Times New Roman" w:hAnsi="Arial" w:cs="Arial"/>
          <w:sz w:val="24"/>
          <w:szCs w:val="24"/>
          <w:vertAlign w:val="subscript"/>
        </w:rPr>
        <w:t>10</w:t>
      </w:r>
      <w:r w:rsidR="009136F0" w:rsidRPr="009136F0">
        <w:rPr>
          <w:rFonts w:ascii="Arial" w:eastAsia="Times New Roman" w:hAnsi="Arial" w:cs="Arial"/>
          <w:sz w:val="24"/>
          <w:szCs w:val="24"/>
        </w:rPr>
        <w:t xml:space="preserve"> ng/mL. Only 6% (4/67) of the rectal explant PK-PD pairs from the 1200 mg dose group and none of the 600 mg dose group were found to have ≥ 1.96 log</w:t>
      </w:r>
      <w:r w:rsidR="009136F0" w:rsidRPr="009136F0">
        <w:rPr>
          <w:rFonts w:ascii="Arial" w:eastAsia="Times New Roman" w:hAnsi="Arial" w:cs="Arial"/>
          <w:sz w:val="24"/>
          <w:szCs w:val="24"/>
          <w:vertAlign w:val="subscript"/>
        </w:rPr>
        <w:t>10</w:t>
      </w:r>
      <w:r w:rsidR="009136F0" w:rsidRPr="009136F0">
        <w:rPr>
          <w:rFonts w:ascii="Arial" w:eastAsia="Times New Roman" w:hAnsi="Arial" w:cs="Arial"/>
          <w:sz w:val="24"/>
          <w:szCs w:val="24"/>
        </w:rPr>
        <w:t xml:space="preserve"> ng/mL EC</w:t>
      </w:r>
      <w:r w:rsidR="009136F0" w:rsidRPr="009136F0">
        <w:rPr>
          <w:rFonts w:ascii="Arial" w:eastAsia="Times New Roman" w:hAnsi="Arial" w:cs="Arial"/>
          <w:sz w:val="24"/>
          <w:szCs w:val="24"/>
          <w:vertAlign w:val="subscript"/>
        </w:rPr>
        <w:t>90.</w:t>
      </w:r>
    </w:p>
    <w:p w:rsidR="00EE4558" w:rsidRPr="00F9446A" w:rsidRDefault="00EE4558" w:rsidP="00845972">
      <w:pPr>
        <w:spacing w:line="480" w:lineRule="auto"/>
        <w:jc w:val="both"/>
        <w:rPr>
          <w:rFonts w:ascii="Arial" w:hAnsi="Arial" w:cs="Arial"/>
          <w:sz w:val="24"/>
          <w:szCs w:val="22"/>
        </w:rPr>
      </w:pPr>
    </w:p>
    <w:p w:rsidR="00EE4558" w:rsidRPr="00F9446A" w:rsidRDefault="00EE4558" w:rsidP="00845972">
      <w:pPr>
        <w:spacing w:line="480" w:lineRule="auto"/>
        <w:jc w:val="both"/>
        <w:rPr>
          <w:rFonts w:ascii="Arial" w:hAnsi="Arial" w:cs="Arial"/>
          <w:sz w:val="24"/>
          <w:szCs w:val="22"/>
        </w:rPr>
      </w:pPr>
    </w:p>
    <w:p w:rsidR="00001940" w:rsidRDefault="00001940" w:rsidP="009136F0">
      <w:pPr>
        <w:spacing w:line="480" w:lineRule="auto"/>
        <w:jc w:val="both"/>
        <w:rPr>
          <w:rFonts w:ascii="Arial" w:hAnsi="Arial" w:cs="Arial"/>
          <w:b/>
          <w:szCs w:val="22"/>
        </w:rPr>
      </w:pPr>
    </w:p>
    <w:p w:rsidR="00001940" w:rsidRDefault="00001940" w:rsidP="009136F0">
      <w:pPr>
        <w:spacing w:line="480" w:lineRule="auto"/>
        <w:jc w:val="both"/>
        <w:rPr>
          <w:rFonts w:ascii="Arial" w:hAnsi="Arial" w:cs="Arial"/>
          <w:b/>
          <w:szCs w:val="22"/>
        </w:rPr>
      </w:pPr>
    </w:p>
    <w:p w:rsidR="00001940" w:rsidRDefault="00001940" w:rsidP="009136F0">
      <w:pPr>
        <w:spacing w:line="480" w:lineRule="auto"/>
        <w:jc w:val="both"/>
        <w:rPr>
          <w:rFonts w:ascii="Arial" w:hAnsi="Arial" w:cs="Arial"/>
          <w:b/>
          <w:szCs w:val="22"/>
        </w:rPr>
      </w:pPr>
    </w:p>
    <w:p w:rsidR="00001940" w:rsidRDefault="00001940" w:rsidP="009136F0">
      <w:pPr>
        <w:spacing w:line="480" w:lineRule="auto"/>
        <w:jc w:val="both"/>
        <w:rPr>
          <w:rFonts w:ascii="Arial" w:hAnsi="Arial" w:cs="Arial"/>
          <w:b/>
          <w:szCs w:val="22"/>
        </w:rPr>
      </w:pPr>
    </w:p>
    <w:p w:rsidR="00001940" w:rsidRDefault="00001940" w:rsidP="009136F0">
      <w:pPr>
        <w:spacing w:line="480" w:lineRule="auto"/>
        <w:jc w:val="both"/>
        <w:rPr>
          <w:rFonts w:ascii="Arial" w:hAnsi="Arial" w:cs="Arial"/>
          <w:b/>
          <w:szCs w:val="22"/>
        </w:rPr>
      </w:pPr>
    </w:p>
    <w:p w:rsidR="00EE4558" w:rsidRPr="00001940" w:rsidRDefault="00EE4558" w:rsidP="009136F0">
      <w:pPr>
        <w:spacing w:line="480" w:lineRule="auto"/>
        <w:jc w:val="both"/>
        <w:rPr>
          <w:rFonts w:ascii="Arial" w:hAnsi="Arial" w:cs="Arial"/>
          <w:sz w:val="24"/>
          <w:szCs w:val="22"/>
        </w:rPr>
      </w:pPr>
      <w:r w:rsidRPr="00001940">
        <w:rPr>
          <w:rFonts w:ascii="Arial" w:hAnsi="Arial" w:cs="Arial"/>
          <w:b/>
          <w:sz w:val="24"/>
          <w:szCs w:val="22"/>
        </w:rPr>
        <w:lastRenderedPageBreak/>
        <w:t>Discussion</w:t>
      </w:r>
      <w:r w:rsidRPr="00001940">
        <w:rPr>
          <w:rFonts w:ascii="Arial" w:hAnsi="Arial" w:cs="Arial"/>
          <w:sz w:val="24"/>
          <w:szCs w:val="22"/>
        </w:rPr>
        <w:t xml:space="preserve"> </w:t>
      </w:r>
    </w:p>
    <w:p w:rsidR="00EE4558" w:rsidRPr="00F9446A" w:rsidRDefault="00EE4558" w:rsidP="00594B6E">
      <w:pPr>
        <w:pStyle w:val="Paragraph"/>
        <w:spacing w:line="480" w:lineRule="auto"/>
        <w:ind w:firstLine="0"/>
        <w:jc w:val="both"/>
        <w:rPr>
          <w:rFonts w:ascii="Arial" w:hAnsi="Arial" w:cs="Arial"/>
          <w:szCs w:val="22"/>
        </w:rPr>
      </w:pPr>
    </w:p>
    <w:p w:rsidR="00EE4558" w:rsidRPr="00F9446A" w:rsidRDefault="00EE4558" w:rsidP="00401753">
      <w:pPr>
        <w:spacing w:after="200" w:line="480" w:lineRule="auto"/>
        <w:jc w:val="both"/>
        <w:rPr>
          <w:rFonts w:ascii="Arial" w:hAnsi="Arial" w:cs="Arial"/>
          <w:sz w:val="24"/>
          <w:szCs w:val="22"/>
        </w:rPr>
      </w:pPr>
      <w:r w:rsidRPr="00F9446A">
        <w:rPr>
          <w:rFonts w:ascii="Arial" w:hAnsi="Arial" w:cs="Arial"/>
          <w:sz w:val="24"/>
          <w:szCs w:val="22"/>
        </w:rPr>
        <w:t xml:space="preserve">Single dose administration of RPV LA was safe and well tolerated. The majority of AEs were Grade 1 and there were no related Grade 3 or Grade 4 events. </w:t>
      </w:r>
      <w:r>
        <w:rPr>
          <w:rFonts w:ascii="Arial" w:hAnsi="Arial" w:cs="Arial"/>
          <w:sz w:val="24"/>
          <w:szCs w:val="22"/>
        </w:rPr>
        <w:t xml:space="preserve">There was a non-significant trend towards increased Grade 2 events in the 1200 mg arm of the study. </w:t>
      </w:r>
      <w:r w:rsidRPr="00F9446A">
        <w:rPr>
          <w:rFonts w:ascii="Arial" w:hAnsi="Arial" w:cs="Arial"/>
          <w:sz w:val="24"/>
          <w:szCs w:val="22"/>
        </w:rPr>
        <w:t xml:space="preserve">The most common AE was injection site discomfort which was mild or moderate, transient, and did not appear to diminish participants’ willingness to consider this form of HIV prevention in the future. </w:t>
      </w:r>
      <w:r>
        <w:rPr>
          <w:rFonts w:ascii="Arial" w:hAnsi="Arial" w:cs="Arial"/>
          <w:sz w:val="24"/>
          <w:szCs w:val="22"/>
        </w:rPr>
        <w:t xml:space="preserve">Although Grade 1 prolongation of the QTc interval was fairly common, none of the values in the study exceeded the FDA definition of QTc prolongation (450 and 470 msec for males and females respectively). </w:t>
      </w:r>
    </w:p>
    <w:p w:rsidR="00EE4558" w:rsidRPr="00F9446A" w:rsidRDefault="00EE4558" w:rsidP="00594B6E">
      <w:pPr>
        <w:pStyle w:val="Paragraph"/>
        <w:spacing w:line="480" w:lineRule="auto"/>
        <w:ind w:firstLine="0"/>
        <w:jc w:val="both"/>
        <w:rPr>
          <w:rFonts w:ascii="Arial" w:hAnsi="Arial" w:cs="Arial"/>
          <w:szCs w:val="22"/>
        </w:rPr>
      </w:pPr>
    </w:p>
    <w:p w:rsidR="00EE4558" w:rsidRPr="00F9446A" w:rsidRDefault="00EE4558" w:rsidP="005777BF">
      <w:pPr>
        <w:spacing w:line="480" w:lineRule="auto"/>
        <w:jc w:val="both"/>
        <w:rPr>
          <w:rFonts w:ascii="Arial" w:hAnsi="Arial" w:cs="Arial"/>
          <w:sz w:val="24"/>
          <w:szCs w:val="22"/>
        </w:rPr>
      </w:pPr>
      <w:r w:rsidRPr="00F9446A">
        <w:rPr>
          <w:rFonts w:ascii="Arial" w:hAnsi="Arial" w:cs="Arial"/>
          <w:sz w:val="24"/>
          <w:szCs w:val="22"/>
        </w:rPr>
        <w:t>The behavioral data suggest that study participants were not dissuaded by fear of, or experienced pain with, injections and were highly likely to use the product. It remains to be seen whether multiple injections will be equally acceptable to participants and this question is currently being addressed the HPTN-076 study (NCT02165202) where participants will receive six injections at eight week intervals.</w:t>
      </w:r>
    </w:p>
    <w:p w:rsidR="00EE4558" w:rsidRPr="00F9446A" w:rsidRDefault="00EE4558" w:rsidP="005777BF">
      <w:pPr>
        <w:spacing w:line="480" w:lineRule="auto"/>
        <w:jc w:val="both"/>
        <w:rPr>
          <w:rFonts w:ascii="Arial" w:hAnsi="Arial" w:cs="Arial"/>
          <w:sz w:val="24"/>
          <w:szCs w:val="22"/>
        </w:rPr>
      </w:pPr>
    </w:p>
    <w:p w:rsidR="00EE4558" w:rsidRPr="00F9446A" w:rsidRDefault="00EE4558" w:rsidP="00594B6E">
      <w:pPr>
        <w:spacing w:after="200" w:line="480" w:lineRule="auto"/>
        <w:jc w:val="both"/>
        <w:rPr>
          <w:rFonts w:ascii="Arial" w:hAnsi="Arial" w:cs="Arial"/>
          <w:sz w:val="24"/>
          <w:szCs w:val="22"/>
        </w:rPr>
      </w:pPr>
      <w:r w:rsidRPr="00F9446A">
        <w:rPr>
          <w:rFonts w:ascii="Arial" w:hAnsi="Arial" w:cs="Arial"/>
          <w:sz w:val="24"/>
          <w:szCs w:val="22"/>
        </w:rPr>
        <w:t>After a single injection, maximum plasma concentrations of RPV were achieved by 9 days and RPV was still detected in samples collected at Visit 12B (Day 168 post-dosing). Tissue levels were variable but in general, RT/plasma ratios were &gt; 1</w:t>
      </w:r>
      <w:r>
        <w:rPr>
          <w:rFonts w:ascii="Arial" w:hAnsi="Arial" w:cs="Arial"/>
          <w:sz w:val="24"/>
          <w:szCs w:val="22"/>
        </w:rPr>
        <w:t>∙</w:t>
      </w:r>
      <w:r w:rsidRPr="00F9446A">
        <w:rPr>
          <w:rFonts w:ascii="Arial" w:hAnsi="Arial" w:cs="Arial"/>
          <w:sz w:val="24"/>
          <w:szCs w:val="22"/>
        </w:rPr>
        <w:t>0 and cervicovaginal tissue/plasma ratios were &lt; 1</w:t>
      </w:r>
      <w:r>
        <w:rPr>
          <w:rFonts w:ascii="Arial" w:hAnsi="Arial" w:cs="Arial"/>
          <w:sz w:val="24"/>
          <w:szCs w:val="22"/>
        </w:rPr>
        <w:t>∙</w:t>
      </w:r>
      <w:r w:rsidRPr="00F9446A">
        <w:rPr>
          <w:rFonts w:ascii="Arial" w:hAnsi="Arial" w:cs="Arial"/>
          <w:sz w:val="24"/>
          <w:szCs w:val="22"/>
        </w:rPr>
        <w:t>0. RT RPV concentrations were 1</w:t>
      </w:r>
      <w:r>
        <w:rPr>
          <w:rFonts w:ascii="Arial" w:hAnsi="Arial" w:cs="Arial"/>
          <w:sz w:val="24"/>
          <w:szCs w:val="22"/>
        </w:rPr>
        <w:t>∙</w:t>
      </w:r>
      <w:r w:rsidRPr="00F9446A">
        <w:rPr>
          <w:rFonts w:ascii="Arial" w:hAnsi="Arial" w:cs="Arial"/>
          <w:sz w:val="24"/>
          <w:szCs w:val="22"/>
        </w:rPr>
        <w:t>5 to 2</w:t>
      </w:r>
      <w:r>
        <w:rPr>
          <w:rFonts w:ascii="Arial" w:hAnsi="Arial" w:cs="Arial"/>
          <w:sz w:val="24"/>
          <w:szCs w:val="22"/>
        </w:rPr>
        <w:t>∙</w:t>
      </w:r>
      <w:r w:rsidRPr="00F9446A">
        <w:rPr>
          <w:rFonts w:ascii="Arial" w:hAnsi="Arial" w:cs="Arial"/>
          <w:sz w:val="24"/>
          <w:szCs w:val="22"/>
        </w:rPr>
        <w:t>5</w:t>
      </w:r>
      <w:r>
        <w:rPr>
          <w:rFonts w:ascii="Arial" w:hAnsi="Arial" w:cs="Arial"/>
          <w:sz w:val="24"/>
          <w:szCs w:val="22"/>
        </w:rPr>
        <w:t>-</w:t>
      </w:r>
      <w:r w:rsidRPr="00F9446A">
        <w:rPr>
          <w:rFonts w:ascii="Arial" w:hAnsi="Arial" w:cs="Arial"/>
          <w:sz w:val="24"/>
          <w:szCs w:val="22"/>
        </w:rPr>
        <w:t xml:space="preserve">fold higher than CT or VT concentrations. These data confirm RPV as an LA formulation but raise questions concerning the compartmental PK profile and whether there might </w:t>
      </w:r>
      <w:r w:rsidRPr="00F9446A">
        <w:rPr>
          <w:rFonts w:ascii="Arial" w:hAnsi="Arial" w:cs="Arial"/>
          <w:sz w:val="24"/>
          <w:szCs w:val="22"/>
        </w:rPr>
        <w:lastRenderedPageBreak/>
        <w:t>be differential levels of protection associated with rectal and vaginal transmission of HIV infection. The presence of subtherapeutic levels of RPV during an extended pharmacological tail</w:t>
      </w:r>
      <w:r>
        <w:rPr>
          <w:rFonts w:ascii="Arial" w:hAnsi="Arial" w:cs="Arial"/>
          <w:sz w:val="24"/>
          <w:szCs w:val="22"/>
        </w:rPr>
        <w:t>, after the end of an RPV LA dosing regimen,</w:t>
      </w:r>
      <w:r w:rsidRPr="00F9446A">
        <w:rPr>
          <w:rFonts w:ascii="Arial" w:hAnsi="Arial" w:cs="Arial"/>
          <w:sz w:val="24"/>
          <w:szCs w:val="22"/>
        </w:rPr>
        <w:t xml:space="preserve"> might lead to the acquisition of NNRTI class resistance if the individual becomes infected with HIV. </w:t>
      </w:r>
    </w:p>
    <w:p w:rsidR="00EE4558" w:rsidRPr="00F9446A" w:rsidRDefault="00EE4558" w:rsidP="00594B6E">
      <w:pPr>
        <w:spacing w:after="200" w:line="480" w:lineRule="auto"/>
        <w:jc w:val="both"/>
        <w:rPr>
          <w:rFonts w:ascii="Arial" w:hAnsi="Arial" w:cs="Arial"/>
          <w:b/>
          <w:sz w:val="24"/>
          <w:szCs w:val="22"/>
        </w:rPr>
      </w:pPr>
      <w:r w:rsidRPr="00F9446A">
        <w:rPr>
          <w:rFonts w:ascii="Arial" w:hAnsi="Arial" w:cs="Arial"/>
          <w:i/>
          <w:sz w:val="24"/>
          <w:szCs w:val="22"/>
        </w:rPr>
        <w:t>Ex vivo</w:t>
      </w:r>
      <w:r w:rsidRPr="00F9446A">
        <w:rPr>
          <w:rFonts w:ascii="Arial" w:hAnsi="Arial" w:cs="Arial"/>
          <w:sz w:val="24"/>
          <w:szCs w:val="22"/>
        </w:rPr>
        <w:t xml:space="preserve"> infection rates were lower in RT after both 600 mg and 1200 mg </w:t>
      </w:r>
      <w:r>
        <w:rPr>
          <w:rFonts w:ascii="Arial" w:hAnsi="Arial" w:cs="Arial"/>
          <w:sz w:val="24"/>
          <w:szCs w:val="22"/>
        </w:rPr>
        <w:t xml:space="preserve">single </w:t>
      </w:r>
      <w:r w:rsidRPr="00F9446A">
        <w:rPr>
          <w:rFonts w:ascii="Arial" w:hAnsi="Arial" w:cs="Arial"/>
          <w:sz w:val="24"/>
          <w:szCs w:val="22"/>
        </w:rPr>
        <w:t>doses showing evidence of drug mediated virus suppression and this was sustained out to 112 days post RPV LA administration</w:t>
      </w:r>
      <w:r>
        <w:rPr>
          <w:rFonts w:ascii="Arial" w:hAnsi="Arial" w:cs="Arial"/>
          <w:sz w:val="24"/>
          <w:szCs w:val="22"/>
        </w:rPr>
        <w:t xml:space="preserve">. </w:t>
      </w:r>
      <w:r w:rsidRPr="00F9446A">
        <w:rPr>
          <w:rFonts w:ascii="Arial" w:hAnsi="Arial" w:cs="Arial"/>
          <w:sz w:val="24"/>
          <w:szCs w:val="22"/>
        </w:rPr>
        <w:t xml:space="preserve">There were no significant reductions in virus infection in either </w:t>
      </w:r>
      <w:r>
        <w:rPr>
          <w:rFonts w:ascii="Arial" w:hAnsi="Arial" w:cs="Arial"/>
          <w:sz w:val="24"/>
          <w:szCs w:val="22"/>
        </w:rPr>
        <w:t>CT or VT</w:t>
      </w:r>
      <w:r w:rsidRPr="00F9446A">
        <w:rPr>
          <w:rFonts w:ascii="Arial" w:hAnsi="Arial" w:cs="Arial"/>
          <w:sz w:val="24"/>
          <w:szCs w:val="22"/>
        </w:rPr>
        <w:t xml:space="preserve"> even though drug levels were detectable in both compartments. The </w:t>
      </w:r>
      <w:r w:rsidRPr="00F9446A">
        <w:rPr>
          <w:rFonts w:ascii="Arial" w:hAnsi="Arial" w:cs="Arial"/>
          <w:i/>
          <w:sz w:val="24"/>
          <w:szCs w:val="22"/>
        </w:rPr>
        <w:t>ex vivo</w:t>
      </w:r>
      <w:r w:rsidRPr="00F9446A">
        <w:rPr>
          <w:rFonts w:ascii="Arial" w:hAnsi="Arial" w:cs="Arial"/>
          <w:sz w:val="24"/>
          <w:szCs w:val="22"/>
        </w:rPr>
        <w:t xml:space="preserve"> TZM-bl assays did not provide any evidence of antiviral activity in either compartment due to the high levels of endogenous antiviral activity in RF and probably the failure to elute RPV from the sponges. The divergent results from the rectal and cervicovaginal </w:t>
      </w:r>
      <w:r>
        <w:rPr>
          <w:rFonts w:ascii="Arial" w:hAnsi="Arial" w:cs="Arial"/>
          <w:sz w:val="24"/>
          <w:szCs w:val="22"/>
        </w:rPr>
        <w:t>biopsy</w:t>
      </w:r>
      <w:r w:rsidRPr="00F9446A">
        <w:rPr>
          <w:rFonts w:ascii="Arial" w:hAnsi="Arial" w:cs="Arial"/>
          <w:sz w:val="24"/>
          <w:szCs w:val="22"/>
        </w:rPr>
        <w:t xml:space="preserve"> models are intriguing and may reflect </w:t>
      </w:r>
      <w:r>
        <w:rPr>
          <w:rFonts w:ascii="Arial" w:hAnsi="Arial" w:cs="Arial"/>
          <w:sz w:val="24"/>
          <w:szCs w:val="22"/>
        </w:rPr>
        <w:t>differences in the models</w:t>
      </w:r>
      <w:r w:rsidRPr="00F9446A">
        <w:rPr>
          <w:rFonts w:ascii="Arial" w:hAnsi="Arial" w:cs="Arial"/>
          <w:sz w:val="24"/>
          <w:szCs w:val="22"/>
        </w:rPr>
        <w:t xml:space="preserve"> and/or differential PK requirements to suppress </w:t>
      </w:r>
      <w:r>
        <w:rPr>
          <w:rFonts w:ascii="Arial" w:hAnsi="Arial" w:cs="Arial"/>
          <w:sz w:val="24"/>
          <w:szCs w:val="22"/>
        </w:rPr>
        <w:t xml:space="preserve">tissue </w:t>
      </w:r>
      <w:r w:rsidRPr="00F9446A">
        <w:rPr>
          <w:rFonts w:ascii="Arial" w:hAnsi="Arial" w:cs="Arial"/>
          <w:sz w:val="24"/>
          <w:szCs w:val="22"/>
        </w:rPr>
        <w:t>infection in either</w:t>
      </w:r>
      <w:r w:rsidRPr="00163156">
        <w:rPr>
          <w:rFonts w:ascii="Arial" w:hAnsi="Arial" w:cs="Arial"/>
          <w:sz w:val="24"/>
          <w:szCs w:val="22"/>
        </w:rPr>
        <w:t xml:space="preserve"> </w:t>
      </w:r>
      <w:r w:rsidRPr="00F9446A">
        <w:rPr>
          <w:rFonts w:ascii="Arial" w:hAnsi="Arial" w:cs="Arial"/>
          <w:sz w:val="24"/>
          <w:szCs w:val="22"/>
        </w:rPr>
        <w:t>compartment</w:t>
      </w:r>
      <w:r>
        <w:rPr>
          <w:rFonts w:ascii="Arial" w:hAnsi="Arial" w:cs="Arial"/>
          <w:sz w:val="24"/>
          <w:szCs w:val="22"/>
        </w:rPr>
        <w:t xml:space="preserve"> </w:t>
      </w:r>
      <w:r>
        <w:rPr>
          <w:rFonts w:ascii="Arial" w:hAnsi="Arial" w:cs="Arial"/>
          <w:noProof/>
          <w:sz w:val="24"/>
          <w:szCs w:val="22"/>
        </w:rPr>
        <w:t>(16)</w:t>
      </w:r>
      <w:r>
        <w:rPr>
          <w:rFonts w:ascii="Arial" w:hAnsi="Arial" w:cs="Arial"/>
          <w:sz w:val="24"/>
          <w:szCs w:val="22"/>
        </w:rPr>
        <w:t>.</w:t>
      </w:r>
      <w:r w:rsidRPr="00F9446A">
        <w:rPr>
          <w:rFonts w:ascii="Arial" w:hAnsi="Arial" w:cs="Arial"/>
          <w:sz w:val="24"/>
          <w:szCs w:val="22"/>
        </w:rPr>
        <w:t xml:space="preserve"> A key consideration is whether these data might predict differential outcomes in populations at risk of HIV infection through vaginal or rectal intercourse. </w:t>
      </w:r>
    </w:p>
    <w:p w:rsidR="00EE4558" w:rsidRPr="00F9446A" w:rsidRDefault="00EE4558" w:rsidP="00594B6E">
      <w:pPr>
        <w:spacing w:line="480" w:lineRule="auto"/>
        <w:jc w:val="both"/>
        <w:rPr>
          <w:rFonts w:ascii="Arial" w:hAnsi="Arial" w:cs="Arial"/>
          <w:sz w:val="24"/>
          <w:szCs w:val="22"/>
        </w:rPr>
      </w:pPr>
      <w:r w:rsidRPr="00F9446A">
        <w:rPr>
          <w:rFonts w:ascii="Arial" w:hAnsi="Arial" w:cs="Arial"/>
          <w:sz w:val="24"/>
          <w:szCs w:val="22"/>
        </w:rPr>
        <w:t>Clear evidence of drug mediated virus suppression was found when drug PK levels in RT, plasma and RF were correlated with infectivity in RT.  When HIV infectivity was compared to baseline (Visit 2), a non-linear model determined that approximately 12</w:t>
      </w:r>
      <w:r>
        <w:rPr>
          <w:rFonts w:ascii="Arial" w:hAnsi="Arial" w:cs="Arial"/>
          <w:sz w:val="24"/>
          <w:szCs w:val="22"/>
        </w:rPr>
        <w:t>∙</w:t>
      </w:r>
      <w:r w:rsidRPr="00F9446A">
        <w:rPr>
          <w:rFonts w:ascii="Arial" w:hAnsi="Arial" w:cs="Arial"/>
          <w:sz w:val="24"/>
          <w:szCs w:val="22"/>
        </w:rPr>
        <w:t xml:space="preserve">6 ng/mL of RPV in both RT and plasma compartments predicted 50% suppression in virus growth, which predominately occurred following the 1200 mg dose. It is uncertain what the </w:t>
      </w:r>
      <w:r w:rsidRPr="00F9446A">
        <w:rPr>
          <w:rFonts w:ascii="Arial" w:hAnsi="Arial" w:cs="Arial"/>
          <w:i/>
          <w:sz w:val="24"/>
          <w:szCs w:val="22"/>
        </w:rPr>
        <w:t>in vivo</w:t>
      </w:r>
      <w:r w:rsidRPr="00F9446A">
        <w:rPr>
          <w:rFonts w:ascii="Arial" w:hAnsi="Arial" w:cs="Arial"/>
          <w:sz w:val="24"/>
          <w:szCs w:val="22"/>
        </w:rPr>
        <w:t xml:space="preserve"> target range for HIV prevention will be but extrapolating from these </w:t>
      </w:r>
      <w:r>
        <w:rPr>
          <w:rFonts w:ascii="Arial" w:hAnsi="Arial" w:cs="Arial"/>
          <w:sz w:val="24"/>
          <w:szCs w:val="22"/>
        </w:rPr>
        <w:t>biopsy</w:t>
      </w:r>
      <w:r w:rsidRPr="00F9446A">
        <w:rPr>
          <w:rFonts w:ascii="Arial" w:hAnsi="Arial" w:cs="Arial"/>
          <w:sz w:val="24"/>
          <w:szCs w:val="22"/>
        </w:rPr>
        <w:t xml:space="preserve"> data suggests that protective levels could be achieved in the rectal compartment with 1200 mg injections of RPV LA every two months. </w:t>
      </w:r>
    </w:p>
    <w:p w:rsidR="00EE4558" w:rsidRDefault="00EE4558" w:rsidP="00594B6E">
      <w:pPr>
        <w:spacing w:after="200" w:line="480" w:lineRule="auto"/>
        <w:jc w:val="both"/>
        <w:rPr>
          <w:rFonts w:ascii="Arial" w:hAnsi="Arial" w:cs="Arial"/>
          <w:sz w:val="24"/>
          <w:szCs w:val="22"/>
        </w:rPr>
      </w:pPr>
      <w:r w:rsidRPr="00F9446A">
        <w:rPr>
          <w:rFonts w:ascii="Arial" w:hAnsi="Arial" w:cs="Arial"/>
          <w:sz w:val="24"/>
          <w:szCs w:val="22"/>
        </w:rPr>
        <w:lastRenderedPageBreak/>
        <w:t xml:space="preserve">One limitation of both cabotegravir LA and RPV LA is that once the products have been injected they cannot be removed and so any idiosyncratic AEs associated with their use will be difficult to manage. Some of the current trials evaluating these products are using an oral run-in period to try and identify individuals who might be vulnerable to product-related AEs. </w:t>
      </w:r>
      <w:r>
        <w:rPr>
          <w:rFonts w:ascii="Arial" w:hAnsi="Arial" w:cs="Arial"/>
          <w:sz w:val="24"/>
          <w:szCs w:val="22"/>
        </w:rPr>
        <w:t>Data from our study would suggest that product associated adverse events are generally mild and raises the question as to whether oral run is necessary. Alternatively,</w:t>
      </w:r>
      <w:r w:rsidRPr="00F9446A">
        <w:rPr>
          <w:rFonts w:ascii="Arial" w:hAnsi="Arial" w:cs="Arial"/>
          <w:sz w:val="24"/>
          <w:szCs w:val="22"/>
        </w:rPr>
        <w:t xml:space="preserve"> there is now increasing interest in developing implantable devices that could be easily removed</w:t>
      </w:r>
      <w:r>
        <w:rPr>
          <w:rFonts w:ascii="Arial" w:hAnsi="Arial" w:cs="Arial"/>
          <w:sz w:val="24"/>
          <w:szCs w:val="22"/>
        </w:rPr>
        <w:t xml:space="preserve"> should a significant adverse event occur</w:t>
      </w:r>
      <w:r w:rsidRPr="00F9446A">
        <w:rPr>
          <w:rFonts w:ascii="Arial" w:hAnsi="Arial" w:cs="Arial"/>
          <w:sz w:val="24"/>
          <w:szCs w:val="22"/>
        </w:rPr>
        <w:t>. Ideally, these products would gradually release the antiretroviral over a period of months if not years</w:t>
      </w:r>
      <w:r>
        <w:rPr>
          <w:rFonts w:ascii="Arial" w:hAnsi="Arial" w:cs="Arial"/>
          <w:sz w:val="24"/>
          <w:szCs w:val="22"/>
        </w:rPr>
        <w:t>.</w:t>
      </w:r>
      <w:r w:rsidR="00560556">
        <w:rPr>
          <w:rFonts w:ascii="Arial" w:hAnsi="Arial" w:cs="Arial"/>
          <w:sz w:val="24"/>
          <w:szCs w:val="22"/>
        </w:rPr>
        <w:t xml:space="preserve"> </w:t>
      </w:r>
      <w:r>
        <w:rPr>
          <w:rFonts w:ascii="Arial" w:hAnsi="Arial" w:cs="Arial"/>
          <w:noProof/>
          <w:sz w:val="24"/>
          <w:szCs w:val="22"/>
        </w:rPr>
        <w:t>(17)</w:t>
      </w:r>
      <w:r w:rsidRPr="00F9446A">
        <w:rPr>
          <w:rFonts w:ascii="Arial" w:hAnsi="Arial" w:cs="Arial"/>
          <w:sz w:val="24"/>
          <w:szCs w:val="22"/>
        </w:rPr>
        <w:t xml:space="preserve"> </w:t>
      </w:r>
    </w:p>
    <w:p w:rsidR="009136F0" w:rsidRPr="00001940" w:rsidRDefault="00EE4558" w:rsidP="009136F0">
      <w:pPr>
        <w:spacing w:line="480" w:lineRule="auto"/>
        <w:jc w:val="both"/>
        <w:rPr>
          <w:rFonts w:ascii="Arial" w:hAnsi="Arial" w:cs="Arial"/>
          <w:sz w:val="24"/>
          <w:szCs w:val="24"/>
        </w:rPr>
      </w:pPr>
      <w:r>
        <w:rPr>
          <w:rFonts w:ascii="Arial" w:hAnsi="Arial" w:cs="Arial"/>
          <w:sz w:val="24"/>
          <w:szCs w:val="22"/>
        </w:rPr>
        <w:t>A</w:t>
      </w:r>
      <w:r w:rsidR="00805373">
        <w:rPr>
          <w:rFonts w:ascii="Arial" w:hAnsi="Arial" w:cs="Arial"/>
          <w:sz w:val="24"/>
          <w:szCs w:val="22"/>
        </w:rPr>
        <w:t xml:space="preserve"> </w:t>
      </w:r>
      <w:r>
        <w:rPr>
          <w:rFonts w:ascii="Arial" w:hAnsi="Arial" w:cs="Arial"/>
          <w:sz w:val="24"/>
          <w:szCs w:val="22"/>
        </w:rPr>
        <w:t>strength of this study was our ability to undertake longitudinal multi-compartmental sample collection to characterize the PK:</w:t>
      </w:r>
      <w:r w:rsidR="009136F0">
        <w:rPr>
          <w:rFonts w:ascii="Arial" w:hAnsi="Arial" w:cs="Arial"/>
          <w:sz w:val="24"/>
          <w:szCs w:val="22"/>
        </w:rPr>
        <w:t xml:space="preserve"> </w:t>
      </w:r>
      <w:r>
        <w:rPr>
          <w:rFonts w:ascii="Arial" w:hAnsi="Arial" w:cs="Arial"/>
          <w:sz w:val="24"/>
          <w:szCs w:val="22"/>
        </w:rPr>
        <w:t>PD profile of LA RPV over an extended period of time. Despite</w:t>
      </w:r>
      <w:r w:rsidR="00560556">
        <w:rPr>
          <w:rFonts w:ascii="Arial" w:hAnsi="Arial" w:cs="Arial"/>
          <w:sz w:val="24"/>
          <w:szCs w:val="22"/>
        </w:rPr>
        <w:t xml:space="preserve"> the intensity and duration of</w:t>
      </w:r>
      <w:r>
        <w:rPr>
          <w:rFonts w:ascii="Arial" w:hAnsi="Arial" w:cs="Arial"/>
          <w:sz w:val="24"/>
          <w:szCs w:val="22"/>
        </w:rPr>
        <w:t xml:space="preserve"> sample collection, all study participants completed the study. </w:t>
      </w:r>
      <w:r w:rsidR="009136F0">
        <w:rPr>
          <w:rFonts w:ascii="Arial" w:hAnsi="Arial" w:cs="Arial"/>
          <w:sz w:val="24"/>
          <w:szCs w:val="22"/>
        </w:rPr>
        <w:t>L</w:t>
      </w:r>
      <w:r>
        <w:rPr>
          <w:rFonts w:ascii="Arial" w:hAnsi="Arial" w:cs="Arial"/>
          <w:sz w:val="24"/>
          <w:szCs w:val="22"/>
        </w:rPr>
        <w:t>imitation</w:t>
      </w:r>
      <w:r w:rsidR="009136F0">
        <w:rPr>
          <w:rFonts w:ascii="Arial" w:hAnsi="Arial" w:cs="Arial"/>
          <w:sz w:val="24"/>
          <w:szCs w:val="22"/>
        </w:rPr>
        <w:t>s</w:t>
      </w:r>
      <w:r>
        <w:rPr>
          <w:rFonts w:ascii="Arial" w:hAnsi="Arial" w:cs="Arial"/>
          <w:sz w:val="24"/>
          <w:szCs w:val="22"/>
        </w:rPr>
        <w:t xml:space="preserve"> of the study </w:t>
      </w:r>
      <w:r w:rsidR="009136F0">
        <w:rPr>
          <w:rFonts w:ascii="Arial" w:hAnsi="Arial" w:cs="Arial"/>
          <w:sz w:val="24"/>
          <w:szCs w:val="22"/>
        </w:rPr>
        <w:t xml:space="preserve">included </w:t>
      </w:r>
      <w:r>
        <w:rPr>
          <w:rFonts w:ascii="Arial" w:hAnsi="Arial" w:cs="Arial"/>
          <w:sz w:val="24"/>
          <w:szCs w:val="22"/>
        </w:rPr>
        <w:t xml:space="preserve">the fact that this was an open label randomized trial and so we were unable to determine whether adverse events such as injection site pain were related to the method of product administration or to the </w:t>
      </w:r>
      <w:r w:rsidRPr="00001940">
        <w:rPr>
          <w:rFonts w:ascii="Arial" w:hAnsi="Arial" w:cs="Arial"/>
          <w:sz w:val="24"/>
          <w:szCs w:val="22"/>
        </w:rPr>
        <w:t xml:space="preserve">actual product. </w:t>
      </w:r>
      <w:r w:rsidR="009136F0" w:rsidRPr="00001940">
        <w:rPr>
          <w:rFonts w:ascii="Arial" w:hAnsi="Arial" w:cs="Arial"/>
          <w:sz w:val="24"/>
          <w:szCs w:val="22"/>
        </w:rPr>
        <w:t>In addition,</w:t>
      </w:r>
      <w:r w:rsidR="009136F0" w:rsidRPr="00001940">
        <w:rPr>
          <w:rFonts w:ascii="Arial" w:hAnsi="Arial" w:cs="Arial"/>
          <w:i/>
          <w:sz w:val="24"/>
          <w:szCs w:val="22"/>
        </w:rPr>
        <w:t xml:space="preserve"> </w:t>
      </w:r>
      <w:r w:rsidR="009136F0" w:rsidRPr="00001940">
        <w:rPr>
          <w:rFonts w:ascii="Arial" w:hAnsi="Arial" w:cs="Arial"/>
          <w:i/>
          <w:sz w:val="24"/>
          <w:szCs w:val="24"/>
        </w:rPr>
        <w:t xml:space="preserve">in vitro </w:t>
      </w:r>
      <w:r w:rsidR="009136F0" w:rsidRPr="00001940">
        <w:rPr>
          <w:rFonts w:ascii="Arial" w:hAnsi="Arial" w:cs="Arial"/>
          <w:sz w:val="24"/>
          <w:szCs w:val="24"/>
        </w:rPr>
        <w:t xml:space="preserve">susceptibility targets may not accurately reflect the situation </w:t>
      </w:r>
      <w:r w:rsidR="009136F0" w:rsidRPr="00001940">
        <w:rPr>
          <w:rFonts w:ascii="Arial" w:hAnsi="Arial" w:cs="Arial"/>
          <w:i/>
          <w:sz w:val="24"/>
          <w:szCs w:val="24"/>
        </w:rPr>
        <w:t>in vivo</w:t>
      </w:r>
      <w:r w:rsidR="009136F0" w:rsidRPr="00001940">
        <w:rPr>
          <w:rFonts w:ascii="Arial" w:hAnsi="Arial" w:cs="Arial"/>
          <w:sz w:val="24"/>
          <w:szCs w:val="24"/>
        </w:rPr>
        <w:t>, especially in anatomical sites of transmission, such as genital tract and rectum, where the protein content and drug binding are uncharacterized. The explant challenge model is a stringent test of product pharmacodynamics and protective concentrations in efficacy trials may be less than those required in the explant model.</w:t>
      </w:r>
    </w:p>
    <w:p w:rsidR="00EE4558" w:rsidRPr="00001940" w:rsidRDefault="00EE4558" w:rsidP="00594B6E">
      <w:pPr>
        <w:spacing w:after="200" w:line="480" w:lineRule="auto"/>
        <w:jc w:val="both"/>
        <w:rPr>
          <w:rFonts w:ascii="Arial" w:hAnsi="Arial" w:cs="Arial"/>
          <w:sz w:val="24"/>
          <w:szCs w:val="22"/>
        </w:rPr>
      </w:pPr>
    </w:p>
    <w:p w:rsidR="00EE4558" w:rsidRPr="007F1BC8" w:rsidRDefault="00EE4558" w:rsidP="004B442A">
      <w:pPr>
        <w:pStyle w:val="Paragraph"/>
        <w:spacing w:line="480" w:lineRule="auto"/>
        <w:ind w:firstLine="0"/>
        <w:jc w:val="both"/>
        <w:rPr>
          <w:rFonts w:ascii="Arial" w:hAnsi="Arial" w:cs="Arial"/>
          <w:b/>
          <w:szCs w:val="22"/>
        </w:rPr>
      </w:pPr>
      <w:r w:rsidRPr="00001940">
        <w:rPr>
          <w:rFonts w:ascii="Arial" w:hAnsi="Arial" w:cs="Arial"/>
          <w:szCs w:val="22"/>
        </w:rPr>
        <w:lastRenderedPageBreak/>
        <w:t xml:space="preserve">In this Phase 1 study we have demonstrated that single dose administration of RPV LA is safe and acceptable. Moreover, exposure to single dose RPV LA is associated with prolonged PK and associated viral suppression in colorectal but not cervicovaginal </w:t>
      </w:r>
      <w:r w:rsidRPr="00F9446A">
        <w:rPr>
          <w:rFonts w:ascii="Arial" w:hAnsi="Arial" w:cs="Arial"/>
          <w:szCs w:val="22"/>
        </w:rPr>
        <w:t>tissue. Ongoing studies</w:t>
      </w:r>
      <w:r w:rsidR="00082B84">
        <w:rPr>
          <w:rFonts w:ascii="Arial" w:hAnsi="Arial" w:cs="Arial"/>
          <w:szCs w:val="22"/>
        </w:rPr>
        <w:t>, including a Phase 2 study in US, South African, and Zimbabwean women (HPTN-076),</w:t>
      </w:r>
      <w:r w:rsidRPr="00F9446A">
        <w:rPr>
          <w:rFonts w:ascii="Arial" w:hAnsi="Arial" w:cs="Arial"/>
          <w:szCs w:val="22"/>
        </w:rPr>
        <w:t xml:space="preserve"> will characterize longer term safety and acceptable of multiple injections and help determine whether this product should advance to assessment of efficacy in preventing HIV infection.</w:t>
      </w:r>
      <w:r w:rsidRPr="00F9446A">
        <w:rPr>
          <w:rFonts w:ascii="Arial" w:hAnsi="Arial" w:cs="Arial"/>
          <w:szCs w:val="22"/>
        </w:rPr>
        <w:tab/>
      </w:r>
    </w:p>
    <w:p w:rsidR="00EE4558" w:rsidRDefault="00EE4558" w:rsidP="00C72A5D">
      <w:pPr>
        <w:pStyle w:val="Acknowledgement"/>
        <w:ind w:left="0" w:firstLine="0"/>
        <w:rPr>
          <w:rFonts w:ascii="Arial" w:hAnsi="Arial" w:cs="Arial"/>
          <w:b/>
          <w:szCs w:val="22"/>
        </w:rPr>
      </w:pPr>
      <w:r>
        <w:rPr>
          <w:rFonts w:ascii="Arial" w:hAnsi="Arial" w:cs="Arial"/>
          <w:b/>
          <w:szCs w:val="22"/>
        </w:rPr>
        <w:br w:type="page"/>
      </w:r>
      <w:r>
        <w:rPr>
          <w:rFonts w:ascii="Arial" w:hAnsi="Arial" w:cs="Arial"/>
          <w:b/>
          <w:szCs w:val="22"/>
        </w:rPr>
        <w:lastRenderedPageBreak/>
        <w:t xml:space="preserve">Contributors </w:t>
      </w:r>
    </w:p>
    <w:p w:rsidR="00EE4558" w:rsidRDefault="00EE4558" w:rsidP="00C72A5D">
      <w:pPr>
        <w:pStyle w:val="Acknowledgement"/>
        <w:ind w:left="0" w:firstLine="0"/>
        <w:rPr>
          <w:rFonts w:ascii="Arial" w:hAnsi="Arial" w:cs="Arial"/>
          <w:b/>
          <w:szCs w:val="22"/>
        </w:rPr>
      </w:pPr>
    </w:p>
    <w:p w:rsidR="00EE4558" w:rsidRPr="007F1BC8" w:rsidRDefault="00EE4558" w:rsidP="00401753">
      <w:pPr>
        <w:pStyle w:val="Acknowledgement"/>
        <w:spacing w:line="480" w:lineRule="auto"/>
        <w:ind w:left="0" w:firstLine="0"/>
        <w:jc w:val="both"/>
        <w:rPr>
          <w:rFonts w:ascii="Arial" w:hAnsi="Arial" w:cs="Arial"/>
          <w:szCs w:val="22"/>
        </w:rPr>
      </w:pPr>
      <w:r>
        <w:rPr>
          <w:rFonts w:ascii="Arial" w:hAnsi="Arial" w:cs="Arial"/>
          <w:szCs w:val="22"/>
        </w:rPr>
        <w:t>I.M. designed the study protocol with assistance from R.D.C., A.A., K.K., and K.A. B.C. and S.A. collected female genital tract samples. Laboratory assays were run by A.S., J.E., A.N., K.D., and C.S.</w:t>
      </w:r>
      <w:r w:rsidRPr="00EB2414">
        <w:rPr>
          <w:rFonts w:ascii="Arial" w:hAnsi="Arial" w:cs="Arial"/>
          <w:szCs w:val="22"/>
        </w:rPr>
        <w:t xml:space="preserve"> </w:t>
      </w:r>
      <w:r>
        <w:rPr>
          <w:rFonts w:ascii="Arial" w:hAnsi="Arial" w:cs="Arial"/>
          <w:szCs w:val="22"/>
        </w:rPr>
        <w:t>and overseen by C.S.D., R.B.; D.B., L.E., D.E., and S.K were responsible for the analysis of all pharmacokinetic samples; R.S. and J.E.E designed, conducted, and analyzed the behavioral component of the study; K.A. and N.R.H analyzed and interpreted the data; P.W. provided access and regulatory support for the provision of rilpivirine LA; I.M. wrote the manuscript. All authors have read and commented on the final manuscript.</w:t>
      </w:r>
    </w:p>
    <w:p w:rsidR="00EE4558" w:rsidRDefault="00EE4558" w:rsidP="00C72A5D">
      <w:pPr>
        <w:pStyle w:val="Acknowledgement"/>
        <w:ind w:left="0" w:firstLine="0"/>
        <w:rPr>
          <w:rFonts w:ascii="Arial" w:hAnsi="Arial" w:cs="Arial"/>
          <w:b/>
          <w:szCs w:val="22"/>
        </w:rPr>
      </w:pPr>
    </w:p>
    <w:p w:rsidR="00EE4558" w:rsidRDefault="00EE4558" w:rsidP="0008207C">
      <w:pPr>
        <w:pStyle w:val="Acknowledgement"/>
        <w:ind w:left="0" w:firstLine="0"/>
        <w:jc w:val="both"/>
        <w:rPr>
          <w:rFonts w:ascii="Arial" w:hAnsi="Arial" w:cs="Arial"/>
          <w:b/>
          <w:szCs w:val="22"/>
        </w:rPr>
      </w:pPr>
      <w:r>
        <w:rPr>
          <w:rFonts w:ascii="Arial" w:hAnsi="Arial" w:cs="Arial"/>
          <w:b/>
          <w:szCs w:val="22"/>
        </w:rPr>
        <w:t>Declaration of Interests</w:t>
      </w:r>
    </w:p>
    <w:p w:rsidR="00EE4558" w:rsidRDefault="00EE4558" w:rsidP="0008207C">
      <w:pPr>
        <w:pStyle w:val="Acknowledgement"/>
        <w:ind w:left="0" w:firstLine="0"/>
        <w:jc w:val="both"/>
        <w:rPr>
          <w:rFonts w:ascii="Arial" w:hAnsi="Arial" w:cs="Arial"/>
          <w:b/>
          <w:szCs w:val="22"/>
        </w:rPr>
      </w:pPr>
    </w:p>
    <w:p w:rsidR="00EE4558" w:rsidRPr="00FA2B65" w:rsidRDefault="00EE4558" w:rsidP="00FA2B65">
      <w:pPr>
        <w:pStyle w:val="NormalWeb"/>
        <w:spacing w:line="480" w:lineRule="auto"/>
        <w:jc w:val="both"/>
        <w:rPr>
          <w:rFonts w:ascii="Arial" w:hAnsi="Arial" w:cs="Arial"/>
          <w:color w:val="000000"/>
        </w:rPr>
      </w:pPr>
      <w:r w:rsidRPr="00FA2B65">
        <w:rPr>
          <w:rFonts w:ascii="Arial" w:hAnsi="Arial" w:cs="Arial"/>
        </w:rPr>
        <w:t>I</w:t>
      </w:r>
      <w:r>
        <w:rPr>
          <w:rFonts w:ascii="Arial" w:hAnsi="Arial" w:cs="Arial"/>
        </w:rPr>
        <w:t>.</w:t>
      </w:r>
      <w:r w:rsidRPr="00FA2B65">
        <w:rPr>
          <w:rFonts w:ascii="Arial" w:hAnsi="Arial" w:cs="Arial"/>
        </w:rPr>
        <w:t>M</w:t>
      </w:r>
      <w:r>
        <w:rPr>
          <w:rFonts w:ascii="Arial" w:hAnsi="Arial" w:cs="Arial"/>
        </w:rPr>
        <w:t>.</w:t>
      </w:r>
      <w:r w:rsidRPr="00FA2B65">
        <w:rPr>
          <w:rFonts w:ascii="Arial" w:hAnsi="Arial" w:cs="Arial"/>
        </w:rPr>
        <w:t xml:space="preserve"> has </w:t>
      </w:r>
      <w:r w:rsidRPr="00FA2B65">
        <w:rPr>
          <w:rFonts w:ascii="Arial" w:hAnsi="Arial" w:cs="Arial"/>
          <w:lang w:val="en-GB"/>
        </w:rPr>
        <w:t xml:space="preserve">has served on advisory boards for </w:t>
      </w:r>
      <w:r w:rsidRPr="00FA2B65">
        <w:rPr>
          <w:rFonts w:ascii="Arial" w:hAnsi="Arial" w:cs="Arial"/>
        </w:rPr>
        <w:t xml:space="preserve">Novicol Life Sciences and ABIVAX and received research grants from ViiV Healthcare and Janssen. </w:t>
      </w:r>
      <w:r w:rsidRPr="00FA2B65">
        <w:rPr>
          <w:rFonts w:ascii="Arial" w:hAnsi="Arial" w:cs="Arial"/>
          <w:lang w:val="en-GB"/>
        </w:rPr>
        <w:t>S</w:t>
      </w:r>
      <w:r>
        <w:rPr>
          <w:rFonts w:ascii="Arial" w:hAnsi="Arial" w:cs="Arial"/>
          <w:lang w:val="en-GB"/>
        </w:rPr>
        <w:t>.</w:t>
      </w:r>
      <w:r w:rsidRPr="00FA2B65">
        <w:rPr>
          <w:rFonts w:ascii="Arial" w:hAnsi="Arial" w:cs="Arial"/>
          <w:lang w:val="en-GB"/>
        </w:rPr>
        <w:t>K</w:t>
      </w:r>
      <w:r>
        <w:rPr>
          <w:rFonts w:ascii="Arial" w:hAnsi="Arial" w:cs="Arial"/>
          <w:lang w:val="en-GB"/>
        </w:rPr>
        <w:t>.</w:t>
      </w:r>
      <w:r w:rsidRPr="00FA2B65">
        <w:rPr>
          <w:rFonts w:ascii="Arial" w:hAnsi="Arial" w:cs="Arial"/>
          <w:lang w:val="en-GB"/>
        </w:rPr>
        <w:t xml:space="preserve"> has received research grants and speaker’s honoraria from Merck, Gilead Sciences, and ViiV Healthcare. The Liverpool HIV Drug Interaction website has received support from ViiV Healthcare, Gilead Sciences, Janssen, Bristol</w:t>
      </w:r>
      <w:r>
        <w:rPr>
          <w:rFonts w:ascii="Arial" w:hAnsi="Arial" w:cs="Arial"/>
          <w:lang w:val="en-GB"/>
        </w:rPr>
        <w:t>-</w:t>
      </w:r>
      <w:r w:rsidRPr="00FA2B65">
        <w:rPr>
          <w:rFonts w:ascii="Arial" w:hAnsi="Arial" w:cs="Arial"/>
          <w:lang w:val="en-GB"/>
        </w:rPr>
        <w:t>Myers Squibb and Merck. C</w:t>
      </w:r>
      <w:r>
        <w:rPr>
          <w:rFonts w:ascii="Arial" w:hAnsi="Arial" w:cs="Arial"/>
          <w:lang w:val="en-GB"/>
        </w:rPr>
        <w:t>.</w:t>
      </w:r>
      <w:r w:rsidRPr="00FA2B65">
        <w:rPr>
          <w:rFonts w:ascii="Arial" w:hAnsi="Arial" w:cs="Arial"/>
          <w:lang w:val="en-GB"/>
        </w:rPr>
        <w:t>S</w:t>
      </w:r>
      <w:r>
        <w:rPr>
          <w:rFonts w:ascii="Arial" w:hAnsi="Arial" w:cs="Arial"/>
          <w:lang w:val="en-GB"/>
        </w:rPr>
        <w:t>.</w:t>
      </w:r>
      <w:r w:rsidRPr="00FA2B65">
        <w:rPr>
          <w:rFonts w:ascii="Arial" w:hAnsi="Arial" w:cs="Arial"/>
          <w:lang w:val="en-GB"/>
        </w:rPr>
        <w:t>D</w:t>
      </w:r>
      <w:r>
        <w:rPr>
          <w:rFonts w:ascii="Arial" w:hAnsi="Arial" w:cs="Arial"/>
          <w:lang w:val="en-GB"/>
        </w:rPr>
        <w:t>.</w:t>
      </w:r>
      <w:r w:rsidRPr="00FA2B65">
        <w:rPr>
          <w:rFonts w:ascii="Arial" w:hAnsi="Arial" w:cs="Arial"/>
          <w:lang w:val="en-GB"/>
        </w:rPr>
        <w:t xml:space="preserve"> has served on an advisory board for Pfizer. </w:t>
      </w:r>
      <w:r w:rsidRPr="00FA2B65">
        <w:rPr>
          <w:rFonts w:ascii="Arial" w:hAnsi="Arial" w:cs="Arial"/>
          <w:color w:val="000000"/>
        </w:rPr>
        <w:t> D</w:t>
      </w:r>
      <w:r>
        <w:rPr>
          <w:rFonts w:ascii="Arial" w:hAnsi="Arial" w:cs="Arial"/>
          <w:color w:val="000000"/>
        </w:rPr>
        <w:t>.</w:t>
      </w:r>
      <w:r w:rsidRPr="00FA2B65">
        <w:rPr>
          <w:rFonts w:ascii="Arial" w:hAnsi="Arial" w:cs="Arial"/>
          <w:color w:val="000000"/>
        </w:rPr>
        <w:t>J</w:t>
      </w:r>
      <w:r>
        <w:rPr>
          <w:rFonts w:ascii="Arial" w:hAnsi="Arial" w:cs="Arial"/>
          <w:color w:val="000000"/>
        </w:rPr>
        <w:t>.</w:t>
      </w:r>
      <w:r w:rsidRPr="00FA2B65">
        <w:rPr>
          <w:rFonts w:ascii="Arial" w:hAnsi="Arial" w:cs="Arial"/>
          <w:color w:val="000000"/>
        </w:rPr>
        <w:t>B</w:t>
      </w:r>
      <w:r>
        <w:rPr>
          <w:rFonts w:ascii="Arial" w:hAnsi="Arial" w:cs="Arial"/>
          <w:color w:val="000000"/>
        </w:rPr>
        <w:t>.</w:t>
      </w:r>
      <w:r w:rsidRPr="00FA2B65">
        <w:rPr>
          <w:rFonts w:ascii="Arial" w:hAnsi="Arial" w:cs="Arial"/>
          <w:color w:val="000000"/>
        </w:rPr>
        <w:t xml:space="preserve"> has served on speaker bureaus or advisory boards for Gilead Sciences, Janssen, Viiv, Merck, Bristol-Myers Squibb and AbbVie and has also received educational grants fro</w:t>
      </w:r>
      <w:r>
        <w:rPr>
          <w:rFonts w:ascii="Arial" w:hAnsi="Arial" w:cs="Arial"/>
          <w:color w:val="000000"/>
        </w:rPr>
        <w:t xml:space="preserve">m Gilead Sciences, Janssen, ViiV </w:t>
      </w:r>
      <w:r w:rsidRPr="00FA2B65">
        <w:rPr>
          <w:rFonts w:ascii="Arial" w:hAnsi="Arial" w:cs="Arial"/>
          <w:lang w:val="en-GB"/>
        </w:rPr>
        <w:t>Healthcare</w:t>
      </w:r>
      <w:r w:rsidRPr="00FA2B65">
        <w:rPr>
          <w:rFonts w:ascii="Arial" w:hAnsi="Arial" w:cs="Arial"/>
          <w:color w:val="000000"/>
        </w:rPr>
        <w:t>, Merck, Bristol-Myers Squibb and AbbVie.</w:t>
      </w:r>
      <w:r>
        <w:rPr>
          <w:rFonts w:ascii="Arial" w:hAnsi="Arial" w:cs="Arial"/>
          <w:color w:val="000000"/>
        </w:rPr>
        <w:t xml:space="preserve"> </w:t>
      </w:r>
      <w:r>
        <w:rPr>
          <w:rFonts w:ascii="Arial" w:hAnsi="Arial" w:cs="Arial"/>
          <w:lang w:val="en-GB"/>
        </w:rPr>
        <w:t xml:space="preserve">N.R.H. is an employee of Alpha StatConsult. P.W. is a full-time employee of Janssen. </w:t>
      </w:r>
    </w:p>
    <w:p w:rsidR="00EE4558" w:rsidRPr="0008207C" w:rsidRDefault="00EE4558" w:rsidP="0008207C">
      <w:pPr>
        <w:spacing w:line="480" w:lineRule="auto"/>
        <w:jc w:val="both"/>
        <w:rPr>
          <w:rFonts w:ascii="Arial" w:hAnsi="Arial" w:cs="Arial"/>
          <w:sz w:val="24"/>
          <w:szCs w:val="24"/>
          <w:lang w:val="en-GB"/>
        </w:rPr>
      </w:pPr>
    </w:p>
    <w:p w:rsidR="00EE4558" w:rsidRDefault="00EE4558" w:rsidP="00C72A5D">
      <w:pPr>
        <w:pStyle w:val="Acknowledgement"/>
        <w:ind w:left="0" w:firstLine="0"/>
        <w:rPr>
          <w:rFonts w:ascii="Arial" w:hAnsi="Arial" w:cs="Arial"/>
          <w:b/>
          <w:szCs w:val="22"/>
        </w:rPr>
      </w:pPr>
    </w:p>
    <w:p w:rsidR="00EE4558" w:rsidRPr="007F1BC8" w:rsidRDefault="00EE4558" w:rsidP="00C72A5D">
      <w:pPr>
        <w:pStyle w:val="Acknowledgement"/>
        <w:ind w:left="0" w:firstLine="0"/>
        <w:rPr>
          <w:rFonts w:ascii="Arial" w:hAnsi="Arial" w:cs="Arial"/>
          <w:szCs w:val="22"/>
        </w:rPr>
      </w:pPr>
      <w:r w:rsidRPr="007F1BC8">
        <w:rPr>
          <w:rFonts w:ascii="Arial" w:hAnsi="Arial" w:cs="Arial"/>
          <w:b/>
          <w:szCs w:val="22"/>
        </w:rPr>
        <w:t>Acknowledgments:</w:t>
      </w:r>
      <w:r w:rsidRPr="007F1BC8">
        <w:rPr>
          <w:rFonts w:ascii="Arial" w:hAnsi="Arial" w:cs="Arial"/>
          <w:szCs w:val="22"/>
        </w:rPr>
        <w:t xml:space="preserve"> </w:t>
      </w:r>
    </w:p>
    <w:p w:rsidR="00232A4F" w:rsidRDefault="00232A4F" w:rsidP="0080664C">
      <w:pPr>
        <w:pStyle w:val="Acknowledgement"/>
        <w:spacing w:line="480" w:lineRule="auto"/>
        <w:ind w:left="0" w:firstLine="0"/>
        <w:jc w:val="both"/>
        <w:rPr>
          <w:rFonts w:ascii="Arial" w:hAnsi="Arial" w:cs="Arial"/>
          <w:szCs w:val="22"/>
        </w:rPr>
      </w:pPr>
    </w:p>
    <w:p w:rsidR="00EE4558" w:rsidRPr="007F1BC8" w:rsidRDefault="00EE4558" w:rsidP="0080664C">
      <w:pPr>
        <w:pStyle w:val="Acknowledgement"/>
        <w:spacing w:line="480" w:lineRule="auto"/>
        <w:ind w:left="0" w:firstLine="0"/>
        <w:jc w:val="both"/>
        <w:rPr>
          <w:rFonts w:ascii="Arial" w:hAnsi="Arial" w:cs="Arial"/>
          <w:szCs w:val="22"/>
        </w:rPr>
      </w:pPr>
      <w:r>
        <w:rPr>
          <w:rFonts w:ascii="Arial" w:hAnsi="Arial" w:cs="Arial"/>
          <w:szCs w:val="22"/>
        </w:rPr>
        <w:t xml:space="preserve">The MWRI-01 study was funded by a grant from the Bill </w:t>
      </w:r>
      <w:r w:rsidR="00232A4F">
        <w:rPr>
          <w:rFonts w:ascii="Arial" w:hAnsi="Arial" w:cs="Arial"/>
          <w:szCs w:val="22"/>
        </w:rPr>
        <w:t xml:space="preserve">&amp; </w:t>
      </w:r>
      <w:r>
        <w:rPr>
          <w:rFonts w:ascii="Arial" w:hAnsi="Arial" w:cs="Arial"/>
          <w:szCs w:val="22"/>
        </w:rPr>
        <w:t>Melinda Gates Foundation (</w:t>
      </w:r>
      <w:r>
        <w:rPr>
          <w:rFonts w:ascii="Arial" w:hAnsi="Arial" w:cs="Arial"/>
          <w:color w:val="000000"/>
        </w:rPr>
        <w:t>OPP1045325).</w:t>
      </w:r>
      <w:r>
        <w:rPr>
          <w:rFonts w:ascii="Arial" w:hAnsi="Arial" w:cs="Arial"/>
          <w:szCs w:val="22"/>
        </w:rPr>
        <w:t xml:space="preserve"> The authors would like to thank the participants for their commitment to the MWRI-01 study.</w:t>
      </w:r>
    </w:p>
    <w:p w:rsidR="00EE4558" w:rsidRDefault="00EE4558" w:rsidP="0080664C">
      <w:pPr>
        <w:pStyle w:val="Acknowledgement"/>
        <w:spacing w:line="480" w:lineRule="auto"/>
        <w:ind w:left="0" w:firstLine="0"/>
        <w:jc w:val="both"/>
        <w:rPr>
          <w:rFonts w:ascii="Arial" w:hAnsi="Arial" w:cs="Arial"/>
          <w:b/>
          <w:szCs w:val="22"/>
        </w:rPr>
      </w:pPr>
    </w:p>
    <w:p w:rsidR="00EE4558" w:rsidRPr="007F1BC8" w:rsidRDefault="00EE4558" w:rsidP="0080664C">
      <w:pPr>
        <w:pStyle w:val="Acknowledgement"/>
        <w:spacing w:line="480" w:lineRule="auto"/>
        <w:ind w:left="0" w:firstLine="0"/>
        <w:jc w:val="both"/>
        <w:rPr>
          <w:rFonts w:ascii="Arial" w:hAnsi="Arial" w:cs="Arial"/>
          <w:szCs w:val="22"/>
        </w:rPr>
      </w:pPr>
      <w:r w:rsidRPr="007F1BC8">
        <w:rPr>
          <w:rFonts w:ascii="Arial" w:hAnsi="Arial" w:cs="Arial"/>
          <w:b/>
          <w:szCs w:val="22"/>
        </w:rPr>
        <w:t>Competing interests</w:t>
      </w:r>
      <w:r w:rsidRPr="007F1BC8">
        <w:rPr>
          <w:rFonts w:ascii="Arial" w:hAnsi="Arial" w:cs="Arial"/>
          <w:szCs w:val="22"/>
        </w:rPr>
        <w:t xml:space="preserve">: </w:t>
      </w:r>
    </w:p>
    <w:p w:rsidR="00EE4558" w:rsidRPr="007F1BC8" w:rsidRDefault="00EE4558" w:rsidP="0080664C">
      <w:pPr>
        <w:pStyle w:val="Acknowledgement"/>
        <w:spacing w:line="480" w:lineRule="auto"/>
        <w:ind w:left="0" w:firstLine="0"/>
        <w:jc w:val="both"/>
        <w:rPr>
          <w:rFonts w:ascii="Arial" w:hAnsi="Arial" w:cs="Arial"/>
          <w:szCs w:val="22"/>
        </w:rPr>
      </w:pPr>
      <w:r>
        <w:rPr>
          <w:rFonts w:ascii="Arial" w:hAnsi="Arial" w:cs="Arial"/>
          <w:szCs w:val="22"/>
        </w:rPr>
        <w:t>None</w:t>
      </w:r>
    </w:p>
    <w:p w:rsidR="00EE4558" w:rsidRDefault="00EE4558" w:rsidP="001401A9">
      <w:pPr>
        <w:pStyle w:val="Acknowledgement"/>
        <w:spacing w:line="480" w:lineRule="auto"/>
        <w:ind w:left="0" w:firstLine="0"/>
        <w:jc w:val="both"/>
        <w:rPr>
          <w:rFonts w:ascii="Arial" w:hAnsi="Arial" w:cs="Arial"/>
          <w:b/>
          <w:szCs w:val="22"/>
        </w:rPr>
      </w:pPr>
    </w:p>
    <w:p w:rsidR="00EE4558" w:rsidRPr="00F9446A" w:rsidRDefault="00EE4558" w:rsidP="001401A9">
      <w:pPr>
        <w:pStyle w:val="Acknowledgement"/>
        <w:spacing w:line="480" w:lineRule="auto"/>
        <w:ind w:left="0" w:firstLine="0"/>
        <w:jc w:val="both"/>
        <w:rPr>
          <w:rFonts w:ascii="Arial" w:hAnsi="Arial" w:cs="Arial"/>
          <w:szCs w:val="22"/>
        </w:rPr>
        <w:sectPr w:rsidR="00EE4558" w:rsidRPr="00F9446A" w:rsidSect="00CF734B">
          <w:footerReference w:type="default" r:id="rId10"/>
          <w:headerReference w:type="first" r:id="rId11"/>
          <w:pgSz w:w="12240" w:h="15840"/>
          <w:pgMar w:top="1440" w:right="1440" w:bottom="1440" w:left="1440" w:header="720" w:footer="720" w:gutter="0"/>
          <w:cols w:space="720"/>
          <w:docGrid w:linePitch="360"/>
        </w:sectPr>
      </w:pPr>
    </w:p>
    <w:p w:rsidR="00EE4558" w:rsidRPr="00F9446A" w:rsidRDefault="00EE4558" w:rsidP="0080664C">
      <w:pPr>
        <w:pStyle w:val="Paragraph"/>
        <w:ind w:firstLine="0"/>
        <w:jc w:val="both"/>
        <w:rPr>
          <w:rFonts w:ascii="Arial" w:hAnsi="Arial" w:cs="Arial"/>
          <w:b/>
          <w:szCs w:val="22"/>
        </w:rPr>
      </w:pPr>
      <w:r w:rsidRPr="00F9446A">
        <w:rPr>
          <w:rFonts w:ascii="Arial" w:hAnsi="Arial" w:cs="Arial"/>
          <w:b/>
          <w:szCs w:val="22"/>
        </w:rPr>
        <w:lastRenderedPageBreak/>
        <w:t>References</w:t>
      </w:r>
    </w:p>
    <w:p w:rsidR="00EE4558" w:rsidRPr="00F9446A" w:rsidRDefault="00EE4558" w:rsidP="0080664C">
      <w:pPr>
        <w:jc w:val="both"/>
        <w:rPr>
          <w:rFonts w:ascii="Arial" w:hAnsi="Arial" w:cs="Arial"/>
          <w:sz w:val="24"/>
          <w:szCs w:val="22"/>
        </w:rPr>
      </w:pPr>
    </w:p>
    <w:p w:rsidR="00FC4FA9" w:rsidRPr="002D6FD5" w:rsidRDefault="00FC4FA9" w:rsidP="00FC4FA9">
      <w:pPr>
        <w:tabs>
          <w:tab w:val="right" w:pos="540"/>
          <w:tab w:val="left" w:pos="720"/>
        </w:tabs>
        <w:spacing w:after="240"/>
        <w:ind w:left="720" w:hanging="720"/>
        <w:jc w:val="both"/>
        <w:rPr>
          <w:rFonts w:ascii="Arial" w:hAnsi="Arial" w:cs="Arial"/>
          <w:noProof/>
          <w:sz w:val="24"/>
          <w:szCs w:val="22"/>
        </w:rPr>
      </w:pPr>
      <w:r w:rsidRPr="00F9446A">
        <w:rPr>
          <w:rFonts w:ascii="Arial" w:hAnsi="Arial" w:cs="Arial"/>
          <w:sz w:val="22"/>
          <w:szCs w:val="22"/>
        </w:rPr>
        <w:fldChar w:fldCharType="begin"/>
      </w:r>
      <w:r w:rsidRPr="00F9446A">
        <w:rPr>
          <w:rFonts w:ascii="Arial" w:hAnsi="Arial" w:cs="Arial"/>
          <w:sz w:val="22"/>
          <w:szCs w:val="22"/>
        </w:rPr>
        <w:instrText xml:space="preserve"> ADDIN REFMGR.REFLIST </w:instrText>
      </w:r>
      <w:r w:rsidRPr="00F9446A">
        <w:rPr>
          <w:rFonts w:ascii="Arial" w:hAnsi="Arial" w:cs="Arial"/>
          <w:sz w:val="22"/>
          <w:szCs w:val="22"/>
        </w:rPr>
        <w:fldChar w:fldCharType="separate"/>
      </w:r>
      <w:r w:rsidRPr="002D6FD5">
        <w:rPr>
          <w:rFonts w:ascii="Arial" w:hAnsi="Arial" w:cs="Arial"/>
          <w:noProof/>
          <w:sz w:val="24"/>
          <w:szCs w:val="22"/>
        </w:rPr>
        <w:tab/>
        <w:t xml:space="preserve">[1] </w:t>
      </w:r>
      <w:r w:rsidRPr="002D6FD5">
        <w:rPr>
          <w:rFonts w:ascii="Arial" w:hAnsi="Arial" w:cs="Arial"/>
          <w:noProof/>
          <w:sz w:val="24"/>
          <w:szCs w:val="22"/>
        </w:rPr>
        <w:tab/>
        <w:t xml:space="preserve">Spreen WR, Margolis DA, Pottage JC, Jr. Long-acting injectable antiretrovirals for HIV treatment and prevention. </w:t>
      </w:r>
      <w:r w:rsidRPr="00CF734B">
        <w:rPr>
          <w:rFonts w:ascii="Arial" w:hAnsi="Arial" w:cs="Arial"/>
          <w:i/>
          <w:noProof/>
          <w:sz w:val="24"/>
          <w:szCs w:val="22"/>
        </w:rPr>
        <w:t>Curr Opin HIV AIDS</w:t>
      </w:r>
      <w:r w:rsidRPr="002D6FD5">
        <w:rPr>
          <w:rFonts w:ascii="Arial" w:hAnsi="Arial" w:cs="Arial"/>
          <w:noProof/>
          <w:sz w:val="24"/>
          <w:szCs w:val="22"/>
        </w:rPr>
        <w:t xml:space="preserve"> 2013</w:t>
      </w:r>
      <w:r>
        <w:rPr>
          <w:rFonts w:ascii="Arial" w:hAnsi="Arial" w:cs="Arial"/>
          <w:noProof/>
          <w:sz w:val="24"/>
          <w:szCs w:val="22"/>
        </w:rPr>
        <w:t>;</w:t>
      </w:r>
      <w:r w:rsidRPr="002D6FD5">
        <w:rPr>
          <w:rFonts w:ascii="Arial" w:hAnsi="Arial" w:cs="Arial"/>
          <w:noProof/>
          <w:sz w:val="24"/>
          <w:szCs w:val="22"/>
        </w:rPr>
        <w:t xml:space="preserve"> </w:t>
      </w:r>
      <w:r w:rsidRPr="00CF734B">
        <w:rPr>
          <w:rFonts w:ascii="Arial" w:hAnsi="Arial" w:cs="Arial"/>
          <w:b/>
          <w:noProof/>
          <w:sz w:val="24"/>
          <w:szCs w:val="22"/>
        </w:rPr>
        <w:t>8</w:t>
      </w:r>
      <w:r w:rsidRPr="002D6FD5">
        <w:rPr>
          <w:rFonts w:ascii="Arial" w:hAnsi="Arial" w:cs="Arial"/>
          <w:noProof/>
          <w:sz w:val="24"/>
          <w:szCs w:val="22"/>
        </w:rPr>
        <w:t>:565-71.</w:t>
      </w:r>
    </w:p>
    <w:p w:rsidR="00FC4FA9" w:rsidRPr="002D6FD5" w:rsidRDefault="00FC4FA9" w:rsidP="00FC4FA9">
      <w:pPr>
        <w:tabs>
          <w:tab w:val="right" w:pos="540"/>
          <w:tab w:val="left" w:pos="720"/>
        </w:tabs>
        <w:spacing w:after="240"/>
        <w:ind w:left="720" w:hanging="720"/>
        <w:jc w:val="both"/>
        <w:rPr>
          <w:rFonts w:ascii="Arial" w:hAnsi="Arial" w:cs="Arial"/>
          <w:noProof/>
          <w:sz w:val="24"/>
          <w:szCs w:val="22"/>
        </w:rPr>
      </w:pPr>
      <w:r w:rsidRPr="002D6FD5">
        <w:rPr>
          <w:rFonts w:ascii="Arial" w:hAnsi="Arial" w:cs="Arial"/>
          <w:noProof/>
          <w:sz w:val="24"/>
          <w:szCs w:val="22"/>
        </w:rPr>
        <w:tab/>
        <w:t xml:space="preserve">[2] </w:t>
      </w:r>
      <w:r w:rsidRPr="002D6FD5">
        <w:rPr>
          <w:rFonts w:ascii="Arial" w:hAnsi="Arial" w:cs="Arial"/>
          <w:noProof/>
          <w:sz w:val="24"/>
          <w:szCs w:val="22"/>
        </w:rPr>
        <w:tab/>
        <w:t xml:space="preserve">Jackson A, McGowan I. Long-acting rilpivirine for HIV prevention. </w:t>
      </w:r>
      <w:r w:rsidRPr="00CF734B">
        <w:rPr>
          <w:rFonts w:ascii="Arial" w:hAnsi="Arial" w:cs="Arial"/>
          <w:i/>
          <w:noProof/>
          <w:sz w:val="24"/>
          <w:szCs w:val="22"/>
        </w:rPr>
        <w:t>Curr Opin HIV AIDS</w:t>
      </w:r>
      <w:r w:rsidRPr="002D6FD5">
        <w:rPr>
          <w:rFonts w:ascii="Arial" w:hAnsi="Arial" w:cs="Arial"/>
          <w:noProof/>
          <w:sz w:val="24"/>
          <w:szCs w:val="22"/>
        </w:rPr>
        <w:t xml:space="preserve"> 2015;</w:t>
      </w:r>
      <w:r>
        <w:rPr>
          <w:rFonts w:ascii="Arial" w:hAnsi="Arial" w:cs="Arial"/>
          <w:noProof/>
          <w:sz w:val="24"/>
          <w:szCs w:val="22"/>
        </w:rPr>
        <w:t xml:space="preserve"> </w:t>
      </w:r>
      <w:r w:rsidRPr="00CF734B">
        <w:rPr>
          <w:rFonts w:ascii="Arial" w:hAnsi="Arial" w:cs="Arial"/>
          <w:b/>
          <w:noProof/>
          <w:sz w:val="24"/>
          <w:szCs w:val="22"/>
        </w:rPr>
        <w:t>10</w:t>
      </w:r>
      <w:r w:rsidRPr="002D6FD5">
        <w:rPr>
          <w:rFonts w:ascii="Arial" w:hAnsi="Arial" w:cs="Arial"/>
          <w:noProof/>
          <w:sz w:val="24"/>
          <w:szCs w:val="22"/>
        </w:rPr>
        <w:t>:253-7.</w:t>
      </w:r>
    </w:p>
    <w:p w:rsidR="00FC4FA9" w:rsidRPr="002D6FD5" w:rsidRDefault="00FC4FA9" w:rsidP="00FC4FA9">
      <w:pPr>
        <w:tabs>
          <w:tab w:val="right" w:pos="540"/>
          <w:tab w:val="left" w:pos="720"/>
        </w:tabs>
        <w:spacing w:after="240"/>
        <w:ind w:left="720" w:hanging="720"/>
        <w:jc w:val="both"/>
        <w:rPr>
          <w:rFonts w:ascii="Arial" w:hAnsi="Arial" w:cs="Arial"/>
          <w:noProof/>
          <w:sz w:val="24"/>
          <w:szCs w:val="22"/>
        </w:rPr>
      </w:pPr>
      <w:r w:rsidRPr="002D6FD5">
        <w:rPr>
          <w:rFonts w:ascii="Arial" w:hAnsi="Arial" w:cs="Arial"/>
          <w:noProof/>
          <w:sz w:val="24"/>
          <w:szCs w:val="22"/>
        </w:rPr>
        <w:tab/>
        <w:t xml:space="preserve">[3] </w:t>
      </w:r>
      <w:r w:rsidRPr="002D6FD5">
        <w:rPr>
          <w:rFonts w:ascii="Arial" w:hAnsi="Arial" w:cs="Arial"/>
          <w:noProof/>
          <w:sz w:val="24"/>
          <w:szCs w:val="22"/>
        </w:rPr>
        <w:tab/>
        <w:t xml:space="preserve">Ripamonti D, Bombana E, Rizzi M. Rilpivirine: drug profile of a second-generation non-nucleoside reverse transcriptase HIV-inhibitor. </w:t>
      </w:r>
      <w:r w:rsidRPr="00CF734B">
        <w:rPr>
          <w:rFonts w:ascii="Arial" w:hAnsi="Arial" w:cs="Arial"/>
          <w:i/>
          <w:noProof/>
          <w:sz w:val="24"/>
          <w:szCs w:val="22"/>
        </w:rPr>
        <w:t>Expert Rev Anti Infect Ther</w:t>
      </w:r>
      <w:r w:rsidRPr="002D6FD5">
        <w:rPr>
          <w:rFonts w:ascii="Arial" w:hAnsi="Arial" w:cs="Arial"/>
          <w:noProof/>
          <w:sz w:val="24"/>
          <w:szCs w:val="22"/>
        </w:rPr>
        <w:t xml:space="preserve"> 2014;</w:t>
      </w:r>
      <w:r>
        <w:rPr>
          <w:rFonts w:ascii="Arial" w:hAnsi="Arial" w:cs="Arial"/>
          <w:noProof/>
          <w:sz w:val="24"/>
          <w:szCs w:val="22"/>
        </w:rPr>
        <w:t xml:space="preserve"> </w:t>
      </w:r>
      <w:r w:rsidRPr="00CF734B">
        <w:rPr>
          <w:rFonts w:ascii="Arial" w:hAnsi="Arial" w:cs="Arial"/>
          <w:b/>
          <w:noProof/>
          <w:sz w:val="24"/>
          <w:szCs w:val="22"/>
        </w:rPr>
        <w:t>12</w:t>
      </w:r>
      <w:r w:rsidRPr="002D6FD5">
        <w:rPr>
          <w:rFonts w:ascii="Arial" w:hAnsi="Arial" w:cs="Arial"/>
          <w:noProof/>
          <w:sz w:val="24"/>
          <w:szCs w:val="22"/>
        </w:rPr>
        <w:t>:13-29.</w:t>
      </w:r>
    </w:p>
    <w:p w:rsidR="00FC4FA9" w:rsidRPr="002D6FD5" w:rsidRDefault="00FC4FA9" w:rsidP="00FC4FA9">
      <w:pPr>
        <w:tabs>
          <w:tab w:val="right" w:pos="540"/>
          <w:tab w:val="left" w:pos="720"/>
        </w:tabs>
        <w:spacing w:after="240"/>
        <w:ind w:left="720" w:hanging="720"/>
        <w:jc w:val="both"/>
        <w:rPr>
          <w:rFonts w:ascii="Arial" w:hAnsi="Arial" w:cs="Arial"/>
          <w:noProof/>
          <w:sz w:val="24"/>
          <w:szCs w:val="22"/>
        </w:rPr>
      </w:pPr>
      <w:r w:rsidRPr="002D6FD5">
        <w:rPr>
          <w:rFonts w:ascii="Arial" w:hAnsi="Arial" w:cs="Arial"/>
          <w:noProof/>
          <w:sz w:val="24"/>
          <w:szCs w:val="22"/>
        </w:rPr>
        <w:tab/>
        <w:t xml:space="preserve">[4] </w:t>
      </w:r>
      <w:r w:rsidRPr="002D6FD5">
        <w:rPr>
          <w:rFonts w:ascii="Arial" w:hAnsi="Arial" w:cs="Arial"/>
          <w:noProof/>
          <w:sz w:val="24"/>
          <w:szCs w:val="22"/>
        </w:rPr>
        <w:tab/>
        <w:t xml:space="preserve">Kovarova M, Council OD, Date AA, Long JM, Nochii T, Belshan M, et al. Nanoformulations of Rilpivirine for Topical Pericoital and Systemic Coitus-Independent Administration Efficiently Prevent HIV Transmission. </w:t>
      </w:r>
      <w:r w:rsidRPr="00CF734B">
        <w:rPr>
          <w:rFonts w:ascii="Arial" w:hAnsi="Arial" w:cs="Arial"/>
          <w:i/>
          <w:noProof/>
          <w:sz w:val="24"/>
          <w:szCs w:val="22"/>
        </w:rPr>
        <w:t>PLoS Pathog</w:t>
      </w:r>
      <w:r w:rsidRPr="002D6FD5">
        <w:rPr>
          <w:rFonts w:ascii="Arial" w:hAnsi="Arial" w:cs="Arial"/>
          <w:noProof/>
          <w:sz w:val="24"/>
          <w:szCs w:val="22"/>
        </w:rPr>
        <w:t xml:space="preserve"> 2015;</w:t>
      </w:r>
      <w:r>
        <w:rPr>
          <w:rFonts w:ascii="Arial" w:hAnsi="Arial" w:cs="Arial"/>
          <w:noProof/>
          <w:sz w:val="24"/>
          <w:szCs w:val="22"/>
        </w:rPr>
        <w:t xml:space="preserve"> </w:t>
      </w:r>
      <w:r w:rsidRPr="00CF734B">
        <w:rPr>
          <w:rFonts w:ascii="Arial" w:hAnsi="Arial" w:cs="Arial"/>
          <w:b/>
          <w:noProof/>
          <w:sz w:val="24"/>
          <w:szCs w:val="22"/>
        </w:rPr>
        <w:t>11</w:t>
      </w:r>
      <w:r w:rsidRPr="002D6FD5">
        <w:rPr>
          <w:rFonts w:ascii="Arial" w:hAnsi="Arial" w:cs="Arial"/>
          <w:noProof/>
          <w:sz w:val="24"/>
          <w:szCs w:val="22"/>
        </w:rPr>
        <w:t>:e1005075.</w:t>
      </w:r>
    </w:p>
    <w:p w:rsidR="00FC4FA9" w:rsidRPr="002D6FD5" w:rsidRDefault="00FC4FA9" w:rsidP="00FC4FA9">
      <w:pPr>
        <w:tabs>
          <w:tab w:val="right" w:pos="540"/>
          <w:tab w:val="left" w:pos="720"/>
        </w:tabs>
        <w:spacing w:after="240"/>
        <w:ind w:left="720" w:hanging="720"/>
        <w:jc w:val="both"/>
        <w:rPr>
          <w:rFonts w:ascii="Arial" w:hAnsi="Arial" w:cs="Arial"/>
          <w:noProof/>
          <w:sz w:val="24"/>
          <w:szCs w:val="22"/>
        </w:rPr>
      </w:pPr>
      <w:r w:rsidRPr="002D6FD5">
        <w:rPr>
          <w:rFonts w:ascii="Arial" w:hAnsi="Arial" w:cs="Arial"/>
          <w:noProof/>
          <w:sz w:val="24"/>
          <w:szCs w:val="22"/>
        </w:rPr>
        <w:tab/>
        <w:t xml:space="preserve">[5] </w:t>
      </w:r>
      <w:r w:rsidRPr="002D6FD5">
        <w:rPr>
          <w:rFonts w:ascii="Arial" w:hAnsi="Arial" w:cs="Arial"/>
          <w:noProof/>
          <w:sz w:val="24"/>
          <w:szCs w:val="22"/>
        </w:rPr>
        <w:tab/>
        <w:t xml:space="preserve">Jackson AG, Else LJ, Mesquita PM, Egan D, Back DJ, Karolia Z, et al. A compartmental pharmacokinetic evaluation of long-acting rilpivirine in HIV-negative volunteers for pre-exposure prophylaxis. </w:t>
      </w:r>
      <w:r w:rsidRPr="00CF734B">
        <w:rPr>
          <w:rFonts w:ascii="Arial" w:hAnsi="Arial" w:cs="Arial"/>
          <w:i/>
          <w:noProof/>
          <w:sz w:val="24"/>
          <w:szCs w:val="22"/>
        </w:rPr>
        <w:t>Clin Pharmacol Ther</w:t>
      </w:r>
      <w:r w:rsidRPr="002D6FD5">
        <w:rPr>
          <w:rFonts w:ascii="Arial" w:hAnsi="Arial" w:cs="Arial"/>
          <w:noProof/>
          <w:sz w:val="24"/>
          <w:szCs w:val="22"/>
        </w:rPr>
        <w:t xml:space="preserve"> 2014;</w:t>
      </w:r>
      <w:r>
        <w:rPr>
          <w:rFonts w:ascii="Arial" w:hAnsi="Arial" w:cs="Arial"/>
          <w:noProof/>
          <w:sz w:val="24"/>
          <w:szCs w:val="22"/>
        </w:rPr>
        <w:t xml:space="preserve"> </w:t>
      </w:r>
      <w:r w:rsidRPr="00CF734B">
        <w:rPr>
          <w:rFonts w:ascii="Arial" w:hAnsi="Arial" w:cs="Arial"/>
          <w:b/>
          <w:noProof/>
          <w:sz w:val="24"/>
          <w:szCs w:val="22"/>
        </w:rPr>
        <w:t>96</w:t>
      </w:r>
      <w:r w:rsidRPr="002D6FD5">
        <w:rPr>
          <w:rFonts w:ascii="Arial" w:hAnsi="Arial" w:cs="Arial"/>
          <w:noProof/>
          <w:sz w:val="24"/>
          <w:szCs w:val="22"/>
        </w:rPr>
        <w:t>:314-23.</w:t>
      </w:r>
    </w:p>
    <w:p w:rsidR="00FC4FA9" w:rsidRPr="002D6FD5" w:rsidRDefault="00FC4FA9" w:rsidP="00FC4FA9">
      <w:pPr>
        <w:tabs>
          <w:tab w:val="right" w:pos="540"/>
          <w:tab w:val="left" w:pos="720"/>
        </w:tabs>
        <w:spacing w:after="240"/>
        <w:ind w:left="720" w:hanging="720"/>
        <w:jc w:val="both"/>
        <w:rPr>
          <w:rFonts w:ascii="Arial" w:hAnsi="Arial" w:cs="Arial"/>
          <w:noProof/>
          <w:sz w:val="24"/>
          <w:szCs w:val="22"/>
        </w:rPr>
      </w:pPr>
      <w:r w:rsidRPr="002D6FD5">
        <w:rPr>
          <w:rFonts w:ascii="Arial" w:hAnsi="Arial" w:cs="Arial"/>
          <w:noProof/>
          <w:sz w:val="24"/>
          <w:szCs w:val="22"/>
        </w:rPr>
        <w:tab/>
        <w:t xml:space="preserve">[6] </w:t>
      </w:r>
      <w:r w:rsidRPr="002D6FD5">
        <w:rPr>
          <w:rFonts w:ascii="Arial" w:hAnsi="Arial" w:cs="Arial"/>
          <w:noProof/>
          <w:sz w:val="24"/>
          <w:szCs w:val="22"/>
        </w:rPr>
        <w:tab/>
        <w:t xml:space="preserve">Anton PA, Elliott J, Poles MA, McGowan IM, Matud J, Hultin LE, et al. Enhanced levels of functional HIV-1 co-receptors on human mucosal T cells demonstrated using intestinal biopsy tissue. </w:t>
      </w:r>
      <w:r w:rsidRPr="00CF734B">
        <w:rPr>
          <w:rFonts w:ascii="Arial" w:hAnsi="Arial" w:cs="Arial"/>
          <w:i/>
          <w:noProof/>
          <w:sz w:val="24"/>
          <w:szCs w:val="22"/>
        </w:rPr>
        <w:t>AIDS</w:t>
      </w:r>
      <w:r w:rsidRPr="002D6FD5">
        <w:rPr>
          <w:rFonts w:ascii="Arial" w:hAnsi="Arial" w:cs="Arial"/>
          <w:noProof/>
          <w:sz w:val="24"/>
          <w:szCs w:val="22"/>
        </w:rPr>
        <w:t xml:space="preserve"> 2000;</w:t>
      </w:r>
      <w:r>
        <w:rPr>
          <w:rFonts w:ascii="Arial" w:hAnsi="Arial" w:cs="Arial"/>
          <w:noProof/>
          <w:sz w:val="24"/>
          <w:szCs w:val="22"/>
        </w:rPr>
        <w:t xml:space="preserve"> </w:t>
      </w:r>
      <w:r w:rsidRPr="00CF734B">
        <w:rPr>
          <w:rFonts w:ascii="Arial" w:hAnsi="Arial" w:cs="Arial"/>
          <w:b/>
          <w:noProof/>
          <w:sz w:val="24"/>
          <w:szCs w:val="22"/>
        </w:rPr>
        <w:t>14</w:t>
      </w:r>
      <w:r w:rsidRPr="002D6FD5">
        <w:rPr>
          <w:rFonts w:ascii="Arial" w:hAnsi="Arial" w:cs="Arial"/>
          <w:noProof/>
          <w:sz w:val="24"/>
          <w:szCs w:val="22"/>
        </w:rPr>
        <w:t>:1761-5.</w:t>
      </w:r>
    </w:p>
    <w:p w:rsidR="00FC4FA9" w:rsidRPr="002D6FD5" w:rsidRDefault="00FC4FA9" w:rsidP="00FC4FA9">
      <w:pPr>
        <w:tabs>
          <w:tab w:val="right" w:pos="540"/>
          <w:tab w:val="left" w:pos="720"/>
        </w:tabs>
        <w:spacing w:after="240"/>
        <w:ind w:left="720" w:hanging="720"/>
        <w:jc w:val="both"/>
        <w:rPr>
          <w:rFonts w:ascii="Arial" w:hAnsi="Arial" w:cs="Arial"/>
          <w:noProof/>
          <w:sz w:val="24"/>
          <w:szCs w:val="22"/>
        </w:rPr>
      </w:pPr>
      <w:r w:rsidRPr="002D6FD5">
        <w:rPr>
          <w:rFonts w:ascii="Arial" w:hAnsi="Arial" w:cs="Arial"/>
          <w:noProof/>
          <w:sz w:val="24"/>
          <w:szCs w:val="22"/>
        </w:rPr>
        <w:tab/>
        <w:t xml:space="preserve">[7] </w:t>
      </w:r>
      <w:r w:rsidRPr="002D6FD5">
        <w:rPr>
          <w:rFonts w:ascii="Arial" w:hAnsi="Arial" w:cs="Arial"/>
          <w:noProof/>
          <w:sz w:val="24"/>
          <w:szCs w:val="22"/>
        </w:rPr>
        <w:tab/>
        <w:t xml:space="preserve">Anton PA, Poles MA, Elliott J, Mao SH, McGowan I, Lenz HJ, et al. Sensitive and reproducible quantitation of mucosal HIV-1 RNA and DNA viral burden in patients with detectable and undetectable plasma viral HIV-1 RNA using endoscopic biopsies. </w:t>
      </w:r>
      <w:r w:rsidRPr="00292AE3">
        <w:rPr>
          <w:rFonts w:ascii="Arial" w:hAnsi="Arial" w:cs="Arial"/>
          <w:noProof/>
          <w:sz w:val="24"/>
          <w:szCs w:val="22"/>
        </w:rPr>
        <w:t>J Virol Methods</w:t>
      </w:r>
      <w:r w:rsidRPr="002D6FD5">
        <w:rPr>
          <w:rFonts w:ascii="Arial" w:hAnsi="Arial" w:cs="Arial"/>
          <w:noProof/>
          <w:sz w:val="24"/>
          <w:szCs w:val="22"/>
        </w:rPr>
        <w:t xml:space="preserve"> 200</w:t>
      </w:r>
      <w:r>
        <w:rPr>
          <w:rFonts w:ascii="Arial" w:hAnsi="Arial" w:cs="Arial"/>
          <w:noProof/>
          <w:sz w:val="24"/>
          <w:szCs w:val="22"/>
        </w:rPr>
        <w:t>1</w:t>
      </w:r>
      <w:r w:rsidRPr="002D6FD5">
        <w:rPr>
          <w:rFonts w:ascii="Arial" w:hAnsi="Arial" w:cs="Arial"/>
          <w:noProof/>
          <w:sz w:val="24"/>
          <w:szCs w:val="22"/>
        </w:rPr>
        <w:t>;</w:t>
      </w:r>
      <w:r>
        <w:rPr>
          <w:rFonts w:ascii="Arial" w:hAnsi="Arial" w:cs="Arial"/>
          <w:noProof/>
          <w:sz w:val="24"/>
          <w:szCs w:val="22"/>
        </w:rPr>
        <w:t xml:space="preserve"> </w:t>
      </w:r>
      <w:r w:rsidRPr="00CF734B">
        <w:rPr>
          <w:rFonts w:ascii="Arial" w:hAnsi="Arial" w:cs="Arial"/>
          <w:b/>
          <w:noProof/>
          <w:sz w:val="24"/>
          <w:szCs w:val="22"/>
        </w:rPr>
        <w:t>95</w:t>
      </w:r>
      <w:r w:rsidRPr="002D6FD5">
        <w:rPr>
          <w:rFonts w:ascii="Arial" w:hAnsi="Arial" w:cs="Arial"/>
          <w:noProof/>
          <w:sz w:val="24"/>
          <w:szCs w:val="22"/>
        </w:rPr>
        <w:t>:65-79.</w:t>
      </w:r>
    </w:p>
    <w:p w:rsidR="00FC4FA9" w:rsidRPr="002D6FD5" w:rsidRDefault="00FC4FA9" w:rsidP="00FC4FA9">
      <w:pPr>
        <w:tabs>
          <w:tab w:val="right" w:pos="540"/>
          <w:tab w:val="left" w:pos="720"/>
        </w:tabs>
        <w:spacing w:after="240"/>
        <w:ind w:left="720" w:hanging="720"/>
        <w:jc w:val="both"/>
        <w:rPr>
          <w:rFonts w:ascii="Arial" w:hAnsi="Arial" w:cs="Arial"/>
          <w:noProof/>
          <w:sz w:val="24"/>
          <w:szCs w:val="22"/>
        </w:rPr>
      </w:pPr>
      <w:r w:rsidRPr="002D6FD5">
        <w:rPr>
          <w:rFonts w:ascii="Arial" w:hAnsi="Arial" w:cs="Arial"/>
          <w:noProof/>
          <w:sz w:val="24"/>
          <w:szCs w:val="22"/>
        </w:rPr>
        <w:tab/>
        <w:t xml:space="preserve">[8] </w:t>
      </w:r>
      <w:r w:rsidRPr="002D6FD5">
        <w:rPr>
          <w:rFonts w:ascii="Arial" w:hAnsi="Arial" w:cs="Arial"/>
          <w:noProof/>
          <w:sz w:val="24"/>
          <w:szCs w:val="22"/>
        </w:rPr>
        <w:tab/>
        <w:t xml:space="preserve">Shacklett BL, Yang O, Hausner MA, Elliott J, Hultin L, Price C, et al. Optimization of methods to assess human mucosal T-cell responses to HIV infection. </w:t>
      </w:r>
      <w:r w:rsidRPr="00CF734B">
        <w:rPr>
          <w:rFonts w:ascii="Arial" w:hAnsi="Arial" w:cs="Arial"/>
          <w:i/>
          <w:noProof/>
          <w:sz w:val="24"/>
          <w:szCs w:val="22"/>
        </w:rPr>
        <w:t>J Immunol Methods</w:t>
      </w:r>
      <w:r w:rsidRPr="002D6FD5">
        <w:rPr>
          <w:rFonts w:ascii="Arial" w:hAnsi="Arial" w:cs="Arial"/>
          <w:noProof/>
          <w:sz w:val="24"/>
          <w:szCs w:val="22"/>
        </w:rPr>
        <w:t xml:space="preserve"> 2003;</w:t>
      </w:r>
      <w:r>
        <w:rPr>
          <w:rFonts w:ascii="Arial" w:hAnsi="Arial" w:cs="Arial"/>
          <w:noProof/>
          <w:sz w:val="24"/>
          <w:szCs w:val="22"/>
        </w:rPr>
        <w:t xml:space="preserve"> </w:t>
      </w:r>
      <w:r w:rsidRPr="00CF734B">
        <w:rPr>
          <w:rFonts w:ascii="Arial" w:hAnsi="Arial" w:cs="Arial"/>
          <w:b/>
          <w:noProof/>
          <w:sz w:val="24"/>
          <w:szCs w:val="22"/>
        </w:rPr>
        <w:t>279</w:t>
      </w:r>
      <w:r w:rsidRPr="002D6FD5">
        <w:rPr>
          <w:rFonts w:ascii="Arial" w:hAnsi="Arial" w:cs="Arial"/>
          <w:noProof/>
          <w:sz w:val="24"/>
          <w:szCs w:val="22"/>
        </w:rPr>
        <w:t>:17-31.</w:t>
      </w:r>
    </w:p>
    <w:p w:rsidR="00FC4FA9" w:rsidRPr="002D6FD5" w:rsidRDefault="00FC4FA9" w:rsidP="00FC4FA9">
      <w:pPr>
        <w:tabs>
          <w:tab w:val="right" w:pos="540"/>
          <w:tab w:val="left" w:pos="720"/>
        </w:tabs>
        <w:spacing w:after="240"/>
        <w:ind w:left="720" w:hanging="720"/>
        <w:jc w:val="both"/>
        <w:rPr>
          <w:rFonts w:ascii="Arial" w:hAnsi="Arial" w:cs="Arial"/>
          <w:noProof/>
          <w:sz w:val="24"/>
          <w:szCs w:val="22"/>
        </w:rPr>
      </w:pPr>
      <w:r w:rsidRPr="002D6FD5">
        <w:rPr>
          <w:rFonts w:ascii="Arial" w:hAnsi="Arial" w:cs="Arial"/>
          <w:noProof/>
          <w:sz w:val="24"/>
          <w:szCs w:val="22"/>
        </w:rPr>
        <w:tab/>
        <w:t xml:space="preserve">[9] </w:t>
      </w:r>
      <w:r w:rsidRPr="002D6FD5">
        <w:rPr>
          <w:rFonts w:ascii="Arial" w:hAnsi="Arial" w:cs="Arial"/>
          <w:noProof/>
          <w:sz w:val="24"/>
          <w:szCs w:val="22"/>
        </w:rPr>
        <w:tab/>
        <w:t xml:space="preserve">Else LJ, Tjia J, Jackson A, Penchala SD, Egan D, Boffito M, et al. Quantification of rilpivirine in human plasma, cervicovaginal fluid, rectal fluid and genital/rectal mucosal tissues using liquid chromatography-tandem mass spectrometry. </w:t>
      </w:r>
      <w:r w:rsidRPr="00CF734B">
        <w:rPr>
          <w:rFonts w:ascii="Arial" w:hAnsi="Arial" w:cs="Arial"/>
          <w:i/>
          <w:noProof/>
          <w:sz w:val="24"/>
          <w:szCs w:val="22"/>
        </w:rPr>
        <w:t>Bioanalysis</w:t>
      </w:r>
      <w:r w:rsidRPr="002D6FD5">
        <w:rPr>
          <w:rFonts w:ascii="Arial" w:hAnsi="Arial" w:cs="Arial"/>
          <w:noProof/>
          <w:sz w:val="24"/>
          <w:szCs w:val="22"/>
        </w:rPr>
        <w:t xml:space="preserve"> 2014;</w:t>
      </w:r>
      <w:r>
        <w:rPr>
          <w:rFonts w:ascii="Arial" w:hAnsi="Arial" w:cs="Arial"/>
          <w:noProof/>
          <w:sz w:val="24"/>
          <w:szCs w:val="22"/>
        </w:rPr>
        <w:t xml:space="preserve"> </w:t>
      </w:r>
      <w:r w:rsidRPr="00CF734B">
        <w:rPr>
          <w:rFonts w:ascii="Arial" w:hAnsi="Arial" w:cs="Arial"/>
          <w:b/>
          <w:noProof/>
          <w:sz w:val="24"/>
          <w:szCs w:val="22"/>
        </w:rPr>
        <w:t>6</w:t>
      </w:r>
      <w:r w:rsidRPr="002D6FD5">
        <w:rPr>
          <w:rFonts w:ascii="Arial" w:hAnsi="Arial" w:cs="Arial"/>
          <w:noProof/>
          <w:sz w:val="24"/>
          <w:szCs w:val="22"/>
        </w:rPr>
        <w:t>:1907-21.</w:t>
      </w:r>
    </w:p>
    <w:p w:rsidR="00FC4FA9" w:rsidRPr="002D6FD5" w:rsidRDefault="00FC4FA9" w:rsidP="00FC4FA9">
      <w:pPr>
        <w:tabs>
          <w:tab w:val="right" w:pos="540"/>
          <w:tab w:val="left" w:pos="720"/>
        </w:tabs>
        <w:spacing w:after="240"/>
        <w:ind w:left="720" w:hanging="720"/>
        <w:jc w:val="both"/>
        <w:rPr>
          <w:rFonts w:ascii="Arial" w:hAnsi="Arial" w:cs="Arial"/>
          <w:noProof/>
          <w:sz w:val="24"/>
          <w:szCs w:val="22"/>
        </w:rPr>
      </w:pPr>
      <w:r w:rsidRPr="002D6FD5">
        <w:rPr>
          <w:rFonts w:ascii="Arial" w:hAnsi="Arial" w:cs="Arial"/>
          <w:noProof/>
          <w:sz w:val="24"/>
          <w:szCs w:val="22"/>
        </w:rPr>
        <w:tab/>
        <w:t xml:space="preserve">[10] </w:t>
      </w:r>
      <w:r w:rsidRPr="002D6FD5">
        <w:rPr>
          <w:rFonts w:ascii="Arial" w:hAnsi="Arial" w:cs="Arial"/>
          <w:noProof/>
          <w:sz w:val="24"/>
          <w:szCs w:val="22"/>
        </w:rPr>
        <w:tab/>
        <w:t xml:space="preserve">Anton PA, Cranston RD, Kashuba A, Hendrix C, Bumpus NN, Richardson-Harman N, et al. RMP-02/MTN-006: A Phase 1 rectal safety, acceptability, pharmacokinetic and pharmacodynamic study of tenofovir 1% gel compared to oral tenofovir disoproxil fumarate. </w:t>
      </w:r>
      <w:r w:rsidRPr="00CF734B">
        <w:rPr>
          <w:rFonts w:ascii="Arial" w:hAnsi="Arial" w:cs="Arial"/>
          <w:i/>
          <w:noProof/>
          <w:sz w:val="24"/>
          <w:szCs w:val="22"/>
        </w:rPr>
        <w:t>AIDS Res Hum Retroviruses</w:t>
      </w:r>
      <w:r w:rsidRPr="002D6FD5">
        <w:rPr>
          <w:rFonts w:ascii="Arial" w:hAnsi="Arial" w:cs="Arial"/>
          <w:noProof/>
          <w:sz w:val="24"/>
          <w:szCs w:val="22"/>
        </w:rPr>
        <w:t xml:space="preserve"> 2012;</w:t>
      </w:r>
      <w:r>
        <w:rPr>
          <w:rFonts w:ascii="Arial" w:hAnsi="Arial" w:cs="Arial"/>
          <w:noProof/>
          <w:sz w:val="24"/>
          <w:szCs w:val="22"/>
        </w:rPr>
        <w:t xml:space="preserve"> </w:t>
      </w:r>
      <w:r w:rsidRPr="00CF734B">
        <w:rPr>
          <w:rFonts w:ascii="Arial" w:hAnsi="Arial" w:cs="Arial"/>
          <w:b/>
          <w:noProof/>
          <w:sz w:val="24"/>
          <w:szCs w:val="22"/>
        </w:rPr>
        <w:t>11</w:t>
      </w:r>
      <w:r w:rsidRPr="002D6FD5">
        <w:rPr>
          <w:rFonts w:ascii="Arial" w:hAnsi="Arial" w:cs="Arial"/>
          <w:noProof/>
          <w:sz w:val="24"/>
          <w:szCs w:val="22"/>
        </w:rPr>
        <w:t>:1412-21.</w:t>
      </w:r>
    </w:p>
    <w:p w:rsidR="00FC4FA9" w:rsidRPr="002D6FD5" w:rsidRDefault="00FC4FA9" w:rsidP="00FC4FA9">
      <w:pPr>
        <w:tabs>
          <w:tab w:val="right" w:pos="540"/>
          <w:tab w:val="left" w:pos="720"/>
        </w:tabs>
        <w:spacing w:after="240"/>
        <w:ind w:left="720" w:hanging="720"/>
        <w:jc w:val="both"/>
        <w:rPr>
          <w:rFonts w:ascii="Arial" w:hAnsi="Arial" w:cs="Arial"/>
          <w:noProof/>
          <w:sz w:val="24"/>
          <w:szCs w:val="22"/>
        </w:rPr>
      </w:pPr>
      <w:r w:rsidRPr="002D6FD5">
        <w:rPr>
          <w:rFonts w:ascii="Arial" w:hAnsi="Arial" w:cs="Arial"/>
          <w:noProof/>
          <w:sz w:val="24"/>
          <w:szCs w:val="22"/>
        </w:rPr>
        <w:lastRenderedPageBreak/>
        <w:tab/>
        <w:t xml:space="preserve">[11] </w:t>
      </w:r>
      <w:r w:rsidRPr="002D6FD5">
        <w:rPr>
          <w:rFonts w:ascii="Arial" w:hAnsi="Arial" w:cs="Arial"/>
          <w:noProof/>
          <w:sz w:val="24"/>
          <w:szCs w:val="22"/>
        </w:rPr>
        <w:tab/>
        <w:t xml:space="preserve">Richardson-Harman N, Hendrix CW, Bumpus NN, Mauck C, Cranston RD, Yang K, et al. Correlation between compartmental tenofovir concentrations and an ex vivo rectal biopsy model of tissue Infectibility in the RMP-02/MTN-006 Phase 1 study. </w:t>
      </w:r>
      <w:r w:rsidRPr="00CF734B">
        <w:rPr>
          <w:rFonts w:ascii="Arial" w:hAnsi="Arial" w:cs="Arial"/>
          <w:i/>
          <w:noProof/>
          <w:sz w:val="24"/>
          <w:szCs w:val="22"/>
        </w:rPr>
        <w:t>PLoS ONE</w:t>
      </w:r>
      <w:r w:rsidRPr="002D6FD5">
        <w:rPr>
          <w:rFonts w:ascii="Arial" w:hAnsi="Arial" w:cs="Arial"/>
          <w:noProof/>
          <w:sz w:val="24"/>
          <w:szCs w:val="22"/>
        </w:rPr>
        <w:t xml:space="preserve"> 2014;</w:t>
      </w:r>
      <w:r>
        <w:rPr>
          <w:rFonts w:ascii="Arial" w:hAnsi="Arial" w:cs="Arial"/>
          <w:noProof/>
          <w:sz w:val="24"/>
          <w:szCs w:val="22"/>
        </w:rPr>
        <w:t xml:space="preserve"> </w:t>
      </w:r>
      <w:r w:rsidRPr="00CF734B">
        <w:rPr>
          <w:rFonts w:ascii="Arial" w:hAnsi="Arial" w:cs="Arial"/>
          <w:b/>
          <w:noProof/>
          <w:sz w:val="24"/>
          <w:szCs w:val="22"/>
        </w:rPr>
        <w:t>9</w:t>
      </w:r>
      <w:r w:rsidRPr="002D6FD5">
        <w:rPr>
          <w:rFonts w:ascii="Arial" w:hAnsi="Arial" w:cs="Arial"/>
          <w:noProof/>
          <w:sz w:val="24"/>
          <w:szCs w:val="22"/>
        </w:rPr>
        <w:t>:e111507.</w:t>
      </w:r>
    </w:p>
    <w:p w:rsidR="00FC4FA9" w:rsidRPr="002D6FD5" w:rsidRDefault="00FC4FA9" w:rsidP="00FC4FA9">
      <w:pPr>
        <w:tabs>
          <w:tab w:val="right" w:pos="540"/>
          <w:tab w:val="left" w:pos="720"/>
        </w:tabs>
        <w:spacing w:after="240"/>
        <w:ind w:left="720" w:hanging="720"/>
        <w:jc w:val="both"/>
        <w:rPr>
          <w:rFonts w:ascii="Arial" w:hAnsi="Arial" w:cs="Arial"/>
          <w:noProof/>
          <w:sz w:val="24"/>
          <w:szCs w:val="22"/>
        </w:rPr>
      </w:pPr>
      <w:r w:rsidRPr="002D6FD5">
        <w:rPr>
          <w:rFonts w:ascii="Arial" w:hAnsi="Arial" w:cs="Arial"/>
          <w:noProof/>
          <w:sz w:val="24"/>
          <w:szCs w:val="22"/>
        </w:rPr>
        <w:tab/>
        <w:t xml:space="preserve">[12] </w:t>
      </w:r>
      <w:r w:rsidRPr="002D6FD5">
        <w:rPr>
          <w:rFonts w:ascii="Arial" w:hAnsi="Arial" w:cs="Arial"/>
          <w:noProof/>
          <w:sz w:val="24"/>
          <w:szCs w:val="22"/>
        </w:rPr>
        <w:tab/>
        <w:t xml:space="preserve">Anton PA, Saunders T, Elliott J, Khanukhova E, Dennis R, Adler A, et al. First Phase 1 double-blind, placebo-controlled, randomized rectal microbicide trial using UC781 gel with a novel index of ex vivo efficacy. </w:t>
      </w:r>
      <w:r w:rsidRPr="00CF734B">
        <w:rPr>
          <w:rFonts w:ascii="Arial" w:hAnsi="Arial" w:cs="Arial"/>
          <w:i/>
          <w:noProof/>
          <w:sz w:val="24"/>
          <w:szCs w:val="22"/>
        </w:rPr>
        <w:t>PLoS ONE</w:t>
      </w:r>
      <w:r w:rsidRPr="002D6FD5">
        <w:rPr>
          <w:rFonts w:ascii="Arial" w:hAnsi="Arial" w:cs="Arial"/>
          <w:noProof/>
          <w:sz w:val="24"/>
          <w:szCs w:val="22"/>
        </w:rPr>
        <w:t xml:space="preserve"> 2011;</w:t>
      </w:r>
      <w:r>
        <w:rPr>
          <w:rFonts w:ascii="Arial" w:hAnsi="Arial" w:cs="Arial"/>
          <w:noProof/>
          <w:sz w:val="24"/>
          <w:szCs w:val="22"/>
        </w:rPr>
        <w:t xml:space="preserve"> </w:t>
      </w:r>
      <w:r w:rsidRPr="00CF734B">
        <w:rPr>
          <w:rFonts w:ascii="Arial" w:hAnsi="Arial" w:cs="Arial"/>
          <w:b/>
          <w:noProof/>
          <w:sz w:val="24"/>
          <w:szCs w:val="22"/>
        </w:rPr>
        <w:t>6</w:t>
      </w:r>
      <w:r w:rsidRPr="002D6FD5">
        <w:rPr>
          <w:rFonts w:ascii="Arial" w:hAnsi="Arial" w:cs="Arial"/>
          <w:noProof/>
          <w:sz w:val="24"/>
          <w:szCs w:val="22"/>
        </w:rPr>
        <w:t>:e23243.</w:t>
      </w:r>
    </w:p>
    <w:p w:rsidR="00FC4FA9" w:rsidRPr="002D6FD5" w:rsidRDefault="00FC4FA9" w:rsidP="00FC4FA9">
      <w:pPr>
        <w:tabs>
          <w:tab w:val="right" w:pos="540"/>
          <w:tab w:val="left" w:pos="720"/>
        </w:tabs>
        <w:spacing w:after="240"/>
        <w:ind w:left="720" w:hanging="720"/>
        <w:jc w:val="both"/>
        <w:rPr>
          <w:rFonts w:ascii="Arial" w:hAnsi="Arial" w:cs="Arial"/>
          <w:noProof/>
          <w:sz w:val="24"/>
          <w:szCs w:val="22"/>
        </w:rPr>
      </w:pPr>
      <w:r w:rsidRPr="002D6FD5">
        <w:rPr>
          <w:rFonts w:ascii="Arial" w:hAnsi="Arial" w:cs="Arial"/>
          <w:noProof/>
          <w:sz w:val="24"/>
          <w:szCs w:val="22"/>
        </w:rPr>
        <w:tab/>
        <w:t xml:space="preserve">[13] </w:t>
      </w:r>
      <w:r w:rsidRPr="002D6FD5">
        <w:rPr>
          <w:rFonts w:ascii="Arial" w:hAnsi="Arial" w:cs="Arial"/>
          <w:noProof/>
          <w:sz w:val="24"/>
          <w:szCs w:val="22"/>
        </w:rPr>
        <w:tab/>
        <w:t xml:space="preserve">Dezzutti CS, Uranker K, Bunge KE, Richardson-Harman N, Macio I, Hillier SL. HIV-1 infection of female genital tract tissue for use in prevention studies. </w:t>
      </w:r>
      <w:r w:rsidRPr="00CF734B">
        <w:rPr>
          <w:rFonts w:ascii="Arial" w:hAnsi="Arial" w:cs="Arial"/>
          <w:i/>
          <w:noProof/>
          <w:sz w:val="24"/>
          <w:szCs w:val="22"/>
        </w:rPr>
        <w:t>J Acquir Immune Defic Syndr</w:t>
      </w:r>
      <w:r w:rsidRPr="002D6FD5">
        <w:rPr>
          <w:rFonts w:ascii="Arial" w:hAnsi="Arial" w:cs="Arial"/>
          <w:noProof/>
          <w:sz w:val="24"/>
          <w:szCs w:val="22"/>
        </w:rPr>
        <w:t xml:space="preserve"> 2013;</w:t>
      </w:r>
      <w:r>
        <w:rPr>
          <w:rFonts w:ascii="Arial" w:hAnsi="Arial" w:cs="Arial"/>
          <w:noProof/>
          <w:sz w:val="24"/>
          <w:szCs w:val="22"/>
        </w:rPr>
        <w:t xml:space="preserve"> </w:t>
      </w:r>
      <w:r w:rsidRPr="00CF734B">
        <w:rPr>
          <w:rFonts w:ascii="Arial" w:hAnsi="Arial" w:cs="Arial"/>
          <w:b/>
          <w:noProof/>
          <w:sz w:val="24"/>
          <w:szCs w:val="22"/>
        </w:rPr>
        <w:t>63</w:t>
      </w:r>
      <w:r w:rsidRPr="002D6FD5">
        <w:rPr>
          <w:rFonts w:ascii="Arial" w:hAnsi="Arial" w:cs="Arial"/>
          <w:noProof/>
          <w:sz w:val="24"/>
          <w:szCs w:val="22"/>
        </w:rPr>
        <w:t>:548-54.</w:t>
      </w:r>
    </w:p>
    <w:p w:rsidR="00FC4FA9" w:rsidRPr="002D6FD5" w:rsidRDefault="00FC4FA9" w:rsidP="00FC4FA9">
      <w:pPr>
        <w:tabs>
          <w:tab w:val="right" w:pos="540"/>
          <w:tab w:val="left" w:pos="720"/>
        </w:tabs>
        <w:spacing w:after="240"/>
        <w:ind w:left="720" w:hanging="720"/>
        <w:jc w:val="both"/>
        <w:rPr>
          <w:rFonts w:ascii="Arial" w:hAnsi="Arial" w:cs="Arial"/>
          <w:noProof/>
          <w:sz w:val="24"/>
          <w:szCs w:val="22"/>
        </w:rPr>
      </w:pPr>
      <w:r w:rsidRPr="002D6FD5">
        <w:rPr>
          <w:rFonts w:ascii="Arial" w:hAnsi="Arial" w:cs="Arial"/>
          <w:noProof/>
          <w:sz w:val="24"/>
          <w:szCs w:val="22"/>
        </w:rPr>
        <w:tab/>
        <w:t xml:space="preserve">[14] </w:t>
      </w:r>
      <w:r w:rsidRPr="002D6FD5">
        <w:rPr>
          <w:rFonts w:ascii="Arial" w:hAnsi="Arial" w:cs="Arial"/>
          <w:noProof/>
          <w:sz w:val="24"/>
          <w:szCs w:val="22"/>
        </w:rPr>
        <w:tab/>
        <w:t>Wei X, Decker JM, Liu H, Zhang Z, Arani RB, Kilby JM, et al. Emergence of resistant human immunodeficiency virus type 1 in patients receiving fusion inhibitor (T-20) monotherapy.</w:t>
      </w:r>
      <w:r w:rsidRPr="00CF734B">
        <w:rPr>
          <w:rFonts w:ascii="Arial" w:hAnsi="Arial" w:cs="Arial"/>
          <w:i/>
          <w:noProof/>
          <w:sz w:val="24"/>
          <w:szCs w:val="22"/>
        </w:rPr>
        <w:t xml:space="preserve"> Antimicrob Agents Chemother</w:t>
      </w:r>
      <w:r w:rsidRPr="002D6FD5">
        <w:rPr>
          <w:rFonts w:ascii="Arial" w:hAnsi="Arial" w:cs="Arial"/>
          <w:noProof/>
          <w:sz w:val="24"/>
          <w:szCs w:val="22"/>
        </w:rPr>
        <w:t xml:space="preserve"> 2002;</w:t>
      </w:r>
      <w:r>
        <w:rPr>
          <w:rFonts w:ascii="Arial" w:hAnsi="Arial" w:cs="Arial"/>
          <w:noProof/>
          <w:sz w:val="24"/>
          <w:szCs w:val="22"/>
        </w:rPr>
        <w:t xml:space="preserve"> </w:t>
      </w:r>
      <w:r w:rsidRPr="00CF734B">
        <w:rPr>
          <w:rFonts w:ascii="Arial" w:hAnsi="Arial" w:cs="Arial"/>
          <w:b/>
          <w:noProof/>
          <w:sz w:val="24"/>
          <w:szCs w:val="22"/>
        </w:rPr>
        <w:t>46</w:t>
      </w:r>
      <w:r w:rsidRPr="002D6FD5">
        <w:rPr>
          <w:rFonts w:ascii="Arial" w:hAnsi="Arial" w:cs="Arial"/>
          <w:noProof/>
          <w:sz w:val="24"/>
          <w:szCs w:val="22"/>
        </w:rPr>
        <w:t>:1896-905.</w:t>
      </w:r>
    </w:p>
    <w:p w:rsidR="00FC4FA9" w:rsidRPr="002D6FD5" w:rsidRDefault="00FC4FA9" w:rsidP="00FC4FA9">
      <w:pPr>
        <w:tabs>
          <w:tab w:val="right" w:pos="540"/>
          <w:tab w:val="left" w:pos="720"/>
        </w:tabs>
        <w:spacing w:after="240"/>
        <w:ind w:left="720" w:hanging="720"/>
        <w:jc w:val="both"/>
        <w:rPr>
          <w:rFonts w:ascii="Arial" w:hAnsi="Arial" w:cs="Arial"/>
          <w:noProof/>
          <w:sz w:val="24"/>
          <w:szCs w:val="22"/>
        </w:rPr>
      </w:pPr>
      <w:r w:rsidRPr="002D6FD5">
        <w:rPr>
          <w:rFonts w:ascii="Arial" w:hAnsi="Arial" w:cs="Arial"/>
          <w:noProof/>
          <w:sz w:val="24"/>
          <w:szCs w:val="22"/>
        </w:rPr>
        <w:tab/>
        <w:t xml:space="preserve">[15] </w:t>
      </w:r>
      <w:r w:rsidRPr="002D6FD5">
        <w:rPr>
          <w:rFonts w:ascii="Arial" w:hAnsi="Arial" w:cs="Arial"/>
          <w:noProof/>
          <w:sz w:val="24"/>
          <w:szCs w:val="22"/>
        </w:rPr>
        <w:tab/>
        <w:t xml:space="preserve">Azijn H, Tirry I, Vingerhoets J, De Bethune MP, Kraus G, Boven K, et al. TMC278, a next-generation nonnucleoside reverse transcriptase inhibitor (NNRTI), active against wild-type and NNRTI-resistant HIV-1. </w:t>
      </w:r>
      <w:r w:rsidRPr="00CF734B">
        <w:rPr>
          <w:rFonts w:ascii="Arial" w:hAnsi="Arial" w:cs="Arial"/>
          <w:i/>
          <w:noProof/>
          <w:sz w:val="24"/>
          <w:szCs w:val="22"/>
        </w:rPr>
        <w:t>Antimicrob Agents Chemother</w:t>
      </w:r>
      <w:r w:rsidRPr="002D6FD5">
        <w:rPr>
          <w:rFonts w:ascii="Arial" w:hAnsi="Arial" w:cs="Arial"/>
          <w:noProof/>
          <w:sz w:val="24"/>
          <w:szCs w:val="22"/>
        </w:rPr>
        <w:t xml:space="preserve"> 2010;</w:t>
      </w:r>
      <w:r>
        <w:rPr>
          <w:rFonts w:ascii="Arial" w:hAnsi="Arial" w:cs="Arial"/>
          <w:noProof/>
          <w:sz w:val="24"/>
          <w:szCs w:val="22"/>
        </w:rPr>
        <w:t xml:space="preserve"> </w:t>
      </w:r>
      <w:r w:rsidRPr="002D6FD5">
        <w:rPr>
          <w:rFonts w:ascii="Arial" w:hAnsi="Arial" w:cs="Arial"/>
          <w:noProof/>
          <w:sz w:val="24"/>
          <w:szCs w:val="22"/>
        </w:rPr>
        <w:t>54:718-27.</w:t>
      </w:r>
    </w:p>
    <w:p w:rsidR="00FC4FA9" w:rsidRPr="002D6FD5" w:rsidRDefault="00FC4FA9" w:rsidP="00FC4FA9">
      <w:pPr>
        <w:tabs>
          <w:tab w:val="right" w:pos="540"/>
          <w:tab w:val="left" w:pos="720"/>
        </w:tabs>
        <w:spacing w:after="240"/>
        <w:ind w:left="720" w:hanging="720"/>
        <w:jc w:val="both"/>
        <w:rPr>
          <w:rFonts w:ascii="Arial" w:hAnsi="Arial" w:cs="Arial"/>
          <w:noProof/>
          <w:sz w:val="24"/>
          <w:szCs w:val="22"/>
        </w:rPr>
      </w:pPr>
      <w:r w:rsidRPr="002D6FD5">
        <w:rPr>
          <w:rFonts w:ascii="Arial" w:hAnsi="Arial" w:cs="Arial"/>
          <w:noProof/>
          <w:sz w:val="24"/>
          <w:szCs w:val="22"/>
        </w:rPr>
        <w:tab/>
        <w:t xml:space="preserve">[16] </w:t>
      </w:r>
      <w:r w:rsidRPr="002D6FD5">
        <w:rPr>
          <w:rFonts w:ascii="Arial" w:hAnsi="Arial" w:cs="Arial"/>
          <w:noProof/>
          <w:sz w:val="24"/>
          <w:szCs w:val="22"/>
        </w:rPr>
        <w:tab/>
        <w:t xml:space="preserve">Dezzutti CS, Else LJ, Yandura SE, Shetler C, Russo J, Back DJ, et al. Distinct pharmacodynamic activity of rilpivirine in ectocervical and colonic explant tissue. </w:t>
      </w:r>
      <w:r w:rsidRPr="00CF734B">
        <w:rPr>
          <w:rFonts w:ascii="Arial" w:hAnsi="Arial" w:cs="Arial"/>
          <w:i/>
          <w:noProof/>
          <w:sz w:val="24"/>
          <w:szCs w:val="22"/>
        </w:rPr>
        <w:t>Antimicrob Agents Chemother</w:t>
      </w:r>
      <w:r w:rsidRPr="002D6FD5">
        <w:rPr>
          <w:rFonts w:ascii="Arial" w:hAnsi="Arial" w:cs="Arial"/>
          <w:noProof/>
          <w:sz w:val="24"/>
          <w:szCs w:val="22"/>
        </w:rPr>
        <w:t xml:space="preserve"> 2016</w:t>
      </w:r>
      <w:r>
        <w:rPr>
          <w:rFonts w:ascii="Arial" w:hAnsi="Arial" w:cs="Arial"/>
          <w:noProof/>
          <w:sz w:val="24"/>
          <w:szCs w:val="22"/>
        </w:rPr>
        <w:t xml:space="preserve">; </w:t>
      </w:r>
      <w:r w:rsidRPr="00CF734B">
        <w:rPr>
          <w:rFonts w:ascii="Arial" w:hAnsi="Arial" w:cs="Arial"/>
          <w:b/>
          <w:noProof/>
          <w:sz w:val="24"/>
          <w:szCs w:val="22"/>
        </w:rPr>
        <w:t>60</w:t>
      </w:r>
      <w:r>
        <w:rPr>
          <w:rFonts w:ascii="Arial" w:hAnsi="Arial" w:cs="Arial"/>
          <w:noProof/>
          <w:sz w:val="24"/>
          <w:szCs w:val="22"/>
        </w:rPr>
        <w:t>:2765-70</w:t>
      </w:r>
      <w:r w:rsidRPr="002D6FD5">
        <w:rPr>
          <w:rFonts w:ascii="Arial" w:hAnsi="Arial" w:cs="Arial"/>
          <w:noProof/>
          <w:sz w:val="24"/>
          <w:szCs w:val="22"/>
        </w:rPr>
        <w:t>.</w:t>
      </w:r>
    </w:p>
    <w:p w:rsidR="00FC4FA9" w:rsidRPr="002D6FD5" w:rsidRDefault="00FC4FA9" w:rsidP="00FC4FA9">
      <w:pPr>
        <w:tabs>
          <w:tab w:val="right" w:pos="540"/>
          <w:tab w:val="left" w:pos="720"/>
        </w:tabs>
        <w:ind w:left="720" w:hanging="720"/>
        <w:jc w:val="both"/>
        <w:rPr>
          <w:rFonts w:ascii="Arial" w:hAnsi="Arial" w:cs="Arial"/>
          <w:noProof/>
          <w:sz w:val="24"/>
          <w:szCs w:val="22"/>
        </w:rPr>
      </w:pPr>
      <w:r w:rsidRPr="002D6FD5">
        <w:rPr>
          <w:rFonts w:ascii="Arial" w:hAnsi="Arial" w:cs="Arial"/>
          <w:noProof/>
          <w:sz w:val="24"/>
          <w:szCs w:val="22"/>
        </w:rPr>
        <w:tab/>
        <w:t xml:space="preserve">[17] </w:t>
      </w:r>
      <w:r w:rsidRPr="002D6FD5">
        <w:rPr>
          <w:rFonts w:ascii="Arial" w:hAnsi="Arial" w:cs="Arial"/>
          <w:noProof/>
          <w:sz w:val="24"/>
          <w:szCs w:val="22"/>
        </w:rPr>
        <w:tab/>
        <w:t xml:space="preserve">Gunawardana M, Remedios-Chan M, Miller CS, Fanter R, Yang F, Marzinke MA, et al. Pharmacokinetics of Long-acting Tenofovir Alafenamide (GS-7340) Subdermal Implant for HIV Prophylaxis. </w:t>
      </w:r>
      <w:r w:rsidRPr="00CF734B">
        <w:rPr>
          <w:rFonts w:ascii="Arial" w:hAnsi="Arial" w:cs="Arial"/>
          <w:i/>
          <w:noProof/>
          <w:sz w:val="24"/>
          <w:szCs w:val="22"/>
        </w:rPr>
        <w:t>Antimicrob Agents Chemother</w:t>
      </w:r>
      <w:r w:rsidRPr="002D6FD5">
        <w:rPr>
          <w:rFonts w:ascii="Arial" w:hAnsi="Arial" w:cs="Arial"/>
          <w:noProof/>
          <w:sz w:val="24"/>
          <w:szCs w:val="22"/>
        </w:rPr>
        <w:t xml:space="preserve"> 2015</w:t>
      </w:r>
      <w:r>
        <w:rPr>
          <w:rFonts w:ascii="Arial" w:hAnsi="Arial" w:cs="Arial"/>
          <w:noProof/>
          <w:sz w:val="24"/>
          <w:szCs w:val="22"/>
        </w:rPr>
        <w:t xml:space="preserve">; </w:t>
      </w:r>
      <w:r w:rsidRPr="00CF734B">
        <w:rPr>
          <w:rFonts w:ascii="Arial" w:hAnsi="Arial" w:cs="Arial"/>
          <w:b/>
          <w:noProof/>
          <w:sz w:val="24"/>
          <w:szCs w:val="22"/>
        </w:rPr>
        <w:t>59</w:t>
      </w:r>
      <w:r>
        <w:rPr>
          <w:rFonts w:ascii="Arial" w:hAnsi="Arial" w:cs="Arial"/>
          <w:noProof/>
          <w:sz w:val="24"/>
          <w:szCs w:val="22"/>
        </w:rPr>
        <w:t>:3913-9</w:t>
      </w:r>
      <w:r w:rsidRPr="002D6FD5">
        <w:rPr>
          <w:rFonts w:ascii="Arial" w:hAnsi="Arial" w:cs="Arial"/>
          <w:noProof/>
          <w:sz w:val="24"/>
          <w:szCs w:val="22"/>
        </w:rPr>
        <w:t>.</w:t>
      </w:r>
    </w:p>
    <w:p w:rsidR="00FC4FA9" w:rsidRDefault="00FC4FA9" w:rsidP="00FC4FA9">
      <w:pPr>
        <w:tabs>
          <w:tab w:val="right" w:pos="540"/>
          <w:tab w:val="left" w:pos="720"/>
        </w:tabs>
        <w:ind w:left="720" w:hanging="720"/>
        <w:jc w:val="both"/>
        <w:rPr>
          <w:rFonts w:ascii="Arial" w:hAnsi="Arial" w:cs="Arial"/>
          <w:noProof/>
          <w:sz w:val="24"/>
          <w:szCs w:val="22"/>
        </w:rPr>
      </w:pPr>
    </w:p>
    <w:p w:rsidR="00EE4558" w:rsidRDefault="00FC4FA9" w:rsidP="00FC4FA9">
      <w:pPr>
        <w:spacing w:line="480" w:lineRule="auto"/>
        <w:jc w:val="both"/>
        <w:rPr>
          <w:rFonts w:ascii="Arial" w:hAnsi="Arial" w:cs="Arial"/>
          <w:sz w:val="22"/>
          <w:szCs w:val="22"/>
        </w:rPr>
      </w:pPr>
      <w:r w:rsidRPr="00F9446A">
        <w:rPr>
          <w:rFonts w:ascii="Arial" w:hAnsi="Arial" w:cs="Arial"/>
          <w:sz w:val="22"/>
          <w:szCs w:val="22"/>
        </w:rPr>
        <w:fldChar w:fldCharType="end"/>
      </w:r>
    </w:p>
    <w:p w:rsidR="00EE4558" w:rsidRPr="00F9446A" w:rsidRDefault="00EE4558" w:rsidP="00F9446A">
      <w:pPr>
        <w:spacing w:line="480" w:lineRule="auto"/>
        <w:jc w:val="both"/>
        <w:rPr>
          <w:rFonts w:ascii="Arial" w:hAnsi="Arial" w:cs="Arial"/>
          <w:sz w:val="24"/>
          <w:szCs w:val="22"/>
        </w:rPr>
      </w:pPr>
    </w:p>
    <w:p w:rsidR="009A1182" w:rsidRDefault="009A1182">
      <w:pPr>
        <w:spacing w:after="160" w:line="259" w:lineRule="auto"/>
      </w:pPr>
      <w:r>
        <w:br w:type="page"/>
      </w:r>
    </w:p>
    <w:p w:rsidR="009A1182" w:rsidRDefault="009A1182" w:rsidP="009A1182">
      <w:pPr>
        <w:rPr>
          <w:rFonts w:ascii="Arial" w:hAnsi="Arial" w:cs="Arial"/>
          <w:b/>
          <w:sz w:val="24"/>
          <w:szCs w:val="24"/>
        </w:rPr>
      </w:pPr>
      <w:r w:rsidRPr="009A1182">
        <w:rPr>
          <w:rFonts w:ascii="Arial" w:hAnsi="Arial" w:cs="Arial"/>
          <w:b/>
          <w:sz w:val="24"/>
          <w:szCs w:val="24"/>
        </w:rPr>
        <w:lastRenderedPageBreak/>
        <w:t>Figure Legends</w:t>
      </w:r>
    </w:p>
    <w:p w:rsidR="00B33216" w:rsidRDefault="00B33216" w:rsidP="009A1182">
      <w:pPr>
        <w:rPr>
          <w:rFonts w:ascii="Arial" w:hAnsi="Arial" w:cs="Arial"/>
          <w:b/>
          <w:sz w:val="24"/>
          <w:szCs w:val="24"/>
        </w:rPr>
      </w:pPr>
    </w:p>
    <w:p w:rsidR="00232A4F" w:rsidRDefault="00232A4F" w:rsidP="009A1182">
      <w:pPr>
        <w:rPr>
          <w:rFonts w:ascii="Arial" w:hAnsi="Arial" w:cs="Arial"/>
          <w:b/>
          <w:sz w:val="24"/>
          <w:szCs w:val="24"/>
        </w:rPr>
      </w:pPr>
    </w:p>
    <w:p w:rsidR="00B33216" w:rsidRPr="009A1182" w:rsidRDefault="00B33216" w:rsidP="009A1182">
      <w:pPr>
        <w:rPr>
          <w:rFonts w:ascii="Arial" w:hAnsi="Arial" w:cs="Arial"/>
          <w:b/>
          <w:sz w:val="24"/>
          <w:szCs w:val="24"/>
        </w:rPr>
      </w:pPr>
      <w:r>
        <w:rPr>
          <w:rFonts w:ascii="Arial" w:hAnsi="Arial" w:cs="Arial"/>
          <w:b/>
          <w:sz w:val="24"/>
          <w:szCs w:val="24"/>
        </w:rPr>
        <w:t>Figure 1 Consort Flow Diagram</w:t>
      </w:r>
      <w:r w:rsidR="00950537">
        <w:rPr>
          <w:rFonts w:ascii="Arial" w:hAnsi="Arial" w:cs="Arial"/>
          <w:b/>
          <w:sz w:val="24"/>
          <w:szCs w:val="24"/>
        </w:rPr>
        <w:t>.</w:t>
      </w:r>
    </w:p>
    <w:p w:rsidR="009A1182" w:rsidRPr="009A1182" w:rsidRDefault="009A1182" w:rsidP="009A1182">
      <w:pPr>
        <w:spacing w:line="480" w:lineRule="auto"/>
        <w:rPr>
          <w:rFonts w:ascii="Arial" w:hAnsi="Arial" w:cs="Arial"/>
          <w:b/>
          <w:sz w:val="24"/>
          <w:szCs w:val="24"/>
        </w:rPr>
      </w:pPr>
    </w:p>
    <w:p w:rsidR="009A1182" w:rsidRPr="009A1182" w:rsidRDefault="009A1182" w:rsidP="009A1182">
      <w:pPr>
        <w:spacing w:line="480" w:lineRule="auto"/>
        <w:jc w:val="both"/>
        <w:rPr>
          <w:rFonts w:ascii="Arial" w:hAnsi="Arial" w:cs="Arial"/>
          <w:sz w:val="24"/>
          <w:szCs w:val="24"/>
        </w:rPr>
      </w:pPr>
      <w:r w:rsidRPr="009A1182">
        <w:rPr>
          <w:rFonts w:ascii="Arial" w:hAnsi="Arial" w:cs="Arial"/>
          <w:b/>
          <w:sz w:val="24"/>
          <w:szCs w:val="24"/>
        </w:rPr>
        <w:t xml:space="preserve">Figure </w:t>
      </w:r>
      <w:r w:rsidR="00B33216">
        <w:rPr>
          <w:rFonts w:ascii="Arial" w:hAnsi="Arial" w:cs="Arial"/>
          <w:b/>
          <w:sz w:val="24"/>
          <w:szCs w:val="24"/>
        </w:rPr>
        <w:t>2</w:t>
      </w:r>
      <w:r w:rsidRPr="009A1182">
        <w:rPr>
          <w:rFonts w:ascii="Arial" w:hAnsi="Arial" w:cs="Arial"/>
          <w:sz w:val="24"/>
          <w:szCs w:val="24"/>
        </w:rPr>
        <w:t xml:space="preserve"> </w:t>
      </w:r>
      <w:r w:rsidRPr="009A1182">
        <w:rPr>
          <w:rFonts w:ascii="Arial" w:hAnsi="Arial" w:cs="Arial"/>
          <w:b/>
          <w:sz w:val="24"/>
          <w:szCs w:val="24"/>
        </w:rPr>
        <w:t>Female Pharmacokinetic Data.</w:t>
      </w:r>
      <w:r w:rsidRPr="009A1182">
        <w:rPr>
          <w:rFonts w:ascii="Arial" w:hAnsi="Arial" w:cs="Arial"/>
          <w:sz w:val="24"/>
          <w:szCs w:val="24"/>
        </w:rPr>
        <w:t xml:space="preserve"> RPV concentrations in female study participants </w:t>
      </w:r>
      <w:r w:rsidRPr="009A1182">
        <w:rPr>
          <w:rFonts w:ascii="Arial" w:hAnsi="Arial" w:cs="Arial"/>
          <w:b/>
          <w:sz w:val="24"/>
          <w:szCs w:val="24"/>
        </w:rPr>
        <w:t>(a)</w:t>
      </w:r>
      <w:r w:rsidRPr="009A1182">
        <w:rPr>
          <w:rFonts w:ascii="Arial" w:hAnsi="Arial" w:cs="Arial"/>
          <w:sz w:val="24"/>
          <w:szCs w:val="24"/>
        </w:rPr>
        <w:t xml:space="preserve"> plasma, </w:t>
      </w:r>
      <w:r w:rsidRPr="009A1182">
        <w:rPr>
          <w:rFonts w:ascii="Arial" w:hAnsi="Arial" w:cs="Arial"/>
          <w:b/>
          <w:sz w:val="24"/>
          <w:szCs w:val="24"/>
        </w:rPr>
        <w:t xml:space="preserve">(b) </w:t>
      </w:r>
      <w:r w:rsidRPr="009A1182">
        <w:rPr>
          <w:rFonts w:ascii="Arial" w:hAnsi="Arial" w:cs="Arial"/>
          <w:sz w:val="24"/>
          <w:szCs w:val="24"/>
        </w:rPr>
        <w:t xml:space="preserve">plasma and fluids (vaginal, endocervical, and rectal), </w:t>
      </w:r>
      <w:r w:rsidRPr="009A1182">
        <w:rPr>
          <w:rFonts w:ascii="Arial" w:hAnsi="Arial" w:cs="Arial"/>
          <w:b/>
          <w:sz w:val="24"/>
          <w:szCs w:val="24"/>
        </w:rPr>
        <w:t xml:space="preserve">(c) </w:t>
      </w:r>
      <w:r w:rsidRPr="009A1182">
        <w:rPr>
          <w:rFonts w:ascii="Arial" w:hAnsi="Arial" w:cs="Arial"/>
          <w:sz w:val="24"/>
          <w:szCs w:val="24"/>
        </w:rPr>
        <w:t>vaginal, ectocervical, and rectal tissue. The solid line represents the geometric mean with error bars representing the 90% CI</w:t>
      </w:r>
    </w:p>
    <w:p w:rsidR="009A1182" w:rsidRDefault="009A1182" w:rsidP="009A1182">
      <w:pPr>
        <w:spacing w:line="480" w:lineRule="auto"/>
        <w:jc w:val="both"/>
        <w:rPr>
          <w:rFonts w:ascii="Arial" w:hAnsi="Arial" w:cs="Arial"/>
          <w:b/>
          <w:sz w:val="24"/>
          <w:szCs w:val="24"/>
        </w:rPr>
      </w:pPr>
    </w:p>
    <w:p w:rsidR="009A1182" w:rsidRPr="009A1182" w:rsidRDefault="009A1182" w:rsidP="009A1182">
      <w:pPr>
        <w:spacing w:line="480" w:lineRule="auto"/>
        <w:jc w:val="both"/>
        <w:rPr>
          <w:rFonts w:ascii="Arial" w:hAnsi="Arial" w:cs="Arial"/>
          <w:sz w:val="24"/>
          <w:szCs w:val="24"/>
        </w:rPr>
      </w:pPr>
      <w:r w:rsidRPr="009A1182">
        <w:rPr>
          <w:rFonts w:ascii="Arial" w:hAnsi="Arial" w:cs="Arial"/>
          <w:b/>
          <w:sz w:val="24"/>
          <w:szCs w:val="24"/>
        </w:rPr>
        <w:t xml:space="preserve">Figure </w:t>
      </w:r>
      <w:r w:rsidR="00B33216">
        <w:rPr>
          <w:rFonts w:ascii="Arial" w:hAnsi="Arial" w:cs="Arial"/>
          <w:b/>
          <w:sz w:val="24"/>
          <w:szCs w:val="24"/>
        </w:rPr>
        <w:t>3</w:t>
      </w:r>
      <w:r w:rsidRPr="009A1182">
        <w:rPr>
          <w:rFonts w:ascii="Arial" w:hAnsi="Arial" w:cs="Arial"/>
          <w:sz w:val="24"/>
          <w:szCs w:val="24"/>
        </w:rPr>
        <w:t xml:space="preserve"> </w:t>
      </w:r>
      <w:r w:rsidRPr="009A1182">
        <w:rPr>
          <w:rFonts w:ascii="Arial" w:hAnsi="Arial" w:cs="Arial"/>
          <w:b/>
          <w:i/>
          <w:sz w:val="24"/>
          <w:szCs w:val="24"/>
        </w:rPr>
        <w:t>Ex vivo</w:t>
      </w:r>
      <w:r w:rsidRPr="009A1182">
        <w:rPr>
          <w:rFonts w:ascii="Arial" w:hAnsi="Arial" w:cs="Arial"/>
          <w:b/>
          <w:sz w:val="24"/>
          <w:szCs w:val="24"/>
        </w:rPr>
        <w:t xml:space="preserve"> / </w:t>
      </w:r>
      <w:r w:rsidRPr="009A1182">
        <w:rPr>
          <w:rFonts w:ascii="Arial" w:hAnsi="Arial" w:cs="Arial"/>
          <w:b/>
          <w:i/>
          <w:sz w:val="24"/>
          <w:szCs w:val="24"/>
        </w:rPr>
        <w:t>in vitro</w:t>
      </w:r>
      <w:r w:rsidRPr="009A1182">
        <w:rPr>
          <w:rFonts w:ascii="Arial" w:hAnsi="Arial" w:cs="Arial"/>
          <w:b/>
          <w:sz w:val="24"/>
          <w:szCs w:val="24"/>
        </w:rPr>
        <w:t xml:space="preserve"> explant infection.</w:t>
      </w:r>
      <w:r w:rsidRPr="009A1182">
        <w:rPr>
          <w:rFonts w:ascii="Arial" w:hAnsi="Arial" w:cs="Arial"/>
          <w:sz w:val="24"/>
          <w:szCs w:val="24"/>
        </w:rPr>
        <w:t xml:space="preserve"> Tissue explants </w:t>
      </w:r>
      <w:r w:rsidRPr="009A1182">
        <w:rPr>
          <w:rFonts w:ascii="Arial" w:hAnsi="Arial" w:cs="Arial"/>
          <w:b/>
          <w:sz w:val="24"/>
          <w:szCs w:val="24"/>
        </w:rPr>
        <w:t>(a)</w:t>
      </w:r>
      <w:r w:rsidRPr="009A1182">
        <w:rPr>
          <w:rFonts w:ascii="Arial" w:hAnsi="Arial" w:cs="Arial"/>
          <w:sz w:val="24"/>
          <w:szCs w:val="24"/>
        </w:rPr>
        <w:t xml:space="preserve"> rectal, </w:t>
      </w:r>
      <w:r w:rsidRPr="009A1182">
        <w:rPr>
          <w:rFonts w:ascii="Arial" w:hAnsi="Arial" w:cs="Arial"/>
          <w:b/>
          <w:sz w:val="24"/>
          <w:szCs w:val="24"/>
        </w:rPr>
        <w:t xml:space="preserve">(b) </w:t>
      </w:r>
      <w:r w:rsidRPr="009A1182">
        <w:rPr>
          <w:rFonts w:ascii="Arial" w:hAnsi="Arial" w:cs="Arial"/>
          <w:sz w:val="24"/>
          <w:szCs w:val="24"/>
        </w:rPr>
        <w:t xml:space="preserve">ectocervical, and </w:t>
      </w:r>
      <w:r w:rsidRPr="009A1182">
        <w:rPr>
          <w:rFonts w:ascii="Arial" w:hAnsi="Arial" w:cs="Arial"/>
          <w:b/>
          <w:sz w:val="24"/>
          <w:szCs w:val="24"/>
        </w:rPr>
        <w:t>(c)</w:t>
      </w:r>
      <w:r w:rsidRPr="009A1182">
        <w:rPr>
          <w:rFonts w:ascii="Arial" w:hAnsi="Arial" w:cs="Arial"/>
          <w:sz w:val="24"/>
          <w:szCs w:val="24"/>
        </w:rPr>
        <w:t xml:space="preserve"> vaginal in rectal, cervical, and vaginal tissue were exposed to HIV-1</w:t>
      </w:r>
      <w:r w:rsidRPr="009A1182">
        <w:rPr>
          <w:rFonts w:ascii="Arial" w:hAnsi="Arial" w:cs="Arial"/>
          <w:sz w:val="24"/>
          <w:szCs w:val="24"/>
          <w:vertAlign w:val="subscript"/>
        </w:rPr>
        <w:t>BaL</w:t>
      </w:r>
      <w:r w:rsidRPr="009A1182">
        <w:rPr>
          <w:rFonts w:ascii="Arial" w:hAnsi="Arial" w:cs="Arial"/>
          <w:sz w:val="24"/>
          <w:szCs w:val="24"/>
        </w:rPr>
        <w:t xml:space="preserve"> (10</w:t>
      </w:r>
      <w:r w:rsidRPr="009A1182">
        <w:rPr>
          <w:rFonts w:ascii="Arial" w:hAnsi="Arial" w:cs="Arial"/>
          <w:sz w:val="24"/>
          <w:szCs w:val="24"/>
          <w:vertAlign w:val="superscript"/>
        </w:rPr>
        <w:t>5</w:t>
      </w:r>
      <w:r w:rsidRPr="009A1182">
        <w:rPr>
          <w:rFonts w:ascii="Arial" w:hAnsi="Arial" w:cs="Arial"/>
          <w:sz w:val="24"/>
          <w:szCs w:val="24"/>
        </w:rPr>
        <w:t xml:space="preserve"> TCID</w:t>
      </w:r>
      <w:r w:rsidRPr="009A1182">
        <w:rPr>
          <w:rFonts w:ascii="Arial" w:hAnsi="Arial" w:cs="Arial"/>
          <w:sz w:val="24"/>
          <w:szCs w:val="24"/>
          <w:vertAlign w:val="subscript"/>
        </w:rPr>
        <w:t>50</w:t>
      </w:r>
      <w:r w:rsidRPr="009A1182">
        <w:rPr>
          <w:rFonts w:ascii="Arial" w:hAnsi="Arial" w:cs="Arial"/>
          <w:sz w:val="24"/>
          <w:szCs w:val="24"/>
        </w:rPr>
        <w:t xml:space="preserve"> for rectal and 5 x 10</w:t>
      </w:r>
      <w:r w:rsidRPr="009A1182">
        <w:rPr>
          <w:rFonts w:ascii="Arial" w:hAnsi="Arial" w:cs="Arial"/>
          <w:sz w:val="24"/>
          <w:szCs w:val="24"/>
          <w:vertAlign w:val="superscript"/>
        </w:rPr>
        <w:t>4</w:t>
      </w:r>
      <w:r w:rsidRPr="009A1182">
        <w:rPr>
          <w:rFonts w:ascii="Arial" w:hAnsi="Arial" w:cs="Arial"/>
          <w:sz w:val="24"/>
          <w:szCs w:val="24"/>
        </w:rPr>
        <w:t xml:space="preserve"> TCID</w:t>
      </w:r>
      <w:r w:rsidRPr="009A1182">
        <w:rPr>
          <w:rFonts w:ascii="Arial" w:hAnsi="Arial" w:cs="Arial"/>
          <w:sz w:val="24"/>
          <w:szCs w:val="24"/>
          <w:vertAlign w:val="subscript"/>
        </w:rPr>
        <w:t>50</w:t>
      </w:r>
      <w:r w:rsidRPr="009A1182">
        <w:rPr>
          <w:rFonts w:ascii="Arial" w:hAnsi="Arial" w:cs="Arial"/>
          <w:sz w:val="24"/>
          <w:szCs w:val="24"/>
        </w:rPr>
        <w:t xml:space="preserve"> for cervicovaginal tissue) and incubated for 14 days. A Day 14 cumulative HIV-1 p24 (weight adjusted) was calculated for each visit.  </w:t>
      </w:r>
    </w:p>
    <w:p w:rsidR="009A1182" w:rsidRDefault="009A1182" w:rsidP="009A1182">
      <w:pPr>
        <w:spacing w:line="480" w:lineRule="auto"/>
        <w:jc w:val="both"/>
        <w:rPr>
          <w:rFonts w:ascii="Arial" w:hAnsi="Arial" w:cs="Arial"/>
          <w:b/>
          <w:sz w:val="24"/>
          <w:szCs w:val="24"/>
        </w:rPr>
      </w:pPr>
    </w:p>
    <w:p w:rsidR="009A1182" w:rsidRPr="009A1182" w:rsidRDefault="009A1182" w:rsidP="009A1182">
      <w:pPr>
        <w:spacing w:line="480" w:lineRule="auto"/>
        <w:jc w:val="both"/>
        <w:rPr>
          <w:rFonts w:ascii="Arial" w:hAnsi="Arial" w:cs="Arial"/>
          <w:sz w:val="24"/>
          <w:szCs w:val="24"/>
        </w:rPr>
      </w:pPr>
      <w:r w:rsidRPr="009A1182">
        <w:rPr>
          <w:rFonts w:ascii="Arial" w:hAnsi="Arial" w:cs="Arial"/>
          <w:b/>
          <w:sz w:val="24"/>
          <w:szCs w:val="24"/>
        </w:rPr>
        <w:t xml:space="preserve">Figure </w:t>
      </w:r>
      <w:r w:rsidR="00B33216">
        <w:rPr>
          <w:rFonts w:ascii="Arial" w:hAnsi="Arial" w:cs="Arial"/>
          <w:b/>
          <w:sz w:val="24"/>
          <w:szCs w:val="24"/>
        </w:rPr>
        <w:t>4</w:t>
      </w:r>
      <w:r w:rsidRPr="009A1182">
        <w:rPr>
          <w:rFonts w:ascii="Arial" w:hAnsi="Arial" w:cs="Arial"/>
          <w:sz w:val="24"/>
          <w:szCs w:val="24"/>
        </w:rPr>
        <w:t xml:space="preserve"> </w:t>
      </w:r>
      <w:r w:rsidRPr="009A1182">
        <w:rPr>
          <w:rFonts w:ascii="Arial" w:hAnsi="Arial" w:cs="Arial"/>
          <w:b/>
          <w:sz w:val="24"/>
          <w:szCs w:val="24"/>
        </w:rPr>
        <w:t>Pharmacokinetic/pharmacodynamic correlations between explant infection and RPV concentration</w:t>
      </w:r>
      <w:r w:rsidRPr="009A1182">
        <w:rPr>
          <w:rFonts w:ascii="Arial" w:hAnsi="Arial" w:cs="Arial"/>
          <w:sz w:val="24"/>
          <w:szCs w:val="24"/>
        </w:rPr>
        <w:t>. Data are presented as Day 14 weight adjusted HIV-1 p24 in the explant supernatant (</w:t>
      </w:r>
      <w:r w:rsidRPr="009A1182">
        <w:rPr>
          <w:rFonts w:ascii="Arial" w:hAnsi="Arial" w:cs="Arial"/>
          <w:b/>
          <w:sz w:val="24"/>
          <w:szCs w:val="24"/>
        </w:rPr>
        <w:t>A-C</w:t>
      </w:r>
      <w:r w:rsidRPr="009A1182">
        <w:rPr>
          <w:rFonts w:ascii="Arial" w:hAnsi="Arial" w:cs="Arial"/>
          <w:sz w:val="24"/>
          <w:szCs w:val="24"/>
        </w:rPr>
        <w:t xml:space="preserve"> rectal; </w:t>
      </w:r>
      <w:r w:rsidRPr="009A1182">
        <w:rPr>
          <w:rFonts w:ascii="Arial" w:hAnsi="Arial" w:cs="Arial"/>
          <w:b/>
          <w:sz w:val="24"/>
          <w:szCs w:val="24"/>
        </w:rPr>
        <w:t>D-F</w:t>
      </w:r>
      <w:r w:rsidRPr="009A1182">
        <w:rPr>
          <w:rFonts w:ascii="Arial" w:hAnsi="Arial" w:cs="Arial"/>
          <w:sz w:val="24"/>
          <w:szCs w:val="24"/>
        </w:rPr>
        <w:t xml:space="preserve"> cervical, and </w:t>
      </w:r>
      <w:r w:rsidRPr="009A1182">
        <w:rPr>
          <w:rFonts w:ascii="Arial" w:hAnsi="Arial" w:cs="Arial"/>
          <w:b/>
          <w:sz w:val="24"/>
          <w:szCs w:val="24"/>
        </w:rPr>
        <w:t>G-I</w:t>
      </w:r>
      <w:r w:rsidRPr="009A1182">
        <w:rPr>
          <w:rFonts w:ascii="Arial" w:hAnsi="Arial" w:cs="Arial"/>
          <w:sz w:val="24"/>
          <w:szCs w:val="24"/>
        </w:rPr>
        <w:t xml:space="preserve"> vaginal tissue).</w:t>
      </w:r>
    </w:p>
    <w:p w:rsidR="009A1182" w:rsidRDefault="009A1182" w:rsidP="009A1182">
      <w:pPr>
        <w:jc w:val="both"/>
        <w:rPr>
          <w:rFonts w:ascii="Arial" w:hAnsi="Arial" w:cs="Arial"/>
          <w:b/>
          <w:sz w:val="24"/>
          <w:szCs w:val="24"/>
        </w:rPr>
      </w:pPr>
    </w:p>
    <w:p w:rsidR="009A1182" w:rsidRPr="009A1182" w:rsidRDefault="009A1182" w:rsidP="009A1182">
      <w:pPr>
        <w:jc w:val="both"/>
        <w:rPr>
          <w:rFonts w:ascii="Arial" w:hAnsi="Arial" w:cs="Arial"/>
          <w:sz w:val="24"/>
          <w:szCs w:val="24"/>
        </w:rPr>
      </w:pPr>
    </w:p>
    <w:p w:rsidR="009A1182" w:rsidRPr="009A1182" w:rsidRDefault="009A1182" w:rsidP="009A1182">
      <w:pPr>
        <w:jc w:val="both"/>
        <w:rPr>
          <w:rFonts w:ascii="Arial" w:hAnsi="Arial" w:cs="Arial"/>
          <w:sz w:val="24"/>
          <w:szCs w:val="24"/>
        </w:rPr>
      </w:pPr>
    </w:p>
    <w:p w:rsidR="009A1182" w:rsidRDefault="009A1182" w:rsidP="009A1182">
      <w:pPr>
        <w:spacing w:line="480" w:lineRule="auto"/>
        <w:jc w:val="both"/>
        <w:rPr>
          <w:rFonts w:ascii="Arial" w:hAnsi="Arial" w:cs="Arial"/>
          <w:b/>
          <w:sz w:val="24"/>
          <w:szCs w:val="24"/>
        </w:rPr>
      </w:pPr>
    </w:p>
    <w:p w:rsidR="009A1182" w:rsidRPr="009A1182" w:rsidRDefault="009A1182" w:rsidP="009A1182">
      <w:pPr>
        <w:spacing w:line="480" w:lineRule="auto"/>
        <w:jc w:val="both"/>
        <w:rPr>
          <w:rFonts w:ascii="Arial" w:hAnsi="Arial" w:cs="Arial"/>
          <w:sz w:val="24"/>
          <w:szCs w:val="24"/>
        </w:rPr>
      </w:pPr>
      <w:r w:rsidRPr="009A1182">
        <w:rPr>
          <w:rFonts w:ascii="Arial" w:hAnsi="Arial" w:cs="Arial"/>
          <w:b/>
          <w:sz w:val="24"/>
          <w:szCs w:val="24"/>
        </w:rPr>
        <w:t xml:space="preserve">Supplemental Figure </w:t>
      </w:r>
      <w:r w:rsidR="00B33216">
        <w:rPr>
          <w:rFonts w:ascii="Arial" w:hAnsi="Arial" w:cs="Arial"/>
          <w:b/>
          <w:sz w:val="24"/>
          <w:szCs w:val="24"/>
        </w:rPr>
        <w:t>1</w:t>
      </w:r>
      <w:r w:rsidRPr="009A1182">
        <w:rPr>
          <w:rFonts w:ascii="Arial" w:hAnsi="Arial" w:cs="Arial"/>
          <w:sz w:val="24"/>
          <w:szCs w:val="24"/>
        </w:rPr>
        <w:t xml:space="preserve"> </w:t>
      </w:r>
      <w:r w:rsidRPr="009A1182">
        <w:rPr>
          <w:rFonts w:ascii="Arial" w:hAnsi="Arial" w:cs="Arial"/>
          <w:b/>
          <w:sz w:val="24"/>
          <w:szCs w:val="24"/>
        </w:rPr>
        <w:t>Male Pharmacokinetic Data.</w:t>
      </w:r>
      <w:r w:rsidRPr="009A1182">
        <w:rPr>
          <w:rFonts w:ascii="Arial" w:hAnsi="Arial" w:cs="Arial"/>
          <w:sz w:val="24"/>
          <w:szCs w:val="24"/>
        </w:rPr>
        <w:t xml:space="preserve"> RPV concentrations in male study participants </w:t>
      </w:r>
      <w:r w:rsidRPr="009A1182">
        <w:rPr>
          <w:rFonts w:ascii="Arial" w:hAnsi="Arial" w:cs="Arial"/>
          <w:b/>
          <w:sz w:val="24"/>
          <w:szCs w:val="24"/>
        </w:rPr>
        <w:t>(a)</w:t>
      </w:r>
      <w:r w:rsidRPr="009A1182">
        <w:rPr>
          <w:rFonts w:ascii="Arial" w:hAnsi="Arial" w:cs="Arial"/>
          <w:sz w:val="24"/>
          <w:szCs w:val="24"/>
        </w:rPr>
        <w:t xml:space="preserve"> plasma, </w:t>
      </w:r>
      <w:r w:rsidRPr="009A1182">
        <w:rPr>
          <w:rFonts w:ascii="Arial" w:hAnsi="Arial" w:cs="Arial"/>
          <w:b/>
          <w:sz w:val="24"/>
          <w:szCs w:val="24"/>
        </w:rPr>
        <w:t xml:space="preserve">(b) </w:t>
      </w:r>
      <w:r w:rsidRPr="009A1182">
        <w:rPr>
          <w:rFonts w:ascii="Arial" w:hAnsi="Arial" w:cs="Arial"/>
          <w:sz w:val="24"/>
          <w:szCs w:val="24"/>
        </w:rPr>
        <w:t xml:space="preserve">plasma and fluids (vaginal, endocervical, and rectal), </w:t>
      </w:r>
      <w:r w:rsidRPr="009A1182">
        <w:rPr>
          <w:rFonts w:ascii="Arial" w:hAnsi="Arial" w:cs="Arial"/>
          <w:b/>
          <w:sz w:val="24"/>
          <w:szCs w:val="24"/>
        </w:rPr>
        <w:t xml:space="preserve">(c) </w:t>
      </w:r>
      <w:r w:rsidRPr="009A1182">
        <w:rPr>
          <w:rFonts w:ascii="Arial" w:hAnsi="Arial" w:cs="Arial"/>
          <w:sz w:val="24"/>
          <w:szCs w:val="24"/>
        </w:rPr>
        <w:t>vaginal, ectocervical, and rectal tissue. The solid line represents the geometric mean with error bars representing the 90% CI</w:t>
      </w:r>
    </w:p>
    <w:p w:rsidR="009A1182" w:rsidRPr="009A1182" w:rsidRDefault="009A1182" w:rsidP="009A1182">
      <w:pPr>
        <w:spacing w:line="480" w:lineRule="auto"/>
        <w:jc w:val="both"/>
        <w:rPr>
          <w:rFonts w:ascii="Arial" w:hAnsi="Arial" w:cs="Arial"/>
          <w:b/>
          <w:sz w:val="24"/>
          <w:szCs w:val="24"/>
        </w:rPr>
      </w:pPr>
    </w:p>
    <w:p w:rsidR="009A1182" w:rsidRPr="009A1182" w:rsidRDefault="009A1182" w:rsidP="009A1182">
      <w:pPr>
        <w:spacing w:line="480" w:lineRule="auto"/>
        <w:jc w:val="both"/>
        <w:rPr>
          <w:rFonts w:ascii="Arial" w:hAnsi="Arial" w:cs="Arial"/>
          <w:sz w:val="24"/>
          <w:szCs w:val="24"/>
        </w:rPr>
      </w:pPr>
      <w:r w:rsidRPr="009A1182">
        <w:rPr>
          <w:rFonts w:ascii="Arial" w:hAnsi="Arial" w:cs="Arial"/>
          <w:b/>
          <w:sz w:val="24"/>
          <w:szCs w:val="24"/>
        </w:rPr>
        <w:t xml:space="preserve">Supplemental Figure </w:t>
      </w:r>
      <w:r w:rsidR="00B33216">
        <w:rPr>
          <w:rFonts w:ascii="Arial" w:hAnsi="Arial" w:cs="Arial"/>
          <w:b/>
          <w:sz w:val="24"/>
          <w:szCs w:val="24"/>
        </w:rPr>
        <w:t>2</w:t>
      </w:r>
      <w:r w:rsidRPr="009A1182">
        <w:rPr>
          <w:rFonts w:ascii="Arial" w:hAnsi="Arial" w:cs="Arial"/>
          <w:sz w:val="24"/>
          <w:szCs w:val="24"/>
        </w:rPr>
        <w:t xml:space="preserve"> </w:t>
      </w:r>
      <w:r w:rsidRPr="009A1182">
        <w:rPr>
          <w:rFonts w:ascii="Arial" w:hAnsi="Arial" w:cs="Arial"/>
          <w:b/>
          <w:sz w:val="24"/>
          <w:szCs w:val="24"/>
        </w:rPr>
        <w:t>TZM-bl Infection Model.</w:t>
      </w:r>
      <w:r w:rsidRPr="009A1182">
        <w:rPr>
          <w:rFonts w:ascii="Arial" w:hAnsi="Arial" w:cs="Arial"/>
          <w:sz w:val="24"/>
          <w:szCs w:val="24"/>
        </w:rPr>
        <w:t xml:space="preserve">  Inhibition of TZM-bl infection following exposure to </w:t>
      </w:r>
      <w:r w:rsidRPr="009A1182">
        <w:rPr>
          <w:rFonts w:ascii="Arial" w:hAnsi="Arial" w:cs="Arial"/>
          <w:b/>
          <w:sz w:val="24"/>
          <w:szCs w:val="24"/>
        </w:rPr>
        <w:t>(a)</w:t>
      </w:r>
      <w:r w:rsidRPr="009A1182">
        <w:rPr>
          <w:rFonts w:ascii="Arial" w:hAnsi="Arial" w:cs="Arial"/>
          <w:sz w:val="24"/>
          <w:szCs w:val="24"/>
        </w:rPr>
        <w:t xml:space="preserve"> rectal, </w:t>
      </w:r>
      <w:r w:rsidRPr="009A1182">
        <w:rPr>
          <w:rFonts w:ascii="Arial" w:hAnsi="Arial" w:cs="Arial"/>
          <w:b/>
          <w:sz w:val="24"/>
          <w:szCs w:val="24"/>
        </w:rPr>
        <w:t>(b)</w:t>
      </w:r>
      <w:r w:rsidRPr="009A1182">
        <w:rPr>
          <w:rFonts w:ascii="Arial" w:hAnsi="Arial" w:cs="Arial"/>
          <w:sz w:val="24"/>
          <w:szCs w:val="24"/>
        </w:rPr>
        <w:t xml:space="preserve"> endocervical, or </w:t>
      </w:r>
      <w:r w:rsidRPr="009A1182">
        <w:rPr>
          <w:rFonts w:ascii="Arial" w:hAnsi="Arial" w:cs="Arial"/>
          <w:b/>
          <w:sz w:val="24"/>
          <w:szCs w:val="24"/>
        </w:rPr>
        <w:t>(c)</w:t>
      </w:r>
      <w:r w:rsidRPr="009A1182">
        <w:rPr>
          <w:rFonts w:ascii="Arial" w:hAnsi="Arial" w:cs="Arial"/>
          <w:sz w:val="24"/>
          <w:szCs w:val="24"/>
        </w:rPr>
        <w:t xml:space="preserve"> vaginal fluid</w:t>
      </w:r>
    </w:p>
    <w:p w:rsidR="009A1182" w:rsidRDefault="009A1182" w:rsidP="009A1182">
      <w:pPr>
        <w:spacing w:line="480" w:lineRule="auto"/>
        <w:jc w:val="both"/>
        <w:rPr>
          <w:rFonts w:ascii="Arial" w:hAnsi="Arial" w:cs="Arial"/>
          <w:b/>
          <w:sz w:val="24"/>
          <w:szCs w:val="24"/>
        </w:rPr>
      </w:pPr>
    </w:p>
    <w:p w:rsidR="009A1182" w:rsidRPr="009A1182" w:rsidRDefault="009A1182" w:rsidP="009A1182">
      <w:pPr>
        <w:spacing w:line="480" w:lineRule="auto"/>
        <w:jc w:val="both"/>
        <w:rPr>
          <w:rFonts w:ascii="Arial" w:hAnsi="Arial" w:cs="Arial"/>
          <w:sz w:val="24"/>
          <w:szCs w:val="24"/>
        </w:rPr>
      </w:pPr>
      <w:r w:rsidRPr="009A1182">
        <w:rPr>
          <w:rFonts w:ascii="Arial" w:hAnsi="Arial" w:cs="Arial"/>
          <w:b/>
          <w:sz w:val="24"/>
          <w:szCs w:val="24"/>
        </w:rPr>
        <w:t xml:space="preserve">Supplemental Figure </w:t>
      </w:r>
      <w:r w:rsidR="00B33216">
        <w:rPr>
          <w:rFonts w:ascii="Arial" w:hAnsi="Arial" w:cs="Arial"/>
          <w:b/>
          <w:sz w:val="24"/>
          <w:szCs w:val="24"/>
        </w:rPr>
        <w:t>3</w:t>
      </w:r>
      <w:r w:rsidRPr="009A1182">
        <w:rPr>
          <w:rFonts w:ascii="Arial" w:hAnsi="Arial" w:cs="Arial"/>
          <w:sz w:val="24"/>
          <w:szCs w:val="24"/>
        </w:rPr>
        <w:t xml:space="preserve"> </w:t>
      </w:r>
      <w:r w:rsidRPr="009A1182">
        <w:rPr>
          <w:rFonts w:ascii="Arial" w:hAnsi="Arial" w:cs="Arial"/>
          <w:b/>
          <w:sz w:val="24"/>
          <w:szCs w:val="24"/>
        </w:rPr>
        <w:t xml:space="preserve">Concentration of RPV predicted to suppress 50% of </w:t>
      </w:r>
      <w:r w:rsidRPr="009A1182">
        <w:rPr>
          <w:rFonts w:ascii="Arial" w:hAnsi="Arial" w:cs="Arial"/>
          <w:b/>
          <w:i/>
          <w:sz w:val="24"/>
          <w:szCs w:val="24"/>
        </w:rPr>
        <w:t>ex vivo</w:t>
      </w:r>
      <w:r w:rsidRPr="009A1182">
        <w:rPr>
          <w:rFonts w:ascii="Arial" w:hAnsi="Arial" w:cs="Arial"/>
          <w:b/>
          <w:sz w:val="24"/>
          <w:szCs w:val="24"/>
        </w:rPr>
        <w:t xml:space="preserve"> infection (EC</w:t>
      </w:r>
      <w:r w:rsidRPr="009A1182">
        <w:rPr>
          <w:rFonts w:ascii="Arial" w:hAnsi="Arial" w:cs="Arial"/>
          <w:b/>
          <w:sz w:val="24"/>
          <w:szCs w:val="24"/>
          <w:vertAlign w:val="subscript"/>
        </w:rPr>
        <w:t>50</w:t>
      </w:r>
      <w:r w:rsidRPr="009A1182">
        <w:rPr>
          <w:rFonts w:ascii="Arial" w:hAnsi="Arial" w:cs="Arial"/>
          <w:b/>
          <w:sz w:val="24"/>
          <w:szCs w:val="24"/>
        </w:rPr>
        <w:t>).</w:t>
      </w:r>
      <w:r w:rsidRPr="009A1182">
        <w:rPr>
          <w:rFonts w:ascii="Arial" w:hAnsi="Arial" w:cs="Arial"/>
          <w:sz w:val="24"/>
          <w:szCs w:val="24"/>
        </w:rPr>
        <w:t xml:space="preserve"> The degree to which explant infection is suppressed compared to baseline explant infection is plotted as a percentage (y axis) against the Log</w:t>
      </w:r>
      <w:r w:rsidRPr="009A1182">
        <w:rPr>
          <w:rFonts w:ascii="Arial" w:hAnsi="Arial" w:cs="Arial"/>
          <w:sz w:val="24"/>
          <w:szCs w:val="24"/>
          <w:vertAlign w:val="subscript"/>
        </w:rPr>
        <w:t>10</w:t>
      </w:r>
      <w:r w:rsidRPr="009A1182">
        <w:rPr>
          <w:rFonts w:ascii="Arial" w:hAnsi="Arial" w:cs="Arial"/>
          <w:sz w:val="24"/>
          <w:szCs w:val="24"/>
        </w:rPr>
        <w:t xml:space="preserve"> transformed concentration of RPV in rectal tissue or plasma (x axis).</w:t>
      </w:r>
    </w:p>
    <w:p w:rsidR="009A1182" w:rsidRPr="009A1182" w:rsidRDefault="009A1182" w:rsidP="009A1182">
      <w:pPr>
        <w:jc w:val="both"/>
        <w:rPr>
          <w:rFonts w:ascii="Arial" w:hAnsi="Arial" w:cs="Arial"/>
          <w:sz w:val="24"/>
          <w:szCs w:val="24"/>
        </w:rPr>
      </w:pPr>
    </w:p>
    <w:p w:rsidR="009A1182" w:rsidRPr="009A1182" w:rsidRDefault="009A1182" w:rsidP="009A1182">
      <w:pPr>
        <w:jc w:val="both"/>
        <w:rPr>
          <w:rFonts w:ascii="Arial" w:hAnsi="Arial" w:cs="Arial"/>
          <w:sz w:val="24"/>
          <w:szCs w:val="24"/>
        </w:rPr>
      </w:pPr>
    </w:p>
    <w:p w:rsidR="009A1182" w:rsidRPr="009A1182" w:rsidRDefault="009A1182" w:rsidP="009A1182">
      <w:pPr>
        <w:jc w:val="both"/>
        <w:rPr>
          <w:rFonts w:ascii="Arial" w:hAnsi="Arial" w:cs="Arial"/>
          <w:sz w:val="24"/>
          <w:szCs w:val="24"/>
        </w:rPr>
      </w:pPr>
    </w:p>
    <w:p w:rsidR="00397665" w:rsidRPr="009A1182" w:rsidRDefault="00397665">
      <w:pPr>
        <w:rPr>
          <w:rFonts w:ascii="Arial" w:hAnsi="Arial" w:cs="Arial"/>
          <w:sz w:val="24"/>
          <w:szCs w:val="24"/>
        </w:rPr>
      </w:pPr>
      <w:bookmarkStart w:id="0" w:name="_GoBack"/>
      <w:bookmarkEnd w:id="0"/>
    </w:p>
    <w:sectPr w:rsidR="00397665" w:rsidRPr="009A1182" w:rsidSect="00001940">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44" w:rsidRDefault="00505C44">
      <w:r>
        <w:separator/>
      </w:r>
    </w:p>
  </w:endnote>
  <w:endnote w:type="continuationSeparator" w:id="0">
    <w:p w:rsidR="00505C44" w:rsidRDefault="0050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BlissRegular">
    <w:panose1 w:val="00000000000000000000"/>
    <w:charset w:val="00"/>
    <w:family w:val="roman"/>
    <w:notTrueType/>
    <w:pitch w:val="variable"/>
    <w:sig w:usb0="00000003" w:usb1="00000000" w:usb2="00000000" w:usb3="00000000" w:csb0="00000001" w:csb1="00000000"/>
  </w:font>
  <w:font w:name="BlissMedium">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nionPro-Regular">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6C" w:rsidRPr="00F142AC" w:rsidRDefault="003D29EB">
    <w:pPr>
      <w:pStyle w:val="Footer"/>
      <w:jc w:val="right"/>
      <w:rPr>
        <w:rFonts w:ascii="Arial" w:hAnsi="Arial" w:cs="Arial"/>
      </w:rPr>
    </w:pPr>
    <w:r w:rsidRPr="00F142AC">
      <w:rPr>
        <w:rFonts w:ascii="Arial" w:hAnsi="Arial" w:cs="Arial"/>
      </w:rPr>
      <w:fldChar w:fldCharType="begin"/>
    </w:r>
    <w:r w:rsidRPr="00F142AC">
      <w:rPr>
        <w:rFonts w:ascii="Arial" w:hAnsi="Arial" w:cs="Arial"/>
      </w:rPr>
      <w:instrText xml:space="preserve"> PAGE   \* MERGEFORMAT </w:instrText>
    </w:r>
    <w:r w:rsidRPr="00F142AC">
      <w:rPr>
        <w:rFonts w:ascii="Arial" w:hAnsi="Arial" w:cs="Arial"/>
      </w:rPr>
      <w:fldChar w:fldCharType="separate"/>
    </w:r>
    <w:r w:rsidR="00950537">
      <w:rPr>
        <w:rFonts w:ascii="Arial" w:hAnsi="Arial" w:cs="Arial"/>
        <w:noProof/>
      </w:rPr>
      <w:t>31</w:t>
    </w:r>
    <w:r w:rsidRPr="00F142AC">
      <w:rPr>
        <w:rFonts w:ascii="Arial" w:hAnsi="Arial" w:cs="Arial"/>
        <w:noProof/>
      </w:rPr>
      <w:fldChar w:fldCharType="end"/>
    </w:r>
  </w:p>
  <w:p w:rsidR="007F2B6C" w:rsidRDefault="00505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44" w:rsidRDefault="00505C44">
      <w:r>
        <w:separator/>
      </w:r>
    </w:p>
  </w:footnote>
  <w:footnote w:type="continuationSeparator" w:id="0">
    <w:p w:rsidR="00505C44" w:rsidRDefault="00505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6C" w:rsidRDefault="00505C44" w:rsidP="004A10BE">
    <w:pPr>
      <w:pStyle w:val="Header"/>
    </w:pPr>
  </w:p>
  <w:p w:rsidR="007F2B6C" w:rsidRDefault="00505C44" w:rsidP="004A10BE">
    <w:pPr>
      <w:pStyle w:val="Header"/>
    </w:pPr>
  </w:p>
  <w:p w:rsidR="007F2B6C" w:rsidRDefault="003D29EB" w:rsidP="004A10BE">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16223"/>
    <w:multiLevelType w:val="hybridMultilevel"/>
    <w:tmpl w:val="5A20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6321A2"/>
    <w:multiLevelType w:val="hybridMultilevel"/>
    <w:tmpl w:val="EB18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072567"/>
    <w:multiLevelType w:val="hybridMultilevel"/>
    <w:tmpl w:val="3DB4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7532B"/>
    <w:multiLevelType w:val="hybridMultilevel"/>
    <w:tmpl w:val="D610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90A62"/>
    <w:multiLevelType w:val="hybridMultilevel"/>
    <w:tmpl w:val="208E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40448"/>
    <w:multiLevelType w:val="hybridMultilevel"/>
    <w:tmpl w:val="BF04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E78B1"/>
    <w:multiLevelType w:val="hybridMultilevel"/>
    <w:tmpl w:val="F348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214D2"/>
    <w:multiLevelType w:val="hybridMultilevel"/>
    <w:tmpl w:val="C00A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11"/>
  </w:num>
  <w:num w:numId="15">
    <w:abstractNumId w:val="15"/>
  </w:num>
  <w:num w:numId="16">
    <w:abstractNumId w:val="10"/>
  </w:num>
  <w:num w:numId="17">
    <w:abstractNumId w:val="17"/>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REFMGR.InstantFormat" w:val="&lt;ENInstantFormat&gt;&lt;Enabled&gt;1&lt;/Enabled&gt;&lt;ScanUnformatted&gt;1&lt;/ScanUnformatted&gt;&lt;ScanChanges&gt;1&lt;/ScanChanges&gt;&lt;/ENInstantFormat&gt;"/>
    <w:docVar w:name="REFMGR.Libraries" w:val="&lt;ENLibraries&gt;&lt;Libraries&gt;&lt;item&gt;McGowan_09&lt;/item&gt;&lt;/Libraries&gt;&lt;/ENLibraries&gt;"/>
  </w:docVars>
  <w:rsids>
    <w:rsidRoot w:val="00EE4558"/>
    <w:rsid w:val="00001940"/>
    <w:rsid w:val="00082B84"/>
    <w:rsid w:val="00232A4F"/>
    <w:rsid w:val="00397665"/>
    <w:rsid w:val="003D29EB"/>
    <w:rsid w:val="004410DD"/>
    <w:rsid w:val="00463EA6"/>
    <w:rsid w:val="00484C54"/>
    <w:rsid w:val="00505C44"/>
    <w:rsid w:val="00551419"/>
    <w:rsid w:val="00560556"/>
    <w:rsid w:val="005A1EEE"/>
    <w:rsid w:val="00774D47"/>
    <w:rsid w:val="00805373"/>
    <w:rsid w:val="00816F6C"/>
    <w:rsid w:val="009136F0"/>
    <w:rsid w:val="00940D10"/>
    <w:rsid w:val="00950537"/>
    <w:rsid w:val="009A1182"/>
    <w:rsid w:val="009F69C5"/>
    <w:rsid w:val="00B33216"/>
    <w:rsid w:val="00BD6C97"/>
    <w:rsid w:val="00C31FD7"/>
    <w:rsid w:val="00C83B66"/>
    <w:rsid w:val="00C8669A"/>
    <w:rsid w:val="00CF734B"/>
    <w:rsid w:val="00DA00B0"/>
    <w:rsid w:val="00DA4A9E"/>
    <w:rsid w:val="00E903DD"/>
    <w:rsid w:val="00EE4558"/>
    <w:rsid w:val="00FC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072A0C"/>
  <w15:docId w15:val="{282B910D-1F1C-401C-8FE4-205A26BF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455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EE4558"/>
    <w:pPr>
      <w:spacing w:before="120" w:after="0" w:line="240" w:lineRule="auto"/>
    </w:pPr>
    <w:rPr>
      <w:rFonts w:ascii="Times New Roman" w:eastAsia="Times New Roman" w:hAnsi="Times New Roman" w:cs="Times New Roman"/>
      <w:sz w:val="24"/>
      <w:szCs w:val="24"/>
    </w:rPr>
  </w:style>
  <w:style w:type="paragraph" w:customStyle="1" w:styleId="1stparatext">
    <w:name w:val="1st para text"/>
    <w:basedOn w:val="BaseText"/>
    <w:rsid w:val="00EE4558"/>
  </w:style>
  <w:style w:type="paragraph" w:customStyle="1" w:styleId="BaseHeading">
    <w:name w:val="Base_Heading"/>
    <w:rsid w:val="00EE4558"/>
    <w:pPr>
      <w:keepNext/>
      <w:spacing w:before="240" w:after="0" w:line="240" w:lineRule="auto"/>
      <w:outlineLvl w:val="0"/>
    </w:pPr>
    <w:rPr>
      <w:rFonts w:ascii="Times New Roman" w:eastAsia="Times New Roman" w:hAnsi="Times New Roman" w:cs="Times New Roman"/>
      <w:kern w:val="28"/>
      <w:sz w:val="28"/>
      <w:szCs w:val="28"/>
    </w:rPr>
  </w:style>
  <w:style w:type="paragraph" w:customStyle="1" w:styleId="AbstractHead">
    <w:name w:val="Abstract Head"/>
    <w:basedOn w:val="BaseHeading"/>
    <w:rsid w:val="00EE4558"/>
  </w:style>
  <w:style w:type="paragraph" w:customStyle="1" w:styleId="AbstractSummary">
    <w:name w:val="Abstract/Summary"/>
    <w:basedOn w:val="BaseText"/>
    <w:rsid w:val="00EE4558"/>
  </w:style>
  <w:style w:type="paragraph" w:customStyle="1" w:styleId="Referencesandnotes">
    <w:name w:val="References and notes"/>
    <w:basedOn w:val="BaseText"/>
    <w:rsid w:val="00EE4558"/>
    <w:pPr>
      <w:ind w:left="720" w:hanging="720"/>
    </w:pPr>
  </w:style>
  <w:style w:type="paragraph" w:customStyle="1" w:styleId="Acknowledgement">
    <w:name w:val="Acknowledgement"/>
    <w:basedOn w:val="Referencesandnotes"/>
    <w:rsid w:val="00EE4558"/>
  </w:style>
  <w:style w:type="paragraph" w:customStyle="1" w:styleId="Subhead">
    <w:name w:val="Subhead"/>
    <w:basedOn w:val="BaseHeading"/>
    <w:rsid w:val="00EE4558"/>
    <w:rPr>
      <w:b/>
      <w:bCs/>
      <w:sz w:val="24"/>
      <w:szCs w:val="24"/>
    </w:rPr>
  </w:style>
  <w:style w:type="paragraph" w:customStyle="1" w:styleId="AppendixHead">
    <w:name w:val="AppendixHead"/>
    <w:basedOn w:val="Subhead"/>
    <w:rsid w:val="00EE4558"/>
  </w:style>
  <w:style w:type="paragraph" w:customStyle="1" w:styleId="AppendixSubhead">
    <w:name w:val="AppendixSubhead"/>
    <w:basedOn w:val="Subhead"/>
    <w:rsid w:val="00EE4558"/>
  </w:style>
  <w:style w:type="paragraph" w:customStyle="1" w:styleId="Articletype">
    <w:name w:val="Article type"/>
    <w:basedOn w:val="BaseText"/>
    <w:rsid w:val="00EE4558"/>
  </w:style>
  <w:style w:type="character" w:customStyle="1" w:styleId="aubase">
    <w:name w:val="au_base"/>
    <w:rsid w:val="00EE4558"/>
    <w:rPr>
      <w:sz w:val="24"/>
    </w:rPr>
  </w:style>
  <w:style w:type="character" w:customStyle="1" w:styleId="aucollab">
    <w:name w:val="au_collab"/>
    <w:rsid w:val="00EE4558"/>
    <w:rPr>
      <w:sz w:val="24"/>
      <w:bdr w:val="none" w:sz="0" w:space="0" w:color="auto"/>
      <w:shd w:val="clear" w:color="auto" w:fill="C0C0C0"/>
    </w:rPr>
  </w:style>
  <w:style w:type="character" w:customStyle="1" w:styleId="audeg">
    <w:name w:val="au_deg"/>
    <w:rsid w:val="00EE4558"/>
    <w:rPr>
      <w:sz w:val="24"/>
      <w:bdr w:val="none" w:sz="0" w:space="0" w:color="auto"/>
      <w:shd w:val="clear" w:color="auto" w:fill="FFFF00"/>
    </w:rPr>
  </w:style>
  <w:style w:type="character" w:customStyle="1" w:styleId="aufname">
    <w:name w:val="au_fname"/>
    <w:rsid w:val="00EE4558"/>
    <w:rPr>
      <w:sz w:val="24"/>
      <w:bdr w:val="none" w:sz="0" w:space="0" w:color="auto"/>
      <w:shd w:val="clear" w:color="auto" w:fill="00FFFF"/>
    </w:rPr>
  </w:style>
  <w:style w:type="character" w:customStyle="1" w:styleId="aurole">
    <w:name w:val="au_role"/>
    <w:rsid w:val="00EE4558"/>
    <w:rPr>
      <w:sz w:val="24"/>
      <w:bdr w:val="none" w:sz="0" w:space="0" w:color="auto"/>
      <w:shd w:val="clear" w:color="auto" w:fill="808000"/>
    </w:rPr>
  </w:style>
  <w:style w:type="character" w:customStyle="1" w:styleId="ausuffix">
    <w:name w:val="au_suffix"/>
    <w:rsid w:val="00EE4558"/>
    <w:rPr>
      <w:sz w:val="24"/>
      <w:bdr w:val="none" w:sz="0" w:space="0" w:color="auto"/>
      <w:shd w:val="clear" w:color="auto" w:fill="FF00FF"/>
    </w:rPr>
  </w:style>
  <w:style w:type="character" w:customStyle="1" w:styleId="ausurname">
    <w:name w:val="au_surname"/>
    <w:rsid w:val="00EE4558"/>
    <w:rPr>
      <w:sz w:val="24"/>
      <w:bdr w:val="none" w:sz="0" w:space="0" w:color="auto"/>
      <w:shd w:val="clear" w:color="auto" w:fill="00FF00"/>
    </w:rPr>
  </w:style>
  <w:style w:type="paragraph" w:customStyle="1" w:styleId="AuthorAttribute">
    <w:name w:val="Author Attribute"/>
    <w:basedOn w:val="BaseText"/>
    <w:rsid w:val="00EE4558"/>
    <w:pPr>
      <w:spacing w:before="480"/>
    </w:pPr>
  </w:style>
  <w:style w:type="paragraph" w:customStyle="1" w:styleId="Footnote">
    <w:name w:val="Footnote"/>
    <w:basedOn w:val="BaseText"/>
    <w:rsid w:val="00EE4558"/>
  </w:style>
  <w:style w:type="paragraph" w:customStyle="1" w:styleId="AuthorFootnote">
    <w:name w:val="AuthorFootnote"/>
    <w:basedOn w:val="Footnote"/>
    <w:rsid w:val="00EE4558"/>
    <w:pPr>
      <w:autoSpaceDE w:val="0"/>
      <w:autoSpaceDN w:val="0"/>
      <w:adjustRightInd w:val="0"/>
    </w:pPr>
    <w:rPr>
      <w:lang w:bidi="he-IL"/>
    </w:rPr>
  </w:style>
  <w:style w:type="paragraph" w:customStyle="1" w:styleId="Authors">
    <w:name w:val="Authors"/>
    <w:basedOn w:val="BaseText"/>
    <w:rsid w:val="00EE4558"/>
    <w:pPr>
      <w:spacing w:after="360"/>
      <w:jc w:val="center"/>
    </w:pPr>
  </w:style>
  <w:style w:type="paragraph" w:styleId="BalloonText">
    <w:name w:val="Balloon Text"/>
    <w:basedOn w:val="Normal"/>
    <w:link w:val="BalloonTextChar"/>
    <w:semiHidden/>
    <w:rsid w:val="00EE4558"/>
    <w:rPr>
      <w:rFonts w:ascii="Lucida Grande" w:eastAsia="Times New Roman" w:hAnsi="Lucida Grande"/>
      <w:sz w:val="18"/>
      <w:szCs w:val="18"/>
    </w:rPr>
  </w:style>
  <w:style w:type="character" w:customStyle="1" w:styleId="BalloonTextChar">
    <w:name w:val="Balloon Text Char"/>
    <w:link w:val="BalloonText"/>
    <w:semiHidden/>
    <w:rsid w:val="00EE4558"/>
    <w:rPr>
      <w:rFonts w:ascii="Lucida Grande" w:eastAsia="Times New Roman" w:hAnsi="Lucida Grande" w:cs="Times New Roman"/>
      <w:sz w:val="18"/>
      <w:szCs w:val="18"/>
    </w:rPr>
  </w:style>
  <w:style w:type="character" w:customStyle="1" w:styleId="bibarticle">
    <w:name w:val="bib_article"/>
    <w:rsid w:val="00EE4558"/>
    <w:rPr>
      <w:sz w:val="24"/>
      <w:bdr w:val="none" w:sz="0" w:space="0" w:color="auto"/>
      <w:shd w:val="clear" w:color="auto" w:fill="00FFFF"/>
    </w:rPr>
  </w:style>
  <w:style w:type="character" w:customStyle="1" w:styleId="bibbase">
    <w:name w:val="bib_base"/>
    <w:rsid w:val="00EE4558"/>
    <w:rPr>
      <w:sz w:val="24"/>
    </w:rPr>
  </w:style>
  <w:style w:type="character" w:customStyle="1" w:styleId="bibcomment">
    <w:name w:val="bib_comment"/>
    <w:basedOn w:val="bibbase"/>
    <w:rsid w:val="00EE4558"/>
    <w:rPr>
      <w:sz w:val="24"/>
    </w:rPr>
  </w:style>
  <w:style w:type="character" w:customStyle="1" w:styleId="bibdeg">
    <w:name w:val="bib_deg"/>
    <w:basedOn w:val="bibbase"/>
    <w:rsid w:val="00EE4558"/>
    <w:rPr>
      <w:sz w:val="24"/>
    </w:rPr>
  </w:style>
  <w:style w:type="character" w:customStyle="1" w:styleId="bibdoi">
    <w:name w:val="bib_doi"/>
    <w:rsid w:val="00EE4558"/>
    <w:rPr>
      <w:sz w:val="24"/>
      <w:bdr w:val="none" w:sz="0" w:space="0" w:color="auto"/>
      <w:shd w:val="clear" w:color="auto" w:fill="00FF00"/>
    </w:rPr>
  </w:style>
  <w:style w:type="character" w:customStyle="1" w:styleId="bibetal">
    <w:name w:val="bib_etal"/>
    <w:rsid w:val="00EE4558"/>
    <w:rPr>
      <w:sz w:val="24"/>
      <w:bdr w:val="none" w:sz="0" w:space="0" w:color="auto"/>
      <w:shd w:val="clear" w:color="auto" w:fill="008080"/>
    </w:rPr>
  </w:style>
  <w:style w:type="character" w:customStyle="1" w:styleId="bibfname">
    <w:name w:val="bib_fname"/>
    <w:rsid w:val="00EE4558"/>
    <w:rPr>
      <w:sz w:val="24"/>
      <w:bdr w:val="none" w:sz="0" w:space="0" w:color="auto"/>
      <w:shd w:val="clear" w:color="auto" w:fill="FFFF00"/>
    </w:rPr>
  </w:style>
  <w:style w:type="character" w:customStyle="1" w:styleId="bibfpage">
    <w:name w:val="bib_fpage"/>
    <w:rsid w:val="00EE4558"/>
    <w:rPr>
      <w:sz w:val="24"/>
      <w:bdr w:val="none" w:sz="0" w:space="0" w:color="auto"/>
      <w:shd w:val="clear" w:color="auto" w:fill="808080"/>
    </w:rPr>
  </w:style>
  <w:style w:type="character" w:customStyle="1" w:styleId="bibissue">
    <w:name w:val="bib_issue"/>
    <w:rsid w:val="00EE4558"/>
    <w:rPr>
      <w:sz w:val="24"/>
      <w:bdr w:val="none" w:sz="0" w:space="0" w:color="auto"/>
      <w:shd w:val="clear" w:color="auto" w:fill="FFFF00"/>
    </w:rPr>
  </w:style>
  <w:style w:type="character" w:customStyle="1" w:styleId="bibjournal">
    <w:name w:val="bib_journal"/>
    <w:rsid w:val="00EE4558"/>
    <w:rPr>
      <w:sz w:val="24"/>
      <w:bdr w:val="none" w:sz="0" w:space="0" w:color="auto"/>
      <w:shd w:val="clear" w:color="auto" w:fill="808000"/>
    </w:rPr>
  </w:style>
  <w:style w:type="character" w:customStyle="1" w:styleId="biblpage">
    <w:name w:val="bib_lpage"/>
    <w:rsid w:val="00EE4558"/>
    <w:rPr>
      <w:sz w:val="24"/>
      <w:bdr w:val="none" w:sz="0" w:space="0" w:color="auto"/>
      <w:shd w:val="clear" w:color="auto" w:fill="808080"/>
    </w:rPr>
  </w:style>
  <w:style w:type="character" w:customStyle="1" w:styleId="bibmedline">
    <w:name w:val="bib_medline"/>
    <w:basedOn w:val="bibbase"/>
    <w:rsid w:val="00EE4558"/>
    <w:rPr>
      <w:sz w:val="24"/>
    </w:rPr>
  </w:style>
  <w:style w:type="character" w:customStyle="1" w:styleId="bibnumber">
    <w:name w:val="bib_number"/>
    <w:basedOn w:val="bibbase"/>
    <w:rsid w:val="00EE4558"/>
    <w:rPr>
      <w:sz w:val="24"/>
    </w:rPr>
  </w:style>
  <w:style w:type="character" w:customStyle="1" w:styleId="biborganization">
    <w:name w:val="bib_organization"/>
    <w:rsid w:val="00EE4558"/>
    <w:rPr>
      <w:sz w:val="24"/>
      <w:bdr w:val="none" w:sz="0" w:space="0" w:color="auto"/>
      <w:shd w:val="clear" w:color="auto" w:fill="808000"/>
    </w:rPr>
  </w:style>
  <w:style w:type="character" w:customStyle="1" w:styleId="bibsuffix">
    <w:name w:val="bib_suffix"/>
    <w:basedOn w:val="bibbase"/>
    <w:rsid w:val="00EE4558"/>
    <w:rPr>
      <w:sz w:val="24"/>
    </w:rPr>
  </w:style>
  <w:style w:type="character" w:customStyle="1" w:styleId="bibsuppl">
    <w:name w:val="bib_suppl"/>
    <w:rsid w:val="00EE4558"/>
    <w:rPr>
      <w:sz w:val="24"/>
      <w:bdr w:val="none" w:sz="0" w:space="0" w:color="auto"/>
      <w:shd w:val="clear" w:color="auto" w:fill="FFFF00"/>
    </w:rPr>
  </w:style>
  <w:style w:type="character" w:customStyle="1" w:styleId="bibsurname">
    <w:name w:val="bib_surname"/>
    <w:rsid w:val="00EE4558"/>
    <w:rPr>
      <w:sz w:val="24"/>
      <w:bdr w:val="none" w:sz="0" w:space="0" w:color="auto"/>
      <w:shd w:val="clear" w:color="auto" w:fill="FFFF00"/>
    </w:rPr>
  </w:style>
  <w:style w:type="character" w:customStyle="1" w:styleId="bibunpubl">
    <w:name w:val="bib_unpubl"/>
    <w:basedOn w:val="bibbase"/>
    <w:rsid w:val="00EE4558"/>
    <w:rPr>
      <w:sz w:val="24"/>
    </w:rPr>
  </w:style>
  <w:style w:type="character" w:customStyle="1" w:styleId="biburl">
    <w:name w:val="bib_url"/>
    <w:rsid w:val="00EE4558"/>
    <w:rPr>
      <w:sz w:val="24"/>
      <w:bdr w:val="none" w:sz="0" w:space="0" w:color="auto"/>
      <w:shd w:val="clear" w:color="auto" w:fill="00FF00"/>
    </w:rPr>
  </w:style>
  <w:style w:type="character" w:customStyle="1" w:styleId="bibvolume">
    <w:name w:val="bib_volume"/>
    <w:rsid w:val="00EE4558"/>
    <w:rPr>
      <w:sz w:val="24"/>
      <w:bdr w:val="none" w:sz="0" w:space="0" w:color="auto"/>
      <w:shd w:val="clear" w:color="auto" w:fill="00FF00"/>
    </w:rPr>
  </w:style>
  <w:style w:type="character" w:customStyle="1" w:styleId="bibyear">
    <w:name w:val="bib_year"/>
    <w:rsid w:val="00EE4558"/>
    <w:rPr>
      <w:sz w:val="24"/>
      <w:bdr w:val="none" w:sz="0" w:space="0" w:color="auto"/>
      <w:shd w:val="clear" w:color="auto" w:fill="FF00FF"/>
    </w:rPr>
  </w:style>
  <w:style w:type="paragraph" w:customStyle="1" w:styleId="BookorMeetingInformation">
    <w:name w:val="Book or Meeting Information"/>
    <w:basedOn w:val="BaseText"/>
    <w:rsid w:val="00EE4558"/>
  </w:style>
  <w:style w:type="paragraph" w:customStyle="1" w:styleId="BookInformation">
    <w:name w:val="BookInformation"/>
    <w:basedOn w:val="BaseText"/>
    <w:rsid w:val="00EE4558"/>
  </w:style>
  <w:style w:type="paragraph" w:customStyle="1" w:styleId="Level2Head">
    <w:name w:val="Level 2 Head"/>
    <w:basedOn w:val="BaseHeading"/>
    <w:rsid w:val="00EE4558"/>
    <w:pPr>
      <w:outlineLvl w:val="1"/>
    </w:pPr>
    <w:rPr>
      <w:i/>
      <w:iCs/>
      <w:sz w:val="24"/>
      <w:szCs w:val="24"/>
    </w:rPr>
  </w:style>
  <w:style w:type="paragraph" w:customStyle="1" w:styleId="BoxLevel2Head">
    <w:name w:val="BoxLevel 2 Head"/>
    <w:basedOn w:val="Level2Head"/>
    <w:rsid w:val="00EE4558"/>
    <w:pPr>
      <w:shd w:val="clear" w:color="auto" w:fill="E6E6E6"/>
    </w:pPr>
  </w:style>
  <w:style w:type="paragraph" w:customStyle="1" w:styleId="BoxListUnnumbered">
    <w:name w:val="BoxListUnnumbered"/>
    <w:basedOn w:val="BaseText"/>
    <w:rsid w:val="00EE4558"/>
    <w:pPr>
      <w:shd w:val="clear" w:color="auto" w:fill="E6E6E6"/>
      <w:ind w:left="1080" w:hanging="360"/>
    </w:pPr>
  </w:style>
  <w:style w:type="paragraph" w:customStyle="1" w:styleId="BoxList">
    <w:name w:val="BoxList"/>
    <w:basedOn w:val="BoxListUnnumbered"/>
    <w:rsid w:val="00EE4558"/>
  </w:style>
  <w:style w:type="paragraph" w:customStyle="1" w:styleId="BoxSubhead">
    <w:name w:val="BoxSubhead"/>
    <w:basedOn w:val="Subhead"/>
    <w:rsid w:val="00EE4558"/>
    <w:pPr>
      <w:shd w:val="clear" w:color="auto" w:fill="E6E6E6"/>
    </w:pPr>
  </w:style>
  <w:style w:type="paragraph" w:customStyle="1" w:styleId="Paragraph">
    <w:name w:val="Paragraph"/>
    <w:basedOn w:val="BaseText"/>
    <w:rsid w:val="00EE4558"/>
    <w:pPr>
      <w:ind w:firstLine="720"/>
    </w:pPr>
  </w:style>
  <w:style w:type="paragraph" w:customStyle="1" w:styleId="BoxText">
    <w:name w:val="BoxText"/>
    <w:basedOn w:val="Paragraph"/>
    <w:rsid w:val="00EE4558"/>
    <w:pPr>
      <w:shd w:val="clear" w:color="auto" w:fill="E6E6E6"/>
    </w:pPr>
  </w:style>
  <w:style w:type="paragraph" w:customStyle="1" w:styleId="BoxTitle">
    <w:name w:val="BoxTitle"/>
    <w:basedOn w:val="BaseHeading"/>
    <w:rsid w:val="00EE4558"/>
    <w:pPr>
      <w:shd w:val="clear" w:color="auto" w:fill="E6E6E6"/>
    </w:pPr>
    <w:rPr>
      <w:b/>
      <w:sz w:val="24"/>
      <w:szCs w:val="24"/>
    </w:rPr>
  </w:style>
  <w:style w:type="paragraph" w:customStyle="1" w:styleId="BulletedText">
    <w:name w:val="Bulleted Text"/>
    <w:basedOn w:val="BaseText"/>
    <w:rsid w:val="00EE4558"/>
    <w:pPr>
      <w:ind w:left="720" w:hanging="720"/>
    </w:pPr>
  </w:style>
  <w:style w:type="paragraph" w:customStyle="1" w:styleId="career-magazine">
    <w:name w:val="career-magazine"/>
    <w:basedOn w:val="BaseText"/>
    <w:rsid w:val="00EE4558"/>
    <w:pPr>
      <w:jc w:val="right"/>
    </w:pPr>
    <w:rPr>
      <w:color w:val="FF0000"/>
    </w:rPr>
  </w:style>
  <w:style w:type="paragraph" w:customStyle="1" w:styleId="career-stage">
    <w:name w:val="career-stage"/>
    <w:basedOn w:val="BaseText"/>
    <w:rsid w:val="00EE4558"/>
    <w:pPr>
      <w:jc w:val="right"/>
    </w:pPr>
    <w:rPr>
      <w:color w:val="339966"/>
    </w:rPr>
  </w:style>
  <w:style w:type="character" w:customStyle="1" w:styleId="citebase">
    <w:name w:val="cite_base"/>
    <w:rsid w:val="00EE4558"/>
    <w:rPr>
      <w:sz w:val="24"/>
    </w:rPr>
  </w:style>
  <w:style w:type="character" w:customStyle="1" w:styleId="citebib">
    <w:name w:val="cite_bib"/>
    <w:rsid w:val="00EE4558"/>
    <w:rPr>
      <w:sz w:val="24"/>
      <w:bdr w:val="none" w:sz="0" w:space="0" w:color="auto"/>
      <w:shd w:val="clear" w:color="auto" w:fill="00FFFF"/>
    </w:rPr>
  </w:style>
  <w:style w:type="character" w:customStyle="1" w:styleId="citebox">
    <w:name w:val="cite_box"/>
    <w:basedOn w:val="citebase"/>
    <w:rsid w:val="00EE4558"/>
    <w:rPr>
      <w:sz w:val="24"/>
    </w:rPr>
  </w:style>
  <w:style w:type="character" w:customStyle="1" w:styleId="citeen">
    <w:name w:val="cite_en"/>
    <w:rsid w:val="00EE4558"/>
    <w:rPr>
      <w:sz w:val="24"/>
      <w:shd w:val="clear" w:color="auto" w:fill="FFFF00"/>
      <w:vertAlign w:val="superscript"/>
    </w:rPr>
  </w:style>
  <w:style w:type="character" w:customStyle="1" w:styleId="citeeq">
    <w:name w:val="cite_eq"/>
    <w:rsid w:val="00EE4558"/>
    <w:rPr>
      <w:sz w:val="24"/>
      <w:bdr w:val="none" w:sz="0" w:space="0" w:color="auto"/>
      <w:shd w:val="clear" w:color="auto" w:fill="FF99CC"/>
    </w:rPr>
  </w:style>
  <w:style w:type="character" w:customStyle="1" w:styleId="citefig">
    <w:name w:val="cite_fig"/>
    <w:rsid w:val="00EE4558"/>
    <w:rPr>
      <w:color w:val="000000"/>
      <w:sz w:val="24"/>
      <w:bdr w:val="none" w:sz="0" w:space="0" w:color="auto"/>
      <w:shd w:val="clear" w:color="auto" w:fill="00FF00"/>
    </w:rPr>
  </w:style>
  <w:style w:type="character" w:customStyle="1" w:styleId="citefn">
    <w:name w:val="cite_fn"/>
    <w:rsid w:val="00EE4558"/>
    <w:rPr>
      <w:sz w:val="24"/>
      <w:bdr w:val="none" w:sz="0" w:space="0" w:color="auto"/>
      <w:shd w:val="clear" w:color="auto" w:fill="FF0000"/>
    </w:rPr>
  </w:style>
  <w:style w:type="character" w:customStyle="1" w:styleId="citetbl">
    <w:name w:val="cite_tbl"/>
    <w:rsid w:val="00EE4558"/>
    <w:rPr>
      <w:color w:val="000000"/>
      <w:sz w:val="24"/>
      <w:bdr w:val="none" w:sz="0" w:space="0" w:color="auto"/>
      <w:shd w:val="clear" w:color="auto" w:fill="FF00FF"/>
    </w:rPr>
  </w:style>
  <w:style w:type="character" w:styleId="CommentReference">
    <w:name w:val="annotation reference"/>
    <w:rsid w:val="00EE4558"/>
    <w:rPr>
      <w:sz w:val="18"/>
      <w:szCs w:val="18"/>
    </w:rPr>
  </w:style>
  <w:style w:type="paragraph" w:styleId="CommentText">
    <w:name w:val="annotation text"/>
    <w:basedOn w:val="Normal"/>
    <w:link w:val="CommentTextChar"/>
    <w:semiHidden/>
    <w:rsid w:val="00EE4558"/>
    <w:rPr>
      <w:rFonts w:eastAsia="Times New Roman"/>
    </w:rPr>
  </w:style>
  <w:style w:type="character" w:customStyle="1" w:styleId="CommentTextChar">
    <w:name w:val="Comment Text Char"/>
    <w:link w:val="CommentText"/>
    <w:semiHidden/>
    <w:rsid w:val="00EE45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4558"/>
    <w:rPr>
      <w:b/>
      <w:bCs/>
    </w:rPr>
  </w:style>
  <w:style w:type="character" w:customStyle="1" w:styleId="CommentSubjectChar">
    <w:name w:val="Comment Subject Char"/>
    <w:link w:val="CommentSubject"/>
    <w:uiPriority w:val="99"/>
    <w:semiHidden/>
    <w:rsid w:val="00EE4558"/>
    <w:rPr>
      <w:rFonts w:ascii="Times New Roman" w:eastAsia="Times New Roman" w:hAnsi="Times New Roman" w:cs="Times New Roman"/>
      <w:b/>
      <w:bCs/>
      <w:sz w:val="20"/>
      <w:szCs w:val="20"/>
    </w:rPr>
  </w:style>
  <w:style w:type="paragraph" w:customStyle="1" w:styleId="ContinuedParagraph">
    <w:name w:val="ContinuedParagraph"/>
    <w:basedOn w:val="Paragraph"/>
    <w:rsid w:val="00EE4558"/>
    <w:pPr>
      <w:ind w:firstLine="0"/>
    </w:pPr>
  </w:style>
  <w:style w:type="character" w:customStyle="1" w:styleId="ContractNumber">
    <w:name w:val="Contract Number"/>
    <w:rsid w:val="00EE4558"/>
    <w:rPr>
      <w:sz w:val="24"/>
      <w:szCs w:val="24"/>
      <w:bdr w:val="none" w:sz="0" w:space="0" w:color="auto"/>
      <w:shd w:val="clear" w:color="auto" w:fill="CCFFCC"/>
    </w:rPr>
  </w:style>
  <w:style w:type="character" w:customStyle="1" w:styleId="ContractSponsor">
    <w:name w:val="Contract Sponsor"/>
    <w:rsid w:val="00EE4558"/>
    <w:rPr>
      <w:sz w:val="24"/>
      <w:szCs w:val="24"/>
      <w:bdr w:val="none" w:sz="0" w:space="0" w:color="auto"/>
      <w:shd w:val="clear" w:color="auto" w:fill="FFCC99"/>
    </w:rPr>
  </w:style>
  <w:style w:type="paragraph" w:customStyle="1" w:styleId="Correspondence">
    <w:name w:val="Correspondence"/>
    <w:basedOn w:val="BaseText"/>
    <w:rsid w:val="00EE4558"/>
    <w:pPr>
      <w:spacing w:before="0" w:after="240"/>
    </w:pPr>
  </w:style>
  <w:style w:type="paragraph" w:customStyle="1" w:styleId="DateAccepted">
    <w:name w:val="Date Accepted"/>
    <w:basedOn w:val="BaseText"/>
    <w:rsid w:val="00EE4558"/>
    <w:pPr>
      <w:spacing w:before="360"/>
    </w:pPr>
  </w:style>
  <w:style w:type="paragraph" w:customStyle="1" w:styleId="Deck">
    <w:name w:val="Deck"/>
    <w:basedOn w:val="BaseHeading"/>
    <w:rsid w:val="00EE4558"/>
    <w:pPr>
      <w:outlineLvl w:val="1"/>
    </w:pPr>
  </w:style>
  <w:style w:type="paragraph" w:customStyle="1" w:styleId="DefTerm">
    <w:name w:val="DefTerm"/>
    <w:basedOn w:val="BaseText"/>
    <w:rsid w:val="00EE4558"/>
    <w:pPr>
      <w:ind w:left="720"/>
    </w:pPr>
  </w:style>
  <w:style w:type="paragraph" w:customStyle="1" w:styleId="Definition">
    <w:name w:val="Definition"/>
    <w:basedOn w:val="DefTerm"/>
    <w:rsid w:val="00EE4558"/>
    <w:pPr>
      <w:ind w:left="1080" w:hanging="360"/>
    </w:pPr>
  </w:style>
  <w:style w:type="paragraph" w:customStyle="1" w:styleId="DefListTitle">
    <w:name w:val="DefListTitle"/>
    <w:basedOn w:val="BaseHeading"/>
    <w:rsid w:val="00EE4558"/>
  </w:style>
  <w:style w:type="paragraph" w:customStyle="1" w:styleId="discipline">
    <w:name w:val="discipline"/>
    <w:basedOn w:val="BaseText"/>
    <w:rsid w:val="00EE4558"/>
    <w:pPr>
      <w:jc w:val="right"/>
    </w:pPr>
    <w:rPr>
      <w:color w:val="993366"/>
    </w:rPr>
  </w:style>
  <w:style w:type="paragraph" w:customStyle="1" w:styleId="Editors">
    <w:name w:val="Editors"/>
    <w:basedOn w:val="Authors"/>
    <w:rsid w:val="00EE4558"/>
  </w:style>
  <w:style w:type="character" w:styleId="Emphasis">
    <w:name w:val="Emphasis"/>
    <w:uiPriority w:val="20"/>
    <w:qFormat/>
    <w:rsid w:val="00EE4558"/>
    <w:rPr>
      <w:i/>
      <w:iCs/>
    </w:rPr>
  </w:style>
  <w:style w:type="character" w:styleId="EndnoteReference">
    <w:name w:val="endnote reference"/>
    <w:semiHidden/>
    <w:rsid w:val="00EE4558"/>
    <w:rPr>
      <w:vertAlign w:val="superscript"/>
    </w:rPr>
  </w:style>
  <w:style w:type="paragraph" w:styleId="EndnoteText">
    <w:name w:val="endnote text"/>
    <w:basedOn w:val="Normal"/>
    <w:link w:val="EndnoteTextChar"/>
    <w:semiHidden/>
    <w:rsid w:val="00EE4558"/>
    <w:rPr>
      <w:rFonts w:ascii="Cambria" w:eastAsia="Cambria" w:hAnsi="Cambria"/>
    </w:rPr>
  </w:style>
  <w:style w:type="character" w:customStyle="1" w:styleId="EndnoteTextChar">
    <w:name w:val="Endnote Text Char"/>
    <w:link w:val="EndnoteText"/>
    <w:semiHidden/>
    <w:rsid w:val="00EE4558"/>
    <w:rPr>
      <w:rFonts w:ascii="Cambria" w:eastAsia="Cambria" w:hAnsi="Cambria" w:cs="Times New Roman"/>
      <w:sz w:val="20"/>
      <w:szCs w:val="20"/>
    </w:rPr>
  </w:style>
  <w:style w:type="character" w:customStyle="1" w:styleId="eqno">
    <w:name w:val="eq_no"/>
    <w:basedOn w:val="citebase"/>
    <w:rsid w:val="00EE4558"/>
    <w:rPr>
      <w:sz w:val="24"/>
    </w:rPr>
  </w:style>
  <w:style w:type="paragraph" w:customStyle="1" w:styleId="Equation">
    <w:name w:val="Equation"/>
    <w:basedOn w:val="BaseText"/>
    <w:rsid w:val="00EE4558"/>
    <w:pPr>
      <w:jc w:val="center"/>
    </w:pPr>
  </w:style>
  <w:style w:type="paragraph" w:customStyle="1" w:styleId="FieldCodes">
    <w:name w:val="FieldCodes"/>
    <w:basedOn w:val="BaseText"/>
    <w:rsid w:val="00EE4558"/>
  </w:style>
  <w:style w:type="paragraph" w:customStyle="1" w:styleId="Legend">
    <w:name w:val="Legend"/>
    <w:basedOn w:val="BaseHeading"/>
    <w:rsid w:val="00EE4558"/>
    <w:rPr>
      <w:sz w:val="24"/>
      <w:szCs w:val="24"/>
    </w:rPr>
  </w:style>
  <w:style w:type="paragraph" w:customStyle="1" w:styleId="FigureCopyright">
    <w:name w:val="FigureCopyright"/>
    <w:basedOn w:val="Legend"/>
    <w:rsid w:val="00EE4558"/>
    <w:pPr>
      <w:autoSpaceDE w:val="0"/>
      <w:autoSpaceDN w:val="0"/>
      <w:adjustRightInd w:val="0"/>
      <w:spacing w:before="80"/>
    </w:pPr>
    <w:rPr>
      <w:lang w:bidi="he-IL"/>
    </w:rPr>
  </w:style>
  <w:style w:type="paragraph" w:customStyle="1" w:styleId="FigureCredit">
    <w:name w:val="FigureCredit"/>
    <w:basedOn w:val="FigureCopyright"/>
    <w:rsid w:val="00EE4558"/>
  </w:style>
  <w:style w:type="character" w:styleId="FollowedHyperlink">
    <w:name w:val="FollowedHyperlink"/>
    <w:rsid w:val="00EE4558"/>
    <w:rPr>
      <w:color w:val="800080"/>
      <w:u w:val="single"/>
    </w:rPr>
  </w:style>
  <w:style w:type="paragraph" w:styleId="Footer">
    <w:name w:val="footer"/>
    <w:basedOn w:val="Normal"/>
    <w:link w:val="FooterChar"/>
    <w:uiPriority w:val="99"/>
    <w:rsid w:val="00EE4558"/>
    <w:pPr>
      <w:tabs>
        <w:tab w:val="center" w:pos="4320"/>
        <w:tab w:val="right" w:pos="8640"/>
      </w:tabs>
    </w:pPr>
    <w:rPr>
      <w:rFonts w:eastAsia="Times New Roman"/>
    </w:rPr>
  </w:style>
  <w:style w:type="character" w:customStyle="1" w:styleId="FooterChar">
    <w:name w:val="Footer Char"/>
    <w:link w:val="Footer"/>
    <w:uiPriority w:val="99"/>
    <w:rsid w:val="00EE4558"/>
    <w:rPr>
      <w:rFonts w:ascii="Times New Roman" w:eastAsia="Times New Roman" w:hAnsi="Times New Roman" w:cs="Times New Roman"/>
      <w:sz w:val="20"/>
      <w:szCs w:val="20"/>
    </w:rPr>
  </w:style>
  <w:style w:type="character" w:styleId="FootnoteReference">
    <w:name w:val="footnote reference"/>
    <w:semiHidden/>
    <w:rsid w:val="00EE4558"/>
    <w:rPr>
      <w:vertAlign w:val="superscript"/>
    </w:rPr>
  </w:style>
  <w:style w:type="paragraph" w:customStyle="1" w:styleId="Gloss">
    <w:name w:val="Gloss"/>
    <w:basedOn w:val="AbstractSummary"/>
    <w:rsid w:val="00EE4558"/>
  </w:style>
  <w:style w:type="paragraph" w:customStyle="1" w:styleId="Glossary">
    <w:name w:val="Glossary"/>
    <w:basedOn w:val="BaseText"/>
    <w:rsid w:val="00EE4558"/>
  </w:style>
  <w:style w:type="paragraph" w:customStyle="1" w:styleId="GlossHead">
    <w:name w:val="GlossHead"/>
    <w:basedOn w:val="AbstractHead"/>
    <w:rsid w:val="00EE4558"/>
  </w:style>
  <w:style w:type="paragraph" w:customStyle="1" w:styleId="GraphicAltText">
    <w:name w:val="GraphicAltText"/>
    <w:basedOn w:val="Legend"/>
    <w:rsid w:val="00EE4558"/>
    <w:pPr>
      <w:autoSpaceDE w:val="0"/>
      <w:autoSpaceDN w:val="0"/>
      <w:adjustRightInd w:val="0"/>
    </w:pPr>
  </w:style>
  <w:style w:type="paragraph" w:customStyle="1" w:styleId="GraphicCredit">
    <w:name w:val="GraphicCredit"/>
    <w:basedOn w:val="FigureCredit"/>
    <w:rsid w:val="00EE4558"/>
  </w:style>
  <w:style w:type="paragraph" w:customStyle="1" w:styleId="Head">
    <w:name w:val="Head"/>
    <w:basedOn w:val="BaseHeading"/>
    <w:rsid w:val="00EE4558"/>
    <w:pPr>
      <w:spacing w:before="120" w:after="120"/>
      <w:jc w:val="center"/>
    </w:pPr>
    <w:rPr>
      <w:b/>
      <w:bCs/>
    </w:rPr>
  </w:style>
  <w:style w:type="paragraph" w:styleId="Header">
    <w:name w:val="header"/>
    <w:basedOn w:val="Normal"/>
    <w:link w:val="HeaderChar"/>
    <w:rsid w:val="00EE4558"/>
    <w:pPr>
      <w:tabs>
        <w:tab w:val="center" w:pos="4320"/>
        <w:tab w:val="right" w:pos="8640"/>
      </w:tabs>
    </w:pPr>
    <w:rPr>
      <w:rFonts w:eastAsia="Times New Roman"/>
    </w:rPr>
  </w:style>
  <w:style w:type="character" w:customStyle="1" w:styleId="HeaderChar">
    <w:name w:val="Header Char"/>
    <w:link w:val="Header"/>
    <w:rsid w:val="00EE4558"/>
    <w:rPr>
      <w:rFonts w:ascii="Times New Roman" w:eastAsia="Times New Roman" w:hAnsi="Times New Roman" w:cs="Times New Roman"/>
      <w:sz w:val="20"/>
      <w:szCs w:val="20"/>
    </w:rPr>
  </w:style>
  <w:style w:type="character" w:styleId="HTMLAcronym">
    <w:name w:val="HTML Acronym"/>
    <w:basedOn w:val="DefaultParagraphFont"/>
    <w:rsid w:val="00EE4558"/>
  </w:style>
  <w:style w:type="character" w:styleId="HTMLCite">
    <w:name w:val="HTML Cite"/>
    <w:rsid w:val="00EE4558"/>
    <w:rPr>
      <w:i/>
      <w:iCs/>
    </w:rPr>
  </w:style>
  <w:style w:type="character" w:styleId="HTMLCode">
    <w:name w:val="HTML Code"/>
    <w:rsid w:val="00EE4558"/>
    <w:rPr>
      <w:rFonts w:ascii="Courier New" w:hAnsi="Courier New" w:cs="Courier New"/>
      <w:sz w:val="20"/>
      <w:szCs w:val="20"/>
    </w:rPr>
  </w:style>
  <w:style w:type="character" w:styleId="HTMLDefinition">
    <w:name w:val="HTML Definition"/>
    <w:rsid w:val="00EE4558"/>
    <w:rPr>
      <w:i/>
      <w:iCs/>
    </w:rPr>
  </w:style>
  <w:style w:type="character" w:styleId="HTMLKeyboard">
    <w:name w:val="HTML Keyboard"/>
    <w:rsid w:val="00EE4558"/>
    <w:rPr>
      <w:rFonts w:ascii="Courier New" w:hAnsi="Courier New" w:cs="Courier New"/>
      <w:sz w:val="20"/>
      <w:szCs w:val="20"/>
    </w:rPr>
  </w:style>
  <w:style w:type="paragraph" w:styleId="HTMLPreformatted">
    <w:name w:val="HTML Preformatted"/>
    <w:basedOn w:val="Normal"/>
    <w:link w:val="HTMLPreformattedChar"/>
    <w:rsid w:val="00EE4558"/>
    <w:rPr>
      <w:rFonts w:ascii="Consolas" w:eastAsia="Times New Roman" w:hAnsi="Consolas"/>
    </w:rPr>
  </w:style>
  <w:style w:type="character" w:customStyle="1" w:styleId="HTMLPreformattedChar">
    <w:name w:val="HTML Preformatted Char"/>
    <w:link w:val="HTMLPreformatted"/>
    <w:rsid w:val="00EE4558"/>
    <w:rPr>
      <w:rFonts w:ascii="Consolas" w:eastAsia="Times New Roman" w:hAnsi="Consolas" w:cs="Times New Roman"/>
      <w:sz w:val="20"/>
      <w:szCs w:val="20"/>
    </w:rPr>
  </w:style>
  <w:style w:type="character" w:styleId="HTMLSample">
    <w:name w:val="HTML Sample"/>
    <w:rsid w:val="00EE4558"/>
    <w:rPr>
      <w:rFonts w:ascii="Courier New" w:hAnsi="Courier New" w:cs="Courier New"/>
    </w:rPr>
  </w:style>
  <w:style w:type="character" w:styleId="HTMLTypewriter">
    <w:name w:val="HTML Typewriter"/>
    <w:rsid w:val="00EE4558"/>
    <w:rPr>
      <w:rFonts w:ascii="Courier New" w:hAnsi="Courier New" w:cs="Courier New"/>
      <w:sz w:val="20"/>
      <w:szCs w:val="20"/>
    </w:rPr>
  </w:style>
  <w:style w:type="character" w:styleId="HTMLVariable">
    <w:name w:val="HTML Variable"/>
    <w:rsid w:val="00EE4558"/>
    <w:rPr>
      <w:i/>
      <w:iCs/>
    </w:rPr>
  </w:style>
  <w:style w:type="character" w:styleId="Hyperlink">
    <w:name w:val="Hyperlink"/>
    <w:rsid w:val="00EE4558"/>
    <w:rPr>
      <w:color w:val="0000FF"/>
      <w:u w:val="single"/>
    </w:rPr>
  </w:style>
  <w:style w:type="paragraph" w:customStyle="1" w:styleId="InstructionsText">
    <w:name w:val="Instructions Text"/>
    <w:basedOn w:val="BaseText"/>
    <w:rsid w:val="00EE4558"/>
  </w:style>
  <w:style w:type="paragraph" w:customStyle="1" w:styleId="Overline">
    <w:name w:val="Overline"/>
    <w:basedOn w:val="BaseText"/>
    <w:rsid w:val="00EE4558"/>
  </w:style>
  <w:style w:type="paragraph" w:customStyle="1" w:styleId="IssueName">
    <w:name w:val="IssueName"/>
    <w:basedOn w:val="Overline"/>
    <w:rsid w:val="00EE4558"/>
  </w:style>
  <w:style w:type="paragraph" w:customStyle="1" w:styleId="Keywords">
    <w:name w:val="Keywords"/>
    <w:basedOn w:val="BaseText"/>
    <w:rsid w:val="00EE4558"/>
  </w:style>
  <w:style w:type="paragraph" w:customStyle="1" w:styleId="Level3Head">
    <w:name w:val="Level 3 Head"/>
    <w:basedOn w:val="BaseHeading"/>
    <w:rsid w:val="00EE4558"/>
    <w:pPr>
      <w:outlineLvl w:val="2"/>
    </w:pPr>
    <w:rPr>
      <w:sz w:val="24"/>
      <w:szCs w:val="24"/>
      <w:u w:val="single"/>
    </w:rPr>
  </w:style>
  <w:style w:type="paragraph" w:customStyle="1" w:styleId="Level4Head">
    <w:name w:val="Level 4 Head"/>
    <w:basedOn w:val="BaseHeading"/>
    <w:rsid w:val="00EE4558"/>
    <w:pPr>
      <w:ind w:left="346"/>
    </w:pPr>
    <w:rPr>
      <w:sz w:val="24"/>
      <w:szCs w:val="24"/>
    </w:rPr>
  </w:style>
  <w:style w:type="character" w:styleId="LineNumber">
    <w:name w:val="line number"/>
    <w:basedOn w:val="DefaultParagraphFont"/>
    <w:rsid w:val="00EE4558"/>
  </w:style>
  <w:style w:type="paragraph" w:customStyle="1" w:styleId="Literaryquote">
    <w:name w:val="Literary quote"/>
    <w:basedOn w:val="BaseText"/>
    <w:rsid w:val="00EE4558"/>
    <w:pPr>
      <w:ind w:left="1440" w:right="1440"/>
    </w:pPr>
  </w:style>
  <w:style w:type="paragraph" w:customStyle="1" w:styleId="MaterialsText">
    <w:name w:val="Materials Text"/>
    <w:basedOn w:val="BaseText"/>
    <w:rsid w:val="00EE4558"/>
  </w:style>
  <w:style w:type="paragraph" w:customStyle="1" w:styleId="NoteInProof">
    <w:name w:val="NoteInProof"/>
    <w:basedOn w:val="BaseText"/>
    <w:rsid w:val="00EE4558"/>
  </w:style>
  <w:style w:type="paragraph" w:customStyle="1" w:styleId="Notes">
    <w:name w:val="Notes"/>
    <w:basedOn w:val="BaseText"/>
    <w:rsid w:val="00EE4558"/>
    <w:rPr>
      <w:i/>
    </w:rPr>
  </w:style>
  <w:style w:type="paragraph" w:customStyle="1" w:styleId="Notes-Helvetica">
    <w:name w:val="Notes-Helvetica"/>
    <w:basedOn w:val="BaseText"/>
    <w:rsid w:val="00EE4558"/>
    <w:rPr>
      <w:i/>
    </w:rPr>
  </w:style>
  <w:style w:type="paragraph" w:customStyle="1" w:styleId="NumberedInstructions">
    <w:name w:val="Numbered Instructions"/>
    <w:basedOn w:val="BaseText"/>
    <w:rsid w:val="00EE4558"/>
  </w:style>
  <w:style w:type="paragraph" w:customStyle="1" w:styleId="OutlineLevel1">
    <w:name w:val="OutlineLevel1"/>
    <w:basedOn w:val="BaseHeading"/>
    <w:rsid w:val="00EE4558"/>
    <w:rPr>
      <w:b/>
      <w:bCs/>
    </w:rPr>
  </w:style>
  <w:style w:type="paragraph" w:customStyle="1" w:styleId="OutlineLevel2">
    <w:name w:val="OutlineLevel2"/>
    <w:basedOn w:val="BaseHeading"/>
    <w:rsid w:val="00EE4558"/>
    <w:pPr>
      <w:ind w:left="360"/>
      <w:outlineLvl w:val="1"/>
    </w:pPr>
    <w:rPr>
      <w:b/>
      <w:bCs/>
      <w:sz w:val="24"/>
      <w:szCs w:val="24"/>
    </w:rPr>
  </w:style>
  <w:style w:type="paragraph" w:customStyle="1" w:styleId="OutlineLevel3">
    <w:name w:val="OutlineLevel3"/>
    <w:basedOn w:val="BaseHeading"/>
    <w:rsid w:val="00EE4558"/>
    <w:pPr>
      <w:ind w:left="720"/>
      <w:outlineLvl w:val="2"/>
    </w:pPr>
    <w:rPr>
      <w:b/>
      <w:bCs/>
      <w:sz w:val="24"/>
      <w:szCs w:val="24"/>
    </w:rPr>
  </w:style>
  <w:style w:type="character" w:styleId="PageNumber">
    <w:name w:val="page number"/>
    <w:basedOn w:val="DefaultParagraphFont"/>
    <w:rsid w:val="00EE4558"/>
  </w:style>
  <w:style w:type="paragraph" w:customStyle="1" w:styleId="Preformat">
    <w:name w:val="Preformat"/>
    <w:basedOn w:val="BaseText"/>
    <w:rsid w:val="00EE4558"/>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EE4558"/>
  </w:style>
  <w:style w:type="paragraph" w:customStyle="1" w:styleId="ProductInformation">
    <w:name w:val="ProductInformation"/>
    <w:basedOn w:val="BaseText"/>
    <w:rsid w:val="00EE4558"/>
  </w:style>
  <w:style w:type="paragraph" w:customStyle="1" w:styleId="ProductTitle">
    <w:name w:val="ProductTitle"/>
    <w:basedOn w:val="BaseText"/>
    <w:rsid w:val="00EE4558"/>
    <w:rPr>
      <w:b/>
      <w:bCs/>
    </w:rPr>
  </w:style>
  <w:style w:type="paragraph" w:customStyle="1" w:styleId="PublishedOnline">
    <w:name w:val="Published Online"/>
    <w:basedOn w:val="DateAccepted"/>
    <w:rsid w:val="00EE4558"/>
  </w:style>
  <w:style w:type="paragraph" w:customStyle="1" w:styleId="RecipeMaterials">
    <w:name w:val="Recipe Materials"/>
    <w:basedOn w:val="BaseText"/>
    <w:rsid w:val="00EE4558"/>
  </w:style>
  <w:style w:type="paragraph" w:customStyle="1" w:styleId="Refhead">
    <w:name w:val="Ref head"/>
    <w:basedOn w:val="BaseHeading"/>
    <w:rsid w:val="00EE4558"/>
    <w:pPr>
      <w:spacing w:before="120" w:after="120"/>
    </w:pPr>
    <w:rPr>
      <w:b/>
      <w:bCs/>
      <w:sz w:val="24"/>
      <w:szCs w:val="24"/>
    </w:rPr>
  </w:style>
  <w:style w:type="paragraph" w:customStyle="1" w:styleId="ReferenceNote">
    <w:name w:val="Reference Note"/>
    <w:basedOn w:val="Referencesandnotes"/>
    <w:rsid w:val="00EE4558"/>
  </w:style>
  <w:style w:type="paragraph" w:customStyle="1" w:styleId="ReferencesandnotesLong">
    <w:name w:val="References and notes Long"/>
    <w:basedOn w:val="BaseText"/>
    <w:rsid w:val="00EE4558"/>
    <w:pPr>
      <w:ind w:left="720" w:hanging="720"/>
    </w:pPr>
  </w:style>
  <w:style w:type="paragraph" w:customStyle="1" w:styleId="region">
    <w:name w:val="region"/>
    <w:basedOn w:val="BaseText"/>
    <w:rsid w:val="00EE4558"/>
    <w:pPr>
      <w:jc w:val="right"/>
    </w:pPr>
    <w:rPr>
      <w:color w:val="0000FF"/>
    </w:rPr>
  </w:style>
  <w:style w:type="paragraph" w:customStyle="1" w:styleId="RelatedArticle">
    <w:name w:val="RelatedArticle"/>
    <w:basedOn w:val="Referencesandnotes"/>
    <w:rsid w:val="00EE4558"/>
  </w:style>
  <w:style w:type="paragraph" w:customStyle="1" w:styleId="RunHead">
    <w:name w:val="RunHead"/>
    <w:basedOn w:val="BaseText"/>
    <w:rsid w:val="00EE4558"/>
  </w:style>
  <w:style w:type="paragraph" w:customStyle="1" w:styleId="SOMContent">
    <w:name w:val="SOMContent"/>
    <w:basedOn w:val="1stparatext"/>
    <w:rsid w:val="00EE4558"/>
  </w:style>
  <w:style w:type="paragraph" w:customStyle="1" w:styleId="SOMHead">
    <w:name w:val="SOMHead"/>
    <w:basedOn w:val="BaseHeading"/>
    <w:rsid w:val="00EE4558"/>
    <w:rPr>
      <w:b/>
      <w:sz w:val="24"/>
      <w:szCs w:val="24"/>
    </w:rPr>
  </w:style>
  <w:style w:type="paragraph" w:customStyle="1" w:styleId="Speaker">
    <w:name w:val="Speaker"/>
    <w:basedOn w:val="Paragraph"/>
    <w:rsid w:val="00EE4558"/>
    <w:pPr>
      <w:autoSpaceDE w:val="0"/>
      <w:autoSpaceDN w:val="0"/>
      <w:adjustRightInd w:val="0"/>
    </w:pPr>
    <w:rPr>
      <w:b/>
      <w:lang w:bidi="he-IL"/>
    </w:rPr>
  </w:style>
  <w:style w:type="paragraph" w:customStyle="1" w:styleId="Speech">
    <w:name w:val="Speech"/>
    <w:basedOn w:val="Paragraph"/>
    <w:rsid w:val="00EE4558"/>
    <w:pPr>
      <w:autoSpaceDE w:val="0"/>
      <w:autoSpaceDN w:val="0"/>
      <w:adjustRightInd w:val="0"/>
    </w:pPr>
    <w:rPr>
      <w:lang w:bidi="he-IL"/>
    </w:rPr>
  </w:style>
  <w:style w:type="character" w:styleId="Strong">
    <w:name w:val="Strong"/>
    <w:uiPriority w:val="22"/>
    <w:qFormat/>
    <w:rsid w:val="00EE4558"/>
    <w:rPr>
      <w:b/>
      <w:bCs/>
    </w:rPr>
  </w:style>
  <w:style w:type="paragraph" w:customStyle="1" w:styleId="SX-Abstract">
    <w:name w:val="SX-Abstract"/>
    <w:basedOn w:val="Normal"/>
    <w:qFormat/>
    <w:rsid w:val="00EE4558"/>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EE4558"/>
    <w:pPr>
      <w:spacing w:after="160" w:line="190" w:lineRule="exact"/>
    </w:pPr>
    <w:rPr>
      <w:rFonts w:ascii="BlissRegular" w:eastAsia="Times New Roman" w:hAnsi="BlissRegular"/>
      <w:sz w:val="16"/>
    </w:rPr>
  </w:style>
  <w:style w:type="paragraph" w:customStyle="1" w:styleId="SX-Articlehead">
    <w:name w:val="SX-Article head"/>
    <w:basedOn w:val="Normal"/>
    <w:qFormat/>
    <w:rsid w:val="00EE4558"/>
    <w:pPr>
      <w:spacing w:before="210" w:line="210" w:lineRule="exact"/>
      <w:ind w:firstLine="288"/>
      <w:jc w:val="both"/>
    </w:pPr>
    <w:rPr>
      <w:rFonts w:eastAsia="Times New Roman"/>
      <w:b/>
      <w:sz w:val="18"/>
    </w:rPr>
  </w:style>
  <w:style w:type="paragraph" w:customStyle="1" w:styleId="SX-Authornames">
    <w:name w:val="SX-Author names"/>
    <w:basedOn w:val="Normal"/>
    <w:rsid w:val="00EE4558"/>
    <w:pPr>
      <w:spacing w:after="120" w:line="210" w:lineRule="exact"/>
    </w:pPr>
    <w:rPr>
      <w:rFonts w:ascii="BlissMedium" w:eastAsia="Times New Roman" w:hAnsi="BlissMedium"/>
    </w:rPr>
  </w:style>
  <w:style w:type="paragraph" w:customStyle="1" w:styleId="SX-Bodytext">
    <w:name w:val="SX-Body text"/>
    <w:basedOn w:val="Normal"/>
    <w:next w:val="Normal"/>
    <w:rsid w:val="00EE4558"/>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EE4558"/>
    <w:pPr>
      <w:ind w:firstLine="0"/>
    </w:pPr>
  </w:style>
  <w:style w:type="paragraph" w:customStyle="1" w:styleId="SX-Correspondence">
    <w:name w:val="SX-Correspondence"/>
    <w:basedOn w:val="SX-Affiliation"/>
    <w:qFormat/>
    <w:rsid w:val="00EE4558"/>
    <w:pPr>
      <w:spacing w:after="80"/>
    </w:pPr>
  </w:style>
  <w:style w:type="paragraph" w:customStyle="1" w:styleId="SX-Date">
    <w:name w:val="SX-Date"/>
    <w:basedOn w:val="Normal"/>
    <w:qFormat/>
    <w:rsid w:val="00EE4558"/>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EE4558"/>
    <w:pPr>
      <w:autoSpaceDE w:val="0"/>
      <w:autoSpaceDN w:val="0"/>
      <w:adjustRightInd w:val="0"/>
      <w:spacing w:line="240" w:lineRule="auto"/>
      <w:jc w:val="center"/>
    </w:pPr>
  </w:style>
  <w:style w:type="paragraph" w:customStyle="1" w:styleId="SX-Legend">
    <w:name w:val="SX-Legend"/>
    <w:basedOn w:val="SX-Authornames"/>
    <w:rsid w:val="00EE4558"/>
    <w:pPr>
      <w:jc w:val="both"/>
    </w:pPr>
    <w:rPr>
      <w:sz w:val="18"/>
    </w:rPr>
  </w:style>
  <w:style w:type="paragraph" w:customStyle="1" w:styleId="SX-References">
    <w:name w:val="SX-References"/>
    <w:basedOn w:val="Normal"/>
    <w:rsid w:val="00EE4558"/>
    <w:pPr>
      <w:spacing w:line="190" w:lineRule="exact"/>
      <w:ind w:left="245" w:hanging="245"/>
      <w:jc w:val="both"/>
    </w:pPr>
    <w:rPr>
      <w:rFonts w:eastAsia="Times New Roman"/>
      <w:sz w:val="16"/>
    </w:rPr>
  </w:style>
  <w:style w:type="paragraph" w:customStyle="1" w:styleId="SX-RefHead">
    <w:name w:val="SX-RefHead"/>
    <w:basedOn w:val="Normal"/>
    <w:rsid w:val="00EE4558"/>
    <w:pPr>
      <w:spacing w:before="200" w:line="190" w:lineRule="exact"/>
    </w:pPr>
    <w:rPr>
      <w:rFonts w:eastAsia="Times New Roman"/>
      <w:b/>
      <w:sz w:val="16"/>
    </w:rPr>
  </w:style>
  <w:style w:type="character" w:customStyle="1" w:styleId="SX-reflink">
    <w:name w:val="SX-reflink"/>
    <w:uiPriority w:val="1"/>
    <w:qFormat/>
    <w:rsid w:val="00EE4558"/>
    <w:rPr>
      <w:color w:val="0000FF"/>
      <w:sz w:val="16"/>
      <w:u w:val="words"/>
      <w:bdr w:val="none" w:sz="0" w:space="0" w:color="auto"/>
      <w:shd w:val="clear" w:color="auto" w:fill="FFFFFF"/>
    </w:rPr>
  </w:style>
  <w:style w:type="paragraph" w:customStyle="1" w:styleId="SX-SOMHead">
    <w:name w:val="SX-SOMHead"/>
    <w:basedOn w:val="SX-RefHead"/>
    <w:rsid w:val="00EE4558"/>
  </w:style>
  <w:style w:type="paragraph" w:customStyle="1" w:styleId="SX-Tablehead">
    <w:name w:val="SX-Tablehead"/>
    <w:basedOn w:val="Normal"/>
    <w:qFormat/>
    <w:rsid w:val="00EE4558"/>
    <w:rPr>
      <w:rFonts w:eastAsia="Times New Roman"/>
      <w:szCs w:val="24"/>
    </w:rPr>
  </w:style>
  <w:style w:type="paragraph" w:customStyle="1" w:styleId="SX-Tablelegend">
    <w:name w:val="SX-Tablelegend"/>
    <w:basedOn w:val="Normal"/>
    <w:qFormat/>
    <w:rsid w:val="00EE4558"/>
    <w:pPr>
      <w:spacing w:line="190" w:lineRule="exact"/>
      <w:ind w:left="245" w:hanging="245"/>
      <w:jc w:val="both"/>
    </w:pPr>
    <w:rPr>
      <w:rFonts w:eastAsia="Times New Roman"/>
      <w:sz w:val="16"/>
    </w:rPr>
  </w:style>
  <w:style w:type="paragraph" w:customStyle="1" w:styleId="SX-Tabletext">
    <w:name w:val="SX-Tabletext"/>
    <w:basedOn w:val="Normal"/>
    <w:qFormat/>
    <w:rsid w:val="00EE4558"/>
    <w:pPr>
      <w:spacing w:line="210" w:lineRule="exact"/>
      <w:jc w:val="center"/>
    </w:pPr>
    <w:rPr>
      <w:rFonts w:eastAsia="Times New Roman"/>
      <w:sz w:val="18"/>
    </w:rPr>
  </w:style>
  <w:style w:type="paragraph" w:customStyle="1" w:styleId="SX-Tabletitle">
    <w:name w:val="SX-Tabletitle"/>
    <w:basedOn w:val="Normal"/>
    <w:qFormat/>
    <w:rsid w:val="00EE4558"/>
    <w:pPr>
      <w:spacing w:after="120" w:line="210" w:lineRule="exact"/>
      <w:jc w:val="both"/>
    </w:pPr>
    <w:rPr>
      <w:rFonts w:ascii="BlissMedium" w:eastAsia="Times New Roman" w:hAnsi="BlissMedium"/>
      <w:sz w:val="18"/>
    </w:rPr>
  </w:style>
  <w:style w:type="paragraph" w:customStyle="1" w:styleId="SX-Title">
    <w:name w:val="SX-Title"/>
    <w:basedOn w:val="Normal"/>
    <w:rsid w:val="00EE4558"/>
    <w:pPr>
      <w:spacing w:after="240" w:line="500" w:lineRule="exact"/>
    </w:pPr>
    <w:rPr>
      <w:rFonts w:ascii="BlissBold" w:eastAsia="Times New Roman" w:hAnsi="BlissBold"/>
      <w:b/>
      <w:sz w:val="44"/>
    </w:rPr>
  </w:style>
  <w:style w:type="paragraph" w:customStyle="1" w:styleId="Tablecolumnhead">
    <w:name w:val="Table column head"/>
    <w:basedOn w:val="BaseText"/>
    <w:rsid w:val="00EE4558"/>
    <w:pPr>
      <w:spacing w:before="0"/>
    </w:pPr>
  </w:style>
  <w:style w:type="paragraph" w:customStyle="1" w:styleId="Tabletext">
    <w:name w:val="Table text"/>
    <w:basedOn w:val="BaseText"/>
    <w:rsid w:val="00EE4558"/>
    <w:pPr>
      <w:spacing w:before="0"/>
    </w:pPr>
  </w:style>
  <w:style w:type="paragraph" w:customStyle="1" w:styleId="TableLegend">
    <w:name w:val="TableLegend"/>
    <w:basedOn w:val="BaseText"/>
    <w:rsid w:val="00EE4558"/>
    <w:pPr>
      <w:spacing w:before="0"/>
    </w:pPr>
  </w:style>
  <w:style w:type="paragraph" w:customStyle="1" w:styleId="TableTitle">
    <w:name w:val="TableTitle"/>
    <w:basedOn w:val="BaseHeading"/>
    <w:rsid w:val="00EE4558"/>
  </w:style>
  <w:style w:type="paragraph" w:customStyle="1" w:styleId="Teaser">
    <w:name w:val="Teaser"/>
    <w:basedOn w:val="BaseText"/>
    <w:rsid w:val="00EE4558"/>
  </w:style>
  <w:style w:type="paragraph" w:customStyle="1" w:styleId="TWIS">
    <w:name w:val="TWIS"/>
    <w:basedOn w:val="AbstractSummary"/>
    <w:rsid w:val="00EE4558"/>
    <w:pPr>
      <w:autoSpaceDE w:val="0"/>
      <w:autoSpaceDN w:val="0"/>
      <w:adjustRightInd w:val="0"/>
    </w:pPr>
  </w:style>
  <w:style w:type="paragraph" w:customStyle="1" w:styleId="TWISorEC">
    <w:name w:val="TWIS or EC"/>
    <w:basedOn w:val="Normal"/>
    <w:rsid w:val="00EE4558"/>
    <w:pPr>
      <w:spacing w:line="210" w:lineRule="exact"/>
    </w:pPr>
    <w:rPr>
      <w:rFonts w:ascii="BlissRegular" w:eastAsia="Times New Roman" w:hAnsi="BlissRegular"/>
      <w:sz w:val="19"/>
    </w:rPr>
  </w:style>
  <w:style w:type="paragraph" w:customStyle="1" w:styleId="work-sector">
    <w:name w:val="work-sector"/>
    <w:basedOn w:val="BaseText"/>
    <w:rsid w:val="00EE4558"/>
    <w:pPr>
      <w:jc w:val="right"/>
    </w:pPr>
    <w:rPr>
      <w:color w:val="003300"/>
    </w:rPr>
  </w:style>
  <w:style w:type="paragraph" w:customStyle="1" w:styleId="DOI">
    <w:name w:val="DOI"/>
    <w:basedOn w:val="DateAccepted"/>
    <w:qFormat/>
    <w:rsid w:val="00EE4558"/>
  </w:style>
  <w:style w:type="character" w:customStyle="1" w:styleId="custom-cit-author">
    <w:name w:val="custom-cit-author"/>
    <w:basedOn w:val="DefaultParagraphFont"/>
    <w:rsid w:val="00EE4558"/>
  </w:style>
  <w:style w:type="character" w:customStyle="1" w:styleId="custom-cit-title">
    <w:name w:val="custom-cit-title"/>
    <w:basedOn w:val="DefaultParagraphFont"/>
    <w:rsid w:val="00EE4558"/>
  </w:style>
  <w:style w:type="character" w:customStyle="1" w:styleId="custom-cit-jour-title">
    <w:name w:val="custom-cit-jour-title"/>
    <w:basedOn w:val="DefaultParagraphFont"/>
    <w:rsid w:val="00EE4558"/>
  </w:style>
  <w:style w:type="character" w:customStyle="1" w:styleId="custom-cit-volume">
    <w:name w:val="custom-cit-volume"/>
    <w:basedOn w:val="DefaultParagraphFont"/>
    <w:rsid w:val="00EE4558"/>
  </w:style>
  <w:style w:type="character" w:customStyle="1" w:styleId="custom-cit-volume-sep">
    <w:name w:val="custom-cit-volume-sep"/>
    <w:basedOn w:val="DefaultParagraphFont"/>
    <w:rsid w:val="00EE4558"/>
  </w:style>
  <w:style w:type="character" w:customStyle="1" w:styleId="custom-cit-fpage">
    <w:name w:val="custom-cit-fpage"/>
    <w:basedOn w:val="DefaultParagraphFont"/>
    <w:rsid w:val="00EE4558"/>
  </w:style>
  <w:style w:type="character" w:customStyle="1" w:styleId="custom-cit-date">
    <w:name w:val="custom-cit-date"/>
    <w:basedOn w:val="DefaultParagraphFont"/>
    <w:rsid w:val="00EE4558"/>
  </w:style>
  <w:style w:type="paragraph" w:styleId="ListParagraph">
    <w:name w:val="List Paragraph"/>
    <w:basedOn w:val="Normal"/>
    <w:uiPriority w:val="34"/>
    <w:qFormat/>
    <w:rsid w:val="00EE4558"/>
    <w:pPr>
      <w:ind w:left="720"/>
      <w:jc w:val="both"/>
    </w:pPr>
    <w:rPr>
      <w:rFonts w:ascii="Arial" w:eastAsia="Times New Roman" w:hAnsi="Arial"/>
      <w:sz w:val="22"/>
      <w:szCs w:val="24"/>
    </w:rPr>
  </w:style>
  <w:style w:type="paragraph" w:customStyle="1" w:styleId="Default">
    <w:name w:val="Default"/>
    <w:rsid w:val="00EE455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EE45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E4558"/>
    <w:rPr>
      <w:sz w:val="24"/>
      <w:szCs w:val="24"/>
    </w:rPr>
  </w:style>
  <w:style w:type="paragraph" w:customStyle="1" w:styleId="EndNoteBibliographyTitle">
    <w:name w:val="EndNote Bibliography Title"/>
    <w:basedOn w:val="Normal"/>
    <w:link w:val="EndNoteBibliographyTitleChar"/>
    <w:rsid w:val="00EE4558"/>
    <w:pPr>
      <w:jc w:val="center"/>
    </w:pPr>
    <w:rPr>
      <w:noProof/>
    </w:rPr>
  </w:style>
  <w:style w:type="character" w:customStyle="1" w:styleId="EndNoteBibliographyTitleChar">
    <w:name w:val="EndNote Bibliography Title Char"/>
    <w:basedOn w:val="DefaultParagraphFont"/>
    <w:link w:val="EndNoteBibliographyTitle"/>
    <w:rsid w:val="00EE4558"/>
    <w:rPr>
      <w:rFonts w:ascii="Times New Roman" w:eastAsia="Calibri" w:hAnsi="Times New Roman" w:cs="Times New Roman"/>
      <w:noProof/>
      <w:sz w:val="20"/>
      <w:szCs w:val="20"/>
    </w:rPr>
  </w:style>
  <w:style w:type="paragraph" w:customStyle="1" w:styleId="EndNoteBibliography">
    <w:name w:val="EndNote Bibliography"/>
    <w:basedOn w:val="Normal"/>
    <w:link w:val="EndNoteBibliographyChar"/>
    <w:rsid w:val="00EE4558"/>
    <w:pPr>
      <w:jc w:val="both"/>
    </w:pPr>
    <w:rPr>
      <w:noProof/>
    </w:rPr>
  </w:style>
  <w:style w:type="character" w:customStyle="1" w:styleId="EndNoteBibliographyChar">
    <w:name w:val="EndNote Bibliography Char"/>
    <w:basedOn w:val="DefaultParagraphFont"/>
    <w:link w:val="EndNoteBibliography"/>
    <w:rsid w:val="00EE4558"/>
    <w:rPr>
      <w:rFonts w:ascii="Times New Roman" w:eastAsia="Calibri"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9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cgowan@pit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sc.tech-res.com/safetyandpharmacovigi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B1990-2416-4F2E-95D0-A5E4DAE1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5946</Words>
  <Characters>33895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McGowan</dc:creator>
  <cp:lastModifiedBy>Ian McGowan</cp:lastModifiedBy>
  <cp:revision>3</cp:revision>
  <dcterms:created xsi:type="dcterms:W3CDTF">2016-07-27T10:40:00Z</dcterms:created>
  <dcterms:modified xsi:type="dcterms:W3CDTF">2016-07-28T06:40:00Z</dcterms:modified>
</cp:coreProperties>
</file>