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7CA" w:rsidRPr="00F567CA" w:rsidRDefault="00421AAD" w:rsidP="00A13966">
      <w:pPr>
        <w:ind w:firstLine="0"/>
        <w:rPr>
          <w:rFonts w:ascii="Times New Roman" w:eastAsiaTheme="minorEastAsia" w:hAnsi="Times New Roman"/>
          <w:sz w:val="24"/>
          <w:lang w:eastAsia="zh-CN" w:bidi="ar-SA"/>
        </w:rPr>
      </w:pPr>
      <w:r>
        <w:rPr>
          <w:rFonts w:ascii="Times New Roman" w:eastAsiaTheme="minorEastAsia" w:hAnsi="Times New Roman"/>
          <w:sz w:val="24"/>
          <w:lang w:eastAsia="zh-CN" w:bidi="ar-SA"/>
        </w:rPr>
        <w:t>Post</w:t>
      </w:r>
      <w:bookmarkStart w:id="0" w:name="_GoBack"/>
      <w:bookmarkEnd w:id="0"/>
      <w:r w:rsidR="00F567CA" w:rsidRPr="00F567CA">
        <w:rPr>
          <w:rFonts w:ascii="Times New Roman" w:eastAsiaTheme="minorEastAsia" w:hAnsi="Times New Roman"/>
          <w:sz w:val="24"/>
          <w:lang w:eastAsia="zh-CN" w:bidi="ar-SA"/>
        </w:rPr>
        <w:t>-print version</w:t>
      </w:r>
    </w:p>
    <w:p w:rsidR="00F567CA" w:rsidRDefault="00F567CA" w:rsidP="00A13966">
      <w:pPr>
        <w:ind w:firstLine="0"/>
        <w:rPr>
          <w:rFonts w:ascii="Times New Roman" w:hAnsi="Times New Roman"/>
          <w:color w:val="333333"/>
          <w:spacing w:val="4"/>
          <w:sz w:val="24"/>
          <w:shd w:val="clear" w:color="auto" w:fill="FCFCFC"/>
        </w:rPr>
      </w:pPr>
      <w:r w:rsidRPr="00F567CA">
        <w:rPr>
          <w:rFonts w:ascii="Times New Roman" w:hAnsi="Times New Roman"/>
          <w:sz w:val="24"/>
        </w:rPr>
        <w:t>DOI</w:t>
      </w:r>
      <w:r w:rsidRPr="00F567CA">
        <w:rPr>
          <w:rFonts w:ascii="Times New Roman" w:hAnsi="Times New Roman"/>
          <w:color w:val="333333"/>
          <w:spacing w:val="4"/>
          <w:sz w:val="24"/>
          <w:shd w:val="clear" w:color="auto" w:fill="FCFCFC"/>
        </w:rPr>
        <w:t>: 10.1007/s10311-016-0582-2</w:t>
      </w:r>
    </w:p>
    <w:p w:rsidR="00F567CA" w:rsidRDefault="00F567CA" w:rsidP="00A13966">
      <w:pPr>
        <w:ind w:firstLine="0"/>
        <w:rPr>
          <w:rFonts w:ascii="Times New Roman" w:hAnsi="Times New Roman"/>
          <w:sz w:val="24"/>
        </w:rPr>
      </w:pPr>
      <w:r>
        <w:rPr>
          <w:rFonts w:ascii="Times New Roman" w:hAnsi="Times New Roman"/>
          <w:sz w:val="24"/>
        </w:rPr>
        <w:t>Accepted</w:t>
      </w:r>
      <w:r w:rsidR="00FF6E75">
        <w:rPr>
          <w:rFonts w:ascii="Times New Roman" w:hAnsi="Times New Roman"/>
          <w:sz w:val="24"/>
        </w:rPr>
        <w:t>:</w:t>
      </w:r>
      <w:r>
        <w:rPr>
          <w:rFonts w:ascii="Times New Roman" w:hAnsi="Times New Roman"/>
          <w:sz w:val="24"/>
        </w:rPr>
        <w:t xml:space="preserve"> 12</w:t>
      </w:r>
      <w:r w:rsidRPr="00F567CA">
        <w:rPr>
          <w:rFonts w:ascii="Times New Roman" w:hAnsi="Times New Roman"/>
          <w:sz w:val="24"/>
          <w:vertAlign w:val="superscript"/>
        </w:rPr>
        <w:t>th</w:t>
      </w:r>
      <w:r>
        <w:rPr>
          <w:rFonts w:ascii="Times New Roman" w:hAnsi="Times New Roman"/>
          <w:sz w:val="24"/>
        </w:rPr>
        <w:t xml:space="preserve"> September 2016</w:t>
      </w:r>
    </w:p>
    <w:p w:rsidR="00FF6E75" w:rsidRDefault="00FF6E75" w:rsidP="00A13966">
      <w:pPr>
        <w:ind w:firstLine="0"/>
        <w:rPr>
          <w:rFonts w:ascii="Times New Roman" w:hAnsi="Times New Roman"/>
          <w:sz w:val="24"/>
        </w:rPr>
      </w:pPr>
      <w:r>
        <w:rPr>
          <w:rFonts w:ascii="Times New Roman" w:hAnsi="Times New Roman"/>
          <w:sz w:val="24"/>
        </w:rPr>
        <w:t>Published: 22</w:t>
      </w:r>
      <w:r w:rsidRPr="00FF6E75">
        <w:rPr>
          <w:rFonts w:ascii="Times New Roman" w:hAnsi="Times New Roman"/>
          <w:sz w:val="24"/>
          <w:vertAlign w:val="superscript"/>
        </w:rPr>
        <w:t>nd</w:t>
      </w:r>
      <w:r>
        <w:rPr>
          <w:rFonts w:ascii="Times New Roman" w:hAnsi="Times New Roman"/>
          <w:sz w:val="24"/>
        </w:rPr>
        <w:t xml:space="preserve"> September 2016</w:t>
      </w:r>
    </w:p>
    <w:p w:rsidR="00FF6E75" w:rsidRPr="00F567CA" w:rsidRDefault="00FF6E75" w:rsidP="00A13966">
      <w:pPr>
        <w:ind w:firstLine="0"/>
        <w:rPr>
          <w:rFonts w:ascii="Times New Roman" w:eastAsiaTheme="minorEastAsia" w:hAnsi="Times New Roman"/>
          <w:sz w:val="24"/>
          <w:lang w:eastAsia="zh-CN" w:bidi="ar-SA"/>
        </w:rPr>
      </w:pPr>
      <w:r>
        <w:rPr>
          <w:rFonts w:ascii="Times New Roman" w:hAnsi="Times New Roman"/>
          <w:sz w:val="24"/>
        </w:rPr>
        <w:t>Embargo period: 12 months</w:t>
      </w:r>
    </w:p>
    <w:p w:rsidR="00F567CA" w:rsidRDefault="00F567CA" w:rsidP="00A13966">
      <w:pPr>
        <w:ind w:firstLine="0"/>
        <w:rPr>
          <w:rFonts w:ascii="Times New Roman" w:eastAsiaTheme="minorEastAsia" w:hAnsi="Times New Roman"/>
          <w:b/>
          <w:sz w:val="28"/>
          <w:szCs w:val="28"/>
          <w:lang w:eastAsia="zh-CN" w:bidi="ar-SA"/>
        </w:rPr>
      </w:pPr>
    </w:p>
    <w:p w:rsidR="002455EF" w:rsidRDefault="00A13966" w:rsidP="00A13966">
      <w:pPr>
        <w:ind w:firstLine="0"/>
        <w:rPr>
          <w:rFonts w:ascii="Times New Roman" w:eastAsiaTheme="minorEastAsia" w:hAnsi="Times New Roman"/>
          <w:b/>
          <w:sz w:val="28"/>
          <w:szCs w:val="28"/>
          <w:lang w:eastAsia="zh-CN" w:bidi="ar-SA"/>
        </w:rPr>
      </w:pPr>
      <w:r w:rsidRPr="00A13966">
        <w:rPr>
          <w:rFonts w:ascii="Times New Roman" w:eastAsiaTheme="minorEastAsia" w:hAnsi="Times New Roman"/>
          <w:b/>
          <w:sz w:val="28"/>
          <w:szCs w:val="28"/>
          <w:lang w:eastAsia="zh-CN" w:bidi="ar-SA"/>
        </w:rPr>
        <w:t>Unexpected removal of the most neutral cationic pharmaceutical in river waters</w:t>
      </w:r>
    </w:p>
    <w:p w:rsidR="00A13966" w:rsidRPr="00A13966" w:rsidRDefault="00A13966" w:rsidP="00A13966">
      <w:pPr>
        <w:ind w:firstLine="0"/>
        <w:rPr>
          <w:rFonts w:ascii="Times New Roman" w:hAnsi="Times New Roman"/>
          <w:b/>
        </w:rPr>
      </w:pPr>
    </w:p>
    <w:p w:rsidR="002455EF" w:rsidRPr="00327435" w:rsidRDefault="002455EF" w:rsidP="00204796">
      <w:pPr>
        <w:spacing w:line="480" w:lineRule="auto"/>
        <w:ind w:left="0" w:firstLine="0"/>
        <w:jc w:val="center"/>
        <w:rPr>
          <w:rFonts w:ascii="Times New Roman" w:hAnsi="Times New Roman"/>
          <w:b/>
          <w:bCs/>
          <w:sz w:val="24"/>
        </w:rPr>
      </w:pPr>
      <w:r w:rsidRPr="00327435">
        <w:rPr>
          <w:rFonts w:ascii="Times New Roman" w:hAnsi="Times New Roman"/>
          <w:b/>
          <w:bCs/>
          <w:sz w:val="24"/>
        </w:rPr>
        <w:t>Alan D Tappin</w:t>
      </w:r>
      <w:r w:rsidRPr="00327435">
        <w:rPr>
          <w:rFonts w:ascii="Times New Roman" w:hAnsi="Times New Roman"/>
          <w:b/>
          <w:bCs/>
          <w:sz w:val="24"/>
          <w:vertAlign w:val="superscript"/>
        </w:rPr>
        <w:t>a</w:t>
      </w:r>
      <w:r w:rsidRPr="00327435">
        <w:rPr>
          <w:rFonts w:ascii="Times New Roman" w:hAnsi="Times New Roman"/>
          <w:b/>
          <w:bCs/>
          <w:sz w:val="24"/>
        </w:rPr>
        <w:t>, J Paul Loughnane</w:t>
      </w:r>
      <w:r w:rsidRPr="00327435">
        <w:rPr>
          <w:rFonts w:ascii="Times New Roman" w:hAnsi="Times New Roman"/>
          <w:b/>
          <w:bCs/>
          <w:sz w:val="24"/>
          <w:vertAlign w:val="superscript"/>
        </w:rPr>
        <w:t>b</w:t>
      </w:r>
      <w:r w:rsidRPr="00327435">
        <w:rPr>
          <w:rFonts w:ascii="Times New Roman" w:hAnsi="Times New Roman"/>
          <w:b/>
          <w:bCs/>
          <w:sz w:val="24"/>
        </w:rPr>
        <w:t xml:space="preserve">, Alan </w:t>
      </w:r>
      <w:r>
        <w:rPr>
          <w:rFonts w:ascii="Times New Roman" w:hAnsi="Times New Roman"/>
          <w:b/>
          <w:bCs/>
          <w:sz w:val="24"/>
        </w:rPr>
        <w:t xml:space="preserve">J. </w:t>
      </w:r>
      <w:r w:rsidRPr="00327435">
        <w:rPr>
          <w:rFonts w:ascii="Times New Roman" w:hAnsi="Times New Roman"/>
          <w:b/>
          <w:bCs/>
          <w:sz w:val="24"/>
        </w:rPr>
        <w:t>McCarthy</w:t>
      </w:r>
      <w:r w:rsidRPr="00327435">
        <w:rPr>
          <w:rFonts w:ascii="Times New Roman" w:hAnsi="Times New Roman"/>
          <w:b/>
          <w:bCs/>
          <w:sz w:val="24"/>
          <w:vertAlign w:val="superscript"/>
        </w:rPr>
        <w:t>b</w:t>
      </w:r>
      <w:r w:rsidRPr="00327435">
        <w:rPr>
          <w:rFonts w:ascii="Times New Roman" w:hAnsi="Times New Roman"/>
          <w:b/>
          <w:bCs/>
          <w:sz w:val="24"/>
        </w:rPr>
        <w:t xml:space="preserve"> and Mark F Fitzsimons</w:t>
      </w:r>
      <w:r w:rsidRPr="00327435">
        <w:rPr>
          <w:rFonts w:ascii="Times New Roman" w:hAnsi="Times New Roman"/>
          <w:b/>
          <w:bCs/>
          <w:sz w:val="24"/>
          <w:vertAlign w:val="superscript"/>
        </w:rPr>
        <w:t>a</w:t>
      </w:r>
      <w:r>
        <w:rPr>
          <w:rFonts w:ascii="Times New Roman" w:hAnsi="Times New Roman"/>
          <w:b/>
          <w:bCs/>
          <w:sz w:val="24"/>
          <w:vertAlign w:val="superscript"/>
        </w:rPr>
        <w:t>,*</w:t>
      </w:r>
    </w:p>
    <w:p w:rsidR="002455EF" w:rsidRPr="00327435" w:rsidRDefault="002455EF" w:rsidP="00204796">
      <w:pPr>
        <w:spacing w:line="480" w:lineRule="auto"/>
        <w:ind w:firstLine="0"/>
        <w:rPr>
          <w:rFonts w:ascii="Times New Roman" w:hAnsi="Times New Roman"/>
          <w:sz w:val="24"/>
        </w:rPr>
      </w:pPr>
    </w:p>
    <w:p w:rsidR="002455EF" w:rsidRPr="00327435" w:rsidRDefault="002455EF" w:rsidP="00A67EFB">
      <w:pPr>
        <w:spacing w:line="480" w:lineRule="auto"/>
        <w:ind w:left="0" w:firstLine="0"/>
        <w:jc w:val="left"/>
        <w:rPr>
          <w:rFonts w:ascii="Times New Roman" w:hAnsi="Times New Roman"/>
          <w:sz w:val="24"/>
        </w:rPr>
      </w:pPr>
      <w:r w:rsidRPr="00327435">
        <w:rPr>
          <w:rFonts w:ascii="Times New Roman" w:hAnsi="Times New Roman"/>
          <w:sz w:val="24"/>
          <w:vertAlign w:val="superscript"/>
        </w:rPr>
        <w:t xml:space="preserve">a </w:t>
      </w:r>
      <w:r w:rsidRPr="00327435">
        <w:rPr>
          <w:rFonts w:ascii="Times New Roman" w:eastAsia="Times New Roman" w:hAnsi="Times New Roman"/>
          <w:sz w:val="24"/>
        </w:rPr>
        <w:t>School of Geography, Earth and Environmental Sciences</w:t>
      </w:r>
      <w:r w:rsidRPr="00327435">
        <w:rPr>
          <w:rFonts w:ascii="Times New Roman" w:hAnsi="Times New Roman"/>
          <w:sz w:val="24"/>
        </w:rPr>
        <w:t>, Plymouth University, Plymouth, PL4 8AA, UK</w:t>
      </w:r>
    </w:p>
    <w:p w:rsidR="002455EF" w:rsidRPr="00327435" w:rsidRDefault="002455EF" w:rsidP="00204796">
      <w:pPr>
        <w:spacing w:line="480" w:lineRule="auto"/>
        <w:ind w:left="0" w:firstLine="0"/>
        <w:jc w:val="left"/>
        <w:rPr>
          <w:rFonts w:ascii="Times New Roman" w:hAnsi="Times New Roman"/>
          <w:sz w:val="24"/>
        </w:rPr>
      </w:pPr>
      <w:r w:rsidRPr="00327435">
        <w:rPr>
          <w:rFonts w:ascii="Times New Roman" w:hAnsi="Times New Roman"/>
          <w:sz w:val="24"/>
          <w:vertAlign w:val="superscript"/>
        </w:rPr>
        <w:t>b</w:t>
      </w:r>
      <w:r w:rsidRPr="00327435">
        <w:rPr>
          <w:rFonts w:ascii="Times New Roman" w:hAnsi="Times New Roman"/>
          <w:sz w:val="24"/>
        </w:rPr>
        <w:t xml:space="preserve"> Microbiology Research Group, Institute of Integrative Biology, University of Liverpool, Liverpool, L69 7ZB, UK</w:t>
      </w:r>
    </w:p>
    <w:p w:rsidR="002455EF" w:rsidRPr="00327435" w:rsidRDefault="002455EF" w:rsidP="00204796">
      <w:pPr>
        <w:spacing w:line="480" w:lineRule="auto"/>
        <w:ind w:left="0" w:firstLine="0"/>
        <w:rPr>
          <w:rFonts w:ascii="Times New Roman" w:hAnsi="Times New Roman"/>
          <w:sz w:val="24"/>
        </w:rPr>
      </w:pPr>
    </w:p>
    <w:p w:rsidR="002455EF" w:rsidRPr="00327435" w:rsidRDefault="002455EF" w:rsidP="00204796">
      <w:pPr>
        <w:spacing w:line="480" w:lineRule="auto"/>
        <w:ind w:left="0" w:firstLine="0"/>
        <w:rPr>
          <w:rFonts w:ascii="Times New Roman" w:hAnsi="Times New Roman"/>
          <w:sz w:val="24"/>
        </w:rPr>
      </w:pPr>
    </w:p>
    <w:p w:rsidR="003B5A24" w:rsidRDefault="003B5A24" w:rsidP="00204796">
      <w:pPr>
        <w:spacing w:line="480" w:lineRule="auto"/>
        <w:ind w:left="0" w:firstLine="0"/>
        <w:rPr>
          <w:rFonts w:ascii="Times New Roman" w:hAnsi="Times New Roman"/>
          <w:sz w:val="24"/>
          <w:vertAlign w:val="superscript"/>
        </w:rPr>
      </w:pPr>
    </w:p>
    <w:p w:rsidR="003B5A24" w:rsidRDefault="003B5A24" w:rsidP="00204796">
      <w:pPr>
        <w:spacing w:line="480" w:lineRule="auto"/>
        <w:ind w:left="0" w:firstLine="0"/>
        <w:rPr>
          <w:rFonts w:ascii="Times New Roman" w:hAnsi="Times New Roman"/>
          <w:sz w:val="24"/>
          <w:vertAlign w:val="superscript"/>
        </w:rPr>
      </w:pPr>
    </w:p>
    <w:p w:rsidR="003B5A24" w:rsidRDefault="003B5A24" w:rsidP="00204796">
      <w:pPr>
        <w:spacing w:line="480" w:lineRule="auto"/>
        <w:ind w:left="0" w:firstLine="0"/>
        <w:rPr>
          <w:rFonts w:ascii="Times New Roman" w:hAnsi="Times New Roman"/>
          <w:sz w:val="24"/>
          <w:vertAlign w:val="superscript"/>
        </w:rPr>
      </w:pPr>
    </w:p>
    <w:p w:rsidR="003B5A24" w:rsidRDefault="003B5A24" w:rsidP="00204796">
      <w:pPr>
        <w:spacing w:line="480" w:lineRule="auto"/>
        <w:ind w:left="0" w:firstLine="0"/>
        <w:rPr>
          <w:rFonts w:ascii="Times New Roman" w:hAnsi="Times New Roman"/>
          <w:sz w:val="24"/>
          <w:vertAlign w:val="superscript"/>
        </w:rPr>
      </w:pPr>
    </w:p>
    <w:p w:rsidR="003B5A24" w:rsidRDefault="003B5A24" w:rsidP="00204796">
      <w:pPr>
        <w:spacing w:line="480" w:lineRule="auto"/>
        <w:ind w:left="0" w:firstLine="0"/>
        <w:rPr>
          <w:rFonts w:ascii="Times New Roman" w:hAnsi="Times New Roman"/>
          <w:sz w:val="24"/>
          <w:vertAlign w:val="superscript"/>
        </w:rPr>
      </w:pPr>
    </w:p>
    <w:p w:rsidR="003B5A24" w:rsidRDefault="003B5A24" w:rsidP="00204796">
      <w:pPr>
        <w:spacing w:line="480" w:lineRule="auto"/>
        <w:ind w:left="0" w:firstLine="0"/>
        <w:rPr>
          <w:rFonts w:ascii="Times New Roman" w:hAnsi="Times New Roman"/>
          <w:sz w:val="24"/>
          <w:vertAlign w:val="superscript"/>
        </w:rPr>
      </w:pPr>
    </w:p>
    <w:p w:rsidR="003B5A24" w:rsidRDefault="003B5A24" w:rsidP="00204796">
      <w:pPr>
        <w:spacing w:line="480" w:lineRule="auto"/>
        <w:ind w:left="0" w:firstLine="0"/>
        <w:rPr>
          <w:rFonts w:ascii="Times New Roman" w:hAnsi="Times New Roman"/>
          <w:sz w:val="24"/>
          <w:vertAlign w:val="superscript"/>
        </w:rPr>
      </w:pPr>
    </w:p>
    <w:p w:rsidR="003B5A24" w:rsidRDefault="003B5A24" w:rsidP="00204796">
      <w:pPr>
        <w:spacing w:line="480" w:lineRule="auto"/>
        <w:ind w:left="0" w:firstLine="0"/>
        <w:rPr>
          <w:rFonts w:ascii="Times New Roman" w:hAnsi="Times New Roman"/>
          <w:sz w:val="24"/>
          <w:vertAlign w:val="superscript"/>
        </w:rPr>
      </w:pPr>
    </w:p>
    <w:p w:rsidR="002455EF" w:rsidRPr="00327435" w:rsidRDefault="002455EF" w:rsidP="00204796">
      <w:pPr>
        <w:spacing w:line="480" w:lineRule="auto"/>
        <w:ind w:left="0" w:firstLine="0"/>
        <w:rPr>
          <w:rFonts w:ascii="Times New Roman" w:hAnsi="Times New Roman"/>
          <w:sz w:val="24"/>
        </w:rPr>
      </w:pPr>
      <w:r w:rsidRPr="00327435">
        <w:rPr>
          <w:rFonts w:ascii="Times New Roman" w:hAnsi="Times New Roman"/>
          <w:sz w:val="24"/>
          <w:vertAlign w:val="superscript"/>
        </w:rPr>
        <w:t>*</w:t>
      </w:r>
      <w:r w:rsidRPr="00327435">
        <w:rPr>
          <w:rFonts w:ascii="Times New Roman" w:hAnsi="Times New Roman"/>
          <w:sz w:val="24"/>
        </w:rPr>
        <w:t xml:space="preserve">Corresponding author </w:t>
      </w:r>
    </w:p>
    <w:p w:rsidR="002455EF" w:rsidRPr="0020022C" w:rsidRDefault="002455EF" w:rsidP="00204796">
      <w:pPr>
        <w:spacing w:line="480" w:lineRule="auto"/>
        <w:ind w:left="0" w:firstLine="0"/>
        <w:rPr>
          <w:rFonts w:ascii="Times New Roman" w:hAnsi="Times New Roman"/>
          <w:sz w:val="24"/>
          <w:lang w:val="fr-FR"/>
        </w:rPr>
      </w:pPr>
      <w:r w:rsidRPr="0020022C">
        <w:rPr>
          <w:rFonts w:ascii="Times New Roman" w:hAnsi="Times New Roman"/>
          <w:sz w:val="24"/>
          <w:lang w:val="fr-FR"/>
        </w:rPr>
        <w:t>tel: +44 (0)1752 584572</w:t>
      </w:r>
    </w:p>
    <w:p w:rsidR="002455EF" w:rsidRPr="0020022C" w:rsidRDefault="002455EF" w:rsidP="00204796">
      <w:pPr>
        <w:spacing w:line="480" w:lineRule="auto"/>
        <w:ind w:left="0" w:firstLine="0"/>
        <w:rPr>
          <w:rFonts w:ascii="Times New Roman" w:hAnsi="Times New Roman"/>
          <w:sz w:val="24"/>
          <w:lang w:val="fr-FR"/>
        </w:rPr>
      </w:pPr>
      <w:r w:rsidRPr="0020022C">
        <w:rPr>
          <w:rFonts w:ascii="Times New Roman" w:hAnsi="Times New Roman"/>
          <w:sz w:val="24"/>
          <w:lang w:val="fr-FR"/>
        </w:rPr>
        <w:t>fax: +44 (0)1752 584710</w:t>
      </w:r>
    </w:p>
    <w:p w:rsidR="002455EF" w:rsidRPr="0020022C" w:rsidRDefault="002455EF" w:rsidP="00204796">
      <w:pPr>
        <w:spacing w:line="480" w:lineRule="auto"/>
        <w:ind w:left="0" w:firstLine="0"/>
        <w:rPr>
          <w:rFonts w:ascii="Times New Roman" w:hAnsi="Times New Roman"/>
          <w:sz w:val="24"/>
          <w:lang w:val="fr-FR"/>
        </w:rPr>
      </w:pPr>
      <w:r w:rsidRPr="0020022C">
        <w:rPr>
          <w:rFonts w:ascii="Times New Roman" w:hAnsi="Times New Roman"/>
          <w:sz w:val="24"/>
          <w:lang w:val="fr-FR"/>
        </w:rPr>
        <w:t>email: mfitzsimons@plymouth.ac.uk</w:t>
      </w:r>
    </w:p>
    <w:p w:rsidR="002455EF" w:rsidRPr="006C41BD" w:rsidRDefault="002455EF" w:rsidP="00723F96">
      <w:pPr>
        <w:spacing w:line="360" w:lineRule="auto"/>
        <w:ind w:left="0" w:firstLine="0"/>
        <w:jc w:val="left"/>
        <w:rPr>
          <w:rFonts w:ascii="Times New Roman" w:hAnsi="Times New Roman"/>
          <w:iCs/>
          <w:lang w:bidi="ar-SA"/>
        </w:rPr>
      </w:pPr>
      <w:r w:rsidRPr="0020022C">
        <w:rPr>
          <w:rFonts w:ascii="Times New Roman" w:hAnsi="Times New Roman"/>
          <w:lang w:val="fr-FR"/>
        </w:rPr>
        <w:br w:type="page"/>
      </w:r>
      <w:r w:rsidRPr="006C41BD">
        <w:rPr>
          <w:rFonts w:ascii="Times New Roman" w:hAnsi="Times New Roman"/>
          <w:b/>
          <w:sz w:val="24"/>
        </w:rPr>
        <w:lastRenderedPageBreak/>
        <w:t>Abstract</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Contamination of surface waters by pharmaceuticals is now widespread. There are few data</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on their environmental behaviour, particularly for those which are cationic at typical surface-</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 xml:space="preserve">water pH. As the external surfaces of bacterio-plankton cells are hydrophilic with a net </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 xml:space="preserve">negative charge, it was anticipated that bacterio-plankton in surface-waters would </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 xml:space="preserve">preferentially remove the most extensively-ionised cation at a given pH. To test this </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 xml:space="preserve">hypothesis, the persistence of four widely-used, cationic pharmaceuticals, chloroquine, </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quinine, fluphenazine and levamisole, was assessed in batch microcosms, comprising river-</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 xml:space="preserve">water and bacterio-plankton, to which pharmaceuticals were added and incubated for 21 days. </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 xml:space="preserve">Results show that levamisole concentrations decreased by 19 % in microcosms containing </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 xml:space="preserve">bacterio-plankton, and by 13 % in parallel microcosms containing tripeptide as a priming </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 xml:space="preserve">agent. In contrast to levamisole, concentrations of quinine, chloroquine and fluphenazine </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 xml:space="preserve">were unchanged over 21 days in microcosms containing bacterio-plankton. At the river-water </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 xml:space="preserve">pH, levamisole is 28 % cationic, while quinine is 91-98 % cationic, chloroquine 99 % </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 xml:space="preserve">cationic, and fluphenazine 72–86 % cationic. Thus the most neutral compound, levamisole, </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 xml:space="preserve">showed greatest removal, </w:t>
      </w:r>
      <w:r w:rsidRPr="00F35ACC">
        <w:rPr>
          <w:rFonts w:ascii="Times New Roman" w:hAnsi="Times New Roman"/>
          <w:sz w:val="24"/>
        </w:rPr>
        <w:t>contradicting</w:t>
      </w:r>
      <w:r>
        <w:rPr>
          <w:rFonts w:ascii="Times New Roman" w:hAnsi="Times New Roman"/>
          <w:sz w:val="24"/>
        </w:rPr>
        <w:t xml:space="preserve"> the expected bacterio-plankton preference for ionised </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molecules. However, levamisole was the most hydrophilic molecule, based on its octanol-</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water solubility coefficient (K</w:t>
      </w:r>
      <w:r>
        <w:rPr>
          <w:rFonts w:ascii="Times New Roman" w:hAnsi="Times New Roman"/>
          <w:sz w:val="16"/>
          <w:szCs w:val="16"/>
        </w:rPr>
        <w:t>ow</w:t>
      </w:r>
      <w:r>
        <w:rPr>
          <w:rFonts w:ascii="Times New Roman" w:hAnsi="Times New Roman"/>
          <w:sz w:val="24"/>
        </w:rPr>
        <w:t xml:space="preserve">). Overall the pattern of pharmaceutical behaviour within the </w:t>
      </w:r>
    </w:p>
    <w:p w:rsidR="00A13966" w:rsidRDefault="00A13966" w:rsidP="00A13966">
      <w:pPr>
        <w:autoSpaceDE w:val="0"/>
        <w:autoSpaceDN w:val="0"/>
        <w:adjustRightInd w:val="0"/>
        <w:spacing w:line="480" w:lineRule="auto"/>
        <w:rPr>
          <w:rFonts w:ascii="Times New Roman" w:hAnsi="Times New Roman"/>
          <w:sz w:val="24"/>
        </w:rPr>
      </w:pPr>
      <w:r>
        <w:rPr>
          <w:rFonts w:ascii="Times New Roman" w:hAnsi="Times New Roman"/>
          <w:sz w:val="24"/>
        </w:rPr>
        <w:t xml:space="preserve">incubations did not reflect the relative hydrophilicity of the pharmaceuticals predicted by the </w:t>
      </w:r>
    </w:p>
    <w:p w:rsidR="00A13966" w:rsidRDefault="00A13966" w:rsidP="00A13966">
      <w:pPr>
        <w:autoSpaceDE w:val="0"/>
        <w:autoSpaceDN w:val="0"/>
        <w:adjustRightInd w:val="0"/>
        <w:spacing w:line="480" w:lineRule="auto"/>
        <w:rPr>
          <w:rFonts w:ascii="Times New Roman" w:hAnsi="Times New Roman"/>
          <w:sz w:val="24"/>
          <w:lang w:eastAsia="en-GB"/>
        </w:rPr>
      </w:pPr>
      <w:r>
        <w:rPr>
          <w:rFonts w:ascii="Times New Roman" w:hAnsi="Times New Roman"/>
          <w:sz w:val="24"/>
        </w:rPr>
        <w:t>octanol-water distribution coefficient, D</w:t>
      </w:r>
      <w:r>
        <w:rPr>
          <w:rFonts w:ascii="Times New Roman" w:hAnsi="Times New Roman"/>
          <w:sz w:val="16"/>
          <w:szCs w:val="16"/>
        </w:rPr>
        <w:t>ow</w:t>
      </w:r>
      <w:r>
        <w:rPr>
          <w:rFonts w:ascii="Times New Roman" w:hAnsi="Times New Roman"/>
          <w:sz w:val="24"/>
        </w:rPr>
        <w:t xml:space="preserve">, suggesting that </w:t>
      </w:r>
      <w:r w:rsidRPr="006C41BD">
        <w:rPr>
          <w:rFonts w:ascii="Times New Roman" w:hAnsi="Times New Roman"/>
          <w:sz w:val="24"/>
          <w:lang w:eastAsia="en-GB"/>
        </w:rPr>
        <w:t>improved predictive power</w:t>
      </w:r>
      <w:r>
        <w:rPr>
          <w:rFonts w:ascii="Times New Roman" w:hAnsi="Times New Roman"/>
          <w:sz w:val="24"/>
          <w:lang w:eastAsia="en-GB"/>
        </w:rPr>
        <w:t>,</w:t>
      </w:r>
      <w:r w:rsidRPr="006C41BD">
        <w:rPr>
          <w:rFonts w:ascii="Times New Roman" w:hAnsi="Times New Roman"/>
          <w:sz w:val="24"/>
          <w:lang w:eastAsia="en-GB"/>
        </w:rPr>
        <w:t xml:space="preserve"> with </w:t>
      </w:r>
    </w:p>
    <w:p w:rsidR="00A13966" w:rsidRDefault="00A13966" w:rsidP="00A13966">
      <w:pPr>
        <w:autoSpaceDE w:val="0"/>
        <w:autoSpaceDN w:val="0"/>
        <w:adjustRightInd w:val="0"/>
        <w:spacing w:line="480" w:lineRule="auto"/>
        <w:rPr>
          <w:rFonts w:ascii="Times New Roman" w:hAnsi="Times New Roman"/>
          <w:sz w:val="24"/>
          <w:lang w:eastAsia="en-GB"/>
        </w:rPr>
      </w:pPr>
      <w:r w:rsidRPr="006C41BD">
        <w:rPr>
          <w:rFonts w:ascii="Times New Roman" w:hAnsi="Times New Roman"/>
          <w:sz w:val="24"/>
          <w:lang w:eastAsia="en-GB"/>
        </w:rPr>
        <w:t>respect to modelling bioaccumulation</w:t>
      </w:r>
      <w:r>
        <w:rPr>
          <w:rFonts w:ascii="Times New Roman" w:hAnsi="Times New Roman"/>
          <w:sz w:val="24"/>
          <w:lang w:eastAsia="en-GB"/>
        </w:rPr>
        <w:t>,</w:t>
      </w:r>
      <w:r w:rsidRPr="006C41BD">
        <w:rPr>
          <w:rFonts w:ascii="Times New Roman" w:hAnsi="Times New Roman"/>
          <w:sz w:val="24"/>
          <w:lang w:eastAsia="en-GB"/>
        </w:rPr>
        <w:t xml:space="preserve"> </w:t>
      </w:r>
      <w:r>
        <w:rPr>
          <w:rFonts w:ascii="Times New Roman" w:hAnsi="Times New Roman"/>
          <w:sz w:val="24"/>
          <w:lang w:eastAsia="en-GB"/>
        </w:rPr>
        <w:t xml:space="preserve">may </w:t>
      </w:r>
      <w:r w:rsidRPr="006C41BD">
        <w:rPr>
          <w:rFonts w:ascii="Times New Roman" w:hAnsi="Times New Roman"/>
          <w:sz w:val="24"/>
          <w:lang w:eastAsia="en-GB"/>
        </w:rPr>
        <w:t xml:space="preserve">be needed </w:t>
      </w:r>
      <w:r>
        <w:rPr>
          <w:rFonts w:ascii="Times New Roman" w:hAnsi="Times New Roman"/>
          <w:sz w:val="24"/>
          <w:lang w:eastAsia="en-GB"/>
        </w:rPr>
        <w:t xml:space="preserve">to develop </w:t>
      </w:r>
      <w:r w:rsidRPr="006C41BD">
        <w:rPr>
          <w:rFonts w:ascii="Times New Roman" w:hAnsi="Times New Roman"/>
          <w:sz w:val="24"/>
          <w:lang w:eastAsia="en-GB"/>
        </w:rPr>
        <w:t xml:space="preserve">robust environmental risk </w:t>
      </w:r>
    </w:p>
    <w:p w:rsidR="00A13966" w:rsidRDefault="00A13966" w:rsidP="00A13966">
      <w:pPr>
        <w:autoSpaceDE w:val="0"/>
        <w:autoSpaceDN w:val="0"/>
        <w:adjustRightInd w:val="0"/>
        <w:spacing w:line="480" w:lineRule="auto"/>
        <w:rPr>
          <w:rFonts w:ascii="Times New Roman" w:hAnsi="Times New Roman"/>
          <w:sz w:val="24"/>
        </w:rPr>
      </w:pPr>
      <w:r w:rsidRPr="006C41BD">
        <w:rPr>
          <w:rFonts w:ascii="Times New Roman" w:hAnsi="Times New Roman"/>
          <w:sz w:val="24"/>
          <w:lang w:eastAsia="en-GB"/>
        </w:rPr>
        <w:t>assessments for</w:t>
      </w:r>
      <w:r>
        <w:rPr>
          <w:rFonts w:ascii="Times New Roman" w:hAnsi="Times New Roman"/>
          <w:sz w:val="24"/>
          <w:lang w:eastAsia="en-GB"/>
        </w:rPr>
        <w:t xml:space="preserve"> cationic </w:t>
      </w:r>
      <w:r w:rsidRPr="006C41BD">
        <w:rPr>
          <w:rFonts w:asciiTheme="majorBidi" w:hAnsiTheme="majorBidi" w:cstheme="majorBidi"/>
          <w:bCs/>
          <w:sz w:val="24"/>
        </w:rPr>
        <w:t>pharmaceuticals</w:t>
      </w:r>
      <w:r>
        <w:rPr>
          <w:rFonts w:asciiTheme="majorBidi" w:hAnsiTheme="majorBidi" w:cstheme="majorBidi"/>
          <w:bCs/>
          <w:sz w:val="24"/>
        </w:rPr>
        <w:t>.</w:t>
      </w:r>
    </w:p>
    <w:p w:rsidR="00A13966" w:rsidRDefault="00A13966" w:rsidP="00C05028">
      <w:pPr>
        <w:spacing w:after="120" w:line="480" w:lineRule="auto"/>
        <w:ind w:left="0" w:firstLine="0"/>
        <w:jc w:val="left"/>
        <w:rPr>
          <w:rFonts w:ascii="Times New Roman" w:hAnsi="Times New Roman"/>
          <w:sz w:val="24"/>
          <w:lang w:eastAsia="en-GB" w:bidi="ar-SA"/>
        </w:rPr>
      </w:pPr>
    </w:p>
    <w:p w:rsidR="002455EF" w:rsidRPr="000D6E65" w:rsidRDefault="002455EF" w:rsidP="00C05028">
      <w:pPr>
        <w:spacing w:after="120" w:line="480" w:lineRule="auto"/>
        <w:ind w:left="0" w:firstLine="0"/>
        <w:jc w:val="left"/>
        <w:rPr>
          <w:rFonts w:asciiTheme="majorBidi" w:hAnsiTheme="majorBidi" w:cstheme="majorBidi"/>
          <w:b/>
          <w:bCs/>
          <w:sz w:val="24"/>
        </w:rPr>
      </w:pPr>
      <w:r w:rsidRPr="006C41BD">
        <w:rPr>
          <w:rFonts w:ascii="Times New Roman" w:hAnsi="Times New Roman"/>
          <w:sz w:val="24"/>
          <w:lang w:eastAsia="en-GB" w:bidi="ar-SA"/>
        </w:rPr>
        <w:t>K</w:t>
      </w:r>
      <w:r w:rsidRPr="006C41BD">
        <w:rPr>
          <w:rFonts w:ascii="Times New Roman" w:hAnsi="Times New Roman"/>
          <w:sz w:val="24"/>
        </w:rPr>
        <w:t>eywords: levamisole, quinine, chloroquine, fluphenazine, persistence, river</w:t>
      </w:r>
      <w:r w:rsidRPr="00054DEA">
        <w:rPr>
          <w:rFonts w:ascii="Times New Roman" w:hAnsi="Times New Roman"/>
        </w:rPr>
        <w:br w:type="page"/>
      </w:r>
      <w:r w:rsidRPr="006E54C3">
        <w:rPr>
          <w:rFonts w:ascii="Times New Roman" w:hAnsi="Times New Roman"/>
          <w:b/>
          <w:bCs/>
        </w:rPr>
        <w:lastRenderedPageBreak/>
        <w:t>1.</w:t>
      </w:r>
      <w:r>
        <w:rPr>
          <w:rFonts w:ascii="Times New Roman" w:hAnsi="Times New Roman"/>
        </w:rPr>
        <w:t xml:space="preserve"> </w:t>
      </w:r>
      <w:r w:rsidRPr="000D6E65">
        <w:rPr>
          <w:rFonts w:asciiTheme="majorBidi" w:hAnsiTheme="majorBidi" w:cstheme="majorBidi"/>
          <w:b/>
          <w:bCs/>
          <w:sz w:val="24"/>
        </w:rPr>
        <w:t>Introduction</w:t>
      </w:r>
    </w:p>
    <w:p w:rsidR="002455EF" w:rsidRPr="000D6E65" w:rsidRDefault="002455EF" w:rsidP="00236B64">
      <w:pPr>
        <w:widowControl w:val="0"/>
        <w:autoSpaceDE w:val="0"/>
        <w:autoSpaceDN w:val="0"/>
        <w:adjustRightInd w:val="0"/>
        <w:spacing w:after="120" w:line="480" w:lineRule="auto"/>
        <w:ind w:left="0" w:firstLine="720"/>
        <w:jc w:val="left"/>
        <w:rPr>
          <w:rFonts w:asciiTheme="majorBidi" w:hAnsiTheme="majorBidi" w:cstheme="majorBidi"/>
          <w:sz w:val="24"/>
          <w:lang w:bidi="ar-SA"/>
        </w:rPr>
      </w:pPr>
      <w:r>
        <w:rPr>
          <w:rFonts w:asciiTheme="majorBidi" w:eastAsia="SimHei" w:hAnsiTheme="majorBidi" w:cstheme="majorBidi"/>
          <w:sz w:val="24"/>
          <w:lang w:val="en-US" w:bidi="ar-SA"/>
        </w:rPr>
        <w:t>There are</w:t>
      </w:r>
      <w:r w:rsidRPr="000D6E65">
        <w:rPr>
          <w:rFonts w:asciiTheme="majorBidi" w:eastAsia="SimHei" w:hAnsiTheme="majorBidi" w:cstheme="majorBidi"/>
          <w:sz w:val="24"/>
          <w:lang w:val="en-US" w:bidi="ar-SA"/>
        </w:rPr>
        <w:t xml:space="preserve"> over 4000 pharmaceuticals </w:t>
      </w:r>
      <w:r>
        <w:rPr>
          <w:rFonts w:asciiTheme="majorBidi" w:eastAsia="SimHei" w:hAnsiTheme="majorBidi" w:cstheme="majorBidi"/>
          <w:sz w:val="24"/>
          <w:lang w:val="en-US" w:bidi="ar-SA"/>
        </w:rPr>
        <w:t>available for</w:t>
      </w:r>
      <w:r w:rsidRPr="000D6E65">
        <w:rPr>
          <w:rFonts w:asciiTheme="majorBidi" w:eastAsia="SimHei" w:hAnsiTheme="majorBidi" w:cstheme="majorBidi"/>
          <w:sz w:val="24"/>
          <w:lang w:val="en-US" w:bidi="ar-SA"/>
        </w:rPr>
        <w:t xml:space="preserve"> human and veterinary use</w:t>
      </w:r>
      <w:r w:rsidRPr="000D6E65">
        <w:rPr>
          <w:rFonts w:asciiTheme="majorBidi" w:eastAsia="SimHei" w:hAnsiTheme="majorBidi" w:cstheme="majorBidi"/>
          <w:color w:val="000000"/>
          <w:sz w:val="24"/>
          <w:lang w:val="en-US" w:bidi="ar-SA"/>
        </w:rPr>
        <w:t xml:space="preserve"> </w:t>
      </w:r>
      <w:r>
        <w:rPr>
          <w:rFonts w:asciiTheme="majorBidi" w:eastAsia="SimHei" w:hAnsiTheme="majorBidi" w:cstheme="majorBidi"/>
          <w:noProof/>
          <w:sz w:val="24"/>
          <w:lang w:val="en-US" w:bidi="ar-SA"/>
        </w:rPr>
        <w:t>(Boxall et al. 2012)</w:t>
      </w:r>
      <w:r w:rsidRPr="000D6E65">
        <w:rPr>
          <w:rFonts w:asciiTheme="majorBidi" w:eastAsia="SimHei" w:hAnsiTheme="majorBidi" w:cstheme="majorBidi"/>
          <w:sz w:val="24"/>
          <w:lang w:val="en-US" w:bidi="ar-SA"/>
        </w:rPr>
        <w:t xml:space="preserve">. </w:t>
      </w:r>
      <w:r w:rsidRPr="000D6E65">
        <w:rPr>
          <w:rFonts w:asciiTheme="majorBidi" w:hAnsiTheme="majorBidi" w:cstheme="majorBidi"/>
          <w:sz w:val="24"/>
        </w:rPr>
        <w:t xml:space="preserve">Following administration, </w:t>
      </w:r>
      <w:r>
        <w:rPr>
          <w:rFonts w:asciiTheme="majorBidi" w:hAnsiTheme="majorBidi" w:cstheme="majorBidi"/>
          <w:sz w:val="24"/>
        </w:rPr>
        <w:t xml:space="preserve">unretained </w:t>
      </w:r>
      <w:r w:rsidRPr="000D6E65">
        <w:rPr>
          <w:rFonts w:asciiTheme="majorBidi" w:hAnsiTheme="majorBidi" w:cstheme="majorBidi"/>
          <w:sz w:val="24"/>
        </w:rPr>
        <w:t>pharmaceutical</w:t>
      </w:r>
      <w:r>
        <w:rPr>
          <w:rFonts w:asciiTheme="majorBidi" w:hAnsiTheme="majorBidi" w:cstheme="majorBidi"/>
          <w:sz w:val="24"/>
        </w:rPr>
        <w:t>s</w:t>
      </w:r>
      <w:r w:rsidRPr="000D6E65">
        <w:rPr>
          <w:rFonts w:asciiTheme="majorBidi" w:hAnsiTheme="majorBidi" w:cstheme="majorBidi"/>
          <w:sz w:val="24"/>
        </w:rPr>
        <w:t xml:space="preserve"> and any </w:t>
      </w:r>
      <w:r w:rsidRPr="000D6E65">
        <w:rPr>
          <w:rFonts w:asciiTheme="majorBidi" w:eastAsia="SimHei" w:hAnsiTheme="majorBidi" w:cstheme="majorBidi"/>
          <w:sz w:val="24"/>
          <w:lang w:val="en-US" w:bidi="ar-SA"/>
        </w:rPr>
        <w:t xml:space="preserve">transformation products are excreted into surface waters, either directly or via treated and untreated wastewaters and biosolids. As a consequence, </w:t>
      </w:r>
      <w:r w:rsidRPr="000D6E65">
        <w:rPr>
          <w:rFonts w:asciiTheme="majorBidi" w:hAnsiTheme="majorBidi" w:cstheme="majorBidi"/>
          <w:sz w:val="24"/>
        </w:rPr>
        <w:t xml:space="preserve">contamination of aquatic systems by </w:t>
      </w:r>
      <w:r>
        <w:rPr>
          <w:rFonts w:asciiTheme="majorBidi" w:hAnsiTheme="majorBidi" w:cstheme="majorBidi"/>
          <w:bCs/>
          <w:sz w:val="24"/>
        </w:rPr>
        <w:t>pharmaceuticals</w:t>
      </w:r>
      <w:r w:rsidRPr="000D6E65">
        <w:rPr>
          <w:rFonts w:asciiTheme="majorBidi" w:hAnsiTheme="majorBidi" w:cstheme="majorBidi"/>
          <w:sz w:val="24"/>
        </w:rPr>
        <w:t xml:space="preserve"> is now extensive </w:t>
      </w:r>
      <w:r>
        <w:rPr>
          <w:rFonts w:asciiTheme="majorBidi" w:hAnsiTheme="majorBidi" w:cstheme="majorBidi"/>
          <w:noProof/>
          <w:sz w:val="24"/>
        </w:rPr>
        <w:t>(Hughes et al. 2013; Cizmas et al. 2015)</w:t>
      </w:r>
      <w:r w:rsidRPr="000D6E65">
        <w:rPr>
          <w:rFonts w:asciiTheme="majorBidi" w:hAnsiTheme="majorBidi" w:cstheme="majorBidi"/>
          <w:sz w:val="24"/>
        </w:rPr>
        <w:t xml:space="preserve">. There remains, however, a marked lack of knowledge </w:t>
      </w:r>
      <w:r>
        <w:rPr>
          <w:rFonts w:asciiTheme="majorBidi" w:hAnsiTheme="majorBidi" w:cstheme="majorBidi"/>
          <w:sz w:val="24"/>
        </w:rPr>
        <w:t>on</w:t>
      </w:r>
      <w:r w:rsidRPr="000D6E65">
        <w:rPr>
          <w:rFonts w:asciiTheme="majorBidi" w:hAnsiTheme="majorBidi" w:cstheme="majorBidi"/>
          <w:sz w:val="24"/>
        </w:rPr>
        <w:t xml:space="preserve"> the aquatic transport and fate of </w:t>
      </w:r>
      <w:r>
        <w:rPr>
          <w:rFonts w:asciiTheme="majorBidi" w:hAnsiTheme="majorBidi" w:cstheme="majorBidi"/>
          <w:bCs/>
          <w:sz w:val="24"/>
        </w:rPr>
        <w:t>pharmaceuticals</w:t>
      </w:r>
      <w:r w:rsidRPr="000D6E65">
        <w:rPr>
          <w:rFonts w:asciiTheme="majorBidi" w:hAnsiTheme="majorBidi" w:cstheme="majorBidi"/>
          <w:sz w:val="24"/>
        </w:rPr>
        <w:t xml:space="preserve">, and their </w:t>
      </w:r>
      <w:r>
        <w:rPr>
          <w:rFonts w:asciiTheme="majorBidi" w:hAnsiTheme="majorBidi" w:cstheme="majorBidi"/>
          <w:sz w:val="24"/>
        </w:rPr>
        <w:t xml:space="preserve">biological effects </w:t>
      </w:r>
      <w:r>
        <w:rPr>
          <w:rFonts w:asciiTheme="majorBidi" w:hAnsiTheme="majorBidi" w:cstheme="majorBidi"/>
          <w:noProof/>
          <w:sz w:val="24"/>
        </w:rPr>
        <w:t xml:space="preserve">(Boxall et al. 2012; Brooks et al. 2012; Kümmerer 2008; LaLone et al. 2014; Shore et al. 2014; </w:t>
      </w:r>
      <w:r w:rsidR="00F95A26">
        <w:rPr>
          <w:rFonts w:asciiTheme="majorBidi" w:hAnsiTheme="majorBidi" w:cstheme="majorBidi"/>
          <w:noProof/>
          <w:sz w:val="24"/>
        </w:rPr>
        <w:t>Tijani et al. 2016</w:t>
      </w:r>
      <w:r>
        <w:rPr>
          <w:rFonts w:asciiTheme="majorBidi" w:hAnsiTheme="majorBidi" w:cstheme="majorBidi"/>
          <w:noProof/>
          <w:sz w:val="24"/>
        </w:rPr>
        <w:t>)</w:t>
      </w:r>
      <w:r w:rsidRPr="000D6E65">
        <w:rPr>
          <w:rFonts w:asciiTheme="majorBidi" w:hAnsiTheme="majorBidi" w:cstheme="majorBidi"/>
          <w:sz w:val="24"/>
        </w:rPr>
        <w:t xml:space="preserve">. Effects of </w:t>
      </w:r>
      <w:r>
        <w:rPr>
          <w:rFonts w:asciiTheme="majorBidi" w:hAnsiTheme="majorBidi" w:cstheme="majorBidi"/>
          <w:bCs/>
          <w:sz w:val="24"/>
        </w:rPr>
        <w:t>pharmaceuticals</w:t>
      </w:r>
      <w:r w:rsidRPr="000D6E65">
        <w:rPr>
          <w:rFonts w:asciiTheme="majorBidi" w:hAnsiTheme="majorBidi" w:cstheme="majorBidi"/>
          <w:sz w:val="24"/>
        </w:rPr>
        <w:t xml:space="preserve"> on terrestrial organisms have been reported, with one of the most publicised examples being the contribution of diclofenac residues to the almost total decline of the </w:t>
      </w:r>
      <w:r w:rsidRPr="00EF24E7">
        <w:rPr>
          <w:rFonts w:asciiTheme="majorBidi" w:hAnsiTheme="majorBidi" w:cstheme="majorBidi"/>
          <w:i/>
          <w:sz w:val="24"/>
        </w:rPr>
        <w:t>Gyps</w:t>
      </w:r>
      <w:r w:rsidRPr="000D6E65">
        <w:rPr>
          <w:rFonts w:asciiTheme="majorBidi" w:hAnsiTheme="majorBidi" w:cstheme="majorBidi"/>
          <w:sz w:val="24"/>
        </w:rPr>
        <w:t xml:space="preserve"> spp. vulture populations on the Indian sub-continent </w:t>
      </w:r>
      <w:r>
        <w:rPr>
          <w:rFonts w:asciiTheme="majorBidi" w:hAnsiTheme="majorBidi" w:cstheme="majorBidi"/>
          <w:noProof/>
          <w:sz w:val="24"/>
        </w:rPr>
        <w:t>(Oaks et al. 2004)</w:t>
      </w:r>
      <w:r w:rsidRPr="000D6E65">
        <w:rPr>
          <w:rFonts w:asciiTheme="majorBidi" w:hAnsiTheme="majorBidi" w:cstheme="majorBidi"/>
          <w:sz w:val="24"/>
        </w:rPr>
        <w:t xml:space="preserve">. While such dramatic effects on aquatic organisms have not been reported to date, behavioural changes have been observed. </w:t>
      </w:r>
      <w:r>
        <w:rPr>
          <w:rFonts w:asciiTheme="majorBidi" w:hAnsiTheme="majorBidi" w:cstheme="majorBidi"/>
          <w:sz w:val="24"/>
        </w:rPr>
        <w:t>For example, environmentally-measured</w:t>
      </w:r>
      <w:r w:rsidRPr="000D6E65">
        <w:rPr>
          <w:rFonts w:asciiTheme="majorBidi" w:hAnsiTheme="majorBidi" w:cstheme="majorBidi"/>
          <w:sz w:val="24"/>
        </w:rPr>
        <w:t xml:space="preserve"> concentrations of </w:t>
      </w:r>
      <w:r>
        <w:rPr>
          <w:rFonts w:asciiTheme="majorBidi" w:hAnsiTheme="majorBidi" w:cstheme="majorBidi"/>
          <w:sz w:val="24"/>
        </w:rPr>
        <w:t>the</w:t>
      </w:r>
      <w:r w:rsidRPr="000D6E65">
        <w:rPr>
          <w:rFonts w:asciiTheme="majorBidi" w:hAnsiTheme="majorBidi" w:cstheme="majorBidi"/>
          <w:sz w:val="24"/>
        </w:rPr>
        <w:t xml:space="preserve"> benzodiazepine</w:t>
      </w:r>
      <w:r>
        <w:rPr>
          <w:rFonts w:asciiTheme="majorBidi" w:hAnsiTheme="majorBidi" w:cstheme="majorBidi"/>
          <w:sz w:val="24"/>
        </w:rPr>
        <w:t xml:space="preserve">s </w:t>
      </w:r>
      <w:r w:rsidRPr="000D6E65">
        <w:rPr>
          <w:rFonts w:asciiTheme="majorBidi" w:hAnsiTheme="majorBidi" w:cstheme="majorBidi"/>
          <w:sz w:val="24"/>
        </w:rPr>
        <w:t xml:space="preserve">oxazepam </w:t>
      </w:r>
      <w:r>
        <w:rPr>
          <w:rFonts w:asciiTheme="majorBidi" w:hAnsiTheme="majorBidi" w:cstheme="majorBidi"/>
          <w:sz w:val="24"/>
        </w:rPr>
        <w:t xml:space="preserve">and diazepam were shown to </w:t>
      </w:r>
      <w:r w:rsidRPr="000D6E65">
        <w:rPr>
          <w:rFonts w:asciiTheme="majorBidi" w:hAnsiTheme="majorBidi" w:cstheme="majorBidi"/>
          <w:sz w:val="24"/>
        </w:rPr>
        <w:t xml:space="preserve">markedly alter the </w:t>
      </w:r>
      <w:r>
        <w:rPr>
          <w:rFonts w:asciiTheme="majorBidi" w:hAnsiTheme="majorBidi" w:cstheme="majorBidi"/>
          <w:sz w:val="24"/>
        </w:rPr>
        <w:t xml:space="preserve">social </w:t>
      </w:r>
      <w:r w:rsidRPr="000D6E65">
        <w:rPr>
          <w:rFonts w:asciiTheme="majorBidi" w:hAnsiTheme="majorBidi" w:cstheme="majorBidi"/>
          <w:sz w:val="24"/>
        </w:rPr>
        <w:t>behaviour</w:t>
      </w:r>
      <w:r>
        <w:rPr>
          <w:rFonts w:asciiTheme="majorBidi" w:hAnsiTheme="majorBidi" w:cstheme="majorBidi"/>
          <w:sz w:val="24"/>
        </w:rPr>
        <w:t>s</w:t>
      </w:r>
      <w:r w:rsidRPr="000D6E65">
        <w:rPr>
          <w:rFonts w:asciiTheme="majorBidi" w:hAnsiTheme="majorBidi" w:cstheme="majorBidi"/>
          <w:sz w:val="24"/>
        </w:rPr>
        <w:t xml:space="preserve"> of the wild European perch</w:t>
      </w:r>
      <w:r>
        <w:rPr>
          <w:rFonts w:asciiTheme="majorBidi" w:hAnsiTheme="majorBidi" w:cstheme="majorBidi"/>
          <w:sz w:val="24"/>
        </w:rPr>
        <w:t xml:space="preserve"> (</w:t>
      </w:r>
      <w:r w:rsidRPr="00EF24E7">
        <w:rPr>
          <w:rFonts w:asciiTheme="majorBidi" w:hAnsiTheme="majorBidi" w:cstheme="majorBidi"/>
          <w:i/>
          <w:sz w:val="24"/>
        </w:rPr>
        <w:t>Perca fluviatili</w:t>
      </w:r>
      <w:r>
        <w:rPr>
          <w:rFonts w:asciiTheme="majorBidi" w:hAnsiTheme="majorBidi" w:cstheme="majorBidi"/>
          <w:sz w:val="24"/>
        </w:rPr>
        <w:t>) and adult zebrafish (</w:t>
      </w:r>
      <w:r w:rsidRPr="00614CD6">
        <w:rPr>
          <w:rFonts w:asciiTheme="majorBidi" w:hAnsiTheme="majorBidi" w:cstheme="majorBidi"/>
          <w:i/>
          <w:iCs/>
          <w:sz w:val="24"/>
        </w:rPr>
        <w:t>Danio rerio</w:t>
      </w:r>
      <w:r>
        <w:rPr>
          <w:rFonts w:asciiTheme="majorBidi" w:hAnsiTheme="majorBidi" w:cstheme="majorBidi"/>
          <w:sz w:val="24"/>
        </w:rPr>
        <w:t xml:space="preserve">), respectively </w:t>
      </w:r>
      <w:r>
        <w:rPr>
          <w:rFonts w:asciiTheme="majorBidi" w:hAnsiTheme="majorBidi" w:cstheme="majorBidi"/>
          <w:noProof/>
          <w:sz w:val="24"/>
        </w:rPr>
        <w:t>(Brodin et al. 2013; Giacomini et al. 2016)</w:t>
      </w:r>
      <w:r w:rsidRPr="000D6E65">
        <w:rPr>
          <w:rFonts w:asciiTheme="majorBidi" w:hAnsiTheme="majorBidi" w:cstheme="majorBidi"/>
          <w:sz w:val="24"/>
        </w:rPr>
        <w:t>.</w:t>
      </w:r>
      <w:r w:rsidRPr="000D6E65">
        <w:rPr>
          <w:rFonts w:asciiTheme="majorBidi" w:hAnsiTheme="majorBidi" w:cstheme="majorBidi"/>
          <w:sz w:val="24"/>
          <w:lang w:bidi="ar-SA"/>
        </w:rPr>
        <w:t xml:space="preserve"> </w:t>
      </w:r>
    </w:p>
    <w:p w:rsidR="002455EF" w:rsidRPr="000D6E65" w:rsidRDefault="002455EF" w:rsidP="00723080">
      <w:pPr>
        <w:widowControl w:val="0"/>
        <w:autoSpaceDE w:val="0"/>
        <w:autoSpaceDN w:val="0"/>
        <w:adjustRightInd w:val="0"/>
        <w:spacing w:line="480" w:lineRule="auto"/>
        <w:ind w:left="0" w:firstLine="720"/>
        <w:jc w:val="left"/>
        <w:rPr>
          <w:rFonts w:asciiTheme="majorBidi" w:hAnsiTheme="majorBidi" w:cstheme="majorBidi"/>
          <w:sz w:val="24"/>
          <w:lang w:bidi="ar-SA"/>
        </w:rPr>
      </w:pPr>
      <w:r w:rsidRPr="000D6E65">
        <w:rPr>
          <w:rFonts w:asciiTheme="majorBidi" w:hAnsiTheme="majorBidi" w:cstheme="majorBidi"/>
          <w:sz w:val="24"/>
          <w:lang w:bidi="ar-SA"/>
        </w:rPr>
        <w:t xml:space="preserve">The prediction of Adverse Outcome Pathways </w:t>
      </w:r>
      <w:r>
        <w:rPr>
          <w:rFonts w:asciiTheme="majorBidi" w:hAnsiTheme="majorBidi" w:cstheme="majorBidi"/>
          <w:noProof/>
          <w:sz w:val="24"/>
          <w:lang w:bidi="ar-SA"/>
        </w:rPr>
        <w:t>(OECD 2013)</w:t>
      </w:r>
      <w:r w:rsidRPr="000D6E65">
        <w:rPr>
          <w:rFonts w:asciiTheme="majorBidi" w:hAnsiTheme="majorBidi" w:cstheme="majorBidi"/>
          <w:sz w:val="24"/>
          <w:lang w:bidi="ar-SA"/>
        </w:rPr>
        <w:t xml:space="preserve"> for a </w:t>
      </w:r>
      <w:r>
        <w:rPr>
          <w:rFonts w:asciiTheme="majorBidi" w:hAnsiTheme="majorBidi" w:cstheme="majorBidi"/>
          <w:bCs/>
          <w:sz w:val="24"/>
        </w:rPr>
        <w:t>pharmaceutical</w:t>
      </w:r>
      <w:r w:rsidRPr="000D6E65">
        <w:rPr>
          <w:rFonts w:asciiTheme="majorBidi" w:hAnsiTheme="majorBidi" w:cstheme="majorBidi"/>
          <w:sz w:val="24"/>
          <w:lang w:bidi="ar-SA"/>
        </w:rPr>
        <w:t xml:space="preserve"> contaminant is, </w:t>
      </w:r>
      <w:r w:rsidRPr="00EF24E7">
        <w:rPr>
          <w:rFonts w:asciiTheme="majorBidi" w:hAnsiTheme="majorBidi" w:cstheme="majorBidi"/>
          <w:i/>
          <w:sz w:val="24"/>
          <w:lang w:bidi="ar-SA"/>
        </w:rPr>
        <w:t>inter alia</w:t>
      </w:r>
      <w:r w:rsidRPr="000D6E65">
        <w:rPr>
          <w:rFonts w:asciiTheme="majorBidi" w:hAnsiTheme="majorBidi" w:cstheme="majorBidi"/>
          <w:sz w:val="24"/>
          <w:lang w:bidi="ar-SA"/>
        </w:rPr>
        <w:t xml:space="preserve">, dependent on understanding its mode of action (MoA) giving rise to one or more molecular-initiating events within an organism, either through specific ligand-receptor interactions or non-specific receptor interactions, which then leads to one or more adverse effects. Understanding the MoA in theory allows effects predictions to be extrapolated to other compounds with similar molecular characteristics, along with the ability to ‘read across’ to organisms from different taxonomic groups that share the same receptors </w:t>
      </w:r>
      <w:r>
        <w:rPr>
          <w:rFonts w:asciiTheme="majorBidi" w:hAnsiTheme="majorBidi" w:cstheme="majorBidi"/>
          <w:noProof/>
          <w:sz w:val="24"/>
          <w:lang w:bidi="ar-SA"/>
        </w:rPr>
        <w:t>(Hutchinson et al. 2013)</w:t>
      </w:r>
      <w:r w:rsidRPr="000D6E65">
        <w:rPr>
          <w:rFonts w:asciiTheme="majorBidi" w:hAnsiTheme="majorBidi" w:cstheme="majorBidi"/>
          <w:sz w:val="24"/>
          <w:lang w:bidi="ar-SA"/>
        </w:rPr>
        <w:t xml:space="preserve">. Other important properties relevant to the manifestation of adverse </w:t>
      </w:r>
      <w:r w:rsidRPr="000D6E65">
        <w:rPr>
          <w:rFonts w:asciiTheme="majorBidi" w:hAnsiTheme="majorBidi" w:cstheme="majorBidi"/>
          <w:sz w:val="24"/>
          <w:lang w:bidi="ar-SA"/>
        </w:rPr>
        <w:lastRenderedPageBreak/>
        <w:t xml:space="preserve">effects include the persistence of, and hence exposure to, the </w:t>
      </w:r>
      <w:r>
        <w:rPr>
          <w:rFonts w:asciiTheme="majorBidi" w:hAnsiTheme="majorBidi" w:cstheme="majorBidi"/>
          <w:bCs/>
          <w:sz w:val="24"/>
        </w:rPr>
        <w:t>pharmaceutical</w:t>
      </w:r>
      <w:r w:rsidRPr="000D6E65">
        <w:rPr>
          <w:rFonts w:asciiTheme="majorBidi" w:hAnsiTheme="majorBidi" w:cstheme="majorBidi"/>
          <w:sz w:val="24"/>
          <w:lang w:bidi="ar-SA"/>
        </w:rPr>
        <w:t xml:space="preserve"> and the extent of accumulation within susceptible biota </w:t>
      </w:r>
      <w:r>
        <w:rPr>
          <w:rFonts w:asciiTheme="majorBidi" w:hAnsiTheme="majorBidi" w:cstheme="majorBidi"/>
          <w:noProof/>
          <w:sz w:val="24"/>
          <w:lang w:bidi="ar-SA"/>
        </w:rPr>
        <w:t>(Arnold et al. 2014)</w:t>
      </w:r>
      <w:r w:rsidRPr="000D6E65">
        <w:rPr>
          <w:rFonts w:asciiTheme="majorBidi" w:hAnsiTheme="majorBidi" w:cstheme="majorBidi"/>
          <w:sz w:val="24"/>
          <w:lang w:bidi="ar-SA"/>
        </w:rPr>
        <w:t>.</w:t>
      </w:r>
    </w:p>
    <w:p w:rsidR="002455EF" w:rsidRPr="00EC1706" w:rsidRDefault="002455EF" w:rsidP="00723080">
      <w:pPr>
        <w:widowControl w:val="0"/>
        <w:autoSpaceDE w:val="0"/>
        <w:autoSpaceDN w:val="0"/>
        <w:adjustRightInd w:val="0"/>
        <w:spacing w:line="480" w:lineRule="auto"/>
        <w:ind w:left="0" w:firstLine="720"/>
        <w:jc w:val="left"/>
        <w:rPr>
          <w:rFonts w:asciiTheme="majorBidi" w:hAnsiTheme="majorBidi" w:cstheme="majorBidi"/>
          <w:sz w:val="24"/>
          <w:lang w:bidi="ar-SA"/>
        </w:rPr>
      </w:pPr>
      <w:r w:rsidRPr="000D6E65">
        <w:rPr>
          <w:rFonts w:asciiTheme="majorBidi" w:hAnsiTheme="majorBidi" w:cstheme="majorBidi"/>
          <w:sz w:val="24"/>
          <w:lang w:bidi="ar-SA"/>
        </w:rPr>
        <w:t xml:space="preserve">For a given environmental loading, the degree of exposure of an organism to an </w:t>
      </w:r>
      <w:r>
        <w:rPr>
          <w:rFonts w:asciiTheme="majorBidi" w:hAnsiTheme="majorBidi" w:cstheme="majorBidi"/>
          <w:bCs/>
          <w:sz w:val="24"/>
        </w:rPr>
        <w:t>pharmaceutical</w:t>
      </w:r>
      <w:r w:rsidRPr="000D6E65">
        <w:rPr>
          <w:rFonts w:asciiTheme="majorBidi" w:hAnsiTheme="majorBidi" w:cstheme="majorBidi"/>
          <w:sz w:val="24"/>
          <w:lang w:bidi="ar-SA"/>
        </w:rPr>
        <w:t xml:space="preserve"> in surface waters is dependent on </w:t>
      </w:r>
      <w:r>
        <w:rPr>
          <w:rFonts w:asciiTheme="majorBidi" w:hAnsiTheme="majorBidi" w:cstheme="majorBidi"/>
          <w:sz w:val="24"/>
          <w:lang w:bidi="ar-SA"/>
        </w:rPr>
        <w:t xml:space="preserve">the extent of </w:t>
      </w:r>
      <w:r w:rsidRPr="000D6E65">
        <w:rPr>
          <w:rFonts w:asciiTheme="majorBidi" w:hAnsiTheme="majorBidi" w:cstheme="majorBidi"/>
          <w:sz w:val="24"/>
          <w:lang w:bidi="ar-SA"/>
        </w:rPr>
        <w:t xml:space="preserve">biological and physico-chemical mechanisms </w:t>
      </w:r>
      <w:r>
        <w:rPr>
          <w:rFonts w:asciiTheme="majorBidi" w:hAnsiTheme="majorBidi" w:cstheme="majorBidi"/>
          <w:sz w:val="24"/>
          <w:lang w:bidi="ar-SA"/>
        </w:rPr>
        <w:t xml:space="preserve">on </w:t>
      </w:r>
      <w:r w:rsidRPr="00EC1706">
        <w:rPr>
          <w:rFonts w:asciiTheme="majorBidi" w:hAnsiTheme="majorBidi" w:cstheme="majorBidi"/>
          <w:i/>
          <w:iCs/>
          <w:sz w:val="24"/>
          <w:lang w:bidi="ar-SA"/>
        </w:rPr>
        <w:t>in situ</w:t>
      </w:r>
      <w:r>
        <w:rPr>
          <w:rFonts w:asciiTheme="majorBidi" w:hAnsiTheme="majorBidi" w:cstheme="majorBidi"/>
          <w:sz w:val="24"/>
          <w:lang w:bidi="ar-SA"/>
        </w:rPr>
        <w:t xml:space="preserve">, measured </w:t>
      </w:r>
      <w:r w:rsidRPr="000D6E65">
        <w:rPr>
          <w:rFonts w:asciiTheme="majorBidi" w:hAnsiTheme="majorBidi" w:cstheme="majorBidi"/>
          <w:sz w:val="24"/>
          <w:lang w:bidi="ar-SA"/>
        </w:rPr>
        <w:t xml:space="preserve">concentrations of the parent </w:t>
      </w:r>
      <w:r>
        <w:rPr>
          <w:rFonts w:asciiTheme="majorBidi" w:hAnsiTheme="majorBidi" w:cstheme="majorBidi"/>
          <w:bCs/>
          <w:sz w:val="24"/>
        </w:rPr>
        <w:t>pharmaceutical</w:t>
      </w:r>
      <w:r>
        <w:rPr>
          <w:rFonts w:asciiTheme="majorBidi" w:hAnsiTheme="majorBidi" w:cstheme="majorBidi"/>
          <w:sz w:val="24"/>
          <w:lang w:bidi="ar-SA"/>
        </w:rPr>
        <w:t>,</w:t>
      </w:r>
      <w:r w:rsidRPr="000D6E65">
        <w:rPr>
          <w:rFonts w:asciiTheme="majorBidi" w:hAnsiTheme="majorBidi" w:cstheme="majorBidi"/>
          <w:sz w:val="24"/>
          <w:lang w:bidi="ar-SA"/>
        </w:rPr>
        <w:t xml:space="preserve"> and any </w:t>
      </w:r>
      <w:r>
        <w:rPr>
          <w:rFonts w:asciiTheme="majorBidi" w:hAnsiTheme="majorBidi" w:cstheme="majorBidi"/>
          <w:sz w:val="24"/>
          <w:lang w:bidi="ar-SA"/>
        </w:rPr>
        <w:t>known</w:t>
      </w:r>
      <w:r w:rsidRPr="000D6E65">
        <w:rPr>
          <w:rFonts w:asciiTheme="majorBidi" w:hAnsiTheme="majorBidi" w:cstheme="majorBidi"/>
          <w:sz w:val="24"/>
          <w:lang w:bidi="ar-SA"/>
        </w:rPr>
        <w:t xml:space="preserve"> transformation products. For example, in an assessment of the ability of riverine bacterio-plankton to transform the benzodiazepine</w:t>
      </w:r>
      <w:r>
        <w:rPr>
          <w:rFonts w:asciiTheme="majorBidi" w:hAnsiTheme="majorBidi" w:cstheme="majorBidi"/>
          <w:sz w:val="24"/>
          <w:lang w:bidi="ar-SA"/>
        </w:rPr>
        <w:t>,</w:t>
      </w:r>
      <w:r w:rsidRPr="000D6E65">
        <w:rPr>
          <w:rFonts w:asciiTheme="majorBidi" w:hAnsiTheme="majorBidi" w:cstheme="majorBidi"/>
          <w:sz w:val="24"/>
          <w:lang w:bidi="ar-SA"/>
        </w:rPr>
        <w:t xml:space="preserve"> diazepam</w:t>
      </w:r>
      <w:r>
        <w:rPr>
          <w:rFonts w:asciiTheme="majorBidi" w:hAnsiTheme="majorBidi" w:cstheme="majorBidi"/>
          <w:sz w:val="24"/>
          <w:lang w:bidi="ar-SA"/>
        </w:rPr>
        <w:t>,</w:t>
      </w:r>
      <w:r w:rsidRPr="000D6E65">
        <w:rPr>
          <w:rFonts w:asciiTheme="majorBidi" w:hAnsiTheme="majorBidi" w:cstheme="majorBidi"/>
          <w:sz w:val="24"/>
          <w:lang w:bidi="ar-SA"/>
        </w:rPr>
        <w:t xml:space="preserve"> and its photo-degradation product, </w:t>
      </w:r>
      <w:r w:rsidRPr="000D6E65">
        <w:rPr>
          <w:rFonts w:asciiTheme="majorBidi" w:hAnsiTheme="majorBidi" w:cstheme="majorBidi"/>
          <w:sz w:val="24"/>
        </w:rPr>
        <w:t xml:space="preserve">2-amino-5-chlorobenzophenone (ACB), diazepam was much more persistent than ACB, which was mineralised to </w:t>
      </w:r>
      <w:r w:rsidRPr="00EC1706">
        <w:rPr>
          <w:rFonts w:asciiTheme="majorBidi" w:hAnsiTheme="majorBidi" w:cstheme="majorBidi"/>
          <w:sz w:val="24"/>
        </w:rPr>
        <w:t xml:space="preserve">ammonium by the </w:t>
      </w:r>
      <w:r w:rsidRPr="00EC1706">
        <w:rPr>
          <w:rFonts w:asciiTheme="majorBidi" w:hAnsiTheme="majorBidi" w:cstheme="majorBidi"/>
          <w:sz w:val="24"/>
          <w:lang w:bidi="ar-SA"/>
        </w:rPr>
        <w:t>bacterio-plankton</w:t>
      </w:r>
      <w:r w:rsidRPr="00EC1706">
        <w:rPr>
          <w:rFonts w:asciiTheme="majorBidi" w:hAnsiTheme="majorBidi" w:cstheme="majorBidi"/>
          <w:sz w:val="24"/>
        </w:rPr>
        <w:t xml:space="preserve"> in all experiments </w:t>
      </w:r>
      <w:r>
        <w:rPr>
          <w:rFonts w:asciiTheme="majorBidi" w:hAnsiTheme="majorBidi" w:cstheme="majorBidi"/>
          <w:noProof/>
          <w:sz w:val="24"/>
        </w:rPr>
        <w:t>(Tappin et al. 2014)</w:t>
      </w:r>
      <w:r w:rsidRPr="000D6E65">
        <w:rPr>
          <w:rFonts w:asciiTheme="majorBidi" w:hAnsiTheme="majorBidi" w:cstheme="majorBidi"/>
          <w:sz w:val="24"/>
        </w:rPr>
        <w:t xml:space="preserve">. This indicated that a removal of diazepam, and other benzodiazepines photodegrading to ACB </w:t>
      </w:r>
      <w:r>
        <w:rPr>
          <w:rFonts w:asciiTheme="majorBidi" w:hAnsiTheme="majorBidi" w:cstheme="majorBidi"/>
          <w:noProof/>
          <w:sz w:val="24"/>
        </w:rPr>
        <w:t>(West &amp; Rowland 2012)</w:t>
      </w:r>
      <w:r w:rsidRPr="000D6E65">
        <w:rPr>
          <w:rFonts w:asciiTheme="majorBidi" w:hAnsiTheme="majorBidi" w:cstheme="majorBidi"/>
          <w:sz w:val="24"/>
        </w:rPr>
        <w:t xml:space="preserve">, could be effected </w:t>
      </w:r>
      <w:r w:rsidRPr="00EC1706">
        <w:rPr>
          <w:rFonts w:asciiTheme="majorBidi" w:hAnsiTheme="majorBidi" w:cstheme="majorBidi"/>
          <w:i/>
          <w:iCs/>
          <w:sz w:val="24"/>
        </w:rPr>
        <w:t>even</w:t>
      </w:r>
      <w:r w:rsidRPr="000D6E65">
        <w:rPr>
          <w:rFonts w:asciiTheme="majorBidi" w:hAnsiTheme="majorBidi" w:cstheme="majorBidi"/>
          <w:sz w:val="24"/>
        </w:rPr>
        <w:t xml:space="preserve"> if the parent compound was not readily biotransformed</w:t>
      </w:r>
      <w:r w:rsidRPr="00CE771E">
        <w:rPr>
          <w:rFonts w:asciiTheme="majorBidi" w:hAnsiTheme="majorBidi" w:cstheme="majorBidi"/>
          <w:sz w:val="24"/>
        </w:rPr>
        <w:t xml:space="preserve">. However, </w:t>
      </w:r>
      <w:r>
        <w:rPr>
          <w:rFonts w:asciiTheme="majorBidi" w:hAnsiTheme="majorBidi" w:cstheme="majorBidi"/>
          <w:sz w:val="24"/>
        </w:rPr>
        <w:t>t</w:t>
      </w:r>
      <w:r w:rsidRPr="00614CD6">
        <w:rPr>
          <w:rFonts w:asciiTheme="majorBidi" w:hAnsiTheme="majorBidi" w:cstheme="majorBidi"/>
          <w:sz w:val="24"/>
        </w:rPr>
        <w:t xml:space="preserve">here is a lack of published studies on the role of </w:t>
      </w:r>
      <w:r>
        <w:rPr>
          <w:rFonts w:asciiTheme="majorBidi" w:hAnsiTheme="majorBidi" w:cstheme="majorBidi"/>
          <w:sz w:val="24"/>
        </w:rPr>
        <w:t>microbes</w:t>
      </w:r>
      <w:r w:rsidRPr="00614CD6">
        <w:rPr>
          <w:rFonts w:asciiTheme="majorBidi" w:hAnsiTheme="majorBidi" w:cstheme="majorBidi"/>
          <w:sz w:val="24"/>
        </w:rPr>
        <w:t xml:space="preserve"> in the environmental cycling of </w:t>
      </w:r>
      <w:r>
        <w:rPr>
          <w:rFonts w:asciiTheme="majorBidi" w:hAnsiTheme="majorBidi" w:cstheme="majorBidi"/>
          <w:bCs/>
          <w:sz w:val="24"/>
        </w:rPr>
        <w:t>pharmaceuticals</w:t>
      </w:r>
      <w:r w:rsidRPr="00614CD6">
        <w:rPr>
          <w:rFonts w:asciiTheme="majorBidi" w:hAnsiTheme="majorBidi" w:cstheme="majorBidi"/>
          <w:sz w:val="24"/>
        </w:rPr>
        <w:t>, coupled with little discussio</w:t>
      </w:r>
      <w:r w:rsidRPr="00EC1706">
        <w:rPr>
          <w:rFonts w:asciiTheme="majorBidi" w:hAnsiTheme="majorBidi" w:cstheme="majorBidi"/>
          <w:sz w:val="24"/>
        </w:rPr>
        <w:t>n</w:t>
      </w:r>
      <w:r w:rsidRPr="00684DF1">
        <w:rPr>
          <w:rFonts w:asciiTheme="majorBidi" w:hAnsiTheme="majorBidi" w:cstheme="majorBidi"/>
          <w:color w:val="FF0000"/>
          <w:sz w:val="24"/>
        </w:rPr>
        <w:t xml:space="preserve"> </w:t>
      </w:r>
      <w:r w:rsidRPr="00614CD6">
        <w:rPr>
          <w:rFonts w:asciiTheme="majorBidi" w:hAnsiTheme="majorBidi" w:cstheme="majorBidi"/>
          <w:sz w:val="24"/>
        </w:rPr>
        <w:t xml:space="preserve">on </w:t>
      </w:r>
      <w:r>
        <w:rPr>
          <w:rFonts w:asciiTheme="majorBidi" w:hAnsiTheme="majorBidi" w:cstheme="majorBidi"/>
          <w:sz w:val="24"/>
        </w:rPr>
        <w:t xml:space="preserve">biotic mechanisms of </w:t>
      </w:r>
      <w:r>
        <w:rPr>
          <w:rFonts w:asciiTheme="majorBidi" w:hAnsiTheme="majorBidi" w:cstheme="majorBidi"/>
          <w:bCs/>
          <w:sz w:val="24"/>
        </w:rPr>
        <w:t>pharmaceutical</w:t>
      </w:r>
      <w:r>
        <w:rPr>
          <w:rFonts w:asciiTheme="majorBidi" w:hAnsiTheme="majorBidi" w:cstheme="majorBidi"/>
          <w:sz w:val="24"/>
        </w:rPr>
        <w:t xml:space="preserve"> removal.</w:t>
      </w:r>
    </w:p>
    <w:p w:rsidR="002455EF" w:rsidRPr="000D6E65" w:rsidRDefault="002455EF" w:rsidP="00723080">
      <w:pPr>
        <w:spacing w:line="480" w:lineRule="auto"/>
        <w:ind w:left="0" w:firstLine="720"/>
        <w:jc w:val="left"/>
        <w:rPr>
          <w:rFonts w:asciiTheme="majorBidi" w:hAnsiTheme="majorBidi" w:cstheme="majorBidi"/>
          <w:sz w:val="24"/>
          <w:shd w:val="clear" w:color="auto" w:fill="FFFFFF"/>
        </w:rPr>
      </w:pPr>
      <w:r w:rsidRPr="000D6E65">
        <w:rPr>
          <w:rFonts w:asciiTheme="majorBidi" w:hAnsiTheme="majorBidi" w:cstheme="majorBidi"/>
          <w:sz w:val="24"/>
        </w:rPr>
        <w:t xml:space="preserve">In this study, the </w:t>
      </w:r>
      <w:r>
        <w:rPr>
          <w:rFonts w:asciiTheme="majorBidi" w:hAnsiTheme="majorBidi" w:cstheme="majorBidi"/>
          <w:sz w:val="24"/>
        </w:rPr>
        <w:t xml:space="preserve">persistence </w:t>
      </w:r>
      <w:r w:rsidRPr="000D6E65">
        <w:rPr>
          <w:rFonts w:asciiTheme="majorBidi" w:hAnsiTheme="majorBidi" w:cstheme="majorBidi"/>
          <w:sz w:val="24"/>
        </w:rPr>
        <w:t>of a range of commonly-prescrib</w:t>
      </w:r>
      <w:r>
        <w:rPr>
          <w:rFonts w:asciiTheme="majorBidi" w:hAnsiTheme="majorBidi" w:cstheme="majorBidi"/>
          <w:sz w:val="24"/>
        </w:rPr>
        <w:t xml:space="preserve">ed human and veterinary </w:t>
      </w:r>
      <w:r>
        <w:rPr>
          <w:rFonts w:asciiTheme="majorBidi" w:hAnsiTheme="majorBidi" w:cstheme="majorBidi"/>
          <w:bCs/>
          <w:sz w:val="24"/>
        </w:rPr>
        <w:t xml:space="preserve">pharmaceuticals </w:t>
      </w:r>
      <w:r>
        <w:rPr>
          <w:rFonts w:asciiTheme="majorBidi" w:hAnsiTheme="majorBidi" w:cstheme="majorBidi"/>
          <w:sz w:val="24"/>
        </w:rPr>
        <w:t xml:space="preserve">in incubations containing </w:t>
      </w:r>
      <w:r w:rsidRPr="000D6E65">
        <w:rPr>
          <w:rFonts w:asciiTheme="majorBidi" w:hAnsiTheme="majorBidi" w:cstheme="majorBidi"/>
          <w:sz w:val="24"/>
        </w:rPr>
        <w:t xml:space="preserve">riverine bacterio-plankton was examined. Chloroquine and quinine are quinoline derivatives used extensively in Asia, Africa and South America for the treatment of malaria, although they also have a range of other medical applications </w:t>
      </w:r>
      <w:r>
        <w:rPr>
          <w:rFonts w:asciiTheme="majorBidi" w:hAnsiTheme="majorBidi" w:cstheme="majorBidi"/>
          <w:noProof/>
          <w:sz w:val="24"/>
        </w:rPr>
        <w:t>(Achan et al. 2011; Price et al. 2014)</w:t>
      </w:r>
      <w:r>
        <w:rPr>
          <w:rFonts w:asciiTheme="majorBidi" w:hAnsiTheme="majorBidi" w:cstheme="majorBidi"/>
          <w:sz w:val="24"/>
        </w:rPr>
        <w:t>;</w:t>
      </w:r>
      <w:r w:rsidRPr="000D6E65">
        <w:rPr>
          <w:rFonts w:asciiTheme="majorBidi" w:hAnsiTheme="majorBidi" w:cstheme="majorBidi"/>
          <w:sz w:val="24"/>
        </w:rPr>
        <w:t xml:space="preserve"> </w:t>
      </w:r>
      <w:r>
        <w:rPr>
          <w:rFonts w:asciiTheme="majorBidi" w:hAnsiTheme="majorBidi" w:cstheme="majorBidi"/>
          <w:sz w:val="24"/>
        </w:rPr>
        <w:t>t</w:t>
      </w:r>
      <w:r w:rsidRPr="000D6E65">
        <w:rPr>
          <w:rFonts w:asciiTheme="majorBidi" w:hAnsiTheme="majorBidi" w:cstheme="majorBidi"/>
          <w:sz w:val="24"/>
        </w:rPr>
        <w:t xml:space="preserve">he MoA of their anti-malarial properties is not well understood </w:t>
      </w:r>
      <w:r>
        <w:rPr>
          <w:rFonts w:asciiTheme="majorBidi" w:hAnsiTheme="majorBidi" w:cstheme="majorBidi"/>
          <w:noProof/>
          <w:sz w:val="24"/>
        </w:rPr>
        <w:t>(www.drugbank.ca)</w:t>
      </w:r>
      <w:r w:rsidRPr="000D6E65">
        <w:rPr>
          <w:rFonts w:asciiTheme="majorBidi" w:hAnsiTheme="majorBidi" w:cstheme="majorBidi"/>
          <w:sz w:val="24"/>
        </w:rPr>
        <w:t>.</w:t>
      </w:r>
      <w:r w:rsidRPr="000D6E65">
        <w:rPr>
          <w:rFonts w:asciiTheme="majorBidi" w:hAnsiTheme="majorBidi" w:cstheme="majorBidi"/>
          <w:sz w:val="24"/>
          <w:shd w:val="clear" w:color="auto" w:fill="FFFFFF"/>
        </w:rPr>
        <w:t xml:space="preserve"> </w:t>
      </w:r>
      <w:r w:rsidRPr="000D6E65">
        <w:rPr>
          <w:rFonts w:asciiTheme="majorBidi" w:hAnsiTheme="majorBidi" w:cstheme="majorBidi"/>
          <w:sz w:val="24"/>
          <w:lang w:val="en"/>
        </w:rPr>
        <w:t>C</w:t>
      </w:r>
      <w:r w:rsidRPr="000D6E65">
        <w:rPr>
          <w:rFonts w:asciiTheme="majorBidi" w:hAnsiTheme="majorBidi" w:cstheme="majorBidi"/>
          <w:color w:val="000000"/>
          <w:sz w:val="24"/>
          <w:lang w:eastAsia="en-GB" w:bidi="ar-SA"/>
        </w:rPr>
        <w:t>hloroquine is excreted from humans either unaltered or as N-desethyl</w:t>
      </w:r>
      <w:r>
        <w:rPr>
          <w:rFonts w:asciiTheme="majorBidi" w:hAnsiTheme="majorBidi" w:cstheme="majorBidi"/>
          <w:color w:val="000000"/>
          <w:sz w:val="24"/>
          <w:lang w:eastAsia="en-GB" w:bidi="ar-SA"/>
        </w:rPr>
        <w:t xml:space="preserve"> </w:t>
      </w:r>
      <w:r w:rsidRPr="000D6E65">
        <w:rPr>
          <w:rFonts w:asciiTheme="majorBidi" w:hAnsiTheme="majorBidi" w:cstheme="majorBidi"/>
          <w:color w:val="000000"/>
          <w:sz w:val="24"/>
          <w:lang w:eastAsia="en-GB" w:bidi="ar-SA"/>
        </w:rPr>
        <w:t xml:space="preserve">chloroquine, and quinine unaltered or as 3-hydroxyquinine </w:t>
      </w:r>
      <w:r>
        <w:rPr>
          <w:rFonts w:asciiTheme="majorBidi" w:hAnsiTheme="majorBidi" w:cstheme="majorBidi"/>
          <w:noProof/>
          <w:color w:val="000000"/>
          <w:sz w:val="24"/>
          <w:lang w:eastAsia="en-GB" w:bidi="ar-SA"/>
        </w:rPr>
        <w:t>(Mirghani et al. 2003; Projean et al. 2003)</w:t>
      </w:r>
      <w:r w:rsidRPr="000D6E65">
        <w:rPr>
          <w:rFonts w:asciiTheme="majorBidi" w:hAnsiTheme="majorBidi" w:cstheme="majorBidi"/>
          <w:color w:val="000000"/>
          <w:sz w:val="24"/>
          <w:lang w:eastAsia="en-GB" w:bidi="ar-SA"/>
        </w:rPr>
        <w:t xml:space="preserve">. </w:t>
      </w:r>
      <w:r w:rsidRPr="000D6E65">
        <w:rPr>
          <w:rFonts w:asciiTheme="majorBidi" w:hAnsiTheme="majorBidi" w:cstheme="majorBidi"/>
          <w:sz w:val="24"/>
          <w:shd w:val="clear" w:color="auto" w:fill="FFFFFF"/>
        </w:rPr>
        <w:t xml:space="preserve">Fluphenazine is a tri-fluorinated methyl phenothiazine derivative used to manage chronic psychoses including schizophrenia </w:t>
      </w:r>
      <w:r>
        <w:rPr>
          <w:rFonts w:asciiTheme="majorBidi" w:hAnsiTheme="majorBidi" w:cstheme="majorBidi"/>
          <w:noProof/>
          <w:sz w:val="24"/>
          <w:shd w:val="clear" w:color="auto" w:fill="FFFFFF"/>
        </w:rPr>
        <w:t>(Uchida et al. 2011)</w:t>
      </w:r>
      <w:r w:rsidRPr="000D6E65">
        <w:rPr>
          <w:rFonts w:asciiTheme="majorBidi" w:hAnsiTheme="majorBidi" w:cstheme="majorBidi"/>
          <w:sz w:val="24"/>
          <w:shd w:val="clear" w:color="auto" w:fill="FFFFFF"/>
        </w:rPr>
        <w:t>;</w:t>
      </w:r>
      <w:r w:rsidRPr="000D6E65">
        <w:rPr>
          <w:rFonts w:asciiTheme="majorBidi" w:eastAsia="SimHei" w:hAnsiTheme="majorBidi" w:cstheme="majorBidi"/>
          <w:sz w:val="24"/>
          <w:lang w:val="en"/>
        </w:rPr>
        <w:t xml:space="preserve"> it is</w:t>
      </w:r>
      <w:r w:rsidRPr="000D6E65">
        <w:rPr>
          <w:rFonts w:asciiTheme="majorBidi" w:hAnsiTheme="majorBidi" w:cstheme="majorBidi"/>
          <w:color w:val="000000"/>
          <w:sz w:val="24"/>
          <w:lang w:eastAsia="en-GB" w:bidi="ar-SA"/>
        </w:rPr>
        <w:t xml:space="preserve"> excreted in urine and faeces unchanged, or as 7-hydroxyfluphenazine, fluphenazine sulfoxide, and metabolite conjugates </w:t>
      </w:r>
      <w:r>
        <w:rPr>
          <w:rFonts w:asciiTheme="majorBidi" w:hAnsiTheme="majorBidi" w:cstheme="majorBidi"/>
          <w:noProof/>
          <w:color w:val="000000"/>
          <w:sz w:val="24"/>
          <w:lang w:eastAsia="en-GB" w:bidi="ar-SA"/>
        </w:rPr>
        <w:t>(McEvoy et al. 2004)</w:t>
      </w:r>
      <w:r w:rsidRPr="000D6E65">
        <w:rPr>
          <w:rFonts w:asciiTheme="majorBidi" w:hAnsiTheme="majorBidi" w:cstheme="majorBidi"/>
          <w:color w:val="000000"/>
          <w:sz w:val="24"/>
          <w:lang w:eastAsia="en-GB" w:bidi="ar-SA"/>
        </w:rPr>
        <w:t xml:space="preserve">. Thus, these </w:t>
      </w:r>
      <w:r w:rsidRPr="000D6E65">
        <w:rPr>
          <w:rFonts w:asciiTheme="majorBidi" w:hAnsiTheme="majorBidi" w:cstheme="majorBidi"/>
          <w:color w:val="000000"/>
          <w:sz w:val="24"/>
          <w:lang w:eastAsia="en-GB" w:bidi="ar-SA"/>
        </w:rPr>
        <w:lastRenderedPageBreak/>
        <w:t xml:space="preserve">compounds will enter surface waters via wastewater discharge and irrigation, and leaching from sewage solids applied to land. Concerns regarding the presence of neuroendocrine-active chemicals in surface waters, and their potential </w:t>
      </w:r>
      <w:r>
        <w:rPr>
          <w:rFonts w:asciiTheme="majorBidi" w:hAnsiTheme="majorBidi" w:cstheme="majorBidi"/>
          <w:color w:val="000000"/>
          <w:sz w:val="24"/>
          <w:lang w:eastAsia="en-GB" w:bidi="ar-SA"/>
        </w:rPr>
        <w:t xml:space="preserve">biological </w:t>
      </w:r>
      <w:r w:rsidRPr="000D6E65">
        <w:rPr>
          <w:rFonts w:asciiTheme="majorBidi" w:hAnsiTheme="majorBidi" w:cstheme="majorBidi"/>
          <w:color w:val="000000"/>
          <w:sz w:val="24"/>
          <w:lang w:eastAsia="en-GB" w:bidi="ar-SA"/>
        </w:rPr>
        <w:t xml:space="preserve">effects, have been raised; particularly those </w:t>
      </w:r>
      <w:r>
        <w:rPr>
          <w:rFonts w:asciiTheme="majorBidi" w:hAnsiTheme="majorBidi" w:cstheme="majorBidi"/>
          <w:bCs/>
          <w:sz w:val="24"/>
        </w:rPr>
        <w:t>pharmaceuticals</w:t>
      </w:r>
      <w:r w:rsidRPr="000D6E65">
        <w:rPr>
          <w:rFonts w:asciiTheme="majorBidi" w:hAnsiTheme="majorBidi" w:cstheme="majorBidi"/>
          <w:color w:val="000000"/>
          <w:sz w:val="24"/>
          <w:lang w:eastAsia="en-GB" w:bidi="ar-SA"/>
        </w:rPr>
        <w:t xml:space="preserve">, including fluphenazine, that act on widely conserved dopamine receptors </w:t>
      </w:r>
      <w:r>
        <w:rPr>
          <w:rFonts w:asciiTheme="majorBidi" w:hAnsiTheme="majorBidi" w:cstheme="majorBidi"/>
          <w:noProof/>
          <w:color w:val="000000"/>
          <w:sz w:val="24"/>
          <w:lang w:eastAsia="en-GB" w:bidi="ar-SA"/>
        </w:rPr>
        <w:t>(Villeneuve et al. 2010a; Villeneuve et al. 2010b)</w:t>
      </w:r>
      <w:r w:rsidRPr="000D6E65">
        <w:rPr>
          <w:rFonts w:asciiTheme="majorBidi" w:hAnsiTheme="majorBidi" w:cstheme="majorBidi"/>
          <w:color w:val="000000"/>
          <w:sz w:val="24"/>
          <w:lang w:eastAsia="en-GB" w:bidi="ar-SA"/>
        </w:rPr>
        <w:t xml:space="preserve">. </w:t>
      </w:r>
      <w:r w:rsidRPr="000D6E65">
        <w:rPr>
          <w:rFonts w:asciiTheme="majorBidi" w:hAnsiTheme="majorBidi" w:cstheme="majorBidi"/>
          <w:sz w:val="24"/>
          <w:shd w:val="clear" w:color="auto" w:fill="FFFFFF"/>
        </w:rPr>
        <w:t xml:space="preserve">Levamisole </w:t>
      </w:r>
      <w:r w:rsidRPr="000D6E65">
        <w:rPr>
          <w:rFonts w:asciiTheme="majorBidi" w:hAnsiTheme="majorBidi" w:cstheme="majorBidi"/>
          <w:color w:val="252525"/>
          <w:sz w:val="24"/>
          <w:shd w:val="clear" w:color="auto" w:fill="FFFFFF"/>
        </w:rPr>
        <w:t xml:space="preserve">is an imidazothiazole derivative used as </w:t>
      </w:r>
      <w:r w:rsidRPr="000D6E65">
        <w:rPr>
          <w:rFonts w:asciiTheme="majorBidi" w:hAnsiTheme="majorBidi" w:cstheme="majorBidi"/>
          <w:sz w:val="24"/>
          <w:shd w:val="clear" w:color="auto" w:fill="FFFFFF"/>
        </w:rPr>
        <w:t xml:space="preserve">a human and veterinary anthelmintic </w:t>
      </w:r>
      <w:r>
        <w:rPr>
          <w:rFonts w:asciiTheme="majorBidi" w:hAnsiTheme="majorBidi" w:cstheme="majorBidi"/>
          <w:noProof/>
          <w:sz w:val="24"/>
          <w:shd w:val="clear" w:color="auto" w:fill="FFFFFF"/>
        </w:rPr>
        <w:t>(Lanusse et al. 2009)</w:t>
      </w:r>
      <w:r w:rsidRPr="000D6E65">
        <w:rPr>
          <w:rFonts w:asciiTheme="majorBidi" w:hAnsiTheme="majorBidi" w:cstheme="majorBidi"/>
          <w:sz w:val="24"/>
          <w:shd w:val="clear" w:color="auto" w:fill="FFFFFF"/>
        </w:rPr>
        <w:t xml:space="preserve">. </w:t>
      </w:r>
      <w:r>
        <w:rPr>
          <w:rFonts w:asciiTheme="majorBidi" w:hAnsiTheme="majorBidi" w:cstheme="majorBidi"/>
          <w:sz w:val="24"/>
          <w:shd w:val="clear" w:color="auto" w:fill="FFFFFF"/>
        </w:rPr>
        <w:t>It</w:t>
      </w:r>
      <w:r w:rsidRPr="000D6E65">
        <w:rPr>
          <w:rFonts w:asciiTheme="majorBidi" w:hAnsiTheme="majorBidi" w:cstheme="majorBidi"/>
          <w:sz w:val="24"/>
          <w:shd w:val="clear" w:color="auto" w:fill="FFFFFF"/>
        </w:rPr>
        <w:t xml:space="preserve"> is also used as a human immuno-modulator and as an adulterant in cocaine </w:t>
      </w:r>
      <w:r>
        <w:rPr>
          <w:rFonts w:asciiTheme="majorBidi" w:hAnsiTheme="majorBidi" w:cstheme="majorBidi"/>
          <w:noProof/>
          <w:sz w:val="24"/>
          <w:shd w:val="clear" w:color="auto" w:fill="FFFFFF"/>
        </w:rPr>
        <w:t>(Bertol et al. 2011)</w:t>
      </w:r>
      <w:r w:rsidRPr="000D6E65">
        <w:rPr>
          <w:rFonts w:asciiTheme="majorBidi" w:hAnsiTheme="majorBidi" w:cstheme="majorBidi"/>
          <w:sz w:val="24"/>
          <w:shd w:val="clear" w:color="auto" w:fill="FFFFFF"/>
        </w:rPr>
        <w:t>. For veterinary use</w:t>
      </w:r>
      <w:r>
        <w:rPr>
          <w:rFonts w:asciiTheme="majorBidi" w:hAnsiTheme="majorBidi" w:cstheme="majorBidi"/>
          <w:sz w:val="24"/>
          <w:shd w:val="clear" w:color="auto" w:fill="FFFFFF"/>
        </w:rPr>
        <w:t>,</w:t>
      </w:r>
      <w:r w:rsidRPr="000D6E65">
        <w:rPr>
          <w:rFonts w:asciiTheme="majorBidi" w:hAnsiTheme="majorBidi" w:cstheme="majorBidi"/>
          <w:sz w:val="24"/>
          <w:shd w:val="clear" w:color="auto" w:fill="FFFFFF"/>
        </w:rPr>
        <w:t xml:space="preserve"> the compound is generally applied topically, </w:t>
      </w:r>
      <w:r>
        <w:rPr>
          <w:rFonts w:asciiTheme="majorBidi" w:hAnsiTheme="majorBidi" w:cstheme="majorBidi"/>
          <w:sz w:val="24"/>
          <w:shd w:val="clear" w:color="auto" w:fill="FFFFFF"/>
        </w:rPr>
        <w:t xml:space="preserve">thus </w:t>
      </w:r>
      <w:r w:rsidRPr="000D6E65">
        <w:rPr>
          <w:rFonts w:asciiTheme="majorBidi" w:hAnsiTheme="majorBidi" w:cstheme="majorBidi"/>
          <w:sz w:val="24"/>
          <w:shd w:val="clear" w:color="auto" w:fill="FFFFFF"/>
        </w:rPr>
        <w:t>enhancing its transport to surface waters.</w:t>
      </w:r>
    </w:p>
    <w:p w:rsidR="002455EF" w:rsidRPr="000D6E65" w:rsidRDefault="002455EF" w:rsidP="00723080">
      <w:pPr>
        <w:spacing w:line="480" w:lineRule="auto"/>
        <w:ind w:left="0" w:firstLine="720"/>
        <w:jc w:val="left"/>
        <w:rPr>
          <w:rFonts w:asciiTheme="majorBidi" w:hAnsiTheme="majorBidi" w:cstheme="majorBidi"/>
          <w:sz w:val="24"/>
          <w:shd w:val="clear" w:color="auto" w:fill="FFFFFF"/>
        </w:rPr>
      </w:pPr>
      <w:r w:rsidRPr="000D6E65">
        <w:rPr>
          <w:rFonts w:asciiTheme="majorBidi" w:hAnsiTheme="majorBidi" w:cstheme="majorBidi"/>
          <w:color w:val="000000"/>
          <w:sz w:val="24"/>
          <w:lang w:eastAsia="en-GB" w:bidi="ar-SA"/>
        </w:rPr>
        <w:t xml:space="preserve">There are no published data on the transformations of these </w:t>
      </w:r>
      <w:r>
        <w:rPr>
          <w:rFonts w:asciiTheme="majorBidi" w:hAnsiTheme="majorBidi" w:cstheme="majorBidi"/>
          <w:bCs/>
          <w:sz w:val="24"/>
        </w:rPr>
        <w:t>pharmaceuticals</w:t>
      </w:r>
      <w:r w:rsidRPr="000D6E65">
        <w:rPr>
          <w:rFonts w:asciiTheme="majorBidi" w:hAnsiTheme="majorBidi" w:cstheme="majorBidi"/>
          <w:color w:val="000000"/>
          <w:sz w:val="24"/>
          <w:lang w:eastAsia="en-GB" w:bidi="ar-SA"/>
        </w:rPr>
        <w:t xml:space="preserve"> in surface waters, although it has been predicted that </w:t>
      </w:r>
      <w:r>
        <w:rPr>
          <w:rFonts w:asciiTheme="majorBidi" w:hAnsiTheme="majorBidi" w:cstheme="majorBidi"/>
          <w:color w:val="000000"/>
          <w:sz w:val="24"/>
          <w:lang w:eastAsia="en-GB" w:bidi="ar-SA"/>
        </w:rPr>
        <w:t>lower than</w:t>
      </w:r>
      <w:r w:rsidRPr="000D6E65">
        <w:rPr>
          <w:rFonts w:asciiTheme="majorBidi" w:hAnsiTheme="majorBidi" w:cstheme="majorBidi"/>
          <w:color w:val="000000"/>
          <w:sz w:val="24"/>
          <w:lang w:eastAsia="en-GB" w:bidi="ar-SA"/>
        </w:rPr>
        <w:t xml:space="preserve"> 1 % of the quinine load entering a sewage treatment plant would be transformed</w:t>
      </w:r>
      <w:r>
        <w:rPr>
          <w:rFonts w:asciiTheme="majorBidi" w:hAnsiTheme="majorBidi" w:cstheme="majorBidi"/>
          <w:color w:val="000000"/>
          <w:sz w:val="24"/>
          <w:lang w:eastAsia="en-GB" w:bidi="ar-SA"/>
        </w:rPr>
        <w:t xml:space="preserve"> </w:t>
      </w:r>
      <w:r>
        <w:rPr>
          <w:rFonts w:asciiTheme="majorBidi" w:hAnsiTheme="majorBidi" w:cstheme="majorBidi"/>
          <w:noProof/>
          <w:color w:val="000000"/>
          <w:sz w:val="24"/>
          <w:lang w:eastAsia="en-GB" w:bidi="ar-SA"/>
        </w:rPr>
        <w:t>(Jones et al. 2002)</w:t>
      </w:r>
      <w:r w:rsidRPr="000D6E65">
        <w:rPr>
          <w:rFonts w:asciiTheme="majorBidi" w:hAnsiTheme="majorBidi" w:cstheme="majorBidi"/>
          <w:color w:val="000000"/>
          <w:sz w:val="24"/>
          <w:lang w:eastAsia="en-GB" w:bidi="ar-SA"/>
        </w:rPr>
        <w:t>. Furthermore, there are few data on the</w:t>
      </w:r>
      <w:r>
        <w:rPr>
          <w:rFonts w:asciiTheme="majorBidi" w:hAnsiTheme="majorBidi" w:cstheme="majorBidi"/>
          <w:color w:val="000000"/>
          <w:sz w:val="24"/>
          <w:lang w:eastAsia="en-GB" w:bidi="ar-SA"/>
        </w:rPr>
        <w:t>ir</w:t>
      </w:r>
      <w:r w:rsidRPr="000D6E65">
        <w:rPr>
          <w:rFonts w:asciiTheme="majorBidi" w:hAnsiTheme="majorBidi" w:cstheme="majorBidi"/>
          <w:color w:val="000000"/>
          <w:sz w:val="24"/>
          <w:lang w:eastAsia="en-GB" w:bidi="ar-SA"/>
        </w:rPr>
        <w:t xml:space="preserve"> toxicity in the aquatic environment. Bioassays using the invertebrate </w:t>
      </w:r>
      <w:r w:rsidRPr="00EF24E7">
        <w:rPr>
          <w:rFonts w:asciiTheme="majorBidi" w:hAnsiTheme="majorBidi" w:cstheme="majorBidi"/>
          <w:i/>
          <w:color w:val="000000"/>
          <w:sz w:val="24"/>
          <w:lang w:eastAsia="en-GB" w:bidi="ar-SA"/>
        </w:rPr>
        <w:t>Daphnia magna</w:t>
      </w:r>
      <w:r w:rsidRPr="000D6E65">
        <w:rPr>
          <w:rFonts w:asciiTheme="majorBidi" w:hAnsiTheme="majorBidi" w:cstheme="majorBidi"/>
          <w:color w:val="000000"/>
          <w:sz w:val="24"/>
          <w:lang w:eastAsia="en-GB" w:bidi="ar-SA"/>
        </w:rPr>
        <w:t xml:space="preserve"> and alga </w:t>
      </w:r>
      <w:r w:rsidRPr="00EF24E7">
        <w:rPr>
          <w:rFonts w:asciiTheme="majorBidi" w:hAnsiTheme="majorBidi" w:cstheme="majorBidi"/>
          <w:i/>
          <w:color w:val="000000"/>
          <w:sz w:val="24"/>
          <w:lang w:eastAsia="en-GB" w:bidi="ar-SA"/>
        </w:rPr>
        <w:t>Chlorella vulgaris</w:t>
      </w:r>
      <w:r w:rsidRPr="000D6E65">
        <w:rPr>
          <w:rFonts w:asciiTheme="majorBidi" w:hAnsiTheme="majorBidi" w:cstheme="majorBidi"/>
          <w:color w:val="000000"/>
          <w:sz w:val="24"/>
          <w:lang w:eastAsia="en-GB" w:bidi="ar-SA"/>
        </w:rPr>
        <w:t xml:space="preserve"> suggested </w:t>
      </w:r>
      <w:r w:rsidRPr="000D6E65">
        <w:rPr>
          <w:rFonts w:asciiTheme="majorBidi" w:hAnsiTheme="majorBidi" w:cstheme="majorBidi"/>
          <w:iCs/>
          <w:sz w:val="24"/>
          <w:lang w:eastAsia="en-GB" w:bidi="ar-SA"/>
        </w:rPr>
        <w:t>that chloroquine may be harmful to aquatic organisms</w:t>
      </w:r>
      <w:r w:rsidRPr="000D6E65">
        <w:rPr>
          <w:rFonts w:asciiTheme="majorBidi" w:hAnsiTheme="majorBidi" w:cstheme="majorBidi"/>
          <w:color w:val="000000"/>
          <w:sz w:val="24"/>
          <w:lang w:eastAsia="en-GB" w:bidi="ar-SA"/>
        </w:rPr>
        <w:t xml:space="preserve"> </w:t>
      </w:r>
      <w:r>
        <w:rPr>
          <w:rFonts w:asciiTheme="majorBidi" w:hAnsiTheme="majorBidi" w:cstheme="majorBidi"/>
          <w:noProof/>
          <w:color w:val="000000"/>
          <w:sz w:val="24"/>
          <w:lang w:eastAsia="en-GB" w:bidi="ar-SA"/>
        </w:rPr>
        <w:t>(Zurita et al. 2005)</w:t>
      </w:r>
      <w:r w:rsidRPr="000D6E65">
        <w:rPr>
          <w:rFonts w:asciiTheme="majorBidi" w:hAnsiTheme="majorBidi" w:cstheme="majorBidi"/>
          <w:color w:val="000000"/>
          <w:sz w:val="24"/>
          <w:lang w:eastAsia="en-GB" w:bidi="ar-SA"/>
        </w:rPr>
        <w:t xml:space="preserve">, while </w:t>
      </w:r>
      <w:r w:rsidRPr="000D6E65">
        <w:rPr>
          <w:rFonts w:asciiTheme="majorBidi" w:hAnsiTheme="majorBidi" w:cstheme="majorBidi"/>
          <w:sz w:val="24"/>
          <w:lang w:eastAsia="en-GB" w:bidi="ar-SA"/>
        </w:rPr>
        <w:t xml:space="preserve">fluphenazine showed inhibitory effects </w:t>
      </w:r>
      <w:r>
        <w:rPr>
          <w:rFonts w:asciiTheme="majorBidi" w:hAnsiTheme="majorBidi" w:cstheme="majorBidi"/>
          <w:sz w:val="24"/>
          <w:lang w:eastAsia="en-GB" w:bidi="ar-SA"/>
        </w:rPr>
        <w:t>on</w:t>
      </w:r>
      <w:r w:rsidRPr="000D6E65">
        <w:rPr>
          <w:rFonts w:asciiTheme="majorBidi" w:hAnsiTheme="majorBidi" w:cstheme="majorBidi"/>
          <w:sz w:val="24"/>
          <w:lang w:eastAsia="en-GB" w:bidi="ar-SA"/>
        </w:rPr>
        <w:t xml:space="preserve"> a range of bacteria</w:t>
      </w:r>
      <w:r>
        <w:rPr>
          <w:rFonts w:asciiTheme="majorBidi" w:hAnsiTheme="majorBidi" w:cstheme="majorBidi"/>
          <w:sz w:val="24"/>
          <w:lang w:eastAsia="en-GB" w:bidi="ar-SA"/>
        </w:rPr>
        <w:t>l species</w:t>
      </w:r>
      <w:r w:rsidRPr="000D6E65">
        <w:rPr>
          <w:rFonts w:asciiTheme="majorBidi" w:hAnsiTheme="majorBidi" w:cstheme="majorBidi"/>
          <w:sz w:val="24"/>
          <w:lang w:eastAsia="en-GB" w:bidi="ar-SA"/>
        </w:rPr>
        <w:t xml:space="preserve"> at concentrations of ca. 40 - 200 </w:t>
      </w:r>
      <w:r w:rsidRPr="000D6E65">
        <w:rPr>
          <w:rFonts w:asciiTheme="majorBidi" w:hAnsiTheme="majorBidi" w:cstheme="majorBidi"/>
          <w:color w:val="000000"/>
          <w:sz w:val="24"/>
          <w:lang w:eastAsia="en-GB" w:bidi="ar-SA"/>
        </w:rPr>
        <w:t>µmol L</w:t>
      </w:r>
      <w:r w:rsidRPr="000D6E65">
        <w:rPr>
          <w:rFonts w:asciiTheme="majorBidi" w:hAnsiTheme="majorBidi" w:cstheme="majorBidi"/>
          <w:color w:val="000000"/>
          <w:sz w:val="24"/>
          <w:vertAlign w:val="superscript"/>
          <w:lang w:eastAsia="en-GB" w:bidi="ar-SA"/>
        </w:rPr>
        <w:t>-1</w:t>
      </w:r>
      <w:r w:rsidRPr="000D6E65">
        <w:rPr>
          <w:rFonts w:asciiTheme="majorBidi" w:hAnsiTheme="majorBidi" w:cstheme="majorBidi"/>
          <w:color w:val="000000"/>
          <w:sz w:val="24"/>
          <w:lang w:eastAsia="en-GB" w:bidi="ar-SA"/>
        </w:rPr>
        <w:t xml:space="preserve"> </w:t>
      </w:r>
      <w:r>
        <w:rPr>
          <w:rFonts w:asciiTheme="majorBidi" w:hAnsiTheme="majorBidi" w:cstheme="majorBidi"/>
          <w:noProof/>
          <w:color w:val="000000"/>
          <w:sz w:val="24"/>
          <w:lang w:eastAsia="en-GB" w:bidi="ar-SA"/>
        </w:rPr>
        <w:t>(Dastidar et al. 1995)</w:t>
      </w:r>
      <w:r w:rsidRPr="000D6E65">
        <w:rPr>
          <w:rFonts w:asciiTheme="majorBidi" w:hAnsiTheme="majorBidi" w:cstheme="majorBidi"/>
          <w:color w:val="000000"/>
          <w:sz w:val="24"/>
          <w:lang w:eastAsia="en-GB" w:bidi="ar-SA"/>
        </w:rPr>
        <w:t xml:space="preserve">. Levamisole has been cited as a high priority compound for detailed environmental risk assessment </w:t>
      </w:r>
      <w:r>
        <w:rPr>
          <w:rFonts w:asciiTheme="majorBidi" w:hAnsiTheme="majorBidi" w:cstheme="majorBidi"/>
          <w:noProof/>
          <w:color w:val="000000"/>
          <w:sz w:val="24"/>
          <w:lang w:eastAsia="en-GB" w:bidi="ar-SA"/>
        </w:rPr>
        <w:t>(Capleton et al. 2006; von der Ohe et al. 2011)</w:t>
      </w:r>
      <w:r w:rsidRPr="000D6E65">
        <w:rPr>
          <w:rFonts w:asciiTheme="majorBidi" w:eastAsia="Times New Roman" w:hAnsiTheme="majorBidi" w:cstheme="majorBidi"/>
          <w:bCs/>
          <w:sz w:val="24"/>
          <w:lang w:eastAsia="en-GB" w:bidi="ar-SA"/>
        </w:rPr>
        <w:t xml:space="preserve">. </w:t>
      </w:r>
      <w:r>
        <w:rPr>
          <w:rFonts w:asciiTheme="majorBidi" w:eastAsia="Times New Roman" w:hAnsiTheme="majorBidi" w:cstheme="majorBidi"/>
          <w:bCs/>
          <w:sz w:val="24"/>
          <w:lang w:eastAsia="en-GB" w:bidi="ar-SA"/>
        </w:rPr>
        <w:t>T</w:t>
      </w:r>
      <w:r w:rsidRPr="000D6E65">
        <w:rPr>
          <w:rFonts w:asciiTheme="majorBidi" w:hAnsiTheme="majorBidi" w:cstheme="majorBidi"/>
          <w:sz w:val="24"/>
          <w:shd w:val="clear" w:color="auto" w:fill="FFFFFF"/>
        </w:rPr>
        <w:t xml:space="preserve">hese </w:t>
      </w:r>
      <w:r>
        <w:rPr>
          <w:rFonts w:asciiTheme="majorBidi" w:hAnsiTheme="majorBidi" w:cstheme="majorBidi"/>
          <w:bCs/>
          <w:sz w:val="24"/>
        </w:rPr>
        <w:t>pharmaceuticals</w:t>
      </w:r>
      <w:r w:rsidRPr="000D6E65">
        <w:rPr>
          <w:rFonts w:asciiTheme="majorBidi" w:hAnsiTheme="majorBidi" w:cstheme="majorBidi"/>
          <w:sz w:val="24"/>
          <w:shd w:val="clear" w:color="auto" w:fill="FFFFFF"/>
        </w:rPr>
        <w:t xml:space="preserve"> are all</w:t>
      </w:r>
      <w:r w:rsidRPr="000D6E65">
        <w:rPr>
          <w:rFonts w:asciiTheme="majorBidi" w:hAnsiTheme="majorBidi" w:cstheme="majorBidi"/>
          <w:color w:val="252525"/>
          <w:sz w:val="24"/>
          <w:shd w:val="clear" w:color="auto" w:fill="FFFFFF"/>
        </w:rPr>
        <w:t xml:space="preserve"> included in the</w:t>
      </w:r>
      <w:r w:rsidRPr="000D6E65">
        <w:rPr>
          <w:rStyle w:val="apple-converted-space"/>
          <w:rFonts w:asciiTheme="majorBidi" w:hAnsiTheme="majorBidi" w:cstheme="majorBidi"/>
          <w:color w:val="252525"/>
          <w:sz w:val="24"/>
          <w:shd w:val="clear" w:color="auto" w:fill="FFFFFF"/>
        </w:rPr>
        <w:t xml:space="preserve"> </w:t>
      </w:r>
      <w:r w:rsidRPr="000D6E65">
        <w:rPr>
          <w:rFonts w:asciiTheme="majorBidi" w:hAnsiTheme="majorBidi" w:cstheme="majorBidi"/>
          <w:sz w:val="24"/>
          <w:shd w:val="clear" w:color="auto" w:fill="FFFFFF"/>
        </w:rPr>
        <w:t xml:space="preserve">World Health Organization's List of Essential Medicines </w:t>
      </w:r>
      <w:r>
        <w:rPr>
          <w:rFonts w:asciiTheme="majorBidi" w:hAnsiTheme="majorBidi" w:cstheme="majorBidi"/>
          <w:noProof/>
          <w:sz w:val="24"/>
          <w:shd w:val="clear" w:color="auto" w:fill="FFFFFF"/>
        </w:rPr>
        <w:t>(WHO 2015)</w:t>
      </w:r>
      <w:r w:rsidRPr="000D6E65">
        <w:rPr>
          <w:rFonts w:asciiTheme="majorBidi" w:hAnsiTheme="majorBidi" w:cstheme="majorBidi"/>
          <w:sz w:val="24"/>
          <w:shd w:val="clear" w:color="auto" w:fill="FFFFFF"/>
        </w:rPr>
        <w:t>.</w:t>
      </w:r>
      <w:r>
        <w:rPr>
          <w:rFonts w:asciiTheme="majorBidi" w:hAnsiTheme="majorBidi" w:cstheme="majorBidi"/>
          <w:sz w:val="24"/>
          <w:shd w:val="clear" w:color="auto" w:fill="FFFFFF"/>
        </w:rPr>
        <w:t xml:space="preserve"> Furthermore, they are ionisable molecules that can be protonated at surface water pH, and there is a paucity of data on the fate of pH-dependent cationic </w:t>
      </w:r>
      <w:r>
        <w:rPr>
          <w:rFonts w:asciiTheme="majorBidi" w:hAnsiTheme="majorBidi" w:cstheme="majorBidi"/>
          <w:bCs/>
          <w:sz w:val="24"/>
        </w:rPr>
        <w:t>pharmaceuticals</w:t>
      </w:r>
      <w:r>
        <w:rPr>
          <w:rFonts w:asciiTheme="majorBidi" w:hAnsiTheme="majorBidi" w:cstheme="majorBidi"/>
          <w:sz w:val="24"/>
          <w:shd w:val="clear" w:color="auto" w:fill="FFFFFF"/>
        </w:rPr>
        <w:t xml:space="preserve"> in these environments. </w:t>
      </w:r>
    </w:p>
    <w:p w:rsidR="002455EF" w:rsidRPr="000D6E65" w:rsidRDefault="002455EF" w:rsidP="003B6177">
      <w:pPr>
        <w:widowControl w:val="0"/>
        <w:autoSpaceDE w:val="0"/>
        <w:autoSpaceDN w:val="0"/>
        <w:adjustRightInd w:val="0"/>
        <w:spacing w:after="120" w:line="480" w:lineRule="auto"/>
        <w:ind w:left="0" w:firstLine="720"/>
        <w:jc w:val="left"/>
        <w:rPr>
          <w:rFonts w:asciiTheme="majorBidi" w:hAnsiTheme="majorBidi" w:cstheme="majorBidi"/>
          <w:sz w:val="24"/>
          <w:shd w:val="clear" w:color="auto" w:fill="FFFFFF"/>
        </w:rPr>
      </w:pPr>
      <w:r w:rsidRPr="00DE7969">
        <w:rPr>
          <w:rFonts w:asciiTheme="majorBidi" w:hAnsiTheme="majorBidi" w:cstheme="majorBidi"/>
          <w:sz w:val="24"/>
        </w:rPr>
        <w:t xml:space="preserve">The potential problem of environmentally persistent pharmaceutical pollutants was recently recognised by the International Conference on Chemicals Management (ICCM 4, autumn 2015) as an Emerging Policy Issue of the Strategic Approach to International </w:t>
      </w:r>
      <w:r w:rsidRPr="00DE7969">
        <w:rPr>
          <w:rFonts w:asciiTheme="majorBidi" w:hAnsiTheme="majorBidi" w:cstheme="majorBidi"/>
          <w:sz w:val="24"/>
        </w:rPr>
        <w:lastRenderedPageBreak/>
        <w:t>Chemicals Management (</w:t>
      </w:r>
      <w:hyperlink r:id="rId8" w:history="1">
        <w:r w:rsidRPr="00DE7969">
          <w:rPr>
            <w:rStyle w:val="Hyperlink"/>
            <w:rFonts w:asciiTheme="majorBidi" w:hAnsiTheme="majorBidi" w:cstheme="majorBidi"/>
            <w:color w:val="auto"/>
            <w:sz w:val="24"/>
          </w:rPr>
          <w:t>http://www.saicm.org/</w:t>
        </w:r>
      </w:hyperlink>
      <w:r w:rsidRPr="00DE7969">
        <w:rPr>
          <w:rFonts w:asciiTheme="majorBidi" w:hAnsiTheme="majorBidi" w:cstheme="majorBidi"/>
          <w:sz w:val="24"/>
        </w:rPr>
        <w:t xml:space="preserve">). </w:t>
      </w:r>
      <w:r w:rsidR="00473E58">
        <w:rPr>
          <w:rFonts w:asciiTheme="majorBidi" w:hAnsiTheme="majorBidi" w:cstheme="majorBidi"/>
          <w:sz w:val="24"/>
        </w:rPr>
        <w:t>Furthermore</w:t>
      </w:r>
      <w:r>
        <w:rPr>
          <w:rFonts w:asciiTheme="majorBidi" w:hAnsiTheme="majorBidi" w:cstheme="majorBidi"/>
          <w:sz w:val="24"/>
        </w:rPr>
        <w:t xml:space="preserve">, </w:t>
      </w:r>
      <w:r w:rsidR="00145000">
        <w:rPr>
          <w:rFonts w:asciiTheme="majorBidi" w:hAnsiTheme="majorBidi" w:cstheme="majorBidi"/>
          <w:sz w:val="24"/>
        </w:rPr>
        <w:t>3</w:t>
      </w:r>
      <w:r>
        <w:rPr>
          <w:rFonts w:asciiTheme="majorBidi" w:hAnsiTheme="majorBidi" w:cstheme="majorBidi"/>
          <w:sz w:val="24"/>
        </w:rPr>
        <w:t xml:space="preserve"> </w:t>
      </w:r>
      <w:r>
        <w:rPr>
          <w:rFonts w:asciiTheme="majorBidi" w:hAnsiTheme="majorBidi" w:cstheme="majorBidi"/>
          <w:bCs/>
          <w:sz w:val="24"/>
        </w:rPr>
        <w:t>pharmaceuticals</w:t>
      </w:r>
      <w:r w:rsidRPr="000D6E65">
        <w:rPr>
          <w:rFonts w:asciiTheme="majorBidi" w:hAnsiTheme="majorBidi" w:cstheme="majorBidi"/>
          <w:color w:val="222222"/>
          <w:sz w:val="24"/>
          <w:shd w:val="clear" w:color="auto" w:fill="FFFFFF"/>
        </w:rPr>
        <w:t xml:space="preserve"> </w:t>
      </w:r>
      <w:r>
        <w:rPr>
          <w:rFonts w:asciiTheme="majorBidi" w:hAnsiTheme="majorBidi" w:cstheme="majorBidi"/>
          <w:color w:val="222222"/>
          <w:sz w:val="24"/>
          <w:shd w:val="clear" w:color="auto" w:fill="FFFFFF"/>
        </w:rPr>
        <w:t xml:space="preserve">were included </w:t>
      </w:r>
      <w:r w:rsidRPr="000D6E65">
        <w:rPr>
          <w:rFonts w:asciiTheme="majorBidi" w:hAnsiTheme="majorBidi" w:cstheme="majorBidi"/>
          <w:color w:val="222222"/>
          <w:sz w:val="24"/>
          <w:shd w:val="clear" w:color="auto" w:fill="FFFFFF"/>
        </w:rPr>
        <w:t xml:space="preserve">on the European Union (EU) watch list of March 2015 </w:t>
      </w:r>
      <w:r>
        <w:rPr>
          <w:rFonts w:asciiTheme="majorBidi" w:hAnsiTheme="majorBidi" w:cstheme="majorBidi"/>
          <w:noProof/>
          <w:sz w:val="24"/>
          <w:shd w:val="clear" w:color="auto" w:fill="FFFFFF"/>
        </w:rPr>
        <w:t>(EU 2015)</w:t>
      </w:r>
      <w:r w:rsidRPr="006A7EFC">
        <w:rPr>
          <w:rFonts w:asciiTheme="majorBidi" w:hAnsiTheme="majorBidi" w:cstheme="majorBidi"/>
          <w:sz w:val="24"/>
          <w:shd w:val="clear" w:color="auto" w:fill="FFFFFF"/>
        </w:rPr>
        <w:t>,</w:t>
      </w:r>
      <w:r w:rsidRPr="000D6E65">
        <w:rPr>
          <w:rFonts w:asciiTheme="majorBidi" w:hAnsiTheme="majorBidi" w:cstheme="majorBidi"/>
          <w:sz w:val="24"/>
        </w:rPr>
        <w:t xml:space="preserve"> with a view to proposing statutory Environmental Quality Standards within the EU Water Framework Directive</w:t>
      </w:r>
      <w:r>
        <w:rPr>
          <w:rFonts w:asciiTheme="majorBidi" w:hAnsiTheme="majorBidi" w:cstheme="majorBidi"/>
          <w:sz w:val="24"/>
        </w:rPr>
        <w:t>; while</w:t>
      </w:r>
      <w:r w:rsidRPr="000D6E65">
        <w:rPr>
          <w:rFonts w:asciiTheme="majorBidi" w:hAnsiTheme="majorBidi" w:cstheme="majorBidi"/>
          <w:sz w:val="24"/>
        </w:rPr>
        <w:t xml:space="preserve"> the latest United States Environmental Protection Agency draft Contaminant Candidate List (CCL4) includes 8 </w:t>
      </w:r>
      <w:r>
        <w:rPr>
          <w:rFonts w:asciiTheme="majorBidi" w:hAnsiTheme="majorBidi" w:cstheme="majorBidi"/>
          <w:bCs/>
          <w:sz w:val="24"/>
        </w:rPr>
        <w:t>pharmaceuticals</w:t>
      </w:r>
      <w:r w:rsidRPr="000D6E65">
        <w:rPr>
          <w:rFonts w:asciiTheme="majorBidi" w:hAnsiTheme="majorBidi" w:cstheme="majorBidi"/>
          <w:sz w:val="24"/>
        </w:rPr>
        <w:t xml:space="preserve"> and 2 </w:t>
      </w:r>
      <w:r>
        <w:rPr>
          <w:rFonts w:asciiTheme="majorBidi" w:hAnsiTheme="majorBidi" w:cstheme="majorBidi"/>
          <w:bCs/>
          <w:sz w:val="24"/>
        </w:rPr>
        <w:t>pharmaceutical</w:t>
      </w:r>
      <w:r w:rsidRPr="000D6E65">
        <w:rPr>
          <w:rFonts w:asciiTheme="majorBidi" w:hAnsiTheme="majorBidi" w:cstheme="majorBidi"/>
          <w:sz w:val="24"/>
        </w:rPr>
        <w:t>-precursors</w:t>
      </w:r>
      <w:r>
        <w:rPr>
          <w:rFonts w:asciiTheme="majorBidi" w:hAnsiTheme="majorBidi" w:cstheme="majorBidi"/>
          <w:sz w:val="24"/>
        </w:rPr>
        <w:t xml:space="preserve"> (</w:t>
      </w:r>
      <w:r w:rsidRPr="00F8231F">
        <w:rPr>
          <w:rFonts w:asciiTheme="majorBidi" w:hAnsiTheme="majorBidi" w:cstheme="majorBidi"/>
          <w:sz w:val="24"/>
        </w:rPr>
        <w:t>https://www.epa.gov/ccl/chemical-contaminants-ccl-4</w:t>
      </w:r>
      <w:r>
        <w:rPr>
          <w:rFonts w:asciiTheme="majorBidi" w:hAnsiTheme="majorBidi" w:cstheme="majorBidi"/>
          <w:sz w:val="24"/>
        </w:rPr>
        <w:t>)</w:t>
      </w:r>
      <w:r w:rsidRPr="000D6E65">
        <w:rPr>
          <w:rFonts w:asciiTheme="majorBidi" w:hAnsiTheme="majorBidi" w:cstheme="majorBidi"/>
          <w:sz w:val="24"/>
        </w:rPr>
        <w:t xml:space="preserve">, including quinoline. These regulatory concerns reflect the tension between the need for medicines to maintain and improve health and </w:t>
      </w:r>
      <w:r>
        <w:rPr>
          <w:rFonts w:asciiTheme="majorBidi" w:hAnsiTheme="majorBidi" w:cstheme="majorBidi"/>
          <w:sz w:val="24"/>
        </w:rPr>
        <w:t xml:space="preserve">managing </w:t>
      </w:r>
      <w:r w:rsidRPr="000D6E65">
        <w:rPr>
          <w:rFonts w:asciiTheme="majorBidi" w:hAnsiTheme="majorBidi" w:cstheme="majorBidi"/>
          <w:sz w:val="24"/>
        </w:rPr>
        <w:t>their potential environmental impact.</w:t>
      </w:r>
      <w:r>
        <w:rPr>
          <w:rFonts w:asciiTheme="majorBidi" w:hAnsiTheme="majorBidi" w:cstheme="majorBidi"/>
          <w:sz w:val="24"/>
        </w:rPr>
        <w:t xml:space="preserve"> </w:t>
      </w:r>
    </w:p>
    <w:p w:rsidR="002455EF" w:rsidRDefault="002455EF" w:rsidP="000F2B38">
      <w:pPr>
        <w:shd w:val="clear" w:color="auto" w:fill="FFFFFF"/>
        <w:spacing w:line="480" w:lineRule="auto"/>
        <w:ind w:left="0" w:firstLine="0"/>
        <w:rPr>
          <w:rFonts w:asciiTheme="majorBidi" w:hAnsiTheme="majorBidi" w:cstheme="majorBidi"/>
          <w:b/>
          <w:bCs/>
          <w:sz w:val="24"/>
        </w:rPr>
      </w:pPr>
      <w:r w:rsidRPr="00FD3092">
        <w:rPr>
          <w:rFonts w:ascii="Times New Roman" w:hAnsi="Times New Roman"/>
        </w:rPr>
        <w:br w:type="page"/>
      </w:r>
      <w:r w:rsidRPr="008E3D2F">
        <w:rPr>
          <w:rFonts w:ascii="Times New Roman" w:hAnsi="Times New Roman"/>
          <w:b/>
        </w:rPr>
        <w:lastRenderedPageBreak/>
        <w:t>2.</w:t>
      </w:r>
      <w:r>
        <w:rPr>
          <w:rFonts w:ascii="Times New Roman" w:hAnsi="Times New Roman"/>
        </w:rPr>
        <w:t xml:space="preserve"> </w:t>
      </w:r>
      <w:r>
        <w:rPr>
          <w:rFonts w:asciiTheme="majorBidi" w:hAnsiTheme="majorBidi" w:cstheme="majorBidi"/>
          <w:b/>
          <w:bCs/>
          <w:sz w:val="24"/>
        </w:rPr>
        <w:t>Materials and methods</w:t>
      </w:r>
    </w:p>
    <w:p w:rsidR="002455EF" w:rsidRDefault="002455EF" w:rsidP="00854D83">
      <w:pPr>
        <w:shd w:val="clear" w:color="auto" w:fill="FFFFFF"/>
        <w:spacing w:line="480" w:lineRule="auto"/>
        <w:ind w:left="0" w:firstLine="720"/>
        <w:jc w:val="left"/>
        <w:rPr>
          <w:rFonts w:asciiTheme="majorBidi" w:hAnsiTheme="majorBidi" w:cstheme="majorBidi"/>
          <w:color w:val="000000"/>
          <w:sz w:val="24"/>
          <w:lang w:eastAsia="en-GB" w:bidi="ar-SA"/>
        </w:rPr>
      </w:pPr>
      <w:r w:rsidRPr="00687B3D">
        <w:rPr>
          <w:rFonts w:asciiTheme="majorBidi" w:hAnsiTheme="majorBidi" w:cstheme="majorBidi"/>
          <w:color w:val="000000"/>
          <w:sz w:val="24"/>
          <w:lang w:eastAsia="en-GB" w:bidi="ar-SA"/>
        </w:rPr>
        <w:t xml:space="preserve">The </w:t>
      </w:r>
      <w:r>
        <w:rPr>
          <w:rFonts w:asciiTheme="majorBidi" w:hAnsiTheme="majorBidi" w:cstheme="majorBidi"/>
          <w:color w:val="000000"/>
          <w:sz w:val="24"/>
          <w:lang w:eastAsia="en-GB" w:bidi="ar-SA"/>
        </w:rPr>
        <w:t xml:space="preserve">full </w:t>
      </w:r>
      <w:r w:rsidRPr="00F8231F">
        <w:rPr>
          <w:rFonts w:asciiTheme="majorBidi" w:hAnsiTheme="majorBidi" w:cstheme="majorBidi"/>
          <w:sz w:val="24"/>
          <w:lang w:eastAsia="en-GB" w:bidi="ar-SA"/>
        </w:rPr>
        <w:t xml:space="preserve">details of the </w:t>
      </w:r>
      <w:r w:rsidRPr="00687B3D">
        <w:rPr>
          <w:rFonts w:asciiTheme="majorBidi" w:hAnsiTheme="majorBidi" w:cstheme="majorBidi"/>
          <w:color w:val="000000"/>
          <w:sz w:val="24"/>
          <w:lang w:eastAsia="en-GB" w:bidi="ar-SA"/>
        </w:rPr>
        <w:t xml:space="preserve">design, testing and validation of the incubation procedure </w:t>
      </w:r>
      <w:r>
        <w:rPr>
          <w:rFonts w:asciiTheme="majorBidi" w:hAnsiTheme="majorBidi" w:cstheme="majorBidi"/>
          <w:color w:val="000000"/>
          <w:sz w:val="24"/>
          <w:lang w:eastAsia="en-GB" w:bidi="ar-SA"/>
        </w:rPr>
        <w:t>have been reported previously</w:t>
      </w:r>
      <w:r w:rsidRPr="00687B3D">
        <w:rPr>
          <w:rFonts w:asciiTheme="majorBidi" w:hAnsiTheme="majorBidi" w:cstheme="majorBidi"/>
          <w:color w:val="000000"/>
          <w:sz w:val="24"/>
          <w:lang w:eastAsia="en-GB" w:bidi="ar-SA"/>
        </w:rPr>
        <w:t xml:space="preserve"> </w:t>
      </w:r>
      <w:r w:rsidRPr="00614CD6">
        <w:rPr>
          <w:rFonts w:asciiTheme="majorBidi" w:hAnsiTheme="majorBidi" w:cstheme="majorBidi"/>
          <w:noProof/>
          <w:color w:val="000000"/>
          <w:sz w:val="24"/>
          <w:lang w:eastAsia="en-GB" w:bidi="ar-SA"/>
        </w:rPr>
        <w:t>(Tappin et al. 2012; Tappin et al. 2014)</w:t>
      </w:r>
      <w:r w:rsidRPr="00687B3D">
        <w:rPr>
          <w:rFonts w:asciiTheme="majorBidi" w:hAnsiTheme="majorBidi" w:cstheme="majorBidi"/>
          <w:color w:val="000000"/>
          <w:sz w:val="24"/>
          <w:lang w:eastAsia="en-GB" w:bidi="ar-SA"/>
        </w:rPr>
        <w:t>.</w:t>
      </w:r>
    </w:p>
    <w:p w:rsidR="002455EF" w:rsidRPr="00687B3D" w:rsidRDefault="002455EF" w:rsidP="005B4B58">
      <w:pPr>
        <w:shd w:val="clear" w:color="auto" w:fill="FFFFFF"/>
        <w:spacing w:line="480" w:lineRule="auto"/>
        <w:ind w:left="0" w:firstLine="0"/>
        <w:rPr>
          <w:rFonts w:asciiTheme="majorBidi" w:hAnsiTheme="majorBidi" w:cstheme="majorBidi"/>
          <w:b/>
          <w:iCs/>
          <w:color w:val="000000"/>
          <w:sz w:val="24"/>
          <w:lang w:eastAsia="en-GB" w:bidi="ar-SA"/>
        </w:rPr>
      </w:pPr>
      <w:r>
        <w:rPr>
          <w:rFonts w:asciiTheme="majorBidi" w:hAnsiTheme="majorBidi" w:cstheme="majorBidi"/>
          <w:bCs/>
          <w:iCs/>
          <w:color w:val="000000"/>
          <w:sz w:val="24"/>
          <w:lang w:eastAsia="en-GB" w:bidi="ar-SA"/>
        </w:rPr>
        <w:t xml:space="preserve">2.1 </w:t>
      </w:r>
      <w:r w:rsidRPr="00614CD6">
        <w:rPr>
          <w:rFonts w:asciiTheme="majorBidi" w:hAnsiTheme="majorBidi" w:cstheme="majorBidi"/>
          <w:bCs/>
          <w:iCs/>
          <w:color w:val="000000"/>
          <w:sz w:val="24"/>
          <w:lang w:eastAsia="en-GB" w:bidi="ar-SA"/>
        </w:rPr>
        <w:t>Media and chemicals</w:t>
      </w:r>
    </w:p>
    <w:p w:rsidR="002455EF" w:rsidRDefault="002455EF" w:rsidP="002D232C">
      <w:pPr>
        <w:spacing w:line="480" w:lineRule="auto"/>
        <w:ind w:left="0" w:firstLine="720"/>
        <w:jc w:val="left"/>
        <w:rPr>
          <w:rFonts w:asciiTheme="majorBidi" w:hAnsiTheme="majorBidi" w:cstheme="majorBidi"/>
          <w:color w:val="000000"/>
          <w:sz w:val="24"/>
          <w:lang w:eastAsia="en-GB" w:bidi="ar-SA"/>
        </w:rPr>
      </w:pPr>
      <w:r w:rsidRPr="00687B3D">
        <w:rPr>
          <w:rFonts w:asciiTheme="majorBidi" w:hAnsiTheme="majorBidi" w:cstheme="majorBidi"/>
          <w:sz w:val="24"/>
        </w:rPr>
        <w:t xml:space="preserve">River water required for the </w:t>
      </w:r>
      <w:r>
        <w:rPr>
          <w:rFonts w:asciiTheme="majorBidi" w:hAnsiTheme="majorBidi" w:cstheme="majorBidi"/>
          <w:sz w:val="24"/>
        </w:rPr>
        <w:t>microcosms</w:t>
      </w:r>
      <w:r w:rsidRPr="00687B3D">
        <w:rPr>
          <w:rFonts w:asciiTheme="majorBidi" w:hAnsiTheme="majorBidi" w:cstheme="majorBidi"/>
          <w:sz w:val="24"/>
        </w:rPr>
        <w:t xml:space="preserve"> and </w:t>
      </w:r>
      <w:r>
        <w:rPr>
          <w:rFonts w:asciiTheme="majorBidi" w:hAnsiTheme="majorBidi" w:cstheme="majorBidi"/>
          <w:sz w:val="24"/>
        </w:rPr>
        <w:t xml:space="preserve">preparation of </w:t>
      </w:r>
      <w:r w:rsidRPr="00687B3D">
        <w:rPr>
          <w:rFonts w:asciiTheme="majorBidi" w:hAnsiTheme="majorBidi" w:cstheme="majorBidi"/>
          <w:sz w:val="24"/>
        </w:rPr>
        <w:t xml:space="preserve">bacterio-plankton inocula were collected from Gunnislake, at the tidal limit of the River Tamar located in southwest England, UK. The river drains a rural, agriculture-dominated, catchment, and water quality is generally good </w:t>
      </w:r>
      <w:r>
        <w:rPr>
          <w:rFonts w:asciiTheme="majorBidi" w:hAnsiTheme="majorBidi" w:cstheme="majorBidi"/>
          <w:noProof/>
          <w:sz w:val="24"/>
        </w:rPr>
        <w:t>(Tappin et al. 2012; Tappin et al. 2014)</w:t>
      </w:r>
      <w:r w:rsidRPr="00687B3D">
        <w:rPr>
          <w:rFonts w:asciiTheme="majorBidi" w:hAnsiTheme="majorBidi" w:cstheme="majorBidi"/>
          <w:sz w:val="24"/>
        </w:rPr>
        <w:t xml:space="preserve">, although the river and its catchment are impacted by historical metal mining activity. River turbidity is low (generally </w:t>
      </w:r>
      <w:r>
        <w:rPr>
          <w:rFonts w:asciiTheme="majorBidi" w:hAnsiTheme="majorBidi" w:cstheme="majorBidi"/>
          <w:sz w:val="24"/>
        </w:rPr>
        <w:t>lower than</w:t>
      </w:r>
      <w:r w:rsidRPr="00687B3D">
        <w:rPr>
          <w:rFonts w:asciiTheme="majorBidi" w:hAnsiTheme="majorBidi" w:cstheme="majorBidi"/>
          <w:sz w:val="24"/>
        </w:rPr>
        <w:t xml:space="preserve"> 15 mg L</w:t>
      </w:r>
      <w:r w:rsidRPr="00687B3D">
        <w:rPr>
          <w:rFonts w:asciiTheme="majorBidi" w:hAnsiTheme="majorBidi" w:cstheme="majorBidi"/>
          <w:sz w:val="24"/>
          <w:vertAlign w:val="superscript"/>
        </w:rPr>
        <w:t>-1</w:t>
      </w:r>
      <w:r w:rsidRPr="00687B3D">
        <w:rPr>
          <w:rFonts w:asciiTheme="majorBidi" w:hAnsiTheme="majorBidi" w:cstheme="majorBidi"/>
          <w:sz w:val="24"/>
        </w:rPr>
        <w:t xml:space="preserve">) and the oxygen saturation is high (generally </w:t>
      </w:r>
      <w:r>
        <w:rPr>
          <w:rFonts w:asciiTheme="majorBidi" w:hAnsiTheme="majorBidi" w:cstheme="majorBidi"/>
          <w:sz w:val="24"/>
        </w:rPr>
        <w:t>&gt;</w:t>
      </w:r>
      <w:r w:rsidRPr="00687B3D">
        <w:rPr>
          <w:rFonts w:asciiTheme="majorBidi" w:hAnsiTheme="majorBidi" w:cstheme="majorBidi"/>
          <w:sz w:val="24"/>
        </w:rPr>
        <w:t xml:space="preserve"> 90 %) at the tidal limit, while the mean pH is 7.4 (Environment Agency, unpublished data).</w:t>
      </w:r>
      <w:r w:rsidRPr="00687B3D">
        <w:rPr>
          <w:rFonts w:asciiTheme="majorBidi" w:hAnsiTheme="majorBidi" w:cstheme="majorBidi"/>
          <w:color w:val="000000"/>
          <w:sz w:val="24"/>
        </w:rPr>
        <w:t xml:space="preserve"> The </w:t>
      </w:r>
      <w:r>
        <w:rPr>
          <w:rFonts w:asciiTheme="majorBidi" w:hAnsiTheme="majorBidi" w:cstheme="majorBidi"/>
          <w:color w:val="000000"/>
          <w:sz w:val="24"/>
        </w:rPr>
        <w:t>pharmaceuticals</w:t>
      </w:r>
      <w:r w:rsidRPr="00687B3D">
        <w:rPr>
          <w:rFonts w:asciiTheme="majorBidi" w:hAnsiTheme="majorBidi" w:cstheme="majorBidi"/>
          <w:color w:val="000000"/>
          <w:sz w:val="24"/>
        </w:rPr>
        <w:t xml:space="preserve"> used in the study were purchased as l</w:t>
      </w:r>
      <w:r w:rsidRPr="00687B3D">
        <w:rPr>
          <w:rFonts w:asciiTheme="majorBidi" w:hAnsiTheme="majorBidi" w:cstheme="majorBidi"/>
          <w:color w:val="000000"/>
          <w:sz w:val="24"/>
          <w:lang w:eastAsia="en-GB" w:bidi="ar-SA"/>
        </w:rPr>
        <w:t xml:space="preserve">evamisole hydrochloride, quinine hemisulphate monohydrate, chloroquine diphosphate and fluphenazine hydrochloride (Sigma Aldrich, AR grade). A tri-peptide </w:t>
      </w:r>
      <w:r>
        <w:rPr>
          <w:rFonts w:asciiTheme="majorBidi" w:hAnsiTheme="majorBidi" w:cstheme="majorBidi"/>
          <w:color w:val="000000"/>
          <w:sz w:val="24"/>
          <w:lang w:eastAsia="en-GB" w:bidi="ar-SA"/>
        </w:rPr>
        <w:t>comprising the amino acids glycine, leucine and tyrosine (</w:t>
      </w:r>
      <w:r w:rsidRPr="00687B3D">
        <w:rPr>
          <w:rFonts w:asciiTheme="majorBidi" w:hAnsiTheme="majorBidi" w:cstheme="majorBidi"/>
          <w:color w:val="000000"/>
          <w:sz w:val="24"/>
          <w:lang w:eastAsia="en-GB" w:bidi="ar-SA"/>
        </w:rPr>
        <w:t>GLY</w:t>
      </w:r>
      <w:r>
        <w:rPr>
          <w:rFonts w:asciiTheme="majorBidi" w:hAnsiTheme="majorBidi" w:cstheme="majorBidi"/>
          <w:color w:val="000000"/>
          <w:sz w:val="24"/>
          <w:lang w:eastAsia="en-GB" w:bidi="ar-SA"/>
        </w:rPr>
        <w:t>;</w:t>
      </w:r>
      <w:r w:rsidRPr="00687B3D">
        <w:rPr>
          <w:rFonts w:asciiTheme="majorBidi" w:hAnsiTheme="majorBidi" w:cstheme="majorBidi"/>
          <w:color w:val="000000"/>
          <w:sz w:val="24"/>
          <w:lang w:eastAsia="en-GB" w:bidi="ar-SA"/>
        </w:rPr>
        <w:t xml:space="preserve"> Sigma Aldrich, ≥ 98 % purity)</w:t>
      </w:r>
      <w:r>
        <w:rPr>
          <w:rFonts w:asciiTheme="majorBidi" w:hAnsiTheme="majorBidi" w:cstheme="majorBidi"/>
          <w:color w:val="000000"/>
          <w:sz w:val="24"/>
          <w:lang w:eastAsia="en-GB" w:bidi="ar-SA"/>
        </w:rPr>
        <w:t>, and representing labile organic matter,</w:t>
      </w:r>
      <w:r w:rsidRPr="00687B3D">
        <w:rPr>
          <w:rFonts w:asciiTheme="majorBidi" w:hAnsiTheme="majorBidi" w:cstheme="majorBidi"/>
          <w:color w:val="000000"/>
          <w:sz w:val="24"/>
          <w:lang w:eastAsia="en-GB" w:bidi="ar-SA"/>
        </w:rPr>
        <w:t xml:space="preserve"> was also </w:t>
      </w:r>
      <w:r>
        <w:rPr>
          <w:rFonts w:asciiTheme="majorBidi" w:hAnsiTheme="majorBidi" w:cstheme="majorBidi"/>
          <w:color w:val="000000"/>
          <w:sz w:val="24"/>
          <w:lang w:eastAsia="en-GB" w:bidi="ar-SA"/>
        </w:rPr>
        <w:t xml:space="preserve">used to assess a priming effect on the bacterio-plankton population </w:t>
      </w:r>
      <w:r>
        <w:rPr>
          <w:rFonts w:asciiTheme="majorBidi" w:hAnsiTheme="majorBidi" w:cstheme="majorBidi"/>
          <w:noProof/>
          <w:color w:val="000000"/>
          <w:sz w:val="24"/>
          <w:lang w:eastAsia="en-GB" w:bidi="ar-SA"/>
        </w:rPr>
        <w:t>(Guenet et al. 2010)</w:t>
      </w:r>
      <w:r>
        <w:rPr>
          <w:rFonts w:asciiTheme="majorBidi" w:hAnsiTheme="majorBidi" w:cstheme="majorBidi"/>
          <w:color w:val="000000"/>
          <w:sz w:val="24"/>
          <w:lang w:eastAsia="en-GB" w:bidi="ar-SA"/>
        </w:rPr>
        <w:t xml:space="preserve"> in the incubations involving levamisole only</w:t>
      </w:r>
      <w:r w:rsidRPr="00687B3D">
        <w:rPr>
          <w:rFonts w:asciiTheme="majorBidi" w:hAnsiTheme="majorBidi" w:cstheme="majorBidi"/>
          <w:color w:val="000000"/>
          <w:sz w:val="24"/>
          <w:lang w:eastAsia="en-GB" w:bidi="ar-SA"/>
        </w:rPr>
        <w:t xml:space="preserve">. Stock solutions of these compounds were made up in prepared incubation water and stored at 4 ºC in the dark prior to use. Structural details of the </w:t>
      </w:r>
      <w:r>
        <w:rPr>
          <w:rFonts w:asciiTheme="majorBidi" w:hAnsiTheme="majorBidi" w:cstheme="majorBidi"/>
          <w:color w:val="000000"/>
          <w:sz w:val="24"/>
          <w:lang w:eastAsia="en-GB" w:bidi="ar-SA"/>
        </w:rPr>
        <w:t xml:space="preserve">compounds </w:t>
      </w:r>
      <w:r w:rsidRPr="00687B3D">
        <w:rPr>
          <w:rFonts w:asciiTheme="majorBidi" w:hAnsiTheme="majorBidi" w:cstheme="majorBidi"/>
          <w:color w:val="000000"/>
          <w:sz w:val="24"/>
          <w:lang w:eastAsia="en-GB" w:bidi="ar-SA"/>
        </w:rPr>
        <w:t>are given in Table 1.</w:t>
      </w:r>
    </w:p>
    <w:p w:rsidR="002455EF" w:rsidRPr="006E54C3" w:rsidRDefault="002455EF" w:rsidP="006E54C3">
      <w:pPr>
        <w:spacing w:line="480" w:lineRule="auto"/>
        <w:ind w:left="0" w:firstLine="0"/>
        <w:rPr>
          <w:rFonts w:asciiTheme="majorBidi" w:hAnsiTheme="majorBidi" w:cstheme="majorBidi"/>
          <w:iCs/>
          <w:color w:val="000000"/>
          <w:sz w:val="24"/>
          <w:lang w:eastAsia="en-GB" w:bidi="ar-SA"/>
        </w:rPr>
      </w:pPr>
      <w:r>
        <w:rPr>
          <w:rFonts w:asciiTheme="majorBidi" w:hAnsiTheme="majorBidi" w:cstheme="majorBidi"/>
          <w:iCs/>
          <w:color w:val="000000"/>
          <w:sz w:val="24"/>
          <w:lang w:eastAsia="en-GB" w:bidi="ar-SA"/>
        </w:rPr>
        <w:t xml:space="preserve">2.2 </w:t>
      </w:r>
      <w:r w:rsidRPr="008E45E6">
        <w:rPr>
          <w:rFonts w:asciiTheme="majorBidi" w:hAnsiTheme="majorBidi" w:cstheme="majorBidi"/>
          <w:iCs/>
          <w:color w:val="000000"/>
          <w:sz w:val="24"/>
          <w:lang w:eastAsia="en-GB" w:bidi="ar-SA"/>
        </w:rPr>
        <w:t>Microcosm experiments</w:t>
      </w:r>
    </w:p>
    <w:p w:rsidR="002455EF" w:rsidRPr="00687B3D" w:rsidRDefault="002455EF" w:rsidP="00432EFA">
      <w:pPr>
        <w:autoSpaceDE w:val="0"/>
        <w:autoSpaceDN w:val="0"/>
        <w:adjustRightInd w:val="0"/>
        <w:spacing w:line="480" w:lineRule="auto"/>
        <w:ind w:left="0" w:firstLine="0"/>
        <w:jc w:val="left"/>
        <w:rPr>
          <w:rFonts w:asciiTheme="majorBidi" w:hAnsiTheme="majorBidi" w:cstheme="majorBidi"/>
          <w:b/>
          <w:bCs/>
          <w:iCs/>
          <w:sz w:val="24"/>
          <w:lang w:bidi="ar-SA"/>
        </w:rPr>
      </w:pPr>
      <w:r w:rsidRPr="008E45E6">
        <w:rPr>
          <w:rFonts w:asciiTheme="majorBidi" w:hAnsiTheme="majorBidi" w:cstheme="majorBidi"/>
          <w:i/>
          <w:sz w:val="24"/>
          <w:lang w:bidi="ar-SA"/>
        </w:rPr>
        <w:t>Preparation of incubation water</w:t>
      </w:r>
    </w:p>
    <w:p w:rsidR="002455EF" w:rsidRPr="00687B3D" w:rsidRDefault="002455EF" w:rsidP="00854D83">
      <w:pPr>
        <w:autoSpaceDE w:val="0"/>
        <w:autoSpaceDN w:val="0"/>
        <w:adjustRightInd w:val="0"/>
        <w:spacing w:line="480" w:lineRule="auto"/>
        <w:ind w:left="0" w:firstLine="720"/>
        <w:jc w:val="left"/>
        <w:rPr>
          <w:rFonts w:asciiTheme="majorBidi" w:hAnsiTheme="majorBidi" w:cstheme="majorBidi"/>
          <w:sz w:val="24"/>
          <w:lang w:bidi="ar-SA"/>
        </w:rPr>
      </w:pPr>
      <w:r w:rsidRPr="00687B3D">
        <w:rPr>
          <w:rFonts w:asciiTheme="majorBidi" w:hAnsiTheme="majorBidi" w:cstheme="majorBidi"/>
          <w:iCs/>
          <w:sz w:val="24"/>
          <w:lang w:bidi="ar-SA"/>
        </w:rPr>
        <w:t>River</w:t>
      </w:r>
      <w:r w:rsidRPr="00687B3D">
        <w:rPr>
          <w:rFonts w:asciiTheme="majorBidi" w:hAnsiTheme="majorBidi" w:cstheme="majorBidi"/>
          <w:sz w:val="24"/>
          <w:lang w:bidi="ar-SA"/>
        </w:rPr>
        <w:t xml:space="preserve"> water was filtered (GF/F; 0.7 μm nominal pore </w:t>
      </w:r>
      <w:r>
        <w:rPr>
          <w:rFonts w:asciiTheme="majorBidi" w:hAnsiTheme="majorBidi" w:cstheme="majorBidi"/>
          <w:sz w:val="24"/>
          <w:lang w:bidi="ar-SA"/>
        </w:rPr>
        <w:t>diameter</w:t>
      </w:r>
      <w:r w:rsidRPr="00687B3D">
        <w:rPr>
          <w:rFonts w:asciiTheme="majorBidi" w:hAnsiTheme="majorBidi" w:cstheme="majorBidi"/>
          <w:sz w:val="24"/>
          <w:lang w:bidi="ar-SA"/>
        </w:rPr>
        <w:t>) to remove suspended particles, passed through a strong anion-exchange resin (Dowex</w:t>
      </w:r>
      <w:r w:rsidRPr="00687B3D">
        <w:rPr>
          <w:rFonts w:asciiTheme="majorBidi" w:hAnsiTheme="majorBidi" w:cstheme="majorBidi"/>
          <w:sz w:val="24"/>
          <w:vertAlign w:val="superscript"/>
          <w:lang w:bidi="ar-SA"/>
        </w:rPr>
        <w:t>®</w:t>
      </w:r>
      <w:r w:rsidRPr="00687B3D">
        <w:rPr>
          <w:rFonts w:asciiTheme="majorBidi" w:hAnsiTheme="majorBidi" w:cstheme="majorBidi"/>
          <w:sz w:val="24"/>
          <w:lang w:bidi="ar-SA"/>
        </w:rPr>
        <w:t xml:space="preserve"> X-100, 200 mesh; water flow rate 80 mL h</w:t>
      </w:r>
      <w:r w:rsidRPr="00687B3D">
        <w:rPr>
          <w:rFonts w:asciiTheme="majorBidi" w:hAnsiTheme="majorBidi" w:cstheme="majorBidi"/>
          <w:sz w:val="24"/>
          <w:vertAlign w:val="superscript"/>
          <w:lang w:bidi="ar-SA"/>
        </w:rPr>
        <w:t>-1</w:t>
      </w:r>
      <w:r w:rsidRPr="00687B3D">
        <w:rPr>
          <w:rFonts w:asciiTheme="majorBidi" w:hAnsiTheme="majorBidi" w:cstheme="majorBidi"/>
          <w:sz w:val="24"/>
          <w:lang w:bidi="ar-SA"/>
        </w:rPr>
        <w:t xml:space="preserve">) to remove nitrate, UV-irradiated (400 W medium pressure Hg lamp, 6 h) to remove dissolved organic carbon (DOC) and then re-filtered through a 0.2 µm filter </w:t>
      </w:r>
      <w:r w:rsidRPr="00687B3D">
        <w:rPr>
          <w:rFonts w:asciiTheme="majorBidi" w:hAnsiTheme="majorBidi" w:cstheme="majorBidi"/>
          <w:sz w:val="24"/>
          <w:lang w:bidi="ar-SA"/>
        </w:rPr>
        <w:lastRenderedPageBreak/>
        <w:t>membrane (Whatman Anodisc 47, aluminium oxide) to remove any remaining particulate matter. These processes reduced nitrate and DOC to</w:t>
      </w:r>
      <w:r w:rsidRPr="00687B3D">
        <w:rPr>
          <w:rFonts w:asciiTheme="majorBidi" w:hAnsiTheme="majorBidi" w:cstheme="majorBidi"/>
          <w:color w:val="FF0000"/>
          <w:sz w:val="24"/>
          <w:lang w:bidi="ar-SA"/>
        </w:rPr>
        <w:t xml:space="preserve"> </w:t>
      </w:r>
      <w:r w:rsidRPr="00687B3D">
        <w:rPr>
          <w:rFonts w:asciiTheme="majorBidi" w:hAnsiTheme="majorBidi" w:cstheme="majorBidi"/>
          <w:sz w:val="24"/>
          <w:lang w:bidi="ar-SA"/>
        </w:rPr>
        <w:t xml:space="preserve">concentrations which </w:t>
      </w:r>
      <w:r w:rsidRPr="00687B3D">
        <w:rPr>
          <w:rFonts w:asciiTheme="majorBidi" w:hAnsiTheme="majorBidi" w:cstheme="majorBidi"/>
          <w:sz w:val="24"/>
        </w:rPr>
        <w:t>ensured that alternative carbon and nitrogen substrates were, as far as possible, removed and that the river water matrix was compatible with direct analysis of samples by electrospray ionisation–mass spectrometry (ESI-MS).</w:t>
      </w:r>
      <w:r w:rsidRPr="00687B3D">
        <w:rPr>
          <w:rFonts w:asciiTheme="majorBidi" w:hAnsiTheme="majorBidi" w:cstheme="majorBidi"/>
          <w:sz w:val="24"/>
          <w:lang w:bidi="ar-SA"/>
        </w:rPr>
        <w:t xml:space="preserve"> As a final step, the water was sterilised by autoclaving (115 </w:t>
      </w:r>
      <w:r w:rsidRPr="00687B3D">
        <w:rPr>
          <w:rFonts w:asciiTheme="majorBidi" w:hAnsiTheme="majorBidi" w:cstheme="majorBidi"/>
          <w:sz w:val="24"/>
          <w:vertAlign w:val="superscript"/>
          <w:lang w:bidi="ar-SA"/>
        </w:rPr>
        <w:t>o</w:t>
      </w:r>
      <w:r w:rsidRPr="00687B3D">
        <w:rPr>
          <w:rFonts w:asciiTheme="majorBidi" w:hAnsiTheme="majorBidi" w:cstheme="majorBidi"/>
          <w:sz w:val="24"/>
          <w:lang w:bidi="ar-SA"/>
        </w:rPr>
        <w:t>C, 15 min).</w:t>
      </w:r>
    </w:p>
    <w:p w:rsidR="002455EF" w:rsidRPr="00687B3D" w:rsidRDefault="002455EF" w:rsidP="00432EFA">
      <w:pPr>
        <w:autoSpaceDE w:val="0"/>
        <w:autoSpaceDN w:val="0"/>
        <w:adjustRightInd w:val="0"/>
        <w:spacing w:line="480" w:lineRule="auto"/>
        <w:jc w:val="left"/>
        <w:rPr>
          <w:rFonts w:asciiTheme="majorBidi" w:hAnsiTheme="majorBidi" w:cstheme="majorBidi"/>
          <w:b/>
          <w:bCs/>
          <w:iCs/>
          <w:color w:val="000000"/>
          <w:sz w:val="24"/>
          <w:lang w:bidi="ar-SA"/>
        </w:rPr>
      </w:pPr>
      <w:r w:rsidRPr="009B46A1">
        <w:rPr>
          <w:rFonts w:asciiTheme="majorBidi" w:hAnsiTheme="majorBidi" w:cstheme="majorBidi"/>
          <w:i/>
          <w:color w:val="000000"/>
          <w:sz w:val="24"/>
          <w:lang w:bidi="ar-SA"/>
        </w:rPr>
        <w:t>Preparation of the inoculum</w:t>
      </w:r>
    </w:p>
    <w:p w:rsidR="002455EF" w:rsidRDefault="002455EF" w:rsidP="00854D83">
      <w:pPr>
        <w:autoSpaceDE w:val="0"/>
        <w:autoSpaceDN w:val="0"/>
        <w:adjustRightInd w:val="0"/>
        <w:spacing w:line="480" w:lineRule="auto"/>
        <w:ind w:left="0" w:firstLine="720"/>
        <w:jc w:val="left"/>
        <w:rPr>
          <w:rFonts w:asciiTheme="majorBidi" w:hAnsiTheme="majorBidi" w:cstheme="majorBidi"/>
          <w:color w:val="000000"/>
          <w:sz w:val="24"/>
          <w:lang w:bidi="ar-SA"/>
        </w:rPr>
      </w:pPr>
      <w:r w:rsidRPr="00687B3D">
        <w:rPr>
          <w:rFonts w:asciiTheme="majorBidi" w:hAnsiTheme="majorBidi" w:cstheme="majorBidi"/>
          <w:color w:val="000000"/>
          <w:sz w:val="24"/>
          <w:lang w:bidi="ar-SA"/>
        </w:rPr>
        <w:t xml:space="preserve">The bacterial inoculum was prepared using river water collected within 24 h </w:t>
      </w:r>
      <w:r>
        <w:rPr>
          <w:rFonts w:asciiTheme="majorBidi" w:hAnsiTheme="majorBidi" w:cstheme="majorBidi"/>
          <w:color w:val="000000"/>
          <w:sz w:val="24"/>
          <w:lang w:bidi="ar-SA"/>
        </w:rPr>
        <w:t>prior to introduction in to the microcosm</w:t>
      </w:r>
      <w:r w:rsidRPr="00687B3D">
        <w:rPr>
          <w:rFonts w:asciiTheme="majorBidi" w:hAnsiTheme="majorBidi" w:cstheme="majorBidi"/>
          <w:color w:val="000000"/>
          <w:sz w:val="24"/>
          <w:lang w:bidi="ar-SA"/>
        </w:rPr>
        <w:t xml:space="preserve">. This water was filtered through a 1.6 µm pore </w:t>
      </w:r>
      <w:r>
        <w:rPr>
          <w:rFonts w:asciiTheme="majorBidi" w:hAnsiTheme="majorBidi" w:cstheme="majorBidi"/>
          <w:color w:val="000000"/>
          <w:sz w:val="24"/>
          <w:lang w:bidi="ar-SA"/>
        </w:rPr>
        <w:t>diameter</w:t>
      </w:r>
      <w:r w:rsidRPr="00687B3D">
        <w:rPr>
          <w:rFonts w:asciiTheme="majorBidi" w:hAnsiTheme="majorBidi" w:cstheme="majorBidi"/>
          <w:color w:val="000000"/>
          <w:sz w:val="24"/>
          <w:lang w:bidi="ar-SA"/>
        </w:rPr>
        <w:t xml:space="preserve"> membrane (combusted GF/A) to remove zooplankton and particle-bound bacterio-plankton </w:t>
      </w:r>
      <w:r>
        <w:rPr>
          <w:rFonts w:asciiTheme="majorBidi" w:hAnsiTheme="majorBidi" w:cstheme="majorBidi"/>
          <w:noProof/>
          <w:color w:val="000000"/>
          <w:sz w:val="24"/>
          <w:lang w:bidi="ar-SA"/>
        </w:rPr>
        <w:t>(Ainsworth &amp; Goulder 1998)</w:t>
      </w:r>
      <w:r w:rsidRPr="00687B3D">
        <w:rPr>
          <w:rFonts w:asciiTheme="majorBidi" w:hAnsiTheme="majorBidi" w:cstheme="majorBidi"/>
          <w:color w:val="000000"/>
          <w:sz w:val="24"/>
          <w:lang w:bidi="ar-SA"/>
        </w:rPr>
        <w:t xml:space="preserve"> and then re-filtered through a 0.2 µm pore diameter membrane filter (Whatman Anodisc 47). The bacterio-plankton retained on the membrane was resuspended in a small volume of the 0.2 µm filtered water to provide the inoculum, which was then added to the pre</w:t>
      </w:r>
      <w:r>
        <w:rPr>
          <w:rFonts w:asciiTheme="majorBidi" w:hAnsiTheme="majorBidi" w:cstheme="majorBidi"/>
          <w:color w:val="000000"/>
          <w:sz w:val="24"/>
          <w:lang w:bidi="ar-SA"/>
        </w:rPr>
        <w:t>-treated</w:t>
      </w:r>
      <w:r w:rsidRPr="00687B3D">
        <w:rPr>
          <w:rFonts w:asciiTheme="majorBidi" w:hAnsiTheme="majorBidi" w:cstheme="majorBidi"/>
          <w:color w:val="000000"/>
          <w:sz w:val="24"/>
          <w:lang w:bidi="ar-SA"/>
        </w:rPr>
        <w:t xml:space="preserve"> </w:t>
      </w:r>
      <w:r>
        <w:rPr>
          <w:rFonts w:asciiTheme="majorBidi" w:hAnsiTheme="majorBidi" w:cstheme="majorBidi"/>
          <w:color w:val="000000"/>
          <w:sz w:val="24"/>
          <w:lang w:bidi="ar-SA"/>
        </w:rPr>
        <w:t>river</w:t>
      </w:r>
      <w:r w:rsidRPr="00687B3D">
        <w:rPr>
          <w:rFonts w:asciiTheme="majorBidi" w:hAnsiTheme="majorBidi" w:cstheme="majorBidi"/>
          <w:color w:val="000000"/>
          <w:sz w:val="24"/>
          <w:lang w:bidi="ar-SA"/>
        </w:rPr>
        <w:t xml:space="preserve"> water to produce a final, representative bacterio-plankton concentration.</w:t>
      </w:r>
    </w:p>
    <w:p w:rsidR="002455EF" w:rsidRPr="00687B3D" w:rsidRDefault="002455EF" w:rsidP="00515B61">
      <w:pPr>
        <w:autoSpaceDE w:val="0"/>
        <w:autoSpaceDN w:val="0"/>
        <w:adjustRightInd w:val="0"/>
        <w:spacing w:line="480" w:lineRule="auto"/>
        <w:ind w:left="0" w:firstLine="0"/>
        <w:jc w:val="left"/>
        <w:rPr>
          <w:rFonts w:asciiTheme="majorBidi" w:hAnsiTheme="majorBidi" w:cstheme="majorBidi"/>
          <w:b/>
          <w:bCs/>
          <w:color w:val="000000"/>
          <w:sz w:val="24"/>
          <w:lang w:eastAsia="en-GB" w:bidi="ar-SA"/>
        </w:rPr>
      </w:pPr>
      <w:r w:rsidRPr="009B46A1">
        <w:rPr>
          <w:rFonts w:asciiTheme="majorBidi" w:hAnsiTheme="majorBidi" w:cstheme="majorBidi"/>
          <w:i/>
          <w:iCs/>
          <w:color w:val="000000"/>
          <w:sz w:val="24"/>
          <w:lang w:eastAsia="en-GB" w:bidi="ar-SA"/>
        </w:rPr>
        <w:t>Incubation experiments</w:t>
      </w:r>
    </w:p>
    <w:p w:rsidR="002455EF" w:rsidRDefault="002455EF" w:rsidP="002D232C">
      <w:pPr>
        <w:autoSpaceDE w:val="0"/>
        <w:autoSpaceDN w:val="0"/>
        <w:adjustRightInd w:val="0"/>
        <w:spacing w:line="480" w:lineRule="auto"/>
        <w:ind w:left="0" w:firstLine="720"/>
        <w:jc w:val="left"/>
        <w:rPr>
          <w:rFonts w:asciiTheme="majorBidi" w:hAnsiTheme="majorBidi" w:cstheme="majorBidi"/>
          <w:color w:val="000000"/>
          <w:sz w:val="24"/>
          <w:lang w:eastAsia="en-GB" w:bidi="ar-SA"/>
        </w:rPr>
      </w:pPr>
      <w:r w:rsidRPr="00687B3D">
        <w:rPr>
          <w:rFonts w:asciiTheme="majorBidi" w:hAnsiTheme="majorBidi" w:cstheme="majorBidi"/>
          <w:color w:val="000000"/>
          <w:sz w:val="24"/>
          <w:lang w:eastAsia="en-GB" w:bidi="ar-SA"/>
        </w:rPr>
        <w:t xml:space="preserve">Incubation water (60 mL) was transferred to a 125 mL screw-capped amber glass bottle to which was added 30 - 60 µL of stock </w:t>
      </w:r>
      <w:r>
        <w:rPr>
          <w:rFonts w:asciiTheme="majorBidi" w:hAnsiTheme="majorBidi" w:cstheme="majorBidi"/>
          <w:bCs/>
          <w:sz w:val="24"/>
        </w:rPr>
        <w:t>pharmaceutical</w:t>
      </w:r>
      <w:r w:rsidRPr="00687B3D">
        <w:rPr>
          <w:rFonts w:asciiTheme="majorBidi" w:hAnsiTheme="majorBidi" w:cstheme="majorBidi"/>
          <w:color w:val="000000"/>
          <w:sz w:val="24"/>
          <w:lang w:eastAsia="en-GB" w:bidi="ar-SA"/>
        </w:rPr>
        <w:t xml:space="preserve"> solution and 1 mL of the bacterio-plankton inoculum. Starting concentrations of the compounds were ca. 15-30 μmol L</w:t>
      </w:r>
      <w:r w:rsidRPr="00687B3D">
        <w:rPr>
          <w:rFonts w:asciiTheme="majorBidi" w:hAnsiTheme="majorBidi" w:cstheme="majorBidi"/>
          <w:color w:val="000000"/>
          <w:sz w:val="24"/>
          <w:vertAlign w:val="superscript"/>
          <w:lang w:eastAsia="en-GB" w:bidi="ar-SA"/>
        </w:rPr>
        <w:t>-1</w:t>
      </w:r>
      <w:r w:rsidRPr="00687B3D">
        <w:rPr>
          <w:rFonts w:asciiTheme="majorBidi" w:hAnsiTheme="majorBidi" w:cstheme="majorBidi"/>
          <w:color w:val="000000"/>
          <w:sz w:val="24"/>
          <w:lang w:eastAsia="en-GB" w:bidi="ar-SA"/>
        </w:rPr>
        <w:t xml:space="preserve">. Control </w:t>
      </w:r>
      <w:r>
        <w:rPr>
          <w:rFonts w:asciiTheme="majorBidi" w:hAnsiTheme="majorBidi" w:cstheme="majorBidi"/>
          <w:color w:val="000000"/>
          <w:sz w:val="24"/>
          <w:lang w:eastAsia="en-GB" w:bidi="ar-SA"/>
        </w:rPr>
        <w:t>microcosms</w:t>
      </w:r>
      <w:r w:rsidRPr="00687B3D">
        <w:rPr>
          <w:rFonts w:asciiTheme="majorBidi" w:hAnsiTheme="majorBidi" w:cstheme="majorBidi"/>
          <w:color w:val="000000"/>
          <w:sz w:val="24"/>
          <w:lang w:eastAsia="en-GB" w:bidi="ar-SA"/>
        </w:rPr>
        <w:t xml:space="preserve"> of prepared river water containing bacterio-plankton inoculum only and </w:t>
      </w:r>
      <w:r>
        <w:rPr>
          <w:rFonts w:asciiTheme="majorBidi" w:hAnsiTheme="majorBidi" w:cstheme="majorBidi"/>
          <w:color w:val="000000"/>
          <w:sz w:val="24"/>
          <w:lang w:eastAsia="en-GB" w:bidi="ar-SA"/>
        </w:rPr>
        <w:t>the pharmaceuticals</w:t>
      </w:r>
      <w:r w:rsidRPr="00687B3D">
        <w:rPr>
          <w:rFonts w:asciiTheme="majorBidi" w:hAnsiTheme="majorBidi" w:cstheme="majorBidi"/>
          <w:color w:val="000000"/>
          <w:sz w:val="24"/>
          <w:lang w:eastAsia="en-GB" w:bidi="ar-SA"/>
        </w:rPr>
        <w:t xml:space="preserve"> only were also </w:t>
      </w:r>
      <w:r>
        <w:rPr>
          <w:rFonts w:asciiTheme="majorBidi" w:hAnsiTheme="majorBidi" w:cstheme="majorBidi"/>
          <w:color w:val="000000"/>
          <w:sz w:val="24"/>
          <w:lang w:eastAsia="en-GB" w:bidi="ar-SA"/>
        </w:rPr>
        <w:t xml:space="preserve">set up </w:t>
      </w:r>
      <w:r w:rsidRPr="00687B3D">
        <w:rPr>
          <w:rFonts w:asciiTheme="majorBidi" w:hAnsiTheme="majorBidi" w:cstheme="majorBidi"/>
          <w:color w:val="000000"/>
          <w:sz w:val="24"/>
          <w:lang w:eastAsia="en-GB" w:bidi="ar-SA"/>
        </w:rPr>
        <w:t>to account for sorption effects</w:t>
      </w:r>
      <w:r>
        <w:rPr>
          <w:rFonts w:asciiTheme="majorBidi" w:hAnsiTheme="majorBidi" w:cstheme="majorBidi"/>
          <w:color w:val="000000"/>
          <w:sz w:val="24"/>
          <w:lang w:eastAsia="en-GB" w:bidi="ar-SA"/>
        </w:rPr>
        <w:t xml:space="preserve"> and to investigate the effects of the pharmaceuticals on the bacterio-plankton communities</w:t>
      </w:r>
      <w:r w:rsidRPr="00687B3D">
        <w:rPr>
          <w:rFonts w:asciiTheme="majorBidi" w:hAnsiTheme="majorBidi" w:cstheme="majorBidi"/>
          <w:color w:val="000000"/>
          <w:sz w:val="24"/>
          <w:lang w:eastAsia="en-GB" w:bidi="ar-SA"/>
        </w:rPr>
        <w:t xml:space="preserve">. In a separate </w:t>
      </w:r>
      <w:r>
        <w:rPr>
          <w:rFonts w:asciiTheme="majorBidi" w:hAnsiTheme="majorBidi" w:cstheme="majorBidi"/>
          <w:color w:val="000000"/>
          <w:sz w:val="24"/>
          <w:lang w:eastAsia="en-GB" w:bidi="ar-SA"/>
        </w:rPr>
        <w:t>microcosm</w:t>
      </w:r>
      <w:r w:rsidRPr="00687B3D">
        <w:rPr>
          <w:rFonts w:asciiTheme="majorBidi" w:hAnsiTheme="majorBidi" w:cstheme="majorBidi"/>
          <w:color w:val="000000"/>
          <w:sz w:val="24"/>
          <w:lang w:eastAsia="en-GB" w:bidi="ar-SA"/>
        </w:rPr>
        <w:t>, 30 μmol L</w:t>
      </w:r>
      <w:r w:rsidRPr="00687B3D">
        <w:rPr>
          <w:rFonts w:asciiTheme="majorBidi" w:hAnsiTheme="majorBidi" w:cstheme="majorBidi"/>
          <w:color w:val="000000"/>
          <w:sz w:val="24"/>
          <w:vertAlign w:val="superscript"/>
          <w:lang w:eastAsia="en-GB" w:bidi="ar-SA"/>
        </w:rPr>
        <w:t>-1</w:t>
      </w:r>
      <w:r w:rsidRPr="00687B3D">
        <w:rPr>
          <w:rFonts w:asciiTheme="majorBidi" w:hAnsiTheme="majorBidi" w:cstheme="majorBidi"/>
          <w:color w:val="000000"/>
          <w:sz w:val="24"/>
          <w:lang w:eastAsia="en-GB" w:bidi="ar-SA"/>
        </w:rPr>
        <w:t xml:space="preserve"> of GLY was added with </w:t>
      </w:r>
      <w:r>
        <w:rPr>
          <w:rFonts w:asciiTheme="majorBidi" w:hAnsiTheme="majorBidi" w:cstheme="majorBidi"/>
          <w:color w:val="000000"/>
          <w:sz w:val="24"/>
          <w:lang w:eastAsia="en-GB" w:bidi="ar-SA"/>
        </w:rPr>
        <w:t>levamisole</w:t>
      </w:r>
      <w:r w:rsidRPr="00687B3D">
        <w:rPr>
          <w:rFonts w:asciiTheme="majorBidi" w:hAnsiTheme="majorBidi" w:cstheme="majorBidi"/>
          <w:color w:val="000000"/>
          <w:sz w:val="24"/>
          <w:lang w:eastAsia="en-GB" w:bidi="ar-SA"/>
        </w:rPr>
        <w:t xml:space="preserve">. The 125 mL bottles were loosely-capped, placed in a re-sealable plastic bag and transferred to an orbital shaker. </w:t>
      </w:r>
      <w:r>
        <w:rPr>
          <w:rFonts w:asciiTheme="majorBidi" w:hAnsiTheme="majorBidi" w:cstheme="majorBidi"/>
          <w:color w:val="000000"/>
          <w:sz w:val="24"/>
          <w:lang w:eastAsia="en-GB" w:bidi="ar-SA"/>
        </w:rPr>
        <w:t>Microcosms</w:t>
      </w:r>
      <w:r w:rsidRPr="00687B3D">
        <w:rPr>
          <w:rFonts w:asciiTheme="majorBidi" w:hAnsiTheme="majorBidi" w:cstheme="majorBidi"/>
          <w:color w:val="000000"/>
          <w:sz w:val="24"/>
          <w:lang w:eastAsia="en-GB" w:bidi="ar-SA"/>
        </w:rPr>
        <w:t xml:space="preserve"> were prepared in duplicate at ambient temperature in the dark. An </w:t>
      </w:r>
      <w:r w:rsidRPr="00687B3D">
        <w:rPr>
          <w:rFonts w:asciiTheme="majorBidi" w:hAnsiTheme="majorBidi" w:cstheme="majorBidi"/>
          <w:sz w:val="24"/>
          <w:lang w:bidi="ar-SA"/>
        </w:rPr>
        <w:t xml:space="preserve">incubation </w:t>
      </w:r>
      <w:r w:rsidRPr="00687B3D">
        <w:rPr>
          <w:rFonts w:asciiTheme="majorBidi" w:hAnsiTheme="majorBidi" w:cstheme="majorBidi"/>
          <w:sz w:val="24"/>
          <w:lang w:bidi="ar-SA"/>
        </w:rPr>
        <w:lastRenderedPageBreak/>
        <w:t xml:space="preserve">time of 21 days was selected </w:t>
      </w:r>
      <w:r>
        <w:rPr>
          <w:rFonts w:asciiTheme="majorBidi" w:hAnsiTheme="majorBidi" w:cstheme="majorBidi"/>
          <w:sz w:val="24"/>
          <w:lang w:bidi="ar-SA"/>
        </w:rPr>
        <w:t xml:space="preserve">to reflect </w:t>
      </w:r>
      <w:r w:rsidRPr="00687B3D">
        <w:rPr>
          <w:rFonts w:asciiTheme="majorBidi" w:hAnsiTheme="majorBidi" w:cstheme="majorBidi"/>
          <w:sz w:val="24"/>
          <w:lang w:bidi="ar-SA"/>
        </w:rPr>
        <w:t xml:space="preserve">the river water transit time in the Tamar catchment. </w:t>
      </w:r>
      <w:r w:rsidRPr="00687B3D">
        <w:rPr>
          <w:rFonts w:asciiTheme="majorBidi" w:hAnsiTheme="majorBidi" w:cstheme="majorBidi"/>
          <w:color w:val="000000"/>
          <w:sz w:val="24"/>
          <w:lang w:eastAsia="en-GB" w:bidi="ar-SA"/>
        </w:rPr>
        <w:t>At day 0 and day 21, i</w:t>
      </w:r>
      <w:r>
        <w:rPr>
          <w:rFonts w:asciiTheme="majorBidi" w:hAnsiTheme="majorBidi" w:cstheme="majorBidi"/>
          <w:color w:val="000000"/>
          <w:sz w:val="24"/>
          <w:lang w:eastAsia="en-GB" w:bidi="ar-SA"/>
        </w:rPr>
        <w:t>ncubated samples were filtered using combusted GF/F filters</w:t>
      </w:r>
      <w:r w:rsidRPr="00687B3D">
        <w:rPr>
          <w:rFonts w:asciiTheme="majorBidi" w:hAnsiTheme="majorBidi" w:cstheme="majorBidi"/>
          <w:color w:val="000000"/>
          <w:sz w:val="24"/>
          <w:lang w:eastAsia="en-GB" w:bidi="ar-SA"/>
        </w:rPr>
        <w:t xml:space="preserve"> and sub-samples collected for analyses.</w:t>
      </w:r>
    </w:p>
    <w:p w:rsidR="002455EF" w:rsidRPr="006E54C3" w:rsidRDefault="002455EF" w:rsidP="00515B61">
      <w:pPr>
        <w:spacing w:line="480" w:lineRule="auto"/>
        <w:ind w:left="0" w:firstLine="0"/>
        <w:rPr>
          <w:rFonts w:asciiTheme="majorBidi" w:hAnsiTheme="majorBidi" w:cstheme="majorBidi"/>
          <w:b/>
          <w:iCs/>
          <w:sz w:val="24"/>
        </w:rPr>
      </w:pPr>
      <w:r>
        <w:rPr>
          <w:rFonts w:asciiTheme="majorBidi" w:hAnsiTheme="majorBidi" w:cstheme="majorBidi"/>
          <w:bCs/>
          <w:iCs/>
          <w:sz w:val="24"/>
        </w:rPr>
        <w:t xml:space="preserve">2.3 </w:t>
      </w:r>
      <w:r w:rsidRPr="006E54C3">
        <w:rPr>
          <w:rFonts w:asciiTheme="majorBidi" w:hAnsiTheme="majorBidi" w:cstheme="majorBidi"/>
          <w:bCs/>
          <w:iCs/>
          <w:sz w:val="24"/>
        </w:rPr>
        <w:t>Chemical and microbiological analyses</w:t>
      </w:r>
    </w:p>
    <w:p w:rsidR="002455EF" w:rsidRPr="00687B3D" w:rsidRDefault="002455EF" w:rsidP="00854D83">
      <w:pPr>
        <w:spacing w:line="480" w:lineRule="auto"/>
        <w:ind w:left="0" w:firstLine="720"/>
        <w:jc w:val="left"/>
        <w:rPr>
          <w:rFonts w:asciiTheme="majorBidi" w:hAnsiTheme="majorBidi" w:cstheme="majorBidi"/>
          <w:sz w:val="24"/>
        </w:rPr>
      </w:pPr>
      <w:r w:rsidRPr="00687B3D">
        <w:rPr>
          <w:rFonts w:asciiTheme="majorBidi" w:hAnsiTheme="majorBidi" w:cstheme="majorBidi"/>
          <w:sz w:val="24"/>
        </w:rPr>
        <w:t xml:space="preserve">The </w:t>
      </w:r>
      <w:r>
        <w:rPr>
          <w:rFonts w:asciiTheme="majorBidi" w:hAnsiTheme="majorBidi" w:cstheme="majorBidi"/>
          <w:bCs/>
          <w:sz w:val="24"/>
        </w:rPr>
        <w:t>pharmaceuticals</w:t>
      </w:r>
      <w:r w:rsidRPr="00687B3D">
        <w:rPr>
          <w:rFonts w:asciiTheme="majorBidi" w:hAnsiTheme="majorBidi" w:cstheme="majorBidi"/>
          <w:sz w:val="24"/>
        </w:rPr>
        <w:t xml:space="preserve"> were analysed by ESI-MS using a Finnegan MAT LCQ MS, a quadrupole ion trap mass spectrometer with an external source atmospheric pressure interface capable of electro-spray ionisation. Solutions were introduced into the instrument by direct injection from a 250 µL Hamilton syringe at a rate of 3 µL min</w:t>
      </w:r>
      <w:r w:rsidRPr="00687B3D">
        <w:rPr>
          <w:rFonts w:asciiTheme="majorBidi" w:hAnsiTheme="majorBidi" w:cstheme="majorBidi"/>
          <w:sz w:val="24"/>
          <w:vertAlign w:val="superscript"/>
        </w:rPr>
        <w:t>-1</w:t>
      </w:r>
      <w:r w:rsidRPr="00687B3D">
        <w:rPr>
          <w:rFonts w:asciiTheme="majorBidi" w:hAnsiTheme="majorBidi" w:cstheme="majorBidi"/>
          <w:sz w:val="24"/>
        </w:rPr>
        <w:t xml:space="preserve">. Prior to injection, each sample and standard was diluted 1:1 with methanol amended with 0.1 % (v/v) formic acid. The signal sensitivity for each </w:t>
      </w:r>
      <w:r>
        <w:rPr>
          <w:rFonts w:asciiTheme="majorBidi" w:hAnsiTheme="majorBidi" w:cstheme="majorBidi"/>
          <w:bCs/>
          <w:sz w:val="24"/>
        </w:rPr>
        <w:t>pharmaceutical</w:t>
      </w:r>
      <w:r w:rsidRPr="00687B3D">
        <w:rPr>
          <w:rFonts w:asciiTheme="majorBidi" w:hAnsiTheme="majorBidi" w:cstheme="majorBidi"/>
          <w:sz w:val="24"/>
        </w:rPr>
        <w:t xml:space="preserve">, in positive-ion mode, was optimised by adjustment of instrumental parameters using in-built tuning procedures. Ion counts were integrated for 2 min, and 5 x 2 min replicates were recorded per sample. Ion count stability was followed in real-time via single ion monitoring. Quantitation of the analyte was achieved by generating an external standard calibration curve on each analytical day and bracketing individual samples with a drift calibration standard to account for variations in instrumental sensitivity. Changes in sensitivity were accounted for using an algorithm developed for automated nutrient analysis </w:t>
      </w:r>
      <w:r>
        <w:rPr>
          <w:rFonts w:asciiTheme="majorBidi" w:hAnsiTheme="majorBidi" w:cstheme="majorBidi"/>
          <w:noProof/>
          <w:sz w:val="24"/>
        </w:rPr>
        <w:t>(Skalar Analytical BV 2004)</w:t>
      </w:r>
      <w:r w:rsidRPr="00687B3D">
        <w:rPr>
          <w:rFonts w:asciiTheme="majorBidi" w:hAnsiTheme="majorBidi" w:cstheme="majorBidi"/>
          <w:sz w:val="24"/>
        </w:rPr>
        <w:t>; in this implementation baseline drift was assumed unimportant (equation 1).</w:t>
      </w:r>
    </w:p>
    <w:p w:rsidR="002455EF" w:rsidRPr="00687B3D" w:rsidRDefault="002455EF" w:rsidP="00787096">
      <w:pPr>
        <w:spacing w:after="120" w:line="360" w:lineRule="auto"/>
        <w:ind w:left="0" w:firstLine="0"/>
        <w:rPr>
          <w:rFonts w:asciiTheme="majorBidi" w:hAnsiTheme="majorBidi" w:cstheme="majorBidi"/>
          <w:sz w:val="24"/>
          <w:lang w:val="pt-BR"/>
        </w:rPr>
      </w:pPr>
      <w:r w:rsidRPr="00687B3D">
        <w:rPr>
          <w:rFonts w:asciiTheme="majorBidi" w:hAnsiTheme="majorBidi" w:cstheme="majorBidi"/>
          <w:sz w:val="24"/>
          <w:lang w:val="pt-BR"/>
        </w:rPr>
        <w:t>U’’</w:t>
      </w:r>
      <w:r w:rsidRPr="00687B3D">
        <w:rPr>
          <w:rFonts w:asciiTheme="majorBidi" w:hAnsiTheme="majorBidi" w:cstheme="majorBidi"/>
          <w:sz w:val="24"/>
          <w:vertAlign w:val="subscript"/>
          <w:lang w:val="pt-BR"/>
        </w:rPr>
        <w:t>(n)</w:t>
      </w:r>
      <w:r w:rsidRPr="00687B3D">
        <w:rPr>
          <w:rFonts w:asciiTheme="majorBidi" w:hAnsiTheme="majorBidi" w:cstheme="majorBidi"/>
          <w:sz w:val="24"/>
          <w:lang w:val="pt-BR"/>
        </w:rPr>
        <w:t xml:space="preserve"> = (U’</w:t>
      </w:r>
      <w:r w:rsidRPr="00687B3D">
        <w:rPr>
          <w:rFonts w:asciiTheme="majorBidi" w:hAnsiTheme="majorBidi" w:cstheme="majorBidi"/>
          <w:sz w:val="24"/>
          <w:vertAlign w:val="subscript"/>
          <w:lang w:val="pt-BR"/>
        </w:rPr>
        <w:t>(n)</w:t>
      </w:r>
      <w:r w:rsidRPr="00687B3D">
        <w:rPr>
          <w:rFonts w:asciiTheme="majorBidi" w:hAnsiTheme="majorBidi" w:cstheme="majorBidi"/>
          <w:sz w:val="24"/>
          <w:lang w:val="pt-BR"/>
        </w:rPr>
        <w:t xml:space="preserve"> * (D1 / ((((D(b) – D(a)) / (b – a)) * (n – a)) + D(a)))                          equation 1</w:t>
      </w:r>
    </w:p>
    <w:p w:rsidR="002455EF" w:rsidRPr="00687B3D" w:rsidRDefault="002455EF" w:rsidP="00723080">
      <w:pPr>
        <w:spacing w:line="480" w:lineRule="auto"/>
        <w:ind w:left="0" w:firstLine="0"/>
        <w:jc w:val="left"/>
        <w:rPr>
          <w:rFonts w:asciiTheme="majorBidi" w:hAnsiTheme="majorBidi" w:cstheme="majorBidi"/>
          <w:sz w:val="24"/>
        </w:rPr>
      </w:pPr>
      <w:r w:rsidRPr="00687B3D">
        <w:rPr>
          <w:rFonts w:asciiTheme="majorBidi" w:hAnsiTheme="majorBidi" w:cstheme="majorBidi"/>
          <w:sz w:val="24"/>
        </w:rPr>
        <w:t>U’’</w:t>
      </w:r>
      <w:r w:rsidRPr="00687B3D">
        <w:rPr>
          <w:rFonts w:asciiTheme="majorBidi" w:hAnsiTheme="majorBidi" w:cstheme="majorBidi"/>
          <w:sz w:val="24"/>
          <w:vertAlign w:val="subscript"/>
        </w:rPr>
        <w:t>(n)</w:t>
      </w:r>
      <w:r w:rsidRPr="00687B3D">
        <w:rPr>
          <w:rFonts w:asciiTheme="majorBidi" w:hAnsiTheme="majorBidi" w:cstheme="majorBidi"/>
          <w:sz w:val="24"/>
        </w:rPr>
        <w:t xml:space="preserve"> = drift corrected ion count for sample n, U’</w:t>
      </w:r>
      <w:r w:rsidRPr="00687B3D">
        <w:rPr>
          <w:rFonts w:asciiTheme="majorBidi" w:hAnsiTheme="majorBidi" w:cstheme="majorBidi"/>
          <w:sz w:val="24"/>
          <w:vertAlign w:val="subscript"/>
        </w:rPr>
        <w:t xml:space="preserve">(n) </w:t>
      </w:r>
      <w:r w:rsidRPr="00687B3D">
        <w:rPr>
          <w:rFonts w:asciiTheme="majorBidi" w:hAnsiTheme="majorBidi" w:cstheme="majorBidi"/>
          <w:sz w:val="24"/>
        </w:rPr>
        <w:t xml:space="preserve"> = ion count for sample n, D1 = ion count of the first drift standard, D(a) = ion count of the preceding drift standard, D(b) = ion count of the following drift standard, n = sample number, a = sample number of preceding drift</w:t>
      </w:r>
      <w:r>
        <w:rPr>
          <w:rFonts w:asciiTheme="majorBidi" w:hAnsiTheme="majorBidi" w:cstheme="majorBidi"/>
          <w:sz w:val="24"/>
        </w:rPr>
        <w:t xml:space="preserve"> standard and </w:t>
      </w:r>
      <w:r w:rsidRPr="00687B3D">
        <w:rPr>
          <w:rFonts w:asciiTheme="majorBidi" w:hAnsiTheme="majorBidi" w:cstheme="majorBidi"/>
          <w:sz w:val="24"/>
        </w:rPr>
        <w:t>b = sample number of following drift</w:t>
      </w:r>
      <w:r>
        <w:rPr>
          <w:rFonts w:asciiTheme="majorBidi" w:hAnsiTheme="majorBidi" w:cstheme="majorBidi"/>
          <w:sz w:val="24"/>
        </w:rPr>
        <w:t xml:space="preserve"> standard</w:t>
      </w:r>
      <w:r w:rsidRPr="00687B3D">
        <w:rPr>
          <w:rFonts w:asciiTheme="majorBidi" w:hAnsiTheme="majorBidi" w:cstheme="majorBidi"/>
          <w:sz w:val="24"/>
        </w:rPr>
        <w:t xml:space="preserve">. Standards were matrix-matched with the water used for the incubations. The identification of </w:t>
      </w:r>
      <w:r w:rsidRPr="00912405">
        <w:rPr>
          <w:rFonts w:asciiTheme="majorBidi" w:hAnsiTheme="majorBidi" w:cstheme="majorBidi"/>
          <w:i/>
          <w:sz w:val="24"/>
        </w:rPr>
        <w:t>m</w:t>
      </w:r>
      <w:r w:rsidRPr="00687B3D">
        <w:rPr>
          <w:rFonts w:asciiTheme="majorBidi" w:hAnsiTheme="majorBidi" w:cstheme="majorBidi"/>
          <w:sz w:val="24"/>
        </w:rPr>
        <w:t>/</w:t>
      </w:r>
      <w:r w:rsidRPr="00912405">
        <w:rPr>
          <w:rFonts w:asciiTheme="majorBidi" w:hAnsiTheme="majorBidi" w:cstheme="majorBidi"/>
          <w:i/>
          <w:sz w:val="24"/>
        </w:rPr>
        <w:t>z</w:t>
      </w:r>
      <w:r w:rsidRPr="00687B3D">
        <w:rPr>
          <w:rFonts w:asciiTheme="majorBidi" w:hAnsiTheme="majorBidi" w:cstheme="majorBidi"/>
          <w:sz w:val="24"/>
        </w:rPr>
        <w:t xml:space="preserve"> values for potential biotransformation products was informed by the EAWAG Biocatalysis and Biodegradation </w:t>
      </w:r>
      <w:r w:rsidRPr="00687B3D">
        <w:rPr>
          <w:rFonts w:asciiTheme="majorBidi" w:hAnsiTheme="majorBidi" w:cstheme="majorBidi"/>
          <w:sz w:val="24"/>
        </w:rPr>
        <w:lastRenderedPageBreak/>
        <w:t>Database (EAWAG-BDD</w:t>
      </w:r>
      <w:r>
        <w:rPr>
          <w:rFonts w:asciiTheme="majorBidi" w:hAnsiTheme="majorBidi" w:cstheme="majorBidi"/>
          <w:sz w:val="24"/>
        </w:rPr>
        <w:t xml:space="preserve">; </w:t>
      </w:r>
      <w:r>
        <w:rPr>
          <w:rFonts w:asciiTheme="majorBidi" w:hAnsiTheme="majorBidi" w:cstheme="majorBidi"/>
          <w:noProof/>
          <w:sz w:val="24"/>
        </w:rPr>
        <w:t>Ellis &amp; Wackett 2012)</w:t>
      </w:r>
      <w:r>
        <w:rPr>
          <w:rFonts w:asciiTheme="majorBidi" w:hAnsiTheme="majorBidi" w:cstheme="majorBidi"/>
          <w:sz w:val="24"/>
        </w:rPr>
        <w:t xml:space="preserve">, now redesigned as enviPath </w:t>
      </w:r>
      <w:r>
        <w:rPr>
          <w:rFonts w:asciiTheme="majorBidi" w:hAnsiTheme="majorBidi" w:cstheme="majorBidi"/>
          <w:noProof/>
          <w:sz w:val="24"/>
        </w:rPr>
        <w:t>(Wicker et al. 2016)</w:t>
      </w:r>
      <w:r w:rsidRPr="00687B3D">
        <w:rPr>
          <w:rFonts w:asciiTheme="majorBidi" w:hAnsiTheme="majorBidi" w:cstheme="majorBidi"/>
          <w:sz w:val="24"/>
        </w:rPr>
        <w:t xml:space="preserve">. Nitrate + nitrite and orthophosphate were determined by colorimetry with a precision of </w:t>
      </w:r>
      <w:r>
        <w:rPr>
          <w:rFonts w:asciiTheme="majorBidi" w:hAnsiTheme="majorBidi" w:cstheme="majorBidi"/>
          <w:sz w:val="24"/>
        </w:rPr>
        <w:t>lower than</w:t>
      </w:r>
      <w:r w:rsidRPr="00687B3D">
        <w:rPr>
          <w:rFonts w:asciiTheme="majorBidi" w:hAnsiTheme="majorBidi" w:cstheme="majorBidi"/>
          <w:sz w:val="24"/>
        </w:rPr>
        <w:t xml:space="preserve"> 1</w:t>
      </w:r>
      <w:r>
        <w:rPr>
          <w:rFonts w:asciiTheme="majorBidi" w:hAnsiTheme="majorBidi" w:cstheme="majorBidi"/>
          <w:sz w:val="24"/>
        </w:rPr>
        <w:t xml:space="preserve"> </w:t>
      </w:r>
      <w:r w:rsidRPr="00687B3D">
        <w:rPr>
          <w:rFonts w:asciiTheme="majorBidi" w:hAnsiTheme="majorBidi" w:cstheme="majorBidi"/>
          <w:sz w:val="24"/>
        </w:rPr>
        <w:t xml:space="preserve">% (Skalar Analytical BV, 2004) and ammonium by </w:t>
      </w:r>
      <w:r w:rsidRPr="00912405">
        <w:rPr>
          <w:rFonts w:asciiTheme="majorBidi" w:hAnsiTheme="majorBidi" w:cstheme="majorBidi"/>
          <w:i/>
          <w:sz w:val="24"/>
        </w:rPr>
        <w:t>o</w:t>
      </w:r>
      <w:r w:rsidRPr="00687B3D">
        <w:rPr>
          <w:rFonts w:asciiTheme="majorBidi" w:hAnsiTheme="majorBidi" w:cstheme="majorBidi"/>
          <w:sz w:val="24"/>
        </w:rPr>
        <w:t>-phthaldialdehyde fluorescence with a precision of 4</w:t>
      </w:r>
      <w:r>
        <w:rPr>
          <w:rFonts w:asciiTheme="majorBidi" w:hAnsiTheme="majorBidi" w:cstheme="majorBidi"/>
          <w:sz w:val="24"/>
        </w:rPr>
        <w:t xml:space="preserve"> </w:t>
      </w:r>
      <w:r w:rsidRPr="00687B3D">
        <w:rPr>
          <w:rFonts w:asciiTheme="majorBidi" w:hAnsiTheme="majorBidi" w:cstheme="majorBidi"/>
          <w:sz w:val="24"/>
        </w:rPr>
        <w:t xml:space="preserve">% </w:t>
      </w:r>
      <w:r w:rsidRPr="00E75900">
        <w:rPr>
          <w:rFonts w:asciiTheme="majorBidi" w:hAnsiTheme="majorBidi" w:cstheme="majorBidi"/>
          <w:noProof/>
          <w:sz w:val="24"/>
        </w:rPr>
        <w:t>(Holmes et al. 1999)</w:t>
      </w:r>
      <w:r w:rsidRPr="00687B3D">
        <w:rPr>
          <w:rFonts w:asciiTheme="majorBidi" w:hAnsiTheme="majorBidi" w:cstheme="majorBidi"/>
          <w:sz w:val="24"/>
        </w:rPr>
        <w:t>.</w:t>
      </w:r>
    </w:p>
    <w:p w:rsidR="002455EF" w:rsidRPr="00687B3D" w:rsidRDefault="002455EF" w:rsidP="00723080">
      <w:pPr>
        <w:spacing w:line="480" w:lineRule="auto"/>
        <w:ind w:left="0" w:firstLine="720"/>
        <w:jc w:val="left"/>
        <w:rPr>
          <w:rFonts w:asciiTheme="majorBidi" w:hAnsiTheme="majorBidi" w:cstheme="majorBidi"/>
          <w:sz w:val="24"/>
        </w:rPr>
      </w:pPr>
      <w:r w:rsidRPr="00687B3D">
        <w:rPr>
          <w:rFonts w:asciiTheme="majorBidi" w:hAnsiTheme="majorBidi" w:cstheme="majorBidi"/>
          <w:sz w:val="24"/>
        </w:rPr>
        <w:t xml:space="preserve">Viable counts of bacterio-plankton were </w:t>
      </w:r>
      <w:r>
        <w:rPr>
          <w:rFonts w:asciiTheme="majorBidi" w:hAnsiTheme="majorBidi" w:cstheme="majorBidi"/>
          <w:sz w:val="24"/>
        </w:rPr>
        <w:t>determined</w:t>
      </w:r>
      <w:r w:rsidRPr="00687B3D">
        <w:rPr>
          <w:rFonts w:asciiTheme="majorBidi" w:hAnsiTheme="majorBidi" w:cstheme="majorBidi"/>
          <w:sz w:val="24"/>
        </w:rPr>
        <w:t xml:space="preserve"> using 100 μL aliquots from the incubations. These were diluted in phosphate-buffered saline solution and 100 µL of each dilution spread on half strength Luria Bertani agar (Merck, Germany) and incubated at 30 </w:t>
      </w:r>
      <w:r w:rsidRPr="00687B3D">
        <w:rPr>
          <w:rFonts w:asciiTheme="majorBidi" w:hAnsiTheme="majorBidi" w:cstheme="majorBidi"/>
          <w:sz w:val="24"/>
          <w:vertAlign w:val="superscript"/>
        </w:rPr>
        <w:t>°</w:t>
      </w:r>
      <w:r w:rsidRPr="00687B3D">
        <w:rPr>
          <w:rFonts w:asciiTheme="majorBidi" w:hAnsiTheme="majorBidi" w:cstheme="majorBidi"/>
          <w:sz w:val="24"/>
        </w:rPr>
        <w:t>C for two days. Colonies were enumerated as colony forming units (cfu) mL</w:t>
      </w:r>
      <w:r w:rsidRPr="00687B3D">
        <w:rPr>
          <w:rFonts w:asciiTheme="majorBidi" w:hAnsiTheme="majorBidi" w:cstheme="majorBidi"/>
          <w:sz w:val="24"/>
          <w:vertAlign w:val="superscript"/>
        </w:rPr>
        <w:t>-1</w:t>
      </w:r>
      <w:r w:rsidRPr="00687B3D">
        <w:rPr>
          <w:rFonts w:asciiTheme="majorBidi" w:hAnsiTheme="majorBidi" w:cstheme="majorBidi"/>
          <w:sz w:val="24"/>
        </w:rPr>
        <w:t xml:space="preserve"> of the original suspensions. The extraction of DNA and PCR amplification of 16S ribosomal RNA genes for bacterio-plankton community analysis were undertaken on cells retained on a 0.2 </w:t>
      </w:r>
      <w:r w:rsidRPr="00687B3D">
        <w:rPr>
          <w:rFonts w:asciiTheme="majorBidi" w:hAnsiTheme="majorBidi" w:cstheme="majorBidi"/>
          <w:sz w:val="24"/>
          <w:lang w:eastAsia="en-GB"/>
        </w:rPr>
        <w:t>µ</w:t>
      </w:r>
      <w:r w:rsidRPr="00687B3D">
        <w:rPr>
          <w:rFonts w:asciiTheme="majorBidi" w:hAnsiTheme="majorBidi" w:cstheme="majorBidi"/>
          <w:sz w:val="24"/>
        </w:rPr>
        <w:t>m membrane filter. The retained cells were disrupted in a Hybaid Ribolyser™ Cell Disruptor, and the DNA was subsequently extracted into hexadecyltrimethylammonium bromide and phenol-chloroform-isoamyl</w:t>
      </w:r>
      <w:r w:rsidRPr="00687B3D">
        <w:rPr>
          <w:rFonts w:asciiTheme="majorBidi" w:hAnsiTheme="majorBidi" w:cstheme="majorBidi"/>
          <w:sz w:val="24"/>
          <w:vertAlign w:val="superscript"/>
        </w:rPr>
        <w:t xml:space="preserve"> </w:t>
      </w:r>
      <w:r w:rsidRPr="00687B3D">
        <w:rPr>
          <w:rFonts w:asciiTheme="majorBidi" w:hAnsiTheme="majorBidi" w:cstheme="majorBidi"/>
          <w:sz w:val="24"/>
        </w:rPr>
        <w:t>alcohol, followed by resuspension in 50 µL nuclease-free</w:t>
      </w:r>
      <w:r w:rsidRPr="00687B3D">
        <w:rPr>
          <w:rFonts w:asciiTheme="majorBidi" w:hAnsiTheme="majorBidi" w:cstheme="majorBidi"/>
          <w:sz w:val="24"/>
          <w:vertAlign w:val="superscript"/>
        </w:rPr>
        <w:t xml:space="preserve"> </w:t>
      </w:r>
      <w:r w:rsidRPr="00687B3D">
        <w:rPr>
          <w:rFonts w:asciiTheme="majorBidi" w:hAnsiTheme="majorBidi" w:cstheme="majorBidi"/>
          <w:sz w:val="24"/>
        </w:rPr>
        <w:t xml:space="preserve">water </w:t>
      </w:r>
      <w:r w:rsidRPr="000736E9">
        <w:rPr>
          <w:rFonts w:asciiTheme="majorBidi" w:hAnsiTheme="majorBidi" w:cstheme="majorBidi"/>
          <w:noProof/>
          <w:sz w:val="24"/>
        </w:rPr>
        <w:t>(Griffiths et al. 2000)</w:t>
      </w:r>
      <w:r w:rsidRPr="00687B3D">
        <w:rPr>
          <w:rFonts w:asciiTheme="majorBidi" w:hAnsiTheme="majorBidi" w:cstheme="majorBidi"/>
          <w:sz w:val="24"/>
        </w:rPr>
        <w:t>. Nested PCR amplifications were performed on these samples using Super Taq DNA polymerase (HT Biotech Ltd, UK) and G-Storm thermal cyclers (GRI, UK). DNA amplification was undertaken in a 50 μL sample using 1 μmol L</w:t>
      </w:r>
      <w:r w:rsidRPr="00687B3D">
        <w:rPr>
          <w:rFonts w:asciiTheme="majorBidi" w:hAnsiTheme="majorBidi" w:cstheme="majorBidi"/>
          <w:sz w:val="24"/>
          <w:vertAlign w:val="superscript"/>
        </w:rPr>
        <w:t>-1</w:t>
      </w:r>
      <w:r w:rsidRPr="00687B3D">
        <w:rPr>
          <w:rFonts w:asciiTheme="majorBidi" w:hAnsiTheme="majorBidi" w:cstheme="majorBidi"/>
          <w:sz w:val="24"/>
        </w:rPr>
        <w:t xml:space="preserve"> of the universal primers for eubacterial 16S rRNA genes (27</w:t>
      </w:r>
      <w:r w:rsidRPr="00687B3D">
        <w:rPr>
          <w:rFonts w:asciiTheme="majorBidi" w:hAnsiTheme="majorBidi" w:cstheme="majorBidi"/>
          <w:sz w:val="24"/>
          <w:vertAlign w:val="subscript"/>
        </w:rPr>
        <w:t>f</w:t>
      </w:r>
      <w:r w:rsidRPr="00687B3D">
        <w:rPr>
          <w:rFonts w:asciiTheme="majorBidi" w:hAnsiTheme="majorBidi" w:cstheme="majorBidi"/>
          <w:sz w:val="24"/>
        </w:rPr>
        <w:t xml:space="preserve"> and 1492</w:t>
      </w:r>
      <w:r w:rsidRPr="00687B3D">
        <w:rPr>
          <w:rFonts w:asciiTheme="majorBidi" w:hAnsiTheme="majorBidi" w:cstheme="majorBidi"/>
          <w:sz w:val="24"/>
          <w:vertAlign w:val="subscript"/>
        </w:rPr>
        <w:t>r</w:t>
      </w:r>
      <w:r w:rsidRPr="00687B3D">
        <w:rPr>
          <w:rFonts w:asciiTheme="majorBidi" w:hAnsiTheme="majorBidi" w:cstheme="majorBidi"/>
          <w:sz w:val="24"/>
        </w:rPr>
        <w:t xml:space="preserve">) </w:t>
      </w:r>
      <w:r w:rsidRPr="000736E9">
        <w:rPr>
          <w:rFonts w:asciiTheme="majorBidi" w:hAnsiTheme="majorBidi" w:cstheme="majorBidi"/>
          <w:noProof/>
          <w:sz w:val="24"/>
        </w:rPr>
        <w:t>(Lane 1991)</w:t>
      </w:r>
      <w:r w:rsidRPr="00687B3D">
        <w:rPr>
          <w:rFonts w:asciiTheme="majorBidi" w:hAnsiTheme="majorBidi" w:cstheme="majorBidi"/>
          <w:sz w:val="24"/>
        </w:rPr>
        <w:t xml:space="preserve"> with 1 unit super</w:t>
      </w:r>
      <w:r w:rsidRPr="00687B3D">
        <w:rPr>
          <w:rFonts w:asciiTheme="majorBidi" w:hAnsiTheme="majorBidi" w:cstheme="majorBidi"/>
          <w:i/>
          <w:iCs/>
          <w:sz w:val="24"/>
        </w:rPr>
        <w:t xml:space="preserve"> </w:t>
      </w:r>
      <w:r w:rsidRPr="00687B3D">
        <w:rPr>
          <w:rFonts w:asciiTheme="majorBidi" w:hAnsiTheme="majorBidi" w:cstheme="majorBidi"/>
          <w:spacing w:val="10"/>
          <w:sz w:val="24"/>
        </w:rPr>
        <w:t>Taq</w:t>
      </w:r>
      <w:r w:rsidRPr="00687B3D">
        <w:rPr>
          <w:rFonts w:asciiTheme="majorBidi" w:hAnsiTheme="majorBidi" w:cstheme="majorBidi"/>
          <w:sz w:val="24"/>
        </w:rPr>
        <w:t xml:space="preserve"> DNA polymerase. The amplified DNA fragments were re-amplified using forward primer 341 and reverse primer 907 </w:t>
      </w:r>
      <w:r w:rsidRPr="000736E9">
        <w:rPr>
          <w:rFonts w:asciiTheme="majorBidi" w:hAnsiTheme="majorBidi" w:cstheme="majorBidi"/>
          <w:noProof/>
          <w:sz w:val="24"/>
        </w:rPr>
        <w:t>(Muyzer et al. 1995)</w:t>
      </w:r>
      <w:r w:rsidRPr="00687B3D">
        <w:rPr>
          <w:rFonts w:asciiTheme="majorBidi" w:hAnsiTheme="majorBidi" w:cstheme="majorBidi"/>
          <w:sz w:val="24"/>
        </w:rPr>
        <w:t xml:space="preserve">. Denaturing gradient gel electrophoresis (DGGE) analysis </w:t>
      </w:r>
      <w:r w:rsidRPr="000736E9">
        <w:rPr>
          <w:rFonts w:asciiTheme="majorBidi" w:hAnsiTheme="majorBidi" w:cstheme="majorBidi"/>
          <w:noProof/>
          <w:sz w:val="24"/>
        </w:rPr>
        <w:t>(Muyzer et al. 1993)</w:t>
      </w:r>
      <w:r w:rsidRPr="00515B61">
        <w:rPr>
          <w:rFonts w:asciiTheme="majorBidi" w:hAnsiTheme="majorBidi" w:cstheme="majorBidi"/>
          <w:sz w:val="24"/>
        </w:rPr>
        <w:t xml:space="preserve"> </w:t>
      </w:r>
      <w:r w:rsidRPr="00687B3D">
        <w:rPr>
          <w:rFonts w:asciiTheme="majorBidi" w:hAnsiTheme="majorBidi" w:cstheme="majorBidi"/>
          <w:sz w:val="24"/>
        </w:rPr>
        <w:t xml:space="preserve">was performed on GC-clamped products of the second PCR amplification using the Bio-Rad D-code system to separate DNA on a 8 % polyacrylamide gel in Tris acetate EDTA buffer (pH 8.0) with a 20-60 % denaturant gradient, in which 100 % denaturant was 7 molar urea amended with 40 % formamide </w:t>
      </w:r>
      <w:r w:rsidRPr="00544C4A">
        <w:rPr>
          <w:rFonts w:asciiTheme="majorBidi" w:hAnsiTheme="majorBidi" w:cstheme="majorBidi"/>
          <w:noProof/>
          <w:sz w:val="24"/>
        </w:rPr>
        <w:t>(Muyzer et al. 1993)</w:t>
      </w:r>
      <w:r w:rsidRPr="00687B3D">
        <w:rPr>
          <w:rFonts w:asciiTheme="majorBidi" w:hAnsiTheme="majorBidi" w:cstheme="majorBidi"/>
          <w:sz w:val="24"/>
        </w:rPr>
        <w:t xml:space="preserve">. Electrophoresis was performed at 60 </w:t>
      </w:r>
      <w:r w:rsidRPr="00687B3D">
        <w:rPr>
          <w:rFonts w:asciiTheme="majorBidi" w:hAnsiTheme="majorBidi" w:cstheme="majorBidi"/>
          <w:sz w:val="24"/>
          <w:vertAlign w:val="superscript"/>
        </w:rPr>
        <w:t>°</w:t>
      </w:r>
      <w:r w:rsidRPr="00687B3D">
        <w:rPr>
          <w:rFonts w:asciiTheme="majorBidi" w:hAnsiTheme="majorBidi" w:cstheme="majorBidi"/>
          <w:sz w:val="24"/>
        </w:rPr>
        <w:t xml:space="preserve">C, run at 60 V (16 h) and the DNA banding </w:t>
      </w:r>
      <w:r w:rsidRPr="00687B3D">
        <w:rPr>
          <w:rFonts w:asciiTheme="majorBidi" w:hAnsiTheme="majorBidi" w:cstheme="majorBidi"/>
          <w:sz w:val="24"/>
        </w:rPr>
        <w:lastRenderedPageBreak/>
        <w:t>visualised using Sybr Green I stain (Lonza Rockland, USA) with detection and image capture on a Storm 860 Molecular Imager (Molecular Dynamics, UK).</w:t>
      </w:r>
    </w:p>
    <w:p w:rsidR="002455EF" w:rsidRPr="00687B3D" w:rsidRDefault="002455EF" w:rsidP="00F83FE7">
      <w:pPr>
        <w:pStyle w:val="FootnoteText"/>
        <w:spacing w:line="480" w:lineRule="auto"/>
        <w:rPr>
          <w:rFonts w:asciiTheme="majorBidi" w:hAnsiTheme="majorBidi" w:cstheme="majorBidi"/>
          <w:b/>
          <w:bCs/>
          <w:sz w:val="24"/>
          <w:szCs w:val="24"/>
        </w:rPr>
      </w:pPr>
      <w:r w:rsidRPr="00356AE9">
        <w:rPr>
          <w:sz w:val="24"/>
          <w:szCs w:val="24"/>
        </w:rPr>
        <w:br w:type="page"/>
      </w:r>
      <w:r>
        <w:rPr>
          <w:sz w:val="24"/>
          <w:szCs w:val="24"/>
        </w:rPr>
        <w:lastRenderedPageBreak/>
        <w:t xml:space="preserve">3. </w:t>
      </w:r>
      <w:r w:rsidRPr="00687B3D">
        <w:rPr>
          <w:rFonts w:asciiTheme="majorBidi" w:hAnsiTheme="majorBidi" w:cstheme="majorBidi"/>
          <w:b/>
          <w:bCs/>
          <w:sz w:val="24"/>
          <w:szCs w:val="24"/>
        </w:rPr>
        <w:t>Results and discussion</w:t>
      </w:r>
    </w:p>
    <w:p w:rsidR="002455EF" w:rsidRDefault="002455EF" w:rsidP="003B6177">
      <w:pPr>
        <w:spacing w:line="480" w:lineRule="auto"/>
        <w:ind w:left="0" w:firstLine="0"/>
        <w:jc w:val="left"/>
        <w:rPr>
          <w:rFonts w:ascii="Times New Roman" w:hAnsi="Times New Roman"/>
          <w:sz w:val="24"/>
        </w:rPr>
      </w:pPr>
      <w:r>
        <w:rPr>
          <w:rFonts w:ascii="Times New Roman" w:hAnsi="Times New Roman"/>
          <w:sz w:val="24"/>
        </w:rPr>
        <w:t>3.1 Bacterio-plankton incubations</w:t>
      </w:r>
    </w:p>
    <w:p w:rsidR="002455EF" w:rsidRPr="00B86AAF" w:rsidRDefault="002455EF" w:rsidP="002D232C">
      <w:pPr>
        <w:spacing w:line="480" w:lineRule="auto"/>
        <w:ind w:left="0" w:firstLine="720"/>
        <w:jc w:val="left"/>
        <w:rPr>
          <w:rFonts w:ascii="Times New Roman" w:hAnsi="Times New Roman"/>
          <w:sz w:val="24"/>
        </w:rPr>
      </w:pPr>
      <w:r>
        <w:rPr>
          <w:rFonts w:ascii="Times New Roman" w:hAnsi="Times New Roman"/>
          <w:sz w:val="24"/>
        </w:rPr>
        <w:t xml:space="preserve">The abiotic control studies showed that none of </w:t>
      </w:r>
      <w:r w:rsidRPr="00B86AAF">
        <w:rPr>
          <w:rFonts w:ascii="Times New Roman" w:hAnsi="Times New Roman"/>
          <w:sz w:val="24"/>
        </w:rPr>
        <w:t xml:space="preserve">the compounds </w:t>
      </w:r>
      <w:r>
        <w:rPr>
          <w:rFonts w:ascii="Times New Roman" w:hAnsi="Times New Roman"/>
          <w:sz w:val="24"/>
        </w:rPr>
        <w:t xml:space="preserve">was lost through sorption to the walls of the incubation bottles or through </w:t>
      </w:r>
      <w:r w:rsidRPr="00B86AAF">
        <w:rPr>
          <w:rFonts w:ascii="Times New Roman" w:hAnsi="Times New Roman"/>
          <w:sz w:val="24"/>
        </w:rPr>
        <w:t>chemical</w:t>
      </w:r>
      <w:r>
        <w:rPr>
          <w:rFonts w:ascii="Times New Roman" w:hAnsi="Times New Roman"/>
          <w:sz w:val="24"/>
        </w:rPr>
        <w:t xml:space="preserve"> degradation,</w:t>
      </w:r>
      <w:r w:rsidRPr="00B86AAF">
        <w:rPr>
          <w:rFonts w:ascii="Times New Roman" w:hAnsi="Times New Roman"/>
          <w:sz w:val="24"/>
        </w:rPr>
        <w:t xml:space="preserve"> </w:t>
      </w:r>
      <w:r>
        <w:rPr>
          <w:rFonts w:ascii="Times New Roman" w:hAnsi="Times New Roman"/>
          <w:sz w:val="24"/>
        </w:rPr>
        <w:t>during the experiments</w:t>
      </w:r>
      <w:r w:rsidRPr="00B86AAF">
        <w:rPr>
          <w:rFonts w:ascii="Times New Roman" w:hAnsi="Times New Roman"/>
          <w:sz w:val="24"/>
        </w:rPr>
        <w:t>. The bacterio-plankton inocula were viable throu</w:t>
      </w:r>
      <w:r>
        <w:rPr>
          <w:rFonts w:ascii="Times New Roman" w:hAnsi="Times New Roman"/>
          <w:sz w:val="24"/>
        </w:rPr>
        <w:t xml:space="preserve">ghout the incubation period, as </w:t>
      </w:r>
      <w:r w:rsidRPr="00B86AAF">
        <w:rPr>
          <w:rFonts w:ascii="Times New Roman" w:hAnsi="Times New Roman"/>
          <w:sz w:val="24"/>
        </w:rPr>
        <w:t xml:space="preserve">concentrations of colony forming units increased by an order of magnitude in the microcosms containing </w:t>
      </w:r>
      <w:r>
        <w:rPr>
          <w:rFonts w:ascii="Times New Roman" w:hAnsi="Times New Roman"/>
          <w:sz w:val="24"/>
        </w:rPr>
        <w:t>pharmaceuticals</w:t>
      </w:r>
      <w:r w:rsidRPr="00B86AAF">
        <w:rPr>
          <w:rFonts w:ascii="Times New Roman" w:hAnsi="Times New Roman"/>
          <w:sz w:val="24"/>
        </w:rPr>
        <w:t xml:space="preserve"> (from </w:t>
      </w:r>
      <w:r>
        <w:rPr>
          <w:rFonts w:ascii="Times New Roman" w:hAnsi="Times New Roman"/>
          <w:sz w:val="24"/>
        </w:rPr>
        <w:t>lower than</w:t>
      </w:r>
      <w:r w:rsidRPr="00B86AAF">
        <w:rPr>
          <w:rFonts w:ascii="Times New Roman" w:hAnsi="Times New Roman"/>
          <w:sz w:val="24"/>
        </w:rPr>
        <w:t xml:space="preserve"> 10,000 cfu mL</w:t>
      </w:r>
      <w:r w:rsidRPr="00B86AAF">
        <w:rPr>
          <w:rFonts w:ascii="Times New Roman" w:hAnsi="Times New Roman"/>
          <w:sz w:val="24"/>
          <w:vertAlign w:val="superscript"/>
        </w:rPr>
        <w:t>-1</w:t>
      </w:r>
      <w:r w:rsidRPr="00B86AAF">
        <w:rPr>
          <w:rFonts w:ascii="Times New Roman" w:hAnsi="Times New Roman"/>
          <w:sz w:val="24"/>
        </w:rPr>
        <w:t xml:space="preserve"> at day 0 to 82,000 cfu mL</w:t>
      </w:r>
      <w:r w:rsidRPr="00B86AAF">
        <w:rPr>
          <w:rFonts w:ascii="Times New Roman" w:hAnsi="Times New Roman"/>
          <w:sz w:val="24"/>
          <w:vertAlign w:val="superscript"/>
        </w:rPr>
        <w:t>-1</w:t>
      </w:r>
      <w:r w:rsidRPr="00B86AAF">
        <w:rPr>
          <w:rFonts w:ascii="Times New Roman" w:hAnsi="Times New Roman"/>
          <w:sz w:val="24"/>
        </w:rPr>
        <w:t xml:space="preserve"> for levamisole and 220,000 cfu mL</w:t>
      </w:r>
      <w:r w:rsidRPr="00B86AAF">
        <w:rPr>
          <w:rFonts w:ascii="Times New Roman" w:hAnsi="Times New Roman"/>
          <w:sz w:val="24"/>
          <w:vertAlign w:val="superscript"/>
        </w:rPr>
        <w:t>-1</w:t>
      </w:r>
      <w:r w:rsidRPr="00B86AAF">
        <w:rPr>
          <w:rFonts w:ascii="Times New Roman" w:hAnsi="Times New Roman"/>
          <w:sz w:val="24"/>
        </w:rPr>
        <w:t xml:space="preserve"> for fluphenazine at day 21). There was also a </w:t>
      </w:r>
      <w:r>
        <w:rPr>
          <w:rFonts w:ascii="Times New Roman" w:hAnsi="Times New Roman"/>
          <w:sz w:val="24"/>
        </w:rPr>
        <w:t xml:space="preserve">large </w:t>
      </w:r>
      <w:r w:rsidRPr="00B86AAF">
        <w:rPr>
          <w:rFonts w:ascii="Times New Roman" w:hAnsi="Times New Roman"/>
          <w:sz w:val="24"/>
        </w:rPr>
        <w:t>increase in ammonium concentrations (from 0.7 to 68.0 µmol NH</w:t>
      </w:r>
      <w:r w:rsidRPr="00B86AAF">
        <w:rPr>
          <w:rFonts w:ascii="Times New Roman" w:hAnsi="Times New Roman"/>
          <w:sz w:val="24"/>
          <w:vertAlign w:val="subscript"/>
        </w:rPr>
        <w:t>4</w:t>
      </w:r>
      <w:r w:rsidRPr="00B86AAF">
        <w:rPr>
          <w:rFonts w:ascii="Times New Roman" w:hAnsi="Times New Roman"/>
          <w:sz w:val="24"/>
          <w:vertAlign w:val="superscript"/>
        </w:rPr>
        <w:t>+</w:t>
      </w:r>
      <w:r w:rsidRPr="00B86AAF">
        <w:rPr>
          <w:rFonts w:ascii="Times New Roman" w:hAnsi="Times New Roman"/>
          <w:sz w:val="24"/>
        </w:rPr>
        <w:t>-N L</w:t>
      </w:r>
      <w:r w:rsidRPr="00B86AAF">
        <w:rPr>
          <w:rFonts w:ascii="Times New Roman" w:hAnsi="Times New Roman"/>
          <w:sz w:val="24"/>
          <w:vertAlign w:val="superscript"/>
        </w:rPr>
        <w:t>-1</w:t>
      </w:r>
      <w:r w:rsidRPr="00B86AAF">
        <w:rPr>
          <w:rFonts w:ascii="Times New Roman" w:hAnsi="Times New Roman"/>
          <w:sz w:val="24"/>
        </w:rPr>
        <w:t xml:space="preserve">) after 21 days in the levamisole microcosms to which the GLY peptide had been added (Fig. 1), </w:t>
      </w:r>
      <w:r>
        <w:rPr>
          <w:rFonts w:ascii="Times New Roman" w:hAnsi="Times New Roman"/>
          <w:sz w:val="24"/>
        </w:rPr>
        <w:t xml:space="preserve">a further indication of </w:t>
      </w:r>
      <w:r w:rsidRPr="00B86AAF">
        <w:rPr>
          <w:rFonts w:ascii="Times New Roman" w:hAnsi="Times New Roman"/>
          <w:sz w:val="24"/>
        </w:rPr>
        <w:t xml:space="preserve">bacterio-plankton </w:t>
      </w:r>
      <w:r>
        <w:rPr>
          <w:rFonts w:ascii="Times New Roman" w:hAnsi="Times New Roman"/>
          <w:sz w:val="24"/>
        </w:rPr>
        <w:t>mineralisation of dissolved organic matter</w:t>
      </w:r>
      <w:r w:rsidRPr="00B86AAF">
        <w:rPr>
          <w:rFonts w:ascii="Times New Roman" w:hAnsi="Times New Roman"/>
          <w:sz w:val="24"/>
        </w:rPr>
        <w:t>. The NH</w:t>
      </w:r>
      <w:r w:rsidRPr="00B86AAF">
        <w:rPr>
          <w:rFonts w:ascii="Times New Roman" w:hAnsi="Times New Roman"/>
          <w:sz w:val="24"/>
          <w:vertAlign w:val="subscript"/>
        </w:rPr>
        <w:t>4</w:t>
      </w:r>
      <w:r w:rsidRPr="00B86AAF">
        <w:rPr>
          <w:rFonts w:ascii="Times New Roman" w:hAnsi="Times New Roman"/>
          <w:sz w:val="24"/>
          <w:vertAlign w:val="superscript"/>
        </w:rPr>
        <w:t>+</w:t>
      </w:r>
      <w:r w:rsidRPr="00B86AAF">
        <w:rPr>
          <w:rFonts w:ascii="Times New Roman" w:hAnsi="Times New Roman"/>
          <w:sz w:val="24"/>
        </w:rPr>
        <w:t xml:space="preserve"> produced represented ca. 74 % of the peptide nitrogen and </w:t>
      </w:r>
      <w:r>
        <w:rPr>
          <w:rFonts w:ascii="Times New Roman" w:hAnsi="Times New Roman"/>
          <w:sz w:val="24"/>
        </w:rPr>
        <w:t xml:space="preserve">its degradation </w:t>
      </w:r>
      <w:r w:rsidRPr="00B86AAF">
        <w:rPr>
          <w:rFonts w:ascii="Times New Roman" w:hAnsi="Times New Roman"/>
          <w:sz w:val="24"/>
        </w:rPr>
        <w:t>was consistent with previous results</w:t>
      </w:r>
      <w:r>
        <w:rPr>
          <w:rFonts w:ascii="Times New Roman" w:hAnsi="Times New Roman"/>
          <w:sz w:val="24"/>
        </w:rPr>
        <w:t xml:space="preserve"> </w:t>
      </w:r>
      <w:r w:rsidRPr="00B86AAF">
        <w:rPr>
          <w:rFonts w:ascii="Times New Roman" w:hAnsi="Times New Roman"/>
          <w:sz w:val="24"/>
        </w:rPr>
        <w:t xml:space="preserve">for </w:t>
      </w:r>
      <w:r>
        <w:rPr>
          <w:rFonts w:ascii="Times New Roman" w:hAnsi="Times New Roman"/>
          <w:sz w:val="24"/>
        </w:rPr>
        <w:t xml:space="preserve">such </w:t>
      </w:r>
      <w:r w:rsidRPr="00B86AAF">
        <w:rPr>
          <w:rFonts w:ascii="Times New Roman" w:hAnsi="Times New Roman"/>
          <w:sz w:val="24"/>
        </w:rPr>
        <w:t xml:space="preserve">incubations </w:t>
      </w:r>
      <w:r>
        <w:rPr>
          <w:rFonts w:ascii="Times New Roman" w:hAnsi="Times New Roman"/>
          <w:sz w:val="24"/>
        </w:rPr>
        <w:t>containing</w:t>
      </w:r>
      <w:r w:rsidRPr="00B86AAF">
        <w:rPr>
          <w:rFonts w:ascii="Times New Roman" w:hAnsi="Times New Roman"/>
          <w:sz w:val="24"/>
        </w:rPr>
        <w:t xml:space="preserve"> GLY only or GLY plus </w:t>
      </w:r>
      <w:r>
        <w:rPr>
          <w:rFonts w:asciiTheme="majorBidi" w:hAnsiTheme="majorBidi" w:cstheme="majorBidi"/>
          <w:bCs/>
          <w:sz w:val="24"/>
        </w:rPr>
        <w:t>pharmaceutical</w:t>
      </w:r>
      <w:r w:rsidR="0031361C">
        <w:rPr>
          <w:rFonts w:asciiTheme="majorBidi" w:hAnsiTheme="majorBidi" w:cstheme="majorBidi"/>
          <w:bCs/>
          <w:sz w:val="24"/>
        </w:rPr>
        <w:t xml:space="preserve"> </w:t>
      </w:r>
      <w:r w:rsidRPr="00544C4A">
        <w:rPr>
          <w:rFonts w:ascii="Times New Roman" w:hAnsi="Times New Roman"/>
          <w:noProof/>
          <w:sz w:val="24"/>
        </w:rPr>
        <w:t>(Tappin et al. 2012; Tappin et al. 2014)</w:t>
      </w:r>
      <w:r w:rsidRPr="00B86AAF">
        <w:rPr>
          <w:rFonts w:ascii="Times New Roman" w:hAnsi="Times New Roman"/>
          <w:sz w:val="24"/>
        </w:rPr>
        <w:t xml:space="preserve">. In addition, our previous results, using clone libraries, showed that bacterio-plankton sampled from the Tamar water microcosms contained Gram negative (α-proteobacteria, β-proteobacteria) and Gram positive (Firmicutes) groups previously reported </w:t>
      </w:r>
      <w:r>
        <w:rPr>
          <w:rFonts w:ascii="Times New Roman" w:hAnsi="Times New Roman"/>
          <w:sz w:val="24"/>
        </w:rPr>
        <w:t>for</w:t>
      </w:r>
      <w:r w:rsidRPr="00B86AAF">
        <w:rPr>
          <w:rFonts w:ascii="Times New Roman" w:hAnsi="Times New Roman"/>
          <w:sz w:val="24"/>
        </w:rPr>
        <w:t xml:space="preserve"> freshwaters, which are capable of </w:t>
      </w:r>
      <w:r>
        <w:rPr>
          <w:rFonts w:ascii="Times New Roman" w:hAnsi="Times New Roman"/>
          <w:sz w:val="24"/>
        </w:rPr>
        <w:t>biotransforming</w:t>
      </w:r>
      <w:r w:rsidRPr="00B86AAF">
        <w:rPr>
          <w:rFonts w:ascii="Times New Roman" w:hAnsi="Times New Roman"/>
          <w:sz w:val="24"/>
        </w:rPr>
        <w:t xml:space="preserve"> xenobiotic contaminants </w:t>
      </w:r>
      <w:r w:rsidRPr="0021272F">
        <w:rPr>
          <w:rFonts w:ascii="Times New Roman" w:hAnsi="Times New Roman"/>
          <w:noProof/>
          <w:sz w:val="24"/>
        </w:rPr>
        <w:t>(Tappin et al. 2014)</w:t>
      </w:r>
      <w:r w:rsidRPr="00B86AAF">
        <w:rPr>
          <w:rFonts w:ascii="Times New Roman" w:hAnsi="Times New Roman"/>
          <w:sz w:val="24"/>
        </w:rPr>
        <w:t>.</w:t>
      </w:r>
    </w:p>
    <w:p w:rsidR="002455EF" w:rsidRDefault="002455EF" w:rsidP="006E54C3">
      <w:pPr>
        <w:spacing w:line="480" w:lineRule="auto"/>
        <w:ind w:left="0" w:firstLine="0"/>
        <w:jc w:val="left"/>
        <w:rPr>
          <w:rFonts w:ascii="Times New Roman" w:hAnsi="Times New Roman"/>
          <w:sz w:val="24"/>
        </w:rPr>
      </w:pPr>
      <w:r>
        <w:rPr>
          <w:rFonts w:ascii="Times New Roman" w:hAnsi="Times New Roman"/>
          <w:sz w:val="24"/>
        </w:rPr>
        <w:t xml:space="preserve">3.2 Persistence of </w:t>
      </w:r>
      <w:r>
        <w:rPr>
          <w:rFonts w:asciiTheme="majorBidi" w:hAnsiTheme="majorBidi" w:cstheme="majorBidi"/>
          <w:bCs/>
          <w:sz w:val="24"/>
        </w:rPr>
        <w:t>pharmaceuticals</w:t>
      </w:r>
    </w:p>
    <w:p w:rsidR="002455EF" w:rsidRPr="00B86AAF" w:rsidRDefault="002455EF" w:rsidP="00854D83">
      <w:pPr>
        <w:spacing w:line="480" w:lineRule="auto"/>
        <w:ind w:left="0" w:firstLine="720"/>
        <w:jc w:val="left"/>
        <w:rPr>
          <w:rFonts w:ascii="Times New Roman" w:hAnsi="Times New Roman"/>
          <w:sz w:val="24"/>
        </w:rPr>
      </w:pPr>
      <w:r w:rsidRPr="00B86AAF">
        <w:rPr>
          <w:rFonts w:ascii="Times New Roman" w:hAnsi="Times New Roman"/>
          <w:sz w:val="24"/>
        </w:rPr>
        <w:t>Between days 0 and 21, the concentration of levamisole decreased from 33.2 μmol L</w:t>
      </w:r>
      <w:r w:rsidRPr="00B86AAF">
        <w:rPr>
          <w:rFonts w:ascii="Times New Roman" w:hAnsi="Times New Roman"/>
          <w:sz w:val="24"/>
          <w:vertAlign w:val="superscript"/>
        </w:rPr>
        <w:t>-1</w:t>
      </w:r>
      <w:r w:rsidRPr="00B86AAF">
        <w:rPr>
          <w:rFonts w:ascii="Times New Roman" w:hAnsi="Times New Roman"/>
          <w:sz w:val="24"/>
        </w:rPr>
        <w:t xml:space="preserve"> to 26.9 μmol L</w:t>
      </w:r>
      <w:r w:rsidRPr="00B86AAF">
        <w:rPr>
          <w:rFonts w:ascii="Times New Roman" w:hAnsi="Times New Roman"/>
          <w:sz w:val="24"/>
          <w:vertAlign w:val="superscript"/>
        </w:rPr>
        <w:t>-1</w:t>
      </w:r>
      <w:r w:rsidRPr="00B86AAF">
        <w:rPr>
          <w:rFonts w:ascii="Times New Roman" w:hAnsi="Times New Roman"/>
          <w:sz w:val="24"/>
        </w:rPr>
        <w:t xml:space="preserve"> (19 %</w:t>
      </w:r>
      <w:r>
        <w:rPr>
          <w:rFonts w:ascii="Times New Roman" w:hAnsi="Times New Roman"/>
          <w:sz w:val="24"/>
        </w:rPr>
        <w:t xml:space="preserve"> removal</w:t>
      </w:r>
      <w:r w:rsidRPr="00B86AAF">
        <w:rPr>
          <w:rFonts w:ascii="Times New Roman" w:hAnsi="Times New Roman"/>
          <w:sz w:val="24"/>
        </w:rPr>
        <w:t>) in the biotic incubation (Fig. 1; t-test, p &lt; 0.001, n = 10), and to 28.6 μmol L</w:t>
      </w:r>
      <w:r w:rsidRPr="00B86AAF">
        <w:rPr>
          <w:rFonts w:ascii="Times New Roman" w:hAnsi="Times New Roman"/>
          <w:sz w:val="24"/>
          <w:vertAlign w:val="superscript"/>
        </w:rPr>
        <w:t>-1</w:t>
      </w:r>
      <w:r w:rsidRPr="00B86AAF">
        <w:rPr>
          <w:rFonts w:ascii="Times New Roman" w:hAnsi="Times New Roman"/>
          <w:sz w:val="24"/>
        </w:rPr>
        <w:t xml:space="preserve"> (13 %</w:t>
      </w:r>
      <w:r>
        <w:rPr>
          <w:rFonts w:ascii="Times New Roman" w:hAnsi="Times New Roman"/>
          <w:sz w:val="24"/>
        </w:rPr>
        <w:t xml:space="preserve"> removal</w:t>
      </w:r>
      <w:r w:rsidRPr="00B86AAF">
        <w:rPr>
          <w:rFonts w:ascii="Times New Roman" w:hAnsi="Times New Roman"/>
          <w:sz w:val="24"/>
        </w:rPr>
        <w:t xml:space="preserve">) in the biotic incubation </w:t>
      </w:r>
      <w:r>
        <w:rPr>
          <w:rFonts w:ascii="Times New Roman" w:hAnsi="Times New Roman"/>
          <w:sz w:val="24"/>
        </w:rPr>
        <w:t xml:space="preserve">with added </w:t>
      </w:r>
      <w:r w:rsidRPr="00B86AAF">
        <w:rPr>
          <w:rFonts w:ascii="Times New Roman" w:hAnsi="Times New Roman"/>
          <w:sz w:val="24"/>
        </w:rPr>
        <w:t>peptide (Fig. 1a; t-test, p = 0.002, n = 10). While solid - solution partition coefficient</w:t>
      </w:r>
      <w:r>
        <w:rPr>
          <w:rFonts w:ascii="Times New Roman" w:hAnsi="Times New Roman"/>
          <w:sz w:val="24"/>
        </w:rPr>
        <w:t>s</w:t>
      </w:r>
      <w:r w:rsidRPr="00B86AAF">
        <w:rPr>
          <w:rFonts w:ascii="Times New Roman" w:hAnsi="Times New Roman"/>
          <w:sz w:val="24"/>
        </w:rPr>
        <w:t xml:space="preserve"> (K</w:t>
      </w:r>
      <w:r w:rsidRPr="00B86AAF">
        <w:rPr>
          <w:rFonts w:ascii="Times New Roman" w:hAnsi="Times New Roman"/>
          <w:sz w:val="24"/>
          <w:vertAlign w:val="subscript"/>
        </w:rPr>
        <w:t>d</w:t>
      </w:r>
      <w:r w:rsidRPr="00B86AAF">
        <w:rPr>
          <w:rFonts w:ascii="Times New Roman" w:hAnsi="Times New Roman"/>
          <w:sz w:val="24"/>
        </w:rPr>
        <w:t xml:space="preserve">) are not available for levamisole, </w:t>
      </w:r>
      <w:r>
        <w:rPr>
          <w:rFonts w:ascii="Times New Roman" w:hAnsi="Times New Roman"/>
          <w:sz w:val="24"/>
        </w:rPr>
        <w:t>K</w:t>
      </w:r>
      <w:r w:rsidRPr="00E75900">
        <w:rPr>
          <w:rFonts w:ascii="Times New Roman" w:hAnsi="Times New Roman"/>
          <w:sz w:val="24"/>
          <w:vertAlign w:val="subscript"/>
        </w:rPr>
        <w:t>d</w:t>
      </w:r>
      <w:r>
        <w:rPr>
          <w:rFonts w:ascii="Times New Roman" w:hAnsi="Times New Roman"/>
          <w:sz w:val="24"/>
        </w:rPr>
        <w:t>s</w:t>
      </w:r>
      <w:r w:rsidRPr="00B86AAF">
        <w:rPr>
          <w:rFonts w:ascii="Times New Roman" w:hAnsi="Times New Roman"/>
          <w:sz w:val="24"/>
        </w:rPr>
        <w:t xml:space="preserve"> for ionisable </w:t>
      </w:r>
      <w:r>
        <w:rPr>
          <w:rFonts w:asciiTheme="majorBidi" w:hAnsiTheme="majorBidi" w:cstheme="majorBidi"/>
          <w:bCs/>
          <w:sz w:val="24"/>
        </w:rPr>
        <w:t>pharmaceuticals</w:t>
      </w:r>
      <w:r w:rsidRPr="00B86AAF">
        <w:rPr>
          <w:rFonts w:ascii="Times New Roman" w:hAnsi="Times New Roman"/>
          <w:sz w:val="24"/>
        </w:rPr>
        <w:t xml:space="preserve"> are generally relatively low. </w:t>
      </w:r>
      <w:r>
        <w:rPr>
          <w:rFonts w:ascii="Times New Roman" w:hAnsi="Times New Roman"/>
          <w:sz w:val="24"/>
        </w:rPr>
        <w:t>T</w:t>
      </w:r>
      <w:r w:rsidRPr="00B86AAF">
        <w:rPr>
          <w:rFonts w:ascii="Times New Roman" w:hAnsi="Times New Roman"/>
          <w:sz w:val="24"/>
        </w:rPr>
        <w:t xml:space="preserve">he </w:t>
      </w:r>
      <w:r>
        <w:rPr>
          <w:rFonts w:ascii="Times New Roman" w:hAnsi="Times New Roman"/>
          <w:sz w:val="24"/>
        </w:rPr>
        <w:t xml:space="preserve">measured </w:t>
      </w:r>
      <w:r w:rsidRPr="00B86AAF">
        <w:rPr>
          <w:rFonts w:ascii="Times New Roman" w:hAnsi="Times New Roman"/>
          <w:sz w:val="24"/>
        </w:rPr>
        <w:t xml:space="preserve">decreases in dissolved </w:t>
      </w:r>
      <w:r>
        <w:rPr>
          <w:rFonts w:ascii="Times New Roman" w:hAnsi="Times New Roman"/>
          <w:sz w:val="24"/>
        </w:rPr>
        <w:t xml:space="preserve">levamisole </w:t>
      </w:r>
      <w:r w:rsidRPr="00B86AAF">
        <w:rPr>
          <w:rFonts w:ascii="Times New Roman" w:hAnsi="Times New Roman"/>
          <w:sz w:val="24"/>
        </w:rPr>
        <w:t xml:space="preserve">concentrations were almost certainly due to uptake into the </w:t>
      </w:r>
      <w:r w:rsidRPr="00B86AAF">
        <w:rPr>
          <w:rFonts w:ascii="Times New Roman" w:hAnsi="Times New Roman"/>
          <w:sz w:val="24"/>
        </w:rPr>
        <w:lastRenderedPageBreak/>
        <w:t>bacterio-plankton, rather than simple sorption to cell surface components</w:t>
      </w:r>
      <w:r>
        <w:rPr>
          <w:rFonts w:ascii="Times New Roman" w:hAnsi="Times New Roman"/>
          <w:sz w:val="24"/>
        </w:rPr>
        <w:t xml:space="preserve"> as the </w:t>
      </w:r>
      <w:r w:rsidRPr="00B86AAF">
        <w:rPr>
          <w:rFonts w:ascii="Times New Roman" w:hAnsi="Times New Roman"/>
          <w:sz w:val="24"/>
        </w:rPr>
        <w:t xml:space="preserve">suspended solids </w:t>
      </w:r>
      <w:r>
        <w:rPr>
          <w:rFonts w:ascii="Times New Roman" w:hAnsi="Times New Roman"/>
          <w:sz w:val="24"/>
        </w:rPr>
        <w:t>concentration was lower than</w:t>
      </w:r>
      <w:r w:rsidRPr="00B86AAF">
        <w:rPr>
          <w:rFonts w:ascii="Times New Roman" w:hAnsi="Times New Roman"/>
          <w:sz w:val="24"/>
        </w:rPr>
        <w:t xml:space="preserve"> 1 mg L</w:t>
      </w:r>
      <w:r w:rsidRPr="009E755D">
        <w:rPr>
          <w:rFonts w:ascii="Times New Roman" w:hAnsi="Times New Roman"/>
          <w:sz w:val="24"/>
          <w:vertAlign w:val="superscript"/>
        </w:rPr>
        <w:t>-1</w:t>
      </w:r>
      <w:r>
        <w:rPr>
          <w:rFonts w:ascii="Times New Roman" w:hAnsi="Times New Roman"/>
          <w:sz w:val="24"/>
        </w:rPr>
        <w:t xml:space="preserve"> </w:t>
      </w:r>
      <w:r w:rsidRPr="009E755D">
        <w:rPr>
          <w:rFonts w:ascii="Times New Roman" w:hAnsi="Times New Roman"/>
          <w:sz w:val="24"/>
        </w:rPr>
        <w:t>in</w:t>
      </w:r>
      <w:r w:rsidRPr="00B86AAF">
        <w:rPr>
          <w:rFonts w:ascii="Times New Roman" w:hAnsi="Times New Roman"/>
          <w:sz w:val="24"/>
        </w:rPr>
        <w:t xml:space="preserve"> the incubations. A DGGE fingerprinting of the amplified 16S rRNA marker genes of the bacterio-plankton communities </w:t>
      </w:r>
      <w:r>
        <w:rPr>
          <w:rFonts w:ascii="Times New Roman" w:hAnsi="Times New Roman"/>
          <w:sz w:val="24"/>
        </w:rPr>
        <w:t xml:space="preserve">incubated with and without </w:t>
      </w:r>
      <w:r w:rsidRPr="00B86AAF">
        <w:rPr>
          <w:rFonts w:ascii="Times New Roman" w:hAnsi="Times New Roman"/>
          <w:sz w:val="24"/>
        </w:rPr>
        <w:t>levamisole</w:t>
      </w:r>
      <w:r>
        <w:rPr>
          <w:rFonts w:ascii="Times New Roman" w:hAnsi="Times New Roman"/>
          <w:sz w:val="24"/>
        </w:rPr>
        <w:t>,</w:t>
      </w:r>
      <w:r w:rsidRPr="00B86AAF">
        <w:rPr>
          <w:rFonts w:ascii="Times New Roman" w:hAnsi="Times New Roman"/>
          <w:sz w:val="24"/>
        </w:rPr>
        <w:t xml:space="preserve"> showed that species composition (genotype) profiles were similar under all incubation conditions. In contrast to levamisole, the concentrations of quinine, chloroquine and fluphenazine </w:t>
      </w:r>
      <w:r>
        <w:rPr>
          <w:rFonts w:ascii="Times New Roman" w:hAnsi="Times New Roman"/>
          <w:sz w:val="24"/>
        </w:rPr>
        <w:t xml:space="preserve">remained constant </w:t>
      </w:r>
      <w:r w:rsidRPr="00B86AAF">
        <w:rPr>
          <w:rFonts w:ascii="Times New Roman" w:hAnsi="Times New Roman"/>
          <w:sz w:val="24"/>
        </w:rPr>
        <w:t xml:space="preserve">in the microcosms over the 21 day period (Fig. 2), indicating that these </w:t>
      </w:r>
      <w:r>
        <w:rPr>
          <w:rFonts w:asciiTheme="majorBidi" w:hAnsiTheme="majorBidi" w:cstheme="majorBidi"/>
          <w:bCs/>
          <w:sz w:val="24"/>
        </w:rPr>
        <w:t>pharmaceuticals</w:t>
      </w:r>
      <w:r w:rsidRPr="00B86AAF">
        <w:rPr>
          <w:rFonts w:ascii="Times New Roman" w:hAnsi="Times New Roman"/>
          <w:sz w:val="24"/>
        </w:rPr>
        <w:t xml:space="preserve"> </w:t>
      </w:r>
      <w:r>
        <w:rPr>
          <w:rFonts w:ascii="Times New Roman" w:hAnsi="Times New Roman"/>
          <w:sz w:val="24"/>
        </w:rPr>
        <w:t>were persistent</w:t>
      </w:r>
      <w:r w:rsidRPr="00B86AAF">
        <w:rPr>
          <w:rFonts w:ascii="Times New Roman" w:hAnsi="Times New Roman"/>
          <w:sz w:val="24"/>
        </w:rPr>
        <w:t>.</w:t>
      </w:r>
    </w:p>
    <w:p w:rsidR="002455EF" w:rsidRPr="00B86AAF" w:rsidRDefault="002455EF" w:rsidP="006E54C3">
      <w:pPr>
        <w:spacing w:line="480" w:lineRule="auto"/>
        <w:ind w:left="0" w:firstLine="720"/>
        <w:jc w:val="left"/>
        <w:rPr>
          <w:rFonts w:ascii="Times New Roman" w:hAnsi="Times New Roman"/>
          <w:sz w:val="24"/>
        </w:rPr>
      </w:pPr>
      <w:r>
        <w:rPr>
          <w:rFonts w:ascii="Times New Roman" w:hAnsi="Times New Roman"/>
          <w:sz w:val="24"/>
        </w:rPr>
        <w:t>Passive</w:t>
      </w:r>
      <w:r w:rsidRPr="00B86AAF">
        <w:rPr>
          <w:rFonts w:ascii="Times New Roman" w:hAnsi="Times New Roman"/>
          <w:sz w:val="24"/>
        </w:rPr>
        <w:t xml:space="preserve"> uptake of low molecular mass (</w:t>
      </w:r>
      <w:r>
        <w:rPr>
          <w:rFonts w:ascii="Times New Roman" w:hAnsi="Times New Roman"/>
          <w:sz w:val="24"/>
        </w:rPr>
        <w:t>lower than</w:t>
      </w:r>
      <w:r w:rsidRPr="00B86AAF">
        <w:rPr>
          <w:rFonts w:ascii="Times New Roman" w:hAnsi="Times New Roman"/>
          <w:sz w:val="24"/>
        </w:rPr>
        <w:t xml:space="preserve"> 500) compounds into prokaryotic Gram negative and positive bacterio-plankton is more likely to occur with hydrophilic moieties, as the outer cell walls of these bacterio-plankton are hydrophilic </w:t>
      </w:r>
      <w:r>
        <w:rPr>
          <w:rFonts w:ascii="Times New Roman" w:hAnsi="Times New Roman"/>
          <w:noProof/>
          <w:sz w:val="24"/>
        </w:rPr>
        <w:t>(Hancock &amp; Bell 1988; Nikaido &amp; Vaara 1985)</w:t>
      </w:r>
      <w:r w:rsidRPr="00B86AAF">
        <w:rPr>
          <w:rFonts w:ascii="Times New Roman" w:hAnsi="Times New Roman"/>
          <w:sz w:val="24"/>
        </w:rPr>
        <w:t>. They also have a net negative charge which, in principle, should favour the electrostatic sorption of positively</w:t>
      </w:r>
      <w:r>
        <w:rPr>
          <w:rFonts w:ascii="Times New Roman" w:hAnsi="Times New Roman"/>
          <w:sz w:val="24"/>
        </w:rPr>
        <w:t>-</w:t>
      </w:r>
      <w:r w:rsidRPr="00B86AAF">
        <w:rPr>
          <w:rFonts w:ascii="Times New Roman" w:hAnsi="Times New Roman"/>
          <w:sz w:val="24"/>
        </w:rPr>
        <w:t xml:space="preserve">charged compounds. The octanol-water </w:t>
      </w:r>
      <w:r>
        <w:rPr>
          <w:rFonts w:ascii="Times New Roman" w:hAnsi="Times New Roman"/>
          <w:sz w:val="24"/>
        </w:rPr>
        <w:t>solubility</w:t>
      </w:r>
      <w:r w:rsidRPr="00B86AAF">
        <w:rPr>
          <w:rFonts w:ascii="Times New Roman" w:hAnsi="Times New Roman"/>
          <w:sz w:val="24"/>
        </w:rPr>
        <w:t xml:space="preserve"> coefficients (</w:t>
      </w:r>
      <w:r>
        <w:rPr>
          <w:rFonts w:ascii="Times New Roman" w:hAnsi="Times New Roman"/>
          <w:sz w:val="24"/>
        </w:rPr>
        <w:t xml:space="preserve">log </w:t>
      </w:r>
      <w:r w:rsidRPr="00B86AAF">
        <w:rPr>
          <w:rFonts w:ascii="Times New Roman" w:hAnsi="Times New Roman"/>
          <w:sz w:val="24"/>
        </w:rPr>
        <w:t>K</w:t>
      </w:r>
      <w:r w:rsidRPr="00B86AAF">
        <w:rPr>
          <w:rFonts w:ascii="Times New Roman" w:hAnsi="Times New Roman"/>
          <w:sz w:val="24"/>
          <w:vertAlign w:val="subscript"/>
        </w:rPr>
        <w:t>ow</w:t>
      </w:r>
      <w:r w:rsidRPr="00B86AAF">
        <w:rPr>
          <w:rFonts w:ascii="Times New Roman" w:hAnsi="Times New Roman"/>
          <w:sz w:val="24"/>
        </w:rPr>
        <w:t xml:space="preserve">) of the </w:t>
      </w:r>
      <w:r>
        <w:rPr>
          <w:rFonts w:asciiTheme="majorBidi" w:hAnsiTheme="majorBidi" w:cstheme="majorBidi"/>
          <w:bCs/>
          <w:sz w:val="24"/>
        </w:rPr>
        <w:t>pharmaceuticals</w:t>
      </w:r>
      <w:r w:rsidRPr="00B86AAF">
        <w:rPr>
          <w:rFonts w:ascii="Times New Roman" w:hAnsi="Times New Roman"/>
          <w:sz w:val="24"/>
        </w:rPr>
        <w:t xml:space="preserve"> in this study indicate that levamisole </w:t>
      </w:r>
      <w:r>
        <w:rPr>
          <w:rFonts w:ascii="Times New Roman" w:hAnsi="Times New Roman"/>
          <w:sz w:val="24"/>
        </w:rPr>
        <w:t>wa</w:t>
      </w:r>
      <w:r w:rsidRPr="00B86AAF">
        <w:rPr>
          <w:rFonts w:ascii="Times New Roman" w:hAnsi="Times New Roman"/>
          <w:sz w:val="24"/>
        </w:rPr>
        <w:t>s the most hydrophilic (Table 2). Their acid dissociation constants (pK</w:t>
      </w:r>
      <w:r w:rsidRPr="00B86AAF">
        <w:rPr>
          <w:rFonts w:ascii="Times New Roman" w:hAnsi="Times New Roman"/>
          <w:sz w:val="24"/>
          <w:vertAlign w:val="subscript"/>
        </w:rPr>
        <w:t>a</w:t>
      </w:r>
      <w:r w:rsidRPr="00B86AAF">
        <w:rPr>
          <w:rFonts w:ascii="Times New Roman" w:hAnsi="Times New Roman"/>
          <w:sz w:val="24"/>
        </w:rPr>
        <w:t>), on the other hand, indicate that fluphenazine, chloroquine and quinine would be extensively positively ionised at pH 7.4, the mean pH of Tamar river water (Table 2), potentially promoting sorption to the cells by electrostatic attraction</w:t>
      </w:r>
      <w:r>
        <w:rPr>
          <w:rFonts w:ascii="Times New Roman" w:hAnsi="Times New Roman"/>
          <w:sz w:val="24"/>
        </w:rPr>
        <w:t>,</w:t>
      </w:r>
      <w:r w:rsidRPr="00B86AAF">
        <w:rPr>
          <w:rFonts w:ascii="Times New Roman" w:hAnsi="Times New Roman"/>
          <w:sz w:val="24"/>
        </w:rPr>
        <w:t xml:space="preserve"> </w:t>
      </w:r>
      <w:r>
        <w:rPr>
          <w:rFonts w:ascii="Times New Roman" w:hAnsi="Times New Roman"/>
          <w:sz w:val="24"/>
        </w:rPr>
        <w:t xml:space="preserve">while </w:t>
      </w:r>
      <w:r w:rsidRPr="00B86AAF">
        <w:rPr>
          <w:rFonts w:ascii="Times New Roman" w:hAnsi="Times New Roman"/>
          <w:sz w:val="24"/>
        </w:rPr>
        <w:t xml:space="preserve">increasing their inherent water solubility </w:t>
      </w:r>
      <w:r>
        <w:rPr>
          <w:rFonts w:ascii="Times New Roman" w:hAnsi="Times New Roman"/>
          <w:noProof/>
          <w:sz w:val="24"/>
        </w:rPr>
        <w:t>(Gulde et al. 2014; Rendal et al. 2011a)</w:t>
      </w:r>
      <w:r w:rsidRPr="00467317">
        <w:rPr>
          <w:rFonts w:ascii="Times New Roman" w:hAnsi="Times New Roman"/>
          <w:sz w:val="24"/>
        </w:rPr>
        <w:t xml:space="preserve">. </w:t>
      </w:r>
      <w:r w:rsidRPr="00B86AAF">
        <w:rPr>
          <w:rFonts w:ascii="Times New Roman" w:hAnsi="Times New Roman"/>
          <w:sz w:val="24"/>
        </w:rPr>
        <w:t>These physico-chemical characteristics can be combined to yield a net hydrophilicity, the octanol-water distribution coefficient</w:t>
      </w:r>
      <w:r>
        <w:rPr>
          <w:rFonts w:ascii="Times New Roman" w:hAnsi="Times New Roman"/>
          <w:sz w:val="24"/>
        </w:rPr>
        <w:t xml:space="preserve"> (log) D</w:t>
      </w:r>
      <w:r w:rsidRPr="00B86AAF">
        <w:rPr>
          <w:rFonts w:ascii="Times New Roman" w:hAnsi="Times New Roman"/>
          <w:sz w:val="24"/>
          <w:vertAlign w:val="subscript"/>
        </w:rPr>
        <w:t>ow</w:t>
      </w:r>
      <w:r w:rsidRPr="00926577">
        <w:rPr>
          <w:rFonts w:ascii="Times New Roman" w:hAnsi="Times New Roman"/>
          <w:sz w:val="24"/>
        </w:rPr>
        <w:t xml:space="preserve">, which may better explain any observed loss of </w:t>
      </w:r>
      <w:r>
        <w:rPr>
          <w:rFonts w:asciiTheme="majorBidi" w:hAnsiTheme="majorBidi" w:cstheme="majorBidi"/>
          <w:bCs/>
          <w:sz w:val="24"/>
        </w:rPr>
        <w:t>pharmaceutical</w:t>
      </w:r>
      <w:r w:rsidRPr="00926577">
        <w:rPr>
          <w:rFonts w:ascii="Times New Roman" w:hAnsi="Times New Roman"/>
          <w:sz w:val="24"/>
        </w:rPr>
        <w:t xml:space="preserve"> from solution </w:t>
      </w:r>
      <w:hyperlink w:anchor="_ENREF_41" w:tooltip="Manallack, 2013 #1437" w:history="1">
        <w:r w:rsidRPr="00926577">
          <w:rPr>
            <w:rFonts w:ascii="Times New Roman" w:hAnsi="Times New Roman"/>
            <w:sz w:val="24"/>
          </w:rPr>
          <w:t>(Manallack et al. 201</w:t>
        </w:r>
      </w:hyperlink>
      <w:r w:rsidRPr="00926577">
        <w:rPr>
          <w:rFonts w:ascii="Times New Roman" w:hAnsi="Times New Roman"/>
          <w:sz w:val="24"/>
        </w:rPr>
        <w:t>3;</w:t>
      </w:r>
      <w:hyperlink w:anchor="_ENREF_61" w:tooltip="Warhurst, 2003 #1436" w:history="1">
        <w:r w:rsidRPr="00926577">
          <w:rPr>
            <w:rFonts w:ascii="Times New Roman" w:hAnsi="Times New Roman"/>
            <w:sz w:val="24"/>
          </w:rPr>
          <w:t xml:space="preserve"> Warhurst et al. 200</w:t>
        </w:r>
      </w:hyperlink>
      <w:r w:rsidRPr="00926577">
        <w:rPr>
          <w:rFonts w:ascii="Times New Roman" w:hAnsi="Times New Roman"/>
          <w:sz w:val="24"/>
        </w:rPr>
        <w:t xml:space="preserve">3). </w:t>
      </w:r>
      <w:r w:rsidRPr="00B86AAF">
        <w:rPr>
          <w:rFonts w:ascii="Times New Roman" w:hAnsi="Times New Roman"/>
          <w:sz w:val="24"/>
        </w:rPr>
        <w:t>For a monoprotic base (e.g. levamisole), the net hydrophilicity can be calculated from equation 2:</w:t>
      </w:r>
    </w:p>
    <w:p w:rsidR="002455EF" w:rsidRPr="00B86AAF" w:rsidRDefault="002455EF" w:rsidP="00B86AAF">
      <w:pPr>
        <w:spacing w:line="480" w:lineRule="auto"/>
        <w:ind w:left="0" w:firstLine="0"/>
        <w:rPr>
          <w:rFonts w:ascii="Times New Roman" w:hAnsi="Times New Roman"/>
          <w:sz w:val="24"/>
        </w:rPr>
      </w:pPr>
      <w:r w:rsidRPr="00B86AAF">
        <w:rPr>
          <w:rFonts w:ascii="Times New Roman" w:hAnsi="Times New Roman"/>
          <w:sz w:val="24"/>
        </w:rPr>
        <w:t>log D</w:t>
      </w:r>
      <w:r w:rsidRPr="00B86AAF">
        <w:rPr>
          <w:rFonts w:ascii="Times New Roman" w:hAnsi="Times New Roman"/>
          <w:sz w:val="24"/>
          <w:vertAlign w:val="subscript"/>
        </w:rPr>
        <w:t>ow</w:t>
      </w:r>
      <w:r w:rsidRPr="00B86AAF">
        <w:rPr>
          <w:rFonts w:ascii="Times New Roman" w:hAnsi="Times New Roman"/>
          <w:sz w:val="24"/>
        </w:rPr>
        <w:t xml:space="preserve"> = log K</w:t>
      </w:r>
      <w:r w:rsidRPr="00B86AAF">
        <w:rPr>
          <w:rFonts w:ascii="Times New Roman" w:hAnsi="Times New Roman"/>
          <w:sz w:val="24"/>
          <w:vertAlign w:val="subscript"/>
        </w:rPr>
        <w:t>ow</w:t>
      </w:r>
      <w:r w:rsidRPr="00B86AAF">
        <w:rPr>
          <w:rFonts w:ascii="Times New Roman" w:hAnsi="Times New Roman"/>
          <w:sz w:val="24"/>
        </w:rPr>
        <w:t xml:space="preserve"> – log [1 + 10</w:t>
      </w:r>
      <w:r w:rsidRPr="00B86AAF">
        <w:rPr>
          <w:rFonts w:ascii="Times New Roman" w:hAnsi="Times New Roman"/>
          <w:sz w:val="24"/>
          <w:vertAlign w:val="superscript"/>
        </w:rPr>
        <w:t>(pK</w:t>
      </w:r>
      <w:r w:rsidRPr="00154ABB">
        <w:rPr>
          <w:rFonts w:ascii="Times New Roman" w:hAnsi="Times New Roman"/>
          <w:sz w:val="24"/>
          <w:vertAlign w:val="subscript"/>
        </w:rPr>
        <w:t>a</w:t>
      </w:r>
      <w:r w:rsidRPr="00B86AAF">
        <w:rPr>
          <w:rFonts w:ascii="Times New Roman" w:hAnsi="Times New Roman"/>
          <w:sz w:val="24"/>
          <w:vertAlign w:val="subscript"/>
        </w:rPr>
        <w:t xml:space="preserve"> </w:t>
      </w:r>
      <w:r w:rsidRPr="00B86AAF">
        <w:rPr>
          <w:rFonts w:ascii="Times New Roman" w:hAnsi="Times New Roman"/>
          <w:sz w:val="24"/>
          <w:vertAlign w:val="superscript"/>
        </w:rPr>
        <w:t>– pH)</w:t>
      </w:r>
      <w:r w:rsidRPr="00B86AAF">
        <w:rPr>
          <w:rFonts w:ascii="Times New Roman" w:hAnsi="Times New Roman"/>
          <w:sz w:val="24"/>
        </w:rPr>
        <w:t>]                                                         equation 2</w:t>
      </w:r>
    </w:p>
    <w:p w:rsidR="002455EF" w:rsidRPr="00B86AAF" w:rsidRDefault="002455EF" w:rsidP="00B86AAF">
      <w:pPr>
        <w:spacing w:line="480" w:lineRule="auto"/>
        <w:ind w:left="0" w:firstLine="0"/>
        <w:rPr>
          <w:rFonts w:ascii="Times New Roman" w:hAnsi="Times New Roman"/>
          <w:sz w:val="24"/>
        </w:rPr>
      </w:pPr>
      <w:r w:rsidRPr="00B86AAF">
        <w:rPr>
          <w:rFonts w:ascii="Times New Roman" w:hAnsi="Times New Roman"/>
          <w:sz w:val="24"/>
        </w:rPr>
        <w:t xml:space="preserve">For a diprotic, basic </w:t>
      </w:r>
      <w:r>
        <w:rPr>
          <w:rFonts w:asciiTheme="majorBidi" w:hAnsiTheme="majorBidi" w:cstheme="majorBidi"/>
          <w:bCs/>
          <w:sz w:val="24"/>
        </w:rPr>
        <w:t>pharmaceutical</w:t>
      </w:r>
      <w:r w:rsidRPr="00B86AAF">
        <w:rPr>
          <w:rFonts w:ascii="Times New Roman" w:hAnsi="Times New Roman"/>
          <w:sz w:val="24"/>
        </w:rPr>
        <w:t xml:space="preserve"> (e.g. quinine, chloroquine and fluphenazine), equation 3 is used, where pK</w:t>
      </w:r>
      <w:r w:rsidRPr="00B86AAF">
        <w:rPr>
          <w:rFonts w:ascii="Times New Roman" w:hAnsi="Times New Roman"/>
          <w:sz w:val="24"/>
          <w:vertAlign w:val="subscript"/>
        </w:rPr>
        <w:t>a1</w:t>
      </w:r>
      <w:r w:rsidRPr="00B86AAF">
        <w:rPr>
          <w:rFonts w:ascii="Times New Roman" w:hAnsi="Times New Roman"/>
          <w:sz w:val="24"/>
        </w:rPr>
        <w:t xml:space="preserve"> &gt; pK</w:t>
      </w:r>
      <w:r w:rsidRPr="00B86AAF">
        <w:rPr>
          <w:rFonts w:ascii="Times New Roman" w:hAnsi="Times New Roman"/>
          <w:sz w:val="24"/>
          <w:vertAlign w:val="subscript"/>
        </w:rPr>
        <w:t>a2</w:t>
      </w:r>
      <w:r w:rsidRPr="00B86AAF">
        <w:rPr>
          <w:rFonts w:ascii="Times New Roman" w:hAnsi="Times New Roman"/>
          <w:sz w:val="24"/>
        </w:rPr>
        <w:t>:</w:t>
      </w:r>
    </w:p>
    <w:p w:rsidR="002455EF" w:rsidRPr="00B86AAF" w:rsidRDefault="002455EF" w:rsidP="00B86AAF">
      <w:pPr>
        <w:spacing w:line="480" w:lineRule="auto"/>
        <w:ind w:left="0" w:firstLine="0"/>
        <w:rPr>
          <w:rFonts w:ascii="Times New Roman" w:hAnsi="Times New Roman"/>
          <w:sz w:val="24"/>
        </w:rPr>
      </w:pPr>
      <w:r w:rsidRPr="00B86AAF">
        <w:rPr>
          <w:rFonts w:ascii="Times New Roman" w:hAnsi="Times New Roman"/>
          <w:sz w:val="24"/>
        </w:rPr>
        <w:lastRenderedPageBreak/>
        <w:t>log D</w:t>
      </w:r>
      <w:r w:rsidRPr="00B86AAF">
        <w:rPr>
          <w:rFonts w:ascii="Times New Roman" w:hAnsi="Times New Roman"/>
          <w:sz w:val="24"/>
          <w:vertAlign w:val="subscript"/>
        </w:rPr>
        <w:t>ow</w:t>
      </w:r>
      <w:r w:rsidRPr="00B86AAF">
        <w:rPr>
          <w:rFonts w:ascii="Times New Roman" w:hAnsi="Times New Roman"/>
          <w:sz w:val="24"/>
        </w:rPr>
        <w:t xml:space="preserve"> = log K</w:t>
      </w:r>
      <w:r w:rsidRPr="00B86AAF">
        <w:rPr>
          <w:rFonts w:ascii="Times New Roman" w:hAnsi="Times New Roman"/>
          <w:sz w:val="24"/>
          <w:vertAlign w:val="subscript"/>
        </w:rPr>
        <w:t>ow</w:t>
      </w:r>
      <w:r w:rsidRPr="00B86AAF">
        <w:rPr>
          <w:rFonts w:ascii="Times New Roman" w:hAnsi="Times New Roman"/>
          <w:sz w:val="24"/>
        </w:rPr>
        <w:t xml:space="preserve"> – log [1 + 10</w:t>
      </w:r>
      <w:r w:rsidRPr="00B86AAF">
        <w:rPr>
          <w:rFonts w:ascii="Times New Roman" w:hAnsi="Times New Roman"/>
          <w:sz w:val="24"/>
          <w:vertAlign w:val="superscript"/>
        </w:rPr>
        <w:t>(pK</w:t>
      </w:r>
      <w:r w:rsidRPr="00B86AAF">
        <w:rPr>
          <w:rFonts w:ascii="Times New Roman" w:hAnsi="Times New Roman"/>
          <w:sz w:val="24"/>
          <w:vertAlign w:val="subscript"/>
        </w:rPr>
        <w:t>a1</w:t>
      </w:r>
      <w:r w:rsidRPr="00B86AAF">
        <w:rPr>
          <w:rFonts w:ascii="Times New Roman" w:hAnsi="Times New Roman"/>
          <w:sz w:val="24"/>
          <w:vertAlign w:val="superscript"/>
        </w:rPr>
        <w:t>- pH)</w:t>
      </w:r>
      <w:r w:rsidRPr="00B86AAF">
        <w:rPr>
          <w:rFonts w:ascii="Times New Roman" w:hAnsi="Times New Roman"/>
          <w:sz w:val="24"/>
        </w:rPr>
        <w:t xml:space="preserve"> + 10</w:t>
      </w:r>
      <w:r w:rsidRPr="00B86AAF">
        <w:rPr>
          <w:rFonts w:ascii="Times New Roman" w:hAnsi="Times New Roman"/>
          <w:sz w:val="24"/>
          <w:vertAlign w:val="superscript"/>
        </w:rPr>
        <w:t>(pK</w:t>
      </w:r>
      <w:r w:rsidRPr="00B86AAF">
        <w:rPr>
          <w:rFonts w:ascii="Times New Roman" w:hAnsi="Times New Roman"/>
          <w:sz w:val="24"/>
          <w:vertAlign w:val="subscript"/>
        </w:rPr>
        <w:t>a1</w:t>
      </w:r>
      <w:r w:rsidRPr="00B86AAF">
        <w:rPr>
          <w:rFonts w:ascii="Times New Roman" w:hAnsi="Times New Roman"/>
          <w:sz w:val="24"/>
          <w:vertAlign w:val="superscript"/>
        </w:rPr>
        <w:t>+ pK</w:t>
      </w:r>
      <w:r w:rsidRPr="00B86AAF">
        <w:rPr>
          <w:rFonts w:ascii="Times New Roman" w:hAnsi="Times New Roman"/>
          <w:sz w:val="24"/>
          <w:vertAlign w:val="subscript"/>
        </w:rPr>
        <w:t xml:space="preserve">a2 </w:t>
      </w:r>
      <w:r w:rsidRPr="00B86AAF">
        <w:rPr>
          <w:rFonts w:ascii="Times New Roman" w:hAnsi="Times New Roman"/>
          <w:sz w:val="24"/>
          <w:vertAlign w:val="superscript"/>
        </w:rPr>
        <w:t>- 2pH)</w:t>
      </w:r>
      <w:r w:rsidRPr="00B86AAF">
        <w:rPr>
          <w:rFonts w:ascii="Times New Roman" w:hAnsi="Times New Roman"/>
          <w:sz w:val="24"/>
        </w:rPr>
        <w:t xml:space="preserve">]              </w:t>
      </w:r>
      <w:r>
        <w:rPr>
          <w:rFonts w:ascii="Times New Roman" w:hAnsi="Times New Roman"/>
          <w:sz w:val="24"/>
        </w:rPr>
        <w:t xml:space="preserve">  </w:t>
      </w:r>
      <w:r w:rsidRPr="00B86AAF">
        <w:rPr>
          <w:rFonts w:ascii="Times New Roman" w:hAnsi="Times New Roman"/>
          <w:sz w:val="24"/>
        </w:rPr>
        <w:t xml:space="preserve">           equation 3</w:t>
      </w:r>
    </w:p>
    <w:p w:rsidR="002455EF" w:rsidRDefault="002455EF" w:rsidP="00723080">
      <w:pPr>
        <w:spacing w:line="480" w:lineRule="auto"/>
        <w:ind w:left="0" w:firstLine="0"/>
        <w:jc w:val="left"/>
        <w:rPr>
          <w:rFonts w:ascii="Times New Roman" w:hAnsi="Times New Roman"/>
          <w:sz w:val="24"/>
        </w:rPr>
      </w:pPr>
      <w:r w:rsidRPr="00B86AAF">
        <w:rPr>
          <w:rFonts w:ascii="Times New Roman" w:hAnsi="Times New Roman"/>
          <w:sz w:val="24"/>
        </w:rPr>
        <w:t>The calculated log D</w:t>
      </w:r>
      <w:r w:rsidRPr="00B86AAF">
        <w:rPr>
          <w:rFonts w:ascii="Times New Roman" w:hAnsi="Times New Roman"/>
          <w:sz w:val="24"/>
          <w:vertAlign w:val="subscript"/>
        </w:rPr>
        <w:t>ow</w:t>
      </w:r>
      <w:r w:rsidRPr="00B86AAF">
        <w:rPr>
          <w:rFonts w:ascii="Times New Roman" w:hAnsi="Times New Roman"/>
          <w:sz w:val="24"/>
        </w:rPr>
        <w:t xml:space="preserve"> values at pH 7.4 are given in Table 2. In principle, the smaller the value, the more hydrophilic is the compound, and thus the easier for uptake into the cells of the bacterio-plankton present in the current study. The results of these calculations suggest that chloroquine is the most hydrophilic </w:t>
      </w:r>
      <w:r>
        <w:rPr>
          <w:rFonts w:asciiTheme="majorBidi" w:hAnsiTheme="majorBidi" w:cstheme="majorBidi"/>
          <w:bCs/>
          <w:sz w:val="24"/>
        </w:rPr>
        <w:t>pharmaceutical</w:t>
      </w:r>
      <w:r w:rsidRPr="00B86AAF">
        <w:rPr>
          <w:rFonts w:ascii="Times New Roman" w:hAnsi="Times New Roman"/>
          <w:sz w:val="24"/>
        </w:rPr>
        <w:t>, fluphenazine the least, and levamisole and quinine intermediate</w:t>
      </w:r>
      <w:r>
        <w:rPr>
          <w:rFonts w:ascii="Times New Roman" w:hAnsi="Times New Roman"/>
          <w:sz w:val="24"/>
        </w:rPr>
        <w:t>, but this did</w:t>
      </w:r>
      <w:r w:rsidRPr="00B86AAF">
        <w:rPr>
          <w:rFonts w:ascii="Times New Roman" w:hAnsi="Times New Roman"/>
          <w:sz w:val="24"/>
        </w:rPr>
        <w:t xml:space="preserve"> not </w:t>
      </w:r>
      <w:r>
        <w:rPr>
          <w:rFonts w:ascii="Times New Roman" w:hAnsi="Times New Roman"/>
          <w:sz w:val="24"/>
        </w:rPr>
        <w:t xml:space="preserve">correspond with </w:t>
      </w:r>
      <w:r w:rsidRPr="00B86AAF">
        <w:rPr>
          <w:rFonts w:ascii="Times New Roman" w:hAnsi="Times New Roman"/>
          <w:sz w:val="24"/>
        </w:rPr>
        <w:t xml:space="preserve">the </w:t>
      </w:r>
      <w:r>
        <w:rPr>
          <w:rFonts w:ascii="Times New Roman" w:hAnsi="Times New Roman"/>
          <w:sz w:val="24"/>
        </w:rPr>
        <w:t xml:space="preserve">measured </w:t>
      </w:r>
      <w:r w:rsidRPr="00B86AAF">
        <w:rPr>
          <w:rFonts w:ascii="Times New Roman" w:hAnsi="Times New Roman"/>
          <w:sz w:val="24"/>
        </w:rPr>
        <w:t xml:space="preserve">loss of </w:t>
      </w:r>
      <w:r>
        <w:rPr>
          <w:rFonts w:asciiTheme="majorBidi" w:hAnsiTheme="majorBidi" w:cstheme="majorBidi"/>
          <w:bCs/>
          <w:sz w:val="24"/>
        </w:rPr>
        <w:t>pharmaceutical</w:t>
      </w:r>
      <w:r w:rsidRPr="00B86AAF">
        <w:rPr>
          <w:rFonts w:ascii="Times New Roman" w:hAnsi="Times New Roman"/>
          <w:sz w:val="24"/>
        </w:rPr>
        <w:t xml:space="preserve"> from solution</w:t>
      </w:r>
      <w:r>
        <w:rPr>
          <w:rFonts w:ascii="Times New Roman" w:hAnsi="Times New Roman"/>
          <w:sz w:val="24"/>
        </w:rPr>
        <w:t xml:space="preserve"> in this study</w:t>
      </w:r>
      <w:r w:rsidRPr="00B86AAF">
        <w:rPr>
          <w:rFonts w:ascii="Times New Roman" w:hAnsi="Times New Roman"/>
          <w:sz w:val="24"/>
        </w:rPr>
        <w:t>. Similarly poor correlations between estimated log D</w:t>
      </w:r>
      <w:r w:rsidRPr="00B86AAF">
        <w:rPr>
          <w:rFonts w:ascii="Times New Roman" w:hAnsi="Times New Roman"/>
          <w:sz w:val="24"/>
          <w:vertAlign w:val="subscript"/>
        </w:rPr>
        <w:t>ow</w:t>
      </w:r>
      <w:r w:rsidRPr="00B86AAF">
        <w:rPr>
          <w:rFonts w:ascii="Times New Roman" w:hAnsi="Times New Roman"/>
          <w:sz w:val="24"/>
        </w:rPr>
        <w:t xml:space="preserve"> and the biotransformation of </w:t>
      </w:r>
      <w:r>
        <w:rPr>
          <w:rFonts w:ascii="Times New Roman" w:hAnsi="Times New Roman"/>
          <w:sz w:val="24"/>
        </w:rPr>
        <w:t xml:space="preserve">the </w:t>
      </w:r>
      <w:r w:rsidRPr="00B86AAF">
        <w:rPr>
          <w:rFonts w:ascii="Times New Roman" w:hAnsi="Times New Roman"/>
          <w:sz w:val="24"/>
        </w:rPr>
        <w:t xml:space="preserve">basic </w:t>
      </w:r>
      <w:r>
        <w:rPr>
          <w:rFonts w:asciiTheme="majorBidi" w:hAnsiTheme="majorBidi" w:cstheme="majorBidi"/>
          <w:bCs/>
          <w:sz w:val="24"/>
        </w:rPr>
        <w:t>pharmaceuticals</w:t>
      </w:r>
      <w:r w:rsidRPr="00B86AAF">
        <w:rPr>
          <w:rFonts w:ascii="Times New Roman" w:hAnsi="Times New Roman"/>
          <w:sz w:val="24"/>
        </w:rPr>
        <w:t xml:space="preserve"> atenolol, ifenprodil and propranolol in batch incubations with river water have been reported elsewhere </w:t>
      </w:r>
      <w:r w:rsidRPr="00E75900">
        <w:rPr>
          <w:rFonts w:ascii="Times New Roman" w:hAnsi="Times New Roman"/>
          <w:noProof/>
          <w:sz w:val="24"/>
        </w:rPr>
        <w:t>(Yamamoto et al. 2009)</w:t>
      </w:r>
      <w:r w:rsidRPr="00B86AAF">
        <w:rPr>
          <w:rFonts w:ascii="Times New Roman" w:hAnsi="Times New Roman"/>
          <w:sz w:val="24"/>
        </w:rPr>
        <w:t>. The lack of predictive power using D</w:t>
      </w:r>
      <w:r w:rsidRPr="00B86AAF">
        <w:rPr>
          <w:rFonts w:ascii="Times New Roman" w:hAnsi="Times New Roman"/>
          <w:sz w:val="24"/>
          <w:vertAlign w:val="subscript"/>
        </w:rPr>
        <w:t>ow</w:t>
      </w:r>
      <w:r w:rsidRPr="00B86AAF">
        <w:rPr>
          <w:rFonts w:ascii="Times New Roman" w:hAnsi="Times New Roman"/>
          <w:sz w:val="24"/>
        </w:rPr>
        <w:t xml:space="preserve"> may be </w:t>
      </w:r>
      <w:r>
        <w:rPr>
          <w:rFonts w:ascii="Times New Roman" w:hAnsi="Times New Roman"/>
          <w:sz w:val="24"/>
        </w:rPr>
        <w:t xml:space="preserve">attributed </w:t>
      </w:r>
      <w:r w:rsidRPr="00B86AAF">
        <w:rPr>
          <w:rFonts w:ascii="Times New Roman" w:hAnsi="Times New Roman"/>
          <w:sz w:val="24"/>
        </w:rPr>
        <w:t>to poorly constrained log K</w:t>
      </w:r>
      <w:r w:rsidRPr="00B86AAF">
        <w:rPr>
          <w:rFonts w:ascii="Times New Roman" w:hAnsi="Times New Roman"/>
          <w:sz w:val="24"/>
          <w:vertAlign w:val="subscript"/>
        </w:rPr>
        <w:t>ow</w:t>
      </w:r>
      <w:r w:rsidRPr="00B86AAF">
        <w:rPr>
          <w:rFonts w:ascii="Times New Roman" w:hAnsi="Times New Roman"/>
          <w:sz w:val="24"/>
        </w:rPr>
        <w:t xml:space="preserve"> and / or pK</w:t>
      </w:r>
      <w:r w:rsidRPr="00B86AAF">
        <w:rPr>
          <w:rFonts w:ascii="Times New Roman" w:hAnsi="Times New Roman"/>
          <w:sz w:val="24"/>
          <w:vertAlign w:val="subscript"/>
        </w:rPr>
        <w:t xml:space="preserve">a </w:t>
      </w:r>
      <w:r w:rsidRPr="00B86AAF">
        <w:rPr>
          <w:rFonts w:ascii="Times New Roman" w:hAnsi="Times New Roman"/>
          <w:sz w:val="24"/>
        </w:rPr>
        <w:t xml:space="preserve">values, particularly for basic </w:t>
      </w:r>
      <w:r>
        <w:rPr>
          <w:rFonts w:asciiTheme="majorBidi" w:hAnsiTheme="majorBidi" w:cstheme="majorBidi"/>
          <w:bCs/>
          <w:sz w:val="24"/>
        </w:rPr>
        <w:t>pharmaceuticals</w:t>
      </w:r>
      <w:r>
        <w:rPr>
          <w:rFonts w:ascii="Times New Roman" w:hAnsi="Times New Roman"/>
          <w:sz w:val="24"/>
        </w:rPr>
        <w:t xml:space="preserve"> </w:t>
      </w:r>
      <w:r>
        <w:rPr>
          <w:rFonts w:ascii="Times New Roman" w:hAnsi="Times New Roman"/>
          <w:noProof/>
          <w:sz w:val="24"/>
        </w:rPr>
        <w:t>(ECETOC 2013; Kah &amp; Brown 2008; Manallack et al. 2013)</w:t>
      </w:r>
      <w:r w:rsidRPr="00B86AAF">
        <w:rPr>
          <w:rFonts w:ascii="Times New Roman" w:hAnsi="Times New Roman"/>
          <w:sz w:val="24"/>
        </w:rPr>
        <w:t>. Additionally, it may</w:t>
      </w:r>
      <w:r>
        <w:rPr>
          <w:rFonts w:ascii="Times New Roman" w:hAnsi="Times New Roman"/>
          <w:sz w:val="24"/>
        </w:rPr>
        <w:t xml:space="preserve"> contribute to our lack of insight to </w:t>
      </w:r>
      <w:r w:rsidRPr="00B86AAF">
        <w:rPr>
          <w:rFonts w:ascii="Times New Roman" w:hAnsi="Times New Roman"/>
          <w:sz w:val="24"/>
        </w:rPr>
        <w:t xml:space="preserve">the importance of hydrophobic partitioning of ionisable </w:t>
      </w:r>
      <w:r>
        <w:rPr>
          <w:rFonts w:asciiTheme="majorBidi" w:hAnsiTheme="majorBidi" w:cstheme="majorBidi"/>
          <w:bCs/>
          <w:sz w:val="24"/>
        </w:rPr>
        <w:t>pharmaceuticals</w:t>
      </w:r>
      <w:r w:rsidRPr="00B86AAF">
        <w:rPr>
          <w:rFonts w:ascii="Times New Roman" w:hAnsi="Times New Roman"/>
          <w:sz w:val="24"/>
        </w:rPr>
        <w:t xml:space="preserve"> relative to possible mechanisms of hydrophilic interaction </w:t>
      </w:r>
      <w:r>
        <w:rPr>
          <w:rFonts w:ascii="Times New Roman" w:hAnsi="Times New Roman"/>
          <w:noProof/>
          <w:sz w:val="24"/>
        </w:rPr>
        <w:t>(ECETOC 2013; Manallack et al. 2013)</w:t>
      </w:r>
      <w:r w:rsidRPr="00B86AAF">
        <w:rPr>
          <w:rFonts w:ascii="Times New Roman" w:hAnsi="Times New Roman"/>
          <w:sz w:val="24"/>
        </w:rPr>
        <w:t xml:space="preserve">. Whatever the explanation, </w:t>
      </w:r>
      <w:r>
        <w:rPr>
          <w:rFonts w:ascii="Times New Roman" w:hAnsi="Times New Roman"/>
          <w:sz w:val="24"/>
        </w:rPr>
        <w:t xml:space="preserve">an </w:t>
      </w:r>
      <w:r w:rsidRPr="00B86AAF">
        <w:rPr>
          <w:rFonts w:ascii="Times New Roman" w:hAnsi="Times New Roman"/>
          <w:sz w:val="24"/>
        </w:rPr>
        <w:t xml:space="preserve">important observation to be drawn from the current study is that it was the most hydrophilic </w:t>
      </w:r>
      <w:r>
        <w:rPr>
          <w:rFonts w:asciiTheme="majorBidi" w:hAnsiTheme="majorBidi" w:cstheme="majorBidi"/>
          <w:bCs/>
          <w:sz w:val="24"/>
        </w:rPr>
        <w:t>pharmaceutical</w:t>
      </w:r>
      <w:r w:rsidRPr="00B86AAF">
        <w:rPr>
          <w:rFonts w:ascii="Times New Roman" w:hAnsi="Times New Roman"/>
          <w:sz w:val="24"/>
        </w:rPr>
        <w:t>, based on log K</w:t>
      </w:r>
      <w:r w:rsidRPr="00B86AAF">
        <w:rPr>
          <w:rFonts w:ascii="Times New Roman" w:hAnsi="Times New Roman"/>
          <w:sz w:val="24"/>
          <w:vertAlign w:val="subscript"/>
        </w:rPr>
        <w:t>ow</w:t>
      </w:r>
      <w:r w:rsidRPr="00B86AAF">
        <w:rPr>
          <w:rFonts w:ascii="Times New Roman" w:hAnsi="Times New Roman"/>
          <w:sz w:val="24"/>
        </w:rPr>
        <w:t xml:space="preserve"> alone, and least ionised, based on pK</w:t>
      </w:r>
      <w:r w:rsidRPr="00B86AAF">
        <w:rPr>
          <w:rFonts w:ascii="Times New Roman" w:hAnsi="Times New Roman"/>
          <w:sz w:val="24"/>
          <w:vertAlign w:val="subscript"/>
        </w:rPr>
        <w:t>a</w:t>
      </w:r>
      <w:r w:rsidRPr="00B86AAF">
        <w:rPr>
          <w:rFonts w:ascii="Times New Roman" w:hAnsi="Times New Roman"/>
          <w:sz w:val="24"/>
        </w:rPr>
        <w:t xml:space="preserve"> alone, that </w:t>
      </w:r>
      <w:r>
        <w:rPr>
          <w:rFonts w:ascii="Times New Roman" w:hAnsi="Times New Roman"/>
          <w:sz w:val="24"/>
        </w:rPr>
        <w:t xml:space="preserve">was removed </w:t>
      </w:r>
      <w:r w:rsidRPr="00B86AAF">
        <w:rPr>
          <w:rFonts w:ascii="Times New Roman" w:hAnsi="Times New Roman"/>
          <w:sz w:val="24"/>
        </w:rPr>
        <w:t xml:space="preserve">from river water containing bacterio-plankton. </w:t>
      </w:r>
    </w:p>
    <w:p w:rsidR="002455EF" w:rsidRPr="00B86AAF" w:rsidRDefault="002455EF" w:rsidP="00723080">
      <w:pPr>
        <w:spacing w:line="480" w:lineRule="auto"/>
        <w:ind w:left="0" w:firstLine="720"/>
        <w:jc w:val="left"/>
        <w:rPr>
          <w:rFonts w:ascii="Times New Roman" w:hAnsi="Times New Roman"/>
          <w:sz w:val="24"/>
        </w:rPr>
      </w:pPr>
      <w:r w:rsidRPr="00B86AAF">
        <w:rPr>
          <w:rFonts w:ascii="Times New Roman" w:hAnsi="Times New Roman"/>
          <w:sz w:val="24"/>
        </w:rPr>
        <w:t xml:space="preserve">Studies of </w:t>
      </w:r>
      <w:r>
        <w:rPr>
          <w:rFonts w:asciiTheme="majorBidi" w:hAnsiTheme="majorBidi" w:cstheme="majorBidi"/>
          <w:bCs/>
          <w:sz w:val="24"/>
        </w:rPr>
        <w:t>pharmaceutical</w:t>
      </w:r>
      <w:r w:rsidRPr="00B86AAF">
        <w:rPr>
          <w:rFonts w:ascii="Times New Roman" w:hAnsi="Times New Roman"/>
          <w:sz w:val="24"/>
        </w:rPr>
        <w:t xml:space="preserve"> uptake by eukaryotes (animals and plants) have reported that it is the non-ionised forms of the </w:t>
      </w:r>
      <w:r>
        <w:rPr>
          <w:rFonts w:asciiTheme="majorBidi" w:hAnsiTheme="majorBidi" w:cstheme="majorBidi"/>
          <w:bCs/>
          <w:sz w:val="24"/>
        </w:rPr>
        <w:t>pharmaceutical</w:t>
      </w:r>
      <w:r w:rsidRPr="00B86AAF">
        <w:rPr>
          <w:rFonts w:ascii="Times New Roman" w:hAnsi="Times New Roman"/>
          <w:sz w:val="24"/>
        </w:rPr>
        <w:t xml:space="preserve"> that show greatest partitioning into cells</w:t>
      </w:r>
      <w:r>
        <w:rPr>
          <w:rFonts w:ascii="Times New Roman" w:hAnsi="Times New Roman"/>
          <w:sz w:val="24"/>
        </w:rPr>
        <w:t xml:space="preserve"> </w:t>
      </w:r>
      <w:r>
        <w:rPr>
          <w:rFonts w:ascii="Times New Roman" w:hAnsi="Times New Roman"/>
          <w:noProof/>
          <w:sz w:val="24"/>
        </w:rPr>
        <w:t>(Rendal et al. 2011b; Warhurst et al. 2003)</w:t>
      </w:r>
      <w:r w:rsidRPr="00B86AAF">
        <w:rPr>
          <w:rFonts w:ascii="Times New Roman" w:hAnsi="Times New Roman"/>
          <w:sz w:val="24"/>
        </w:rPr>
        <w:t xml:space="preserve"> while recently, the </w:t>
      </w:r>
      <w:r>
        <w:rPr>
          <w:rFonts w:ascii="Times New Roman" w:hAnsi="Times New Roman"/>
          <w:sz w:val="24"/>
        </w:rPr>
        <w:t>extent</w:t>
      </w:r>
      <w:r w:rsidR="00145000">
        <w:rPr>
          <w:rFonts w:ascii="Times New Roman" w:hAnsi="Times New Roman"/>
          <w:sz w:val="24"/>
        </w:rPr>
        <w:t xml:space="preserve"> of bacterial </w:t>
      </w:r>
      <w:r w:rsidRPr="00B86AAF">
        <w:rPr>
          <w:rFonts w:ascii="Times New Roman" w:hAnsi="Times New Roman"/>
          <w:sz w:val="24"/>
        </w:rPr>
        <w:t xml:space="preserve">transformation of </w:t>
      </w:r>
      <w:r>
        <w:rPr>
          <w:rFonts w:asciiTheme="majorBidi" w:hAnsiTheme="majorBidi" w:cstheme="majorBidi"/>
          <w:bCs/>
          <w:sz w:val="24"/>
        </w:rPr>
        <w:t>pharmaceuticals</w:t>
      </w:r>
      <w:r w:rsidRPr="00B86AAF">
        <w:rPr>
          <w:rFonts w:ascii="Times New Roman" w:hAnsi="Times New Roman"/>
          <w:sz w:val="24"/>
        </w:rPr>
        <w:t xml:space="preserve"> incubated with sewage sludge was shown to be generally proportional to the fraction of un-ionised, neutral, species present </w:t>
      </w:r>
      <w:r>
        <w:rPr>
          <w:rFonts w:ascii="Times New Roman" w:hAnsi="Times New Roman"/>
          <w:noProof/>
          <w:sz w:val="24"/>
        </w:rPr>
        <w:t>(Gulde et al. 2014)</w:t>
      </w:r>
      <w:r w:rsidRPr="00B86AAF">
        <w:rPr>
          <w:rFonts w:ascii="Times New Roman" w:hAnsi="Times New Roman"/>
          <w:sz w:val="24"/>
        </w:rPr>
        <w:t>. It may be concluded</w:t>
      </w:r>
      <w:r>
        <w:rPr>
          <w:rFonts w:ascii="Times New Roman" w:hAnsi="Times New Roman"/>
          <w:sz w:val="24"/>
        </w:rPr>
        <w:t>,</w:t>
      </w:r>
      <w:r w:rsidRPr="00B86AAF">
        <w:rPr>
          <w:rFonts w:ascii="Times New Roman" w:hAnsi="Times New Roman"/>
          <w:sz w:val="24"/>
        </w:rPr>
        <w:t xml:space="preserve"> therefore</w:t>
      </w:r>
      <w:r>
        <w:rPr>
          <w:rFonts w:ascii="Times New Roman" w:hAnsi="Times New Roman"/>
          <w:sz w:val="24"/>
        </w:rPr>
        <w:t>, that</w:t>
      </w:r>
      <w:r w:rsidRPr="00B86AAF">
        <w:rPr>
          <w:rFonts w:ascii="Times New Roman" w:hAnsi="Times New Roman"/>
          <w:sz w:val="24"/>
        </w:rPr>
        <w:t xml:space="preserve"> </w:t>
      </w:r>
      <w:r>
        <w:rPr>
          <w:rFonts w:ascii="Times New Roman" w:hAnsi="Times New Roman"/>
          <w:sz w:val="24"/>
        </w:rPr>
        <w:t xml:space="preserve">of the total </w:t>
      </w:r>
      <w:r>
        <w:rPr>
          <w:rFonts w:asciiTheme="majorBidi" w:hAnsiTheme="majorBidi" w:cstheme="majorBidi"/>
          <w:bCs/>
          <w:sz w:val="24"/>
        </w:rPr>
        <w:t>pharmaceutical</w:t>
      </w:r>
      <w:r>
        <w:rPr>
          <w:rFonts w:ascii="Times New Roman" w:hAnsi="Times New Roman"/>
          <w:sz w:val="24"/>
        </w:rPr>
        <w:t xml:space="preserve"> pool present, </w:t>
      </w:r>
      <w:r w:rsidRPr="00B86AAF">
        <w:rPr>
          <w:rFonts w:ascii="Times New Roman" w:hAnsi="Times New Roman"/>
          <w:sz w:val="24"/>
        </w:rPr>
        <w:t xml:space="preserve">it is the non-specific biotransformation of </w:t>
      </w:r>
      <w:r>
        <w:rPr>
          <w:rFonts w:ascii="Times New Roman" w:hAnsi="Times New Roman"/>
          <w:sz w:val="24"/>
        </w:rPr>
        <w:t xml:space="preserve">the </w:t>
      </w:r>
      <w:r w:rsidRPr="00B86AAF">
        <w:rPr>
          <w:rFonts w:ascii="Times New Roman" w:hAnsi="Times New Roman"/>
          <w:sz w:val="24"/>
        </w:rPr>
        <w:t xml:space="preserve">neutral or weakly-ionised </w:t>
      </w:r>
      <w:r>
        <w:rPr>
          <w:rFonts w:asciiTheme="majorBidi" w:hAnsiTheme="majorBidi" w:cstheme="majorBidi"/>
          <w:bCs/>
          <w:sz w:val="24"/>
        </w:rPr>
        <w:t>pharmaceutical</w:t>
      </w:r>
      <w:r>
        <w:rPr>
          <w:rFonts w:ascii="Times New Roman" w:hAnsi="Times New Roman"/>
          <w:sz w:val="24"/>
        </w:rPr>
        <w:t xml:space="preserve"> fraction</w:t>
      </w:r>
      <w:r w:rsidRPr="00B86AAF">
        <w:rPr>
          <w:rFonts w:ascii="Times New Roman" w:hAnsi="Times New Roman"/>
          <w:sz w:val="24"/>
        </w:rPr>
        <w:t xml:space="preserve"> that is most likely to occur in surface waters, irrespective of cell type.</w:t>
      </w:r>
    </w:p>
    <w:p w:rsidR="002455EF" w:rsidRPr="00B86AAF" w:rsidRDefault="002455EF" w:rsidP="00723080">
      <w:pPr>
        <w:spacing w:line="480" w:lineRule="auto"/>
        <w:ind w:left="0" w:firstLine="720"/>
        <w:jc w:val="left"/>
        <w:rPr>
          <w:rFonts w:ascii="Times New Roman" w:hAnsi="Times New Roman"/>
          <w:sz w:val="24"/>
        </w:rPr>
      </w:pPr>
      <w:r w:rsidRPr="00B86AAF">
        <w:rPr>
          <w:rFonts w:ascii="Times New Roman" w:hAnsi="Times New Roman"/>
          <w:sz w:val="24"/>
        </w:rPr>
        <w:lastRenderedPageBreak/>
        <w:t xml:space="preserve">The loss of levamisole did not result in identifiable biotransformation products </w:t>
      </w:r>
      <w:r>
        <w:rPr>
          <w:rFonts w:ascii="Times New Roman" w:hAnsi="Times New Roman"/>
          <w:sz w:val="24"/>
        </w:rPr>
        <w:t xml:space="preserve">detected </w:t>
      </w:r>
      <w:r w:rsidRPr="00B86AAF">
        <w:rPr>
          <w:rFonts w:ascii="Times New Roman" w:hAnsi="Times New Roman"/>
          <w:sz w:val="24"/>
        </w:rPr>
        <w:t>by ESI-MS (Fig. 1), even though these were predicted from the EAWAG-BBD</w:t>
      </w:r>
      <w:r>
        <w:rPr>
          <w:rFonts w:ascii="Times New Roman" w:hAnsi="Times New Roman"/>
          <w:sz w:val="24"/>
        </w:rPr>
        <w:t>,</w:t>
      </w:r>
      <w:r w:rsidRPr="00B86AAF">
        <w:rPr>
          <w:rFonts w:ascii="Times New Roman" w:hAnsi="Times New Roman"/>
          <w:sz w:val="24"/>
        </w:rPr>
        <w:t xml:space="preserve"> via initial de-alkylation of the tertiary amine to yield secondary and primary amines. Indeed, the dominance of the observed de-alkylation of </w:t>
      </w:r>
      <w:r>
        <w:rPr>
          <w:rFonts w:asciiTheme="majorBidi" w:hAnsiTheme="majorBidi" w:cstheme="majorBidi"/>
          <w:bCs/>
          <w:sz w:val="24"/>
        </w:rPr>
        <w:t>pharmaceuticals</w:t>
      </w:r>
      <w:r w:rsidRPr="00B86AAF">
        <w:rPr>
          <w:rFonts w:ascii="Times New Roman" w:hAnsi="Times New Roman"/>
          <w:sz w:val="24"/>
        </w:rPr>
        <w:t xml:space="preserve"> containing a tertiary amine has been reported recently</w:t>
      </w:r>
      <w:r>
        <w:rPr>
          <w:rFonts w:ascii="Times New Roman" w:hAnsi="Times New Roman"/>
          <w:sz w:val="24"/>
        </w:rPr>
        <w:t xml:space="preserve"> </w:t>
      </w:r>
      <w:r>
        <w:rPr>
          <w:rFonts w:ascii="Times New Roman" w:hAnsi="Times New Roman"/>
          <w:noProof/>
          <w:sz w:val="24"/>
        </w:rPr>
        <w:t>(Gulde et al. 2016)</w:t>
      </w:r>
      <w:r w:rsidRPr="00B86AAF">
        <w:rPr>
          <w:rFonts w:ascii="Times New Roman" w:hAnsi="Times New Roman"/>
          <w:sz w:val="24"/>
        </w:rPr>
        <w:t xml:space="preserve">. The </w:t>
      </w:r>
      <w:r w:rsidRPr="00B86AAF">
        <w:rPr>
          <w:rFonts w:ascii="Times New Roman" w:hAnsi="Times New Roman"/>
          <w:i/>
          <w:sz w:val="24"/>
        </w:rPr>
        <w:t>m</w:t>
      </w:r>
      <w:r w:rsidRPr="00B86AAF">
        <w:rPr>
          <w:rFonts w:ascii="Times New Roman" w:hAnsi="Times New Roman"/>
          <w:sz w:val="24"/>
        </w:rPr>
        <w:t>/</w:t>
      </w:r>
      <w:r w:rsidRPr="00B86AAF">
        <w:rPr>
          <w:rFonts w:ascii="Times New Roman" w:hAnsi="Times New Roman"/>
          <w:i/>
          <w:sz w:val="24"/>
        </w:rPr>
        <w:t>z</w:t>
      </w:r>
      <w:r w:rsidRPr="00B86AAF">
        <w:rPr>
          <w:rFonts w:ascii="Times New Roman" w:hAnsi="Times New Roman"/>
          <w:sz w:val="24"/>
        </w:rPr>
        <w:t xml:space="preserve"> values of the predicted transformation products are marked in Fig</w:t>
      </w:r>
      <w:r>
        <w:rPr>
          <w:rFonts w:ascii="Times New Roman" w:hAnsi="Times New Roman"/>
          <w:sz w:val="24"/>
        </w:rPr>
        <w:t>ure</w:t>
      </w:r>
      <w:r w:rsidRPr="00B86AAF">
        <w:rPr>
          <w:rFonts w:ascii="Times New Roman" w:hAnsi="Times New Roman"/>
          <w:sz w:val="24"/>
        </w:rPr>
        <w:t xml:space="preserve"> 1, and d</w:t>
      </w:r>
      <w:r>
        <w:rPr>
          <w:rFonts w:ascii="Times New Roman" w:hAnsi="Times New Roman"/>
          <w:sz w:val="24"/>
        </w:rPr>
        <w:t>id</w:t>
      </w:r>
      <w:r w:rsidRPr="00B86AAF">
        <w:rPr>
          <w:rFonts w:ascii="Times New Roman" w:hAnsi="Times New Roman"/>
          <w:sz w:val="24"/>
        </w:rPr>
        <w:t xml:space="preserve"> not correspond with </w:t>
      </w:r>
      <w:r>
        <w:rPr>
          <w:rFonts w:ascii="Times New Roman" w:hAnsi="Times New Roman"/>
          <w:sz w:val="24"/>
        </w:rPr>
        <w:t xml:space="preserve">detected </w:t>
      </w:r>
      <w:r w:rsidRPr="00B86AAF">
        <w:rPr>
          <w:rFonts w:ascii="Times New Roman" w:hAnsi="Times New Roman"/>
          <w:sz w:val="24"/>
        </w:rPr>
        <w:t>peaks. Th</w:t>
      </w:r>
      <w:r>
        <w:rPr>
          <w:rFonts w:ascii="Times New Roman" w:hAnsi="Times New Roman"/>
          <w:sz w:val="24"/>
        </w:rPr>
        <w:t>is suggests</w:t>
      </w:r>
      <w:r w:rsidRPr="00B86AAF">
        <w:rPr>
          <w:rFonts w:ascii="Times New Roman" w:hAnsi="Times New Roman"/>
          <w:sz w:val="24"/>
        </w:rPr>
        <w:t xml:space="preserve"> </w:t>
      </w:r>
      <w:r w:rsidRPr="00E75900">
        <w:rPr>
          <w:rFonts w:ascii="Times New Roman" w:hAnsi="Times New Roman"/>
          <w:sz w:val="24"/>
        </w:rPr>
        <w:t>that, if biotransformation</w:t>
      </w:r>
      <w:r>
        <w:rPr>
          <w:rFonts w:ascii="Times New Roman" w:hAnsi="Times New Roman"/>
          <w:sz w:val="24"/>
        </w:rPr>
        <w:t xml:space="preserve"> molecules </w:t>
      </w:r>
      <w:r w:rsidRPr="00E75900">
        <w:rPr>
          <w:rFonts w:ascii="Times New Roman" w:hAnsi="Times New Roman"/>
          <w:sz w:val="24"/>
        </w:rPr>
        <w:t>were</w:t>
      </w:r>
      <w:r>
        <w:rPr>
          <w:rFonts w:ascii="Times New Roman" w:hAnsi="Times New Roman"/>
          <w:sz w:val="24"/>
        </w:rPr>
        <w:t xml:space="preserve"> produced</w:t>
      </w:r>
      <w:r w:rsidRPr="00E75900">
        <w:rPr>
          <w:rFonts w:ascii="Times New Roman" w:hAnsi="Times New Roman"/>
          <w:sz w:val="24"/>
        </w:rPr>
        <w:t>, they we</w:t>
      </w:r>
      <w:r w:rsidRPr="00E13FE4">
        <w:rPr>
          <w:rFonts w:ascii="Times New Roman" w:hAnsi="Times New Roman"/>
          <w:sz w:val="24"/>
        </w:rPr>
        <w:t>re not released into solution</w:t>
      </w:r>
      <w:r w:rsidRPr="002E054F">
        <w:rPr>
          <w:rFonts w:ascii="Times New Roman" w:hAnsi="Times New Roman"/>
          <w:sz w:val="24"/>
        </w:rPr>
        <w:t xml:space="preserve"> but were further</w:t>
      </w:r>
      <w:r w:rsidRPr="00E75900">
        <w:rPr>
          <w:rFonts w:ascii="Times New Roman" w:hAnsi="Times New Roman"/>
          <w:sz w:val="24"/>
        </w:rPr>
        <w:t xml:space="preserve"> metabolised rapidly, or were present at concentrations below the limit of detection under these conditions</w:t>
      </w:r>
      <w:r>
        <w:rPr>
          <w:rFonts w:ascii="Times New Roman" w:hAnsi="Times New Roman"/>
          <w:sz w:val="24"/>
        </w:rPr>
        <w:t>.</w:t>
      </w:r>
      <w:r w:rsidRPr="00E75900">
        <w:rPr>
          <w:rFonts w:ascii="Times New Roman" w:hAnsi="Times New Roman"/>
          <w:sz w:val="24"/>
        </w:rPr>
        <w:t xml:space="preserve"> </w:t>
      </w:r>
    </w:p>
    <w:p w:rsidR="002455EF" w:rsidRDefault="002455EF" w:rsidP="00723080">
      <w:pPr>
        <w:spacing w:line="480" w:lineRule="auto"/>
        <w:ind w:left="0" w:firstLine="720"/>
        <w:jc w:val="left"/>
        <w:rPr>
          <w:rFonts w:ascii="Times New Roman" w:hAnsi="Times New Roman"/>
          <w:sz w:val="24"/>
        </w:rPr>
      </w:pPr>
      <w:r w:rsidRPr="00B86AAF">
        <w:rPr>
          <w:rFonts w:ascii="Times New Roman" w:hAnsi="Times New Roman"/>
          <w:sz w:val="24"/>
        </w:rPr>
        <w:t xml:space="preserve">The </w:t>
      </w:r>
      <w:r>
        <w:rPr>
          <w:rFonts w:ascii="Times New Roman" w:hAnsi="Times New Roman"/>
          <w:sz w:val="24"/>
        </w:rPr>
        <w:t xml:space="preserve">3 </w:t>
      </w:r>
      <w:r>
        <w:rPr>
          <w:rFonts w:asciiTheme="majorBidi" w:hAnsiTheme="majorBidi" w:cstheme="majorBidi"/>
          <w:bCs/>
          <w:sz w:val="24"/>
        </w:rPr>
        <w:t>pharmaceuticals</w:t>
      </w:r>
      <w:r w:rsidRPr="00B86AAF">
        <w:rPr>
          <w:rFonts w:ascii="Times New Roman" w:hAnsi="Times New Roman"/>
          <w:sz w:val="24"/>
        </w:rPr>
        <w:t xml:space="preserve"> that </w:t>
      </w:r>
      <w:r>
        <w:rPr>
          <w:rFonts w:ascii="Times New Roman" w:hAnsi="Times New Roman"/>
          <w:sz w:val="24"/>
        </w:rPr>
        <w:t xml:space="preserve">were persistent </w:t>
      </w:r>
      <w:r w:rsidRPr="00B86AAF">
        <w:rPr>
          <w:rFonts w:ascii="Times New Roman" w:hAnsi="Times New Roman"/>
          <w:sz w:val="24"/>
        </w:rPr>
        <w:t>all contain at least one tertiary amine, while chloroquine also contains a secondary amine group (Table 1). As noted above,</w:t>
      </w:r>
      <w:r>
        <w:rPr>
          <w:rFonts w:ascii="Times New Roman" w:hAnsi="Times New Roman"/>
          <w:sz w:val="24"/>
        </w:rPr>
        <w:t xml:space="preserve"> the EAWAG-BBD</w:t>
      </w:r>
      <w:r w:rsidRPr="00B86AAF">
        <w:rPr>
          <w:rFonts w:ascii="Times New Roman" w:hAnsi="Times New Roman"/>
          <w:sz w:val="24"/>
        </w:rPr>
        <w:t xml:space="preserve"> </w:t>
      </w:r>
      <w:r>
        <w:rPr>
          <w:rFonts w:ascii="Times New Roman" w:hAnsi="Times New Roman"/>
          <w:sz w:val="24"/>
        </w:rPr>
        <w:t xml:space="preserve">predicts </w:t>
      </w:r>
      <w:r w:rsidRPr="00B86AAF">
        <w:rPr>
          <w:rFonts w:ascii="Times New Roman" w:hAnsi="Times New Roman"/>
          <w:sz w:val="24"/>
        </w:rPr>
        <w:t xml:space="preserve">bacterio-plankton alteration of these functional groups </w:t>
      </w:r>
      <w:r w:rsidRPr="00B86AAF">
        <w:rPr>
          <w:rFonts w:ascii="Times New Roman" w:hAnsi="Times New Roman"/>
          <w:iCs/>
          <w:sz w:val="24"/>
        </w:rPr>
        <w:t xml:space="preserve">via </w:t>
      </w:r>
      <w:r w:rsidRPr="00B86AAF">
        <w:rPr>
          <w:rFonts w:ascii="Times New Roman" w:hAnsi="Times New Roman"/>
          <w:sz w:val="24"/>
        </w:rPr>
        <w:t xml:space="preserve">de-alkylation </w:t>
      </w:r>
      <w:r>
        <w:rPr>
          <w:rFonts w:ascii="Times New Roman" w:hAnsi="Times New Roman"/>
          <w:noProof/>
          <w:sz w:val="24"/>
        </w:rPr>
        <w:t>(Gulde et al. 2016)</w:t>
      </w:r>
      <w:r w:rsidRPr="00B86AAF">
        <w:rPr>
          <w:rFonts w:ascii="Times New Roman" w:hAnsi="Times New Roman"/>
          <w:sz w:val="24"/>
        </w:rPr>
        <w:t>. In contrast, the mono-N-substituted heterocyclic ring in the quinolone derivatives quinine and chloroquine is more difficult to decompose</w:t>
      </w:r>
      <w:r>
        <w:rPr>
          <w:rFonts w:ascii="Times New Roman" w:hAnsi="Times New Roman"/>
          <w:sz w:val="24"/>
        </w:rPr>
        <w:t xml:space="preserve"> </w:t>
      </w:r>
      <w:r>
        <w:rPr>
          <w:rFonts w:asciiTheme="majorBidi" w:hAnsiTheme="majorBidi" w:cstheme="majorBidi"/>
          <w:noProof/>
          <w:sz w:val="24"/>
        </w:rPr>
        <w:t>(Alexander 1999)</w:t>
      </w:r>
      <w:r w:rsidRPr="00B86AAF">
        <w:rPr>
          <w:rFonts w:ascii="Times New Roman" w:hAnsi="Times New Roman"/>
          <w:sz w:val="24"/>
        </w:rPr>
        <w:t xml:space="preserve">, though heterocyclic ring opening of quinoline by bacteria has been reported </w:t>
      </w:r>
      <w:r w:rsidRPr="00E75900">
        <w:rPr>
          <w:rFonts w:ascii="Times New Roman" w:hAnsi="Times New Roman"/>
          <w:noProof/>
          <w:sz w:val="24"/>
        </w:rPr>
        <w:t>(Griese et al. 2006)</w:t>
      </w:r>
      <w:r w:rsidRPr="00B86AAF">
        <w:rPr>
          <w:rFonts w:ascii="Times New Roman" w:hAnsi="Times New Roman"/>
          <w:sz w:val="24"/>
        </w:rPr>
        <w:t xml:space="preserve">. The EAWAG-BDD does not take into account the polarity of the molecule under consideration, however, and the </w:t>
      </w:r>
      <w:r>
        <w:rPr>
          <w:rFonts w:ascii="Times New Roman" w:hAnsi="Times New Roman"/>
          <w:sz w:val="24"/>
        </w:rPr>
        <w:t>persistence</w:t>
      </w:r>
      <w:r w:rsidRPr="00B86AAF">
        <w:rPr>
          <w:rFonts w:ascii="Times New Roman" w:hAnsi="Times New Roman"/>
          <w:sz w:val="24"/>
        </w:rPr>
        <w:t xml:space="preserve"> of these </w:t>
      </w:r>
      <w:r>
        <w:rPr>
          <w:rFonts w:asciiTheme="majorBidi" w:hAnsiTheme="majorBidi" w:cstheme="majorBidi"/>
          <w:bCs/>
          <w:sz w:val="24"/>
        </w:rPr>
        <w:t>pharmaceuticals</w:t>
      </w:r>
      <w:r w:rsidRPr="00B86AAF">
        <w:rPr>
          <w:rFonts w:ascii="Times New Roman" w:hAnsi="Times New Roman"/>
          <w:sz w:val="24"/>
        </w:rPr>
        <w:t xml:space="preserve"> is thus probably attributable to their extensive (positive) ionisation under the incubation conditions and lack of cell uptake; the </w:t>
      </w:r>
      <w:r>
        <w:rPr>
          <w:rFonts w:ascii="Times New Roman" w:hAnsi="Times New Roman"/>
          <w:sz w:val="24"/>
        </w:rPr>
        <w:t>presumed</w:t>
      </w:r>
      <w:r w:rsidRPr="00B86AAF">
        <w:rPr>
          <w:rFonts w:ascii="Times New Roman" w:hAnsi="Times New Roman"/>
          <w:sz w:val="24"/>
        </w:rPr>
        <w:t xml:space="preserve"> electrostatic attraction </w:t>
      </w:r>
      <w:r>
        <w:rPr>
          <w:rFonts w:ascii="Times New Roman" w:hAnsi="Times New Roman"/>
          <w:sz w:val="24"/>
        </w:rPr>
        <w:t xml:space="preserve">appeared to have </w:t>
      </w:r>
      <w:r w:rsidRPr="00B86AAF">
        <w:rPr>
          <w:rFonts w:ascii="Times New Roman" w:hAnsi="Times New Roman"/>
          <w:sz w:val="24"/>
        </w:rPr>
        <w:t>no measurable influence</w:t>
      </w:r>
      <w:r>
        <w:rPr>
          <w:rFonts w:ascii="Times New Roman" w:hAnsi="Times New Roman"/>
          <w:sz w:val="24"/>
        </w:rPr>
        <w:t xml:space="preserve"> </w:t>
      </w:r>
      <w:r>
        <w:rPr>
          <w:rFonts w:ascii="Times New Roman" w:hAnsi="Times New Roman"/>
          <w:noProof/>
          <w:sz w:val="24"/>
        </w:rPr>
        <w:t>(Gulde et al. 2014; Rendal et al. 2011a; Rendal et al. 2011b)</w:t>
      </w:r>
      <w:r w:rsidRPr="0059169E">
        <w:rPr>
          <w:rFonts w:ascii="Times New Roman" w:hAnsi="Times New Roman"/>
          <w:sz w:val="24"/>
        </w:rPr>
        <w:t xml:space="preserve">.  </w:t>
      </w:r>
      <w:r w:rsidRPr="00B86AAF">
        <w:rPr>
          <w:rFonts w:ascii="Times New Roman" w:hAnsi="Times New Roman"/>
          <w:sz w:val="24"/>
        </w:rPr>
        <w:t xml:space="preserve">While quantitative estimates of the relative speeds of cell uptake by ionised and non-ionised basic </w:t>
      </w:r>
      <w:r>
        <w:rPr>
          <w:rFonts w:asciiTheme="majorBidi" w:hAnsiTheme="majorBidi" w:cstheme="majorBidi"/>
          <w:bCs/>
          <w:sz w:val="24"/>
        </w:rPr>
        <w:t>pharmaceuticals</w:t>
      </w:r>
      <w:r w:rsidRPr="00B86AAF">
        <w:rPr>
          <w:rFonts w:ascii="Times New Roman" w:hAnsi="Times New Roman"/>
          <w:sz w:val="24"/>
        </w:rPr>
        <w:t xml:space="preserve"> are</w:t>
      </w:r>
      <w:r>
        <w:rPr>
          <w:rFonts w:ascii="Times New Roman" w:hAnsi="Times New Roman"/>
          <w:sz w:val="24"/>
        </w:rPr>
        <w:t xml:space="preserve"> lacking</w:t>
      </w:r>
      <w:r w:rsidRPr="00B86AAF">
        <w:rPr>
          <w:rFonts w:ascii="Times New Roman" w:hAnsi="Times New Roman"/>
          <w:sz w:val="24"/>
        </w:rPr>
        <w:t>, equivalent studies on acidic moieties show uptake speeds 10</w:t>
      </w:r>
      <w:r w:rsidRPr="00B86AAF">
        <w:rPr>
          <w:rFonts w:ascii="Times New Roman" w:hAnsi="Times New Roman"/>
          <w:sz w:val="24"/>
          <w:vertAlign w:val="superscript"/>
        </w:rPr>
        <w:t>3</w:t>
      </w:r>
      <w:r w:rsidRPr="00B86AAF">
        <w:rPr>
          <w:rFonts w:ascii="Times New Roman" w:hAnsi="Times New Roman"/>
          <w:sz w:val="24"/>
        </w:rPr>
        <w:t>–10</w:t>
      </w:r>
      <w:r w:rsidRPr="00B86AAF">
        <w:rPr>
          <w:rFonts w:ascii="Times New Roman" w:hAnsi="Times New Roman"/>
          <w:sz w:val="24"/>
          <w:vertAlign w:val="superscript"/>
        </w:rPr>
        <w:t>4</w:t>
      </w:r>
      <w:r w:rsidRPr="00B86AAF">
        <w:rPr>
          <w:rFonts w:ascii="Times New Roman" w:hAnsi="Times New Roman"/>
          <w:sz w:val="24"/>
        </w:rPr>
        <w:t xml:space="preserve"> lower for the ionic forms relative to the neutral species</w:t>
      </w:r>
      <w:r>
        <w:rPr>
          <w:rFonts w:ascii="Times New Roman" w:hAnsi="Times New Roman"/>
          <w:sz w:val="24"/>
        </w:rPr>
        <w:t xml:space="preserve"> </w:t>
      </w:r>
      <w:r>
        <w:rPr>
          <w:rFonts w:ascii="Times New Roman" w:hAnsi="Times New Roman"/>
          <w:noProof/>
          <w:sz w:val="24"/>
        </w:rPr>
        <w:t>(Rendal et al. 2011b)</w:t>
      </w:r>
      <w:r w:rsidRPr="00B86AAF">
        <w:rPr>
          <w:rFonts w:ascii="Times New Roman" w:hAnsi="Times New Roman"/>
          <w:sz w:val="24"/>
        </w:rPr>
        <w:t>.</w:t>
      </w:r>
    </w:p>
    <w:p w:rsidR="00145000" w:rsidRDefault="00145000" w:rsidP="00723080">
      <w:pPr>
        <w:spacing w:line="480" w:lineRule="auto"/>
        <w:ind w:left="0" w:firstLine="720"/>
        <w:jc w:val="left"/>
        <w:rPr>
          <w:rFonts w:ascii="Times New Roman" w:hAnsi="Times New Roman"/>
          <w:sz w:val="24"/>
        </w:rPr>
      </w:pPr>
    </w:p>
    <w:p w:rsidR="00145000" w:rsidRPr="00B86AAF" w:rsidRDefault="00145000" w:rsidP="00723080">
      <w:pPr>
        <w:spacing w:line="480" w:lineRule="auto"/>
        <w:ind w:left="0" w:firstLine="720"/>
        <w:jc w:val="left"/>
        <w:rPr>
          <w:rFonts w:ascii="Times New Roman" w:hAnsi="Times New Roman"/>
          <w:sz w:val="24"/>
        </w:rPr>
      </w:pPr>
    </w:p>
    <w:p w:rsidR="002455EF" w:rsidRDefault="002455EF" w:rsidP="006E54C3">
      <w:pPr>
        <w:spacing w:line="480" w:lineRule="auto"/>
        <w:ind w:left="0" w:firstLine="0"/>
        <w:jc w:val="left"/>
        <w:rPr>
          <w:rFonts w:ascii="Times New Roman" w:hAnsi="Times New Roman"/>
          <w:sz w:val="24"/>
        </w:rPr>
      </w:pPr>
      <w:r>
        <w:rPr>
          <w:rFonts w:ascii="Times New Roman" w:hAnsi="Times New Roman"/>
          <w:sz w:val="24"/>
        </w:rPr>
        <w:lastRenderedPageBreak/>
        <w:t>3.3 Investigation of a priming effect</w:t>
      </w:r>
    </w:p>
    <w:p w:rsidR="002455EF" w:rsidRPr="00B86AAF" w:rsidRDefault="002455EF" w:rsidP="00854D83">
      <w:pPr>
        <w:spacing w:line="480" w:lineRule="auto"/>
        <w:ind w:left="0" w:firstLine="720"/>
        <w:jc w:val="left"/>
        <w:rPr>
          <w:rFonts w:ascii="Times New Roman" w:hAnsi="Times New Roman"/>
          <w:sz w:val="24"/>
        </w:rPr>
      </w:pPr>
      <w:r w:rsidRPr="00B86AAF">
        <w:rPr>
          <w:rFonts w:ascii="Times New Roman" w:hAnsi="Times New Roman"/>
          <w:sz w:val="24"/>
        </w:rPr>
        <w:t xml:space="preserve">The addition of labile organic matter (LOM) to </w:t>
      </w:r>
      <w:r>
        <w:rPr>
          <w:rFonts w:ascii="Times New Roman" w:hAnsi="Times New Roman"/>
          <w:sz w:val="24"/>
        </w:rPr>
        <w:t xml:space="preserve">accelerate bacterio-plankton </w:t>
      </w:r>
      <w:r w:rsidRPr="00B86AAF">
        <w:rPr>
          <w:rFonts w:ascii="Times New Roman" w:hAnsi="Times New Roman"/>
          <w:sz w:val="24"/>
        </w:rPr>
        <w:t>biotransformation of more persistent organic matter is known as the priming effect, although there are few systematic studies of this phenomenon in aquatic systems</w:t>
      </w:r>
      <w:r>
        <w:rPr>
          <w:rFonts w:ascii="Times New Roman" w:hAnsi="Times New Roman"/>
          <w:sz w:val="24"/>
        </w:rPr>
        <w:t xml:space="preserve"> </w:t>
      </w:r>
      <w:r>
        <w:rPr>
          <w:rFonts w:ascii="Times New Roman" w:hAnsi="Times New Roman"/>
          <w:noProof/>
          <w:sz w:val="24"/>
        </w:rPr>
        <w:t>(Gontikaki et al. 2013; Guenet et al. 2014)</w:t>
      </w:r>
      <w:r w:rsidRPr="00B86AAF">
        <w:rPr>
          <w:rFonts w:ascii="Times New Roman" w:hAnsi="Times New Roman"/>
          <w:sz w:val="24"/>
        </w:rPr>
        <w:t>. The presence of LOM</w:t>
      </w:r>
      <w:r>
        <w:rPr>
          <w:rFonts w:ascii="Times New Roman" w:hAnsi="Times New Roman"/>
          <w:sz w:val="24"/>
        </w:rPr>
        <w:t>,</w:t>
      </w:r>
      <w:r w:rsidRPr="00B86AAF">
        <w:rPr>
          <w:rFonts w:ascii="Times New Roman" w:hAnsi="Times New Roman"/>
          <w:sz w:val="24"/>
        </w:rPr>
        <w:t xml:space="preserve"> </w:t>
      </w:r>
      <w:r>
        <w:rPr>
          <w:rFonts w:ascii="Times New Roman" w:hAnsi="Times New Roman"/>
          <w:sz w:val="24"/>
        </w:rPr>
        <w:t xml:space="preserve">as </w:t>
      </w:r>
      <w:r w:rsidRPr="00B86AAF">
        <w:rPr>
          <w:rFonts w:ascii="Times New Roman" w:hAnsi="Times New Roman"/>
          <w:sz w:val="24"/>
        </w:rPr>
        <w:t xml:space="preserve">wastewater effluent DOC </w:t>
      </w:r>
      <w:r>
        <w:rPr>
          <w:rFonts w:ascii="Times New Roman" w:hAnsi="Times New Roman"/>
          <w:sz w:val="24"/>
        </w:rPr>
        <w:t xml:space="preserve">added </w:t>
      </w:r>
      <w:r w:rsidRPr="00B86AAF">
        <w:rPr>
          <w:rFonts w:ascii="Times New Roman" w:hAnsi="Times New Roman"/>
          <w:sz w:val="24"/>
        </w:rPr>
        <w:t xml:space="preserve">at relatively high concentrations, has been </w:t>
      </w:r>
      <w:r>
        <w:rPr>
          <w:rFonts w:ascii="Times New Roman" w:hAnsi="Times New Roman"/>
          <w:sz w:val="24"/>
        </w:rPr>
        <w:t>proposed</w:t>
      </w:r>
      <w:r w:rsidRPr="00B86AAF">
        <w:rPr>
          <w:rFonts w:ascii="Times New Roman" w:hAnsi="Times New Roman"/>
          <w:sz w:val="24"/>
        </w:rPr>
        <w:t xml:space="preserve"> to enhance </w:t>
      </w:r>
      <w:r>
        <w:rPr>
          <w:rFonts w:asciiTheme="majorBidi" w:hAnsiTheme="majorBidi" w:cstheme="majorBidi"/>
          <w:bCs/>
          <w:sz w:val="24"/>
        </w:rPr>
        <w:t>pharmaceutical</w:t>
      </w:r>
      <w:r w:rsidRPr="00B86AAF">
        <w:rPr>
          <w:rFonts w:ascii="Times New Roman" w:hAnsi="Times New Roman"/>
          <w:sz w:val="24"/>
        </w:rPr>
        <w:t xml:space="preserve"> loss from river and estuarine coastal waters </w:t>
      </w:r>
      <w:r w:rsidRPr="00E75900">
        <w:rPr>
          <w:rFonts w:ascii="Times New Roman" w:hAnsi="Times New Roman"/>
          <w:noProof/>
          <w:sz w:val="24"/>
        </w:rPr>
        <w:t>(Benotti &amp; Brownawell 2009; Lim et al. 2008)</w:t>
      </w:r>
      <w:r>
        <w:rPr>
          <w:rFonts w:ascii="Times New Roman" w:hAnsi="Times New Roman"/>
          <w:sz w:val="24"/>
        </w:rPr>
        <w:t xml:space="preserve">, but reports of </w:t>
      </w:r>
      <w:r w:rsidRPr="00B86AAF">
        <w:rPr>
          <w:rFonts w:ascii="Times New Roman" w:hAnsi="Times New Roman"/>
          <w:sz w:val="24"/>
        </w:rPr>
        <w:t>decreased biotransformation</w:t>
      </w:r>
      <w:r>
        <w:rPr>
          <w:rFonts w:ascii="Times New Roman" w:hAnsi="Times New Roman"/>
          <w:sz w:val="24"/>
        </w:rPr>
        <w:t xml:space="preserve"> of the target molecule</w:t>
      </w:r>
      <w:r w:rsidRPr="00B86AAF">
        <w:rPr>
          <w:rFonts w:ascii="Times New Roman" w:hAnsi="Times New Roman"/>
          <w:sz w:val="24"/>
        </w:rPr>
        <w:t xml:space="preserve">, or no change, </w:t>
      </w:r>
      <w:r>
        <w:rPr>
          <w:rFonts w:ascii="Times New Roman" w:hAnsi="Times New Roman"/>
          <w:sz w:val="24"/>
        </w:rPr>
        <w:t xml:space="preserve">has also been reported </w:t>
      </w:r>
      <w:r w:rsidRPr="00B86AAF">
        <w:rPr>
          <w:rFonts w:ascii="Times New Roman" w:hAnsi="Times New Roman"/>
          <w:sz w:val="24"/>
        </w:rPr>
        <w:t xml:space="preserve">and </w:t>
      </w:r>
      <w:r>
        <w:rPr>
          <w:rFonts w:ascii="Times New Roman" w:hAnsi="Times New Roman"/>
          <w:sz w:val="24"/>
        </w:rPr>
        <w:t xml:space="preserve">a range of </w:t>
      </w:r>
      <w:r w:rsidRPr="00B86AAF">
        <w:rPr>
          <w:rFonts w:ascii="Times New Roman" w:hAnsi="Times New Roman"/>
          <w:sz w:val="24"/>
        </w:rPr>
        <w:t xml:space="preserve">mechanisms </w:t>
      </w:r>
      <w:r>
        <w:rPr>
          <w:rFonts w:ascii="Times New Roman" w:hAnsi="Times New Roman"/>
          <w:sz w:val="24"/>
        </w:rPr>
        <w:t>has been invoked to explain these varied</w:t>
      </w:r>
      <w:r w:rsidRPr="00B86AAF">
        <w:rPr>
          <w:rFonts w:ascii="Times New Roman" w:hAnsi="Times New Roman"/>
          <w:sz w:val="24"/>
        </w:rPr>
        <w:t xml:space="preserve"> outcomes</w:t>
      </w:r>
      <w:r>
        <w:rPr>
          <w:rFonts w:ascii="Times New Roman" w:hAnsi="Times New Roman"/>
          <w:sz w:val="24"/>
        </w:rPr>
        <w:t xml:space="preserve"> </w:t>
      </w:r>
      <w:r>
        <w:rPr>
          <w:rFonts w:ascii="Times New Roman" w:hAnsi="Times New Roman"/>
          <w:noProof/>
          <w:sz w:val="24"/>
        </w:rPr>
        <w:t>(Bengtsson et al. 2014)</w:t>
      </w:r>
      <w:r w:rsidRPr="00B86AAF">
        <w:rPr>
          <w:rFonts w:ascii="Times New Roman" w:hAnsi="Times New Roman"/>
          <w:sz w:val="24"/>
        </w:rPr>
        <w:t>.</w:t>
      </w:r>
      <w:r>
        <w:rPr>
          <w:rFonts w:ascii="Times New Roman" w:hAnsi="Times New Roman"/>
          <w:sz w:val="24"/>
        </w:rPr>
        <w:t xml:space="preserve"> </w:t>
      </w:r>
      <w:r w:rsidRPr="00B86AAF">
        <w:rPr>
          <w:rFonts w:ascii="Times New Roman" w:hAnsi="Times New Roman"/>
          <w:sz w:val="24"/>
        </w:rPr>
        <w:t xml:space="preserve">In the current work, levamisole was incubated with the peptide as LOM </w:t>
      </w:r>
      <w:r>
        <w:rPr>
          <w:rFonts w:ascii="Times New Roman" w:hAnsi="Times New Roman"/>
          <w:sz w:val="24"/>
        </w:rPr>
        <w:t xml:space="preserve">- </w:t>
      </w:r>
      <w:r w:rsidRPr="00B86AAF">
        <w:rPr>
          <w:rFonts w:ascii="Times New Roman" w:hAnsi="Times New Roman"/>
          <w:sz w:val="24"/>
        </w:rPr>
        <w:t>equivalent to ca. 500 µmol C L</w:t>
      </w:r>
      <w:r w:rsidRPr="00B86AAF">
        <w:rPr>
          <w:rFonts w:ascii="Times New Roman" w:hAnsi="Times New Roman"/>
          <w:sz w:val="24"/>
          <w:vertAlign w:val="superscript"/>
        </w:rPr>
        <w:t>-1</w:t>
      </w:r>
      <w:r w:rsidRPr="00B86AAF">
        <w:rPr>
          <w:rFonts w:ascii="Times New Roman" w:hAnsi="Times New Roman"/>
          <w:sz w:val="24"/>
        </w:rPr>
        <w:t xml:space="preserve"> and ca. 90 µmol N L</w:t>
      </w:r>
      <w:r w:rsidRPr="00B86AAF">
        <w:rPr>
          <w:rFonts w:ascii="Times New Roman" w:hAnsi="Times New Roman"/>
          <w:sz w:val="24"/>
          <w:vertAlign w:val="superscript"/>
        </w:rPr>
        <w:t>-1</w:t>
      </w:r>
      <w:r>
        <w:rPr>
          <w:rFonts w:ascii="Times New Roman" w:hAnsi="Times New Roman"/>
          <w:sz w:val="24"/>
        </w:rPr>
        <w:t xml:space="preserve">, </w:t>
      </w:r>
      <w:r w:rsidRPr="00B86AAF">
        <w:rPr>
          <w:rFonts w:ascii="Times New Roman" w:hAnsi="Times New Roman"/>
          <w:sz w:val="24"/>
        </w:rPr>
        <w:t xml:space="preserve">concentrations </w:t>
      </w:r>
      <w:r>
        <w:rPr>
          <w:rFonts w:ascii="Times New Roman" w:hAnsi="Times New Roman"/>
          <w:sz w:val="24"/>
        </w:rPr>
        <w:t xml:space="preserve">which are </w:t>
      </w:r>
      <w:r w:rsidRPr="00B86AAF">
        <w:rPr>
          <w:rFonts w:ascii="Times New Roman" w:hAnsi="Times New Roman"/>
          <w:sz w:val="24"/>
        </w:rPr>
        <w:t>typical of UK rural and semi-rural rivers</w:t>
      </w:r>
      <w:r>
        <w:rPr>
          <w:rFonts w:ascii="Times New Roman" w:hAnsi="Times New Roman"/>
          <w:sz w:val="24"/>
        </w:rPr>
        <w:t xml:space="preserve">, and of the same magnitude as the concentrations of DOC reported to enhance </w:t>
      </w:r>
      <w:r>
        <w:rPr>
          <w:rFonts w:asciiTheme="majorBidi" w:hAnsiTheme="majorBidi" w:cstheme="majorBidi"/>
          <w:bCs/>
          <w:sz w:val="24"/>
        </w:rPr>
        <w:t>pharmaceutical</w:t>
      </w:r>
      <w:r>
        <w:rPr>
          <w:rFonts w:ascii="Times New Roman" w:hAnsi="Times New Roman"/>
          <w:sz w:val="24"/>
        </w:rPr>
        <w:t xml:space="preserve"> loss in surface waters </w:t>
      </w:r>
      <w:r>
        <w:rPr>
          <w:rFonts w:ascii="Times New Roman" w:hAnsi="Times New Roman"/>
          <w:noProof/>
          <w:sz w:val="24"/>
        </w:rPr>
        <w:t>(Benotti &amp; Brownawell 2009; Lim et al. 2008)</w:t>
      </w:r>
      <w:r w:rsidRPr="00B86AAF">
        <w:rPr>
          <w:rFonts w:ascii="Times New Roman" w:hAnsi="Times New Roman"/>
          <w:sz w:val="24"/>
        </w:rPr>
        <w:t xml:space="preserve">. While levamisole </w:t>
      </w:r>
      <w:r>
        <w:rPr>
          <w:rFonts w:ascii="Times New Roman" w:hAnsi="Times New Roman"/>
          <w:sz w:val="24"/>
        </w:rPr>
        <w:t xml:space="preserve">concentrations decreased </w:t>
      </w:r>
      <w:r w:rsidRPr="00B86AAF">
        <w:rPr>
          <w:rFonts w:ascii="Times New Roman" w:hAnsi="Times New Roman"/>
          <w:sz w:val="24"/>
        </w:rPr>
        <w:t>in the presence of bacterio-plankton</w:t>
      </w:r>
      <w:r>
        <w:rPr>
          <w:rFonts w:ascii="Times New Roman" w:hAnsi="Times New Roman"/>
          <w:sz w:val="24"/>
        </w:rPr>
        <w:t xml:space="preserve"> and LOM</w:t>
      </w:r>
      <w:r w:rsidRPr="00B86AAF">
        <w:rPr>
          <w:rFonts w:ascii="Times New Roman" w:hAnsi="Times New Roman"/>
          <w:sz w:val="24"/>
        </w:rPr>
        <w:t xml:space="preserve">, </w:t>
      </w:r>
      <w:r w:rsidRPr="00593411">
        <w:rPr>
          <w:rFonts w:ascii="Times New Roman" w:hAnsi="Times New Roman"/>
          <w:sz w:val="24"/>
        </w:rPr>
        <w:t xml:space="preserve">the loss was not significantly different to that observed in parallel incubations without added LOM </w:t>
      </w:r>
      <w:r w:rsidRPr="00B86AAF">
        <w:rPr>
          <w:rFonts w:ascii="Times New Roman" w:hAnsi="Times New Roman"/>
          <w:sz w:val="24"/>
        </w:rPr>
        <w:t>(t-test, p = 0.142, n = 11). This outcome indicates that the biotransformation of levamisole occur</w:t>
      </w:r>
      <w:r>
        <w:rPr>
          <w:rFonts w:ascii="Times New Roman" w:hAnsi="Times New Roman"/>
          <w:sz w:val="24"/>
        </w:rPr>
        <w:t>s</w:t>
      </w:r>
      <w:r w:rsidRPr="00B86AAF">
        <w:rPr>
          <w:rFonts w:ascii="Times New Roman" w:hAnsi="Times New Roman"/>
          <w:sz w:val="24"/>
        </w:rPr>
        <w:t xml:space="preserve"> in surface waters, but that there would not necessarily be a priming effect, constraining transformation of the molecule to </w:t>
      </w:r>
      <w:r>
        <w:rPr>
          <w:rFonts w:ascii="Times New Roman" w:hAnsi="Times New Roman"/>
          <w:sz w:val="24"/>
        </w:rPr>
        <w:t xml:space="preserve">lower than 20 % </w:t>
      </w:r>
      <w:r w:rsidRPr="00B86AAF">
        <w:rPr>
          <w:rFonts w:ascii="Times New Roman" w:hAnsi="Times New Roman"/>
          <w:sz w:val="24"/>
        </w:rPr>
        <w:t>of the total load.</w:t>
      </w:r>
    </w:p>
    <w:p w:rsidR="002455EF" w:rsidRPr="00235BA5" w:rsidRDefault="002455EF" w:rsidP="00822602">
      <w:pPr>
        <w:spacing w:line="480" w:lineRule="auto"/>
        <w:ind w:left="0" w:firstLine="0"/>
        <w:rPr>
          <w:rFonts w:asciiTheme="majorBidi" w:hAnsiTheme="majorBidi" w:cstheme="majorBidi"/>
          <w:b/>
          <w:bCs/>
          <w:sz w:val="24"/>
        </w:rPr>
      </w:pPr>
      <w:r>
        <w:rPr>
          <w:rFonts w:ascii="Times New Roman" w:hAnsi="Times New Roman"/>
        </w:rPr>
        <w:br w:type="page"/>
      </w:r>
      <w:r>
        <w:rPr>
          <w:rFonts w:ascii="Times New Roman" w:hAnsi="Times New Roman"/>
        </w:rPr>
        <w:lastRenderedPageBreak/>
        <w:t xml:space="preserve">3.4 </w:t>
      </w:r>
      <w:r w:rsidRPr="006E54C3">
        <w:rPr>
          <w:rFonts w:asciiTheme="majorBidi" w:hAnsiTheme="majorBidi" w:cstheme="majorBidi"/>
          <w:sz w:val="24"/>
        </w:rPr>
        <w:t>Environmental implications</w:t>
      </w:r>
    </w:p>
    <w:p w:rsidR="002455EF" w:rsidRPr="00235BA5" w:rsidRDefault="002455EF" w:rsidP="00723080">
      <w:pPr>
        <w:spacing w:line="480" w:lineRule="auto"/>
        <w:ind w:left="0" w:firstLine="720"/>
        <w:jc w:val="left"/>
        <w:rPr>
          <w:rFonts w:asciiTheme="majorBidi" w:hAnsiTheme="majorBidi" w:cstheme="majorBidi"/>
          <w:color w:val="FF0000"/>
          <w:sz w:val="24"/>
        </w:rPr>
      </w:pPr>
      <w:r>
        <w:rPr>
          <w:rFonts w:asciiTheme="majorBidi" w:hAnsiTheme="majorBidi" w:cstheme="majorBidi"/>
          <w:sz w:val="24"/>
        </w:rPr>
        <w:t xml:space="preserve">The data from this study suggest that </w:t>
      </w:r>
      <w:r w:rsidRPr="00235BA5">
        <w:rPr>
          <w:rFonts w:asciiTheme="majorBidi" w:hAnsiTheme="majorBidi" w:cstheme="majorBidi"/>
          <w:sz w:val="24"/>
        </w:rPr>
        <w:t xml:space="preserve">all </w:t>
      </w:r>
      <w:r>
        <w:rPr>
          <w:rFonts w:asciiTheme="majorBidi" w:hAnsiTheme="majorBidi" w:cstheme="majorBidi"/>
          <w:sz w:val="24"/>
        </w:rPr>
        <w:t>of the molecules</w:t>
      </w:r>
      <w:r w:rsidRPr="00235BA5">
        <w:rPr>
          <w:rFonts w:asciiTheme="majorBidi" w:hAnsiTheme="majorBidi" w:cstheme="majorBidi"/>
          <w:sz w:val="24"/>
        </w:rPr>
        <w:t xml:space="preserve"> </w:t>
      </w:r>
      <w:r>
        <w:rPr>
          <w:rFonts w:asciiTheme="majorBidi" w:hAnsiTheme="majorBidi" w:cstheme="majorBidi"/>
          <w:sz w:val="24"/>
        </w:rPr>
        <w:t xml:space="preserve">examined </w:t>
      </w:r>
      <w:r w:rsidRPr="00235BA5">
        <w:rPr>
          <w:rFonts w:asciiTheme="majorBidi" w:hAnsiTheme="majorBidi" w:cstheme="majorBidi"/>
          <w:sz w:val="24"/>
        </w:rPr>
        <w:t xml:space="preserve">would be </w:t>
      </w:r>
      <w:r>
        <w:rPr>
          <w:rFonts w:asciiTheme="majorBidi" w:hAnsiTheme="majorBidi" w:cstheme="majorBidi"/>
          <w:sz w:val="24"/>
        </w:rPr>
        <w:t>stable, to varying degrees,</w:t>
      </w:r>
      <w:r w:rsidRPr="00235BA5">
        <w:rPr>
          <w:rFonts w:asciiTheme="majorBidi" w:hAnsiTheme="majorBidi" w:cstheme="majorBidi"/>
          <w:sz w:val="24"/>
        </w:rPr>
        <w:t xml:space="preserve"> in surface waters, at least with respect to biotransformation</w:t>
      </w:r>
      <w:r>
        <w:rPr>
          <w:rFonts w:asciiTheme="majorBidi" w:hAnsiTheme="majorBidi" w:cstheme="majorBidi"/>
          <w:sz w:val="24"/>
        </w:rPr>
        <w:t xml:space="preserve"> by riverine bacterio-plankton</w:t>
      </w:r>
      <w:r w:rsidRPr="00235BA5">
        <w:rPr>
          <w:rFonts w:asciiTheme="majorBidi" w:hAnsiTheme="majorBidi" w:cstheme="majorBidi"/>
          <w:sz w:val="24"/>
        </w:rPr>
        <w:t>. This</w:t>
      </w:r>
      <w:r>
        <w:rPr>
          <w:rFonts w:asciiTheme="majorBidi" w:hAnsiTheme="majorBidi" w:cstheme="majorBidi"/>
          <w:sz w:val="24"/>
        </w:rPr>
        <w:t xml:space="preserve"> finding</w:t>
      </w:r>
      <w:r w:rsidRPr="00235BA5">
        <w:rPr>
          <w:rFonts w:asciiTheme="majorBidi" w:hAnsiTheme="majorBidi" w:cstheme="majorBidi"/>
          <w:sz w:val="24"/>
        </w:rPr>
        <w:t>, coupled to their probable continual loading to the environment, would suggest they may be persistent or</w:t>
      </w:r>
      <w:r>
        <w:rPr>
          <w:rFonts w:asciiTheme="majorBidi" w:hAnsiTheme="majorBidi" w:cstheme="majorBidi"/>
          <w:sz w:val="24"/>
        </w:rPr>
        <w:t>, in the case of levamisole,</w:t>
      </w:r>
      <w:r w:rsidRPr="00235BA5">
        <w:rPr>
          <w:rFonts w:asciiTheme="majorBidi" w:hAnsiTheme="majorBidi" w:cstheme="majorBidi"/>
          <w:sz w:val="24"/>
        </w:rPr>
        <w:t xml:space="preserve"> pseudo-persistent in surface waters.</w:t>
      </w:r>
      <w:r>
        <w:rPr>
          <w:rFonts w:asciiTheme="majorBidi" w:hAnsiTheme="majorBidi" w:cstheme="majorBidi"/>
          <w:color w:val="FF0000"/>
          <w:sz w:val="24"/>
        </w:rPr>
        <w:t xml:space="preserve"> </w:t>
      </w:r>
      <w:r>
        <w:rPr>
          <w:rFonts w:asciiTheme="majorBidi" w:hAnsiTheme="majorBidi" w:cstheme="majorBidi"/>
          <w:sz w:val="24"/>
        </w:rPr>
        <w:t xml:space="preserve">While </w:t>
      </w:r>
      <w:r w:rsidRPr="00235BA5">
        <w:rPr>
          <w:rFonts w:asciiTheme="majorBidi" w:hAnsiTheme="majorBidi" w:cstheme="majorBidi"/>
          <w:sz w:val="24"/>
        </w:rPr>
        <w:t xml:space="preserve">it is difficult to contextualise this outcome in relation to </w:t>
      </w:r>
      <w:r>
        <w:rPr>
          <w:rFonts w:asciiTheme="majorBidi" w:hAnsiTheme="majorBidi" w:cstheme="majorBidi"/>
          <w:sz w:val="24"/>
        </w:rPr>
        <w:t xml:space="preserve">potential </w:t>
      </w:r>
      <w:r w:rsidRPr="00235BA5">
        <w:rPr>
          <w:rFonts w:asciiTheme="majorBidi" w:hAnsiTheme="majorBidi" w:cstheme="majorBidi"/>
          <w:sz w:val="24"/>
        </w:rPr>
        <w:t>environmental impacts on aquatic organisms</w:t>
      </w:r>
      <w:r>
        <w:rPr>
          <w:rFonts w:asciiTheme="majorBidi" w:hAnsiTheme="majorBidi" w:cstheme="majorBidi"/>
          <w:sz w:val="24"/>
        </w:rPr>
        <w:t xml:space="preserve"> due to</w:t>
      </w:r>
      <w:r w:rsidRPr="00235BA5">
        <w:rPr>
          <w:rFonts w:asciiTheme="majorBidi" w:hAnsiTheme="majorBidi" w:cstheme="majorBidi"/>
          <w:sz w:val="24"/>
        </w:rPr>
        <w:t xml:space="preserve"> the absence of data on other ameliorating processes (e.g. photo-degradation</w:t>
      </w:r>
      <w:r>
        <w:rPr>
          <w:rFonts w:asciiTheme="majorBidi" w:hAnsiTheme="majorBidi" w:cstheme="majorBidi"/>
          <w:sz w:val="24"/>
        </w:rPr>
        <w:t xml:space="preserve"> or</w:t>
      </w:r>
      <w:r w:rsidRPr="00235BA5">
        <w:rPr>
          <w:rFonts w:asciiTheme="majorBidi" w:hAnsiTheme="majorBidi" w:cstheme="majorBidi"/>
          <w:sz w:val="24"/>
        </w:rPr>
        <w:t xml:space="preserve"> sorption to sediments)</w:t>
      </w:r>
      <w:r>
        <w:rPr>
          <w:rFonts w:asciiTheme="majorBidi" w:hAnsiTheme="majorBidi" w:cstheme="majorBidi"/>
          <w:sz w:val="24"/>
        </w:rPr>
        <w:t>,</w:t>
      </w:r>
      <w:r w:rsidRPr="00235BA5">
        <w:rPr>
          <w:rFonts w:asciiTheme="majorBidi" w:hAnsiTheme="majorBidi" w:cstheme="majorBidi"/>
          <w:sz w:val="24"/>
        </w:rPr>
        <w:t xml:space="preserve"> </w:t>
      </w:r>
      <w:r>
        <w:rPr>
          <w:rFonts w:asciiTheme="majorBidi" w:hAnsiTheme="majorBidi" w:cstheme="majorBidi"/>
          <w:sz w:val="24"/>
        </w:rPr>
        <w:t>i</w:t>
      </w:r>
      <w:r w:rsidRPr="00235BA5">
        <w:rPr>
          <w:rFonts w:asciiTheme="majorBidi" w:hAnsiTheme="majorBidi" w:cstheme="majorBidi"/>
          <w:sz w:val="24"/>
        </w:rPr>
        <w:t xml:space="preserve">t may be hypothesised </w:t>
      </w:r>
      <w:r>
        <w:rPr>
          <w:rFonts w:asciiTheme="majorBidi" w:hAnsiTheme="majorBidi" w:cstheme="majorBidi"/>
          <w:sz w:val="24"/>
        </w:rPr>
        <w:t xml:space="preserve">that, </w:t>
      </w:r>
      <w:r w:rsidRPr="00235BA5">
        <w:rPr>
          <w:rFonts w:asciiTheme="majorBidi" w:hAnsiTheme="majorBidi" w:cstheme="majorBidi"/>
          <w:sz w:val="24"/>
        </w:rPr>
        <w:t>individually, these compounds will not inflict acute toxic effects at the concentrations anticipated</w:t>
      </w:r>
      <w:r>
        <w:rPr>
          <w:rFonts w:asciiTheme="majorBidi" w:hAnsiTheme="majorBidi" w:cstheme="majorBidi"/>
          <w:sz w:val="24"/>
        </w:rPr>
        <w:t>.</w:t>
      </w:r>
      <w:r w:rsidRPr="00235BA5">
        <w:rPr>
          <w:rFonts w:asciiTheme="majorBidi" w:hAnsiTheme="majorBidi" w:cstheme="majorBidi"/>
          <w:sz w:val="24"/>
        </w:rPr>
        <w:t xml:space="preserve"> </w:t>
      </w:r>
      <w:r>
        <w:rPr>
          <w:rFonts w:asciiTheme="majorBidi" w:hAnsiTheme="majorBidi" w:cstheme="majorBidi"/>
          <w:sz w:val="24"/>
        </w:rPr>
        <w:t xml:space="preserve">This assessment is supported by </w:t>
      </w:r>
      <w:r w:rsidRPr="00235BA5">
        <w:rPr>
          <w:rFonts w:asciiTheme="majorBidi" w:hAnsiTheme="majorBidi" w:cstheme="majorBidi"/>
          <w:sz w:val="24"/>
        </w:rPr>
        <w:t>the viability of the bacterio-plankton communities shown in thi</w:t>
      </w:r>
      <w:r>
        <w:rPr>
          <w:rFonts w:asciiTheme="majorBidi" w:hAnsiTheme="majorBidi" w:cstheme="majorBidi"/>
          <w:sz w:val="24"/>
        </w:rPr>
        <w:t xml:space="preserve">s work, coupled to the lack of </w:t>
      </w:r>
      <w:r w:rsidRPr="00235BA5">
        <w:rPr>
          <w:rFonts w:asciiTheme="majorBidi" w:hAnsiTheme="majorBidi" w:cstheme="majorBidi"/>
          <w:sz w:val="24"/>
        </w:rPr>
        <w:t>communit</w:t>
      </w:r>
      <w:r>
        <w:rPr>
          <w:rFonts w:asciiTheme="majorBidi" w:hAnsiTheme="majorBidi" w:cstheme="majorBidi"/>
          <w:sz w:val="24"/>
        </w:rPr>
        <w:t>y succession</w:t>
      </w:r>
      <w:r w:rsidRPr="00235BA5">
        <w:rPr>
          <w:rFonts w:asciiTheme="majorBidi" w:hAnsiTheme="majorBidi" w:cstheme="majorBidi"/>
          <w:sz w:val="24"/>
        </w:rPr>
        <w:t xml:space="preserve"> throughout the incubations for all the </w:t>
      </w:r>
      <w:r>
        <w:rPr>
          <w:rFonts w:asciiTheme="majorBidi" w:hAnsiTheme="majorBidi" w:cstheme="majorBidi"/>
          <w:bCs/>
          <w:sz w:val="24"/>
        </w:rPr>
        <w:t>pharmaceuticals</w:t>
      </w:r>
      <w:r w:rsidRPr="00235BA5">
        <w:rPr>
          <w:rFonts w:asciiTheme="majorBidi" w:hAnsiTheme="majorBidi" w:cstheme="majorBidi"/>
          <w:sz w:val="24"/>
        </w:rPr>
        <w:t xml:space="preserve"> (indicated by the </w:t>
      </w:r>
      <w:r>
        <w:rPr>
          <w:rFonts w:asciiTheme="majorBidi" w:hAnsiTheme="majorBidi" w:cstheme="majorBidi"/>
          <w:sz w:val="24"/>
        </w:rPr>
        <w:t xml:space="preserve">consistency of </w:t>
      </w:r>
      <w:r w:rsidRPr="00235BA5">
        <w:rPr>
          <w:rFonts w:asciiTheme="majorBidi" w:hAnsiTheme="majorBidi" w:cstheme="majorBidi"/>
          <w:sz w:val="24"/>
        </w:rPr>
        <w:t xml:space="preserve">the DGGE </w:t>
      </w:r>
      <w:r>
        <w:rPr>
          <w:rFonts w:asciiTheme="majorBidi" w:hAnsiTheme="majorBidi" w:cstheme="majorBidi"/>
          <w:sz w:val="24"/>
        </w:rPr>
        <w:t xml:space="preserve">fingerprint </w:t>
      </w:r>
      <w:r w:rsidRPr="00235BA5">
        <w:rPr>
          <w:rFonts w:asciiTheme="majorBidi" w:hAnsiTheme="majorBidi" w:cstheme="majorBidi"/>
          <w:sz w:val="24"/>
        </w:rPr>
        <w:t xml:space="preserve">patterns </w:t>
      </w:r>
      <w:r>
        <w:rPr>
          <w:rFonts w:asciiTheme="majorBidi" w:hAnsiTheme="majorBidi" w:cstheme="majorBidi"/>
          <w:sz w:val="24"/>
        </w:rPr>
        <w:t>across</w:t>
      </w:r>
      <w:r w:rsidRPr="00235BA5">
        <w:rPr>
          <w:rFonts w:asciiTheme="majorBidi" w:hAnsiTheme="majorBidi" w:cstheme="majorBidi"/>
          <w:sz w:val="24"/>
        </w:rPr>
        <w:t xml:space="preserve"> the experiments). Nevertheless, environmental implications arising from continual and chronic exposure of aquatic organisms to these </w:t>
      </w:r>
      <w:r>
        <w:rPr>
          <w:rFonts w:asciiTheme="majorBidi" w:hAnsiTheme="majorBidi" w:cstheme="majorBidi"/>
          <w:bCs/>
          <w:sz w:val="24"/>
        </w:rPr>
        <w:t>pharmaceuticals</w:t>
      </w:r>
      <w:r w:rsidRPr="00235BA5">
        <w:rPr>
          <w:rFonts w:asciiTheme="majorBidi" w:hAnsiTheme="majorBidi" w:cstheme="majorBidi"/>
          <w:sz w:val="24"/>
        </w:rPr>
        <w:t>, either as single entities or as mixtures, remain to be addressed.</w:t>
      </w:r>
    </w:p>
    <w:p w:rsidR="002455EF" w:rsidRPr="00235BA5" w:rsidRDefault="002455EF" w:rsidP="00723080">
      <w:pPr>
        <w:spacing w:before="240" w:line="480" w:lineRule="auto"/>
        <w:ind w:left="0" w:firstLine="720"/>
        <w:jc w:val="left"/>
        <w:rPr>
          <w:rFonts w:asciiTheme="majorBidi" w:hAnsiTheme="majorBidi" w:cstheme="majorBidi"/>
          <w:sz w:val="24"/>
        </w:rPr>
      </w:pPr>
      <w:r w:rsidRPr="00235BA5">
        <w:rPr>
          <w:rFonts w:asciiTheme="majorBidi" w:hAnsiTheme="majorBidi" w:cstheme="majorBidi"/>
          <w:sz w:val="24"/>
        </w:rPr>
        <w:t>Malaria is endemic in the low and low-middle income countries (LLMIC) of Asia, Afric</w:t>
      </w:r>
      <w:r>
        <w:rPr>
          <w:rFonts w:asciiTheme="majorBidi" w:hAnsiTheme="majorBidi" w:cstheme="majorBidi"/>
          <w:sz w:val="24"/>
        </w:rPr>
        <w:t>a and central and South America</w:t>
      </w:r>
      <w:r w:rsidRPr="00235BA5">
        <w:rPr>
          <w:rFonts w:asciiTheme="majorBidi" w:hAnsiTheme="majorBidi" w:cstheme="majorBidi"/>
          <w:sz w:val="24"/>
        </w:rPr>
        <w:t xml:space="preserve"> </w:t>
      </w:r>
      <w:r>
        <w:rPr>
          <w:rFonts w:asciiTheme="majorBidi" w:hAnsiTheme="majorBidi" w:cstheme="majorBidi"/>
          <w:sz w:val="24"/>
        </w:rPr>
        <w:t>(</w:t>
      </w:r>
      <w:r w:rsidRPr="00723080">
        <w:rPr>
          <w:rFonts w:asciiTheme="majorBidi" w:hAnsiTheme="majorBidi" w:cstheme="majorBidi"/>
          <w:sz w:val="24"/>
        </w:rPr>
        <w:t>http://www.cdc.gov/malaria/about/distribution.html</w:t>
      </w:r>
      <w:r>
        <w:rPr>
          <w:rFonts w:asciiTheme="majorBidi" w:hAnsiTheme="majorBidi" w:cstheme="majorBidi"/>
          <w:sz w:val="24"/>
        </w:rPr>
        <w:t xml:space="preserve">) </w:t>
      </w:r>
      <w:r w:rsidRPr="00235BA5">
        <w:rPr>
          <w:rFonts w:asciiTheme="majorBidi" w:hAnsiTheme="majorBidi" w:cstheme="majorBidi"/>
          <w:sz w:val="24"/>
        </w:rPr>
        <w:t xml:space="preserve">and it is in these regions that use of chloroquine and quinine to combat malaria are likely to be highest, and contamination of wastewater with these </w:t>
      </w:r>
      <w:r>
        <w:rPr>
          <w:rFonts w:asciiTheme="majorBidi" w:hAnsiTheme="majorBidi" w:cstheme="majorBidi"/>
          <w:bCs/>
          <w:sz w:val="24"/>
        </w:rPr>
        <w:t>pharmaceuticals</w:t>
      </w:r>
      <w:r w:rsidRPr="00235BA5">
        <w:rPr>
          <w:rFonts w:asciiTheme="majorBidi" w:hAnsiTheme="majorBidi" w:cstheme="majorBidi"/>
          <w:sz w:val="24"/>
        </w:rPr>
        <w:t xml:space="preserve"> most frequent. Many LLMIC make extensive use of wastewater for the irrigation of agricultural and horticultural crops, particularly in </w:t>
      </w:r>
      <w:r w:rsidRPr="00235BA5">
        <w:rPr>
          <w:rFonts w:asciiTheme="majorBidi" w:hAnsiTheme="majorBidi" w:cstheme="majorBidi"/>
          <w:noProof/>
          <w:sz w:val="24"/>
        </w:rPr>
        <w:t>southern Asia and western South America</w:t>
      </w:r>
      <w:r>
        <w:rPr>
          <w:rFonts w:asciiTheme="majorBidi" w:hAnsiTheme="majorBidi" w:cstheme="majorBidi"/>
          <w:noProof/>
          <w:sz w:val="24"/>
        </w:rPr>
        <w:t xml:space="preserve"> (Lautze et al. 2014; Lees et al. 2016)</w:t>
      </w:r>
      <w:r w:rsidRPr="00235BA5">
        <w:rPr>
          <w:rFonts w:asciiTheme="majorBidi" w:hAnsiTheme="majorBidi" w:cstheme="majorBidi"/>
          <w:sz w:val="24"/>
        </w:rPr>
        <w:t>. The</w:t>
      </w:r>
      <w:r w:rsidRPr="00235BA5">
        <w:rPr>
          <w:rFonts w:asciiTheme="majorBidi" w:hAnsiTheme="majorBidi" w:cstheme="majorBidi"/>
          <w:noProof/>
          <w:sz w:val="24"/>
        </w:rPr>
        <w:t xml:space="preserve"> implication is that these quinolones will be continually added to surface waters, with possibly unforseen environmental consequences given their poorly understood modes of action.</w:t>
      </w:r>
    </w:p>
    <w:p w:rsidR="002455EF" w:rsidRPr="00235BA5" w:rsidRDefault="002455EF" w:rsidP="00723080">
      <w:pPr>
        <w:spacing w:line="480" w:lineRule="auto"/>
        <w:ind w:left="0" w:firstLine="720"/>
        <w:jc w:val="left"/>
        <w:rPr>
          <w:rFonts w:asciiTheme="majorBidi" w:hAnsiTheme="majorBidi" w:cstheme="majorBidi"/>
          <w:sz w:val="24"/>
        </w:rPr>
      </w:pPr>
      <w:r w:rsidRPr="00235BA5">
        <w:rPr>
          <w:rFonts w:asciiTheme="majorBidi" w:hAnsiTheme="majorBidi" w:cstheme="majorBidi"/>
          <w:sz w:val="24"/>
        </w:rPr>
        <w:lastRenderedPageBreak/>
        <w:t>Dopamine receptors occur in almost all vertebrate and invertebrate animals</w:t>
      </w:r>
      <w:r w:rsidRPr="00235BA5">
        <w:rPr>
          <w:rFonts w:asciiTheme="majorBidi" w:hAnsiTheme="majorBidi" w:cstheme="majorBidi"/>
          <w:color w:val="FF0000"/>
          <w:sz w:val="24"/>
        </w:rPr>
        <w:t xml:space="preserve"> </w:t>
      </w:r>
      <w:r w:rsidRPr="00E75900">
        <w:rPr>
          <w:rFonts w:asciiTheme="majorBidi" w:hAnsiTheme="majorBidi" w:cstheme="majorBidi"/>
          <w:noProof/>
          <w:sz w:val="24"/>
        </w:rPr>
        <w:t>(Barron et al. 2010)</w:t>
      </w:r>
      <w:r w:rsidRPr="00235BA5">
        <w:rPr>
          <w:rFonts w:asciiTheme="majorBidi" w:hAnsiTheme="majorBidi" w:cstheme="majorBidi"/>
          <w:sz w:val="24"/>
        </w:rPr>
        <w:t xml:space="preserve">, while some bacteria and many plant species synthesise dopamine. Unlike in animals, the function(s) of, and receptor(s) for, dopamine in plants has yet to be elucidated </w:t>
      </w:r>
      <w:r w:rsidRPr="00CF2E89">
        <w:rPr>
          <w:rFonts w:asciiTheme="majorBidi" w:hAnsiTheme="majorBidi" w:cstheme="majorBidi"/>
          <w:noProof/>
          <w:sz w:val="24"/>
        </w:rPr>
        <w:t>(Kulma &amp; Szopa 2007)</w:t>
      </w:r>
      <w:r w:rsidRPr="00235BA5">
        <w:rPr>
          <w:rFonts w:asciiTheme="majorBidi" w:hAnsiTheme="majorBidi" w:cstheme="majorBidi"/>
          <w:sz w:val="24"/>
        </w:rPr>
        <w:t xml:space="preserve">. The presence in surface waters of dopamine inhibitors like fluphenazine and other frequently prescribed behaviour-altering psychiatric and anti-depressant </w:t>
      </w:r>
      <w:r>
        <w:rPr>
          <w:rFonts w:asciiTheme="majorBidi" w:hAnsiTheme="majorBidi" w:cstheme="majorBidi"/>
          <w:bCs/>
          <w:sz w:val="24"/>
        </w:rPr>
        <w:t>pharmaceuticals</w:t>
      </w:r>
      <w:r w:rsidRPr="00235BA5">
        <w:rPr>
          <w:rFonts w:asciiTheme="majorBidi" w:hAnsiTheme="majorBidi" w:cstheme="majorBidi"/>
          <w:sz w:val="24"/>
        </w:rPr>
        <w:t xml:space="preserve"> is a cause for concern. It has been reported that the antipsychotic </w:t>
      </w:r>
      <w:r>
        <w:rPr>
          <w:rFonts w:asciiTheme="majorBidi" w:hAnsiTheme="majorBidi" w:cstheme="majorBidi"/>
          <w:bCs/>
          <w:sz w:val="24"/>
        </w:rPr>
        <w:t>pharmaceutical</w:t>
      </w:r>
      <w:r w:rsidRPr="00235BA5">
        <w:rPr>
          <w:rFonts w:asciiTheme="majorBidi" w:hAnsiTheme="majorBidi" w:cstheme="majorBidi"/>
          <w:sz w:val="24"/>
        </w:rPr>
        <w:t xml:space="preserve"> haloperidol, a dopamine inhibitor, may affect the behaviour of some fish species </w:t>
      </w:r>
      <w:r w:rsidRPr="00E75900">
        <w:rPr>
          <w:rFonts w:asciiTheme="majorBidi" w:hAnsiTheme="majorBidi" w:cstheme="majorBidi"/>
          <w:noProof/>
          <w:sz w:val="24"/>
        </w:rPr>
        <w:t>(Villeneuve et al. 2010a; Villeneuve et al. 2010b)</w:t>
      </w:r>
      <w:r w:rsidRPr="00235BA5">
        <w:rPr>
          <w:rFonts w:asciiTheme="majorBidi" w:hAnsiTheme="majorBidi" w:cstheme="majorBidi"/>
          <w:sz w:val="24"/>
        </w:rPr>
        <w:t xml:space="preserve">, while benzodiazepenes also </w:t>
      </w:r>
      <w:r>
        <w:rPr>
          <w:rFonts w:asciiTheme="majorBidi" w:hAnsiTheme="majorBidi" w:cstheme="majorBidi"/>
          <w:sz w:val="24"/>
        </w:rPr>
        <w:t xml:space="preserve">elucidate </w:t>
      </w:r>
      <w:r w:rsidRPr="00235BA5">
        <w:rPr>
          <w:rFonts w:asciiTheme="majorBidi" w:hAnsiTheme="majorBidi" w:cstheme="majorBidi"/>
          <w:sz w:val="24"/>
        </w:rPr>
        <w:t xml:space="preserve">behavioural changes in fish </w:t>
      </w:r>
      <w:r w:rsidRPr="00E75900">
        <w:rPr>
          <w:rFonts w:asciiTheme="majorBidi" w:hAnsiTheme="majorBidi" w:cstheme="majorBidi"/>
          <w:noProof/>
          <w:sz w:val="24"/>
        </w:rPr>
        <w:t>(Brodin et al. 2013; Giacomini et al. 2016)</w:t>
      </w:r>
      <w:r w:rsidRPr="00235BA5">
        <w:rPr>
          <w:rFonts w:asciiTheme="majorBidi" w:hAnsiTheme="majorBidi" w:cstheme="majorBidi"/>
          <w:sz w:val="24"/>
        </w:rPr>
        <w:t xml:space="preserve">. If these groups of neurotransmitters are persistent in the aquatic environment, then unanticipated </w:t>
      </w:r>
      <w:r>
        <w:rPr>
          <w:rFonts w:asciiTheme="majorBidi" w:hAnsiTheme="majorBidi" w:cstheme="majorBidi"/>
          <w:sz w:val="24"/>
        </w:rPr>
        <w:t xml:space="preserve">and undesired </w:t>
      </w:r>
      <w:r w:rsidRPr="00235BA5">
        <w:rPr>
          <w:rFonts w:asciiTheme="majorBidi" w:hAnsiTheme="majorBidi" w:cstheme="majorBidi"/>
          <w:sz w:val="24"/>
        </w:rPr>
        <w:t xml:space="preserve">impacts may emerge </w:t>
      </w:r>
      <w:r w:rsidRPr="00E75900">
        <w:rPr>
          <w:rFonts w:asciiTheme="majorBidi" w:hAnsiTheme="majorBidi" w:cstheme="majorBidi"/>
          <w:noProof/>
          <w:sz w:val="24"/>
        </w:rPr>
        <w:t>(Brodin et al. 2014)</w:t>
      </w:r>
      <w:r w:rsidRPr="00235BA5">
        <w:rPr>
          <w:rFonts w:asciiTheme="majorBidi" w:hAnsiTheme="majorBidi" w:cstheme="majorBidi"/>
          <w:sz w:val="24"/>
        </w:rPr>
        <w:t>.</w:t>
      </w:r>
    </w:p>
    <w:p w:rsidR="002455EF" w:rsidRPr="00235BA5" w:rsidRDefault="002455EF" w:rsidP="00D95477">
      <w:pPr>
        <w:spacing w:line="480" w:lineRule="auto"/>
        <w:ind w:left="0" w:firstLine="720"/>
        <w:jc w:val="left"/>
        <w:rPr>
          <w:rFonts w:asciiTheme="majorBidi" w:hAnsiTheme="majorBidi" w:cstheme="majorBidi"/>
          <w:sz w:val="24"/>
        </w:rPr>
      </w:pPr>
      <w:r w:rsidRPr="00235BA5">
        <w:rPr>
          <w:rFonts w:asciiTheme="majorBidi" w:hAnsiTheme="majorBidi" w:cstheme="majorBidi"/>
          <w:sz w:val="24"/>
        </w:rPr>
        <w:t xml:space="preserve">The inability to accurately </w:t>
      </w:r>
      <w:r w:rsidR="00330433" w:rsidRPr="006C41BD">
        <w:rPr>
          <w:rFonts w:asciiTheme="majorBidi" w:hAnsiTheme="majorBidi" w:cstheme="majorBidi"/>
          <w:sz w:val="24"/>
        </w:rPr>
        <w:t>model</w:t>
      </w:r>
      <w:r w:rsidRPr="00235BA5">
        <w:rPr>
          <w:rFonts w:asciiTheme="majorBidi" w:hAnsiTheme="majorBidi" w:cstheme="majorBidi"/>
          <w:sz w:val="24"/>
        </w:rPr>
        <w:t xml:space="preserve"> the bioaccumulation of ionisable </w:t>
      </w:r>
      <w:r>
        <w:rPr>
          <w:rFonts w:asciiTheme="majorBidi" w:hAnsiTheme="majorBidi" w:cstheme="majorBidi"/>
          <w:bCs/>
          <w:sz w:val="24"/>
        </w:rPr>
        <w:t>pharmaceuticals</w:t>
      </w:r>
      <w:r w:rsidRPr="00235BA5">
        <w:rPr>
          <w:rFonts w:asciiTheme="majorBidi" w:hAnsiTheme="majorBidi" w:cstheme="majorBidi"/>
          <w:sz w:val="24"/>
        </w:rPr>
        <w:t xml:space="preserve"> using established physico-chemical metrics, including the compounds examined in this study but also more widely, will prevent th</w:t>
      </w:r>
      <w:r>
        <w:rPr>
          <w:rFonts w:asciiTheme="majorBidi" w:hAnsiTheme="majorBidi" w:cstheme="majorBidi"/>
          <w:sz w:val="24"/>
        </w:rPr>
        <w:t>e</w:t>
      </w:r>
      <w:r w:rsidRPr="00235BA5">
        <w:rPr>
          <w:rFonts w:asciiTheme="majorBidi" w:hAnsiTheme="majorBidi" w:cstheme="majorBidi"/>
          <w:sz w:val="24"/>
        </w:rPr>
        <w:t xml:space="preserve"> development of a </w:t>
      </w:r>
      <w:r>
        <w:rPr>
          <w:rFonts w:asciiTheme="majorBidi" w:hAnsiTheme="majorBidi" w:cstheme="majorBidi"/>
          <w:sz w:val="24"/>
        </w:rPr>
        <w:t xml:space="preserve">robust and </w:t>
      </w:r>
      <w:r w:rsidRPr="00235BA5">
        <w:rPr>
          <w:rFonts w:asciiTheme="majorBidi" w:hAnsiTheme="majorBidi" w:cstheme="majorBidi"/>
          <w:sz w:val="24"/>
        </w:rPr>
        <w:t xml:space="preserve">comprehensive risk assessment of </w:t>
      </w:r>
      <w:r>
        <w:rPr>
          <w:rFonts w:asciiTheme="majorBidi" w:hAnsiTheme="majorBidi" w:cstheme="majorBidi"/>
          <w:bCs/>
          <w:sz w:val="24"/>
        </w:rPr>
        <w:t>pharmaceutical</w:t>
      </w:r>
      <w:r w:rsidRPr="00235BA5">
        <w:rPr>
          <w:rFonts w:asciiTheme="majorBidi" w:hAnsiTheme="majorBidi" w:cstheme="majorBidi"/>
          <w:sz w:val="24"/>
        </w:rPr>
        <w:t xml:space="preserve"> fate and impact in aquatic systems. Given the projected increases in </w:t>
      </w:r>
      <w:r>
        <w:rPr>
          <w:rFonts w:asciiTheme="majorBidi" w:hAnsiTheme="majorBidi" w:cstheme="majorBidi"/>
          <w:bCs/>
          <w:sz w:val="24"/>
        </w:rPr>
        <w:t>pharmaceutical</w:t>
      </w:r>
      <w:r w:rsidRPr="00235BA5">
        <w:rPr>
          <w:rFonts w:asciiTheme="majorBidi" w:hAnsiTheme="majorBidi" w:cstheme="majorBidi"/>
          <w:sz w:val="24"/>
        </w:rPr>
        <w:t xml:space="preserve"> use across the globe </w:t>
      </w:r>
      <w:r>
        <w:rPr>
          <w:rFonts w:asciiTheme="majorBidi" w:hAnsiTheme="majorBidi" w:cstheme="majorBidi"/>
          <w:noProof/>
          <w:sz w:val="24"/>
        </w:rPr>
        <w:t>(IMS 2015)</w:t>
      </w:r>
      <w:r w:rsidRPr="00235BA5">
        <w:rPr>
          <w:rFonts w:asciiTheme="majorBidi" w:hAnsiTheme="majorBidi" w:cstheme="majorBidi"/>
          <w:sz w:val="24"/>
        </w:rPr>
        <w:t xml:space="preserve"> it would appear prudent to </w:t>
      </w:r>
      <w:r>
        <w:rPr>
          <w:rFonts w:asciiTheme="majorBidi" w:hAnsiTheme="majorBidi" w:cstheme="majorBidi"/>
          <w:sz w:val="24"/>
        </w:rPr>
        <w:t xml:space="preserve">significantly improve </w:t>
      </w:r>
      <w:r w:rsidRPr="00235BA5">
        <w:rPr>
          <w:rFonts w:asciiTheme="majorBidi" w:hAnsiTheme="majorBidi" w:cstheme="majorBidi"/>
          <w:sz w:val="24"/>
        </w:rPr>
        <w:t>our predictive capability</w:t>
      </w:r>
      <w:r>
        <w:rPr>
          <w:rFonts w:asciiTheme="majorBidi" w:hAnsiTheme="majorBidi" w:cstheme="majorBidi"/>
          <w:sz w:val="24"/>
        </w:rPr>
        <w:t xml:space="preserve"> with respect to bioaccumulation</w:t>
      </w:r>
      <w:r w:rsidRPr="00235BA5">
        <w:rPr>
          <w:rFonts w:asciiTheme="majorBidi" w:hAnsiTheme="majorBidi" w:cstheme="majorBidi"/>
          <w:sz w:val="24"/>
        </w:rPr>
        <w:t>.</w:t>
      </w:r>
    </w:p>
    <w:p w:rsidR="002455EF" w:rsidRPr="00235BA5" w:rsidRDefault="002455EF" w:rsidP="006E54C3">
      <w:pPr>
        <w:spacing w:line="480" w:lineRule="auto"/>
        <w:ind w:left="0" w:firstLine="0"/>
        <w:jc w:val="left"/>
        <w:rPr>
          <w:rFonts w:ascii="Times New Roman" w:hAnsi="Times New Roman"/>
          <w:b/>
          <w:sz w:val="24"/>
        </w:rPr>
      </w:pPr>
      <w:r>
        <w:rPr>
          <w:rFonts w:ascii="Times New Roman" w:hAnsi="Times New Roman"/>
        </w:rPr>
        <w:br w:type="page"/>
      </w:r>
      <w:r>
        <w:rPr>
          <w:rFonts w:ascii="Times New Roman" w:hAnsi="Times New Roman"/>
          <w:b/>
          <w:sz w:val="24"/>
        </w:rPr>
        <w:lastRenderedPageBreak/>
        <w:t>4</w:t>
      </w:r>
      <w:r w:rsidRPr="00235BA5">
        <w:rPr>
          <w:rFonts w:ascii="Times New Roman" w:hAnsi="Times New Roman"/>
          <w:b/>
          <w:sz w:val="24"/>
        </w:rPr>
        <w:t xml:space="preserve"> Conclusions</w:t>
      </w:r>
    </w:p>
    <w:p w:rsidR="002455EF" w:rsidRPr="00235BA5" w:rsidRDefault="002455EF" w:rsidP="00854D83">
      <w:pPr>
        <w:spacing w:after="120" w:line="480" w:lineRule="auto"/>
        <w:ind w:left="0" w:firstLine="720"/>
        <w:jc w:val="left"/>
        <w:rPr>
          <w:rFonts w:ascii="Times New Roman" w:hAnsi="Times New Roman"/>
          <w:sz w:val="24"/>
        </w:rPr>
      </w:pPr>
      <w:r>
        <w:rPr>
          <w:rFonts w:ascii="Times New Roman" w:hAnsi="Times New Roman"/>
          <w:sz w:val="24"/>
        </w:rPr>
        <w:t xml:space="preserve">This </w:t>
      </w:r>
      <w:r w:rsidRPr="00235BA5">
        <w:rPr>
          <w:rFonts w:ascii="Times New Roman" w:hAnsi="Times New Roman"/>
          <w:sz w:val="24"/>
        </w:rPr>
        <w:t xml:space="preserve">study found that </w:t>
      </w:r>
      <w:r>
        <w:rPr>
          <w:rFonts w:ascii="Times New Roman" w:hAnsi="Times New Roman"/>
          <w:sz w:val="24"/>
        </w:rPr>
        <w:t xml:space="preserve">microbially-mediated </w:t>
      </w:r>
      <w:r>
        <w:rPr>
          <w:rFonts w:asciiTheme="majorBidi" w:hAnsiTheme="majorBidi" w:cstheme="majorBidi"/>
          <w:bCs/>
          <w:sz w:val="24"/>
        </w:rPr>
        <w:t>pharmaceutical</w:t>
      </w:r>
      <w:r w:rsidRPr="00235BA5">
        <w:rPr>
          <w:rFonts w:ascii="Times New Roman" w:hAnsi="Times New Roman"/>
          <w:sz w:val="24"/>
        </w:rPr>
        <w:t xml:space="preserve"> loss from river water containing bacterio-plankton occurred, to an extent, </w:t>
      </w:r>
      <w:r>
        <w:rPr>
          <w:rFonts w:ascii="Times New Roman" w:hAnsi="Times New Roman"/>
          <w:sz w:val="24"/>
        </w:rPr>
        <w:t xml:space="preserve">but only </w:t>
      </w:r>
      <w:r w:rsidRPr="00235BA5">
        <w:rPr>
          <w:rFonts w:ascii="Times New Roman" w:hAnsi="Times New Roman"/>
          <w:sz w:val="24"/>
        </w:rPr>
        <w:t xml:space="preserve">for a </w:t>
      </w:r>
      <w:r>
        <w:rPr>
          <w:rFonts w:asciiTheme="majorBidi" w:hAnsiTheme="majorBidi" w:cstheme="majorBidi"/>
          <w:bCs/>
          <w:sz w:val="24"/>
        </w:rPr>
        <w:t>pharmaceutical</w:t>
      </w:r>
      <w:r w:rsidRPr="00235BA5">
        <w:rPr>
          <w:rFonts w:ascii="Times New Roman" w:hAnsi="Times New Roman"/>
          <w:sz w:val="24"/>
        </w:rPr>
        <w:t xml:space="preserve"> </w:t>
      </w:r>
      <w:r w:rsidR="00D25F1C">
        <w:rPr>
          <w:rFonts w:ascii="Times New Roman" w:hAnsi="Times New Roman"/>
          <w:sz w:val="24"/>
        </w:rPr>
        <w:t>expected</w:t>
      </w:r>
      <w:r w:rsidRPr="00235BA5">
        <w:rPr>
          <w:rFonts w:ascii="Times New Roman" w:hAnsi="Times New Roman"/>
          <w:sz w:val="24"/>
        </w:rPr>
        <w:t xml:space="preserve"> to be largely un-ionised under the conditions of the experiment. No losses occurred, under similar conditions, for the three </w:t>
      </w:r>
      <w:r>
        <w:rPr>
          <w:rFonts w:asciiTheme="majorBidi" w:hAnsiTheme="majorBidi" w:cstheme="majorBidi"/>
          <w:bCs/>
          <w:sz w:val="24"/>
        </w:rPr>
        <w:t>pharmaceuticals</w:t>
      </w:r>
      <w:r w:rsidRPr="00235BA5">
        <w:rPr>
          <w:rFonts w:ascii="Times New Roman" w:hAnsi="Times New Roman"/>
          <w:sz w:val="24"/>
        </w:rPr>
        <w:t xml:space="preserve"> </w:t>
      </w:r>
      <w:r w:rsidR="00D1286D">
        <w:rPr>
          <w:rFonts w:ascii="Times New Roman" w:hAnsi="Times New Roman"/>
          <w:sz w:val="24"/>
        </w:rPr>
        <w:t>expected</w:t>
      </w:r>
      <w:r w:rsidRPr="00235BA5">
        <w:rPr>
          <w:rFonts w:ascii="Times New Roman" w:hAnsi="Times New Roman"/>
          <w:sz w:val="24"/>
        </w:rPr>
        <w:t xml:space="preserve"> to be ionised to a much greater degree. This observation is consistent with the paradigm that, in the absence of specific uptake mechanisms, small non-polar compounds are </w:t>
      </w:r>
      <w:r w:rsidR="00893C22">
        <w:rPr>
          <w:rFonts w:ascii="Times New Roman" w:hAnsi="Times New Roman"/>
          <w:sz w:val="24"/>
        </w:rPr>
        <w:t xml:space="preserve">more </w:t>
      </w:r>
      <w:r w:rsidRPr="00235BA5">
        <w:rPr>
          <w:rFonts w:ascii="Times New Roman" w:hAnsi="Times New Roman"/>
          <w:sz w:val="24"/>
        </w:rPr>
        <w:t xml:space="preserve">easily sorbed by living cells, compared to small polar moieties. The contrasting </w:t>
      </w:r>
      <w:r>
        <w:rPr>
          <w:rFonts w:ascii="Times New Roman" w:hAnsi="Times New Roman"/>
          <w:sz w:val="24"/>
        </w:rPr>
        <w:t>net hydrophilic values</w:t>
      </w:r>
      <w:r w:rsidRPr="00235BA5">
        <w:rPr>
          <w:rFonts w:ascii="Times New Roman" w:hAnsi="Times New Roman"/>
          <w:sz w:val="24"/>
        </w:rPr>
        <w:t xml:space="preserve"> calculated for the </w:t>
      </w:r>
      <w:r>
        <w:rPr>
          <w:rFonts w:asciiTheme="majorBidi" w:hAnsiTheme="majorBidi" w:cstheme="majorBidi"/>
          <w:bCs/>
          <w:sz w:val="24"/>
        </w:rPr>
        <w:t>pharmaceuticals</w:t>
      </w:r>
      <w:r w:rsidRPr="00235BA5">
        <w:rPr>
          <w:rFonts w:ascii="Times New Roman" w:hAnsi="Times New Roman"/>
          <w:sz w:val="24"/>
        </w:rPr>
        <w:t xml:space="preserve"> indicated that the explanation </w:t>
      </w:r>
      <w:r>
        <w:rPr>
          <w:rFonts w:ascii="Times New Roman" w:hAnsi="Times New Roman"/>
          <w:sz w:val="24"/>
        </w:rPr>
        <w:t>is less</w:t>
      </w:r>
      <w:r w:rsidRPr="00235BA5">
        <w:rPr>
          <w:rFonts w:ascii="Times New Roman" w:hAnsi="Times New Roman"/>
          <w:sz w:val="24"/>
        </w:rPr>
        <w:t xml:space="preserve"> straightforward, although some of the data underpinning the calculations may not be well constrained. </w:t>
      </w:r>
      <w:r>
        <w:rPr>
          <w:rFonts w:ascii="Times New Roman" w:hAnsi="Times New Roman"/>
          <w:sz w:val="24"/>
        </w:rPr>
        <w:t>Thus, a</w:t>
      </w:r>
      <w:r w:rsidRPr="00235BA5">
        <w:rPr>
          <w:rFonts w:ascii="Times New Roman" w:hAnsi="Times New Roman"/>
          <w:sz w:val="24"/>
        </w:rPr>
        <w:t xml:space="preserve">n improved predictive bacterio-plankton cell uptake capability for </w:t>
      </w:r>
      <w:r>
        <w:rPr>
          <w:rFonts w:ascii="Times New Roman" w:hAnsi="Times New Roman"/>
          <w:sz w:val="24"/>
        </w:rPr>
        <w:t xml:space="preserve">ionisable cationic </w:t>
      </w:r>
      <w:r>
        <w:rPr>
          <w:rFonts w:asciiTheme="majorBidi" w:hAnsiTheme="majorBidi" w:cstheme="majorBidi"/>
          <w:bCs/>
          <w:sz w:val="24"/>
        </w:rPr>
        <w:t>pharmaceuticals</w:t>
      </w:r>
      <w:r w:rsidRPr="00235BA5">
        <w:rPr>
          <w:rFonts w:ascii="Times New Roman" w:hAnsi="Times New Roman"/>
          <w:sz w:val="24"/>
        </w:rPr>
        <w:t xml:space="preserve"> in aquatic systems would appear </w:t>
      </w:r>
      <w:r>
        <w:rPr>
          <w:rFonts w:ascii="Times New Roman" w:hAnsi="Times New Roman"/>
          <w:sz w:val="24"/>
        </w:rPr>
        <w:t xml:space="preserve">to be </w:t>
      </w:r>
      <w:r w:rsidRPr="00235BA5">
        <w:rPr>
          <w:rFonts w:ascii="Times New Roman" w:hAnsi="Times New Roman"/>
          <w:sz w:val="24"/>
        </w:rPr>
        <w:t>imperative.</w:t>
      </w:r>
    </w:p>
    <w:p w:rsidR="002455EF" w:rsidRPr="00235BA5" w:rsidRDefault="002455EF" w:rsidP="00235BA5">
      <w:pPr>
        <w:spacing w:line="480" w:lineRule="auto"/>
        <w:ind w:left="0" w:firstLine="720"/>
        <w:jc w:val="left"/>
        <w:rPr>
          <w:rFonts w:ascii="Times New Roman" w:hAnsi="Times New Roman"/>
          <w:sz w:val="24"/>
        </w:rPr>
      </w:pPr>
      <w:r w:rsidRPr="00235BA5">
        <w:rPr>
          <w:rFonts w:ascii="Times New Roman" w:hAnsi="Times New Roman"/>
          <w:sz w:val="24"/>
        </w:rPr>
        <w:t xml:space="preserve">Although studies of </w:t>
      </w:r>
      <w:r>
        <w:rPr>
          <w:rFonts w:asciiTheme="majorBidi" w:hAnsiTheme="majorBidi" w:cstheme="majorBidi"/>
          <w:bCs/>
          <w:sz w:val="24"/>
        </w:rPr>
        <w:t>pharmaceuticals</w:t>
      </w:r>
      <w:r w:rsidRPr="00235BA5">
        <w:rPr>
          <w:rFonts w:ascii="Times New Roman" w:hAnsi="Times New Roman"/>
          <w:sz w:val="24"/>
        </w:rPr>
        <w:t xml:space="preserve"> in surface waters of high income countries is now in its fourth decade, their remains little systematic understanding of </w:t>
      </w:r>
      <w:r>
        <w:rPr>
          <w:rFonts w:asciiTheme="majorBidi" w:hAnsiTheme="majorBidi" w:cstheme="majorBidi"/>
          <w:bCs/>
          <w:sz w:val="24"/>
        </w:rPr>
        <w:t>pharmaceutical</w:t>
      </w:r>
      <w:r w:rsidRPr="00235BA5">
        <w:rPr>
          <w:rFonts w:ascii="Times New Roman" w:hAnsi="Times New Roman"/>
          <w:sz w:val="24"/>
        </w:rPr>
        <w:t xml:space="preserve"> transport, fate and impact. This is all the more concerning for lower income countries, where </w:t>
      </w:r>
      <w:r>
        <w:rPr>
          <w:rFonts w:asciiTheme="majorBidi" w:hAnsiTheme="majorBidi" w:cstheme="majorBidi"/>
          <w:bCs/>
          <w:sz w:val="24"/>
        </w:rPr>
        <w:t>pharmaceutical</w:t>
      </w:r>
      <w:r w:rsidRPr="00235BA5">
        <w:rPr>
          <w:rFonts w:ascii="Times New Roman" w:hAnsi="Times New Roman"/>
          <w:sz w:val="24"/>
        </w:rPr>
        <w:t xml:space="preserve"> use is forecast to increase significantly in the foreseeable future, with attendant increased losses of </w:t>
      </w:r>
      <w:r>
        <w:rPr>
          <w:rFonts w:asciiTheme="majorBidi" w:hAnsiTheme="majorBidi" w:cstheme="majorBidi"/>
          <w:bCs/>
          <w:sz w:val="24"/>
        </w:rPr>
        <w:t>pharmaceuticals</w:t>
      </w:r>
      <w:r w:rsidRPr="00235BA5">
        <w:rPr>
          <w:rFonts w:ascii="Times New Roman" w:hAnsi="Times New Roman"/>
          <w:sz w:val="24"/>
        </w:rPr>
        <w:t xml:space="preserve"> to the environment, and losses in many cases fuelled by the aspiration for the increased use of waste water for the irrigation of agricultural and horticultural crops. This will only enhance the widespread diffuse contamination of aquatic systems by </w:t>
      </w:r>
      <w:r>
        <w:rPr>
          <w:rFonts w:asciiTheme="majorBidi" w:hAnsiTheme="majorBidi" w:cstheme="majorBidi"/>
          <w:bCs/>
          <w:sz w:val="24"/>
        </w:rPr>
        <w:t>pharmaceuticals</w:t>
      </w:r>
      <w:r w:rsidRPr="00235BA5">
        <w:rPr>
          <w:rFonts w:ascii="Times New Roman" w:hAnsi="Times New Roman"/>
          <w:sz w:val="24"/>
        </w:rPr>
        <w:t xml:space="preserve">, with </w:t>
      </w:r>
      <w:r>
        <w:rPr>
          <w:rFonts w:ascii="Times New Roman" w:hAnsi="Times New Roman"/>
          <w:sz w:val="24"/>
        </w:rPr>
        <w:t>potential</w:t>
      </w:r>
      <w:r w:rsidRPr="00235BA5">
        <w:rPr>
          <w:rFonts w:ascii="Times New Roman" w:hAnsi="Times New Roman"/>
          <w:sz w:val="24"/>
        </w:rPr>
        <w:t xml:space="preserve"> unforeseen consequences.</w:t>
      </w:r>
      <w:r>
        <w:rPr>
          <w:rFonts w:ascii="Times New Roman" w:hAnsi="Times New Roman"/>
        </w:rPr>
        <w:br w:type="page"/>
      </w:r>
      <w:r w:rsidRPr="00235BA5">
        <w:rPr>
          <w:rFonts w:ascii="Times New Roman" w:hAnsi="Times New Roman"/>
          <w:b/>
          <w:sz w:val="24"/>
        </w:rPr>
        <w:lastRenderedPageBreak/>
        <w:t>Acknowledgments</w:t>
      </w:r>
    </w:p>
    <w:p w:rsidR="002455EF" w:rsidRPr="00235BA5" w:rsidRDefault="002455EF" w:rsidP="00044FBB">
      <w:pPr>
        <w:spacing w:line="480" w:lineRule="auto"/>
        <w:ind w:left="0" w:firstLine="720"/>
        <w:jc w:val="left"/>
        <w:rPr>
          <w:rFonts w:ascii="Times New Roman" w:hAnsi="Times New Roman"/>
          <w:sz w:val="24"/>
        </w:rPr>
      </w:pPr>
      <w:r w:rsidRPr="00235BA5">
        <w:rPr>
          <w:rFonts w:ascii="Times New Roman" w:hAnsi="Times New Roman"/>
          <w:sz w:val="24"/>
        </w:rPr>
        <w:t xml:space="preserve">This work was funded by the UK Natural Environment Research Council (grant NE/E006302/1) and the Seale-Hayne Educational Trust of Plymouth University. We are grateful to Dr Clare Redshaw (PU) for advice on the use of the Finnegan MAT LCQ mass spectrometer and Dr Claire Williams (PU) for help with the inorganic nutrient analyses. The </w:t>
      </w:r>
      <w:r>
        <w:rPr>
          <w:rFonts w:ascii="Times New Roman" w:hAnsi="Times New Roman"/>
          <w:sz w:val="24"/>
        </w:rPr>
        <w:t>microcosm</w:t>
      </w:r>
      <w:r w:rsidRPr="00235BA5">
        <w:rPr>
          <w:rFonts w:ascii="Times New Roman" w:hAnsi="Times New Roman"/>
          <w:sz w:val="24"/>
        </w:rPr>
        <w:t xml:space="preserve"> studies were undertaken in an ISO 9000:2001 accredited laboratory.</w:t>
      </w:r>
    </w:p>
    <w:p w:rsidR="002455EF" w:rsidRPr="00404CE2" w:rsidRDefault="002455EF" w:rsidP="00B81CAE">
      <w:pPr>
        <w:spacing w:line="480" w:lineRule="auto"/>
        <w:ind w:left="0" w:firstLine="0"/>
        <w:jc w:val="left"/>
        <w:rPr>
          <w:rFonts w:ascii="Times New Roman" w:hAnsi="Times New Roman"/>
          <w:b/>
          <w:sz w:val="24"/>
        </w:rPr>
      </w:pPr>
      <w:r>
        <w:rPr>
          <w:rFonts w:ascii="Times New Roman" w:hAnsi="Times New Roman"/>
        </w:rPr>
        <w:br w:type="page"/>
      </w:r>
      <w:r w:rsidRPr="00404CE2">
        <w:rPr>
          <w:rFonts w:ascii="Times New Roman" w:hAnsi="Times New Roman"/>
          <w:b/>
          <w:sz w:val="24"/>
        </w:rPr>
        <w:lastRenderedPageBreak/>
        <w:t>References</w:t>
      </w:r>
    </w:p>
    <w:p w:rsidR="005B230E" w:rsidRPr="002455EF" w:rsidRDefault="005B230E" w:rsidP="005B230E">
      <w:pPr>
        <w:pStyle w:val="EndNoteBibliography"/>
        <w:rPr>
          <w:rFonts w:asciiTheme="majorBidi" w:hAnsiTheme="majorBidi" w:cstheme="majorBidi"/>
          <w:sz w:val="24"/>
        </w:rPr>
      </w:pPr>
      <w:r w:rsidRPr="002455EF">
        <w:rPr>
          <w:rFonts w:asciiTheme="majorBidi" w:hAnsiTheme="majorBidi" w:cstheme="majorBidi"/>
          <w:sz w:val="24"/>
        </w:rPr>
        <w:t>Achan J, Talisuna A, Erhart A, Yeka A, Tibenderana J, Baliraine F, Rosenthal P, D'Alessandro U (2011) Quinine, an old anti-malarial drug in a modern world: role in the treatment of malaria. Malaria Journal 10: 144-155</w:t>
      </w:r>
    </w:p>
    <w:p w:rsidR="005B230E" w:rsidRPr="002455EF" w:rsidRDefault="005B230E" w:rsidP="005B230E">
      <w:pPr>
        <w:pStyle w:val="EndNoteBibliography"/>
        <w:rPr>
          <w:rFonts w:asciiTheme="majorBidi" w:hAnsiTheme="majorBidi" w:cstheme="majorBidi"/>
          <w:sz w:val="24"/>
        </w:rPr>
      </w:pPr>
      <w:r w:rsidRPr="002455EF">
        <w:rPr>
          <w:rFonts w:asciiTheme="majorBidi" w:hAnsiTheme="majorBidi" w:cstheme="majorBidi"/>
          <w:sz w:val="24"/>
        </w:rPr>
        <w:t>Ainsworth AM, Goulder R (1998) Microbial organic-nitrogen transformations along the Swale-Ouse river system, Northern England. Science of the Total Environment 210/211: 329-355</w:t>
      </w:r>
    </w:p>
    <w:p w:rsidR="005B230E" w:rsidRPr="002455EF" w:rsidRDefault="005B230E" w:rsidP="005B230E">
      <w:pPr>
        <w:pStyle w:val="EndNoteBibliography"/>
        <w:rPr>
          <w:rFonts w:asciiTheme="majorBidi" w:hAnsiTheme="majorBidi" w:cstheme="majorBidi"/>
          <w:sz w:val="24"/>
        </w:rPr>
      </w:pPr>
      <w:bookmarkStart w:id="1" w:name="_ENREF_3"/>
      <w:r w:rsidRPr="002455EF">
        <w:rPr>
          <w:rFonts w:asciiTheme="majorBidi" w:hAnsiTheme="majorBidi" w:cstheme="majorBidi"/>
          <w:sz w:val="24"/>
        </w:rPr>
        <w:t xml:space="preserve">Alexander M (1999) Biodegradation and Bioremediation, 2nd ed. Academic Press, </w:t>
      </w:r>
      <w:bookmarkEnd w:id="1"/>
    </w:p>
    <w:p w:rsidR="005B230E" w:rsidRPr="002455EF" w:rsidRDefault="005B230E" w:rsidP="005B230E">
      <w:pPr>
        <w:pStyle w:val="EndNoteBibliography"/>
        <w:rPr>
          <w:rFonts w:asciiTheme="majorBidi" w:hAnsiTheme="majorBidi" w:cstheme="majorBidi"/>
          <w:sz w:val="24"/>
        </w:rPr>
      </w:pPr>
      <w:bookmarkStart w:id="2" w:name="_ENREF_4"/>
      <w:r w:rsidRPr="002455EF">
        <w:rPr>
          <w:rFonts w:asciiTheme="majorBidi" w:hAnsiTheme="majorBidi" w:cstheme="majorBidi"/>
          <w:sz w:val="24"/>
        </w:rPr>
        <w:t>Arnold KE, Brown AR, Ankley GT, Sumpter JP (2014) Medicating the environment: assessing risks of pharmaceuticals to wildlife and ecosystems. Philosophical Transactions of the Royal Society of London B: Biological Sciences 369: 20130569</w:t>
      </w:r>
      <w:bookmarkEnd w:id="2"/>
    </w:p>
    <w:p w:rsidR="005B230E" w:rsidRPr="002455EF" w:rsidRDefault="005B230E" w:rsidP="005B230E">
      <w:pPr>
        <w:pStyle w:val="EndNoteBibliography"/>
        <w:rPr>
          <w:rFonts w:asciiTheme="majorBidi" w:hAnsiTheme="majorBidi" w:cstheme="majorBidi"/>
          <w:sz w:val="24"/>
        </w:rPr>
      </w:pPr>
      <w:bookmarkStart w:id="3" w:name="_ENREF_5"/>
      <w:r w:rsidRPr="002455EF">
        <w:rPr>
          <w:rFonts w:asciiTheme="majorBidi" w:hAnsiTheme="majorBidi" w:cstheme="majorBidi"/>
          <w:sz w:val="24"/>
        </w:rPr>
        <w:t>Barron AB, Søvik E, Cornish JL (2010) The roles of dopamine and related compounds in reward-seeking behavior across animal phyla. Frontier</w:t>
      </w:r>
      <w:r>
        <w:rPr>
          <w:rFonts w:asciiTheme="majorBidi" w:hAnsiTheme="majorBidi" w:cstheme="majorBidi"/>
          <w:sz w:val="24"/>
        </w:rPr>
        <w:t xml:space="preserve">s in Behavioral Neuroscience 4: </w:t>
      </w:r>
      <w:r w:rsidRPr="002455EF">
        <w:rPr>
          <w:rFonts w:asciiTheme="majorBidi" w:hAnsiTheme="majorBidi" w:cstheme="majorBidi"/>
          <w:sz w:val="24"/>
        </w:rPr>
        <w:t>163</w:t>
      </w:r>
      <w:bookmarkEnd w:id="3"/>
    </w:p>
    <w:p w:rsidR="005B230E" w:rsidRPr="002455EF" w:rsidRDefault="005B230E" w:rsidP="005B230E">
      <w:pPr>
        <w:pStyle w:val="EndNoteBibliography"/>
        <w:rPr>
          <w:rFonts w:asciiTheme="majorBidi" w:hAnsiTheme="majorBidi" w:cstheme="majorBidi"/>
          <w:sz w:val="24"/>
        </w:rPr>
      </w:pPr>
      <w:bookmarkStart w:id="4" w:name="_ENREF_6"/>
      <w:r w:rsidRPr="002455EF">
        <w:rPr>
          <w:rFonts w:asciiTheme="majorBidi" w:hAnsiTheme="majorBidi" w:cstheme="majorBidi"/>
          <w:sz w:val="24"/>
        </w:rPr>
        <w:t>Bengtsson MM, Wagner K, Burns NR, Herberg ER, Wanek W, Kaplan LA, Battin TJ (2014) No evidence of aquatic priming effects in hyporheic zone microcosms. Scientific Reports 4: 5187-5192</w:t>
      </w:r>
      <w:bookmarkEnd w:id="4"/>
    </w:p>
    <w:p w:rsidR="005B230E" w:rsidRPr="002455EF" w:rsidRDefault="005B230E" w:rsidP="005B230E">
      <w:pPr>
        <w:pStyle w:val="EndNoteBibliography"/>
        <w:rPr>
          <w:rFonts w:asciiTheme="majorBidi" w:hAnsiTheme="majorBidi" w:cstheme="majorBidi"/>
          <w:sz w:val="24"/>
        </w:rPr>
      </w:pPr>
      <w:bookmarkStart w:id="5" w:name="_ENREF_7"/>
      <w:r w:rsidRPr="002455EF">
        <w:rPr>
          <w:rFonts w:asciiTheme="majorBidi" w:hAnsiTheme="majorBidi" w:cstheme="majorBidi"/>
          <w:sz w:val="24"/>
        </w:rPr>
        <w:t>Benotti MJ, Brownawell BJ (2009) Microbial degradation of pharmaceuticals in estuarine and coastal seawater. Environmental Pollution 157: 994-1002</w:t>
      </w:r>
      <w:bookmarkEnd w:id="5"/>
    </w:p>
    <w:p w:rsidR="005B230E" w:rsidRPr="002455EF" w:rsidRDefault="005B230E" w:rsidP="005B230E">
      <w:pPr>
        <w:pStyle w:val="EndNoteBibliography"/>
        <w:rPr>
          <w:rFonts w:asciiTheme="majorBidi" w:hAnsiTheme="majorBidi" w:cstheme="majorBidi"/>
          <w:sz w:val="24"/>
        </w:rPr>
      </w:pPr>
      <w:bookmarkStart w:id="6" w:name="_ENREF_8"/>
      <w:r w:rsidRPr="002455EF">
        <w:rPr>
          <w:rFonts w:asciiTheme="majorBidi" w:hAnsiTheme="majorBidi" w:cstheme="majorBidi"/>
          <w:sz w:val="24"/>
        </w:rPr>
        <w:t>Bertol E, Mari F, Milia MG, Politi L, Furlanetto S, Karch SB (2011) Determination of aminorex in human urine samples by GC-MS after use of levamisole. Journal of Pharmaceuticals and Biomedicines 55: 1186-1189</w:t>
      </w:r>
      <w:bookmarkEnd w:id="6"/>
    </w:p>
    <w:p w:rsidR="005B230E" w:rsidRPr="002455EF" w:rsidRDefault="005B230E" w:rsidP="005B230E">
      <w:pPr>
        <w:pStyle w:val="EndNoteBibliography"/>
        <w:rPr>
          <w:rFonts w:asciiTheme="majorBidi" w:hAnsiTheme="majorBidi" w:cstheme="majorBidi"/>
          <w:sz w:val="24"/>
        </w:rPr>
      </w:pPr>
      <w:bookmarkStart w:id="7" w:name="_ENREF_9"/>
      <w:r>
        <w:rPr>
          <w:rFonts w:asciiTheme="majorBidi" w:hAnsiTheme="majorBidi" w:cstheme="majorBidi"/>
          <w:sz w:val="24"/>
        </w:rPr>
        <w:t xml:space="preserve">Boxall AB, Rudd MA, Brooks BW et al. </w:t>
      </w:r>
      <w:r w:rsidRPr="002455EF">
        <w:rPr>
          <w:rFonts w:asciiTheme="majorBidi" w:hAnsiTheme="majorBidi" w:cstheme="majorBidi"/>
          <w:sz w:val="24"/>
        </w:rPr>
        <w:t>(2012) Pharmaceuticals and personal care products in the environment: what are the big questions? Environmental Health Perspectives 120: 1221-1229</w:t>
      </w:r>
      <w:bookmarkEnd w:id="7"/>
    </w:p>
    <w:p w:rsidR="005B230E" w:rsidRPr="002455EF" w:rsidRDefault="005B230E" w:rsidP="005B230E">
      <w:pPr>
        <w:pStyle w:val="EndNoteBibliography"/>
        <w:rPr>
          <w:rFonts w:asciiTheme="majorBidi" w:hAnsiTheme="majorBidi" w:cstheme="majorBidi"/>
          <w:sz w:val="24"/>
        </w:rPr>
      </w:pPr>
      <w:bookmarkStart w:id="8" w:name="_ENREF_10"/>
      <w:r w:rsidRPr="002455EF">
        <w:rPr>
          <w:rFonts w:asciiTheme="majorBidi" w:hAnsiTheme="majorBidi" w:cstheme="majorBidi"/>
          <w:sz w:val="24"/>
        </w:rPr>
        <w:t>Brodin T, Fick J, Jonsson M, Klaminder J (2013) Dilute concentrations of a psychiatric drug alter behavior of fish from natural populations. Science 339: 814-815</w:t>
      </w:r>
      <w:bookmarkEnd w:id="8"/>
    </w:p>
    <w:p w:rsidR="005B230E" w:rsidRPr="002455EF" w:rsidRDefault="005B230E" w:rsidP="005B230E">
      <w:pPr>
        <w:pStyle w:val="EndNoteBibliography"/>
        <w:rPr>
          <w:rFonts w:asciiTheme="majorBidi" w:hAnsiTheme="majorBidi" w:cstheme="majorBidi"/>
          <w:sz w:val="24"/>
        </w:rPr>
      </w:pPr>
      <w:bookmarkStart w:id="9" w:name="_ENREF_11"/>
      <w:r w:rsidRPr="002455EF">
        <w:rPr>
          <w:rFonts w:asciiTheme="majorBidi" w:hAnsiTheme="majorBidi" w:cstheme="majorBidi"/>
          <w:sz w:val="24"/>
        </w:rPr>
        <w:t>Brodin T, Piovano S, Fick J, Klaminder J, Heynen M, Jonsson M (2014) Ecological effects of pharmaceuticals in aquatic systems - impacts through behavioural alterations. Philosophical Transactions of the Royal Society of London B: Biological Sciences 369: 20130580</w:t>
      </w:r>
      <w:bookmarkEnd w:id="9"/>
    </w:p>
    <w:p w:rsidR="00DE3E04" w:rsidRPr="00DE3E04" w:rsidRDefault="00DE3E04" w:rsidP="005B230E">
      <w:pPr>
        <w:pStyle w:val="EndNoteBibliography"/>
        <w:rPr>
          <w:rStyle w:val="externalref"/>
          <w:rFonts w:ascii="Times New Roman" w:hAnsi="Times New Roman" w:cs="Times New Roman"/>
          <w:spacing w:val="2"/>
          <w:sz w:val="24"/>
          <w:shd w:val="clear" w:color="auto" w:fill="FCFCFC"/>
        </w:rPr>
      </w:pPr>
      <w:bookmarkStart w:id="10" w:name="_ENREF_13"/>
      <w:r w:rsidRPr="00DE3E04">
        <w:rPr>
          <w:rFonts w:ascii="Times New Roman" w:hAnsi="Times New Roman" w:cs="Times New Roman"/>
          <w:spacing w:val="2"/>
          <w:sz w:val="24"/>
          <w:shd w:val="clear" w:color="auto" w:fill="FCFCFC"/>
        </w:rPr>
        <w:t>Brooks BW, Covaci A, Barcelo D (2012) Pharmaceuticals and illicit drugs in aquatic systems. Science of the Total Environment, Virtual Special Issue.</w:t>
      </w:r>
      <w:hyperlink r:id="rId9" w:tgtFrame="_blank" w:history="1">
        <w:r w:rsidRPr="00DE3E04">
          <w:rPr>
            <w:rStyle w:val="refsource"/>
            <w:rFonts w:ascii="Times New Roman" w:hAnsi="Times New Roman" w:cs="Times New Roman"/>
            <w:spacing w:val="2"/>
            <w:sz w:val="24"/>
            <w:u w:val="single"/>
          </w:rPr>
          <w:t>http://www.journals.elsevier.com/science-of-the-totalenvironment/virtual-special-issues/pharmaceuticals-and-illicit-drugs-in-aquatic-systems</w:t>
        </w:r>
      </w:hyperlink>
    </w:p>
    <w:p w:rsidR="005B230E" w:rsidRPr="002455EF" w:rsidRDefault="005B230E" w:rsidP="005B230E">
      <w:pPr>
        <w:pStyle w:val="EndNoteBibliography"/>
        <w:rPr>
          <w:rFonts w:asciiTheme="majorBidi" w:hAnsiTheme="majorBidi" w:cstheme="majorBidi"/>
          <w:sz w:val="24"/>
        </w:rPr>
      </w:pPr>
      <w:r w:rsidRPr="002455EF">
        <w:rPr>
          <w:rFonts w:asciiTheme="majorBidi" w:hAnsiTheme="majorBidi" w:cstheme="majorBidi"/>
          <w:sz w:val="24"/>
        </w:rPr>
        <w:t>Capleton AC, Courage C, Rumsby P, Holmes P, Stutt E, Boxall ABA, Levy LS (2006) Prioritising veterinary medicines according to their potential indirect human exposure and toxicity profile. Toxicology Letters 163: 213-223</w:t>
      </w:r>
      <w:bookmarkEnd w:id="10"/>
    </w:p>
    <w:p w:rsidR="005B230E" w:rsidRPr="002455EF" w:rsidRDefault="005B230E" w:rsidP="005B230E">
      <w:pPr>
        <w:pStyle w:val="EndNoteBibliography"/>
        <w:rPr>
          <w:rFonts w:asciiTheme="majorBidi" w:hAnsiTheme="majorBidi" w:cstheme="majorBidi"/>
          <w:sz w:val="24"/>
        </w:rPr>
      </w:pPr>
      <w:bookmarkStart w:id="11" w:name="_ENREF_1"/>
      <w:bookmarkStart w:id="12" w:name="_ENREF_14"/>
      <w:r w:rsidRPr="002455EF">
        <w:rPr>
          <w:rFonts w:asciiTheme="majorBidi" w:hAnsiTheme="majorBidi" w:cstheme="majorBidi"/>
          <w:sz w:val="24"/>
        </w:rPr>
        <w:t>Cizmas L, Sharma VK, Gray CM, McDonald TJ (2015) Pharmaceuticals and personal care products in waters: occurrence, toxicity, and risk. Envir</w:t>
      </w:r>
      <w:r>
        <w:rPr>
          <w:rFonts w:asciiTheme="majorBidi" w:hAnsiTheme="majorBidi" w:cstheme="majorBidi"/>
          <w:sz w:val="24"/>
        </w:rPr>
        <w:t>onmental Chemistry Letters 13</w:t>
      </w:r>
      <w:r w:rsidRPr="002455EF">
        <w:rPr>
          <w:rFonts w:asciiTheme="majorBidi" w:hAnsiTheme="majorBidi" w:cstheme="majorBidi"/>
          <w:sz w:val="24"/>
        </w:rPr>
        <w:t>: 381-394</w:t>
      </w:r>
      <w:bookmarkEnd w:id="11"/>
    </w:p>
    <w:p w:rsidR="005B230E" w:rsidRPr="002455EF" w:rsidRDefault="005B230E" w:rsidP="005B230E">
      <w:pPr>
        <w:pStyle w:val="EndNoteBibliography"/>
        <w:rPr>
          <w:rFonts w:asciiTheme="majorBidi" w:hAnsiTheme="majorBidi" w:cstheme="majorBidi"/>
          <w:sz w:val="24"/>
        </w:rPr>
      </w:pPr>
      <w:r w:rsidRPr="002455EF">
        <w:rPr>
          <w:rFonts w:asciiTheme="majorBidi" w:hAnsiTheme="majorBidi" w:cstheme="majorBidi"/>
          <w:sz w:val="24"/>
        </w:rPr>
        <w:t>Dastidar SG, Chaudhury A, Annadurai S, Roy S, Mookerjee M, Chakrabarty AN (1995) In vitro and in vivo antimicrobial action of fluphenazine. Journal of Chemotherapy 7: 201-206</w:t>
      </w:r>
      <w:bookmarkEnd w:id="12"/>
    </w:p>
    <w:p w:rsidR="005B230E" w:rsidRPr="004D20A7" w:rsidRDefault="005B230E" w:rsidP="005B230E">
      <w:pPr>
        <w:pStyle w:val="EndNoteBibliography"/>
        <w:rPr>
          <w:rFonts w:asciiTheme="majorBidi" w:hAnsiTheme="majorBidi" w:cstheme="majorBidi"/>
          <w:sz w:val="24"/>
        </w:rPr>
      </w:pPr>
      <w:bookmarkStart w:id="13" w:name="_ENREF_15"/>
      <w:r w:rsidRPr="002455EF">
        <w:rPr>
          <w:rFonts w:asciiTheme="majorBidi" w:hAnsiTheme="majorBidi" w:cstheme="majorBidi"/>
          <w:sz w:val="24"/>
        </w:rPr>
        <w:t xml:space="preserve">ECETOC (2013) Environmental Exposure Assessment of Ionisable Organic Compounds. </w:t>
      </w:r>
      <w:r w:rsidRPr="004D20A7">
        <w:rPr>
          <w:rFonts w:asciiTheme="majorBidi" w:eastAsiaTheme="minorEastAsia" w:hAnsiTheme="majorBidi" w:cstheme="majorBidi"/>
          <w:sz w:val="24"/>
          <w:lang w:eastAsia="zh-CN" w:bidi="ar-SA"/>
        </w:rPr>
        <w:t>Technical report No. 123</w:t>
      </w:r>
      <w:r>
        <w:rPr>
          <w:rFonts w:asciiTheme="majorBidi" w:eastAsiaTheme="minorEastAsia" w:hAnsiTheme="majorBidi" w:cstheme="majorBidi"/>
          <w:sz w:val="24"/>
          <w:lang w:eastAsia="zh-CN" w:bidi="ar-SA"/>
        </w:rPr>
        <w:t xml:space="preserve">. </w:t>
      </w:r>
      <w:r w:rsidRPr="000F169E">
        <w:rPr>
          <w:rFonts w:asciiTheme="majorBidi" w:eastAsiaTheme="minorEastAsia" w:hAnsiTheme="majorBidi" w:cstheme="majorBidi"/>
          <w:sz w:val="24"/>
          <w:lang w:eastAsia="zh-CN" w:bidi="ar-SA"/>
        </w:rPr>
        <w:t>http://www.ecetoc.org/wp-content/uploads/2014/08/ECETOC-TR-123-Environmental-risk-assessment-of-ionisable-compounds.pdf</w:t>
      </w:r>
      <w:r>
        <w:rPr>
          <w:rFonts w:asciiTheme="majorBidi" w:eastAsiaTheme="minorEastAsia" w:hAnsiTheme="majorBidi" w:cstheme="majorBidi"/>
          <w:sz w:val="24"/>
          <w:lang w:eastAsia="zh-CN" w:bidi="ar-SA"/>
        </w:rPr>
        <w:t xml:space="preserve"> (accessed 18th July 2016)</w:t>
      </w:r>
      <w:r w:rsidRPr="004D20A7">
        <w:rPr>
          <w:rFonts w:asciiTheme="majorBidi" w:hAnsiTheme="majorBidi" w:cstheme="majorBidi"/>
          <w:sz w:val="24"/>
        </w:rPr>
        <w:t xml:space="preserve"> </w:t>
      </w:r>
      <w:bookmarkEnd w:id="13"/>
    </w:p>
    <w:p w:rsidR="005B230E" w:rsidRPr="002455EF" w:rsidRDefault="005B230E" w:rsidP="005B230E">
      <w:pPr>
        <w:pStyle w:val="EndNoteBibliography"/>
        <w:rPr>
          <w:rFonts w:asciiTheme="majorBidi" w:hAnsiTheme="majorBidi" w:cstheme="majorBidi"/>
          <w:sz w:val="24"/>
        </w:rPr>
      </w:pPr>
      <w:bookmarkStart w:id="14" w:name="_ENREF_16"/>
      <w:r w:rsidRPr="002455EF">
        <w:rPr>
          <w:rFonts w:asciiTheme="majorBidi" w:hAnsiTheme="majorBidi" w:cstheme="majorBidi"/>
          <w:sz w:val="24"/>
        </w:rPr>
        <w:lastRenderedPageBreak/>
        <w:t>Ellis LBM, Wackett LP (2012) Use of the University of Minnesota Biocatalysis/Biodegradation Database for study of microbial degradation. Microbial Informatics and Experimentation 2: 1-11</w:t>
      </w:r>
      <w:bookmarkEnd w:id="14"/>
    </w:p>
    <w:p w:rsidR="005B230E" w:rsidRDefault="005B230E" w:rsidP="005B230E">
      <w:pPr>
        <w:pStyle w:val="EndNoteBibliography"/>
        <w:rPr>
          <w:rFonts w:asciiTheme="majorBidi" w:hAnsiTheme="majorBidi" w:cstheme="majorBidi"/>
          <w:sz w:val="24"/>
          <w:lang w:val="en-GB"/>
        </w:rPr>
      </w:pPr>
      <w:bookmarkStart w:id="15" w:name="_ENREF_17"/>
      <w:r w:rsidRPr="002455EF">
        <w:rPr>
          <w:rFonts w:asciiTheme="majorBidi" w:hAnsiTheme="majorBidi" w:cstheme="majorBidi"/>
          <w:sz w:val="24"/>
        </w:rPr>
        <w:t xml:space="preserve">EU (2015) COMMISSION IMPLEMENTING DECISION (EU) 2015/495 of 20 March 2015 establishing a watch list of substances for Union-wide monitoring in the field of water policy pursuant to Directive 2008/105/EC of the European Parliament and of the Council. </w:t>
      </w:r>
      <w:r w:rsidRPr="000F169E">
        <w:rPr>
          <w:rFonts w:asciiTheme="majorBidi" w:hAnsiTheme="majorBidi" w:cstheme="majorBidi"/>
          <w:sz w:val="24"/>
          <w:lang w:val="en-GB"/>
        </w:rPr>
        <w:t>http://eur-lex.europa.eu/legal</w:t>
      </w:r>
    </w:p>
    <w:p w:rsidR="005B230E" w:rsidRPr="002455EF" w:rsidRDefault="005B230E" w:rsidP="005B230E">
      <w:pPr>
        <w:pStyle w:val="EndNoteBibliography"/>
        <w:ind w:firstLine="0"/>
        <w:rPr>
          <w:rFonts w:asciiTheme="majorBidi" w:hAnsiTheme="majorBidi" w:cstheme="majorBidi"/>
          <w:sz w:val="24"/>
          <w:lang w:val="en-GB"/>
        </w:rPr>
      </w:pPr>
      <w:r w:rsidRPr="002455EF">
        <w:rPr>
          <w:rFonts w:asciiTheme="majorBidi" w:hAnsiTheme="majorBidi" w:cstheme="majorBidi"/>
          <w:sz w:val="24"/>
          <w:lang w:val="en-GB"/>
        </w:rPr>
        <w:t>content/EN/TXT/PDF/?uri=CELEX:32015D0495&amp;from=EN</w:t>
      </w:r>
      <w:r>
        <w:rPr>
          <w:rFonts w:asciiTheme="majorBidi" w:hAnsiTheme="majorBidi" w:cstheme="majorBidi"/>
          <w:sz w:val="24"/>
          <w:lang w:val="en-GB"/>
        </w:rPr>
        <w:t xml:space="preserve"> </w:t>
      </w:r>
      <w:bookmarkEnd w:id="15"/>
      <w:r w:rsidRPr="002455EF">
        <w:rPr>
          <w:rFonts w:asciiTheme="majorBidi" w:hAnsiTheme="majorBidi" w:cstheme="majorBidi"/>
          <w:sz w:val="24"/>
          <w:lang w:val="en-GB"/>
        </w:rPr>
        <w:t>(accessed 18</w:t>
      </w:r>
      <w:r w:rsidRPr="002455EF">
        <w:rPr>
          <w:rFonts w:asciiTheme="majorBidi" w:hAnsiTheme="majorBidi" w:cstheme="majorBidi"/>
          <w:sz w:val="24"/>
          <w:vertAlign w:val="superscript"/>
          <w:lang w:val="en-GB"/>
        </w:rPr>
        <w:t>th</w:t>
      </w:r>
      <w:r w:rsidRPr="002455EF">
        <w:rPr>
          <w:rFonts w:asciiTheme="majorBidi" w:hAnsiTheme="majorBidi" w:cstheme="majorBidi"/>
          <w:sz w:val="24"/>
          <w:lang w:val="en-GB"/>
        </w:rPr>
        <w:t xml:space="preserve"> July, 2016)</w:t>
      </w:r>
    </w:p>
    <w:p w:rsidR="005B230E" w:rsidRPr="002455EF" w:rsidRDefault="005B230E" w:rsidP="005B230E">
      <w:pPr>
        <w:pStyle w:val="EndNoteBibliography"/>
        <w:rPr>
          <w:rFonts w:asciiTheme="majorBidi" w:hAnsiTheme="majorBidi" w:cstheme="majorBidi"/>
          <w:sz w:val="24"/>
        </w:rPr>
      </w:pPr>
      <w:bookmarkStart w:id="16" w:name="_ENREF_18"/>
      <w:r w:rsidRPr="002455EF">
        <w:rPr>
          <w:rFonts w:asciiTheme="majorBidi" w:hAnsiTheme="majorBidi" w:cstheme="majorBidi"/>
          <w:sz w:val="24"/>
        </w:rPr>
        <w:t>Giacomini ACVV, Abreu MS, Giacomini LV, Siebel AM, Zimerman FF, Rambo CL, Mocelin R, Bonan CD, Piato AL, Barcellos LJG (2016) Fluoxetine and diazepam acutely modulate stress induced-behavior. Behavioural Brain Research 296: 301-310</w:t>
      </w:r>
      <w:bookmarkEnd w:id="16"/>
    </w:p>
    <w:p w:rsidR="005B230E" w:rsidRPr="002455EF" w:rsidRDefault="005B230E" w:rsidP="005B230E">
      <w:pPr>
        <w:pStyle w:val="EndNoteBibliography"/>
        <w:rPr>
          <w:rFonts w:asciiTheme="majorBidi" w:hAnsiTheme="majorBidi" w:cstheme="majorBidi"/>
          <w:sz w:val="24"/>
        </w:rPr>
      </w:pPr>
      <w:bookmarkStart w:id="17" w:name="_ENREF_19"/>
      <w:r w:rsidRPr="002455EF">
        <w:rPr>
          <w:rFonts w:asciiTheme="majorBidi" w:hAnsiTheme="majorBidi" w:cstheme="majorBidi"/>
          <w:sz w:val="24"/>
        </w:rPr>
        <w:t>Gontikaki E, Thornton B, Huvenne VAI, Witte U (2013) Negative priming effect on organic matter mineralisation in NE Atlantic slope sediments. Plus One 8: e67722</w:t>
      </w:r>
      <w:bookmarkEnd w:id="17"/>
    </w:p>
    <w:p w:rsidR="005B230E" w:rsidRPr="002455EF" w:rsidRDefault="005B230E" w:rsidP="005B230E">
      <w:pPr>
        <w:pStyle w:val="EndNoteBibliography"/>
        <w:rPr>
          <w:rFonts w:asciiTheme="majorBidi" w:hAnsiTheme="majorBidi" w:cstheme="majorBidi"/>
          <w:sz w:val="24"/>
        </w:rPr>
      </w:pPr>
      <w:bookmarkStart w:id="18" w:name="_ENREF_20"/>
      <w:r w:rsidRPr="002455EF">
        <w:rPr>
          <w:rFonts w:asciiTheme="majorBidi" w:hAnsiTheme="majorBidi" w:cstheme="majorBidi"/>
          <w:sz w:val="24"/>
        </w:rPr>
        <w:t>Griese JJ, Jakob RP, Schwarzinger S, Dobbek H (2006) Xenobiotic reductase A in the degradation of quinoline by Pseudomonas putida 86: function, structure and mechanism of 8-hydroxycoumarin reduction. Journal of Molecular Biology 361: 140-152</w:t>
      </w:r>
      <w:bookmarkEnd w:id="18"/>
    </w:p>
    <w:p w:rsidR="005B230E" w:rsidRPr="002455EF" w:rsidRDefault="005B230E" w:rsidP="005B230E">
      <w:pPr>
        <w:pStyle w:val="EndNoteBibliography"/>
        <w:rPr>
          <w:rFonts w:asciiTheme="majorBidi" w:hAnsiTheme="majorBidi" w:cstheme="majorBidi"/>
          <w:sz w:val="24"/>
        </w:rPr>
      </w:pPr>
      <w:bookmarkStart w:id="19" w:name="_ENREF_21"/>
      <w:r w:rsidRPr="002455EF">
        <w:rPr>
          <w:rFonts w:asciiTheme="majorBidi" w:hAnsiTheme="majorBidi" w:cstheme="majorBidi"/>
          <w:sz w:val="24"/>
        </w:rPr>
        <w:t>Griffiths RI, Whiteley AS, O'Donnell AG, Bailey MJ (2000) Rapid method for co-extraction of DNA and RNA from natural environments for analysis of ribosomal DNA- abd RNA-based microbial community composition. Applied and Environmental Microbiology 66: 5488-5491</w:t>
      </w:r>
      <w:bookmarkEnd w:id="19"/>
    </w:p>
    <w:p w:rsidR="005B230E" w:rsidRPr="002455EF" w:rsidRDefault="005B230E" w:rsidP="005B230E">
      <w:pPr>
        <w:pStyle w:val="EndNoteBibliography"/>
        <w:rPr>
          <w:rFonts w:asciiTheme="majorBidi" w:hAnsiTheme="majorBidi" w:cstheme="majorBidi"/>
          <w:sz w:val="24"/>
        </w:rPr>
      </w:pPr>
      <w:bookmarkStart w:id="20" w:name="_ENREF_22"/>
      <w:r w:rsidRPr="002455EF">
        <w:rPr>
          <w:rFonts w:asciiTheme="majorBidi" w:hAnsiTheme="majorBidi" w:cstheme="majorBidi"/>
          <w:sz w:val="24"/>
        </w:rPr>
        <w:t>Guenet B, Danger M, Abbadie L, Lacroix G (2010) Priming effect: bridging the gap between terrestrial and aquatic ecology. Ecology 91: 2850-2861</w:t>
      </w:r>
      <w:bookmarkEnd w:id="20"/>
    </w:p>
    <w:p w:rsidR="005B230E" w:rsidRPr="002455EF" w:rsidRDefault="005B230E" w:rsidP="005B230E">
      <w:pPr>
        <w:pStyle w:val="EndNoteBibliography"/>
        <w:rPr>
          <w:rFonts w:asciiTheme="majorBidi" w:hAnsiTheme="majorBidi" w:cstheme="majorBidi"/>
          <w:sz w:val="24"/>
        </w:rPr>
      </w:pPr>
      <w:bookmarkStart w:id="21" w:name="_ENREF_23"/>
      <w:r w:rsidRPr="002455EF">
        <w:rPr>
          <w:rFonts w:asciiTheme="majorBidi" w:hAnsiTheme="majorBidi" w:cstheme="majorBidi"/>
          <w:sz w:val="24"/>
        </w:rPr>
        <w:t>Guenet B, Danger M, Harrault L, Allard B, Jauset-Alcala M, Bardoux G, Benest D, Abbadie L, Lacroix G (2014) Fast mineralization of land-born C in inland waters: first experimental evidences of aquatic priming effect. Hydrobiologia 721: 35-44</w:t>
      </w:r>
      <w:bookmarkEnd w:id="21"/>
    </w:p>
    <w:p w:rsidR="005B230E" w:rsidRPr="002455EF" w:rsidRDefault="005B230E" w:rsidP="005B230E">
      <w:pPr>
        <w:pStyle w:val="EndNoteBibliography"/>
        <w:rPr>
          <w:rFonts w:asciiTheme="majorBidi" w:hAnsiTheme="majorBidi" w:cstheme="majorBidi"/>
          <w:sz w:val="24"/>
        </w:rPr>
      </w:pPr>
      <w:bookmarkStart w:id="22" w:name="_ENREF_24"/>
      <w:r w:rsidRPr="002455EF">
        <w:rPr>
          <w:rFonts w:asciiTheme="majorBidi" w:hAnsiTheme="majorBidi" w:cstheme="majorBidi"/>
          <w:sz w:val="24"/>
        </w:rPr>
        <w:t>Gulde R, Helbling DE, Scheidegger A, Fenner K (2014) pH-dependent biotransformation of ionizable organic micropollutants in activated sludge. Environmental Science &amp; Technology 48: 13760-13768</w:t>
      </w:r>
      <w:bookmarkEnd w:id="22"/>
    </w:p>
    <w:p w:rsidR="005B230E" w:rsidRPr="002455EF" w:rsidRDefault="005B230E" w:rsidP="005B230E">
      <w:pPr>
        <w:pStyle w:val="EndNoteBibliography"/>
        <w:rPr>
          <w:rFonts w:asciiTheme="majorBidi" w:hAnsiTheme="majorBidi" w:cstheme="majorBidi"/>
          <w:sz w:val="24"/>
        </w:rPr>
      </w:pPr>
      <w:bookmarkStart w:id="23" w:name="_ENREF_25"/>
      <w:r w:rsidRPr="002455EF">
        <w:rPr>
          <w:rFonts w:asciiTheme="majorBidi" w:hAnsiTheme="majorBidi" w:cstheme="majorBidi"/>
          <w:sz w:val="24"/>
        </w:rPr>
        <w:t>Gulde R, Meier U, Schymanski EL, Kohler H-PE, Helbling DE, Derrer S, Rentsch D, Fenner K (2016) Systematic exploration of biotransformation reactions of amine-containing micropollutants in activated sludge. Environmental Science &amp; Technology 50: 2908-2920</w:t>
      </w:r>
      <w:bookmarkEnd w:id="23"/>
    </w:p>
    <w:p w:rsidR="005B230E" w:rsidRPr="002455EF" w:rsidRDefault="005B230E" w:rsidP="005B230E">
      <w:pPr>
        <w:pStyle w:val="EndNoteBibliography"/>
        <w:rPr>
          <w:rFonts w:asciiTheme="majorBidi" w:hAnsiTheme="majorBidi" w:cstheme="majorBidi"/>
          <w:sz w:val="24"/>
        </w:rPr>
      </w:pPr>
      <w:bookmarkStart w:id="24" w:name="_ENREF_26"/>
      <w:r w:rsidRPr="002455EF">
        <w:rPr>
          <w:rFonts w:asciiTheme="majorBidi" w:hAnsiTheme="majorBidi" w:cstheme="majorBidi"/>
          <w:sz w:val="24"/>
        </w:rPr>
        <w:t>Hancock REW, Bell A (1988) Antibiotic uptake into gram-negative bacteria. European Journal of Microbiology and Infectious Diseases 7: 713-720</w:t>
      </w:r>
      <w:bookmarkEnd w:id="24"/>
    </w:p>
    <w:p w:rsidR="005B230E" w:rsidRPr="002455EF" w:rsidRDefault="005B230E" w:rsidP="005B230E">
      <w:pPr>
        <w:pStyle w:val="EndNoteBibliography"/>
        <w:rPr>
          <w:rFonts w:asciiTheme="majorBidi" w:hAnsiTheme="majorBidi" w:cstheme="majorBidi"/>
          <w:sz w:val="24"/>
        </w:rPr>
      </w:pPr>
      <w:bookmarkStart w:id="25" w:name="_ENREF_27"/>
      <w:r w:rsidRPr="002455EF">
        <w:rPr>
          <w:rFonts w:asciiTheme="majorBidi" w:hAnsiTheme="majorBidi" w:cstheme="majorBidi"/>
          <w:sz w:val="24"/>
        </w:rPr>
        <w:t>Holmes RM, Aminot A, Kérouel R, Hooker BA, Peterson BJ (1999) A simple and precise method for measuring ammonium in marine and freshwater ecosystems. Canadian Journal of Fisheries and Aquatic Sciences 56: 1801-1808</w:t>
      </w:r>
      <w:bookmarkEnd w:id="25"/>
    </w:p>
    <w:p w:rsidR="005B230E" w:rsidRPr="002455EF" w:rsidRDefault="005B230E" w:rsidP="005B230E">
      <w:pPr>
        <w:pStyle w:val="EndNoteBibliography"/>
        <w:rPr>
          <w:rFonts w:asciiTheme="majorBidi" w:hAnsiTheme="majorBidi" w:cstheme="majorBidi"/>
          <w:sz w:val="24"/>
        </w:rPr>
      </w:pPr>
      <w:bookmarkStart w:id="26" w:name="_ENREF_28"/>
      <w:r w:rsidRPr="002455EF">
        <w:rPr>
          <w:rFonts w:asciiTheme="majorBidi" w:hAnsiTheme="majorBidi" w:cstheme="majorBidi"/>
          <w:sz w:val="24"/>
        </w:rPr>
        <w:t>Hughes SR, Kay P, Brown LE (2013) Global synthesis and critical evaluation of pharmaceutical data sets collected from river systems. Environmental Science &amp; Technology 47: 661-677</w:t>
      </w:r>
      <w:bookmarkEnd w:id="26"/>
    </w:p>
    <w:p w:rsidR="005B230E" w:rsidRPr="002455EF" w:rsidRDefault="005B230E" w:rsidP="005B230E">
      <w:pPr>
        <w:pStyle w:val="EndNoteBibliography"/>
        <w:rPr>
          <w:rFonts w:asciiTheme="majorBidi" w:hAnsiTheme="majorBidi" w:cstheme="majorBidi"/>
          <w:sz w:val="24"/>
        </w:rPr>
      </w:pPr>
      <w:bookmarkStart w:id="27" w:name="_ENREF_29"/>
      <w:r w:rsidRPr="002455EF">
        <w:rPr>
          <w:rFonts w:asciiTheme="majorBidi" w:hAnsiTheme="majorBidi" w:cstheme="majorBidi"/>
          <w:sz w:val="24"/>
        </w:rPr>
        <w:t>Hutchinson TH, Lyons BP, Thain JE, Law RJ (2013) Evaluating legacy contaminants and emerging chemicals in marine environments using adverse outcome pathways and biological effects-directed analysis. Marine Pollution Bulletin 74: 517-525</w:t>
      </w:r>
      <w:bookmarkEnd w:id="27"/>
    </w:p>
    <w:p w:rsidR="007F419E" w:rsidRPr="007F419E" w:rsidRDefault="007F419E" w:rsidP="005B230E">
      <w:pPr>
        <w:pStyle w:val="EndNoteBibliography"/>
        <w:rPr>
          <w:rStyle w:val="externalref"/>
          <w:rFonts w:ascii="Times New Roman" w:hAnsi="Times New Roman" w:cs="Times New Roman"/>
          <w:spacing w:val="2"/>
          <w:sz w:val="24"/>
          <w:shd w:val="clear" w:color="auto" w:fill="FCFCFC"/>
        </w:rPr>
      </w:pPr>
      <w:bookmarkStart w:id="28" w:name="_ENREF_31"/>
      <w:r w:rsidRPr="007F419E">
        <w:rPr>
          <w:rFonts w:ascii="Times New Roman" w:hAnsi="Times New Roman" w:cs="Times New Roman"/>
          <w:spacing w:val="2"/>
          <w:sz w:val="24"/>
          <w:shd w:val="clear" w:color="auto" w:fill="FCFCFC"/>
        </w:rPr>
        <w:t>IMS (2015) Global medicines use in 2020: outlook and implications. Institute for Healthcare Informatics, November 2015.</w:t>
      </w:r>
      <w:r w:rsidRPr="007F419E">
        <w:rPr>
          <w:rStyle w:val="apple-converted-space"/>
          <w:rFonts w:ascii="Times New Roman" w:hAnsi="Times New Roman" w:cs="Times New Roman"/>
          <w:spacing w:val="2"/>
          <w:sz w:val="24"/>
          <w:shd w:val="clear" w:color="auto" w:fill="FCFCFC"/>
        </w:rPr>
        <w:t> </w:t>
      </w:r>
      <w:hyperlink r:id="rId10" w:tgtFrame="_blank" w:history="1">
        <w:r w:rsidRPr="007F419E">
          <w:rPr>
            <w:rStyle w:val="refsource"/>
            <w:rFonts w:ascii="Times New Roman" w:hAnsi="Times New Roman" w:cs="Times New Roman"/>
            <w:spacing w:val="2"/>
            <w:sz w:val="24"/>
            <w:u w:val="single"/>
          </w:rPr>
          <w:t>http://www.imshealth.com/en/thought-leadership/ims-institute/reports/global-medicines-use-in-2020</w:t>
        </w:r>
      </w:hyperlink>
    </w:p>
    <w:p w:rsidR="005B230E" w:rsidRPr="002455EF" w:rsidRDefault="005B230E" w:rsidP="005B230E">
      <w:pPr>
        <w:pStyle w:val="EndNoteBibliography"/>
        <w:rPr>
          <w:rFonts w:asciiTheme="majorBidi" w:hAnsiTheme="majorBidi" w:cstheme="majorBidi"/>
          <w:sz w:val="24"/>
        </w:rPr>
      </w:pPr>
      <w:r w:rsidRPr="002455EF">
        <w:rPr>
          <w:rFonts w:asciiTheme="majorBidi" w:hAnsiTheme="majorBidi" w:cstheme="majorBidi"/>
          <w:sz w:val="24"/>
        </w:rPr>
        <w:t>Jones OAH, Voulvoulis N, Lester JN (2002) Aquatic environmental assessment of the top 25 English prescription pharmaceuticals. Water Research 36: 5013-5022</w:t>
      </w:r>
      <w:bookmarkEnd w:id="28"/>
    </w:p>
    <w:p w:rsidR="005B230E" w:rsidRPr="002455EF" w:rsidRDefault="005B230E" w:rsidP="005B230E">
      <w:pPr>
        <w:pStyle w:val="EndNoteBibliography"/>
        <w:rPr>
          <w:rFonts w:asciiTheme="majorBidi" w:hAnsiTheme="majorBidi" w:cstheme="majorBidi"/>
          <w:sz w:val="24"/>
        </w:rPr>
      </w:pPr>
      <w:bookmarkStart w:id="29" w:name="_ENREF_32"/>
      <w:r w:rsidRPr="002455EF">
        <w:rPr>
          <w:rFonts w:asciiTheme="majorBidi" w:hAnsiTheme="majorBidi" w:cstheme="majorBidi"/>
          <w:sz w:val="24"/>
        </w:rPr>
        <w:t>Kah M, Brown CD (2008) Log D: lipophilicity for ionisable compounds. Chemosphere 72: 1401-1408</w:t>
      </w:r>
      <w:bookmarkEnd w:id="29"/>
    </w:p>
    <w:p w:rsidR="005B230E" w:rsidRPr="002455EF" w:rsidRDefault="005B230E" w:rsidP="005B230E">
      <w:pPr>
        <w:pStyle w:val="EndNoteBibliography"/>
        <w:rPr>
          <w:rFonts w:asciiTheme="majorBidi" w:hAnsiTheme="majorBidi" w:cstheme="majorBidi"/>
          <w:sz w:val="24"/>
        </w:rPr>
      </w:pPr>
      <w:bookmarkStart w:id="30" w:name="_ENREF_33"/>
      <w:r w:rsidRPr="002455EF">
        <w:rPr>
          <w:rFonts w:asciiTheme="majorBidi" w:hAnsiTheme="majorBidi" w:cstheme="majorBidi"/>
          <w:sz w:val="24"/>
        </w:rPr>
        <w:lastRenderedPageBreak/>
        <w:t>Kulma A, Szopa J (2007) Catecholamines are active compounds in plants. Plant Science 172: 433-440</w:t>
      </w:r>
      <w:bookmarkEnd w:id="30"/>
    </w:p>
    <w:p w:rsidR="005B230E" w:rsidRPr="002455EF" w:rsidRDefault="005B230E" w:rsidP="005B230E">
      <w:pPr>
        <w:pStyle w:val="EndNoteBibliography"/>
        <w:rPr>
          <w:rFonts w:asciiTheme="majorBidi" w:hAnsiTheme="majorBidi" w:cstheme="majorBidi"/>
          <w:sz w:val="24"/>
        </w:rPr>
      </w:pPr>
      <w:bookmarkStart w:id="31" w:name="_ENREF_34"/>
      <w:r w:rsidRPr="002455EF">
        <w:rPr>
          <w:rFonts w:asciiTheme="majorBidi" w:hAnsiTheme="majorBidi" w:cstheme="majorBidi"/>
          <w:sz w:val="24"/>
        </w:rPr>
        <w:t>Kümmerer K (2008) Pharmaceuticals in the Environment: Sources, Fate, Effects and Risks 3rd ed. Springer-Verlag, Berlin</w:t>
      </w:r>
      <w:bookmarkEnd w:id="31"/>
    </w:p>
    <w:p w:rsidR="005B230E" w:rsidRPr="002455EF" w:rsidRDefault="005B230E" w:rsidP="005B230E">
      <w:pPr>
        <w:pStyle w:val="EndNoteBibliography"/>
        <w:rPr>
          <w:rFonts w:asciiTheme="majorBidi" w:hAnsiTheme="majorBidi" w:cstheme="majorBidi"/>
          <w:sz w:val="24"/>
        </w:rPr>
      </w:pPr>
      <w:bookmarkStart w:id="32" w:name="_ENREF_35"/>
      <w:r w:rsidRPr="002455EF">
        <w:rPr>
          <w:rFonts w:asciiTheme="majorBidi" w:hAnsiTheme="majorBidi" w:cstheme="majorBidi"/>
          <w:sz w:val="24"/>
        </w:rPr>
        <w:t>LaLone CA, Berninger JP, Villeneuve DL, Ankley GT (2014) Leveraging existing data for prioritization of the ecological risks of human and veterinary pharmaceuticals to aquatic organisms. Philosophical Transactions of the Royal Society of London B: Biological Sciences 369: 20140022</w:t>
      </w:r>
      <w:bookmarkEnd w:id="32"/>
    </w:p>
    <w:p w:rsidR="005B230E" w:rsidRPr="002455EF" w:rsidRDefault="005B230E" w:rsidP="005B230E">
      <w:pPr>
        <w:pStyle w:val="EndNoteBibliography"/>
        <w:rPr>
          <w:rFonts w:asciiTheme="majorBidi" w:hAnsiTheme="majorBidi" w:cstheme="majorBidi"/>
          <w:sz w:val="24"/>
        </w:rPr>
      </w:pPr>
      <w:bookmarkStart w:id="33" w:name="_ENREF_36"/>
      <w:r w:rsidRPr="002455EF">
        <w:rPr>
          <w:rFonts w:asciiTheme="majorBidi" w:hAnsiTheme="majorBidi" w:cstheme="majorBidi"/>
          <w:sz w:val="24"/>
        </w:rPr>
        <w:t xml:space="preserve">Lane DJ (1991) 16S/23S rRNA sequencing. In: Stackebrandt E &amp; Goodfellow M (eds) Nucleic Acid Techniques in Bacterial Systematics. John Wiley &amp; Sons, New York. </w:t>
      </w:r>
      <w:bookmarkEnd w:id="33"/>
    </w:p>
    <w:p w:rsidR="005B230E" w:rsidRPr="002455EF" w:rsidRDefault="005B230E" w:rsidP="005B230E">
      <w:pPr>
        <w:pStyle w:val="EndNoteBibliography"/>
        <w:rPr>
          <w:rFonts w:asciiTheme="majorBidi" w:hAnsiTheme="majorBidi" w:cstheme="majorBidi"/>
          <w:sz w:val="24"/>
        </w:rPr>
      </w:pPr>
      <w:bookmarkStart w:id="34" w:name="_ENREF_37"/>
      <w:r w:rsidRPr="002455EF">
        <w:rPr>
          <w:rFonts w:asciiTheme="majorBidi" w:hAnsiTheme="majorBidi" w:cstheme="majorBidi"/>
          <w:sz w:val="24"/>
        </w:rPr>
        <w:t>Lanusse CE, Alvaréz LI, Sallovitz JM, Mottier ML, Sanchez Bruni SF (2009) Antinematodal drugs. In: Riviere JE &amp; Papich MG (eds) Veterinary Pharmacology and Therapeutics 9th ed. Wiley-Blackwell, Iowa</w:t>
      </w:r>
      <w:bookmarkEnd w:id="34"/>
    </w:p>
    <w:p w:rsidR="00A13966" w:rsidRPr="00A13966" w:rsidRDefault="00A13966" w:rsidP="005B230E">
      <w:pPr>
        <w:pStyle w:val="EndNoteBibliography"/>
        <w:rPr>
          <w:rStyle w:val="externalref"/>
          <w:rFonts w:ascii="Times New Roman" w:hAnsi="Times New Roman" w:cs="Times New Roman"/>
          <w:spacing w:val="2"/>
          <w:sz w:val="24"/>
          <w:shd w:val="clear" w:color="auto" w:fill="FCFCFC"/>
        </w:rPr>
      </w:pPr>
      <w:bookmarkStart w:id="35" w:name="_ENREF_40"/>
      <w:r w:rsidRPr="00A13966">
        <w:rPr>
          <w:rFonts w:ascii="Times New Roman" w:hAnsi="Times New Roman" w:cs="Times New Roman"/>
          <w:spacing w:val="2"/>
          <w:sz w:val="24"/>
          <w:shd w:val="clear" w:color="auto" w:fill="FCFCFC"/>
        </w:rPr>
        <w:t>Lautze J, Stander E, Drechsel P, da Silva AK, Keraita B (2014) Global experience in water reuse. In: CGIAR Research Program on Water, Land and Ecosystems (WLE). International Water Management Institute (IWMI), Colombo, Sri Lanka, p 31. Resource Recovery and Reuse Series 4. doi:</w:t>
      </w:r>
      <w:hyperlink r:id="rId11" w:tgtFrame="_blank" w:history="1">
        <w:r w:rsidRPr="00A13966">
          <w:rPr>
            <w:rStyle w:val="refsource"/>
            <w:rFonts w:ascii="Times New Roman" w:hAnsi="Times New Roman" w:cs="Times New Roman"/>
            <w:spacing w:val="2"/>
            <w:sz w:val="24"/>
            <w:u w:val="single"/>
          </w:rPr>
          <w:t>10.5337/2014.209</w:t>
        </w:r>
      </w:hyperlink>
    </w:p>
    <w:p w:rsidR="00A13966" w:rsidRPr="00A13966" w:rsidRDefault="00A13966" w:rsidP="005B230E">
      <w:pPr>
        <w:pStyle w:val="EndNoteBibliography"/>
        <w:rPr>
          <w:rFonts w:ascii="Times New Roman" w:hAnsi="Times New Roman" w:cs="Times New Roman"/>
          <w:spacing w:val="2"/>
          <w:sz w:val="24"/>
          <w:shd w:val="clear" w:color="auto" w:fill="FCFCFC"/>
        </w:rPr>
      </w:pPr>
      <w:r w:rsidRPr="00A13966">
        <w:rPr>
          <w:rFonts w:ascii="Times New Roman" w:hAnsi="Times New Roman" w:cs="Times New Roman"/>
          <w:spacing w:val="2"/>
          <w:sz w:val="24"/>
          <w:shd w:val="clear" w:color="auto" w:fill="FCFCFC"/>
        </w:rPr>
        <w:t>Lees K, Fitzsimons M, Snape J, Tappin A, Comber S (2016) Pharmaceuticals in soils of lower income countries: physico-chemical fate and risks from wastewater irrigation. Environ Int 94:712–723</w:t>
      </w:r>
    </w:p>
    <w:p w:rsidR="005B230E" w:rsidRPr="002455EF" w:rsidRDefault="005B230E" w:rsidP="005B230E">
      <w:pPr>
        <w:pStyle w:val="EndNoteBibliography"/>
        <w:rPr>
          <w:rFonts w:asciiTheme="majorBidi" w:hAnsiTheme="majorBidi" w:cstheme="majorBidi"/>
          <w:sz w:val="24"/>
        </w:rPr>
      </w:pPr>
      <w:r w:rsidRPr="002455EF">
        <w:rPr>
          <w:rFonts w:asciiTheme="majorBidi" w:hAnsiTheme="majorBidi" w:cstheme="majorBidi"/>
          <w:sz w:val="24"/>
        </w:rPr>
        <w:t>Lim M-H, Snyder SA, Sedlak DL (2008) Use of biodegradable dissolved organic carbon (BDOC) to assess the potential for transformation of wastewater-derived contaminants in surface waters. Water Research 42: 2943-2952</w:t>
      </w:r>
      <w:bookmarkEnd w:id="35"/>
    </w:p>
    <w:p w:rsidR="005B230E" w:rsidRPr="002455EF" w:rsidRDefault="005B230E" w:rsidP="005B230E">
      <w:pPr>
        <w:pStyle w:val="EndNoteBibliography"/>
        <w:rPr>
          <w:rFonts w:asciiTheme="majorBidi" w:hAnsiTheme="majorBidi" w:cstheme="majorBidi"/>
          <w:sz w:val="24"/>
        </w:rPr>
      </w:pPr>
      <w:bookmarkStart w:id="36" w:name="_ENREF_41"/>
      <w:r w:rsidRPr="002455EF">
        <w:rPr>
          <w:rFonts w:asciiTheme="majorBidi" w:hAnsiTheme="majorBidi" w:cstheme="majorBidi"/>
          <w:sz w:val="24"/>
        </w:rPr>
        <w:t>Manallack DT, Prankerd RJ, Yuriev E, Oprea TI, Chalmers DK (2013) The significance of acid/base properties in drug discovery. Chemical Society Reviews 42: 485-496</w:t>
      </w:r>
      <w:bookmarkEnd w:id="36"/>
    </w:p>
    <w:p w:rsidR="005B230E" w:rsidRPr="002455EF" w:rsidRDefault="005B230E" w:rsidP="005B230E">
      <w:pPr>
        <w:pStyle w:val="EndNoteBibliography"/>
        <w:rPr>
          <w:rFonts w:asciiTheme="majorBidi" w:hAnsiTheme="majorBidi" w:cstheme="majorBidi"/>
          <w:sz w:val="24"/>
        </w:rPr>
      </w:pPr>
      <w:bookmarkStart w:id="37" w:name="_ENREF_42"/>
      <w:r w:rsidRPr="002455EF">
        <w:rPr>
          <w:rFonts w:asciiTheme="majorBidi" w:hAnsiTheme="majorBidi" w:cstheme="majorBidi"/>
          <w:sz w:val="24"/>
        </w:rPr>
        <w:t xml:space="preserve">McEvoy GK, Miller J, Litvak K (Eds) (2004) </w:t>
      </w:r>
      <w:r>
        <w:rPr>
          <w:rFonts w:asciiTheme="majorBidi" w:hAnsiTheme="majorBidi" w:cstheme="majorBidi"/>
          <w:sz w:val="24"/>
        </w:rPr>
        <w:t>American Hospital (</w:t>
      </w:r>
      <w:r w:rsidRPr="002455EF">
        <w:rPr>
          <w:rFonts w:asciiTheme="majorBidi" w:hAnsiTheme="majorBidi" w:cstheme="majorBidi"/>
          <w:sz w:val="24"/>
        </w:rPr>
        <w:t>AHFS</w:t>
      </w:r>
      <w:r>
        <w:rPr>
          <w:rFonts w:asciiTheme="majorBidi" w:hAnsiTheme="majorBidi" w:cstheme="majorBidi"/>
          <w:sz w:val="24"/>
        </w:rPr>
        <w:t>)</w:t>
      </w:r>
      <w:r w:rsidRPr="002455EF">
        <w:rPr>
          <w:rFonts w:asciiTheme="majorBidi" w:hAnsiTheme="majorBidi" w:cstheme="majorBidi"/>
          <w:sz w:val="24"/>
        </w:rPr>
        <w:t xml:space="preserve"> Drug Information 2004. </w:t>
      </w:r>
      <w:r>
        <w:rPr>
          <w:rFonts w:asciiTheme="majorBidi" w:hAnsiTheme="majorBidi" w:cstheme="majorBidi"/>
          <w:sz w:val="24"/>
        </w:rPr>
        <w:t xml:space="preserve">Bethesda: </w:t>
      </w:r>
      <w:r w:rsidRPr="002455EF">
        <w:rPr>
          <w:rFonts w:asciiTheme="majorBidi" w:hAnsiTheme="majorBidi" w:cstheme="majorBidi"/>
          <w:sz w:val="24"/>
        </w:rPr>
        <w:t>America</w:t>
      </w:r>
      <w:r>
        <w:rPr>
          <w:rFonts w:asciiTheme="majorBidi" w:hAnsiTheme="majorBidi" w:cstheme="majorBidi"/>
          <w:sz w:val="24"/>
        </w:rPr>
        <w:t>n Society of Health-</w:t>
      </w:r>
      <w:r w:rsidRPr="002455EF">
        <w:rPr>
          <w:rFonts w:asciiTheme="majorBidi" w:hAnsiTheme="majorBidi" w:cstheme="majorBidi"/>
          <w:sz w:val="24"/>
        </w:rPr>
        <w:t>System</w:t>
      </w:r>
      <w:r>
        <w:rPr>
          <w:rFonts w:asciiTheme="majorBidi" w:hAnsiTheme="majorBidi" w:cstheme="majorBidi"/>
          <w:sz w:val="24"/>
        </w:rPr>
        <w:t xml:space="preserve"> Pharmacists</w:t>
      </w:r>
      <w:r w:rsidRPr="002455EF">
        <w:rPr>
          <w:rFonts w:asciiTheme="majorBidi" w:hAnsiTheme="majorBidi" w:cstheme="majorBidi"/>
          <w:sz w:val="24"/>
        </w:rPr>
        <w:t xml:space="preserve"> </w:t>
      </w:r>
      <w:bookmarkEnd w:id="37"/>
    </w:p>
    <w:p w:rsidR="005B230E" w:rsidRPr="002455EF" w:rsidRDefault="005B230E" w:rsidP="005B230E">
      <w:pPr>
        <w:pStyle w:val="EndNoteBibliography"/>
        <w:rPr>
          <w:rFonts w:asciiTheme="majorBidi" w:hAnsiTheme="majorBidi" w:cstheme="majorBidi"/>
          <w:sz w:val="24"/>
        </w:rPr>
      </w:pPr>
      <w:bookmarkStart w:id="38" w:name="_ENREF_43"/>
      <w:r w:rsidRPr="002455EF">
        <w:rPr>
          <w:rFonts w:asciiTheme="majorBidi" w:hAnsiTheme="majorBidi" w:cstheme="majorBidi"/>
          <w:sz w:val="24"/>
        </w:rPr>
        <w:t>Mirghani RA, Ericsson O, Tybring G, Gustafsson LL, Bertilsson L (2003) Quinine 3-hydroxylation as a biomarker reaction for the activity of CYP3A4 in man. European Journal of Clinical Pharmacology 59: 23-28</w:t>
      </w:r>
      <w:bookmarkEnd w:id="38"/>
    </w:p>
    <w:p w:rsidR="005B230E" w:rsidRPr="002455EF" w:rsidRDefault="005B230E" w:rsidP="005B230E">
      <w:pPr>
        <w:pStyle w:val="EndNoteBibliography"/>
        <w:rPr>
          <w:rFonts w:asciiTheme="majorBidi" w:hAnsiTheme="majorBidi" w:cstheme="majorBidi"/>
          <w:sz w:val="24"/>
        </w:rPr>
      </w:pPr>
      <w:bookmarkStart w:id="39" w:name="_ENREF_44"/>
      <w:r w:rsidRPr="002455EF">
        <w:rPr>
          <w:rFonts w:asciiTheme="majorBidi" w:hAnsiTheme="majorBidi" w:cstheme="majorBidi"/>
          <w:sz w:val="24"/>
        </w:rPr>
        <w:t>Muyzer G, De Waal EC, Uitterlinden AG (1993) Profiling of complex microbial populations by denaturing gradient gel electrophoresis of polymerase chain reaction-amplified genes coding for 16S rRNA. Applied and Environmental Microbiology 59: 695-700</w:t>
      </w:r>
      <w:bookmarkEnd w:id="39"/>
    </w:p>
    <w:p w:rsidR="005B230E" w:rsidRPr="002455EF" w:rsidRDefault="005B230E" w:rsidP="005B230E">
      <w:pPr>
        <w:pStyle w:val="EndNoteBibliography"/>
        <w:rPr>
          <w:rFonts w:asciiTheme="majorBidi" w:hAnsiTheme="majorBidi" w:cstheme="majorBidi"/>
          <w:sz w:val="24"/>
        </w:rPr>
      </w:pPr>
      <w:bookmarkStart w:id="40" w:name="_ENREF_45"/>
      <w:r w:rsidRPr="002455EF">
        <w:rPr>
          <w:rFonts w:asciiTheme="majorBidi" w:hAnsiTheme="majorBidi" w:cstheme="majorBidi"/>
          <w:sz w:val="24"/>
        </w:rPr>
        <w:t>Muyzer G, Teske A, Wirsen CO, Jannasch HW (1995) Phylogenic relationship of Thiomicrospira species and their identification in deep-sea hydrothermal vent samples by denaturing gradient gel electrophoresis of 16S rRNA fragments. Archives of Microbiology 164: 165-172</w:t>
      </w:r>
      <w:bookmarkEnd w:id="40"/>
    </w:p>
    <w:p w:rsidR="005B230E" w:rsidRPr="002455EF" w:rsidRDefault="005B230E" w:rsidP="005B230E">
      <w:pPr>
        <w:pStyle w:val="EndNoteBibliography"/>
        <w:rPr>
          <w:rFonts w:asciiTheme="majorBidi" w:hAnsiTheme="majorBidi" w:cstheme="majorBidi"/>
          <w:sz w:val="24"/>
        </w:rPr>
      </w:pPr>
      <w:bookmarkStart w:id="41" w:name="_ENREF_46"/>
      <w:r w:rsidRPr="002455EF">
        <w:rPr>
          <w:rFonts w:asciiTheme="majorBidi" w:hAnsiTheme="majorBidi" w:cstheme="majorBidi"/>
          <w:sz w:val="24"/>
        </w:rPr>
        <w:t>Nikaido H, Vaara M (1985) Molecular basis of bacterial outer membrane permeability. Microbiological Reviews 49: 1-32</w:t>
      </w:r>
      <w:bookmarkEnd w:id="41"/>
    </w:p>
    <w:p w:rsidR="005B230E" w:rsidRPr="00A13966" w:rsidRDefault="005B230E" w:rsidP="005B230E">
      <w:pPr>
        <w:pStyle w:val="EndNoteBibliography"/>
        <w:rPr>
          <w:rFonts w:asciiTheme="majorBidi" w:hAnsiTheme="majorBidi" w:cstheme="majorBidi"/>
          <w:sz w:val="24"/>
        </w:rPr>
      </w:pPr>
      <w:bookmarkStart w:id="42" w:name="_ENREF_47"/>
      <w:r w:rsidRPr="002455EF">
        <w:rPr>
          <w:rFonts w:asciiTheme="majorBidi" w:hAnsiTheme="majorBidi" w:cstheme="majorBidi"/>
          <w:sz w:val="24"/>
        </w:rPr>
        <w:t xml:space="preserve">Oaks JL, Gilbert M, Virani MZ, Watson RT, Meteyer CU, Rideout BA, Shivaprasad HL, Ahmed S, Iqbal Chaudhry MJ, Arshad M, Mahmood S, Ali A, Ahmed Khan A (2004) Diclofenac residues as the cause of vulture population decline in Pakistan. Nature 427: </w:t>
      </w:r>
      <w:r w:rsidRPr="00A13966">
        <w:rPr>
          <w:rFonts w:asciiTheme="majorBidi" w:hAnsiTheme="majorBidi" w:cstheme="majorBidi"/>
          <w:sz w:val="24"/>
        </w:rPr>
        <w:t>630-633</w:t>
      </w:r>
      <w:bookmarkEnd w:id="42"/>
    </w:p>
    <w:p w:rsidR="00A13966" w:rsidRPr="00A13966" w:rsidRDefault="00A13966" w:rsidP="005B230E">
      <w:pPr>
        <w:pStyle w:val="EndNoteBibliography"/>
        <w:rPr>
          <w:rStyle w:val="externalref"/>
          <w:rFonts w:ascii="Times New Roman" w:hAnsi="Times New Roman" w:cs="Times New Roman"/>
          <w:spacing w:val="2"/>
          <w:sz w:val="24"/>
          <w:shd w:val="clear" w:color="auto" w:fill="FCFCFC"/>
        </w:rPr>
      </w:pPr>
      <w:bookmarkStart w:id="43" w:name="_ENREF_49"/>
      <w:r w:rsidRPr="00A13966">
        <w:rPr>
          <w:rFonts w:ascii="Times New Roman" w:hAnsi="Times New Roman" w:cs="Times New Roman"/>
          <w:spacing w:val="2"/>
          <w:sz w:val="24"/>
          <w:shd w:val="clear" w:color="auto" w:fill="FCFCFC"/>
        </w:rPr>
        <w:t>OECD (2013) Guidance document on developing and assessing adverse outcome pathways. In: Environment, health and safety publications series on testing and assessment no. 184,Paris.</w:t>
      </w:r>
      <w:hyperlink r:id="rId12" w:tgtFrame="_blank" w:history="1">
        <w:r w:rsidRPr="00A13966">
          <w:rPr>
            <w:rStyle w:val="refsource"/>
            <w:rFonts w:ascii="Times New Roman" w:hAnsi="Times New Roman" w:cs="Times New Roman"/>
            <w:spacing w:val="2"/>
            <w:sz w:val="24"/>
            <w:u w:val="single"/>
          </w:rPr>
          <w:t>http://www.oecd.org/officialdocuments/publicdisplaydocumentpdf/?cote=env/jm/mono(2013)6&amp;doclanguage=en</w:t>
        </w:r>
      </w:hyperlink>
    </w:p>
    <w:p w:rsidR="005B230E" w:rsidRPr="002455EF" w:rsidRDefault="005B230E" w:rsidP="005B230E">
      <w:pPr>
        <w:pStyle w:val="EndNoteBibliography"/>
        <w:rPr>
          <w:rFonts w:asciiTheme="majorBidi" w:hAnsiTheme="majorBidi" w:cstheme="majorBidi"/>
          <w:sz w:val="24"/>
        </w:rPr>
      </w:pPr>
      <w:r w:rsidRPr="002455EF">
        <w:rPr>
          <w:rFonts w:asciiTheme="majorBidi" w:hAnsiTheme="majorBidi" w:cstheme="majorBidi"/>
          <w:sz w:val="24"/>
        </w:rPr>
        <w:t>Price RN, von Seidlein L, Valecha N, Nosten F, Baird JK, White NJ (2014) Global extent of chloroquine-resistant Plasmodium vivax: a systematic review and meta-analysis. Lancet Infectious Diseases 14: 982-991</w:t>
      </w:r>
      <w:bookmarkEnd w:id="43"/>
    </w:p>
    <w:p w:rsidR="005B230E" w:rsidRPr="002455EF" w:rsidRDefault="005B230E" w:rsidP="005B230E">
      <w:pPr>
        <w:pStyle w:val="EndNoteBibliography"/>
        <w:rPr>
          <w:rFonts w:asciiTheme="majorBidi" w:hAnsiTheme="majorBidi" w:cstheme="majorBidi"/>
          <w:sz w:val="24"/>
        </w:rPr>
      </w:pPr>
      <w:bookmarkStart w:id="44" w:name="_ENREF_50"/>
      <w:r w:rsidRPr="002455EF">
        <w:rPr>
          <w:rFonts w:asciiTheme="majorBidi" w:hAnsiTheme="majorBidi" w:cstheme="majorBidi"/>
          <w:sz w:val="24"/>
        </w:rPr>
        <w:lastRenderedPageBreak/>
        <w:t>Projean D, Baune B, Farinotti R, Flinois JP, Beaune P, Taburet AM, Ducharme J (2003) In vitro metabolism of chloroquine: identification of CYP2C8, CYP3A4, and CYP2D6 as the main isoforms catalyzing N-desethylchloroquine formation. Drug Metabolism and Disposition 31: 748-754</w:t>
      </w:r>
      <w:bookmarkEnd w:id="44"/>
    </w:p>
    <w:p w:rsidR="005B230E" w:rsidRPr="002455EF" w:rsidRDefault="005B230E" w:rsidP="005B230E">
      <w:pPr>
        <w:pStyle w:val="EndNoteBibliography"/>
        <w:rPr>
          <w:rFonts w:asciiTheme="majorBidi" w:hAnsiTheme="majorBidi" w:cstheme="majorBidi"/>
          <w:sz w:val="24"/>
        </w:rPr>
      </w:pPr>
      <w:bookmarkStart w:id="45" w:name="_ENREF_51"/>
      <w:r w:rsidRPr="002455EF">
        <w:rPr>
          <w:rFonts w:asciiTheme="majorBidi" w:hAnsiTheme="majorBidi" w:cstheme="majorBidi"/>
          <w:sz w:val="24"/>
        </w:rPr>
        <w:t>Rendal C, Ole Kusk K, Trapp S (2011a) The effect of pH on the uptake and toxicity of the bivalent weak base chloroquine tested on Salix viminalis and Daphnia magna. Environmental Toxicology and Chemistry 30: 354-359</w:t>
      </w:r>
      <w:bookmarkEnd w:id="45"/>
    </w:p>
    <w:p w:rsidR="005B230E" w:rsidRPr="002455EF" w:rsidRDefault="005B230E" w:rsidP="005B230E">
      <w:pPr>
        <w:pStyle w:val="EndNoteBibliography"/>
        <w:rPr>
          <w:rFonts w:asciiTheme="majorBidi" w:hAnsiTheme="majorBidi" w:cstheme="majorBidi"/>
          <w:sz w:val="24"/>
        </w:rPr>
      </w:pPr>
      <w:bookmarkStart w:id="46" w:name="_ENREF_52"/>
      <w:r w:rsidRPr="002455EF">
        <w:rPr>
          <w:rFonts w:asciiTheme="majorBidi" w:hAnsiTheme="majorBidi" w:cstheme="majorBidi"/>
          <w:sz w:val="24"/>
        </w:rPr>
        <w:t>Rendal C, Ole Kusk K, Trapp S (2011b) Optimal choice of pH for toxicity and bioaccumulation studies of ionizing organic chemicals. Environmental Toxicology and Chemistry 30: 2395-2406</w:t>
      </w:r>
      <w:bookmarkEnd w:id="46"/>
    </w:p>
    <w:p w:rsidR="005B230E" w:rsidRPr="002455EF" w:rsidRDefault="005B230E" w:rsidP="005B230E">
      <w:pPr>
        <w:pStyle w:val="EndNoteBibliography"/>
        <w:rPr>
          <w:rFonts w:asciiTheme="majorBidi" w:hAnsiTheme="majorBidi" w:cstheme="majorBidi"/>
          <w:sz w:val="24"/>
        </w:rPr>
      </w:pPr>
      <w:bookmarkStart w:id="47" w:name="_ENREF_53"/>
      <w:r w:rsidRPr="002455EF">
        <w:rPr>
          <w:rFonts w:asciiTheme="majorBidi" w:hAnsiTheme="majorBidi" w:cstheme="majorBidi"/>
          <w:sz w:val="24"/>
        </w:rPr>
        <w:t>Shore RF, Taggart MA, Smits J, Mateo R, Richards NL, Fryday S (2014) Detection and drivers of exposure and effects of pharmaceuticals in higher vertebrates. Philosophical Transactions of the Royal Society of London B: Biological Sciences 369: 20130570</w:t>
      </w:r>
      <w:bookmarkEnd w:id="47"/>
    </w:p>
    <w:p w:rsidR="005B230E" w:rsidRPr="002455EF" w:rsidRDefault="005B230E" w:rsidP="005B230E">
      <w:pPr>
        <w:pStyle w:val="EndNoteBibliography"/>
        <w:rPr>
          <w:rFonts w:asciiTheme="majorBidi" w:hAnsiTheme="majorBidi" w:cstheme="majorBidi"/>
          <w:sz w:val="24"/>
          <w:lang w:val="sv-SE"/>
        </w:rPr>
      </w:pPr>
      <w:bookmarkStart w:id="48" w:name="_ENREF_54"/>
      <w:r w:rsidRPr="002455EF">
        <w:rPr>
          <w:rFonts w:asciiTheme="majorBidi" w:hAnsiTheme="majorBidi" w:cstheme="majorBidi"/>
          <w:sz w:val="24"/>
          <w:lang w:val="sv-SE"/>
        </w:rPr>
        <w:t>Skalar Analytical BV (2004) Skalar SanPlus Analyzer General Information. PO Box 3237 4800 DE Breda The Netherlands</w:t>
      </w:r>
      <w:bookmarkEnd w:id="48"/>
    </w:p>
    <w:p w:rsidR="005B230E" w:rsidRPr="002455EF" w:rsidRDefault="005B230E" w:rsidP="005B230E">
      <w:pPr>
        <w:pStyle w:val="EndNoteBibliography"/>
        <w:rPr>
          <w:rFonts w:asciiTheme="majorBidi" w:hAnsiTheme="majorBidi" w:cstheme="majorBidi"/>
          <w:sz w:val="24"/>
          <w:lang w:val="sv-SE"/>
        </w:rPr>
      </w:pPr>
      <w:bookmarkStart w:id="49" w:name="_ENREF_55"/>
      <w:r w:rsidRPr="002455EF">
        <w:rPr>
          <w:rFonts w:asciiTheme="majorBidi" w:hAnsiTheme="majorBidi" w:cstheme="majorBidi"/>
          <w:sz w:val="24"/>
          <w:lang w:val="sv-SE"/>
        </w:rPr>
        <w:t>Tappin AD, Loughnane JP, McCarthy AJ, Fitzsimons MF (2012) Removal of atrazine from river waters by indigenous microorganisms. Environmental Chemistry Letters 10: 89-96</w:t>
      </w:r>
      <w:bookmarkEnd w:id="49"/>
    </w:p>
    <w:p w:rsidR="005B230E" w:rsidRPr="002455EF" w:rsidRDefault="005B230E" w:rsidP="005B230E">
      <w:pPr>
        <w:pStyle w:val="EndNoteBibliography"/>
        <w:rPr>
          <w:rFonts w:asciiTheme="majorBidi" w:hAnsiTheme="majorBidi" w:cstheme="majorBidi"/>
          <w:sz w:val="24"/>
          <w:lang w:val="sv-SE"/>
        </w:rPr>
      </w:pPr>
      <w:bookmarkStart w:id="50" w:name="_ENREF_56"/>
      <w:r w:rsidRPr="002455EF">
        <w:rPr>
          <w:rFonts w:asciiTheme="majorBidi" w:hAnsiTheme="majorBidi" w:cstheme="majorBidi"/>
          <w:sz w:val="24"/>
          <w:lang w:val="sv-SE"/>
        </w:rPr>
        <w:t>Tappin AD, Loughnane JP, McCarthy AJ, Fitzsimons MF (2014) Bacterio-plankton transformation of diazepam and 2-amino-5-chlorobenzophenone in river waters. Environmental Science-Processes &amp; Impacts 16: 2227-2236</w:t>
      </w:r>
      <w:bookmarkEnd w:id="50"/>
    </w:p>
    <w:p w:rsidR="005B230E" w:rsidRPr="002455EF" w:rsidRDefault="005B230E" w:rsidP="005B230E">
      <w:pPr>
        <w:pStyle w:val="EndNoteBibliography"/>
        <w:rPr>
          <w:rFonts w:asciiTheme="majorBidi" w:hAnsiTheme="majorBidi" w:cstheme="majorBidi"/>
          <w:sz w:val="24"/>
          <w:lang w:val="sv-SE"/>
        </w:rPr>
      </w:pPr>
      <w:bookmarkStart w:id="51" w:name="_ENREF_2"/>
      <w:bookmarkStart w:id="52" w:name="_ENREF_57"/>
      <w:r w:rsidRPr="002455EF">
        <w:rPr>
          <w:rFonts w:asciiTheme="majorBidi" w:hAnsiTheme="majorBidi" w:cstheme="majorBidi"/>
          <w:sz w:val="24"/>
          <w:lang w:val="sv-SE"/>
        </w:rPr>
        <w:t>Tijani JO, Fatoba OO, Babajide OO, Petrik LF (2016) Pharmaceuticals, endocrine disruptors, personal care products, nanomaterials and perfluorinated pollutants: a review. Envir</w:t>
      </w:r>
      <w:r>
        <w:rPr>
          <w:rFonts w:asciiTheme="majorBidi" w:hAnsiTheme="majorBidi" w:cstheme="majorBidi"/>
          <w:sz w:val="24"/>
          <w:lang w:val="sv-SE"/>
        </w:rPr>
        <w:t>onmental Chemistry Letters 14</w:t>
      </w:r>
      <w:r w:rsidRPr="002455EF">
        <w:rPr>
          <w:rFonts w:asciiTheme="majorBidi" w:hAnsiTheme="majorBidi" w:cstheme="majorBidi"/>
          <w:sz w:val="24"/>
          <w:lang w:val="sv-SE"/>
        </w:rPr>
        <w:t>: 27-49</w:t>
      </w:r>
      <w:bookmarkEnd w:id="51"/>
    </w:p>
    <w:p w:rsidR="005B230E" w:rsidRPr="002455EF" w:rsidRDefault="005B230E" w:rsidP="005B230E">
      <w:pPr>
        <w:pStyle w:val="EndNoteBibliography"/>
        <w:rPr>
          <w:rFonts w:asciiTheme="majorBidi" w:hAnsiTheme="majorBidi" w:cstheme="majorBidi"/>
          <w:sz w:val="24"/>
          <w:lang w:val="sv-SE"/>
        </w:rPr>
      </w:pPr>
      <w:r w:rsidRPr="002455EF">
        <w:rPr>
          <w:rFonts w:asciiTheme="majorBidi" w:hAnsiTheme="majorBidi" w:cstheme="majorBidi"/>
          <w:sz w:val="24"/>
          <w:lang w:val="sv-SE"/>
        </w:rPr>
        <w:t>Uchida H, Suzuki T, Takeuchi H, Arenovich T, Mamo DC (2011) Low dose vs standard dose of antipsychotics for relapse prevention in schizophrenia: meta-analysis. Schizophrenia Bulletin 37: 788-799</w:t>
      </w:r>
      <w:bookmarkEnd w:id="52"/>
    </w:p>
    <w:p w:rsidR="005B230E" w:rsidRPr="002455EF" w:rsidRDefault="005B230E" w:rsidP="005B230E">
      <w:pPr>
        <w:pStyle w:val="EndNoteBibliography"/>
        <w:rPr>
          <w:rFonts w:asciiTheme="majorBidi" w:hAnsiTheme="majorBidi" w:cstheme="majorBidi"/>
          <w:sz w:val="24"/>
          <w:lang w:val="sv-SE"/>
        </w:rPr>
      </w:pPr>
      <w:bookmarkStart w:id="53" w:name="_ENREF_58"/>
      <w:r w:rsidRPr="002455EF">
        <w:rPr>
          <w:rFonts w:asciiTheme="majorBidi" w:hAnsiTheme="majorBidi" w:cstheme="majorBidi"/>
          <w:sz w:val="24"/>
          <w:lang w:val="sv-SE"/>
        </w:rPr>
        <w:t>Villeneuve DL, Garcia-Reyero N, Martinovic D, Mueller ND, Cavallin JE, Durhan EJ, Makynen EA, Jensen KM, Kahl MD, Blake LS, Perkins EJ, Ankley GT (2010a) I. Effects of a dopamine receptor antagonist on fathead minnow, Pimephales promelas, reproduction. Ecotoxicology and Environmental Safety 73: 472-477</w:t>
      </w:r>
      <w:bookmarkEnd w:id="53"/>
    </w:p>
    <w:p w:rsidR="005B230E" w:rsidRPr="002455EF" w:rsidRDefault="005B230E" w:rsidP="005B230E">
      <w:pPr>
        <w:pStyle w:val="EndNoteBibliography"/>
        <w:rPr>
          <w:rFonts w:asciiTheme="majorBidi" w:hAnsiTheme="majorBidi" w:cstheme="majorBidi"/>
          <w:sz w:val="24"/>
          <w:lang w:val="sv-SE"/>
        </w:rPr>
      </w:pPr>
      <w:bookmarkStart w:id="54" w:name="_ENREF_59"/>
      <w:r w:rsidRPr="002455EF">
        <w:rPr>
          <w:rFonts w:asciiTheme="majorBidi" w:hAnsiTheme="majorBidi" w:cstheme="majorBidi"/>
          <w:sz w:val="24"/>
          <w:lang w:val="sv-SE"/>
        </w:rPr>
        <w:t>Villeneuve DL, Garcia-Reyero N, Martinovic D, Mueller ND, Cavallin JE, Durhan EJ, Makynen EA, Jensen KM, Kahl MD, Blake LS, Perkins EJ, Ankley GT (2010b) II: Effects of a dopamine receptor antagonist on fathead minnow dominance behavior and ovarian gene expression in the fathead minnow and zebrafish. Ecotoxicology and Environmental Safety 73: 478-485</w:t>
      </w:r>
      <w:bookmarkEnd w:id="54"/>
    </w:p>
    <w:p w:rsidR="005B230E" w:rsidRPr="002455EF" w:rsidRDefault="005B230E" w:rsidP="005B230E">
      <w:pPr>
        <w:pStyle w:val="EndNoteBibliography"/>
        <w:rPr>
          <w:rFonts w:asciiTheme="majorBidi" w:hAnsiTheme="majorBidi" w:cstheme="majorBidi"/>
          <w:sz w:val="24"/>
          <w:lang w:val="sv-SE"/>
        </w:rPr>
      </w:pPr>
      <w:bookmarkStart w:id="55" w:name="_ENREF_60"/>
      <w:r w:rsidRPr="002455EF">
        <w:rPr>
          <w:rFonts w:asciiTheme="majorBidi" w:hAnsiTheme="majorBidi" w:cstheme="majorBidi"/>
          <w:sz w:val="24"/>
          <w:lang w:val="sv-SE"/>
        </w:rPr>
        <w:t>von der Ohe PC, Dulio V, Slobodnick J, de Deckere E, Kuhne R, Ebert RU, Ginebreda A, de Cooman W, Schuurmann G, W B (2011) A new risk assessment approach for the prioritization of 500 classical and emerging organic contaminants as potential river basin specific pollutants under the European Water Framework Directive. Science of the Total Environment 409: 2064-2077</w:t>
      </w:r>
      <w:bookmarkEnd w:id="55"/>
    </w:p>
    <w:p w:rsidR="005B230E" w:rsidRPr="002455EF" w:rsidRDefault="005B230E" w:rsidP="005B230E">
      <w:pPr>
        <w:pStyle w:val="EndNoteBibliography"/>
        <w:rPr>
          <w:rFonts w:asciiTheme="majorBidi" w:hAnsiTheme="majorBidi" w:cstheme="majorBidi"/>
          <w:sz w:val="24"/>
        </w:rPr>
      </w:pPr>
      <w:bookmarkStart w:id="56" w:name="_ENREF_61"/>
      <w:r w:rsidRPr="002455EF">
        <w:rPr>
          <w:rFonts w:asciiTheme="majorBidi" w:hAnsiTheme="majorBidi" w:cstheme="majorBidi"/>
          <w:sz w:val="24"/>
          <w:lang w:val="sv-SE"/>
        </w:rPr>
        <w:t xml:space="preserve">Warhurst DC, Steele JCP, Adaga IS, Craig JC, Cullander C (2003) Hydroxychloroquine is much less active than chloroquine against chloroquine-resistant Plasmodium falciparum, in agreement with its physicochemical properties. </w:t>
      </w:r>
      <w:r w:rsidRPr="002455EF">
        <w:rPr>
          <w:rFonts w:asciiTheme="majorBidi" w:hAnsiTheme="majorBidi" w:cstheme="majorBidi"/>
          <w:sz w:val="24"/>
        </w:rPr>
        <w:t>Journal of Antimicrobial Chemotherapy 52: 188-193</w:t>
      </w:r>
      <w:bookmarkEnd w:id="56"/>
    </w:p>
    <w:p w:rsidR="005B230E" w:rsidRPr="002455EF" w:rsidRDefault="005B230E" w:rsidP="005B230E">
      <w:pPr>
        <w:pStyle w:val="EndNoteBibliography"/>
        <w:rPr>
          <w:rFonts w:asciiTheme="majorBidi" w:hAnsiTheme="majorBidi" w:cstheme="majorBidi"/>
          <w:sz w:val="24"/>
        </w:rPr>
      </w:pPr>
      <w:bookmarkStart w:id="57" w:name="_ENREF_62"/>
      <w:r w:rsidRPr="002455EF">
        <w:rPr>
          <w:rFonts w:asciiTheme="majorBidi" w:hAnsiTheme="majorBidi" w:cstheme="majorBidi"/>
          <w:sz w:val="24"/>
        </w:rPr>
        <w:t>West CE, Rowland SJ (2012) Aqueous phototransformation of diazepam and related human metabolites under simulated sunlight. Environmental Science &amp; Technology 46: 4749-4756</w:t>
      </w:r>
      <w:bookmarkEnd w:id="57"/>
    </w:p>
    <w:p w:rsidR="00A13966" w:rsidRPr="00A13966" w:rsidRDefault="00A13966" w:rsidP="005B230E">
      <w:pPr>
        <w:pStyle w:val="EndNoteBibliography"/>
        <w:rPr>
          <w:rFonts w:ascii="Times New Roman" w:hAnsi="Times New Roman" w:cs="Times New Roman"/>
          <w:spacing w:val="2"/>
          <w:sz w:val="24"/>
          <w:shd w:val="clear" w:color="auto" w:fill="FCFCFC"/>
        </w:rPr>
      </w:pPr>
      <w:bookmarkStart w:id="58" w:name="_ENREF_64"/>
      <w:r w:rsidRPr="00A13966">
        <w:rPr>
          <w:rFonts w:ascii="Times New Roman" w:hAnsi="Times New Roman" w:cs="Times New Roman"/>
          <w:spacing w:val="2"/>
          <w:sz w:val="24"/>
          <w:shd w:val="clear" w:color="auto" w:fill="FCFCFC"/>
        </w:rPr>
        <w:t>WHO (2015) Model list of essential medicines, 19th edn.</w:t>
      </w:r>
      <w:hyperlink r:id="rId13" w:tgtFrame="_blank" w:history="1">
        <w:r w:rsidRPr="00A13966">
          <w:rPr>
            <w:rStyle w:val="refsource"/>
            <w:rFonts w:ascii="Times New Roman" w:hAnsi="Times New Roman" w:cs="Times New Roman"/>
            <w:spacing w:val="2"/>
            <w:sz w:val="24"/>
            <w:u w:val="single"/>
          </w:rPr>
          <w:t>http://www.who.int/medicines/publications/essentialmedicines/en/</w:t>
        </w:r>
      </w:hyperlink>
      <w:r w:rsidRPr="00A13966">
        <w:rPr>
          <w:rFonts w:ascii="Times New Roman" w:hAnsi="Times New Roman" w:cs="Times New Roman"/>
          <w:spacing w:val="2"/>
          <w:sz w:val="24"/>
          <w:shd w:val="clear" w:color="auto" w:fill="FCFCFC"/>
        </w:rPr>
        <w:t>. Accessed 18 Jul 2016</w:t>
      </w:r>
    </w:p>
    <w:p w:rsidR="005B230E" w:rsidRPr="002455EF" w:rsidRDefault="005B230E" w:rsidP="005B230E">
      <w:pPr>
        <w:pStyle w:val="EndNoteBibliography"/>
        <w:rPr>
          <w:rFonts w:asciiTheme="majorBidi" w:hAnsiTheme="majorBidi" w:cstheme="majorBidi"/>
          <w:sz w:val="24"/>
        </w:rPr>
      </w:pPr>
      <w:r w:rsidRPr="002455EF">
        <w:rPr>
          <w:rFonts w:asciiTheme="majorBidi" w:hAnsiTheme="majorBidi" w:cstheme="majorBidi"/>
          <w:sz w:val="24"/>
        </w:rPr>
        <w:lastRenderedPageBreak/>
        <w:t>Wicker J, Lorsbach T, Gütlein M, Schmid E, Latino D, Kramer S, Fenner K (2016) enviPath - The environmental contaminant biotransformation pathway resource. Nucleic Acids Research 44: D502-D508</w:t>
      </w:r>
      <w:bookmarkEnd w:id="58"/>
    </w:p>
    <w:p w:rsidR="005B230E" w:rsidRPr="002455EF" w:rsidRDefault="005B230E" w:rsidP="005B230E">
      <w:pPr>
        <w:pStyle w:val="EndNoteBibliography"/>
        <w:rPr>
          <w:rFonts w:asciiTheme="majorBidi" w:hAnsiTheme="majorBidi" w:cstheme="majorBidi"/>
          <w:sz w:val="24"/>
        </w:rPr>
      </w:pPr>
      <w:bookmarkStart w:id="59" w:name="_ENREF_66"/>
      <w:r w:rsidRPr="002455EF">
        <w:rPr>
          <w:rFonts w:asciiTheme="majorBidi" w:hAnsiTheme="majorBidi" w:cstheme="majorBidi"/>
          <w:sz w:val="24"/>
        </w:rPr>
        <w:t>Yamamoto H, Nakamura Y, Moriguchi S, Nakamura Y, Honda Y, Tamura I, Hirata Y, Hayashi A, Sekizawa J (2009) Persistence and partitioning of eight selected pharmaceuticals in the aquatic environment: laboratory photolysis, biodegradation, and sorption experiments. Water Research 43: 351-362</w:t>
      </w:r>
      <w:bookmarkEnd w:id="59"/>
    </w:p>
    <w:p w:rsidR="005B230E" w:rsidRPr="002455EF" w:rsidRDefault="005B230E" w:rsidP="005B230E">
      <w:pPr>
        <w:pStyle w:val="EndNoteBibliography"/>
        <w:rPr>
          <w:rFonts w:asciiTheme="majorBidi" w:hAnsiTheme="majorBidi" w:cstheme="majorBidi"/>
          <w:sz w:val="24"/>
        </w:rPr>
      </w:pPr>
      <w:bookmarkStart w:id="60" w:name="_ENREF_67"/>
      <w:r w:rsidRPr="002455EF">
        <w:rPr>
          <w:rFonts w:asciiTheme="majorBidi" w:hAnsiTheme="majorBidi" w:cstheme="majorBidi"/>
          <w:sz w:val="24"/>
        </w:rPr>
        <w:t>Zurita J, Jos A, del Peso A, Salguero M, López-Artíguez M, repetto G (2005) Ecotoxicological evaluation of the antimalarial drug chloroquine. Aquatic Toxicology 75: 97-107</w:t>
      </w:r>
      <w:bookmarkEnd w:id="60"/>
    </w:p>
    <w:p w:rsidR="002455EF" w:rsidRDefault="002455EF" w:rsidP="00723080">
      <w:pPr>
        <w:pStyle w:val="PlainText"/>
        <w:spacing w:before="60"/>
        <w:ind w:left="567" w:hanging="567"/>
        <w:rPr>
          <w:rFonts w:ascii="Times New Roman" w:hAnsi="Times New Roman"/>
          <w:sz w:val="24"/>
          <w:szCs w:val="24"/>
          <w:lang w:val="en-US"/>
        </w:rPr>
      </w:pPr>
    </w:p>
    <w:p w:rsidR="002455EF" w:rsidRPr="000162F9" w:rsidRDefault="002455EF" w:rsidP="00597D21">
      <w:pPr>
        <w:pStyle w:val="PlainText"/>
        <w:spacing w:before="60"/>
        <w:ind w:left="567" w:hanging="567"/>
        <w:rPr>
          <w:rFonts w:ascii="Times New Roman" w:hAnsi="Times New Roman"/>
          <w:sz w:val="24"/>
          <w:szCs w:val="24"/>
          <w:lang w:val="en-US"/>
        </w:rPr>
        <w:sectPr w:rsidR="002455EF" w:rsidRPr="000162F9" w:rsidSect="00525485">
          <w:headerReference w:type="default" r:id="rId14"/>
          <w:footerReference w:type="default" r:id="rId15"/>
          <w:pgSz w:w="11906" w:h="16838"/>
          <w:pgMar w:top="1440" w:right="1440" w:bottom="1440" w:left="1440" w:header="708" w:footer="708" w:gutter="0"/>
          <w:cols w:space="708"/>
          <w:docGrid w:linePitch="360"/>
        </w:sectPr>
      </w:pPr>
    </w:p>
    <w:p w:rsidR="002455EF" w:rsidRPr="00404CE2" w:rsidRDefault="002455EF" w:rsidP="00124CA2">
      <w:pPr>
        <w:spacing w:after="120" w:line="480" w:lineRule="auto"/>
        <w:ind w:left="0" w:firstLine="0"/>
        <w:jc w:val="left"/>
        <w:rPr>
          <w:rFonts w:ascii="Times New Roman" w:hAnsi="Times New Roman"/>
          <w:bCs/>
          <w:sz w:val="24"/>
        </w:rPr>
      </w:pPr>
      <w:r w:rsidRPr="00404CE2">
        <w:rPr>
          <w:rFonts w:ascii="Times New Roman" w:hAnsi="Times New Roman"/>
          <w:bCs/>
          <w:sz w:val="24"/>
        </w:rPr>
        <w:lastRenderedPageBreak/>
        <w:t>Table 1:</w:t>
      </w:r>
      <w:r w:rsidRPr="00404CE2">
        <w:rPr>
          <w:rFonts w:ascii="Times New Roman" w:hAnsi="Times New Roman"/>
          <w:sz w:val="24"/>
        </w:rPr>
        <w:t xml:space="preserve"> Structural information on the compounds studied.</w:t>
      </w:r>
    </w:p>
    <w:tbl>
      <w:tblPr>
        <w:tblW w:w="0" w:type="auto"/>
        <w:jc w:val="center"/>
        <w:tblBorders>
          <w:top w:val="single" w:sz="8" w:space="0" w:color="000000"/>
          <w:bottom w:val="single" w:sz="8" w:space="0" w:color="000000"/>
        </w:tblBorders>
        <w:shd w:val="clear" w:color="auto" w:fill="FFFFFF"/>
        <w:tblLook w:val="04A0" w:firstRow="1" w:lastRow="0" w:firstColumn="1" w:lastColumn="0" w:noHBand="0" w:noVBand="1"/>
      </w:tblPr>
      <w:tblGrid>
        <w:gridCol w:w="1932"/>
        <w:gridCol w:w="5150"/>
        <w:gridCol w:w="1574"/>
        <w:gridCol w:w="5518"/>
      </w:tblGrid>
      <w:tr w:rsidR="002455EF" w:rsidRPr="00C6758F" w:rsidTr="00241B10">
        <w:trPr>
          <w:jc w:val="center"/>
        </w:trPr>
        <w:tc>
          <w:tcPr>
            <w:tcW w:w="1951" w:type="dxa"/>
            <w:tcBorders>
              <w:top w:val="single" w:sz="8" w:space="0" w:color="000000"/>
              <w:left w:val="nil"/>
              <w:bottom w:val="single" w:sz="8" w:space="0" w:color="000000"/>
              <w:right w:val="nil"/>
            </w:tcBorders>
            <w:shd w:val="clear" w:color="auto" w:fill="FFFFFF"/>
            <w:vAlign w:val="center"/>
          </w:tcPr>
          <w:p w:rsidR="002455EF" w:rsidRPr="00C6758F" w:rsidRDefault="002455EF" w:rsidP="00C6758F">
            <w:pPr>
              <w:jc w:val="center"/>
              <w:rPr>
                <w:rFonts w:ascii="Times New Roman" w:hAnsi="Times New Roman"/>
                <w:b/>
                <w:bCs/>
                <w:color w:val="000000"/>
              </w:rPr>
            </w:pPr>
            <w:r w:rsidRPr="00C6758F">
              <w:rPr>
                <w:rFonts w:ascii="Times New Roman" w:hAnsi="Times New Roman"/>
                <w:b/>
                <w:bCs/>
                <w:color w:val="000000"/>
              </w:rPr>
              <w:t>Compound</w:t>
            </w:r>
            <w:r w:rsidRPr="00C6758F">
              <w:rPr>
                <w:rFonts w:ascii="Times New Roman" w:hAnsi="Times New Roman"/>
                <w:color w:val="000000"/>
                <w:vertAlign w:val="superscript"/>
              </w:rPr>
              <w:t>a</w:t>
            </w:r>
          </w:p>
        </w:tc>
        <w:tc>
          <w:tcPr>
            <w:tcW w:w="5295" w:type="dxa"/>
            <w:tcBorders>
              <w:top w:val="single" w:sz="8" w:space="0" w:color="000000"/>
              <w:left w:val="nil"/>
              <w:bottom w:val="single" w:sz="8" w:space="0" w:color="000000"/>
              <w:right w:val="nil"/>
            </w:tcBorders>
            <w:shd w:val="clear" w:color="auto" w:fill="FFFFFF"/>
            <w:vAlign w:val="center"/>
          </w:tcPr>
          <w:p w:rsidR="002455EF" w:rsidRPr="00C6758F" w:rsidRDefault="002455EF" w:rsidP="00C6758F">
            <w:pPr>
              <w:jc w:val="center"/>
              <w:rPr>
                <w:rFonts w:ascii="Times New Roman" w:hAnsi="Times New Roman"/>
                <w:b/>
                <w:bCs/>
                <w:color w:val="000000"/>
              </w:rPr>
            </w:pPr>
            <w:r w:rsidRPr="00C6758F">
              <w:rPr>
                <w:rFonts w:ascii="Times New Roman" w:hAnsi="Times New Roman"/>
                <w:b/>
                <w:bCs/>
                <w:color w:val="000000"/>
              </w:rPr>
              <w:t>IUPAC name</w:t>
            </w:r>
            <w:r w:rsidRPr="00C6758F">
              <w:rPr>
                <w:rFonts w:ascii="Times New Roman" w:hAnsi="Times New Roman"/>
                <w:bCs/>
                <w:color w:val="000000"/>
                <w:vertAlign w:val="superscript"/>
              </w:rPr>
              <w:t>a</w:t>
            </w:r>
          </w:p>
        </w:tc>
        <w:tc>
          <w:tcPr>
            <w:tcW w:w="1607" w:type="dxa"/>
            <w:tcBorders>
              <w:top w:val="single" w:sz="8" w:space="0" w:color="000000"/>
              <w:left w:val="nil"/>
              <w:bottom w:val="single" w:sz="8" w:space="0" w:color="000000"/>
              <w:right w:val="nil"/>
            </w:tcBorders>
            <w:shd w:val="clear" w:color="auto" w:fill="FFFFFF"/>
            <w:vAlign w:val="center"/>
          </w:tcPr>
          <w:p w:rsidR="002455EF" w:rsidRPr="00C6758F" w:rsidRDefault="002455EF" w:rsidP="00C6758F">
            <w:pPr>
              <w:jc w:val="center"/>
              <w:rPr>
                <w:rFonts w:ascii="Times New Roman" w:hAnsi="Times New Roman"/>
                <w:b/>
                <w:bCs/>
                <w:color w:val="000000"/>
              </w:rPr>
            </w:pPr>
            <w:r w:rsidRPr="00C6758F">
              <w:rPr>
                <w:rFonts w:ascii="Times New Roman" w:hAnsi="Times New Roman"/>
                <w:b/>
                <w:bCs/>
                <w:color w:val="000000"/>
              </w:rPr>
              <w:t>CAS No.</w:t>
            </w:r>
          </w:p>
        </w:tc>
        <w:tc>
          <w:tcPr>
            <w:tcW w:w="5656" w:type="dxa"/>
            <w:tcBorders>
              <w:top w:val="single" w:sz="8" w:space="0" w:color="000000"/>
              <w:left w:val="nil"/>
              <w:bottom w:val="single" w:sz="8" w:space="0" w:color="000000"/>
              <w:right w:val="nil"/>
            </w:tcBorders>
            <w:shd w:val="clear" w:color="auto" w:fill="FFFFFF"/>
            <w:vAlign w:val="center"/>
          </w:tcPr>
          <w:p w:rsidR="002455EF" w:rsidRPr="00C6758F" w:rsidRDefault="002455EF" w:rsidP="00C6758F">
            <w:pPr>
              <w:jc w:val="center"/>
              <w:rPr>
                <w:rFonts w:ascii="Times New Roman" w:hAnsi="Times New Roman"/>
                <w:b/>
                <w:bCs/>
                <w:color w:val="000000"/>
              </w:rPr>
            </w:pPr>
            <w:r w:rsidRPr="00C6758F">
              <w:rPr>
                <w:rFonts w:ascii="Times New Roman" w:hAnsi="Times New Roman"/>
                <w:b/>
                <w:bCs/>
                <w:color w:val="000000"/>
              </w:rPr>
              <w:t>Structure</w:t>
            </w:r>
            <w:r w:rsidRPr="00C6758F">
              <w:rPr>
                <w:rFonts w:ascii="Times New Roman" w:hAnsi="Times New Roman"/>
                <w:bCs/>
                <w:color w:val="000000"/>
                <w:vertAlign w:val="superscript"/>
              </w:rPr>
              <w:t>a</w:t>
            </w:r>
          </w:p>
        </w:tc>
      </w:tr>
      <w:tr w:rsidR="002455EF" w:rsidRPr="00C6758F" w:rsidTr="00241B10">
        <w:trPr>
          <w:trHeight w:val="1418"/>
          <w:jc w:val="center"/>
        </w:trPr>
        <w:tc>
          <w:tcPr>
            <w:tcW w:w="0" w:type="auto"/>
            <w:tcBorders>
              <w:left w:val="nil"/>
              <w:right w:val="nil"/>
            </w:tcBorders>
            <w:shd w:val="clear" w:color="auto" w:fill="FFFFFF"/>
            <w:vAlign w:val="center"/>
          </w:tcPr>
          <w:p w:rsidR="002455EF" w:rsidRPr="00C6758F" w:rsidRDefault="002455EF" w:rsidP="00C6758F">
            <w:pPr>
              <w:jc w:val="center"/>
              <w:rPr>
                <w:rFonts w:ascii="Times New Roman" w:hAnsi="Times New Roman"/>
                <w:bCs/>
                <w:color w:val="000000"/>
                <w:sz w:val="20"/>
                <w:szCs w:val="20"/>
              </w:rPr>
            </w:pPr>
            <w:r w:rsidRPr="00C6758F">
              <w:rPr>
                <w:rFonts w:ascii="Times New Roman" w:hAnsi="Times New Roman"/>
                <w:bCs/>
                <w:color w:val="000000"/>
                <w:sz w:val="20"/>
                <w:szCs w:val="20"/>
              </w:rPr>
              <w:t>peptide</w:t>
            </w:r>
          </w:p>
          <w:p w:rsidR="002455EF" w:rsidRPr="00C6758F" w:rsidRDefault="002455EF" w:rsidP="00C6758F">
            <w:pPr>
              <w:jc w:val="center"/>
              <w:rPr>
                <w:rFonts w:ascii="Times New Roman" w:hAnsi="Times New Roman"/>
                <w:bCs/>
                <w:color w:val="000000"/>
                <w:sz w:val="20"/>
                <w:szCs w:val="20"/>
              </w:rPr>
            </w:pPr>
            <w:r w:rsidRPr="00C6758F">
              <w:rPr>
                <w:rFonts w:ascii="Times New Roman" w:hAnsi="Times New Roman"/>
                <w:bCs/>
                <w:color w:val="000000"/>
                <w:sz w:val="20"/>
                <w:szCs w:val="20"/>
              </w:rPr>
              <w:t>(C</w:t>
            </w:r>
            <w:r w:rsidRPr="00C6758F">
              <w:rPr>
                <w:rFonts w:ascii="Times New Roman" w:hAnsi="Times New Roman"/>
                <w:bCs/>
                <w:color w:val="000000"/>
                <w:sz w:val="20"/>
                <w:szCs w:val="20"/>
                <w:vertAlign w:val="subscript"/>
              </w:rPr>
              <w:t>17</w:t>
            </w:r>
            <w:r w:rsidRPr="00C6758F">
              <w:rPr>
                <w:rFonts w:ascii="Times New Roman" w:hAnsi="Times New Roman"/>
                <w:bCs/>
                <w:color w:val="000000"/>
                <w:sz w:val="20"/>
                <w:szCs w:val="20"/>
              </w:rPr>
              <w:t>H</w:t>
            </w:r>
            <w:r w:rsidRPr="00C6758F">
              <w:rPr>
                <w:rFonts w:ascii="Times New Roman" w:hAnsi="Times New Roman"/>
                <w:bCs/>
                <w:color w:val="000000"/>
                <w:sz w:val="20"/>
                <w:szCs w:val="20"/>
                <w:vertAlign w:val="subscript"/>
              </w:rPr>
              <w:t>27</w:t>
            </w:r>
            <w:r w:rsidRPr="00C6758F">
              <w:rPr>
                <w:rFonts w:ascii="Times New Roman" w:hAnsi="Times New Roman"/>
                <w:bCs/>
                <w:color w:val="000000"/>
                <w:sz w:val="20"/>
                <w:szCs w:val="20"/>
              </w:rPr>
              <w:t>O</w:t>
            </w:r>
            <w:r w:rsidRPr="00C6758F">
              <w:rPr>
                <w:rFonts w:ascii="Times New Roman" w:hAnsi="Times New Roman"/>
                <w:bCs/>
                <w:color w:val="000000"/>
                <w:sz w:val="20"/>
                <w:szCs w:val="20"/>
                <w:vertAlign w:val="subscript"/>
              </w:rPr>
              <w:t>5</w:t>
            </w:r>
            <w:r w:rsidRPr="00C6758F">
              <w:rPr>
                <w:rFonts w:ascii="Times New Roman" w:hAnsi="Times New Roman"/>
                <w:bCs/>
                <w:color w:val="000000"/>
                <w:sz w:val="20"/>
                <w:szCs w:val="20"/>
              </w:rPr>
              <w:t>N</w:t>
            </w:r>
            <w:r w:rsidRPr="00C6758F">
              <w:rPr>
                <w:rFonts w:ascii="Times New Roman" w:hAnsi="Times New Roman"/>
                <w:bCs/>
                <w:color w:val="000000"/>
                <w:sz w:val="20"/>
                <w:szCs w:val="20"/>
                <w:vertAlign w:val="subscript"/>
              </w:rPr>
              <w:t>3</w:t>
            </w:r>
            <w:r w:rsidRPr="00C6758F">
              <w:rPr>
                <w:rFonts w:ascii="Times New Roman" w:hAnsi="Times New Roman"/>
                <w:bCs/>
                <w:color w:val="000000"/>
                <w:sz w:val="20"/>
                <w:szCs w:val="20"/>
              </w:rPr>
              <w:t>)</w:t>
            </w:r>
          </w:p>
        </w:tc>
        <w:tc>
          <w:tcPr>
            <w:tcW w:w="5295" w:type="dxa"/>
            <w:tcBorders>
              <w:left w:val="nil"/>
              <w:right w:val="nil"/>
            </w:tcBorders>
            <w:shd w:val="clear" w:color="auto" w:fill="FFFFFF"/>
            <w:vAlign w:val="center"/>
          </w:tcPr>
          <w:p w:rsidR="002455EF" w:rsidRPr="00C6758F" w:rsidRDefault="002455EF" w:rsidP="00954B90">
            <w:pPr>
              <w:jc w:val="center"/>
              <w:rPr>
                <w:rFonts w:ascii="Times New Roman" w:hAnsi="Times New Roman"/>
                <w:color w:val="000000"/>
                <w:sz w:val="20"/>
                <w:szCs w:val="20"/>
              </w:rPr>
            </w:pPr>
            <w:r w:rsidRPr="00C6758F">
              <w:rPr>
                <w:rFonts w:ascii="Times New Roman" w:hAnsi="Times New Roman"/>
                <w:color w:val="000000"/>
                <w:sz w:val="20"/>
                <w:szCs w:val="20"/>
              </w:rPr>
              <w:t>G</w:t>
            </w:r>
            <w:r w:rsidR="00954B90">
              <w:rPr>
                <w:rFonts w:ascii="Times New Roman" w:hAnsi="Times New Roman"/>
                <w:color w:val="000000"/>
                <w:sz w:val="20"/>
                <w:szCs w:val="20"/>
              </w:rPr>
              <w:t>lycyl-L-leucyl-L-tyrosine</w:t>
            </w:r>
          </w:p>
        </w:tc>
        <w:tc>
          <w:tcPr>
            <w:tcW w:w="1607" w:type="dxa"/>
            <w:tcBorders>
              <w:left w:val="nil"/>
              <w:right w:val="nil"/>
            </w:tcBorders>
            <w:shd w:val="clear" w:color="auto" w:fill="FFFFFF"/>
            <w:vAlign w:val="center"/>
          </w:tcPr>
          <w:p w:rsidR="002455EF" w:rsidRPr="00C6758F" w:rsidRDefault="002455EF" w:rsidP="00C6758F">
            <w:pPr>
              <w:jc w:val="center"/>
              <w:rPr>
                <w:rFonts w:ascii="Times New Roman" w:hAnsi="Times New Roman"/>
                <w:color w:val="000000"/>
                <w:sz w:val="20"/>
                <w:szCs w:val="20"/>
                <w:lang w:eastAsia="en-GB"/>
              </w:rPr>
            </w:pPr>
            <w:r w:rsidRPr="00C6758F">
              <w:rPr>
                <w:rFonts w:ascii="Times New Roman" w:hAnsi="Times New Roman"/>
                <w:color w:val="000000"/>
                <w:sz w:val="20"/>
                <w:szCs w:val="20"/>
                <w:lang w:eastAsia="en-GB" w:bidi="ar-SA"/>
              </w:rPr>
              <w:t>4306-24-5</w:t>
            </w:r>
          </w:p>
        </w:tc>
        <w:tc>
          <w:tcPr>
            <w:tcW w:w="5656" w:type="dxa"/>
            <w:tcBorders>
              <w:left w:val="nil"/>
              <w:right w:val="nil"/>
            </w:tcBorders>
            <w:shd w:val="clear" w:color="auto" w:fill="FFFFFF"/>
            <w:vAlign w:val="center"/>
          </w:tcPr>
          <w:p w:rsidR="002455EF" w:rsidRPr="00C6758F" w:rsidRDefault="002455EF" w:rsidP="00C6758F">
            <w:pPr>
              <w:jc w:val="center"/>
            </w:pPr>
            <w:r>
              <w:rPr>
                <w:noProof/>
                <w:lang w:eastAsia="en-GB" w:bidi="ar-SA"/>
              </w:rPr>
              <w:drawing>
                <wp:inline distT="0" distB="0" distL="0" distR="0" wp14:anchorId="4AA028F7" wp14:editId="7D506DA9">
                  <wp:extent cx="1490980" cy="89789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0980" cy="897890"/>
                          </a:xfrm>
                          <a:prstGeom prst="rect">
                            <a:avLst/>
                          </a:prstGeom>
                          <a:noFill/>
                          <a:ln>
                            <a:noFill/>
                          </a:ln>
                        </pic:spPr>
                      </pic:pic>
                    </a:graphicData>
                  </a:graphic>
                </wp:inline>
              </w:drawing>
            </w:r>
          </w:p>
        </w:tc>
      </w:tr>
      <w:tr w:rsidR="002455EF" w:rsidRPr="00C6758F" w:rsidTr="00241B10">
        <w:trPr>
          <w:trHeight w:val="1418"/>
          <w:jc w:val="center"/>
        </w:trPr>
        <w:tc>
          <w:tcPr>
            <w:tcW w:w="0" w:type="auto"/>
            <w:tcBorders>
              <w:left w:val="nil"/>
              <w:right w:val="nil"/>
            </w:tcBorders>
            <w:shd w:val="clear" w:color="auto" w:fill="FFFFFF"/>
            <w:vAlign w:val="center"/>
          </w:tcPr>
          <w:p w:rsidR="002455EF" w:rsidRPr="00C6758F" w:rsidRDefault="002455EF" w:rsidP="00C6758F">
            <w:pPr>
              <w:jc w:val="center"/>
              <w:rPr>
                <w:rFonts w:ascii="Times New Roman" w:hAnsi="Times New Roman"/>
                <w:bCs/>
                <w:color w:val="000000"/>
                <w:sz w:val="20"/>
                <w:szCs w:val="20"/>
              </w:rPr>
            </w:pPr>
            <w:r w:rsidRPr="00C6758F">
              <w:rPr>
                <w:rFonts w:ascii="Times New Roman" w:hAnsi="Times New Roman"/>
                <w:bCs/>
                <w:color w:val="000000"/>
                <w:sz w:val="20"/>
                <w:szCs w:val="20"/>
              </w:rPr>
              <w:t>Chloroquine</w:t>
            </w:r>
          </w:p>
          <w:p w:rsidR="002455EF" w:rsidRPr="00C6758F" w:rsidRDefault="002455EF" w:rsidP="00C6758F">
            <w:pPr>
              <w:jc w:val="center"/>
              <w:rPr>
                <w:rFonts w:ascii="Times New Roman" w:hAnsi="Times New Roman"/>
                <w:bCs/>
                <w:color w:val="000000"/>
                <w:sz w:val="20"/>
                <w:szCs w:val="20"/>
              </w:rPr>
            </w:pPr>
            <w:r w:rsidRPr="00C6758F">
              <w:rPr>
                <w:rFonts w:ascii="Times New Roman" w:hAnsi="Times New Roman"/>
                <w:bCs/>
                <w:color w:val="000000"/>
                <w:sz w:val="20"/>
                <w:szCs w:val="20"/>
              </w:rPr>
              <w:t>diphosphate</w:t>
            </w:r>
          </w:p>
          <w:p w:rsidR="002455EF" w:rsidRPr="00C6758F" w:rsidRDefault="002455EF" w:rsidP="00A32AFB">
            <w:pPr>
              <w:jc w:val="center"/>
              <w:rPr>
                <w:rFonts w:ascii="Times New Roman" w:hAnsi="Times New Roman"/>
                <w:color w:val="000000"/>
                <w:sz w:val="20"/>
                <w:szCs w:val="20"/>
              </w:rPr>
            </w:pPr>
            <w:r w:rsidRPr="00C6758F">
              <w:rPr>
                <w:rFonts w:ascii="Times New Roman" w:hAnsi="Times New Roman"/>
                <w:color w:val="000000"/>
                <w:sz w:val="20"/>
                <w:szCs w:val="20"/>
              </w:rPr>
              <w:t>(</w:t>
            </w:r>
            <w:r w:rsidRPr="00A32AFB">
              <w:rPr>
                <w:rFonts w:ascii="Times New Roman" w:hAnsi="Times New Roman"/>
                <w:color w:val="000000"/>
                <w:sz w:val="20"/>
                <w:szCs w:val="20"/>
              </w:rPr>
              <w:t>C</w:t>
            </w:r>
            <w:r w:rsidRPr="00A32AFB">
              <w:rPr>
                <w:rFonts w:ascii="Times New Roman" w:hAnsi="Times New Roman"/>
                <w:color w:val="000000"/>
                <w:sz w:val="20"/>
                <w:szCs w:val="20"/>
                <w:vertAlign w:val="subscript"/>
              </w:rPr>
              <w:t>18</w:t>
            </w:r>
            <w:r w:rsidRPr="00A32AFB">
              <w:rPr>
                <w:rFonts w:ascii="Times New Roman" w:hAnsi="Times New Roman"/>
                <w:color w:val="000000"/>
                <w:sz w:val="20"/>
                <w:szCs w:val="20"/>
              </w:rPr>
              <w:t>H</w:t>
            </w:r>
            <w:r w:rsidRPr="00A32AFB">
              <w:rPr>
                <w:rFonts w:ascii="Times New Roman" w:hAnsi="Times New Roman"/>
                <w:color w:val="000000"/>
                <w:sz w:val="20"/>
                <w:szCs w:val="20"/>
                <w:vertAlign w:val="subscript"/>
              </w:rPr>
              <w:t>26</w:t>
            </w:r>
            <w:r w:rsidRPr="00A32AFB">
              <w:rPr>
                <w:rFonts w:ascii="Times New Roman" w:hAnsi="Times New Roman"/>
                <w:color w:val="000000"/>
                <w:sz w:val="20"/>
                <w:szCs w:val="20"/>
              </w:rPr>
              <w:t>ClN</w:t>
            </w:r>
            <w:r w:rsidRPr="00A32AFB">
              <w:rPr>
                <w:rFonts w:ascii="Times New Roman" w:hAnsi="Times New Roman"/>
                <w:color w:val="000000"/>
                <w:sz w:val="20"/>
                <w:szCs w:val="20"/>
                <w:vertAlign w:val="subscript"/>
              </w:rPr>
              <w:t>3</w:t>
            </w:r>
            <w:r w:rsidRPr="00C6758F">
              <w:rPr>
                <w:rFonts w:ascii="Times New Roman" w:hAnsi="Times New Roman"/>
                <w:color w:val="000000"/>
                <w:sz w:val="20"/>
                <w:szCs w:val="20"/>
              </w:rPr>
              <w:t>)</w:t>
            </w:r>
          </w:p>
        </w:tc>
        <w:tc>
          <w:tcPr>
            <w:tcW w:w="5295" w:type="dxa"/>
            <w:tcBorders>
              <w:left w:val="nil"/>
              <w:right w:val="nil"/>
            </w:tcBorders>
            <w:shd w:val="clear" w:color="auto" w:fill="FFFFFF"/>
            <w:vAlign w:val="center"/>
          </w:tcPr>
          <w:p w:rsidR="002455EF" w:rsidRPr="00C6758F" w:rsidRDefault="002455EF" w:rsidP="00C6758F">
            <w:pPr>
              <w:jc w:val="center"/>
              <w:rPr>
                <w:rFonts w:ascii="Times New Roman" w:hAnsi="Times New Roman"/>
                <w:color w:val="000000"/>
                <w:sz w:val="20"/>
                <w:szCs w:val="20"/>
              </w:rPr>
            </w:pPr>
            <w:r w:rsidRPr="00C6758F">
              <w:rPr>
                <w:rFonts w:ascii="Times New Roman" w:hAnsi="Times New Roman"/>
                <w:color w:val="000000"/>
                <w:sz w:val="20"/>
                <w:szCs w:val="20"/>
              </w:rPr>
              <w:t>N'-(7-chloroquinolin-4-yl)-N,N-diethyl-pentane-1,4-diamine</w:t>
            </w:r>
          </w:p>
        </w:tc>
        <w:tc>
          <w:tcPr>
            <w:tcW w:w="1607" w:type="dxa"/>
            <w:tcBorders>
              <w:left w:val="nil"/>
              <w:right w:val="nil"/>
            </w:tcBorders>
            <w:shd w:val="clear" w:color="auto" w:fill="FFFFFF"/>
            <w:vAlign w:val="center"/>
          </w:tcPr>
          <w:p w:rsidR="002455EF" w:rsidRPr="00C6758F" w:rsidRDefault="002455EF" w:rsidP="00C6758F">
            <w:pPr>
              <w:jc w:val="center"/>
              <w:rPr>
                <w:rFonts w:ascii="Times New Roman" w:hAnsi="Times New Roman"/>
                <w:color w:val="000000"/>
                <w:sz w:val="20"/>
                <w:szCs w:val="20"/>
              </w:rPr>
            </w:pPr>
            <w:r w:rsidRPr="00C6758F">
              <w:rPr>
                <w:rFonts w:ascii="Times New Roman" w:hAnsi="Times New Roman"/>
                <w:color w:val="000000"/>
                <w:sz w:val="20"/>
                <w:szCs w:val="20"/>
                <w:lang w:eastAsia="en-GB" w:bidi="ar-SA"/>
              </w:rPr>
              <w:t>50-63-5</w:t>
            </w:r>
          </w:p>
        </w:tc>
        <w:tc>
          <w:tcPr>
            <w:tcW w:w="5656" w:type="dxa"/>
            <w:tcBorders>
              <w:left w:val="nil"/>
              <w:right w:val="nil"/>
            </w:tcBorders>
            <w:shd w:val="clear" w:color="auto" w:fill="FFFFFF"/>
          </w:tcPr>
          <w:p w:rsidR="002455EF" w:rsidRPr="00C6758F" w:rsidRDefault="002455EF" w:rsidP="00C6758F">
            <w:pPr>
              <w:jc w:val="center"/>
              <w:rPr>
                <w:color w:val="000000"/>
              </w:rPr>
            </w:pPr>
            <w:r>
              <w:rPr>
                <w:noProof/>
                <w:lang w:eastAsia="en-GB" w:bidi="ar-SA"/>
              </w:rPr>
              <w:drawing>
                <wp:inline distT="0" distB="0" distL="0" distR="0" wp14:anchorId="118BD5BF" wp14:editId="3C93C2D9">
                  <wp:extent cx="1285240" cy="80708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240" cy="807085"/>
                          </a:xfrm>
                          <a:prstGeom prst="rect">
                            <a:avLst/>
                          </a:prstGeom>
                          <a:noFill/>
                          <a:ln>
                            <a:noFill/>
                          </a:ln>
                        </pic:spPr>
                      </pic:pic>
                    </a:graphicData>
                  </a:graphic>
                </wp:inline>
              </w:drawing>
            </w:r>
          </w:p>
        </w:tc>
      </w:tr>
      <w:tr w:rsidR="002455EF" w:rsidRPr="00C6758F" w:rsidTr="00241B10">
        <w:trPr>
          <w:trHeight w:val="1418"/>
          <w:jc w:val="center"/>
        </w:trPr>
        <w:tc>
          <w:tcPr>
            <w:tcW w:w="0" w:type="auto"/>
            <w:tcBorders>
              <w:left w:val="nil"/>
              <w:right w:val="nil"/>
            </w:tcBorders>
            <w:shd w:val="clear" w:color="auto" w:fill="FFFFFF"/>
            <w:vAlign w:val="center"/>
          </w:tcPr>
          <w:p w:rsidR="002455EF" w:rsidRPr="00C6758F" w:rsidRDefault="002455EF" w:rsidP="00C6758F">
            <w:pPr>
              <w:jc w:val="center"/>
              <w:rPr>
                <w:rFonts w:ascii="Times New Roman" w:hAnsi="Times New Roman"/>
                <w:bCs/>
                <w:color w:val="000000"/>
                <w:sz w:val="20"/>
                <w:szCs w:val="20"/>
                <w:lang w:val="pt-BR"/>
              </w:rPr>
            </w:pPr>
            <w:r w:rsidRPr="00C6758F">
              <w:rPr>
                <w:rFonts w:ascii="Times New Roman" w:hAnsi="Times New Roman"/>
                <w:bCs/>
                <w:color w:val="000000"/>
                <w:sz w:val="20"/>
                <w:szCs w:val="20"/>
                <w:lang w:val="pt-BR"/>
              </w:rPr>
              <w:t>quinine hemisulfate</w:t>
            </w:r>
          </w:p>
          <w:p w:rsidR="002455EF" w:rsidRPr="00C6758F" w:rsidRDefault="002455EF" w:rsidP="00C6758F">
            <w:pPr>
              <w:jc w:val="center"/>
              <w:rPr>
                <w:rFonts w:ascii="Times New Roman" w:hAnsi="Times New Roman"/>
                <w:bCs/>
                <w:color w:val="000000"/>
                <w:sz w:val="20"/>
                <w:szCs w:val="20"/>
                <w:lang w:val="pt-BR"/>
              </w:rPr>
            </w:pPr>
            <w:r w:rsidRPr="00C6758F">
              <w:rPr>
                <w:rFonts w:ascii="Times New Roman" w:hAnsi="Times New Roman"/>
                <w:bCs/>
                <w:color w:val="000000"/>
                <w:sz w:val="20"/>
                <w:szCs w:val="20"/>
                <w:lang w:val="pt-BR"/>
              </w:rPr>
              <w:t>monohydrate</w:t>
            </w:r>
          </w:p>
          <w:p w:rsidR="002455EF" w:rsidRPr="00C6758F" w:rsidRDefault="002455EF" w:rsidP="00C6758F">
            <w:pPr>
              <w:jc w:val="center"/>
              <w:rPr>
                <w:rFonts w:ascii="Times New Roman" w:hAnsi="Times New Roman"/>
                <w:bCs/>
                <w:color w:val="000000"/>
                <w:sz w:val="20"/>
                <w:szCs w:val="20"/>
                <w:lang w:val="pt-BR"/>
              </w:rPr>
            </w:pPr>
            <w:r w:rsidRPr="00C6758F">
              <w:rPr>
                <w:rFonts w:ascii="Times New Roman" w:hAnsi="Times New Roman"/>
                <w:bCs/>
                <w:sz w:val="20"/>
                <w:szCs w:val="20"/>
                <w:lang w:val="pt-BR"/>
              </w:rPr>
              <w:t>(C</w:t>
            </w:r>
            <w:r w:rsidRPr="00C6758F">
              <w:rPr>
                <w:rFonts w:ascii="Times New Roman" w:hAnsi="Times New Roman"/>
                <w:bCs/>
                <w:sz w:val="20"/>
                <w:szCs w:val="20"/>
                <w:vertAlign w:val="subscript"/>
                <w:lang w:val="pt-BR"/>
              </w:rPr>
              <w:t>20</w:t>
            </w:r>
            <w:r w:rsidRPr="00C6758F">
              <w:rPr>
                <w:rFonts w:ascii="Times New Roman" w:hAnsi="Times New Roman"/>
                <w:bCs/>
                <w:sz w:val="20"/>
                <w:szCs w:val="20"/>
                <w:lang w:val="pt-BR"/>
              </w:rPr>
              <w:t>H</w:t>
            </w:r>
            <w:r w:rsidRPr="00C6758F">
              <w:rPr>
                <w:rFonts w:ascii="Times New Roman" w:hAnsi="Times New Roman"/>
                <w:bCs/>
                <w:sz w:val="20"/>
                <w:szCs w:val="20"/>
                <w:vertAlign w:val="subscript"/>
                <w:lang w:val="pt-BR"/>
              </w:rPr>
              <w:t>24</w:t>
            </w:r>
            <w:r w:rsidRPr="00C6758F">
              <w:rPr>
                <w:rFonts w:ascii="Times New Roman" w:hAnsi="Times New Roman"/>
                <w:bCs/>
                <w:sz w:val="20"/>
                <w:szCs w:val="20"/>
                <w:lang w:val="pt-BR"/>
              </w:rPr>
              <w:t>N</w:t>
            </w:r>
            <w:r w:rsidRPr="00C6758F">
              <w:rPr>
                <w:rFonts w:ascii="Times New Roman" w:hAnsi="Times New Roman"/>
                <w:bCs/>
                <w:sz w:val="20"/>
                <w:szCs w:val="20"/>
                <w:vertAlign w:val="subscript"/>
                <w:lang w:val="pt-BR"/>
              </w:rPr>
              <w:t>2</w:t>
            </w:r>
            <w:r w:rsidRPr="00C6758F">
              <w:rPr>
                <w:rFonts w:ascii="Times New Roman" w:hAnsi="Times New Roman"/>
                <w:bCs/>
                <w:sz w:val="20"/>
                <w:szCs w:val="20"/>
                <w:lang w:val="pt-BR"/>
              </w:rPr>
              <w:t>O</w:t>
            </w:r>
            <w:r w:rsidRPr="00C6758F">
              <w:rPr>
                <w:rFonts w:ascii="Times New Roman" w:hAnsi="Times New Roman"/>
                <w:bCs/>
                <w:sz w:val="20"/>
                <w:szCs w:val="20"/>
                <w:vertAlign w:val="subscript"/>
                <w:lang w:val="pt-BR"/>
              </w:rPr>
              <w:t>2</w:t>
            </w:r>
            <w:r w:rsidRPr="00C6758F">
              <w:rPr>
                <w:rFonts w:ascii="Times New Roman" w:hAnsi="Times New Roman"/>
                <w:bCs/>
                <w:sz w:val="20"/>
                <w:szCs w:val="20"/>
                <w:lang w:val="pt-BR"/>
              </w:rPr>
              <w:t>)</w:t>
            </w:r>
            <w:r w:rsidRPr="00C6758F">
              <w:rPr>
                <w:rFonts w:ascii="Times New Roman" w:hAnsi="Times New Roman"/>
                <w:bCs/>
                <w:sz w:val="20"/>
                <w:szCs w:val="20"/>
                <w:vertAlign w:val="superscript"/>
                <w:lang w:val="pt-BR"/>
              </w:rPr>
              <w:t>a</w:t>
            </w:r>
          </w:p>
        </w:tc>
        <w:tc>
          <w:tcPr>
            <w:tcW w:w="5295" w:type="dxa"/>
            <w:tcBorders>
              <w:left w:val="nil"/>
              <w:right w:val="nil"/>
            </w:tcBorders>
            <w:shd w:val="clear" w:color="auto" w:fill="FFFFFF"/>
            <w:vAlign w:val="center"/>
          </w:tcPr>
          <w:p w:rsidR="002455EF" w:rsidRPr="00C6758F" w:rsidRDefault="002455EF" w:rsidP="00C6758F">
            <w:pPr>
              <w:jc w:val="center"/>
              <w:rPr>
                <w:rFonts w:ascii="Times New Roman" w:hAnsi="Times New Roman"/>
                <w:color w:val="000000"/>
                <w:sz w:val="20"/>
                <w:szCs w:val="20"/>
              </w:rPr>
            </w:pPr>
            <w:r w:rsidRPr="00C6758F">
              <w:rPr>
                <w:rFonts w:ascii="Times New Roman" w:hAnsi="Times New Roman"/>
                <w:color w:val="000000"/>
                <w:sz w:val="20"/>
                <w:szCs w:val="20"/>
              </w:rPr>
              <w:t>(</w:t>
            </w:r>
            <w:r w:rsidRPr="00C6758F">
              <w:rPr>
                <w:rFonts w:ascii="Times New Roman" w:hAnsi="Times New Roman"/>
                <w:i/>
                <w:iCs/>
                <w:color w:val="000000"/>
                <w:sz w:val="20"/>
                <w:szCs w:val="20"/>
              </w:rPr>
              <w:t>R</w:t>
            </w:r>
            <w:r w:rsidRPr="00C6758F">
              <w:rPr>
                <w:rFonts w:ascii="Times New Roman" w:hAnsi="Times New Roman"/>
                <w:color w:val="000000"/>
                <w:sz w:val="20"/>
                <w:szCs w:val="20"/>
              </w:rPr>
              <w:t>)-(6-methoxyquinolin-4-yl)((2</w:t>
            </w:r>
            <w:r w:rsidRPr="00C6758F">
              <w:rPr>
                <w:rFonts w:ascii="Times New Roman" w:hAnsi="Times New Roman"/>
                <w:i/>
                <w:iCs/>
                <w:color w:val="000000"/>
                <w:sz w:val="20"/>
                <w:szCs w:val="20"/>
              </w:rPr>
              <w:t>S</w:t>
            </w:r>
            <w:r w:rsidRPr="00C6758F">
              <w:rPr>
                <w:rFonts w:ascii="Times New Roman" w:hAnsi="Times New Roman"/>
                <w:color w:val="000000"/>
                <w:sz w:val="20"/>
                <w:szCs w:val="20"/>
              </w:rPr>
              <w:t>,4</w:t>
            </w:r>
            <w:r w:rsidRPr="00C6758F">
              <w:rPr>
                <w:rFonts w:ascii="Times New Roman" w:hAnsi="Times New Roman"/>
                <w:i/>
                <w:iCs/>
                <w:color w:val="000000"/>
                <w:sz w:val="20"/>
                <w:szCs w:val="20"/>
              </w:rPr>
              <w:t>S</w:t>
            </w:r>
            <w:r w:rsidRPr="00C6758F">
              <w:rPr>
                <w:rFonts w:ascii="Times New Roman" w:hAnsi="Times New Roman"/>
                <w:color w:val="000000"/>
                <w:sz w:val="20"/>
                <w:szCs w:val="20"/>
              </w:rPr>
              <w:t>,8</w:t>
            </w:r>
            <w:r w:rsidRPr="00C6758F">
              <w:rPr>
                <w:rFonts w:ascii="Times New Roman" w:hAnsi="Times New Roman"/>
                <w:i/>
                <w:iCs/>
                <w:color w:val="000000"/>
                <w:sz w:val="20"/>
                <w:szCs w:val="20"/>
              </w:rPr>
              <w:t>R</w:t>
            </w:r>
            <w:r w:rsidRPr="00C6758F">
              <w:rPr>
                <w:rFonts w:ascii="Times New Roman" w:hAnsi="Times New Roman"/>
                <w:color w:val="000000"/>
                <w:sz w:val="20"/>
                <w:szCs w:val="20"/>
              </w:rPr>
              <w:t>)-8-vinylquinuclidin-2-yl)methanol</w:t>
            </w:r>
          </w:p>
        </w:tc>
        <w:tc>
          <w:tcPr>
            <w:tcW w:w="1607" w:type="dxa"/>
            <w:tcBorders>
              <w:left w:val="nil"/>
              <w:right w:val="nil"/>
            </w:tcBorders>
            <w:shd w:val="clear" w:color="auto" w:fill="FFFFFF"/>
            <w:vAlign w:val="center"/>
          </w:tcPr>
          <w:p w:rsidR="002455EF" w:rsidRPr="00C6758F" w:rsidRDefault="002455EF" w:rsidP="00C6758F">
            <w:pPr>
              <w:jc w:val="center"/>
              <w:rPr>
                <w:rFonts w:ascii="Times New Roman" w:hAnsi="Times New Roman"/>
                <w:color w:val="000000"/>
                <w:sz w:val="20"/>
                <w:szCs w:val="20"/>
              </w:rPr>
            </w:pPr>
            <w:r w:rsidRPr="00C6758F">
              <w:rPr>
                <w:rFonts w:ascii="Times New Roman" w:hAnsi="Times New Roman"/>
                <w:color w:val="000000"/>
                <w:sz w:val="20"/>
                <w:szCs w:val="20"/>
              </w:rPr>
              <w:t>303137-00-0</w:t>
            </w:r>
          </w:p>
        </w:tc>
        <w:tc>
          <w:tcPr>
            <w:tcW w:w="5656" w:type="dxa"/>
            <w:tcBorders>
              <w:left w:val="nil"/>
              <w:right w:val="nil"/>
            </w:tcBorders>
            <w:shd w:val="clear" w:color="auto" w:fill="FFFFFF"/>
            <w:vAlign w:val="center"/>
          </w:tcPr>
          <w:p w:rsidR="002455EF" w:rsidRPr="00C6758F" w:rsidRDefault="002455EF" w:rsidP="00C6758F">
            <w:pPr>
              <w:jc w:val="center"/>
              <w:rPr>
                <w:color w:val="000000"/>
              </w:rPr>
            </w:pPr>
            <w:r>
              <w:rPr>
                <w:noProof/>
                <w:lang w:eastAsia="en-GB" w:bidi="ar-SA"/>
              </w:rPr>
              <w:drawing>
                <wp:inline distT="0" distB="0" distL="0" distR="0" wp14:anchorId="0BA6DD18" wp14:editId="1B7CA887">
                  <wp:extent cx="1153160" cy="790575"/>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3160" cy="790575"/>
                          </a:xfrm>
                          <a:prstGeom prst="rect">
                            <a:avLst/>
                          </a:prstGeom>
                          <a:noFill/>
                          <a:ln>
                            <a:noFill/>
                          </a:ln>
                        </pic:spPr>
                      </pic:pic>
                    </a:graphicData>
                  </a:graphic>
                </wp:inline>
              </w:drawing>
            </w:r>
          </w:p>
        </w:tc>
      </w:tr>
      <w:tr w:rsidR="002455EF" w:rsidRPr="00C6758F" w:rsidTr="00241B10">
        <w:trPr>
          <w:trHeight w:val="1418"/>
          <w:jc w:val="center"/>
        </w:trPr>
        <w:tc>
          <w:tcPr>
            <w:tcW w:w="0" w:type="auto"/>
            <w:shd w:val="clear" w:color="auto" w:fill="FFFFFF"/>
            <w:vAlign w:val="center"/>
          </w:tcPr>
          <w:p w:rsidR="002455EF" w:rsidRPr="00C6758F" w:rsidRDefault="002455EF" w:rsidP="00C6758F">
            <w:pPr>
              <w:jc w:val="center"/>
              <w:rPr>
                <w:rFonts w:ascii="Times New Roman" w:hAnsi="Times New Roman"/>
                <w:bCs/>
                <w:color w:val="000000"/>
                <w:sz w:val="20"/>
                <w:szCs w:val="20"/>
              </w:rPr>
            </w:pPr>
            <w:r w:rsidRPr="00C6758F">
              <w:rPr>
                <w:rFonts w:ascii="Times New Roman" w:hAnsi="Times New Roman"/>
                <w:bCs/>
                <w:color w:val="000000"/>
                <w:sz w:val="20"/>
                <w:szCs w:val="20"/>
              </w:rPr>
              <w:t>fluphenazine</w:t>
            </w:r>
          </w:p>
          <w:p w:rsidR="002455EF" w:rsidRPr="00C6758F" w:rsidRDefault="002455EF" w:rsidP="00C6758F">
            <w:pPr>
              <w:jc w:val="center"/>
              <w:rPr>
                <w:rFonts w:ascii="Times New Roman" w:hAnsi="Times New Roman"/>
                <w:bCs/>
                <w:color w:val="000000"/>
                <w:sz w:val="20"/>
                <w:szCs w:val="20"/>
              </w:rPr>
            </w:pPr>
            <w:r w:rsidRPr="00C6758F">
              <w:rPr>
                <w:rFonts w:ascii="Times New Roman" w:hAnsi="Times New Roman"/>
                <w:bCs/>
                <w:color w:val="000000"/>
                <w:sz w:val="20"/>
                <w:szCs w:val="20"/>
              </w:rPr>
              <w:t>hydrochloride</w:t>
            </w:r>
          </w:p>
          <w:p w:rsidR="002455EF" w:rsidRPr="00C6758F" w:rsidRDefault="002455EF" w:rsidP="00C6758F">
            <w:pPr>
              <w:jc w:val="center"/>
              <w:rPr>
                <w:rFonts w:ascii="Times New Roman" w:hAnsi="Times New Roman"/>
                <w:b/>
                <w:bCs/>
                <w:color w:val="000000"/>
                <w:sz w:val="20"/>
                <w:szCs w:val="20"/>
              </w:rPr>
            </w:pPr>
            <w:r w:rsidRPr="00C6758F">
              <w:rPr>
                <w:rFonts w:ascii="Times New Roman" w:hAnsi="Times New Roman"/>
                <w:bCs/>
                <w:color w:val="000000"/>
                <w:sz w:val="20"/>
                <w:szCs w:val="20"/>
              </w:rPr>
              <w:t>(C</w:t>
            </w:r>
            <w:r w:rsidRPr="00C6758F">
              <w:rPr>
                <w:rFonts w:ascii="Times New Roman" w:hAnsi="Times New Roman"/>
                <w:bCs/>
                <w:color w:val="000000"/>
                <w:sz w:val="20"/>
                <w:szCs w:val="20"/>
                <w:vertAlign w:val="subscript"/>
              </w:rPr>
              <w:t>22</w:t>
            </w:r>
            <w:r w:rsidRPr="00C6758F">
              <w:rPr>
                <w:rFonts w:ascii="Times New Roman" w:hAnsi="Times New Roman"/>
                <w:bCs/>
                <w:color w:val="000000"/>
                <w:sz w:val="20"/>
                <w:szCs w:val="20"/>
              </w:rPr>
              <w:t>H</w:t>
            </w:r>
            <w:r w:rsidRPr="00C6758F">
              <w:rPr>
                <w:rFonts w:ascii="Times New Roman" w:hAnsi="Times New Roman"/>
                <w:bCs/>
                <w:color w:val="000000"/>
                <w:sz w:val="20"/>
                <w:szCs w:val="20"/>
                <w:vertAlign w:val="subscript"/>
              </w:rPr>
              <w:t>26</w:t>
            </w:r>
            <w:r w:rsidRPr="00C6758F">
              <w:rPr>
                <w:rFonts w:ascii="Times New Roman" w:hAnsi="Times New Roman"/>
                <w:bCs/>
                <w:color w:val="000000"/>
                <w:sz w:val="20"/>
                <w:szCs w:val="20"/>
              </w:rPr>
              <w:t>F</w:t>
            </w:r>
            <w:r w:rsidRPr="00C6758F">
              <w:rPr>
                <w:rFonts w:ascii="Times New Roman" w:hAnsi="Times New Roman"/>
                <w:bCs/>
                <w:color w:val="000000"/>
                <w:sz w:val="20"/>
                <w:szCs w:val="20"/>
                <w:vertAlign w:val="subscript"/>
              </w:rPr>
              <w:t>3</w:t>
            </w:r>
            <w:r w:rsidRPr="00C6758F">
              <w:rPr>
                <w:rFonts w:ascii="Times New Roman" w:hAnsi="Times New Roman"/>
                <w:bCs/>
                <w:color w:val="000000"/>
                <w:sz w:val="20"/>
                <w:szCs w:val="20"/>
              </w:rPr>
              <w:t>N</w:t>
            </w:r>
            <w:r w:rsidRPr="00C6758F">
              <w:rPr>
                <w:rFonts w:ascii="Times New Roman" w:hAnsi="Times New Roman"/>
                <w:bCs/>
                <w:color w:val="000000"/>
                <w:sz w:val="20"/>
                <w:szCs w:val="20"/>
                <w:vertAlign w:val="subscript"/>
              </w:rPr>
              <w:t>3</w:t>
            </w:r>
            <w:r w:rsidRPr="00C6758F">
              <w:rPr>
                <w:rFonts w:ascii="Times New Roman" w:hAnsi="Times New Roman"/>
                <w:bCs/>
                <w:color w:val="000000"/>
                <w:sz w:val="20"/>
                <w:szCs w:val="20"/>
              </w:rPr>
              <w:t>OS)</w:t>
            </w:r>
          </w:p>
        </w:tc>
        <w:tc>
          <w:tcPr>
            <w:tcW w:w="5295" w:type="dxa"/>
            <w:shd w:val="clear" w:color="auto" w:fill="FFFFFF"/>
            <w:vAlign w:val="center"/>
          </w:tcPr>
          <w:p w:rsidR="002455EF" w:rsidRPr="00C6758F" w:rsidRDefault="002455EF" w:rsidP="00C6758F">
            <w:pPr>
              <w:jc w:val="center"/>
              <w:rPr>
                <w:rFonts w:ascii="Times New Roman" w:hAnsi="Times New Roman"/>
                <w:color w:val="000000"/>
                <w:sz w:val="20"/>
                <w:szCs w:val="20"/>
              </w:rPr>
            </w:pPr>
            <w:r w:rsidRPr="00C6758F">
              <w:rPr>
                <w:rFonts w:ascii="Times New Roman" w:hAnsi="Times New Roman"/>
                <w:color w:val="000000"/>
                <w:sz w:val="20"/>
                <w:szCs w:val="20"/>
              </w:rPr>
              <w:t>2-[4-[3-[2-(trifluoromethyl)-10</w:t>
            </w:r>
            <w:r w:rsidRPr="00C6758F">
              <w:rPr>
                <w:rFonts w:ascii="Times New Roman" w:hAnsi="Times New Roman"/>
                <w:i/>
                <w:iCs/>
                <w:color w:val="000000"/>
                <w:sz w:val="20"/>
                <w:szCs w:val="20"/>
              </w:rPr>
              <w:t>H</w:t>
            </w:r>
            <w:r w:rsidRPr="00C6758F">
              <w:rPr>
                <w:rFonts w:ascii="Times New Roman" w:hAnsi="Times New Roman"/>
                <w:color w:val="000000"/>
                <w:sz w:val="20"/>
                <w:szCs w:val="20"/>
              </w:rPr>
              <w:t>-phenothiazin-10-yl]propyl]-piperazin-1-yl]ethanol</w:t>
            </w:r>
          </w:p>
        </w:tc>
        <w:tc>
          <w:tcPr>
            <w:tcW w:w="1607" w:type="dxa"/>
            <w:shd w:val="clear" w:color="auto" w:fill="FFFFFF"/>
            <w:vAlign w:val="center"/>
          </w:tcPr>
          <w:p w:rsidR="002455EF" w:rsidRPr="00C6758F" w:rsidRDefault="002455EF" w:rsidP="00C6758F">
            <w:pPr>
              <w:jc w:val="center"/>
              <w:rPr>
                <w:rFonts w:ascii="Times New Roman" w:hAnsi="Times New Roman"/>
                <w:color w:val="000000"/>
                <w:sz w:val="20"/>
                <w:szCs w:val="20"/>
              </w:rPr>
            </w:pPr>
            <w:r w:rsidRPr="00C6758F">
              <w:rPr>
                <w:rFonts w:ascii="Times New Roman" w:hAnsi="Times New Roman"/>
                <w:color w:val="000000"/>
                <w:sz w:val="20"/>
                <w:szCs w:val="20"/>
              </w:rPr>
              <w:t>69-23-8</w:t>
            </w:r>
          </w:p>
        </w:tc>
        <w:tc>
          <w:tcPr>
            <w:tcW w:w="5656" w:type="dxa"/>
            <w:shd w:val="clear" w:color="auto" w:fill="FFFFFF"/>
          </w:tcPr>
          <w:p w:rsidR="002455EF" w:rsidRPr="00C6758F" w:rsidRDefault="002455EF" w:rsidP="00C6758F">
            <w:pPr>
              <w:jc w:val="center"/>
              <w:rPr>
                <w:color w:val="000000"/>
              </w:rPr>
            </w:pPr>
            <w:r>
              <w:rPr>
                <w:noProof/>
                <w:lang w:eastAsia="en-GB" w:bidi="ar-SA"/>
              </w:rPr>
              <w:drawing>
                <wp:inline distT="0" distB="0" distL="0" distR="0" wp14:anchorId="185A0F79" wp14:editId="521052EC">
                  <wp:extent cx="1507490" cy="807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7490" cy="807085"/>
                          </a:xfrm>
                          <a:prstGeom prst="rect">
                            <a:avLst/>
                          </a:prstGeom>
                          <a:noFill/>
                          <a:ln>
                            <a:noFill/>
                          </a:ln>
                        </pic:spPr>
                      </pic:pic>
                    </a:graphicData>
                  </a:graphic>
                </wp:inline>
              </w:drawing>
            </w:r>
          </w:p>
        </w:tc>
      </w:tr>
      <w:tr w:rsidR="002455EF" w:rsidRPr="00C6758F" w:rsidTr="00241B10">
        <w:trPr>
          <w:trHeight w:val="1418"/>
          <w:jc w:val="center"/>
        </w:trPr>
        <w:tc>
          <w:tcPr>
            <w:tcW w:w="0" w:type="auto"/>
            <w:tcBorders>
              <w:left w:val="nil"/>
              <w:bottom w:val="single" w:sz="8" w:space="0" w:color="000000"/>
              <w:right w:val="nil"/>
            </w:tcBorders>
            <w:shd w:val="clear" w:color="auto" w:fill="FFFFFF"/>
            <w:vAlign w:val="center"/>
          </w:tcPr>
          <w:p w:rsidR="002455EF" w:rsidRPr="00C6758F" w:rsidRDefault="002455EF" w:rsidP="00C6758F">
            <w:pPr>
              <w:jc w:val="center"/>
              <w:rPr>
                <w:rFonts w:ascii="Times New Roman" w:hAnsi="Times New Roman"/>
                <w:bCs/>
                <w:color w:val="000000"/>
                <w:sz w:val="20"/>
                <w:szCs w:val="20"/>
              </w:rPr>
            </w:pPr>
            <w:r w:rsidRPr="00C6758F">
              <w:rPr>
                <w:rFonts w:ascii="Times New Roman" w:hAnsi="Times New Roman"/>
                <w:bCs/>
                <w:color w:val="000000"/>
                <w:sz w:val="20"/>
                <w:szCs w:val="20"/>
              </w:rPr>
              <w:t>levamisole</w:t>
            </w:r>
          </w:p>
          <w:p w:rsidR="002455EF" w:rsidRPr="00C6758F" w:rsidRDefault="002455EF" w:rsidP="00C6758F">
            <w:pPr>
              <w:jc w:val="center"/>
              <w:rPr>
                <w:rFonts w:ascii="Times New Roman" w:hAnsi="Times New Roman"/>
                <w:bCs/>
                <w:color w:val="000000"/>
                <w:sz w:val="20"/>
                <w:szCs w:val="20"/>
              </w:rPr>
            </w:pPr>
            <w:r w:rsidRPr="00C6758F">
              <w:rPr>
                <w:rFonts w:ascii="Times New Roman" w:hAnsi="Times New Roman"/>
                <w:bCs/>
                <w:color w:val="000000"/>
                <w:sz w:val="20"/>
                <w:szCs w:val="20"/>
              </w:rPr>
              <w:t>hydrochloride</w:t>
            </w:r>
          </w:p>
          <w:p w:rsidR="002455EF" w:rsidRPr="00C6758F" w:rsidRDefault="002455EF" w:rsidP="00C6758F">
            <w:pPr>
              <w:jc w:val="center"/>
              <w:rPr>
                <w:rFonts w:ascii="Times New Roman" w:hAnsi="Times New Roman"/>
                <w:bCs/>
                <w:color w:val="000000"/>
                <w:sz w:val="20"/>
                <w:szCs w:val="20"/>
              </w:rPr>
            </w:pPr>
            <w:r w:rsidRPr="00C6758F">
              <w:rPr>
                <w:rFonts w:ascii="Times New Roman" w:hAnsi="Times New Roman"/>
                <w:bCs/>
                <w:color w:val="000000"/>
                <w:sz w:val="20"/>
                <w:szCs w:val="20"/>
              </w:rPr>
              <w:t>(C</w:t>
            </w:r>
            <w:r w:rsidRPr="00C6758F">
              <w:rPr>
                <w:rFonts w:ascii="Times New Roman" w:hAnsi="Times New Roman"/>
                <w:bCs/>
                <w:color w:val="000000"/>
                <w:sz w:val="20"/>
                <w:szCs w:val="20"/>
                <w:vertAlign w:val="subscript"/>
              </w:rPr>
              <w:t>11</w:t>
            </w:r>
            <w:r w:rsidRPr="00C6758F">
              <w:rPr>
                <w:rFonts w:ascii="Times New Roman" w:hAnsi="Times New Roman"/>
                <w:bCs/>
                <w:color w:val="000000"/>
                <w:sz w:val="20"/>
                <w:szCs w:val="20"/>
              </w:rPr>
              <w:t>H</w:t>
            </w:r>
            <w:r w:rsidRPr="00C6758F">
              <w:rPr>
                <w:rFonts w:ascii="Times New Roman" w:hAnsi="Times New Roman"/>
                <w:bCs/>
                <w:color w:val="000000"/>
                <w:sz w:val="20"/>
                <w:szCs w:val="20"/>
                <w:vertAlign w:val="subscript"/>
              </w:rPr>
              <w:t>12</w:t>
            </w:r>
            <w:r w:rsidRPr="00C6758F">
              <w:rPr>
                <w:rFonts w:ascii="Times New Roman" w:hAnsi="Times New Roman"/>
                <w:bCs/>
                <w:color w:val="000000"/>
                <w:sz w:val="20"/>
                <w:szCs w:val="20"/>
              </w:rPr>
              <w:t>N</w:t>
            </w:r>
            <w:r w:rsidRPr="00C6758F">
              <w:rPr>
                <w:rFonts w:ascii="Times New Roman" w:hAnsi="Times New Roman"/>
                <w:bCs/>
                <w:color w:val="000000"/>
                <w:sz w:val="20"/>
                <w:szCs w:val="20"/>
                <w:vertAlign w:val="subscript"/>
              </w:rPr>
              <w:t>2</w:t>
            </w:r>
            <w:r w:rsidRPr="00C6758F">
              <w:rPr>
                <w:rFonts w:ascii="Times New Roman" w:hAnsi="Times New Roman"/>
                <w:bCs/>
                <w:color w:val="000000"/>
                <w:sz w:val="20"/>
                <w:szCs w:val="20"/>
              </w:rPr>
              <w:t>S)</w:t>
            </w:r>
            <w:r w:rsidRPr="00C6758F">
              <w:rPr>
                <w:rFonts w:ascii="Times New Roman" w:hAnsi="Times New Roman"/>
                <w:bCs/>
                <w:color w:val="000000"/>
                <w:sz w:val="20"/>
                <w:szCs w:val="20"/>
                <w:vertAlign w:val="superscript"/>
              </w:rPr>
              <w:t>a</w:t>
            </w:r>
          </w:p>
        </w:tc>
        <w:tc>
          <w:tcPr>
            <w:tcW w:w="5295" w:type="dxa"/>
            <w:tcBorders>
              <w:left w:val="nil"/>
              <w:bottom w:val="single" w:sz="8" w:space="0" w:color="000000"/>
              <w:right w:val="nil"/>
            </w:tcBorders>
            <w:shd w:val="clear" w:color="auto" w:fill="FFFFFF"/>
            <w:vAlign w:val="center"/>
          </w:tcPr>
          <w:p w:rsidR="002455EF" w:rsidRPr="00C6758F" w:rsidRDefault="002455EF" w:rsidP="00C6758F">
            <w:pPr>
              <w:jc w:val="center"/>
              <w:rPr>
                <w:rFonts w:ascii="Times New Roman" w:hAnsi="Times New Roman"/>
                <w:color w:val="000000"/>
                <w:sz w:val="20"/>
                <w:szCs w:val="20"/>
              </w:rPr>
            </w:pPr>
            <w:r w:rsidRPr="00C6758F">
              <w:rPr>
                <w:rFonts w:ascii="Times New Roman" w:hAnsi="Times New Roman"/>
                <w:color w:val="000000"/>
                <w:sz w:val="20"/>
                <w:szCs w:val="20"/>
              </w:rPr>
              <w:t>(6S)-6-phenyl-2,3,5,6-tetrahydroimidazo[2,1-b][1,3]thiazole</w:t>
            </w:r>
          </w:p>
        </w:tc>
        <w:tc>
          <w:tcPr>
            <w:tcW w:w="1607" w:type="dxa"/>
            <w:tcBorders>
              <w:left w:val="nil"/>
              <w:bottom w:val="single" w:sz="8" w:space="0" w:color="000000"/>
              <w:right w:val="nil"/>
            </w:tcBorders>
            <w:shd w:val="clear" w:color="auto" w:fill="FFFFFF"/>
            <w:vAlign w:val="center"/>
          </w:tcPr>
          <w:p w:rsidR="002455EF" w:rsidRPr="00C6758F" w:rsidRDefault="002455EF" w:rsidP="00C6758F">
            <w:pPr>
              <w:jc w:val="center"/>
              <w:rPr>
                <w:rFonts w:ascii="Times New Roman" w:hAnsi="Times New Roman"/>
                <w:color w:val="000000"/>
                <w:sz w:val="20"/>
                <w:szCs w:val="20"/>
              </w:rPr>
            </w:pPr>
            <w:r w:rsidRPr="00C6758F">
              <w:rPr>
                <w:rFonts w:ascii="Times New Roman" w:hAnsi="Times New Roman"/>
                <w:color w:val="000000"/>
                <w:sz w:val="20"/>
                <w:szCs w:val="20"/>
              </w:rPr>
              <w:t>16595-80-5</w:t>
            </w:r>
          </w:p>
        </w:tc>
        <w:tc>
          <w:tcPr>
            <w:tcW w:w="5656" w:type="dxa"/>
            <w:tcBorders>
              <w:left w:val="nil"/>
              <w:bottom w:val="single" w:sz="8" w:space="0" w:color="000000"/>
              <w:right w:val="nil"/>
            </w:tcBorders>
            <w:shd w:val="clear" w:color="auto" w:fill="FFFFFF"/>
          </w:tcPr>
          <w:p w:rsidR="002455EF" w:rsidRPr="00C6758F" w:rsidRDefault="002455EF" w:rsidP="00C6758F">
            <w:pPr>
              <w:jc w:val="center"/>
              <w:rPr>
                <w:color w:val="000000"/>
              </w:rPr>
            </w:pPr>
            <w:r>
              <w:rPr>
                <w:noProof/>
                <w:lang w:eastAsia="en-GB" w:bidi="ar-SA"/>
              </w:rPr>
              <w:drawing>
                <wp:inline distT="0" distB="0" distL="0" distR="0" wp14:anchorId="574A09E4" wp14:editId="4E6A47B8">
                  <wp:extent cx="1062990" cy="56007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2990" cy="560070"/>
                          </a:xfrm>
                          <a:prstGeom prst="rect">
                            <a:avLst/>
                          </a:prstGeom>
                          <a:noFill/>
                          <a:ln>
                            <a:noFill/>
                          </a:ln>
                        </pic:spPr>
                      </pic:pic>
                    </a:graphicData>
                  </a:graphic>
                </wp:inline>
              </w:drawing>
            </w:r>
          </w:p>
        </w:tc>
      </w:tr>
    </w:tbl>
    <w:p w:rsidR="002455EF" w:rsidRDefault="002455EF" w:rsidP="00C6758F">
      <w:pPr>
        <w:ind w:left="0" w:firstLine="0"/>
        <w:jc w:val="left"/>
        <w:rPr>
          <w:rFonts w:ascii="Times New Roman" w:hAnsi="Times New Roman"/>
          <w:b/>
        </w:rPr>
      </w:pPr>
    </w:p>
    <w:p w:rsidR="002455EF" w:rsidRDefault="002455EF" w:rsidP="00954B90">
      <w:pPr>
        <w:ind w:left="0" w:firstLine="0"/>
        <w:jc w:val="left"/>
        <w:rPr>
          <w:rFonts w:ascii="Times New Roman" w:hAnsi="Times New Roman"/>
          <w:b/>
        </w:rPr>
        <w:sectPr w:rsidR="002455EF" w:rsidSect="00C6758F">
          <w:pgSz w:w="16838" w:h="11906" w:orient="landscape" w:code="9"/>
          <w:pgMar w:top="1440" w:right="1440" w:bottom="1440" w:left="1440" w:header="709" w:footer="709" w:gutter="0"/>
          <w:cols w:space="708"/>
          <w:docGrid w:linePitch="360"/>
        </w:sectPr>
      </w:pPr>
      <w:r>
        <w:rPr>
          <w:rFonts w:ascii="Times New Roman" w:hAnsi="Times New Roman"/>
          <w:vertAlign w:val="superscript"/>
        </w:rPr>
        <w:t xml:space="preserve">a </w:t>
      </w:r>
      <w:r w:rsidR="00954B90">
        <w:rPr>
          <w:rFonts w:ascii="Times New Roman" w:hAnsi="Times New Roman"/>
          <w:sz w:val="20"/>
          <w:szCs w:val="20"/>
        </w:rPr>
        <w:t>Main molecule only.</w:t>
      </w:r>
    </w:p>
    <w:p w:rsidR="002455EF" w:rsidRDefault="002455EF" w:rsidP="007026AB">
      <w:pPr>
        <w:ind w:left="0" w:firstLine="0"/>
        <w:jc w:val="left"/>
        <w:rPr>
          <w:rFonts w:ascii="Times New Roman" w:hAnsi="Times New Roman"/>
          <w:sz w:val="24"/>
        </w:rPr>
      </w:pPr>
      <w:r>
        <w:rPr>
          <w:rFonts w:asciiTheme="majorBidi" w:hAnsiTheme="majorBidi" w:cstheme="majorBidi"/>
          <w:sz w:val="24"/>
        </w:rPr>
        <w:lastRenderedPageBreak/>
        <w:t>Table 2: Acid dissociation constant (pK</w:t>
      </w:r>
      <w:r w:rsidRPr="008B6F79">
        <w:rPr>
          <w:rFonts w:asciiTheme="majorBidi" w:hAnsiTheme="majorBidi" w:cstheme="majorBidi"/>
          <w:sz w:val="24"/>
          <w:vertAlign w:val="subscript"/>
        </w:rPr>
        <w:t>a</w:t>
      </w:r>
      <w:r>
        <w:rPr>
          <w:rFonts w:asciiTheme="majorBidi" w:hAnsiTheme="majorBidi" w:cstheme="majorBidi"/>
          <w:sz w:val="24"/>
        </w:rPr>
        <w:t>)</w:t>
      </w:r>
      <w:r w:rsidRPr="009816B3">
        <w:rPr>
          <w:rFonts w:asciiTheme="majorBidi" w:hAnsiTheme="majorBidi" w:cstheme="majorBidi"/>
          <w:sz w:val="24"/>
          <w:vertAlign w:val="superscript"/>
        </w:rPr>
        <w:t>a</w:t>
      </w:r>
      <w:r>
        <w:rPr>
          <w:rFonts w:asciiTheme="majorBidi" w:hAnsiTheme="majorBidi" w:cstheme="majorBidi"/>
          <w:sz w:val="24"/>
        </w:rPr>
        <w:t>, octanol-water solubility co-efficient (log K</w:t>
      </w:r>
      <w:r w:rsidRPr="008B6F79">
        <w:rPr>
          <w:rFonts w:asciiTheme="majorBidi" w:hAnsiTheme="majorBidi" w:cstheme="majorBidi"/>
          <w:sz w:val="24"/>
          <w:vertAlign w:val="subscript"/>
        </w:rPr>
        <w:t>ow</w:t>
      </w:r>
      <w:r>
        <w:rPr>
          <w:rFonts w:asciiTheme="majorBidi" w:hAnsiTheme="majorBidi" w:cstheme="majorBidi"/>
          <w:sz w:val="24"/>
        </w:rPr>
        <w:t>)</w:t>
      </w:r>
      <w:r w:rsidRPr="009816B3">
        <w:rPr>
          <w:rFonts w:asciiTheme="majorBidi" w:hAnsiTheme="majorBidi" w:cstheme="majorBidi"/>
          <w:sz w:val="24"/>
          <w:vertAlign w:val="superscript"/>
        </w:rPr>
        <w:t>a</w:t>
      </w:r>
      <w:r>
        <w:rPr>
          <w:rFonts w:asciiTheme="majorBidi" w:hAnsiTheme="majorBidi" w:cstheme="majorBidi"/>
          <w:sz w:val="24"/>
        </w:rPr>
        <w:t xml:space="preserve"> and </w:t>
      </w:r>
      <w:r w:rsidRPr="008B6F79">
        <w:rPr>
          <w:rFonts w:ascii="Times New Roman" w:hAnsi="Times New Roman"/>
          <w:sz w:val="24"/>
        </w:rPr>
        <w:t xml:space="preserve">octanol-water </w:t>
      </w:r>
      <w:r>
        <w:rPr>
          <w:rFonts w:ascii="Times New Roman" w:hAnsi="Times New Roman"/>
          <w:sz w:val="24"/>
        </w:rPr>
        <w:t>distribution</w:t>
      </w:r>
      <w:r w:rsidRPr="008B6F79">
        <w:rPr>
          <w:rFonts w:ascii="Times New Roman" w:hAnsi="Times New Roman"/>
          <w:sz w:val="24"/>
        </w:rPr>
        <w:t xml:space="preserve"> co-efficient</w:t>
      </w:r>
      <w:r>
        <w:rPr>
          <w:rFonts w:ascii="Times New Roman" w:hAnsi="Times New Roman"/>
          <w:sz w:val="24"/>
        </w:rPr>
        <w:t xml:space="preserve"> (log D</w:t>
      </w:r>
      <w:r w:rsidRPr="008B6F79">
        <w:rPr>
          <w:rFonts w:ascii="Times New Roman" w:hAnsi="Times New Roman"/>
          <w:sz w:val="24"/>
          <w:vertAlign w:val="subscript"/>
        </w:rPr>
        <w:t>ow</w:t>
      </w:r>
      <w:r>
        <w:rPr>
          <w:rFonts w:ascii="Times New Roman" w:hAnsi="Times New Roman"/>
          <w:sz w:val="24"/>
        </w:rPr>
        <w:t>) data for chloroquine, quinine, levamisole and fluphenazine. Calculated extent of pharmaceutical ionisation is also shown.</w:t>
      </w:r>
    </w:p>
    <w:p w:rsidR="002455EF" w:rsidRPr="002455EF" w:rsidRDefault="002455EF" w:rsidP="00C6758F">
      <w:pPr>
        <w:ind w:left="0" w:firstLine="0"/>
        <w:jc w:val="left"/>
        <w:rPr>
          <w:rFonts w:ascii="Times New Roman" w:hAnsi="Times New Roman"/>
          <w:b/>
          <w:sz w:val="24"/>
        </w:rPr>
      </w:pPr>
    </w:p>
    <w:tbl>
      <w:tblPr>
        <w:tblStyle w:val="TableGrid"/>
        <w:tblpPr w:leftFromText="180" w:rightFromText="180" w:vertAnchor="page" w:horzAnchor="margin" w:tblpY="2694"/>
        <w:tblW w:w="0" w:type="auto"/>
        <w:tblLook w:val="04A0" w:firstRow="1" w:lastRow="0" w:firstColumn="1" w:lastColumn="0" w:noHBand="0" w:noVBand="1"/>
      </w:tblPr>
      <w:tblGrid>
        <w:gridCol w:w="1753"/>
        <w:gridCol w:w="1544"/>
        <w:gridCol w:w="1517"/>
        <w:gridCol w:w="1511"/>
        <w:gridCol w:w="1395"/>
        <w:gridCol w:w="1522"/>
      </w:tblGrid>
      <w:tr w:rsidR="002455EF" w:rsidRPr="0020022C" w:rsidTr="0075084A">
        <w:tc>
          <w:tcPr>
            <w:tcW w:w="1753" w:type="dxa"/>
            <w:tcBorders>
              <w:left w:val="nil"/>
              <w:bottom w:val="single" w:sz="4" w:space="0" w:color="auto"/>
              <w:right w:val="nil"/>
            </w:tcBorders>
            <w:vAlign w:val="center"/>
          </w:tcPr>
          <w:p w:rsidR="002455EF" w:rsidRPr="008B6F79" w:rsidRDefault="002455EF" w:rsidP="0075084A">
            <w:pPr>
              <w:spacing w:line="480" w:lineRule="auto"/>
              <w:jc w:val="center"/>
              <w:rPr>
                <w:rFonts w:ascii="Times New Roman" w:hAnsi="Times New Roman"/>
                <w:sz w:val="24"/>
              </w:rPr>
            </w:pPr>
          </w:p>
        </w:tc>
        <w:tc>
          <w:tcPr>
            <w:tcW w:w="1544" w:type="dxa"/>
            <w:tcBorders>
              <w:left w:val="nil"/>
              <w:bottom w:val="single" w:sz="4" w:space="0" w:color="auto"/>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pK</w:t>
            </w:r>
            <w:r w:rsidRPr="008B6F79">
              <w:rPr>
                <w:rFonts w:ascii="Times New Roman" w:hAnsi="Times New Roman"/>
                <w:sz w:val="24"/>
                <w:vertAlign w:val="subscript"/>
              </w:rPr>
              <w:t>a1</w:t>
            </w:r>
          </w:p>
        </w:tc>
        <w:tc>
          <w:tcPr>
            <w:tcW w:w="1517" w:type="dxa"/>
            <w:tcBorders>
              <w:left w:val="nil"/>
              <w:bottom w:val="single" w:sz="4" w:space="0" w:color="auto"/>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pK</w:t>
            </w:r>
            <w:r w:rsidRPr="008B6F79">
              <w:rPr>
                <w:rFonts w:ascii="Times New Roman" w:hAnsi="Times New Roman"/>
                <w:sz w:val="24"/>
                <w:vertAlign w:val="subscript"/>
              </w:rPr>
              <w:t>a2</w:t>
            </w:r>
          </w:p>
        </w:tc>
        <w:tc>
          <w:tcPr>
            <w:tcW w:w="1511" w:type="dxa"/>
            <w:tcBorders>
              <w:left w:val="nil"/>
              <w:bottom w:val="single" w:sz="4" w:space="0" w:color="auto"/>
              <w:right w:val="nil"/>
            </w:tcBorders>
            <w:vAlign w:val="center"/>
          </w:tcPr>
          <w:p w:rsidR="002455EF" w:rsidRPr="008B6F79" w:rsidRDefault="002455EF" w:rsidP="0075084A">
            <w:pPr>
              <w:spacing w:line="480" w:lineRule="auto"/>
              <w:jc w:val="center"/>
              <w:rPr>
                <w:rFonts w:ascii="Times New Roman" w:hAnsi="Times New Roman"/>
                <w:sz w:val="24"/>
              </w:rPr>
            </w:pPr>
            <w:r>
              <w:rPr>
                <w:rFonts w:ascii="Times New Roman" w:hAnsi="Times New Roman"/>
                <w:sz w:val="24"/>
              </w:rPr>
              <w:t>l</w:t>
            </w:r>
            <w:r w:rsidRPr="008B6F79">
              <w:rPr>
                <w:rFonts w:ascii="Times New Roman" w:hAnsi="Times New Roman"/>
                <w:sz w:val="24"/>
              </w:rPr>
              <w:t>og K</w:t>
            </w:r>
            <w:r w:rsidRPr="008B6F79">
              <w:rPr>
                <w:rFonts w:ascii="Times New Roman" w:hAnsi="Times New Roman"/>
                <w:sz w:val="24"/>
                <w:vertAlign w:val="subscript"/>
              </w:rPr>
              <w:t>ow</w:t>
            </w:r>
          </w:p>
        </w:tc>
        <w:tc>
          <w:tcPr>
            <w:tcW w:w="1395" w:type="dxa"/>
            <w:tcBorders>
              <w:left w:val="nil"/>
              <w:bottom w:val="single" w:sz="4" w:space="0" w:color="auto"/>
              <w:right w:val="nil"/>
            </w:tcBorders>
          </w:tcPr>
          <w:p w:rsidR="002455EF" w:rsidRDefault="002455EF" w:rsidP="002455EF">
            <w:pPr>
              <w:spacing w:after="60"/>
              <w:jc w:val="center"/>
              <w:rPr>
                <w:rFonts w:ascii="Times New Roman" w:hAnsi="Times New Roman"/>
                <w:sz w:val="24"/>
              </w:rPr>
            </w:pPr>
            <w:r>
              <w:rPr>
                <w:rFonts w:ascii="Times New Roman" w:hAnsi="Times New Roman"/>
                <w:sz w:val="24"/>
              </w:rPr>
              <w:t>% Ionised</w:t>
            </w:r>
            <w:r w:rsidRPr="00B1780B">
              <w:rPr>
                <w:rFonts w:ascii="Times New Roman" w:hAnsi="Times New Roman"/>
                <w:sz w:val="24"/>
                <w:vertAlign w:val="superscript"/>
              </w:rPr>
              <w:t>b</w:t>
            </w:r>
          </w:p>
          <w:p w:rsidR="002455EF" w:rsidRPr="008B6F79" w:rsidRDefault="002455EF" w:rsidP="0075084A">
            <w:pPr>
              <w:spacing w:after="60"/>
              <w:jc w:val="center"/>
              <w:rPr>
                <w:rFonts w:ascii="Times New Roman" w:hAnsi="Times New Roman"/>
                <w:sz w:val="24"/>
              </w:rPr>
            </w:pPr>
            <w:r>
              <w:rPr>
                <w:rFonts w:ascii="Times New Roman" w:hAnsi="Times New Roman"/>
                <w:sz w:val="24"/>
              </w:rPr>
              <w:t>(at pH 7.4</w:t>
            </w:r>
            <w:r w:rsidRPr="00B1780B">
              <w:rPr>
                <w:rFonts w:ascii="Times New Roman" w:hAnsi="Times New Roman"/>
                <w:sz w:val="24"/>
                <w:vertAlign w:val="superscript"/>
              </w:rPr>
              <w:t>c</w:t>
            </w:r>
            <w:r>
              <w:rPr>
                <w:rFonts w:ascii="Times New Roman" w:hAnsi="Times New Roman"/>
                <w:sz w:val="24"/>
              </w:rPr>
              <w:t>)</w:t>
            </w:r>
          </w:p>
        </w:tc>
        <w:tc>
          <w:tcPr>
            <w:tcW w:w="1522" w:type="dxa"/>
            <w:tcBorders>
              <w:left w:val="nil"/>
              <w:bottom w:val="single" w:sz="4" w:space="0" w:color="auto"/>
              <w:right w:val="nil"/>
            </w:tcBorders>
            <w:vAlign w:val="center"/>
          </w:tcPr>
          <w:p w:rsidR="002455EF" w:rsidRPr="004B2148" w:rsidRDefault="002455EF" w:rsidP="0075084A">
            <w:pPr>
              <w:spacing w:after="60"/>
              <w:jc w:val="center"/>
              <w:rPr>
                <w:rFonts w:ascii="Times New Roman" w:hAnsi="Times New Roman"/>
                <w:sz w:val="24"/>
                <w:lang w:val="da-DK"/>
              </w:rPr>
            </w:pPr>
            <w:r>
              <w:rPr>
                <w:rFonts w:ascii="Times New Roman" w:hAnsi="Times New Roman"/>
                <w:sz w:val="24"/>
                <w:lang w:val="da-DK"/>
              </w:rPr>
              <w:t>l</w:t>
            </w:r>
            <w:r w:rsidRPr="00B1780B">
              <w:rPr>
                <w:rFonts w:ascii="Times New Roman" w:hAnsi="Times New Roman"/>
                <w:sz w:val="24"/>
                <w:lang w:val="da-DK"/>
              </w:rPr>
              <w:t>og D</w:t>
            </w:r>
            <w:r w:rsidRPr="00B1780B">
              <w:rPr>
                <w:rFonts w:ascii="Times New Roman" w:hAnsi="Times New Roman"/>
                <w:sz w:val="24"/>
                <w:vertAlign w:val="subscript"/>
                <w:lang w:val="da-DK"/>
              </w:rPr>
              <w:t>ow</w:t>
            </w:r>
            <w:r w:rsidRPr="004B2148">
              <w:rPr>
                <w:rFonts w:ascii="Times New Roman" w:hAnsi="Times New Roman"/>
                <w:sz w:val="24"/>
                <w:vertAlign w:val="superscript"/>
                <w:lang w:val="da-DK"/>
              </w:rPr>
              <w:t>d</w:t>
            </w:r>
          </w:p>
          <w:p w:rsidR="002455EF" w:rsidRPr="00B1780B" w:rsidRDefault="002455EF" w:rsidP="0075084A">
            <w:pPr>
              <w:spacing w:after="60"/>
              <w:jc w:val="center"/>
              <w:rPr>
                <w:rFonts w:ascii="Times New Roman" w:hAnsi="Times New Roman"/>
                <w:sz w:val="24"/>
                <w:lang w:val="da-DK"/>
              </w:rPr>
            </w:pPr>
            <w:r w:rsidRPr="00B1780B">
              <w:rPr>
                <w:rFonts w:ascii="Times New Roman" w:hAnsi="Times New Roman"/>
                <w:sz w:val="24"/>
                <w:lang w:val="da-DK"/>
              </w:rPr>
              <w:t>(at pH 7.4</w:t>
            </w:r>
            <w:r w:rsidRPr="00B1780B">
              <w:rPr>
                <w:rFonts w:ascii="Times New Roman" w:hAnsi="Times New Roman"/>
                <w:sz w:val="24"/>
                <w:vertAlign w:val="superscript"/>
                <w:lang w:val="da-DK"/>
              </w:rPr>
              <w:t>c</w:t>
            </w:r>
            <w:r w:rsidRPr="00B1780B">
              <w:rPr>
                <w:rFonts w:ascii="Times New Roman" w:hAnsi="Times New Roman"/>
                <w:sz w:val="24"/>
                <w:lang w:val="da-DK"/>
              </w:rPr>
              <w:t>)</w:t>
            </w:r>
          </w:p>
        </w:tc>
      </w:tr>
      <w:tr w:rsidR="002455EF" w:rsidRPr="008B6F79" w:rsidTr="0075084A">
        <w:tc>
          <w:tcPr>
            <w:tcW w:w="1753" w:type="dxa"/>
            <w:tcBorders>
              <w:left w:val="nil"/>
              <w:bottom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Chloroquine</w:t>
            </w:r>
          </w:p>
        </w:tc>
        <w:tc>
          <w:tcPr>
            <w:tcW w:w="1544" w:type="dxa"/>
            <w:tcBorders>
              <w:left w:val="nil"/>
              <w:bottom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9.94 – 10.87</w:t>
            </w:r>
          </w:p>
        </w:tc>
        <w:tc>
          <w:tcPr>
            <w:tcW w:w="1517" w:type="dxa"/>
            <w:tcBorders>
              <w:left w:val="nil"/>
              <w:bottom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7.44 – 8.50</w:t>
            </w:r>
          </w:p>
        </w:tc>
        <w:tc>
          <w:tcPr>
            <w:tcW w:w="1511" w:type="dxa"/>
            <w:tcBorders>
              <w:left w:val="nil"/>
              <w:bottom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3.93 – 5.28</w:t>
            </w:r>
          </w:p>
        </w:tc>
        <w:tc>
          <w:tcPr>
            <w:tcW w:w="1395" w:type="dxa"/>
            <w:tcBorders>
              <w:left w:val="nil"/>
              <w:bottom w:val="nil"/>
              <w:right w:val="nil"/>
            </w:tcBorders>
          </w:tcPr>
          <w:p w:rsidR="002455EF" w:rsidRPr="008B6F79" w:rsidRDefault="002455EF" w:rsidP="0075084A">
            <w:pPr>
              <w:spacing w:line="480" w:lineRule="auto"/>
              <w:jc w:val="center"/>
              <w:rPr>
                <w:rFonts w:ascii="Times New Roman" w:hAnsi="Times New Roman"/>
                <w:sz w:val="24"/>
              </w:rPr>
            </w:pPr>
            <w:r>
              <w:rPr>
                <w:rFonts w:ascii="Times New Roman" w:hAnsi="Times New Roman"/>
                <w:sz w:val="24"/>
              </w:rPr>
              <w:t>&gt; 99</w:t>
            </w:r>
          </w:p>
        </w:tc>
        <w:tc>
          <w:tcPr>
            <w:tcW w:w="1522" w:type="dxa"/>
            <w:tcBorders>
              <w:left w:val="nil"/>
              <w:bottom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-0.67 – 2.42</w:t>
            </w:r>
          </w:p>
        </w:tc>
      </w:tr>
      <w:tr w:rsidR="002455EF" w:rsidRPr="008B6F79" w:rsidTr="0075084A">
        <w:tc>
          <w:tcPr>
            <w:tcW w:w="1753" w:type="dxa"/>
            <w:tcBorders>
              <w:top w:val="nil"/>
              <w:left w:val="nil"/>
              <w:bottom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Quinine</w:t>
            </w:r>
          </w:p>
        </w:tc>
        <w:tc>
          <w:tcPr>
            <w:tcW w:w="1544" w:type="dxa"/>
            <w:tcBorders>
              <w:top w:val="nil"/>
              <w:left w:val="nil"/>
              <w:bottom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8.4 – 9.05</w:t>
            </w:r>
          </w:p>
        </w:tc>
        <w:tc>
          <w:tcPr>
            <w:tcW w:w="1517" w:type="dxa"/>
            <w:tcBorders>
              <w:top w:val="nil"/>
              <w:left w:val="nil"/>
              <w:bottom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4.13 – 4.32</w:t>
            </w:r>
          </w:p>
        </w:tc>
        <w:tc>
          <w:tcPr>
            <w:tcW w:w="1511" w:type="dxa"/>
            <w:tcBorders>
              <w:top w:val="nil"/>
              <w:left w:val="nil"/>
              <w:bottom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2.51 – 3.44</w:t>
            </w:r>
          </w:p>
        </w:tc>
        <w:tc>
          <w:tcPr>
            <w:tcW w:w="1395" w:type="dxa"/>
            <w:tcBorders>
              <w:top w:val="nil"/>
              <w:left w:val="nil"/>
              <w:bottom w:val="nil"/>
              <w:right w:val="nil"/>
            </w:tcBorders>
          </w:tcPr>
          <w:p w:rsidR="002455EF" w:rsidRPr="008B6F79" w:rsidRDefault="002455EF" w:rsidP="0075084A">
            <w:pPr>
              <w:spacing w:line="480" w:lineRule="auto"/>
              <w:jc w:val="center"/>
              <w:rPr>
                <w:rFonts w:ascii="Times New Roman" w:hAnsi="Times New Roman"/>
                <w:sz w:val="24"/>
              </w:rPr>
            </w:pPr>
            <w:r>
              <w:rPr>
                <w:rFonts w:ascii="Times New Roman" w:hAnsi="Times New Roman"/>
                <w:sz w:val="24"/>
              </w:rPr>
              <w:t>91 - 98</w:t>
            </w:r>
          </w:p>
        </w:tc>
        <w:tc>
          <w:tcPr>
            <w:tcW w:w="1522" w:type="dxa"/>
            <w:tcBorders>
              <w:top w:val="nil"/>
              <w:left w:val="nil"/>
              <w:bottom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0.85 – 2.40</w:t>
            </w:r>
          </w:p>
        </w:tc>
      </w:tr>
      <w:tr w:rsidR="002455EF" w:rsidRPr="008B6F79" w:rsidTr="0075084A">
        <w:tc>
          <w:tcPr>
            <w:tcW w:w="1753" w:type="dxa"/>
            <w:tcBorders>
              <w:top w:val="nil"/>
              <w:left w:val="nil"/>
              <w:bottom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Levamisole</w:t>
            </w:r>
          </w:p>
        </w:tc>
        <w:tc>
          <w:tcPr>
            <w:tcW w:w="1544" w:type="dxa"/>
            <w:tcBorders>
              <w:top w:val="nil"/>
              <w:left w:val="nil"/>
              <w:bottom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6.98</w:t>
            </w:r>
          </w:p>
        </w:tc>
        <w:tc>
          <w:tcPr>
            <w:tcW w:w="1517" w:type="dxa"/>
            <w:tcBorders>
              <w:top w:val="nil"/>
              <w:left w:val="nil"/>
              <w:bottom w:val="nil"/>
              <w:right w:val="nil"/>
            </w:tcBorders>
            <w:vAlign w:val="center"/>
          </w:tcPr>
          <w:p w:rsidR="002455EF" w:rsidRPr="008B6F79" w:rsidRDefault="002455EF" w:rsidP="0075084A">
            <w:pPr>
              <w:spacing w:line="480" w:lineRule="auto"/>
              <w:jc w:val="center"/>
              <w:rPr>
                <w:rFonts w:ascii="Times New Roman" w:hAnsi="Times New Roman"/>
                <w:sz w:val="24"/>
              </w:rPr>
            </w:pPr>
          </w:p>
        </w:tc>
        <w:tc>
          <w:tcPr>
            <w:tcW w:w="1511" w:type="dxa"/>
            <w:tcBorders>
              <w:top w:val="nil"/>
              <w:left w:val="nil"/>
              <w:bottom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1.84 – 2.36</w:t>
            </w:r>
          </w:p>
        </w:tc>
        <w:tc>
          <w:tcPr>
            <w:tcW w:w="1395" w:type="dxa"/>
            <w:tcBorders>
              <w:top w:val="nil"/>
              <w:left w:val="nil"/>
              <w:bottom w:val="nil"/>
              <w:right w:val="nil"/>
            </w:tcBorders>
          </w:tcPr>
          <w:p w:rsidR="002455EF" w:rsidRPr="008B6F79" w:rsidRDefault="002455EF" w:rsidP="0075084A">
            <w:pPr>
              <w:spacing w:line="480" w:lineRule="auto"/>
              <w:jc w:val="center"/>
              <w:rPr>
                <w:rFonts w:ascii="Times New Roman" w:hAnsi="Times New Roman"/>
                <w:sz w:val="24"/>
              </w:rPr>
            </w:pPr>
            <w:r>
              <w:rPr>
                <w:rFonts w:ascii="Times New Roman" w:hAnsi="Times New Roman"/>
                <w:sz w:val="24"/>
              </w:rPr>
              <w:t>28</w:t>
            </w:r>
          </w:p>
        </w:tc>
        <w:tc>
          <w:tcPr>
            <w:tcW w:w="1522" w:type="dxa"/>
            <w:tcBorders>
              <w:top w:val="nil"/>
              <w:left w:val="nil"/>
              <w:bottom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1.70 – 2.22</w:t>
            </w:r>
          </w:p>
        </w:tc>
      </w:tr>
      <w:tr w:rsidR="002455EF" w:rsidRPr="008B6F79" w:rsidTr="0075084A">
        <w:tc>
          <w:tcPr>
            <w:tcW w:w="1753" w:type="dxa"/>
            <w:tcBorders>
              <w:top w:val="nil"/>
              <w:left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Fluphenazine</w:t>
            </w:r>
          </w:p>
        </w:tc>
        <w:tc>
          <w:tcPr>
            <w:tcW w:w="1544" w:type="dxa"/>
            <w:tcBorders>
              <w:top w:val="nil"/>
              <w:left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7.84 – 8.21</w:t>
            </w:r>
          </w:p>
        </w:tc>
        <w:tc>
          <w:tcPr>
            <w:tcW w:w="1517" w:type="dxa"/>
            <w:tcBorders>
              <w:top w:val="nil"/>
              <w:left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3.98</w:t>
            </w:r>
          </w:p>
        </w:tc>
        <w:tc>
          <w:tcPr>
            <w:tcW w:w="1511" w:type="dxa"/>
            <w:tcBorders>
              <w:top w:val="nil"/>
              <w:left w:val="nil"/>
              <w:right w:val="nil"/>
            </w:tcBorders>
            <w:vAlign w:val="center"/>
          </w:tcPr>
          <w:p w:rsidR="002455EF" w:rsidRPr="008B6F79" w:rsidRDefault="002455EF" w:rsidP="0075084A">
            <w:pPr>
              <w:spacing w:line="480" w:lineRule="auto"/>
              <w:jc w:val="center"/>
              <w:rPr>
                <w:rFonts w:ascii="Times New Roman" w:hAnsi="Times New Roman"/>
                <w:sz w:val="24"/>
              </w:rPr>
            </w:pPr>
            <w:r w:rsidRPr="004D2283">
              <w:rPr>
                <w:rFonts w:ascii="Times New Roman" w:hAnsi="Times New Roman"/>
                <w:sz w:val="24"/>
              </w:rPr>
              <w:t>3.97 – 4.4</w:t>
            </w:r>
          </w:p>
        </w:tc>
        <w:tc>
          <w:tcPr>
            <w:tcW w:w="1395" w:type="dxa"/>
            <w:tcBorders>
              <w:top w:val="nil"/>
              <w:left w:val="nil"/>
              <w:right w:val="nil"/>
            </w:tcBorders>
          </w:tcPr>
          <w:p w:rsidR="002455EF" w:rsidRPr="008B6F79" w:rsidRDefault="002455EF" w:rsidP="0075084A">
            <w:pPr>
              <w:spacing w:line="480" w:lineRule="auto"/>
              <w:jc w:val="center"/>
              <w:rPr>
                <w:rFonts w:ascii="Times New Roman" w:hAnsi="Times New Roman"/>
                <w:sz w:val="24"/>
              </w:rPr>
            </w:pPr>
            <w:r>
              <w:rPr>
                <w:rFonts w:ascii="Times New Roman" w:hAnsi="Times New Roman"/>
                <w:sz w:val="24"/>
              </w:rPr>
              <w:t>72 - 86</w:t>
            </w:r>
          </w:p>
        </w:tc>
        <w:tc>
          <w:tcPr>
            <w:tcW w:w="1522" w:type="dxa"/>
            <w:tcBorders>
              <w:top w:val="nil"/>
              <w:left w:val="nil"/>
              <w:right w:val="nil"/>
            </w:tcBorders>
            <w:vAlign w:val="center"/>
          </w:tcPr>
          <w:p w:rsidR="002455EF" w:rsidRPr="008B6F79" w:rsidRDefault="002455EF" w:rsidP="0075084A">
            <w:pPr>
              <w:spacing w:line="480" w:lineRule="auto"/>
              <w:jc w:val="center"/>
              <w:rPr>
                <w:rFonts w:ascii="Times New Roman" w:hAnsi="Times New Roman"/>
                <w:sz w:val="24"/>
              </w:rPr>
            </w:pPr>
            <w:r w:rsidRPr="008B6F79">
              <w:rPr>
                <w:rFonts w:ascii="Times New Roman" w:hAnsi="Times New Roman"/>
                <w:sz w:val="24"/>
              </w:rPr>
              <w:t>3.10 – 3.83</w:t>
            </w:r>
          </w:p>
        </w:tc>
      </w:tr>
    </w:tbl>
    <w:p w:rsidR="002455EF" w:rsidRDefault="002455EF" w:rsidP="00C6758F">
      <w:pPr>
        <w:ind w:left="0" w:firstLine="0"/>
        <w:jc w:val="left"/>
        <w:rPr>
          <w:rFonts w:ascii="Times New Roman" w:hAnsi="Times New Roman"/>
          <w:b/>
        </w:rPr>
      </w:pPr>
    </w:p>
    <w:p w:rsidR="002455EF" w:rsidRDefault="002455EF" w:rsidP="0075084A">
      <w:pPr>
        <w:rPr>
          <w:rFonts w:asciiTheme="majorBidi" w:hAnsiTheme="majorBidi" w:cstheme="majorBidi"/>
          <w:sz w:val="24"/>
        </w:rPr>
      </w:pPr>
      <w:r w:rsidRPr="009816B3">
        <w:rPr>
          <w:rFonts w:asciiTheme="majorBidi" w:hAnsiTheme="majorBidi" w:cstheme="majorBidi"/>
          <w:sz w:val="24"/>
          <w:vertAlign w:val="superscript"/>
        </w:rPr>
        <w:t xml:space="preserve">a </w:t>
      </w:r>
      <w:r>
        <w:rPr>
          <w:rFonts w:asciiTheme="majorBidi" w:hAnsiTheme="majorBidi" w:cstheme="majorBidi"/>
          <w:sz w:val="24"/>
        </w:rPr>
        <w:t xml:space="preserve">These data include both measured and predicted values, and were obtained from </w:t>
      </w:r>
      <w:r w:rsidRPr="00527A74">
        <w:rPr>
          <w:rFonts w:asciiTheme="majorBidi" w:hAnsiTheme="majorBidi" w:cstheme="majorBidi"/>
          <w:sz w:val="24"/>
        </w:rPr>
        <w:t>www.drugbank.ca</w:t>
      </w:r>
      <w:r>
        <w:rPr>
          <w:rFonts w:asciiTheme="majorBidi" w:hAnsiTheme="majorBidi" w:cstheme="majorBidi"/>
          <w:sz w:val="24"/>
        </w:rPr>
        <w:t xml:space="preserve"> and references/links given within</w:t>
      </w:r>
    </w:p>
    <w:p w:rsidR="002455EF" w:rsidRPr="009D447C" w:rsidRDefault="002455EF" w:rsidP="0075084A">
      <w:pPr>
        <w:rPr>
          <w:rFonts w:asciiTheme="majorBidi" w:hAnsiTheme="majorBidi" w:cstheme="majorBidi"/>
          <w:sz w:val="24"/>
        </w:rPr>
      </w:pPr>
      <w:r w:rsidRPr="00973B9F">
        <w:rPr>
          <w:rFonts w:asciiTheme="majorBidi" w:hAnsiTheme="majorBidi" w:cstheme="majorBidi"/>
          <w:sz w:val="24"/>
          <w:vertAlign w:val="superscript"/>
        </w:rPr>
        <w:t>b</w:t>
      </w:r>
      <w:r>
        <w:rPr>
          <w:rFonts w:asciiTheme="majorBidi" w:hAnsiTheme="majorBidi" w:cstheme="majorBidi"/>
          <w:sz w:val="24"/>
        </w:rPr>
        <w:t xml:space="preserve"> Calculated from:  </w:t>
      </w:r>
      <m:oMath>
        <m:f>
          <m:fPr>
            <m:ctrlPr>
              <w:rPr>
                <w:rFonts w:ascii="Cambria Math" w:hAnsi="Cambria Math" w:cstheme="majorBidi"/>
                <w:i/>
                <w:sz w:val="32"/>
                <w:szCs w:val="32"/>
              </w:rPr>
            </m:ctrlPr>
          </m:fPr>
          <m:num>
            <m:r>
              <w:rPr>
                <w:rFonts w:ascii="Cambria Math" w:hAnsi="Cambria Math" w:cstheme="majorBidi"/>
                <w:sz w:val="32"/>
                <w:szCs w:val="32"/>
              </w:rPr>
              <m:t>1</m:t>
            </m:r>
          </m:num>
          <m:den>
            <m:r>
              <w:rPr>
                <w:rFonts w:ascii="Cambria Math" w:hAnsi="Cambria Math" w:cstheme="majorBidi"/>
                <w:sz w:val="32"/>
                <w:szCs w:val="32"/>
              </w:rPr>
              <m:t>1+</m:t>
            </m:r>
            <m:sSup>
              <m:sSupPr>
                <m:ctrlPr>
                  <w:rPr>
                    <w:rFonts w:ascii="Cambria Math" w:hAnsi="Cambria Math" w:cstheme="majorBidi"/>
                    <w:i/>
                    <w:sz w:val="32"/>
                    <w:szCs w:val="32"/>
                  </w:rPr>
                </m:ctrlPr>
              </m:sSupPr>
              <m:e>
                <m:r>
                  <w:rPr>
                    <w:rFonts w:ascii="Cambria Math" w:hAnsi="Cambria Math" w:cstheme="majorBidi"/>
                    <w:sz w:val="32"/>
                    <w:szCs w:val="32"/>
                  </w:rPr>
                  <m:t>10</m:t>
                </m:r>
              </m:e>
              <m:sup>
                <m:r>
                  <w:rPr>
                    <w:rFonts w:ascii="Cambria Math" w:hAnsi="Cambria Math" w:cstheme="majorBidi"/>
                    <w:sz w:val="32"/>
                    <w:szCs w:val="32"/>
                  </w:rPr>
                  <m:t>-1(pH-</m:t>
                </m:r>
                <m:sSub>
                  <m:sSubPr>
                    <m:ctrlPr>
                      <w:rPr>
                        <w:rFonts w:ascii="Cambria Math" w:hAnsi="Cambria Math" w:cstheme="majorBidi"/>
                        <w:i/>
                        <w:sz w:val="32"/>
                        <w:szCs w:val="32"/>
                      </w:rPr>
                    </m:ctrlPr>
                  </m:sSubPr>
                  <m:e>
                    <m:r>
                      <w:rPr>
                        <w:rFonts w:ascii="Cambria Math" w:hAnsi="Cambria Math" w:cstheme="majorBidi"/>
                        <w:sz w:val="32"/>
                        <w:szCs w:val="32"/>
                      </w:rPr>
                      <m:t>pK</m:t>
                    </m:r>
                  </m:e>
                  <m:sub>
                    <m:r>
                      <w:rPr>
                        <w:rFonts w:ascii="Cambria Math" w:hAnsi="Cambria Math" w:cstheme="majorBidi"/>
                        <w:sz w:val="32"/>
                        <w:szCs w:val="32"/>
                      </w:rPr>
                      <m:t>a1</m:t>
                    </m:r>
                  </m:sub>
                </m:sSub>
                <m:r>
                  <w:rPr>
                    <w:rFonts w:ascii="Cambria Math" w:hAnsi="Cambria Math" w:cstheme="majorBidi"/>
                    <w:sz w:val="32"/>
                    <w:szCs w:val="32"/>
                  </w:rPr>
                  <m:t>)</m:t>
                </m:r>
              </m:sup>
            </m:sSup>
          </m:den>
        </m:f>
      </m:oMath>
      <w:r>
        <w:rPr>
          <w:rFonts w:asciiTheme="majorBidi" w:hAnsiTheme="majorBidi" w:cstheme="majorBidi"/>
          <w:sz w:val="32"/>
          <w:szCs w:val="32"/>
        </w:rPr>
        <w:t xml:space="preserve"> </w:t>
      </w:r>
      <w:r>
        <w:rPr>
          <w:rFonts w:asciiTheme="majorBidi" w:hAnsiTheme="majorBidi" w:cstheme="majorBidi"/>
          <w:sz w:val="24"/>
        </w:rPr>
        <w:t>(ECETOC, 2013)</w:t>
      </w:r>
    </w:p>
    <w:p w:rsidR="002455EF" w:rsidRDefault="002455EF" w:rsidP="002455EF">
      <w:pPr>
        <w:rPr>
          <w:rFonts w:asciiTheme="majorBidi" w:hAnsiTheme="majorBidi" w:cstheme="majorBidi"/>
          <w:sz w:val="24"/>
        </w:rPr>
      </w:pPr>
      <w:r>
        <w:rPr>
          <w:rFonts w:asciiTheme="majorBidi" w:hAnsiTheme="majorBidi" w:cstheme="majorBidi"/>
          <w:sz w:val="24"/>
          <w:vertAlign w:val="superscript"/>
        </w:rPr>
        <w:t>c</w:t>
      </w:r>
      <w:r>
        <w:rPr>
          <w:rFonts w:asciiTheme="majorBidi" w:hAnsiTheme="majorBidi" w:cstheme="majorBidi"/>
          <w:sz w:val="24"/>
        </w:rPr>
        <w:t xml:space="preserve"> Environment Agency of England, unpublished data</w:t>
      </w:r>
    </w:p>
    <w:p w:rsidR="002455EF" w:rsidRPr="009816B3" w:rsidRDefault="002455EF" w:rsidP="0075084A">
      <w:pPr>
        <w:rPr>
          <w:rFonts w:asciiTheme="majorBidi" w:hAnsiTheme="majorBidi" w:cstheme="majorBidi"/>
          <w:sz w:val="24"/>
        </w:rPr>
      </w:pPr>
      <w:r w:rsidRPr="004B2148">
        <w:rPr>
          <w:rFonts w:asciiTheme="majorBidi" w:hAnsiTheme="majorBidi" w:cstheme="majorBidi"/>
          <w:sz w:val="24"/>
          <w:vertAlign w:val="superscript"/>
        </w:rPr>
        <w:t>d</w:t>
      </w:r>
      <w:r>
        <w:rPr>
          <w:rFonts w:asciiTheme="majorBidi" w:hAnsiTheme="majorBidi" w:cstheme="majorBidi"/>
          <w:sz w:val="24"/>
        </w:rPr>
        <w:t xml:space="preserve"> Calculated from equations 2 and 3 in the text</w:t>
      </w:r>
    </w:p>
    <w:p w:rsidR="002455EF" w:rsidRDefault="002455EF" w:rsidP="00C6758F">
      <w:pPr>
        <w:ind w:left="0" w:firstLine="0"/>
        <w:jc w:val="left"/>
        <w:rPr>
          <w:rFonts w:ascii="Times New Roman" w:hAnsi="Times New Roman"/>
          <w:b/>
        </w:rPr>
      </w:pPr>
    </w:p>
    <w:p w:rsidR="002455EF" w:rsidRDefault="002455EF" w:rsidP="004A5D08">
      <w:pPr>
        <w:spacing w:after="120" w:line="480" w:lineRule="auto"/>
        <w:ind w:left="0" w:firstLine="0"/>
        <w:jc w:val="left"/>
        <w:rPr>
          <w:rFonts w:ascii="Times New Roman" w:hAnsi="Times New Roman"/>
          <w:b/>
        </w:rPr>
        <w:sectPr w:rsidR="002455EF" w:rsidSect="007026AB">
          <w:pgSz w:w="11906" w:h="16838" w:code="9"/>
          <w:pgMar w:top="1440" w:right="1440" w:bottom="1440" w:left="1440" w:header="709" w:footer="709" w:gutter="0"/>
          <w:cols w:space="708"/>
          <w:docGrid w:linePitch="360"/>
        </w:sectPr>
      </w:pPr>
    </w:p>
    <w:p w:rsidR="002455EF" w:rsidRDefault="002455EF" w:rsidP="008D4628">
      <w:pPr>
        <w:ind w:left="0" w:firstLine="0"/>
        <w:jc w:val="left"/>
        <w:rPr>
          <w:rFonts w:ascii="Times New Roman" w:hAnsi="Times New Roman"/>
          <w:sz w:val="24"/>
        </w:rPr>
      </w:pPr>
      <w:r w:rsidRPr="0014684F">
        <w:rPr>
          <w:noProof/>
          <w:lang w:eastAsia="en-GB" w:bidi="ar-SA"/>
        </w:rPr>
        <w:lastRenderedPageBreak/>
        <w:drawing>
          <wp:anchor distT="0" distB="0" distL="114300" distR="114300" simplePos="0" relativeHeight="251660288" behindDoc="0" locked="0" layoutInCell="1" allowOverlap="1" wp14:anchorId="1BBA6ADE" wp14:editId="59A29001">
            <wp:simplePos x="0" y="0"/>
            <wp:positionH relativeFrom="page">
              <wp:posOffset>1391920</wp:posOffset>
            </wp:positionH>
            <wp:positionV relativeFrom="page">
              <wp:posOffset>914400</wp:posOffset>
            </wp:positionV>
            <wp:extent cx="4762800" cy="62064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800" cy="62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Default="002455EF" w:rsidP="008D4628">
      <w:pPr>
        <w:ind w:left="0" w:firstLine="0"/>
        <w:jc w:val="left"/>
        <w:rPr>
          <w:rFonts w:ascii="Times New Roman" w:hAnsi="Times New Roman"/>
          <w:sz w:val="24"/>
        </w:rPr>
      </w:pPr>
    </w:p>
    <w:p w:rsidR="002455EF" w:rsidRPr="008D4628" w:rsidRDefault="002455EF" w:rsidP="008D4628">
      <w:pPr>
        <w:ind w:left="0" w:firstLine="0"/>
        <w:jc w:val="left"/>
        <w:rPr>
          <w:rFonts w:ascii="Times New Roman" w:hAnsi="Times New Roman"/>
          <w:sz w:val="24"/>
        </w:rPr>
      </w:pPr>
      <w:r w:rsidRPr="00404CE2">
        <w:rPr>
          <w:rFonts w:ascii="Times New Roman" w:hAnsi="Times New Roman"/>
          <w:sz w:val="24"/>
        </w:rPr>
        <w:t xml:space="preserve">Figure 1: (a) Concentrations of levamisole, ammonium, nitrate+nitrite and orthophosphate in each </w:t>
      </w:r>
      <w:r>
        <w:rPr>
          <w:rFonts w:ascii="Times New Roman" w:hAnsi="Times New Roman"/>
          <w:sz w:val="24"/>
        </w:rPr>
        <w:t>microcosm</w:t>
      </w:r>
      <w:r w:rsidRPr="00404CE2">
        <w:rPr>
          <w:rFonts w:ascii="Times New Roman" w:hAnsi="Times New Roman"/>
          <w:sz w:val="24"/>
        </w:rPr>
        <w:t xml:space="preserve"> at days 0 and 21. 1, t = day 0; 2, t = day 21 </w:t>
      </w:r>
      <w:r>
        <w:rPr>
          <w:rFonts w:ascii="Times New Roman" w:hAnsi="Times New Roman"/>
          <w:sz w:val="24"/>
        </w:rPr>
        <w:t>abiotic</w:t>
      </w:r>
      <w:r w:rsidRPr="00404CE2">
        <w:rPr>
          <w:rFonts w:ascii="Times New Roman" w:hAnsi="Times New Roman"/>
          <w:sz w:val="24"/>
        </w:rPr>
        <w:t xml:space="preserve"> control; 3, t = day 21 bacterio-plankton </w:t>
      </w:r>
      <w:r>
        <w:rPr>
          <w:rFonts w:ascii="Times New Roman" w:hAnsi="Times New Roman"/>
          <w:sz w:val="24"/>
        </w:rPr>
        <w:t>+</w:t>
      </w:r>
      <w:r w:rsidRPr="00404CE2">
        <w:rPr>
          <w:rFonts w:ascii="Times New Roman" w:hAnsi="Times New Roman"/>
          <w:sz w:val="24"/>
        </w:rPr>
        <w:t xml:space="preserve"> levamisole; 4, t = day 21 bacterio-plankton </w:t>
      </w:r>
      <w:r>
        <w:rPr>
          <w:rFonts w:ascii="Times New Roman" w:hAnsi="Times New Roman"/>
          <w:sz w:val="24"/>
        </w:rPr>
        <w:t>+</w:t>
      </w:r>
      <w:r w:rsidRPr="00404CE2">
        <w:rPr>
          <w:rFonts w:ascii="Times New Roman" w:hAnsi="Times New Roman"/>
          <w:sz w:val="24"/>
        </w:rPr>
        <w:t xml:space="preserve"> levamisole </w:t>
      </w:r>
      <w:r>
        <w:rPr>
          <w:rFonts w:ascii="Times New Roman" w:hAnsi="Times New Roman"/>
          <w:sz w:val="24"/>
        </w:rPr>
        <w:t>+</w:t>
      </w:r>
      <w:r w:rsidRPr="00404CE2">
        <w:rPr>
          <w:rFonts w:ascii="Times New Roman" w:hAnsi="Times New Roman"/>
          <w:sz w:val="24"/>
        </w:rPr>
        <w:t xml:space="preserve"> </w:t>
      </w:r>
      <w:r>
        <w:rPr>
          <w:rFonts w:ascii="Times New Roman" w:hAnsi="Times New Roman"/>
          <w:sz w:val="24"/>
        </w:rPr>
        <w:t>labile organic matter</w:t>
      </w:r>
      <w:r w:rsidRPr="00404CE2">
        <w:rPr>
          <w:rFonts w:ascii="Times New Roman" w:hAnsi="Times New Roman"/>
          <w:sz w:val="24"/>
        </w:rPr>
        <w:t xml:space="preserve">. Error bars represent ± 1σ of the results from duplicate incubations with each sample analysed 3–5 times (n = 6–10). </w:t>
      </w:r>
      <w:r>
        <w:rPr>
          <w:rFonts w:ascii="Times New Roman" w:hAnsi="Times New Roman"/>
          <w:sz w:val="24"/>
        </w:rPr>
        <w:t xml:space="preserve">&lt; LoD, lower than limit of detection. </w:t>
      </w:r>
      <w:r w:rsidRPr="001A7F63">
        <w:rPr>
          <w:rFonts w:ascii="Times New Roman" w:hAnsi="Times New Roman"/>
          <w:sz w:val="24"/>
        </w:rPr>
        <w:t>Concentrations of levamisole were reduced by 19 and 13 % in incubations 3 and 4, re</w:t>
      </w:r>
      <w:r w:rsidR="00954B90" w:rsidRPr="001A7F63">
        <w:rPr>
          <w:rFonts w:ascii="Times New Roman" w:hAnsi="Times New Roman"/>
          <w:sz w:val="24"/>
        </w:rPr>
        <w:t>s</w:t>
      </w:r>
      <w:r w:rsidRPr="001A7F63">
        <w:rPr>
          <w:rFonts w:ascii="Times New Roman" w:hAnsi="Times New Roman"/>
          <w:sz w:val="24"/>
        </w:rPr>
        <w:t xml:space="preserve">pectively. </w:t>
      </w:r>
      <w:r w:rsidRPr="00404CE2">
        <w:rPr>
          <w:rFonts w:ascii="Times New Roman" w:hAnsi="Times New Roman"/>
          <w:sz w:val="24"/>
        </w:rPr>
        <w:t xml:space="preserve">(b) Ion chromatograms (relative abundance of ion (%) vs. </w:t>
      </w:r>
      <w:r w:rsidRPr="00404CE2">
        <w:rPr>
          <w:rFonts w:ascii="Times New Roman" w:hAnsi="Times New Roman"/>
          <w:i/>
          <w:sz w:val="24"/>
        </w:rPr>
        <w:t>m/z</w:t>
      </w:r>
      <w:r w:rsidRPr="00404CE2">
        <w:rPr>
          <w:rFonts w:ascii="Times New Roman" w:hAnsi="Times New Roman"/>
          <w:sz w:val="24"/>
        </w:rPr>
        <w:t xml:space="preserve">) of levamisole in solution in a standard (left panel) and at day 21 (right panel). The horizontal bar shows the range in </w:t>
      </w:r>
      <w:r w:rsidRPr="00912405">
        <w:rPr>
          <w:rFonts w:ascii="Times New Roman" w:hAnsi="Times New Roman"/>
          <w:i/>
          <w:sz w:val="24"/>
        </w:rPr>
        <w:t>m</w:t>
      </w:r>
      <w:r w:rsidRPr="00404CE2">
        <w:rPr>
          <w:rFonts w:ascii="Times New Roman" w:hAnsi="Times New Roman"/>
          <w:sz w:val="24"/>
        </w:rPr>
        <w:t>/</w:t>
      </w:r>
      <w:r w:rsidRPr="00912405">
        <w:rPr>
          <w:rFonts w:ascii="Times New Roman" w:hAnsi="Times New Roman"/>
          <w:i/>
          <w:sz w:val="24"/>
        </w:rPr>
        <w:t>z</w:t>
      </w:r>
      <w:r w:rsidRPr="00404CE2">
        <w:rPr>
          <w:rFonts w:ascii="Times New Roman" w:hAnsi="Times New Roman"/>
          <w:sz w:val="24"/>
        </w:rPr>
        <w:t xml:space="preserve"> values of possible transformation products predicted by the EAWAG</w:t>
      </w:r>
      <w:r w:rsidRPr="00764776">
        <w:rPr>
          <w:rFonts w:asciiTheme="majorBidi" w:hAnsiTheme="majorBidi" w:cstheme="majorBidi"/>
          <w:sz w:val="24"/>
        </w:rPr>
        <w:t xml:space="preserve"> </w:t>
      </w:r>
      <w:r w:rsidRPr="00687B3D">
        <w:rPr>
          <w:rFonts w:asciiTheme="majorBidi" w:hAnsiTheme="majorBidi" w:cstheme="majorBidi"/>
          <w:sz w:val="24"/>
        </w:rPr>
        <w:t>Biocatalysis and Biodegradation Database</w:t>
      </w:r>
      <w:r w:rsidRPr="00404CE2">
        <w:rPr>
          <w:rFonts w:ascii="Times New Roman" w:hAnsi="Times New Roman"/>
          <w:sz w:val="24"/>
        </w:rPr>
        <w:t>.</w:t>
      </w:r>
      <w:r>
        <w:rPr>
          <w:rFonts w:ascii="Times New Roman" w:hAnsi="Times New Roman"/>
        </w:rPr>
        <w:br w:type="page"/>
      </w:r>
    </w:p>
    <w:p w:rsidR="002455EF" w:rsidRDefault="002455EF" w:rsidP="00CE0C9C">
      <w:pPr>
        <w:ind w:left="0" w:firstLine="0"/>
        <w:rPr>
          <w:rFonts w:ascii="Times New Roman" w:hAnsi="Times New Roman"/>
        </w:rPr>
      </w:pPr>
      <w:r>
        <w:rPr>
          <w:noProof/>
          <w:lang w:eastAsia="en-GB" w:bidi="ar-SA"/>
        </w:rPr>
        <w:lastRenderedPageBreak/>
        <mc:AlternateContent>
          <mc:Choice Requires="wps">
            <w:drawing>
              <wp:anchor distT="0" distB="0" distL="114300" distR="114300" simplePos="0" relativeHeight="251659264" behindDoc="0" locked="0" layoutInCell="1" allowOverlap="1" wp14:anchorId="4DFF1EAB" wp14:editId="4F4860DC">
                <wp:simplePos x="0" y="0"/>
                <wp:positionH relativeFrom="column">
                  <wp:align>center</wp:align>
                </wp:positionH>
                <wp:positionV relativeFrom="paragraph">
                  <wp:posOffset>0</wp:posOffset>
                </wp:positionV>
                <wp:extent cx="2457450" cy="5337175"/>
                <wp:effectExtent l="9525" t="9525"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337175"/>
                        </a:xfrm>
                        <a:prstGeom prst="rect">
                          <a:avLst/>
                        </a:prstGeom>
                        <a:solidFill>
                          <a:srgbClr val="FFFFFF"/>
                        </a:solidFill>
                        <a:ln w="9525">
                          <a:solidFill>
                            <a:srgbClr val="000000"/>
                          </a:solidFill>
                          <a:miter lim="800000"/>
                          <a:headEnd/>
                          <a:tailEnd/>
                        </a:ln>
                      </wps:spPr>
                      <wps:txbx>
                        <w:txbxContent>
                          <w:p w:rsidR="002455EF" w:rsidRDefault="002455EF" w:rsidP="00857CE4">
                            <w:r w:rsidRPr="00333104">
                              <w:rPr>
                                <w:noProof/>
                                <w:lang w:eastAsia="en-GB" w:bidi="ar-SA"/>
                              </w:rPr>
                              <w:drawing>
                                <wp:inline distT="0" distB="0" distL="0" distR="0" wp14:anchorId="1D81CCF6" wp14:editId="036232A4">
                                  <wp:extent cx="2047240" cy="5131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7240" cy="51314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DFF1EAB" id="_x0000_t202" coordsize="21600,21600" o:spt="202" path="m,l,21600r21600,l21600,xe">
                <v:stroke joinstyle="miter"/>
                <v:path gradientshapeok="t" o:connecttype="rect"/>
              </v:shapetype>
              <v:shape id="Text Box 2" o:spid="_x0000_s1026" type="#_x0000_t202" style="position:absolute;left:0;text-align:left;margin-left:0;margin-top:0;width:193.5pt;height:420.2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">
                <v:textbox style="mso-fit-shape-to-text:t">
                  <w:txbxContent>
                    <w:p w:rsidR="002455EF" w:rsidRDefault="002455EF" w:rsidP="00857CE4">
                      <w:r w:rsidRPr="00333104">
                        <w:rPr>
                          <w:noProof/>
                          <w:lang w:eastAsia="en-GB" w:bidi="ar-SA"/>
                        </w:rPr>
                        <w:drawing>
                          <wp:inline distT="0" distB="0" distL="0" distR="0" wp14:anchorId="1D81CCF6" wp14:editId="036232A4">
                            <wp:extent cx="2047240" cy="5131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7240" cy="5131435"/>
                                    </a:xfrm>
                                    <a:prstGeom prst="rect">
                                      <a:avLst/>
                                    </a:prstGeom>
                                    <a:noFill/>
                                    <a:ln>
                                      <a:noFill/>
                                    </a:ln>
                                  </pic:spPr>
                                </pic:pic>
                              </a:graphicData>
                            </a:graphic>
                          </wp:inline>
                        </w:drawing>
                      </w:r>
                    </w:p>
                  </w:txbxContent>
                </v:textbox>
              </v:shape>
            </w:pict>
          </mc:Fallback>
        </mc:AlternateContent>
      </w: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CE0C9C">
      <w:pPr>
        <w:ind w:left="0" w:firstLine="0"/>
        <w:rPr>
          <w:rFonts w:ascii="Times New Roman" w:hAnsi="Times New Roman"/>
        </w:rPr>
      </w:pPr>
    </w:p>
    <w:p w:rsidR="002455EF" w:rsidRDefault="002455EF" w:rsidP="00442542">
      <w:pPr>
        <w:ind w:left="0" w:firstLine="0"/>
        <w:jc w:val="left"/>
        <w:rPr>
          <w:rFonts w:ascii="Times New Roman" w:hAnsi="Times New Roman"/>
          <w:sz w:val="24"/>
        </w:rPr>
      </w:pPr>
    </w:p>
    <w:p w:rsidR="002455EF" w:rsidRDefault="002455EF" w:rsidP="00442542">
      <w:pPr>
        <w:ind w:left="0" w:firstLine="0"/>
        <w:jc w:val="left"/>
        <w:rPr>
          <w:rFonts w:ascii="Times New Roman" w:hAnsi="Times New Roman"/>
          <w:sz w:val="24"/>
        </w:rPr>
      </w:pPr>
    </w:p>
    <w:p w:rsidR="002455EF" w:rsidRDefault="002455EF" w:rsidP="00442542">
      <w:pPr>
        <w:ind w:left="0" w:firstLine="0"/>
        <w:jc w:val="left"/>
        <w:rPr>
          <w:rFonts w:ascii="Times New Roman" w:hAnsi="Times New Roman"/>
          <w:sz w:val="24"/>
        </w:rPr>
      </w:pPr>
    </w:p>
    <w:p w:rsidR="002455EF" w:rsidRPr="001A7F63" w:rsidRDefault="002455EF" w:rsidP="00705CA3">
      <w:pPr>
        <w:ind w:left="0" w:firstLine="0"/>
        <w:jc w:val="left"/>
        <w:rPr>
          <w:rFonts w:ascii="Times New Roman" w:hAnsi="Times New Roman"/>
          <w:sz w:val="24"/>
        </w:rPr>
      </w:pPr>
      <w:r w:rsidRPr="00404CE2">
        <w:rPr>
          <w:rFonts w:ascii="Times New Roman" w:hAnsi="Times New Roman"/>
          <w:sz w:val="24"/>
        </w:rPr>
        <w:t xml:space="preserve">Figure 2: Concentrations of (a) fluphenazine, (b) quinine and (c) chloroquine in each </w:t>
      </w:r>
      <w:r>
        <w:rPr>
          <w:rFonts w:ascii="Times New Roman" w:hAnsi="Times New Roman"/>
          <w:sz w:val="24"/>
        </w:rPr>
        <w:t>microcosm</w:t>
      </w:r>
      <w:r w:rsidRPr="00404CE2">
        <w:rPr>
          <w:rFonts w:ascii="Times New Roman" w:hAnsi="Times New Roman"/>
          <w:sz w:val="24"/>
        </w:rPr>
        <w:t xml:space="preserve"> at days 0 and 21. 1, t = day 0; 2, t = day 21 </w:t>
      </w:r>
      <w:r>
        <w:rPr>
          <w:rFonts w:ascii="Times New Roman" w:hAnsi="Times New Roman"/>
          <w:sz w:val="24"/>
        </w:rPr>
        <w:t>abiotic</w:t>
      </w:r>
      <w:r w:rsidRPr="00404CE2">
        <w:rPr>
          <w:rFonts w:ascii="Times New Roman" w:hAnsi="Times New Roman"/>
          <w:sz w:val="24"/>
        </w:rPr>
        <w:t xml:space="preserve"> control; 3, t = day 21 bacterio-plankton plus </w:t>
      </w:r>
      <w:r>
        <w:rPr>
          <w:rFonts w:ascii="Times New Roman" w:hAnsi="Times New Roman"/>
          <w:sz w:val="24"/>
        </w:rPr>
        <w:t>pharmaceutical</w:t>
      </w:r>
      <w:r w:rsidRPr="00404CE2">
        <w:rPr>
          <w:rFonts w:ascii="Times New Roman" w:hAnsi="Times New Roman"/>
          <w:sz w:val="24"/>
        </w:rPr>
        <w:t>. Error bars represent ± 1σ of the results from duplicate incubations with each sample analysed five times (n = 10).</w:t>
      </w:r>
      <w:r>
        <w:rPr>
          <w:rFonts w:ascii="Times New Roman" w:hAnsi="Times New Roman"/>
          <w:sz w:val="24"/>
        </w:rPr>
        <w:t xml:space="preserve"> </w:t>
      </w:r>
      <w:r w:rsidRPr="001A7F63">
        <w:rPr>
          <w:rFonts w:ascii="Times New Roman" w:hAnsi="Times New Roman"/>
          <w:sz w:val="24"/>
        </w:rPr>
        <w:t>Concentrations of the pharmaceuticals were not significantly different after 21 days under the different incubation conditions.</w:t>
      </w:r>
    </w:p>
    <w:p w:rsidR="002455EF" w:rsidRDefault="002455EF" w:rsidP="009B5050">
      <w:pPr>
        <w:ind w:left="0" w:firstLine="0"/>
        <w:rPr>
          <w:rFonts w:ascii="Times New Roman" w:hAnsi="Times New Roman"/>
        </w:rPr>
      </w:pPr>
    </w:p>
    <w:p w:rsidR="002455EF" w:rsidRDefault="002455EF" w:rsidP="009B5050">
      <w:pPr>
        <w:ind w:left="0" w:firstLine="0"/>
        <w:rPr>
          <w:rFonts w:ascii="Times New Roman" w:hAnsi="Times New Roman"/>
        </w:rPr>
      </w:pPr>
    </w:p>
    <w:p w:rsidR="002455EF" w:rsidRDefault="002455EF" w:rsidP="009B5050">
      <w:pPr>
        <w:ind w:left="0" w:firstLine="0"/>
        <w:rPr>
          <w:rFonts w:ascii="Times New Roman" w:hAnsi="Times New Roman"/>
        </w:rPr>
      </w:pPr>
    </w:p>
    <w:p w:rsidR="002455EF" w:rsidRDefault="002455EF" w:rsidP="009B5050">
      <w:pPr>
        <w:ind w:left="0" w:firstLine="0"/>
        <w:rPr>
          <w:rFonts w:ascii="Times New Roman" w:hAnsi="Times New Roman"/>
        </w:rPr>
      </w:pPr>
      <w:r>
        <w:rPr>
          <w:rFonts w:ascii="Times New Roman" w:hAnsi="Times New Roman"/>
        </w:rPr>
        <w:fldChar w:fldCharType="begin"/>
      </w:r>
      <w:r>
        <w:rPr>
          <w:rFonts w:ascii="Times New Roman" w:hAnsi="Times New Roman"/>
        </w:rPr>
        <w:instrText xml:space="preserve"> ADDIN </w:instrText>
      </w:r>
      <w:r>
        <w:rPr>
          <w:rFonts w:ascii="Times New Roman" w:hAnsi="Times New Roman"/>
        </w:rPr>
        <w:fldChar w:fldCharType="end"/>
      </w:r>
    </w:p>
    <w:p w:rsidR="002455EF" w:rsidRDefault="002455EF"/>
    <w:p w:rsidR="002455EF" w:rsidRDefault="002455EF"/>
    <w:p w:rsidR="002455EF" w:rsidRDefault="002455EF" w:rsidP="00525485"/>
    <w:p w:rsidR="0026142D" w:rsidRDefault="0026142D"/>
    <w:sectPr w:rsidR="0026142D" w:rsidSect="00C6758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6B3" w:rsidRDefault="003026B3">
      <w:r>
        <w:separator/>
      </w:r>
    </w:p>
  </w:endnote>
  <w:endnote w:type="continuationSeparator" w:id="0">
    <w:p w:rsidR="003026B3" w:rsidRDefault="0030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69" w:rsidRPr="00891EA9" w:rsidRDefault="00F95A26">
    <w:pPr>
      <w:pStyle w:val="Footer"/>
      <w:jc w:val="right"/>
      <w:rPr>
        <w:rFonts w:ascii="Times New Roman" w:hAnsi="Times New Roman"/>
      </w:rPr>
    </w:pPr>
    <w:r w:rsidRPr="00891EA9">
      <w:rPr>
        <w:rFonts w:ascii="Times New Roman" w:hAnsi="Times New Roman"/>
      </w:rPr>
      <w:fldChar w:fldCharType="begin"/>
    </w:r>
    <w:r w:rsidRPr="00891EA9">
      <w:rPr>
        <w:rFonts w:ascii="Times New Roman" w:hAnsi="Times New Roman"/>
      </w:rPr>
      <w:instrText xml:space="preserve"> PAGE   \* MERGEFORMAT </w:instrText>
    </w:r>
    <w:r w:rsidRPr="00891EA9">
      <w:rPr>
        <w:rFonts w:ascii="Times New Roman" w:hAnsi="Times New Roman"/>
      </w:rPr>
      <w:fldChar w:fldCharType="separate"/>
    </w:r>
    <w:r w:rsidR="00421AAD">
      <w:rPr>
        <w:rFonts w:ascii="Times New Roman" w:hAnsi="Times New Roman"/>
        <w:noProof/>
      </w:rPr>
      <w:t>1</w:t>
    </w:r>
    <w:r w:rsidRPr="00891EA9">
      <w:rPr>
        <w:rFonts w:ascii="Times New Roman" w:hAnsi="Times New Roman"/>
      </w:rPr>
      <w:fldChar w:fldCharType="end"/>
    </w:r>
  </w:p>
  <w:p w:rsidR="00DE7969" w:rsidRDefault="0030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6B3" w:rsidRDefault="003026B3">
      <w:r>
        <w:separator/>
      </w:r>
    </w:p>
  </w:footnote>
  <w:footnote w:type="continuationSeparator" w:id="0">
    <w:p w:rsidR="003026B3" w:rsidRDefault="00302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69" w:rsidRDefault="003026B3" w:rsidP="00B078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98C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3189C"/>
    <w:multiLevelType w:val="hybridMultilevel"/>
    <w:tmpl w:val="A38CBA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C7718"/>
    <w:multiLevelType w:val="hybridMultilevel"/>
    <w:tmpl w:val="0C183CD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36DBA"/>
    <w:multiLevelType w:val="multilevel"/>
    <w:tmpl w:val="6EC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D4516"/>
    <w:multiLevelType w:val="hybridMultilevel"/>
    <w:tmpl w:val="A34AF96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B86CF3"/>
    <w:multiLevelType w:val="hybridMultilevel"/>
    <w:tmpl w:val="F61886F8"/>
    <w:lvl w:ilvl="0" w:tplc="3F38B70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55FCF"/>
    <w:multiLevelType w:val="hybridMultilevel"/>
    <w:tmpl w:val="49ACC4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C6BFA"/>
    <w:multiLevelType w:val="hybridMultilevel"/>
    <w:tmpl w:val="C2A823A8"/>
    <w:lvl w:ilvl="0" w:tplc="631EFB7E">
      <w:start w:val="1"/>
      <w:numFmt w:val="decimal"/>
      <w:lvlText w:val="%1."/>
      <w:lvlJc w:val="left"/>
      <w:pPr>
        <w:ind w:left="1636" w:hanging="360"/>
      </w:pPr>
      <w:rPr>
        <w:rFonts w:hint="default"/>
        <w:b/>
        <w:bCs/>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15:restartNumberingAfterBreak="0">
    <w:nsid w:val="5FF21F35"/>
    <w:multiLevelType w:val="multilevel"/>
    <w:tmpl w:val="DCE8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71E03"/>
    <w:multiLevelType w:val="multilevel"/>
    <w:tmpl w:val="3382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89653F"/>
    <w:multiLevelType w:val="multilevel"/>
    <w:tmpl w:val="034A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0"/>
  </w:num>
  <w:num w:numId="4">
    <w:abstractNumId w:val="9"/>
  </w:num>
  <w:num w:numId="5">
    <w:abstractNumId w:val="1"/>
  </w:num>
  <w:num w:numId="6">
    <w:abstractNumId w:val="2"/>
  </w:num>
  <w:num w:numId="7">
    <w:abstractNumId w:val="5"/>
  </w:num>
  <w:num w:numId="8">
    <w:abstractNumId w:val="4"/>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455EF"/>
    <w:rsid w:val="001051D5"/>
    <w:rsid w:val="00145000"/>
    <w:rsid w:val="001A7F63"/>
    <w:rsid w:val="001D0F8D"/>
    <w:rsid w:val="0020022C"/>
    <w:rsid w:val="00236B64"/>
    <w:rsid w:val="002455EF"/>
    <w:rsid w:val="002504BA"/>
    <w:rsid w:val="0026142D"/>
    <w:rsid w:val="003026B3"/>
    <w:rsid w:val="0031361C"/>
    <w:rsid w:val="003155C7"/>
    <w:rsid w:val="00330433"/>
    <w:rsid w:val="00354F68"/>
    <w:rsid w:val="003B5A24"/>
    <w:rsid w:val="003D4D33"/>
    <w:rsid w:val="00421AAD"/>
    <w:rsid w:val="00473E58"/>
    <w:rsid w:val="004D20A7"/>
    <w:rsid w:val="005056E3"/>
    <w:rsid w:val="00593A2B"/>
    <w:rsid w:val="005B230E"/>
    <w:rsid w:val="006C41BD"/>
    <w:rsid w:val="00723F96"/>
    <w:rsid w:val="007F419E"/>
    <w:rsid w:val="008527F8"/>
    <w:rsid w:val="00893C22"/>
    <w:rsid w:val="00924D63"/>
    <w:rsid w:val="00954B90"/>
    <w:rsid w:val="00975774"/>
    <w:rsid w:val="00A13966"/>
    <w:rsid w:val="00A809B0"/>
    <w:rsid w:val="00A92D67"/>
    <w:rsid w:val="00B4116C"/>
    <w:rsid w:val="00B55573"/>
    <w:rsid w:val="00C353AA"/>
    <w:rsid w:val="00C84DBB"/>
    <w:rsid w:val="00D1286D"/>
    <w:rsid w:val="00D25F1C"/>
    <w:rsid w:val="00DE3E04"/>
    <w:rsid w:val="00E006AE"/>
    <w:rsid w:val="00E22A90"/>
    <w:rsid w:val="00F567CA"/>
    <w:rsid w:val="00F95A26"/>
    <w:rsid w:val="00FB3EBB"/>
    <w:rsid w:val="00FC38FC"/>
    <w:rsid w:val="00FF6E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65EF"/>
  <w15:docId w15:val="{50C67BAC-275A-4B1A-BA33-68579C04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EF"/>
    <w:pPr>
      <w:spacing w:after="0" w:line="240" w:lineRule="auto"/>
      <w:ind w:left="357" w:hanging="357"/>
      <w:jc w:val="both"/>
    </w:pPr>
    <w:rPr>
      <w:rFonts w:ascii="Arial Unicode MS" w:eastAsia="Arial Unicode MS" w:hAnsi="Arial" w:cs="Times New Roman"/>
      <w:szCs w:val="24"/>
      <w:lang w:eastAsia="en-US" w:bidi="en-US"/>
    </w:rPr>
  </w:style>
  <w:style w:type="paragraph" w:styleId="Heading1">
    <w:name w:val="heading 1"/>
    <w:basedOn w:val="Normal"/>
    <w:next w:val="Normal"/>
    <w:link w:val="Heading1Char"/>
    <w:uiPriority w:val="9"/>
    <w:qFormat/>
    <w:rsid w:val="002455EF"/>
    <w:pPr>
      <w:spacing w:before="480"/>
      <w:contextualSpacing/>
      <w:outlineLvl w:val="0"/>
    </w:pPr>
    <w:rPr>
      <w:rFonts w:eastAsia="SimHei"/>
      <w:b/>
      <w:bCs/>
      <w:sz w:val="28"/>
      <w:szCs w:val="28"/>
      <w:lang w:eastAsia="x-none" w:bidi="ar-SA"/>
    </w:rPr>
  </w:style>
  <w:style w:type="paragraph" w:styleId="Heading2">
    <w:name w:val="heading 2"/>
    <w:basedOn w:val="Normal"/>
    <w:next w:val="Normal"/>
    <w:link w:val="Heading2Char"/>
    <w:uiPriority w:val="9"/>
    <w:qFormat/>
    <w:rsid w:val="002455EF"/>
    <w:pPr>
      <w:spacing w:before="200"/>
      <w:outlineLvl w:val="1"/>
    </w:pPr>
    <w:rPr>
      <w:rFonts w:eastAsia="SimHei"/>
      <w:b/>
      <w:bCs/>
      <w:sz w:val="26"/>
      <w:szCs w:val="26"/>
      <w:lang w:val="x-none" w:eastAsia="x-none" w:bidi="ar-SA"/>
    </w:rPr>
  </w:style>
  <w:style w:type="paragraph" w:styleId="Heading3">
    <w:name w:val="heading 3"/>
    <w:basedOn w:val="Normal"/>
    <w:next w:val="Normal"/>
    <w:link w:val="Heading3Char"/>
    <w:uiPriority w:val="9"/>
    <w:qFormat/>
    <w:rsid w:val="002455EF"/>
    <w:pPr>
      <w:spacing w:before="200" w:line="271" w:lineRule="auto"/>
      <w:outlineLvl w:val="2"/>
    </w:pPr>
    <w:rPr>
      <w:rFonts w:eastAsia="SimHei"/>
      <w:b/>
      <w:bCs/>
      <w:sz w:val="20"/>
      <w:szCs w:val="20"/>
      <w:lang w:val="x-none" w:eastAsia="x-none" w:bidi="ar-SA"/>
    </w:rPr>
  </w:style>
  <w:style w:type="paragraph" w:styleId="Heading4">
    <w:name w:val="heading 4"/>
    <w:basedOn w:val="Normal"/>
    <w:next w:val="Normal"/>
    <w:link w:val="Heading4Char"/>
    <w:uiPriority w:val="9"/>
    <w:qFormat/>
    <w:rsid w:val="002455EF"/>
    <w:pPr>
      <w:spacing w:before="200"/>
      <w:outlineLvl w:val="3"/>
    </w:pPr>
    <w:rPr>
      <w:rFonts w:eastAsia="SimHei"/>
      <w:b/>
      <w:bCs/>
      <w:i/>
      <w:iCs/>
      <w:sz w:val="20"/>
      <w:szCs w:val="20"/>
      <w:lang w:val="x-none" w:eastAsia="x-none" w:bidi="ar-SA"/>
    </w:rPr>
  </w:style>
  <w:style w:type="paragraph" w:styleId="Heading5">
    <w:name w:val="heading 5"/>
    <w:basedOn w:val="Normal"/>
    <w:next w:val="Normal"/>
    <w:link w:val="Heading5Char"/>
    <w:uiPriority w:val="9"/>
    <w:qFormat/>
    <w:rsid w:val="002455EF"/>
    <w:pPr>
      <w:spacing w:before="200"/>
      <w:outlineLvl w:val="4"/>
    </w:pPr>
    <w:rPr>
      <w:rFonts w:eastAsia="SimHei"/>
      <w:b/>
      <w:bCs/>
      <w:color w:val="7F7F7F"/>
      <w:sz w:val="20"/>
      <w:szCs w:val="20"/>
      <w:lang w:val="x-none" w:eastAsia="x-none" w:bidi="ar-SA"/>
    </w:rPr>
  </w:style>
  <w:style w:type="paragraph" w:styleId="Heading6">
    <w:name w:val="heading 6"/>
    <w:basedOn w:val="Normal"/>
    <w:next w:val="Normal"/>
    <w:link w:val="Heading6Char"/>
    <w:uiPriority w:val="9"/>
    <w:qFormat/>
    <w:rsid w:val="002455EF"/>
    <w:pPr>
      <w:spacing w:line="271" w:lineRule="auto"/>
      <w:outlineLvl w:val="5"/>
    </w:pPr>
    <w:rPr>
      <w:rFonts w:eastAsia="SimHei"/>
      <w:b/>
      <w:bCs/>
      <w:i/>
      <w:iCs/>
      <w:color w:val="7F7F7F"/>
      <w:sz w:val="20"/>
      <w:szCs w:val="20"/>
      <w:lang w:val="x-none" w:eastAsia="x-none" w:bidi="ar-SA"/>
    </w:rPr>
  </w:style>
  <w:style w:type="paragraph" w:styleId="Heading7">
    <w:name w:val="heading 7"/>
    <w:basedOn w:val="Normal"/>
    <w:next w:val="Normal"/>
    <w:link w:val="Heading7Char"/>
    <w:uiPriority w:val="9"/>
    <w:qFormat/>
    <w:rsid w:val="002455EF"/>
    <w:pPr>
      <w:outlineLvl w:val="6"/>
    </w:pPr>
    <w:rPr>
      <w:rFonts w:eastAsia="SimHei"/>
      <w:i/>
      <w:iCs/>
      <w:sz w:val="20"/>
      <w:szCs w:val="20"/>
      <w:lang w:val="x-none" w:eastAsia="x-none" w:bidi="ar-SA"/>
    </w:rPr>
  </w:style>
  <w:style w:type="paragraph" w:styleId="Heading8">
    <w:name w:val="heading 8"/>
    <w:basedOn w:val="Normal"/>
    <w:next w:val="Normal"/>
    <w:link w:val="Heading8Char"/>
    <w:uiPriority w:val="9"/>
    <w:qFormat/>
    <w:rsid w:val="002455EF"/>
    <w:pPr>
      <w:outlineLvl w:val="7"/>
    </w:pPr>
    <w:rPr>
      <w:rFonts w:eastAsia="SimHei"/>
      <w:sz w:val="20"/>
      <w:szCs w:val="20"/>
      <w:lang w:val="x-none" w:eastAsia="x-none" w:bidi="ar-SA"/>
    </w:rPr>
  </w:style>
  <w:style w:type="paragraph" w:styleId="Heading9">
    <w:name w:val="heading 9"/>
    <w:basedOn w:val="Normal"/>
    <w:next w:val="Normal"/>
    <w:link w:val="Heading9Char"/>
    <w:uiPriority w:val="9"/>
    <w:qFormat/>
    <w:rsid w:val="002455EF"/>
    <w:pPr>
      <w:outlineLvl w:val="8"/>
    </w:pPr>
    <w:rPr>
      <w:rFonts w:eastAsia="SimHei"/>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55EF"/>
    <w:rPr>
      <w:rFonts w:ascii="Arial Unicode MS" w:eastAsia="SimHei" w:hAnsi="Arial" w:cs="Times New Roman"/>
      <w:b/>
      <w:bCs/>
      <w:sz w:val="28"/>
      <w:szCs w:val="28"/>
      <w:lang w:eastAsia="x-none"/>
    </w:rPr>
  </w:style>
  <w:style w:type="character" w:customStyle="1" w:styleId="Heading2Char">
    <w:name w:val="Heading 2 Char"/>
    <w:link w:val="Heading2"/>
    <w:uiPriority w:val="9"/>
    <w:rsid w:val="002455EF"/>
    <w:rPr>
      <w:rFonts w:ascii="Arial Unicode MS" w:eastAsia="SimHei" w:hAnsi="Arial" w:cs="Times New Roman"/>
      <w:b/>
      <w:bCs/>
      <w:sz w:val="26"/>
      <w:szCs w:val="26"/>
      <w:lang w:val="x-none" w:eastAsia="x-none"/>
    </w:rPr>
  </w:style>
  <w:style w:type="character" w:customStyle="1" w:styleId="Heading3Char">
    <w:name w:val="Heading 3 Char"/>
    <w:link w:val="Heading3"/>
    <w:uiPriority w:val="9"/>
    <w:rsid w:val="002455EF"/>
    <w:rPr>
      <w:rFonts w:ascii="Arial Unicode MS" w:eastAsia="SimHei" w:hAnsi="Arial" w:cs="Times New Roman"/>
      <w:b/>
      <w:bCs/>
      <w:sz w:val="20"/>
      <w:szCs w:val="20"/>
      <w:lang w:val="x-none" w:eastAsia="x-none"/>
    </w:rPr>
  </w:style>
  <w:style w:type="character" w:customStyle="1" w:styleId="Heading4Char">
    <w:name w:val="Heading 4 Char"/>
    <w:link w:val="Heading4"/>
    <w:uiPriority w:val="9"/>
    <w:rsid w:val="002455EF"/>
    <w:rPr>
      <w:rFonts w:ascii="Arial Unicode MS" w:eastAsia="SimHei" w:hAnsi="Arial" w:cs="Times New Roman"/>
      <w:b/>
      <w:bCs/>
      <w:i/>
      <w:iCs/>
      <w:sz w:val="20"/>
      <w:szCs w:val="20"/>
      <w:lang w:val="x-none" w:eastAsia="x-none"/>
    </w:rPr>
  </w:style>
  <w:style w:type="character" w:customStyle="1" w:styleId="Heading5Char">
    <w:name w:val="Heading 5 Char"/>
    <w:link w:val="Heading5"/>
    <w:uiPriority w:val="9"/>
    <w:rsid w:val="002455EF"/>
    <w:rPr>
      <w:rFonts w:ascii="Arial Unicode MS" w:eastAsia="SimHei" w:hAnsi="Arial" w:cs="Times New Roman"/>
      <w:b/>
      <w:bCs/>
      <w:color w:val="7F7F7F"/>
      <w:sz w:val="20"/>
      <w:szCs w:val="20"/>
      <w:lang w:val="x-none" w:eastAsia="x-none"/>
    </w:rPr>
  </w:style>
  <w:style w:type="character" w:customStyle="1" w:styleId="Heading6Char">
    <w:name w:val="Heading 6 Char"/>
    <w:link w:val="Heading6"/>
    <w:uiPriority w:val="9"/>
    <w:rsid w:val="002455EF"/>
    <w:rPr>
      <w:rFonts w:ascii="Arial Unicode MS" w:eastAsia="SimHei" w:hAnsi="Arial" w:cs="Times New Roman"/>
      <w:b/>
      <w:bCs/>
      <w:i/>
      <w:iCs/>
      <w:color w:val="7F7F7F"/>
      <w:sz w:val="20"/>
      <w:szCs w:val="20"/>
      <w:lang w:val="x-none" w:eastAsia="x-none"/>
    </w:rPr>
  </w:style>
  <w:style w:type="character" w:customStyle="1" w:styleId="Heading7Char">
    <w:name w:val="Heading 7 Char"/>
    <w:link w:val="Heading7"/>
    <w:uiPriority w:val="9"/>
    <w:rsid w:val="002455EF"/>
    <w:rPr>
      <w:rFonts w:ascii="Arial Unicode MS" w:eastAsia="SimHei" w:hAnsi="Arial" w:cs="Times New Roman"/>
      <w:i/>
      <w:iCs/>
      <w:sz w:val="20"/>
      <w:szCs w:val="20"/>
      <w:lang w:val="x-none" w:eastAsia="x-none"/>
    </w:rPr>
  </w:style>
  <w:style w:type="character" w:customStyle="1" w:styleId="Heading8Char">
    <w:name w:val="Heading 8 Char"/>
    <w:link w:val="Heading8"/>
    <w:uiPriority w:val="9"/>
    <w:rsid w:val="002455EF"/>
    <w:rPr>
      <w:rFonts w:ascii="Arial Unicode MS" w:eastAsia="SimHei" w:hAnsi="Arial" w:cs="Times New Roman"/>
      <w:sz w:val="20"/>
      <w:szCs w:val="20"/>
      <w:lang w:val="x-none" w:eastAsia="x-none"/>
    </w:rPr>
  </w:style>
  <w:style w:type="character" w:customStyle="1" w:styleId="Heading9Char">
    <w:name w:val="Heading 9 Char"/>
    <w:link w:val="Heading9"/>
    <w:uiPriority w:val="9"/>
    <w:rsid w:val="002455EF"/>
    <w:rPr>
      <w:rFonts w:ascii="Arial Unicode MS" w:eastAsia="SimHei" w:hAnsi="Arial" w:cs="Times New Roman"/>
      <w:i/>
      <w:iCs/>
      <w:spacing w:val="5"/>
      <w:sz w:val="20"/>
      <w:szCs w:val="20"/>
      <w:lang w:val="x-none" w:eastAsia="x-none"/>
    </w:rPr>
  </w:style>
  <w:style w:type="paragraph" w:styleId="Title">
    <w:name w:val="Title"/>
    <w:basedOn w:val="Normal"/>
    <w:next w:val="Normal"/>
    <w:link w:val="TitleChar"/>
    <w:uiPriority w:val="10"/>
    <w:qFormat/>
    <w:rsid w:val="002455EF"/>
    <w:pPr>
      <w:pBdr>
        <w:bottom w:val="single" w:sz="4" w:space="1" w:color="auto"/>
      </w:pBdr>
      <w:contextualSpacing/>
    </w:pPr>
    <w:rPr>
      <w:rFonts w:eastAsia="SimHei"/>
      <w:spacing w:val="5"/>
      <w:sz w:val="52"/>
      <w:szCs w:val="52"/>
      <w:lang w:val="x-none" w:eastAsia="x-none" w:bidi="ar-SA"/>
    </w:rPr>
  </w:style>
  <w:style w:type="character" w:customStyle="1" w:styleId="TitleChar">
    <w:name w:val="Title Char"/>
    <w:link w:val="Title"/>
    <w:uiPriority w:val="10"/>
    <w:rsid w:val="002455EF"/>
    <w:rPr>
      <w:rFonts w:ascii="Arial Unicode MS" w:eastAsia="SimHei" w:hAnsi="Arial" w:cs="Times New Roman"/>
      <w:spacing w:val="5"/>
      <w:sz w:val="52"/>
      <w:szCs w:val="52"/>
      <w:lang w:val="x-none" w:eastAsia="x-none"/>
    </w:rPr>
  </w:style>
  <w:style w:type="paragraph" w:styleId="Subtitle">
    <w:name w:val="Subtitle"/>
    <w:basedOn w:val="Normal"/>
    <w:next w:val="Normal"/>
    <w:link w:val="SubtitleChar"/>
    <w:uiPriority w:val="11"/>
    <w:qFormat/>
    <w:rsid w:val="002455EF"/>
    <w:pPr>
      <w:spacing w:after="600"/>
    </w:pPr>
    <w:rPr>
      <w:rFonts w:eastAsia="SimHei"/>
      <w:i/>
      <w:iCs/>
      <w:spacing w:val="13"/>
      <w:lang w:val="x-none" w:eastAsia="x-none" w:bidi="ar-SA"/>
    </w:rPr>
  </w:style>
  <w:style w:type="character" w:customStyle="1" w:styleId="SubtitleChar">
    <w:name w:val="Subtitle Char"/>
    <w:link w:val="Subtitle"/>
    <w:uiPriority w:val="11"/>
    <w:rsid w:val="002455EF"/>
    <w:rPr>
      <w:rFonts w:ascii="Arial Unicode MS" w:eastAsia="SimHei" w:hAnsi="Arial" w:cs="Times New Roman"/>
      <w:i/>
      <w:iCs/>
      <w:spacing w:val="13"/>
      <w:szCs w:val="24"/>
      <w:lang w:val="x-none" w:eastAsia="x-none"/>
    </w:rPr>
  </w:style>
  <w:style w:type="character" w:styleId="Strong">
    <w:name w:val="Strong"/>
    <w:uiPriority w:val="22"/>
    <w:qFormat/>
    <w:rsid w:val="002455EF"/>
    <w:rPr>
      <w:b/>
      <w:bCs/>
    </w:rPr>
  </w:style>
  <w:style w:type="character" w:styleId="Emphasis">
    <w:name w:val="Emphasis"/>
    <w:qFormat/>
    <w:rsid w:val="002455EF"/>
    <w:rPr>
      <w:b/>
      <w:bCs/>
      <w:i/>
      <w:iCs/>
      <w:spacing w:val="10"/>
      <w:bdr w:val="none" w:sz="0" w:space="0" w:color="auto"/>
      <w:shd w:val="clear" w:color="auto" w:fill="auto"/>
    </w:rPr>
  </w:style>
  <w:style w:type="paragraph" w:customStyle="1" w:styleId="MediumShading1-Accent11">
    <w:name w:val="Medium Shading 1 - Accent 11"/>
    <w:basedOn w:val="Normal"/>
    <w:uiPriority w:val="1"/>
    <w:qFormat/>
    <w:rsid w:val="002455EF"/>
  </w:style>
  <w:style w:type="paragraph" w:customStyle="1" w:styleId="MediumGrid1-Accent21">
    <w:name w:val="Medium Grid 1 - Accent 21"/>
    <w:basedOn w:val="Normal"/>
    <w:uiPriority w:val="34"/>
    <w:qFormat/>
    <w:rsid w:val="002455EF"/>
    <w:pPr>
      <w:ind w:left="720"/>
      <w:contextualSpacing/>
    </w:pPr>
  </w:style>
  <w:style w:type="paragraph" w:customStyle="1" w:styleId="MediumGrid2-Accent21">
    <w:name w:val="Medium Grid 2 - Accent 21"/>
    <w:basedOn w:val="Normal"/>
    <w:next w:val="Normal"/>
    <w:link w:val="MediumGrid2-Accent2Char"/>
    <w:uiPriority w:val="29"/>
    <w:qFormat/>
    <w:rsid w:val="002455EF"/>
    <w:pPr>
      <w:spacing w:before="200"/>
      <w:ind w:left="360" w:right="360"/>
    </w:pPr>
    <w:rPr>
      <w:i/>
      <w:iCs/>
      <w:sz w:val="20"/>
      <w:szCs w:val="20"/>
      <w:lang w:val="x-none" w:eastAsia="x-none" w:bidi="ar-SA"/>
    </w:rPr>
  </w:style>
  <w:style w:type="character" w:customStyle="1" w:styleId="MediumGrid2-Accent2Char">
    <w:name w:val="Medium Grid 2 - Accent 2 Char"/>
    <w:link w:val="MediumGrid2-Accent21"/>
    <w:uiPriority w:val="29"/>
    <w:rsid w:val="002455EF"/>
    <w:rPr>
      <w:rFonts w:ascii="Arial Unicode MS" w:eastAsia="Arial Unicode MS" w:hAnsi="Arial" w:cs="Times New Roman"/>
      <w:i/>
      <w:iCs/>
      <w:sz w:val="20"/>
      <w:szCs w:val="20"/>
      <w:lang w:val="x-none" w:eastAsia="x-none"/>
    </w:rPr>
  </w:style>
  <w:style w:type="paragraph" w:customStyle="1" w:styleId="MediumGrid3-Accent21">
    <w:name w:val="Medium Grid 3 - Accent 21"/>
    <w:basedOn w:val="Normal"/>
    <w:next w:val="Normal"/>
    <w:link w:val="MediumGrid3-Accent2Char"/>
    <w:uiPriority w:val="30"/>
    <w:qFormat/>
    <w:rsid w:val="002455EF"/>
    <w:pPr>
      <w:pBdr>
        <w:bottom w:val="single" w:sz="4" w:space="1" w:color="auto"/>
      </w:pBdr>
      <w:spacing w:before="200" w:after="280"/>
      <w:ind w:left="1008" w:right="1152"/>
    </w:pPr>
    <w:rPr>
      <w:b/>
      <w:bCs/>
      <w:i/>
      <w:iCs/>
      <w:sz w:val="20"/>
      <w:szCs w:val="20"/>
      <w:lang w:val="x-none" w:eastAsia="x-none" w:bidi="ar-SA"/>
    </w:rPr>
  </w:style>
  <w:style w:type="character" w:customStyle="1" w:styleId="MediumGrid3-Accent2Char">
    <w:name w:val="Medium Grid 3 - Accent 2 Char"/>
    <w:link w:val="MediumGrid3-Accent21"/>
    <w:uiPriority w:val="30"/>
    <w:rsid w:val="002455EF"/>
    <w:rPr>
      <w:rFonts w:ascii="Arial Unicode MS" w:eastAsia="Arial Unicode MS" w:hAnsi="Arial" w:cs="Times New Roman"/>
      <w:b/>
      <w:bCs/>
      <w:i/>
      <w:iCs/>
      <w:sz w:val="20"/>
      <w:szCs w:val="20"/>
      <w:lang w:val="x-none" w:eastAsia="x-none"/>
    </w:rPr>
  </w:style>
  <w:style w:type="character" w:customStyle="1" w:styleId="SubtleEmphasis1">
    <w:name w:val="Subtle Emphasis1"/>
    <w:uiPriority w:val="19"/>
    <w:qFormat/>
    <w:rsid w:val="002455EF"/>
    <w:rPr>
      <w:i/>
      <w:iCs/>
    </w:rPr>
  </w:style>
  <w:style w:type="character" w:customStyle="1" w:styleId="IntenseEmphasis1">
    <w:name w:val="Intense Emphasis1"/>
    <w:uiPriority w:val="21"/>
    <w:qFormat/>
    <w:rsid w:val="002455EF"/>
    <w:rPr>
      <w:b/>
      <w:bCs/>
    </w:rPr>
  </w:style>
  <w:style w:type="character" w:customStyle="1" w:styleId="SubtleReference1">
    <w:name w:val="Subtle Reference1"/>
    <w:uiPriority w:val="31"/>
    <w:qFormat/>
    <w:rsid w:val="002455EF"/>
    <w:rPr>
      <w:smallCaps/>
    </w:rPr>
  </w:style>
  <w:style w:type="character" w:customStyle="1" w:styleId="IntenseReference1">
    <w:name w:val="Intense Reference1"/>
    <w:uiPriority w:val="32"/>
    <w:qFormat/>
    <w:rsid w:val="002455EF"/>
    <w:rPr>
      <w:smallCaps/>
      <w:spacing w:val="5"/>
      <w:u w:val="single"/>
    </w:rPr>
  </w:style>
  <w:style w:type="character" w:customStyle="1" w:styleId="BookTitle1">
    <w:name w:val="Book Title1"/>
    <w:uiPriority w:val="33"/>
    <w:qFormat/>
    <w:rsid w:val="002455EF"/>
    <w:rPr>
      <w:i/>
      <w:iCs/>
      <w:smallCaps/>
      <w:spacing w:val="5"/>
    </w:rPr>
  </w:style>
  <w:style w:type="paragraph" w:customStyle="1" w:styleId="TOCHeading1">
    <w:name w:val="TOC Heading1"/>
    <w:basedOn w:val="Heading1"/>
    <w:next w:val="Normal"/>
    <w:uiPriority w:val="39"/>
    <w:qFormat/>
    <w:rsid w:val="002455EF"/>
    <w:pPr>
      <w:outlineLvl w:val="9"/>
    </w:pPr>
  </w:style>
  <w:style w:type="character" w:styleId="Hyperlink">
    <w:name w:val="Hyperlink"/>
    <w:uiPriority w:val="99"/>
    <w:unhideWhenUsed/>
    <w:rsid w:val="002455EF"/>
    <w:rPr>
      <w:color w:val="0000FF"/>
      <w:u w:val="single"/>
    </w:rPr>
  </w:style>
  <w:style w:type="paragraph" w:styleId="Header">
    <w:name w:val="header"/>
    <w:basedOn w:val="Normal"/>
    <w:link w:val="HeaderChar"/>
    <w:uiPriority w:val="99"/>
    <w:unhideWhenUsed/>
    <w:rsid w:val="002455EF"/>
    <w:pPr>
      <w:tabs>
        <w:tab w:val="center" w:pos="4513"/>
        <w:tab w:val="right" w:pos="9026"/>
      </w:tabs>
    </w:pPr>
    <w:rPr>
      <w:lang w:val="x-none"/>
    </w:rPr>
  </w:style>
  <w:style w:type="character" w:customStyle="1" w:styleId="HeaderChar">
    <w:name w:val="Header Char"/>
    <w:link w:val="Header"/>
    <w:uiPriority w:val="99"/>
    <w:rsid w:val="002455EF"/>
    <w:rPr>
      <w:rFonts w:ascii="Arial Unicode MS" w:eastAsia="Arial Unicode MS" w:hAnsi="Arial" w:cs="Times New Roman"/>
      <w:szCs w:val="24"/>
      <w:lang w:val="x-none" w:eastAsia="en-US" w:bidi="en-US"/>
    </w:rPr>
  </w:style>
  <w:style w:type="paragraph" w:styleId="Footer">
    <w:name w:val="footer"/>
    <w:basedOn w:val="Normal"/>
    <w:link w:val="FooterChar"/>
    <w:uiPriority w:val="99"/>
    <w:unhideWhenUsed/>
    <w:rsid w:val="002455EF"/>
    <w:pPr>
      <w:tabs>
        <w:tab w:val="center" w:pos="4513"/>
        <w:tab w:val="right" w:pos="9026"/>
      </w:tabs>
    </w:pPr>
    <w:rPr>
      <w:lang w:val="x-none"/>
    </w:rPr>
  </w:style>
  <w:style w:type="character" w:customStyle="1" w:styleId="FooterChar">
    <w:name w:val="Footer Char"/>
    <w:link w:val="Footer"/>
    <w:uiPriority w:val="99"/>
    <w:rsid w:val="002455EF"/>
    <w:rPr>
      <w:rFonts w:ascii="Arial Unicode MS" w:eastAsia="Arial Unicode MS" w:hAnsi="Arial" w:cs="Times New Roman"/>
      <w:szCs w:val="24"/>
      <w:lang w:val="x-none" w:eastAsia="en-US" w:bidi="en-US"/>
    </w:rPr>
  </w:style>
  <w:style w:type="character" w:customStyle="1" w:styleId="mw-headline">
    <w:name w:val="mw-headline"/>
    <w:basedOn w:val="DefaultParagraphFont"/>
    <w:rsid w:val="002455EF"/>
  </w:style>
  <w:style w:type="character" w:styleId="FollowedHyperlink">
    <w:name w:val="FollowedHyperlink"/>
    <w:uiPriority w:val="99"/>
    <w:semiHidden/>
    <w:unhideWhenUsed/>
    <w:rsid w:val="002455EF"/>
    <w:rPr>
      <w:color w:val="800080"/>
      <w:u w:val="single"/>
    </w:rPr>
  </w:style>
  <w:style w:type="paragraph" w:styleId="NormalWeb">
    <w:name w:val="Normal (Web)"/>
    <w:basedOn w:val="Normal"/>
    <w:uiPriority w:val="99"/>
    <w:unhideWhenUsed/>
    <w:rsid w:val="002455EF"/>
    <w:pPr>
      <w:spacing w:before="100" w:beforeAutospacing="1" w:after="100" w:afterAutospacing="1"/>
      <w:ind w:left="0" w:firstLine="0"/>
      <w:jc w:val="left"/>
    </w:pPr>
    <w:rPr>
      <w:rFonts w:ascii="Times New Roman" w:eastAsia="Times New Roman" w:hAnsi="Times New Roman"/>
      <w:lang w:eastAsia="en-GB" w:bidi="ar-SA"/>
    </w:rPr>
  </w:style>
  <w:style w:type="character" w:customStyle="1" w:styleId="ipa1">
    <w:name w:val="ipa1"/>
    <w:rsid w:val="002455EF"/>
    <w:rPr>
      <w:rFonts w:ascii="Arial Unicode MS" w:eastAsia="Arial Unicode MS" w:hAnsi="Arial Unicode MS" w:cs="Arial Unicode MS" w:hint="eastAsia"/>
    </w:rPr>
  </w:style>
  <w:style w:type="character" w:customStyle="1" w:styleId="b">
    <w:name w:val="b"/>
    <w:rsid w:val="002455EF"/>
    <w:rPr>
      <w:sz w:val="34"/>
      <w:szCs w:val="34"/>
    </w:rPr>
  </w:style>
  <w:style w:type="character" w:styleId="CommentReference">
    <w:name w:val="annotation reference"/>
    <w:uiPriority w:val="99"/>
    <w:semiHidden/>
    <w:unhideWhenUsed/>
    <w:rsid w:val="002455EF"/>
    <w:rPr>
      <w:sz w:val="16"/>
      <w:szCs w:val="16"/>
    </w:rPr>
  </w:style>
  <w:style w:type="paragraph" w:styleId="CommentText">
    <w:name w:val="annotation text"/>
    <w:basedOn w:val="Normal"/>
    <w:link w:val="CommentTextChar"/>
    <w:uiPriority w:val="99"/>
    <w:semiHidden/>
    <w:unhideWhenUsed/>
    <w:rsid w:val="002455EF"/>
    <w:rPr>
      <w:sz w:val="20"/>
      <w:szCs w:val="20"/>
      <w:lang w:val="x-none"/>
    </w:rPr>
  </w:style>
  <w:style w:type="character" w:customStyle="1" w:styleId="CommentTextChar">
    <w:name w:val="Comment Text Char"/>
    <w:link w:val="CommentText"/>
    <w:uiPriority w:val="99"/>
    <w:semiHidden/>
    <w:rsid w:val="002455EF"/>
    <w:rPr>
      <w:rFonts w:ascii="Arial Unicode MS" w:eastAsia="Arial Unicode MS" w:hAnsi="Arial" w:cs="Times New Roman"/>
      <w:sz w:val="20"/>
      <w:szCs w:val="20"/>
      <w:lang w:val="x-none" w:eastAsia="en-US" w:bidi="en-US"/>
    </w:rPr>
  </w:style>
  <w:style w:type="paragraph" w:styleId="CommentSubject">
    <w:name w:val="annotation subject"/>
    <w:basedOn w:val="CommentText"/>
    <w:next w:val="CommentText"/>
    <w:link w:val="CommentSubjectChar"/>
    <w:uiPriority w:val="99"/>
    <w:semiHidden/>
    <w:unhideWhenUsed/>
    <w:rsid w:val="002455EF"/>
    <w:rPr>
      <w:b/>
      <w:bCs/>
    </w:rPr>
  </w:style>
  <w:style w:type="character" w:customStyle="1" w:styleId="CommentSubjectChar">
    <w:name w:val="Comment Subject Char"/>
    <w:link w:val="CommentSubject"/>
    <w:uiPriority w:val="99"/>
    <w:semiHidden/>
    <w:rsid w:val="002455EF"/>
    <w:rPr>
      <w:rFonts w:ascii="Arial Unicode MS" w:eastAsia="Arial Unicode MS" w:hAnsi="Arial" w:cs="Times New Roman"/>
      <w:b/>
      <w:bCs/>
      <w:sz w:val="20"/>
      <w:szCs w:val="20"/>
      <w:lang w:val="x-none" w:eastAsia="en-US" w:bidi="en-US"/>
    </w:rPr>
  </w:style>
  <w:style w:type="paragraph" w:styleId="BalloonText">
    <w:name w:val="Balloon Text"/>
    <w:basedOn w:val="Normal"/>
    <w:link w:val="BalloonTextChar"/>
    <w:uiPriority w:val="99"/>
    <w:semiHidden/>
    <w:unhideWhenUsed/>
    <w:rsid w:val="002455EF"/>
    <w:rPr>
      <w:rFonts w:ascii="Tahoma" w:hAnsi="Tahoma" w:cs="Tahoma"/>
      <w:sz w:val="16"/>
      <w:szCs w:val="16"/>
      <w:lang w:val="x-none"/>
    </w:rPr>
  </w:style>
  <w:style w:type="character" w:customStyle="1" w:styleId="BalloonTextChar">
    <w:name w:val="Balloon Text Char"/>
    <w:link w:val="BalloonText"/>
    <w:uiPriority w:val="99"/>
    <w:semiHidden/>
    <w:rsid w:val="002455EF"/>
    <w:rPr>
      <w:rFonts w:ascii="Tahoma" w:eastAsia="Arial Unicode MS" w:hAnsi="Tahoma" w:cs="Tahoma"/>
      <w:sz w:val="16"/>
      <w:szCs w:val="16"/>
      <w:lang w:val="x-none" w:eastAsia="en-US" w:bidi="en-US"/>
    </w:rPr>
  </w:style>
  <w:style w:type="paragraph" w:customStyle="1" w:styleId="MediumList2-Accent21">
    <w:name w:val="Medium List 2 - Accent 21"/>
    <w:hidden/>
    <w:uiPriority w:val="99"/>
    <w:semiHidden/>
    <w:rsid w:val="002455EF"/>
    <w:pPr>
      <w:spacing w:after="0" w:line="240" w:lineRule="auto"/>
    </w:pPr>
    <w:rPr>
      <w:rFonts w:ascii="Arial" w:eastAsia="Arial" w:hAnsi="Arial" w:cs="Times New Roman"/>
      <w:sz w:val="24"/>
      <w:lang w:eastAsia="en-US" w:bidi="en-US"/>
    </w:rPr>
  </w:style>
  <w:style w:type="table" w:styleId="TableGrid">
    <w:name w:val="Table Grid"/>
    <w:basedOn w:val="TableNormal"/>
    <w:uiPriority w:val="59"/>
    <w:rsid w:val="002455EF"/>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2455EF"/>
    <w:pPr>
      <w:spacing w:after="0" w:line="240" w:lineRule="auto"/>
    </w:pPr>
    <w:rPr>
      <w:rFonts w:ascii="Arial" w:eastAsia="Arial"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semiHidden/>
    <w:rsid w:val="002455EF"/>
    <w:pPr>
      <w:ind w:left="0" w:firstLine="0"/>
      <w:jc w:val="left"/>
    </w:pPr>
    <w:rPr>
      <w:rFonts w:ascii="Times New Roman" w:eastAsia="Times New Roman" w:hAnsi="Times New Roman"/>
      <w:sz w:val="20"/>
      <w:szCs w:val="20"/>
      <w:lang w:val="en-US" w:bidi="ar-SA"/>
    </w:rPr>
  </w:style>
  <w:style w:type="character" w:customStyle="1" w:styleId="FootnoteTextChar">
    <w:name w:val="Footnote Text Char"/>
    <w:link w:val="FootnoteText"/>
    <w:semiHidden/>
    <w:rsid w:val="002455EF"/>
    <w:rPr>
      <w:rFonts w:ascii="Times New Roman" w:eastAsia="Times New Roman" w:hAnsi="Times New Roman" w:cs="Times New Roman"/>
      <w:sz w:val="20"/>
      <w:szCs w:val="20"/>
      <w:lang w:val="en-US" w:eastAsia="en-US"/>
    </w:rPr>
  </w:style>
  <w:style w:type="paragraph" w:customStyle="1" w:styleId="appiresultsdescription1">
    <w:name w:val="appi_results_description1"/>
    <w:basedOn w:val="Normal"/>
    <w:rsid w:val="002455EF"/>
    <w:pPr>
      <w:spacing w:after="150"/>
      <w:ind w:left="0" w:firstLine="0"/>
      <w:jc w:val="left"/>
    </w:pPr>
    <w:rPr>
      <w:rFonts w:ascii="Times New Roman" w:eastAsia="Times New Roman" w:hAnsi="Times New Roman"/>
      <w:color w:val="000000"/>
      <w:lang w:eastAsia="en-GB" w:bidi="ar-SA"/>
    </w:rPr>
  </w:style>
  <w:style w:type="paragraph" w:customStyle="1" w:styleId="appititle4">
    <w:name w:val="appi_title4"/>
    <w:basedOn w:val="Normal"/>
    <w:rsid w:val="002455EF"/>
    <w:pPr>
      <w:spacing w:after="150"/>
      <w:ind w:left="0" w:firstLine="0"/>
      <w:jc w:val="left"/>
    </w:pPr>
    <w:rPr>
      <w:rFonts w:ascii="Times New Roman" w:eastAsia="Times New Roman" w:hAnsi="Times New Roman"/>
      <w:b/>
      <w:bCs/>
      <w:color w:val="003366"/>
      <w:sz w:val="15"/>
      <w:szCs w:val="15"/>
      <w:lang w:eastAsia="en-GB" w:bidi="ar-SA"/>
    </w:rPr>
  </w:style>
  <w:style w:type="character" w:customStyle="1" w:styleId="Hyperlink36">
    <w:name w:val="Hyperlink36"/>
    <w:rsid w:val="002455EF"/>
    <w:rPr>
      <w:b/>
      <w:bCs/>
      <w:strike w:val="0"/>
      <w:dstrike w:val="0"/>
      <w:color w:val="003366"/>
      <w:sz w:val="23"/>
      <w:szCs w:val="23"/>
      <w:u w:val="none"/>
      <w:effect w:val="none"/>
    </w:rPr>
  </w:style>
  <w:style w:type="table" w:customStyle="1" w:styleId="LightList1">
    <w:name w:val="Light List1"/>
    <w:basedOn w:val="TableNormal"/>
    <w:uiPriority w:val="61"/>
    <w:rsid w:val="002455EF"/>
    <w:pPr>
      <w:spacing w:after="0" w:line="240" w:lineRule="auto"/>
    </w:pPr>
    <w:rPr>
      <w:rFonts w:ascii="Arial" w:eastAsia="Arial" w:hAnsi="Arial"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uiPriority w:val="99"/>
    <w:unhideWhenUsed/>
    <w:rsid w:val="002455EF"/>
    <w:pPr>
      <w:ind w:left="0" w:firstLine="0"/>
      <w:jc w:val="left"/>
    </w:pPr>
    <w:rPr>
      <w:rFonts w:ascii="Consolas" w:eastAsia="Calibri" w:hAnsi="Consolas"/>
      <w:sz w:val="21"/>
      <w:szCs w:val="21"/>
      <w:lang w:val="x-none" w:bidi="ar-SA"/>
    </w:rPr>
  </w:style>
  <w:style w:type="character" w:customStyle="1" w:styleId="PlainTextChar">
    <w:name w:val="Plain Text Char"/>
    <w:link w:val="PlainText"/>
    <w:uiPriority w:val="99"/>
    <w:rsid w:val="002455EF"/>
    <w:rPr>
      <w:rFonts w:ascii="Consolas" w:eastAsia="Calibri" w:hAnsi="Consolas" w:cs="Times New Roman"/>
      <w:sz w:val="21"/>
      <w:szCs w:val="21"/>
      <w:lang w:val="x-none" w:eastAsia="en-US"/>
    </w:rPr>
  </w:style>
  <w:style w:type="character" w:styleId="LineNumber">
    <w:name w:val="line number"/>
    <w:basedOn w:val="DefaultParagraphFont"/>
    <w:uiPriority w:val="99"/>
    <w:semiHidden/>
    <w:unhideWhenUsed/>
    <w:rsid w:val="002455EF"/>
  </w:style>
  <w:style w:type="character" w:customStyle="1" w:styleId="ft">
    <w:name w:val="ft"/>
    <w:basedOn w:val="DefaultParagraphFont"/>
    <w:rsid w:val="002455EF"/>
  </w:style>
  <w:style w:type="table" w:customStyle="1" w:styleId="TableGrid1">
    <w:name w:val="Table Grid1"/>
    <w:basedOn w:val="TableNormal"/>
    <w:next w:val="TableGrid"/>
    <w:uiPriority w:val="59"/>
    <w:rsid w:val="002455EF"/>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455EF"/>
  </w:style>
  <w:style w:type="paragraph" w:customStyle="1" w:styleId="EndNoteBibliographyTitle">
    <w:name w:val="EndNote Bibliography Title"/>
    <w:basedOn w:val="Normal"/>
    <w:link w:val="EndNoteBibliographyTitleChar"/>
    <w:rsid w:val="002455EF"/>
    <w:pPr>
      <w:jc w:val="center"/>
    </w:pPr>
    <w:rPr>
      <w:rFonts w:hAnsi="Arial Unicode MS" w:cs="Arial Unicode MS"/>
      <w:noProof/>
      <w:lang w:val="en-US"/>
    </w:rPr>
  </w:style>
  <w:style w:type="character" w:customStyle="1" w:styleId="EndNoteBibliographyTitleChar">
    <w:name w:val="EndNote Bibliography Title Char"/>
    <w:link w:val="EndNoteBibliographyTitle"/>
    <w:rsid w:val="002455EF"/>
    <w:rPr>
      <w:rFonts w:ascii="Arial Unicode MS" w:eastAsia="Arial Unicode MS" w:hAnsi="Arial Unicode MS" w:cs="Arial Unicode MS"/>
      <w:noProof/>
      <w:szCs w:val="24"/>
      <w:lang w:val="en-US" w:eastAsia="en-US" w:bidi="en-US"/>
    </w:rPr>
  </w:style>
  <w:style w:type="paragraph" w:customStyle="1" w:styleId="EndNoteBibliography">
    <w:name w:val="EndNote Bibliography"/>
    <w:basedOn w:val="Normal"/>
    <w:link w:val="EndNoteBibliographyChar"/>
    <w:rsid w:val="002455EF"/>
    <w:rPr>
      <w:rFonts w:hAnsi="Arial Unicode MS" w:cs="Arial Unicode MS"/>
      <w:noProof/>
      <w:lang w:val="en-US"/>
    </w:rPr>
  </w:style>
  <w:style w:type="character" w:customStyle="1" w:styleId="EndNoteBibliographyChar">
    <w:name w:val="EndNote Bibliography Char"/>
    <w:link w:val="EndNoteBibliography"/>
    <w:rsid w:val="002455EF"/>
    <w:rPr>
      <w:rFonts w:ascii="Arial Unicode MS" w:eastAsia="Arial Unicode MS" w:hAnsi="Arial Unicode MS" w:cs="Arial Unicode MS"/>
      <w:noProof/>
      <w:szCs w:val="24"/>
      <w:lang w:val="en-US" w:eastAsia="en-US" w:bidi="en-US"/>
    </w:rPr>
  </w:style>
  <w:style w:type="character" w:customStyle="1" w:styleId="externalref">
    <w:name w:val="externalref"/>
    <w:basedOn w:val="DefaultParagraphFont"/>
    <w:rsid w:val="00A13966"/>
  </w:style>
  <w:style w:type="character" w:customStyle="1" w:styleId="refsource">
    <w:name w:val="refsource"/>
    <w:basedOn w:val="DefaultParagraphFont"/>
    <w:rsid w:val="00A13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cm.org/" TargetMode="External"/><Relationship Id="rId13" Type="http://schemas.openxmlformats.org/officeDocument/2006/relationships/hyperlink" Target="http://www.who.int/medicines/publications/essentialmedicines/en/"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oecd.org/officialdocuments/publicdisplaydocumentpdf/?cote=env/jm/mono(2013)6&amp;doclanguage=en"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5337/2014.2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imshealth.com/en/thought-leadership/ims-institute/reports/global-medicines-use-in-2020"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journals.elsevier.com/science-of-the-totalenvironment/virtual-special-issues/pharmaceuticals-and-illicit-drugs-in-aquatic-systems" TargetMode="External"/><Relationship Id="rId14" Type="http://schemas.openxmlformats.org/officeDocument/2006/relationships/header" Target="header1.xml"/><Relationship Id="rId22"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C195-D882-48EB-B72E-3E39AA99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7609</Words>
  <Characters>43374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50882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Fitzsimons</dc:creator>
  <cp:lastModifiedBy>Mark Fitzsimons</cp:lastModifiedBy>
  <cp:revision>10</cp:revision>
  <dcterms:created xsi:type="dcterms:W3CDTF">2016-08-15T15:25:00Z</dcterms:created>
  <dcterms:modified xsi:type="dcterms:W3CDTF">2017-01-13T10:00:00Z</dcterms:modified>
</cp:coreProperties>
</file>