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0D039" w14:textId="1C3E3F97" w:rsidR="00F4567E" w:rsidRDefault="00B743C3" w:rsidP="00F022E7">
      <w:pPr>
        <w:spacing w:line="480" w:lineRule="auto"/>
        <w:ind w:right="-188" w:hanging="426"/>
        <w:jc w:val="center"/>
        <w:rPr>
          <w:b/>
          <w:sz w:val="26"/>
          <w:szCs w:val="26"/>
        </w:rPr>
      </w:pPr>
      <w:bookmarkStart w:id="0" w:name="_GoBack"/>
      <w:bookmarkEnd w:id="0"/>
      <w:r>
        <w:rPr>
          <w:b/>
          <w:sz w:val="26"/>
          <w:szCs w:val="26"/>
        </w:rPr>
        <w:t xml:space="preserve">Overcoming </w:t>
      </w:r>
      <w:r w:rsidR="005E5766">
        <w:rPr>
          <w:b/>
          <w:sz w:val="26"/>
          <w:szCs w:val="26"/>
        </w:rPr>
        <w:t xml:space="preserve">the </w:t>
      </w:r>
      <w:r>
        <w:rPr>
          <w:b/>
          <w:sz w:val="26"/>
          <w:szCs w:val="26"/>
        </w:rPr>
        <w:t>challenges</w:t>
      </w:r>
      <w:r w:rsidR="005E5766">
        <w:rPr>
          <w:b/>
          <w:sz w:val="26"/>
          <w:szCs w:val="26"/>
        </w:rPr>
        <w:t xml:space="preserve"> that </w:t>
      </w:r>
      <w:r w:rsidR="00103F1D">
        <w:rPr>
          <w:b/>
          <w:sz w:val="26"/>
          <w:szCs w:val="26"/>
        </w:rPr>
        <w:t xml:space="preserve">hinder </w:t>
      </w:r>
      <w:r w:rsidR="00727249">
        <w:rPr>
          <w:b/>
          <w:sz w:val="26"/>
          <w:szCs w:val="26"/>
        </w:rPr>
        <w:t xml:space="preserve">new </w:t>
      </w:r>
      <w:r w:rsidR="00103F1D">
        <w:rPr>
          <w:b/>
          <w:sz w:val="26"/>
          <w:szCs w:val="26"/>
        </w:rPr>
        <w:t xml:space="preserve">service </w:t>
      </w:r>
      <w:r w:rsidR="00A3458F">
        <w:rPr>
          <w:b/>
          <w:sz w:val="26"/>
          <w:szCs w:val="26"/>
        </w:rPr>
        <w:t xml:space="preserve">development </w:t>
      </w:r>
      <w:r w:rsidR="00E25EB8">
        <w:rPr>
          <w:b/>
          <w:sz w:val="26"/>
          <w:szCs w:val="26"/>
        </w:rPr>
        <w:t>by</w:t>
      </w:r>
      <w:r w:rsidR="00381EEA" w:rsidRPr="00381EEA">
        <w:rPr>
          <w:b/>
          <w:sz w:val="26"/>
          <w:szCs w:val="26"/>
        </w:rPr>
        <w:t xml:space="preserve"> manufacturers</w:t>
      </w:r>
      <w:r w:rsidR="001A09F3">
        <w:rPr>
          <w:b/>
          <w:sz w:val="26"/>
          <w:szCs w:val="26"/>
        </w:rPr>
        <w:t xml:space="preserve"> with </w:t>
      </w:r>
      <w:r w:rsidR="000B4810">
        <w:rPr>
          <w:b/>
          <w:sz w:val="26"/>
          <w:szCs w:val="26"/>
        </w:rPr>
        <w:t>diver</w:t>
      </w:r>
      <w:r w:rsidR="000E5E3C">
        <w:rPr>
          <w:b/>
          <w:sz w:val="26"/>
          <w:szCs w:val="26"/>
        </w:rPr>
        <w:t>se</w:t>
      </w:r>
      <w:r w:rsidR="000B4810">
        <w:rPr>
          <w:b/>
          <w:sz w:val="26"/>
          <w:szCs w:val="26"/>
        </w:rPr>
        <w:t xml:space="preserve"> </w:t>
      </w:r>
      <w:r w:rsidR="001A09F3">
        <w:rPr>
          <w:b/>
          <w:sz w:val="26"/>
          <w:szCs w:val="26"/>
        </w:rPr>
        <w:t>service</w:t>
      </w:r>
      <w:r w:rsidR="005525D1">
        <w:rPr>
          <w:b/>
          <w:sz w:val="26"/>
          <w:szCs w:val="26"/>
        </w:rPr>
        <w:t>s</w:t>
      </w:r>
      <w:r w:rsidR="001A09F3">
        <w:rPr>
          <w:b/>
          <w:sz w:val="26"/>
          <w:szCs w:val="26"/>
        </w:rPr>
        <w:t xml:space="preserve"> </w:t>
      </w:r>
      <w:r w:rsidR="005D7AF2">
        <w:rPr>
          <w:b/>
          <w:sz w:val="26"/>
          <w:szCs w:val="26"/>
        </w:rPr>
        <w:t>strategies</w:t>
      </w:r>
      <w:r w:rsidR="006406EC" w:rsidRPr="00381EEA">
        <w:rPr>
          <w:b/>
          <w:sz w:val="26"/>
          <w:szCs w:val="26"/>
        </w:rPr>
        <w:t xml:space="preserve"> </w:t>
      </w:r>
    </w:p>
    <w:p w14:paraId="4EB507A7" w14:textId="65B356F3" w:rsidR="00D6066B" w:rsidRPr="00C7083E" w:rsidRDefault="00D6066B" w:rsidP="00D6066B">
      <w:pPr>
        <w:spacing w:line="480" w:lineRule="auto"/>
        <w:ind w:right="-188" w:hanging="426"/>
        <w:jc w:val="center"/>
        <w:rPr>
          <w:sz w:val="24"/>
          <w:szCs w:val="24"/>
          <w:lang w:eastAsia="en-GB"/>
        </w:rPr>
      </w:pPr>
      <w:r w:rsidRPr="00C7083E">
        <w:rPr>
          <w:sz w:val="24"/>
          <w:szCs w:val="24"/>
          <w:lang w:eastAsia="en-GB"/>
        </w:rPr>
        <w:t>Jamie Burton</w:t>
      </w:r>
      <w:r w:rsidRPr="00C7083E">
        <w:rPr>
          <w:sz w:val="24"/>
          <w:szCs w:val="24"/>
          <w:vertAlign w:val="superscript"/>
          <w:lang w:eastAsia="en-GB"/>
        </w:rPr>
        <w:t>a</w:t>
      </w:r>
      <w:r w:rsidRPr="00C7083E">
        <w:rPr>
          <w:sz w:val="24"/>
          <w:szCs w:val="24"/>
          <w:lang w:eastAsia="en-GB"/>
        </w:rPr>
        <w:t>*, Vicky M. Story</w:t>
      </w:r>
      <w:r w:rsidRPr="00C7083E">
        <w:rPr>
          <w:sz w:val="24"/>
          <w:szCs w:val="24"/>
          <w:vertAlign w:val="superscript"/>
        </w:rPr>
        <w:t xml:space="preserve"> b</w:t>
      </w:r>
      <w:r w:rsidRPr="00C7083E">
        <w:rPr>
          <w:sz w:val="24"/>
          <w:szCs w:val="24"/>
          <w:lang w:eastAsia="en-GB"/>
        </w:rPr>
        <w:t xml:space="preserve">, </w:t>
      </w:r>
      <w:r w:rsidRPr="00C7083E">
        <w:rPr>
          <w:sz w:val="24"/>
          <w:szCs w:val="24"/>
        </w:rPr>
        <w:t>Chris Raddats</w:t>
      </w:r>
      <w:r w:rsidRPr="00C7083E">
        <w:rPr>
          <w:sz w:val="24"/>
          <w:szCs w:val="24"/>
          <w:vertAlign w:val="superscript"/>
        </w:rPr>
        <w:t xml:space="preserve"> c</w:t>
      </w:r>
      <w:r w:rsidRPr="00C7083E">
        <w:rPr>
          <w:sz w:val="24"/>
          <w:szCs w:val="24"/>
        </w:rPr>
        <w:t xml:space="preserve">, </w:t>
      </w:r>
      <w:r w:rsidRPr="00C7083E">
        <w:rPr>
          <w:sz w:val="24"/>
          <w:szCs w:val="24"/>
          <w:lang w:eastAsia="en-GB"/>
        </w:rPr>
        <w:t>Judy Zolkiewski</w:t>
      </w:r>
      <w:r>
        <w:rPr>
          <w:sz w:val="24"/>
          <w:szCs w:val="24"/>
          <w:vertAlign w:val="superscript"/>
          <w:lang w:eastAsia="en-GB"/>
        </w:rPr>
        <w:t>a</w:t>
      </w:r>
    </w:p>
    <w:p w14:paraId="11F376C0" w14:textId="536ABD4C" w:rsidR="00D6066B" w:rsidRDefault="00BA6F86" w:rsidP="00D6066B">
      <w:pPr>
        <w:pStyle w:val="NormalIndent"/>
        <w:spacing w:line="480" w:lineRule="auto"/>
        <w:ind w:firstLine="0"/>
        <w:rPr>
          <w:rFonts w:asciiTheme="minorHAnsi" w:hAnsiTheme="minorHAnsi"/>
          <w:sz w:val="24"/>
          <w:szCs w:val="24"/>
          <w:lang w:eastAsia="en-GB"/>
        </w:rPr>
      </w:pPr>
      <w:r>
        <w:rPr>
          <w:noProof/>
          <w:snapToGrid/>
          <w:sz w:val="24"/>
          <w:szCs w:val="24"/>
          <w:lang w:val="en-GB" w:eastAsia="en-GB"/>
        </w:rPr>
        <mc:AlternateContent>
          <mc:Choice Requires="wps">
            <w:drawing>
              <wp:anchor distT="0" distB="0" distL="114300" distR="114300" simplePos="0" relativeHeight="251659264" behindDoc="0" locked="0" layoutInCell="1" allowOverlap="1" wp14:anchorId="5A0ACD72" wp14:editId="40ECE1F4">
                <wp:simplePos x="0" y="0"/>
                <wp:positionH relativeFrom="column">
                  <wp:posOffset>-258445</wp:posOffset>
                </wp:positionH>
                <wp:positionV relativeFrom="paragraph">
                  <wp:posOffset>53975</wp:posOffset>
                </wp:positionV>
                <wp:extent cx="6238875" cy="1173480"/>
                <wp:effectExtent l="0" t="0" r="2857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173480"/>
                        </a:xfrm>
                        <a:prstGeom prst="rect">
                          <a:avLst/>
                        </a:prstGeom>
                        <a:solidFill>
                          <a:srgbClr val="FFFFFF"/>
                        </a:solidFill>
                        <a:ln w="9525">
                          <a:solidFill>
                            <a:srgbClr val="000000"/>
                          </a:solidFill>
                          <a:miter lim="800000"/>
                          <a:headEnd/>
                          <a:tailEnd/>
                        </a:ln>
                      </wps:spPr>
                      <wps:txbx>
                        <w:txbxContent>
                          <w:p w14:paraId="6B787D61" w14:textId="77777777" w:rsidR="00BA6F86" w:rsidRDefault="00BA6F86" w:rsidP="00BA6F86">
                            <w:pPr>
                              <w:spacing w:line="360" w:lineRule="auto"/>
                              <w:rPr>
                                <w:i/>
                                <w:szCs w:val="24"/>
                              </w:rPr>
                            </w:pPr>
                            <w:r>
                              <w:rPr>
                                <w:i/>
                                <w:szCs w:val="24"/>
                              </w:rPr>
                              <w:t xml:space="preserve">This is a pre-print (non-publisher’s document). Please cite the published article: </w:t>
                            </w:r>
                          </w:p>
                          <w:p w14:paraId="086EF2D2" w14:textId="643D039B" w:rsidR="00BA6F86" w:rsidRDefault="00BA6F86" w:rsidP="00BA6F86">
                            <w:pPr>
                              <w:spacing w:line="360" w:lineRule="auto"/>
                              <w:rPr>
                                <w:szCs w:val="24"/>
                              </w:rPr>
                            </w:pPr>
                            <w:r>
                              <w:rPr>
                                <w:color w:val="222222"/>
                                <w:szCs w:val="24"/>
                                <w:shd w:val="clear" w:color="auto" w:fill="FFFFFF"/>
                              </w:rPr>
                              <w:t xml:space="preserve">Burton, J., Story, V.M., Raddats, C., Zolkiewski, J., (forthcoming) </w:t>
                            </w:r>
                            <w:r w:rsidRPr="00BA6F86">
                              <w:t>Overcoming the challenges that hinder new service development by manufacturers with diverse services strategies</w:t>
                            </w:r>
                            <w:r w:rsidRPr="00BA6F86">
                              <w:rPr>
                                <w:color w:val="222222"/>
                                <w:shd w:val="clear" w:color="auto" w:fill="FFFFFF"/>
                              </w:rPr>
                              <w:t>,</w:t>
                            </w:r>
                            <w:r>
                              <w:rPr>
                                <w:color w:val="000000"/>
                              </w:rPr>
                              <w:t xml:space="preserve"> </w:t>
                            </w:r>
                            <w:r w:rsidRPr="00BA6F86">
                              <w:rPr>
                                <w:i/>
                                <w:color w:val="000000"/>
                              </w:rPr>
                              <w:t>International Journal of Production Economics</w:t>
                            </w:r>
                            <w:r>
                              <w:rPr>
                                <w:color w:val="000000"/>
                              </w:rPr>
                              <w:t>,</w:t>
                            </w:r>
                            <w:r>
                              <w:rPr>
                                <w:color w:val="222222"/>
                                <w:szCs w:val="24"/>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ACD72" id="_x0000_t202" coordsize="21600,21600" o:spt="202" path="m,l,21600r21600,l21600,xe">
                <v:stroke joinstyle="miter"/>
                <v:path gradientshapeok="t" o:connecttype="rect"/>
              </v:shapetype>
              <v:shape id="Text Box 4" o:spid="_x0000_s1026" type="#_x0000_t202" style="position:absolute;left:0;text-align:left;margin-left:-20.35pt;margin-top:4.25pt;width:491.25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">
                <v:textbox>
                  <w:txbxContent>
                    <w:p w14:paraId="6B787D61" w14:textId="77777777" w:rsidR="00BA6F86" w:rsidRDefault="00BA6F86" w:rsidP="00BA6F86">
                      <w:pPr>
                        <w:spacing w:line="360" w:lineRule="auto"/>
                        <w:rPr>
                          <w:i/>
                          <w:szCs w:val="24"/>
                        </w:rPr>
                      </w:pPr>
                      <w:r>
                        <w:rPr>
                          <w:i/>
                          <w:szCs w:val="24"/>
                        </w:rPr>
                        <w:t xml:space="preserve">This is a pre-print (non-publisher’s document). Please cite the published article: </w:t>
                      </w:r>
                    </w:p>
                    <w:p w14:paraId="086EF2D2" w14:textId="643D039B" w:rsidR="00BA6F86" w:rsidRDefault="00BA6F86" w:rsidP="00BA6F86">
                      <w:pPr>
                        <w:spacing w:line="360" w:lineRule="auto"/>
                        <w:rPr>
                          <w:szCs w:val="24"/>
                        </w:rPr>
                      </w:pPr>
                      <w:r>
                        <w:rPr>
                          <w:color w:val="222222"/>
                          <w:szCs w:val="24"/>
                          <w:shd w:val="clear" w:color="auto" w:fill="FFFFFF"/>
                        </w:rPr>
                        <w:t xml:space="preserve">Burton, J., Story, V.M., Raddats, C., Zolkiewski, J., (forthcoming) </w:t>
                      </w:r>
                      <w:r w:rsidRPr="00BA6F86">
                        <w:t>Overcoming the challenges that hinder new service development by manufacturers with diverse services strategies</w:t>
                      </w:r>
                      <w:r w:rsidRPr="00BA6F86">
                        <w:rPr>
                          <w:color w:val="222222"/>
                          <w:shd w:val="clear" w:color="auto" w:fill="FFFFFF"/>
                        </w:rPr>
                        <w:t>,</w:t>
                      </w:r>
                      <w:r>
                        <w:rPr>
                          <w:color w:val="000000"/>
                        </w:rPr>
                        <w:t xml:space="preserve"> </w:t>
                      </w:r>
                      <w:r w:rsidRPr="00BA6F86">
                        <w:rPr>
                          <w:i/>
                          <w:color w:val="000000"/>
                        </w:rPr>
                        <w:t>International Journal of Production Economics</w:t>
                      </w:r>
                      <w:r>
                        <w:rPr>
                          <w:color w:val="000000"/>
                        </w:rPr>
                        <w:t>,</w:t>
                      </w:r>
                      <w:r>
                        <w:rPr>
                          <w:color w:val="222222"/>
                          <w:szCs w:val="24"/>
                          <w:shd w:val="clear" w:color="auto" w:fill="FFFFFF"/>
                        </w:rPr>
                        <w:t xml:space="preserve"> </w:t>
                      </w:r>
                    </w:p>
                  </w:txbxContent>
                </v:textbox>
              </v:shape>
            </w:pict>
          </mc:Fallback>
        </mc:AlternateContent>
      </w:r>
    </w:p>
    <w:p w14:paraId="17314A3B" w14:textId="77777777" w:rsidR="00BA6F86" w:rsidRDefault="00BA6F86" w:rsidP="00D6066B">
      <w:pPr>
        <w:pStyle w:val="NormalIndent"/>
        <w:spacing w:line="480" w:lineRule="auto"/>
        <w:ind w:firstLine="0"/>
        <w:rPr>
          <w:rFonts w:asciiTheme="minorHAnsi" w:hAnsiTheme="minorHAnsi"/>
          <w:sz w:val="24"/>
          <w:szCs w:val="24"/>
          <w:lang w:eastAsia="en-GB"/>
        </w:rPr>
      </w:pPr>
    </w:p>
    <w:p w14:paraId="58F978BF" w14:textId="77777777" w:rsidR="00BA6F86" w:rsidRDefault="00BA6F86" w:rsidP="00D6066B">
      <w:pPr>
        <w:pStyle w:val="NormalIndent"/>
        <w:spacing w:line="480" w:lineRule="auto"/>
        <w:ind w:firstLine="0"/>
        <w:rPr>
          <w:rFonts w:asciiTheme="minorHAnsi" w:hAnsiTheme="minorHAnsi"/>
          <w:sz w:val="24"/>
          <w:szCs w:val="24"/>
          <w:lang w:eastAsia="en-GB"/>
        </w:rPr>
      </w:pPr>
    </w:p>
    <w:p w14:paraId="759A23E1" w14:textId="77777777" w:rsidR="00BA6F86" w:rsidRPr="00C7083E" w:rsidRDefault="00BA6F86" w:rsidP="00D6066B">
      <w:pPr>
        <w:pStyle w:val="NormalIndent"/>
        <w:spacing w:line="480" w:lineRule="auto"/>
        <w:ind w:firstLine="0"/>
        <w:rPr>
          <w:rFonts w:asciiTheme="minorHAnsi" w:hAnsiTheme="minorHAnsi"/>
          <w:sz w:val="24"/>
          <w:szCs w:val="24"/>
          <w:lang w:eastAsia="en-GB"/>
        </w:rPr>
      </w:pPr>
    </w:p>
    <w:p w14:paraId="441F5880" w14:textId="77777777" w:rsidR="00D6066B" w:rsidRPr="00C7083E" w:rsidRDefault="00D6066B" w:rsidP="00D6066B">
      <w:pPr>
        <w:pStyle w:val="NormalIndent"/>
        <w:spacing w:line="480" w:lineRule="auto"/>
        <w:ind w:firstLine="0"/>
        <w:jc w:val="center"/>
        <w:rPr>
          <w:rStyle w:val="Hyperlink"/>
          <w:rFonts w:asciiTheme="minorHAnsi" w:hAnsiTheme="minorHAnsi"/>
          <w:sz w:val="24"/>
          <w:szCs w:val="24"/>
        </w:rPr>
      </w:pPr>
      <w:r w:rsidRPr="00C7083E">
        <w:rPr>
          <w:rFonts w:asciiTheme="minorHAnsi" w:hAnsiTheme="minorHAnsi"/>
          <w:sz w:val="24"/>
          <w:szCs w:val="24"/>
          <w:vertAlign w:val="superscript"/>
          <w:lang w:eastAsia="en-GB"/>
        </w:rPr>
        <w:t>a</w:t>
      </w:r>
      <w:r>
        <w:rPr>
          <w:rFonts w:asciiTheme="minorHAnsi" w:hAnsiTheme="minorHAnsi"/>
          <w:sz w:val="24"/>
          <w:szCs w:val="24"/>
          <w:lang w:eastAsia="en-GB"/>
        </w:rPr>
        <w:t xml:space="preserve">Alliance </w:t>
      </w:r>
      <w:r w:rsidRPr="00C7083E">
        <w:rPr>
          <w:rFonts w:asciiTheme="minorHAnsi" w:hAnsiTheme="minorHAnsi"/>
          <w:sz w:val="24"/>
          <w:szCs w:val="24"/>
        </w:rPr>
        <w:t xml:space="preserve">Manchester Business School, University of Manchester, Booth Street West, Manchester, M15 6PB, UK. </w:t>
      </w:r>
      <w:r w:rsidRPr="00C7083E">
        <w:rPr>
          <w:rFonts w:asciiTheme="minorHAnsi" w:hAnsiTheme="minorHAnsi"/>
          <w:i/>
          <w:sz w:val="24"/>
          <w:szCs w:val="24"/>
        </w:rPr>
        <w:t xml:space="preserve">E-mail address: </w:t>
      </w:r>
      <w:hyperlink r:id="rId8" w:history="1">
        <w:r w:rsidRPr="00C7083E">
          <w:rPr>
            <w:rStyle w:val="Hyperlink"/>
            <w:rFonts w:asciiTheme="minorHAnsi" w:hAnsiTheme="minorHAnsi"/>
            <w:sz w:val="24"/>
            <w:szCs w:val="24"/>
          </w:rPr>
          <w:t>Jamie.Burton@manchester.ac.uk</w:t>
        </w:r>
      </w:hyperlink>
      <w:r w:rsidRPr="00C7083E">
        <w:rPr>
          <w:rStyle w:val="Hyperlink"/>
          <w:rFonts w:asciiTheme="minorHAnsi" w:hAnsiTheme="minorHAnsi"/>
          <w:sz w:val="24"/>
          <w:szCs w:val="24"/>
        </w:rPr>
        <w:t xml:space="preserve">; </w:t>
      </w:r>
      <w:r w:rsidRPr="00616539">
        <w:rPr>
          <w:rStyle w:val="Hyperlink"/>
          <w:rFonts w:asciiTheme="minorHAnsi" w:hAnsiTheme="minorHAnsi"/>
          <w:color w:val="auto"/>
          <w:sz w:val="24"/>
          <w:szCs w:val="24"/>
          <w:u w:val="none"/>
        </w:rPr>
        <w:t>Tel. +44 161 275 6508</w:t>
      </w:r>
    </w:p>
    <w:p w14:paraId="0192FB8C" w14:textId="77777777" w:rsidR="00D6066B" w:rsidRPr="00C7083E" w:rsidRDefault="00D6066B" w:rsidP="00D6066B">
      <w:pPr>
        <w:pStyle w:val="NormalIndent"/>
        <w:spacing w:line="480" w:lineRule="auto"/>
        <w:ind w:firstLine="0"/>
        <w:jc w:val="center"/>
        <w:rPr>
          <w:rFonts w:asciiTheme="minorHAnsi" w:hAnsiTheme="minorHAnsi"/>
          <w:sz w:val="24"/>
          <w:szCs w:val="24"/>
          <w:vertAlign w:val="superscript"/>
          <w:lang w:eastAsia="en-GB"/>
        </w:rPr>
      </w:pPr>
      <w:r w:rsidRPr="00C7083E">
        <w:rPr>
          <w:rFonts w:asciiTheme="minorHAnsi" w:hAnsiTheme="minorHAnsi"/>
          <w:sz w:val="24"/>
          <w:szCs w:val="24"/>
          <w:vertAlign w:val="superscript"/>
        </w:rPr>
        <w:t>b</w:t>
      </w:r>
      <w:r w:rsidRPr="00C7083E">
        <w:rPr>
          <w:rFonts w:asciiTheme="minorHAnsi" w:hAnsiTheme="minorHAnsi"/>
          <w:sz w:val="24"/>
          <w:szCs w:val="24"/>
          <w:lang w:eastAsia="en-GB"/>
        </w:rPr>
        <w:t xml:space="preserve"> School of Business and Economics, Loughborough University, Ashby Road, Loughborough, LE11 3TU, UK. </w:t>
      </w:r>
      <w:r w:rsidRPr="00C7083E">
        <w:rPr>
          <w:rFonts w:asciiTheme="minorHAnsi" w:hAnsiTheme="minorHAnsi"/>
          <w:i/>
          <w:sz w:val="24"/>
          <w:szCs w:val="24"/>
        </w:rPr>
        <w:t xml:space="preserve">E-mail address: </w:t>
      </w:r>
      <w:hyperlink r:id="rId9" w:history="1">
        <w:r w:rsidRPr="00C7083E">
          <w:rPr>
            <w:rStyle w:val="Hyperlink"/>
            <w:rFonts w:asciiTheme="minorHAnsi" w:hAnsiTheme="minorHAnsi"/>
            <w:sz w:val="24"/>
            <w:szCs w:val="24"/>
            <w:lang w:eastAsia="en-GB"/>
          </w:rPr>
          <w:t>V.M.Story@lboro.ac.uk</w:t>
        </w:r>
      </w:hyperlink>
    </w:p>
    <w:p w14:paraId="7EC8E38D" w14:textId="77777777" w:rsidR="00D6066B" w:rsidRPr="00C7083E" w:rsidRDefault="00D6066B" w:rsidP="00D6066B">
      <w:pPr>
        <w:pStyle w:val="NormalIndent"/>
        <w:spacing w:line="480" w:lineRule="auto"/>
        <w:ind w:firstLine="0"/>
        <w:jc w:val="center"/>
        <w:rPr>
          <w:rFonts w:asciiTheme="minorHAnsi" w:hAnsiTheme="minorHAnsi"/>
          <w:sz w:val="24"/>
          <w:szCs w:val="24"/>
          <w:lang w:eastAsia="en-GB"/>
        </w:rPr>
      </w:pPr>
      <w:r w:rsidRPr="00C7083E">
        <w:rPr>
          <w:rFonts w:asciiTheme="minorHAnsi" w:hAnsiTheme="minorHAnsi"/>
          <w:sz w:val="24"/>
          <w:szCs w:val="24"/>
          <w:vertAlign w:val="superscript"/>
        </w:rPr>
        <w:t>c</w:t>
      </w:r>
      <w:r w:rsidRPr="00C7083E">
        <w:rPr>
          <w:rFonts w:asciiTheme="minorHAnsi" w:hAnsiTheme="minorHAnsi"/>
          <w:sz w:val="24"/>
          <w:szCs w:val="24"/>
        </w:rPr>
        <w:t xml:space="preserve"> University of Liverpool Management School, University of Liverpool, Chatham Street, Liverpool, L69 7ZH, UK. </w:t>
      </w:r>
      <w:r w:rsidRPr="00C7083E">
        <w:rPr>
          <w:rFonts w:asciiTheme="minorHAnsi" w:hAnsiTheme="minorHAnsi"/>
          <w:i/>
          <w:sz w:val="24"/>
          <w:szCs w:val="24"/>
        </w:rPr>
        <w:t xml:space="preserve">E-mail address: </w:t>
      </w:r>
      <w:hyperlink r:id="rId10" w:history="1">
        <w:r w:rsidRPr="00C7083E">
          <w:rPr>
            <w:rStyle w:val="Hyperlink"/>
            <w:rFonts w:asciiTheme="minorHAnsi" w:hAnsiTheme="minorHAnsi"/>
            <w:sz w:val="24"/>
            <w:szCs w:val="24"/>
          </w:rPr>
          <w:t>C.Raddats@liverpool.ac.uk</w:t>
        </w:r>
      </w:hyperlink>
      <w:r w:rsidRPr="00C7083E">
        <w:rPr>
          <w:rFonts w:asciiTheme="minorHAnsi" w:hAnsiTheme="minorHAnsi"/>
          <w:sz w:val="24"/>
          <w:szCs w:val="24"/>
        </w:rPr>
        <w:t>.</w:t>
      </w:r>
    </w:p>
    <w:p w14:paraId="7BCE932E" w14:textId="77777777" w:rsidR="00D6066B" w:rsidRPr="00C7083E" w:rsidRDefault="00D6066B" w:rsidP="00D6066B">
      <w:pPr>
        <w:pStyle w:val="NormalIndent"/>
        <w:spacing w:line="480" w:lineRule="auto"/>
        <w:ind w:firstLine="0"/>
        <w:jc w:val="center"/>
        <w:rPr>
          <w:rFonts w:asciiTheme="minorHAnsi" w:hAnsiTheme="minorHAnsi"/>
          <w:sz w:val="24"/>
          <w:szCs w:val="24"/>
        </w:rPr>
      </w:pPr>
      <w:r>
        <w:rPr>
          <w:rFonts w:asciiTheme="minorHAnsi" w:hAnsiTheme="minorHAnsi"/>
          <w:sz w:val="24"/>
          <w:szCs w:val="24"/>
          <w:vertAlign w:val="superscript"/>
          <w:lang w:eastAsia="en-GB"/>
        </w:rPr>
        <w:t>a</w:t>
      </w:r>
      <w:r>
        <w:rPr>
          <w:rFonts w:asciiTheme="minorHAnsi" w:hAnsiTheme="minorHAnsi"/>
          <w:sz w:val="24"/>
          <w:szCs w:val="24"/>
          <w:lang w:eastAsia="en-GB"/>
        </w:rPr>
        <w:t>Alliance</w:t>
      </w:r>
      <w:r w:rsidRPr="00C7083E">
        <w:rPr>
          <w:rFonts w:asciiTheme="minorHAnsi" w:hAnsiTheme="minorHAnsi"/>
          <w:sz w:val="24"/>
          <w:szCs w:val="24"/>
        </w:rPr>
        <w:t xml:space="preserve">Manchester Business School, University of Manchester, Booth Street West, Manchester, M15 6PB, UK. </w:t>
      </w:r>
      <w:r w:rsidRPr="00C7083E">
        <w:rPr>
          <w:rFonts w:asciiTheme="minorHAnsi" w:hAnsiTheme="minorHAnsi"/>
          <w:i/>
          <w:sz w:val="24"/>
          <w:szCs w:val="24"/>
        </w:rPr>
        <w:t xml:space="preserve">E-mail address: </w:t>
      </w:r>
      <w:hyperlink r:id="rId11" w:history="1"/>
      <w:hyperlink r:id="rId12" w:history="1">
        <w:r w:rsidRPr="00C7083E">
          <w:rPr>
            <w:rStyle w:val="Hyperlink"/>
            <w:rFonts w:asciiTheme="minorHAnsi" w:hAnsiTheme="minorHAnsi"/>
            <w:sz w:val="24"/>
            <w:szCs w:val="24"/>
          </w:rPr>
          <w:t>Judy.Zolkiewski@manchester.ac.uk</w:t>
        </w:r>
      </w:hyperlink>
    </w:p>
    <w:p w14:paraId="3EF133C9" w14:textId="77777777" w:rsidR="00D6066B" w:rsidRPr="00C7083E" w:rsidRDefault="00D6066B" w:rsidP="00D6066B">
      <w:pPr>
        <w:pStyle w:val="NormalIndent"/>
        <w:spacing w:line="480" w:lineRule="auto"/>
        <w:jc w:val="center"/>
        <w:rPr>
          <w:rFonts w:asciiTheme="minorHAnsi" w:hAnsiTheme="minorHAnsi"/>
          <w:sz w:val="24"/>
          <w:szCs w:val="24"/>
          <w:lang w:eastAsia="en-GB"/>
        </w:rPr>
      </w:pPr>
    </w:p>
    <w:p w14:paraId="465C8B66" w14:textId="77777777" w:rsidR="00D6066B" w:rsidRDefault="00D6066B" w:rsidP="00D6066B">
      <w:pPr>
        <w:rPr>
          <w:sz w:val="24"/>
          <w:szCs w:val="24"/>
        </w:rPr>
      </w:pPr>
      <w:r w:rsidRPr="00C7083E">
        <w:rPr>
          <w:sz w:val="24"/>
          <w:szCs w:val="24"/>
        </w:rPr>
        <w:t>* Corresponding Author</w:t>
      </w:r>
    </w:p>
    <w:p w14:paraId="3CACC554" w14:textId="1312CDB8" w:rsidR="00D6066B" w:rsidRDefault="00D6066B" w:rsidP="00F022E7">
      <w:pPr>
        <w:spacing w:line="480" w:lineRule="auto"/>
        <w:ind w:right="-188" w:hanging="426"/>
        <w:jc w:val="center"/>
        <w:rPr>
          <w:b/>
          <w:sz w:val="26"/>
          <w:szCs w:val="26"/>
        </w:rPr>
      </w:pPr>
    </w:p>
    <w:p w14:paraId="5AA52335" w14:textId="77777777" w:rsidR="00BA6F86" w:rsidRDefault="00BA6F86" w:rsidP="00F022E7">
      <w:pPr>
        <w:spacing w:line="480" w:lineRule="auto"/>
        <w:ind w:right="-188" w:hanging="426"/>
        <w:jc w:val="center"/>
        <w:rPr>
          <w:b/>
          <w:sz w:val="26"/>
          <w:szCs w:val="26"/>
        </w:rPr>
      </w:pPr>
    </w:p>
    <w:p w14:paraId="1124471D" w14:textId="77777777" w:rsidR="00817337" w:rsidRPr="00C7083E" w:rsidRDefault="00817337" w:rsidP="00817337">
      <w:pPr>
        <w:spacing w:after="0" w:line="480" w:lineRule="auto"/>
        <w:rPr>
          <w:rFonts w:cs="Times New Roman"/>
          <w:sz w:val="24"/>
          <w:szCs w:val="24"/>
        </w:rPr>
      </w:pPr>
      <w:r w:rsidRPr="00C7083E">
        <w:rPr>
          <w:rFonts w:cs="Times New Roman"/>
          <w:b/>
          <w:sz w:val="24"/>
          <w:szCs w:val="24"/>
        </w:rPr>
        <w:t>Abstract</w:t>
      </w:r>
    </w:p>
    <w:p w14:paraId="2368307B" w14:textId="77777777" w:rsidR="00F84BA3" w:rsidRPr="00F84BA3" w:rsidRDefault="00F84BA3" w:rsidP="00F84BA3">
      <w:pPr>
        <w:spacing w:line="480" w:lineRule="auto"/>
        <w:rPr>
          <w:rFonts w:cstheme="minorHAnsi"/>
          <w:sz w:val="24"/>
          <w:szCs w:val="24"/>
        </w:rPr>
      </w:pPr>
      <w:r w:rsidRPr="00F84BA3">
        <w:rPr>
          <w:rFonts w:cstheme="minorHAnsi"/>
          <w:color w:val="000000"/>
          <w:sz w:val="24"/>
          <w:szCs w:val="24"/>
        </w:rPr>
        <w:lastRenderedPageBreak/>
        <w:t>This paper explores the new service development (NSD) challenges that manufacturers face in undertaking servitization initiatives and their attempts to overcome these challenges. Prior work identifies some generic NSD challenges and manufacturers' responses to them. However, understanding how such responses relate to the manufacturer's services strategy remains under-explored. Recent research suggests that manufacturers adopt diverse service strategies and this diversity provides the context for our study. Four case studies are undertaken in large UK-based manufacturers with services strategies differing with respect to the importance of services within their portfolios of offerings. We identify several NSD process challenges facing manufacturers and discuss how the case organisations seek to respond to them. Different degrees of product-logic drive NSD for each of the cases, suggesting manufacturers risk losing key product advantages if they try to 'break free' from their product heritage. However, this can limit the role that services ultimately play in a manufacturing business, potentially putting it at risk from other actors' radical service innovations. Responses to challenges differ depending on the services strategy adopted. The more enthusiastic organisations have to overcome more challenges than those demonstrating lower levels of enthusiasm. The study offers a more nuanced understanding of how manufacturers can overcome key NSD challenges to create new services. Based on the study, seven propositions are presented regarding NSD by manufacturing organisations.</w:t>
      </w:r>
    </w:p>
    <w:p w14:paraId="48325E93" w14:textId="71DC16EB" w:rsidR="006D2883" w:rsidRDefault="006D2883" w:rsidP="00A0401A">
      <w:pPr>
        <w:spacing w:after="0" w:line="480" w:lineRule="auto"/>
        <w:jc w:val="both"/>
        <w:rPr>
          <w:rFonts w:cs="Times New Roman"/>
          <w:sz w:val="24"/>
          <w:szCs w:val="24"/>
        </w:rPr>
      </w:pPr>
    </w:p>
    <w:p w14:paraId="45A54A32" w14:textId="77777777" w:rsidR="00A04EE1" w:rsidRDefault="00A04EE1" w:rsidP="00A0401A">
      <w:pPr>
        <w:spacing w:after="0" w:line="480" w:lineRule="auto"/>
        <w:jc w:val="both"/>
        <w:rPr>
          <w:rFonts w:cs="Times New Roman"/>
          <w:sz w:val="24"/>
          <w:szCs w:val="24"/>
        </w:rPr>
      </w:pPr>
    </w:p>
    <w:p w14:paraId="711C2F6F" w14:textId="36162FD2" w:rsidR="00A04EE1" w:rsidRDefault="00A04EE1" w:rsidP="00A0401A">
      <w:pPr>
        <w:spacing w:after="0" w:line="480" w:lineRule="auto"/>
        <w:jc w:val="both"/>
        <w:rPr>
          <w:rFonts w:cs="Times New Roman"/>
          <w:sz w:val="24"/>
          <w:szCs w:val="24"/>
        </w:rPr>
      </w:pPr>
      <w:r>
        <w:rPr>
          <w:rFonts w:cs="Times New Roman"/>
          <w:sz w:val="24"/>
          <w:szCs w:val="24"/>
        </w:rPr>
        <w:t xml:space="preserve">Keywords: </w:t>
      </w:r>
      <w:r w:rsidRPr="00A04EE1">
        <w:rPr>
          <w:rFonts w:cs="Times New Roman"/>
          <w:sz w:val="24"/>
          <w:szCs w:val="24"/>
        </w:rPr>
        <w:t>Servitization</w:t>
      </w:r>
      <w:r>
        <w:rPr>
          <w:rFonts w:cs="Times New Roman"/>
          <w:sz w:val="24"/>
          <w:szCs w:val="24"/>
        </w:rPr>
        <w:t xml:space="preserve"> Challenges</w:t>
      </w:r>
      <w:r w:rsidRPr="00A04EE1">
        <w:rPr>
          <w:rFonts w:cs="Times New Roman"/>
          <w:sz w:val="24"/>
          <w:szCs w:val="24"/>
        </w:rPr>
        <w:t>; New Service Development Processes;</w:t>
      </w:r>
      <w:r>
        <w:rPr>
          <w:rFonts w:cs="Times New Roman"/>
          <w:sz w:val="24"/>
          <w:szCs w:val="24"/>
        </w:rPr>
        <w:t xml:space="preserve"> Manufacturers’ Services Strategies</w:t>
      </w:r>
    </w:p>
    <w:p w14:paraId="5E45DA7F" w14:textId="77777777" w:rsidR="00D95459" w:rsidRDefault="00D95459" w:rsidP="00D95459">
      <w:pPr>
        <w:spacing w:after="0" w:line="480" w:lineRule="auto"/>
        <w:jc w:val="both"/>
        <w:rPr>
          <w:rFonts w:cs="Times New Roman"/>
          <w:sz w:val="24"/>
          <w:szCs w:val="24"/>
        </w:rPr>
      </w:pPr>
    </w:p>
    <w:p w14:paraId="5D37C3D0" w14:textId="11B8B59F" w:rsidR="0021461E" w:rsidRDefault="0021461E" w:rsidP="0021461E">
      <w:pPr>
        <w:spacing w:after="0" w:line="480" w:lineRule="auto"/>
        <w:jc w:val="both"/>
        <w:rPr>
          <w:b/>
          <w:sz w:val="24"/>
          <w:szCs w:val="24"/>
        </w:rPr>
      </w:pPr>
      <w:r w:rsidRPr="00485DB8">
        <w:rPr>
          <w:b/>
          <w:sz w:val="24"/>
          <w:szCs w:val="24"/>
        </w:rPr>
        <w:lastRenderedPageBreak/>
        <w:t>1. Introduction</w:t>
      </w:r>
    </w:p>
    <w:p w14:paraId="37534CDE" w14:textId="77777777" w:rsidR="0094557E" w:rsidRPr="00485DB8" w:rsidRDefault="0094557E" w:rsidP="0021461E">
      <w:pPr>
        <w:spacing w:after="0" w:line="480" w:lineRule="auto"/>
        <w:jc w:val="both"/>
        <w:rPr>
          <w:b/>
          <w:sz w:val="24"/>
          <w:szCs w:val="24"/>
        </w:rPr>
      </w:pPr>
    </w:p>
    <w:p w14:paraId="3F5FFA99" w14:textId="72135833" w:rsidR="0021461E" w:rsidRDefault="0021461E" w:rsidP="0021461E">
      <w:pPr>
        <w:spacing w:after="0" w:line="480" w:lineRule="auto"/>
        <w:jc w:val="both"/>
        <w:rPr>
          <w:sz w:val="24"/>
          <w:szCs w:val="24"/>
        </w:rPr>
      </w:pPr>
      <w:r>
        <w:rPr>
          <w:sz w:val="24"/>
          <w:szCs w:val="24"/>
        </w:rPr>
        <w:t>Many m</w:t>
      </w:r>
      <w:r w:rsidRPr="004F4952">
        <w:rPr>
          <w:sz w:val="24"/>
          <w:szCs w:val="24"/>
        </w:rPr>
        <w:t>anufacturers</w:t>
      </w:r>
      <w:r>
        <w:rPr>
          <w:sz w:val="24"/>
          <w:szCs w:val="24"/>
        </w:rPr>
        <w:t xml:space="preserve">, </w:t>
      </w:r>
      <w:r w:rsidR="00CF680C">
        <w:rPr>
          <w:sz w:val="24"/>
          <w:szCs w:val="24"/>
        </w:rPr>
        <w:t xml:space="preserve">seeking opportunities for value creation in the </w:t>
      </w:r>
      <w:r>
        <w:rPr>
          <w:sz w:val="24"/>
          <w:szCs w:val="24"/>
        </w:rPr>
        <w:t>fac</w:t>
      </w:r>
      <w:r w:rsidR="00CF680C">
        <w:rPr>
          <w:sz w:val="24"/>
          <w:szCs w:val="24"/>
        </w:rPr>
        <w:t>e of</w:t>
      </w:r>
      <w:r>
        <w:rPr>
          <w:sz w:val="24"/>
          <w:szCs w:val="24"/>
        </w:rPr>
        <w:t xml:space="preserve"> falling product revenues and increasingly competitive product markets,</w:t>
      </w:r>
      <w:r w:rsidRPr="004F4952">
        <w:rPr>
          <w:sz w:val="24"/>
          <w:szCs w:val="24"/>
        </w:rPr>
        <w:t xml:space="preserve"> </w:t>
      </w:r>
      <w:r>
        <w:rPr>
          <w:sz w:val="24"/>
          <w:szCs w:val="24"/>
        </w:rPr>
        <w:t>are</w:t>
      </w:r>
      <w:r w:rsidRPr="004F4952">
        <w:rPr>
          <w:sz w:val="24"/>
          <w:szCs w:val="24"/>
        </w:rPr>
        <w:t xml:space="preserve"> </w:t>
      </w:r>
      <w:r>
        <w:rPr>
          <w:sz w:val="24"/>
          <w:szCs w:val="24"/>
        </w:rPr>
        <w:t>developing</w:t>
      </w:r>
      <w:r w:rsidRPr="004F4952">
        <w:rPr>
          <w:sz w:val="24"/>
          <w:szCs w:val="24"/>
        </w:rPr>
        <w:t xml:space="preserve"> new service</w:t>
      </w:r>
      <w:r>
        <w:rPr>
          <w:sz w:val="24"/>
          <w:szCs w:val="24"/>
        </w:rPr>
        <w:t xml:space="preserve"> offering</w:t>
      </w:r>
      <w:r w:rsidRPr="004F4952">
        <w:rPr>
          <w:sz w:val="24"/>
          <w:szCs w:val="24"/>
        </w:rPr>
        <w:t xml:space="preserve">s to </w:t>
      </w:r>
      <w:r>
        <w:rPr>
          <w:sz w:val="24"/>
          <w:szCs w:val="24"/>
        </w:rPr>
        <w:t>complement,</w:t>
      </w:r>
      <w:r w:rsidRPr="004F4952">
        <w:rPr>
          <w:sz w:val="24"/>
          <w:szCs w:val="24"/>
        </w:rPr>
        <w:t xml:space="preserve"> or </w:t>
      </w:r>
      <w:r>
        <w:rPr>
          <w:sz w:val="24"/>
          <w:szCs w:val="24"/>
        </w:rPr>
        <w:t>take the place of,</w:t>
      </w:r>
      <w:r w:rsidRPr="004F4952">
        <w:rPr>
          <w:sz w:val="24"/>
          <w:szCs w:val="24"/>
        </w:rPr>
        <w:t xml:space="preserve"> </w:t>
      </w:r>
      <w:r>
        <w:rPr>
          <w:sz w:val="24"/>
          <w:szCs w:val="24"/>
        </w:rPr>
        <w:t xml:space="preserve">product offerings (Baines </w:t>
      </w:r>
      <w:r w:rsidR="004E1C65">
        <w:rPr>
          <w:sz w:val="24"/>
          <w:szCs w:val="24"/>
        </w:rPr>
        <w:t xml:space="preserve">&amp; </w:t>
      </w:r>
      <w:r>
        <w:rPr>
          <w:sz w:val="24"/>
          <w:szCs w:val="24"/>
        </w:rPr>
        <w:t>Lightfoot, 2014</w:t>
      </w:r>
      <w:r w:rsidRPr="004F4952">
        <w:rPr>
          <w:sz w:val="24"/>
          <w:szCs w:val="24"/>
        </w:rPr>
        <w:t>). This process</w:t>
      </w:r>
      <w:r>
        <w:rPr>
          <w:sz w:val="24"/>
          <w:szCs w:val="24"/>
        </w:rPr>
        <w:t xml:space="preserve"> is</w:t>
      </w:r>
      <w:r w:rsidRPr="004F4952">
        <w:rPr>
          <w:sz w:val="24"/>
          <w:szCs w:val="24"/>
        </w:rPr>
        <w:t xml:space="preserve"> termed servitization (</w:t>
      </w:r>
      <w:r>
        <w:rPr>
          <w:sz w:val="24"/>
          <w:szCs w:val="24"/>
        </w:rPr>
        <w:t xml:space="preserve">Vandermerwe </w:t>
      </w:r>
      <w:r w:rsidR="004E1C65">
        <w:rPr>
          <w:sz w:val="24"/>
          <w:szCs w:val="24"/>
        </w:rPr>
        <w:t>&amp;</w:t>
      </w:r>
      <w:r w:rsidR="004E1C65" w:rsidRPr="004F4952">
        <w:rPr>
          <w:sz w:val="24"/>
          <w:szCs w:val="24"/>
        </w:rPr>
        <w:t xml:space="preserve"> </w:t>
      </w:r>
      <w:r w:rsidRPr="004F4952">
        <w:rPr>
          <w:sz w:val="24"/>
          <w:szCs w:val="24"/>
        </w:rPr>
        <w:t>Rada, 198</w:t>
      </w:r>
      <w:r>
        <w:rPr>
          <w:sz w:val="24"/>
          <w:szCs w:val="24"/>
        </w:rPr>
        <w:t xml:space="preserve">9) </w:t>
      </w:r>
      <w:r w:rsidRPr="004F4952">
        <w:rPr>
          <w:sz w:val="24"/>
          <w:szCs w:val="24"/>
        </w:rPr>
        <w:t>or service infusion</w:t>
      </w:r>
      <w:r w:rsidR="00680B75">
        <w:rPr>
          <w:sz w:val="24"/>
          <w:szCs w:val="24"/>
        </w:rPr>
        <w:t xml:space="preserve"> (</w:t>
      </w:r>
      <w:r>
        <w:rPr>
          <w:sz w:val="24"/>
          <w:szCs w:val="24"/>
        </w:rPr>
        <w:t>Brax</w:t>
      </w:r>
      <w:r w:rsidR="00680B75">
        <w:rPr>
          <w:sz w:val="24"/>
          <w:szCs w:val="24"/>
        </w:rPr>
        <w:t>,</w:t>
      </w:r>
      <w:r>
        <w:rPr>
          <w:sz w:val="24"/>
          <w:szCs w:val="24"/>
        </w:rPr>
        <w:t xml:space="preserve"> 2005</w:t>
      </w:r>
      <w:r w:rsidRPr="004F4952">
        <w:rPr>
          <w:sz w:val="24"/>
          <w:szCs w:val="24"/>
        </w:rPr>
        <w:t>)</w:t>
      </w:r>
      <w:r>
        <w:rPr>
          <w:sz w:val="24"/>
          <w:szCs w:val="24"/>
        </w:rPr>
        <w:t>,</w:t>
      </w:r>
      <w:r w:rsidRPr="00841E2B">
        <w:rPr>
          <w:sz w:val="24"/>
          <w:szCs w:val="24"/>
        </w:rPr>
        <w:t xml:space="preserve"> </w:t>
      </w:r>
      <w:r>
        <w:rPr>
          <w:sz w:val="24"/>
          <w:szCs w:val="24"/>
        </w:rPr>
        <w:t xml:space="preserve">and involves servitizing manufacturers supplementing </w:t>
      </w:r>
      <w:r w:rsidR="00AA0CCA">
        <w:rPr>
          <w:sz w:val="24"/>
          <w:szCs w:val="24"/>
        </w:rPr>
        <w:t xml:space="preserve">products </w:t>
      </w:r>
      <w:r>
        <w:rPr>
          <w:sz w:val="24"/>
          <w:szCs w:val="24"/>
        </w:rPr>
        <w:t xml:space="preserve">with services (Oliva </w:t>
      </w:r>
      <w:r w:rsidR="004E1C65">
        <w:rPr>
          <w:sz w:val="24"/>
          <w:szCs w:val="24"/>
        </w:rPr>
        <w:t xml:space="preserve">&amp; </w:t>
      </w:r>
      <w:r>
        <w:rPr>
          <w:sz w:val="24"/>
          <w:szCs w:val="24"/>
        </w:rPr>
        <w:t>Kallenberg, 2003). Extant</w:t>
      </w:r>
      <w:r w:rsidRPr="00841E2B">
        <w:rPr>
          <w:sz w:val="24"/>
          <w:szCs w:val="24"/>
        </w:rPr>
        <w:t xml:space="preserve"> literature </w:t>
      </w:r>
      <w:r>
        <w:rPr>
          <w:sz w:val="24"/>
          <w:szCs w:val="24"/>
        </w:rPr>
        <w:t>(e.g.</w:t>
      </w:r>
      <w:r w:rsidR="007552E6">
        <w:rPr>
          <w:sz w:val="24"/>
          <w:szCs w:val="24"/>
        </w:rPr>
        <w:t>,</w:t>
      </w:r>
      <w:r>
        <w:rPr>
          <w:sz w:val="24"/>
          <w:szCs w:val="24"/>
        </w:rPr>
        <w:t xml:space="preserve"> Mathieu, 2001</w:t>
      </w:r>
      <w:r w:rsidR="007E4059">
        <w:rPr>
          <w:sz w:val="24"/>
          <w:szCs w:val="24"/>
        </w:rPr>
        <w:t>a</w:t>
      </w:r>
      <w:r>
        <w:rPr>
          <w:sz w:val="24"/>
          <w:szCs w:val="24"/>
        </w:rPr>
        <w:t xml:space="preserve">) </w:t>
      </w:r>
      <w:r w:rsidRPr="00841E2B">
        <w:rPr>
          <w:sz w:val="24"/>
          <w:szCs w:val="24"/>
        </w:rPr>
        <w:t xml:space="preserve">generally describes </w:t>
      </w:r>
      <w:r>
        <w:rPr>
          <w:sz w:val="24"/>
          <w:szCs w:val="24"/>
        </w:rPr>
        <w:t>servitization</w:t>
      </w:r>
      <w:r w:rsidRPr="00841E2B">
        <w:rPr>
          <w:sz w:val="24"/>
          <w:szCs w:val="24"/>
        </w:rPr>
        <w:t xml:space="preserve"> as an organi</w:t>
      </w:r>
      <w:r>
        <w:rPr>
          <w:sz w:val="24"/>
          <w:szCs w:val="24"/>
        </w:rPr>
        <w:t>s</w:t>
      </w:r>
      <w:r w:rsidRPr="00841E2B">
        <w:rPr>
          <w:sz w:val="24"/>
          <w:szCs w:val="24"/>
        </w:rPr>
        <w:t xml:space="preserve">ational </w:t>
      </w:r>
      <w:r>
        <w:rPr>
          <w:sz w:val="24"/>
          <w:szCs w:val="24"/>
        </w:rPr>
        <w:t>transformation</w:t>
      </w:r>
      <w:r w:rsidRPr="00841E2B">
        <w:rPr>
          <w:sz w:val="24"/>
          <w:szCs w:val="24"/>
        </w:rPr>
        <w:t xml:space="preserve"> process from a manufacturer largely focused on products and </w:t>
      </w:r>
      <w:r>
        <w:rPr>
          <w:sz w:val="24"/>
          <w:szCs w:val="24"/>
        </w:rPr>
        <w:t>S</w:t>
      </w:r>
      <w:r w:rsidRPr="00841E2B">
        <w:rPr>
          <w:sz w:val="24"/>
          <w:szCs w:val="24"/>
        </w:rPr>
        <w:t xml:space="preserve">ervices </w:t>
      </w:r>
      <w:r>
        <w:rPr>
          <w:sz w:val="24"/>
          <w:szCs w:val="24"/>
        </w:rPr>
        <w:t>S</w:t>
      </w:r>
      <w:r w:rsidRPr="00841E2B">
        <w:rPr>
          <w:sz w:val="24"/>
          <w:szCs w:val="24"/>
        </w:rPr>
        <w:t xml:space="preserve">upporting </w:t>
      </w:r>
      <w:r>
        <w:rPr>
          <w:sz w:val="24"/>
          <w:szCs w:val="24"/>
        </w:rPr>
        <w:t>P</w:t>
      </w:r>
      <w:r w:rsidRPr="00841E2B">
        <w:rPr>
          <w:sz w:val="24"/>
          <w:szCs w:val="24"/>
        </w:rPr>
        <w:t>roduct</w:t>
      </w:r>
      <w:r>
        <w:rPr>
          <w:sz w:val="24"/>
          <w:szCs w:val="24"/>
        </w:rPr>
        <w:t>s</w:t>
      </w:r>
      <w:r w:rsidRPr="00841E2B">
        <w:rPr>
          <w:sz w:val="24"/>
          <w:szCs w:val="24"/>
        </w:rPr>
        <w:t xml:space="preserve"> (SSPs) to a provider of </w:t>
      </w:r>
      <w:r>
        <w:rPr>
          <w:sz w:val="24"/>
          <w:szCs w:val="24"/>
        </w:rPr>
        <w:t>S</w:t>
      </w:r>
      <w:r w:rsidRPr="00841E2B">
        <w:rPr>
          <w:sz w:val="24"/>
          <w:szCs w:val="24"/>
        </w:rPr>
        <w:t xml:space="preserve">ervices </w:t>
      </w:r>
      <w:r>
        <w:rPr>
          <w:sz w:val="24"/>
          <w:szCs w:val="24"/>
        </w:rPr>
        <w:t>S</w:t>
      </w:r>
      <w:r w:rsidRPr="00841E2B">
        <w:rPr>
          <w:sz w:val="24"/>
          <w:szCs w:val="24"/>
        </w:rPr>
        <w:t xml:space="preserve">upporting the </w:t>
      </w:r>
      <w:r>
        <w:rPr>
          <w:sz w:val="24"/>
          <w:szCs w:val="24"/>
        </w:rPr>
        <w:t>C</w:t>
      </w:r>
      <w:r w:rsidRPr="00841E2B">
        <w:rPr>
          <w:sz w:val="24"/>
          <w:szCs w:val="24"/>
        </w:rPr>
        <w:t>lients’ actions (SSCs)</w:t>
      </w:r>
      <w:r w:rsidR="00EF1A91">
        <w:rPr>
          <w:sz w:val="24"/>
          <w:szCs w:val="24"/>
        </w:rPr>
        <w:t>,</w:t>
      </w:r>
      <w:r w:rsidR="00C76D2A">
        <w:rPr>
          <w:sz w:val="24"/>
          <w:szCs w:val="24"/>
        </w:rPr>
        <w:t xml:space="preserve"> similar to the concept of ‘advanced services’ </w:t>
      </w:r>
      <w:r w:rsidR="00680B75">
        <w:rPr>
          <w:sz w:val="24"/>
          <w:szCs w:val="24"/>
        </w:rPr>
        <w:t>(</w:t>
      </w:r>
      <w:r w:rsidR="00C76D2A">
        <w:rPr>
          <w:sz w:val="24"/>
          <w:szCs w:val="24"/>
        </w:rPr>
        <w:t xml:space="preserve">Baines </w:t>
      </w:r>
      <w:r w:rsidR="004E1C65">
        <w:rPr>
          <w:sz w:val="24"/>
          <w:szCs w:val="24"/>
        </w:rPr>
        <w:t xml:space="preserve">&amp; </w:t>
      </w:r>
      <w:r w:rsidR="00C76D2A">
        <w:rPr>
          <w:sz w:val="24"/>
          <w:szCs w:val="24"/>
        </w:rPr>
        <w:t>Lightfoot</w:t>
      </w:r>
      <w:r w:rsidR="00680B75">
        <w:rPr>
          <w:sz w:val="24"/>
          <w:szCs w:val="24"/>
        </w:rPr>
        <w:t>,</w:t>
      </w:r>
      <w:r w:rsidR="00C76D2A">
        <w:rPr>
          <w:sz w:val="24"/>
          <w:szCs w:val="24"/>
        </w:rPr>
        <w:t xml:space="preserve"> 2014)</w:t>
      </w:r>
      <w:r>
        <w:rPr>
          <w:sz w:val="24"/>
          <w:szCs w:val="24"/>
        </w:rPr>
        <w:t>.</w:t>
      </w:r>
    </w:p>
    <w:p w14:paraId="601D98F8" w14:textId="77777777" w:rsidR="0021461E" w:rsidRDefault="0021461E" w:rsidP="0021461E">
      <w:pPr>
        <w:spacing w:after="0" w:line="480" w:lineRule="auto"/>
        <w:jc w:val="both"/>
        <w:rPr>
          <w:sz w:val="24"/>
          <w:szCs w:val="24"/>
        </w:rPr>
      </w:pPr>
    </w:p>
    <w:p w14:paraId="1632642E" w14:textId="2FDACDCF" w:rsidR="0098094D" w:rsidRDefault="005D1F05" w:rsidP="00FC776B">
      <w:pPr>
        <w:spacing w:after="0" w:line="480" w:lineRule="auto"/>
        <w:jc w:val="both"/>
        <w:rPr>
          <w:sz w:val="24"/>
          <w:szCs w:val="24"/>
        </w:rPr>
      </w:pPr>
      <w:r>
        <w:rPr>
          <w:sz w:val="24"/>
          <w:szCs w:val="24"/>
        </w:rPr>
        <w:t xml:space="preserve">Despite perceived benefits of servitization, </w:t>
      </w:r>
      <w:r w:rsidR="0021461E">
        <w:rPr>
          <w:sz w:val="24"/>
          <w:szCs w:val="24"/>
        </w:rPr>
        <w:t xml:space="preserve">evidence relating to </w:t>
      </w:r>
      <w:r w:rsidR="007E48A9">
        <w:rPr>
          <w:sz w:val="24"/>
          <w:szCs w:val="24"/>
        </w:rPr>
        <w:t xml:space="preserve">successful </w:t>
      </w:r>
      <w:r w:rsidR="0021461E">
        <w:rPr>
          <w:sz w:val="24"/>
          <w:szCs w:val="24"/>
        </w:rPr>
        <w:t xml:space="preserve">performance outcomes </w:t>
      </w:r>
      <w:r w:rsidR="0021461E" w:rsidRPr="001C6BD1">
        <w:rPr>
          <w:sz w:val="24"/>
          <w:szCs w:val="24"/>
        </w:rPr>
        <w:t>is by no means clear (</w:t>
      </w:r>
      <w:r w:rsidR="00D851FD" w:rsidRPr="00FD5F60">
        <w:rPr>
          <w:rFonts w:cs="Times New Roman"/>
          <w:sz w:val="24"/>
          <w:szCs w:val="24"/>
        </w:rPr>
        <w:t xml:space="preserve">Baveja, </w:t>
      </w:r>
      <w:r w:rsidR="00E832BA">
        <w:rPr>
          <w:rFonts w:cs="Times New Roman"/>
          <w:sz w:val="24"/>
          <w:szCs w:val="24"/>
        </w:rPr>
        <w:t>Gilbert</w:t>
      </w:r>
      <w:r w:rsidR="00D851FD" w:rsidRPr="00FD5F60">
        <w:rPr>
          <w:rFonts w:cs="Times New Roman"/>
          <w:sz w:val="24"/>
          <w:szCs w:val="24"/>
        </w:rPr>
        <w:t xml:space="preserve"> </w:t>
      </w:r>
      <w:r w:rsidR="00D851FD">
        <w:rPr>
          <w:rFonts w:cs="Times New Roman"/>
          <w:sz w:val="24"/>
          <w:szCs w:val="24"/>
        </w:rPr>
        <w:t>&amp;</w:t>
      </w:r>
      <w:r w:rsidR="00D851FD" w:rsidRPr="00FD5F60">
        <w:rPr>
          <w:rFonts w:cs="Times New Roman"/>
          <w:sz w:val="24"/>
          <w:szCs w:val="24"/>
        </w:rPr>
        <w:t xml:space="preserve"> Ledingham</w:t>
      </w:r>
      <w:r w:rsidR="00D851FD">
        <w:rPr>
          <w:rFonts w:cs="Times New Roman"/>
          <w:sz w:val="24"/>
          <w:szCs w:val="24"/>
        </w:rPr>
        <w:t xml:space="preserve">, </w:t>
      </w:r>
      <w:r w:rsidR="0021461E" w:rsidRPr="001C6BD1">
        <w:rPr>
          <w:sz w:val="24"/>
          <w:szCs w:val="24"/>
        </w:rPr>
        <w:t xml:space="preserve">2004; </w:t>
      </w:r>
      <w:r w:rsidR="00D851FD" w:rsidRPr="00FE6984">
        <w:rPr>
          <w:iCs/>
          <w:sz w:val="24"/>
          <w:szCs w:val="24"/>
        </w:rPr>
        <w:t>Suarez, Cusumano &amp; Kahl,</w:t>
      </w:r>
      <w:r w:rsidR="00D851FD" w:rsidRPr="001C6BD1" w:rsidDel="00D851FD">
        <w:rPr>
          <w:sz w:val="24"/>
          <w:szCs w:val="24"/>
        </w:rPr>
        <w:t xml:space="preserve"> </w:t>
      </w:r>
      <w:r w:rsidR="0021461E" w:rsidRPr="001C6BD1">
        <w:rPr>
          <w:sz w:val="24"/>
          <w:szCs w:val="24"/>
        </w:rPr>
        <w:t xml:space="preserve">2013), </w:t>
      </w:r>
      <w:r w:rsidR="00AA0CCA">
        <w:rPr>
          <w:sz w:val="24"/>
          <w:szCs w:val="24"/>
        </w:rPr>
        <w:t>often</w:t>
      </w:r>
      <w:r w:rsidR="0021461E" w:rsidRPr="001C6BD1">
        <w:rPr>
          <w:sz w:val="24"/>
          <w:szCs w:val="24"/>
        </w:rPr>
        <w:t xml:space="preserve"> due to the various challenges </w:t>
      </w:r>
      <w:r>
        <w:rPr>
          <w:sz w:val="24"/>
          <w:szCs w:val="24"/>
        </w:rPr>
        <w:t xml:space="preserve">manufacturers </w:t>
      </w:r>
      <w:r w:rsidR="0021461E" w:rsidRPr="001C6BD1">
        <w:rPr>
          <w:sz w:val="24"/>
          <w:szCs w:val="24"/>
        </w:rPr>
        <w:t>face.</w:t>
      </w:r>
      <w:r w:rsidR="0021461E">
        <w:rPr>
          <w:sz w:val="24"/>
          <w:szCs w:val="24"/>
        </w:rPr>
        <w:t xml:space="preserve"> </w:t>
      </w:r>
      <w:r w:rsidR="00DB243C">
        <w:rPr>
          <w:sz w:val="24"/>
          <w:szCs w:val="24"/>
        </w:rPr>
        <w:t xml:space="preserve">One </w:t>
      </w:r>
      <w:r w:rsidR="00435122">
        <w:rPr>
          <w:sz w:val="24"/>
          <w:szCs w:val="24"/>
        </w:rPr>
        <w:t>notable</w:t>
      </w:r>
      <w:r w:rsidR="0021461E" w:rsidRPr="001C6BD1">
        <w:rPr>
          <w:sz w:val="24"/>
          <w:szCs w:val="24"/>
        </w:rPr>
        <w:t xml:space="preserve"> </w:t>
      </w:r>
      <w:r w:rsidR="00DB243C">
        <w:rPr>
          <w:sz w:val="24"/>
          <w:szCs w:val="24"/>
        </w:rPr>
        <w:t xml:space="preserve">challenge is </w:t>
      </w:r>
      <w:r w:rsidR="00EA0353">
        <w:rPr>
          <w:sz w:val="24"/>
          <w:szCs w:val="24"/>
        </w:rPr>
        <w:t>developing</w:t>
      </w:r>
      <w:r w:rsidR="0021461E" w:rsidRPr="001C6BD1">
        <w:rPr>
          <w:sz w:val="24"/>
          <w:szCs w:val="24"/>
        </w:rPr>
        <w:t xml:space="preserve"> </w:t>
      </w:r>
      <w:r w:rsidR="00FC776B">
        <w:rPr>
          <w:sz w:val="24"/>
          <w:szCs w:val="24"/>
        </w:rPr>
        <w:t xml:space="preserve">new </w:t>
      </w:r>
      <w:r w:rsidR="0021461E" w:rsidRPr="001C6BD1">
        <w:rPr>
          <w:sz w:val="24"/>
          <w:szCs w:val="24"/>
        </w:rPr>
        <w:t>services</w:t>
      </w:r>
      <w:r w:rsidR="00665693">
        <w:rPr>
          <w:sz w:val="24"/>
          <w:szCs w:val="24"/>
        </w:rPr>
        <w:t>,</w:t>
      </w:r>
      <w:r w:rsidR="0021461E" w:rsidRPr="001C6BD1">
        <w:rPr>
          <w:sz w:val="24"/>
          <w:szCs w:val="24"/>
        </w:rPr>
        <w:t xml:space="preserve"> </w:t>
      </w:r>
      <w:r w:rsidR="007E48A9">
        <w:rPr>
          <w:sz w:val="24"/>
          <w:szCs w:val="24"/>
        </w:rPr>
        <w:t xml:space="preserve">which </w:t>
      </w:r>
      <w:r w:rsidR="00DB243C">
        <w:rPr>
          <w:sz w:val="24"/>
          <w:szCs w:val="24"/>
        </w:rPr>
        <w:t xml:space="preserve">is </w:t>
      </w:r>
      <w:r w:rsidR="007E48A9">
        <w:rPr>
          <w:sz w:val="24"/>
          <w:szCs w:val="24"/>
        </w:rPr>
        <w:t xml:space="preserve">critical </w:t>
      </w:r>
      <w:r w:rsidR="00435122">
        <w:rPr>
          <w:sz w:val="24"/>
          <w:szCs w:val="24"/>
        </w:rPr>
        <w:t>for</w:t>
      </w:r>
      <w:r w:rsidR="007E48A9">
        <w:rPr>
          <w:sz w:val="24"/>
          <w:szCs w:val="24"/>
        </w:rPr>
        <w:t xml:space="preserve"> building competitive advantage (</w:t>
      </w:r>
      <w:r w:rsidR="00E832BA" w:rsidRPr="00FD5F60">
        <w:rPr>
          <w:sz w:val="24"/>
          <w:szCs w:val="24"/>
        </w:rPr>
        <w:t xml:space="preserve">Ostrom, Bitner, Brown, Burkhard, Goul, Smith-Daniels, Demirkan </w:t>
      </w:r>
      <w:r w:rsidR="00E832BA">
        <w:rPr>
          <w:sz w:val="24"/>
          <w:szCs w:val="24"/>
        </w:rPr>
        <w:t>&amp;</w:t>
      </w:r>
      <w:r w:rsidR="00E832BA" w:rsidRPr="00FD5F60">
        <w:rPr>
          <w:sz w:val="24"/>
          <w:szCs w:val="24"/>
        </w:rPr>
        <w:t xml:space="preserve"> Rabinovich</w:t>
      </w:r>
      <w:r w:rsidR="00E832BA">
        <w:rPr>
          <w:sz w:val="24"/>
          <w:szCs w:val="24"/>
        </w:rPr>
        <w:t xml:space="preserve">, </w:t>
      </w:r>
      <w:r w:rsidR="007E48A9">
        <w:rPr>
          <w:sz w:val="24"/>
          <w:szCs w:val="24"/>
        </w:rPr>
        <w:t xml:space="preserve">2010). </w:t>
      </w:r>
      <w:r w:rsidR="00297C7C">
        <w:rPr>
          <w:sz w:val="24"/>
          <w:szCs w:val="24"/>
        </w:rPr>
        <w:t>A manufacturer’s n</w:t>
      </w:r>
      <w:r w:rsidR="00AC7AB0">
        <w:rPr>
          <w:sz w:val="24"/>
          <w:szCs w:val="24"/>
        </w:rPr>
        <w:t xml:space="preserve">ew service offerings tend to align to </w:t>
      </w:r>
      <w:r w:rsidR="00297C7C">
        <w:rPr>
          <w:sz w:val="24"/>
          <w:szCs w:val="24"/>
        </w:rPr>
        <w:t xml:space="preserve">its </w:t>
      </w:r>
      <w:r w:rsidR="00AC7AB0">
        <w:rPr>
          <w:sz w:val="24"/>
          <w:szCs w:val="24"/>
        </w:rPr>
        <w:t>service strategy (</w:t>
      </w:r>
      <w:r w:rsidR="00E832BA" w:rsidRPr="00FD5F60">
        <w:rPr>
          <w:sz w:val="24"/>
          <w:szCs w:val="24"/>
        </w:rPr>
        <w:t xml:space="preserve">Gremyr, </w:t>
      </w:r>
      <w:r w:rsidR="00E832BA" w:rsidRPr="00FD5F60">
        <w:rPr>
          <w:iCs/>
          <w:sz w:val="24"/>
          <w:szCs w:val="24"/>
        </w:rPr>
        <w:t>Witell</w:t>
      </w:r>
      <w:r w:rsidR="00E832BA" w:rsidRPr="00FD5F60">
        <w:rPr>
          <w:sz w:val="24"/>
          <w:szCs w:val="24"/>
        </w:rPr>
        <w:t xml:space="preserve">, Löfberg, </w:t>
      </w:r>
      <w:r w:rsidR="00E832BA">
        <w:rPr>
          <w:sz w:val="24"/>
          <w:szCs w:val="24"/>
        </w:rPr>
        <w:t>Edvardsson</w:t>
      </w:r>
      <w:r w:rsidR="00E832BA" w:rsidRPr="00FD5F60">
        <w:rPr>
          <w:sz w:val="24"/>
          <w:szCs w:val="24"/>
        </w:rPr>
        <w:t xml:space="preserve"> </w:t>
      </w:r>
      <w:r w:rsidR="00E832BA">
        <w:rPr>
          <w:sz w:val="24"/>
          <w:szCs w:val="24"/>
        </w:rPr>
        <w:t>&amp;</w:t>
      </w:r>
      <w:r w:rsidR="00E832BA" w:rsidRPr="00FD5F60">
        <w:rPr>
          <w:sz w:val="24"/>
          <w:szCs w:val="24"/>
        </w:rPr>
        <w:t xml:space="preserve"> Fundin, </w:t>
      </w:r>
      <w:r w:rsidR="00AC7AB0">
        <w:rPr>
          <w:sz w:val="24"/>
          <w:szCs w:val="24"/>
        </w:rPr>
        <w:t xml:space="preserve">2014; Lightfoot </w:t>
      </w:r>
      <w:r w:rsidR="00F00B0C">
        <w:rPr>
          <w:sz w:val="24"/>
          <w:szCs w:val="24"/>
        </w:rPr>
        <w:t>&amp;</w:t>
      </w:r>
      <w:r w:rsidR="00AC7AB0">
        <w:rPr>
          <w:sz w:val="24"/>
          <w:szCs w:val="24"/>
        </w:rPr>
        <w:t xml:space="preserve"> Gebauer, 2011</w:t>
      </w:r>
      <w:r w:rsidR="00AC7AB0" w:rsidRPr="004F4952">
        <w:rPr>
          <w:sz w:val="24"/>
          <w:szCs w:val="24"/>
        </w:rPr>
        <w:t>)</w:t>
      </w:r>
      <w:r w:rsidR="00297C7C">
        <w:rPr>
          <w:sz w:val="24"/>
          <w:szCs w:val="24"/>
        </w:rPr>
        <w:t xml:space="preserve">. However, </w:t>
      </w:r>
      <w:r w:rsidR="00060703">
        <w:rPr>
          <w:sz w:val="24"/>
          <w:szCs w:val="24"/>
        </w:rPr>
        <w:t xml:space="preserve">recent recognition </w:t>
      </w:r>
      <w:r w:rsidR="00297C7C">
        <w:rPr>
          <w:sz w:val="24"/>
          <w:szCs w:val="24"/>
        </w:rPr>
        <w:t>that manufacturers follow different trajectories and</w:t>
      </w:r>
      <w:r w:rsidR="00285E87">
        <w:rPr>
          <w:sz w:val="24"/>
          <w:szCs w:val="24"/>
        </w:rPr>
        <w:t>,</w:t>
      </w:r>
      <w:r w:rsidR="00297C7C">
        <w:rPr>
          <w:sz w:val="24"/>
          <w:szCs w:val="24"/>
        </w:rPr>
        <w:t xml:space="preserve"> therefore</w:t>
      </w:r>
      <w:r w:rsidR="00285E87">
        <w:rPr>
          <w:sz w:val="24"/>
          <w:szCs w:val="24"/>
        </w:rPr>
        <w:t>,</w:t>
      </w:r>
      <w:r w:rsidR="00297C7C">
        <w:rPr>
          <w:sz w:val="24"/>
          <w:szCs w:val="24"/>
        </w:rPr>
        <w:t xml:space="preserve"> have different strategies (</w:t>
      </w:r>
      <w:r w:rsidR="00E832BA" w:rsidRPr="00FD5F60">
        <w:rPr>
          <w:sz w:val="24"/>
          <w:szCs w:val="24"/>
          <w:lang w:val="de-DE"/>
        </w:rPr>
        <w:t xml:space="preserve">Kowalkowski, Windahl, Kindström </w:t>
      </w:r>
      <w:r w:rsidR="00E832BA">
        <w:rPr>
          <w:sz w:val="24"/>
          <w:szCs w:val="24"/>
          <w:lang w:val="de-DE"/>
        </w:rPr>
        <w:t>&amp;</w:t>
      </w:r>
      <w:r w:rsidR="00E832BA" w:rsidRPr="00FD5F60">
        <w:rPr>
          <w:sz w:val="24"/>
          <w:szCs w:val="24"/>
          <w:lang w:val="de-DE"/>
        </w:rPr>
        <w:t xml:space="preserve"> Gebauer</w:t>
      </w:r>
      <w:r w:rsidR="00E832BA">
        <w:rPr>
          <w:sz w:val="24"/>
          <w:szCs w:val="24"/>
          <w:lang w:val="de-DE"/>
        </w:rPr>
        <w:t>,</w:t>
      </w:r>
      <w:r w:rsidR="00E832BA" w:rsidRPr="00DE3507">
        <w:rPr>
          <w:sz w:val="24"/>
          <w:szCs w:val="24"/>
        </w:rPr>
        <w:t xml:space="preserve"> </w:t>
      </w:r>
      <w:r w:rsidR="00297C7C" w:rsidRPr="00DE3507">
        <w:rPr>
          <w:sz w:val="24"/>
          <w:szCs w:val="24"/>
        </w:rPr>
        <w:t xml:space="preserve">2015; </w:t>
      </w:r>
      <w:r w:rsidR="00E832BA" w:rsidRPr="00FD5F60">
        <w:rPr>
          <w:sz w:val="24"/>
          <w:szCs w:val="24"/>
        </w:rPr>
        <w:t xml:space="preserve">Peillon, Pellegrin </w:t>
      </w:r>
      <w:r w:rsidR="00E832BA">
        <w:rPr>
          <w:sz w:val="24"/>
          <w:szCs w:val="24"/>
        </w:rPr>
        <w:t>&amp;</w:t>
      </w:r>
      <w:r w:rsidR="00E832BA" w:rsidRPr="00FD5F60">
        <w:rPr>
          <w:sz w:val="24"/>
          <w:szCs w:val="24"/>
        </w:rPr>
        <w:t xml:space="preserve"> Burlat</w:t>
      </w:r>
      <w:r w:rsidR="00297C7C" w:rsidRPr="00DE3507">
        <w:rPr>
          <w:sz w:val="24"/>
          <w:szCs w:val="24"/>
        </w:rPr>
        <w:t>, 2015</w:t>
      </w:r>
      <w:r w:rsidR="00297C7C">
        <w:rPr>
          <w:sz w:val="24"/>
          <w:szCs w:val="24"/>
        </w:rPr>
        <w:t xml:space="preserve">), </w:t>
      </w:r>
      <w:r w:rsidR="004B2245">
        <w:rPr>
          <w:sz w:val="24"/>
          <w:szCs w:val="24"/>
        </w:rPr>
        <w:t>suggest</w:t>
      </w:r>
      <w:r w:rsidR="00793213">
        <w:rPr>
          <w:sz w:val="24"/>
          <w:szCs w:val="24"/>
        </w:rPr>
        <w:t>s</w:t>
      </w:r>
      <w:r w:rsidR="004B2245">
        <w:rPr>
          <w:sz w:val="24"/>
          <w:szCs w:val="24"/>
        </w:rPr>
        <w:t xml:space="preserve"> </w:t>
      </w:r>
      <w:r w:rsidR="00297C7C">
        <w:rPr>
          <w:sz w:val="24"/>
          <w:szCs w:val="24"/>
        </w:rPr>
        <w:t>that</w:t>
      </w:r>
      <w:r w:rsidR="00E82AC3">
        <w:rPr>
          <w:sz w:val="24"/>
          <w:szCs w:val="24"/>
        </w:rPr>
        <w:t xml:space="preserve"> </w:t>
      </w:r>
      <w:r w:rsidR="00E82AC3">
        <w:t>how they overcome</w:t>
      </w:r>
      <w:r w:rsidR="00297C7C">
        <w:rPr>
          <w:sz w:val="24"/>
          <w:szCs w:val="24"/>
        </w:rPr>
        <w:t xml:space="preserve"> the </w:t>
      </w:r>
      <w:r w:rsidR="00804048">
        <w:rPr>
          <w:sz w:val="24"/>
          <w:szCs w:val="24"/>
        </w:rPr>
        <w:t xml:space="preserve">specific </w:t>
      </w:r>
      <w:r w:rsidR="00C10F5D">
        <w:rPr>
          <w:sz w:val="24"/>
          <w:szCs w:val="24"/>
        </w:rPr>
        <w:t xml:space="preserve">challenges </w:t>
      </w:r>
      <w:r w:rsidR="00804048">
        <w:rPr>
          <w:sz w:val="24"/>
          <w:szCs w:val="24"/>
        </w:rPr>
        <w:t>t</w:t>
      </w:r>
      <w:r w:rsidR="00B206D4">
        <w:rPr>
          <w:sz w:val="24"/>
          <w:szCs w:val="24"/>
        </w:rPr>
        <w:t>hey might experience related to</w:t>
      </w:r>
      <w:r w:rsidR="00804048">
        <w:rPr>
          <w:sz w:val="24"/>
          <w:szCs w:val="24"/>
        </w:rPr>
        <w:t xml:space="preserve"> </w:t>
      </w:r>
      <w:r w:rsidR="00F749B7">
        <w:rPr>
          <w:sz w:val="24"/>
          <w:szCs w:val="24"/>
        </w:rPr>
        <w:t>new service development</w:t>
      </w:r>
      <w:r w:rsidR="00F72FAA">
        <w:rPr>
          <w:sz w:val="24"/>
          <w:szCs w:val="24"/>
        </w:rPr>
        <w:t xml:space="preserve"> </w:t>
      </w:r>
      <w:r w:rsidR="00F749B7">
        <w:rPr>
          <w:sz w:val="24"/>
          <w:szCs w:val="24"/>
        </w:rPr>
        <w:t>(</w:t>
      </w:r>
      <w:r w:rsidR="00150D17">
        <w:rPr>
          <w:sz w:val="24"/>
          <w:szCs w:val="24"/>
        </w:rPr>
        <w:t>NSD</w:t>
      </w:r>
      <w:r w:rsidR="00F749B7">
        <w:rPr>
          <w:sz w:val="24"/>
          <w:szCs w:val="24"/>
        </w:rPr>
        <w:t>)</w:t>
      </w:r>
      <w:r w:rsidR="00150D17">
        <w:rPr>
          <w:sz w:val="24"/>
          <w:szCs w:val="24"/>
        </w:rPr>
        <w:t xml:space="preserve"> </w:t>
      </w:r>
      <w:r w:rsidR="004B2245">
        <w:rPr>
          <w:sz w:val="24"/>
          <w:szCs w:val="24"/>
        </w:rPr>
        <w:t xml:space="preserve">may </w:t>
      </w:r>
      <w:r w:rsidR="00297C7C">
        <w:rPr>
          <w:sz w:val="24"/>
          <w:szCs w:val="24"/>
        </w:rPr>
        <w:t xml:space="preserve">also differ. </w:t>
      </w:r>
    </w:p>
    <w:p w14:paraId="19D5C034" w14:textId="77777777" w:rsidR="0098094D" w:rsidRDefault="0098094D" w:rsidP="00FC776B">
      <w:pPr>
        <w:spacing w:after="0" w:line="480" w:lineRule="auto"/>
        <w:jc w:val="both"/>
        <w:rPr>
          <w:sz w:val="24"/>
          <w:szCs w:val="24"/>
        </w:rPr>
      </w:pPr>
    </w:p>
    <w:p w14:paraId="0FB3CC3E" w14:textId="5CBAC43E" w:rsidR="00E25E9F" w:rsidRDefault="00CE0A9D" w:rsidP="00FC776B">
      <w:pPr>
        <w:spacing w:after="0" w:line="480" w:lineRule="auto"/>
        <w:jc w:val="both"/>
        <w:rPr>
          <w:sz w:val="24"/>
          <w:szCs w:val="24"/>
        </w:rPr>
      </w:pPr>
      <w:r>
        <w:rPr>
          <w:sz w:val="24"/>
          <w:szCs w:val="24"/>
        </w:rPr>
        <w:t>K</w:t>
      </w:r>
      <w:r w:rsidR="0098094D">
        <w:rPr>
          <w:sz w:val="24"/>
          <w:szCs w:val="24"/>
        </w:rPr>
        <w:t>nowledge</w:t>
      </w:r>
      <w:r w:rsidR="0098094D" w:rsidRPr="008A1537">
        <w:rPr>
          <w:sz w:val="24"/>
          <w:szCs w:val="24"/>
        </w:rPr>
        <w:t xml:space="preserve"> o</w:t>
      </w:r>
      <w:r w:rsidR="00F749B7">
        <w:rPr>
          <w:sz w:val="24"/>
          <w:szCs w:val="24"/>
        </w:rPr>
        <w:t>f</w:t>
      </w:r>
      <w:r w:rsidR="0098094D" w:rsidRPr="008A1537">
        <w:rPr>
          <w:sz w:val="24"/>
          <w:szCs w:val="24"/>
        </w:rPr>
        <w:t xml:space="preserve"> </w:t>
      </w:r>
      <w:r w:rsidRPr="008A1537">
        <w:rPr>
          <w:sz w:val="24"/>
          <w:szCs w:val="24"/>
        </w:rPr>
        <w:t>manufacturers</w:t>
      </w:r>
      <w:r>
        <w:rPr>
          <w:sz w:val="24"/>
          <w:szCs w:val="24"/>
        </w:rPr>
        <w:t xml:space="preserve">’ </w:t>
      </w:r>
      <w:r w:rsidR="0098094D">
        <w:rPr>
          <w:sz w:val="24"/>
          <w:szCs w:val="24"/>
        </w:rPr>
        <w:t xml:space="preserve">NSD </w:t>
      </w:r>
      <w:r>
        <w:rPr>
          <w:sz w:val="24"/>
          <w:szCs w:val="24"/>
        </w:rPr>
        <w:t xml:space="preserve">activities </w:t>
      </w:r>
      <w:r w:rsidR="0098094D">
        <w:rPr>
          <w:sz w:val="24"/>
          <w:szCs w:val="24"/>
        </w:rPr>
        <w:t xml:space="preserve">is still limited </w:t>
      </w:r>
      <w:r w:rsidR="0098094D" w:rsidRPr="008A1537">
        <w:rPr>
          <w:sz w:val="24"/>
          <w:szCs w:val="24"/>
        </w:rPr>
        <w:t>(</w:t>
      </w:r>
      <w:r w:rsidR="00E832BA" w:rsidRPr="00FD5F60">
        <w:rPr>
          <w:rFonts w:eastAsia="Times New Roman" w:cs="Arial"/>
          <w:sz w:val="24"/>
          <w:szCs w:val="24"/>
          <w:lang w:eastAsia="en-GB"/>
        </w:rPr>
        <w:t xml:space="preserve">Carlborg, Kindström </w:t>
      </w:r>
      <w:r w:rsidR="00E832BA">
        <w:rPr>
          <w:rFonts w:eastAsia="Times New Roman" w:cs="Arial"/>
          <w:sz w:val="24"/>
          <w:szCs w:val="24"/>
          <w:lang w:eastAsia="en-GB"/>
        </w:rPr>
        <w:t>&amp; Kowalkowski</w:t>
      </w:r>
      <w:r w:rsidR="00FF3A9E">
        <w:rPr>
          <w:rFonts w:eastAsia="Times New Roman" w:cs="Arial"/>
          <w:sz w:val="24"/>
          <w:szCs w:val="24"/>
          <w:lang w:eastAsia="en-GB"/>
        </w:rPr>
        <w:t>, 2014</w:t>
      </w:r>
      <w:r w:rsidR="0098094D" w:rsidRPr="008A1537">
        <w:rPr>
          <w:sz w:val="24"/>
          <w:szCs w:val="24"/>
        </w:rPr>
        <w:t xml:space="preserve">; Kindström </w:t>
      </w:r>
      <w:r w:rsidR="004E1C65">
        <w:rPr>
          <w:sz w:val="24"/>
          <w:szCs w:val="24"/>
        </w:rPr>
        <w:t>&amp;</w:t>
      </w:r>
      <w:r w:rsidR="0098094D" w:rsidRPr="008A1537">
        <w:rPr>
          <w:sz w:val="24"/>
          <w:szCs w:val="24"/>
        </w:rPr>
        <w:t xml:space="preserve"> Kowalkowski, 2014). </w:t>
      </w:r>
      <w:r w:rsidR="0098094D">
        <w:rPr>
          <w:sz w:val="24"/>
          <w:szCs w:val="24"/>
        </w:rPr>
        <w:t>R</w:t>
      </w:r>
      <w:r w:rsidR="001404F5">
        <w:rPr>
          <w:sz w:val="24"/>
          <w:szCs w:val="24"/>
        </w:rPr>
        <w:t xml:space="preserve">esearch has explored manufacturers’ </w:t>
      </w:r>
      <w:r w:rsidR="00C10F5D">
        <w:rPr>
          <w:sz w:val="24"/>
          <w:szCs w:val="24"/>
        </w:rPr>
        <w:t xml:space="preserve">generic </w:t>
      </w:r>
      <w:r w:rsidR="001404F5" w:rsidRPr="00712316">
        <w:rPr>
          <w:sz w:val="24"/>
          <w:szCs w:val="24"/>
          <w:lang w:val="en-US"/>
        </w:rPr>
        <w:t>NSD processes</w:t>
      </w:r>
      <w:r w:rsidR="001404F5">
        <w:rPr>
          <w:sz w:val="24"/>
          <w:szCs w:val="24"/>
          <w:lang w:val="en-US"/>
        </w:rPr>
        <w:t xml:space="preserve"> (Ettlie </w:t>
      </w:r>
      <w:r w:rsidR="004E1C65">
        <w:rPr>
          <w:sz w:val="24"/>
          <w:szCs w:val="24"/>
          <w:lang w:val="en-US"/>
        </w:rPr>
        <w:t>&amp;</w:t>
      </w:r>
      <w:r w:rsidR="001404F5">
        <w:rPr>
          <w:sz w:val="24"/>
          <w:szCs w:val="24"/>
          <w:lang w:val="en-US"/>
        </w:rPr>
        <w:t xml:space="preserve"> Rosenthal, 2011; </w:t>
      </w:r>
      <w:r w:rsidR="00E832BA">
        <w:rPr>
          <w:sz w:val="24"/>
          <w:szCs w:val="24"/>
        </w:rPr>
        <w:t xml:space="preserve">Gremyr, </w:t>
      </w:r>
      <w:r w:rsidR="00E832BA" w:rsidRPr="00FD5F60">
        <w:rPr>
          <w:sz w:val="24"/>
          <w:szCs w:val="24"/>
        </w:rPr>
        <w:t xml:space="preserve">Löfberg </w:t>
      </w:r>
      <w:r w:rsidR="00E832BA">
        <w:rPr>
          <w:sz w:val="24"/>
          <w:szCs w:val="24"/>
        </w:rPr>
        <w:t>&amp;</w:t>
      </w:r>
      <w:r w:rsidR="00E832BA" w:rsidRPr="00FD5F60">
        <w:rPr>
          <w:sz w:val="24"/>
          <w:szCs w:val="24"/>
        </w:rPr>
        <w:t xml:space="preserve"> Witell, </w:t>
      </w:r>
      <w:r w:rsidR="001404F5">
        <w:rPr>
          <w:sz w:val="24"/>
          <w:szCs w:val="24"/>
          <w:lang w:val="en-US"/>
        </w:rPr>
        <w:t>2010</w:t>
      </w:r>
      <w:r w:rsidR="0012737A">
        <w:rPr>
          <w:sz w:val="24"/>
          <w:szCs w:val="24"/>
          <w:lang w:val="en-US"/>
        </w:rPr>
        <w:t xml:space="preserve">; </w:t>
      </w:r>
      <w:r w:rsidR="0012737A" w:rsidRPr="00FD5F60">
        <w:rPr>
          <w:sz w:val="24"/>
          <w:szCs w:val="24"/>
        </w:rPr>
        <w:t>Kindström</w:t>
      </w:r>
      <w:r w:rsidR="0012737A">
        <w:rPr>
          <w:sz w:val="24"/>
          <w:szCs w:val="24"/>
          <w:lang w:val="en-US"/>
        </w:rPr>
        <w:t xml:space="preserve"> </w:t>
      </w:r>
      <w:r w:rsidR="004E1C65">
        <w:rPr>
          <w:sz w:val="24"/>
          <w:szCs w:val="24"/>
          <w:lang w:val="en-US"/>
        </w:rPr>
        <w:t>&amp;</w:t>
      </w:r>
      <w:r w:rsidR="0012737A">
        <w:rPr>
          <w:sz w:val="24"/>
          <w:szCs w:val="24"/>
          <w:lang w:val="en-US"/>
        </w:rPr>
        <w:t xml:space="preserve"> Kowalkowski, 2009</w:t>
      </w:r>
      <w:r w:rsidR="001404F5">
        <w:rPr>
          <w:sz w:val="24"/>
          <w:szCs w:val="24"/>
          <w:lang w:val="en-US"/>
        </w:rPr>
        <w:t>)</w:t>
      </w:r>
      <w:r w:rsidR="00CC6741" w:rsidRPr="00CC6741">
        <w:rPr>
          <w:sz w:val="24"/>
          <w:szCs w:val="24"/>
        </w:rPr>
        <w:t xml:space="preserve"> </w:t>
      </w:r>
      <w:r w:rsidR="00CC6741">
        <w:rPr>
          <w:sz w:val="24"/>
          <w:szCs w:val="24"/>
        </w:rPr>
        <w:t>and the interplay between service and product innovation (</w:t>
      </w:r>
      <w:r w:rsidR="00E832BA" w:rsidRPr="00FD5F60">
        <w:rPr>
          <w:rFonts w:eastAsia="Times New Roman" w:cs="Arial"/>
          <w:sz w:val="24"/>
          <w:szCs w:val="24"/>
          <w:lang w:eastAsia="en-GB"/>
        </w:rPr>
        <w:t xml:space="preserve">Eggert, </w:t>
      </w:r>
      <w:r w:rsidR="00E832BA">
        <w:rPr>
          <w:rFonts w:eastAsia="Times New Roman" w:cs="Arial"/>
          <w:sz w:val="24"/>
          <w:szCs w:val="24"/>
          <w:lang w:eastAsia="en-GB"/>
        </w:rPr>
        <w:t>Thiesbrummel</w:t>
      </w:r>
      <w:r w:rsidR="00E832BA" w:rsidRPr="00FD5F60">
        <w:rPr>
          <w:rFonts w:eastAsia="Times New Roman" w:cs="Arial"/>
          <w:sz w:val="24"/>
          <w:szCs w:val="24"/>
          <w:lang w:eastAsia="en-GB"/>
        </w:rPr>
        <w:t xml:space="preserve"> </w:t>
      </w:r>
      <w:r w:rsidR="00E832BA">
        <w:rPr>
          <w:rFonts w:eastAsia="Times New Roman" w:cs="Arial"/>
          <w:sz w:val="24"/>
          <w:szCs w:val="24"/>
          <w:lang w:eastAsia="en-GB"/>
        </w:rPr>
        <w:t>&amp;</w:t>
      </w:r>
      <w:r w:rsidR="00E832BA" w:rsidRPr="00FD5F60">
        <w:rPr>
          <w:rFonts w:eastAsia="Times New Roman" w:cs="Arial"/>
          <w:sz w:val="24"/>
          <w:szCs w:val="24"/>
          <w:lang w:eastAsia="en-GB"/>
        </w:rPr>
        <w:t xml:space="preserve"> Deutscher, </w:t>
      </w:r>
      <w:r w:rsidR="00CC6741">
        <w:rPr>
          <w:sz w:val="24"/>
          <w:szCs w:val="24"/>
        </w:rPr>
        <w:t xml:space="preserve">2015; Gremyr et al., 2014; </w:t>
      </w:r>
      <w:r w:rsidR="00E832BA">
        <w:rPr>
          <w:iCs/>
          <w:sz w:val="24"/>
          <w:szCs w:val="24"/>
          <w:lang w:val="en-US"/>
        </w:rPr>
        <w:t xml:space="preserve">Visnjic, </w:t>
      </w:r>
      <w:r w:rsidR="000604F1">
        <w:rPr>
          <w:iCs/>
          <w:sz w:val="24"/>
          <w:szCs w:val="24"/>
          <w:lang w:val="en-US"/>
        </w:rPr>
        <w:t>Wiengarten</w:t>
      </w:r>
      <w:r w:rsidR="00E832BA" w:rsidRPr="00FD5F60">
        <w:rPr>
          <w:iCs/>
          <w:sz w:val="24"/>
          <w:szCs w:val="24"/>
          <w:lang w:val="en-US"/>
        </w:rPr>
        <w:t xml:space="preserve"> </w:t>
      </w:r>
      <w:r w:rsidR="00E832BA">
        <w:rPr>
          <w:iCs/>
          <w:sz w:val="24"/>
          <w:szCs w:val="24"/>
          <w:lang w:val="en-US"/>
        </w:rPr>
        <w:t xml:space="preserve">&amp; Neely, </w:t>
      </w:r>
      <w:r w:rsidR="00E832BA" w:rsidRPr="00FD5F60">
        <w:rPr>
          <w:iCs/>
          <w:sz w:val="24"/>
          <w:szCs w:val="24"/>
          <w:lang w:val="en-US"/>
        </w:rPr>
        <w:t>2016</w:t>
      </w:r>
      <w:r w:rsidR="00CC6741">
        <w:rPr>
          <w:sz w:val="24"/>
          <w:szCs w:val="24"/>
        </w:rPr>
        <w:t>)</w:t>
      </w:r>
      <w:r w:rsidR="00E7533E">
        <w:rPr>
          <w:sz w:val="24"/>
          <w:szCs w:val="24"/>
          <w:lang w:val="en-US"/>
        </w:rPr>
        <w:t>. However,</w:t>
      </w:r>
      <w:r w:rsidR="001404F5">
        <w:rPr>
          <w:sz w:val="24"/>
          <w:szCs w:val="24"/>
          <w:lang w:val="en-US"/>
        </w:rPr>
        <w:t xml:space="preserve"> </w:t>
      </w:r>
      <w:r w:rsidR="001774C2">
        <w:rPr>
          <w:sz w:val="24"/>
          <w:szCs w:val="24"/>
          <w:lang w:val="en-US"/>
        </w:rPr>
        <w:t xml:space="preserve">little </w:t>
      </w:r>
      <w:r w:rsidR="001404F5">
        <w:rPr>
          <w:sz w:val="24"/>
          <w:szCs w:val="24"/>
          <w:lang w:val="en-US"/>
        </w:rPr>
        <w:t xml:space="preserve">research </w:t>
      </w:r>
      <w:r w:rsidR="00E25E9F">
        <w:rPr>
          <w:sz w:val="24"/>
          <w:szCs w:val="24"/>
          <w:lang w:val="en-US"/>
        </w:rPr>
        <w:t xml:space="preserve">to date </w:t>
      </w:r>
      <w:r w:rsidR="001404F5">
        <w:rPr>
          <w:sz w:val="24"/>
          <w:szCs w:val="24"/>
          <w:lang w:val="en-US"/>
        </w:rPr>
        <w:t xml:space="preserve">has considered </w:t>
      </w:r>
      <w:r w:rsidR="00C10F5D">
        <w:rPr>
          <w:sz w:val="24"/>
          <w:szCs w:val="24"/>
          <w:lang w:val="en-US"/>
        </w:rPr>
        <w:t xml:space="preserve">how </w:t>
      </w:r>
      <w:r w:rsidR="005525D1">
        <w:rPr>
          <w:sz w:val="24"/>
          <w:szCs w:val="24"/>
          <w:lang w:val="en-US"/>
        </w:rPr>
        <w:t>NSD</w:t>
      </w:r>
      <w:r w:rsidR="00B50FCC">
        <w:rPr>
          <w:sz w:val="24"/>
          <w:szCs w:val="24"/>
          <w:lang w:val="en-US"/>
        </w:rPr>
        <w:t xml:space="preserve"> processes </w:t>
      </w:r>
      <w:r w:rsidR="00C10F5D">
        <w:rPr>
          <w:sz w:val="24"/>
          <w:szCs w:val="24"/>
          <w:lang w:val="en-US"/>
        </w:rPr>
        <w:t xml:space="preserve">align to </w:t>
      </w:r>
      <w:r w:rsidR="00DB243C">
        <w:rPr>
          <w:sz w:val="24"/>
          <w:szCs w:val="24"/>
          <w:lang w:val="en-US"/>
        </w:rPr>
        <w:t xml:space="preserve">manufacturers’ </w:t>
      </w:r>
      <w:r w:rsidR="00E5697D">
        <w:rPr>
          <w:sz w:val="24"/>
          <w:szCs w:val="24"/>
          <w:lang w:val="en-US"/>
        </w:rPr>
        <w:t>service</w:t>
      </w:r>
      <w:r w:rsidR="00533010">
        <w:rPr>
          <w:sz w:val="24"/>
          <w:szCs w:val="24"/>
          <w:lang w:val="en-US"/>
        </w:rPr>
        <w:t>s</w:t>
      </w:r>
      <w:r w:rsidR="00E5697D">
        <w:rPr>
          <w:sz w:val="24"/>
          <w:szCs w:val="24"/>
          <w:lang w:val="en-US"/>
        </w:rPr>
        <w:t xml:space="preserve"> </w:t>
      </w:r>
      <w:r w:rsidR="001F519D">
        <w:rPr>
          <w:sz w:val="24"/>
          <w:szCs w:val="24"/>
          <w:lang w:val="en-US"/>
        </w:rPr>
        <w:t>strateg</w:t>
      </w:r>
      <w:r w:rsidR="00E25E9F">
        <w:rPr>
          <w:sz w:val="24"/>
          <w:szCs w:val="24"/>
          <w:lang w:val="en-US"/>
        </w:rPr>
        <w:t>ies</w:t>
      </w:r>
      <w:r w:rsidR="001404F5">
        <w:rPr>
          <w:sz w:val="24"/>
          <w:szCs w:val="24"/>
          <w:lang w:val="en-US"/>
        </w:rPr>
        <w:t xml:space="preserve">. </w:t>
      </w:r>
      <w:r w:rsidR="000B629C">
        <w:rPr>
          <w:sz w:val="24"/>
          <w:szCs w:val="24"/>
          <w:lang w:val="en-US"/>
        </w:rPr>
        <w:t xml:space="preserve">Although Lightfoot </w:t>
      </w:r>
      <w:r w:rsidR="00E832BA">
        <w:rPr>
          <w:sz w:val="24"/>
          <w:szCs w:val="24"/>
          <w:lang w:val="en-US"/>
        </w:rPr>
        <w:t xml:space="preserve">&amp; </w:t>
      </w:r>
      <w:r w:rsidR="000B629C">
        <w:rPr>
          <w:sz w:val="24"/>
          <w:szCs w:val="24"/>
          <w:lang w:val="en-US"/>
        </w:rPr>
        <w:t xml:space="preserve">Gebauer (2011) purport to </w:t>
      </w:r>
      <w:r w:rsidR="001F519D">
        <w:rPr>
          <w:sz w:val="24"/>
          <w:szCs w:val="24"/>
          <w:lang w:val="en-US"/>
        </w:rPr>
        <w:t xml:space="preserve">do this, </w:t>
      </w:r>
      <w:r w:rsidR="004B2245">
        <w:rPr>
          <w:sz w:val="24"/>
          <w:szCs w:val="24"/>
          <w:lang w:val="en-US"/>
        </w:rPr>
        <w:t xml:space="preserve">their </w:t>
      </w:r>
      <w:r w:rsidR="00A92D4E">
        <w:rPr>
          <w:sz w:val="24"/>
          <w:szCs w:val="24"/>
          <w:lang w:val="en-US"/>
        </w:rPr>
        <w:t>work builds on Gebauer</w:t>
      </w:r>
      <w:r w:rsidR="00F749B7">
        <w:rPr>
          <w:sz w:val="24"/>
          <w:szCs w:val="24"/>
          <w:lang w:val="en-US"/>
        </w:rPr>
        <w:t>’s</w:t>
      </w:r>
      <w:r w:rsidR="00A92D4E">
        <w:rPr>
          <w:sz w:val="24"/>
          <w:szCs w:val="24"/>
          <w:lang w:val="en-US"/>
        </w:rPr>
        <w:t xml:space="preserve"> (2008)</w:t>
      </w:r>
      <w:r w:rsidR="00F749B7" w:rsidRPr="00F749B7">
        <w:rPr>
          <w:sz w:val="24"/>
          <w:szCs w:val="24"/>
          <w:lang w:val="en-US"/>
        </w:rPr>
        <w:t xml:space="preserve"> </w:t>
      </w:r>
      <w:r w:rsidR="00F749B7">
        <w:rPr>
          <w:sz w:val="24"/>
          <w:szCs w:val="24"/>
          <w:lang w:val="en-US"/>
        </w:rPr>
        <w:t>service typology</w:t>
      </w:r>
      <w:r w:rsidR="00A92D4E">
        <w:rPr>
          <w:sz w:val="24"/>
          <w:szCs w:val="24"/>
          <w:lang w:val="en-US"/>
        </w:rPr>
        <w:t xml:space="preserve">, with </w:t>
      </w:r>
      <w:r w:rsidR="001F519D">
        <w:rPr>
          <w:sz w:val="24"/>
          <w:szCs w:val="24"/>
        </w:rPr>
        <w:t xml:space="preserve">service </w:t>
      </w:r>
      <w:r w:rsidR="00DB243C">
        <w:rPr>
          <w:sz w:val="24"/>
          <w:szCs w:val="24"/>
        </w:rPr>
        <w:t>‘</w:t>
      </w:r>
      <w:r w:rsidR="001F519D">
        <w:rPr>
          <w:sz w:val="24"/>
          <w:szCs w:val="24"/>
        </w:rPr>
        <w:t>strategies</w:t>
      </w:r>
      <w:r w:rsidR="00DB243C">
        <w:rPr>
          <w:sz w:val="24"/>
          <w:szCs w:val="24"/>
        </w:rPr>
        <w:t>’</w:t>
      </w:r>
      <w:r w:rsidR="001F519D">
        <w:rPr>
          <w:sz w:val="24"/>
          <w:szCs w:val="24"/>
        </w:rPr>
        <w:t xml:space="preserve"> (</w:t>
      </w:r>
      <w:r w:rsidR="00E25E9F">
        <w:rPr>
          <w:sz w:val="24"/>
          <w:szCs w:val="24"/>
        </w:rPr>
        <w:t xml:space="preserve">e.g., </w:t>
      </w:r>
      <w:r w:rsidR="001F519D">
        <w:rPr>
          <w:sz w:val="24"/>
          <w:szCs w:val="24"/>
        </w:rPr>
        <w:t>after-sales service provider</w:t>
      </w:r>
      <w:r w:rsidR="00E25E9F">
        <w:rPr>
          <w:sz w:val="24"/>
          <w:szCs w:val="24"/>
        </w:rPr>
        <w:t xml:space="preserve"> </w:t>
      </w:r>
      <w:r w:rsidR="004B2245">
        <w:rPr>
          <w:sz w:val="24"/>
          <w:szCs w:val="24"/>
        </w:rPr>
        <w:t>[</w:t>
      </w:r>
      <w:r w:rsidR="00E25E9F">
        <w:rPr>
          <w:sz w:val="24"/>
          <w:szCs w:val="24"/>
        </w:rPr>
        <w:t>ASPs</w:t>
      </w:r>
      <w:r w:rsidR="004B2245">
        <w:rPr>
          <w:sz w:val="24"/>
          <w:szCs w:val="24"/>
        </w:rPr>
        <w:t>]</w:t>
      </w:r>
      <w:r w:rsidR="001F519D">
        <w:rPr>
          <w:sz w:val="24"/>
          <w:szCs w:val="24"/>
        </w:rPr>
        <w:t>)</w:t>
      </w:r>
      <w:r w:rsidR="00010521">
        <w:rPr>
          <w:sz w:val="24"/>
          <w:szCs w:val="24"/>
        </w:rPr>
        <w:t xml:space="preserve"> </w:t>
      </w:r>
      <w:r w:rsidR="004B2245">
        <w:rPr>
          <w:sz w:val="24"/>
          <w:szCs w:val="24"/>
        </w:rPr>
        <w:t xml:space="preserve">conceptualised as </w:t>
      </w:r>
      <w:r w:rsidR="001F519D">
        <w:rPr>
          <w:sz w:val="24"/>
          <w:szCs w:val="24"/>
        </w:rPr>
        <w:t>categories of service offerings</w:t>
      </w:r>
      <w:r w:rsidR="00E25E9F">
        <w:rPr>
          <w:sz w:val="24"/>
          <w:szCs w:val="24"/>
        </w:rPr>
        <w:t xml:space="preserve"> (e.g., ASPs offer after-sales services)</w:t>
      </w:r>
      <w:r w:rsidR="00AD66D0">
        <w:rPr>
          <w:sz w:val="24"/>
          <w:szCs w:val="24"/>
        </w:rPr>
        <w:t xml:space="preserve"> </w:t>
      </w:r>
      <w:r w:rsidR="00826F04">
        <w:rPr>
          <w:sz w:val="24"/>
          <w:szCs w:val="24"/>
        </w:rPr>
        <w:t xml:space="preserve">and </w:t>
      </w:r>
      <w:r w:rsidR="001F519D">
        <w:rPr>
          <w:sz w:val="24"/>
          <w:szCs w:val="24"/>
        </w:rPr>
        <w:t>neglect</w:t>
      </w:r>
      <w:r w:rsidR="00826F04">
        <w:rPr>
          <w:sz w:val="24"/>
          <w:szCs w:val="24"/>
        </w:rPr>
        <w:t>s</w:t>
      </w:r>
      <w:r w:rsidR="001F519D">
        <w:rPr>
          <w:sz w:val="24"/>
          <w:szCs w:val="24"/>
        </w:rPr>
        <w:t xml:space="preserve"> service</w:t>
      </w:r>
      <w:r w:rsidR="00AD66D0">
        <w:rPr>
          <w:sz w:val="24"/>
          <w:szCs w:val="24"/>
        </w:rPr>
        <w:t>s</w:t>
      </w:r>
      <w:r w:rsidR="001F519D">
        <w:rPr>
          <w:sz w:val="24"/>
          <w:szCs w:val="24"/>
        </w:rPr>
        <w:t xml:space="preserve"> strategies that involve multiple categories of service offerings. </w:t>
      </w:r>
      <w:r>
        <w:rPr>
          <w:sz w:val="24"/>
          <w:szCs w:val="24"/>
        </w:rPr>
        <w:t xml:space="preserve">Thus, we </w:t>
      </w:r>
      <w:r w:rsidR="00FC77E6">
        <w:rPr>
          <w:sz w:val="24"/>
          <w:szCs w:val="24"/>
        </w:rPr>
        <w:t xml:space="preserve">contend that </w:t>
      </w:r>
      <w:r>
        <w:rPr>
          <w:sz w:val="24"/>
          <w:szCs w:val="24"/>
        </w:rPr>
        <w:t xml:space="preserve">this issue requires further investigation. </w:t>
      </w:r>
    </w:p>
    <w:p w14:paraId="7A7CCF91" w14:textId="77777777" w:rsidR="00E25E9F" w:rsidRDefault="00E25E9F" w:rsidP="00FC776B">
      <w:pPr>
        <w:spacing w:after="0" w:line="480" w:lineRule="auto"/>
        <w:jc w:val="both"/>
        <w:rPr>
          <w:sz w:val="24"/>
          <w:szCs w:val="24"/>
        </w:rPr>
      </w:pPr>
    </w:p>
    <w:p w14:paraId="71A61325" w14:textId="2C900E86" w:rsidR="001F519D" w:rsidRDefault="00C5344C" w:rsidP="00FC776B">
      <w:pPr>
        <w:spacing w:after="0" w:line="480" w:lineRule="auto"/>
        <w:jc w:val="both"/>
        <w:rPr>
          <w:sz w:val="24"/>
          <w:szCs w:val="24"/>
        </w:rPr>
      </w:pPr>
      <w:r>
        <w:rPr>
          <w:sz w:val="24"/>
          <w:szCs w:val="24"/>
          <w:lang w:val="en-US"/>
        </w:rPr>
        <w:t>Given that manufacturers adopt a range of service</w:t>
      </w:r>
      <w:r w:rsidR="0012737A">
        <w:rPr>
          <w:sz w:val="24"/>
          <w:szCs w:val="24"/>
          <w:lang w:val="en-US"/>
        </w:rPr>
        <w:t>s</w:t>
      </w:r>
      <w:r>
        <w:rPr>
          <w:sz w:val="24"/>
          <w:szCs w:val="24"/>
          <w:lang w:val="en-US"/>
        </w:rPr>
        <w:t xml:space="preserve"> strategies </w:t>
      </w:r>
      <w:r w:rsidRPr="00C5344C">
        <w:rPr>
          <w:rFonts w:cstheme="minorHAnsi"/>
          <w:sz w:val="24"/>
          <w:szCs w:val="24"/>
          <w:lang w:val="en-US"/>
        </w:rPr>
        <w:t>(</w:t>
      </w:r>
      <w:r w:rsidRPr="00C5344C">
        <w:rPr>
          <w:rFonts w:eastAsia="Times New Roman" w:cstheme="minorHAnsi"/>
          <w:sz w:val="24"/>
          <w:szCs w:val="24"/>
          <w:lang w:eastAsia="en-GB"/>
        </w:rPr>
        <w:t xml:space="preserve">Löfberg, Witell </w:t>
      </w:r>
      <w:r w:rsidR="004E1C65">
        <w:rPr>
          <w:rFonts w:eastAsia="Times New Roman" w:cstheme="minorHAnsi"/>
          <w:sz w:val="24"/>
          <w:szCs w:val="24"/>
          <w:lang w:eastAsia="en-GB"/>
        </w:rPr>
        <w:t>&amp;</w:t>
      </w:r>
      <w:r w:rsidR="004E1C65" w:rsidRPr="00C5344C">
        <w:rPr>
          <w:rFonts w:eastAsia="Times New Roman" w:cstheme="minorHAnsi"/>
          <w:sz w:val="24"/>
          <w:szCs w:val="24"/>
          <w:lang w:eastAsia="en-GB"/>
        </w:rPr>
        <w:t xml:space="preserve"> </w:t>
      </w:r>
      <w:r w:rsidRPr="00C5344C">
        <w:rPr>
          <w:rFonts w:eastAsia="Times New Roman" w:cstheme="minorHAnsi"/>
          <w:sz w:val="24"/>
          <w:szCs w:val="24"/>
          <w:lang w:eastAsia="en-GB"/>
        </w:rPr>
        <w:t>Gustafsson</w:t>
      </w:r>
      <w:r w:rsidRPr="00C5344C">
        <w:rPr>
          <w:rFonts w:cstheme="minorHAnsi"/>
          <w:sz w:val="24"/>
          <w:szCs w:val="24"/>
        </w:rPr>
        <w:t xml:space="preserve"> 2010</w:t>
      </w:r>
      <w:r w:rsidRPr="00C5344C">
        <w:rPr>
          <w:rFonts w:cstheme="minorHAnsi"/>
          <w:sz w:val="24"/>
          <w:szCs w:val="24"/>
          <w:lang w:val="en-US"/>
        </w:rPr>
        <w:t>),</w:t>
      </w:r>
      <w:r>
        <w:rPr>
          <w:sz w:val="24"/>
          <w:szCs w:val="24"/>
          <w:lang w:val="en-US"/>
        </w:rPr>
        <w:t xml:space="preserve"> </w:t>
      </w:r>
      <w:r w:rsidR="005400C6">
        <w:rPr>
          <w:sz w:val="24"/>
          <w:szCs w:val="24"/>
          <w:lang w:val="en-US"/>
        </w:rPr>
        <w:t>it is</w:t>
      </w:r>
      <w:r w:rsidR="005905DA">
        <w:rPr>
          <w:sz w:val="24"/>
          <w:szCs w:val="24"/>
          <w:lang w:val="en-US"/>
        </w:rPr>
        <w:t xml:space="preserve"> </w:t>
      </w:r>
      <w:r>
        <w:rPr>
          <w:sz w:val="24"/>
          <w:szCs w:val="24"/>
          <w:lang w:val="en-US"/>
        </w:rPr>
        <w:t xml:space="preserve">important to develop a more </w:t>
      </w:r>
      <w:r w:rsidR="005905DA">
        <w:rPr>
          <w:sz w:val="24"/>
          <w:szCs w:val="24"/>
          <w:lang w:val="en-US"/>
        </w:rPr>
        <w:t xml:space="preserve">fine-grained </w:t>
      </w:r>
      <w:r>
        <w:rPr>
          <w:sz w:val="24"/>
          <w:szCs w:val="24"/>
          <w:lang w:val="en-US"/>
        </w:rPr>
        <w:t xml:space="preserve">understanding of </w:t>
      </w:r>
      <w:r w:rsidR="00E25E9F">
        <w:rPr>
          <w:sz w:val="24"/>
          <w:szCs w:val="24"/>
          <w:lang w:val="en-US"/>
        </w:rPr>
        <w:t xml:space="preserve">their </w:t>
      </w:r>
      <w:r w:rsidR="00FC77E6">
        <w:rPr>
          <w:sz w:val="24"/>
          <w:szCs w:val="24"/>
          <w:lang w:val="en-US"/>
        </w:rPr>
        <w:t xml:space="preserve">various </w:t>
      </w:r>
      <w:r>
        <w:rPr>
          <w:sz w:val="24"/>
          <w:szCs w:val="24"/>
          <w:lang w:val="en-US"/>
        </w:rPr>
        <w:t>NSD efforts</w:t>
      </w:r>
      <w:r>
        <w:rPr>
          <w:sz w:val="24"/>
          <w:szCs w:val="24"/>
        </w:rPr>
        <w:t xml:space="preserve">. </w:t>
      </w:r>
      <w:r w:rsidR="005905DA">
        <w:rPr>
          <w:sz w:val="24"/>
          <w:szCs w:val="24"/>
        </w:rPr>
        <w:t xml:space="preserve">This should enable a better </w:t>
      </w:r>
      <w:r w:rsidR="00C10F5D">
        <w:rPr>
          <w:sz w:val="24"/>
          <w:szCs w:val="24"/>
        </w:rPr>
        <w:t xml:space="preserve">understanding </w:t>
      </w:r>
      <w:r w:rsidR="005905DA">
        <w:rPr>
          <w:sz w:val="24"/>
          <w:szCs w:val="24"/>
        </w:rPr>
        <w:t xml:space="preserve">of </w:t>
      </w:r>
      <w:r w:rsidR="00C10F5D">
        <w:rPr>
          <w:sz w:val="24"/>
          <w:szCs w:val="24"/>
        </w:rPr>
        <w:t>how manufacturers can develop new service offerings to improve performance</w:t>
      </w:r>
      <w:r w:rsidR="00F749B7">
        <w:rPr>
          <w:sz w:val="24"/>
          <w:szCs w:val="24"/>
        </w:rPr>
        <w:t xml:space="preserve"> outcomes</w:t>
      </w:r>
      <w:r w:rsidR="00C10F5D">
        <w:rPr>
          <w:sz w:val="24"/>
          <w:szCs w:val="24"/>
        </w:rPr>
        <w:t xml:space="preserve">. </w:t>
      </w:r>
      <w:r>
        <w:rPr>
          <w:sz w:val="24"/>
          <w:szCs w:val="24"/>
        </w:rPr>
        <w:t>T</w:t>
      </w:r>
      <w:r w:rsidRPr="00D62355">
        <w:rPr>
          <w:sz w:val="24"/>
          <w:szCs w:val="24"/>
        </w:rPr>
        <w:t xml:space="preserve">hus, the </w:t>
      </w:r>
      <w:r>
        <w:rPr>
          <w:sz w:val="24"/>
          <w:szCs w:val="24"/>
        </w:rPr>
        <w:t xml:space="preserve">aim of this study is </w:t>
      </w:r>
      <w:r w:rsidRPr="00BE37C0">
        <w:rPr>
          <w:sz w:val="24"/>
          <w:szCs w:val="24"/>
        </w:rPr>
        <w:t xml:space="preserve">to </w:t>
      </w:r>
      <w:r>
        <w:rPr>
          <w:sz w:val="24"/>
          <w:szCs w:val="24"/>
        </w:rPr>
        <w:t>explore</w:t>
      </w:r>
      <w:r w:rsidRPr="00BE37C0">
        <w:rPr>
          <w:sz w:val="24"/>
          <w:szCs w:val="24"/>
        </w:rPr>
        <w:t xml:space="preserve"> </w:t>
      </w:r>
      <w:r>
        <w:rPr>
          <w:sz w:val="24"/>
          <w:szCs w:val="24"/>
        </w:rPr>
        <w:t>the challenges manufacturers with differing service</w:t>
      </w:r>
      <w:r w:rsidR="00DE0639">
        <w:rPr>
          <w:sz w:val="24"/>
          <w:szCs w:val="24"/>
        </w:rPr>
        <w:t>s</w:t>
      </w:r>
      <w:r>
        <w:rPr>
          <w:sz w:val="24"/>
          <w:szCs w:val="24"/>
        </w:rPr>
        <w:t xml:space="preserve"> strategies face </w:t>
      </w:r>
      <w:r w:rsidRPr="00513D21">
        <w:rPr>
          <w:sz w:val="24"/>
          <w:szCs w:val="24"/>
        </w:rPr>
        <w:t>in developing new services</w:t>
      </w:r>
      <w:r>
        <w:rPr>
          <w:sz w:val="24"/>
          <w:szCs w:val="24"/>
        </w:rPr>
        <w:t xml:space="preserve">, </w:t>
      </w:r>
      <w:r w:rsidRPr="00E61045">
        <w:rPr>
          <w:i/>
          <w:sz w:val="24"/>
          <w:szCs w:val="24"/>
        </w:rPr>
        <w:t>and</w:t>
      </w:r>
      <w:r>
        <w:rPr>
          <w:sz w:val="24"/>
          <w:szCs w:val="24"/>
        </w:rPr>
        <w:t xml:space="preserve"> how they </w:t>
      </w:r>
      <w:r w:rsidR="005400C6">
        <w:rPr>
          <w:sz w:val="24"/>
          <w:szCs w:val="24"/>
        </w:rPr>
        <w:t>respond to them</w:t>
      </w:r>
      <w:r>
        <w:rPr>
          <w:sz w:val="24"/>
          <w:szCs w:val="24"/>
        </w:rPr>
        <w:t xml:space="preserve">. </w:t>
      </w:r>
      <w:r w:rsidR="00AD66D0">
        <w:rPr>
          <w:sz w:val="24"/>
          <w:szCs w:val="24"/>
        </w:rPr>
        <w:t xml:space="preserve">Two </w:t>
      </w:r>
      <w:r>
        <w:rPr>
          <w:sz w:val="24"/>
          <w:szCs w:val="24"/>
        </w:rPr>
        <w:t>main research questions are subsequently identified:</w:t>
      </w:r>
    </w:p>
    <w:p w14:paraId="793BF29C" w14:textId="77777777" w:rsidR="00DE6251" w:rsidRDefault="00DE6251" w:rsidP="00FC776B">
      <w:pPr>
        <w:spacing w:after="0" w:line="480" w:lineRule="auto"/>
        <w:jc w:val="both"/>
        <w:rPr>
          <w:sz w:val="24"/>
          <w:szCs w:val="24"/>
        </w:rPr>
      </w:pPr>
    </w:p>
    <w:p w14:paraId="4068C7EF" w14:textId="07F90076" w:rsidR="00B62B4F" w:rsidRPr="00A2145F" w:rsidRDefault="00141646" w:rsidP="003A0928">
      <w:pPr>
        <w:spacing w:after="0" w:line="480" w:lineRule="auto"/>
        <w:rPr>
          <w:rFonts w:ascii="Calibri" w:hAnsi="Calibri" w:cs="Calibri"/>
          <w:color w:val="1F497D"/>
          <w:sz w:val="24"/>
          <w:szCs w:val="24"/>
        </w:rPr>
      </w:pPr>
      <w:r w:rsidRPr="00141646">
        <w:rPr>
          <w:sz w:val="24"/>
          <w:szCs w:val="24"/>
        </w:rPr>
        <w:t xml:space="preserve">RQ1) </w:t>
      </w:r>
      <w:r w:rsidR="00B62B4F" w:rsidRPr="00A2145F">
        <w:rPr>
          <w:rFonts w:ascii="Calibri" w:hAnsi="Calibri" w:cs="Calibri"/>
          <w:sz w:val="24"/>
          <w:szCs w:val="24"/>
        </w:rPr>
        <w:t>How do new service development process challenges manifest for manufacturers with differing services strategies</w:t>
      </w:r>
      <w:r w:rsidR="00A2145F" w:rsidRPr="00A2145F">
        <w:rPr>
          <w:rFonts w:ascii="Calibri" w:hAnsi="Calibri" w:cs="Calibri"/>
          <w:sz w:val="24"/>
          <w:szCs w:val="24"/>
        </w:rPr>
        <w:t>?</w:t>
      </w:r>
    </w:p>
    <w:p w14:paraId="5E845BF0" w14:textId="3289F1D3" w:rsidR="002273DF" w:rsidRDefault="002273DF" w:rsidP="00141646">
      <w:pPr>
        <w:spacing w:after="0" w:line="480" w:lineRule="auto"/>
        <w:jc w:val="both"/>
        <w:rPr>
          <w:sz w:val="24"/>
          <w:szCs w:val="24"/>
        </w:rPr>
      </w:pPr>
    </w:p>
    <w:p w14:paraId="3833211A" w14:textId="505B6069" w:rsidR="00A95925" w:rsidRDefault="0021461E" w:rsidP="0021461E">
      <w:pPr>
        <w:spacing w:after="0" w:line="480" w:lineRule="auto"/>
        <w:jc w:val="both"/>
        <w:rPr>
          <w:sz w:val="24"/>
          <w:szCs w:val="24"/>
        </w:rPr>
      </w:pPr>
      <w:r>
        <w:rPr>
          <w:sz w:val="24"/>
          <w:szCs w:val="24"/>
        </w:rPr>
        <w:t>RQ</w:t>
      </w:r>
      <w:r w:rsidR="005905DA">
        <w:rPr>
          <w:sz w:val="24"/>
          <w:szCs w:val="24"/>
        </w:rPr>
        <w:t>2</w:t>
      </w:r>
      <w:r w:rsidRPr="00BE37C0">
        <w:rPr>
          <w:sz w:val="24"/>
          <w:szCs w:val="24"/>
        </w:rPr>
        <w:t xml:space="preserve">) </w:t>
      </w:r>
      <w:r w:rsidR="001404F5">
        <w:rPr>
          <w:sz w:val="24"/>
          <w:szCs w:val="24"/>
        </w:rPr>
        <w:t xml:space="preserve">How do </w:t>
      </w:r>
      <w:r w:rsidR="00C76D2A">
        <w:rPr>
          <w:sz w:val="24"/>
          <w:szCs w:val="24"/>
        </w:rPr>
        <w:t>manufacturers</w:t>
      </w:r>
      <w:r w:rsidR="002273DF">
        <w:rPr>
          <w:sz w:val="24"/>
          <w:szCs w:val="24"/>
        </w:rPr>
        <w:t xml:space="preserve"> </w:t>
      </w:r>
      <w:r w:rsidR="005400C6">
        <w:rPr>
          <w:sz w:val="24"/>
          <w:szCs w:val="24"/>
        </w:rPr>
        <w:t xml:space="preserve">respond to </w:t>
      </w:r>
      <w:r w:rsidRPr="00BE37C0">
        <w:rPr>
          <w:sz w:val="24"/>
          <w:szCs w:val="24"/>
        </w:rPr>
        <w:t>the</w:t>
      </w:r>
      <w:r>
        <w:rPr>
          <w:sz w:val="24"/>
          <w:szCs w:val="24"/>
        </w:rPr>
        <w:t>se</w:t>
      </w:r>
      <w:r w:rsidRPr="00BE37C0">
        <w:rPr>
          <w:sz w:val="24"/>
          <w:szCs w:val="24"/>
        </w:rPr>
        <w:t xml:space="preserve"> challenges</w:t>
      </w:r>
      <w:r w:rsidR="002273DF">
        <w:rPr>
          <w:sz w:val="24"/>
          <w:szCs w:val="24"/>
        </w:rPr>
        <w:t>?</w:t>
      </w:r>
    </w:p>
    <w:p w14:paraId="0D279390" w14:textId="77777777" w:rsidR="0021461E" w:rsidRPr="00A95925" w:rsidRDefault="0021461E" w:rsidP="003C7808">
      <w:pPr>
        <w:spacing w:after="0" w:line="480" w:lineRule="auto"/>
        <w:jc w:val="both"/>
        <w:rPr>
          <w:sz w:val="24"/>
          <w:szCs w:val="24"/>
        </w:rPr>
      </w:pPr>
    </w:p>
    <w:p w14:paraId="451985B7" w14:textId="5D095537" w:rsidR="00B646E0" w:rsidRDefault="00511592" w:rsidP="00B46B71">
      <w:pPr>
        <w:pStyle w:val="CommentText"/>
        <w:spacing w:line="480" w:lineRule="auto"/>
        <w:jc w:val="both"/>
        <w:rPr>
          <w:sz w:val="24"/>
          <w:szCs w:val="24"/>
        </w:rPr>
      </w:pPr>
      <w:r>
        <w:rPr>
          <w:sz w:val="24"/>
          <w:szCs w:val="24"/>
        </w:rPr>
        <w:t>In the following sections</w:t>
      </w:r>
      <w:r w:rsidR="0094557E">
        <w:rPr>
          <w:sz w:val="24"/>
          <w:szCs w:val="24"/>
        </w:rPr>
        <w:t>, w</w:t>
      </w:r>
      <w:r w:rsidR="0094557E" w:rsidRPr="000A147A">
        <w:rPr>
          <w:sz w:val="24"/>
          <w:szCs w:val="24"/>
        </w:rPr>
        <w:t xml:space="preserve">e </w:t>
      </w:r>
      <w:r w:rsidR="0094557E">
        <w:rPr>
          <w:sz w:val="24"/>
          <w:szCs w:val="24"/>
        </w:rPr>
        <w:t xml:space="preserve">set out the theoretical </w:t>
      </w:r>
      <w:r w:rsidR="005415F6">
        <w:rPr>
          <w:sz w:val="24"/>
          <w:szCs w:val="24"/>
        </w:rPr>
        <w:t>background and research gap</w:t>
      </w:r>
      <w:r>
        <w:rPr>
          <w:sz w:val="24"/>
          <w:szCs w:val="24"/>
        </w:rPr>
        <w:t>, methodology and findings</w:t>
      </w:r>
      <w:r w:rsidR="00C10F5D">
        <w:rPr>
          <w:sz w:val="24"/>
          <w:szCs w:val="24"/>
        </w:rPr>
        <w:t xml:space="preserve"> fr</w:t>
      </w:r>
      <w:r w:rsidR="00F749B7">
        <w:rPr>
          <w:sz w:val="24"/>
          <w:szCs w:val="24"/>
        </w:rPr>
        <w:t>om</w:t>
      </w:r>
      <w:r w:rsidR="00C10F5D">
        <w:rPr>
          <w:sz w:val="24"/>
          <w:szCs w:val="24"/>
        </w:rPr>
        <w:t xml:space="preserve"> the study</w:t>
      </w:r>
      <w:r>
        <w:rPr>
          <w:sz w:val="24"/>
          <w:szCs w:val="24"/>
        </w:rPr>
        <w:t>.</w:t>
      </w:r>
      <w:r w:rsidR="0094557E">
        <w:rPr>
          <w:sz w:val="24"/>
          <w:szCs w:val="24"/>
        </w:rPr>
        <w:t xml:space="preserve"> </w:t>
      </w:r>
      <w:r>
        <w:rPr>
          <w:sz w:val="24"/>
          <w:szCs w:val="24"/>
        </w:rPr>
        <w:t>Thereafter, t</w:t>
      </w:r>
      <w:r w:rsidR="0094557E">
        <w:rPr>
          <w:sz w:val="24"/>
          <w:szCs w:val="24"/>
        </w:rPr>
        <w:t xml:space="preserve">he study provides </w:t>
      </w:r>
      <w:r w:rsidR="000A4A31">
        <w:rPr>
          <w:sz w:val="24"/>
          <w:szCs w:val="24"/>
        </w:rPr>
        <w:t>three</w:t>
      </w:r>
      <w:r w:rsidR="0021461E">
        <w:rPr>
          <w:sz w:val="24"/>
          <w:szCs w:val="24"/>
        </w:rPr>
        <w:t xml:space="preserve"> </w:t>
      </w:r>
      <w:r w:rsidR="0094557E">
        <w:rPr>
          <w:sz w:val="24"/>
          <w:szCs w:val="24"/>
        </w:rPr>
        <w:t xml:space="preserve">main </w:t>
      </w:r>
      <w:r w:rsidR="0021461E">
        <w:rPr>
          <w:sz w:val="24"/>
          <w:szCs w:val="24"/>
        </w:rPr>
        <w:t xml:space="preserve">contributions. First, </w:t>
      </w:r>
      <w:r w:rsidR="001231D5">
        <w:rPr>
          <w:sz w:val="24"/>
          <w:szCs w:val="24"/>
        </w:rPr>
        <w:t>i</w:t>
      </w:r>
      <w:r w:rsidR="001231D5">
        <w:rPr>
          <w:rFonts w:ascii="Calibri" w:eastAsia="Calibri" w:hAnsi="Calibri" w:cs="Arial"/>
          <w:sz w:val="24"/>
          <w:szCs w:val="24"/>
        </w:rPr>
        <w:t xml:space="preserve">t provides additional support to the </w:t>
      </w:r>
      <w:r w:rsidR="001231D5" w:rsidRPr="00211FB1">
        <w:rPr>
          <w:rFonts w:ascii="Calibri" w:eastAsia="Calibri" w:hAnsi="Calibri" w:cs="Arial"/>
          <w:sz w:val="24"/>
          <w:szCs w:val="24"/>
        </w:rPr>
        <w:t xml:space="preserve"> emerging view that manufacturers can adopt </w:t>
      </w:r>
      <w:r w:rsidR="002029E5">
        <w:rPr>
          <w:rFonts w:ascii="Calibri" w:eastAsia="Calibri" w:hAnsi="Calibri" w:cs="Arial"/>
          <w:sz w:val="24"/>
          <w:szCs w:val="24"/>
        </w:rPr>
        <w:t>different</w:t>
      </w:r>
      <w:r w:rsidR="002029E5" w:rsidRPr="00211FB1">
        <w:rPr>
          <w:rFonts w:ascii="Calibri" w:eastAsia="Calibri" w:hAnsi="Calibri" w:cs="Arial"/>
          <w:sz w:val="24"/>
          <w:szCs w:val="24"/>
        </w:rPr>
        <w:t xml:space="preserve"> </w:t>
      </w:r>
      <w:r w:rsidR="001231D5" w:rsidRPr="00211FB1">
        <w:rPr>
          <w:rFonts w:ascii="Calibri" w:eastAsia="Calibri" w:hAnsi="Calibri" w:cs="Arial"/>
          <w:sz w:val="24"/>
          <w:szCs w:val="24"/>
        </w:rPr>
        <w:t>hybrid approach</w:t>
      </w:r>
      <w:r w:rsidR="002029E5">
        <w:rPr>
          <w:rFonts w:ascii="Calibri" w:eastAsia="Calibri" w:hAnsi="Calibri" w:cs="Arial"/>
          <w:sz w:val="24"/>
          <w:szCs w:val="24"/>
        </w:rPr>
        <w:t>es</w:t>
      </w:r>
      <w:r w:rsidR="001231D5" w:rsidRPr="00211FB1">
        <w:rPr>
          <w:rFonts w:ascii="Calibri" w:eastAsia="Calibri" w:hAnsi="Calibri" w:cs="Arial"/>
          <w:sz w:val="24"/>
          <w:szCs w:val="24"/>
        </w:rPr>
        <w:t xml:space="preserve"> that support their </w:t>
      </w:r>
      <w:r w:rsidR="001231D5" w:rsidRPr="00B46B71">
        <w:rPr>
          <w:sz w:val="24"/>
          <w:szCs w:val="24"/>
        </w:rPr>
        <w:t>combined product and services offering’ strategy</w:t>
      </w:r>
      <w:r w:rsidR="000A4A31" w:rsidRPr="00E61392">
        <w:rPr>
          <w:rFonts w:cs="Times New Roman"/>
          <w:sz w:val="24"/>
          <w:szCs w:val="24"/>
        </w:rPr>
        <w:t>).</w:t>
      </w:r>
      <w:r w:rsidR="000A4A31">
        <w:rPr>
          <w:rFonts w:cs="Times New Roman"/>
          <w:sz w:val="24"/>
          <w:szCs w:val="24"/>
        </w:rPr>
        <w:t xml:space="preserve"> Second, </w:t>
      </w:r>
      <w:r w:rsidR="0021461E">
        <w:rPr>
          <w:sz w:val="24"/>
          <w:szCs w:val="24"/>
        </w:rPr>
        <w:t xml:space="preserve">this research goes beyond the </w:t>
      </w:r>
      <w:r w:rsidR="00A44855">
        <w:rPr>
          <w:sz w:val="24"/>
          <w:szCs w:val="24"/>
        </w:rPr>
        <w:t xml:space="preserve">macro </w:t>
      </w:r>
      <w:r w:rsidR="0021461E">
        <w:rPr>
          <w:sz w:val="24"/>
          <w:szCs w:val="24"/>
        </w:rPr>
        <w:t xml:space="preserve">exploration of </w:t>
      </w:r>
      <w:r w:rsidR="00B646E0">
        <w:rPr>
          <w:sz w:val="24"/>
          <w:szCs w:val="24"/>
        </w:rPr>
        <w:t xml:space="preserve">the </w:t>
      </w:r>
      <w:r w:rsidR="0021461E">
        <w:rPr>
          <w:sz w:val="24"/>
          <w:szCs w:val="24"/>
        </w:rPr>
        <w:t>general challenge</w:t>
      </w:r>
      <w:r w:rsidR="00ED3E85">
        <w:rPr>
          <w:sz w:val="24"/>
          <w:szCs w:val="24"/>
        </w:rPr>
        <w:t>s</w:t>
      </w:r>
      <w:r w:rsidR="00AA304F">
        <w:rPr>
          <w:sz w:val="24"/>
          <w:szCs w:val="24"/>
        </w:rPr>
        <w:t xml:space="preserve"> </w:t>
      </w:r>
      <w:r w:rsidR="00ED3E85">
        <w:rPr>
          <w:sz w:val="24"/>
          <w:szCs w:val="24"/>
        </w:rPr>
        <w:t xml:space="preserve">hindering </w:t>
      </w:r>
      <w:r w:rsidR="00B646E0">
        <w:rPr>
          <w:sz w:val="24"/>
          <w:szCs w:val="24"/>
        </w:rPr>
        <w:t>manufacturers</w:t>
      </w:r>
      <w:r w:rsidR="0082002F">
        <w:rPr>
          <w:sz w:val="24"/>
          <w:szCs w:val="24"/>
        </w:rPr>
        <w:t>’ servitization</w:t>
      </w:r>
      <w:r w:rsidR="0082002F" w:rsidRPr="0082002F">
        <w:rPr>
          <w:sz w:val="24"/>
          <w:szCs w:val="24"/>
        </w:rPr>
        <w:t xml:space="preserve"> </w:t>
      </w:r>
      <w:r w:rsidR="0082002F">
        <w:rPr>
          <w:sz w:val="24"/>
          <w:szCs w:val="24"/>
        </w:rPr>
        <w:t>efforts</w:t>
      </w:r>
      <w:r w:rsidR="0021461E">
        <w:rPr>
          <w:sz w:val="24"/>
          <w:szCs w:val="24"/>
        </w:rPr>
        <w:t>,</w:t>
      </w:r>
      <w:r w:rsidR="00A44855">
        <w:rPr>
          <w:sz w:val="24"/>
          <w:szCs w:val="24"/>
        </w:rPr>
        <w:t xml:space="preserve"> </w:t>
      </w:r>
      <w:r w:rsidR="0082002F">
        <w:rPr>
          <w:sz w:val="24"/>
          <w:szCs w:val="24"/>
        </w:rPr>
        <w:t xml:space="preserve">and </w:t>
      </w:r>
      <w:r w:rsidR="00A44855">
        <w:rPr>
          <w:sz w:val="24"/>
          <w:szCs w:val="24"/>
        </w:rPr>
        <w:t>instead consider</w:t>
      </w:r>
      <w:r w:rsidR="00533010">
        <w:rPr>
          <w:sz w:val="24"/>
          <w:szCs w:val="24"/>
        </w:rPr>
        <w:t>s</w:t>
      </w:r>
      <w:r w:rsidR="00A44855">
        <w:rPr>
          <w:sz w:val="24"/>
          <w:szCs w:val="24"/>
        </w:rPr>
        <w:t xml:space="preserve"> the specific</w:t>
      </w:r>
      <w:r w:rsidR="002B0CAD">
        <w:rPr>
          <w:sz w:val="24"/>
          <w:szCs w:val="24"/>
        </w:rPr>
        <w:t xml:space="preserve"> issues</w:t>
      </w:r>
      <w:r w:rsidR="00A44855">
        <w:rPr>
          <w:sz w:val="24"/>
          <w:szCs w:val="24"/>
        </w:rPr>
        <w:t xml:space="preserve">  manufacturers with differing </w:t>
      </w:r>
      <w:r w:rsidR="0082002F">
        <w:rPr>
          <w:sz w:val="24"/>
          <w:szCs w:val="24"/>
        </w:rPr>
        <w:t xml:space="preserve">services </w:t>
      </w:r>
      <w:r w:rsidR="00A44855">
        <w:rPr>
          <w:sz w:val="24"/>
          <w:szCs w:val="24"/>
        </w:rPr>
        <w:t>strategi</w:t>
      </w:r>
      <w:r w:rsidR="0082002F">
        <w:rPr>
          <w:sz w:val="24"/>
          <w:szCs w:val="24"/>
        </w:rPr>
        <w:t>es</w:t>
      </w:r>
      <w:r w:rsidR="002B0CAD">
        <w:rPr>
          <w:sz w:val="24"/>
          <w:szCs w:val="24"/>
        </w:rPr>
        <w:t xml:space="preserve"> face in relation to the typical NSD process challenges</w:t>
      </w:r>
      <w:r w:rsidR="00A44855">
        <w:rPr>
          <w:sz w:val="24"/>
          <w:szCs w:val="24"/>
        </w:rPr>
        <w:t>.</w:t>
      </w:r>
      <w:r w:rsidR="00A44855">
        <w:rPr>
          <w:rFonts w:cs="Times New Roman"/>
          <w:sz w:val="24"/>
          <w:szCs w:val="24"/>
        </w:rPr>
        <w:t xml:space="preserve"> </w:t>
      </w:r>
      <w:r w:rsidR="003860C6">
        <w:rPr>
          <w:rFonts w:cs="Times New Roman"/>
          <w:sz w:val="24"/>
          <w:szCs w:val="24"/>
        </w:rPr>
        <w:t>Third</w:t>
      </w:r>
      <w:r w:rsidR="0021461E">
        <w:rPr>
          <w:sz w:val="24"/>
          <w:szCs w:val="24"/>
        </w:rPr>
        <w:t xml:space="preserve">, </w:t>
      </w:r>
      <w:r w:rsidR="003860C6">
        <w:rPr>
          <w:sz w:val="24"/>
          <w:szCs w:val="24"/>
        </w:rPr>
        <w:t>w</w:t>
      </w:r>
      <w:r w:rsidR="0021461E">
        <w:rPr>
          <w:sz w:val="24"/>
          <w:szCs w:val="24"/>
        </w:rPr>
        <w:t xml:space="preserve">hile some </w:t>
      </w:r>
      <w:r w:rsidR="00533010">
        <w:rPr>
          <w:sz w:val="24"/>
          <w:szCs w:val="24"/>
        </w:rPr>
        <w:t xml:space="preserve">generic </w:t>
      </w:r>
      <w:r w:rsidR="0021461E">
        <w:rPr>
          <w:sz w:val="24"/>
          <w:szCs w:val="24"/>
        </w:rPr>
        <w:t>insight</w:t>
      </w:r>
      <w:r w:rsidR="00A2145F">
        <w:rPr>
          <w:sz w:val="24"/>
          <w:szCs w:val="24"/>
        </w:rPr>
        <w:t xml:space="preserve"> has previously been offered</w:t>
      </w:r>
      <w:r w:rsidR="004169FA">
        <w:rPr>
          <w:sz w:val="24"/>
          <w:szCs w:val="24"/>
        </w:rPr>
        <w:t xml:space="preserve"> on how to overcome servitization challenges</w:t>
      </w:r>
      <w:r w:rsidR="0021461E">
        <w:rPr>
          <w:sz w:val="24"/>
          <w:szCs w:val="24"/>
        </w:rPr>
        <w:t xml:space="preserve">, this research </w:t>
      </w:r>
      <w:r w:rsidR="00533010">
        <w:rPr>
          <w:sz w:val="24"/>
          <w:szCs w:val="24"/>
        </w:rPr>
        <w:t xml:space="preserve">identifies </w:t>
      </w:r>
      <w:r w:rsidR="00A2145F">
        <w:rPr>
          <w:sz w:val="24"/>
          <w:szCs w:val="24"/>
        </w:rPr>
        <w:t>specific</w:t>
      </w:r>
      <w:r w:rsidR="0021461E">
        <w:rPr>
          <w:sz w:val="24"/>
          <w:szCs w:val="24"/>
        </w:rPr>
        <w:t xml:space="preserve"> </w:t>
      </w:r>
      <w:r w:rsidR="00D04D30">
        <w:rPr>
          <w:sz w:val="24"/>
          <w:szCs w:val="24"/>
        </w:rPr>
        <w:t>responses</w:t>
      </w:r>
      <w:r w:rsidR="00533010">
        <w:rPr>
          <w:sz w:val="24"/>
          <w:szCs w:val="24"/>
        </w:rPr>
        <w:t xml:space="preserve"> to the</w:t>
      </w:r>
      <w:r w:rsidR="004169FA">
        <w:rPr>
          <w:sz w:val="24"/>
          <w:szCs w:val="24"/>
        </w:rPr>
        <w:t xml:space="preserve"> NSD</w:t>
      </w:r>
      <w:r w:rsidR="00533010">
        <w:rPr>
          <w:sz w:val="24"/>
          <w:szCs w:val="24"/>
        </w:rPr>
        <w:t xml:space="preserve"> challenges</w:t>
      </w:r>
      <w:r w:rsidR="00D04D30">
        <w:rPr>
          <w:sz w:val="24"/>
          <w:szCs w:val="24"/>
        </w:rPr>
        <w:t xml:space="preserve"> </w:t>
      </w:r>
      <w:r w:rsidR="004169FA">
        <w:rPr>
          <w:sz w:val="24"/>
          <w:szCs w:val="24"/>
        </w:rPr>
        <w:t>based on the</w:t>
      </w:r>
      <w:r w:rsidR="00ED3E85">
        <w:rPr>
          <w:sz w:val="24"/>
          <w:szCs w:val="24"/>
        </w:rPr>
        <w:t xml:space="preserve"> service</w:t>
      </w:r>
      <w:r w:rsidR="00A44855">
        <w:rPr>
          <w:sz w:val="24"/>
          <w:szCs w:val="24"/>
        </w:rPr>
        <w:t>s</w:t>
      </w:r>
      <w:r w:rsidR="00ED3E85">
        <w:rPr>
          <w:sz w:val="24"/>
          <w:szCs w:val="24"/>
        </w:rPr>
        <w:t xml:space="preserve"> strategies</w:t>
      </w:r>
      <w:r w:rsidR="004169FA">
        <w:rPr>
          <w:sz w:val="24"/>
          <w:szCs w:val="24"/>
        </w:rPr>
        <w:t xml:space="preserve"> adopted</w:t>
      </w:r>
      <w:r w:rsidR="00F20ED7">
        <w:rPr>
          <w:sz w:val="24"/>
          <w:szCs w:val="24"/>
        </w:rPr>
        <w:t>,</w:t>
      </w:r>
      <w:r w:rsidR="0021461E">
        <w:rPr>
          <w:sz w:val="24"/>
          <w:szCs w:val="24"/>
        </w:rPr>
        <w:t xml:space="preserve"> and offers propositions for further </w:t>
      </w:r>
      <w:r w:rsidR="0021461E" w:rsidRPr="000A147A">
        <w:rPr>
          <w:sz w:val="24"/>
          <w:szCs w:val="24"/>
        </w:rPr>
        <w:t xml:space="preserve">research. </w:t>
      </w:r>
    </w:p>
    <w:p w14:paraId="4AF25707" w14:textId="77777777" w:rsidR="003860C6" w:rsidRDefault="003860C6" w:rsidP="0021461E">
      <w:pPr>
        <w:spacing w:after="0" w:line="480" w:lineRule="auto"/>
        <w:jc w:val="both"/>
        <w:rPr>
          <w:b/>
          <w:sz w:val="24"/>
          <w:szCs w:val="24"/>
        </w:rPr>
      </w:pPr>
    </w:p>
    <w:p w14:paraId="522AF028" w14:textId="7F2B966E" w:rsidR="0021461E" w:rsidRDefault="0021461E" w:rsidP="0021461E">
      <w:pPr>
        <w:spacing w:after="0" w:line="480" w:lineRule="auto"/>
        <w:jc w:val="both"/>
        <w:rPr>
          <w:b/>
          <w:sz w:val="24"/>
          <w:szCs w:val="24"/>
        </w:rPr>
      </w:pPr>
      <w:r w:rsidRPr="00485DB8">
        <w:rPr>
          <w:b/>
          <w:sz w:val="24"/>
          <w:szCs w:val="24"/>
        </w:rPr>
        <w:t xml:space="preserve">2. </w:t>
      </w:r>
      <w:r>
        <w:rPr>
          <w:b/>
          <w:sz w:val="24"/>
          <w:szCs w:val="24"/>
        </w:rPr>
        <w:tab/>
      </w:r>
      <w:r w:rsidR="00C47D9D">
        <w:rPr>
          <w:b/>
          <w:sz w:val="24"/>
          <w:szCs w:val="24"/>
        </w:rPr>
        <w:t>Literature Review</w:t>
      </w:r>
      <w:r w:rsidRPr="00485DB8">
        <w:rPr>
          <w:b/>
          <w:sz w:val="24"/>
          <w:szCs w:val="24"/>
        </w:rPr>
        <w:t xml:space="preserve"> </w:t>
      </w:r>
    </w:p>
    <w:p w14:paraId="3F13CCDE" w14:textId="60FA1A91" w:rsidR="0021461E" w:rsidRDefault="0021461E" w:rsidP="0021461E">
      <w:pPr>
        <w:spacing w:after="0" w:line="480" w:lineRule="auto"/>
        <w:jc w:val="both"/>
        <w:rPr>
          <w:i/>
          <w:sz w:val="24"/>
          <w:szCs w:val="24"/>
        </w:rPr>
      </w:pPr>
      <w:r w:rsidRPr="008A1537">
        <w:rPr>
          <w:i/>
          <w:sz w:val="24"/>
          <w:szCs w:val="24"/>
        </w:rPr>
        <w:t>2.</w:t>
      </w:r>
      <w:r>
        <w:rPr>
          <w:i/>
          <w:sz w:val="24"/>
          <w:szCs w:val="24"/>
        </w:rPr>
        <w:t>1.</w:t>
      </w:r>
      <w:r w:rsidRPr="008A1537">
        <w:rPr>
          <w:i/>
          <w:sz w:val="24"/>
          <w:szCs w:val="24"/>
        </w:rPr>
        <w:t xml:space="preserve"> </w:t>
      </w:r>
      <w:r>
        <w:rPr>
          <w:i/>
          <w:sz w:val="24"/>
          <w:szCs w:val="24"/>
        </w:rPr>
        <w:t>Manufacturers’ s</w:t>
      </w:r>
      <w:r w:rsidRPr="008A1537">
        <w:rPr>
          <w:i/>
          <w:sz w:val="24"/>
          <w:szCs w:val="24"/>
        </w:rPr>
        <w:t>ervice</w:t>
      </w:r>
      <w:r w:rsidR="00A44855">
        <w:rPr>
          <w:i/>
          <w:sz w:val="24"/>
          <w:szCs w:val="24"/>
        </w:rPr>
        <w:t>s</w:t>
      </w:r>
      <w:r w:rsidRPr="008A1537">
        <w:rPr>
          <w:i/>
          <w:sz w:val="24"/>
          <w:szCs w:val="24"/>
        </w:rPr>
        <w:t xml:space="preserve"> </w:t>
      </w:r>
      <w:r>
        <w:rPr>
          <w:i/>
          <w:sz w:val="24"/>
          <w:szCs w:val="24"/>
        </w:rPr>
        <w:t xml:space="preserve">strategies </w:t>
      </w:r>
    </w:p>
    <w:p w14:paraId="50A9C9BE" w14:textId="644ACB5A" w:rsidR="002246B2" w:rsidRDefault="00312F75" w:rsidP="00A03085">
      <w:pPr>
        <w:spacing w:after="0" w:line="480" w:lineRule="auto"/>
        <w:jc w:val="both"/>
        <w:rPr>
          <w:sz w:val="24"/>
          <w:szCs w:val="24"/>
        </w:rPr>
      </w:pPr>
      <w:r>
        <w:rPr>
          <w:sz w:val="24"/>
          <w:szCs w:val="24"/>
        </w:rPr>
        <w:t>Many m</w:t>
      </w:r>
      <w:r w:rsidR="009B6640">
        <w:rPr>
          <w:sz w:val="24"/>
          <w:szCs w:val="24"/>
        </w:rPr>
        <w:t>anufacturers</w:t>
      </w:r>
      <w:r w:rsidR="00207D91">
        <w:rPr>
          <w:sz w:val="24"/>
          <w:szCs w:val="24"/>
        </w:rPr>
        <w:t xml:space="preserve"> </w:t>
      </w:r>
      <w:r w:rsidR="009B6640">
        <w:rPr>
          <w:sz w:val="24"/>
          <w:szCs w:val="24"/>
        </w:rPr>
        <w:t xml:space="preserve">are </w:t>
      </w:r>
      <w:r w:rsidR="00207D91">
        <w:rPr>
          <w:sz w:val="24"/>
          <w:szCs w:val="24"/>
        </w:rPr>
        <w:t>striv</w:t>
      </w:r>
      <w:r w:rsidR="009B6640">
        <w:rPr>
          <w:sz w:val="24"/>
          <w:szCs w:val="24"/>
        </w:rPr>
        <w:t>ing</w:t>
      </w:r>
      <w:r w:rsidR="00207D91">
        <w:rPr>
          <w:sz w:val="24"/>
          <w:szCs w:val="24"/>
        </w:rPr>
        <w:t xml:space="preserve"> to transition to </w:t>
      </w:r>
      <w:r>
        <w:rPr>
          <w:sz w:val="24"/>
          <w:szCs w:val="24"/>
        </w:rPr>
        <w:t xml:space="preserve">more </w:t>
      </w:r>
      <w:r w:rsidR="00207D91">
        <w:rPr>
          <w:sz w:val="24"/>
          <w:szCs w:val="24"/>
        </w:rPr>
        <w:t>service</w:t>
      </w:r>
      <w:r>
        <w:rPr>
          <w:sz w:val="24"/>
          <w:szCs w:val="24"/>
        </w:rPr>
        <w:t>-focused</w:t>
      </w:r>
      <w:r w:rsidR="00207D91">
        <w:rPr>
          <w:sz w:val="24"/>
          <w:szCs w:val="24"/>
        </w:rPr>
        <w:t xml:space="preserve"> strategies (Fang, Palmatier </w:t>
      </w:r>
      <w:r w:rsidR="004E1C65">
        <w:rPr>
          <w:sz w:val="24"/>
          <w:szCs w:val="24"/>
        </w:rPr>
        <w:t xml:space="preserve">&amp; </w:t>
      </w:r>
      <w:r w:rsidR="00207D91">
        <w:rPr>
          <w:sz w:val="24"/>
          <w:szCs w:val="24"/>
        </w:rPr>
        <w:t>Steenkamp, 2008)</w:t>
      </w:r>
      <w:r w:rsidR="009B6640">
        <w:rPr>
          <w:sz w:val="24"/>
          <w:szCs w:val="24"/>
        </w:rPr>
        <w:t xml:space="preserve">, yet limited empirical attention has been given to what </w:t>
      </w:r>
      <w:r w:rsidR="00E5369A">
        <w:rPr>
          <w:sz w:val="24"/>
          <w:szCs w:val="24"/>
        </w:rPr>
        <w:t xml:space="preserve">adopting </w:t>
      </w:r>
      <w:r w:rsidR="004C287D">
        <w:rPr>
          <w:sz w:val="24"/>
          <w:szCs w:val="24"/>
        </w:rPr>
        <w:t xml:space="preserve">these might </w:t>
      </w:r>
      <w:r w:rsidR="009B6640">
        <w:rPr>
          <w:sz w:val="24"/>
          <w:szCs w:val="24"/>
        </w:rPr>
        <w:t>entail</w:t>
      </w:r>
      <w:r w:rsidR="00C74298">
        <w:rPr>
          <w:sz w:val="24"/>
          <w:szCs w:val="24"/>
        </w:rPr>
        <w:t>. Most discussion comprises</w:t>
      </w:r>
      <w:r w:rsidR="00207D91">
        <w:rPr>
          <w:sz w:val="24"/>
          <w:szCs w:val="24"/>
        </w:rPr>
        <w:t xml:space="preserve"> high-level description of service</w:t>
      </w:r>
      <w:r>
        <w:rPr>
          <w:sz w:val="24"/>
          <w:szCs w:val="24"/>
        </w:rPr>
        <w:t>s</w:t>
      </w:r>
      <w:r w:rsidR="00207D91">
        <w:rPr>
          <w:sz w:val="24"/>
          <w:szCs w:val="24"/>
        </w:rPr>
        <w:t xml:space="preserve"> strategies (e.g. Oliva </w:t>
      </w:r>
      <w:r w:rsidR="004E1C65">
        <w:rPr>
          <w:sz w:val="24"/>
          <w:szCs w:val="24"/>
        </w:rPr>
        <w:t xml:space="preserve">&amp; </w:t>
      </w:r>
      <w:r w:rsidR="00207D91">
        <w:rPr>
          <w:sz w:val="24"/>
          <w:szCs w:val="24"/>
        </w:rPr>
        <w:t>Kallenberg, 2003; Fang et al., 2008)</w:t>
      </w:r>
      <w:r w:rsidR="00C74298">
        <w:rPr>
          <w:sz w:val="24"/>
          <w:szCs w:val="24"/>
        </w:rPr>
        <w:t xml:space="preserve"> or implicitly assume</w:t>
      </w:r>
      <w:r w:rsidR="00C175AF">
        <w:rPr>
          <w:sz w:val="24"/>
          <w:szCs w:val="24"/>
        </w:rPr>
        <w:t>s</w:t>
      </w:r>
      <w:r w:rsidR="00C74298">
        <w:rPr>
          <w:sz w:val="24"/>
          <w:szCs w:val="24"/>
        </w:rPr>
        <w:t xml:space="preserve"> strategic decisions related to implementing new service offerings will be eas</w:t>
      </w:r>
      <w:r w:rsidR="005415F6">
        <w:rPr>
          <w:sz w:val="24"/>
          <w:szCs w:val="24"/>
        </w:rPr>
        <w:t>y for</w:t>
      </w:r>
      <w:r w:rsidR="00C74298">
        <w:rPr>
          <w:sz w:val="24"/>
          <w:szCs w:val="24"/>
        </w:rPr>
        <w:t xml:space="preserve"> manufacturers</w:t>
      </w:r>
      <w:r w:rsidR="005415F6">
        <w:rPr>
          <w:sz w:val="24"/>
          <w:szCs w:val="24"/>
        </w:rPr>
        <w:t xml:space="preserve"> to execute. Such strategic conu</w:t>
      </w:r>
      <w:r w:rsidR="0082002F">
        <w:rPr>
          <w:sz w:val="24"/>
          <w:szCs w:val="24"/>
        </w:rPr>
        <w:t>n</w:t>
      </w:r>
      <w:r w:rsidR="005415F6">
        <w:rPr>
          <w:sz w:val="24"/>
          <w:szCs w:val="24"/>
        </w:rPr>
        <w:t>drums</w:t>
      </w:r>
      <w:r w:rsidR="00C74298">
        <w:rPr>
          <w:sz w:val="24"/>
          <w:szCs w:val="24"/>
        </w:rPr>
        <w:t xml:space="preserve"> may result in service paradoxes (Brax, 2005</w:t>
      </w:r>
      <w:r>
        <w:rPr>
          <w:sz w:val="24"/>
          <w:szCs w:val="24"/>
        </w:rPr>
        <w:t>;</w:t>
      </w:r>
      <w:r w:rsidR="003F5DC8">
        <w:rPr>
          <w:sz w:val="24"/>
          <w:szCs w:val="24"/>
        </w:rPr>
        <w:t xml:space="preserve"> Neely, 2008</w:t>
      </w:r>
      <w:r w:rsidR="00C74298">
        <w:rPr>
          <w:sz w:val="24"/>
          <w:szCs w:val="24"/>
        </w:rPr>
        <w:t>) and servitization failures</w:t>
      </w:r>
      <w:r w:rsidR="00C175AF">
        <w:rPr>
          <w:sz w:val="24"/>
          <w:szCs w:val="24"/>
        </w:rPr>
        <w:t xml:space="preserve"> (Benedettini, Neely </w:t>
      </w:r>
      <w:r w:rsidR="004E1C65">
        <w:rPr>
          <w:sz w:val="24"/>
          <w:szCs w:val="24"/>
        </w:rPr>
        <w:t xml:space="preserve">&amp; </w:t>
      </w:r>
      <w:r w:rsidR="00C175AF">
        <w:rPr>
          <w:sz w:val="24"/>
          <w:szCs w:val="24"/>
        </w:rPr>
        <w:t>Swink, 2015).</w:t>
      </w:r>
    </w:p>
    <w:p w14:paraId="4E190341" w14:textId="77777777" w:rsidR="002246B2" w:rsidRDefault="002246B2" w:rsidP="00A03085">
      <w:pPr>
        <w:spacing w:after="0" w:line="480" w:lineRule="auto"/>
        <w:jc w:val="both"/>
        <w:rPr>
          <w:sz w:val="24"/>
          <w:szCs w:val="24"/>
        </w:rPr>
      </w:pPr>
    </w:p>
    <w:p w14:paraId="6B56864B" w14:textId="6F609F28" w:rsidR="000A623B" w:rsidRDefault="00F91BF1" w:rsidP="00EB52CB">
      <w:pPr>
        <w:spacing w:after="0" w:line="480" w:lineRule="auto"/>
        <w:jc w:val="both"/>
        <w:rPr>
          <w:sz w:val="24"/>
          <w:szCs w:val="24"/>
        </w:rPr>
      </w:pPr>
      <w:r>
        <w:rPr>
          <w:sz w:val="24"/>
          <w:szCs w:val="24"/>
        </w:rPr>
        <w:t>Mathieu (2001</w:t>
      </w:r>
      <w:r w:rsidR="007E4059">
        <w:rPr>
          <w:sz w:val="24"/>
          <w:szCs w:val="24"/>
        </w:rPr>
        <w:t>b</w:t>
      </w:r>
      <w:r>
        <w:rPr>
          <w:sz w:val="24"/>
          <w:szCs w:val="24"/>
        </w:rPr>
        <w:t xml:space="preserve">) argues that there is a need to move beyond strategies that relate simply to </w:t>
      </w:r>
      <w:r w:rsidR="00312F75">
        <w:rPr>
          <w:sz w:val="24"/>
          <w:szCs w:val="24"/>
        </w:rPr>
        <w:t xml:space="preserve">service </w:t>
      </w:r>
      <w:r>
        <w:rPr>
          <w:sz w:val="24"/>
          <w:szCs w:val="24"/>
        </w:rPr>
        <w:t>offerings,</w:t>
      </w:r>
      <w:r w:rsidR="00207D91">
        <w:rPr>
          <w:sz w:val="24"/>
          <w:szCs w:val="24"/>
        </w:rPr>
        <w:t xml:space="preserve"> </w:t>
      </w:r>
      <w:r w:rsidR="006044FC">
        <w:rPr>
          <w:sz w:val="24"/>
          <w:szCs w:val="24"/>
        </w:rPr>
        <w:t>conceptualising service specificity</w:t>
      </w:r>
      <w:r w:rsidR="006044FC" w:rsidRPr="006044FC">
        <w:rPr>
          <w:sz w:val="24"/>
          <w:szCs w:val="24"/>
        </w:rPr>
        <w:t xml:space="preserve"> </w:t>
      </w:r>
      <w:r w:rsidR="006044FC">
        <w:rPr>
          <w:sz w:val="24"/>
          <w:szCs w:val="24"/>
        </w:rPr>
        <w:t xml:space="preserve">and organisational intensity (how the services impact on the firm) as key dimensions. </w:t>
      </w:r>
      <w:r w:rsidR="00F92105">
        <w:rPr>
          <w:sz w:val="24"/>
          <w:szCs w:val="24"/>
        </w:rPr>
        <w:t>However, consensus about the factors that drive these service</w:t>
      </w:r>
      <w:r w:rsidR="00312F75">
        <w:rPr>
          <w:sz w:val="24"/>
          <w:szCs w:val="24"/>
        </w:rPr>
        <w:t>s</w:t>
      </w:r>
      <w:r w:rsidR="00F92105">
        <w:rPr>
          <w:sz w:val="24"/>
          <w:szCs w:val="24"/>
        </w:rPr>
        <w:t xml:space="preserve"> strategies has not been reached, with </w:t>
      </w:r>
      <w:r w:rsidR="004E19AA" w:rsidRPr="00A44855">
        <w:rPr>
          <w:sz w:val="24"/>
          <w:szCs w:val="24"/>
        </w:rPr>
        <w:t xml:space="preserve">Löfberg Witell </w:t>
      </w:r>
      <w:r w:rsidR="004E1C65">
        <w:rPr>
          <w:sz w:val="24"/>
          <w:szCs w:val="24"/>
        </w:rPr>
        <w:t>&amp;</w:t>
      </w:r>
      <w:r w:rsidR="004E1C65" w:rsidRPr="00A44855">
        <w:rPr>
          <w:sz w:val="24"/>
          <w:szCs w:val="24"/>
        </w:rPr>
        <w:t xml:space="preserve"> </w:t>
      </w:r>
      <w:r w:rsidR="004E19AA" w:rsidRPr="00A44855">
        <w:rPr>
          <w:sz w:val="24"/>
          <w:szCs w:val="24"/>
        </w:rPr>
        <w:t>Gustafsson</w:t>
      </w:r>
      <w:r w:rsidR="004E19AA">
        <w:rPr>
          <w:sz w:val="24"/>
          <w:szCs w:val="24"/>
        </w:rPr>
        <w:t xml:space="preserve"> </w:t>
      </w:r>
      <w:r w:rsidR="00F92105">
        <w:rPr>
          <w:sz w:val="24"/>
          <w:szCs w:val="24"/>
        </w:rPr>
        <w:t>(2010) identifying</w:t>
      </w:r>
      <w:r w:rsidR="004E19AA">
        <w:rPr>
          <w:sz w:val="24"/>
          <w:szCs w:val="24"/>
        </w:rPr>
        <w:t xml:space="preserve"> resource availability and position in the supply chain </w:t>
      </w:r>
      <w:r w:rsidR="00F92105">
        <w:rPr>
          <w:sz w:val="24"/>
          <w:szCs w:val="24"/>
        </w:rPr>
        <w:t>as key</w:t>
      </w:r>
      <w:r w:rsidR="00A44855">
        <w:rPr>
          <w:sz w:val="24"/>
          <w:szCs w:val="24"/>
        </w:rPr>
        <w:t>,</w:t>
      </w:r>
      <w:r w:rsidR="00F92105">
        <w:rPr>
          <w:sz w:val="24"/>
          <w:szCs w:val="24"/>
        </w:rPr>
        <w:t xml:space="preserve"> while</w:t>
      </w:r>
      <w:r w:rsidR="00764797">
        <w:rPr>
          <w:sz w:val="24"/>
          <w:szCs w:val="24"/>
        </w:rPr>
        <w:t xml:space="preserve"> Gebauer</w:t>
      </w:r>
      <w:r w:rsidR="00F92105">
        <w:rPr>
          <w:sz w:val="24"/>
          <w:szCs w:val="24"/>
        </w:rPr>
        <w:t xml:space="preserve">, Paiola </w:t>
      </w:r>
      <w:r w:rsidR="004E1C65">
        <w:rPr>
          <w:sz w:val="24"/>
          <w:szCs w:val="24"/>
        </w:rPr>
        <w:t xml:space="preserve">&amp; </w:t>
      </w:r>
      <w:r w:rsidR="00F92105">
        <w:rPr>
          <w:sz w:val="24"/>
          <w:szCs w:val="24"/>
        </w:rPr>
        <w:t>Edvardsson</w:t>
      </w:r>
      <w:r w:rsidR="00764797">
        <w:rPr>
          <w:sz w:val="24"/>
          <w:szCs w:val="24"/>
        </w:rPr>
        <w:t xml:space="preserve"> (2010) argue that value chain position and business environment are the driving factors of service strategy.</w:t>
      </w:r>
      <w:r w:rsidR="00F92105">
        <w:rPr>
          <w:sz w:val="24"/>
          <w:szCs w:val="24"/>
        </w:rPr>
        <w:t xml:space="preserve"> </w:t>
      </w:r>
      <w:r w:rsidR="0094212E">
        <w:rPr>
          <w:sz w:val="24"/>
          <w:szCs w:val="24"/>
        </w:rPr>
        <w:t>Despite the importance of a manufacturer’s specific services strategy to its servitization efforts, it is perhaps surprising that o</w:t>
      </w:r>
      <w:r w:rsidR="005057EF">
        <w:rPr>
          <w:sz w:val="24"/>
          <w:szCs w:val="24"/>
        </w:rPr>
        <w:t>nly t</w:t>
      </w:r>
      <w:r w:rsidR="002F542D">
        <w:rPr>
          <w:sz w:val="24"/>
          <w:szCs w:val="24"/>
        </w:rPr>
        <w:t xml:space="preserve">wo </w:t>
      </w:r>
      <w:r w:rsidR="0011013D">
        <w:rPr>
          <w:sz w:val="24"/>
          <w:szCs w:val="24"/>
        </w:rPr>
        <w:t>service</w:t>
      </w:r>
      <w:r w:rsidR="00C94F31">
        <w:rPr>
          <w:sz w:val="24"/>
          <w:szCs w:val="24"/>
        </w:rPr>
        <w:t>s</w:t>
      </w:r>
      <w:r w:rsidR="0011013D">
        <w:rPr>
          <w:sz w:val="24"/>
          <w:szCs w:val="24"/>
        </w:rPr>
        <w:t xml:space="preserve"> strategy </w:t>
      </w:r>
      <w:r w:rsidR="002F542D">
        <w:rPr>
          <w:sz w:val="24"/>
          <w:szCs w:val="24"/>
        </w:rPr>
        <w:t xml:space="preserve">typologies </w:t>
      </w:r>
      <w:r w:rsidR="00D95293">
        <w:rPr>
          <w:sz w:val="24"/>
          <w:szCs w:val="24"/>
        </w:rPr>
        <w:t xml:space="preserve">have been </w:t>
      </w:r>
      <w:r w:rsidR="002F542D">
        <w:rPr>
          <w:sz w:val="24"/>
          <w:szCs w:val="24"/>
        </w:rPr>
        <w:t>developed</w:t>
      </w:r>
      <w:r w:rsidR="0094212E">
        <w:rPr>
          <w:sz w:val="24"/>
          <w:szCs w:val="24"/>
        </w:rPr>
        <w:t xml:space="preserve"> (i.e., Gebauer, 2008; Raddats &amp; Kowalkowski, 2014), which </w:t>
      </w:r>
      <w:r w:rsidR="002F542D">
        <w:rPr>
          <w:sz w:val="24"/>
          <w:szCs w:val="24"/>
        </w:rPr>
        <w:t>us</w:t>
      </w:r>
      <w:r w:rsidR="0094212E">
        <w:rPr>
          <w:sz w:val="24"/>
          <w:szCs w:val="24"/>
        </w:rPr>
        <w:t>e</w:t>
      </w:r>
      <w:r w:rsidR="002F542D">
        <w:rPr>
          <w:sz w:val="24"/>
          <w:szCs w:val="24"/>
        </w:rPr>
        <w:t xml:space="preserve"> large samples</w:t>
      </w:r>
      <w:r w:rsidR="00D73515">
        <w:rPr>
          <w:sz w:val="24"/>
          <w:szCs w:val="24"/>
        </w:rPr>
        <w:t xml:space="preserve"> covering a range of </w:t>
      </w:r>
      <w:r w:rsidR="00A97B5D">
        <w:rPr>
          <w:sz w:val="24"/>
          <w:szCs w:val="24"/>
        </w:rPr>
        <w:t xml:space="preserve">sectors, </w:t>
      </w:r>
      <w:r w:rsidR="00207D91">
        <w:rPr>
          <w:sz w:val="24"/>
          <w:szCs w:val="24"/>
        </w:rPr>
        <w:t xml:space="preserve">suggesting </w:t>
      </w:r>
      <w:r w:rsidR="00A97B5D">
        <w:rPr>
          <w:sz w:val="24"/>
          <w:szCs w:val="24"/>
        </w:rPr>
        <w:t>that they have applicability to a wide cross-section of manufacturers</w:t>
      </w:r>
      <w:r w:rsidR="001231D5">
        <w:rPr>
          <w:sz w:val="24"/>
          <w:szCs w:val="24"/>
        </w:rPr>
        <w:t>.</w:t>
      </w:r>
      <w:r w:rsidR="0011013D">
        <w:rPr>
          <w:sz w:val="24"/>
          <w:szCs w:val="24"/>
        </w:rPr>
        <w:t xml:space="preserve"> </w:t>
      </w:r>
    </w:p>
    <w:p w14:paraId="6B72B7AE" w14:textId="77777777" w:rsidR="00A44855" w:rsidRDefault="00A44855" w:rsidP="00EB52CB">
      <w:pPr>
        <w:spacing w:after="0" w:line="480" w:lineRule="auto"/>
        <w:jc w:val="both"/>
        <w:rPr>
          <w:sz w:val="24"/>
          <w:szCs w:val="24"/>
        </w:rPr>
      </w:pPr>
    </w:p>
    <w:p w14:paraId="1B6DE157" w14:textId="71229B6B" w:rsidR="00EB52CB" w:rsidRDefault="00EB52CB" w:rsidP="00EB52CB">
      <w:pPr>
        <w:spacing w:after="0" w:line="480" w:lineRule="auto"/>
        <w:jc w:val="both"/>
        <w:rPr>
          <w:sz w:val="24"/>
          <w:szCs w:val="24"/>
        </w:rPr>
      </w:pPr>
      <w:r>
        <w:rPr>
          <w:sz w:val="24"/>
          <w:szCs w:val="24"/>
        </w:rPr>
        <w:t xml:space="preserve">Gebauer (2008) </w:t>
      </w:r>
      <w:r w:rsidR="00BD1E66">
        <w:rPr>
          <w:sz w:val="24"/>
          <w:szCs w:val="24"/>
        </w:rPr>
        <w:t>identifies four groupings of manufacturers that follow different service</w:t>
      </w:r>
      <w:r w:rsidR="00312F75">
        <w:rPr>
          <w:sz w:val="24"/>
          <w:szCs w:val="24"/>
        </w:rPr>
        <w:t>s</w:t>
      </w:r>
      <w:r w:rsidR="00BD1E66">
        <w:rPr>
          <w:sz w:val="24"/>
          <w:szCs w:val="24"/>
        </w:rPr>
        <w:t xml:space="preserve"> strategies</w:t>
      </w:r>
      <w:r w:rsidR="00BE1A09">
        <w:rPr>
          <w:sz w:val="24"/>
          <w:szCs w:val="24"/>
        </w:rPr>
        <w:t xml:space="preserve">: </w:t>
      </w:r>
      <w:r w:rsidR="00056B36">
        <w:rPr>
          <w:sz w:val="24"/>
          <w:szCs w:val="24"/>
        </w:rPr>
        <w:t xml:space="preserve">after-sales service providers (ASPs), customer support providers (CSPs), outsourcing partners (OPs) and development partners (DPs). </w:t>
      </w:r>
      <w:r w:rsidR="00BD1E66">
        <w:rPr>
          <w:sz w:val="24"/>
          <w:szCs w:val="24"/>
        </w:rPr>
        <w:t xml:space="preserve">These </w:t>
      </w:r>
      <w:r w:rsidR="00312F75">
        <w:rPr>
          <w:sz w:val="24"/>
          <w:szCs w:val="24"/>
        </w:rPr>
        <w:t xml:space="preserve">‘strategies’ </w:t>
      </w:r>
      <w:r w:rsidR="00BD1E66">
        <w:rPr>
          <w:sz w:val="24"/>
          <w:szCs w:val="24"/>
        </w:rPr>
        <w:t>appear to</w:t>
      </w:r>
      <w:r>
        <w:rPr>
          <w:sz w:val="24"/>
          <w:szCs w:val="24"/>
        </w:rPr>
        <w:t xml:space="preserve"> equate to categories of service offering</w:t>
      </w:r>
      <w:r w:rsidR="00312F75">
        <w:rPr>
          <w:sz w:val="24"/>
          <w:szCs w:val="24"/>
        </w:rPr>
        <w:t>s</w:t>
      </w:r>
      <w:r>
        <w:rPr>
          <w:sz w:val="24"/>
          <w:szCs w:val="24"/>
        </w:rPr>
        <w:t xml:space="preserve"> (e.g., </w:t>
      </w:r>
      <w:r w:rsidR="00A92D4E">
        <w:rPr>
          <w:sz w:val="24"/>
          <w:szCs w:val="24"/>
        </w:rPr>
        <w:t>OPs offer operational services</w:t>
      </w:r>
      <w:r>
        <w:rPr>
          <w:sz w:val="24"/>
          <w:szCs w:val="24"/>
        </w:rPr>
        <w:t xml:space="preserve">), in that they do not address strategies that include multiple categories of service offerings. </w:t>
      </w:r>
      <w:r w:rsidR="0098306D">
        <w:rPr>
          <w:sz w:val="24"/>
          <w:szCs w:val="24"/>
        </w:rPr>
        <w:t xml:space="preserve">Thus, Gebauer’s (2008) typology </w:t>
      </w:r>
      <w:r w:rsidR="00965457">
        <w:rPr>
          <w:sz w:val="24"/>
          <w:szCs w:val="24"/>
        </w:rPr>
        <w:t>appears</w:t>
      </w:r>
      <w:r w:rsidR="00312F75">
        <w:rPr>
          <w:sz w:val="24"/>
          <w:szCs w:val="24"/>
        </w:rPr>
        <w:t xml:space="preserve"> </w:t>
      </w:r>
      <w:r w:rsidR="0098306D">
        <w:rPr>
          <w:sz w:val="24"/>
          <w:szCs w:val="24"/>
        </w:rPr>
        <w:t xml:space="preserve">simplistic in that it contains only one </w:t>
      </w:r>
      <w:r w:rsidR="00312F75">
        <w:rPr>
          <w:sz w:val="24"/>
          <w:szCs w:val="24"/>
        </w:rPr>
        <w:t xml:space="preserve">category of </w:t>
      </w:r>
      <w:r w:rsidR="0098306D">
        <w:rPr>
          <w:sz w:val="24"/>
          <w:szCs w:val="24"/>
        </w:rPr>
        <w:t xml:space="preserve">service offering in each </w:t>
      </w:r>
      <w:r w:rsidR="00312F75">
        <w:rPr>
          <w:sz w:val="24"/>
          <w:szCs w:val="24"/>
        </w:rPr>
        <w:t>services strategy</w:t>
      </w:r>
      <w:r w:rsidR="0098306D">
        <w:rPr>
          <w:sz w:val="24"/>
          <w:szCs w:val="24"/>
        </w:rPr>
        <w:t xml:space="preserve">, </w:t>
      </w:r>
      <w:r w:rsidR="00E540EA">
        <w:rPr>
          <w:sz w:val="24"/>
          <w:szCs w:val="24"/>
        </w:rPr>
        <w:t xml:space="preserve">and is, therefore, </w:t>
      </w:r>
      <w:r w:rsidR="008E6C51" w:rsidRPr="0098306D">
        <w:rPr>
          <w:sz w:val="24"/>
          <w:szCs w:val="24"/>
        </w:rPr>
        <w:t xml:space="preserve">similar to service offering typologies proposed by Tukker (2004) and Baines </w:t>
      </w:r>
      <w:r w:rsidR="004E1C65">
        <w:rPr>
          <w:sz w:val="24"/>
          <w:szCs w:val="24"/>
        </w:rPr>
        <w:t>&amp;</w:t>
      </w:r>
      <w:r w:rsidR="004E1C65" w:rsidRPr="0098306D">
        <w:rPr>
          <w:sz w:val="24"/>
          <w:szCs w:val="24"/>
        </w:rPr>
        <w:t xml:space="preserve"> </w:t>
      </w:r>
      <w:r w:rsidR="008E6C51" w:rsidRPr="0098306D">
        <w:rPr>
          <w:sz w:val="24"/>
          <w:szCs w:val="24"/>
        </w:rPr>
        <w:t>Lightfoot (2014).</w:t>
      </w:r>
    </w:p>
    <w:p w14:paraId="64F11CCF" w14:textId="77777777" w:rsidR="009F6AA6" w:rsidRDefault="009F6AA6" w:rsidP="00A03085">
      <w:pPr>
        <w:spacing w:after="0" w:line="480" w:lineRule="auto"/>
        <w:jc w:val="both"/>
        <w:rPr>
          <w:sz w:val="24"/>
          <w:szCs w:val="24"/>
        </w:rPr>
      </w:pPr>
    </w:p>
    <w:p w14:paraId="3522614D" w14:textId="50854BCE" w:rsidR="00C4753A" w:rsidRPr="00C4753A" w:rsidRDefault="00F76771" w:rsidP="00C4753A">
      <w:pPr>
        <w:spacing w:after="0" w:line="480" w:lineRule="auto"/>
        <w:jc w:val="both"/>
        <w:rPr>
          <w:sz w:val="24"/>
          <w:szCs w:val="24"/>
        </w:rPr>
      </w:pPr>
      <w:r>
        <w:rPr>
          <w:sz w:val="24"/>
          <w:szCs w:val="24"/>
        </w:rPr>
        <w:t xml:space="preserve">Although it </w:t>
      </w:r>
      <w:r w:rsidR="001D71C9">
        <w:rPr>
          <w:sz w:val="24"/>
          <w:szCs w:val="24"/>
        </w:rPr>
        <w:t>could be</w:t>
      </w:r>
      <w:r>
        <w:rPr>
          <w:sz w:val="24"/>
          <w:szCs w:val="24"/>
        </w:rPr>
        <w:t xml:space="preserve"> question</w:t>
      </w:r>
      <w:r w:rsidR="001D71C9">
        <w:rPr>
          <w:sz w:val="24"/>
          <w:szCs w:val="24"/>
        </w:rPr>
        <w:t>ed</w:t>
      </w:r>
      <w:r w:rsidR="001A5590">
        <w:rPr>
          <w:sz w:val="24"/>
          <w:szCs w:val="24"/>
        </w:rPr>
        <w:t xml:space="preserve"> </w:t>
      </w:r>
      <w:r w:rsidR="001D71C9">
        <w:rPr>
          <w:sz w:val="24"/>
          <w:szCs w:val="24"/>
        </w:rPr>
        <w:t xml:space="preserve">whether </w:t>
      </w:r>
      <w:r w:rsidR="0011013D">
        <w:rPr>
          <w:sz w:val="24"/>
          <w:szCs w:val="24"/>
        </w:rPr>
        <w:t xml:space="preserve">Raddats </w:t>
      </w:r>
      <w:r w:rsidR="004E1C65">
        <w:rPr>
          <w:sz w:val="24"/>
          <w:szCs w:val="24"/>
        </w:rPr>
        <w:t xml:space="preserve">&amp; </w:t>
      </w:r>
      <w:r w:rsidR="0011013D">
        <w:rPr>
          <w:sz w:val="24"/>
          <w:szCs w:val="24"/>
        </w:rPr>
        <w:t>Kowalkowski (2014</w:t>
      </w:r>
      <w:r w:rsidR="00E540EA">
        <w:rPr>
          <w:sz w:val="24"/>
          <w:szCs w:val="24"/>
        </w:rPr>
        <w:t>)</w:t>
      </w:r>
      <w:r>
        <w:rPr>
          <w:sz w:val="24"/>
          <w:szCs w:val="24"/>
        </w:rPr>
        <w:t xml:space="preserve"> </w:t>
      </w:r>
      <w:r w:rsidR="001D71C9">
        <w:rPr>
          <w:sz w:val="24"/>
          <w:szCs w:val="24"/>
        </w:rPr>
        <w:t>present</w:t>
      </w:r>
      <w:r>
        <w:rPr>
          <w:sz w:val="24"/>
          <w:szCs w:val="24"/>
        </w:rPr>
        <w:t xml:space="preserve"> a </w:t>
      </w:r>
      <w:r w:rsidR="001D71C9">
        <w:rPr>
          <w:sz w:val="24"/>
          <w:szCs w:val="24"/>
        </w:rPr>
        <w:t xml:space="preserve">true </w:t>
      </w:r>
      <w:r w:rsidR="00C94F31">
        <w:rPr>
          <w:sz w:val="24"/>
          <w:szCs w:val="24"/>
        </w:rPr>
        <w:t xml:space="preserve">strategy </w:t>
      </w:r>
      <w:r>
        <w:rPr>
          <w:sz w:val="24"/>
          <w:szCs w:val="24"/>
        </w:rPr>
        <w:t xml:space="preserve">typology, </w:t>
      </w:r>
      <w:r w:rsidR="00C94F31">
        <w:rPr>
          <w:sz w:val="24"/>
          <w:szCs w:val="24"/>
        </w:rPr>
        <w:t xml:space="preserve">it </w:t>
      </w:r>
      <w:r>
        <w:rPr>
          <w:sz w:val="24"/>
          <w:szCs w:val="24"/>
        </w:rPr>
        <w:t xml:space="preserve">does </w:t>
      </w:r>
      <w:r w:rsidR="001D71C9">
        <w:rPr>
          <w:sz w:val="24"/>
          <w:szCs w:val="24"/>
        </w:rPr>
        <w:t xml:space="preserve">offer a typology of strategies that </w:t>
      </w:r>
      <w:r w:rsidR="00D92FB3">
        <w:rPr>
          <w:sz w:val="24"/>
          <w:szCs w:val="24"/>
        </w:rPr>
        <w:t>cater</w:t>
      </w:r>
      <w:r w:rsidR="001D71C9">
        <w:rPr>
          <w:sz w:val="24"/>
          <w:szCs w:val="24"/>
        </w:rPr>
        <w:t>s</w:t>
      </w:r>
      <w:r w:rsidR="00D92FB3">
        <w:rPr>
          <w:sz w:val="24"/>
          <w:szCs w:val="24"/>
        </w:rPr>
        <w:t xml:space="preserve"> for multiple categories of service offerings; seen as necessary to deal with diverse customer needs (</w:t>
      </w:r>
      <w:r w:rsidR="001121C0" w:rsidRPr="00FD5F60">
        <w:rPr>
          <w:sz w:val="24"/>
          <w:szCs w:val="24"/>
        </w:rPr>
        <w:t xml:space="preserve">Rabetino, Kohtamäki, </w:t>
      </w:r>
      <w:r w:rsidR="001121C0">
        <w:rPr>
          <w:sz w:val="24"/>
          <w:szCs w:val="24"/>
        </w:rPr>
        <w:t>Lehtonen</w:t>
      </w:r>
      <w:r w:rsidR="001121C0" w:rsidRPr="00FD5F60">
        <w:rPr>
          <w:sz w:val="24"/>
          <w:szCs w:val="24"/>
        </w:rPr>
        <w:t xml:space="preserve"> </w:t>
      </w:r>
      <w:r w:rsidR="001121C0">
        <w:rPr>
          <w:sz w:val="24"/>
          <w:szCs w:val="24"/>
        </w:rPr>
        <w:t>&amp;</w:t>
      </w:r>
      <w:r w:rsidR="001121C0" w:rsidRPr="00FD5F60">
        <w:rPr>
          <w:sz w:val="24"/>
          <w:szCs w:val="24"/>
        </w:rPr>
        <w:t xml:space="preserve"> Kostama</w:t>
      </w:r>
      <w:r w:rsidR="001121C0">
        <w:rPr>
          <w:sz w:val="24"/>
          <w:szCs w:val="24"/>
        </w:rPr>
        <w:t>,</w:t>
      </w:r>
      <w:r w:rsidR="001121C0" w:rsidDel="001121C0">
        <w:rPr>
          <w:sz w:val="24"/>
          <w:szCs w:val="24"/>
        </w:rPr>
        <w:t xml:space="preserve"> </w:t>
      </w:r>
      <w:r w:rsidR="00D92FB3">
        <w:rPr>
          <w:sz w:val="24"/>
          <w:szCs w:val="24"/>
        </w:rPr>
        <w:t xml:space="preserve">2015). Raddats </w:t>
      </w:r>
      <w:r w:rsidR="004E1C65">
        <w:rPr>
          <w:sz w:val="24"/>
          <w:szCs w:val="24"/>
        </w:rPr>
        <w:t xml:space="preserve">&amp; </w:t>
      </w:r>
      <w:r w:rsidR="00D92FB3">
        <w:rPr>
          <w:sz w:val="24"/>
          <w:szCs w:val="24"/>
        </w:rPr>
        <w:t xml:space="preserve">Kowalkowski (2014) </w:t>
      </w:r>
      <w:r w:rsidR="00420D41">
        <w:rPr>
          <w:sz w:val="24"/>
          <w:szCs w:val="24"/>
        </w:rPr>
        <w:t xml:space="preserve">identify </w:t>
      </w:r>
      <w:r w:rsidR="00AD760D">
        <w:rPr>
          <w:sz w:val="24"/>
          <w:szCs w:val="24"/>
        </w:rPr>
        <w:t xml:space="preserve">three </w:t>
      </w:r>
      <w:r w:rsidR="000A623B">
        <w:rPr>
          <w:sz w:val="24"/>
          <w:szCs w:val="24"/>
        </w:rPr>
        <w:t>clusters of firms</w:t>
      </w:r>
      <w:r w:rsidR="001A5590">
        <w:rPr>
          <w:sz w:val="24"/>
          <w:szCs w:val="24"/>
        </w:rPr>
        <w:t>:</w:t>
      </w:r>
      <w:r w:rsidR="000A623B">
        <w:rPr>
          <w:sz w:val="24"/>
          <w:szCs w:val="24"/>
        </w:rPr>
        <w:t xml:space="preserve"> ‘</w:t>
      </w:r>
      <w:r w:rsidR="004A1EE5" w:rsidRPr="00B3142D">
        <w:rPr>
          <w:sz w:val="24"/>
          <w:szCs w:val="24"/>
        </w:rPr>
        <w:t>doubters</w:t>
      </w:r>
      <w:r w:rsidR="004A1EE5">
        <w:rPr>
          <w:sz w:val="24"/>
          <w:szCs w:val="24"/>
        </w:rPr>
        <w:t>’</w:t>
      </w:r>
      <w:r w:rsidR="001A5590">
        <w:rPr>
          <w:rStyle w:val="CommentReference"/>
        </w:rPr>
        <w:t xml:space="preserve"> </w:t>
      </w:r>
      <w:r w:rsidR="00DB4AFD">
        <w:rPr>
          <w:sz w:val="24"/>
          <w:szCs w:val="24"/>
        </w:rPr>
        <w:t>(</w:t>
      </w:r>
      <w:r w:rsidR="0094212E">
        <w:rPr>
          <w:sz w:val="24"/>
          <w:szCs w:val="24"/>
        </w:rPr>
        <w:t>view</w:t>
      </w:r>
      <w:r w:rsidR="001121C0">
        <w:rPr>
          <w:sz w:val="24"/>
          <w:szCs w:val="24"/>
        </w:rPr>
        <w:t xml:space="preserve"> </w:t>
      </w:r>
      <w:r w:rsidR="000F5C7E">
        <w:rPr>
          <w:sz w:val="24"/>
          <w:szCs w:val="24"/>
        </w:rPr>
        <w:t xml:space="preserve">services </w:t>
      </w:r>
      <w:r w:rsidR="001121C0">
        <w:rPr>
          <w:sz w:val="24"/>
          <w:szCs w:val="24"/>
        </w:rPr>
        <w:t xml:space="preserve">as </w:t>
      </w:r>
      <w:r w:rsidR="000F5C7E">
        <w:rPr>
          <w:sz w:val="24"/>
          <w:szCs w:val="24"/>
        </w:rPr>
        <w:t xml:space="preserve">a </w:t>
      </w:r>
      <w:r w:rsidR="0094212E">
        <w:rPr>
          <w:sz w:val="24"/>
          <w:szCs w:val="24"/>
        </w:rPr>
        <w:t xml:space="preserve">weak </w:t>
      </w:r>
      <w:r w:rsidR="000F5C7E">
        <w:rPr>
          <w:sz w:val="24"/>
          <w:szCs w:val="24"/>
        </w:rPr>
        <w:t xml:space="preserve">differentiating factor and consequently </w:t>
      </w:r>
      <w:r w:rsidR="00860285" w:rsidRPr="00B3142D">
        <w:rPr>
          <w:sz w:val="24"/>
          <w:szCs w:val="24"/>
        </w:rPr>
        <w:t>offer very few services</w:t>
      </w:r>
      <w:r w:rsidR="001A5590">
        <w:rPr>
          <w:sz w:val="24"/>
          <w:szCs w:val="24"/>
        </w:rPr>
        <w:t>)</w:t>
      </w:r>
      <w:r w:rsidR="000F5C7E">
        <w:rPr>
          <w:sz w:val="24"/>
          <w:szCs w:val="24"/>
        </w:rPr>
        <w:t>;</w:t>
      </w:r>
      <w:r w:rsidR="00860285">
        <w:rPr>
          <w:sz w:val="24"/>
          <w:szCs w:val="24"/>
        </w:rPr>
        <w:t xml:space="preserve"> </w:t>
      </w:r>
      <w:r w:rsidR="00750269">
        <w:rPr>
          <w:sz w:val="24"/>
          <w:szCs w:val="24"/>
        </w:rPr>
        <w:t>‘</w:t>
      </w:r>
      <w:r w:rsidR="00860285">
        <w:rPr>
          <w:sz w:val="24"/>
          <w:szCs w:val="24"/>
        </w:rPr>
        <w:t>pragmatists</w:t>
      </w:r>
      <w:r w:rsidR="00750269">
        <w:rPr>
          <w:sz w:val="24"/>
          <w:szCs w:val="24"/>
        </w:rPr>
        <w:t>’</w:t>
      </w:r>
      <w:r w:rsidR="001A5590">
        <w:rPr>
          <w:sz w:val="24"/>
          <w:szCs w:val="24"/>
        </w:rPr>
        <w:t xml:space="preserve"> (</w:t>
      </w:r>
      <w:r w:rsidR="008E6C51">
        <w:rPr>
          <w:sz w:val="24"/>
          <w:szCs w:val="24"/>
        </w:rPr>
        <w:t>view</w:t>
      </w:r>
      <w:r w:rsidR="00BC6990">
        <w:rPr>
          <w:sz w:val="24"/>
          <w:szCs w:val="24"/>
        </w:rPr>
        <w:t xml:space="preserve"> services as an approach to creating greater product differentiation and </w:t>
      </w:r>
      <w:r w:rsidR="00860285">
        <w:rPr>
          <w:sz w:val="24"/>
          <w:szCs w:val="24"/>
        </w:rPr>
        <w:t>primarily provid</w:t>
      </w:r>
      <w:r w:rsidR="008D7ED9">
        <w:rPr>
          <w:sz w:val="24"/>
          <w:szCs w:val="24"/>
        </w:rPr>
        <w:t xml:space="preserve">e </w:t>
      </w:r>
      <w:r w:rsidR="00AD760D">
        <w:rPr>
          <w:sz w:val="24"/>
          <w:szCs w:val="24"/>
        </w:rPr>
        <w:t xml:space="preserve">SSPs </w:t>
      </w:r>
      <w:r w:rsidR="00860285">
        <w:rPr>
          <w:sz w:val="24"/>
          <w:szCs w:val="24"/>
        </w:rPr>
        <w:t>for their own products</w:t>
      </w:r>
      <w:r w:rsidR="001A5590">
        <w:rPr>
          <w:sz w:val="24"/>
          <w:szCs w:val="24"/>
        </w:rPr>
        <w:t>)</w:t>
      </w:r>
      <w:r w:rsidR="00534034">
        <w:rPr>
          <w:sz w:val="24"/>
          <w:szCs w:val="24"/>
        </w:rPr>
        <w:t xml:space="preserve">; </w:t>
      </w:r>
      <w:r w:rsidR="00750269">
        <w:rPr>
          <w:sz w:val="24"/>
          <w:szCs w:val="24"/>
        </w:rPr>
        <w:t>‘</w:t>
      </w:r>
      <w:r w:rsidR="00860285">
        <w:rPr>
          <w:sz w:val="24"/>
          <w:szCs w:val="24"/>
        </w:rPr>
        <w:t>enthusiasts</w:t>
      </w:r>
      <w:r w:rsidR="00750269">
        <w:rPr>
          <w:sz w:val="24"/>
          <w:szCs w:val="24"/>
        </w:rPr>
        <w:t>’</w:t>
      </w:r>
      <w:r w:rsidR="001A5590">
        <w:rPr>
          <w:sz w:val="24"/>
          <w:szCs w:val="24"/>
        </w:rPr>
        <w:t xml:space="preserve"> (</w:t>
      </w:r>
      <w:r w:rsidR="00BC6990">
        <w:rPr>
          <w:sz w:val="24"/>
          <w:szCs w:val="24"/>
        </w:rPr>
        <w:t xml:space="preserve">view services as a </w:t>
      </w:r>
      <w:r w:rsidR="001D71C9">
        <w:rPr>
          <w:sz w:val="24"/>
          <w:szCs w:val="24"/>
        </w:rPr>
        <w:t xml:space="preserve">key </w:t>
      </w:r>
      <w:r w:rsidR="00BC6990">
        <w:rPr>
          <w:sz w:val="24"/>
          <w:szCs w:val="24"/>
        </w:rPr>
        <w:t xml:space="preserve">growth strategy and </w:t>
      </w:r>
      <w:r w:rsidR="00860285">
        <w:rPr>
          <w:sz w:val="24"/>
          <w:szCs w:val="24"/>
        </w:rPr>
        <w:t xml:space="preserve">offer </w:t>
      </w:r>
      <w:r w:rsidR="00AD760D">
        <w:rPr>
          <w:sz w:val="24"/>
          <w:szCs w:val="24"/>
        </w:rPr>
        <w:t xml:space="preserve">SSPs and SSCs </w:t>
      </w:r>
      <w:r w:rsidR="00BC6990">
        <w:rPr>
          <w:sz w:val="24"/>
          <w:szCs w:val="24"/>
        </w:rPr>
        <w:t>for</w:t>
      </w:r>
      <w:r w:rsidR="00860285">
        <w:rPr>
          <w:sz w:val="24"/>
          <w:szCs w:val="24"/>
        </w:rPr>
        <w:t xml:space="preserve"> </w:t>
      </w:r>
      <w:r w:rsidR="00500BEC">
        <w:rPr>
          <w:sz w:val="24"/>
          <w:szCs w:val="24"/>
        </w:rPr>
        <w:t xml:space="preserve">their own and other vendors’ </w:t>
      </w:r>
      <w:r w:rsidR="00860285">
        <w:rPr>
          <w:sz w:val="24"/>
          <w:szCs w:val="24"/>
        </w:rPr>
        <w:t>products</w:t>
      </w:r>
      <w:r w:rsidR="001A5590">
        <w:rPr>
          <w:sz w:val="24"/>
          <w:szCs w:val="24"/>
        </w:rPr>
        <w:t>)</w:t>
      </w:r>
      <w:r w:rsidR="0011013D">
        <w:rPr>
          <w:sz w:val="24"/>
          <w:szCs w:val="24"/>
        </w:rPr>
        <w:t>.</w:t>
      </w:r>
      <w:r w:rsidR="005A04F9">
        <w:rPr>
          <w:sz w:val="24"/>
          <w:szCs w:val="24"/>
        </w:rPr>
        <w:t xml:space="preserve"> </w:t>
      </w:r>
      <w:r w:rsidR="000A623B">
        <w:rPr>
          <w:sz w:val="24"/>
          <w:szCs w:val="24"/>
        </w:rPr>
        <w:t xml:space="preserve">These clusters appear to be indicative of the underlying </w:t>
      </w:r>
      <w:r w:rsidR="005525D1">
        <w:rPr>
          <w:sz w:val="24"/>
          <w:szCs w:val="24"/>
        </w:rPr>
        <w:t>strategic approach</w:t>
      </w:r>
      <w:r w:rsidR="001B7CAF">
        <w:rPr>
          <w:sz w:val="24"/>
          <w:szCs w:val="24"/>
        </w:rPr>
        <w:t>es</w:t>
      </w:r>
      <w:r w:rsidR="005525D1">
        <w:rPr>
          <w:sz w:val="24"/>
          <w:szCs w:val="24"/>
        </w:rPr>
        <w:t xml:space="preserve"> to the development of </w:t>
      </w:r>
      <w:r w:rsidR="000A623B">
        <w:rPr>
          <w:sz w:val="24"/>
          <w:szCs w:val="24"/>
        </w:rPr>
        <w:t xml:space="preserve">service </w:t>
      </w:r>
      <w:r w:rsidR="005525D1">
        <w:rPr>
          <w:sz w:val="24"/>
          <w:szCs w:val="24"/>
        </w:rPr>
        <w:t>offering</w:t>
      </w:r>
      <w:r w:rsidR="001D71C9">
        <w:rPr>
          <w:sz w:val="24"/>
          <w:szCs w:val="24"/>
        </w:rPr>
        <w:t xml:space="preserve"> portfolios</w:t>
      </w:r>
      <w:r w:rsidR="005525D1">
        <w:rPr>
          <w:sz w:val="24"/>
          <w:szCs w:val="24"/>
        </w:rPr>
        <w:t xml:space="preserve"> </w:t>
      </w:r>
      <w:r w:rsidR="001B7CAF">
        <w:rPr>
          <w:sz w:val="24"/>
          <w:szCs w:val="24"/>
        </w:rPr>
        <w:t>by</w:t>
      </w:r>
      <w:r w:rsidR="005525D1">
        <w:rPr>
          <w:sz w:val="24"/>
          <w:szCs w:val="24"/>
        </w:rPr>
        <w:t xml:space="preserve"> </w:t>
      </w:r>
      <w:r w:rsidR="000A623B">
        <w:rPr>
          <w:sz w:val="24"/>
          <w:szCs w:val="24"/>
        </w:rPr>
        <w:t>these firms</w:t>
      </w:r>
      <w:r w:rsidR="00E540EA">
        <w:rPr>
          <w:sz w:val="24"/>
          <w:szCs w:val="24"/>
        </w:rPr>
        <w:t>,</w:t>
      </w:r>
      <w:r w:rsidR="00C4753A" w:rsidRPr="00C4753A">
        <w:rPr>
          <w:sz w:val="24"/>
          <w:szCs w:val="24"/>
        </w:rPr>
        <w:t xml:space="preserve"> </w:t>
      </w:r>
      <w:r w:rsidR="00C4753A">
        <w:rPr>
          <w:sz w:val="24"/>
          <w:szCs w:val="24"/>
        </w:rPr>
        <w:t xml:space="preserve">suggesting that </w:t>
      </w:r>
      <w:r w:rsidR="00C4753A" w:rsidRPr="00C4753A">
        <w:rPr>
          <w:sz w:val="24"/>
          <w:szCs w:val="24"/>
        </w:rPr>
        <w:t>a deeper, more nuanced</w:t>
      </w:r>
      <w:r w:rsidR="00C94F31">
        <w:rPr>
          <w:sz w:val="24"/>
          <w:szCs w:val="24"/>
        </w:rPr>
        <w:t>,</w:t>
      </w:r>
      <w:r w:rsidR="00C4753A" w:rsidRPr="00C4753A">
        <w:rPr>
          <w:sz w:val="24"/>
          <w:szCs w:val="24"/>
        </w:rPr>
        <w:t xml:space="preserve"> understanding of these different service</w:t>
      </w:r>
      <w:r w:rsidR="00C4753A">
        <w:rPr>
          <w:sz w:val="24"/>
          <w:szCs w:val="24"/>
        </w:rPr>
        <w:t xml:space="preserve">s </w:t>
      </w:r>
      <w:r w:rsidR="00C4753A" w:rsidRPr="00C4753A">
        <w:rPr>
          <w:sz w:val="24"/>
          <w:szCs w:val="24"/>
        </w:rPr>
        <w:t>strategies</w:t>
      </w:r>
      <w:r w:rsidR="00C4753A">
        <w:rPr>
          <w:sz w:val="24"/>
          <w:szCs w:val="24"/>
        </w:rPr>
        <w:t>, and</w:t>
      </w:r>
      <w:r w:rsidR="00E540EA">
        <w:rPr>
          <w:sz w:val="24"/>
          <w:szCs w:val="24"/>
        </w:rPr>
        <w:t xml:space="preserve"> </w:t>
      </w:r>
      <w:r w:rsidR="00C4753A" w:rsidRPr="00C4753A">
        <w:rPr>
          <w:sz w:val="24"/>
          <w:szCs w:val="24"/>
        </w:rPr>
        <w:t xml:space="preserve">how they affect </w:t>
      </w:r>
      <w:r w:rsidR="00CB4B92">
        <w:rPr>
          <w:sz w:val="24"/>
          <w:szCs w:val="24"/>
        </w:rPr>
        <w:t>NSD</w:t>
      </w:r>
      <w:r w:rsidR="00070F04">
        <w:rPr>
          <w:sz w:val="24"/>
          <w:szCs w:val="24"/>
        </w:rPr>
        <w:t>,</w:t>
      </w:r>
      <w:r w:rsidR="00C4753A" w:rsidRPr="00C4753A">
        <w:rPr>
          <w:sz w:val="24"/>
          <w:szCs w:val="24"/>
        </w:rPr>
        <w:t xml:space="preserve"> </w:t>
      </w:r>
      <w:r w:rsidR="001A5590">
        <w:rPr>
          <w:sz w:val="24"/>
          <w:szCs w:val="24"/>
        </w:rPr>
        <w:t>is needed</w:t>
      </w:r>
      <w:r w:rsidR="00C4753A" w:rsidRPr="00C4753A">
        <w:rPr>
          <w:sz w:val="24"/>
          <w:szCs w:val="24"/>
        </w:rPr>
        <w:t>.</w:t>
      </w:r>
    </w:p>
    <w:p w14:paraId="48E900EA" w14:textId="77777777" w:rsidR="0021461E" w:rsidRDefault="0021461E" w:rsidP="0021461E">
      <w:pPr>
        <w:spacing w:after="0" w:line="480" w:lineRule="auto"/>
        <w:jc w:val="both"/>
        <w:rPr>
          <w:sz w:val="24"/>
          <w:szCs w:val="24"/>
        </w:rPr>
      </w:pPr>
    </w:p>
    <w:p w14:paraId="2DD4F62A" w14:textId="63E14707" w:rsidR="0021461E" w:rsidRDefault="0021461E" w:rsidP="0021461E">
      <w:pPr>
        <w:spacing w:after="0" w:line="480" w:lineRule="auto"/>
        <w:ind w:left="567" w:hanging="567"/>
        <w:jc w:val="both"/>
        <w:rPr>
          <w:i/>
          <w:sz w:val="24"/>
          <w:szCs w:val="24"/>
        </w:rPr>
      </w:pPr>
      <w:r w:rsidRPr="008A260D">
        <w:rPr>
          <w:i/>
          <w:sz w:val="24"/>
          <w:szCs w:val="24"/>
        </w:rPr>
        <w:t>2</w:t>
      </w:r>
      <w:r>
        <w:rPr>
          <w:i/>
          <w:sz w:val="24"/>
          <w:szCs w:val="24"/>
        </w:rPr>
        <w:t>.2</w:t>
      </w:r>
      <w:r w:rsidRPr="008A260D">
        <w:rPr>
          <w:i/>
          <w:sz w:val="24"/>
          <w:szCs w:val="24"/>
        </w:rPr>
        <w:t xml:space="preserve"> </w:t>
      </w:r>
      <w:r>
        <w:rPr>
          <w:i/>
          <w:sz w:val="24"/>
          <w:szCs w:val="24"/>
        </w:rPr>
        <w:tab/>
      </w:r>
      <w:r w:rsidR="008D7ED9">
        <w:rPr>
          <w:i/>
          <w:sz w:val="24"/>
          <w:szCs w:val="24"/>
        </w:rPr>
        <w:t xml:space="preserve">New </w:t>
      </w:r>
      <w:r w:rsidR="00FD2116">
        <w:rPr>
          <w:i/>
          <w:sz w:val="24"/>
          <w:szCs w:val="24"/>
        </w:rPr>
        <w:t>s</w:t>
      </w:r>
      <w:r w:rsidRPr="008A260D">
        <w:rPr>
          <w:i/>
          <w:sz w:val="24"/>
          <w:szCs w:val="24"/>
        </w:rPr>
        <w:t xml:space="preserve">ervice </w:t>
      </w:r>
      <w:r w:rsidR="00FD2116">
        <w:rPr>
          <w:i/>
          <w:sz w:val="24"/>
          <w:szCs w:val="24"/>
        </w:rPr>
        <w:t>d</w:t>
      </w:r>
      <w:r w:rsidR="008D7ED9">
        <w:rPr>
          <w:i/>
          <w:sz w:val="24"/>
          <w:szCs w:val="24"/>
        </w:rPr>
        <w:t>evelopment</w:t>
      </w:r>
      <w:r w:rsidRPr="008A260D">
        <w:rPr>
          <w:i/>
          <w:sz w:val="24"/>
          <w:szCs w:val="24"/>
        </w:rPr>
        <w:t xml:space="preserve"> </w:t>
      </w:r>
      <w:r w:rsidR="00FD2116">
        <w:rPr>
          <w:i/>
          <w:sz w:val="24"/>
          <w:szCs w:val="24"/>
        </w:rPr>
        <w:t>in a manufacturing setting</w:t>
      </w:r>
    </w:p>
    <w:p w14:paraId="7DBC37C9" w14:textId="2148ED38" w:rsidR="0036347E" w:rsidRDefault="00EE6307" w:rsidP="0021461E">
      <w:pPr>
        <w:spacing w:after="0" w:line="480" w:lineRule="auto"/>
        <w:jc w:val="both"/>
        <w:rPr>
          <w:sz w:val="24"/>
          <w:szCs w:val="24"/>
        </w:rPr>
      </w:pPr>
      <w:r>
        <w:rPr>
          <w:sz w:val="24"/>
          <w:szCs w:val="24"/>
          <w:lang w:val="en-US"/>
        </w:rPr>
        <w:t xml:space="preserve">Key to successful servitization is the ability to develop new services/service innovation. </w:t>
      </w:r>
      <w:r w:rsidR="008D6838" w:rsidRPr="003C2A5C">
        <w:rPr>
          <w:sz w:val="24"/>
          <w:szCs w:val="24"/>
          <w:lang w:val="en-US"/>
        </w:rPr>
        <w:t>In this paper</w:t>
      </w:r>
      <w:r w:rsidR="008D6838">
        <w:rPr>
          <w:sz w:val="24"/>
          <w:szCs w:val="24"/>
          <w:lang w:val="en-US"/>
        </w:rPr>
        <w:t xml:space="preserve"> we align to </w:t>
      </w:r>
      <w:r w:rsidR="008D6838" w:rsidRPr="003C2A5C">
        <w:rPr>
          <w:sz w:val="24"/>
          <w:szCs w:val="24"/>
          <w:lang w:val="en-US"/>
        </w:rPr>
        <w:t xml:space="preserve">the </w:t>
      </w:r>
      <w:r w:rsidR="008D6838">
        <w:rPr>
          <w:sz w:val="24"/>
          <w:szCs w:val="24"/>
          <w:lang w:val="en-US"/>
        </w:rPr>
        <w:t xml:space="preserve">mainstream view that service innovation is the </w:t>
      </w:r>
      <w:r w:rsidR="008D6838" w:rsidRPr="003C2A5C">
        <w:rPr>
          <w:sz w:val="24"/>
          <w:szCs w:val="24"/>
          <w:lang w:val="en-US"/>
        </w:rPr>
        <w:t xml:space="preserve">outcome </w:t>
      </w:r>
      <w:r w:rsidR="008D6838">
        <w:rPr>
          <w:sz w:val="24"/>
          <w:szCs w:val="24"/>
          <w:lang w:val="en-US"/>
        </w:rPr>
        <w:t>of NSD efforts (</w:t>
      </w:r>
      <w:r w:rsidR="001121C0" w:rsidRPr="00FD5F60">
        <w:rPr>
          <w:iCs/>
          <w:sz w:val="24"/>
          <w:szCs w:val="24"/>
          <w:lang w:val="en-US"/>
        </w:rPr>
        <w:t>Snyder, Witell, Gustafsson, Fombelle</w:t>
      </w:r>
      <w:r w:rsidR="001121C0">
        <w:rPr>
          <w:iCs/>
          <w:sz w:val="24"/>
          <w:szCs w:val="24"/>
          <w:lang w:val="en-US"/>
        </w:rPr>
        <w:t xml:space="preserve"> &amp; </w:t>
      </w:r>
      <w:r w:rsidR="001121C0" w:rsidRPr="00FD5F60">
        <w:rPr>
          <w:iCs/>
          <w:sz w:val="24"/>
          <w:szCs w:val="24"/>
          <w:lang w:val="en-US"/>
        </w:rPr>
        <w:t xml:space="preserve">Kristensson, </w:t>
      </w:r>
      <w:r w:rsidR="008D6838">
        <w:rPr>
          <w:sz w:val="24"/>
          <w:szCs w:val="24"/>
          <w:lang w:val="en-US"/>
        </w:rPr>
        <w:t>2016).</w:t>
      </w:r>
      <w:r w:rsidR="008D6838" w:rsidRPr="003C2A5C">
        <w:rPr>
          <w:sz w:val="24"/>
          <w:szCs w:val="24"/>
          <w:lang w:val="en-US"/>
        </w:rPr>
        <w:t xml:space="preserve"> </w:t>
      </w:r>
      <w:r w:rsidR="00FA701B" w:rsidRPr="00FA701B">
        <w:rPr>
          <w:sz w:val="24"/>
          <w:szCs w:val="24"/>
        </w:rPr>
        <w:t xml:space="preserve">Within manufacturers it is likely that service innovation will be different to </w:t>
      </w:r>
      <w:r w:rsidR="00E1282B" w:rsidRPr="00FA701B">
        <w:rPr>
          <w:sz w:val="24"/>
          <w:szCs w:val="24"/>
        </w:rPr>
        <w:t>th</w:t>
      </w:r>
      <w:r w:rsidR="00291DB2">
        <w:rPr>
          <w:sz w:val="24"/>
          <w:szCs w:val="24"/>
        </w:rPr>
        <w:t>at</w:t>
      </w:r>
      <w:r w:rsidR="00E1282B" w:rsidRPr="00FA701B">
        <w:rPr>
          <w:sz w:val="24"/>
          <w:szCs w:val="24"/>
        </w:rPr>
        <w:t xml:space="preserve"> </w:t>
      </w:r>
      <w:r w:rsidR="00FA701B" w:rsidRPr="00FA701B">
        <w:rPr>
          <w:sz w:val="24"/>
          <w:szCs w:val="24"/>
        </w:rPr>
        <w:t>in traditional service industries (</w:t>
      </w:r>
      <w:r w:rsidR="001121C0" w:rsidRPr="00FD5F60">
        <w:rPr>
          <w:rFonts w:eastAsia="Times New Roman" w:cs="Arial"/>
          <w:sz w:val="24"/>
          <w:szCs w:val="24"/>
          <w:lang w:eastAsia="en-GB"/>
        </w:rPr>
        <w:t>Baines, Lightfoot, Benedettini</w:t>
      </w:r>
      <w:r w:rsidR="001121C0">
        <w:rPr>
          <w:rFonts w:eastAsia="Times New Roman" w:cs="Arial"/>
          <w:sz w:val="24"/>
          <w:szCs w:val="24"/>
          <w:lang w:eastAsia="en-GB"/>
        </w:rPr>
        <w:t xml:space="preserve"> &amp;</w:t>
      </w:r>
      <w:r w:rsidR="001121C0" w:rsidRPr="00FD5F60">
        <w:rPr>
          <w:rFonts w:eastAsia="Times New Roman" w:cs="Arial"/>
          <w:sz w:val="24"/>
          <w:szCs w:val="24"/>
          <w:lang w:eastAsia="en-GB"/>
        </w:rPr>
        <w:t xml:space="preserve"> Kay</w:t>
      </w:r>
      <w:r w:rsidR="001121C0">
        <w:rPr>
          <w:rFonts w:eastAsia="Times New Roman" w:cs="Arial"/>
          <w:sz w:val="24"/>
          <w:szCs w:val="24"/>
          <w:lang w:eastAsia="en-GB"/>
        </w:rPr>
        <w:t>,</w:t>
      </w:r>
      <w:r w:rsidR="001121C0" w:rsidRPr="00FA701B" w:rsidDel="001121C0">
        <w:rPr>
          <w:sz w:val="24"/>
          <w:szCs w:val="24"/>
        </w:rPr>
        <w:t xml:space="preserve"> </w:t>
      </w:r>
      <w:r w:rsidR="00FA701B" w:rsidRPr="00FA701B">
        <w:rPr>
          <w:sz w:val="24"/>
          <w:szCs w:val="24"/>
        </w:rPr>
        <w:t xml:space="preserve">2009; </w:t>
      </w:r>
      <w:r w:rsidR="001121C0" w:rsidRPr="00FD5F60">
        <w:rPr>
          <w:sz w:val="24"/>
          <w:szCs w:val="24"/>
          <w:lang w:val="de-DE"/>
        </w:rPr>
        <w:t>Kowalkowski, Kindström, Alejandro, Brege</w:t>
      </w:r>
      <w:r w:rsidR="001121C0">
        <w:rPr>
          <w:sz w:val="24"/>
          <w:szCs w:val="24"/>
          <w:lang w:val="de-DE"/>
        </w:rPr>
        <w:t xml:space="preserve"> &amp; Biggemann, </w:t>
      </w:r>
      <w:r w:rsidR="00FA701B" w:rsidRPr="00FA701B">
        <w:rPr>
          <w:sz w:val="24"/>
          <w:szCs w:val="24"/>
        </w:rPr>
        <w:t xml:space="preserve">2012; Lightfoot </w:t>
      </w:r>
      <w:r w:rsidR="004E1C65">
        <w:rPr>
          <w:sz w:val="24"/>
          <w:szCs w:val="24"/>
        </w:rPr>
        <w:t>&amp;</w:t>
      </w:r>
      <w:r w:rsidR="004E1C65" w:rsidRPr="00FA701B">
        <w:rPr>
          <w:sz w:val="24"/>
          <w:szCs w:val="24"/>
        </w:rPr>
        <w:t xml:space="preserve"> </w:t>
      </w:r>
      <w:r w:rsidR="00FA701B" w:rsidRPr="00FA701B">
        <w:rPr>
          <w:sz w:val="24"/>
          <w:szCs w:val="24"/>
        </w:rPr>
        <w:t xml:space="preserve">Gebauer, 2011); primarily because </w:t>
      </w:r>
      <w:r w:rsidR="009C2CF4">
        <w:rPr>
          <w:sz w:val="24"/>
          <w:szCs w:val="24"/>
        </w:rPr>
        <w:t>s</w:t>
      </w:r>
      <w:r w:rsidR="009C2CF4" w:rsidRPr="00FA701B">
        <w:rPr>
          <w:sz w:val="24"/>
          <w:szCs w:val="24"/>
        </w:rPr>
        <w:t>ervices</w:t>
      </w:r>
      <w:r w:rsidR="0036347E">
        <w:rPr>
          <w:sz w:val="24"/>
          <w:szCs w:val="24"/>
        </w:rPr>
        <w:t xml:space="preserve"> may be </w:t>
      </w:r>
      <w:r w:rsidR="00A90250">
        <w:rPr>
          <w:sz w:val="24"/>
          <w:szCs w:val="24"/>
        </w:rPr>
        <w:t xml:space="preserve">part of </w:t>
      </w:r>
      <w:r w:rsidR="009C2CF4" w:rsidRPr="00FA701B">
        <w:rPr>
          <w:sz w:val="24"/>
          <w:szCs w:val="24"/>
        </w:rPr>
        <w:t xml:space="preserve">hybrid product and service </w:t>
      </w:r>
      <w:r w:rsidR="00A90250">
        <w:rPr>
          <w:sz w:val="24"/>
          <w:szCs w:val="24"/>
        </w:rPr>
        <w:t xml:space="preserve">offerings (Ulaga </w:t>
      </w:r>
      <w:r w:rsidR="004E1C65">
        <w:rPr>
          <w:sz w:val="24"/>
          <w:szCs w:val="24"/>
        </w:rPr>
        <w:t xml:space="preserve">&amp; </w:t>
      </w:r>
      <w:r w:rsidR="00A90250" w:rsidRPr="00A90250">
        <w:rPr>
          <w:sz w:val="24"/>
          <w:szCs w:val="24"/>
        </w:rPr>
        <w:t>Reinartz</w:t>
      </w:r>
      <w:r w:rsidR="009C2CF4" w:rsidRPr="00FA701B">
        <w:rPr>
          <w:sz w:val="24"/>
          <w:szCs w:val="24"/>
        </w:rPr>
        <w:t xml:space="preserve">, </w:t>
      </w:r>
      <w:r w:rsidR="00A90250">
        <w:rPr>
          <w:sz w:val="24"/>
          <w:szCs w:val="24"/>
        </w:rPr>
        <w:t>2011)</w:t>
      </w:r>
      <w:r w:rsidR="0036347E">
        <w:rPr>
          <w:sz w:val="24"/>
          <w:szCs w:val="24"/>
        </w:rPr>
        <w:t xml:space="preserve"> or may compete with p</w:t>
      </w:r>
      <w:r w:rsidR="0036347E" w:rsidRPr="0036347E">
        <w:rPr>
          <w:sz w:val="24"/>
          <w:szCs w:val="24"/>
        </w:rPr>
        <w:t>roduct</w:t>
      </w:r>
      <w:r w:rsidR="0036347E">
        <w:rPr>
          <w:sz w:val="24"/>
          <w:szCs w:val="24"/>
        </w:rPr>
        <w:t>s</w:t>
      </w:r>
      <w:r w:rsidR="0036347E" w:rsidRPr="0036347E">
        <w:rPr>
          <w:sz w:val="24"/>
          <w:szCs w:val="24"/>
        </w:rPr>
        <w:t xml:space="preserve"> for limited resources </w:t>
      </w:r>
      <w:r w:rsidR="0036347E">
        <w:rPr>
          <w:sz w:val="24"/>
          <w:szCs w:val="24"/>
        </w:rPr>
        <w:t xml:space="preserve">for innovation </w:t>
      </w:r>
      <w:r w:rsidR="0036347E" w:rsidRPr="0036347E">
        <w:rPr>
          <w:sz w:val="24"/>
          <w:szCs w:val="24"/>
        </w:rPr>
        <w:t>within the same firm (Eggert et al. 2015).</w:t>
      </w:r>
      <w:r w:rsidR="008C5D4D">
        <w:rPr>
          <w:sz w:val="24"/>
          <w:szCs w:val="24"/>
        </w:rPr>
        <w:t xml:space="preserve"> </w:t>
      </w:r>
    </w:p>
    <w:p w14:paraId="49D38F78" w14:textId="77777777" w:rsidR="00C47D9D" w:rsidRDefault="00C47D9D" w:rsidP="0021461E">
      <w:pPr>
        <w:spacing w:after="0" w:line="480" w:lineRule="auto"/>
        <w:jc w:val="both"/>
        <w:rPr>
          <w:sz w:val="24"/>
          <w:szCs w:val="24"/>
        </w:rPr>
      </w:pPr>
    </w:p>
    <w:p w14:paraId="53DB931A" w14:textId="7E21A245" w:rsidR="00C47D9D" w:rsidRPr="004A3627" w:rsidRDefault="00C47D9D" w:rsidP="00C47D9D">
      <w:pPr>
        <w:spacing w:after="0" w:line="480" w:lineRule="auto"/>
        <w:jc w:val="both"/>
        <w:rPr>
          <w:sz w:val="24"/>
          <w:szCs w:val="24"/>
        </w:rPr>
      </w:pPr>
      <w:r>
        <w:rPr>
          <w:sz w:val="24"/>
          <w:szCs w:val="24"/>
        </w:rPr>
        <w:t xml:space="preserve">In keeping </w:t>
      </w:r>
      <w:r w:rsidRPr="00FA701B">
        <w:rPr>
          <w:sz w:val="24"/>
          <w:szCs w:val="24"/>
        </w:rPr>
        <w:t>with de Jong and Vermeulen (2003)</w:t>
      </w:r>
      <w:r>
        <w:rPr>
          <w:sz w:val="24"/>
          <w:szCs w:val="24"/>
        </w:rPr>
        <w:t>,</w:t>
      </w:r>
      <w:r w:rsidRPr="00FA701B">
        <w:rPr>
          <w:sz w:val="24"/>
          <w:szCs w:val="24"/>
        </w:rPr>
        <w:t xml:space="preserve"> we view </w:t>
      </w:r>
      <w:r>
        <w:rPr>
          <w:sz w:val="24"/>
          <w:szCs w:val="24"/>
        </w:rPr>
        <w:t>NSD efforts</w:t>
      </w:r>
      <w:r w:rsidRPr="00FA701B">
        <w:rPr>
          <w:sz w:val="24"/>
          <w:szCs w:val="24"/>
        </w:rPr>
        <w:t xml:space="preserve"> as not just pertaining to the uniqueness of a new offering, but also encompassing the delivery system, the technology or operational processes used and the customer interface. </w:t>
      </w:r>
      <w:r>
        <w:rPr>
          <w:sz w:val="24"/>
          <w:szCs w:val="24"/>
        </w:rPr>
        <w:t>Thus, for servitizing manufacturers, new p</w:t>
      </w:r>
      <w:r w:rsidRPr="00B07E61">
        <w:rPr>
          <w:sz w:val="24"/>
          <w:szCs w:val="24"/>
        </w:rPr>
        <w:t xml:space="preserve">roduct and service </w:t>
      </w:r>
      <w:r>
        <w:rPr>
          <w:sz w:val="24"/>
          <w:szCs w:val="24"/>
        </w:rPr>
        <w:t>development</w:t>
      </w:r>
      <w:r w:rsidRPr="00B07E61">
        <w:rPr>
          <w:sz w:val="24"/>
          <w:szCs w:val="24"/>
        </w:rPr>
        <w:t xml:space="preserve"> are </w:t>
      </w:r>
      <w:r>
        <w:rPr>
          <w:sz w:val="24"/>
          <w:szCs w:val="24"/>
        </w:rPr>
        <w:t xml:space="preserve">likely to be </w:t>
      </w:r>
      <w:r w:rsidRPr="00B07E61">
        <w:rPr>
          <w:sz w:val="24"/>
          <w:szCs w:val="24"/>
        </w:rPr>
        <w:t xml:space="preserve">closely </w:t>
      </w:r>
      <w:r>
        <w:rPr>
          <w:sz w:val="24"/>
          <w:szCs w:val="24"/>
        </w:rPr>
        <w:t>inter-</w:t>
      </w:r>
      <w:r w:rsidRPr="00B07E61">
        <w:rPr>
          <w:sz w:val="24"/>
          <w:szCs w:val="24"/>
        </w:rPr>
        <w:t xml:space="preserve">related (Gallouj </w:t>
      </w:r>
      <w:r w:rsidR="004E1C65">
        <w:rPr>
          <w:sz w:val="24"/>
          <w:szCs w:val="24"/>
        </w:rPr>
        <w:t xml:space="preserve">&amp; </w:t>
      </w:r>
      <w:r>
        <w:rPr>
          <w:sz w:val="24"/>
          <w:szCs w:val="24"/>
        </w:rPr>
        <w:t xml:space="preserve">Windrum, 2009; Gremyr et al., 2014; </w:t>
      </w:r>
      <w:r w:rsidR="001121C0" w:rsidRPr="00FD5F60">
        <w:rPr>
          <w:iCs/>
          <w:sz w:val="24"/>
          <w:szCs w:val="24"/>
          <w:lang w:val="en-US"/>
        </w:rPr>
        <w:t xml:space="preserve">Raja, Bourne, Goffin, </w:t>
      </w:r>
      <w:r w:rsidR="001121C0">
        <w:rPr>
          <w:iCs/>
          <w:sz w:val="24"/>
          <w:szCs w:val="24"/>
          <w:lang w:val="en-US"/>
        </w:rPr>
        <w:t>Çakkol</w:t>
      </w:r>
      <w:r w:rsidR="001121C0" w:rsidRPr="00FD5F60">
        <w:rPr>
          <w:iCs/>
          <w:sz w:val="24"/>
          <w:szCs w:val="24"/>
          <w:lang w:val="en-US"/>
        </w:rPr>
        <w:t xml:space="preserve"> </w:t>
      </w:r>
      <w:r w:rsidR="001121C0">
        <w:rPr>
          <w:iCs/>
          <w:sz w:val="24"/>
          <w:szCs w:val="24"/>
          <w:lang w:val="en-US"/>
        </w:rPr>
        <w:t>&amp;</w:t>
      </w:r>
      <w:r w:rsidR="001121C0" w:rsidRPr="00FD5F60">
        <w:rPr>
          <w:iCs/>
          <w:sz w:val="24"/>
          <w:szCs w:val="24"/>
          <w:lang w:val="en-US"/>
        </w:rPr>
        <w:t xml:space="preserve"> Martinez</w:t>
      </w:r>
      <w:r w:rsidR="001121C0">
        <w:rPr>
          <w:iCs/>
          <w:sz w:val="24"/>
          <w:szCs w:val="24"/>
          <w:lang w:val="en-US"/>
        </w:rPr>
        <w:t>,</w:t>
      </w:r>
      <w:r w:rsidR="001121C0" w:rsidDel="001121C0">
        <w:rPr>
          <w:sz w:val="24"/>
          <w:szCs w:val="24"/>
        </w:rPr>
        <w:t xml:space="preserve"> </w:t>
      </w:r>
      <w:r w:rsidRPr="00B07E61">
        <w:rPr>
          <w:sz w:val="24"/>
          <w:szCs w:val="24"/>
        </w:rPr>
        <w:t>2013)</w:t>
      </w:r>
      <w:r>
        <w:rPr>
          <w:sz w:val="24"/>
          <w:szCs w:val="24"/>
        </w:rPr>
        <w:t>, with</w:t>
      </w:r>
      <w:r w:rsidRPr="002E7450">
        <w:rPr>
          <w:sz w:val="24"/>
          <w:szCs w:val="24"/>
        </w:rPr>
        <w:t xml:space="preserve"> both </w:t>
      </w:r>
      <w:r>
        <w:rPr>
          <w:sz w:val="24"/>
          <w:szCs w:val="24"/>
        </w:rPr>
        <w:t>important for</w:t>
      </w:r>
      <w:r w:rsidRPr="002E7450">
        <w:rPr>
          <w:sz w:val="24"/>
          <w:szCs w:val="24"/>
        </w:rPr>
        <w:t xml:space="preserve"> success (</w:t>
      </w:r>
      <w:r>
        <w:rPr>
          <w:sz w:val="24"/>
          <w:szCs w:val="24"/>
        </w:rPr>
        <w:t xml:space="preserve">Eggert et al., 2015; </w:t>
      </w:r>
      <w:r w:rsidRPr="002E7450">
        <w:rPr>
          <w:sz w:val="24"/>
          <w:szCs w:val="24"/>
        </w:rPr>
        <w:t xml:space="preserve">Ostrom et al., 2010; Visnjic </w:t>
      </w:r>
      <w:r>
        <w:rPr>
          <w:sz w:val="24"/>
          <w:szCs w:val="24"/>
        </w:rPr>
        <w:t xml:space="preserve">et al., </w:t>
      </w:r>
      <w:r w:rsidR="00A8309E">
        <w:rPr>
          <w:sz w:val="24"/>
          <w:szCs w:val="24"/>
        </w:rPr>
        <w:t>2016</w:t>
      </w:r>
      <w:r>
        <w:rPr>
          <w:sz w:val="24"/>
          <w:szCs w:val="24"/>
        </w:rPr>
        <w:t>)</w:t>
      </w:r>
      <w:r w:rsidRPr="00B07E61">
        <w:rPr>
          <w:sz w:val="24"/>
          <w:szCs w:val="24"/>
        </w:rPr>
        <w:t>.</w:t>
      </w:r>
      <w:r w:rsidRPr="00202501">
        <w:rPr>
          <w:sz w:val="24"/>
          <w:szCs w:val="24"/>
        </w:rPr>
        <w:t xml:space="preserve"> </w:t>
      </w:r>
      <w:r>
        <w:rPr>
          <w:sz w:val="24"/>
          <w:szCs w:val="24"/>
        </w:rPr>
        <w:t>Taking a holistic view of NSD efforts is important when considering a manufacturing context, wherein service development is inexorably linked to product development and service delivery, because these interrelationships have the potential to create tensions and require changes to structures, processes and resources (Baines et al., 2009; Gebauer</w:t>
      </w:r>
      <w:r w:rsidR="00F12F74">
        <w:rPr>
          <w:sz w:val="24"/>
          <w:szCs w:val="24"/>
        </w:rPr>
        <w:t xml:space="preserve">, Edvardsson, Gustafsson </w:t>
      </w:r>
      <w:r w:rsidR="004E1C65">
        <w:rPr>
          <w:sz w:val="24"/>
          <w:szCs w:val="24"/>
        </w:rPr>
        <w:t>&amp;</w:t>
      </w:r>
      <w:r w:rsidR="00F12F74">
        <w:rPr>
          <w:sz w:val="24"/>
          <w:szCs w:val="24"/>
        </w:rPr>
        <w:t xml:space="preserve"> Witell</w:t>
      </w:r>
      <w:r>
        <w:rPr>
          <w:sz w:val="24"/>
          <w:szCs w:val="24"/>
        </w:rPr>
        <w:t xml:space="preserve">, 2010). </w:t>
      </w:r>
    </w:p>
    <w:p w14:paraId="1396F2AB" w14:textId="77777777" w:rsidR="0036347E" w:rsidRDefault="0036347E" w:rsidP="0021461E">
      <w:pPr>
        <w:spacing w:after="0" w:line="480" w:lineRule="auto"/>
        <w:jc w:val="both"/>
        <w:rPr>
          <w:sz w:val="24"/>
          <w:szCs w:val="24"/>
        </w:rPr>
      </w:pPr>
    </w:p>
    <w:p w14:paraId="5373C8FF" w14:textId="6276874C" w:rsidR="00C54AA2" w:rsidRDefault="00F519DB" w:rsidP="00101E91">
      <w:pPr>
        <w:spacing w:after="0" w:line="480" w:lineRule="auto"/>
        <w:jc w:val="both"/>
        <w:rPr>
          <w:sz w:val="24"/>
          <w:szCs w:val="24"/>
        </w:rPr>
      </w:pPr>
      <w:r>
        <w:rPr>
          <w:sz w:val="24"/>
          <w:szCs w:val="24"/>
        </w:rPr>
        <w:t xml:space="preserve">A key </w:t>
      </w:r>
      <w:r w:rsidR="0041181E">
        <w:rPr>
          <w:sz w:val="24"/>
          <w:szCs w:val="24"/>
        </w:rPr>
        <w:t xml:space="preserve">strategic </w:t>
      </w:r>
      <w:r w:rsidR="005D7B0A">
        <w:rPr>
          <w:sz w:val="24"/>
          <w:szCs w:val="24"/>
        </w:rPr>
        <w:t xml:space="preserve">decision </w:t>
      </w:r>
      <w:r w:rsidR="008B0D6C">
        <w:rPr>
          <w:sz w:val="24"/>
          <w:szCs w:val="24"/>
        </w:rPr>
        <w:t>for manufacturers</w:t>
      </w:r>
      <w:r w:rsidR="00754801">
        <w:rPr>
          <w:sz w:val="24"/>
          <w:szCs w:val="24"/>
        </w:rPr>
        <w:t xml:space="preserve"> </w:t>
      </w:r>
      <w:r w:rsidR="008B0D6C">
        <w:rPr>
          <w:sz w:val="24"/>
          <w:szCs w:val="24"/>
        </w:rPr>
        <w:t xml:space="preserve">is whether </w:t>
      </w:r>
      <w:r w:rsidR="0056436B">
        <w:rPr>
          <w:sz w:val="24"/>
          <w:szCs w:val="24"/>
        </w:rPr>
        <w:t xml:space="preserve">to introduce new </w:t>
      </w:r>
      <w:r w:rsidR="008B0D6C">
        <w:rPr>
          <w:sz w:val="24"/>
          <w:szCs w:val="24"/>
        </w:rPr>
        <w:t>services designed to broaden the range of offerings (SSP</w:t>
      </w:r>
      <w:r w:rsidR="00DF5119">
        <w:rPr>
          <w:sz w:val="24"/>
          <w:szCs w:val="24"/>
        </w:rPr>
        <w:t>s</w:t>
      </w:r>
      <w:r w:rsidR="008B0D6C">
        <w:rPr>
          <w:sz w:val="24"/>
          <w:szCs w:val="24"/>
        </w:rPr>
        <w:t>) or replace product offerings (SSC</w:t>
      </w:r>
      <w:r w:rsidR="00DF5119">
        <w:rPr>
          <w:sz w:val="24"/>
          <w:szCs w:val="24"/>
        </w:rPr>
        <w:t>s</w:t>
      </w:r>
      <w:r w:rsidR="008B0D6C">
        <w:rPr>
          <w:sz w:val="24"/>
          <w:szCs w:val="24"/>
        </w:rPr>
        <w:t>)</w:t>
      </w:r>
      <w:r w:rsidR="007A6783" w:rsidRPr="007A6783">
        <w:rPr>
          <w:sz w:val="24"/>
          <w:szCs w:val="24"/>
        </w:rPr>
        <w:t xml:space="preserve"> </w:t>
      </w:r>
      <w:r w:rsidR="007A6783">
        <w:rPr>
          <w:sz w:val="24"/>
          <w:szCs w:val="24"/>
        </w:rPr>
        <w:t>(</w:t>
      </w:r>
      <w:r w:rsidR="007A6783" w:rsidRPr="00204130">
        <w:rPr>
          <w:sz w:val="24"/>
          <w:szCs w:val="24"/>
        </w:rPr>
        <w:t xml:space="preserve">Kindström </w:t>
      </w:r>
      <w:r w:rsidR="00F00B0C">
        <w:rPr>
          <w:sz w:val="24"/>
          <w:szCs w:val="24"/>
        </w:rPr>
        <w:t>&amp;</w:t>
      </w:r>
      <w:r w:rsidR="007A6783" w:rsidRPr="00204130">
        <w:rPr>
          <w:sz w:val="24"/>
          <w:szCs w:val="24"/>
        </w:rPr>
        <w:t xml:space="preserve"> Kowalkowski</w:t>
      </w:r>
      <w:r w:rsidR="007A6783">
        <w:rPr>
          <w:sz w:val="24"/>
          <w:szCs w:val="24"/>
        </w:rPr>
        <w:t xml:space="preserve">, </w:t>
      </w:r>
      <w:r w:rsidR="007A6783" w:rsidRPr="00204130">
        <w:rPr>
          <w:sz w:val="24"/>
          <w:szCs w:val="24"/>
        </w:rPr>
        <w:t>2014</w:t>
      </w:r>
      <w:r w:rsidR="007A6783">
        <w:rPr>
          <w:sz w:val="24"/>
          <w:szCs w:val="24"/>
        </w:rPr>
        <w:t>)</w:t>
      </w:r>
      <w:r w:rsidR="008B0D6C">
        <w:rPr>
          <w:sz w:val="24"/>
          <w:szCs w:val="24"/>
        </w:rPr>
        <w:t>.</w:t>
      </w:r>
      <w:r w:rsidR="00632203">
        <w:rPr>
          <w:sz w:val="24"/>
          <w:szCs w:val="24"/>
        </w:rPr>
        <w:t xml:space="preserve"> </w:t>
      </w:r>
      <w:r w:rsidR="00F8659E">
        <w:rPr>
          <w:sz w:val="24"/>
          <w:szCs w:val="24"/>
        </w:rPr>
        <w:t xml:space="preserve">For SSPs, </w:t>
      </w:r>
      <w:r w:rsidR="00E811A9">
        <w:rPr>
          <w:sz w:val="24"/>
          <w:szCs w:val="24"/>
        </w:rPr>
        <w:t xml:space="preserve">Lightfoot </w:t>
      </w:r>
      <w:r w:rsidR="00F00B0C">
        <w:rPr>
          <w:sz w:val="24"/>
          <w:szCs w:val="24"/>
        </w:rPr>
        <w:t>&amp;</w:t>
      </w:r>
      <w:r w:rsidR="00E811A9">
        <w:rPr>
          <w:sz w:val="24"/>
          <w:szCs w:val="24"/>
        </w:rPr>
        <w:t xml:space="preserve"> Gebauer (2011) found that manufacturers place less emphasis on design, test and launch phases than </w:t>
      </w:r>
      <w:r w:rsidR="0041181E">
        <w:rPr>
          <w:sz w:val="24"/>
          <w:szCs w:val="24"/>
        </w:rPr>
        <w:t xml:space="preserve">those </w:t>
      </w:r>
      <w:r w:rsidR="00E811A9">
        <w:rPr>
          <w:sz w:val="24"/>
          <w:szCs w:val="24"/>
        </w:rPr>
        <w:t xml:space="preserve">offering SSCs. </w:t>
      </w:r>
      <w:r w:rsidR="00632203">
        <w:rPr>
          <w:sz w:val="24"/>
          <w:szCs w:val="24"/>
        </w:rPr>
        <w:t xml:space="preserve">For SSCs, </w:t>
      </w:r>
      <w:r w:rsidR="000A45A5">
        <w:rPr>
          <w:sz w:val="24"/>
          <w:szCs w:val="24"/>
        </w:rPr>
        <w:t>Gremyr et al.</w:t>
      </w:r>
      <w:r w:rsidR="00F34F7B">
        <w:rPr>
          <w:sz w:val="24"/>
          <w:szCs w:val="24"/>
        </w:rPr>
        <w:t>,</w:t>
      </w:r>
      <w:r w:rsidR="000A45A5">
        <w:rPr>
          <w:sz w:val="24"/>
          <w:szCs w:val="24"/>
        </w:rPr>
        <w:t xml:space="preserve"> (2014) f</w:t>
      </w:r>
      <w:r w:rsidR="00632203">
        <w:rPr>
          <w:sz w:val="24"/>
          <w:szCs w:val="24"/>
        </w:rPr>
        <w:t>ound</w:t>
      </w:r>
      <w:r w:rsidR="000A45A5">
        <w:rPr>
          <w:sz w:val="24"/>
          <w:szCs w:val="24"/>
        </w:rPr>
        <w:t xml:space="preserve"> that NSD processes are more structured</w:t>
      </w:r>
      <w:r w:rsidR="00DF5119">
        <w:rPr>
          <w:sz w:val="24"/>
          <w:szCs w:val="24"/>
        </w:rPr>
        <w:t xml:space="preserve"> and</w:t>
      </w:r>
      <w:r w:rsidR="00632203">
        <w:rPr>
          <w:sz w:val="24"/>
          <w:szCs w:val="24"/>
        </w:rPr>
        <w:t xml:space="preserve"> need to address</w:t>
      </w:r>
      <w:r w:rsidR="009C2CF4">
        <w:rPr>
          <w:sz w:val="24"/>
          <w:szCs w:val="24"/>
        </w:rPr>
        <w:t xml:space="preserve"> </w:t>
      </w:r>
      <w:r w:rsidR="00632203">
        <w:rPr>
          <w:sz w:val="24"/>
          <w:szCs w:val="24"/>
        </w:rPr>
        <w:t xml:space="preserve">the role of the customer </w:t>
      </w:r>
      <w:r w:rsidR="00DF5119">
        <w:rPr>
          <w:sz w:val="24"/>
          <w:szCs w:val="24"/>
        </w:rPr>
        <w:t>in the process</w:t>
      </w:r>
      <w:r w:rsidR="00754801">
        <w:rPr>
          <w:sz w:val="24"/>
          <w:szCs w:val="24"/>
        </w:rPr>
        <w:t xml:space="preserve">; </w:t>
      </w:r>
      <w:r w:rsidR="008B0D6C">
        <w:rPr>
          <w:sz w:val="24"/>
          <w:szCs w:val="24"/>
        </w:rPr>
        <w:t>simply adjusting NPD processes is not seen as viable</w:t>
      </w:r>
      <w:r w:rsidR="009C2CF4">
        <w:rPr>
          <w:sz w:val="24"/>
          <w:szCs w:val="24"/>
        </w:rPr>
        <w:t>,</w:t>
      </w:r>
      <w:r w:rsidR="008B0D6C">
        <w:rPr>
          <w:sz w:val="24"/>
          <w:szCs w:val="24"/>
        </w:rPr>
        <w:t xml:space="preserve"> </w:t>
      </w:r>
      <w:r w:rsidR="00DF5119">
        <w:rPr>
          <w:sz w:val="24"/>
          <w:szCs w:val="24"/>
        </w:rPr>
        <w:t>given the fundamentally different nature of service offerings</w:t>
      </w:r>
      <w:r w:rsidR="00612D6B" w:rsidRPr="00612D6B">
        <w:rPr>
          <w:sz w:val="24"/>
          <w:szCs w:val="24"/>
        </w:rPr>
        <w:t xml:space="preserve"> </w:t>
      </w:r>
      <w:r w:rsidR="00612D6B">
        <w:rPr>
          <w:sz w:val="24"/>
          <w:szCs w:val="24"/>
        </w:rPr>
        <w:t>(Gremyr et al., 2010)</w:t>
      </w:r>
      <w:r w:rsidR="008B0D6C">
        <w:rPr>
          <w:sz w:val="24"/>
          <w:szCs w:val="24"/>
        </w:rPr>
        <w:t>.</w:t>
      </w:r>
      <w:r w:rsidR="008B0D6C" w:rsidRPr="008B0D6C">
        <w:rPr>
          <w:sz w:val="24"/>
          <w:szCs w:val="24"/>
        </w:rPr>
        <w:t xml:space="preserve"> </w:t>
      </w:r>
      <w:r w:rsidR="0041181E">
        <w:rPr>
          <w:sz w:val="24"/>
          <w:szCs w:val="24"/>
        </w:rPr>
        <w:t>N</w:t>
      </w:r>
      <w:r w:rsidR="0041181E" w:rsidRPr="008A1537">
        <w:rPr>
          <w:sz w:val="24"/>
          <w:szCs w:val="24"/>
        </w:rPr>
        <w:t>ew</w:t>
      </w:r>
      <w:r w:rsidR="0041181E">
        <w:rPr>
          <w:sz w:val="24"/>
          <w:szCs w:val="24"/>
        </w:rPr>
        <w:t xml:space="preserve"> or revised</w:t>
      </w:r>
      <w:r w:rsidR="0041181E" w:rsidRPr="008A1537">
        <w:rPr>
          <w:sz w:val="24"/>
          <w:szCs w:val="24"/>
        </w:rPr>
        <w:t xml:space="preserve"> procedures </w:t>
      </w:r>
      <w:r w:rsidR="0041181E">
        <w:rPr>
          <w:sz w:val="24"/>
          <w:szCs w:val="24"/>
        </w:rPr>
        <w:t>and</w:t>
      </w:r>
      <w:r w:rsidR="0041181E" w:rsidRPr="008A1537">
        <w:rPr>
          <w:sz w:val="24"/>
          <w:szCs w:val="24"/>
        </w:rPr>
        <w:t xml:space="preserve"> processes </w:t>
      </w:r>
      <w:r w:rsidR="0041181E">
        <w:rPr>
          <w:sz w:val="24"/>
          <w:szCs w:val="24"/>
        </w:rPr>
        <w:t xml:space="preserve">are, therefore, required </w:t>
      </w:r>
      <w:r w:rsidR="0041181E" w:rsidRPr="008A1537">
        <w:rPr>
          <w:sz w:val="24"/>
          <w:szCs w:val="24"/>
        </w:rPr>
        <w:t xml:space="preserve">(Ettlie </w:t>
      </w:r>
      <w:r w:rsidR="004E1C65">
        <w:rPr>
          <w:sz w:val="24"/>
          <w:szCs w:val="24"/>
        </w:rPr>
        <w:t>&amp;</w:t>
      </w:r>
      <w:r w:rsidR="004E1C65" w:rsidRPr="008A1537">
        <w:rPr>
          <w:sz w:val="24"/>
          <w:szCs w:val="24"/>
        </w:rPr>
        <w:t xml:space="preserve"> </w:t>
      </w:r>
      <w:r w:rsidR="0041181E" w:rsidRPr="008A1537">
        <w:rPr>
          <w:sz w:val="24"/>
          <w:szCs w:val="24"/>
        </w:rPr>
        <w:t xml:space="preserve">Rosenthal, 2011; </w:t>
      </w:r>
      <w:r w:rsidR="0041181E" w:rsidRPr="008A1537" w:rsidDel="00117DDF">
        <w:rPr>
          <w:sz w:val="24"/>
          <w:szCs w:val="24"/>
        </w:rPr>
        <w:t xml:space="preserve">Kindström </w:t>
      </w:r>
      <w:r w:rsidR="004E1C65">
        <w:rPr>
          <w:sz w:val="24"/>
          <w:szCs w:val="24"/>
        </w:rPr>
        <w:t>&amp;</w:t>
      </w:r>
      <w:r w:rsidR="004E1C65" w:rsidRPr="008A1537" w:rsidDel="00117DDF">
        <w:rPr>
          <w:sz w:val="24"/>
          <w:szCs w:val="24"/>
        </w:rPr>
        <w:t xml:space="preserve"> </w:t>
      </w:r>
      <w:r w:rsidR="0041181E" w:rsidRPr="008A1537" w:rsidDel="00117DDF">
        <w:rPr>
          <w:sz w:val="24"/>
          <w:szCs w:val="24"/>
        </w:rPr>
        <w:t>Kowalkowski, 2009</w:t>
      </w:r>
      <w:r w:rsidR="0041181E">
        <w:rPr>
          <w:sz w:val="24"/>
          <w:szCs w:val="24"/>
        </w:rPr>
        <w:t xml:space="preserve">; </w:t>
      </w:r>
      <w:r w:rsidR="00FF3A9E" w:rsidRPr="00FD5F60">
        <w:rPr>
          <w:iCs/>
          <w:sz w:val="24"/>
          <w:szCs w:val="24"/>
          <w:lang w:val="en-US"/>
        </w:rPr>
        <w:t xml:space="preserve">Santamaría, </w:t>
      </w:r>
      <w:r w:rsidR="00FF3A9E">
        <w:rPr>
          <w:iCs/>
          <w:sz w:val="24"/>
          <w:szCs w:val="24"/>
          <w:lang w:val="en-US"/>
        </w:rPr>
        <w:t>Jesús Nieto</w:t>
      </w:r>
      <w:r w:rsidR="00FF3A9E" w:rsidRPr="00FD5F60">
        <w:rPr>
          <w:iCs/>
          <w:sz w:val="24"/>
          <w:szCs w:val="24"/>
          <w:lang w:val="en-US"/>
        </w:rPr>
        <w:t xml:space="preserve"> </w:t>
      </w:r>
      <w:r w:rsidR="00FF3A9E">
        <w:rPr>
          <w:iCs/>
          <w:sz w:val="24"/>
          <w:szCs w:val="24"/>
          <w:lang w:val="en-US"/>
        </w:rPr>
        <w:t xml:space="preserve">&amp; Miles, </w:t>
      </w:r>
      <w:r w:rsidR="0041181E" w:rsidRPr="008A1537">
        <w:rPr>
          <w:sz w:val="24"/>
          <w:szCs w:val="24"/>
        </w:rPr>
        <w:t>2012)</w:t>
      </w:r>
      <w:r w:rsidR="0041181E" w:rsidRPr="008A1537" w:rsidDel="00117DDF">
        <w:rPr>
          <w:sz w:val="24"/>
          <w:szCs w:val="24"/>
        </w:rPr>
        <w:t>.</w:t>
      </w:r>
      <w:r w:rsidR="00612D6B">
        <w:rPr>
          <w:sz w:val="24"/>
          <w:szCs w:val="24"/>
        </w:rPr>
        <w:t xml:space="preserve"> </w:t>
      </w:r>
      <w:r w:rsidR="00EE6307">
        <w:rPr>
          <w:sz w:val="24"/>
          <w:szCs w:val="24"/>
        </w:rPr>
        <w:t xml:space="preserve"> It is likely that such decisions will be affected by the strategi</w:t>
      </w:r>
      <w:r w:rsidR="001B7CAF">
        <w:rPr>
          <w:sz w:val="24"/>
          <w:szCs w:val="24"/>
        </w:rPr>
        <w:t>c approach</w:t>
      </w:r>
      <w:r w:rsidR="00EE6307">
        <w:rPr>
          <w:sz w:val="24"/>
          <w:szCs w:val="24"/>
        </w:rPr>
        <w:t xml:space="preserve"> of the servitizing manufacturers</w:t>
      </w:r>
      <w:r w:rsidR="001B7CAF">
        <w:rPr>
          <w:sz w:val="24"/>
          <w:szCs w:val="24"/>
        </w:rPr>
        <w:t xml:space="preserve"> with respect to the </w:t>
      </w:r>
      <w:r w:rsidR="00E540EA">
        <w:rPr>
          <w:sz w:val="24"/>
          <w:szCs w:val="24"/>
        </w:rPr>
        <w:t xml:space="preserve">portfolios </w:t>
      </w:r>
      <w:r w:rsidR="001B7CAF">
        <w:rPr>
          <w:sz w:val="24"/>
          <w:szCs w:val="24"/>
        </w:rPr>
        <w:t>of services offered</w:t>
      </w:r>
      <w:r w:rsidR="001E694C">
        <w:rPr>
          <w:sz w:val="24"/>
          <w:szCs w:val="24"/>
        </w:rPr>
        <w:t>. I</w:t>
      </w:r>
      <w:r w:rsidR="00EE6307">
        <w:rPr>
          <w:sz w:val="24"/>
          <w:szCs w:val="24"/>
        </w:rPr>
        <w:t xml:space="preserve">ndeed Neu </w:t>
      </w:r>
      <w:r w:rsidR="004E1C65">
        <w:rPr>
          <w:sz w:val="24"/>
          <w:szCs w:val="24"/>
        </w:rPr>
        <w:t xml:space="preserve">&amp; </w:t>
      </w:r>
      <w:r w:rsidR="00EE6307">
        <w:rPr>
          <w:sz w:val="24"/>
          <w:szCs w:val="24"/>
        </w:rPr>
        <w:t>Brown (2005)</w:t>
      </w:r>
      <w:r w:rsidR="00C54AA2">
        <w:rPr>
          <w:sz w:val="24"/>
          <w:szCs w:val="24"/>
        </w:rPr>
        <w:t xml:space="preserve"> discuss how firms that successfully servitize </w:t>
      </w:r>
      <w:r w:rsidR="00C045EF">
        <w:rPr>
          <w:sz w:val="24"/>
          <w:szCs w:val="24"/>
        </w:rPr>
        <w:t xml:space="preserve">have to </w:t>
      </w:r>
      <w:r w:rsidR="00C54AA2">
        <w:rPr>
          <w:sz w:val="24"/>
          <w:szCs w:val="24"/>
        </w:rPr>
        <w:t>adapt organisational factors</w:t>
      </w:r>
      <w:r w:rsidR="00C045EF">
        <w:rPr>
          <w:sz w:val="24"/>
          <w:szCs w:val="24"/>
        </w:rPr>
        <w:t>,</w:t>
      </w:r>
      <w:r w:rsidR="00C54AA2">
        <w:rPr>
          <w:sz w:val="24"/>
          <w:szCs w:val="24"/>
        </w:rPr>
        <w:t xml:space="preserve"> including structure and strategising processes. Hence, </w:t>
      </w:r>
      <w:r w:rsidR="00897E5B">
        <w:rPr>
          <w:sz w:val="24"/>
          <w:szCs w:val="24"/>
        </w:rPr>
        <w:t xml:space="preserve">a more nuanced </w:t>
      </w:r>
      <w:r w:rsidR="00C54AA2">
        <w:rPr>
          <w:sz w:val="24"/>
          <w:szCs w:val="24"/>
        </w:rPr>
        <w:t xml:space="preserve">understanding of how </w:t>
      </w:r>
      <w:r w:rsidR="00DF5119">
        <w:rPr>
          <w:sz w:val="24"/>
          <w:szCs w:val="24"/>
        </w:rPr>
        <w:t xml:space="preserve">NSD </w:t>
      </w:r>
      <w:r w:rsidR="00C54AA2">
        <w:rPr>
          <w:sz w:val="24"/>
          <w:szCs w:val="24"/>
        </w:rPr>
        <w:t>processes are adapted would provide deeper insight</w:t>
      </w:r>
      <w:r w:rsidR="00C045EF">
        <w:rPr>
          <w:sz w:val="24"/>
          <w:szCs w:val="24"/>
        </w:rPr>
        <w:t>s</w:t>
      </w:r>
      <w:r w:rsidR="00C54AA2">
        <w:rPr>
          <w:sz w:val="24"/>
          <w:szCs w:val="24"/>
        </w:rPr>
        <w:t xml:space="preserve"> </w:t>
      </w:r>
      <w:r w:rsidR="00C045EF">
        <w:rPr>
          <w:sz w:val="24"/>
          <w:szCs w:val="24"/>
        </w:rPr>
        <w:t>on</w:t>
      </w:r>
      <w:r w:rsidR="00C54AA2">
        <w:rPr>
          <w:sz w:val="24"/>
          <w:szCs w:val="24"/>
        </w:rPr>
        <w:t xml:space="preserve"> </w:t>
      </w:r>
      <w:r w:rsidR="00C045EF">
        <w:rPr>
          <w:sz w:val="24"/>
          <w:szCs w:val="24"/>
        </w:rPr>
        <w:t>servitization efforts</w:t>
      </w:r>
      <w:r w:rsidR="00C54AA2">
        <w:rPr>
          <w:sz w:val="24"/>
          <w:szCs w:val="24"/>
        </w:rPr>
        <w:t>.</w:t>
      </w:r>
    </w:p>
    <w:p w14:paraId="7A958B56" w14:textId="2D01C4E9" w:rsidR="00CA3DD3" w:rsidRPr="00C8138E" w:rsidRDefault="00CA3DD3" w:rsidP="0021461E">
      <w:pPr>
        <w:spacing w:after="0" w:line="480" w:lineRule="auto"/>
        <w:jc w:val="both"/>
        <w:rPr>
          <w:sz w:val="24"/>
          <w:szCs w:val="24"/>
        </w:rPr>
      </w:pPr>
    </w:p>
    <w:p w14:paraId="505838B8" w14:textId="388F94A6" w:rsidR="00207EA9" w:rsidRPr="00207EA9" w:rsidRDefault="00331C23" w:rsidP="00207EA9">
      <w:pPr>
        <w:spacing w:after="0" w:line="480" w:lineRule="auto"/>
        <w:jc w:val="both"/>
        <w:rPr>
          <w:i/>
          <w:sz w:val="24"/>
          <w:szCs w:val="24"/>
        </w:rPr>
      </w:pPr>
      <w:r w:rsidRPr="00EA6A72">
        <w:rPr>
          <w:i/>
          <w:sz w:val="24"/>
          <w:szCs w:val="24"/>
        </w:rPr>
        <w:t>2.</w:t>
      </w:r>
      <w:r w:rsidR="00897E5B">
        <w:rPr>
          <w:i/>
          <w:sz w:val="24"/>
          <w:szCs w:val="24"/>
        </w:rPr>
        <w:t>3</w:t>
      </w:r>
      <w:r w:rsidRPr="00EA6A72">
        <w:rPr>
          <w:i/>
          <w:sz w:val="24"/>
          <w:szCs w:val="24"/>
        </w:rPr>
        <w:t xml:space="preserve"> </w:t>
      </w:r>
      <w:r w:rsidR="00207EA9" w:rsidRPr="00207EA9">
        <w:rPr>
          <w:i/>
          <w:sz w:val="24"/>
          <w:szCs w:val="24"/>
        </w:rPr>
        <w:t xml:space="preserve">Manufacturer </w:t>
      </w:r>
      <w:r w:rsidR="00897E5B">
        <w:rPr>
          <w:i/>
          <w:sz w:val="24"/>
          <w:szCs w:val="24"/>
        </w:rPr>
        <w:t xml:space="preserve">NSD </w:t>
      </w:r>
      <w:r w:rsidR="00207EA9" w:rsidRPr="00207EA9">
        <w:rPr>
          <w:i/>
          <w:sz w:val="24"/>
          <w:szCs w:val="24"/>
        </w:rPr>
        <w:t xml:space="preserve">challenges and responses </w:t>
      </w:r>
    </w:p>
    <w:p w14:paraId="45F67CBD" w14:textId="68C6AB8D" w:rsidR="00207EA9" w:rsidRPr="00207EA9" w:rsidRDefault="00B72D44" w:rsidP="00207EA9">
      <w:pPr>
        <w:spacing w:after="0" w:line="480" w:lineRule="auto"/>
        <w:jc w:val="both"/>
        <w:rPr>
          <w:sz w:val="24"/>
          <w:szCs w:val="24"/>
        </w:rPr>
      </w:pPr>
      <w:r>
        <w:rPr>
          <w:sz w:val="24"/>
          <w:szCs w:val="24"/>
        </w:rPr>
        <w:t>M</w:t>
      </w:r>
      <w:r w:rsidR="002D1A19">
        <w:rPr>
          <w:sz w:val="24"/>
          <w:szCs w:val="24"/>
        </w:rPr>
        <w:t xml:space="preserve">anufacturers must </w:t>
      </w:r>
      <w:r w:rsidR="002D1A19" w:rsidRPr="009648E3">
        <w:rPr>
          <w:sz w:val="24"/>
          <w:szCs w:val="24"/>
        </w:rPr>
        <w:t>adopt more service-related processes</w:t>
      </w:r>
      <w:r w:rsidR="002D1A19">
        <w:rPr>
          <w:sz w:val="24"/>
          <w:szCs w:val="24"/>
        </w:rPr>
        <w:t xml:space="preserve"> </w:t>
      </w:r>
      <w:r>
        <w:rPr>
          <w:sz w:val="24"/>
          <w:szCs w:val="24"/>
        </w:rPr>
        <w:t xml:space="preserve">in order to develop new services </w:t>
      </w:r>
      <w:r w:rsidR="002D1A19">
        <w:rPr>
          <w:sz w:val="24"/>
          <w:szCs w:val="24"/>
        </w:rPr>
        <w:t>(</w:t>
      </w:r>
      <w:r w:rsidR="002D1A19" w:rsidRPr="00FD5F60">
        <w:rPr>
          <w:sz w:val="24"/>
          <w:szCs w:val="24"/>
        </w:rPr>
        <w:t>Kindström</w:t>
      </w:r>
      <w:r w:rsidR="002D1A19">
        <w:rPr>
          <w:sz w:val="24"/>
          <w:szCs w:val="24"/>
        </w:rPr>
        <w:t xml:space="preserve"> </w:t>
      </w:r>
      <w:r w:rsidR="004E1C65">
        <w:rPr>
          <w:sz w:val="24"/>
          <w:szCs w:val="24"/>
        </w:rPr>
        <w:t xml:space="preserve">&amp; </w:t>
      </w:r>
      <w:r w:rsidR="002D1A19">
        <w:rPr>
          <w:sz w:val="24"/>
          <w:szCs w:val="24"/>
        </w:rPr>
        <w:t>Kowalkowski, 2009).</w:t>
      </w:r>
      <w:r>
        <w:rPr>
          <w:sz w:val="24"/>
          <w:szCs w:val="24"/>
        </w:rPr>
        <w:t xml:space="preserve"> While this issue is applicable, to some extent, </w:t>
      </w:r>
      <w:r w:rsidR="007C5711">
        <w:rPr>
          <w:sz w:val="24"/>
          <w:szCs w:val="24"/>
        </w:rPr>
        <w:t>for</w:t>
      </w:r>
      <w:r>
        <w:rPr>
          <w:sz w:val="24"/>
          <w:szCs w:val="24"/>
        </w:rPr>
        <w:t xml:space="preserve"> all manufacturers, it</w:t>
      </w:r>
      <w:r w:rsidR="002D1A19">
        <w:rPr>
          <w:sz w:val="24"/>
          <w:szCs w:val="24"/>
        </w:rPr>
        <w:t xml:space="preserve"> appears most applicable for enthusiasts, who </w:t>
      </w:r>
      <w:r w:rsidR="00C045EF">
        <w:rPr>
          <w:sz w:val="24"/>
          <w:szCs w:val="24"/>
        </w:rPr>
        <w:t>are more likely to</w:t>
      </w:r>
      <w:r w:rsidR="002D1A19">
        <w:rPr>
          <w:sz w:val="24"/>
          <w:szCs w:val="24"/>
        </w:rPr>
        <w:t xml:space="preserve"> offer advanced services to their customers. </w:t>
      </w:r>
      <w:r w:rsidR="007C5711">
        <w:rPr>
          <w:sz w:val="24"/>
          <w:szCs w:val="24"/>
        </w:rPr>
        <w:t xml:space="preserve">However, </w:t>
      </w:r>
      <w:r w:rsidR="00207EA9" w:rsidRPr="00207EA9">
        <w:rPr>
          <w:sz w:val="24"/>
          <w:szCs w:val="24"/>
        </w:rPr>
        <w:t xml:space="preserve">manufacturers may face issues in reconciling </w:t>
      </w:r>
      <w:r>
        <w:rPr>
          <w:sz w:val="24"/>
          <w:szCs w:val="24"/>
        </w:rPr>
        <w:t xml:space="preserve">radical </w:t>
      </w:r>
      <w:r w:rsidR="00207EA9" w:rsidRPr="00207EA9">
        <w:rPr>
          <w:sz w:val="24"/>
          <w:szCs w:val="24"/>
        </w:rPr>
        <w:t xml:space="preserve">service innovations into a product-focused process (Gremyr et al., 2014). To address this challenge, manufacturers may need a more customer-focused perspective; a proper understanding of customer value (Bettencourt </w:t>
      </w:r>
      <w:r w:rsidR="004E1C65">
        <w:rPr>
          <w:sz w:val="24"/>
          <w:szCs w:val="24"/>
        </w:rPr>
        <w:t>&amp;</w:t>
      </w:r>
      <w:r w:rsidR="004E1C65" w:rsidRPr="00207EA9">
        <w:rPr>
          <w:sz w:val="24"/>
          <w:szCs w:val="24"/>
        </w:rPr>
        <w:t xml:space="preserve"> </w:t>
      </w:r>
      <w:r w:rsidR="00207EA9" w:rsidRPr="00207EA9">
        <w:rPr>
          <w:sz w:val="24"/>
          <w:szCs w:val="24"/>
        </w:rPr>
        <w:t xml:space="preserve">Brown, 2013), </w:t>
      </w:r>
      <w:r w:rsidR="00C045EF">
        <w:rPr>
          <w:sz w:val="24"/>
          <w:szCs w:val="24"/>
        </w:rPr>
        <w:t xml:space="preserve">be able to </w:t>
      </w:r>
      <w:r w:rsidR="00207EA9" w:rsidRPr="00207EA9">
        <w:rPr>
          <w:sz w:val="24"/>
          <w:szCs w:val="24"/>
        </w:rPr>
        <w:t>collaborat</w:t>
      </w:r>
      <w:r w:rsidR="00C045EF">
        <w:rPr>
          <w:sz w:val="24"/>
          <w:szCs w:val="24"/>
        </w:rPr>
        <w:t>e</w:t>
      </w:r>
      <w:r w:rsidR="00207EA9" w:rsidRPr="00207EA9">
        <w:rPr>
          <w:sz w:val="24"/>
          <w:szCs w:val="24"/>
        </w:rPr>
        <w:t xml:space="preserve"> with customers (Santamarìa et al., 2012) and </w:t>
      </w:r>
      <w:r w:rsidR="00730F9E">
        <w:rPr>
          <w:sz w:val="24"/>
          <w:szCs w:val="24"/>
        </w:rPr>
        <w:t>to foster</w:t>
      </w:r>
      <w:r w:rsidR="002D1A19">
        <w:rPr>
          <w:sz w:val="24"/>
          <w:szCs w:val="24"/>
        </w:rPr>
        <w:t xml:space="preserve"> </w:t>
      </w:r>
      <w:r w:rsidR="00207EA9" w:rsidRPr="00207EA9">
        <w:rPr>
          <w:sz w:val="24"/>
          <w:szCs w:val="24"/>
        </w:rPr>
        <w:t xml:space="preserve">‘innovation champions’ to manage introduction of new services (Ettlie </w:t>
      </w:r>
      <w:r w:rsidR="004E1C65">
        <w:rPr>
          <w:sz w:val="24"/>
          <w:szCs w:val="24"/>
        </w:rPr>
        <w:t>&amp;</w:t>
      </w:r>
      <w:r w:rsidR="004E1C65" w:rsidRPr="00207EA9">
        <w:rPr>
          <w:sz w:val="24"/>
          <w:szCs w:val="24"/>
        </w:rPr>
        <w:t xml:space="preserve"> </w:t>
      </w:r>
      <w:r w:rsidR="00207EA9" w:rsidRPr="00207EA9">
        <w:rPr>
          <w:sz w:val="24"/>
          <w:szCs w:val="24"/>
        </w:rPr>
        <w:t xml:space="preserve">Rosenthal, 2012). </w:t>
      </w:r>
    </w:p>
    <w:p w14:paraId="1C1C3C2C" w14:textId="77777777" w:rsidR="00207EA9" w:rsidRPr="00207EA9" w:rsidRDefault="00207EA9" w:rsidP="00207EA9">
      <w:pPr>
        <w:spacing w:after="0" w:line="480" w:lineRule="auto"/>
        <w:jc w:val="both"/>
        <w:rPr>
          <w:sz w:val="24"/>
          <w:szCs w:val="24"/>
        </w:rPr>
      </w:pPr>
    </w:p>
    <w:p w14:paraId="03F91391" w14:textId="3BBFC55F" w:rsidR="00331C23" w:rsidRDefault="005B0D2F" w:rsidP="0021461E">
      <w:pPr>
        <w:spacing w:after="0" w:line="480" w:lineRule="auto"/>
        <w:jc w:val="both"/>
        <w:rPr>
          <w:sz w:val="24"/>
          <w:szCs w:val="24"/>
        </w:rPr>
      </w:pPr>
      <w:r>
        <w:rPr>
          <w:sz w:val="24"/>
          <w:szCs w:val="24"/>
        </w:rPr>
        <w:t xml:space="preserve">Previous work aligns NSD/services innovation with categories of services offerings (SSPs and SSCs) </w:t>
      </w:r>
      <w:r w:rsidR="00E92015">
        <w:rPr>
          <w:sz w:val="24"/>
          <w:szCs w:val="24"/>
        </w:rPr>
        <w:t xml:space="preserve">(e.g., </w:t>
      </w:r>
      <w:r w:rsidR="00FF3A9E" w:rsidRPr="00E92015">
        <w:rPr>
          <w:rFonts w:eastAsia="Times New Roman" w:cs="Arial"/>
          <w:sz w:val="24"/>
          <w:szCs w:val="24"/>
          <w:lang w:eastAsia="en-GB"/>
        </w:rPr>
        <w:t xml:space="preserve">Eggert, Hogreve, </w:t>
      </w:r>
      <w:r w:rsidR="00FF3A9E">
        <w:rPr>
          <w:rFonts w:eastAsia="Times New Roman" w:cs="Arial"/>
          <w:sz w:val="24"/>
          <w:szCs w:val="24"/>
          <w:lang w:eastAsia="en-GB"/>
        </w:rPr>
        <w:t>Ulaga</w:t>
      </w:r>
      <w:r w:rsidR="00FF3A9E" w:rsidRPr="00E92015">
        <w:rPr>
          <w:rFonts w:eastAsia="Times New Roman" w:cs="Arial"/>
          <w:sz w:val="24"/>
          <w:szCs w:val="24"/>
          <w:lang w:eastAsia="en-GB"/>
        </w:rPr>
        <w:t xml:space="preserve"> </w:t>
      </w:r>
      <w:r w:rsidR="00FF3A9E">
        <w:rPr>
          <w:rFonts w:eastAsia="Times New Roman" w:cs="Arial"/>
          <w:sz w:val="24"/>
          <w:szCs w:val="24"/>
          <w:lang w:eastAsia="en-GB"/>
        </w:rPr>
        <w:t>&amp;</w:t>
      </w:r>
      <w:r w:rsidR="00FF3A9E" w:rsidRPr="00E92015">
        <w:rPr>
          <w:rFonts w:eastAsia="Times New Roman" w:cs="Arial"/>
          <w:sz w:val="24"/>
          <w:szCs w:val="24"/>
          <w:lang w:eastAsia="en-GB"/>
        </w:rPr>
        <w:t xml:space="preserve"> Muenkhoff</w:t>
      </w:r>
      <w:r w:rsidR="00FF3A9E">
        <w:rPr>
          <w:rFonts w:eastAsia="Times New Roman" w:cs="Arial"/>
          <w:sz w:val="24"/>
          <w:szCs w:val="24"/>
          <w:lang w:eastAsia="en-GB"/>
        </w:rPr>
        <w:t xml:space="preserve">, </w:t>
      </w:r>
      <w:r w:rsidR="00E92015">
        <w:rPr>
          <w:sz w:val="24"/>
          <w:szCs w:val="24"/>
        </w:rPr>
        <w:t xml:space="preserve">2011) </w:t>
      </w:r>
      <w:r>
        <w:rPr>
          <w:sz w:val="24"/>
          <w:szCs w:val="24"/>
        </w:rPr>
        <w:t>or looks at this from a capabilities perspective (e.g.</w:t>
      </w:r>
      <w:r w:rsidR="00896235">
        <w:rPr>
          <w:sz w:val="24"/>
          <w:szCs w:val="24"/>
        </w:rPr>
        <w:t xml:space="preserve">, </w:t>
      </w:r>
      <w:r>
        <w:rPr>
          <w:sz w:val="24"/>
          <w:szCs w:val="24"/>
        </w:rPr>
        <w:t xml:space="preserve">Kindstrom, Kowalkowski </w:t>
      </w:r>
      <w:r w:rsidR="004E1C65">
        <w:rPr>
          <w:sz w:val="24"/>
          <w:szCs w:val="24"/>
        </w:rPr>
        <w:t xml:space="preserve">&amp; </w:t>
      </w:r>
      <w:r>
        <w:rPr>
          <w:sz w:val="24"/>
          <w:szCs w:val="24"/>
        </w:rPr>
        <w:t xml:space="preserve">Sandberg, 2013). However, </w:t>
      </w:r>
      <w:r w:rsidR="00730F9E">
        <w:rPr>
          <w:sz w:val="24"/>
          <w:szCs w:val="24"/>
        </w:rPr>
        <w:t>it</w:t>
      </w:r>
      <w:r>
        <w:rPr>
          <w:sz w:val="24"/>
          <w:szCs w:val="24"/>
        </w:rPr>
        <w:t xml:space="preserve"> does not consider </w:t>
      </w:r>
      <w:r w:rsidR="00207EA9" w:rsidRPr="00207EA9">
        <w:rPr>
          <w:sz w:val="24"/>
          <w:szCs w:val="24"/>
        </w:rPr>
        <w:t>the service</w:t>
      </w:r>
      <w:r>
        <w:rPr>
          <w:sz w:val="24"/>
          <w:szCs w:val="24"/>
        </w:rPr>
        <w:t>s</w:t>
      </w:r>
      <w:r w:rsidR="00207EA9" w:rsidRPr="00207EA9">
        <w:rPr>
          <w:sz w:val="24"/>
          <w:szCs w:val="24"/>
        </w:rPr>
        <w:t xml:space="preserve"> strategies of manufacturers; with </w:t>
      </w:r>
      <w:r>
        <w:rPr>
          <w:sz w:val="24"/>
          <w:szCs w:val="24"/>
        </w:rPr>
        <w:t>respect to how th</w:t>
      </w:r>
      <w:r w:rsidR="00E92015">
        <w:rPr>
          <w:sz w:val="24"/>
          <w:szCs w:val="24"/>
        </w:rPr>
        <w:t>ey</w:t>
      </w:r>
      <w:r>
        <w:rPr>
          <w:sz w:val="24"/>
          <w:szCs w:val="24"/>
        </w:rPr>
        <w:t xml:space="preserve"> might impact the NSD practices and responses to challenges faced. </w:t>
      </w:r>
      <w:r w:rsidR="00F77370">
        <w:rPr>
          <w:sz w:val="24"/>
          <w:szCs w:val="24"/>
        </w:rPr>
        <w:t xml:space="preserve">It can be contended that </w:t>
      </w:r>
      <w:r w:rsidR="00207EA9" w:rsidRPr="00207EA9">
        <w:rPr>
          <w:sz w:val="24"/>
          <w:szCs w:val="24"/>
        </w:rPr>
        <w:t>enthusiasts</w:t>
      </w:r>
      <w:r>
        <w:rPr>
          <w:sz w:val="24"/>
          <w:szCs w:val="24"/>
        </w:rPr>
        <w:t xml:space="preserve"> are</w:t>
      </w:r>
      <w:r w:rsidR="00207EA9" w:rsidRPr="00207EA9">
        <w:rPr>
          <w:sz w:val="24"/>
          <w:szCs w:val="24"/>
        </w:rPr>
        <w:t xml:space="preserve"> likely to require different NSD practices to </w:t>
      </w:r>
      <w:r w:rsidR="00F77370">
        <w:rPr>
          <w:sz w:val="24"/>
          <w:szCs w:val="24"/>
        </w:rPr>
        <w:t>pragmatists</w:t>
      </w:r>
      <w:r w:rsidR="00F77370" w:rsidRPr="00207EA9">
        <w:rPr>
          <w:sz w:val="24"/>
          <w:szCs w:val="24"/>
        </w:rPr>
        <w:t xml:space="preserve"> </w:t>
      </w:r>
      <w:r w:rsidR="00207EA9" w:rsidRPr="00207EA9">
        <w:rPr>
          <w:sz w:val="24"/>
          <w:szCs w:val="24"/>
        </w:rPr>
        <w:t xml:space="preserve">for whom services are more focused on existing products. Also, no research to date has addressed the </w:t>
      </w:r>
      <w:r w:rsidR="00F77370">
        <w:rPr>
          <w:sz w:val="24"/>
          <w:szCs w:val="24"/>
        </w:rPr>
        <w:t xml:space="preserve">NSD </w:t>
      </w:r>
      <w:r w:rsidR="00207EA9" w:rsidRPr="00207EA9">
        <w:rPr>
          <w:sz w:val="24"/>
          <w:szCs w:val="24"/>
        </w:rPr>
        <w:t xml:space="preserve">rationale of doubters, in terms of </w:t>
      </w:r>
      <w:r w:rsidR="00F77370">
        <w:rPr>
          <w:sz w:val="24"/>
          <w:szCs w:val="24"/>
        </w:rPr>
        <w:t>the</w:t>
      </w:r>
      <w:r w:rsidR="00F77370" w:rsidRPr="00207EA9">
        <w:rPr>
          <w:sz w:val="24"/>
          <w:szCs w:val="24"/>
        </w:rPr>
        <w:t xml:space="preserve"> </w:t>
      </w:r>
      <w:r w:rsidR="00207EA9" w:rsidRPr="00207EA9">
        <w:rPr>
          <w:sz w:val="24"/>
          <w:szCs w:val="24"/>
        </w:rPr>
        <w:t xml:space="preserve">barriers they perceive </w:t>
      </w:r>
      <w:r w:rsidR="00F77370">
        <w:rPr>
          <w:sz w:val="24"/>
          <w:szCs w:val="24"/>
        </w:rPr>
        <w:t>to</w:t>
      </w:r>
      <w:r w:rsidR="00207EA9" w:rsidRPr="00207EA9">
        <w:rPr>
          <w:sz w:val="24"/>
          <w:szCs w:val="24"/>
        </w:rPr>
        <w:t xml:space="preserve"> developing new services and </w:t>
      </w:r>
      <w:r w:rsidR="00C045EF">
        <w:rPr>
          <w:sz w:val="24"/>
          <w:szCs w:val="24"/>
        </w:rPr>
        <w:t>the implications for their NSD activities</w:t>
      </w:r>
      <w:r w:rsidR="00207EA9" w:rsidRPr="00207EA9">
        <w:rPr>
          <w:sz w:val="24"/>
          <w:szCs w:val="24"/>
        </w:rPr>
        <w:t xml:space="preserve">. Understanding differences in the impact of the challenges for manufacturers with different </w:t>
      </w:r>
      <w:r w:rsidR="002D1A19">
        <w:rPr>
          <w:sz w:val="24"/>
          <w:szCs w:val="24"/>
        </w:rPr>
        <w:t xml:space="preserve">services </w:t>
      </w:r>
      <w:r w:rsidR="00207EA9" w:rsidRPr="00207EA9">
        <w:rPr>
          <w:sz w:val="24"/>
          <w:szCs w:val="24"/>
        </w:rPr>
        <w:t>strategies and responses should help us to understand the reasons for varying degrees of success of manufacturers’ NSD</w:t>
      </w:r>
      <w:r w:rsidR="00C045EF">
        <w:rPr>
          <w:sz w:val="24"/>
          <w:szCs w:val="24"/>
        </w:rPr>
        <w:t xml:space="preserve"> efforts</w:t>
      </w:r>
      <w:r w:rsidR="00207EA9" w:rsidRPr="00207EA9">
        <w:rPr>
          <w:sz w:val="24"/>
          <w:szCs w:val="24"/>
        </w:rPr>
        <w:t xml:space="preserve">. </w:t>
      </w:r>
    </w:p>
    <w:p w14:paraId="4D948D23" w14:textId="6A0AF7A9" w:rsidR="00646542" w:rsidRDefault="00646542" w:rsidP="0021461E">
      <w:pPr>
        <w:spacing w:after="0" w:line="480" w:lineRule="auto"/>
        <w:jc w:val="both"/>
        <w:rPr>
          <w:sz w:val="24"/>
          <w:szCs w:val="24"/>
        </w:rPr>
      </w:pPr>
    </w:p>
    <w:p w14:paraId="3B1F1E9B" w14:textId="0A71ACDF" w:rsidR="00A055C0" w:rsidRDefault="00646542" w:rsidP="00EA6A72">
      <w:pPr>
        <w:spacing w:after="0" w:line="480" w:lineRule="auto"/>
        <w:jc w:val="both"/>
        <w:rPr>
          <w:sz w:val="24"/>
          <w:szCs w:val="24"/>
        </w:rPr>
      </w:pPr>
      <w:r>
        <w:rPr>
          <w:sz w:val="24"/>
          <w:szCs w:val="24"/>
        </w:rPr>
        <w:t xml:space="preserve">While literature identifies </w:t>
      </w:r>
      <w:r w:rsidR="00C935A0">
        <w:rPr>
          <w:sz w:val="24"/>
          <w:szCs w:val="24"/>
        </w:rPr>
        <w:t xml:space="preserve">individual </w:t>
      </w:r>
      <w:r w:rsidR="00626D50">
        <w:rPr>
          <w:sz w:val="24"/>
          <w:szCs w:val="24"/>
        </w:rPr>
        <w:t xml:space="preserve">servitization </w:t>
      </w:r>
      <w:r>
        <w:rPr>
          <w:sz w:val="24"/>
          <w:szCs w:val="24"/>
        </w:rPr>
        <w:t>challenges</w:t>
      </w:r>
      <w:r w:rsidR="00626D50">
        <w:rPr>
          <w:sz w:val="24"/>
          <w:szCs w:val="24"/>
        </w:rPr>
        <w:t xml:space="preserve"> </w:t>
      </w:r>
      <w:r>
        <w:rPr>
          <w:sz w:val="24"/>
          <w:szCs w:val="24"/>
        </w:rPr>
        <w:t>and responses for manufacturers adopting different service strategies</w:t>
      </w:r>
      <w:r w:rsidR="00B246B3">
        <w:rPr>
          <w:sz w:val="24"/>
          <w:szCs w:val="24"/>
        </w:rPr>
        <w:t xml:space="preserve"> in isolation</w:t>
      </w:r>
      <w:r w:rsidR="00EA6A72">
        <w:rPr>
          <w:sz w:val="24"/>
          <w:szCs w:val="24"/>
        </w:rPr>
        <w:t xml:space="preserve"> </w:t>
      </w:r>
      <w:r w:rsidR="00BB26CF">
        <w:rPr>
          <w:sz w:val="24"/>
          <w:szCs w:val="24"/>
        </w:rPr>
        <w:t>(</w:t>
      </w:r>
      <w:r w:rsidR="00BB26CF">
        <w:rPr>
          <w:rFonts w:eastAsia="Times New Roman" w:cs="Arial"/>
          <w:sz w:val="24"/>
          <w:szCs w:val="24"/>
          <w:lang w:eastAsia="en-GB"/>
        </w:rPr>
        <w:t xml:space="preserve">Gebauer, 2008; </w:t>
      </w:r>
      <w:r w:rsidR="00BB26CF">
        <w:rPr>
          <w:rFonts w:ascii="Calibri" w:hAnsi="Calibri"/>
          <w:sz w:val="24"/>
          <w:szCs w:val="24"/>
        </w:rPr>
        <w:t xml:space="preserve">Turunen </w:t>
      </w:r>
      <w:r w:rsidR="004E1C65">
        <w:rPr>
          <w:rFonts w:ascii="Calibri" w:hAnsi="Calibri"/>
          <w:sz w:val="24"/>
          <w:szCs w:val="24"/>
        </w:rPr>
        <w:t xml:space="preserve">&amp; </w:t>
      </w:r>
      <w:r w:rsidR="00BB26CF">
        <w:rPr>
          <w:rFonts w:ascii="Calibri" w:hAnsi="Calibri"/>
          <w:sz w:val="24"/>
          <w:szCs w:val="24"/>
        </w:rPr>
        <w:t xml:space="preserve">Finne, 2014, Ostrom et al, 2010, </w:t>
      </w:r>
      <w:r w:rsidR="00FF5D5A" w:rsidRPr="00FD5F60">
        <w:rPr>
          <w:sz w:val="24"/>
          <w:szCs w:val="24"/>
        </w:rPr>
        <w:t>Nijssen, Hillebrand, Vermeulen</w:t>
      </w:r>
      <w:r w:rsidR="00FF5D5A">
        <w:rPr>
          <w:sz w:val="24"/>
          <w:szCs w:val="24"/>
        </w:rPr>
        <w:t xml:space="preserve"> &amp;</w:t>
      </w:r>
      <w:r w:rsidR="00FF5D5A" w:rsidRPr="00FD5F60">
        <w:rPr>
          <w:sz w:val="24"/>
          <w:szCs w:val="24"/>
        </w:rPr>
        <w:t xml:space="preserve"> Kemp</w:t>
      </w:r>
      <w:r w:rsidR="00FF5D5A">
        <w:rPr>
          <w:sz w:val="24"/>
          <w:szCs w:val="24"/>
        </w:rPr>
        <w:t xml:space="preserve">, </w:t>
      </w:r>
      <w:r w:rsidR="00BB26CF">
        <w:rPr>
          <w:rFonts w:ascii="Calibri" w:hAnsi="Calibri"/>
          <w:sz w:val="24"/>
          <w:szCs w:val="24"/>
        </w:rPr>
        <w:t>2006)</w:t>
      </w:r>
      <w:r w:rsidR="00EA6A72">
        <w:rPr>
          <w:rStyle w:val="CommentReference"/>
        </w:rPr>
        <w:t>,</w:t>
      </w:r>
      <w:r>
        <w:rPr>
          <w:sz w:val="24"/>
          <w:szCs w:val="24"/>
        </w:rPr>
        <w:t xml:space="preserve"> in this paper we focus on the challenge</w:t>
      </w:r>
      <w:r w:rsidR="00BB26CF">
        <w:rPr>
          <w:sz w:val="24"/>
          <w:szCs w:val="24"/>
        </w:rPr>
        <w:t>s related to</w:t>
      </w:r>
      <w:r>
        <w:rPr>
          <w:sz w:val="24"/>
          <w:szCs w:val="24"/>
        </w:rPr>
        <w:t xml:space="preserve"> develop</w:t>
      </w:r>
      <w:r w:rsidR="00BB26CF">
        <w:rPr>
          <w:sz w:val="24"/>
          <w:szCs w:val="24"/>
        </w:rPr>
        <w:t>ing</w:t>
      </w:r>
      <w:r>
        <w:rPr>
          <w:sz w:val="24"/>
          <w:szCs w:val="24"/>
        </w:rPr>
        <w:t xml:space="preserve"> </w:t>
      </w:r>
      <w:r w:rsidR="00397507">
        <w:rPr>
          <w:sz w:val="24"/>
          <w:szCs w:val="24"/>
        </w:rPr>
        <w:t xml:space="preserve">new </w:t>
      </w:r>
      <w:r>
        <w:rPr>
          <w:sz w:val="24"/>
          <w:szCs w:val="24"/>
        </w:rPr>
        <w:t>service</w:t>
      </w:r>
      <w:r w:rsidR="00BA3E7B">
        <w:rPr>
          <w:sz w:val="24"/>
          <w:szCs w:val="24"/>
        </w:rPr>
        <w:t>s</w:t>
      </w:r>
      <w:r>
        <w:rPr>
          <w:sz w:val="24"/>
          <w:szCs w:val="24"/>
        </w:rPr>
        <w:t>-related processes</w:t>
      </w:r>
      <w:r w:rsidR="000276C5">
        <w:rPr>
          <w:sz w:val="24"/>
          <w:szCs w:val="24"/>
        </w:rPr>
        <w:t xml:space="preserve"> for a range of manufacturers with differing service</w:t>
      </w:r>
      <w:r w:rsidR="0094212E">
        <w:rPr>
          <w:sz w:val="24"/>
          <w:szCs w:val="24"/>
        </w:rPr>
        <w:t>s</w:t>
      </w:r>
      <w:r w:rsidR="000276C5">
        <w:rPr>
          <w:sz w:val="24"/>
          <w:szCs w:val="24"/>
        </w:rPr>
        <w:t xml:space="preserve"> strategies</w:t>
      </w:r>
      <w:r w:rsidR="003D4FC3">
        <w:rPr>
          <w:sz w:val="24"/>
          <w:szCs w:val="24"/>
        </w:rPr>
        <w:t xml:space="preserve">. </w:t>
      </w:r>
      <w:r w:rsidR="00BB26CF">
        <w:rPr>
          <w:sz w:val="24"/>
          <w:szCs w:val="24"/>
        </w:rPr>
        <w:t xml:space="preserve">These </w:t>
      </w:r>
      <w:r w:rsidR="003D4FC3">
        <w:rPr>
          <w:sz w:val="24"/>
          <w:szCs w:val="24"/>
        </w:rPr>
        <w:t>NSD challenge</w:t>
      </w:r>
      <w:r w:rsidR="00BB26CF">
        <w:rPr>
          <w:sz w:val="24"/>
          <w:szCs w:val="24"/>
        </w:rPr>
        <w:t>s</w:t>
      </w:r>
      <w:r w:rsidR="003D4FC3">
        <w:rPr>
          <w:sz w:val="24"/>
          <w:szCs w:val="24"/>
        </w:rPr>
        <w:t xml:space="preserve"> </w:t>
      </w:r>
      <w:r w:rsidR="00BB26CF">
        <w:rPr>
          <w:sz w:val="24"/>
          <w:szCs w:val="24"/>
        </w:rPr>
        <w:t xml:space="preserve">are </w:t>
      </w:r>
      <w:r w:rsidR="0046304D">
        <w:rPr>
          <w:sz w:val="24"/>
          <w:szCs w:val="24"/>
        </w:rPr>
        <w:t xml:space="preserve">relevant </w:t>
      </w:r>
      <w:r w:rsidR="00DC223E">
        <w:rPr>
          <w:sz w:val="24"/>
          <w:szCs w:val="24"/>
        </w:rPr>
        <w:t xml:space="preserve">to manufacturers </w:t>
      </w:r>
      <w:r w:rsidR="00BB26CF">
        <w:rPr>
          <w:sz w:val="24"/>
          <w:szCs w:val="24"/>
        </w:rPr>
        <w:t xml:space="preserve">with </w:t>
      </w:r>
      <w:r w:rsidR="00667ED5">
        <w:rPr>
          <w:sz w:val="24"/>
          <w:szCs w:val="24"/>
        </w:rPr>
        <w:t xml:space="preserve">heterogeneous </w:t>
      </w:r>
      <w:r w:rsidR="00DC223E">
        <w:rPr>
          <w:sz w:val="24"/>
          <w:szCs w:val="24"/>
        </w:rPr>
        <w:t>strategies</w:t>
      </w:r>
      <w:r w:rsidR="00B246B3">
        <w:rPr>
          <w:sz w:val="24"/>
          <w:szCs w:val="24"/>
        </w:rPr>
        <w:t xml:space="preserve"> and the variation in responses </w:t>
      </w:r>
      <w:r w:rsidR="00961FCC">
        <w:rPr>
          <w:sz w:val="24"/>
          <w:szCs w:val="24"/>
        </w:rPr>
        <w:t>to th</w:t>
      </w:r>
      <w:r w:rsidR="0094212E">
        <w:rPr>
          <w:sz w:val="24"/>
          <w:szCs w:val="24"/>
        </w:rPr>
        <w:t>ese</w:t>
      </w:r>
      <w:r w:rsidR="00961FCC">
        <w:rPr>
          <w:sz w:val="24"/>
          <w:szCs w:val="24"/>
        </w:rPr>
        <w:t xml:space="preserve"> challenge</w:t>
      </w:r>
      <w:r w:rsidR="0094212E">
        <w:rPr>
          <w:sz w:val="24"/>
          <w:szCs w:val="24"/>
        </w:rPr>
        <w:t>s</w:t>
      </w:r>
      <w:r w:rsidR="00961FCC">
        <w:rPr>
          <w:sz w:val="24"/>
          <w:szCs w:val="24"/>
        </w:rPr>
        <w:t xml:space="preserve"> </w:t>
      </w:r>
      <w:r w:rsidR="00B246B3">
        <w:rPr>
          <w:sz w:val="24"/>
          <w:szCs w:val="24"/>
        </w:rPr>
        <w:t>ha</w:t>
      </w:r>
      <w:r w:rsidR="00244B49">
        <w:rPr>
          <w:sz w:val="24"/>
          <w:szCs w:val="24"/>
        </w:rPr>
        <w:t>ve</w:t>
      </w:r>
      <w:r w:rsidR="00B246B3">
        <w:rPr>
          <w:sz w:val="24"/>
          <w:szCs w:val="24"/>
        </w:rPr>
        <w:t xml:space="preserve"> not been considered</w:t>
      </w:r>
      <w:r w:rsidR="00941886">
        <w:rPr>
          <w:sz w:val="24"/>
          <w:szCs w:val="24"/>
        </w:rPr>
        <w:t xml:space="preserve"> in the literature</w:t>
      </w:r>
      <w:r w:rsidR="003D4FC3">
        <w:rPr>
          <w:sz w:val="24"/>
          <w:szCs w:val="24"/>
        </w:rPr>
        <w:t>.</w:t>
      </w:r>
      <w:r>
        <w:rPr>
          <w:sz w:val="24"/>
          <w:szCs w:val="24"/>
        </w:rPr>
        <w:t xml:space="preserve"> </w:t>
      </w:r>
    </w:p>
    <w:p w14:paraId="7E6CBEF8" w14:textId="77777777" w:rsidR="0046304D" w:rsidRDefault="0046304D" w:rsidP="004F4952">
      <w:pPr>
        <w:spacing w:after="0" w:line="480" w:lineRule="auto"/>
        <w:jc w:val="both"/>
        <w:rPr>
          <w:sz w:val="24"/>
          <w:szCs w:val="24"/>
        </w:rPr>
      </w:pPr>
    </w:p>
    <w:p w14:paraId="0F7FB765" w14:textId="68112A2C" w:rsidR="003F388D" w:rsidRDefault="003F388D" w:rsidP="004F4952">
      <w:pPr>
        <w:spacing w:after="0" w:line="480" w:lineRule="auto"/>
        <w:jc w:val="both"/>
        <w:rPr>
          <w:b/>
          <w:sz w:val="24"/>
          <w:szCs w:val="24"/>
        </w:rPr>
      </w:pPr>
      <w:r w:rsidRPr="00AE4104">
        <w:rPr>
          <w:b/>
          <w:sz w:val="24"/>
          <w:szCs w:val="24"/>
        </w:rPr>
        <w:t>3</w:t>
      </w:r>
      <w:r w:rsidR="00DE5C87">
        <w:rPr>
          <w:b/>
          <w:sz w:val="24"/>
          <w:szCs w:val="24"/>
        </w:rPr>
        <w:t>.</w:t>
      </w:r>
      <w:r w:rsidRPr="00AE4104">
        <w:rPr>
          <w:b/>
          <w:sz w:val="24"/>
          <w:szCs w:val="24"/>
        </w:rPr>
        <w:t xml:space="preserve"> Method</w:t>
      </w:r>
      <w:r w:rsidR="00011681">
        <w:rPr>
          <w:b/>
          <w:sz w:val="24"/>
          <w:szCs w:val="24"/>
        </w:rPr>
        <w:t>ology</w:t>
      </w:r>
    </w:p>
    <w:p w14:paraId="00DB1190" w14:textId="6F3D7589" w:rsidR="00011681" w:rsidRDefault="00011681" w:rsidP="00A61897">
      <w:pPr>
        <w:spacing w:after="0" w:line="480" w:lineRule="auto"/>
        <w:jc w:val="both"/>
        <w:rPr>
          <w:i/>
          <w:sz w:val="24"/>
          <w:szCs w:val="24"/>
        </w:rPr>
      </w:pPr>
      <w:r w:rsidRPr="00DE5C87">
        <w:rPr>
          <w:i/>
          <w:sz w:val="24"/>
          <w:szCs w:val="24"/>
        </w:rPr>
        <w:t>3.1 Research strategy</w:t>
      </w:r>
    </w:p>
    <w:p w14:paraId="23D2F9C4" w14:textId="13B16108" w:rsidR="00011681" w:rsidRDefault="00940D1E" w:rsidP="00A61897">
      <w:pPr>
        <w:spacing w:after="0" w:line="480" w:lineRule="auto"/>
        <w:jc w:val="both"/>
        <w:rPr>
          <w:sz w:val="24"/>
          <w:szCs w:val="24"/>
        </w:rPr>
      </w:pPr>
      <w:r w:rsidRPr="00940D1E">
        <w:rPr>
          <w:sz w:val="24"/>
          <w:szCs w:val="24"/>
        </w:rPr>
        <w:t xml:space="preserve">The </w:t>
      </w:r>
      <w:r>
        <w:rPr>
          <w:sz w:val="24"/>
          <w:szCs w:val="24"/>
        </w:rPr>
        <w:t xml:space="preserve">nature of the study </w:t>
      </w:r>
      <w:r w:rsidR="00612166">
        <w:rPr>
          <w:sz w:val="24"/>
          <w:szCs w:val="24"/>
        </w:rPr>
        <w:t xml:space="preserve">required </w:t>
      </w:r>
      <w:r w:rsidRPr="00940D1E">
        <w:rPr>
          <w:sz w:val="24"/>
          <w:szCs w:val="24"/>
        </w:rPr>
        <w:t>a q</w:t>
      </w:r>
      <w:r w:rsidR="00612166">
        <w:rPr>
          <w:sz w:val="24"/>
          <w:szCs w:val="24"/>
        </w:rPr>
        <w:t>ualitative research methodology</w:t>
      </w:r>
      <w:r w:rsidR="00375904">
        <w:rPr>
          <w:sz w:val="24"/>
          <w:szCs w:val="24"/>
        </w:rPr>
        <w:t>;</w:t>
      </w:r>
      <w:r w:rsidRPr="00940D1E">
        <w:rPr>
          <w:sz w:val="24"/>
          <w:szCs w:val="24"/>
        </w:rPr>
        <w:t xml:space="preserve"> </w:t>
      </w:r>
      <w:r w:rsidR="00612166">
        <w:rPr>
          <w:sz w:val="24"/>
          <w:szCs w:val="24"/>
        </w:rPr>
        <w:t>advisable</w:t>
      </w:r>
      <w:r w:rsidRPr="00940D1E">
        <w:rPr>
          <w:sz w:val="24"/>
          <w:szCs w:val="24"/>
        </w:rPr>
        <w:t xml:space="preserve"> when there is </w:t>
      </w:r>
      <w:r w:rsidR="00612166">
        <w:rPr>
          <w:sz w:val="24"/>
          <w:szCs w:val="24"/>
        </w:rPr>
        <w:t>incomplete</w:t>
      </w:r>
      <w:r w:rsidRPr="00940D1E">
        <w:rPr>
          <w:sz w:val="24"/>
          <w:szCs w:val="24"/>
        </w:rPr>
        <w:t xml:space="preserve"> understanding of a </w:t>
      </w:r>
      <w:r w:rsidR="00612166">
        <w:rPr>
          <w:sz w:val="24"/>
          <w:szCs w:val="24"/>
        </w:rPr>
        <w:t xml:space="preserve">particular </w:t>
      </w:r>
      <w:r w:rsidRPr="00940D1E">
        <w:rPr>
          <w:sz w:val="24"/>
          <w:szCs w:val="24"/>
        </w:rPr>
        <w:t>phenomenon</w:t>
      </w:r>
      <w:r w:rsidR="00612166">
        <w:rPr>
          <w:sz w:val="24"/>
          <w:szCs w:val="24"/>
        </w:rPr>
        <w:t xml:space="preserve"> (Miles </w:t>
      </w:r>
      <w:r w:rsidR="004E1C65">
        <w:rPr>
          <w:sz w:val="24"/>
          <w:szCs w:val="24"/>
        </w:rPr>
        <w:t xml:space="preserve">&amp; </w:t>
      </w:r>
      <w:r w:rsidR="00612166">
        <w:rPr>
          <w:sz w:val="24"/>
          <w:szCs w:val="24"/>
        </w:rPr>
        <w:t xml:space="preserve">Huberman, 1994). </w:t>
      </w:r>
      <w:r w:rsidR="00BC745A">
        <w:rPr>
          <w:sz w:val="24"/>
          <w:szCs w:val="24"/>
        </w:rPr>
        <w:t>A c</w:t>
      </w:r>
      <w:r w:rsidR="00E85D96">
        <w:rPr>
          <w:sz w:val="24"/>
          <w:szCs w:val="24"/>
        </w:rPr>
        <w:t>ase study method</w:t>
      </w:r>
      <w:r w:rsidR="00531D5E" w:rsidRPr="00531D5E">
        <w:rPr>
          <w:sz w:val="24"/>
          <w:szCs w:val="24"/>
        </w:rPr>
        <w:t xml:space="preserve"> </w:t>
      </w:r>
      <w:r w:rsidR="00BC745A" w:rsidRPr="00531D5E">
        <w:rPr>
          <w:sz w:val="24"/>
          <w:szCs w:val="24"/>
        </w:rPr>
        <w:t>(Yin, 20</w:t>
      </w:r>
      <w:r w:rsidR="0055360D">
        <w:rPr>
          <w:sz w:val="24"/>
          <w:szCs w:val="24"/>
        </w:rPr>
        <w:t>13</w:t>
      </w:r>
      <w:r w:rsidR="00BC745A" w:rsidRPr="00531D5E">
        <w:rPr>
          <w:sz w:val="24"/>
          <w:szCs w:val="24"/>
        </w:rPr>
        <w:t>)</w:t>
      </w:r>
      <w:r w:rsidR="00BC745A">
        <w:rPr>
          <w:sz w:val="24"/>
          <w:szCs w:val="24"/>
        </w:rPr>
        <w:t xml:space="preserve"> </w:t>
      </w:r>
      <w:r w:rsidR="00531D5E" w:rsidRPr="00531D5E">
        <w:rPr>
          <w:sz w:val="24"/>
          <w:szCs w:val="24"/>
        </w:rPr>
        <w:t xml:space="preserve">is </w:t>
      </w:r>
      <w:r w:rsidR="00E85D96">
        <w:rPr>
          <w:sz w:val="24"/>
          <w:szCs w:val="24"/>
        </w:rPr>
        <w:t>appropriate when</w:t>
      </w:r>
      <w:r w:rsidR="004A2B55">
        <w:rPr>
          <w:sz w:val="24"/>
          <w:szCs w:val="24"/>
        </w:rPr>
        <w:t xml:space="preserve"> exploring </w:t>
      </w:r>
      <w:r w:rsidR="00375904">
        <w:rPr>
          <w:sz w:val="24"/>
          <w:szCs w:val="24"/>
        </w:rPr>
        <w:t xml:space="preserve">NSD </w:t>
      </w:r>
      <w:r w:rsidR="00531D5E" w:rsidRPr="00531D5E">
        <w:rPr>
          <w:sz w:val="24"/>
          <w:szCs w:val="24"/>
        </w:rPr>
        <w:t>processes</w:t>
      </w:r>
      <w:r w:rsidR="00BC745A">
        <w:rPr>
          <w:sz w:val="24"/>
          <w:szCs w:val="24"/>
        </w:rPr>
        <w:t>,</w:t>
      </w:r>
      <w:r w:rsidR="00E85D96">
        <w:rPr>
          <w:sz w:val="24"/>
          <w:szCs w:val="24"/>
        </w:rPr>
        <w:t xml:space="preserve"> </w:t>
      </w:r>
      <w:r w:rsidR="00BC745A">
        <w:rPr>
          <w:sz w:val="24"/>
          <w:szCs w:val="24"/>
        </w:rPr>
        <w:t>since i</w:t>
      </w:r>
      <w:r w:rsidR="00531D5E" w:rsidRPr="00531D5E">
        <w:rPr>
          <w:sz w:val="24"/>
          <w:szCs w:val="24"/>
        </w:rPr>
        <w:t xml:space="preserve">t </w:t>
      </w:r>
      <w:r w:rsidR="0033131C">
        <w:rPr>
          <w:sz w:val="24"/>
          <w:szCs w:val="24"/>
        </w:rPr>
        <w:t>facilitates</w:t>
      </w:r>
      <w:r w:rsidR="00531D5E" w:rsidRPr="00531D5E">
        <w:rPr>
          <w:sz w:val="24"/>
          <w:szCs w:val="24"/>
        </w:rPr>
        <w:t xml:space="preserve"> </w:t>
      </w:r>
      <w:r w:rsidR="00BC745A">
        <w:rPr>
          <w:sz w:val="24"/>
          <w:szCs w:val="24"/>
        </w:rPr>
        <w:t xml:space="preserve">an </w:t>
      </w:r>
      <w:r w:rsidR="00531D5E" w:rsidRPr="00531D5E">
        <w:rPr>
          <w:sz w:val="24"/>
          <w:szCs w:val="24"/>
        </w:rPr>
        <w:t>understand</w:t>
      </w:r>
      <w:r w:rsidR="0033131C">
        <w:rPr>
          <w:sz w:val="24"/>
          <w:szCs w:val="24"/>
        </w:rPr>
        <w:t xml:space="preserve">ing </w:t>
      </w:r>
      <w:r w:rsidR="00531D5E" w:rsidRPr="00531D5E">
        <w:rPr>
          <w:sz w:val="24"/>
          <w:szCs w:val="24"/>
        </w:rPr>
        <w:t xml:space="preserve">of the </w:t>
      </w:r>
      <w:r w:rsidR="00516DF2">
        <w:rPr>
          <w:sz w:val="24"/>
          <w:szCs w:val="24"/>
        </w:rPr>
        <w:t>emergence of these processes</w:t>
      </w:r>
      <w:r w:rsidR="00531D5E" w:rsidRPr="00531D5E">
        <w:rPr>
          <w:sz w:val="24"/>
          <w:szCs w:val="24"/>
        </w:rPr>
        <w:t xml:space="preserve"> (</w:t>
      </w:r>
      <w:r w:rsidR="00FF3A9E">
        <w:rPr>
          <w:rFonts w:eastAsia="Times New Roman" w:cs="Arial"/>
          <w:sz w:val="24"/>
          <w:szCs w:val="24"/>
          <w:lang w:val="da-DK" w:eastAsia="en-GB"/>
        </w:rPr>
        <w:t xml:space="preserve">Aaboen, </w:t>
      </w:r>
      <w:r w:rsidR="00FF3A9E" w:rsidRPr="00FD5F60">
        <w:rPr>
          <w:rFonts w:eastAsia="Times New Roman" w:cs="Arial"/>
          <w:sz w:val="24"/>
          <w:szCs w:val="24"/>
          <w:lang w:val="da-DK" w:eastAsia="en-GB"/>
        </w:rPr>
        <w:t>Dubois</w:t>
      </w:r>
      <w:r w:rsidR="00FF3A9E">
        <w:rPr>
          <w:rFonts w:eastAsia="Times New Roman" w:cs="Arial"/>
          <w:sz w:val="24"/>
          <w:szCs w:val="24"/>
          <w:lang w:val="da-DK" w:eastAsia="en-GB"/>
        </w:rPr>
        <w:t xml:space="preserve"> &amp;</w:t>
      </w:r>
      <w:r w:rsidR="00FF3A9E" w:rsidRPr="00FD5F60">
        <w:rPr>
          <w:rFonts w:eastAsia="Times New Roman" w:cs="Arial"/>
          <w:sz w:val="24"/>
          <w:szCs w:val="24"/>
          <w:lang w:val="da-DK" w:eastAsia="en-GB"/>
        </w:rPr>
        <w:t xml:space="preserve"> Lind, </w:t>
      </w:r>
      <w:r w:rsidR="00516DF2">
        <w:rPr>
          <w:sz w:val="24"/>
          <w:szCs w:val="24"/>
        </w:rPr>
        <w:t>2012</w:t>
      </w:r>
      <w:r w:rsidR="00531D5E" w:rsidRPr="00531D5E">
        <w:rPr>
          <w:sz w:val="24"/>
          <w:szCs w:val="24"/>
        </w:rPr>
        <w:t xml:space="preserve">). </w:t>
      </w:r>
      <w:r w:rsidRPr="00940D1E">
        <w:rPr>
          <w:sz w:val="24"/>
          <w:szCs w:val="24"/>
        </w:rPr>
        <w:t xml:space="preserve"> </w:t>
      </w:r>
    </w:p>
    <w:p w14:paraId="528F8EC8" w14:textId="77777777" w:rsidR="00DE5C87" w:rsidRDefault="00DE5C87" w:rsidP="00A61897">
      <w:pPr>
        <w:spacing w:after="0" w:line="480" w:lineRule="auto"/>
        <w:jc w:val="both"/>
        <w:rPr>
          <w:sz w:val="24"/>
          <w:szCs w:val="24"/>
        </w:rPr>
      </w:pPr>
    </w:p>
    <w:p w14:paraId="62D221A8" w14:textId="32620A77" w:rsidR="00011681" w:rsidRDefault="00011681" w:rsidP="00A61897">
      <w:pPr>
        <w:spacing w:after="0" w:line="480" w:lineRule="auto"/>
        <w:jc w:val="both"/>
        <w:rPr>
          <w:i/>
          <w:sz w:val="24"/>
          <w:szCs w:val="24"/>
        </w:rPr>
      </w:pPr>
      <w:r w:rsidRPr="00DE5C87">
        <w:rPr>
          <w:i/>
          <w:sz w:val="24"/>
          <w:szCs w:val="24"/>
        </w:rPr>
        <w:t>3.2 Case selection</w:t>
      </w:r>
    </w:p>
    <w:p w14:paraId="016F504E" w14:textId="754A4AC1" w:rsidR="007C5711" w:rsidRPr="007C5711" w:rsidRDefault="007C20C9" w:rsidP="007C5711">
      <w:pPr>
        <w:spacing w:after="0" w:line="480" w:lineRule="auto"/>
        <w:jc w:val="both"/>
        <w:rPr>
          <w:sz w:val="24"/>
          <w:szCs w:val="24"/>
        </w:rPr>
      </w:pPr>
      <w:r>
        <w:rPr>
          <w:sz w:val="24"/>
          <w:szCs w:val="24"/>
        </w:rPr>
        <w:t>Eisenhardt (1989) argues that theoretical sampling is key to building theory from case studies</w:t>
      </w:r>
      <w:r w:rsidR="00F95F9D">
        <w:rPr>
          <w:sz w:val="24"/>
          <w:szCs w:val="24"/>
        </w:rPr>
        <w:t>;</w:t>
      </w:r>
      <w:r>
        <w:rPr>
          <w:sz w:val="24"/>
          <w:szCs w:val="24"/>
        </w:rPr>
        <w:t xml:space="preserve"> that case selection should be driven by the need to ensure that theory can replicated or extended. This strategy is adopted extensively in case research, e.g. Neu </w:t>
      </w:r>
      <w:r w:rsidR="004E1C65">
        <w:rPr>
          <w:sz w:val="24"/>
          <w:szCs w:val="24"/>
        </w:rPr>
        <w:t xml:space="preserve">&amp; </w:t>
      </w:r>
      <w:r>
        <w:rPr>
          <w:sz w:val="24"/>
          <w:szCs w:val="24"/>
        </w:rPr>
        <w:t xml:space="preserve">Brown (2005), Wilson </w:t>
      </w:r>
      <w:r w:rsidR="004E1C65">
        <w:rPr>
          <w:sz w:val="24"/>
          <w:szCs w:val="24"/>
        </w:rPr>
        <w:t xml:space="preserve">&amp; </w:t>
      </w:r>
      <w:r>
        <w:rPr>
          <w:sz w:val="24"/>
          <w:szCs w:val="24"/>
        </w:rPr>
        <w:t xml:space="preserve">Vlosky (1997). </w:t>
      </w:r>
      <w:r w:rsidR="0032047D">
        <w:rPr>
          <w:sz w:val="24"/>
          <w:szCs w:val="24"/>
        </w:rPr>
        <w:t xml:space="preserve">We purposively selected case organisations from our population of interest (Eisenhardt, 1989) (large global manufacturers capable of performing servitization in similar ways) specifically in anticipation that they may </w:t>
      </w:r>
      <w:r w:rsidR="00B55A87">
        <w:rPr>
          <w:sz w:val="24"/>
          <w:szCs w:val="24"/>
        </w:rPr>
        <w:t>demonstrate</w:t>
      </w:r>
      <w:r w:rsidR="0032047D">
        <w:rPr>
          <w:sz w:val="24"/>
          <w:szCs w:val="24"/>
        </w:rPr>
        <w:t xml:space="preserve"> variation in their </w:t>
      </w:r>
      <w:r w:rsidR="007C5711">
        <w:rPr>
          <w:sz w:val="24"/>
          <w:szCs w:val="24"/>
        </w:rPr>
        <w:t xml:space="preserve">approach to </w:t>
      </w:r>
      <w:r w:rsidR="0032047D">
        <w:rPr>
          <w:sz w:val="24"/>
          <w:szCs w:val="24"/>
        </w:rPr>
        <w:t xml:space="preserve">NSD </w:t>
      </w:r>
      <w:r w:rsidR="007C5711">
        <w:rPr>
          <w:sz w:val="24"/>
          <w:szCs w:val="24"/>
        </w:rPr>
        <w:t xml:space="preserve">based on their </w:t>
      </w:r>
      <w:r w:rsidR="0032047D">
        <w:rPr>
          <w:sz w:val="24"/>
          <w:szCs w:val="24"/>
        </w:rPr>
        <w:t xml:space="preserve">services strategies. </w:t>
      </w:r>
      <w:r w:rsidR="007C5711" w:rsidRPr="007C5711">
        <w:rPr>
          <w:sz w:val="24"/>
          <w:szCs w:val="24"/>
        </w:rPr>
        <w:t xml:space="preserve">Given </w:t>
      </w:r>
      <w:r w:rsidR="003B283A">
        <w:rPr>
          <w:sz w:val="24"/>
          <w:szCs w:val="24"/>
        </w:rPr>
        <w:t>the commonality of NPD practices across manufacturing firms (with the adoption or adaptation of Cooper’s stage-gate</w:t>
      </w:r>
      <w:r w:rsidR="003B283A" w:rsidRPr="003B283A">
        <w:rPr>
          <w:sz w:val="24"/>
          <w:szCs w:val="24"/>
          <w:vertAlign w:val="superscript"/>
        </w:rPr>
        <w:t>TM</w:t>
      </w:r>
      <w:r w:rsidR="003B283A">
        <w:rPr>
          <w:sz w:val="24"/>
          <w:szCs w:val="24"/>
        </w:rPr>
        <w:t xml:space="preserve"> model – Cooper </w:t>
      </w:r>
      <w:r w:rsidR="008F7A46">
        <w:rPr>
          <w:sz w:val="24"/>
          <w:szCs w:val="24"/>
        </w:rPr>
        <w:t>&amp;</w:t>
      </w:r>
      <w:r w:rsidR="003B283A">
        <w:rPr>
          <w:sz w:val="24"/>
          <w:szCs w:val="24"/>
        </w:rPr>
        <w:t xml:space="preserve"> Edgett </w:t>
      </w:r>
      <w:r w:rsidR="00104123">
        <w:rPr>
          <w:sz w:val="24"/>
          <w:szCs w:val="24"/>
        </w:rPr>
        <w:t>[</w:t>
      </w:r>
      <w:r w:rsidR="003B283A">
        <w:rPr>
          <w:sz w:val="24"/>
          <w:szCs w:val="24"/>
        </w:rPr>
        <w:t>2012</w:t>
      </w:r>
      <w:r w:rsidR="00104123">
        <w:rPr>
          <w:sz w:val="24"/>
          <w:szCs w:val="24"/>
        </w:rPr>
        <w:t xml:space="preserve">]) </w:t>
      </w:r>
      <w:r w:rsidR="003B283A">
        <w:rPr>
          <w:sz w:val="24"/>
          <w:szCs w:val="24"/>
        </w:rPr>
        <w:t xml:space="preserve">and the fact </w:t>
      </w:r>
      <w:r w:rsidR="007C5711" w:rsidRPr="007C5711">
        <w:rPr>
          <w:sz w:val="24"/>
          <w:szCs w:val="24"/>
        </w:rPr>
        <w:t>that NSD is closely linked to New Product Development (NPD) in manufacturers (Kindstrom &amp; Kowalkowski, 2009), s</w:t>
      </w:r>
      <w:r w:rsidR="007C5711">
        <w:rPr>
          <w:sz w:val="24"/>
          <w:szCs w:val="24"/>
        </w:rPr>
        <w:t xml:space="preserve">electing </w:t>
      </w:r>
      <w:r w:rsidR="007C5711" w:rsidRPr="007C5711">
        <w:rPr>
          <w:sz w:val="24"/>
          <w:szCs w:val="24"/>
        </w:rPr>
        <w:t xml:space="preserve">cases from different sectors </w:t>
      </w:r>
      <w:r w:rsidR="007C5711">
        <w:rPr>
          <w:sz w:val="24"/>
          <w:szCs w:val="24"/>
        </w:rPr>
        <w:t xml:space="preserve">should </w:t>
      </w:r>
      <w:r w:rsidR="007C5711" w:rsidRPr="007C5711">
        <w:rPr>
          <w:sz w:val="24"/>
          <w:szCs w:val="24"/>
        </w:rPr>
        <w:t xml:space="preserve">provide greater richness to the findings. </w:t>
      </w:r>
    </w:p>
    <w:p w14:paraId="48BE401E" w14:textId="77777777" w:rsidR="007C5711" w:rsidRDefault="007C5711" w:rsidP="006F7439">
      <w:pPr>
        <w:spacing w:after="0" w:line="480" w:lineRule="auto"/>
        <w:jc w:val="both"/>
        <w:rPr>
          <w:sz w:val="24"/>
          <w:szCs w:val="24"/>
        </w:rPr>
      </w:pPr>
    </w:p>
    <w:p w14:paraId="13BD8F81" w14:textId="30A77560" w:rsidR="009C3DBB" w:rsidRDefault="003F388D" w:rsidP="006F7439">
      <w:pPr>
        <w:spacing w:after="0" w:line="480" w:lineRule="auto"/>
        <w:jc w:val="both"/>
        <w:rPr>
          <w:sz w:val="24"/>
          <w:szCs w:val="24"/>
        </w:rPr>
      </w:pPr>
      <w:r w:rsidRPr="003F388D">
        <w:rPr>
          <w:sz w:val="24"/>
          <w:szCs w:val="24"/>
        </w:rPr>
        <w:t xml:space="preserve">Raddats </w:t>
      </w:r>
      <w:r w:rsidR="004E1C65">
        <w:rPr>
          <w:sz w:val="24"/>
          <w:szCs w:val="24"/>
        </w:rPr>
        <w:t>&amp;</w:t>
      </w:r>
      <w:r w:rsidR="004E1C65" w:rsidRPr="003F388D">
        <w:rPr>
          <w:sz w:val="24"/>
          <w:szCs w:val="24"/>
        </w:rPr>
        <w:t xml:space="preserve"> </w:t>
      </w:r>
      <w:r w:rsidRPr="003F388D">
        <w:rPr>
          <w:sz w:val="24"/>
          <w:szCs w:val="24"/>
        </w:rPr>
        <w:t>Kowalkowski</w:t>
      </w:r>
      <w:r w:rsidR="001B2AC8">
        <w:rPr>
          <w:sz w:val="24"/>
          <w:szCs w:val="24"/>
        </w:rPr>
        <w:t>’s</w:t>
      </w:r>
      <w:r w:rsidRPr="003F388D">
        <w:rPr>
          <w:sz w:val="24"/>
          <w:szCs w:val="24"/>
        </w:rPr>
        <w:t xml:space="preserve"> (</w:t>
      </w:r>
      <w:r>
        <w:rPr>
          <w:sz w:val="24"/>
          <w:szCs w:val="24"/>
        </w:rPr>
        <w:t>2014) service</w:t>
      </w:r>
      <w:r w:rsidR="001B7CAF">
        <w:rPr>
          <w:sz w:val="24"/>
          <w:szCs w:val="24"/>
        </w:rPr>
        <w:t>s</w:t>
      </w:r>
      <w:r>
        <w:rPr>
          <w:sz w:val="24"/>
          <w:szCs w:val="24"/>
        </w:rPr>
        <w:t xml:space="preserve"> strategy t</w:t>
      </w:r>
      <w:r w:rsidR="00375904">
        <w:rPr>
          <w:sz w:val="24"/>
          <w:szCs w:val="24"/>
        </w:rPr>
        <w:t xml:space="preserve">ypology </w:t>
      </w:r>
      <w:r w:rsidR="001B2AC8">
        <w:rPr>
          <w:sz w:val="24"/>
          <w:szCs w:val="24"/>
        </w:rPr>
        <w:t>was adopted</w:t>
      </w:r>
      <w:r>
        <w:rPr>
          <w:sz w:val="24"/>
          <w:szCs w:val="24"/>
        </w:rPr>
        <w:t xml:space="preserve"> to purposively </w:t>
      </w:r>
      <w:r w:rsidR="00134395">
        <w:rPr>
          <w:sz w:val="24"/>
          <w:szCs w:val="24"/>
        </w:rPr>
        <w:t xml:space="preserve">identify </w:t>
      </w:r>
      <w:r w:rsidR="00365A38">
        <w:rPr>
          <w:sz w:val="24"/>
          <w:szCs w:val="24"/>
        </w:rPr>
        <w:t>B2B manufacturers</w:t>
      </w:r>
      <w:r>
        <w:rPr>
          <w:sz w:val="24"/>
          <w:szCs w:val="24"/>
        </w:rPr>
        <w:t xml:space="preserve"> with different service</w:t>
      </w:r>
      <w:r w:rsidR="001B7CAF">
        <w:rPr>
          <w:sz w:val="24"/>
          <w:szCs w:val="24"/>
        </w:rPr>
        <w:t>s</w:t>
      </w:r>
      <w:r>
        <w:rPr>
          <w:sz w:val="24"/>
          <w:szCs w:val="24"/>
        </w:rPr>
        <w:t xml:space="preserve"> </w:t>
      </w:r>
      <w:r w:rsidR="00E01498">
        <w:rPr>
          <w:sz w:val="24"/>
          <w:szCs w:val="24"/>
        </w:rPr>
        <w:t>strategies</w:t>
      </w:r>
      <w:r w:rsidR="001B7CAF">
        <w:rPr>
          <w:sz w:val="24"/>
          <w:szCs w:val="24"/>
        </w:rPr>
        <w:t xml:space="preserve"> </w:t>
      </w:r>
      <w:r>
        <w:rPr>
          <w:sz w:val="24"/>
          <w:szCs w:val="24"/>
        </w:rPr>
        <w:t xml:space="preserve">in order to </w:t>
      </w:r>
      <w:r w:rsidR="00134395">
        <w:rPr>
          <w:sz w:val="24"/>
          <w:szCs w:val="24"/>
        </w:rPr>
        <w:t xml:space="preserve">apply theoretical replication logic </w:t>
      </w:r>
      <w:r w:rsidR="001B2AC8">
        <w:rPr>
          <w:sz w:val="24"/>
          <w:szCs w:val="24"/>
        </w:rPr>
        <w:t>ensur</w:t>
      </w:r>
      <w:r w:rsidR="001E43BC">
        <w:rPr>
          <w:sz w:val="24"/>
          <w:szCs w:val="24"/>
        </w:rPr>
        <w:t>ing</w:t>
      </w:r>
      <w:r w:rsidR="001B2AC8">
        <w:rPr>
          <w:sz w:val="24"/>
          <w:szCs w:val="24"/>
        </w:rPr>
        <w:t xml:space="preserve"> external validity </w:t>
      </w:r>
      <w:r w:rsidR="00134395">
        <w:rPr>
          <w:sz w:val="24"/>
          <w:szCs w:val="24"/>
        </w:rPr>
        <w:t>(Yin, 2013)</w:t>
      </w:r>
      <w:r w:rsidR="00506758">
        <w:rPr>
          <w:sz w:val="24"/>
          <w:szCs w:val="24"/>
        </w:rPr>
        <w:t xml:space="preserve"> with respect to the processes being explored</w:t>
      </w:r>
      <w:r>
        <w:rPr>
          <w:sz w:val="24"/>
          <w:szCs w:val="24"/>
        </w:rPr>
        <w:t xml:space="preserve">. </w:t>
      </w:r>
      <w:r w:rsidR="009C3DBB">
        <w:rPr>
          <w:sz w:val="24"/>
          <w:szCs w:val="24"/>
        </w:rPr>
        <w:t xml:space="preserve">To apply theoretical replication, </w:t>
      </w:r>
      <w:r w:rsidR="0006451D">
        <w:rPr>
          <w:sz w:val="24"/>
          <w:szCs w:val="24"/>
        </w:rPr>
        <w:t xml:space="preserve">two </w:t>
      </w:r>
      <w:r w:rsidR="00284965">
        <w:rPr>
          <w:sz w:val="24"/>
          <w:szCs w:val="24"/>
        </w:rPr>
        <w:t>enthusiast</w:t>
      </w:r>
      <w:r w:rsidR="00FB5874">
        <w:rPr>
          <w:sz w:val="24"/>
          <w:szCs w:val="24"/>
        </w:rPr>
        <w:t>s</w:t>
      </w:r>
      <w:r w:rsidR="00284965">
        <w:rPr>
          <w:sz w:val="24"/>
          <w:szCs w:val="24"/>
        </w:rPr>
        <w:t xml:space="preserve"> </w:t>
      </w:r>
      <w:r w:rsidR="001E43BC">
        <w:rPr>
          <w:sz w:val="24"/>
          <w:szCs w:val="24"/>
        </w:rPr>
        <w:t xml:space="preserve">(AeroCo; TelCo) </w:t>
      </w:r>
      <w:r w:rsidR="00284965">
        <w:rPr>
          <w:sz w:val="24"/>
          <w:szCs w:val="24"/>
        </w:rPr>
        <w:t xml:space="preserve">were selected from sectors supplying </w:t>
      </w:r>
      <w:r w:rsidR="00FB5874">
        <w:rPr>
          <w:sz w:val="24"/>
          <w:szCs w:val="24"/>
        </w:rPr>
        <w:t>complex, highly customised products</w:t>
      </w:r>
      <w:r w:rsidR="00EB0DD0">
        <w:rPr>
          <w:sz w:val="24"/>
          <w:szCs w:val="24"/>
        </w:rPr>
        <w:t xml:space="preserve"> (aerospace</w:t>
      </w:r>
      <w:r w:rsidR="001E43BC">
        <w:rPr>
          <w:sz w:val="24"/>
          <w:szCs w:val="24"/>
        </w:rPr>
        <w:t xml:space="preserve"> and</w:t>
      </w:r>
      <w:r w:rsidR="00EB0DD0">
        <w:rPr>
          <w:sz w:val="24"/>
          <w:szCs w:val="24"/>
        </w:rPr>
        <w:t xml:space="preserve"> telecommunications)</w:t>
      </w:r>
      <w:r w:rsidR="00375904">
        <w:rPr>
          <w:sz w:val="24"/>
          <w:szCs w:val="24"/>
        </w:rPr>
        <w:t>,</w:t>
      </w:r>
      <w:r w:rsidR="008364C0">
        <w:rPr>
          <w:sz w:val="24"/>
          <w:szCs w:val="24"/>
        </w:rPr>
        <w:t xml:space="preserve"> </w:t>
      </w:r>
      <w:r w:rsidR="00284965">
        <w:rPr>
          <w:sz w:val="24"/>
          <w:szCs w:val="24"/>
        </w:rPr>
        <w:t xml:space="preserve">as </w:t>
      </w:r>
      <w:r w:rsidR="008364C0">
        <w:rPr>
          <w:sz w:val="24"/>
          <w:szCs w:val="24"/>
        </w:rPr>
        <w:t xml:space="preserve">manufacturers </w:t>
      </w:r>
      <w:r w:rsidR="0006451D">
        <w:rPr>
          <w:sz w:val="24"/>
          <w:szCs w:val="24"/>
        </w:rPr>
        <w:t xml:space="preserve">in these sectors </w:t>
      </w:r>
      <w:r w:rsidR="00284965">
        <w:rPr>
          <w:sz w:val="24"/>
          <w:szCs w:val="24"/>
        </w:rPr>
        <w:t>are generally the most servitized (</w:t>
      </w:r>
      <w:r w:rsidR="00FF5D5A" w:rsidRPr="008364C0">
        <w:rPr>
          <w:rFonts w:eastAsia="Times New Roman" w:cs="Arial"/>
          <w:sz w:val="24"/>
          <w:szCs w:val="24"/>
          <w:lang w:eastAsia="en-GB"/>
        </w:rPr>
        <w:t xml:space="preserve">Dachs, Biege, Borowiecki, Lay, </w:t>
      </w:r>
      <w:r w:rsidR="00FF5D5A">
        <w:rPr>
          <w:rFonts w:eastAsia="Times New Roman" w:cs="Arial"/>
          <w:sz w:val="24"/>
          <w:szCs w:val="24"/>
          <w:lang w:eastAsia="en-GB"/>
        </w:rPr>
        <w:t>Jäger</w:t>
      </w:r>
      <w:r w:rsidR="00FF5D5A" w:rsidRPr="008364C0">
        <w:rPr>
          <w:rFonts w:eastAsia="Times New Roman" w:cs="Arial"/>
          <w:sz w:val="24"/>
          <w:szCs w:val="24"/>
          <w:lang w:eastAsia="en-GB"/>
        </w:rPr>
        <w:t xml:space="preserve"> </w:t>
      </w:r>
      <w:r w:rsidR="00FF5D5A">
        <w:rPr>
          <w:rFonts w:eastAsia="Times New Roman" w:cs="Arial"/>
          <w:sz w:val="24"/>
          <w:szCs w:val="24"/>
          <w:lang w:eastAsia="en-GB"/>
        </w:rPr>
        <w:t>&amp;</w:t>
      </w:r>
      <w:r w:rsidR="00FF5D5A" w:rsidRPr="008364C0">
        <w:rPr>
          <w:rFonts w:eastAsia="Times New Roman" w:cs="Arial"/>
          <w:sz w:val="24"/>
          <w:szCs w:val="24"/>
          <w:lang w:eastAsia="en-GB"/>
        </w:rPr>
        <w:t xml:space="preserve"> Schartinger, </w:t>
      </w:r>
      <w:r w:rsidR="00FB5874">
        <w:rPr>
          <w:sz w:val="24"/>
          <w:szCs w:val="24"/>
        </w:rPr>
        <w:t>2014</w:t>
      </w:r>
      <w:r w:rsidR="00284965">
        <w:rPr>
          <w:sz w:val="24"/>
          <w:szCs w:val="24"/>
        </w:rPr>
        <w:t>)</w:t>
      </w:r>
      <w:r w:rsidR="008364C0">
        <w:rPr>
          <w:sz w:val="24"/>
          <w:szCs w:val="24"/>
        </w:rPr>
        <w:t xml:space="preserve">. A pragmatist </w:t>
      </w:r>
      <w:r w:rsidR="001E43BC">
        <w:rPr>
          <w:sz w:val="24"/>
          <w:szCs w:val="24"/>
        </w:rPr>
        <w:t xml:space="preserve">(ChemCo) </w:t>
      </w:r>
      <w:r w:rsidR="008364C0">
        <w:rPr>
          <w:sz w:val="24"/>
          <w:szCs w:val="24"/>
        </w:rPr>
        <w:t>was selected from a sector</w:t>
      </w:r>
      <w:r w:rsidR="00EB0DD0">
        <w:rPr>
          <w:sz w:val="24"/>
          <w:szCs w:val="24"/>
        </w:rPr>
        <w:t xml:space="preserve"> </w:t>
      </w:r>
      <w:r w:rsidR="00375904">
        <w:rPr>
          <w:sz w:val="24"/>
          <w:szCs w:val="24"/>
        </w:rPr>
        <w:t xml:space="preserve">with less complex </w:t>
      </w:r>
      <w:r w:rsidR="0006451D">
        <w:rPr>
          <w:sz w:val="24"/>
          <w:szCs w:val="24"/>
        </w:rPr>
        <w:t xml:space="preserve">and </w:t>
      </w:r>
      <w:r w:rsidR="00375904">
        <w:rPr>
          <w:sz w:val="24"/>
          <w:szCs w:val="24"/>
        </w:rPr>
        <w:t xml:space="preserve">customised products </w:t>
      </w:r>
      <w:r w:rsidR="00EB0DD0">
        <w:rPr>
          <w:sz w:val="24"/>
          <w:szCs w:val="24"/>
        </w:rPr>
        <w:t>(chemicals)</w:t>
      </w:r>
      <w:r w:rsidR="008364C0">
        <w:rPr>
          <w:sz w:val="24"/>
          <w:szCs w:val="24"/>
        </w:rPr>
        <w:t xml:space="preserve">, as manufacturers </w:t>
      </w:r>
      <w:r w:rsidR="0006451D">
        <w:rPr>
          <w:sz w:val="24"/>
          <w:szCs w:val="24"/>
        </w:rPr>
        <w:t xml:space="preserve">in these sectors </w:t>
      </w:r>
      <w:r w:rsidR="008364C0">
        <w:rPr>
          <w:sz w:val="24"/>
          <w:szCs w:val="24"/>
        </w:rPr>
        <w:t xml:space="preserve">are less servitized (Dachs et al., 2014). </w:t>
      </w:r>
      <w:r w:rsidR="001732EB">
        <w:rPr>
          <w:sz w:val="24"/>
          <w:szCs w:val="24"/>
        </w:rPr>
        <w:t>A</w:t>
      </w:r>
      <w:r w:rsidR="008364C0">
        <w:rPr>
          <w:sz w:val="24"/>
          <w:szCs w:val="24"/>
        </w:rPr>
        <w:t xml:space="preserve"> doubter </w:t>
      </w:r>
      <w:r w:rsidR="001E43BC">
        <w:rPr>
          <w:sz w:val="24"/>
          <w:szCs w:val="24"/>
        </w:rPr>
        <w:t xml:space="preserve">(SecurCo) </w:t>
      </w:r>
      <w:r w:rsidR="008364C0">
        <w:rPr>
          <w:sz w:val="24"/>
          <w:szCs w:val="24"/>
        </w:rPr>
        <w:t xml:space="preserve">was selected from the security sector. Although manufacturers in this sector provide </w:t>
      </w:r>
      <w:r w:rsidR="00FB5874">
        <w:rPr>
          <w:sz w:val="24"/>
          <w:szCs w:val="24"/>
        </w:rPr>
        <w:t>complex, highly customised products</w:t>
      </w:r>
      <w:r w:rsidR="008364C0">
        <w:rPr>
          <w:sz w:val="24"/>
          <w:szCs w:val="24"/>
        </w:rPr>
        <w:t>,</w:t>
      </w:r>
      <w:r w:rsidR="00506758">
        <w:rPr>
          <w:sz w:val="24"/>
          <w:szCs w:val="24"/>
        </w:rPr>
        <w:t xml:space="preserve"> they typically provide few services;</w:t>
      </w:r>
      <w:r w:rsidR="008364C0">
        <w:rPr>
          <w:sz w:val="24"/>
          <w:szCs w:val="24"/>
        </w:rPr>
        <w:t xml:space="preserve"> the industry structure </w:t>
      </w:r>
      <w:r w:rsidR="0024286C">
        <w:rPr>
          <w:sz w:val="24"/>
          <w:szCs w:val="24"/>
        </w:rPr>
        <w:t xml:space="preserve">means that manufacturers </w:t>
      </w:r>
      <w:r w:rsidR="008364C0">
        <w:rPr>
          <w:sz w:val="24"/>
          <w:szCs w:val="24"/>
        </w:rPr>
        <w:t xml:space="preserve">generally use distributors, </w:t>
      </w:r>
      <w:r w:rsidR="00F95F9D">
        <w:rPr>
          <w:sz w:val="24"/>
          <w:szCs w:val="24"/>
        </w:rPr>
        <w:t xml:space="preserve">which </w:t>
      </w:r>
      <w:r w:rsidR="008364C0">
        <w:rPr>
          <w:sz w:val="24"/>
          <w:szCs w:val="24"/>
        </w:rPr>
        <w:t>provide most of the services to customers</w:t>
      </w:r>
      <w:r w:rsidR="0024286C">
        <w:rPr>
          <w:sz w:val="24"/>
          <w:szCs w:val="24"/>
        </w:rPr>
        <w:t xml:space="preserve">. </w:t>
      </w:r>
    </w:p>
    <w:p w14:paraId="5D06EB3D" w14:textId="77777777" w:rsidR="009C3DBB" w:rsidRDefault="009C3DBB" w:rsidP="006F7439">
      <w:pPr>
        <w:spacing w:after="0" w:line="480" w:lineRule="auto"/>
        <w:jc w:val="both"/>
        <w:rPr>
          <w:sz w:val="24"/>
          <w:szCs w:val="24"/>
        </w:rPr>
      </w:pPr>
    </w:p>
    <w:p w14:paraId="2B2CD42E" w14:textId="0D7D7584" w:rsidR="00A206FB" w:rsidRDefault="009C3DBB" w:rsidP="00A61897">
      <w:pPr>
        <w:spacing w:after="0" w:line="480" w:lineRule="auto"/>
        <w:jc w:val="both"/>
        <w:rPr>
          <w:sz w:val="24"/>
          <w:szCs w:val="24"/>
        </w:rPr>
      </w:pPr>
      <w:r>
        <w:rPr>
          <w:sz w:val="24"/>
          <w:szCs w:val="24"/>
        </w:rPr>
        <w:t xml:space="preserve">The </w:t>
      </w:r>
      <w:r w:rsidR="00FB5874">
        <w:rPr>
          <w:sz w:val="24"/>
          <w:szCs w:val="24"/>
        </w:rPr>
        <w:t xml:space="preserve">selected </w:t>
      </w:r>
      <w:r>
        <w:rPr>
          <w:sz w:val="24"/>
          <w:szCs w:val="24"/>
        </w:rPr>
        <w:t>manufacturers were multi-nationals with a significant UK presence,</w:t>
      </w:r>
      <w:r w:rsidRPr="00B44EBB" w:rsidDel="008909D8">
        <w:rPr>
          <w:sz w:val="24"/>
          <w:szCs w:val="24"/>
        </w:rPr>
        <w:t xml:space="preserve"> </w:t>
      </w:r>
      <w:r>
        <w:rPr>
          <w:sz w:val="24"/>
          <w:szCs w:val="24"/>
        </w:rPr>
        <w:t xml:space="preserve">possessing a </w:t>
      </w:r>
      <w:r w:rsidRPr="00B44EBB">
        <w:rPr>
          <w:sz w:val="24"/>
          <w:szCs w:val="24"/>
        </w:rPr>
        <w:t>heritage and track record of technological innovation</w:t>
      </w:r>
      <w:r>
        <w:rPr>
          <w:sz w:val="24"/>
          <w:szCs w:val="24"/>
        </w:rPr>
        <w:t>.</w:t>
      </w:r>
      <w:r w:rsidRPr="00B44EBB">
        <w:rPr>
          <w:sz w:val="24"/>
          <w:szCs w:val="24"/>
        </w:rPr>
        <w:t xml:space="preserve"> </w:t>
      </w:r>
      <w:r w:rsidR="00C376A6">
        <w:rPr>
          <w:sz w:val="24"/>
          <w:szCs w:val="24"/>
        </w:rPr>
        <w:t>In order to establish construct validity (Yin, 2013), t</w:t>
      </w:r>
      <w:r w:rsidR="00711E52">
        <w:rPr>
          <w:sz w:val="24"/>
          <w:szCs w:val="24"/>
        </w:rPr>
        <w:t xml:space="preserve">he </w:t>
      </w:r>
      <w:r w:rsidR="00DB6DDC">
        <w:rPr>
          <w:sz w:val="24"/>
          <w:szCs w:val="24"/>
        </w:rPr>
        <w:t>organisation</w:t>
      </w:r>
      <w:r w:rsidR="00711E52">
        <w:rPr>
          <w:sz w:val="24"/>
          <w:szCs w:val="24"/>
        </w:rPr>
        <w:t xml:space="preserve">s </w:t>
      </w:r>
      <w:r w:rsidR="00711E52" w:rsidRPr="00BC74F9">
        <w:rPr>
          <w:sz w:val="24"/>
          <w:szCs w:val="24"/>
        </w:rPr>
        <w:t xml:space="preserve">were </w:t>
      </w:r>
      <w:r w:rsidR="00711E52">
        <w:rPr>
          <w:sz w:val="24"/>
          <w:szCs w:val="24"/>
        </w:rPr>
        <w:t xml:space="preserve">located on the Raddats </w:t>
      </w:r>
      <w:r w:rsidR="004E1C65">
        <w:rPr>
          <w:sz w:val="24"/>
          <w:szCs w:val="24"/>
        </w:rPr>
        <w:t xml:space="preserve">&amp; </w:t>
      </w:r>
      <w:r w:rsidR="00711E52">
        <w:rPr>
          <w:sz w:val="24"/>
          <w:szCs w:val="24"/>
        </w:rPr>
        <w:t>Kowalkowski (2014) service</w:t>
      </w:r>
      <w:r w:rsidR="00BA3E7B">
        <w:rPr>
          <w:sz w:val="24"/>
          <w:szCs w:val="24"/>
        </w:rPr>
        <w:t>s</w:t>
      </w:r>
      <w:r w:rsidR="00711E52">
        <w:rPr>
          <w:sz w:val="24"/>
          <w:szCs w:val="24"/>
        </w:rPr>
        <w:t xml:space="preserve"> strateg</w:t>
      </w:r>
      <w:r w:rsidR="00375904">
        <w:rPr>
          <w:sz w:val="24"/>
          <w:szCs w:val="24"/>
        </w:rPr>
        <w:t>y</w:t>
      </w:r>
      <w:r w:rsidR="00711E52">
        <w:rPr>
          <w:sz w:val="24"/>
          <w:szCs w:val="24"/>
        </w:rPr>
        <w:t xml:space="preserve"> t</w:t>
      </w:r>
      <w:r w:rsidR="00375904">
        <w:rPr>
          <w:sz w:val="24"/>
          <w:szCs w:val="24"/>
        </w:rPr>
        <w:t>ypology</w:t>
      </w:r>
      <w:r w:rsidR="0090051E">
        <w:rPr>
          <w:sz w:val="24"/>
          <w:szCs w:val="24"/>
        </w:rPr>
        <w:t xml:space="preserve"> </w:t>
      </w:r>
      <w:r w:rsidR="0053333A">
        <w:rPr>
          <w:sz w:val="24"/>
          <w:szCs w:val="24"/>
        </w:rPr>
        <w:t xml:space="preserve">through </w:t>
      </w:r>
      <w:r w:rsidR="00711E52">
        <w:rPr>
          <w:sz w:val="24"/>
          <w:szCs w:val="24"/>
        </w:rPr>
        <w:t xml:space="preserve">a triangulating review </w:t>
      </w:r>
      <w:r w:rsidR="00711E52" w:rsidRPr="00AF5B66">
        <w:rPr>
          <w:sz w:val="24"/>
          <w:szCs w:val="24"/>
        </w:rPr>
        <w:t xml:space="preserve">(Creswell, 2003) </w:t>
      </w:r>
      <w:r w:rsidR="00711E52">
        <w:rPr>
          <w:sz w:val="24"/>
          <w:szCs w:val="24"/>
        </w:rPr>
        <w:t>of</w:t>
      </w:r>
      <w:r w:rsidR="00711E52" w:rsidRPr="00BC74F9">
        <w:rPr>
          <w:sz w:val="24"/>
          <w:szCs w:val="24"/>
        </w:rPr>
        <w:t xml:space="preserve"> documentary evidence, </w:t>
      </w:r>
      <w:r w:rsidR="00C376A6">
        <w:rPr>
          <w:sz w:val="24"/>
          <w:szCs w:val="24"/>
        </w:rPr>
        <w:t>(</w:t>
      </w:r>
      <w:r w:rsidR="00711E52">
        <w:rPr>
          <w:sz w:val="24"/>
          <w:szCs w:val="24"/>
        </w:rPr>
        <w:t>including</w:t>
      </w:r>
      <w:r w:rsidR="00711E52" w:rsidRPr="00BC74F9">
        <w:rPr>
          <w:sz w:val="24"/>
          <w:szCs w:val="24"/>
        </w:rPr>
        <w:t xml:space="preserve"> websites</w:t>
      </w:r>
      <w:r w:rsidR="00711E52">
        <w:rPr>
          <w:sz w:val="24"/>
          <w:szCs w:val="24"/>
        </w:rPr>
        <w:t>,</w:t>
      </w:r>
      <w:r w:rsidR="00711E52" w:rsidRPr="00BC74F9">
        <w:rPr>
          <w:sz w:val="24"/>
          <w:szCs w:val="24"/>
        </w:rPr>
        <w:t xml:space="preserve"> archival records</w:t>
      </w:r>
      <w:r w:rsidR="00C479AE">
        <w:rPr>
          <w:sz w:val="24"/>
          <w:szCs w:val="24"/>
        </w:rPr>
        <w:t>)</w:t>
      </w:r>
      <w:r w:rsidR="00711E52">
        <w:rPr>
          <w:sz w:val="24"/>
          <w:szCs w:val="24"/>
        </w:rPr>
        <w:t xml:space="preserve"> and </w:t>
      </w:r>
      <w:r w:rsidR="00796107">
        <w:rPr>
          <w:sz w:val="24"/>
          <w:szCs w:val="24"/>
        </w:rPr>
        <w:t xml:space="preserve">preliminary </w:t>
      </w:r>
      <w:r w:rsidR="00711E52">
        <w:rPr>
          <w:sz w:val="24"/>
          <w:szCs w:val="24"/>
        </w:rPr>
        <w:t>interviews.</w:t>
      </w:r>
      <w:r w:rsidR="006F7439" w:rsidRPr="006F7439">
        <w:rPr>
          <w:sz w:val="24"/>
          <w:szCs w:val="24"/>
        </w:rPr>
        <w:t xml:space="preserve"> </w:t>
      </w:r>
      <w:r w:rsidR="003B0F62">
        <w:rPr>
          <w:sz w:val="24"/>
          <w:szCs w:val="24"/>
        </w:rPr>
        <w:t>Two e</w:t>
      </w:r>
      <w:r w:rsidR="00365A38" w:rsidRPr="00365A38">
        <w:rPr>
          <w:sz w:val="24"/>
          <w:szCs w:val="24"/>
        </w:rPr>
        <w:t xml:space="preserve">nthusiasts were included </w:t>
      </w:r>
      <w:r w:rsidR="00E01498">
        <w:rPr>
          <w:sz w:val="24"/>
          <w:szCs w:val="24"/>
        </w:rPr>
        <w:t>because</w:t>
      </w:r>
      <w:r w:rsidR="003639DF">
        <w:rPr>
          <w:sz w:val="24"/>
          <w:szCs w:val="24"/>
        </w:rPr>
        <w:t xml:space="preserve"> this is a relatively large group </w:t>
      </w:r>
      <w:r w:rsidR="003639DF" w:rsidRPr="00365A38">
        <w:rPr>
          <w:sz w:val="24"/>
          <w:szCs w:val="24"/>
        </w:rPr>
        <w:t xml:space="preserve">(within Raddats </w:t>
      </w:r>
      <w:r w:rsidR="004E1C65">
        <w:rPr>
          <w:sz w:val="24"/>
          <w:szCs w:val="24"/>
        </w:rPr>
        <w:t>&amp;</w:t>
      </w:r>
      <w:r w:rsidR="004E1C65" w:rsidRPr="00365A38">
        <w:rPr>
          <w:sz w:val="24"/>
          <w:szCs w:val="24"/>
        </w:rPr>
        <w:t xml:space="preserve"> </w:t>
      </w:r>
      <w:r w:rsidR="003639DF" w:rsidRPr="00365A38">
        <w:rPr>
          <w:sz w:val="24"/>
          <w:szCs w:val="24"/>
        </w:rPr>
        <w:t>Kowalkowski’s [2014] sample)</w:t>
      </w:r>
      <w:r w:rsidR="000B6121">
        <w:rPr>
          <w:sz w:val="24"/>
          <w:szCs w:val="24"/>
        </w:rPr>
        <w:t xml:space="preserve">. Initial data suggested that </w:t>
      </w:r>
      <w:r w:rsidR="000A037F">
        <w:rPr>
          <w:sz w:val="24"/>
          <w:szCs w:val="24"/>
        </w:rPr>
        <w:t xml:space="preserve">the </w:t>
      </w:r>
      <w:r w:rsidR="000B6121">
        <w:rPr>
          <w:sz w:val="24"/>
          <w:szCs w:val="24"/>
        </w:rPr>
        <w:t xml:space="preserve">enthusiast </w:t>
      </w:r>
      <w:r w:rsidR="000069A5">
        <w:rPr>
          <w:sz w:val="24"/>
          <w:szCs w:val="24"/>
        </w:rPr>
        <w:t xml:space="preserve">category </w:t>
      </w:r>
      <w:r w:rsidR="000B6121">
        <w:rPr>
          <w:sz w:val="24"/>
          <w:szCs w:val="24"/>
        </w:rPr>
        <w:t>might need further refinement as we predicted greater variance in the</w:t>
      </w:r>
      <w:r w:rsidR="000069A5">
        <w:rPr>
          <w:sz w:val="24"/>
          <w:szCs w:val="24"/>
        </w:rPr>
        <w:t>ir</w:t>
      </w:r>
      <w:r w:rsidR="000B6121">
        <w:rPr>
          <w:sz w:val="24"/>
          <w:szCs w:val="24"/>
        </w:rPr>
        <w:t xml:space="preserve"> service</w:t>
      </w:r>
      <w:r w:rsidR="000A037F">
        <w:rPr>
          <w:sz w:val="24"/>
          <w:szCs w:val="24"/>
        </w:rPr>
        <w:t xml:space="preserve"> offerings</w:t>
      </w:r>
      <w:r w:rsidR="00365A38" w:rsidRPr="00365A38">
        <w:rPr>
          <w:sz w:val="24"/>
          <w:szCs w:val="24"/>
        </w:rPr>
        <w:t>.</w:t>
      </w:r>
    </w:p>
    <w:p w14:paraId="05812337" w14:textId="77777777" w:rsidR="00A206FB" w:rsidRDefault="00A206FB" w:rsidP="00A61897">
      <w:pPr>
        <w:spacing w:after="0" w:line="480" w:lineRule="auto"/>
        <w:jc w:val="both"/>
        <w:rPr>
          <w:sz w:val="24"/>
          <w:szCs w:val="24"/>
        </w:rPr>
      </w:pPr>
    </w:p>
    <w:p w14:paraId="46337600" w14:textId="68F5B61D" w:rsidR="000A3856" w:rsidRDefault="0020342C" w:rsidP="00A61897">
      <w:pPr>
        <w:spacing w:after="0" w:line="480" w:lineRule="auto"/>
        <w:jc w:val="both"/>
        <w:rPr>
          <w:i/>
          <w:sz w:val="24"/>
          <w:szCs w:val="24"/>
        </w:rPr>
      </w:pPr>
      <w:r w:rsidRPr="00DE5C87">
        <w:rPr>
          <w:i/>
          <w:sz w:val="24"/>
          <w:szCs w:val="24"/>
        </w:rPr>
        <w:t>3.3. Data collection</w:t>
      </w:r>
    </w:p>
    <w:p w14:paraId="6295C912" w14:textId="3474245C" w:rsidR="003178B4" w:rsidRDefault="00B44EBB" w:rsidP="00A71251">
      <w:pPr>
        <w:spacing w:after="0" w:line="480" w:lineRule="auto"/>
        <w:jc w:val="both"/>
        <w:rPr>
          <w:sz w:val="24"/>
          <w:szCs w:val="24"/>
        </w:rPr>
      </w:pPr>
      <w:r w:rsidRPr="00B44EBB">
        <w:rPr>
          <w:sz w:val="24"/>
          <w:szCs w:val="24"/>
        </w:rPr>
        <w:t xml:space="preserve">Data </w:t>
      </w:r>
      <w:r w:rsidR="009F3950" w:rsidRPr="00B44EBB">
        <w:rPr>
          <w:sz w:val="24"/>
          <w:szCs w:val="24"/>
        </w:rPr>
        <w:t>w</w:t>
      </w:r>
      <w:r w:rsidR="009F3950">
        <w:rPr>
          <w:sz w:val="24"/>
          <w:szCs w:val="24"/>
        </w:rPr>
        <w:t>ere</w:t>
      </w:r>
      <w:r w:rsidR="009F3950" w:rsidRPr="00B44EBB">
        <w:rPr>
          <w:sz w:val="24"/>
          <w:szCs w:val="24"/>
        </w:rPr>
        <w:t xml:space="preserve"> </w:t>
      </w:r>
      <w:r w:rsidRPr="00B44EBB">
        <w:rPr>
          <w:sz w:val="24"/>
          <w:szCs w:val="24"/>
        </w:rPr>
        <w:t xml:space="preserve">collected </w:t>
      </w:r>
      <w:r>
        <w:rPr>
          <w:sz w:val="24"/>
          <w:szCs w:val="24"/>
        </w:rPr>
        <w:t>from</w:t>
      </w:r>
      <w:r w:rsidRPr="00B44EBB">
        <w:rPr>
          <w:sz w:val="24"/>
          <w:szCs w:val="24"/>
        </w:rPr>
        <w:t xml:space="preserve"> documentary sources and </w:t>
      </w:r>
      <w:r>
        <w:rPr>
          <w:sz w:val="24"/>
          <w:szCs w:val="24"/>
        </w:rPr>
        <w:t>via</w:t>
      </w:r>
      <w:r w:rsidR="001D5954">
        <w:rPr>
          <w:sz w:val="24"/>
          <w:szCs w:val="24"/>
        </w:rPr>
        <w:t xml:space="preserve"> 24</w:t>
      </w:r>
      <w:r>
        <w:rPr>
          <w:sz w:val="24"/>
          <w:szCs w:val="24"/>
        </w:rPr>
        <w:t xml:space="preserve"> </w:t>
      </w:r>
      <w:r w:rsidRPr="00B44EBB">
        <w:rPr>
          <w:sz w:val="24"/>
          <w:szCs w:val="24"/>
        </w:rPr>
        <w:t>in-depth interviews</w:t>
      </w:r>
      <w:r w:rsidR="001D5954">
        <w:rPr>
          <w:sz w:val="24"/>
          <w:szCs w:val="24"/>
        </w:rPr>
        <w:t xml:space="preserve"> </w:t>
      </w:r>
      <w:r w:rsidR="00500B9F" w:rsidRPr="004F4952">
        <w:rPr>
          <w:sz w:val="24"/>
          <w:szCs w:val="24"/>
        </w:rPr>
        <w:t xml:space="preserve">with senior </w:t>
      </w:r>
      <w:r w:rsidR="00500B9F">
        <w:rPr>
          <w:sz w:val="24"/>
          <w:szCs w:val="24"/>
        </w:rPr>
        <w:t xml:space="preserve">marketing </w:t>
      </w:r>
      <w:r w:rsidR="003F6A29">
        <w:rPr>
          <w:sz w:val="24"/>
          <w:szCs w:val="24"/>
        </w:rPr>
        <w:t>and</w:t>
      </w:r>
      <w:r w:rsidR="00500B9F">
        <w:rPr>
          <w:sz w:val="24"/>
          <w:szCs w:val="24"/>
        </w:rPr>
        <w:t xml:space="preserve"> </w:t>
      </w:r>
      <w:r w:rsidR="003F6A29">
        <w:rPr>
          <w:sz w:val="24"/>
          <w:szCs w:val="24"/>
        </w:rPr>
        <w:t xml:space="preserve">service </w:t>
      </w:r>
      <w:r w:rsidR="00500B9F">
        <w:rPr>
          <w:sz w:val="24"/>
          <w:szCs w:val="24"/>
        </w:rPr>
        <w:t xml:space="preserve">operations </w:t>
      </w:r>
      <w:r w:rsidR="00500B9F" w:rsidRPr="004F4952">
        <w:rPr>
          <w:sz w:val="24"/>
          <w:szCs w:val="24"/>
        </w:rPr>
        <w:t xml:space="preserve">managers responsible for their </w:t>
      </w:r>
      <w:r w:rsidR="00500B9F">
        <w:rPr>
          <w:sz w:val="24"/>
          <w:szCs w:val="24"/>
        </w:rPr>
        <w:t>organisation</w:t>
      </w:r>
      <w:r w:rsidR="00500B9F" w:rsidRPr="004F4952">
        <w:rPr>
          <w:sz w:val="24"/>
          <w:szCs w:val="24"/>
        </w:rPr>
        <w:t>s’ services</w:t>
      </w:r>
      <w:r w:rsidR="006632BD">
        <w:rPr>
          <w:sz w:val="24"/>
          <w:szCs w:val="24"/>
        </w:rPr>
        <w:t>;</w:t>
      </w:r>
      <w:r w:rsidR="00500B9F">
        <w:rPr>
          <w:sz w:val="24"/>
          <w:szCs w:val="24"/>
        </w:rPr>
        <w:t xml:space="preserve"> </w:t>
      </w:r>
      <w:r w:rsidR="00D96FED">
        <w:rPr>
          <w:sz w:val="24"/>
          <w:szCs w:val="24"/>
        </w:rPr>
        <w:t>a minimum of four per company</w:t>
      </w:r>
      <w:r w:rsidR="00097E68">
        <w:rPr>
          <w:sz w:val="24"/>
          <w:szCs w:val="24"/>
        </w:rPr>
        <w:t xml:space="preserve">, with more respondents </w:t>
      </w:r>
      <w:r w:rsidR="00470A00">
        <w:rPr>
          <w:sz w:val="24"/>
          <w:szCs w:val="24"/>
        </w:rPr>
        <w:t xml:space="preserve">from </w:t>
      </w:r>
      <w:r w:rsidR="003639DF">
        <w:rPr>
          <w:sz w:val="24"/>
          <w:szCs w:val="24"/>
        </w:rPr>
        <w:t>more servitized</w:t>
      </w:r>
      <w:r w:rsidR="00097E68">
        <w:rPr>
          <w:sz w:val="24"/>
          <w:szCs w:val="24"/>
        </w:rPr>
        <w:t xml:space="preserve"> organisations</w:t>
      </w:r>
      <w:r w:rsidR="00D9115F">
        <w:rPr>
          <w:sz w:val="24"/>
          <w:szCs w:val="24"/>
        </w:rPr>
        <w:t xml:space="preserve"> </w:t>
      </w:r>
      <w:r w:rsidR="00097E68">
        <w:rPr>
          <w:sz w:val="24"/>
          <w:szCs w:val="24"/>
        </w:rPr>
        <w:t>to deliver</w:t>
      </w:r>
      <w:r w:rsidR="00D9115F">
        <w:rPr>
          <w:sz w:val="24"/>
          <w:szCs w:val="24"/>
        </w:rPr>
        <w:t xml:space="preserve"> greater construct validity (Yin, 2013)</w:t>
      </w:r>
      <w:r w:rsidR="00EB0DD0">
        <w:rPr>
          <w:sz w:val="24"/>
          <w:szCs w:val="24"/>
        </w:rPr>
        <w:t xml:space="preserve"> (see</w:t>
      </w:r>
      <w:r w:rsidR="00D35BF3">
        <w:rPr>
          <w:sz w:val="24"/>
          <w:szCs w:val="24"/>
        </w:rPr>
        <w:t xml:space="preserve"> Table 1</w:t>
      </w:r>
      <w:r w:rsidR="00EB0DD0">
        <w:rPr>
          <w:sz w:val="24"/>
          <w:szCs w:val="24"/>
        </w:rPr>
        <w:t>).</w:t>
      </w:r>
      <w:r w:rsidR="003178B4">
        <w:rPr>
          <w:sz w:val="24"/>
          <w:szCs w:val="24"/>
        </w:rPr>
        <w:br w:type="page"/>
      </w:r>
    </w:p>
    <w:p w14:paraId="30139EC0" w14:textId="77777777" w:rsidR="003178B4" w:rsidRDefault="003178B4" w:rsidP="00A12A3C">
      <w:pPr>
        <w:rPr>
          <w:sz w:val="24"/>
          <w:szCs w:val="24"/>
        </w:rPr>
        <w:sectPr w:rsidR="003178B4" w:rsidSect="00CE0A9D">
          <w:footerReference w:type="default" r:id="rId13"/>
          <w:pgSz w:w="11906" w:h="16838"/>
          <w:pgMar w:top="1440" w:right="1440" w:bottom="1440" w:left="1440" w:header="709" w:footer="709" w:gutter="0"/>
          <w:cols w:space="708"/>
          <w:docGrid w:linePitch="360"/>
        </w:sectPr>
      </w:pPr>
    </w:p>
    <w:p w14:paraId="44FFD516" w14:textId="02FB3371" w:rsidR="00A12A3C" w:rsidRPr="00A12A3C" w:rsidRDefault="00D35BF3" w:rsidP="00A12A3C">
      <w:pPr>
        <w:rPr>
          <w:rFonts w:ascii="Calibri" w:eastAsia="Calibri" w:hAnsi="Calibri" w:cs="Times New Roman"/>
          <w:b/>
          <w:sz w:val="24"/>
          <w:szCs w:val="24"/>
        </w:rPr>
      </w:pPr>
      <w:r w:rsidRPr="00E44CE7">
        <w:rPr>
          <w:rFonts w:ascii="Calibri" w:eastAsia="Calibri" w:hAnsi="Calibri" w:cs="Times New Roman"/>
          <w:b/>
          <w:sz w:val="24"/>
          <w:szCs w:val="24"/>
        </w:rPr>
        <w:t xml:space="preserve">Table </w:t>
      </w:r>
      <w:r>
        <w:rPr>
          <w:rFonts w:ascii="Calibri" w:eastAsia="Calibri" w:hAnsi="Calibri" w:cs="Times New Roman"/>
          <w:b/>
          <w:sz w:val="24"/>
          <w:szCs w:val="24"/>
        </w:rPr>
        <w:t>1</w:t>
      </w:r>
      <w:r w:rsidRPr="00E44CE7">
        <w:rPr>
          <w:rFonts w:ascii="Calibri" w:eastAsia="Calibri" w:hAnsi="Calibri" w:cs="Times New Roman"/>
          <w:b/>
          <w:sz w:val="24"/>
          <w:szCs w:val="24"/>
        </w:rPr>
        <w:t>: Companies and individuals that took part in the study</w:t>
      </w:r>
    </w:p>
    <w:tbl>
      <w:tblPr>
        <w:tblStyle w:val="TableGrid"/>
        <w:tblW w:w="14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417"/>
        <w:gridCol w:w="2410"/>
        <w:gridCol w:w="2268"/>
        <w:gridCol w:w="4252"/>
        <w:gridCol w:w="1985"/>
      </w:tblGrid>
      <w:tr w:rsidR="003178B4" w14:paraId="6DA822EB" w14:textId="77777777" w:rsidTr="00A206FB">
        <w:tc>
          <w:tcPr>
            <w:tcW w:w="1668" w:type="dxa"/>
            <w:hideMark/>
          </w:tcPr>
          <w:p w14:paraId="259E7740" w14:textId="77777777" w:rsidR="00A206FB" w:rsidRDefault="00A206FB">
            <w:pPr>
              <w:rPr>
                <w:b/>
                <w:sz w:val="24"/>
                <w:szCs w:val="24"/>
              </w:rPr>
            </w:pPr>
            <w:r>
              <w:rPr>
                <w:b/>
                <w:sz w:val="24"/>
                <w:szCs w:val="24"/>
              </w:rPr>
              <w:t xml:space="preserve">Manufacturer </w:t>
            </w:r>
          </w:p>
        </w:tc>
        <w:tc>
          <w:tcPr>
            <w:tcW w:w="1417" w:type="dxa"/>
            <w:hideMark/>
          </w:tcPr>
          <w:p w14:paraId="4B5185F3" w14:textId="77777777" w:rsidR="00A206FB" w:rsidRDefault="00A206FB">
            <w:pPr>
              <w:rPr>
                <w:b/>
                <w:sz w:val="24"/>
                <w:szCs w:val="24"/>
              </w:rPr>
            </w:pPr>
            <w:r>
              <w:rPr>
                <w:b/>
                <w:sz w:val="24"/>
                <w:szCs w:val="24"/>
              </w:rPr>
              <w:t>Ownership of parent company</w:t>
            </w:r>
          </w:p>
        </w:tc>
        <w:tc>
          <w:tcPr>
            <w:tcW w:w="2410" w:type="dxa"/>
            <w:hideMark/>
          </w:tcPr>
          <w:p w14:paraId="118CA1DB" w14:textId="77777777" w:rsidR="00A206FB" w:rsidRDefault="00A206FB">
            <w:pPr>
              <w:rPr>
                <w:b/>
                <w:sz w:val="24"/>
                <w:szCs w:val="24"/>
              </w:rPr>
            </w:pPr>
            <w:r>
              <w:rPr>
                <w:b/>
                <w:sz w:val="24"/>
                <w:szCs w:val="24"/>
              </w:rPr>
              <w:t>Sector (products/</w:t>
            </w:r>
          </w:p>
          <w:p w14:paraId="5B2A1B95" w14:textId="77777777" w:rsidR="00A206FB" w:rsidRDefault="00A206FB">
            <w:pPr>
              <w:rPr>
                <w:b/>
                <w:sz w:val="24"/>
                <w:szCs w:val="24"/>
              </w:rPr>
            </w:pPr>
            <w:r>
              <w:rPr>
                <w:b/>
                <w:sz w:val="24"/>
                <w:szCs w:val="24"/>
              </w:rPr>
              <w:t>applications)</w:t>
            </w:r>
          </w:p>
        </w:tc>
        <w:tc>
          <w:tcPr>
            <w:tcW w:w="2268" w:type="dxa"/>
          </w:tcPr>
          <w:p w14:paraId="08217DFC" w14:textId="10BFDCAC" w:rsidR="00A206FB" w:rsidRDefault="00A206FB">
            <w:pPr>
              <w:rPr>
                <w:b/>
                <w:sz w:val="24"/>
                <w:szCs w:val="24"/>
              </w:rPr>
            </w:pPr>
            <w:r>
              <w:rPr>
                <w:b/>
                <w:sz w:val="24"/>
                <w:szCs w:val="24"/>
              </w:rPr>
              <w:t>Typical services</w:t>
            </w:r>
          </w:p>
        </w:tc>
        <w:tc>
          <w:tcPr>
            <w:tcW w:w="4252" w:type="dxa"/>
            <w:hideMark/>
          </w:tcPr>
          <w:p w14:paraId="797118D7" w14:textId="26182A74" w:rsidR="00A206FB" w:rsidRDefault="00A206FB">
            <w:pPr>
              <w:rPr>
                <w:b/>
                <w:sz w:val="24"/>
                <w:szCs w:val="24"/>
              </w:rPr>
            </w:pPr>
            <w:r>
              <w:rPr>
                <w:b/>
                <w:sz w:val="24"/>
                <w:szCs w:val="24"/>
              </w:rPr>
              <w:t xml:space="preserve">Classification (evidence supporting classification) </w:t>
            </w:r>
          </w:p>
        </w:tc>
        <w:tc>
          <w:tcPr>
            <w:tcW w:w="1985" w:type="dxa"/>
            <w:hideMark/>
          </w:tcPr>
          <w:p w14:paraId="02D2D7A9" w14:textId="77777777" w:rsidR="00A206FB" w:rsidRDefault="00A206FB">
            <w:pPr>
              <w:rPr>
                <w:b/>
                <w:sz w:val="24"/>
                <w:szCs w:val="24"/>
              </w:rPr>
            </w:pPr>
            <w:r>
              <w:rPr>
                <w:b/>
                <w:sz w:val="24"/>
                <w:szCs w:val="24"/>
              </w:rPr>
              <w:t>Number of interviewees (functional areas)</w:t>
            </w:r>
          </w:p>
        </w:tc>
      </w:tr>
      <w:tr w:rsidR="003178B4" w14:paraId="38016886" w14:textId="77777777" w:rsidTr="00A206FB">
        <w:tc>
          <w:tcPr>
            <w:tcW w:w="1668" w:type="dxa"/>
            <w:hideMark/>
          </w:tcPr>
          <w:p w14:paraId="665077E0" w14:textId="77777777" w:rsidR="00A206FB" w:rsidRDefault="00A206FB">
            <w:pPr>
              <w:rPr>
                <w:sz w:val="24"/>
                <w:szCs w:val="24"/>
              </w:rPr>
            </w:pPr>
            <w:r>
              <w:rPr>
                <w:sz w:val="24"/>
                <w:szCs w:val="24"/>
              </w:rPr>
              <w:t>AeroCo</w:t>
            </w:r>
          </w:p>
        </w:tc>
        <w:tc>
          <w:tcPr>
            <w:tcW w:w="1417" w:type="dxa"/>
            <w:hideMark/>
          </w:tcPr>
          <w:p w14:paraId="3813A95D" w14:textId="77777777" w:rsidR="00A206FB" w:rsidRDefault="00A206FB">
            <w:pPr>
              <w:rPr>
                <w:sz w:val="24"/>
                <w:szCs w:val="24"/>
              </w:rPr>
            </w:pPr>
            <w:r>
              <w:rPr>
                <w:sz w:val="24"/>
                <w:szCs w:val="24"/>
              </w:rPr>
              <w:t>European</w:t>
            </w:r>
          </w:p>
        </w:tc>
        <w:tc>
          <w:tcPr>
            <w:tcW w:w="2410" w:type="dxa"/>
            <w:hideMark/>
          </w:tcPr>
          <w:p w14:paraId="65551838" w14:textId="77777777" w:rsidR="00A206FB" w:rsidRDefault="00A206FB">
            <w:pPr>
              <w:rPr>
                <w:sz w:val="24"/>
                <w:szCs w:val="24"/>
              </w:rPr>
            </w:pPr>
            <w:r>
              <w:rPr>
                <w:sz w:val="24"/>
                <w:szCs w:val="24"/>
              </w:rPr>
              <w:t>Aerospace (avionics for military and commercial applications)</w:t>
            </w:r>
          </w:p>
        </w:tc>
        <w:tc>
          <w:tcPr>
            <w:tcW w:w="2268" w:type="dxa"/>
          </w:tcPr>
          <w:p w14:paraId="5767C5F2" w14:textId="4623AAF7" w:rsidR="00A206FB" w:rsidRDefault="00C42199" w:rsidP="00C42199">
            <w:pPr>
              <w:rPr>
                <w:sz w:val="24"/>
                <w:szCs w:val="24"/>
              </w:rPr>
            </w:pPr>
            <w:r>
              <w:rPr>
                <w:sz w:val="24"/>
                <w:szCs w:val="24"/>
              </w:rPr>
              <w:t>F</w:t>
            </w:r>
            <w:r w:rsidRPr="00C42199">
              <w:rPr>
                <w:sz w:val="24"/>
                <w:szCs w:val="24"/>
              </w:rPr>
              <w:t>rom spares and repairs through to availability and capability contracting</w:t>
            </w:r>
          </w:p>
        </w:tc>
        <w:tc>
          <w:tcPr>
            <w:tcW w:w="4252" w:type="dxa"/>
            <w:hideMark/>
          </w:tcPr>
          <w:p w14:paraId="0C8F0878" w14:textId="07EAD7DC" w:rsidR="00A206FB" w:rsidRDefault="00A206FB" w:rsidP="00034A96">
            <w:pPr>
              <w:rPr>
                <w:sz w:val="24"/>
                <w:szCs w:val="24"/>
              </w:rPr>
            </w:pPr>
            <w:r>
              <w:rPr>
                <w:sz w:val="24"/>
                <w:szCs w:val="24"/>
              </w:rPr>
              <w:t>Enthusiast (services &gt; 25% overall revenue and heavily emphasised in promoting customer offerings)</w:t>
            </w:r>
          </w:p>
        </w:tc>
        <w:tc>
          <w:tcPr>
            <w:tcW w:w="1985" w:type="dxa"/>
            <w:hideMark/>
          </w:tcPr>
          <w:p w14:paraId="66449B30" w14:textId="3B68D7E7" w:rsidR="00A206FB" w:rsidRDefault="00A206FB">
            <w:pPr>
              <w:rPr>
                <w:sz w:val="24"/>
                <w:szCs w:val="24"/>
              </w:rPr>
            </w:pPr>
            <w:r>
              <w:rPr>
                <w:sz w:val="24"/>
                <w:szCs w:val="24"/>
              </w:rPr>
              <w:t>8 (2 – marketing; 6 - service operations)</w:t>
            </w:r>
          </w:p>
          <w:p w14:paraId="3EEA27B0" w14:textId="56663A2F" w:rsidR="00A206FB" w:rsidRDefault="00A206FB">
            <w:pPr>
              <w:rPr>
                <w:sz w:val="24"/>
                <w:szCs w:val="24"/>
              </w:rPr>
            </w:pPr>
          </w:p>
        </w:tc>
      </w:tr>
      <w:tr w:rsidR="003178B4" w14:paraId="145DA19E" w14:textId="77777777" w:rsidTr="00A206FB">
        <w:tc>
          <w:tcPr>
            <w:tcW w:w="1668" w:type="dxa"/>
            <w:hideMark/>
          </w:tcPr>
          <w:p w14:paraId="2913B180" w14:textId="77777777" w:rsidR="00A206FB" w:rsidRDefault="00A206FB">
            <w:pPr>
              <w:rPr>
                <w:b/>
                <w:sz w:val="24"/>
                <w:szCs w:val="24"/>
              </w:rPr>
            </w:pPr>
            <w:r>
              <w:rPr>
                <w:sz w:val="24"/>
                <w:szCs w:val="24"/>
              </w:rPr>
              <w:t>ChemCo</w:t>
            </w:r>
          </w:p>
        </w:tc>
        <w:tc>
          <w:tcPr>
            <w:tcW w:w="1417" w:type="dxa"/>
            <w:hideMark/>
          </w:tcPr>
          <w:p w14:paraId="738D46A6" w14:textId="77777777" w:rsidR="00A206FB" w:rsidRDefault="00A206FB">
            <w:pPr>
              <w:rPr>
                <w:sz w:val="24"/>
                <w:szCs w:val="24"/>
              </w:rPr>
            </w:pPr>
            <w:r>
              <w:rPr>
                <w:sz w:val="24"/>
                <w:szCs w:val="24"/>
              </w:rPr>
              <w:t>Japanese</w:t>
            </w:r>
          </w:p>
        </w:tc>
        <w:tc>
          <w:tcPr>
            <w:tcW w:w="2410" w:type="dxa"/>
            <w:hideMark/>
          </w:tcPr>
          <w:p w14:paraId="0DDC55A1" w14:textId="77777777" w:rsidR="00A206FB" w:rsidRDefault="00A206FB">
            <w:pPr>
              <w:rPr>
                <w:sz w:val="24"/>
                <w:szCs w:val="24"/>
              </w:rPr>
            </w:pPr>
            <w:r>
              <w:rPr>
                <w:sz w:val="24"/>
                <w:szCs w:val="24"/>
              </w:rPr>
              <w:t>Chemicals (for industrial purification applications)</w:t>
            </w:r>
          </w:p>
        </w:tc>
        <w:tc>
          <w:tcPr>
            <w:tcW w:w="2268" w:type="dxa"/>
          </w:tcPr>
          <w:p w14:paraId="023C259F" w14:textId="4BC51ADC" w:rsidR="00A206FB" w:rsidRDefault="00C42199" w:rsidP="00C42199">
            <w:pPr>
              <w:rPr>
                <w:sz w:val="24"/>
                <w:szCs w:val="24"/>
              </w:rPr>
            </w:pPr>
            <w:r>
              <w:rPr>
                <w:sz w:val="24"/>
                <w:szCs w:val="24"/>
              </w:rPr>
              <w:t>A range of product support services to improve operational performance</w:t>
            </w:r>
          </w:p>
        </w:tc>
        <w:tc>
          <w:tcPr>
            <w:tcW w:w="4252" w:type="dxa"/>
            <w:hideMark/>
          </w:tcPr>
          <w:p w14:paraId="58CDB69C" w14:textId="4321C981" w:rsidR="00A206FB" w:rsidRDefault="00A206FB" w:rsidP="00034A96">
            <w:pPr>
              <w:rPr>
                <w:sz w:val="24"/>
                <w:szCs w:val="24"/>
              </w:rPr>
            </w:pPr>
            <w:r>
              <w:rPr>
                <w:sz w:val="24"/>
                <w:szCs w:val="24"/>
              </w:rPr>
              <w:t>Pragmatist (services 5 - 10% overall revenue and promoted in conjunction with product offerings)</w:t>
            </w:r>
          </w:p>
        </w:tc>
        <w:tc>
          <w:tcPr>
            <w:tcW w:w="1985" w:type="dxa"/>
            <w:hideMark/>
          </w:tcPr>
          <w:p w14:paraId="3846EF78" w14:textId="371E8943" w:rsidR="00A206FB" w:rsidRDefault="00A206FB" w:rsidP="00C42199">
            <w:pPr>
              <w:rPr>
                <w:sz w:val="24"/>
                <w:szCs w:val="24"/>
              </w:rPr>
            </w:pPr>
            <w:r>
              <w:rPr>
                <w:sz w:val="24"/>
                <w:szCs w:val="24"/>
              </w:rPr>
              <w:t>6 (1 – marketing; 5 - service operations)</w:t>
            </w:r>
          </w:p>
        </w:tc>
      </w:tr>
      <w:tr w:rsidR="003178B4" w14:paraId="61B520B9" w14:textId="77777777" w:rsidTr="00A206FB">
        <w:tc>
          <w:tcPr>
            <w:tcW w:w="1668" w:type="dxa"/>
            <w:hideMark/>
          </w:tcPr>
          <w:p w14:paraId="670DE7C3" w14:textId="77777777" w:rsidR="00A206FB" w:rsidRDefault="00A206FB">
            <w:pPr>
              <w:rPr>
                <w:sz w:val="24"/>
                <w:szCs w:val="24"/>
              </w:rPr>
            </w:pPr>
            <w:r>
              <w:rPr>
                <w:sz w:val="24"/>
                <w:szCs w:val="24"/>
              </w:rPr>
              <w:t>SecurCo</w:t>
            </w:r>
          </w:p>
        </w:tc>
        <w:tc>
          <w:tcPr>
            <w:tcW w:w="1417" w:type="dxa"/>
            <w:hideMark/>
          </w:tcPr>
          <w:p w14:paraId="1B811AFA" w14:textId="77777777" w:rsidR="00A206FB" w:rsidRDefault="00A206FB">
            <w:pPr>
              <w:rPr>
                <w:sz w:val="24"/>
                <w:szCs w:val="24"/>
              </w:rPr>
            </w:pPr>
            <w:r>
              <w:rPr>
                <w:sz w:val="24"/>
                <w:szCs w:val="24"/>
              </w:rPr>
              <w:t>American</w:t>
            </w:r>
          </w:p>
        </w:tc>
        <w:tc>
          <w:tcPr>
            <w:tcW w:w="2410" w:type="dxa"/>
            <w:hideMark/>
          </w:tcPr>
          <w:p w14:paraId="42F4BB51" w14:textId="77777777" w:rsidR="00A206FB" w:rsidRDefault="00A206FB">
            <w:pPr>
              <w:rPr>
                <w:sz w:val="24"/>
                <w:szCs w:val="24"/>
              </w:rPr>
            </w:pPr>
            <w:r>
              <w:rPr>
                <w:sz w:val="24"/>
                <w:szCs w:val="24"/>
              </w:rPr>
              <w:t>Security (alarm systems for corporate customers)</w:t>
            </w:r>
          </w:p>
        </w:tc>
        <w:tc>
          <w:tcPr>
            <w:tcW w:w="2268" w:type="dxa"/>
          </w:tcPr>
          <w:p w14:paraId="24DB45C3" w14:textId="146D90A2" w:rsidR="00A206FB" w:rsidRDefault="00C42199" w:rsidP="00034A96">
            <w:pPr>
              <w:rPr>
                <w:sz w:val="24"/>
                <w:szCs w:val="24"/>
              </w:rPr>
            </w:pPr>
            <w:r>
              <w:rPr>
                <w:sz w:val="24"/>
                <w:szCs w:val="24"/>
              </w:rPr>
              <w:t>Limited range of technical support service offerings</w:t>
            </w:r>
          </w:p>
        </w:tc>
        <w:tc>
          <w:tcPr>
            <w:tcW w:w="4252" w:type="dxa"/>
            <w:hideMark/>
          </w:tcPr>
          <w:p w14:paraId="41C2EBBE" w14:textId="587BEA60" w:rsidR="00A206FB" w:rsidRDefault="00A206FB" w:rsidP="00034A96">
            <w:pPr>
              <w:rPr>
                <w:sz w:val="24"/>
                <w:szCs w:val="24"/>
              </w:rPr>
            </w:pPr>
            <w:r>
              <w:rPr>
                <w:sz w:val="24"/>
                <w:szCs w:val="24"/>
              </w:rPr>
              <w:t>Doubter (services &lt;5% overall revenue and not emphasised in promoting customer offerings)</w:t>
            </w:r>
          </w:p>
        </w:tc>
        <w:tc>
          <w:tcPr>
            <w:tcW w:w="1985" w:type="dxa"/>
          </w:tcPr>
          <w:p w14:paraId="77DC83B1" w14:textId="2984A6DC" w:rsidR="00A206FB" w:rsidRDefault="00A206FB" w:rsidP="00C42199">
            <w:pPr>
              <w:rPr>
                <w:sz w:val="24"/>
                <w:szCs w:val="24"/>
              </w:rPr>
            </w:pPr>
            <w:r>
              <w:rPr>
                <w:sz w:val="24"/>
                <w:szCs w:val="24"/>
              </w:rPr>
              <w:t>4 (3 – marketing; 1 – service operations)</w:t>
            </w:r>
          </w:p>
        </w:tc>
      </w:tr>
      <w:tr w:rsidR="003178B4" w14:paraId="2C25CB03" w14:textId="77777777" w:rsidTr="00A206FB">
        <w:tc>
          <w:tcPr>
            <w:tcW w:w="1668" w:type="dxa"/>
            <w:hideMark/>
          </w:tcPr>
          <w:p w14:paraId="7CB549F9" w14:textId="77777777" w:rsidR="00A206FB" w:rsidRDefault="00A206FB">
            <w:pPr>
              <w:rPr>
                <w:b/>
                <w:sz w:val="24"/>
                <w:szCs w:val="24"/>
              </w:rPr>
            </w:pPr>
            <w:r>
              <w:rPr>
                <w:sz w:val="24"/>
                <w:szCs w:val="24"/>
              </w:rPr>
              <w:t>TelCo</w:t>
            </w:r>
          </w:p>
        </w:tc>
        <w:tc>
          <w:tcPr>
            <w:tcW w:w="1417" w:type="dxa"/>
            <w:hideMark/>
          </w:tcPr>
          <w:p w14:paraId="51E3BD75" w14:textId="77777777" w:rsidR="00A206FB" w:rsidRDefault="00A206FB">
            <w:pPr>
              <w:rPr>
                <w:sz w:val="24"/>
                <w:szCs w:val="24"/>
              </w:rPr>
            </w:pPr>
            <w:r>
              <w:rPr>
                <w:sz w:val="24"/>
                <w:szCs w:val="24"/>
              </w:rPr>
              <w:t>European</w:t>
            </w:r>
          </w:p>
        </w:tc>
        <w:tc>
          <w:tcPr>
            <w:tcW w:w="2410" w:type="dxa"/>
            <w:hideMark/>
          </w:tcPr>
          <w:p w14:paraId="28E80FD7" w14:textId="77777777" w:rsidR="00A206FB" w:rsidRDefault="00A206FB">
            <w:pPr>
              <w:rPr>
                <w:sz w:val="24"/>
                <w:szCs w:val="24"/>
              </w:rPr>
            </w:pPr>
            <w:r>
              <w:rPr>
                <w:sz w:val="24"/>
                <w:szCs w:val="24"/>
              </w:rPr>
              <w:t>Telecommunications (network equipment for mobile operators)</w:t>
            </w:r>
          </w:p>
        </w:tc>
        <w:tc>
          <w:tcPr>
            <w:tcW w:w="2268" w:type="dxa"/>
          </w:tcPr>
          <w:p w14:paraId="021C3F95" w14:textId="4A5260A8" w:rsidR="00A206FB" w:rsidRDefault="00C42199" w:rsidP="00C42199">
            <w:pPr>
              <w:rPr>
                <w:sz w:val="24"/>
                <w:szCs w:val="24"/>
              </w:rPr>
            </w:pPr>
            <w:r>
              <w:rPr>
                <w:sz w:val="24"/>
                <w:szCs w:val="24"/>
              </w:rPr>
              <w:t>D</w:t>
            </w:r>
            <w:r w:rsidRPr="00C42199">
              <w:rPr>
                <w:sz w:val="24"/>
                <w:szCs w:val="24"/>
              </w:rPr>
              <w:t>elivers and operates network systems and offers a number of service lines across its products’ lifecycles</w:t>
            </w:r>
          </w:p>
        </w:tc>
        <w:tc>
          <w:tcPr>
            <w:tcW w:w="4252" w:type="dxa"/>
            <w:hideMark/>
          </w:tcPr>
          <w:p w14:paraId="69B478E1" w14:textId="35F551CC" w:rsidR="00A206FB" w:rsidRDefault="00A206FB" w:rsidP="000B6121">
            <w:pPr>
              <w:rPr>
                <w:sz w:val="24"/>
                <w:szCs w:val="24"/>
              </w:rPr>
            </w:pPr>
            <w:r>
              <w:rPr>
                <w:sz w:val="24"/>
                <w:szCs w:val="24"/>
              </w:rPr>
              <w:t>Enthusiast (services &gt; 25% overall revenue and heavily emphasised in promoting customer offerings)</w:t>
            </w:r>
          </w:p>
        </w:tc>
        <w:tc>
          <w:tcPr>
            <w:tcW w:w="1985" w:type="dxa"/>
            <w:hideMark/>
          </w:tcPr>
          <w:p w14:paraId="1148AD1C" w14:textId="6101FF64" w:rsidR="00A206FB" w:rsidRDefault="00A206FB" w:rsidP="00C42199">
            <w:pPr>
              <w:rPr>
                <w:sz w:val="24"/>
                <w:szCs w:val="24"/>
              </w:rPr>
            </w:pPr>
            <w:r>
              <w:rPr>
                <w:sz w:val="24"/>
                <w:szCs w:val="24"/>
              </w:rPr>
              <w:t>6 (2 – marketing; 4 - service operations)</w:t>
            </w:r>
          </w:p>
        </w:tc>
      </w:tr>
    </w:tbl>
    <w:p w14:paraId="40EA02A3" w14:textId="77777777" w:rsidR="00A12A3C" w:rsidRDefault="00A12A3C" w:rsidP="00A12A3C">
      <w:pPr>
        <w:rPr>
          <w:b/>
          <w:sz w:val="24"/>
          <w:szCs w:val="24"/>
        </w:rPr>
      </w:pPr>
    </w:p>
    <w:p w14:paraId="66B2AD90" w14:textId="77777777" w:rsidR="00E44CE7" w:rsidRDefault="00E44CE7" w:rsidP="00A61897">
      <w:pPr>
        <w:spacing w:after="0" w:line="480" w:lineRule="auto"/>
        <w:jc w:val="both"/>
        <w:rPr>
          <w:sz w:val="24"/>
          <w:szCs w:val="24"/>
        </w:rPr>
      </w:pPr>
    </w:p>
    <w:p w14:paraId="09824495" w14:textId="77777777" w:rsidR="00A12A3C" w:rsidRDefault="00A12A3C" w:rsidP="00A61897">
      <w:pPr>
        <w:spacing w:after="0" w:line="480" w:lineRule="auto"/>
        <w:jc w:val="both"/>
        <w:rPr>
          <w:sz w:val="24"/>
          <w:szCs w:val="24"/>
        </w:rPr>
        <w:sectPr w:rsidR="00A12A3C" w:rsidSect="003178B4">
          <w:pgSz w:w="16838" w:h="11906" w:orient="landscape"/>
          <w:pgMar w:top="1440" w:right="1440" w:bottom="1440" w:left="1440" w:header="709" w:footer="709" w:gutter="0"/>
          <w:cols w:space="708"/>
          <w:docGrid w:linePitch="360"/>
        </w:sectPr>
      </w:pPr>
    </w:p>
    <w:p w14:paraId="530C90C7" w14:textId="77777777" w:rsidR="003178B4" w:rsidRDefault="003178B4" w:rsidP="003178B4">
      <w:pPr>
        <w:rPr>
          <w:rFonts w:ascii="Calibri" w:eastAsia="Calibri" w:hAnsi="Calibri" w:cs="Times New Roman"/>
          <w:b/>
          <w:sz w:val="24"/>
          <w:szCs w:val="24"/>
        </w:rPr>
      </w:pPr>
    </w:p>
    <w:p w14:paraId="241B0533" w14:textId="77777777" w:rsidR="003178B4" w:rsidRDefault="003178B4" w:rsidP="003178B4">
      <w:pPr>
        <w:spacing w:after="0" w:line="480" w:lineRule="auto"/>
        <w:jc w:val="both"/>
        <w:rPr>
          <w:i/>
          <w:sz w:val="24"/>
          <w:szCs w:val="24"/>
        </w:rPr>
      </w:pPr>
      <w:r w:rsidRPr="00DE5C87">
        <w:rPr>
          <w:i/>
          <w:sz w:val="24"/>
          <w:szCs w:val="24"/>
        </w:rPr>
        <w:t>3.4 Data analysis</w:t>
      </w:r>
    </w:p>
    <w:p w14:paraId="01CFAA58" w14:textId="2111FF5A" w:rsidR="003178B4" w:rsidRDefault="003178B4" w:rsidP="003178B4">
      <w:pPr>
        <w:spacing w:after="0" w:line="480" w:lineRule="auto"/>
        <w:jc w:val="both"/>
        <w:rPr>
          <w:sz w:val="24"/>
          <w:szCs w:val="24"/>
        </w:rPr>
      </w:pPr>
      <w:r w:rsidRPr="00DA0258">
        <w:rPr>
          <w:sz w:val="24"/>
          <w:szCs w:val="24"/>
        </w:rPr>
        <w:t xml:space="preserve">In line with our research </w:t>
      </w:r>
      <w:r>
        <w:rPr>
          <w:sz w:val="24"/>
          <w:szCs w:val="24"/>
        </w:rPr>
        <w:t>aim</w:t>
      </w:r>
      <w:r w:rsidRPr="00DA0258">
        <w:rPr>
          <w:sz w:val="24"/>
          <w:szCs w:val="24"/>
        </w:rPr>
        <w:t xml:space="preserve">, </w:t>
      </w:r>
      <w:r>
        <w:rPr>
          <w:sz w:val="24"/>
          <w:szCs w:val="24"/>
        </w:rPr>
        <w:t>the</w:t>
      </w:r>
      <w:r w:rsidRPr="00DA0258">
        <w:rPr>
          <w:sz w:val="24"/>
          <w:szCs w:val="24"/>
        </w:rPr>
        <w:t xml:space="preserve"> unit of analysis</w:t>
      </w:r>
      <w:r>
        <w:rPr>
          <w:sz w:val="24"/>
          <w:szCs w:val="24"/>
        </w:rPr>
        <w:t xml:space="preserve"> for the study w</w:t>
      </w:r>
      <w:r w:rsidRPr="00DA0258">
        <w:rPr>
          <w:sz w:val="24"/>
          <w:szCs w:val="24"/>
        </w:rPr>
        <w:t>as</w:t>
      </w:r>
      <w:r>
        <w:rPr>
          <w:sz w:val="24"/>
          <w:szCs w:val="24"/>
        </w:rPr>
        <w:t xml:space="preserve"> the manufacturer service</w:t>
      </w:r>
      <w:r w:rsidR="00BA3E7B">
        <w:rPr>
          <w:sz w:val="24"/>
          <w:szCs w:val="24"/>
        </w:rPr>
        <w:t>s</w:t>
      </w:r>
      <w:r>
        <w:rPr>
          <w:sz w:val="24"/>
          <w:szCs w:val="24"/>
        </w:rPr>
        <w:t xml:space="preserve"> strategy (enthusiast, pragmatist, doubter). Using this unit of analysis enables a cross</w:t>
      </w:r>
      <w:r w:rsidR="00F0340E">
        <w:rPr>
          <w:sz w:val="24"/>
          <w:szCs w:val="24"/>
        </w:rPr>
        <w:t>-</w:t>
      </w:r>
      <w:r>
        <w:rPr>
          <w:sz w:val="24"/>
          <w:szCs w:val="24"/>
        </w:rPr>
        <w:t xml:space="preserve">case comparison </w:t>
      </w:r>
      <w:r w:rsidR="007D4C1F">
        <w:rPr>
          <w:sz w:val="24"/>
          <w:szCs w:val="24"/>
        </w:rPr>
        <w:t xml:space="preserve">to be made </w:t>
      </w:r>
      <w:r>
        <w:rPr>
          <w:sz w:val="24"/>
          <w:szCs w:val="24"/>
        </w:rPr>
        <w:t>of NSD process challenges/responses</w:t>
      </w:r>
      <w:r w:rsidR="00F0340E">
        <w:rPr>
          <w:sz w:val="24"/>
          <w:szCs w:val="24"/>
        </w:rPr>
        <w:t xml:space="preserve"> aligned to different strategies</w:t>
      </w:r>
      <w:r>
        <w:rPr>
          <w:sz w:val="24"/>
          <w:szCs w:val="24"/>
        </w:rPr>
        <w:t xml:space="preserve">. Starting with </w:t>
      </w:r>
      <w:r w:rsidRPr="00F9243C">
        <w:rPr>
          <w:i/>
          <w:sz w:val="24"/>
          <w:szCs w:val="24"/>
        </w:rPr>
        <w:t>a priori</w:t>
      </w:r>
      <w:r>
        <w:rPr>
          <w:sz w:val="24"/>
          <w:szCs w:val="24"/>
        </w:rPr>
        <w:t xml:space="preserve"> coding categories from </w:t>
      </w:r>
      <w:r w:rsidRPr="00B44EBB">
        <w:rPr>
          <w:sz w:val="24"/>
          <w:szCs w:val="24"/>
        </w:rPr>
        <w:t>literature</w:t>
      </w:r>
      <w:r>
        <w:rPr>
          <w:sz w:val="24"/>
          <w:szCs w:val="24"/>
        </w:rPr>
        <w:t>,</w:t>
      </w:r>
      <w:r w:rsidRPr="00B44EBB">
        <w:rPr>
          <w:sz w:val="24"/>
          <w:szCs w:val="24"/>
        </w:rPr>
        <w:t xml:space="preserve"> </w:t>
      </w:r>
      <w:r>
        <w:rPr>
          <w:sz w:val="24"/>
          <w:szCs w:val="24"/>
        </w:rPr>
        <w:t>t</w:t>
      </w:r>
      <w:r w:rsidRPr="00ED77DE">
        <w:rPr>
          <w:sz w:val="24"/>
          <w:szCs w:val="24"/>
        </w:rPr>
        <w:t xml:space="preserve">hematic analysis was </w:t>
      </w:r>
      <w:r>
        <w:rPr>
          <w:sz w:val="24"/>
          <w:szCs w:val="24"/>
        </w:rPr>
        <w:t>undertaken</w:t>
      </w:r>
      <w:r w:rsidRPr="00ED77DE">
        <w:rPr>
          <w:sz w:val="24"/>
          <w:szCs w:val="24"/>
        </w:rPr>
        <w:t xml:space="preserve"> </w:t>
      </w:r>
      <w:r>
        <w:rPr>
          <w:sz w:val="24"/>
          <w:szCs w:val="24"/>
        </w:rPr>
        <w:t xml:space="preserve">(Dubois </w:t>
      </w:r>
      <w:r w:rsidR="004E1C65">
        <w:rPr>
          <w:sz w:val="24"/>
          <w:szCs w:val="24"/>
        </w:rPr>
        <w:t>&amp;</w:t>
      </w:r>
      <w:r>
        <w:rPr>
          <w:sz w:val="24"/>
          <w:szCs w:val="24"/>
        </w:rPr>
        <w:t xml:space="preserve"> Gadde, 2002).</w:t>
      </w:r>
      <w:r w:rsidRPr="00F96CE4">
        <w:rPr>
          <w:sz w:val="24"/>
          <w:szCs w:val="24"/>
        </w:rPr>
        <w:t xml:space="preserve"> </w:t>
      </w:r>
      <w:r>
        <w:rPr>
          <w:sz w:val="24"/>
          <w:szCs w:val="24"/>
        </w:rPr>
        <w:t xml:space="preserve">Where passages or strings of texts contained multiple themes, they </w:t>
      </w:r>
      <w:r w:rsidRPr="00ED77DE">
        <w:rPr>
          <w:sz w:val="24"/>
          <w:szCs w:val="24"/>
        </w:rPr>
        <w:t xml:space="preserve">were </w:t>
      </w:r>
      <w:r>
        <w:rPr>
          <w:sz w:val="24"/>
          <w:szCs w:val="24"/>
        </w:rPr>
        <w:t xml:space="preserve">categorised </w:t>
      </w:r>
      <w:r w:rsidRPr="00ED77DE">
        <w:rPr>
          <w:sz w:val="24"/>
          <w:szCs w:val="24"/>
        </w:rPr>
        <w:t xml:space="preserve">within </w:t>
      </w:r>
      <w:r>
        <w:rPr>
          <w:sz w:val="24"/>
          <w:szCs w:val="24"/>
        </w:rPr>
        <w:t>multiple</w:t>
      </w:r>
      <w:r w:rsidRPr="00ED77DE">
        <w:rPr>
          <w:sz w:val="24"/>
          <w:szCs w:val="24"/>
        </w:rPr>
        <w:t xml:space="preserve"> </w:t>
      </w:r>
      <w:r>
        <w:rPr>
          <w:sz w:val="24"/>
          <w:szCs w:val="24"/>
        </w:rPr>
        <w:t xml:space="preserve">parallel </w:t>
      </w:r>
      <w:r w:rsidRPr="00ED77DE">
        <w:rPr>
          <w:sz w:val="24"/>
          <w:szCs w:val="24"/>
        </w:rPr>
        <w:t>code</w:t>
      </w:r>
      <w:r>
        <w:rPr>
          <w:sz w:val="24"/>
          <w:szCs w:val="24"/>
        </w:rPr>
        <w:t>s</w:t>
      </w:r>
      <w:r w:rsidRPr="00ED77DE">
        <w:rPr>
          <w:sz w:val="24"/>
          <w:szCs w:val="24"/>
        </w:rPr>
        <w:t xml:space="preserve"> (King, 2004). </w:t>
      </w:r>
      <w:r>
        <w:rPr>
          <w:sz w:val="24"/>
          <w:szCs w:val="24"/>
        </w:rPr>
        <w:t>A singular tabular display was developed that facilitated within-case analysis, cross-case pattern matching (Eisenhardt, 1989) and explanation building (Yin, 2013), mostly in terms of consistent patterns between the two enthusiasts (and sometimes the pragmatist)</w:t>
      </w:r>
      <w:r w:rsidR="00F95F9D">
        <w:rPr>
          <w:sz w:val="24"/>
          <w:szCs w:val="24"/>
        </w:rPr>
        <w:t>,</w:t>
      </w:r>
      <w:r w:rsidR="00163C8F">
        <w:rPr>
          <w:sz w:val="24"/>
          <w:szCs w:val="24"/>
        </w:rPr>
        <w:t xml:space="preserve"> </w:t>
      </w:r>
      <w:r>
        <w:rPr>
          <w:sz w:val="24"/>
          <w:szCs w:val="24"/>
        </w:rPr>
        <w:t>being compared with contrasting data from the doubter.</w:t>
      </w:r>
      <w:r w:rsidRPr="00B44EBB">
        <w:rPr>
          <w:sz w:val="24"/>
          <w:szCs w:val="24"/>
        </w:rPr>
        <w:t xml:space="preserve"> </w:t>
      </w:r>
    </w:p>
    <w:p w14:paraId="2B506B32" w14:textId="77777777" w:rsidR="007D4C1F" w:rsidRPr="00F95F9D" w:rsidRDefault="007D4C1F" w:rsidP="00CE1DF6">
      <w:pPr>
        <w:spacing w:after="0" w:line="480" w:lineRule="auto"/>
        <w:jc w:val="both"/>
        <w:rPr>
          <w:sz w:val="24"/>
          <w:szCs w:val="24"/>
        </w:rPr>
      </w:pPr>
    </w:p>
    <w:p w14:paraId="63551872" w14:textId="400751A8" w:rsidR="00A61897" w:rsidRDefault="00F96CE4" w:rsidP="00CE1DF6">
      <w:pPr>
        <w:spacing w:after="0" w:line="480" w:lineRule="auto"/>
        <w:jc w:val="both"/>
        <w:rPr>
          <w:sz w:val="24"/>
          <w:szCs w:val="24"/>
        </w:rPr>
      </w:pPr>
      <w:r>
        <w:rPr>
          <w:sz w:val="24"/>
          <w:szCs w:val="24"/>
        </w:rPr>
        <w:t xml:space="preserve">The development of an initial set of themes from the literature facilitated </w:t>
      </w:r>
      <w:r w:rsidR="00377C22">
        <w:rPr>
          <w:sz w:val="24"/>
          <w:szCs w:val="24"/>
        </w:rPr>
        <w:t xml:space="preserve">the </w:t>
      </w:r>
      <w:r>
        <w:rPr>
          <w:sz w:val="24"/>
          <w:szCs w:val="24"/>
        </w:rPr>
        <w:t>application of a pattern matching logic in order to check internal validity</w:t>
      </w:r>
      <w:r w:rsidR="003639DF">
        <w:rPr>
          <w:sz w:val="24"/>
          <w:szCs w:val="24"/>
        </w:rPr>
        <w:t>,</w:t>
      </w:r>
      <w:r>
        <w:rPr>
          <w:sz w:val="24"/>
          <w:szCs w:val="24"/>
        </w:rPr>
        <w:t xml:space="preserve"> via </w:t>
      </w:r>
      <w:r w:rsidR="00377C22">
        <w:rPr>
          <w:sz w:val="24"/>
          <w:szCs w:val="24"/>
        </w:rPr>
        <w:t xml:space="preserve">the </w:t>
      </w:r>
      <w:r>
        <w:rPr>
          <w:sz w:val="24"/>
          <w:szCs w:val="24"/>
        </w:rPr>
        <w:t xml:space="preserve">comparison of findings with previously identified phenomena (Yin, 2013). </w:t>
      </w:r>
      <w:r w:rsidR="00ED77DE">
        <w:rPr>
          <w:sz w:val="24"/>
          <w:szCs w:val="24"/>
        </w:rPr>
        <w:t>Additional</w:t>
      </w:r>
      <w:r w:rsidR="00B44EBB" w:rsidRPr="00B44EBB">
        <w:rPr>
          <w:sz w:val="24"/>
          <w:szCs w:val="24"/>
        </w:rPr>
        <w:t xml:space="preserve"> </w:t>
      </w:r>
      <w:r w:rsidR="00ED77DE">
        <w:rPr>
          <w:sz w:val="24"/>
          <w:szCs w:val="24"/>
        </w:rPr>
        <w:t>‘</w:t>
      </w:r>
      <w:r w:rsidR="00B44EBB" w:rsidRPr="00B44EBB">
        <w:rPr>
          <w:sz w:val="24"/>
          <w:szCs w:val="24"/>
        </w:rPr>
        <w:t>new</w:t>
      </w:r>
      <w:r w:rsidR="00ED77DE">
        <w:rPr>
          <w:sz w:val="24"/>
          <w:szCs w:val="24"/>
        </w:rPr>
        <w:t>’</w:t>
      </w:r>
      <w:r w:rsidR="00B44EBB" w:rsidRPr="00B44EBB">
        <w:rPr>
          <w:sz w:val="24"/>
          <w:szCs w:val="24"/>
        </w:rPr>
        <w:t xml:space="preserve"> </w:t>
      </w:r>
      <w:r w:rsidR="00ED77DE">
        <w:rPr>
          <w:sz w:val="24"/>
          <w:szCs w:val="24"/>
        </w:rPr>
        <w:t>sub-</w:t>
      </w:r>
      <w:r w:rsidR="00B44EBB" w:rsidRPr="00B44EBB">
        <w:rPr>
          <w:sz w:val="24"/>
          <w:szCs w:val="24"/>
        </w:rPr>
        <w:t xml:space="preserve">categories </w:t>
      </w:r>
      <w:r w:rsidR="00ED77DE">
        <w:rPr>
          <w:sz w:val="24"/>
          <w:szCs w:val="24"/>
        </w:rPr>
        <w:t xml:space="preserve">also arose </w:t>
      </w:r>
      <w:r w:rsidR="00B44EBB" w:rsidRPr="00B44EBB">
        <w:rPr>
          <w:sz w:val="24"/>
          <w:szCs w:val="24"/>
        </w:rPr>
        <w:t xml:space="preserve">from the data (Eisenhardt, 1989; King, 2004). The first six transcripts </w:t>
      </w:r>
      <w:r w:rsidR="003A0B85">
        <w:rPr>
          <w:sz w:val="24"/>
          <w:szCs w:val="24"/>
        </w:rPr>
        <w:t xml:space="preserve">(selected from across the cases) </w:t>
      </w:r>
      <w:r w:rsidR="00B44EBB" w:rsidRPr="00B44EBB">
        <w:rPr>
          <w:sz w:val="24"/>
          <w:szCs w:val="24"/>
        </w:rPr>
        <w:t xml:space="preserve">were </w:t>
      </w:r>
      <w:r w:rsidR="00F2348E">
        <w:rPr>
          <w:sz w:val="24"/>
          <w:szCs w:val="24"/>
        </w:rPr>
        <w:t xml:space="preserve">thematically </w:t>
      </w:r>
      <w:r w:rsidR="00B44EBB" w:rsidRPr="00B44EBB">
        <w:rPr>
          <w:sz w:val="24"/>
          <w:szCs w:val="24"/>
        </w:rPr>
        <w:t xml:space="preserve">coded </w:t>
      </w:r>
      <w:r w:rsidR="00A61897">
        <w:rPr>
          <w:sz w:val="24"/>
          <w:szCs w:val="24"/>
        </w:rPr>
        <w:t xml:space="preserve">independently </w:t>
      </w:r>
      <w:r w:rsidR="00B44EBB" w:rsidRPr="00B44EBB">
        <w:rPr>
          <w:sz w:val="24"/>
          <w:szCs w:val="24"/>
        </w:rPr>
        <w:t xml:space="preserve">by two </w:t>
      </w:r>
      <w:r w:rsidR="00ED77DE">
        <w:rPr>
          <w:sz w:val="24"/>
          <w:szCs w:val="24"/>
        </w:rPr>
        <w:t>of the authors</w:t>
      </w:r>
      <w:r w:rsidR="00377C22">
        <w:rPr>
          <w:sz w:val="24"/>
          <w:szCs w:val="24"/>
        </w:rPr>
        <w:t>,</w:t>
      </w:r>
      <w:r w:rsidR="00A61897">
        <w:rPr>
          <w:sz w:val="24"/>
          <w:szCs w:val="24"/>
        </w:rPr>
        <w:t xml:space="preserve"> using template analysis</w:t>
      </w:r>
      <w:r w:rsidR="003A0B85">
        <w:rPr>
          <w:sz w:val="24"/>
          <w:szCs w:val="24"/>
        </w:rPr>
        <w:t>.</w:t>
      </w:r>
      <w:r w:rsidR="00B44EBB" w:rsidRPr="00B44EBB">
        <w:rPr>
          <w:sz w:val="24"/>
          <w:szCs w:val="24"/>
        </w:rPr>
        <w:t xml:space="preserve"> </w:t>
      </w:r>
      <w:r w:rsidR="003A0B85">
        <w:rPr>
          <w:sz w:val="24"/>
          <w:szCs w:val="24"/>
        </w:rPr>
        <w:t>T</w:t>
      </w:r>
      <w:r w:rsidR="00B44EBB" w:rsidRPr="00B44EBB">
        <w:rPr>
          <w:sz w:val="24"/>
          <w:szCs w:val="24"/>
        </w:rPr>
        <w:t xml:space="preserve">he </w:t>
      </w:r>
      <w:r w:rsidR="00DB58B3">
        <w:rPr>
          <w:sz w:val="24"/>
          <w:szCs w:val="24"/>
        </w:rPr>
        <w:t xml:space="preserve">full research </w:t>
      </w:r>
      <w:r w:rsidR="00B44EBB" w:rsidRPr="00B44EBB">
        <w:rPr>
          <w:sz w:val="24"/>
          <w:szCs w:val="24"/>
        </w:rPr>
        <w:t xml:space="preserve">team </w:t>
      </w:r>
      <w:r w:rsidR="003A0B85">
        <w:rPr>
          <w:sz w:val="24"/>
          <w:szCs w:val="24"/>
        </w:rPr>
        <w:t xml:space="preserve">then </w:t>
      </w:r>
      <w:r w:rsidR="00B44EBB" w:rsidRPr="00B44EBB">
        <w:rPr>
          <w:sz w:val="24"/>
          <w:szCs w:val="24"/>
        </w:rPr>
        <w:t xml:space="preserve">met to </w:t>
      </w:r>
      <w:r w:rsidR="00A61897">
        <w:rPr>
          <w:sz w:val="24"/>
          <w:szCs w:val="24"/>
        </w:rPr>
        <w:t>review and agree the initial template (King, 2004)</w:t>
      </w:r>
      <w:r w:rsidR="00B44EBB" w:rsidRPr="00B44EBB">
        <w:rPr>
          <w:sz w:val="24"/>
          <w:szCs w:val="24"/>
        </w:rPr>
        <w:t xml:space="preserve">. </w:t>
      </w:r>
      <w:r w:rsidR="00A61897">
        <w:rPr>
          <w:sz w:val="24"/>
          <w:szCs w:val="24"/>
        </w:rPr>
        <w:t xml:space="preserve">The remaining transcripts were </w:t>
      </w:r>
      <w:r w:rsidR="00183088">
        <w:rPr>
          <w:sz w:val="24"/>
          <w:szCs w:val="24"/>
        </w:rPr>
        <w:t xml:space="preserve">subsequently </w:t>
      </w:r>
      <w:r w:rsidR="00A61897">
        <w:rPr>
          <w:sz w:val="24"/>
          <w:szCs w:val="24"/>
        </w:rPr>
        <w:t>coded</w:t>
      </w:r>
      <w:r w:rsidR="007E465D">
        <w:rPr>
          <w:sz w:val="24"/>
          <w:szCs w:val="24"/>
        </w:rPr>
        <w:t xml:space="preserve"> and the </w:t>
      </w:r>
      <w:r w:rsidR="00B44EBB" w:rsidRPr="00B44EBB">
        <w:rPr>
          <w:sz w:val="24"/>
          <w:szCs w:val="24"/>
        </w:rPr>
        <w:t>final</w:t>
      </w:r>
      <w:r w:rsidR="00A71251">
        <w:rPr>
          <w:sz w:val="24"/>
          <w:szCs w:val="24"/>
        </w:rPr>
        <w:t xml:space="preserve"> NSD</w:t>
      </w:r>
      <w:r w:rsidR="00B44EBB" w:rsidRPr="00B44EBB">
        <w:rPr>
          <w:sz w:val="24"/>
          <w:szCs w:val="24"/>
        </w:rPr>
        <w:t xml:space="preserve"> themes </w:t>
      </w:r>
      <w:r w:rsidR="007676D0">
        <w:rPr>
          <w:sz w:val="24"/>
          <w:szCs w:val="24"/>
        </w:rPr>
        <w:t>(</w:t>
      </w:r>
      <w:r w:rsidR="00DA4495">
        <w:rPr>
          <w:sz w:val="24"/>
          <w:szCs w:val="24"/>
        </w:rPr>
        <w:t>see Appendix</w:t>
      </w:r>
      <w:r w:rsidR="007676D0">
        <w:rPr>
          <w:sz w:val="24"/>
          <w:szCs w:val="24"/>
        </w:rPr>
        <w:t xml:space="preserve">) </w:t>
      </w:r>
      <w:r w:rsidR="00E9501F" w:rsidRPr="00F95F9D">
        <w:rPr>
          <w:sz w:val="24"/>
          <w:szCs w:val="24"/>
        </w:rPr>
        <w:t>emerge</w:t>
      </w:r>
      <w:r w:rsidR="00A71251" w:rsidRPr="00F95F9D">
        <w:rPr>
          <w:sz w:val="24"/>
          <w:szCs w:val="24"/>
        </w:rPr>
        <w:t>d</w:t>
      </w:r>
      <w:r w:rsidR="006C1F5D" w:rsidRPr="00F95F9D">
        <w:rPr>
          <w:sz w:val="24"/>
          <w:szCs w:val="24"/>
        </w:rPr>
        <w:t>,</w:t>
      </w:r>
      <w:r w:rsidR="00E9501F" w:rsidRPr="00F95F9D">
        <w:rPr>
          <w:sz w:val="24"/>
          <w:szCs w:val="24"/>
        </w:rPr>
        <w:t xml:space="preserve"> </w:t>
      </w:r>
      <w:r w:rsidR="004C41BA" w:rsidRPr="00F95F9D">
        <w:rPr>
          <w:sz w:val="24"/>
          <w:szCs w:val="24"/>
        </w:rPr>
        <w:t>through</w:t>
      </w:r>
      <w:r w:rsidR="00B44EBB" w:rsidRPr="00F95F9D">
        <w:rPr>
          <w:sz w:val="24"/>
          <w:szCs w:val="24"/>
        </w:rPr>
        <w:t xml:space="preserve"> </w:t>
      </w:r>
      <w:r w:rsidR="00E9501F" w:rsidRPr="00F95F9D">
        <w:rPr>
          <w:sz w:val="24"/>
          <w:szCs w:val="24"/>
        </w:rPr>
        <w:t>an interpretive</w:t>
      </w:r>
      <w:r w:rsidR="00E9501F">
        <w:rPr>
          <w:sz w:val="24"/>
          <w:szCs w:val="24"/>
        </w:rPr>
        <w:t xml:space="preserve"> process (Hirschman, 1986) of </w:t>
      </w:r>
      <w:r w:rsidR="00B44EBB" w:rsidRPr="00B44EBB">
        <w:rPr>
          <w:sz w:val="24"/>
          <w:szCs w:val="24"/>
        </w:rPr>
        <w:t xml:space="preserve">reading and </w:t>
      </w:r>
      <w:r w:rsidR="004C41BA">
        <w:rPr>
          <w:sz w:val="24"/>
          <w:szCs w:val="24"/>
        </w:rPr>
        <w:t>reviewing</w:t>
      </w:r>
      <w:r w:rsidR="00B44EBB" w:rsidRPr="00B44EBB">
        <w:rPr>
          <w:sz w:val="24"/>
          <w:szCs w:val="24"/>
        </w:rPr>
        <w:t xml:space="preserve"> of the </w:t>
      </w:r>
      <w:r w:rsidR="004C41BA">
        <w:rPr>
          <w:sz w:val="24"/>
          <w:szCs w:val="24"/>
        </w:rPr>
        <w:t>content</w:t>
      </w:r>
      <w:r w:rsidR="00A34E22">
        <w:rPr>
          <w:sz w:val="24"/>
          <w:szCs w:val="24"/>
        </w:rPr>
        <w:t>. Thematic saturation was deemed to have been achieved when no new themes emerged for a particular case</w:t>
      </w:r>
      <w:r w:rsidR="007E465D">
        <w:rPr>
          <w:sz w:val="24"/>
          <w:szCs w:val="24"/>
        </w:rPr>
        <w:t xml:space="preserve"> </w:t>
      </w:r>
      <w:r w:rsidR="00A34E22">
        <w:rPr>
          <w:sz w:val="24"/>
          <w:szCs w:val="24"/>
        </w:rPr>
        <w:t xml:space="preserve">(Silverman </w:t>
      </w:r>
      <w:r w:rsidR="004E1C65">
        <w:rPr>
          <w:sz w:val="24"/>
          <w:szCs w:val="24"/>
        </w:rPr>
        <w:t xml:space="preserve">&amp; </w:t>
      </w:r>
      <w:r w:rsidR="00A34E22">
        <w:rPr>
          <w:sz w:val="24"/>
          <w:szCs w:val="24"/>
        </w:rPr>
        <w:t xml:space="preserve">Marvasti, 2008) </w:t>
      </w:r>
      <w:r w:rsidR="00F9243C">
        <w:rPr>
          <w:sz w:val="24"/>
          <w:szCs w:val="24"/>
        </w:rPr>
        <w:t xml:space="preserve">and </w:t>
      </w:r>
      <w:r w:rsidR="00A61897">
        <w:rPr>
          <w:sz w:val="24"/>
          <w:szCs w:val="24"/>
        </w:rPr>
        <w:t xml:space="preserve">a </w:t>
      </w:r>
      <w:r w:rsidR="00F9243C">
        <w:rPr>
          <w:sz w:val="24"/>
          <w:szCs w:val="24"/>
        </w:rPr>
        <w:t xml:space="preserve">final coding structure </w:t>
      </w:r>
      <w:r w:rsidR="00A61897">
        <w:rPr>
          <w:sz w:val="24"/>
          <w:szCs w:val="24"/>
        </w:rPr>
        <w:t>achieved</w:t>
      </w:r>
      <w:r w:rsidR="00A34E22">
        <w:rPr>
          <w:sz w:val="24"/>
          <w:szCs w:val="24"/>
        </w:rPr>
        <w:t xml:space="preserve"> </w:t>
      </w:r>
      <w:r w:rsidR="003A0B85">
        <w:rPr>
          <w:sz w:val="24"/>
          <w:szCs w:val="24"/>
        </w:rPr>
        <w:t xml:space="preserve">(and checked by joint team review) </w:t>
      </w:r>
      <w:r w:rsidR="00A34E22">
        <w:rPr>
          <w:sz w:val="24"/>
          <w:szCs w:val="24"/>
        </w:rPr>
        <w:t>once this point was reached for all four cases</w:t>
      </w:r>
      <w:r w:rsidR="007E465D">
        <w:rPr>
          <w:sz w:val="24"/>
          <w:szCs w:val="24"/>
        </w:rPr>
        <w:t xml:space="preserve"> (King, 2004)</w:t>
      </w:r>
      <w:r w:rsidR="00A61897">
        <w:rPr>
          <w:sz w:val="24"/>
          <w:szCs w:val="24"/>
        </w:rPr>
        <w:t>. Thus</w:t>
      </w:r>
      <w:r w:rsidR="00F9243C">
        <w:rPr>
          <w:sz w:val="24"/>
          <w:szCs w:val="24"/>
        </w:rPr>
        <w:t>,</w:t>
      </w:r>
      <w:r w:rsidR="00A61897">
        <w:rPr>
          <w:sz w:val="24"/>
          <w:szCs w:val="24"/>
        </w:rPr>
        <w:t xml:space="preserve"> w</w:t>
      </w:r>
      <w:r w:rsidR="00940D1E" w:rsidRPr="00940D1E">
        <w:rPr>
          <w:sz w:val="24"/>
          <w:szCs w:val="24"/>
        </w:rPr>
        <w:t>e</w:t>
      </w:r>
      <w:r w:rsidR="00A61897">
        <w:rPr>
          <w:sz w:val="24"/>
          <w:szCs w:val="24"/>
        </w:rPr>
        <w:t xml:space="preserve"> claim</w:t>
      </w:r>
      <w:r w:rsidR="00940D1E" w:rsidRPr="00940D1E">
        <w:rPr>
          <w:sz w:val="24"/>
          <w:szCs w:val="24"/>
        </w:rPr>
        <w:t xml:space="preserve"> credibility of </w:t>
      </w:r>
      <w:r w:rsidR="00A61897">
        <w:rPr>
          <w:sz w:val="24"/>
          <w:szCs w:val="24"/>
        </w:rPr>
        <w:t>th</w:t>
      </w:r>
      <w:r w:rsidR="0039061B">
        <w:rPr>
          <w:sz w:val="24"/>
          <w:szCs w:val="24"/>
        </w:rPr>
        <w:t xml:space="preserve">e inferences developed </w:t>
      </w:r>
      <w:r w:rsidR="00E9501F">
        <w:rPr>
          <w:sz w:val="24"/>
          <w:szCs w:val="24"/>
        </w:rPr>
        <w:t>in the interpretation of the cases we present,</w:t>
      </w:r>
      <w:r w:rsidR="00A61897">
        <w:rPr>
          <w:sz w:val="24"/>
          <w:szCs w:val="24"/>
        </w:rPr>
        <w:t xml:space="preserve"> through the use of </w:t>
      </w:r>
      <w:r w:rsidR="00AB35D9">
        <w:rPr>
          <w:sz w:val="24"/>
          <w:szCs w:val="24"/>
        </w:rPr>
        <w:t xml:space="preserve">documented </w:t>
      </w:r>
      <w:r w:rsidR="00940D1E" w:rsidRPr="00940D1E">
        <w:rPr>
          <w:sz w:val="24"/>
          <w:szCs w:val="24"/>
        </w:rPr>
        <w:t xml:space="preserve">peer review </w:t>
      </w:r>
      <w:r w:rsidR="0039061B">
        <w:rPr>
          <w:sz w:val="24"/>
          <w:szCs w:val="24"/>
        </w:rPr>
        <w:t xml:space="preserve">and reflection </w:t>
      </w:r>
      <w:r w:rsidR="00940D1E" w:rsidRPr="00940D1E">
        <w:rPr>
          <w:sz w:val="24"/>
          <w:szCs w:val="24"/>
        </w:rPr>
        <w:t xml:space="preserve">of our </w:t>
      </w:r>
      <w:r w:rsidR="0039061B">
        <w:rPr>
          <w:sz w:val="24"/>
          <w:szCs w:val="24"/>
        </w:rPr>
        <w:t>coding</w:t>
      </w:r>
      <w:r w:rsidR="00940D1E" w:rsidRPr="00940D1E">
        <w:rPr>
          <w:sz w:val="24"/>
          <w:szCs w:val="24"/>
        </w:rPr>
        <w:t xml:space="preserve"> (Creswell </w:t>
      </w:r>
      <w:r w:rsidR="004E1C65">
        <w:rPr>
          <w:sz w:val="24"/>
          <w:szCs w:val="24"/>
        </w:rPr>
        <w:t xml:space="preserve">&amp; </w:t>
      </w:r>
      <w:r w:rsidR="0039061B">
        <w:rPr>
          <w:sz w:val="24"/>
          <w:szCs w:val="24"/>
        </w:rPr>
        <w:t>Miller, 2000; Hirschman, 1986)</w:t>
      </w:r>
      <w:r w:rsidR="00AB35D9">
        <w:rPr>
          <w:sz w:val="24"/>
          <w:szCs w:val="24"/>
        </w:rPr>
        <w:t>, contributing to the reliability of the study (Yin, 2013)</w:t>
      </w:r>
      <w:r w:rsidR="0039061B">
        <w:rPr>
          <w:sz w:val="24"/>
          <w:szCs w:val="24"/>
        </w:rPr>
        <w:t>.</w:t>
      </w:r>
      <w:r w:rsidR="00D35BF3" w:rsidRPr="00D35BF3">
        <w:rPr>
          <w:sz w:val="24"/>
          <w:szCs w:val="24"/>
        </w:rPr>
        <w:t xml:space="preserve"> External validity was ensured through the review of previous literature and use of replication logic (Yin, 2013).</w:t>
      </w:r>
    </w:p>
    <w:p w14:paraId="3B7EB4D6" w14:textId="77777777" w:rsidR="00A96017" w:rsidRPr="00A61897" w:rsidRDefault="00A96017" w:rsidP="00CE1DF6">
      <w:pPr>
        <w:spacing w:after="0" w:line="480" w:lineRule="auto"/>
        <w:jc w:val="both"/>
        <w:rPr>
          <w:sz w:val="24"/>
          <w:szCs w:val="24"/>
        </w:rPr>
      </w:pPr>
    </w:p>
    <w:p w14:paraId="3B3B437F" w14:textId="46DAE54F" w:rsidR="00E13ED9" w:rsidRPr="00DE14DA" w:rsidRDefault="00211FB1" w:rsidP="00211FB1">
      <w:pPr>
        <w:spacing w:after="0" w:line="480" w:lineRule="auto"/>
        <w:jc w:val="both"/>
        <w:rPr>
          <w:rFonts w:ascii="Calibri" w:eastAsia="Calibri" w:hAnsi="Calibri" w:cs="Arial"/>
          <w:b/>
          <w:sz w:val="24"/>
          <w:szCs w:val="24"/>
        </w:rPr>
      </w:pPr>
      <w:r w:rsidRPr="00211FB1">
        <w:rPr>
          <w:rFonts w:ascii="Calibri" w:eastAsia="Calibri" w:hAnsi="Calibri" w:cs="Arial"/>
          <w:b/>
          <w:sz w:val="24"/>
          <w:szCs w:val="24"/>
        </w:rPr>
        <w:t>4. Findings and Discussion</w:t>
      </w:r>
    </w:p>
    <w:p w14:paraId="3A439D2C" w14:textId="74B78DF7" w:rsidR="00211FB1" w:rsidRPr="00211FB1" w:rsidRDefault="00211FB1" w:rsidP="00DE14DA">
      <w:pPr>
        <w:spacing w:after="0" w:line="480" w:lineRule="auto"/>
        <w:jc w:val="both"/>
        <w:rPr>
          <w:rFonts w:ascii="Calibri" w:eastAsia="Calibri" w:hAnsi="Calibri" w:cs="Arial"/>
          <w:sz w:val="24"/>
          <w:szCs w:val="24"/>
        </w:rPr>
      </w:pPr>
      <w:r w:rsidRPr="00211FB1">
        <w:rPr>
          <w:rFonts w:ascii="Calibri" w:eastAsia="Calibri" w:hAnsi="Calibri" w:cs="Arial"/>
          <w:sz w:val="24"/>
          <w:szCs w:val="24"/>
        </w:rPr>
        <w:t>Table 2, below</w:t>
      </w:r>
      <w:r w:rsidR="00E13ED9">
        <w:rPr>
          <w:rFonts w:ascii="Calibri" w:eastAsia="Calibri" w:hAnsi="Calibri" w:cs="Arial"/>
          <w:sz w:val="24"/>
          <w:szCs w:val="24"/>
        </w:rPr>
        <w:t>,</w:t>
      </w:r>
      <w:r w:rsidRPr="00211FB1">
        <w:rPr>
          <w:rFonts w:ascii="Calibri" w:eastAsia="Calibri" w:hAnsi="Calibri" w:cs="Arial"/>
          <w:sz w:val="24"/>
          <w:szCs w:val="24"/>
        </w:rPr>
        <w:t xml:space="preserve"> sets out a cross-case summary of the significance of challenges, and extent or absence of, responses relating to </w:t>
      </w:r>
      <w:r w:rsidR="00451D9A">
        <w:rPr>
          <w:rFonts w:ascii="Calibri" w:eastAsia="Calibri" w:hAnsi="Calibri" w:cs="Arial"/>
          <w:sz w:val="24"/>
          <w:szCs w:val="24"/>
        </w:rPr>
        <w:t xml:space="preserve">developing </w:t>
      </w:r>
      <w:r w:rsidR="00DE14DA">
        <w:rPr>
          <w:rFonts w:ascii="Calibri" w:eastAsia="Calibri" w:hAnsi="Calibri" w:cs="Arial"/>
          <w:sz w:val="24"/>
          <w:szCs w:val="24"/>
        </w:rPr>
        <w:t xml:space="preserve">NSD </w:t>
      </w:r>
      <w:r w:rsidR="00451D9A">
        <w:rPr>
          <w:rFonts w:ascii="Calibri" w:eastAsia="Calibri" w:hAnsi="Calibri" w:cs="Arial"/>
          <w:sz w:val="24"/>
          <w:szCs w:val="24"/>
        </w:rPr>
        <w:t>processes</w:t>
      </w:r>
      <w:r w:rsidR="00BE3329">
        <w:rPr>
          <w:rFonts w:ascii="Calibri" w:eastAsia="Calibri" w:hAnsi="Calibri" w:cs="Arial"/>
          <w:sz w:val="24"/>
          <w:szCs w:val="24"/>
        </w:rPr>
        <w:t xml:space="preserve">; </w:t>
      </w:r>
      <w:r w:rsidR="00451D9A">
        <w:rPr>
          <w:rFonts w:ascii="Calibri" w:eastAsia="Calibri" w:hAnsi="Calibri" w:cs="Arial"/>
          <w:sz w:val="24"/>
          <w:szCs w:val="24"/>
        </w:rPr>
        <w:t xml:space="preserve">data </w:t>
      </w:r>
      <w:r w:rsidRPr="00211FB1">
        <w:rPr>
          <w:rFonts w:ascii="Calibri" w:eastAsia="Calibri" w:hAnsi="Calibri" w:cs="Arial"/>
          <w:sz w:val="24"/>
          <w:szCs w:val="24"/>
        </w:rPr>
        <w:t xml:space="preserve">in the appendix, illustrates the key themes linked to the challenges and responses identified by the four organisations, relating to NSD processes. </w:t>
      </w:r>
    </w:p>
    <w:p w14:paraId="4EF17906" w14:textId="77777777" w:rsidR="00211FB1" w:rsidRPr="00211FB1" w:rsidRDefault="00211FB1" w:rsidP="00211FB1">
      <w:pPr>
        <w:spacing w:after="0" w:line="480" w:lineRule="auto"/>
        <w:rPr>
          <w:rFonts w:ascii="Calibri" w:eastAsia="Calibri" w:hAnsi="Calibri" w:cs="Arial"/>
          <w:sz w:val="24"/>
          <w:szCs w:val="24"/>
        </w:rPr>
        <w:sectPr w:rsidR="00211FB1" w:rsidRPr="00211FB1">
          <w:pgSz w:w="11906" w:h="16838"/>
          <w:pgMar w:top="1440" w:right="1440" w:bottom="1440" w:left="1440" w:header="709" w:footer="709" w:gutter="0"/>
          <w:cols w:space="720"/>
        </w:sectPr>
      </w:pPr>
    </w:p>
    <w:p w14:paraId="20BCC56E" w14:textId="22C7A325" w:rsidR="00211FB1" w:rsidRPr="00211FB1" w:rsidRDefault="00211FB1" w:rsidP="00211FB1">
      <w:pPr>
        <w:spacing w:after="0" w:line="480" w:lineRule="auto"/>
        <w:jc w:val="both"/>
        <w:rPr>
          <w:rFonts w:ascii="Calibri" w:eastAsia="Calibri" w:hAnsi="Calibri" w:cs="Arial"/>
          <w:b/>
          <w:sz w:val="24"/>
          <w:szCs w:val="24"/>
        </w:rPr>
      </w:pPr>
      <w:r w:rsidRPr="00211FB1">
        <w:rPr>
          <w:rFonts w:ascii="Calibri" w:eastAsia="Calibri" w:hAnsi="Calibri" w:cs="Arial"/>
          <w:b/>
          <w:sz w:val="24"/>
          <w:szCs w:val="24"/>
        </w:rPr>
        <w:t>Table 2: Cross case comparison</w:t>
      </w:r>
      <w:r w:rsidR="00EE7FCB">
        <w:rPr>
          <w:rFonts w:ascii="Calibri" w:eastAsia="Calibri" w:hAnsi="Calibri" w:cs="Arial"/>
          <w:b/>
          <w:sz w:val="24"/>
          <w:szCs w:val="24"/>
        </w:rPr>
        <w:t>: Developing NSD Processes</w:t>
      </w:r>
    </w:p>
    <w:tbl>
      <w:tblPr>
        <w:tblStyle w:val="TableGrid3"/>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043"/>
        <w:gridCol w:w="3426"/>
        <w:gridCol w:w="2447"/>
        <w:gridCol w:w="3229"/>
        <w:gridCol w:w="3029"/>
      </w:tblGrid>
      <w:tr w:rsidR="005D7AF2" w:rsidRPr="00211FB1" w14:paraId="03AE2790" w14:textId="77777777" w:rsidTr="00211FB1">
        <w:tc>
          <w:tcPr>
            <w:tcW w:w="0" w:type="auto"/>
            <w:tcBorders>
              <w:top w:val="single" w:sz="4" w:space="0" w:color="auto"/>
              <w:left w:val="nil"/>
              <w:bottom w:val="single" w:sz="4" w:space="0" w:color="auto"/>
              <w:right w:val="nil"/>
            </w:tcBorders>
            <w:hideMark/>
          </w:tcPr>
          <w:p w14:paraId="04EED62B" w14:textId="77777777" w:rsidR="00211FB1" w:rsidRPr="00211FB1" w:rsidRDefault="00211FB1" w:rsidP="00211FB1">
            <w:pPr>
              <w:rPr>
                <w:b/>
                <w:sz w:val="24"/>
                <w:szCs w:val="24"/>
              </w:rPr>
            </w:pPr>
            <w:r w:rsidRPr="00211FB1">
              <w:rPr>
                <w:b/>
                <w:sz w:val="24"/>
                <w:szCs w:val="24"/>
              </w:rPr>
              <w:t>Theme</w:t>
            </w:r>
          </w:p>
        </w:tc>
        <w:tc>
          <w:tcPr>
            <w:tcW w:w="0" w:type="auto"/>
            <w:tcBorders>
              <w:top w:val="single" w:sz="4" w:space="0" w:color="auto"/>
              <w:left w:val="nil"/>
              <w:bottom w:val="single" w:sz="4" w:space="0" w:color="auto"/>
              <w:right w:val="nil"/>
            </w:tcBorders>
            <w:hideMark/>
          </w:tcPr>
          <w:p w14:paraId="599AF4DB" w14:textId="2133F4C4" w:rsidR="00211FB1" w:rsidRPr="00211FB1" w:rsidRDefault="00211FB1" w:rsidP="00211FB1">
            <w:pPr>
              <w:rPr>
                <w:b/>
                <w:sz w:val="24"/>
                <w:szCs w:val="24"/>
              </w:rPr>
            </w:pPr>
            <w:r w:rsidRPr="00211FB1">
              <w:rPr>
                <w:b/>
                <w:sz w:val="24"/>
                <w:szCs w:val="24"/>
              </w:rPr>
              <w:t>SecurCo (doubter</w:t>
            </w:r>
            <w:r w:rsidR="00EE7FCB">
              <w:rPr>
                <w:b/>
                <w:sz w:val="24"/>
                <w:szCs w:val="24"/>
              </w:rPr>
              <w:t>/constrained</w:t>
            </w:r>
            <w:r w:rsidRPr="00211FB1">
              <w:rPr>
                <w:b/>
                <w:sz w:val="24"/>
                <w:szCs w:val="24"/>
              </w:rPr>
              <w:t>)</w:t>
            </w:r>
            <w:r w:rsidR="00EE7FCB">
              <w:rPr>
                <w:b/>
                <w:sz w:val="24"/>
                <w:szCs w:val="24"/>
              </w:rPr>
              <w:t xml:space="preserve"> Disconnected</w:t>
            </w:r>
            <w:r w:rsidR="00EE7FCB" w:rsidRPr="00211FB1">
              <w:rPr>
                <w:b/>
                <w:sz w:val="24"/>
                <w:szCs w:val="24"/>
              </w:rPr>
              <w:t xml:space="preserve"> processes</w:t>
            </w:r>
          </w:p>
        </w:tc>
        <w:tc>
          <w:tcPr>
            <w:tcW w:w="0" w:type="auto"/>
            <w:tcBorders>
              <w:top w:val="single" w:sz="4" w:space="0" w:color="auto"/>
              <w:left w:val="nil"/>
              <w:bottom w:val="single" w:sz="4" w:space="0" w:color="auto"/>
              <w:right w:val="nil"/>
            </w:tcBorders>
            <w:hideMark/>
          </w:tcPr>
          <w:p w14:paraId="28B0491B" w14:textId="199BE3D7" w:rsidR="00211FB1" w:rsidRPr="00211FB1" w:rsidRDefault="00211FB1" w:rsidP="00211FB1">
            <w:pPr>
              <w:rPr>
                <w:b/>
                <w:sz w:val="24"/>
                <w:szCs w:val="24"/>
              </w:rPr>
            </w:pPr>
            <w:r w:rsidRPr="00211FB1">
              <w:rPr>
                <w:b/>
                <w:sz w:val="24"/>
                <w:szCs w:val="24"/>
              </w:rPr>
              <w:t>ChemCo (pragmatist)</w:t>
            </w:r>
            <w:r w:rsidR="00EE7FCB">
              <w:rPr>
                <w:b/>
                <w:sz w:val="24"/>
                <w:szCs w:val="24"/>
              </w:rPr>
              <w:t xml:space="preserve"> D</w:t>
            </w:r>
            <w:r w:rsidR="00EE7FCB" w:rsidRPr="00211FB1">
              <w:rPr>
                <w:b/>
                <w:sz w:val="24"/>
                <w:szCs w:val="24"/>
              </w:rPr>
              <w:t>eveloping</w:t>
            </w:r>
            <w:r w:rsidR="00EE7FCB">
              <w:rPr>
                <w:b/>
                <w:sz w:val="24"/>
                <w:szCs w:val="24"/>
              </w:rPr>
              <w:t xml:space="preserve"> p</w:t>
            </w:r>
            <w:r w:rsidR="00EE7FCB" w:rsidRPr="00211FB1">
              <w:rPr>
                <w:b/>
                <w:sz w:val="24"/>
                <w:szCs w:val="24"/>
              </w:rPr>
              <w:t>rocesses</w:t>
            </w:r>
          </w:p>
        </w:tc>
        <w:tc>
          <w:tcPr>
            <w:tcW w:w="0" w:type="auto"/>
            <w:tcBorders>
              <w:top w:val="single" w:sz="4" w:space="0" w:color="auto"/>
              <w:left w:val="nil"/>
              <w:bottom w:val="single" w:sz="4" w:space="0" w:color="auto"/>
              <w:right w:val="nil"/>
            </w:tcBorders>
            <w:hideMark/>
          </w:tcPr>
          <w:p w14:paraId="0DF15898" w14:textId="26A4F661" w:rsidR="00211FB1" w:rsidRPr="00211FB1" w:rsidRDefault="00211FB1" w:rsidP="00F00B0C">
            <w:pPr>
              <w:rPr>
                <w:b/>
                <w:sz w:val="24"/>
                <w:szCs w:val="24"/>
              </w:rPr>
            </w:pPr>
            <w:r w:rsidRPr="00211FB1">
              <w:rPr>
                <w:b/>
                <w:sz w:val="24"/>
                <w:szCs w:val="24"/>
              </w:rPr>
              <w:t>TelCo (</w:t>
            </w:r>
            <w:r w:rsidR="00BC4B31">
              <w:rPr>
                <w:b/>
                <w:sz w:val="24"/>
                <w:szCs w:val="24"/>
              </w:rPr>
              <w:t>restrained</w:t>
            </w:r>
            <w:r w:rsidR="00F00B0C">
              <w:rPr>
                <w:b/>
                <w:sz w:val="24"/>
                <w:szCs w:val="24"/>
              </w:rPr>
              <w:t>-</w:t>
            </w:r>
            <w:r w:rsidRPr="00211FB1">
              <w:rPr>
                <w:b/>
                <w:sz w:val="24"/>
                <w:szCs w:val="24"/>
              </w:rPr>
              <w:t>enthusiast)</w:t>
            </w:r>
            <w:r w:rsidR="00EE7FCB">
              <w:rPr>
                <w:b/>
                <w:sz w:val="24"/>
                <w:szCs w:val="24"/>
              </w:rPr>
              <w:t xml:space="preserve"> D</w:t>
            </w:r>
            <w:r w:rsidR="00EE7FCB" w:rsidRPr="00211FB1">
              <w:rPr>
                <w:b/>
                <w:sz w:val="24"/>
                <w:szCs w:val="24"/>
              </w:rPr>
              <w:t xml:space="preserve">eveloping </w:t>
            </w:r>
            <w:r w:rsidR="00EE7FCB">
              <w:rPr>
                <w:b/>
                <w:sz w:val="24"/>
                <w:szCs w:val="24"/>
              </w:rPr>
              <w:t>global p</w:t>
            </w:r>
            <w:r w:rsidR="00EE7FCB" w:rsidRPr="00211FB1">
              <w:rPr>
                <w:b/>
                <w:sz w:val="24"/>
                <w:szCs w:val="24"/>
              </w:rPr>
              <w:t>rocesses</w:t>
            </w:r>
          </w:p>
        </w:tc>
        <w:tc>
          <w:tcPr>
            <w:tcW w:w="0" w:type="auto"/>
            <w:tcBorders>
              <w:top w:val="single" w:sz="4" w:space="0" w:color="auto"/>
              <w:left w:val="nil"/>
              <w:bottom w:val="single" w:sz="4" w:space="0" w:color="auto"/>
              <w:right w:val="nil"/>
            </w:tcBorders>
            <w:hideMark/>
          </w:tcPr>
          <w:p w14:paraId="7EE07324" w14:textId="64661195" w:rsidR="00211FB1" w:rsidRPr="00211FB1" w:rsidRDefault="00211FB1" w:rsidP="009D0C41">
            <w:pPr>
              <w:rPr>
                <w:b/>
                <w:sz w:val="24"/>
                <w:szCs w:val="24"/>
              </w:rPr>
            </w:pPr>
            <w:r w:rsidRPr="00211FB1">
              <w:rPr>
                <w:b/>
                <w:sz w:val="24"/>
                <w:szCs w:val="24"/>
              </w:rPr>
              <w:t>AeroCo (enthusiast)</w:t>
            </w:r>
            <w:r w:rsidR="00EE7FCB">
              <w:rPr>
                <w:b/>
                <w:sz w:val="24"/>
                <w:szCs w:val="24"/>
              </w:rPr>
              <w:t xml:space="preserve"> Effective</w:t>
            </w:r>
            <w:r w:rsidR="00EE7FCB" w:rsidRPr="00211FB1">
              <w:rPr>
                <w:b/>
                <w:sz w:val="24"/>
                <w:szCs w:val="24"/>
              </w:rPr>
              <w:t xml:space="preserve"> processes</w:t>
            </w:r>
          </w:p>
        </w:tc>
      </w:tr>
      <w:tr w:rsidR="005D7AF2" w:rsidRPr="00211FB1" w14:paraId="231C918D" w14:textId="77777777" w:rsidTr="009C6D25">
        <w:tc>
          <w:tcPr>
            <w:tcW w:w="0" w:type="auto"/>
            <w:tcBorders>
              <w:top w:val="single" w:sz="4" w:space="0" w:color="auto"/>
              <w:left w:val="nil"/>
              <w:bottom w:val="single" w:sz="4" w:space="0" w:color="auto"/>
              <w:right w:val="nil"/>
            </w:tcBorders>
          </w:tcPr>
          <w:p w14:paraId="4B307FFA" w14:textId="39164770" w:rsidR="00211FB1" w:rsidRPr="00211FB1" w:rsidRDefault="00211FB1" w:rsidP="00211FB1">
            <w:pPr>
              <w:rPr>
                <w:b/>
                <w:sz w:val="24"/>
                <w:szCs w:val="24"/>
              </w:rPr>
            </w:pPr>
          </w:p>
        </w:tc>
        <w:tc>
          <w:tcPr>
            <w:tcW w:w="0" w:type="auto"/>
            <w:tcBorders>
              <w:top w:val="single" w:sz="4" w:space="0" w:color="auto"/>
              <w:left w:val="nil"/>
              <w:bottom w:val="single" w:sz="4" w:space="0" w:color="auto"/>
              <w:right w:val="nil"/>
            </w:tcBorders>
          </w:tcPr>
          <w:p w14:paraId="1EAA6A4C" w14:textId="7D72D304" w:rsidR="00211FB1" w:rsidRPr="00211FB1" w:rsidRDefault="00211FB1" w:rsidP="00211FB1">
            <w:pPr>
              <w:rPr>
                <w:b/>
                <w:sz w:val="24"/>
                <w:szCs w:val="24"/>
              </w:rPr>
            </w:pPr>
          </w:p>
        </w:tc>
        <w:tc>
          <w:tcPr>
            <w:tcW w:w="0" w:type="auto"/>
            <w:tcBorders>
              <w:top w:val="single" w:sz="4" w:space="0" w:color="auto"/>
              <w:left w:val="nil"/>
              <w:bottom w:val="single" w:sz="4" w:space="0" w:color="auto"/>
              <w:right w:val="nil"/>
            </w:tcBorders>
          </w:tcPr>
          <w:p w14:paraId="0ABC9C3C" w14:textId="06517143" w:rsidR="00211FB1" w:rsidRPr="00211FB1" w:rsidRDefault="00211FB1" w:rsidP="00211FB1">
            <w:pPr>
              <w:rPr>
                <w:b/>
                <w:sz w:val="24"/>
                <w:szCs w:val="24"/>
              </w:rPr>
            </w:pPr>
          </w:p>
        </w:tc>
        <w:tc>
          <w:tcPr>
            <w:tcW w:w="0" w:type="auto"/>
            <w:tcBorders>
              <w:top w:val="single" w:sz="4" w:space="0" w:color="auto"/>
              <w:left w:val="nil"/>
              <w:bottom w:val="single" w:sz="4" w:space="0" w:color="auto"/>
              <w:right w:val="nil"/>
            </w:tcBorders>
          </w:tcPr>
          <w:p w14:paraId="00C26D3D" w14:textId="130D7515" w:rsidR="00211FB1" w:rsidRPr="00211FB1" w:rsidRDefault="00211FB1" w:rsidP="00211FB1">
            <w:pPr>
              <w:rPr>
                <w:b/>
                <w:sz w:val="24"/>
                <w:szCs w:val="24"/>
              </w:rPr>
            </w:pPr>
          </w:p>
        </w:tc>
        <w:tc>
          <w:tcPr>
            <w:tcW w:w="0" w:type="auto"/>
            <w:tcBorders>
              <w:top w:val="single" w:sz="4" w:space="0" w:color="auto"/>
              <w:left w:val="nil"/>
              <w:bottom w:val="single" w:sz="4" w:space="0" w:color="auto"/>
              <w:right w:val="nil"/>
            </w:tcBorders>
          </w:tcPr>
          <w:p w14:paraId="3DE55C8E" w14:textId="788425F2" w:rsidR="00211FB1" w:rsidRPr="00211FB1" w:rsidRDefault="00211FB1" w:rsidP="00211FB1">
            <w:pPr>
              <w:rPr>
                <w:b/>
                <w:sz w:val="24"/>
                <w:szCs w:val="24"/>
              </w:rPr>
            </w:pPr>
          </w:p>
        </w:tc>
      </w:tr>
      <w:tr w:rsidR="005D7AF2" w:rsidRPr="005D7AF2" w14:paraId="19A730F9" w14:textId="77777777" w:rsidTr="009C6D25">
        <w:tc>
          <w:tcPr>
            <w:tcW w:w="0" w:type="auto"/>
            <w:tcBorders>
              <w:top w:val="single" w:sz="4" w:space="0" w:color="auto"/>
              <w:left w:val="nil"/>
              <w:bottom w:val="single" w:sz="4" w:space="0" w:color="auto"/>
              <w:right w:val="nil"/>
            </w:tcBorders>
          </w:tcPr>
          <w:p w14:paraId="0C07F8C8" w14:textId="4F07F1EE" w:rsidR="005D7AF2" w:rsidRPr="005D7AF2" w:rsidRDefault="005D7AF2" w:rsidP="005D7AF2">
            <w:pPr>
              <w:ind w:left="284"/>
              <w:rPr>
                <w:sz w:val="24"/>
                <w:szCs w:val="24"/>
              </w:rPr>
            </w:pPr>
            <w:r>
              <w:rPr>
                <w:sz w:val="24"/>
                <w:szCs w:val="24"/>
              </w:rPr>
              <w:t>Product vs</w:t>
            </w:r>
            <w:r w:rsidR="000951E4">
              <w:rPr>
                <w:sz w:val="24"/>
                <w:szCs w:val="24"/>
              </w:rPr>
              <w:t>.</w:t>
            </w:r>
            <w:r>
              <w:rPr>
                <w:sz w:val="24"/>
                <w:szCs w:val="24"/>
              </w:rPr>
              <w:t xml:space="preserve"> Services innovation mind</w:t>
            </w:r>
            <w:r w:rsidR="00E556B5">
              <w:rPr>
                <w:sz w:val="24"/>
                <w:szCs w:val="24"/>
              </w:rPr>
              <w:t>-</w:t>
            </w:r>
            <w:r>
              <w:rPr>
                <w:sz w:val="24"/>
                <w:szCs w:val="24"/>
              </w:rPr>
              <w:t>set</w:t>
            </w:r>
          </w:p>
        </w:tc>
        <w:tc>
          <w:tcPr>
            <w:tcW w:w="0" w:type="auto"/>
            <w:tcBorders>
              <w:top w:val="single" w:sz="4" w:space="0" w:color="auto"/>
              <w:left w:val="nil"/>
              <w:bottom w:val="single" w:sz="4" w:space="0" w:color="auto"/>
              <w:right w:val="nil"/>
            </w:tcBorders>
          </w:tcPr>
          <w:p w14:paraId="28DFC675" w14:textId="66A3BC47" w:rsidR="005D7AF2" w:rsidRPr="005D7AF2" w:rsidRDefault="005D7AF2" w:rsidP="000951E4">
            <w:pPr>
              <w:rPr>
                <w:sz w:val="24"/>
                <w:szCs w:val="24"/>
              </w:rPr>
            </w:pPr>
            <w:r w:rsidRPr="00AF7466">
              <w:rPr>
                <w:sz w:val="24"/>
                <w:szCs w:val="24"/>
              </w:rPr>
              <w:t>Competitors’ service offerings perceived as gimmicks, product logic dominant</w:t>
            </w:r>
          </w:p>
        </w:tc>
        <w:tc>
          <w:tcPr>
            <w:tcW w:w="0" w:type="auto"/>
            <w:tcBorders>
              <w:top w:val="single" w:sz="4" w:space="0" w:color="auto"/>
              <w:left w:val="nil"/>
              <w:bottom w:val="single" w:sz="4" w:space="0" w:color="auto"/>
              <w:right w:val="nil"/>
            </w:tcBorders>
          </w:tcPr>
          <w:p w14:paraId="2BCD3A04" w14:textId="5676FB92" w:rsidR="005D7AF2" w:rsidRPr="005D7AF2" w:rsidRDefault="005D7AF2" w:rsidP="005D7AF2">
            <w:pPr>
              <w:rPr>
                <w:sz w:val="24"/>
                <w:szCs w:val="24"/>
              </w:rPr>
            </w:pPr>
            <w:r w:rsidRPr="00AF7466">
              <w:rPr>
                <w:sz w:val="24"/>
                <w:szCs w:val="24"/>
              </w:rPr>
              <w:t>Service-minded but business still product focussed</w:t>
            </w:r>
          </w:p>
        </w:tc>
        <w:tc>
          <w:tcPr>
            <w:tcW w:w="0" w:type="auto"/>
            <w:tcBorders>
              <w:top w:val="single" w:sz="4" w:space="0" w:color="auto"/>
              <w:left w:val="nil"/>
              <w:bottom w:val="single" w:sz="4" w:space="0" w:color="auto"/>
              <w:right w:val="nil"/>
            </w:tcBorders>
          </w:tcPr>
          <w:p w14:paraId="7B37782D" w14:textId="2D9DEA1B" w:rsidR="005D7AF2" w:rsidRPr="005D7AF2" w:rsidRDefault="005D7AF2" w:rsidP="005D7AF2">
            <w:pPr>
              <w:rPr>
                <w:sz w:val="24"/>
                <w:szCs w:val="24"/>
              </w:rPr>
            </w:pPr>
            <w:r w:rsidRPr="00AF7466">
              <w:rPr>
                <w:sz w:val="24"/>
                <w:szCs w:val="24"/>
              </w:rPr>
              <w:t>Services are product attached (</w:t>
            </w:r>
            <w:r>
              <w:rPr>
                <w:sz w:val="24"/>
                <w:szCs w:val="24"/>
              </w:rPr>
              <w:t>initial</w:t>
            </w:r>
            <w:r w:rsidRPr="00AF7466">
              <w:rPr>
                <w:sz w:val="24"/>
                <w:szCs w:val="24"/>
              </w:rPr>
              <w:t xml:space="preserve"> heterogeneity of services caus</w:t>
            </w:r>
            <w:r>
              <w:rPr>
                <w:sz w:val="24"/>
                <w:szCs w:val="24"/>
              </w:rPr>
              <w:t>ed</w:t>
            </w:r>
            <w:r w:rsidRPr="00AF7466">
              <w:rPr>
                <w:sz w:val="24"/>
                <w:szCs w:val="24"/>
              </w:rPr>
              <w:t xml:space="preserve"> profitability issues)</w:t>
            </w:r>
          </w:p>
        </w:tc>
        <w:tc>
          <w:tcPr>
            <w:tcW w:w="0" w:type="auto"/>
            <w:tcBorders>
              <w:top w:val="single" w:sz="4" w:space="0" w:color="auto"/>
              <w:left w:val="nil"/>
              <w:bottom w:val="single" w:sz="4" w:space="0" w:color="auto"/>
              <w:right w:val="nil"/>
            </w:tcBorders>
          </w:tcPr>
          <w:p w14:paraId="1A0A568D" w14:textId="1E2ACE06" w:rsidR="005D7AF2" w:rsidRPr="005D7AF2" w:rsidRDefault="005D7AF2" w:rsidP="005D7AF2">
            <w:pPr>
              <w:rPr>
                <w:sz w:val="24"/>
                <w:szCs w:val="24"/>
              </w:rPr>
            </w:pPr>
            <w:r w:rsidRPr="00AF7466">
              <w:rPr>
                <w:sz w:val="24"/>
                <w:szCs w:val="24"/>
              </w:rPr>
              <w:t>Maintain both product-led and service-led approaches</w:t>
            </w:r>
          </w:p>
        </w:tc>
      </w:tr>
      <w:tr w:rsidR="005D7AF2" w:rsidRPr="00211FB1" w14:paraId="0606EB80" w14:textId="77777777" w:rsidTr="00211FB1">
        <w:tc>
          <w:tcPr>
            <w:tcW w:w="0" w:type="auto"/>
            <w:tcBorders>
              <w:top w:val="single" w:sz="4" w:space="0" w:color="auto"/>
              <w:left w:val="nil"/>
              <w:bottom w:val="single" w:sz="4" w:space="0" w:color="auto"/>
              <w:right w:val="nil"/>
            </w:tcBorders>
            <w:hideMark/>
          </w:tcPr>
          <w:p w14:paraId="4C491FDC" w14:textId="77777777" w:rsidR="00211FB1" w:rsidRPr="00211FB1" w:rsidRDefault="00211FB1" w:rsidP="00211FB1">
            <w:pPr>
              <w:ind w:left="284"/>
              <w:rPr>
                <w:sz w:val="24"/>
                <w:szCs w:val="24"/>
              </w:rPr>
            </w:pPr>
            <w:r w:rsidRPr="00211FB1">
              <w:rPr>
                <w:sz w:val="24"/>
                <w:szCs w:val="24"/>
              </w:rPr>
              <w:t>NPD/NSD processes</w:t>
            </w:r>
          </w:p>
        </w:tc>
        <w:tc>
          <w:tcPr>
            <w:tcW w:w="0" w:type="auto"/>
            <w:tcBorders>
              <w:top w:val="single" w:sz="4" w:space="0" w:color="auto"/>
              <w:left w:val="nil"/>
              <w:bottom w:val="single" w:sz="4" w:space="0" w:color="auto"/>
              <w:right w:val="nil"/>
            </w:tcBorders>
            <w:hideMark/>
          </w:tcPr>
          <w:p w14:paraId="2C58106B" w14:textId="1358D8E3" w:rsidR="00211FB1" w:rsidRPr="00211FB1" w:rsidRDefault="00211FB1" w:rsidP="000951E4">
            <w:pPr>
              <w:rPr>
                <w:sz w:val="24"/>
                <w:szCs w:val="24"/>
              </w:rPr>
            </w:pPr>
            <w:r w:rsidRPr="00211FB1">
              <w:rPr>
                <w:sz w:val="24"/>
                <w:szCs w:val="24"/>
              </w:rPr>
              <w:t>Inexperienced service innovator: Well-defined but traditional NSD &amp; NPD processes; not customer-driven</w:t>
            </w:r>
          </w:p>
        </w:tc>
        <w:tc>
          <w:tcPr>
            <w:tcW w:w="0" w:type="auto"/>
            <w:tcBorders>
              <w:top w:val="single" w:sz="4" w:space="0" w:color="auto"/>
              <w:left w:val="nil"/>
              <w:bottom w:val="single" w:sz="4" w:space="0" w:color="auto"/>
              <w:right w:val="nil"/>
            </w:tcBorders>
            <w:hideMark/>
          </w:tcPr>
          <w:p w14:paraId="497A9603" w14:textId="77777777" w:rsidR="00211FB1" w:rsidRPr="00211FB1" w:rsidRDefault="00211FB1" w:rsidP="00211FB1">
            <w:pPr>
              <w:rPr>
                <w:sz w:val="24"/>
                <w:szCs w:val="24"/>
              </w:rPr>
            </w:pPr>
            <w:r w:rsidRPr="00211FB1">
              <w:rPr>
                <w:sz w:val="24"/>
                <w:szCs w:val="24"/>
              </w:rPr>
              <w:t>Experienced innovator: Creative, problem solving approach, less formalised</w:t>
            </w:r>
          </w:p>
        </w:tc>
        <w:tc>
          <w:tcPr>
            <w:tcW w:w="0" w:type="auto"/>
            <w:tcBorders>
              <w:top w:val="single" w:sz="4" w:space="0" w:color="auto"/>
              <w:left w:val="nil"/>
              <w:bottom w:val="single" w:sz="4" w:space="0" w:color="auto"/>
              <w:right w:val="nil"/>
            </w:tcBorders>
            <w:hideMark/>
          </w:tcPr>
          <w:p w14:paraId="7ED9D351" w14:textId="77777777" w:rsidR="00211FB1" w:rsidRPr="00211FB1" w:rsidRDefault="00211FB1" w:rsidP="00211FB1">
            <w:pPr>
              <w:rPr>
                <w:sz w:val="24"/>
                <w:szCs w:val="24"/>
              </w:rPr>
            </w:pPr>
            <w:r w:rsidRPr="00211FB1">
              <w:rPr>
                <w:sz w:val="24"/>
                <w:szCs w:val="24"/>
              </w:rPr>
              <w:t>Experienced innovator: Stage-gate process for NPD &amp; NSD, NSD practices highly developed but cautious over which services progress through</w:t>
            </w:r>
          </w:p>
        </w:tc>
        <w:tc>
          <w:tcPr>
            <w:tcW w:w="0" w:type="auto"/>
            <w:tcBorders>
              <w:top w:val="single" w:sz="4" w:space="0" w:color="auto"/>
              <w:left w:val="nil"/>
              <w:bottom w:val="single" w:sz="4" w:space="0" w:color="auto"/>
              <w:right w:val="nil"/>
            </w:tcBorders>
            <w:hideMark/>
          </w:tcPr>
          <w:p w14:paraId="058CCFA7" w14:textId="77777777" w:rsidR="00211FB1" w:rsidRPr="00211FB1" w:rsidRDefault="00211FB1" w:rsidP="00211FB1">
            <w:pPr>
              <w:rPr>
                <w:sz w:val="24"/>
                <w:szCs w:val="24"/>
              </w:rPr>
            </w:pPr>
            <w:r w:rsidRPr="00211FB1">
              <w:rPr>
                <w:sz w:val="24"/>
                <w:szCs w:val="24"/>
              </w:rPr>
              <w:t>Experienced innovator: Stage-gate process for NPD &amp; NSD, encourages responsiveness to customer problems</w:t>
            </w:r>
          </w:p>
        </w:tc>
      </w:tr>
      <w:tr w:rsidR="005D7AF2" w:rsidRPr="00211FB1" w14:paraId="7F9EBD75" w14:textId="77777777" w:rsidTr="00211FB1">
        <w:tc>
          <w:tcPr>
            <w:tcW w:w="0" w:type="auto"/>
            <w:tcBorders>
              <w:top w:val="single" w:sz="4" w:space="0" w:color="auto"/>
              <w:left w:val="nil"/>
              <w:bottom w:val="single" w:sz="4" w:space="0" w:color="auto"/>
              <w:right w:val="nil"/>
            </w:tcBorders>
            <w:hideMark/>
          </w:tcPr>
          <w:p w14:paraId="528538F5" w14:textId="77777777" w:rsidR="00211FB1" w:rsidRPr="00211FB1" w:rsidRDefault="00211FB1" w:rsidP="00211FB1">
            <w:pPr>
              <w:ind w:left="284"/>
              <w:rPr>
                <w:sz w:val="24"/>
                <w:szCs w:val="24"/>
              </w:rPr>
            </w:pPr>
            <w:r w:rsidRPr="00211FB1">
              <w:rPr>
                <w:sz w:val="24"/>
                <w:szCs w:val="24"/>
              </w:rPr>
              <w:t>Connections between NPD and NSD</w:t>
            </w:r>
          </w:p>
        </w:tc>
        <w:tc>
          <w:tcPr>
            <w:tcW w:w="0" w:type="auto"/>
            <w:tcBorders>
              <w:top w:val="single" w:sz="4" w:space="0" w:color="auto"/>
              <w:left w:val="nil"/>
              <w:bottom w:val="single" w:sz="4" w:space="0" w:color="auto"/>
              <w:right w:val="nil"/>
            </w:tcBorders>
            <w:hideMark/>
          </w:tcPr>
          <w:p w14:paraId="5BE6F654" w14:textId="40CE44A7" w:rsidR="00211FB1" w:rsidRPr="00211FB1" w:rsidRDefault="00211FB1" w:rsidP="00211FB1">
            <w:pPr>
              <w:rPr>
                <w:sz w:val="24"/>
                <w:szCs w:val="24"/>
              </w:rPr>
            </w:pPr>
            <w:r w:rsidRPr="00211FB1">
              <w:rPr>
                <w:sz w:val="24"/>
                <w:szCs w:val="24"/>
              </w:rPr>
              <w:t>Limited connections between NPD and NSD staff</w:t>
            </w:r>
          </w:p>
        </w:tc>
        <w:tc>
          <w:tcPr>
            <w:tcW w:w="0" w:type="auto"/>
            <w:tcBorders>
              <w:top w:val="single" w:sz="4" w:space="0" w:color="auto"/>
              <w:left w:val="nil"/>
              <w:bottom w:val="single" w:sz="4" w:space="0" w:color="auto"/>
              <w:right w:val="nil"/>
            </w:tcBorders>
            <w:hideMark/>
          </w:tcPr>
          <w:p w14:paraId="4684E0DD" w14:textId="77777777" w:rsidR="00211FB1" w:rsidRPr="00211FB1" w:rsidRDefault="00211FB1" w:rsidP="00211FB1">
            <w:pPr>
              <w:rPr>
                <w:sz w:val="24"/>
                <w:szCs w:val="24"/>
              </w:rPr>
            </w:pPr>
            <w:r w:rsidRPr="00211FB1">
              <w:rPr>
                <w:sz w:val="24"/>
                <w:szCs w:val="24"/>
              </w:rPr>
              <w:t>One-way communication</w:t>
            </w:r>
            <w:r w:rsidRPr="00211FB1">
              <w:rPr>
                <w:b/>
                <w:sz w:val="24"/>
                <w:szCs w:val="24"/>
              </w:rPr>
              <w:t xml:space="preserve"> </w:t>
            </w:r>
            <w:r w:rsidRPr="00211FB1">
              <w:rPr>
                <w:sz w:val="24"/>
                <w:szCs w:val="24"/>
              </w:rPr>
              <w:t>(sales feedback to product people)</w:t>
            </w:r>
          </w:p>
        </w:tc>
        <w:tc>
          <w:tcPr>
            <w:tcW w:w="0" w:type="auto"/>
            <w:tcBorders>
              <w:top w:val="single" w:sz="4" w:space="0" w:color="auto"/>
              <w:left w:val="nil"/>
              <w:bottom w:val="single" w:sz="4" w:space="0" w:color="auto"/>
              <w:right w:val="nil"/>
            </w:tcBorders>
            <w:hideMark/>
          </w:tcPr>
          <w:p w14:paraId="72B34AC9" w14:textId="77777777" w:rsidR="00211FB1" w:rsidRPr="00211FB1" w:rsidRDefault="00211FB1" w:rsidP="00211FB1">
            <w:pPr>
              <w:rPr>
                <w:sz w:val="24"/>
                <w:szCs w:val="24"/>
              </w:rPr>
            </w:pPr>
            <w:r w:rsidRPr="00211FB1">
              <w:rPr>
                <w:sz w:val="24"/>
                <w:szCs w:val="24"/>
              </w:rPr>
              <w:t>Key touch-points between NSD &amp; NPD, two-way balanced communication</w:t>
            </w:r>
            <w:r w:rsidRPr="00211FB1">
              <w:rPr>
                <w:b/>
                <w:sz w:val="24"/>
                <w:szCs w:val="24"/>
              </w:rPr>
              <w:t xml:space="preserve"> </w:t>
            </w:r>
            <w:r w:rsidRPr="00211FB1">
              <w:rPr>
                <w:sz w:val="24"/>
                <w:szCs w:val="24"/>
              </w:rPr>
              <w:t>(product people understand services)</w:t>
            </w:r>
          </w:p>
        </w:tc>
        <w:tc>
          <w:tcPr>
            <w:tcW w:w="0" w:type="auto"/>
            <w:tcBorders>
              <w:top w:val="single" w:sz="4" w:space="0" w:color="auto"/>
              <w:left w:val="nil"/>
              <w:bottom w:val="single" w:sz="4" w:space="0" w:color="auto"/>
              <w:right w:val="nil"/>
            </w:tcBorders>
            <w:hideMark/>
          </w:tcPr>
          <w:p w14:paraId="6348EC51" w14:textId="77777777" w:rsidR="00211FB1" w:rsidRPr="00211FB1" w:rsidRDefault="00211FB1" w:rsidP="00211FB1">
            <w:pPr>
              <w:rPr>
                <w:sz w:val="24"/>
                <w:szCs w:val="24"/>
              </w:rPr>
            </w:pPr>
            <w:r w:rsidRPr="00211FB1">
              <w:rPr>
                <w:sz w:val="24"/>
                <w:szCs w:val="24"/>
              </w:rPr>
              <w:t>Key touch-points between NSD &amp; NPD</w:t>
            </w:r>
            <w:r w:rsidRPr="00211FB1">
              <w:rPr>
                <w:b/>
                <w:sz w:val="24"/>
                <w:szCs w:val="24"/>
              </w:rPr>
              <w:t xml:space="preserve">, </w:t>
            </w:r>
            <w:r w:rsidRPr="00211FB1">
              <w:rPr>
                <w:sz w:val="24"/>
                <w:szCs w:val="24"/>
              </w:rPr>
              <w:t>two-way unbalanced communications (product people dominate interactions)</w:t>
            </w:r>
          </w:p>
        </w:tc>
      </w:tr>
      <w:tr w:rsidR="00010D46" w:rsidRPr="00211FB1" w14:paraId="388B7B5B" w14:textId="77777777" w:rsidTr="008A2409">
        <w:tc>
          <w:tcPr>
            <w:tcW w:w="0" w:type="auto"/>
            <w:tcBorders>
              <w:top w:val="single" w:sz="4" w:space="0" w:color="auto"/>
              <w:left w:val="nil"/>
              <w:bottom w:val="single" w:sz="4" w:space="0" w:color="auto"/>
              <w:right w:val="nil"/>
            </w:tcBorders>
            <w:hideMark/>
          </w:tcPr>
          <w:p w14:paraId="05AEA717" w14:textId="77777777" w:rsidR="00010D46" w:rsidRPr="00211FB1" w:rsidRDefault="00010D46" w:rsidP="008A2409">
            <w:pPr>
              <w:ind w:left="284"/>
              <w:rPr>
                <w:sz w:val="24"/>
                <w:szCs w:val="24"/>
              </w:rPr>
            </w:pPr>
            <w:r w:rsidRPr="00211FB1">
              <w:rPr>
                <w:sz w:val="24"/>
                <w:szCs w:val="24"/>
              </w:rPr>
              <w:t xml:space="preserve">People and </w:t>
            </w:r>
            <w:r>
              <w:rPr>
                <w:sz w:val="24"/>
                <w:szCs w:val="24"/>
              </w:rPr>
              <w:t>Services</w:t>
            </w:r>
            <w:r w:rsidRPr="00211FB1">
              <w:rPr>
                <w:sz w:val="24"/>
                <w:szCs w:val="24"/>
              </w:rPr>
              <w:t xml:space="preserve"> Deployment</w:t>
            </w:r>
          </w:p>
        </w:tc>
        <w:tc>
          <w:tcPr>
            <w:tcW w:w="0" w:type="auto"/>
            <w:tcBorders>
              <w:top w:val="single" w:sz="4" w:space="0" w:color="auto"/>
              <w:left w:val="nil"/>
              <w:bottom w:val="single" w:sz="4" w:space="0" w:color="auto"/>
              <w:right w:val="nil"/>
            </w:tcBorders>
            <w:hideMark/>
          </w:tcPr>
          <w:p w14:paraId="184CCD8A" w14:textId="77777777" w:rsidR="00010D46" w:rsidRPr="00211FB1" w:rsidRDefault="00010D46" w:rsidP="008A2409">
            <w:pPr>
              <w:rPr>
                <w:sz w:val="24"/>
                <w:szCs w:val="24"/>
              </w:rPr>
            </w:pPr>
            <w:r w:rsidRPr="00211FB1">
              <w:rPr>
                <w:sz w:val="24"/>
                <w:szCs w:val="24"/>
              </w:rPr>
              <w:t>Constrained by lack of service personnel</w:t>
            </w:r>
          </w:p>
        </w:tc>
        <w:tc>
          <w:tcPr>
            <w:tcW w:w="0" w:type="auto"/>
            <w:tcBorders>
              <w:top w:val="single" w:sz="4" w:space="0" w:color="auto"/>
              <w:left w:val="nil"/>
              <w:bottom w:val="single" w:sz="4" w:space="0" w:color="auto"/>
              <w:right w:val="nil"/>
            </w:tcBorders>
            <w:hideMark/>
          </w:tcPr>
          <w:p w14:paraId="5575D2BD" w14:textId="77777777" w:rsidR="00010D46" w:rsidRPr="00211FB1" w:rsidRDefault="00010D46" w:rsidP="008A2409">
            <w:pPr>
              <w:rPr>
                <w:sz w:val="24"/>
                <w:szCs w:val="24"/>
              </w:rPr>
            </w:pPr>
            <w:r w:rsidRPr="00211FB1">
              <w:rPr>
                <w:sz w:val="24"/>
                <w:szCs w:val="24"/>
              </w:rPr>
              <w:t>Multi-skilled staff: training existing product staff in service capabilities</w:t>
            </w:r>
          </w:p>
        </w:tc>
        <w:tc>
          <w:tcPr>
            <w:tcW w:w="0" w:type="auto"/>
            <w:tcBorders>
              <w:top w:val="single" w:sz="4" w:space="0" w:color="auto"/>
              <w:left w:val="nil"/>
              <w:bottom w:val="single" w:sz="4" w:space="0" w:color="auto"/>
              <w:right w:val="nil"/>
            </w:tcBorders>
            <w:hideMark/>
          </w:tcPr>
          <w:p w14:paraId="242291ED" w14:textId="77777777" w:rsidR="00010D46" w:rsidRPr="00211FB1" w:rsidRDefault="00010D46" w:rsidP="008A2409">
            <w:pPr>
              <w:rPr>
                <w:sz w:val="24"/>
                <w:szCs w:val="24"/>
              </w:rPr>
            </w:pPr>
            <w:r w:rsidRPr="00211FB1">
              <w:rPr>
                <w:sz w:val="24"/>
                <w:szCs w:val="24"/>
              </w:rPr>
              <w:t>Service-focused skilled staff, but shortage hindering expansion; distinct service structure</w:t>
            </w:r>
          </w:p>
        </w:tc>
        <w:tc>
          <w:tcPr>
            <w:tcW w:w="0" w:type="auto"/>
            <w:tcBorders>
              <w:top w:val="single" w:sz="4" w:space="0" w:color="auto"/>
              <w:left w:val="nil"/>
              <w:bottom w:val="single" w:sz="4" w:space="0" w:color="auto"/>
              <w:right w:val="nil"/>
            </w:tcBorders>
            <w:hideMark/>
          </w:tcPr>
          <w:p w14:paraId="5D44EED6" w14:textId="77777777" w:rsidR="00010D46" w:rsidRPr="00211FB1" w:rsidRDefault="00010D46" w:rsidP="008A2409">
            <w:pPr>
              <w:rPr>
                <w:sz w:val="24"/>
                <w:szCs w:val="24"/>
              </w:rPr>
            </w:pPr>
            <w:r w:rsidRPr="00211FB1">
              <w:rPr>
                <w:sz w:val="24"/>
                <w:szCs w:val="24"/>
              </w:rPr>
              <w:t>Service-focused skilled staff; distinct service structure</w:t>
            </w:r>
          </w:p>
        </w:tc>
      </w:tr>
    </w:tbl>
    <w:p w14:paraId="19713D26" w14:textId="77777777" w:rsidR="00211FB1" w:rsidRPr="00211FB1" w:rsidRDefault="00211FB1" w:rsidP="00211FB1">
      <w:pPr>
        <w:spacing w:after="0" w:line="480" w:lineRule="auto"/>
        <w:rPr>
          <w:rFonts w:ascii="Calibri" w:eastAsia="Calibri" w:hAnsi="Calibri" w:cs="Arial"/>
          <w:i/>
          <w:sz w:val="24"/>
          <w:szCs w:val="24"/>
        </w:rPr>
        <w:sectPr w:rsidR="00211FB1" w:rsidRPr="00211FB1">
          <w:pgSz w:w="16838" w:h="11906" w:orient="landscape"/>
          <w:pgMar w:top="1440" w:right="1440" w:bottom="1440" w:left="1440" w:header="709" w:footer="709" w:gutter="0"/>
          <w:cols w:space="720"/>
        </w:sectPr>
      </w:pPr>
    </w:p>
    <w:p w14:paraId="622D362D" w14:textId="00278440" w:rsidR="005D7AF2" w:rsidRPr="00AE4104" w:rsidRDefault="005D7AF2" w:rsidP="005D7AF2">
      <w:pPr>
        <w:spacing w:after="0" w:line="480" w:lineRule="auto"/>
        <w:jc w:val="both"/>
        <w:rPr>
          <w:i/>
          <w:sz w:val="24"/>
          <w:szCs w:val="24"/>
        </w:rPr>
      </w:pPr>
      <w:r w:rsidRPr="00AE4104">
        <w:rPr>
          <w:i/>
          <w:sz w:val="24"/>
          <w:szCs w:val="24"/>
        </w:rPr>
        <w:t>4.</w:t>
      </w:r>
      <w:r>
        <w:rPr>
          <w:i/>
          <w:sz w:val="24"/>
          <w:szCs w:val="24"/>
        </w:rPr>
        <w:t>1</w:t>
      </w:r>
      <w:r w:rsidRPr="00AE4104">
        <w:rPr>
          <w:i/>
          <w:sz w:val="24"/>
          <w:szCs w:val="24"/>
        </w:rPr>
        <w:t xml:space="preserve"> Product v</w:t>
      </w:r>
      <w:r>
        <w:rPr>
          <w:i/>
          <w:sz w:val="24"/>
          <w:szCs w:val="24"/>
        </w:rPr>
        <w:t>ersus</w:t>
      </w:r>
      <w:r w:rsidRPr="00AE4104">
        <w:rPr>
          <w:i/>
          <w:sz w:val="24"/>
          <w:szCs w:val="24"/>
        </w:rPr>
        <w:t xml:space="preserve"> </w:t>
      </w:r>
      <w:r>
        <w:rPr>
          <w:i/>
          <w:sz w:val="24"/>
          <w:szCs w:val="24"/>
        </w:rPr>
        <w:t>services innovation mind-set</w:t>
      </w:r>
    </w:p>
    <w:p w14:paraId="7B844219" w14:textId="43ACFF87" w:rsidR="005D7AF2" w:rsidRDefault="005D7AF2" w:rsidP="005D7AF2">
      <w:pPr>
        <w:spacing w:after="0" w:line="480" w:lineRule="auto"/>
        <w:jc w:val="both"/>
        <w:rPr>
          <w:sz w:val="24"/>
          <w:szCs w:val="24"/>
        </w:rPr>
      </w:pPr>
      <w:r w:rsidRPr="007C219C">
        <w:rPr>
          <w:sz w:val="24"/>
          <w:szCs w:val="24"/>
        </w:rPr>
        <w:t>Innovation strategy is a key aspect of NPD/NSD activities, and</w:t>
      </w:r>
      <w:r w:rsidR="00BE3329" w:rsidRPr="007C219C">
        <w:rPr>
          <w:sz w:val="24"/>
          <w:szCs w:val="24"/>
        </w:rPr>
        <w:t>,</w:t>
      </w:r>
      <w:r w:rsidRPr="009E7CA0">
        <w:rPr>
          <w:sz w:val="24"/>
          <w:szCs w:val="24"/>
        </w:rPr>
        <w:t xml:space="preserve"> </w:t>
      </w:r>
      <w:r w:rsidR="00BE3329" w:rsidRPr="007C219C">
        <w:rPr>
          <w:sz w:val="24"/>
          <w:szCs w:val="24"/>
        </w:rPr>
        <w:t xml:space="preserve">as identified by Lightfoot &amp; Gebauer, 2011, the </w:t>
      </w:r>
      <w:r w:rsidRPr="009E7CA0">
        <w:rPr>
          <w:sz w:val="24"/>
          <w:szCs w:val="24"/>
        </w:rPr>
        <w:t>servitizing firm’s mind-set</w:t>
      </w:r>
      <w:r w:rsidR="00BE3329" w:rsidRPr="007C219C">
        <w:rPr>
          <w:sz w:val="24"/>
          <w:szCs w:val="24"/>
        </w:rPr>
        <w:t xml:space="preserve"> appears to be central to this</w:t>
      </w:r>
      <w:r w:rsidR="009E7CA0" w:rsidRPr="007C219C">
        <w:rPr>
          <w:sz w:val="24"/>
          <w:szCs w:val="24"/>
        </w:rPr>
        <w:t>.</w:t>
      </w:r>
      <w:r w:rsidRPr="00C83E56">
        <w:rPr>
          <w:sz w:val="24"/>
          <w:szCs w:val="24"/>
        </w:rPr>
        <w:t xml:space="preserve"> Both</w:t>
      </w:r>
      <w:r w:rsidRPr="00791748">
        <w:rPr>
          <w:sz w:val="24"/>
          <w:szCs w:val="24"/>
        </w:rPr>
        <w:t xml:space="preserve"> SecurCo and ChemCo </w:t>
      </w:r>
      <w:r>
        <w:rPr>
          <w:sz w:val="24"/>
          <w:szCs w:val="24"/>
        </w:rPr>
        <w:t>are product-led; believing</w:t>
      </w:r>
      <w:r w:rsidRPr="00791748">
        <w:rPr>
          <w:sz w:val="24"/>
          <w:szCs w:val="24"/>
        </w:rPr>
        <w:t xml:space="preserve"> the </w:t>
      </w:r>
      <w:r>
        <w:rPr>
          <w:sz w:val="24"/>
          <w:szCs w:val="24"/>
        </w:rPr>
        <w:t>purpose</w:t>
      </w:r>
      <w:r w:rsidRPr="00791748">
        <w:rPr>
          <w:sz w:val="24"/>
          <w:szCs w:val="24"/>
        </w:rPr>
        <w:t xml:space="preserve"> of service</w:t>
      </w:r>
      <w:r>
        <w:rPr>
          <w:sz w:val="24"/>
          <w:szCs w:val="24"/>
        </w:rPr>
        <w:t>s</w:t>
      </w:r>
      <w:r w:rsidRPr="00791748">
        <w:rPr>
          <w:sz w:val="24"/>
          <w:szCs w:val="24"/>
        </w:rPr>
        <w:t xml:space="preserve"> is to sell t</w:t>
      </w:r>
      <w:r>
        <w:rPr>
          <w:sz w:val="24"/>
          <w:szCs w:val="24"/>
        </w:rPr>
        <w:t>heir products</w:t>
      </w:r>
      <w:r w:rsidRPr="00791748">
        <w:rPr>
          <w:sz w:val="24"/>
          <w:szCs w:val="24"/>
        </w:rPr>
        <w:t xml:space="preserve">. </w:t>
      </w:r>
      <w:r>
        <w:rPr>
          <w:sz w:val="24"/>
          <w:szCs w:val="24"/>
        </w:rPr>
        <w:t>SecurCo lack</w:t>
      </w:r>
      <w:r w:rsidR="009E7CA0">
        <w:rPr>
          <w:sz w:val="24"/>
          <w:szCs w:val="24"/>
        </w:rPr>
        <w:t>s</w:t>
      </w:r>
      <w:r>
        <w:rPr>
          <w:sz w:val="24"/>
          <w:szCs w:val="24"/>
        </w:rPr>
        <w:t xml:space="preserve"> capabilities to link complex services to their products. </w:t>
      </w:r>
      <w:r w:rsidRPr="00791748">
        <w:rPr>
          <w:sz w:val="24"/>
          <w:szCs w:val="24"/>
        </w:rPr>
        <w:t xml:space="preserve">ChemCo </w:t>
      </w:r>
      <w:r w:rsidR="009E7CA0">
        <w:rPr>
          <w:sz w:val="24"/>
          <w:szCs w:val="24"/>
        </w:rPr>
        <w:t xml:space="preserve">has </w:t>
      </w:r>
      <w:r>
        <w:rPr>
          <w:sz w:val="24"/>
          <w:szCs w:val="24"/>
        </w:rPr>
        <w:t xml:space="preserve">these capabilities but </w:t>
      </w:r>
      <w:r w:rsidRPr="00791748">
        <w:rPr>
          <w:sz w:val="24"/>
          <w:szCs w:val="24"/>
        </w:rPr>
        <w:t>are wary of becoming too service focused</w:t>
      </w:r>
      <w:r>
        <w:rPr>
          <w:sz w:val="24"/>
          <w:szCs w:val="24"/>
        </w:rPr>
        <w:t xml:space="preserve"> (</w:t>
      </w:r>
      <w:r w:rsidRPr="002C415F">
        <w:rPr>
          <w:sz w:val="24"/>
          <w:szCs w:val="24"/>
        </w:rPr>
        <w:t>Kowalkowski et al., 2015</w:t>
      </w:r>
      <w:r>
        <w:rPr>
          <w:sz w:val="24"/>
          <w:szCs w:val="24"/>
        </w:rPr>
        <w:t xml:space="preserve">), which they link to a productivity risk </w:t>
      </w:r>
      <w:r>
        <w:t>(</w:t>
      </w:r>
      <w:r w:rsidR="00FF5D5A" w:rsidRPr="00FD5F60">
        <w:rPr>
          <w:sz w:val="24"/>
          <w:szCs w:val="24"/>
        </w:rPr>
        <w:t>Öhman, Finne</w:t>
      </w:r>
      <w:r w:rsidR="00FF5D5A">
        <w:rPr>
          <w:sz w:val="24"/>
          <w:szCs w:val="24"/>
        </w:rPr>
        <w:t xml:space="preserve"> &amp;</w:t>
      </w:r>
      <w:r w:rsidR="00FF5D5A" w:rsidRPr="00FD5F60">
        <w:rPr>
          <w:sz w:val="24"/>
          <w:szCs w:val="24"/>
        </w:rPr>
        <w:t xml:space="preserve"> Holmström</w:t>
      </w:r>
      <w:r w:rsidR="00FF5D5A">
        <w:rPr>
          <w:sz w:val="24"/>
          <w:szCs w:val="24"/>
        </w:rPr>
        <w:t>,</w:t>
      </w:r>
      <w:r w:rsidR="00FF5D5A" w:rsidDel="00FF5D5A">
        <w:rPr>
          <w:sz w:val="24"/>
          <w:szCs w:val="24"/>
        </w:rPr>
        <w:t xml:space="preserve"> </w:t>
      </w:r>
      <w:r>
        <w:rPr>
          <w:sz w:val="24"/>
          <w:szCs w:val="24"/>
        </w:rPr>
        <w:t>2015). They adopt a services-led strategy; but with a very strong focus on their own products, to avoid the</w:t>
      </w:r>
      <w:r w:rsidRPr="00791748">
        <w:rPr>
          <w:rFonts w:ascii="Calibri" w:eastAsia="Calibri" w:hAnsi="Calibri" w:cs="Times New Roman"/>
          <w:sz w:val="24"/>
          <w:szCs w:val="24"/>
        </w:rPr>
        <w:t xml:space="preserve"> </w:t>
      </w:r>
      <w:r>
        <w:rPr>
          <w:rFonts w:ascii="Calibri" w:eastAsia="Calibri" w:hAnsi="Calibri" w:cs="Times New Roman"/>
          <w:sz w:val="24"/>
          <w:szCs w:val="24"/>
        </w:rPr>
        <w:t>‘tail wagging the dog’</w:t>
      </w:r>
      <w:r w:rsidRPr="00791748">
        <w:rPr>
          <w:rFonts w:ascii="Calibri" w:eastAsia="Calibri" w:hAnsi="Calibri" w:cs="Times New Roman"/>
          <w:sz w:val="24"/>
          <w:szCs w:val="24"/>
        </w:rPr>
        <w:t>.</w:t>
      </w:r>
      <w:r>
        <w:rPr>
          <w:sz w:val="24"/>
          <w:szCs w:val="24"/>
        </w:rPr>
        <w:t xml:space="preserve"> </w:t>
      </w:r>
    </w:p>
    <w:p w14:paraId="1BE8AC8D" w14:textId="77777777" w:rsidR="005D7AF2" w:rsidRDefault="005D7AF2" w:rsidP="005D7AF2">
      <w:pPr>
        <w:spacing w:after="0" w:line="480" w:lineRule="auto"/>
        <w:jc w:val="both"/>
        <w:rPr>
          <w:sz w:val="24"/>
          <w:szCs w:val="24"/>
        </w:rPr>
      </w:pPr>
    </w:p>
    <w:p w14:paraId="48304D40" w14:textId="3FA0D1CE" w:rsidR="005D7AF2" w:rsidRDefault="005D7AF2" w:rsidP="005D7AF2">
      <w:pPr>
        <w:spacing w:after="0" w:line="480" w:lineRule="auto"/>
        <w:jc w:val="both"/>
        <w:rPr>
          <w:rFonts w:ascii="Calibri" w:eastAsia="Calibri" w:hAnsi="Calibri" w:cs="Times New Roman"/>
          <w:sz w:val="24"/>
          <w:szCs w:val="24"/>
        </w:rPr>
      </w:pPr>
      <w:r w:rsidRPr="00791748">
        <w:rPr>
          <w:sz w:val="24"/>
          <w:szCs w:val="24"/>
        </w:rPr>
        <w:t>This contrasts with TelCo</w:t>
      </w:r>
      <w:r>
        <w:rPr>
          <w:sz w:val="24"/>
          <w:szCs w:val="24"/>
        </w:rPr>
        <w:t>,</w:t>
      </w:r>
      <w:r w:rsidRPr="00791748">
        <w:rPr>
          <w:sz w:val="24"/>
          <w:szCs w:val="24"/>
        </w:rPr>
        <w:t xml:space="preserve"> who </w:t>
      </w:r>
      <w:r>
        <w:rPr>
          <w:sz w:val="24"/>
          <w:szCs w:val="24"/>
        </w:rPr>
        <w:t>initially adopted</w:t>
      </w:r>
      <w:r w:rsidRPr="00791748">
        <w:rPr>
          <w:sz w:val="24"/>
          <w:szCs w:val="24"/>
        </w:rPr>
        <w:t xml:space="preserve"> a </w:t>
      </w:r>
      <w:r>
        <w:rPr>
          <w:sz w:val="24"/>
          <w:szCs w:val="24"/>
        </w:rPr>
        <w:t xml:space="preserve">very </w:t>
      </w:r>
      <w:r w:rsidRPr="00791748">
        <w:rPr>
          <w:sz w:val="24"/>
          <w:szCs w:val="24"/>
        </w:rPr>
        <w:t>services</w:t>
      </w:r>
      <w:r>
        <w:rPr>
          <w:sz w:val="24"/>
          <w:szCs w:val="24"/>
        </w:rPr>
        <w:t>-led</w:t>
      </w:r>
      <w:r w:rsidRPr="00791748">
        <w:rPr>
          <w:sz w:val="24"/>
          <w:szCs w:val="24"/>
        </w:rPr>
        <w:t xml:space="preserve"> </w:t>
      </w:r>
      <w:r>
        <w:rPr>
          <w:sz w:val="24"/>
          <w:szCs w:val="24"/>
        </w:rPr>
        <w:t>strategy</w:t>
      </w:r>
      <w:r w:rsidRPr="00791748">
        <w:rPr>
          <w:sz w:val="24"/>
          <w:szCs w:val="24"/>
        </w:rPr>
        <w:t xml:space="preserve">, but </w:t>
      </w:r>
      <w:r w:rsidR="009E7CA0">
        <w:rPr>
          <w:sz w:val="24"/>
          <w:szCs w:val="24"/>
        </w:rPr>
        <w:t>pulled back because of</w:t>
      </w:r>
      <w:r>
        <w:rPr>
          <w:sz w:val="24"/>
          <w:szCs w:val="24"/>
        </w:rPr>
        <w:t xml:space="preserve"> profitability problems linked to service</w:t>
      </w:r>
      <w:r w:rsidR="00BA3E7B">
        <w:rPr>
          <w:sz w:val="24"/>
          <w:szCs w:val="24"/>
        </w:rPr>
        <w:t>s</w:t>
      </w:r>
      <w:r>
        <w:rPr>
          <w:sz w:val="24"/>
          <w:szCs w:val="24"/>
        </w:rPr>
        <w:t xml:space="preserve"> heterogeneity. </w:t>
      </w:r>
      <w:r w:rsidRPr="00791748">
        <w:rPr>
          <w:sz w:val="24"/>
          <w:szCs w:val="24"/>
        </w:rPr>
        <w:t>Tel</w:t>
      </w:r>
      <w:r>
        <w:rPr>
          <w:sz w:val="24"/>
          <w:szCs w:val="24"/>
        </w:rPr>
        <w:t>C</w:t>
      </w:r>
      <w:r w:rsidRPr="00791748">
        <w:rPr>
          <w:sz w:val="24"/>
          <w:szCs w:val="24"/>
        </w:rPr>
        <w:t>o overc</w:t>
      </w:r>
      <w:r w:rsidR="007C219C">
        <w:rPr>
          <w:sz w:val="24"/>
          <w:szCs w:val="24"/>
        </w:rPr>
        <w:t>a</w:t>
      </w:r>
      <w:r>
        <w:rPr>
          <w:sz w:val="24"/>
          <w:szCs w:val="24"/>
        </w:rPr>
        <w:t>me</w:t>
      </w:r>
      <w:r w:rsidRPr="00791748">
        <w:rPr>
          <w:sz w:val="24"/>
          <w:szCs w:val="24"/>
        </w:rPr>
        <w:t xml:space="preserve"> </w:t>
      </w:r>
      <w:r>
        <w:rPr>
          <w:sz w:val="24"/>
          <w:szCs w:val="24"/>
        </w:rPr>
        <w:t>the product mind-set inertia problem relatively easily</w:t>
      </w:r>
      <w:r w:rsidR="009E7CA0">
        <w:rPr>
          <w:sz w:val="24"/>
          <w:szCs w:val="24"/>
        </w:rPr>
        <w:t xml:space="preserve">. However, </w:t>
      </w:r>
      <w:r>
        <w:rPr>
          <w:sz w:val="24"/>
          <w:szCs w:val="24"/>
        </w:rPr>
        <w:t xml:space="preserve">this quick move to </w:t>
      </w:r>
      <w:r w:rsidR="009E7CA0">
        <w:rPr>
          <w:sz w:val="24"/>
          <w:szCs w:val="24"/>
        </w:rPr>
        <w:t xml:space="preserve">a </w:t>
      </w:r>
      <w:r>
        <w:rPr>
          <w:sz w:val="24"/>
          <w:szCs w:val="24"/>
        </w:rPr>
        <w:t>new service mind-set meant that staff were given relatively free reign to develop services; leading</w:t>
      </w:r>
      <w:r w:rsidRPr="00791748">
        <w:rPr>
          <w:sz w:val="24"/>
          <w:szCs w:val="24"/>
        </w:rPr>
        <w:t xml:space="preserve"> to excessive </w:t>
      </w:r>
      <w:r>
        <w:rPr>
          <w:sz w:val="24"/>
          <w:szCs w:val="24"/>
        </w:rPr>
        <w:t xml:space="preserve">services </w:t>
      </w:r>
      <w:r w:rsidRPr="00791748">
        <w:rPr>
          <w:sz w:val="24"/>
          <w:szCs w:val="24"/>
        </w:rPr>
        <w:t>proliferation</w:t>
      </w:r>
      <w:r>
        <w:rPr>
          <w:sz w:val="24"/>
          <w:szCs w:val="24"/>
        </w:rPr>
        <w:t>,</w:t>
      </w:r>
      <w:r w:rsidRPr="00791748">
        <w:rPr>
          <w:sz w:val="24"/>
          <w:szCs w:val="24"/>
        </w:rPr>
        <w:t xml:space="preserve"> </w:t>
      </w:r>
      <w:r w:rsidR="009E7CA0">
        <w:rPr>
          <w:sz w:val="24"/>
          <w:szCs w:val="24"/>
        </w:rPr>
        <w:t xml:space="preserve">creating </w:t>
      </w:r>
      <w:r>
        <w:rPr>
          <w:sz w:val="24"/>
          <w:szCs w:val="24"/>
        </w:rPr>
        <w:t xml:space="preserve">confusion </w:t>
      </w:r>
      <w:r w:rsidRPr="00035C3B">
        <w:rPr>
          <w:sz w:val="24"/>
          <w:szCs w:val="24"/>
        </w:rPr>
        <w:t xml:space="preserve">and </w:t>
      </w:r>
      <w:r w:rsidR="009E7CA0" w:rsidRPr="00035C3B">
        <w:rPr>
          <w:sz w:val="24"/>
          <w:szCs w:val="24"/>
        </w:rPr>
        <w:t>caus</w:t>
      </w:r>
      <w:r w:rsidR="009E7CA0">
        <w:rPr>
          <w:sz w:val="24"/>
          <w:szCs w:val="24"/>
        </w:rPr>
        <w:t>ing</w:t>
      </w:r>
      <w:r w:rsidR="009E7CA0" w:rsidRPr="00035C3B">
        <w:rPr>
          <w:sz w:val="24"/>
          <w:szCs w:val="24"/>
        </w:rPr>
        <w:t xml:space="preserve"> </w:t>
      </w:r>
      <w:r>
        <w:rPr>
          <w:sz w:val="24"/>
          <w:szCs w:val="24"/>
        </w:rPr>
        <w:t xml:space="preserve">financial </w:t>
      </w:r>
      <w:r w:rsidRPr="00035C3B">
        <w:rPr>
          <w:sz w:val="24"/>
          <w:szCs w:val="24"/>
        </w:rPr>
        <w:t>losses</w:t>
      </w:r>
      <w:r>
        <w:rPr>
          <w:sz w:val="24"/>
          <w:szCs w:val="24"/>
        </w:rPr>
        <w:t xml:space="preserve"> through excessive value transfer to customers. Following retrenchment efforts, TelCo pulled back from a ‘fully’ advanced services trajectory </w:t>
      </w:r>
      <w:r w:rsidRPr="00791748">
        <w:rPr>
          <w:sz w:val="24"/>
          <w:szCs w:val="24"/>
        </w:rPr>
        <w:t xml:space="preserve">and re-focused </w:t>
      </w:r>
      <w:r>
        <w:rPr>
          <w:sz w:val="24"/>
          <w:szCs w:val="24"/>
        </w:rPr>
        <w:t>on delivering a reduced ‘menu’</w:t>
      </w:r>
      <w:r w:rsidRPr="00791748">
        <w:rPr>
          <w:sz w:val="24"/>
          <w:szCs w:val="24"/>
        </w:rPr>
        <w:t xml:space="preserve"> of</w:t>
      </w:r>
      <w:r>
        <w:rPr>
          <w:sz w:val="24"/>
          <w:szCs w:val="24"/>
        </w:rPr>
        <w:t xml:space="preserve"> profitable</w:t>
      </w:r>
      <w:r w:rsidRPr="00791748">
        <w:rPr>
          <w:sz w:val="24"/>
          <w:szCs w:val="24"/>
        </w:rPr>
        <w:t xml:space="preserve"> </w:t>
      </w:r>
      <w:r w:rsidRPr="00791748">
        <w:rPr>
          <w:i/>
          <w:sz w:val="24"/>
          <w:szCs w:val="24"/>
        </w:rPr>
        <w:t>product-attached</w:t>
      </w:r>
      <w:r w:rsidRPr="00791748">
        <w:rPr>
          <w:sz w:val="24"/>
          <w:szCs w:val="24"/>
        </w:rPr>
        <w:t xml:space="preserve"> services</w:t>
      </w:r>
      <w:r w:rsidR="000951E4">
        <w:rPr>
          <w:sz w:val="24"/>
          <w:szCs w:val="24"/>
        </w:rPr>
        <w:t xml:space="preserve"> (SSPs)</w:t>
      </w:r>
      <w:r>
        <w:rPr>
          <w:sz w:val="24"/>
          <w:szCs w:val="24"/>
        </w:rPr>
        <w:t>.</w:t>
      </w:r>
      <w:r w:rsidDel="00DE0547">
        <w:rPr>
          <w:sz w:val="24"/>
          <w:szCs w:val="24"/>
        </w:rPr>
        <w:t xml:space="preserve"> </w:t>
      </w:r>
      <w:r>
        <w:rPr>
          <w:sz w:val="24"/>
          <w:szCs w:val="24"/>
        </w:rPr>
        <w:t>This approach is similar, but distinct, from ChemCo’s product-led approach because, product and service</w:t>
      </w:r>
      <w:r w:rsidR="00BA3E7B">
        <w:rPr>
          <w:sz w:val="24"/>
          <w:szCs w:val="24"/>
        </w:rPr>
        <w:t>s</w:t>
      </w:r>
      <w:r>
        <w:rPr>
          <w:sz w:val="24"/>
          <w:szCs w:val="24"/>
        </w:rPr>
        <w:t xml:space="preserve"> sales are equally important</w:t>
      </w:r>
      <w:r w:rsidRPr="00791748">
        <w:rPr>
          <w:sz w:val="24"/>
          <w:szCs w:val="24"/>
        </w:rPr>
        <w:t xml:space="preserve">. </w:t>
      </w:r>
      <w:r>
        <w:rPr>
          <w:sz w:val="24"/>
          <w:szCs w:val="24"/>
        </w:rPr>
        <w:t>In retrenching,</w:t>
      </w:r>
      <w:r w:rsidRPr="00791748">
        <w:rPr>
          <w:sz w:val="24"/>
          <w:szCs w:val="24"/>
        </w:rPr>
        <w:t xml:space="preserve"> </w:t>
      </w:r>
      <w:r>
        <w:rPr>
          <w:sz w:val="24"/>
          <w:szCs w:val="24"/>
        </w:rPr>
        <w:t>TelCo has</w:t>
      </w:r>
      <w:r w:rsidRPr="00791748">
        <w:rPr>
          <w:sz w:val="24"/>
          <w:szCs w:val="24"/>
        </w:rPr>
        <w:t xml:space="preserve"> modularised service offer</w:t>
      </w:r>
      <w:r>
        <w:rPr>
          <w:sz w:val="24"/>
          <w:szCs w:val="24"/>
        </w:rPr>
        <w:t>ings</w:t>
      </w:r>
      <w:r w:rsidRPr="00791748">
        <w:rPr>
          <w:sz w:val="24"/>
          <w:szCs w:val="24"/>
        </w:rPr>
        <w:t xml:space="preserve"> into packages to control costs</w:t>
      </w:r>
      <w:r w:rsidR="00D70A20">
        <w:rPr>
          <w:sz w:val="24"/>
          <w:szCs w:val="24"/>
        </w:rPr>
        <w:t>;</w:t>
      </w:r>
      <w:r>
        <w:rPr>
          <w:sz w:val="24"/>
          <w:szCs w:val="24"/>
        </w:rPr>
        <w:t xml:space="preserve"> </w:t>
      </w:r>
      <w:r w:rsidR="007C219C">
        <w:rPr>
          <w:sz w:val="24"/>
          <w:szCs w:val="24"/>
        </w:rPr>
        <w:t>creating</w:t>
      </w:r>
      <w:r>
        <w:rPr>
          <w:sz w:val="24"/>
          <w:szCs w:val="24"/>
        </w:rPr>
        <w:t xml:space="preserve"> a more profitable service business, with recognition that ‘service-led’</w:t>
      </w:r>
      <w:r w:rsidRPr="00791748">
        <w:rPr>
          <w:sz w:val="24"/>
          <w:szCs w:val="24"/>
        </w:rPr>
        <w:t xml:space="preserve"> sales </w:t>
      </w:r>
      <w:r>
        <w:rPr>
          <w:sz w:val="24"/>
          <w:szCs w:val="24"/>
        </w:rPr>
        <w:t xml:space="preserve">in a product-attached mode </w:t>
      </w:r>
      <w:r w:rsidRPr="00791748">
        <w:rPr>
          <w:sz w:val="24"/>
          <w:szCs w:val="24"/>
        </w:rPr>
        <w:t>can deliver greater value</w:t>
      </w:r>
      <w:r>
        <w:rPr>
          <w:sz w:val="24"/>
          <w:szCs w:val="24"/>
        </w:rPr>
        <w:t xml:space="preserve"> by</w:t>
      </w:r>
      <w:r w:rsidRPr="00791748">
        <w:rPr>
          <w:sz w:val="24"/>
          <w:szCs w:val="24"/>
        </w:rPr>
        <w:t xml:space="preserve"> provid</w:t>
      </w:r>
      <w:r>
        <w:rPr>
          <w:sz w:val="24"/>
          <w:szCs w:val="24"/>
        </w:rPr>
        <w:t>ing</w:t>
      </w:r>
      <w:r w:rsidRPr="00791748">
        <w:rPr>
          <w:sz w:val="24"/>
          <w:szCs w:val="24"/>
        </w:rPr>
        <w:t xml:space="preserve"> ‘pull through’ </w:t>
      </w:r>
      <w:r>
        <w:rPr>
          <w:sz w:val="24"/>
          <w:szCs w:val="24"/>
        </w:rPr>
        <w:t>product demand</w:t>
      </w:r>
      <w:r w:rsidRPr="00791748">
        <w:rPr>
          <w:sz w:val="24"/>
          <w:szCs w:val="24"/>
        </w:rPr>
        <w:t xml:space="preserve">. </w:t>
      </w:r>
    </w:p>
    <w:p w14:paraId="00107AA7" w14:textId="77777777" w:rsidR="005D7AF2" w:rsidRDefault="005D7AF2" w:rsidP="005D7AF2">
      <w:pPr>
        <w:spacing w:after="0" w:line="480" w:lineRule="auto"/>
        <w:jc w:val="both"/>
        <w:rPr>
          <w:i/>
          <w:sz w:val="24"/>
          <w:szCs w:val="24"/>
        </w:rPr>
      </w:pPr>
    </w:p>
    <w:p w14:paraId="133E0973" w14:textId="79C000F1" w:rsidR="005D7AF2" w:rsidRDefault="005D7AF2" w:rsidP="005D7AF2">
      <w:pPr>
        <w:spacing w:after="0" w:line="480" w:lineRule="auto"/>
        <w:jc w:val="both"/>
        <w:rPr>
          <w:sz w:val="24"/>
          <w:szCs w:val="24"/>
        </w:rPr>
      </w:pPr>
      <w:r w:rsidRPr="00791748">
        <w:rPr>
          <w:sz w:val="24"/>
          <w:szCs w:val="24"/>
        </w:rPr>
        <w:t xml:space="preserve">AeroCo </w:t>
      </w:r>
      <w:r>
        <w:rPr>
          <w:sz w:val="24"/>
          <w:szCs w:val="24"/>
        </w:rPr>
        <w:t>attempted to build a services mind-set with a</w:t>
      </w:r>
      <w:r w:rsidRPr="00791748">
        <w:rPr>
          <w:sz w:val="24"/>
          <w:szCs w:val="24"/>
        </w:rPr>
        <w:t xml:space="preserve"> bias towards</w:t>
      </w:r>
      <w:r>
        <w:rPr>
          <w:sz w:val="24"/>
          <w:szCs w:val="24"/>
        </w:rPr>
        <w:t xml:space="preserve"> </w:t>
      </w:r>
      <w:r w:rsidRPr="00791748">
        <w:rPr>
          <w:sz w:val="24"/>
          <w:szCs w:val="24"/>
        </w:rPr>
        <w:t>the</w:t>
      </w:r>
      <w:r>
        <w:rPr>
          <w:sz w:val="24"/>
          <w:szCs w:val="24"/>
        </w:rPr>
        <w:t>ir</w:t>
      </w:r>
      <w:r w:rsidRPr="00791748">
        <w:rPr>
          <w:sz w:val="24"/>
          <w:szCs w:val="24"/>
        </w:rPr>
        <w:t xml:space="preserve"> own products</w:t>
      </w:r>
      <w:r>
        <w:rPr>
          <w:sz w:val="24"/>
          <w:szCs w:val="24"/>
        </w:rPr>
        <w:t>, but with recognition that, if their products hinder growth, they can look outside the organisation for solutions. AeroCo appear to maintain both a product- and service-led approach and have ended up with significant services growth</w:t>
      </w:r>
      <w:r w:rsidR="00553CC5">
        <w:rPr>
          <w:sz w:val="24"/>
          <w:szCs w:val="24"/>
        </w:rPr>
        <w:t>.</w:t>
      </w:r>
    </w:p>
    <w:p w14:paraId="4DFD3DC5" w14:textId="77777777" w:rsidR="005D7AF2" w:rsidRDefault="005D7AF2" w:rsidP="005D7AF2">
      <w:pPr>
        <w:spacing w:after="0" w:line="480" w:lineRule="auto"/>
        <w:jc w:val="both"/>
        <w:rPr>
          <w:sz w:val="24"/>
          <w:szCs w:val="24"/>
        </w:rPr>
      </w:pPr>
    </w:p>
    <w:p w14:paraId="2A0BA5BF" w14:textId="77777777" w:rsidR="00B137EE" w:rsidRDefault="005D7AF2" w:rsidP="005D7AF2">
      <w:pPr>
        <w:spacing w:after="0" w:line="480" w:lineRule="auto"/>
        <w:jc w:val="both"/>
        <w:rPr>
          <w:sz w:val="24"/>
          <w:szCs w:val="24"/>
        </w:rPr>
      </w:pPr>
      <w:r w:rsidRPr="00791748">
        <w:rPr>
          <w:rFonts w:ascii="Calibri" w:eastAsia="Calibri" w:hAnsi="Calibri" w:cs="Times New Roman"/>
          <w:sz w:val="24"/>
          <w:szCs w:val="24"/>
        </w:rPr>
        <w:t xml:space="preserve">What </w:t>
      </w:r>
      <w:r>
        <w:rPr>
          <w:rFonts w:ascii="Calibri" w:eastAsia="Calibri" w:hAnsi="Calibri" w:cs="Times New Roman"/>
          <w:sz w:val="24"/>
          <w:szCs w:val="24"/>
        </w:rPr>
        <w:t xml:space="preserve">is clear from these examples is that all manufacturers, even the enthusiasts, need to maintain some </w:t>
      </w:r>
      <w:r w:rsidRPr="00791748">
        <w:rPr>
          <w:rFonts w:ascii="Calibri" w:eastAsia="Calibri" w:hAnsi="Calibri" w:cs="Times New Roman"/>
          <w:sz w:val="24"/>
          <w:szCs w:val="24"/>
        </w:rPr>
        <w:t>focus on their core activities</w:t>
      </w:r>
      <w:r>
        <w:rPr>
          <w:rFonts w:ascii="Calibri" w:eastAsia="Calibri" w:hAnsi="Calibri" w:cs="Times New Roman"/>
          <w:sz w:val="24"/>
          <w:szCs w:val="24"/>
        </w:rPr>
        <w:t>; essentially to take a balanced approach to their strategic focus, rather than being either too product-led or too services-led, which can lead to ‘service overshoot’. Furthermore, the success of the approach appears to be affected by a firm’s ability to modularise their services and the variety of services required by customers.</w:t>
      </w:r>
      <w:r>
        <w:rPr>
          <w:sz w:val="24"/>
          <w:szCs w:val="24"/>
        </w:rPr>
        <w:t xml:space="preserve"> </w:t>
      </w:r>
    </w:p>
    <w:p w14:paraId="07379085" w14:textId="1E6FDC2E" w:rsidR="005D7AF2" w:rsidRPr="00712E23" w:rsidDel="00574728" w:rsidRDefault="00B137EE" w:rsidP="005D7AF2">
      <w:pPr>
        <w:spacing w:after="0" w:line="480" w:lineRule="auto"/>
        <w:jc w:val="both"/>
        <w:rPr>
          <w:sz w:val="24"/>
          <w:szCs w:val="24"/>
        </w:rPr>
      </w:pPr>
      <w:r>
        <w:rPr>
          <w:sz w:val="24"/>
          <w:szCs w:val="24"/>
        </w:rPr>
        <w:t xml:space="preserve">Notwithstanding the </w:t>
      </w:r>
      <w:r w:rsidR="00010D46">
        <w:rPr>
          <w:sz w:val="24"/>
          <w:szCs w:val="24"/>
        </w:rPr>
        <w:t>argument</w:t>
      </w:r>
      <w:r>
        <w:rPr>
          <w:sz w:val="24"/>
          <w:szCs w:val="24"/>
        </w:rPr>
        <w:t xml:space="preserve"> that servitization is not necessarily a journey from products to services</w:t>
      </w:r>
      <w:r w:rsidR="00D514D0">
        <w:rPr>
          <w:sz w:val="24"/>
          <w:szCs w:val="24"/>
        </w:rPr>
        <w:t xml:space="preserve"> for all firms</w:t>
      </w:r>
      <w:r>
        <w:rPr>
          <w:sz w:val="24"/>
          <w:szCs w:val="24"/>
        </w:rPr>
        <w:t xml:space="preserve">, it is clear from the cases </w:t>
      </w:r>
      <w:r w:rsidR="00D514D0">
        <w:rPr>
          <w:sz w:val="24"/>
          <w:szCs w:val="24"/>
        </w:rPr>
        <w:t xml:space="preserve">examined </w:t>
      </w:r>
      <w:r>
        <w:rPr>
          <w:sz w:val="24"/>
          <w:szCs w:val="24"/>
        </w:rPr>
        <w:t>that</w:t>
      </w:r>
      <w:r w:rsidR="00010D46">
        <w:rPr>
          <w:sz w:val="24"/>
          <w:szCs w:val="24"/>
        </w:rPr>
        <w:t>, in line with prior work</w:t>
      </w:r>
      <w:r w:rsidR="00791B1E">
        <w:rPr>
          <w:sz w:val="24"/>
          <w:szCs w:val="24"/>
        </w:rPr>
        <w:t xml:space="preserve"> (e.g</w:t>
      </w:r>
      <w:r w:rsidR="00791B1E" w:rsidRPr="00791B1E">
        <w:rPr>
          <w:sz w:val="24"/>
          <w:szCs w:val="24"/>
        </w:rPr>
        <w:t>.</w:t>
      </w:r>
      <w:r w:rsidR="00791B1E">
        <w:rPr>
          <w:sz w:val="24"/>
          <w:szCs w:val="24"/>
        </w:rPr>
        <w:t xml:space="preserve"> </w:t>
      </w:r>
      <w:r w:rsidR="00791B1E" w:rsidRPr="00791B1E">
        <w:rPr>
          <w:sz w:val="24"/>
          <w:szCs w:val="24"/>
        </w:rPr>
        <w:t xml:space="preserve">Fang </w:t>
      </w:r>
      <w:r w:rsidR="00791B1E" w:rsidRPr="00791B1E">
        <w:rPr>
          <w:i/>
          <w:sz w:val="24"/>
          <w:szCs w:val="24"/>
        </w:rPr>
        <w:t>et al</w:t>
      </w:r>
      <w:r w:rsidR="00791B1E" w:rsidRPr="00791B1E">
        <w:rPr>
          <w:sz w:val="24"/>
          <w:szCs w:val="24"/>
        </w:rPr>
        <w:t xml:space="preserve">., </w:t>
      </w:r>
      <w:r w:rsidR="00380773">
        <w:rPr>
          <w:sz w:val="24"/>
          <w:szCs w:val="24"/>
        </w:rPr>
        <w:t>[</w:t>
      </w:r>
      <w:r w:rsidR="00791B1E" w:rsidRPr="00791B1E">
        <w:rPr>
          <w:sz w:val="24"/>
          <w:szCs w:val="24"/>
        </w:rPr>
        <w:t>2008</w:t>
      </w:r>
      <w:r w:rsidR="00380773">
        <w:rPr>
          <w:sz w:val="24"/>
          <w:szCs w:val="24"/>
        </w:rPr>
        <w:t>]</w:t>
      </w:r>
      <w:r w:rsidR="00791B1E" w:rsidRPr="00791B1E">
        <w:rPr>
          <w:sz w:val="24"/>
          <w:szCs w:val="24"/>
        </w:rPr>
        <w:t>)</w:t>
      </w:r>
      <w:r w:rsidR="00010D46">
        <w:rPr>
          <w:sz w:val="24"/>
          <w:szCs w:val="24"/>
        </w:rPr>
        <w:t>,</w:t>
      </w:r>
      <w:r>
        <w:rPr>
          <w:sz w:val="24"/>
          <w:szCs w:val="24"/>
        </w:rPr>
        <w:t xml:space="preserve"> </w:t>
      </w:r>
      <w:r w:rsidR="00010D46">
        <w:rPr>
          <w:sz w:val="24"/>
          <w:szCs w:val="24"/>
        </w:rPr>
        <w:t>p</w:t>
      </w:r>
      <w:r>
        <w:rPr>
          <w:sz w:val="24"/>
          <w:szCs w:val="24"/>
        </w:rPr>
        <w:t xml:space="preserve">erformance is </w:t>
      </w:r>
      <w:r w:rsidR="00D514D0">
        <w:rPr>
          <w:sz w:val="24"/>
          <w:szCs w:val="24"/>
        </w:rPr>
        <w:t>expected</w:t>
      </w:r>
      <w:r>
        <w:rPr>
          <w:sz w:val="24"/>
          <w:szCs w:val="24"/>
        </w:rPr>
        <w:t xml:space="preserve"> to improve for firms adopting more servitized services strategies</w:t>
      </w:r>
      <w:r w:rsidR="00010D46">
        <w:rPr>
          <w:sz w:val="24"/>
          <w:szCs w:val="24"/>
        </w:rPr>
        <w:t xml:space="preserve">, </w:t>
      </w:r>
      <w:r w:rsidR="00D514D0">
        <w:rPr>
          <w:sz w:val="24"/>
          <w:szCs w:val="24"/>
        </w:rPr>
        <w:t xml:space="preserve">as these strategies enable the firm to gain market share and revenue, and build economies of scale and scope, </w:t>
      </w:r>
      <w:r>
        <w:rPr>
          <w:sz w:val="24"/>
          <w:szCs w:val="24"/>
        </w:rPr>
        <w:t xml:space="preserve">but only up to an optimum point, after which </w:t>
      </w:r>
      <w:r w:rsidR="00D514D0">
        <w:rPr>
          <w:sz w:val="24"/>
          <w:szCs w:val="24"/>
        </w:rPr>
        <w:t xml:space="preserve">performance may erode, due to such issues as operational complexity and services heterogeneity.  </w:t>
      </w:r>
      <w:r w:rsidR="005D7AF2" w:rsidDel="00574728">
        <w:rPr>
          <w:rFonts w:ascii="Calibri" w:eastAsia="Calibri" w:hAnsi="Calibri" w:cs="Times New Roman"/>
          <w:sz w:val="24"/>
          <w:szCs w:val="24"/>
        </w:rPr>
        <w:t xml:space="preserve">Thus, Proposition </w:t>
      </w:r>
      <w:r w:rsidR="009E7CA0">
        <w:rPr>
          <w:rFonts w:ascii="Calibri" w:eastAsia="Calibri" w:hAnsi="Calibri" w:cs="Times New Roman"/>
          <w:sz w:val="24"/>
          <w:szCs w:val="24"/>
        </w:rPr>
        <w:t>1</w:t>
      </w:r>
      <w:r w:rsidR="005D7AF2" w:rsidDel="00574728">
        <w:rPr>
          <w:rFonts w:ascii="Calibri" w:eastAsia="Calibri" w:hAnsi="Calibri" w:cs="Times New Roman"/>
          <w:sz w:val="24"/>
          <w:szCs w:val="24"/>
        </w:rPr>
        <w:t xml:space="preserve"> emerges:</w:t>
      </w:r>
    </w:p>
    <w:p w14:paraId="79AFF96E" w14:textId="56438B82" w:rsidR="005D7AF2" w:rsidDel="00574728" w:rsidRDefault="005D7AF2" w:rsidP="005D7AF2">
      <w:pPr>
        <w:spacing w:after="0" w:line="480" w:lineRule="auto"/>
        <w:jc w:val="both"/>
        <w:rPr>
          <w:rFonts w:ascii="Calibri" w:eastAsia="Calibri" w:hAnsi="Calibri" w:cs="Times New Roman"/>
          <w:sz w:val="24"/>
          <w:szCs w:val="24"/>
        </w:rPr>
      </w:pPr>
    </w:p>
    <w:p w14:paraId="6F00FD39" w14:textId="28B04153" w:rsidR="005D7AF2" w:rsidRPr="005B4007" w:rsidRDefault="005D7AF2" w:rsidP="005D7AF2">
      <w:pPr>
        <w:spacing w:after="0" w:line="480" w:lineRule="auto"/>
        <w:jc w:val="both"/>
        <w:rPr>
          <w:sz w:val="24"/>
          <w:szCs w:val="24"/>
        </w:rPr>
      </w:pPr>
      <w:r w:rsidRPr="005B08ED" w:rsidDel="00574728">
        <w:rPr>
          <w:rFonts w:ascii="Calibri" w:eastAsia="Calibri" w:hAnsi="Calibri" w:cs="Times New Roman"/>
          <w:sz w:val="24"/>
          <w:szCs w:val="24"/>
        </w:rPr>
        <w:t>P</w:t>
      </w:r>
      <w:r>
        <w:rPr>
          <w:rFonts w:ascii="Calibri" w:eastAsia="Calibri" w:hAnsi="Calibri" w:cs="Times New Roman"/>
          <w:sz w:val="24"/>
          <w:szCs w:val="24"/>
        </w:rPr>
        <w:t>1</w:t>
      </w:r>
      <w:r w:rsidRPr="005B08ED" w:rsidDel="00574728">
        <w:rPr>
          <w:rFonts w:ascii="Calibri" w:eastAsia="Calibri" w:hAnsi="Calibri" w:cs="Times New Roman"/>
          <w:sz w:val="24"/>
          <w:szCs w:val="24"/>
        </w:rPr>
        <w:t xml:space="preserve">: </w:t>
      </w:r>
      <w:r>
        <w:rPr>
          <w:rFonts w:ascii="Calibri" w:eastAsia="Calibri" w:hAnsi="Calibri" w:cs="Times New Roman"/>
          <w:sz w:val="24"/>
          <w:szCs w:val="24"/>
        </w:rPr>
        <w:t xml:space="preserve">The relationship between a firm’s </w:t>
      </w:r>
      <w:r w:rsidR="003A78B5">
        <w:rPr>
          <w:rFonts w:ascii="Calibri" w:eastAsia="Calibri" w:hAnsi="Calibri" w:cs="Times New Roman"/>
          <w:sz w:val="24"/>
          <w:szCs w:val="24"/>
        </w:rPr>
        <w:t>innovation mind-set</w:t>
      </w:r>
      <w:r>
        <w:rPr>
          <w:rFonts w:ascii="Calibri" w:eastAsia="Calibri" w:hAnsi="Calibri" w:cs="Times New Roman"/>
          <w:sz w:val="24"/>
          <w:szCs w:val="24"/>
        </w:rPr>
        <w:t xml:space="preserve"> and </w:t>
      </w:r>
      <w:r w:rsidR="003A78B5">
        <w:rPr>
          <w:rFonts w:ascii="Calibri" w:eastAsia="Calibri" w:hAnsi="Calibri" w:cs="Times New Roman"/>
          <w:sz w:val="24"/>
          <w:szCs w:val="24"/>
        </w:rPr>
        <w:t xml:space="preserve">servitization </w:t>
      </w:r>
      <w:r>
        <w:rPr>
          <w:rFonts w:ascii="Calibri" w:eastAsia="Calibri" w:hAnsi="Calibri" w:cs="Times New Roman"/>
          <w:sz w:val="24"/>
          <w:szCs w:val="24"/>
        </w:rPr>
        <w:t>performance is likely to be an inverted U shape, and likely to be moderated by the level of service</w:t>
      </w:r>
      <w:r w:rsidR="00BA3E7B">
        <w:rPr>
          <w:rFonts w:ascii="Calibri" w:eastAsia="Calibri" w:hAnsi="Calibri" w:cs="Times New Roman"/>
          <w:sz w:val="24"/>
          <w:szCs w:val="24"/>
        </w:rPr>
        <w:t>s</w:t>
      </w:r>
      <w:r>
        <w:rPr>
          <w:rFonts w:ascii="Calibri" w:eastAsia="Calibri" w:hAnsi="Calibri" w:cs="Times New Roman"/>
          <w:sz w:val="24"/>
          <w:szCs w:val="24"/>
        </w:rPr>
        <w:t xml:space="preserve"> heterogeneity</w:t>
      </w:r>
      <w:r w:rsidR="003A78B5">
        <w:rPr>
          <w:rFonts w:ascii="Calibri" w:eastAsia="Calibri" w:hAnsi="Calibri" w:cs="Times New Roman"/>
          <w:sz w:val="24"/>
          <w:szCs w:val="24"/>
        </w:rPr>
        <w:t>, organisational learning capabilities</w:t>
      </w:r>
      <w:r>
        <w:rPr>
          <w:rFonts w:ascii="Calibri" w:eastAsia="Calibri" w:hAnsi="Calibri" w:cs="Times New Roman"/>
          <w:sz w:val="24"/>
          <w:szCs w:val="24"/>
        </w:rPr>
        <w:t xml:space="preserve"> and the potential to modularise</w:t>
      </w:r>
      <w:r w:rsidDel="00574728">
        <w:rPr>
          <w:sz w:val="24"/>
          <w:szCs w:val="24"/>
        </w:rPr>
        <w:t>.</w:t>
      </w:r>
      <w:r w:rsidRPr="005B4007">
        <w:rPr>
          <w:sz w:val="24"/>
          <w:szCs w:val="24"/>
        </w:rPr>
        <w:t xml:space="preserve"> </w:t>
      </w:r>
    </w:p>
    <w:p w14:paraId="4255DC44" w14:textId="77777777" w:rsidR="005D7AF2" w:rsidRDefault="005D7AF2" w:rsidP="00211FB1">
      <w:pPr>
        <w:spacing w:after="0" w:line="480" w:lineRule="auto"/>
        <w:jc w:val="both"/>
        <w:rPr>
          <w:rFonts w:ascii="Calibri" w:eastAsia="Calibri" w:hAnsi="Calibri" w:cs="Arial"/>
          <w:i/>
          <w:sz w:val="24"/>
          <w:szCs w:val="24"/>
        </w:rPr>
      </w:pPr>
    </w:p>
    <w:p w14:paraId="155A7CE0" w14:textId="4A8FC7B8" w:rsidR="00211FB1" w:rsidRPr="00211FB1" w:rsidRDefault="00211FB1" w:rsidP="00211FB1">
      <w:pPr>
        <w:spacing w:after="0" w:line="480" w:lineRule="auto"/>
        <w:jc w:val="both"/>
        <w:rPr>
          <w:rFonts w:ascii="Calibri" w:eastAsia="Calibri" w:hAnsi="Calibri" w:cs="Arial"/>
          <w:i/>
          <w:sz w:val="24"/>
          <w:szCs w:val="24"/>
        </w:rPr>
      </w:pPr>
      <w:r w:rsidRPr="00211FB1">
        <w:rPr>
          <w:rFonts w:ascii="Calibri" w:eastAsia="Calibri" w:hAnsi="Calibri" w:cs="Arial"/>
          <w:i/>
          <w:sz w:val="24"/>
          <w:szCs w:val="24"/>
        </w:rPr>
        <w:t>4.</w:t>
      </w:r>
      <w:r w:rsidR="00010D46">
        <w:rPr>
          <w:rFonts w:ascii="Calibri" w:eastAsia="Calibri" w:hAnsi="Calibri" w:cs="Arial"/>
          <w:i/>
          <w:sz w:val="24"/>
          <w:szCs w:val="24"/>
        </w:rPr>
        <w:t>2</w:t>
      </w:r>
      <w:r w:rsidRPr="00211FB1">
        <w:rPr>
          <w:rFonts w:ascii="Calibri" w:eastAsia="Calibri" w:hAnsi="Calibri" w:cs="Arial"/>
          <w:i/>
          <w:sz w:val="24"/>
          <w:szCs w:val="24"/>
        </w:rPr>
        <w:t xml:space="preserve"> </w:t>
      </w:r>
      <w:r w:rsidR="000951E4">
        <w:rPr>
          <w:rFonts w:ascii="Calibri" w:eastAsia="Calibri" w:hAnsi="Calibri" w:cs="Arial"/>
          <w:i/>
          <w:sz w:val="24"/>
          <w:szCs w:val="24"/>
        </w:rPr>
        <w:t>NPD/</w:t>
      </w:r>
      <w:r w:rsidRPr="00211FB1">
        <w:rPr>
          <w:rFonts w:ascii="Calibri" w:eastAsia="Calibri" w:hAnsi="Calibri" w:cs="Arial"/>
          <w:i/>
          <w:sz w:val="24"/>
          <w:szCs w:val="24"/>
        </w:rPr>
        <w:t>NSD Processes</w:t>
      </w:r>
    </w:p>
    <w:p w14:paraId="7209E611" w14:textId="5EEB357B" w:rsidR="00211FB1" w:rsidRPr="00211FB1" w:rsidRDefault="00211FB1" w:rsidP="00211FB1">
      <w:pPr>
        <w:spacing w:after="0" w:line="480" w:lineRule="auto"/>
        <w:jc w:val="both"/>
        <w:rPr>
          <w:rFonts w:ascii="Calibri" w:eastAsia="Calibri" w:hAnsi="Calibri" w:cs="Arial"/>
          <w:sz w:val="24"/>
          <w:szCs w:val="24"/>
        </w:rPr>
      </w:pPr>
      <w:r w:rsidRPr="00211FB1">
        <w:rPr>
          <w:rFonts w:ascii="Calibri" w:eastAsia="Calibri" w:hAnsi="Calibri" w:cs="Arial"/>
          <w:sz w:val="24"/>
          <w:szCs w:val="24"/>
        </w:rPr>
        <w:t xml:space="preserve">Developing effective NSD processes is a key challenge outlined in extant literature (e.g., Matthyssens </w:t>
      </w:r>
      <w:r w:rsidR="00F00B0C">
        <w:rPr>
          <w:rFonts w:ascii="Calibri" w:eastAsia="Calibri" w:hAnsi="Calibri" w:cs="Arial"/>
          <w:sz w:val="24"/>
          <w:szCs w:val="24"/>
        </w:rPr>
        <w:t>&amp;</w:t>
      </w:r>
      <w:r w:rsidRPr="00211FB1">
        <w:rPr>
          <w:rFonts w:ascii="Calibri" w:eastAsia="Calibri" w:hAnsi="Calibri" w:cs="Arial"/>
          <w:sz w:val="24"/>
          <w:szCs w:val="24"/>
        </w:rPr>
        <w:t xml:space="preserve"> Vandenbempt, 2008). </w:t>
      </w:r>
      <w:r w:rsidR="00437A56">
        <w:rPr>
          <w:rFonts w:ascii="Calibri" w:eastAsia="Calibri" w:hAnsi="Calibri" w:cs="Arial"/>
          <w:sz w:val="24"/>
          <w:szCs w:val="24"/>
        </w:rPr>
        <w:t>Interestingly</w:t>
      </w:r>
      <w:r w:rsidRPr="00211FB1">
        <w:rPr>
          <w:rFonts w:ascii="Calibri" w:eastAsia="Calibri" w:hAnsi="Calibri" w:cs="Arial"/>
          <w:sz w:val="24"/>
          <w:szCs w:val="24"/>
        </w:rPr>
        <w:t>, all four firms utilise pre-existing NPD processes for NSD rather than developing specific NSD processes</w:t>
      </w:r>
      <w:r w:rsidR="00437A56">
        <w:rPr>
          <w:rFonts w:ascii="Calibri" w:eastAsia="Calibri" w:hAnsi="Calibri" w:cs="Arial"/>
          <w:sz w:val="24"/>
          <w:szCs w:val="24"/>
        </w:rPr>
        <w:t xml:space="preserve">, which appears to contradict extant NSD research (e.g. Ettlie </w:t>
      </w:r>
      <w:r w:rsidR="00F00B0C">
        <w:rPr>
          <w:rFonts w:ascii="Calibri" w:eastAsia="Calibri" w:hAnsi="Calibri" w:cs="Arial"/>
          <w:sz w:val="24"/>
          <w:szCs w:val="24"/>
        </w:rPr>
        <w:t>&amp;</w:t>
      </w:r>
      <w:r w:rsidR="00437A56">
        <w:rPr>
          <w:rFonts w:ascii="Calibri" w:eastAsia="Calibri" w:hAnsi="Calibri" w:cs="Arial"/>
          <w:sz w:val="24"/>
          <w:szCs w:val="24"/>
        </w:rPr>
        <w:t xml:space="preserve"> Rosenthal, 2011; </w:t>
      </w:r>
      <w:r w:rsidR="00D8600B">
        <w:rPr>
          <w:rFonts w:ascii="Calibri" w:eastAsia="Calibri" w:hAnsi="Calibri" w:cs="Arial"/>
          <w:sz w:val="24"/>
          <w:szCs w:val="24"/>
        </w:rPr>
        <w:t xml:space="preserve">de </w:t>
      </w:r>
      <w:r w:rsidR="00437A56">
        <w:rPr>
          <w:rFonts w:ascii="Calibri" w:eastAsia="Calibri" w:hAnsi="Calibri" w:cs="Arial"/>
          <w:sz w:val="24"/>
          <w:szCs w:val="24"/>
        </w:rPr>
        <w:t xml:space="preserve">Jong </w:t>
      </w:r>
      <w:r w:rsidR="00F00B0C">
        <w:rPr>
          <w:rFonts w:ascii="Calibri" w:eastAsia="Calibri" w:hAnsi="Calibri" w:cs="Arial"/>
          <w:sz w:val="24"/>
          <w:szCs w:val="24"/>
        </w:rPr>
        <w:t>&amp;</w:t>
      </w:r>
      <w:r w:rsidR="00437A56">
        <w:rPr>
          <w:rFonts w:ascii="Calibri" w:eastAsia="Calibri" w:hAnsi="Calibri" w:cs="Arial"/>
          <w:sz w:val="24"/>
          <w:szCs w:val="24"/>
        </w:rPr>
        <w:t xml:space="preserve"> Vermeulen, 2003) that services require different NSD processes</w:t>
      </w:r>
      <w:r w:rsidRPr="00211FB1">
        <w:rPr>
          <w:rFonts w:ascii="Calibri" w:eastAsia="Calibri" w:hAnsi="Calibri" w:cs="Arial"/>
          <w:sz w:val="24"/>
          <w:szCs w:val="24"/>
        </w:rPr>
        <w:t>. TelCo and AeroCo, as experienced innovators, have clear, detailed stage-gate processes used for both products and services, incorporating different processes for different complexities of products/services, with different approval processes, in line with Cooper’s (2008) ‘lite’, ‘express’ and ‘full’ processes. However, TelCo, while noting that it can easily cope with different innovation types, recognises the importance of the ‘middle’ ground for creating services that are differentiated but also standardised</w:t>
      </w:r>
      <w:r w:rsidR="00891B84">
        <w:rPr>
          <w:rFonts w:ascii="Calibri" w:eastAsia="Calibri" w:hAnsi="Calibri" w:cs="Arial"/>
          <w:sz w:val="24"/>
          <w:szCs w:val="24"/>
        </w:rPr>
        <w:t xml:space="preserve"> and thus restricts which new ser</w:t>
      </w:r>
      <w:r w:rsidR="00D45999">
        <w:rPr>
          <w:rFonts w:ascii="Calibri" w:eastAsia="Calibri" w:hAnsi="Calibri" w:cs="Arial"/>
          <w:sz w:val="24"/>
          <w:szCs w:val="24"/>
        </w:rPr>
        <w:t>vic</w:t>
      </w:r>
      <w:r w:rsidR="00891B84">
        <w:rPr>
          <w:rFonts w:ascii="Calibri" w:eastAsia="Calibri" w:hAnsi="Calibri" w:cs="Arial"/>
          <w:sz w:val="24"/>
          <w:szCs w:val="24"/>
        </w:rPr>
        <w:t>e</w:t>
      </w:r>
      <w:r w:rsidR="00BA3E7B">
        <w:rPr>
          <w:rFonts w:ascii="Calibri" w:eastAsia="Calibri" w:hAnsi="Calibri" w:cs="Arial"/>
          <w:sz w:val="24"/>
          <w:szCs w:val="24"/>
        </w:rPr>
        <w:t>s</w:t>
      </w:r>
      <w:r w:rsidR="00891B84">
        <w:rPr>
          <w:rFonts w:ascii="Calibri" w:eastAsia="Calibri" w:hAnsi="Calibri" w:cs="Arial"/>
          <w:sz w:val="24"/>
          <w:szCs w:val="24"/>
        </w:rPr>
        <w:t xml:space="preserve"> are progressed</w:t>
      </w:r>
      <w:r w:rsidRPr="00211FB1">
        <w:rPr>
          <w:rFonts w:ascii="Calibri" w:eastAsia="Calibri" w:hAnsi="Calibri" w:cs="Arial"/>
          <w:sz w:val="24"/>
          <w:szCs w:val="24"/>
        </w:rPr>
        <w:t xml:space="preserve">. Of the two Enthusiasts, TelCo has the most developed NSD practices, with services constructed in terms of which elements are provided centrally, regionally or globally; the global role is critical because it drives cost efficiencies through standardisation. </w:t>
      </w:r>
    </w:p>
    <w:p w14:paraId="00CC113E" w14:textId="77777777" w:rsidR="00211FB1" w:rsidRPr="00211FB1" w:rsidRDefault="00211FB1" w:rsidP="00211FB1">
      <w:pPr>
        <w:spacing w:after="0" w:line="480" w:lineRule="auto"/>
        <w:jc w:val="both"/>
        <w:rPr>
          <w:rFonts w:ascii="Calibri" w:eastAsia="Calibri" w:hAnsi="Calibri" w:cs="Arial"/>
          <w:sz w:val="24"/>
          <w:szCs w:val="24"/>
        </w:rPr>
      </w:pPr>
    </w:p>
    <w:p w14:paraId="2FBE1CC4" w14:textId="2A8F801A" w:rsidR="00211FB1" w:rsidRPr="00211FB1" w:rsidRDefault="00211FB1" w:rsidP="00211FB1">
      <w:pPr>
        <w:spacing w:after="0" w:line="480" w:lineRule="auto"/>
        <w:jc w:val="both"/>
        <w:rPr>
          <w:rFonts w:ascii="Calibri" w:eastAsia="Calibri" w:hAnsi="Calibri" w:cs="Arial"/>
          <w:sz w:val="24"/>
          <w:szCs w:val="24"/>
        </w:rPr>
      </w:pPr>
      <w:r w:rsidRPr="00211FB1">
        <w:rPr>
          <w:rFonts w:ascii="Calibri" w:eastAsia="Calibri" w:hAnsi="Calibri" w:cs="Arial"/>
          <w:sz w:val="24"/>
          <w:szCs w:val="24"/>
        </w:rPr>
        <w:t xml:space="preserve">Another key innovation issue relates to progressing good ideas through the process. While stage-gate processes are well-recognised as fundamental to successful innovation, they have some issues related to application; e.g., balancing the strength of the gates (Cooper, 2008). ChemCo, with its more informal process, has no issues with progressing projects. AeroCo seems to have a good balance between creativity and gate reviews, allowing staff creative space to work on important ideas </w:t>
      </w:r>
      <w:r w:rsidR="00891B84">
        <w:rPr>
          <w:rFonts w:ascii="Calibri" w:eastAsia="Calibri" w:hAnsi="Calibri" w:cs="Arial"/>
          <w:sz w:val="24"/>
          <w:szCs w:val="24"/>
        </w:rPr>
        <w:t xml:space="preserve">that facilitate responsiveness to customer problems, </w:t>
      </w:r>
      <w:r w:rsidRPr="00211FB1">
        <w:rPr>
          <w:rFonts w:ascii="Calibri" w:eastAsia="Calibri" w:hAnsi="Calibri" w:cs="Arial"/>
          <w:sz w:val="24"/>
          <w:szCs w:val="24"/>
        </w:rPr>
        <w:t>until they create a plausible case for review</w:t>
      </w:r>
      <w:r w:rsidR="002D16B0">
        <w:rPr>
          <w:rFonts w:ascii="Calibri" w:eastAsia="Calibri" w:hAnsi="Calibri" w:cs="Arial"/>
          <w:sz w:val="24"/>
          <w:szCs w:val="24"/>
        </w:rPr>
        <w:t>; in a sense these can be seen as ‘customer champions’</w:t>
      </w:r>
      <w:r w:rsidRPr="00211FB1">
        <w:rPr>
          <w:rFonts w:ascii="Calibri" w:eastAsia="Calibri" w:hAnsi="Calibri" w:cs="Arial"/>
          <w:sz w:val="24"/>
          <w:szCs w:val="24"/>
        </w:rPr>
        <w:t>. SecurCo appea</w:t>
      </w:r>
      <w:r w:rsidR="008F7FCD">
        <w:rPr>
          <w:rFonts w:ascii="Calibri" w:eastAsia="Calibri" w:hAnsi="Calibri" w:cs="Arial"/>
          <w:sz w:val="24"/>
          <w:szCs w:val="24"/>
        </w:rPr>
        <w:t>rs to have lots of great ‘value-</w:t>
      </w:r>
      <w:r w:rsidRPr="00211FB1">
        <w:rPr>
          <w:rFonts w:ascii="Calibri" w:eastAsia="Calibri" w:hAnsi="Calibri" w:cs="Arial"/>
          <w:sz w:val="24"/>
          <w:szCs w:val="24"/>
        </w:rPr>
        <w:t xml:space="preserve">add’ ideas, often raised by customers, but fails to progress them. </w:t>
      </w:r>
      <w:r w:rsidR="008871B0" w:rsidRPr="00211FB1">
        <w:rPr>
          <w:rFonts w:ascii="Calibri" w:eastAsia="Calibri" w:hAnsi="Calibri" w:cs="Arial"/>
          <w:sz w:val="24"/>
          <w:szCs w:val="24"/>
        </w:rPr>
        <w:t xml:space="preserve">Interestingly, ChemCo </w:t>
      </w:r>
      <w:r w:rsidR="008871B0">
        <w:rPr>
          <w:rFonts w:ascii="Calibri" w:eastAsia="Calibri" w:hAnsi="Calibri" w:cs="Arial"/>
          <w:sz w:val="24"/>
          <w:szCs w:val="24"/>
        </w:rPr>
        <w:t xml:space="preserve">appears </w:t>
      </w:r>
      <w:r w:rsidR="008871B0" w:rsidRPr="00211FB1">
        <w:rPr>
          <w:rFonts w:ascii="Calibri" w:eastAsia="Calibri" w:hAnsi="Calibri" w:cs="Arial"/>
          <w:sz w:val="24"/>
          <w:szCs w:val="24"/>
        </w:rPr>
        <w:t>the most customer-focused</w:t>
      </w:r>
      <w:r w:rsidR="008871B0">
        <w:rPr>
          <w:rFonts w:ascii="Calibri" w:eastAsia="Calibri" w:hAnsi="Calibri" w:cs="Arial"/>
          <w:sz w:val="24"/>
          <w:szCs w:val="24"/>
        </w:rPr>
        <w:t xml:space="preserve"> organisation out of our four cases</w:t>
      </w:r>
      <w:r w:rsidR="008871B0" w:rsidRPr="00211FB1">
        <w:rPr>
          <w:rFonts w:ascii="Calibri" w:eastAsia="Calibri" w:hAnsi="Calibri" w:cs="Arial"/>
          <w:sz w:val="24"/>
          <w:szCs w:val="24"/>
        </w:rPr>
        <w:t>, having a culture of innovating with customers, potentially because of the specialist nature of its products and services</w:t>
      </w:r>
      <w:r w:rsidR="008871B0">
        <w:rPr>
          <w:rFonts w:ascii="Calibri" w:eastAsia="Calibri" w:hAnsi="Calibri" w:cs="Arial"/>
          <w:sz w:val="24"/>
          <w:szCs w:val="24"/>
        </w:rPr>
        <w:t xml:space="preserve">. </w:t>
      </w:r>
      <w:r w:rsidR="008871B0" w:rsidRPr="00A64625">
        <w:rPr>
          <w:rFonts w:ascii="Calibri" w:eastAsia="Calibri" w:hAnsi="Calibri" w:cs="Arial"/>
          <w:sz w:val="24"/>
          <w:szCs w:val="24"/>
        </w:rPr>
        <w:t xml:space="preserve"> </w:t>
      </w:r>
      <w:r w:rsidRPr="00211FB1">
        <w:rPr>
          <w:rFonts w:ascii="Calibri" w:eastAsia="Calibri" w:hAnsi="Calibri" w:cs="Arial"/>
          <w:sz w:val="24"/>
          <w:szCs w:val="24"/>
        </w:rPr>
        <w:t>Telco highlights some problems with controls that were put in place as part of the strategic consolidation process, with the innovation pipeline stifled by gate approval limits.</w:t>
      </w:r>
      <w:r w:rsidRPr="00211FB1">
        <w:rPr>
          <w:rFonts w:ascii="Calibri" w:eastAsia="Calibri" w:hAnsi="Calibri" w:cs="Arial"/>
          <w:i/>
          <w:sz w:val="24"/>
          <w:szCs w:val="24"/>
        </w:rPr>
        <w:t xml:space="preserve"> </w:t>
      </w:r>
      <w:r w:rsidRPr="00211FB1">
        <w:rPr>
          <w:rFonts w:ascii="Calibri" w:eastAsia="Calibri" w:hAnsi="Calibri" w:cs="Arial"/>
          <w:sz w:val="24"/>
          <w:szCs w:val="24"/>
        </w:rPr>
        <w:t xml:space="preserve">However, in line with AeroCo, once TelCo had consolidated the new product-attached strategy, these limits were relaxed to improve prospects of developing more innovative services. Both TelCo and AeroCo ensure managers on gate committees understand services as this appears key to enabling services growth. All the evidence points to better NSD outcomes stemming from </w:t>
      </w:r>
      <w:r w:rsidR="00051F59">
        <w:rPr>
          <w:rFonts w:ascii="Calibri" w:eastAsia="Calibri" w:hAnsi="Calibri" w:cs="Arial"/>
          <w:sz w:val="24"/>
          <w:szCs w:val="24"/>
        </w:rPr>
        <w:t xml:space="preserve">firms having </w:t>
      </w:r>
      <w:r w:rsidRPr="00211FB1">
        <w:rPr>
          <w:rFonts w:ascii="Calibri" w:eastAsia="Calibri" w:hAnsi="Calibri" w:cs="Arial"/>
          <w:sz w:val="24"/>
          <w:szCs w:val="24"/>
        </w:rPr>
        <w:t>formal, but flexible and/or creative, processes driven by strategy and involving a cross-functional team.</w:t>
      </w:r>
      <w:r w:rsidR="008A2409">
        <w:rPr>
          <w:rFonts w:ascii="Calibri" w:eastAsia="Calibri" w:hAnsi="Calibri" w:cs="Arial"/>
          <w:sz w:val="24"/>
          <w:szCs w:val="24"/>
        </w:rPr>
        <w:t xml:space="preserve"> SecurCo are too restrictive,</w:t>
      </w:r>
      <w:r w:rsidR="00437A56">
        <w:rPr>
          <w:rFonts w:ascii="Calibri" w:eastAsia="Calibri" w:hAnsi="Calibri" w:cs="Arial"/>
          <w:sz w:val="24"/>
          <w:szCs w:val="24"/>
        </w:rPr>
        <w:t xml:space="preserve"> Telco created too many restrictions, realised that these were hindering growth, and are now building flexibility back in to their NSD process, whereas ChemCo and AeroCo describe their processes as flexible/adaptable.</w:t>
      </w:r>
      <w:r w:rsidRPr="00211FB1">
        <w:rPr>
          <w:rFonts w:ascii="Calibri" w:eastAsia="Calibri" w:hAnsi="Calibri" w:cs="Arial"/>
          <w:sz w:val="24"/>
          <w:szCs w:val="24"/>
        </w:rPr>
        <w:t xml:space="preserve"> Thus, we propose:</w:t>
      </w:r>
    </w:p>
    <w:p w14:paraId="2B62493F" w14:textId="77777777" w:rsidR="00211FB1" w:rsidRPr="00211FB1" w:rsidRDefault="00211FB1" w:rsidP="00211FB1">
      <w:pPr>
        <w:spacing w:after="0" w:line="480" w:lineRule="auto"/>
        <w:jc w:val="both"/>
        <w:rPr>
          <w:rFonts w:ascii="Calibri" w:eastAsia="Calibri" w:hAnsi="Calibri" w:cs="Arial"/>
          <w:sz w:val="24"/>
          <w:szCs w:val="24"/>
        </w:rPr>
      </w:pPr>
    </w:p>
    <w:p w14:paraId="74A0C425" w14:textId="76CC3BD8" w:rsidR="00211FB1" w:rsidRPr="00211FB1" w:rsidRDefault="00211FB1" w:rsidP="00211FB1">
      <w:pPr>
        <w:spacing w:after="0" w:line="480" w:lineRule="auto"/>
        <w:jc w:val="both"/>
        <w:rPr>
          <w:rFonts w:ascii="Calibri" w:eastAsia="Calibri" w:hAnsi="Calibri" w:cs="Arial"/>
          <w:sz w:val="24"/>
          <w:szCs w:val="24"/>
        </w:rPr>
      </w:pPr>
      <w:r w:rsidRPr="00211FB1">
        <w:rPr>
          <w:rFonts w:ascii="Calibri" w:eastAsia="Calibri" w:hAnsi="Calibri" w:cs="Arial"/>
          <w:sz w:val="24"/>
          <w:szCs w:val="24"/>
        </w:rPr>
        <w:t>P</w:t>
      </w:r>
      <w:r w:rsidR="00010D46">
        <w:rPr>
          <w:rFonts w:ascii="Calibri" w:eastAsia="Calibri" w:hAnsi="Calibri" w:cs="Arial"/>
          <w:sz w:val="24"/>
          <w:szCs w:val="24"/>
        </w:rPr>
        <w:t>2</w:t>
      </w:r>
      <w:r w:rsidRPr="00211FB1">
        <w:rPr>
          <w:rFonts w:ascii="Calibri" w:eastAsia="Calibri" w:hAnsi="Calibri" w:cs="Arial"/>
          <w:sz w:val="24"/>
          <w:szCs w:val="24"/>
        </w:rPr>
        <w:t xml:space="preserve">: </w:t>
      </w:r>
      <w:r w:rsidR="008A2409">
        <w:rPr>
          <w:rFonts w:ascii="Calibri" w:eastAsia="Calibri" w:hAnsi="Calibri" w:cs="Arial"/>
          <w:sz w:val="24"/>
          <w:szCs w:val="24"/>
        </w:rPr>
        <w:t>Across all services strategies, developing s</w:t>
      </w:r>
      <w:r w:rsidRPr="00211FB1">
        <w:rPr>
          <w:rFonts w:ascii="Calibri" w:eastAsia="Calibri" w:hAnsi="Calibri" w:cs="Arial"/>
          <w:sz w:val="24"/>
          <w:szCs w:val="24"/>
        </w:rPr>
        <w:t>pecialised NSD processes do</w:t>
      </w:r>
      <w:r w:rsidR="008A2409">
        <w:rPr>
          <w:rFonts w:ascii="Calibri" w:eastAsia="Calibri" w:hAnsi="Calibri" w:cs="Arial"/>
          <w:sz w:val="24"/>
          <w:szCs w:val="24"/>
        </w:rPr>
        <w:t>es</w:t>
      </w:r>
      <w:r w:rsidRPr="00211FB1">
        <w:rPr>
          <w:rFonts w:ascii="Calibri" w:eastAsia="Calibri" w:hAnsi="Calibri" w:cs="Arial"/>
          <w:sz w:val="24"/>
          <w:szCs w:val="24"/>
        </w:rPr>
        <w:t xml:space="preserve"> not improve NSD success over </w:t>
      </w:r>
      <w:r w:rsidR="008A2409">
        <w:rPr>
          <w:rFonts w:ascii="Calibri" w:eastAsia="Calibri" w:hAnsi="Calibri" w:cs="Arial"/>
          <w:sz w:val="24"/>
          <w:szCs w:val="24"/>
        </w:rPr>
        <w:t xml:space="preserve">the adoption of </w:t>
      </w:r>
      <w:r w:rsidRPr="00211FB1">
        <w:rPr>
          <w:rFonts w:ascii="Calibri" w:eastAsia="Calibri" w:hAnsi="Calibri" w:cs="Arial"/>
          <w:sz w:val="24"/>
          <w:szCs w:val="24"/>
        </w:rPr>
        <w:t>more traditional NPD stage-gate processes.</w:t>
      </w:r>
    </w:p>
    <w:p w14:paraId="5691C839" w14:textId="6D0C2D10" w:rsidR="00211FB1" w:rsidRDefault="00211FB1" w:rsidP="00211FB1">
      <w:pPr>
        <w:spacing w:after="0" w:line="480" w:lineRule="auto"/>
        <w:jc w:val="both"/>
        <w:rPr>
          <w:rFonts w:ascii="Calibri" w:eastAsia="Calibri" w:hAnsi="Calibri" w:cs="Arial"/>
          <w:sz w:val="24"/>
          <w:szCs w:val="24"/>
        </w:rPr>
      </w:pPr>
      <w:r w:rsidRPr="00211FB1">
        <w:rPr>
          <w:rFonts w:ascii="Calibri" w:eastAsia="Calibri" w:hAnsi="Calibri" w:cs="Arial"/>
          <w:sz w:val="24"/>
          <w:szCs w:val="24"/>
        </w:rPr>
        <w:t>P</w:t>
      </w:r>
      <w:r w:rsidR="00010D46">
        <w:rPr>
          <w:rFonts w:ascii="Calibri" w:eastAsia="Calibri" w:hAnsi="Calibri" w:cs="Arial"/>
          <w:sz w:val="24"/>
          <w:szCs w:val="24"/>
        </w:rPr>
        <w:t>3</w:t>
      </w:r>
      <w:r w:rsidRPr="00211FB1">
        <w:rPr>
          <w:rFonts w:ascii="Calibri" w:eastAsia="Calibri" w:hAnsi="Calibri" w:cs="Arial"/>
          <w:sz w:val="24"/>
          <w:szCs w:val="24"/>
        </w:rPr>
        <w:t xml:space="preserve">: </w:t>
      </w:r>
      <w:r w:rsidR="008A2409">
        <w:rPr>
          <w:rFonts w:ascii="Calibri" w:eastAsia="Calibri" w:hAnsi="Calibri" w:cs="Arial"/>
          <w:sz w:val="24"/>
          <w:szCs w:val="24"/>
        </w:rPr>
        <w:t xml:space="preserve">NPD and </w:t>
      </w:r>
      <w:r w:rsidRPr="00211FB1">
        <w:rPr>
          <w:rFonts w:ascii="Calibri" w:eastAsia="Calibri" w:hAnsi="Calibri" w:cs="Arial"/>
          <w:sz w:val="24"/>
          <w:szCs w:val="24"/>
        </w:rPr>
        <w:t>NSD efforts are more effective when gate review members have services knowledge</w:t>
      </w:r>
      <w:r w:rsidR="008A2409">
        <w:rPr>
          <w:rFonts w:ascii="Calibri" w:eastAsia="Calibri" w:hAnsi="Calibri" w:cs="Arial"/>
          <w:sz w:val="24"/>
          <w:szCs w:val="24"/>
        </w:rPr>
        <w:t xml:space="preserve"> and when there is </w:t>
      </w:r>
      <w:r w:rsidR="003A78B5">
        <w:rPr>
          <w:rFonts w:ascii="Calibri" w:eastAsia="Calibri" w:hAnsi="Calibri" w:cs="Arial"/>
          <w:sz w:val="24"/>
          <w:szCs w:val="24"/>
        </w:rPr>
        <w:t>greater</w:t>
      </w:r>
      <w:r w:rsidR="008A2409">
        <w:rPr>
          <w:rFonts w:ascii="Calibri" w:eastAsia="Calibri" w:hAnsi="Calibri" w:cs="Arial"/>
          <w:sz w:val="24"/>
          <w:szCs w:val="24"/>
        </w:rPr>
        <w:t xml:space="preserve"> flexibility/creativity allowed</w:t>
      </w:r>
      <w:r w:rsidR="00437A56">
        <w:rPr>
          <w:rFonts w:ascii="Calibri" w:eastAsia="Calibri" w:hAnsi="Calibri" w:cs="Arial"/>
          <w:sz w:val="24"/>
          <w:szCs w:val="24"/>
        </w:rPr>
        <w:t xml:space="preserve"> but these effects are more pronounced for more servitized services strategies</w:t>
      </w:r>
      <w:r w:rsidRPr="00211FB1">
        <w:rPr>
          <w:rFonts w:ascii="Calibri" w:eastAsia="Calibri" w:hAnsi="Calibri" w:cs="Arial"/>
          <w:sz w:val="24"/>
          <w:szCs w:val="24"/>
        </w:rPr>
        <w:t>.</w:t>
      </w:r>
    </w:p>
    <w:p w14:paraId="14B44B62" w14:textId="22BED027" w:rsidR="006A5ADD" w:rsidRPr="00211FB1" w:rsidRDefault="006A5ADD" w:rsidP="00211FB1">
      <w:pPr>
        <w:spacing w:after="0" w:line="480" w:lineRule="auto"/>
        <w:jc w:val="both"/>
        <w:rPr>
          <w:rFonts w:ascii="Calibri" w:eastAsia="Calibri" w:hAnsi="Calibri" w:cs="Arial"/>
          <w:sz w:val="24"/>
          <w:szCs w:val="24"/>
        </w:rPr>
      </w:pPr>
      <w:r>
        <w:rPr>
          <w:rFonts w:ascii="Calibri" w:eastAsia="Calibri" w:hAnsi="Calibri" w:cs="Arial"/>
          <w:sz w:val="24"/>
          <w:szCs w:val="24"/>
        </w:rPr>
        <w:t>P4: Across all services strategies customer champions representing the voice of the customer improve NSD success but the effect is more pronounced when services are more specialised.</w:t>
      </w:r>
    </w:p>
    <w:p w14:paraId="31BB0FD8" w14:textId="77777777" w:rsidR="00211FB1" w:rsidRPr="00211FB1" w:rsidRDefault="00211FB1" w:rsidP="00211FB1">
      <w:pPr>
        <w:spacing w:after="0" w:line="480" w:lineRule="auto"/>
        <w:jc w:val="both"/>
        <w:rPr>
          <w:rFonts w:ascii="Calibri" w:eastAsia="Calibri" w:hAnsi="Calibri" w:cs="Arial"/>
          <w:sz w:val="24"/>
          <w:szCs w:val="24"/>
        </w:rPr>
      </w:pPr>
    </w:p>
    <w:p w14:paraId="705BA2D7" w14:textId="19471D86" w:rsidR="00211FB1" w:rsidRPr="00211FB1" w:rsidRDefault="00211FB1" w:rsidP="00211FB1">
      <w:pPr>
        <w:spacing w:after="0" w:line="480" w:lineRule="auto"/>
        <w:jc w:val="both"/>
        <w:rPr>
          <w:rFonts w:ascii="Calibri" w:eastAsia="Calibri" w:hAnsi="Calibri" w:cs="Arial"/>
          <w:i/>
          <w:sz w:val="24"/>
          <w:szCs w:val="24"/>
        </w:rPr>
      </w:pPr>
      <w:r w:rsidRPr="00211FB1">
        <w:rPr>
          <w:rFonts w:ascii="Calibri" w:eastAsia="Calibri" w:hAnsi="Calibri" w:cs="Arial"/>
          <w:i/>
          <w:sz w:val="24"/>
          <w:szCs w:val="24"/>
        </w:rPr>
        <w:t>4.</w:t>
      </w:r>
      <w:r w:rsidR="00010D46">
        <w:rPr>
          <w:rFonts w:ascii="Calibri" w:eastAsia="Calibri" w:hAnsi="Calibri" w:cs="Arial"/>
          <w:i/>
          <w:sz w:val="24"/>
          <w:szCs w:val="24"/>
        </w:rPr>
        <w:t>3</w:t>
      </w:r>
      <w:r w:rsidRPr="00211FB1">
        <w:rPr>
          <w:rFonts w:ascii="Calibri" w:eastAsia="Calibri" w:hAnsi="Calibri" w:cs="Arial"/>
          <w:i/>
          <w:sz w:val="24"/>
          <w:szCs w:val="24"/>
        </w:rPr>
        <w:t xml:space="preserve"> Connections between NPD and NSD</w:t>
      </w:r>
    </w:p>
    <w:p w14:paraId="6923A354" w14:textId="0CC6E5B9" w:rsidR="00211FB1" w:rsidRPr="00211FB1" w:rsidRDefault="00211FB1" w:rsidP="00211FB1">
      <w:pPr>
        <w:spacing w:after="0" w:line="480" w:lineRule="auto"/>
        <w:jc w:val="both"/>
        <w:rPr>
          <w:rFonts w:ascii="Calibri" w:eastAsia="Calibri" w:hAnsi="Calibri" w:cs="Arial"/>
          <w:sz w:val="24"/>
          <w:szCs w:val="24"/>
        </w:rPr>
      </w:pPr>
      <w:r w:rsidRPr="00211FB1">
        <w:rPr>
          <w:rFonts w:ascii="Calibri" w:eastAsia="Calibri" w:hAnsi="Calibri" w:cs="Arial"/>
          <w:sz w:val="24"/>
          <w:szCs w:val="24"/>
        </w:rPr>
        <w:t>None of the organisations have different service</w:t>
      </w:r>
      <w:r w:rsidR="00BA3E7B">
        <w:rPr>
          <w:rFonts w:ascii="Calibri" w:eastAsia="Calibri" w:hAnsi="Calibri" w:cs="Arial"/>
          <w:sz w:val="24"/>
          <w:szCs w:val="24"/>
        </w:rPr>
        <w:t>s</w:t>
      </w:r>
      <w:r w:rsidRPr="00211FB1">
        <w:rPr>
          <w:rFonts w:ascii="Calibri" w:eastAsia="Calibri" w:hAnsi="Calibri" w:cs="Arial"/>
          <w:sz w:val="24"/>
          <w:szCs w:val="24"/>
        </w:rPr>
        <w:t xml:space="preserve"> </w:t>
      </w:r>
      <w:r w:rsidR="00D45999">
        <w:rPr>
          <w:rFonts w:ascii="Calibri" w:eastAsia="Calibri" w:hAnsi="Calibri" w:cs="Arial"/>
          <w:sz w:val="24"/>
          <w:szCs w:val="24"/>
        </w:rPr>
        <w:t xml:space="preserve">and product </w:t>
      </w:r>
      <w:r w:rsidRPr="00211FB1">
        <w:rPr>
          <w:rFonts w:ascii="Calibri" w:eastAsia="Calibri" w:hAnsi="Calibri" w:cs="Arial"/>
          <w:sz w:val="24"/>
          <w:szCs w:val="24"/>
        </w:rPr>
        <w:t>development processes, nor do the firms specifically develop products and services in a single process. Instead, the data evidence the importance of having good connectivity between NPD and NSD; discussing key ‘touchpoints’ between the processes. However, the data also highlight differing levels of inter-connectivity between NPD and NSD processes across the cases. TelCo has the closest processes with multiple, interactive touch points; all products have a ‘design for services’ programme including both mandatory and optional services, which fits its product-attached mind-set. Furthermore, at TelCo and AeroCo, interaction touchpoints are supported by having ‘product’ people who understand services and implementation is supported by having good touchpoints between the centre and local service teams.</w:t>
      </w:r>
      <w:r w:rsidRPr="00211FB1">
        <w:rPr>
          <w:rFonts w:ascii="Calibri" w:eastAsia="Calibri" w:hAnsi="Calibri" w:cs="Arial"/>
          <w:i/>
          <w:sz w:val="24"/>
          <w:szCs w:val="24"/>
        </w:rPr>
        <w:t xml:space="preserve"> </w:t>
      </w:r>
      <w:r w:rsidRPr="00211FB1">
        <w:rPr>
          <w:rFonts w:ascii="Calibri" w:eastAsia="Calibri" w:hAnsi="Calibri" w:cs="Arial"/>
          <w:sz w:val="24"/>
          <w:szCs w:val="24"/>
        </w:rPr>
        <w:t xml:space="preserve">Thus, developing mutual understanding of products and services </w:t>
      </w:r>
      <w:r w:rsidR="008D2F15">
        <w:rPr>
          <w:rFonts w:ascii="Calibri" w:eastAsia="Calibri" w:hAnsi="Calibri" w:cs="Arial"/>
          <w:sz w:val="24"/>
          <w:szCs w:val="24"/>
        </w:rPr>
        <w:t>and</w:t>
      </w:r>
      <w:r w:rsidRPr="00211FB1">
        <w:rPr>
          <w:rFonts w:ascii="Calibri" w:eastAsia="Calibri" w:hAnsi="Calibri" w:cs="Arial"/>
          <w:sz w:val="24"/>
          <w:szCs w:val="24"/>
        </w:rPr>
        <w:t xml:space="preserve"> good communication flows within the NPD/NSD teams </w:t>
      </w:r>
      <w:r w:rsidR="008D2F15">
        <w:rPr>
          <w:rFonts w:ascii="Calibri" w:eastAsia="Calibri" w:hAnsi="Calibri" w:cs="Arial"/>
          <w:sz w:val="24"/>
          <w:szCs w:val="24"/>
        </w:rPr>
        <w:t>are</w:t>
      </w:r>
      <w:r w:rsidR="008D2F15" w:rsidRPr="00211FB1">
        <w:rPr>
          <w:rFonts w:ascii="Calibri" w:eastAsia="Calibri" w:hAnsi="Calibri" w:cs="Arial"/>
          <w:sz w:val="24"/>
          <w:szCs w:val="24"/>
        </w:rPr>
        <w:t xml:space="preserve"> </w:t>
      </w:r>
      <w:r w:rsidRPr="00211FB1">
        <w:rPr>
          <w:rFonts w:ascii="Calibri" w:eastAsia="Calibri" w:hAnsi="Calibri" w:cs="Arial"/>
          <w:sz w:val="24"/>
          <w:szCs w:val="24"/>
        </w:rPr>
        <w:t xml:space="preserve">needed to ensure services </w:t>
      </w:r>
      <w:r w:rsidR="008D2F15">
        <w:rPr>
          <w:rFonts w:ascii="Calibri" w:eastAsia="Calibri" w:hAnsi="Calibri" w:cs="Arial"/>
          <w:sz w:val="24"/>
          <w:szCs w:val="24"/>
        </w:rPr>
        <w:t>progress</w:t>
      </w:r>
      <w:r w:rsidR="008D2F15" w:rsidRPr="00211FB1">
        <w:rPr>
          <w:rFonts w:ascii="Calibri" w:eastAsia="Calibri" w:hAnsi="Calibri" w:cs="Arial"/>
          <w:sz w:val="24"/>
          <w:szCs w:val="24"/>
        </w:rPr>
        <w:t xml:space="preserve"> </w:t>
      </w:r>
      <w:r w:rsidRPr="00211FB1">
        <w:rPr>
          <w:rFonts w:ascii="Calibri" w:eastAsia="Calibri" w:hAnsi="Calibri" w:cs="Arial"/>
          <w:sz w:val="24"/>
          <w:szCs w:val="24"/>
        </w:rPr>
        <w:t xml:space="preserve">from idea to deployment. </w:t>
      </w:r>
    </w:p>
    <w:p w14:paraId="173DC51B" w14:textId="77777777" w:rsidR="00211FB1" w:rsidRPr="00211FB1" w:rsidRDefault="00211FB1" w:rsidP="00211FB1">
      <w:pPr>
        <w:spacing w:after="0" w:line="480" w:lineRule="auto"/>
        <w:jc w:val="both"/>
        <w:rPr>
          <w:rFonts w:ascii="Calibri" w:eastAsia="Calibri" w:hAnsi="Calibri" w:cs="Arial"/>
          <w:sz w:val="24"/>
          <w:szCs w:val="24"/>
        </w:rPr>
      </w:pPr>
    </w:p>
    <w:p w14:paraId="37BF4C64" w14:textId="55AAF305" w:rsidR="00211FB1" w:rsidRPr="00211FB1" w:rsidRDefault="00211FB1" w:rsidP="00211FB1">
      <w:pPr>
        <w:spacing w:after="0" w:line="480" w:lineRule="auto"/>
        <w:jc w:val="both"/>
        <w:rPr>
          <w:rFonts w:ascii="Calibri" w:eastAsia="Calibri" w:hAnsi="Calibri" w:cs="Arial"/>
          <w:sz w:val="24"/>
          <w:szCs w:val="24"/>
        </w:rPr>
      </w:pPr>
      <w:r w:rsidRPr="00211FB1">
        <w:rPr>
          <w:rFonts w:ascii="Calibri" w:eastAsia="Calibri" w:hAnsi="Calibri" w:cs="Arial"/>
          <w:sz w:val="24"/>
          <w:szCs w:val="24"/>
        </w:rPr>
        <w:t>While touch points exist in all cases, differences exist in the information flows between NPD and NSD touchpoints (either one- or two-way). TelCo data suggest that the flow of information is two-way, with significant evidence of feedback mechanisms in terms of services people feeding into product innovation planning efforts and product people asking about services that might go with new products they are developing.</w:t>
      </w:r>
      <w:r w:rsidRPr="00211FB1">
        <w:rPr>
          <w:rFonts w:ascii="Calibri" w:eastAsia="Calibri" w:hAnsi="Calibri" w:cs="Arial"/>
          <w:i/>
          <w:sz w:val="24"/>
          <w:szCs w:val="24"/>
        </w:rPr>
        <w:t xml:space="preserve"> </w:t>
      </w:r>
      <w:r w:rsidRPr="00211FB1">
        <w:rPr>
          <w:rFonts w:ascii="Calibri" w:eastAsia="Calibri" w:hAnsi="Calibri" w:cs="Arial"/>
          <w:sz w:val="24"/>
          <w:szCs w:val="24"/>
        </w:rPr>
        <w:t>AeroCo also discusses two-way interactions, but highlights power issues – with more coming from the product people to services; based on having longstanding product road-maps, investment programmes and global reputations. Indeed, while AeroCo has developed similar touchpoints between its product and service</w:t>
      </w:r>
      <w:r w:rsidR="00BA3E7B">
        <w:rPr>
          <w:rFonts w:ascii="Calibri" w:eastAsia="Calibri" w:hAnsi="Calibri" w:cs="Arial"/>
          <w:sz w:val="24"/>
          <w:szCs w:val="24"/>
        </w:rPr>
        <w:t>s</w:t>
      </w:r>
      <w:r w:rsidRPr="00211FB1">
        <w:rPr>
          <w:rFonts w:ascii="Calibri" w:eastAsia="Calibri" w:hAnsi="Calibri" w:cs="Arial"/>
          <w:sz w:val="24"/>
          <w:szCs w:val="24"/>
        </w:rPr>
        <w:t xml:space="preserve"> development teams, evidence does not suggest the processes are ‘close’ or that teams work collaboratively. Even when information is passing both ways, there can be some key hold-ups in process due to different product and service</w:t>
      </w:r>
      <w:r w:rsidR="00BA3E7B">
        <w:rPr>
          <w:rFonts w:ascii="Calibri" w:eastAsia="Calibri" w:hAnsi="Calibri" w:cs="Arial"/>
          <w:sz w:val="24"/>
          <w:szCs w:val="24"/>
        </w:rPr>
        <w:t>s</w:t>
      </w:r>
      <w:r w:rsidRPr="00211FB1">
        <w:rPr>
          <w:rFonts w:ascii="Calibri" w:eastAsia="Calibri" w:hAnsi="Calibri" w:cs="Arial"/>
          <w:sz w:val="24"/>
          <w:szCs w:val="24"/>
        </w:rPr>
        <w:t xml:space="preserve"> development timescales. In contrast, at ChemCo most communication tends to be one-way; from salespeople to product personnel, but its matrix structure appears to mitigate against internal conflict relating to product-service</w:t>
      </w:r>
      <w:r w:rsidR="00BA3E7B">
        <w:rPr>
          <w:rFonts w:ascii="Calibri" w:eastAsia="Calibri" w:hAnsi="Calibri" w:cs="Arial"/>
          <w:sz w:val="24"/>
          <w:szCs w:val="24"/>
        </w:rPr>
        <w:t>s</w:t>
      </w:r>
      <w:r w:rsidRPr="00211FB1">
        <w:rPr>
          <w:rFonts w:ascii="Calibri" w:eastAsia="Calibri" w:hAnsi="Calibri" w:cs="Arial"/>
          <w:sz w:val="24"/>
          <w:szCs w:val="24"/>
        </w:rPr>
        <w:t xml:space="preserve"> tensions. SecurCo demonstrates limited evidence of links between NPD and NSD</w:t>
      </w:r>
      <w:r w:rsidR="00891B84">
        <w:rPr>
          <w:rFonts w:ascii="Calibri" w:eastAsia="Calibri" w:hAnsi="Calibri" w:cs="Arial"/>
          <w:sz w:val="24"/>
          <w:szCs w:val="24"/>
        </w:rPr>
        <w:t>;</w:t>
      </w:r>
      <w:r w:rsidRPr="00211FB1">
        <w:rPr>
          <w:rFonts w:ascii="Calibri" w:eastAsia="Calibri" w:hAnsi="Calibri" w:cs="Arial"/>
          <w:sz w:val="24"/>
          <w:szCs w:val="24"/>
        </w:rPr>
        <w:t xml:space="preserve"> </w:t>
      </w:r>
      <w:r w:rsidR="00A311E6">
        <w:rPr>
          <w:rFonts w:ascii="Calibri" w:eastAsia="Calibri" w:hAnsi="Calibri" w:cs="Arial"/>
          <w:sz w:val="24"/>
          <w:szCs w:val="24"/>
        </w:rPr>
        <w:t xml:space="preserve">while they are only producing a few services </w:t>
      </w:r>
      <w:r w:rsidRPr="00211FB1">
        <w:rPr>
          <w:rFonts w:ascii="Calibri" w:eastAsia="Calibri" w:hAnsi="Calibri" w:cs="Arial"/>
          <w:sz w:val="24"/>
          <w:szCs w:val="24"/>
        </w:rPr>
        <w:t xml:space="preserve">it is possibly too early in its servitization </w:t>
      </w:r>
      <w:r w:rsidR="00622D31">
        <w:rPr>
          <w:rFonts w:ascii="Calibri" w:eastAsia="Calibri" w:hAnsi="Calibri" w:cs="Arial"/>
          <w:sz w:val="24"/>
          <w:szCs w:val="24"/>
        </w:rPr>
        <w:t>journey</w:t>
      </w:r>
      <w:r w:rsidRPr="00211FB1">
        <w:rPr>
          <w:rFonts w:ascii="Calibri" w:eastAsia="Calibri" w:hAnsi="Calibri" w:cs="Arial"/>
          <w:sz w:val="24"/>
          <w:szCs w:val="24"/>
        </w:rPr>
        <w:t xml:space="preserve"> for this</w:t>
      </w:r>
      <w:r w:rsidR="00622D31">
        <w:rPr>
          <w:rFonts w:ascii="Calibri" w:eastAsia="Calibri" w:hAnsi="Calibri" w:cs="Arial"/>
          <w:sz w:val="24"/>
          <w:szCs w:val="24"/>
        </w:rPr>
        <w:t xml:space="preserve"> to be </w:t>
      </w:r>
      <w:r w:rsidR="008D2F15">
        <w:rPr>
          <w:rFonts w:ascii="Calibri" w:eastAsia="Calibri" w:hAnsi="Calibri" w:cs="Arial"/>
          <w:sz w:val="24"/>
          <w:szCs w:val="24"/>
        </w:rPr>
        <w:t>necessary</w:t>
      </w:r>
      <w:r w:rsidRPr="00211FB1">
        <w:rPr>
          <w:rFonts w:ascii="Calibri" w:eastAsia="Calibri" w:hAnsi="Calibri" w:cs="Arial"/>
          <w:sz w:val="24"/>
          <w:szCs w:val="24"/>
        </w:rPr>
        <w:t xml:space="preserve">. </w:t>
      </w:r>
    </w:p>
    <w:p w14:paraId="40E258EB" w14:textId="77777777" w:rsidR="00211FB1" w:rsidRPr="00211FB1" w:rsidRDefault="00211FB1" w:rsidP="00211FB1">
      <w:pPr>
        <w:spacing w:after="0" w:line="480" w:lineRule="auto"/>
        <w:jc w:val="both"/>
        <w:rPr>
          <w:rFonts w:ascii="Calibri" w:eastAsia="Calibri" w:hAnsi="Calibri" w:cs="Arial"/>
          <w:sz w:val="24"/>
          <w:szCs w:val="24"/>
        </w:rPr>
      </w:pPr>
    </w:p>
    <w:p w14:paraId="4679F8E0" w14:textId="17B498E6" w:rsidR="00211FB1" w:rsidRPr="00211FB1" w:rsidRDefault="00211FB1" w:rsidP="00211FB1">
      <w:pPr>
        <w:spacing w:after="0" w:line="480" w:lineRule="auto"/>
        <w:jc w:val="both"/>
        <w:rPr>
          <w:rFonts w:ascii="Calibri" w:eastAsia="Calibri" w:hAnsi="Calibri" w:cs="Arial"/>
          <w:sz w:val="24"/>
          <w:szCs w:val="24"/>
        </w:rPr>
      </w:pPr>
      <w:r w:rsidRPr="00211FB1">
        <w:rPr>
          <w:rFonts w:ascii="Calibri" w:eastAsia="Calibri" w:hAnsi="Calibri" w:cs="Arial"/>
          <w:sz w:val="24"/>
          <w:szCs w:val="24"/>
        </w:rPr>
        <w:t>Early in the NSD process, both AeroCo and TelCo engage with customers to better understand their needs and deliver ‘smart’ customer solutions. At AeroCo, this can involve embedding staff within customers for at least two years; while TelCo typically adopts a consultative selling approach.</w:t>
      </w:r>
      <w:r w:rsidRPr="00211FB1">
        <w:rPr>
          <w:rFonts w:ascii="Calibri" w:eastAsia="Calibri" w:hAnsi="Calibri" w:cs="Arial"/>
          <w:i/>
          <w:sz w:val="24"/>
          <w:szCs w:val="24"/>
        </w:rPr>
        <w:t xml:space="preserve"> </w:t>
      </w:r>
      <w:r w:rsidRPr="00211FB1">
        <w:rPr>
          <w:rFonts w:ascii="Calibri" w:eastAsia="Calibri" w:hAnsi="Calibri" w:cs="Arial"/>
          <w:sz w:val="24"/>
          <w:szCs w:val="24"/>
        </w:rPr>
        <w:t>TelCo specifically describe</w:t>
      </w:r>
      <w:r w:rsidR="008D2F15">
        <w:rPr>
          <w:rFonts w:ascii="Calibri" w:eastAsia="Calibri" w:hAnsi="Calibri" w:cs="Arial"/>
          <w:sz w:val="24"/>
          <w:szCs w:val="24"/>
        </w:rPr>
        <w:t>s</w:t>
      </w:r>
      <w:r w:rsidRPr="00211FB1">
        <w:rPr>
          <w:rFonts w:ascii="Calibri" w:eastAsia="Calibri" w:hAnsi="Calibri" w:cs="Arial"/>
          <w:sz w:val="24"/>
          <w:szCs w:val="24"/>
        </w:rPr>
        <w:t xml:space="preserve"> cultivating relationships with customers to facilitate trials, and benefit</w:t>
      </w:r>
      <w:r w:rsidR="008D2F15">
        <w:rPr>
          <w:rFonts w:ascii="Calibri" w:eastAsia="Calibri" w:hAnsi="Calibri" w:cs="Arial"/>
          <w:sz w:val="24"/>
          <w:szCs w:val="24"/>
        </w:rPr>
        <w:t>s</w:t>
      </w:r>
      <w:r w:rsidRPr="00211FB1">
        <w:rPr>
          <w:rFonts w:ascii="Calibri" w:eastAsia="Calibri" w:hAnsi="Calibri" w:cs="Arial"/>
          <w:sz w:val="24"/>
          <w:szCs w:val="24"/>
        </w:rPr>
        <w:t xml:space="preserve"> from having sister businesses in which they can try out and learn from new innovations.</w:t>
      </w:r>
      <w:r w:rsidR="008268D1">
        <w:rPr>
          <w:rFonts w:ascii="Calibri" w:eastAsia="Calibri" w:hAnsi="Calibri" w:cs="Arial"/>
          <w:sz w:val="24"/>
          <w:szCs w:val="24"/>
        </w:rPr>
        <w:t xml:space="preserve"> This confirms the benefits of taking a collaborative, customer-centric approach (Bettencourt &amp; Brown, 2013; Santamaria et al., 2013).</w:t>
      </w:r>
    </w:p>
    <w:p w14:paraId="504D8A7B" w14:textId="77777777" w:rsidR="00211FB1" w:rsidRPr="00211FB1" w:rsidRDefault="00211FB1" w:rsidP="00211FB1">
      <w:pPr>
        <w:spacing w:after="0" w:line="480" w:lineRule="auto"/>
        <w:jc w:val="both"/>
        <w:rPr>
          <w:rFonts w:ascii="Calibri" w:eastAsia="Calibri" w:hAnsi="Calibri" w:cs="Arial"/>
          <w:sz w:val="24"/>
          <w:szCs w:val="24"/>
        </w:rPr>
      </w:pPr>
    </w:p>
    <w:p w14:paraId="49C67A1C" w14:textId="77777777" w:rsidR="00211FB1" w:rsidRPr="00211FB1" w:rsidRDefault="00211FB1" w:rsidP="00211FB1">
      <w:pPr>
        <w:spacing w:after="0" w:line="480" w:lineRule="auto"/>
        <w:jc w:val="both"/>
        <w:rPr>
          <w:rFonts w:ascii="Calibri" w:eastAsia="Calibri" w:hAnsi="Calibri" w:cs="Arial"/>
          <w:sz w:val="24"/>
          <w:szCs w:val="24"/>
        </w:rPr>
      </w:pPr>
      <w:r w:rsidRPr="00211FB1">
        <w:rPr>
          <w:rFonts w:ascii="Calibri" w:eastAsia="Calibri" w:hAnsi="Calibri" w:cs="Arial"/>
          <w:sz w:val="24"/>
          <w:szCs w:val="24"/>
        </w:rPr>
        <w:t>Thus:</w:t>
      </w:r>
    </w:p>
    <w:p w14:paraId="5E474D73" w14:textId="0DCEDB1E" w:rsidR="00211FB1" w:rsidRPr="00211FB1" w:rsidRDefault="006A5ADD" w:rsidP="00211FB1">
      <w:pPr>
        <w:spacing w:after="0" w:line="480" w:lineRule="auto"/>
        <w:jc w:val="both"/>
        <w:rPr>
          <w:rFonts w:ascii="Calibri" w:eastAsia="Calibri" w:hAnsi="Calibri" w:cs="Arial"/>
          <w:sz w:val="24"/>
          <w:szCs w:val="24"/>
        </w:rPr>
      </w:pPr>
      <w:r w:rsidRPr="00211FB1">
        <w:rPr>
          <w:rFonts w:ascii="Calibri" w:eastAsia="Calibri" w:hAnsi="Calibri" w:cs="Arial"/>
          <w:sz w:val="24"/>
          <w:szCs w:val="24"/>
        </w:rPr>
        <w:t>P</w:t>
      </w:r>
      <w:r>
        <w:rPr>
          <w:rFonts w:ascii="Calibri" w:eastAsia="Calibri" w:hAnsi="Calibri" w:cs="Arial"/>
          <w:sz w:val="24"/>
          <w:szCs w:val="24"/>
        </w:rPr>
        <w:t>5</w:t>
      </w:r>
      <w:r w:rsidR="00211FB1" w:rsidRPr="00211FB1">
        <w:rPr>
          <w:rFonts w:ascii="Calibri" w:eastAsia="Calibri" w:hAnsi="Calibri" w:cs="Arial"/>
          <w:sz w:val="24"/>
          <w:szCs w:val="24"/>
        </w:rPr>
        <w:t xml:space="preserve">: </w:t>
      </w:r>
      <w:r w:rsidR="008268D1">
        <w:rPr>
          <w:rFonts w:ascii="Calibri" w:eastAsia="Calibri" w:hAnsi="Calibri" w:cs="Arial"/>
          <w:sz w:val="24"/>
          <w:szCs w:val="24"/>
        </w:rPr>
        <w:t>Established</w:t>
      </w:r>
      <w:r w:rsidR="008268D1" w:rsidRPr="00211FB1">
        <w:rPr>
          <w:rFonts w:ascii="Calibri" w:eastAsia="Calibri" w:hAnsi="Calibri" w:cs="Arial"/>
          <w:sz w:val="24"/>
          <w:szCs w:val="24"/>
        </w:rPr>
        <w:t xml:space="preserve"> </w:t>
      </w:r>
      <w:r w:rsidR="00211FB1" w:rsidRPr="00211FB1">
        <w:rPr>
          <w:rFonts w:ascii="Calibri" w:eastAsia="Calibri" w:hAnsi="Calibri" w:cs="Arial"/>
          <w:sz w:val="24"/>
          <w:szCs w:val="24"/>
        </w:rPr>
        <w:t>touchpoints, with three-way communication between sales teams, innovation teams and customers, create better: (i) sharing of customer insight and (ii) learning between NPD and NSD</w:t>
      </w:r>
      <w:r w:rsidR="00F11AE8">
        <w:rPr>
          <w:rFonts w:ascii="Calibri" w:eastAsia="Calibri" w:hAnsi="Calibri" w:cs="Arial"/>
          <w:sz w:val="24"/>
          <w:szCs w:val="24"/>
        </w:rPr>
        <w:t>, but the effect is more pronounced for more servitized service</w:t>
      </w:r>
      <w:r w:rsidR="003A78B5">
        <w:rPr>
          <w:rFonts w:ascii="Calibri" w:eastAsia="Calibri" w:hAnsi="Calibri" w:cs="Arial"/>
          <w:sz w:val="24"/>
          <w:szCs w:val="24"/>
        </w:rPr>
        <w:t>s</w:t>
      </w:r>
      <w:r w:rsidR="00F11AE8">
        <w:rPr>
          <w:rFonts w:ascii="Calibri" w:eastAsia="Calibri" w:hAnsi="Calibri" w:cs="Arial"/>
          <w:sz w:val="24"/>
          <w:szCs w:val="24"/>
        </w:rPr>
        <w:t xml:space="preserve"> strategies when level of interconnectivity between NPD and NSD is higher and balanced</w:t>
      </w:r>
      <w:r w:rsidR="003169D5">
        <w:rPr>
          <w:rFonts w:ascii="Calibri" w:eastAsia="Calibri" w:hAnsi="Calibri" w:cs="Arial"/>
          <w:sz w:val="24"/>
          <w:szCs w:val="24"/>
        </w:rPr>
        <w:t xml:space="preserve"> (not product- or services-led)</w:t>
      </w:r>
      <w:r w:rsidR="00211FB1" w:rsidRPr="00211FB1">
        <w:rPr>
          <w:rFonts w:ascii="Calibri" w:eastAsia="Calibri" w:hAnsi="Calibri" w:cs="Arial"/>
          <w:sz w:val="24"/>
          <w:szCs w:val="24"/>
        </w:rPr>
        <w:t>.</w:t>
      </w:r>
    </w:p>
    <w:p w14:paraId="70732757" w14:textId="77777777" w:rsidR="00211FB1" w:rsidRPr="00211FB1" w:rsidRDefault="00211FB1" w:rsidP="00211FB1">
      <w:pPr>
        <w:spacing w:after="0" w:line="480" w:lineRule="auto"/>
        <w:jc w:val="both"/>
        <w:rPr>
          <w:rFonts w:ascii="Calibri" w:eastAsia="Calibri" w:hAnsi="Calibri" w:cs="Arial"/>
          <w:sz w:val="24"/>
          <w:szCs w:val="24"/>
        </w:rPr>
      </w:pPr>
    </w:p>
    <w:p w14:paraId="3385E2B9" w14:textId="19F27CBC" w:rsidR="00010D46" w:rsidRPr="00211FB1" w:rsidRDefault="00010D46" w:rsidP="00010D46">
      <w:pPr>
        <w:spacing w:after="0" w:line="480" w:lineRule="auto"/>
        <w:jc w:val="both"/>
        <w:rPr>
          <w:rFonts w:ascii="Calibri" w:eastAsia="Calibri" w:hAnsi="Calibri" w:cs="Arial"/>
          <w:i/>
          <w:sz w:val="24"/>
          <w:szCs w:val="24"/>
        </w:rPr>
      </w:pPr>
      <w:r w:rsidRPr="00211FB1">
        <w:rPr>
          <w:rFonts w:ascii="Calibri" w:eastAsia="Calibri" w:hAnsi="Calibri" w:cs="Arial"/>
          <w:i/>
          <w:sz w:val="24"/>
          <w:szCs w:val="24"/>
        </w:rPr>
        <w:t>4.</w:t>
      </w:r>
      <w:r>
        <w:rPr>
          <w:rFonts w:ascii="Calibri" w:eastAsia="Calibri" w:hAnsi="Calibri" w:cs="Arial"/>
          <w:i/>
          <w:sz w:val="24"/>
          <w:szCs w:val="24"/>
        </w:rPr>
        <w:t>4</w:t>
      </w:r>
      <w:r w:rsidRPr="00211FB1">
        <w:rPr>
          <w:rFonts w:ascii="Calibri" w:eastAsia="Calibri" w:hAnsi="Calibri" w:cs="Arial"/>
          <w:i/>
          <w:sz w:val="24"/>
          <w:szCs w:val="24"/>
        </w:rPr>
        <w:t xml:space="preserve"> People and Service</w:t>
      </w:r>
      <w:r>
        <w:rPr>
          <w:rFonts w:ascii="Calibri" w:eastAsia="Calibri" w:hAnsi="Calibri" w:cs="Arial"/>
          <w:i/>
          <w:sz w:val="24"/>
          <w:szCs w:val="24"/>
        </w:rPr>
        <w:t>s</w:t>
      </w:r>
      <w:r w:rsidRPr="00211FB1">
        <w:rPr>
          <w:rFonts w:ascii="Calibri" w:eastAsia="Calibri" w:hAnsi="Calibri" w:cs="Arial"/>
          <w:i/>
          <w:sz w:val="24"/>
          <w:szCs w:val="24"/>
        </w:rPr>
        <w:t xml:space="preserve"> Deployment</w:t>
      </w:r>
    </w:p>
    <w:p w14:paraId="671B081A" w14:textId="38FD7166" w:rsidR="00010D46" w:rsidRPr="00211FB1" w:rsidRDefault="00010D46" w:rsidP="00010D46">
      <w:pPr>
        <w:spacing w:after="0" w:line="480" w:lineRule="auto"/>
        <w:jc w:val="both"/>
        <w:rPr>
          <w:rFonts w:ascii="Calibri" w:eastAsia="Calibri" w:hAnsi="Calibri" w:cs="Arial"/>
          <w:sz w:val="24"/>
          <w:szCs w:val="24"/>
        </w:rPr>
      </w:pPr>
      <w:r w:rsidRPr="00211FB1">
        <w:rPr>
          <w:rFonts w:ascii="Calibri" w:eastAsia="Calibri" w:hAnsi="Calibri" w:cs="Arial"/>
          <w:sz w:val="24"/>
          <w:szCs w:val="24"/>
        </w:rPr>
        <w:t>All firms, regardless of service</w:t>
      </w:r>
      <w:r>
        <w:rPr>
          <w:rFonts w:ascii="Calibri" w:eastAsia="Calibri" w:hAnsi="Calibri" w:cs="Arial"/>
          <w:sz w:val="24"/>
          <w:szCs w:val="24"/>
        </w:rPr>
        <w:t>s</w:t>
      </w:r>
      <w:r w:rsidRPr="00211FB1">
        <w:rPr>
          <w:rFonts w:ascii="Calibri" w:eastAsia="Calibri" w:hAnsi="Calibri" w:cs="Arial"/>
          <w:sz w:val="24"/>
          <w:szCs w:val="24"/>
        </w:rPr>
        <w:t xml:space="preserve"> strategy, appear to suffer from a key difficulty related to the deployment of </w:t>
      </w:r>
      <w:r>
        <w:rPr>
          <w:rFonts w:ascii="Calibri" w:eastAsia="Calibri" w:hAnsi="Calibri" w:cs="Arial"/>
          <w:sz w:val="24"/>
          <w:szCs w:val="24"/>
        </w:rPr>
        <w:t xml:space="preserve">new </w:t>
      </w:r>
      <w:r w:rsidRPr="00211FB1">
        <w:rPr>
          <w:rFonts w:ascii="Calibri" w:eastAsia="Calibri" w:hAnsi="Calibri" w:cs="Arial"/>
          <w:sz w:val="24"/>
          <w:szCs w:val="24"/>
        </w:rPr>
        <w:t>services, given that most of the services they are developing are 'person' heavy, involving 'highly skilled' people, meaning that organisations cannot grow overnight. This lack of service</w:t>
      </w:r>
      <w:r>
        <w:rPr>
          <w:rFonts w:ascii="Calibri" w:eastAsia="Calibri" w:hAnsi="Calibri" w:cs="Arial"/>
          <w:sz w:val="24"/>
          <w:szCs w:val="24"/>
        </w:rPr>
        <w:t>s</w:t>
      </w:r>
      <w:r w:rsidRPr="00211FB1">
        <w:rPr>
          <w:rFonts w:ascii="Calibri" w:eastAsia="Calibri" w:hAnsi="Calibri" w:cs="Arial"/>
          <w:sz w:val="24"/>
          <w:szCs w:val="24"/>
        </w:rPr>
        <w:t xml:space="preserve"> personnel appears the biggest barrier for SecurCo</w:t>
      </w:r>
      <w:r w:rsidR="00A96D0D">
        <w:rPr>
          <w:rFonts w:ascii="Calibri" w:eastAsia="Calibri" w:hAnsi="Calibri" w:cs="Arial"/>
          <w:sz w:val="24"/>
          <w:szCs w:val="24"/>
        </w:rPr>
        <w:t>, causes some issues for ChemCo but has been a big area of investment for both Enthusiasts</w:t>
      </w:r>
      <w:r w:rsidRPr="00211FB1">
        <w:rPr>
          <w:rFonts w:ascii="Calibri" w:eastAsia="Calibri" w:hAnsi="Calibri" w:cs="Arial"/>
          <w:sz w:val="24"/>
          <w:szCs w:val="24"/>
        </w:rPr>
        <w:t xml:space="preserve">. However, interestingly, the digital services SecurCo </w:t>
      </w:r>
      <w:r w:rsidRPr="00211FB1">
        <w:rPr>
          <w:rFonts w:ascii="Calibri" w:eastAsia="Calibri" w:hAnsi="Calibri" w:cs="Arial"/>
          <w:i/>
          <w:sz w:val="24"/>
          <w:szCs w:val="24"/>
        </w:rPr>
        <w:t xml:space="preserve">could </w:t>
      </w:r>
      <w:r w:rsidRPr="00211FB1">
        <w:rPr>
          <w:rFonts w:ascii="Calibri" w:eastAsia="Calibri" w:hAnsi="Calibri" w:cs="Arial"/>
          <w:sz w:val="24"/>
          <w:szCs w:val="24"/>
        </w:rPr>
        <w:t>develop have the potential to reduce service</w:t>
      </w:r>
      <w:r>
        <w:rPr>
          <w:rFonts w:ascii="Calibri" w:eastAsia="Calibri" w:hAnsi="Calibri" w:cs="Arial"/>
          <w:sz w:val="24"/>
          <w:szCs w:val="24"/>
        </w:rPr>
        <w:t>s</w:t>
      </w:r>
      <w:r w:rsidRPr="00211FB1">
        <w:rPr>
          <w:rFonts w:ascii="Calibri" w:eastAsia="Calibri" w:hAnsi="Calibri" w:cs="Arial"/>
          <w:sz w:val="24"/>
          <w:szCs w:val="24"/>
        </w:rPr>
        <w:t xml:space="preserve"> personnel numbers; thus, technology may increasingly offer a</w:t>
      </w:r>
      <w:r w:rsidR="00A96D0D">
        <w:rPr>
          <w:rFonts w:ascii="Calibri" w:eastAsia="Calibri" w:hAnsi="Calibri" w:cs="Arial"/>
          <w:sz w:val="24"/>
          <w:szCs w:val="24"/>
        </w:rPr>
        <w:t>n alternative</w:t>
      </w:r>
      <w:r w:rsidRPr="00211FB1">
        <w:rPr>
          <w:rFonts w:ascii="Calibri" w:eastAsia="Calibri" w:hAnsi="Calibri" w:cs="Arial"/>
          <w:sz w:val="24"/>
          <w:szCs w:val="24"/>
        </w:rPr>
        <w:t xml:space="preserve"> resolution to this barrier</w:t>
      </w:r>
      <w:r w:rsidR="00A96D0D">
        <w:rPr>
          <w:rFonts w:ascii="Calibri" w:eastAsia="Calibri" w:hAnsi="Calibri" w:cs="Arial"/>
          <w:sz w:val="24"/>
          <w:szCs w:val="24"/>
        </w:rPr>
        <w:t>, as opposed to direct investment in services personnel</w:t>
      </w:r>
      <w:r w:rsidRPr="00211FB1">
        <w:rPr>
          <w:rFonts w:ascii="Calibri" w:eastAsia="Calibri" w:hAnsi="Calibri" w:cs="Arial"/>
          <w:sz w:val="24"/>
          <w:szCs w:val="24"/>
        </w:rPr>
        <w:t>.</w:t>
      </w:r>
      <w:r w:rsidR="00A96D0D">
        <w:rPr>
          <w:rFonts w:ascii="Calibri" w:eastAsia="Calibri" w:hAnsi="Calibri" w:cs="Arial"/>
          <w:sz w:val="24"/>
          <w:szCs w:val="24"/>
        </w:rPr>
        <w:t xml:space="preserve"> </w:t>
      </w:r>
    </w:p>
    <w:p w14:paraId="1312ADBB" w14:textId="77777777" w:rsidR="00010D46" w:rsidRPr="00211FB1" w:rsidRDefault="00010D46" w:rsidP="00010D46">
      <w:pPr>
        <w:spacing w:after="0" w:line="480" w:lineRule="auto"/>
        <w:jc w:val="both"/>
        <w:rPr>
          <w:rFonts w:ascii="Calibri" w:eastAsia="Calibri" w:hAnsi="Calibri" w:cs="Arial"/>
          <w:sz w:val="24"/>
          <w:szCs w:val="24"/>
        </w:rPr>
      </w:pPr>
    </w:p>
    <w:p w14:paraId="4E9FA212" w14:textId="77777777" w:rsidR="00010D46" w:rsidRPr="00211FB1" w:rsidRDefault="00010D46" w:rsidP="00010D46">
      <w:pPr>
        <w:spacing w:after="0" w:line="480" w:lineRule="auto"/>
        <w:jc w:val="both"/>
        <w:rPr>
          <w:rFonts w:ascii="Calibri" w:eastAsia="Calibri" w:hAnsi="Calibri" w:cs="Arial"/>
          <w:i/>
          <w:sz w:val="24"/>
          <w:szCs w:val="24"/>
        </w:rPr>
      </w:pPr>
      <w:r w:rsidRPr="00211FB1">
        <w:rPr>
          <w:rFonts w:ascii="Calibri" w:eastAsia="Calibri" w:hAnsi="Calibri" w:cs="Arial"/>
          <w:sz w:val="24"/>
          <w:szCs w:val="24"/>
        </w:rPr>
        <w:t>ChemCo highlights a staffing problem related to training existing product-focused staff to develop necessary services capabilities. This was not a unique problem, but was robustly identified at ChemCo (the pragmatist) because it was attempting to deliver services from within its existing structure, without developing a separate service SBU. In contrast, TelCo and AeroCo had distinct service</w:t>
      </w:r>
      <w:r>
        <w:rPr>
          <w:rFonts w:ascii="Calibri" w:eastAsia="Calibri" w:hAnsi="Calibri" w:cs="Arial"/>
          <w:sz w:val="24"/>
          <w:szCs w:val="24"/>
        </w:rPr>
        <w:t>s</w:t>
      </w:r>
      <w:r w:rsidRPr="00211FB1">
        <w:rPr>
          <w:rFonts w:ascii="Calibri" w:eastAsia="Calibri" w:hAnsi="Calibri" w:cs="Arial"/>
          <w:sz w:val="24"/>
          <w:szCs w:val="24"/>
        </w:rPr>
        <w:t xml:space="preserve"> units, with well-trained, service-focused staff. </w:t>
      </w:r>
    </w:p>
    <w:p w14:paraId="5D195CC9" w14:textId="77777777" w:rsidR="00010D46" w:rsidRPr="00211FB1" w:rsidRDefault="00010D46" w:rsidP="00010D46">
      <w:pPr>
        <w:spacing w:after="0" w:line="480" w:lineRule="auto"/>
        <w:jc w:val="both"/>
        <w:rPr>
          <w:rFonts w:ascii="Calibri" w:eastAsia="Calibri" w:hAnsi="Calibri" w:cs="Arial"/>
          <w:sz w:val="24"/>
          <w:szCs w:val="24"/>
        </w:rPr>
      </w:pPr>
    </w:p>
    <w:p w14:paraId="31097977" w14:textId="53C1D6EB" w:rsidR="00010D46" w:rsidRPr="00211FB1" w:rsidRDefault="00010D46" w:rsidP="00010D46">
      <w:pPr>
        <w:spacing w:after="0" w:line="480" w:lineRule="auto"/>
        <w:jc w:val="both"/>
        <w:rPr>
          <w:rFonts w:ascii="Calibri" w:eastAsia="Calibri" w:hAnsi="Calibri" w:cs="Arial"/>
          <w:sz w:val="24"/>
          <w:szCs w:val="24"/>
        </w:rPr>
      </w:pPr>
      <w:r w:rsidRPr="00211FB1">
        <w:rPr>
          <w:rFonts w:ascii="Calibri" w:eastAsia="Calibri" w:hAnsi="Calibri" w:cs="Arial"/>
          <w:sz w:val="24"/>
          <w:szCs w:val="24"/>
        </w:rPr>
        <w:t xml:space="preserve">A second key issue for growing services relates to building service deployment capacity. Both ChemCo and TelCo highlight a need to maintain balanced strategic planning between NSD efforts and the delivery of current offers (the typical explore/exploit dilemma [O'Reilly </w:t>
      </w:r>
      <w:r w:rsidR="00F00B0C">
        <w:rPr>
          <w:rFonts w:ascii="Calibri" w:eastAsia="Calibri" w:hAnsi="Calibri" w:cs="Arial"/>
          <w:sz w:val="24"/>
          <w:szCs w:val="24"/>
        </w:rPr>
        <w:t>&amp;</w:t>
      </w:r>
      <w:r w:rsidRPr="00211FB1">
        <w:rPr>
          <w:rFonts w:ascii="Calibri" w:eastAsia="Calibri" w:hAnsi="Calibri" w:cs="Arial"/>
          <w:sz w:val="24"/>
          <w:szCs w:val="24"/>
        </w:rPr>
        <w:t xml:space="preserve"> Tushman, 2011]) and to balance resources between products and services. TelCo’s consolidation process caused problems</w:t>
      </w:r>
      <w:r>
        <w:rPr>
          <w:rFonts w:ascii="Calibri" w:eastAsia="Calibri" w:hAnsi="Calibri" w:cs="Arial"/>
          <w:sz w:val="24"/>
          <w:szCs w:val="24"/>
        </w:rPr>
        <w:t xml:space="preserve">; </w:t>
      </w:r>
      <w:r w:rsidRPr="00211FB1">
        <w:rPr>
          <w:rFonts w:ascii="Calibri" w:eastAsia="Calibri" w:hAnsi="Calibri" w:cs="Arial"/>
          <w:sz w:val="24"/>
          <w:szCs w:val="24"/>
        </w:rPr>
        <w:t xml:space="preserve">it let some very qualified consultants leave due to perceived over-capacity, who they now need to provide new services </w:t>
      </w:r>
      <w:r>
        <w:rPr>
          <w:rFonts w:ascii="Calibri" w:eastAsia="Calibri" w:hAnsi="Calibri" w:cs="Arial"/>
          <w:sz w:val="24"/>
          <w:szCs w:val="24"/>
        </w:rPr>
        <w:t>because</w:t>
      </w:r>
      <w:r w:rsidRPr="00211FB1">
        <w:rPr>
          <w:rFonts w:ascii="Calibri" w:eastAsia="Calibri" w:hAnsi="Calibri" w:cs="Arial"/>
          <w:sz w:val="24"/>
          <w:szCs w:val="24"/>
        </w:rPr>
        <w:t xml:space="preserve"> of market growth. Similarly, SecurCo is not prepared to have expensive service</w:t>
      </w:r>
      <w:r>
        <w:rPr>
          <w:rFonts w:ascii="Calibri" w:eastAsia="Calibri" w:hAnsi="Calibri" w:cs="Arial"/>
          <w:sz w:val="24"/>
          <w:szCs w:val="24"/>
        </w:rPr>
        <w:t>s</w:t>
      </w:r>
      <w:r w:rsidRPr="00211FB1">
        <w:rPr>
          <w:rFonts w:ascii="Calibri" w:eastAsia="Calibri" w:hAnsi="Calibri" w:cs="Arial"/>
          <w:sz w:val="24"/>
          <w:szCs w:val="24"/>
        </w:rPr>
        <w:t xml:space="preserve"> experts ‘under-occupied’.</w:t>
      </w:r>
      <w:r w:rsidRPr="00211FB1">
        <w:rPr>
          <w:rFonts w:ascii="Calibri" w:eastAsia="Calibri" w:hAnsi="Calibri" w:cs="Arial"/>
          <w:i/>
          <w:sz w:val="24"/>
          <w:szCs w:val="24"/>
        </w:rPr>
        <w:t xml:space="preserve"> </w:t>
      </w:r>
      <w:r w:rsidRPr="00211FB1">
        <w:rPr>
          <w:rFonts w:ascii="Calibri" w:eastAsia="Calibri" w:hAnsi="Calibri" w:cs="Arial"/>
          <w:sz w:val="24"/>
          <w:szCs w:val="24"/>
        </w:rPr>
        <w:t>Its</w:t>
      </w:r>
      <w:r w:rsidRPr="00211FB1">
        <w:rPr>
          <w:rFonts w:ascii="Calibri" w:eastAsia="Calibri" w:hAnsi="Calibri" w:cs="Arial"/>
          <w:i/>
          <w:sz w:val="24"/>
          <w:szCs w:val="24"/>
        </w:rPr>
        <w:t xml:space="preserve"> </w:t>
      </w:r>
      <w:r w:rsidRPr="00211FB1">
        <w:rPr>
          <w:rFonts w:ascii="Calibri" w:eastAsia="Calibri" w:hAnsi="Calibri" w:cs="Arial"/>
          <w:sz w:val="24"/>
          <w:szCs w:val="24"/>
        </w:rPr>
        <w:t>lack of progress, might relate to its lack of prior service</w:t>
      </w:r>
      <w:r>
        <w:rPr>
          <w:rFonts w:ascii="Calibri" w:eastAsia="Calibri" w:hAnsi="Calibri" w:cs="Arial"/>
          <w:sz w:val="24"/>
          <w:szCs w:val="24"/>
        </w:rPr>
        <w:t>s</w:t>
      </w:r>
      <w:r w:rsidRPr="00211FB1">
        <w:rPr>
          <w:rFonts w:ascii="Calibri" w:eastAsia="Calibri" w:hAnsi="Calibri" w:cs="Arial"/>
          <w:sz w:val="24"/>
          <w:szCs w:val="24"/>
        </w:rPr>
        <w:t xml:space="preserve"> capabilities and efficiency concerns. ChemCo overcame this issue by multi-skilling people, working with partners to develop global reach, and being happy to service third-party products, using spare personnel capacity. ChemCo’s strategic board level commitment to grow services, translates into commitment to scaling the service</w:t>
      </w:r>
      <w:r>
        <w:rPr>
          <w:rFonts w:ascii="Calibri" w:eastAsia="Calibri" w:hAnsi="Calibri" w:cs="Arial"/>
          <w:sz w:val="24"/>
          <w:szCs w:val="24"/>
        </w:rPr>
        <w:t>s</w:t>
      </w:r>
      <w:r w:rsidRPr="00211FB1">
        <w:rPr>
          <w:rFonts w:ascii="Calibri" w:eastAsia="Calibri" w:hAnsi="Calibri" w:cs="Arial"/>
          <w:sz w:val="24"/>
          <w:szCs w:val="24"/>
        </w:rPr>
        <w:t xml:space="preserve"> business and growing market coverage; building a sustainable business model through scale. A key constraint is the scale of capital investment and the ‘lack the manpower’ required to ‘gear up’ in every location, because of transportation and legislative issues. In line with Möller </w:t>
      </w:r>
      <w:r>
        <w:rPr>
          <w:rFonts w:ascii="Calibri" w:eastAsia="Calibri" w:hAnsi="Calibri" w:cs="Arial"/>
          <w:sz w:val="24"/>
          <w:szCs w:val="24"/>
        </w:rPr>
        <w:t>&amp;</w:t>
      </w:r>
      <w:r w:rsidRPr="00211FB1">
        <w:rPr>
          <w:rFonts w:ascii="Calibri" w:eastAsia="Calibri" w:hAnsi="Calibri" w:cs="Arial"/>
          <w:sz w:val="24"/>
          <w:szCs w:val="24"/>
        </w:rPr>
        <w:t xml:space="preserve"> Rajala’s (2007) network approach; ChemCo have partly overcome this issue by using third-party providers, branded with their company logo. </w:t>
      </w:r>
    </w:p>
    <w:p w14:paraId="53859A07" w14:textId="77777777" w:rsidR="00010D46" w:rsidRPr="00211FB1" w:rsidRDefault="00010D46" w:rsidP="00010D46">
      <w:pPr>
        <w:spacing w:after="0" w:line="480" w:lineRule="auto"/>
        <w:jc w:val="both"/>
        <w:rPr>
          <w:rFonts w:ascii="Calibri" w:eastAsia="Calibri" w:hAnsi="Calibri" w:cs="Arial"/>
          <w:sz w:val="24"/>
          <w:szCs w:val="24"/>
        </w:rPr>
      </w:pPr>
    </w:p>
    <w:p w14:paraId="4772E98A" w14:textId="77777777" w:rsidR="00010D46" w:rsidRPr="00211FB1" w:rsidRDefault="00010D46" w:rsidP="00010D46">
      <w:pPr>
        <w:spacing w:after="0" w:line="480" w:lineRule="auto"/>
        <w:jc w:val="both"/>
        <w:rPr>
          <w:rFonts w:ascii="Calibri" w:eastAsia="Calibri" w:hAnsi="Calibri" w:cs="Arial"/>
          <w:sz w:val="24"/>
          <w:szCs w:val="24"/>
        </w:rPr>
      </w:pPr>
      <w:r w:rsidRPr="00211FB1">
        <w:rPr>
          <w:rFonts w:ascii="Calibri" w:eastAsia="Calibri" w:hAnsi="Calibri" w:cs="Arial"/>
          <w:sz w:val="24"/>
          <w:szCs w:val="24"/>
        </w:rPr>
        <w:t>TelCo has tried various approaches to managing this issue around efficient scalability but now ha</w:t>
      </w:r>
      <w:r>
        <w:rPr>
          <w:rFonts w:ascii="Calibri" w:eastAsia="Calibri" w:hAnsi="Calibri" w:cs="Arial"/>
          <w:sz w:val="24"/>
          <w:szCs w:val="24"/>
        </w:rPr>
        <w:t>s</w:t>
      </w:r>
      <w:r w:rsidRPr="00211FB1">
        <w:rPr>
          <w:rFonts w:ascii="Calibri" w:eastAsia="Calibri" w:hAnsi="Calibri" w:cs="Arial"/>
          <w:sz w:val="24"/>
          <w:szCs w:val="24"/>
        </w:rPr>
        <w:t xml:space="preserve"> a structure around distinct service</w:t>
      </w:r>
      <w:r>
        <w:rPr>
          <w:rFonts w:ascii="Calibri" w:eastAsia="Calibri" w:hAnsi="Calibri" w:cs="Arial"/>
          <w:sz w:val="24"/>
          <w:szCs w:val="24"/>
        </w:rPr>
        <w:t>s</w:t>
      </w:r>
      <w:r w:rsidRPr="00211FB1">
        <w:rPr>
          <w:rFonts w:ascii="Calibri" w:eastAsia="Calibri" w:hAnsi="Calibri" w:cs="Arial"/>
          <w:sz w:val="24"/>
          <w:szCs w:val="24"/>
        </w:rPr>
        <w:t xml:space="preserve"> lines, a global services delivery centre and regional staff supporting the regional sales teams. It is also focused on trying to modularise service</w:t>
      </w:r>
      <w:r>
        <w:rPr>
          <w:rFonts w:ascii="Calibri" w:eastAsia="Calibri" w:hAnsi="Calibri" w:cs="Arial"/>
          <w:sz w:val="24"/>
          <w:szCs w:val="24"/>
        </w:rPr>
        <w:t>s</w:t>
      </w:r>
      <w:r w:rsidRPr="00211FB1">
        <w:rPr>
          <w:rFonts w:ascii="Calibri" w:eastAsia="Calibri" w:hAnsi="Calibri" w:cs="Arial"/>
          <w:sz w:val="24"/>
          <w:szCs w:val="24"/>
        </w:rPr>
        <w:t xml:space="preserve"> delivery into simplified, remotely delivered components that can be outsourced to sub-contractors. Similarly, AeroCo has a modular menu of solutions and then uses a mixture of onsite specialists and support helpdesks. AeroCo is also beginning to develop simulation tools to support scalability; for example, reducing requirements for ‘live training’, which lowers costs and training days required. Finally, AeroCo highlights the importance of being prepared to lose money initially, knowing that it can then ‘lean’ the deployment process via continuous improvements to make it cost effective. This means taking a long-term approach to the commitment of resources to the customer, knowing that longer-term profit will come through ‘lean’ skills and customer satisfaction. </w:t>
      </w:r>
    </w:p>
    <w:p w14:paraId="1E763BA9" w14:textId="664884FB" w:rsidR="00010D46" w:rsidRPr="00211FB1" w:rsidRDefault="00010D46" w:rsidP="00010D46">
      <w:pPr>
        <w:spacing w:after="0" w:line="480" w:lineRule="auto"/>
        <w:jc w:val="both"/>
        <w:rPr>
          <w:rFonts w:ascii="Calibri" w:eastAsia="Calibri" w:hAnsi="Calibri" w:cs="Arial"/>
          <w:sz w:val="24"/>
          <w:szCs w:val="24"/>
        </w:rPr>
      </w:pPr>
    </w:p>
    <w:p w14:paraId="38DB84C8" w14:textId="43E3428C" w:rsidR="00010D46" w:rsidRDefault="00A96D0D" w:rsidP="00010D46">
      <w:pPr>
        <w:spacing w:after="0" w:line="480" w:lineRule="auto"/>
        <w:jc w:val="both"/>
        <w:rPr>
          <w:rFonts w:ascii="Calibri" w:eastAsia="Calibri" w:hAnsi="Calibri" w:cs="Arial"/>
          <w:sz w:val="24"/>
          <w:szCs w:val="24"/>
        </w:rPr>
      </w:pPr>
      <w:r>
        <w:rPr>
          <w:rFonts w:ascii="Calibri" w:eastAsia="Calibri" w:hAnsi="Calibri" w:cs="Arial"/>
          <w:sz w:val="24"/>
          <w:szCs w:val="24"/>
        </w:rPr>
        <w:t xml:space="preserve">Based on the differences observed in the approaches identified from the four cases, </w:t>
      </w:r>
      <w:r w:rsidR="003B283A">
        <w:rPr>
          <w:rFonts w:ascii="Calibri" w:eastAsia="Calibri" w:hAnsi="Calibri" w:cs="Arial"/>
          <w:sz w:val="24"/>
          <w:szCs w:val="24"/>
        </w:rPr>
        <w:t xml:space="preserve">and </w:t>
      </w:r>
      <w:r>
        <w:rPr>
          <w:rFonts w:ascii="Calibri" w:eastAsia="Calibri" w:hAnsi="Calibri" w:cs="Arial"/>
          <w:sz w:val="24"/>
          <w:szCs w:val="24"/>
        </w:rPr>
        <w:t>r</w:t>
      </w:r>
      <w:r w:rsidR="00010D46" w:rsidRPr="00211FB1">
        <w:rPr>
          <w:rFonts w:ascii="Calibri" w:eastAsia="Calibri" w:hAnsi="Calibri" w:cs="Arial"/>
          <w:sz w:val="24"/>
          <w:szCs w:val="24"/>
        </w:rPr>
        <w:t xml:space="preserve">ecognising the potential of process tools that support scalability and efforts to adapt and modularise production capacity and the value of staff </w:t>
      </w:r>
      <w:r>
        <w:rPr>
          <w:rFonts w:ascii="Calibri" w:eastAsia="Calibri" w:hAnsi="Calibri" w:cs="Arial"/>
          <w:sz w:val="24"/>
          <w:szCs w:val="24"/>
        </w:rPr>
        <w:t>and how they are trained</w:t>
      </w:r>
      <w:r w:rsidR="00010D46" w:rsidRPr="00211FB1">
        <w:rPr>
          <w:rFonts w:ascii="Calibri" w:eastAsia="Calibri" w:hAnsi="Calibri" w:cs="Arial"/>
          <w:sz w:val="24"/>
          <w:szCs w:val="24"/>
        </w:rPr>
        <w:t>, leads to t</w:t>
      </w:r>
      <w:r w:rsidR="00010D46">
        <w:rPr>
          <w:rFonts w:ascii="Calibri" w:eastAsia="Calibri" w:hAnsi="Calibri" w:cs="Arial"/>
          <w:sz w:val="24"/>
          <w:szCs w:val="24"/>
        </w:rPr>
        <w:t xml:space="preserve">he development of Propositions </w:t>
      </w:r>
      <w:r w:rsidR="00F00B0C">
        <w:rPr>
          <w:rFonts w:ascii="Calibri" w:eastAsia="Calibri" w:hAnsi="Calibri" w:cs="Arial"/>
          <w:sz w:val="24"/>
          <w:szCs w:val="24"/>
        </w:rPr>
        <w:t>6</w:t>
      </w:r>
      <w:r w:rsidR="00D8600B">
        <w:rPr>
          <w:rFonts w:ascii="Calibri" w:eastAsia="Calibri" w:hAnsi="Calibri" w:cs="Arial"/>
          <w:sz w:val="24"/>
          <w:szCs w:val="24"/>
        </w:rPr>
        <w:t xml:space="preserve"> </w:t>
      </w:r>
      <w:r w:rsidR="00010D46">
        <w:rPr>
          <w:rFonts w:ascii="Calibri" w:eastAsia="Calibri" w:hAnsi="Calibri" w:cs="Arial"/>
          <w:sz w:val="24"/>
          <w:szCs w:val="24"/>
        </w:rPr>
        <w:t xml:space="preserve">and </w:t>
      </w:r>
      <w:r w:rsidR="00F00B0C">
        <w:rPr>
          <w:rFonts w:ascii="Calibri" w:eastAsia="Calibri" w:hAnsi="Calibri" w:cs="Arial"/>
          <w:sz w:val="24"/>
          <w:szCs w:val="24"/>
        </w:rPr>
        <w:t>7</w:t>
      </w:r>
      <w:r w:rsidR="00010D46" w:rsidRPr="00211FB1">
        <w:rPr>
          <w:rFonts w:ascii="Calibri" w:eastAsia="Calibri" w:hAnsi="Calibri" w:cs="Arial"/>
          <w:sz w:val="24"/>
          <w:szCs w:val="24"/>
        </w:rPr>
        <w:t>:</w:t>
      </w:r>
    </w:p>
    <w:p w14:paraId="5881C3F2" w14:textId="77777777" w:rsidR="00010D46" w:rsidRPr="00211FB1" w:rsidRDefault="00010D46" w:rsidP="00010D46">
      <w:pPr>
        <w:spacing w:after="0" w:line="480" w:lineRule="auto"/>
        <w:jc w:val="both"/>
        <w:rPr>
          <w:rFonts w:ascii="Calibri" w:eastAsia="Calibri" w:hAnsi="Calibri" w:cs="Arial"/>
          <w:sz w:val="24"/>
          <w:szCs w:val="24"/>
        </w:rPr>
      </w:pPr>
    </w:p>
    <w:p w14:paraId="05470C36" w14:textId="4483346D" w:rsidR="00010D46" w:rsidRPr="00211FB1" w:rsidRDefault="006A5ADD" w:rsidP="00010D46">
      <w:pPr>
        <w:spacing w:after="0" w:line="480" w:lineRule="auto"/>
        <w:jc w:val="both"/>
        <w:rPr>
          <w:rFonts w:ascii="Calibri" w:eastAsia="Calibri" w:hAnsi="Calibri" w:cs="Arial"/>
          <w:sz w:val="24"/>
          <w:szCs w:val="24"/>
        </w:rPr>
      </w:pPr>
      <w:r w:rsidRPr="00211FB1">
        <w:rPr>
          <w:rFonts w:ascii="Calibri" w:eastAsia="Calibri" w:hAnsi="Calibri" w:cs="Arial"/>
          <w:sz w:val="24"/>
          <w:szCs w:val="24"/>
        </w:rPr>
        <w:t>P</w:t>
      </w:r>
      <w:r>
        <w:rPr>
          <w:rFonts w:ascii="Calibri" w:eastAsia="Calibri" w:hAnsi="Calibri" w:cs="Arial"/>
          <w:sz w:val="24"/>
          <w:szCs w:val="24"/>
        </w:rPr>
        <w:t>6</w:t>
      </w:r>
      <w:r w:rsidR="00010D46" w:rsidRPr="00211FB1">
        <w:rPr>
          <w:rFonts w:ascii="Calibri" w:eastAsia="Calibri" w:hAnsi="Calibri" w:cs="Arial"/>
          <w:sz w:val="24"/>
          <w:szCs w:val="24"/>
        </w:rPr>
        <w:t>: Staff training and support to develop service</w:t>
      </w:r>
      <w:r w:rsidR="00010D46">
        <w:rPr>
          <w:rFonts w:ascii="Calibri" w:eastAsia="Calibri" w:hAnsi="Calibri" w:cs="Arial"/>
          <w:sz w:val="24"/>
          <w:szCs w:val="24"/>
        </w:rPr>
        <w:t>s</w:t>
      </w:r>
      <w:r w:rsidR="00010D46" w:rsidRPr="00211FB1">
        <w:rPr>
          <w:rFonts w:ascii="Calibri" w:eastAsia="Calibri" w:hAnsi="Calibri" w:cs="Arial"/>
          <w:sz w:val="24"/>
          <w:szCs w:val="24"/>
        </w:rPr>
        <w:t xml:space="preserve"> delivery capabilities are more important when organisations are attempting to deliver services with existing product-focused personnel.</w:t>
      </w:r>
    </w:p>
    <w:p w14:paraId="11AC194F" w14:textId="3C2B179B" w:rsidR="00010D46" w:rsidRPr="00211FB1" w:rsidRDefault="006A5ADD" w:rsidP="00010D46">
      <w:pPr>
        <w:spacing w:line="480" w:lineRule="auto"/>
        <w:rPr>
          <w:rFonts w:ascii="Calibri" w:eastAsia="Calibri" w:hAnsi="Calibri" w:cs="Arial"/>
          <w:sz w:val="24"/>
          <w:szCs w:val="24"/>
        </w:rPr>
      </w:pPr>
      <w:r w:rsidRPr="00211FB1">
        <w:rPr>
          <w:rFonts w:ascii="Calibri" w:eastAsia="Calibri" w:hAnsi="Calibri" w:cs="Arial"/>
          <w:sz w:val="24"/>
          <w:szCs w:val="24"/>
        </w:rPr>
        <w:t>P</w:t>
      </w:r>
      <w:r>
        <w:rPr>
          <w:rFonts w:ascii="Calibri" w:eastAsia="Calibri" w:hAnsi="Calibri" w:cs="Arial"/>
          <w:sz w:val="24"/>
          <w:szCs w:val="24"/>
        </w:rPr>
        <w:t>7</w:t>
      </w:r>
      <w:r w:rsidR="00010D46" w:rsidRPr="00211FB1">
        <w:rPr>
          <w:rFonts w:ascii="Calibri" w:eastAsia="Calibri" w:hAnsi="Calibri" w:cs="Arial"/>
          <w:sz w:val="24"/>
          <w:szCs w:val="24"/>
        </w:rPr>
        <w:t>: Firms are more likely to overcome the issue of scalability</w:t>
      </w:r>
      <w:r w:rsidR="003169D5">
        <w:rPr>
          <w:rFonts w:ascii="Calibri" w:eastAsia="Calibri" w:hAnsi="Calibri" w:cs="Arial"/>
          <w:sz w:val="24"/>
          <w:szCs w:val="24"/>
        </w:rPr>
        <w:t>, necessary to become more servitized,</w:t>
      </w:r>
      <w:r w:rsidR="00010D46" w:rsidRPr="00211FB1">
        <w:rPr>
          <w:rFonts w:ascii="Calibri" w:eastAsia="Calibri" w:hAnsi="Calibri" w:cs="Arial"/>
          <w:sz w:val="24"/>
          <w:szCs w:val="24"/>
        </w:rPr>
        <w:t xml:space="preserve"> if they </w:t>
      </w:r>
      <w:r w:rsidR="003A78B5">
        <w:rPr>
          <w:rFonts w:ascii="Calibri" w:eastAsia="Calibri" w:hAnsi="Calibri" w:cs="Arial"/>
          <w:sz w:val="24"/>
          <w:szCs w:val="24"/>
        </w:rPr>
        <w:t>place greater</w:t>
      </w:r>
      <w:r w:rsidR="003A78B5" w:rsidRPr="00211FB1">
        <w:rPr>
          <w:rFonts w:ascii="Calibri" w:eastAsia="Calibri" w:hAnsi="Calibri" w:cs="Arial"/>
          <w:sz w:val="24"/>
          <w:szCs w:val="24"/>
        </w:rPr>
        <w:t xml:space="preserve"> </w:t>
      </w:r>
      <w:r w:rsidR="00010D46" w:rsidRPr="00211FB1">
        <w:rPr>
          <w:rFonts w:ascii="Calibri" w:eastAsia="Calibri" w:hAnsi="Calibri" w:cs="Arial"/>
          <w:sz w:val="24"/>
          <w:szCs w:val="24"/>
        </w:rPr>
        <w:t>efforts on: (i) modularisation; (ii) productising service innovations; (iii) flexible people and resource deployment; and, (iv) continuous improvement efforts.</w:t>
      </w:r>
    </w:p>
    <w:p w14:paraId="006EEF1D" w14:textId="77777777" w:rsidR="00211FB1" w:rsidRPr="00211FB1" w:rsidRDefault="00211FB1" w:rsidP="00211FB1">
      <w:pPr>
        <w:rPr>
          <w:rFonts w:ascii="Calibri" w:eastAsia="Calibri" w:hAnsi="Calibri" w:cs="Arial"/>
          <w:i/>
          <w:sz w:val="24"/>
          <w:szCs w:val="24"/>
        </w:rPr>
      </w:pPr>
    </w:p>
    <w:p w14:paraId="3AD7D652" w14:textId="4A3C091D" w:rsidR="00211FB1" w:rsidRPr="00211FB1" w:rsidRDefault="00211FB1" w:rsidP="00211FB1">
      <w:pPr>
        <w:rPr>
          <w:rFonts w:ascii="Calibri" w:eastAsia="Calibri" w:hAnsi="Calibri" w:cs="Arial"/>
          <w:i/>
          <w:sz w:val="24"/>
          <w:szCs w:val="24"/>
        </w:rPr>
      </w:pPr>
      <w:r w:rsidRPr="00211FB1">
        <w:rPr>
          <w:rFonts w:ascii="Calibri" w:eastAsia="Calibri" w:hAnsi="Calibri" w:cs="Arial"/>
          <w:i/>
          <w:sz w:val="24"/>
          <w:szCs w:val="24"/>
        </w:rPr>
        <w:t>4.5 Discussion</w:t>
      </w:r>
    </w:p>
    <w:p w14:paraId="634CED60" w14:textId="2498FD6B" w:rsidR="00211FB1" w:rsidRPr="00211FB1" w:rsidRDefault="005D7AF2" w:rsidP="005D7AF2">
      <w:pPr>
        <w:spacing w:after="0" w:line="480" w:lineRule="auto"/>
        <w:jc w:val="both"/>
        <w:rPr>
          <w:rFonts w:ascii="Calibri" w:eastAsia="Calibri" w:hAnsi="Calibri" w:cs="Arial"/>
          <w:sz w:val="24"/>
          <w:szCs w:val="24"/>
        </w:rPr>
      </w:pPr>
      <w:r w:rsidRPr="00211FB1">
        <w:rPr>
          <w:rFonts w:ascii="Calibri" w:eastAsia="Calibri" w:hAnsi="Calibri" w:cs="Arial"/>
          <w:sz w:val="24"/>
          <w:szCs w:val="24"/>
        </w:rPr>
        <w:t xml:space="preserve">This study has identified </w:t>
      </w:r>
      <w:r>
        <w:rPr>
          <w:rFonts w:ascii="Calibri" w:eastAsia="Calibri" w:hAnsi="Calibri" w:cs="Arial"/>
          <w:sz w:val="24"/>
          <w:szCs w:val="24"/>
        </w:rPr>
        <w:t xml:space="preserve">homogeneity in the NSD challenges faced </w:t>
      </w:r>
      <w:r w:rsidR="001B2F63">
        <w:rPr>
          <w:rFonts w:ascii="Calibri" w:eastAsia="Calibri" w:hAnsi="Calibri" w:cs="Arial"/>
          <w:sz w:val="24"/>
          <w:szCs w:val="24"/>
        </w:rPr>
        <w:t xml:space="preserve">by the case organisations </w:t>
      </w:r>
      <w:r>
        <w:rPr>
          <w:rFonts w:ascii="Calibri" w:eastAsia="Calibri" w:hAnsi="Calibri" w:cs="Arial"/>
          <w:sz w:val="24"/>
          <w:szCs w:val="24"/>
        </w:rPr>
        <w:t xml:space="preserve">but </w:t>
      </w:r>
      <w:r w:rsidRPr="00211FB1">
        <w:rPr>
          <w:rFonts w:ascii="Calibri" w:eastAsia="Calibri" w:hAnsi="Calibri" w:cs="Arial"/>
          <w:sz w:val="24"/>
          <w:szCs w:val="24"/>
        </w:rPr>
        <w:t xml:space="preserve">heterogeneity in the responses </w:t>
      </w:r>
      <w:r w:rsidR="001B2F63">
        <w:rPr>
          <w:rFonts w:ascii="Calibri" w:eastAsia="Calibri" w:hAnsi="Calibri" w:cs="Arial"/>
          <w:sz w:val="24"/>
          <w:szCs w:val="24"/>
        </w:rPr>
        <w:t xml:space="preserve">they </w:t>
      </w:r>
      <w:r w:rsidRPr="00211FB1">
        <w:rPr>
          <w:rFonts w:ascii="Calibri" w:eastAsia="Calibri" w:hAnsi="Calibri" w:cs="Arial"/>
          <w:sz w:val="24"/>
          <w:szCs w:val="24"/>
        </w:rPr>
        <w:t xml:space="preserve">adopt </w:t>
      </w:r>
      <w:r w:rsidR="001B2F63">
        <w:rPr>
          <w:rFonts w:ascii="Calibri" w:eastAsia="Calibri" w:hAnsi="Calibri" w:cs="Arial"/>
          <w:sz w:val="24"/>
          <w:szCs w:val="24"/>
        </w:rPr>
        <w:t>with evidence of variation</w:t>
      </w:r>
      <w:r w:rsidRPr="00211FB1">
        <w:rPr>
          <w:rFonts w:ascii="Calibri" w:eastAsia="Calibri" w:hAnsi="Calibri" w:cs="Arial"/>
          <w:sz w:val="24"/>
          <w:szCs w:val="24"/>
        </w:rPr>
        <w:t xml:space="preserve"> depending on the</w:t>
      </w:r>
      <w:r>
        <w:rPr>
          <w:rFonts w:ascii="Calibri" w:eastAsia="Calibri" w:hAnsi="Calibri" w:cs="Arial"/>
          <w:sz w:val="24"/>
          <w:szCs w:val="24"/>
        </w:rPr>
        <w:t>ir</w:t>
      </w:r>
      <w:r w:rsidRPr="00211FB1">
        <w:rPr>
          <w:rFonts w:ascii="Calibri" w:eastAsia="Calibri" w:hAnsi="Calibri" w:cs="Arial"/>
          <w:sz w:val="24"/>
          <w:szCs w:val="24"/>
        </w:rPr>
        <w:t xml:space="preserve"> service</w:t>
      </w:r>
      <w:r>
        <w:rPr>
          <w:rFonts w:ascii="Calibri" w:eastAsia="Calibri" w:hAnsi="Calibri" w:cs="Arial"/>
          <w:sz w:val="24"/>
          <w:szCs w:val="24"/>
        </w:rPr>
        <w:t>s</w:t>
      </w:r>
      <w:r w:rsidRPr="00211FB1">
        <w:rPr>
          <w:rFonts w:ascii="Calibri" w:eastAsia="Calibri" w:hAnsi="Calibri" w:cs="Arial"/>
          <w:sz w:val="24"/>
          <w:szCs w:val="24"/>
        </w:rPr>
        <w:t xml:space="preserve"> strategy. The responses to the </w:t>
      </w:r>
      <w:r>
        <w:rPr>
          <w:rFonts w:ascii="Calibri" w:eastAsia="Calibri" w:hAnsi="Calibri" w:cs="Arial"/>
          <w:sz w:val="24"/>
          <w:szCs w:val="24"/>
        </w:rPr>
        <w:t xml:space="preserve">NSD </w:t>
      </w:r>
      <w:r w:rsidRPr="00211FB1">
        <w:rPr>
          <w:rFonts w:ascii="Calibri" w:eastAsia="Calibri" w:hAnsi="Calibri" w:cs="Arial"/>
          <w:sz w:val="24"/>
          <w:szCs w:val="24"/>
        </w:rPr>
        <w:t xml:space="preserve">challenges tend to be a mixture of cultural, structural, </w:t>
      </w:r>
      <w:r>
        <w:rPr>
          <w:rFonts w:ascii="Calibri" w:eastAsia="Calibri" w:hAnsi="Calibri" w:cs="Arial"/>
          <w:sz w:val="24"/>
          <w:szCs w:val="24"/>
        </w:rPr>
        <w:t xml:space="preserve">people </w:t>
      </w:r>
      <w:r w:rsidRPr="00211FB1">
        <w:rPr>
          <w:rFonts w:ascii="Calibri" w:eastAsia="Calibri" w:hAnsi="Calibri" w:cs="Arial"/>
          <w:sz w:val="24"/>
          <w:szCs w:val="24"/>
        </w:rPr>
        <w:t>and process changes.</w:t>
      </w:r>
      <w:r w:rsidR="00BD1D23">
        <w:rPr>
          <w:rFonts w:ascii="Calibri" w:eastAsia="Calibri" w:hAnsi="Calibri" w:cs="Arial"/>
          <w:sz w:val="24"/>
          <w:szCs w:val="24"/>
        </w:rPr>
        <w:t xml:space="preserve"> </w:t>
      </w:r>
      <w:r w:rsidR="001B2F63">
        <w:rPr>
          <w:rFonts w:ascii="Calibri" w:eastAsia="Calibri" w:hAnsi="Calibri" w:cs="Arial"/>
          <w:sz w:val="24"/>
          <w:szCs w:val="24"/>
        </w:rPr>
        <w:t xml:space="preserve">Four themes were identified </w:t>
      </w:r>
      <w:r w:rsidR="00E556B5">
        <w:rPr>
          <w:rFonts w:ascii="Calibri" w:eastAsia="Calibri" w:hAnsi="Calibri" w:cs="Arial"/>
          <w:sz w:val="24"/>
          <w:szCs w:val="24"/>
        </w:rPr>
        <w:t>that</w:t>
      </w:r>
      <w:r w:rsidR="001B2F63">
        <w:rPr>
          <w:rFonts w:ascii="Calibri" w:eastAsia="Calibri" w:hAnsi="Calibri" w:cs="Arial"/>
          <w:sz w:val="24"/>
          <w:szCs w:val="24"/>
        </w:rPr>
        <w:t xml:space="preserve"> illustrate these issues. </w:t>
      </w:r>
    </w:p>
    <w:p w14:paraId="18DB15C7" w14:textId="77777777" w:rsidR="0010183B" w:rsidRDefault="0010183B" w:rsidP="00334A5E">
      <w:pPr>
        <w:spacing w:after="0" w:line="480" w:lineRule="auto"/>
        <w:jc w:val="both"/>
        <w:rPr>
          <w:rFonts w:ascii="Calibri" w:eastAsia="Calibri" w:hAnsi="Calibri" w:cs="Arial"/>
          <w:sz w:val="24"/>
          <w:szCs w:val="24"/>
        </w:rPr>
      </w:pPr>
    </w:p>
    <w:p w14:paraId="06D4D926" w14:textId="34E65ACD" w:rsidR="0031765E" w:rsidRDefault="005D7AF2" w:rsidP="0031765E">
      <w:pPr>
        <w:spacing w:after="0" w:line="480" w:lineRule="auto"/>
        <w:jc w:val="both"/>
        <w:rPr>
          <w:rFonts w:ascii="Calibri" w:eastAsia="Calibri" w:hAnsi="Calibri" w:cs="Arial"/>
          <w:sz w:val="24"/>
          <w:szCs w:val="24"/>
        </w:rPr>
      </w:pPr>
      <w:r>
        <w:rPr>
          <w:rFonts w:ascii="Calibri" w:eastAsia="Calibri" w:hAnsi="Calibri" w:cs="Arial"/>
          <w:sz w:val="24"/>
          <w:szCs w:val="24"/>
        </w:rPr>
        <w:t>I</w:t>
      </w:r>
      <w:r w:rsidR="00211FB1" w:rsidRPr="00211FB1">
        <w:rPr>
          <w:rFonts w:ascii="Calibri" w:eastAsia="Calibri" w:hAnsi="Calibri" w:cs="Arial"/>
          <w:sz w:val="24"/>
          <w:szCs w:val="24"/>
        </w:rPr>
        <w:t xml:space="preserve">n </w:t>
      </w:r>
      <w:r w:rsidR="0031765E">
        <w:rPr>
          <w:rFonts w:ascii="Calibri" w:eastAsia="Calibri" w:hAnsi="Calibri" w:cs="Arial"/>
          <w:sz w:val="24"/>
          <w:szCs w:val="24"/>
        </w:rPr>
        <w:t>terms of innovation mind-set</w:t>
      </w:r>
      <w:r w:rsidR="00211FB1" w:rsidRPr="00211FB1">
        <w:rPr>
          <w:rFonts w:ascii="Calibri" w:eastAsia="Calibri" w:hAnsi="Calibri" w:cs="Arial"/>
          <w:sz w:val="24"/>
          <w:szCs w:val="24"/>
        </w:rPr>
        <w:t xml:space="preserve">, all four organisations retain </w:t>
      </w:r>
      <w:r w:rsidR="0031765E">
        <w:rPr>
          <w:rFonts w:ascii="Calibri" w:eastAsia="Calibri" w:hAnsi="Calibri" w:cs="Arial"/>
          <w:sz w:val="24"/>
          <w:szCs w:val="24"/>
        </w:rPr>
        <w:t>varying degrees</w:t>
      </w:r>
      <w:r w:rsidR="0031765E" w:rsidRPr="00211FB1">
        <w:rPr>
          <w:rFonts w:ascii="Calibri" w:eastAsia="Calibri" w:hAnsi="Calibri" w:cs="Arial"/>
          <w:sz w:val="24"/>
          <w:szCs w:val="24"/>
        </w:rPr>
        <w:t xml:space="preserve"> </w:t>
      </w:r>
      <w:r w:rsidR="0031765E">
        <w:rPr>
          <w:rFonts w:ascii="Calibri" w:eastAsia="Calibri" w:hAnsi="Calibri" w:cs="Arial"/>
          <w:sz w:val="24"/>
          <w:szCs w:val="24"/>
        </w:rPr>
        <w:t>of</w:t>
      </w:r>
      <w:r w:rsidR="0031765E" w:rsidRPr="00211FB1">
        <w:rPr>
          <w:rFonts w:ascii="Calibri" w:eastAsia="Calibri" w:hAnsi="Calibri" w:cs="Arial"/>
          <w:sz w:val="24"/>
          <w:szCs w:val="24"/>
        </w:rPr>
        <w:t xml:space="preserve"> </w:t>
      </w:r>
      <w:r w:rsidR="00211FB1" w:rsidRPr="00211FB1">
        <w:rPr>
          <w:rFonts w:ascii="Calibri" w:eastAsia="Calibri" w:hAnsi="Calibri" w:cs="Arial"/>
          <w:sz w:val="24"/>
          <w:szCs w:val="24"/>
        </w:rPr>
        <w:t>product-focus</w:t>
      </w:r>
      <w:r w:rsidR="0031765E">
        <w:rPr>
          <w:rFonts w:ascii="Calibri" w:eastAsia="Calibri" w:hAnsi="Calibri" w:cs="Arial"/>
          <w:sz w:val="24"/>
          <w:szCs w:val="24"/>
        </w:rPr>
        <w:t>,</w:t>
      </w:r>
      <w:r w:rsidR="000B7648">
        <w:rPr>
          <w:rFonts w:ascii="Calibri" w:eastAsia="Calibri" w:hAnsi="Calibri" w:cs="Arial"/>
          <w:sz w:val="24"/>
          <w:szCs w:val="24"/>
        </w:rPr>
        <w:t xml:space="preserve"> </w:t>
      </w:r>
      <w:r w:rsidR="0031765E">
        <w:rPr>
          <w:rFonts w:ascii="Calibri" w:eastAsia="Calibri" w:hAnsi="Calibri" w:cs="Arial"/>
          <w:sz w:val="24"/>
          <w:szCs w:val="24"/>
        </w:rPr>
        <w:t xml:space="preserve">based on their perceptions of </w:t>
      </w:r>
      <w:r w:rsidR="0031765E" w:rsidRPr="00211FB1">
        <w:rPr>
          <w:rFonts w:ascii="Calibri" w:eastAsia="Calibri" w:hAnsi="Calibri" w:cs="Arial"/>
          <w:sz w:val="24"/>
          <w:szCs w:val="24"/>
        </w:rPr>
        <w:t xml:space="preserve">strong product competitive advantages </w:t>
      </w:r>
      <w:r w:rsidR="0031765E">
        <w:rPr>
          <w:rFonts w:ascii="Calibri" w:eastAsia="Calibri" w:hAnsi="Calibri" w:cs="Arial"/>
          <w:sz w:val="24"/>
          <w:szCs w:val="24"/>
        </w:rPr>
        <w:t>that their products provide. This retained product-focused innovation mind-set means that in all</w:t>
      </w:r>
      <w:r w:rsidR="0031765E" w:rsidRPr="00F83B7E">
        <w:rPr>
          <w:rFonts w:ascii="Calibri" w:eastAsia="Calibri" w:hAnsi="Calibri" w:cs="Arial"/>
          <w:sz w:val="24"/>
          <w:szCs w:val="24"/>
        </w:rPr>
        <w:t xml:space="preserve"> cases NPD and NSD processes </w:t>
      </w:r>
      <w:r w:rsidR="0031765E">
        <w:rPr>
          <w:rFonts w:ascii="Calibri" w:eastAsia="Calibri" w:hAnsi="Calibri" w:cs="Arial"/>
          <w:sz w:val="24"/>
          <w:szCs w:val="24"/>
        </w:rPr>
        <w:t>are not separate</w:t>
      </w:r>
      <w:r w:rsidR="00E556B5">
        <w:rPr>
          <w:rFonts w:ascii="Calibri" w:eastAsia="Calibri" w:hAnsi="Calibri" w:cs="Arial"/>
          <w:sz w:val="24"/>
          <w:szCs w:val="24"/>
        </w:rPr>
        <w:t>,</w:t>
      </w:r>
      <w:r w:rsidR="0031765E" w:rsidRPr="00F83B7E">
        <w:rPr>
          <w:rFonts w:ascii="Calibri" w:eastAsia="Calibri" w:hAnsi="Calibri" w:cs="Arial"/>
          <w:sz w:val="24"/>
          <w:szCs w:val="24"/>
        </w:rPr>
        <w:t xml:space="preserve"> </w:t>
      </w:r>
      <w:r w:rsidR="00E556B5">
        <w:rPr>
          <w:rFonts w:ascii="Calibri" w:eastAsia="Calibri" w:hAnsi="Calibri" w:cs="Arial"/>
          <w:sz w:val="24"/>
          <w:szCs w:val="24"/>
        </w:rPr>
        <w:t>but rather</w:t>
      </w:r>
      <w:r w:rsidR="0031765E">
        <w:rPr>
          <w:rFonts w:ascii="Calibri" w:eastAsia="Calibri" w:hAnsi="Calibri" w:cs="Arial"/>
          <w:sz w:val="24"/>
          <w:szCs w:val="24"/>
        </w:rPr>
        <w:t xml:space="preserve"> are closely related to each other </w:t>
      </w:r>
      <w:r w:rsidR="0031765E" w:rsidRPr="00B07E61">
        <w:rPr>
          <w:sz w:val="24"/>
          <w:szCs w:val="24"/>
        </w:rPr>
        <w:t xml:space="preserve">(Gallouj </w:t>
      </w:r>
      <w:r w:rsidR="0031765E">
        <w:rPr>
          <w:sz w:val="24"/>
          <w:szCs w:val="24"/>
        </w:rPr>
        <w:t>&amp; Windrum, 2009; Gremyr et al., 2014). SecurCo demonstrates a mind</w:t>
      </w:r>
      <w:r w:rsidR="00A64625">
        <w:rPr>
          <w:sz w:val="24"/>
          <w:szCs w:val="24"/>
        </w:rPr>
        <w:t>-</w:t>
      </w:r>
      <w:r w:rsidR="0031765E">
        <w:rPr>
          <w:sz w:val="24"/>
          <w:szCs w:val="24"/>
        </w:rPr>
        <w:t xml:space="preserve">set </w:t>
      </w:r>
      <w:r w:rsidR="00E556B5">
        <w:rPr>
          <w:sz w:val="24"/>
          <w:szCs w:val="24"/>
        </w:rPr>
        <w:t>that</w:t>
      </w:r>
      <w:r w:rsidR="0031765E">
        <w:rPr>
          <w:sz w:val="24"/>
          <w:szCs w:val="24"/>
        </w:rPr>
        <w:t xml:space="preserve"> is probably common among doubters, namely that services are seen as peripheral to its business and new services are too complicated or problematic to develop. </w:t>
      </w:r>
      <w:r w:rsidR="0031765E">
        <w:rPr>
          <w:rFonts w:ascii="Calibri" w:eastAsia="Calibri" w:hAnsi="Calibri" w:cs="Arial"/>
          <w:sz w:val="24"/>
          <w:szCs w:val="24"/>
        </w:rPr>
        <w:t>ChemCo</w:t>
      </w:r>
      <w:r w:rsidR="0031765E" w:rsidRPr="00211FB1">
        <w:rPr>
          <w:rFonts w:ascii="Calibri" w:eastAsia="Calibri" w:hAnsi="Calibri" w:cs="Arial"/>
          <w:sz w:val="24"/>
          <w:szCs w:val="24"/>
        </w:rPr>
        <w:t xml:space="preserve"> has built a nascent services business based on adding complex </w:t>
      </w:r>
      <w:r w:rsidR="0031765E">
        <w:rPr>
          <w:rFonts w:ascii="Calibri" w:eastAsia="Calibri" w:hAnsi="Calibri" w:cs="Arial"/>
          <w:sz w:val="24"/>
          <w:szCs w:val="24"/>
        </w:rPr>
        <w:t xml:space="preserve">service </w:t>
      </w:r>
      <w:r w:rsidR="0031765E" w:rsidRPr="00211FB1">
        <w:rPr>
          <w:rFonts w:ascii="Calibri" w:eastAsia="Calibri" w:hAnsi="Calibri" w:cs="Arial"/>
          <w:sz w:val="24"/>
          <w:szCs w:val="24"/>
        </w:rPr>
        <w:t xml:space="preserve">offerings to its </w:t>
      </w:r>
      <w:r w:rsidR="0031765E">
        <w:rPr>
          <w:rFonts w:ascii="Calibri" w:eastAsia="Calibri" w:hAnsi="Calibri" w:cs="Arial"/>
          <w:sz w:val="24"/>
          <w:szCs w:val="24"/>
        </w:rPr>
        <w:t>non-complex</w:t>
      </w:r>
      <w:r w:rsidR="0031765E" w:rsidRPr="00211FB1">
        <w:rPr>
          <w:rFonts w:ascii="Calibri" w:eastAsia="Calibri" w:hAnsi="Calibri" w:cs="Arial"/>
          <w:sz w:val="24"/>
          <w:szCs w:val="24"/>
        </w:rPr>
        <w:t xml:space="preserve"> products (</w:t>
      </w:r>
      <w:r w:rsidR="0031765E">
        <w:rPr>
          <w:rFonts w:ascii="Calibri" w:eastAsia="Calibri" w:hAnsi="Calibri" w:cs="Arial"/>
          <w:sz w:val="24"/>
          <w:szCs w:val="24"/>
        </w:rPr>
        <w:t>Dachs et al., 2014</w:t>
      </w:r>
      <w:r w:rsidR="0031765E" w:rsidRPr="00211FB1">
        <w:rPr>
          <w:rFonts w:ascii="Calibri" w:eastAsia="Calibri" w:hAnsi="Calibri" w:cs="Arial"/>
          <w:sz w:val="24"/>
          <w:szCs w:val="24"/>
        </w:rPr>
        <w:t xml:space="preserve">). The </w:t>
      </w:r>
      <w:r w:rsidR="0031765E">
        <w:rPr>
          <w:rFonts w:ascii="Calibri" w:eastAsia="Calibri" w:hAnsi="Calibri" w:cs="Arial"/>
          <w:sz w:val="24"/>
          <w:szCs w:val="24"/>
        </w:rPr>
        <w:t>restrained</w:t>
      </w:r>
      <w:r w:rsidR="00F00B0C">
        <w:rPr>
          <w:rFonts w:ascii="Calibri" w:eastAsia="Calibri" w:hAnsi="Calibri" w:cs="Arial"/>
          <w:sz w:val="24"/>
          <w:szCs w:val="24"/>
        </w:rPr>
        <w:t>-</w:t>
      </w:r>
      <w:r w:rsidR="0031765E" w:rsidRPr="00211FB1">
        <w:rPr>
          <w:rFonts w:ascii="Calibri" w:eastAsia="Calibri" w:hAnsi="Calibri" w:cs="Arial"/>
          <w:sz w:val="24"/>
          <w:szCs w:val="24"/>
        </w:rPr>
        <w:t>enthusiast, TelCo, had to rein back service</w:t>
      </w:r>
      <w:r w:rsidR="0031765E">
        <w:rPr>
          <w:rFonts w:ascii="Calibri" w:eastAsia="Calibri" w:hAnsi="Calibri" w:cs="Arial"/>
          <w:sz w:val="24"/>
          <w:szCs w:val="24"/>
        </w:rPr>
        <w:t>s</w:t>
      </w:r>
      <w:r w:rsidR="0031765E" w:rsidRPr="00211FB1">
        <w:rPr>
          <w:rFonts w:ascii="Calibri" w:eastAsia="Calibri" w:hAnsi="Calibri" w:cs="Arial"/>
          <w:sz w:val="24"/>
          <w:szCs w:val="24"/>
        </w:rPr>
        <w:t xml:space="preserve"> volumes after overshooting</w:t>
      </w:r>
      <w:r w:rsidR="0031765E">
        <w:rPr>
          <w:rFonts w:ascii="Calibri" w:eastAsia="Calibri" w:hAnsi="Calibri" w:cs="Arial"/>
          <w:sz w:val="24"/>
          <w:szCs w:val="24"/>
        </w:rPr>
        <w:t xml:space="preserve">, and has retrenched in terms of focusing more on new services </w:t>
      </w:r>
      <w:r w:rsidR="00E556B5">
        <w:rPr>
          <w:rFonts w:ascii="Calibri" w:eastAsia="Calibri" w:hAnsi="Calibri" w:cs="Arial"/>
          <w:sz w:val="24"/>
          <w:szCs w:val="24"/>
        </w:rPr>
        <w:t>that</w:t>
      </w:r>
      <w:r w:rsidR="0031765E">
        <w:rPr>
          <w:rFonts w:ascii="Calibri" w:eastAsia="Calibri" w:hAnsi="Calibri" w:cs="Arial"/>
          <w:sz w:val="24"/>
          <w:szCs w:val="24"/>
        </w:rPr>
        <w:t xml:space="preserve"> support products, thus returning to more of a product innovation mind</w:t>
      </w:r>
      <w:r w:rsidR="00A64625">
        <w:rPr>
          <w:rFonts w:ascii="Calibri" w:eastAsia="Calibri" w:hAnsi="Calibri" w:cs="Arial"/>
          <w:sz w:val="24"/>
          <w:szCs w:val="24"/>
        </w:rPr>
        <w:t>-</w:t>
      </w:r>
      <w:r w:rsidR="0031765E">
        <w:rPr>
          <w:rFonts w:ascii="Calibri" w:eastAsia="Calibri" w:hAnsi="Calibri" w:cs="Arial"/>
          <w:sz w:val="24"/>
          <w:szCs w:val="24"/>
        </w:rPr>
        <w:t xml:space="preserve">set. </w:t>
      </w:r>
      <w:r w:rsidR="0031765E" w:rsidRPr="00211FB1">
        <w:rPr>
          <w:rFonts w:ascii="Calibri" w:eastAsia="Calibri" w:hAnsi="Calibri" w:cs="Arial"/>
          <w:sz w:val="24"/>
          <w:szCs w:val="24"/>
        </w:rPr>
        <w:t>AeroCo</w:t>
      </w:r>
      <w:r w:rsidR="0031765E">
        <w:rPr>
          <w:rFonts w:ascii="Calibri" w:eastAsia="Calibri" w:hAnsi="Calibri" w:cs="Arial"/>
          <w:sz w:val="24"/>
          <w:szCs w:val="24"/>
        </w:rPr>
        <w:t>, meanwhile,</w:t>
      </w:r>
      <w:r w:rsidR="0031765E" w:rsidRPr="00211FB1">
        <w:rPr>
          <w:rFonts w:ascii="Calibri" w:eastAsia="Calibri" w:hAnsi="Calibri" w:cs="Arial"/>
          <w:sz w:val="24"/>
          <w:szCs w:val="24"/>
        </w:rPr>
        <w:t xml:space="preserve"> remains product-led</w:t>
      </w:r>
      <w:r w:rsidR="0031765E">
        <w:rPr>
          <w:rFonts w:ascii="Calibri" w:eastAsia="Calibri" w:hAnsi="Calibri" w:cs="Arial"/>
          <w:sz w:val="24"/>
          <w:szCs w:val="24"/>
        </w:rPr>
        <w:t xml:space="preserve"> in traditional aerospace markets but less so in </w:t>
      </w:r>
      <w:r w:rsidR="0031765E" w:rsidRPr="00211FB1">
        <w:rPr>
          <w:rFonts w:ascii="Calibri" w:eastAsia="Calibri" w:hAnsi="Calibri" w:cs="Arial"/>
          <w:sz w:val="24"/>
          <w:szCs w:val="24"/>
        </w:rPr>
        <w:t>non-traditional markets</w:t>
      </w:r>
      <w:r w:rsidR="0031765E">
        <w:rPr>
          <w:rFonts w:ascii="Calibri" w:eastAsia="Calibri" w:hAnsi="Calibri" w:cs="Arial"/>
          <w:sz w:val="24"/>
          <w:szCs w:val="24"/>
        </w:rPr>
        <w:t xml:space="preserve"> </w:t>
      </w:r>
      <w:r w:rsidR="00E556B5">
        <w:rPr>
          <w:rFonts w:ascii="Calibri" w:eastAsia="Calibri" w:hAnsi="Calibri" w:cs="Arial"/>
          <w:sz w:val="24"/>
          <w:szCs w:val="24"/>
        </w:rPr>
        <w:t xml:space="preserve">where it has a stronger service innovation mind-set; </w:t>
      </w:r>
      <w:r w:rsidR="0031765E">
        <w:rPr>
          <w:rFonts w:ascii="Calibri" w:eastAsia="Calibri" w:hAnsi="Calibri" w:cs="Arial"/>
          <w:sz w:val="24"/>
          <w:szCs w:val="24"/>
        </w:rPr>
        <w:t>it</w:t>
      </w:r>
      <w:r w:rsidR="00E556B5">
        <w:rPr>
          <w:rFonts w:ascii="Calibri" w:eastAsia="Calibri" w:hAnsi="Calibri" w:cs="Arial"/>
          <w:sz w:val="24"/>
          <w:szCs w:val="24"/>
        </w:rPr>
        <w:t xml:space="preserve"> currently</w:t>
      </w:r>
      <w:r w:rsidR="0031765E">
        <w:rPr>
          <w:rFonts w:ascii="Calibri" w:eastAsia="Calibri" w:hAnsi="Calibri" w:cs="Arial"/>
          <w:sz w:val="24"/>
          <w:szCs w:val="24"/>
        </w:rPr>
        <w:t xml:space="preserve"> lacks a strong suite of products to address these markets. Thus, our findings add to existing research which sets out multiple service trajectories (Kowalkowski et al., 2015) but demonstrates that a stronger service innovation mind</w:t>
      </w:r>
      <w:r w:rsidR="00E556B5">
        <w:rPr>
          <w:rFonts w:ascii="Calibri" w:eastAsia="Calibri" w:hAnsi="Calibri" w:cs="Arial"/>
          <w:sz w:val="24"/>
          <w:szCs w:val="24"/>
        </w:rPr>
        <w:t>-</w:t>
      </w:r>
      <w:r w:rsidR="0031765E">
        <w:rPr>
          <w:rFonts w:ascii="Calibri" w:eastAsia="Calibri" w:hAnsi="Calibri" w:cs="Arial"/>
          <w:sz w:val="24"/>
          <w:szCs w:val="24"/>
        </w:rPr>
        <w:t xml:space="preserve">set is easier to develop when there is not the need to support existing products. </w:t>
      </w:r>
    </w:p>
    <w:p w14:paraId="2E9B345D" w14:textId="77777777" w:rsidR="0031765E" w:rsidRDefault="0031765E" w:rsidP="0031765E">
      <w:pPr>
        <w:spacing w:after="0" w:line="480" w:lineRule="auto"/>
        <w:jc w:val="both"/>
        <w:rPr>
          <w:rFonts w:ascii="Calibri" w:eastAsia="Calibri" w:hAnsi="Calibri" w:cs="Arial"/>
          <w:sz w:val="24"/>
          <w:szCs w:val="24"/>
        </w:rPr>
      </w:pPr>
    </w:p>
    <w:p w14:paraId="1334980C" w14:textId="493A4DDF" w:rsidR="0031765E" w:rsidRDefault="0031765E" w:rsidP="0031765E">
      <w:pPr>
        <w:spacing w:after="0" w:line="480" w:lineRule="auto"/>
        <w:jc w:val="both"/>
        <w:rPr>
          <w:rFonts w:ascii="Calibri" w:eastAsia="Calibri" w:hAnsi="Calibri" w:cs="Arial"/>
          <w:sz w:val="24"/>
          <w:szCs w:val="24"/>
        </w:rPr>
      </w:pPr>
      <w:r>
        <w:rPr>
          <w:rFonts w:ascii="Calibri" w:eastAsia="Calibri" w:hAnsi="Calibri" w:cs="Arial"/>
          <w:sz w:val="24"/>
          <w:szCs w:val="24"/>
        </w:rPr>
        <w:t xml:space="preserve">With respect to NPD/NSD processes, all cases demonstrate the use of discrete NSD processes; although they are still linked to existing NPD processes </w:t>
      </w:r>
      <w:r w:rsidRPr="007C5711">
        <w:rPr>
          <w:sz w:val="24"/>
          <w:szCs w:val="24"/>
        </w:rPr>
        <w:t>(Kindstrom &amp; Kowalkowski, 2009)</w:t>
      </w:r>
      <w:r>
        <w:rPr>
          <w:sz w:val="24"/>
          <w:szCs w:val="24"/>
        </w:rPr>
        <w:t xml:space="preserve">. Our findings, however, </w:t>
      </w:r>
      <w:r>
        <w:rPr>
          <w:rFonts w:ascii="Calibri" w:eastAsia="Calibri" w:hAnsi="Calibri" w:cs="Arial"/>
          <w:sz w:val="24"/>
          <w:szCs w:val="24"/>
        </w:rPr>
        <w:t>suggest the need for separate processes (</w:t>
      </w:r>
      <w:r w:rsidRPr="008A1537">
        <w:rPr>
          <w:sz w:val="24"/>
          <w:szCs w:val="24"/>
        </w:rPr>
        <w:t>Santamaría et al., 2012</w:t>
      </w:r>
      <w:r>
        <w:rPr>
          <w:sz w:val="24"/>
          <w:szCs w:val="24"/>
        </w:rPr>
        <w:t xml:space="preserve">; Gremyr et al., 2014) might be overstated, with even enthusiasts adapting existing NPD processes. </w:t>
      </w:r>
      <w:r>
        <w:rPr>
          <w:rFonts w:ascii="Calibri" w:eastAsia="Calibri" w:hAnsi="Calibri" w:cs="Arial"/>
          <w:sz w:val="24"/>
          <w:szCs w:val="24"/>
        </w:rPr>
        <w:t xml:space="preserve">Within all four organisations, NPD processes are well established and there seems a desire to have a commonality of approach for all new offerings, be they products or services, to ensure </w:t>
      </w:r>
      <w:r w:rsidR="00F01DF2">
        <w:rPr>
          <w:rFonts w:ascii="Calibri" w:eastAsia="Calibri" w:hAnsi="Calibri" w:cs="Arial"/>
          <w:sz w:val="24"/>
          <w:szCs w:val="24"/>
        </w:rPr>
        <w:t xml:space="preserve">a consistent approach and </w:t>
      </w:r>
      <w:r>
        <w:rPr>
          <w:rFonts w:ascii="Calibri" w:eastAsia="Calibri" w:hAnsi="Calibri" w:cs="Arial"/>
          <w:sz w:val="24"/>
          <w:szCs w:val="24"/>
        </w:rPr>
        <w:t>comparability in assessing the merits</w:t>
      </w:r>
      <w:r w:rsidR="00F01DF2">
        <w:rPr>
          <w:rFonts w:ascii="Calibri" w:eastAsia="Calibri" w:hAnsi="Calibri" w:cs="Arial"/>
          <w:sz w:val="24"/>
          <w:szCs w:val="24"/>
        </w:rPr>
        <w:t xml:space="preserve"> of new offerings</w:t>
      </w:r>
      <w:r>
        <w:rPr>
          <w:rFonts w:ascii="Calibri" w:eastAsia="Calibri" w:hAnsi="Calibri" w:cs="Arial"/>
          <w:sz w:val="24"/>
          <w:szCs w:val="24"/>
        </w:rPr>
        <w:t xml:space="preserve">. Interestingly, </w:t>
      </w:r>
      <w:r w:rsidR="00F632F3">
        <w:rPr>
          <w:rFonts w:ascii="Calibri" w:eastAsia="Calibri" w:hAnsi="Calibri" w:cs="Arial"/>
          <w:sz w:val="24"/>
          <w:szCs w:val="24"/>
        </w:rPr>
        <w:t xml:space="preserve">organisations with more formal NSD processes indicated they would be </w:t>
      </w:r>
      <w:r>
        <w:rPr>
          <w:rFonts w:ascii="Calibri" w:eastAsia="Calibri" w:hAnsi="Calibri" w:cs="Arial"/>
          <w:sz w:val="24"/>
          <w:szCs w:val="24"/>
        </w:rPr>
        <w:t xml:space="preserve">challenged </w:t>
      </w:r>
      <w:r w:rsidR="00F632F3">
        <w:rPr>
          <w:rFonts w:ascii="Calibri" w:eastAsia="Calibri" w:hAnsi="Calibri" w:cs="Arial"/>
          <w:sz w:val="24"/>
          <w:szCs w:val="24"/>
        </w:rPr>
        <w:t xml:space="preserve">by genuinely radical innovations </w:t>
      </w:r>
      <w:r w:rsidRPr="00207EA9">
        <w:rPr>
          <w:sz w:val="24"/>
          <w:szCs w:val="24"/>
        </w:rPr>
        <w:t>(</w:t>
      </w:r>
      <w:r>
        <w:rPr>
          <w:sz w:val="24"/>
          <w:szCs w:val="24"/>
        </w:rPr>
        <w:t xml:space="preserve">supporting </w:t>
      </w:r>
      <w:r w:rsidRPr="00207EA9">
        <w:rPr>
          <w:sz w:val="24"/>
          <w:szCs w:val="24"/>
        </w:rPr>
        <w:t>Gremyr et al., 2014).</w:t>
      </w:r>
      <w:r>
        <w:rPr>
          <w:sz w:val="24"/>
          <w:szCs w:val="24"/>
        </w:rPr>
        <w:t xml:space="preserve"> </w:t>
      </w:r>
    </w:p>
    <w:p w14:paraId="6988DEFC" w14:textId="77777777" w:rsidR="0031765E" w:rsidRDefault="0031765E" w:rsidP="0031765E">
      <w:pPr>
        <w:spacing w:after="0" w:line="480" w:lineRule="auto"/>
        <w:jc w:val="both"/>
        <w:rPr>
          <w:rFonts w:ascii="Calibri" w:eastAsia="Calibri" w:hAnsi="Calibri" w:cs="Arial"/>
          <w:sz w:val="24"/>
          <w:szCs w:val="24"/>
        </w:rPr>
      </w:pPr>
    </w:p>
    <w:p w14:paraId="42DF6554" w14:textId="2E88FE06" w:rsidR="0031765E" w:rsidRDefault="0031765E" w:rsidP="0031765E">
      <w:pPr>
        <w:spacing w:after="0" w:line="480" w:lineRule="auto"/>
        <w:jc w:val="both"/>
        <w:rPr>
          <w:rFonts w:ascii="Calibri" w:eastAsia="Calibri" w:hAnsi="Calibri" w:cs="Arial"/>
          <w:sz w:val="24"/>
          <w:szCs w:val="24"/>
        </w:rPr>
      </w:pPr>
      <w:r>
        <w:rPr>
          <w:rFonts w:ascii="Calibri" w:eastAsia="Calibri" w:hAnsi="Calibri" w:cs="Arial"/>
          <w:sz w:val="24"/>
          <w:szCs w:val="24"/>
        </w:rPr>
        <w:t xml:space="preserve">NSD processes </w:t>
      </w:r>
      <w:r w:rsidR="00687F8D">
        <w:rPr>
          <w:rFonts w:ascii="Calibri" w:eastAsia="Calibri" w:hAnsi="Calibri" w:cs="Arial"/>
          <w:sz w:val="24"/>
          <w:szCs w:val="24"/>
        </w:rPr>
        <w:t>involved</w:t>
      </w:r>
      <w:r>
        <w:rPr>
          <w:rFonts w:ascii="Calibri" w:eastAsia="Calibri" w:hAnsi="Calibri" w:cs="Arial"/>
          <w:sz w:val="24"/>
          <w:szCs w:val="24"/>
        </w:rPr>
        <w:t xml:space="preserve"> significant</w:t>
      </w:r>
      <w:r w:rsidR="00687F8D">
        <w:rPr>
          <w:rFonts w:ascii="Calibri" w:eastAsia="Calibri" w:hAnsi="Calibri" w:cs="Arial"/>
          <w:sz w:val="24"/>
          <w:szCs w:val="24"/>
        </w:rPr>
        <w:t xml:space="preserve"> interactions with</w:t>
      </w:r>
      <w:r>
        <w:rPr>
          <w:rFonts w:ascii="Calibri" w:eastAsia="Calibri" w:hAnsi="Calibri" w:cs="Arial"/>
          <w:sz w:val="24"/>
          <w:szCs w:val="24"/>
        </w:rPr>
        <w:t xml:space="preserve"> customers </w:t>
      </w:r>
      <w:r w:rsidRPr="00362B14">
        <w:rPr>
          <w:rFonts w:ascii="Calibri" w:eastAsia="Calibri" w:hAnsi="Calibri" w:cs="Arial"/>
          <w:sz w:val="24"/>
          <w:szCs w:val="24"/>
          <w:lang w:val="en-US"/>
        </w:rPr>
        <w:fldChar w:fldCharType="begin"/>
      </w:r>
      <w:r w:rsidRPr="00362B14">
        <w:rPr>
          <w:rFonts w:ascii="Calibri" w:eastAsia="Calibri" w:hAnsi="Calibri" w:cs="Arial"/>
          <w:sz w:val="24"/>
          <w:szCs w:val="24"/>
          <w:lang w:val="en-US"/>
        </w:rPr>
        <w:instrText xml:space="preserve"> ADDIN ZOTERO_ITEM CSL_CITATION {"citationID":"18roe4rg1i","properties":{"formattedCitation":"{\\rtf (Bettencourt &amp; Brown, 2013; Kreye, Roehrich, &amp; Lewis, 2015; Santamar\\uc0\\u237{}a, Jes\\uc0\\u250{}s Nieto, &amp; Miles, 2012)}","plainCitation":"(Bettencourt &amp; Brown, 2013; Kreye, Roehrich, &amp; Lewis, 2015; Santamaría, Jesús Nieto, &amp; Miles, 2012)"},"citationItems":[{"id":844,"uris":["http://zotero.org/users/364991/items/TE8M8HWV"],"uri":["http://zotero.org/users/364991/items/TE8M8HWV"],"itemData":{"id":844,"type":"article-journal","title":"From goods to great: Service innovation in a product-dominant firm","container-title":"Business Horizons","page":"277-283","volume":"56","issue":"3","source":"ScienceDirect","abstract":"Increasingly, service innovation is a source of competitive differentiation for product-dominant companies such as manufacturers, distributors, and retailers. However, the relative intangibility of services has led to uncertainty concerning how to apply product innovation expertise to the services space. We argue that meaningful service innovation by a product-dominant company must begin with the recognition that services are solutions to customer needs. As such, the primary goal of a product-dominant company seeking service innovation should not be to innovate service. Rather, it should be to help customers get a specific job done better or to help them get more jobs done. To this end, we offer three approaches for companies seeking new service innovation based on how customers define value.","DOI":"10.1016/j.bushor.2013.01.008","ISSN":"0007-6813","shortTitle":"From goods to great","journalAbbreviation":"Business Horizons","author":[{"family":"Bettencourt","given":"Lance A."},{"family":"Brown","given":"Stephen W."}],"issued":{"date-parts":[["2013",5]]}}},{"id":964,"uris":["http://zotero.org/users/364991/items/CXKFU84S"],"uri":["http://zotero.org/users/364991/items/CXKFU84S"],"itemData":{"id":964,"type":"article-journal","title":"Servitising manufacturers: the impact of service complexity and contractual and relational capabilities","container-title":"Production Planning &amp; Control","page":"1233-1246","volume":"26","issue":"14-15","source":"Taylor and Francis+NEJM","abstract":"Processes of servitisation will lead providers to change their service delivery structures, but they also need to transform broader organisational attributes including contractual and relational capabilities. Based on case studies in the European healthcare sector, we investigate the influence of increasing levels of service complexity on this transformation. Our findings are potentially counter-intuitive, suggesting that contractual capabilities do not increase with service complexity. Instead, we observed increased levels of relational capabilities, manifest in the visibility of the provider on the customer site, the number of ‘non-requested’ site visits and increasingly informal information exchange.","DOI":"10.1080/09537287.2015.1033489","ISSN":"0953-7287","shortTitle":"Servitising manufacturers","author":[{"family":"Kreye","given":"Melanie E."},{"family":"Roehrich","given":"Jens K."},{"family":"Lewis","given":"Michael A."}],"issued":{"date-parts":[["2015",11,18]]}}},{"id":2791,"uris":["http://zotero.org/users/364991/items/3E8WZAER"],"uri":["http://zotero.org/users/364991/items/3E8WZAER"],"itemData":{"id":2791,"type":"article-journal","title":"Service innovation in manufacturing firms: Evidence from Spain","container-title":"Technovation","page":"144-155","volume":"32","issue":"2","source":"CrossRef","DOI":"10.1016/j.technovation.2011.08.006","ISSN":"01664972","shortTitle":"Service innovation in manufacturing firms","language":"en","author":[{"family":"Santamaría","given":"Lluís"},{"family":"Jesús Nieto","given":"María"},{"family":"Miles","given":"Ian"}],"issued":{"date-parts":[["2012",2]]}}}],"schema":"https://github.com/citation-style-language/schema/raw/master/csl-citation.json"} </w:instrText>
      </w:r>
      <w:r w:rsidRPr="00362B14">
        <w:rPr>
          <w:rFonts w:ascii="Calibri" w:eastAsia="Calibri" w:hAnsi="Calibri" w:cs="Arial"/>
          <w:sz w:val="24"/>
          <w:szCs w:val="24"/>
          <w:lang w:val="en-US"/>
        </w:rPr>
        <w:fldChar w:fldCharType="separate"/>
      </w:r>
      <w:r w:rsidRPr="00362B14">
        <w:rPr>
          <w:rFonts w:ascii="Calibri" w:eastAsia="Calibri" w:hAnsi="Calibri" w:cs="Arial"/>
          <w:sz w:val="24"/>
          <w:szCs w:val="24"/>
          <w:lang w:val="en-US"/>
        </w:rPr>
        <w:t xml:space="preserve">(Bettencourt &amp; Brown, 2013; </w:t>
      </w:r>
      <w:r w:rsidRPr="008A1537">
        <w:rPr>
          <w:sz w:val="24"/>
          <w:szCs w:val="24"/>
        </w:rPr>
        <w:t xml:space="preserve">Ettlie </w:t>
      </w:r>
      <w:r>
        <w:rPr>
          <w:sz w:val="24"/>
          <w:szCs w:val="24"/>
        </w:rPr>
        <w:t>&amp;</w:t>
      </w:r>
      <w:r w:rsidRPr="008A1537">
        <w:rPr>
          <w:sz w:val="24"/>
          <w:szCs w:val="24"/>
        </w:rPr>
        <w:t xml:space="preserve"> </w:t>
      </w:r>
      <w:r>
        <w:rPr>
          <w:sz w:val="24"/>
          <w:szCs w:val="24"/>
        </w:rPr>
        <w:t>Rosenthal, 2011</w:t>
      </w:r>
      <w:r w:rsidRPr="00362B14">
        <w:rPr>
          <w:rFonts w:ascii="Calibri" w:eastAsia="Calibri" w:hAnsi="Calibri" w:cs="Arial"/>
          <w:sz w:val="24"/>
          <w:szCs w:val="24"/>
          <w:lang w:val="en-US"/>
        </w:rPr>
        <w:t>)</w:t>
      </w:r>
      <w:r w:rsidRPr="00362B14">
        <w:rPr>
          <w:rFonts w:ascii="Calibri" w:eastAsia="Calibri" w:hAnsi="Calibri" w:cs="Arial"/>
          <w:sz w:val="24"/>
          <w:szCs w:val="24"/>
        </w:rPr>
        <w:fldChar w:fldCharType="end"/>
      </w:r>
      <w:r w:rsidRPr="00362B14">
        <w:rPr>
          <w:rFonts w:ascii="Calibri" w:eastAsia="Calibri" w:hAnsi="Calibri" w:cs="Arial"/>
          <w:sz w:val="24"/>
          <w:szCs w:val="24"/>
          <w:lang w:val="en-US"/>
        </w:rPr>
        <w:t>.</w:t>
      </w:r>
      <w:r>
        <w:rPr>
          <w:rFonts w:ascii="Calibri" w:eastAsia="Calibri" w:hAnsi="Calibri" w:cs="Arial"/>
          <w:sz w:val="24"/>
          <w:szCs w:val="24"/>
          <w:lang w:val="en-US"/>
        </w:rPr>
        <w:t xml:space="preserve"> All but the doubter </w:t>
      </w:r>
      <w:r>
        <w:rPr>
          <w:rFonts w:ascii="Calibri" w:eastAsia="Calibri" w:hAnsi="Calibri" w:cs="Arial"/>
          <w:sz w:val="24"/>
          <w:szCs w:val="24"/>
        </w:rPr>
        <w:t>appear to be proactive with regards to obtaining customer insights and getting customers involved in the development process, showing the benefits of ‘customer champions’ over ‘</w:t>
      </w:r>
      <w:r w:rsidR="008871B0">
        <w:rPr>
          <w:rFonts w:ascii="Calibri" w:eastAsia="Calibri" w:hAnsi="Calibri" w:cs="Arial"/>
          <w:sz w:val="24"/>
          <w:szCs w:val="24"/>
        </w:rPr>
        <w:t xml:space="preserve"> traditional </w:t>
      </w:r>
      <w:r>
        <w:rPr>
          <w:rFonts w:ascii="Calibri" w:eastAsia="Calibri" w:hAnsi="Calibri" w:cs="Arial"/>
          <w:sz w:val="24"/>
          <w:szCs w:val="24"/>
        </w:rPr>
        <w:t>innovation champions’</w:t>
      </w:r>
      <w:r w:rsidR="008871B0">
        <w:rPr>
          <w:rFonts w:ascii="Calibri" w:eastAsia="Calibri" w:hAnsi="Calibri" w:cs="Arial"/>
          <w:sz w:val="24"/>
          <w:szCs w:val="24"/>
        </w:rPr>
        <w:t xml:space="preserve"> that champion the innovation rather than the customer voice</w:t>
      </w:r>
      <w:r>
        <w:rPr>
          <w:rFonts w:ascii="Calibri" w:eastAsia="Calibri" w:hAnsi="Calibri" w:cs="Arial"/>
          <w:sz w:val="24"/>
          <w:szCs w:val="24"/>
        </w:rPr>
        <w:t xml:space="preserve">  (cf. Ettlie &amp; Rosenthal, 2012). This customer focus contrasts with the view in the literature that </w:t>
      </w:r>
      <w:r w:rsidRPr="00912C17">
        <w:rPr>
          <w:rFonts w:ascii="Calibri" w:eastAsia="Calibri" w:hAnsi="Calibri" w:cs="Arial"/>
          <w:sz w:val="24"/>
          <w:szCs w:val="24"/>
          <w:lang w:val="en-US"/>
        </w:rPr>
        <w:t xml:space="preserve">few manufacturers have the knowledge and capability to effectively engage the customer in the NSD process </w:t>
      </w:r>
      <w:r w:rsidRPr="00912C17">
        <w:rPr>
          <w:rFonts w:ascii="Calibri" w:eastAsia="Calibri" w:hAnsi="Calibri" w:cs="Arial"/>
          <w:sz w:val="24"/>
          <w:szCs w:val="24"/>
          <w:lang w:val="en-US"/>
        </w:rPr>
        <w:fldChar w:fldCharType="begin"/>
      </w:r>
      <w:r w:rsidRPr="00912C17">
        <w:rPr>
          <w:rFonts w:ascii="Calibri" w:eastAsia="Calibri" w:hAnsi="Calibri" w:cs="Arial"/>
          <w:sz w:val="24"/>
          <w:szCs w:val="24"/>
          <w:lang w:val="en-US"/>
        </w:rPr>
        <w:instrText xml:space="preserve"> ADDIN ZOTERO_ITEM CSL_CITATION {"citationID":"2easm63hiq","properties":{"formattedCitation":"{\\rtf (Santamar\\uc0\\u237{}a et al., 2012)}","plainCitation":"(Santamaría et al., 2012)"},"citationItems":[{"id":2791,"uris":["http://zotero.org/users/364991/items/3E8WZAER"],"uri":["http://zotero.org/users/364991/items/3E8WZAER"],"itemData":{"id":2791,"type":"article-journal","title":"Service innovation in manufacturing firms: Evidence from Spain","container-title":"Technovation","page":"144-155","volume":"32","issue":"2","source":"CrossRef","DOI":"10.1016/j.technovation.2011.08.006","ISSN":"01664972","shortTitle":"Service innovation in manufacturing firms","language":"en","author":[{"family":"Santamaría","given":"Lluís"},{"family":"Jesús Nieto","given":"María"},{"family":"Miles","given":"Ian"}],"issued":{"date-parts":[["2012",2]]}}}],"schema":"https://github.com/citation-style-language/schema/raw/master/csl-citation.json"} </w:instrText>
      </w:r>
      <w:r w:rsidRPr="00912C17">
        <w:rPr>
          <w:rFonts w:ascii="Calibri" w:eastAsia="Calibri" w:hAnsi="Calibri" w:cs="Arial"/>
          <w:sz w:val="24"/>
          <w:szCs w:val="24"/>
          <w:lang w:val="en-US"/>
        </w:rPr>
        <w:fldChar w:fldCharType="separate"/>
      </w:r>
      <w:r w:rsidRPr="00912C17">
        <w:rPr>
          <w:rFonts w:ascii="Calibri" w:eastAsia="Calibri" w:hAnsi="Calibri" w:cs="Arial"/>
          <w:sz w:val="24"/>
          <w:szCs w:val="24"/>
          <w:lang w:val="en-US"/>
        </w:rPr>
        <w:t>(Santamaría et al., 2012)</w:t>
      </w:r>
      <w:r w:rsidRPr="00912C17">
        <w:rPr>
          <w:rFonts w:ascii="Calibri" w:eastAsia="Calibri" w:hAnsi="Calibri" w:cs="Arial"/>
          <w:sz w:val="24"/>
          <w:szCs w:val="24"/>
        </w:rPr>
        <w:fldChar w:fldCharType="end"/>
      </w:r>
      <w:r w:rsidRPr="00912C17">
        <w:rPr>
          <w:rFonts w:ascii="Calibri" w:eastAsia="Calibri" w:hAnsi="Calibri" w:cs="Arial"/>
          <w:sz w:val="24"/>
          <w:szCs w:val="24"/>
          <w:lang w:val="en-US"/>
        </w:rPr>
        <w:t xml:space="preserve">. </w:t>
      </w:r>
      <w:r>
        <w:rPr>
          <w:rFonts w:ascii="Calibri" w:eastAsia="Calibri" w:hAnsi="Calibri" w:cs="Arial"/>
          <w:sz w:val="24"/>
          <w:szCs w:val="24"/>
        </w:rPr>
        <w:t>However, there are clear differences in how these insights are generated. For example</w:t>
      </w:r>
      <w:r w:rsidR="008871B0">
        <w:rPr>
          <w:rFonts w:ascii="Calibri" w:eastAsia="Calibri" w:hAnsi="Calibri" w:cs="Arial"/>
          <w:sz w:val="24"/>
          <w:szCs w:val="24"/>
        </w:rPr>
        <w:t>,</w:t>
      </w:r>
      <w:r>
        <w:rPr>
          <w:rFonts w:ascii="Calibri" w:eastAsia="Calibri" w:hAnsi="Calibri" w:cs="Arial"/>
          <w:sz w:val="24"/>
          <w:szCs w:val="24"/>
        </w:rPr>
        <w:t xml:space="preserve"> the enthusiast embeds staff within customer organisations, an effective but resource-expensive approach</w:t>
      </w:r>
      <w:r w:rsidR="008871B0">
        <w:rPr>
          <w:rFonts w:ascii="Calibri" w:eastAsia="Calibri" w:hAnsi="Calibri" w:cs="Arial"/>
          <w:sz w:val="24"/>
          <w:szCs w:val="24"/>
        </w:rPr>
        <w:t xml:space="preserve"> to</w:t>
      </w:r>
      <w:r>
        <w:rPr>
          <w:rFonts w:ascii="Calibri" w:eastAsia="Calibri" w:hAnsi="Calibri" w:cs="Arial"/>
          <w:sz w:val="24"/>
          <w:szCs w:val="24"/>
        </w:rPr>
        <w:t xml:space="preserve"> understanding customer value (Bettencourt &amp; Brown, 2013). The restrained</w:t>
      </w:r>
      <w:r w:rsidR="00F00B0C">
        <w:rPr>
          <w:rFonts w:ascii="Calibri" w:eastAsia="Calibri" w:hAnsi="Calibri" w:cs="Arial"/>
          <w:sz w:val="24"/>
          <w:szCs w:val="24"/>
        </w:rPr>
        <w:t>-</w:t>
      </w:r>
      <w:r>
        <w:rPr>
          <w:rFonts w:ascii="Calibri" w:eastAsia="Calibri" w:hAnsi="Calibri" w:cs="Arial"/>
          <w:sz w:val="24"/>
          <w:szCs w:val="24"/>
        </w:rPr>
        <w:t>enthusiast, on the other hand, appears to focus resources on cultivating specific customer relationships that they feel will support the trial of key new services, thus taking more of a customer collaboration approach (Santamar</w:t>
      </w:r>
      <w:r w:rsidR="008871B0" w:rsidRPr="00912C17">
        <w:rPr>
          <w:rFonts w:ascii="Calibri" w:eastAsia="Calibri" w:hAnsi="Calibri" w:cs="Arial"/>
          <w:sz w:val="24"/>
          <w:szCs w:val="24"/>
          <w:lang w:val="en-US"/>
        </w:rPr>
        <w:t>í</w:t>
      </w:r>
      <w:r>
        <w:rPr>
          <w:rFonts w:ascii="Calibri" w:eastAsia="Calibri" w:hAnsi="Calibri" w:cs="Arial"/>
          <w:sz w:val="24"/>
          <w:szCs w:val="24"/>
        </w:rPr>
        <w:t xml:space="preserve">a et al., 2012). </w:t>
      </w:r>
    </w:p>
    <w:p w14:paraId="0F3F240E" w14:textId="77777777" w:rsidR="0031765E" w:rsidRDefault="0031765E" w:rsidP="0031765E">
      <w:pPr>
        <w:spacing w:after="0" w:line="480" w:lineRule="auto"/>
        <w:jc w:val="both"/>
        <w:rPr>
          <w:rFonts w:ascii="Calibri" w:eastAsia="Calibri" w:hAnsi="Calibri" w:cs="Arial"/>
          <w:sz w:val="24"/>
          <w:szCs w:val="24"/>
        </w:rPr>
      </w:pPr>
    </w:p>
    <w:p w14:paraId="0456ED14" w14:textId="00205DA8" w:rsidR="0031765E" w:rsidRDefault="0031765E" w:rsidP="0031765E">
      <w:pPr>
        <w:spacing w:after="0" w:line="480" w:lineRule="auto"/>
        <w:jc w:val="both"/>
        <w:rPr>
          <w:rFonts w:ascii="Calibri" w:eastAsia="Calibri" w:hAnsi="Calibri" w:cs="Arial"/>
          <w:sz w:val="24"/>
          <w:szCs w:val="24"/>
        </w:rPr>
      </w:pPr>
      <w:r>
        <w:rPr>
          <w:rFonts w:ascii="Calibri" w:eastAsia="Calibri" w:hAnsi="Calibri" w:cs="Arial"/>
          <w:sz w:val="24"/>
          <w:szCs w:val="24"/>
        </w:rPr>
        <w:t xml:space="preserve">In terms of the connections between NPD and NSD processes, although our study supports previous research in finding that NPD and NSD </w:t>
      </w:r>
      <w:r w:rsidRPr="00B07E61">
        <w:rPr>
          <w:sz w:val="24"/>
          <w:szCs w:val="24"/>
        </w:rPr>
        <w:t xml:space="preserve">are closely </w:t>
      </w:r>
      <w:r>
        <w:rPr>
          <w:sz w:val="24"/>
          <w:szCs w:val="24"/>
        </w:rPr>
        <w:t>inter-</w:t>
      </w:r>
      <w:r w:rsidRPr="00B07E61">
        <w:rPr>
          <w:sz w:val="24"/>
          <w:szCs w:val="24"/>
        </w:rPr>
        <w:t xml:space="preserve">related (Gallouj </w:t>
      </w:r>
      <w:r>
        <w:rPr>
          <w:sz w:val="24"/>
          <w:szCs w:val="24"/>
        </w:rPr>
        <w:t xml:space="preserve">&amp; Windrum, 2009; Gremyr et al., 2014; </w:t>
      </w:r>
      <w:r w:rsidRPr="00FD5F60">
        <w:rPr>
          <w:iCs/>
          <w:sz w:val="24"/>
          <w:szCs w:val="24"/>
          <w:lang w:val="en-US"/>
        </w:rPr>
        <w:t>Raja</w:t>
      </w:r>
      <w:r>
        <w:rPr>
          <w:iCs/>
          <w:sz w:val="24"/>
          <w:szCs w:val="24"/>
          <w:lang w:val="en-US"/>
        </w:rPr>
        <w:t xml:space="preserve"> et al., </w:t>
      </w:r>
      <w:r w:rsidRPr="00B07E61">
        <w:rPr>
          <w:sz w:val="24"/>
          <w:szCs w:val="24"/>
        </w:rPr>
        <w:t>2013)</w:t>
      </w:r>
      <w:r>
        <w:rPr>
          <w:sz w:val="24"/>
          <w:szCs w:val="24"/>
        </w:rPr>
        <w:t xml:space="preserve">, it provides a more nuanced understanding of this issue. In particular, the enthusiasts have developed key touchpoints between the processes to ensure that new services support new products and vice versa. That said, </w:t>
      </w:r>
      <w:r w:rsidRPr="00211FB1">
        <w:rPr>
          <w:rFonts w:ascii="Calibri" w:eastAsia="Calibri" w:hAnsi="Calibri" w:cs="Arial"/>
          <w:sz w:val="24"/>
          <w:szCs w:val="24"/>
        </w:rPr>
        <w:t xml:space="preserve">both enthusiasts face some problems managing </w:t>
      </w:r>
      <w:r>
        <w:rPr>
          <w:rFonts w:ascii="Calibri" w:eastAsia="Calibri" w:hAnsi="Calibri" w:cs="Arial"/>
          <w:sz w:val="24"/>
          <w:szCs w:val="24"/>
        </w:rPr>
        <w:t xml:space="preserve">the </w:t>
      </w:r>
      <w:r w:rsidRPr="00211FB1">
        <w:rPr>
          <w:rFonts w:ascii="Calibri" w:eastAsia="Calibri" w:hAnsi="Calibri" w:cs="Arial"/>
          <w:sz w:val="24"/>
          <w:szCs w:val="24"/>
        </w:rPr>
        <w:t>interactions between product and service</w:t>
      </w:r>
      <w:r>
        <w:rPr>
          <w:rFonts w:ascii="Calibri" w:eastAsia="Calibri" w:hAnsi="Calibri" w:cs="Arial"/>
          <w:sz w:val="24"/>
          <w:szCs w:val="24"/>
        </w:rPr>
        <w:t>s</w:t>
      </w:r>
      <w:r w:rsidRPr="00211FB1">
        <w:rPr>
          <w:rFonts w:ascii="Calibri" w:eastAsia="Calibri" w:hAnsi="Calibri" w:cs="Arial"/>
          <w:sz w:val="24"/>
          <w:szCs w:val="24"/>
        </w:rPr>
        <w:t xml:space="preserve"> specialist staff. TelCo appears to demonstrate better two-way communications between service</w:t>
      </w:r>
      <w:r>
        <w:rPr>
          <w:rFonts w:ascii="Calibri" w:eastAsia="Calibri" w:hAnsi="Calibri" w:cs="Arial"/>
          <w:sz w:val="24"/>
          <w:szCs w:val="24"/>
        </w:rPr>
        <w:t>s</w:t>
      </w:r>
      <w:r w:rsidRPr="00211FB1">
        <w:rPr>
          <w:rFonts w:ascii="Calibri" w:eastAsia="Calibri" w:hAnsi="Calibri" w:cs="Arial"/>
          <w:sz w:val="24"/>
          <w:szCs w:val="24"/>
        </w:rPr>
        <w:t xml:space="preserve"> and product staff</w:t>
      </w:r>
      <w:r>
        <w:rPr>
          <w:rFonts w:ascii="Calibri" w:eastAsia="Calibri" w:hAnsi="Calibri" w:cs="Arial"/>
          <w:sz w:val="24"/>
          <w:szCs w:val="24"/>
        </w:rPr>
        <w:t>. This is</w:t>
      </w:r>
      <w:r w:rsidRPr="00211FB1">
        <w:rPr>
          <w:rFonts w:ascii="Calibri" w:eastAsia="Calibri" w:hAnsi="Calibri" w:cs="Arial"/>
          <w:sz w:val="24"/>
          <w:szCs w:val="24"/>
        </w:rPr>
        <w:t xml:space="preserve"> perhaps due to their technology focus</w:t>
      </w:r>
      <w:r>
        <w:rPr>
          <w:rFonts w:ascii="Calibri" w:eastAsia="Calibri" w:hAnsi="Calibri" w:cs="Arial"/>
          <w:sz w:val="24"/>
          <w:szCs w:val="24"/>
        </w:rPr>
        <w:t>, evidencing multiple, balanced interactive touchpoints between their NPD and NSD processes</w:t>
      </w:r>
      <w:r w:rsidRPr="00211FB1">
        <w:rPr>
          <w:rFonts w:ascii="Calibri" w:eastAsia="Calibri" w:hAnsi="Calibri" w:cs="Arial"/>
          <w:sz w:val="24"/>
          <w:szCs w:val="24"/>
        </w:rPr>
        <w:t>. AeroCo also has two-way communications but the balance appears to be more product</w:t>
      </w:r>
      <w:r>
        <w:rPr>
          <w:rFonts w:ascii="Calibri" w:eastAsia="Calibri" w:hAnsi="Calibri" w:cs="Arial"/>
          <w:sz w:val="24"/>
          <w:szCs w:val="24"/>
        </w:rPr>
        <w:t>s</w:t>
      </w:r>
      <w:r w:rsidRPr="00211FB1">
        <w:rPr>
          <w:rFonts w:ascii="Calibri" w:eastAsia="Calibri" w:hAnsi="Calibri" w:cs="Arial"/>
          <w:sz w:val="24"/>
          <w:szCs w:val="24"/>
        </w:rPr>
        <w:t>-to-service</w:t>
      </w:r>
      <w:r>
        <w:rPr>
          <w:rFonts w:ascii="Calibri" w:eastAsia="Calibri" w:hAnsi="Calibri" w:cs="Arial"/>
          <w:sz w:val="24"/>
          <w:szCs w:val="24"/>
        </w:rPr>
        <w:t>s</w:t>
      </w:r>
      <w:r w:rsidRPr="00211FB1">
        <w:rPr>
          <w:rFonts w:ascii="Calibri" w:eastAsia="Calibri" w:hAnsi="Calibri" w:cs="Arial"/>
          <w:sz w:val="24"/>
          <w:szCs w:val="24"/>
        </w:rPr>
        <w:t>,</w:t>
      </w:r>
      <w:r>
        <w:rPr>
          <w:rFonts w:ascii="Calibri" w:eastAsia="Calibri" w:hAnsi="Calibri" w:cs="Arial"/>
          <w:sz w:val="24"/>
          <w:szCs w:val="24"/>
        </w:rPr>
        <w:t xml:space="preserve"> with some evidence of problems with regards to interactive communications. By comparison,</w:t>
      </w:r>
      <w:r w:rsidRPr="00211FB1">
        <w:rPr>
          <w:rFonts w:ascii="Calibri" w:eastAsia="Calibri" w:hAnsi="Calibri" w:cs="Arial"/>
          <w:sz w:val="24"/>
          <w:szCs w:val="24"/>
        </w:rPr>
        <w:t xml:space="preserve"> ChemCo’s communications are more service</w:t>
      </w:r>
      <w:r>
        <w:rPr>
          <w:rFonts w:ascii="Calibri" w:eastAsia="Calibri" w:hAnsi="Calibri" w:cs="Arial"/>
          <w:sz w:val="24"/>
          <w:szCs w:val="24"/>
        </w:rPr>
        <w:t>s</w:t>
      </w:r>
      <w:r w:rsidRPr="00211FB1">
        <w:rPr>
          <w:rFonts w:ascii="Calibri" w:eastAsia="Calibri" w:hAnsi="Calibri" w:cs="Arial"/>
          <w:sz w:val="24"/>
          <w:szCs w:val="24"/>
        </w:rPr>
        <w:t xml:space="preserve"> to product</w:t>
      </w:r>
      <w:r>
        <w:rPr>
          <w:rFonts w:ascii="Calibri" w:eastAsia="Calibri" w:hAnsi="Calibri" w:cs="Arial"/>
          <w:sz w:val="24"/>
          <w:szCs w:val="24"/>
        </w:rPr>
        <w:t xml:space="preserve">s, via the sales team. Our cases support the extant literature in that </w:t>
      </w:r>
      <w:r w:rsidRPr="00BF01B1">
        <w:rPr>
          <w:rFonts w:ascii="Calibri" w:eastAsia="Calibri" w:hAnsi="Calibri" w:cs="Arial"/>
          <w:sz w:val="24"/>
          <w:szCs w:val="24"/>
        </w:rPr>
        <w:t xml:space="preserve">addressing NSD during initial phases of NPD helps manufacturers build </w:t>
      </w:r>
      <w:r>
        <w:rPr>
          <w:rFonts w:ascii="Calibri" w:eastAsia="Calibri" w:hAnsi="Calibri" w:cs="Arial"/>
          <w:sz w:val="24"/>
          <w:szCs w:val="24"/>
        </w:rPr>
        <w:t xml:space="preserve">successful </w:t>
      </w:r>
      <w:r w:rsidRPr="00BF01B1">
        <w:rPr>
          <w:rFonts w:ascii="Calibri" w:eastAsia="Calibri" w:hAnsi="Calibri" w:cs="Arial"/>
          <w:sz w:val="24"/>
          <w:szCs w:val="24"/>
        </w:rPr>
        <w:t>product</w:t>
      </w:r>
      <w:r>
        <w:rPr>
          <w:rFonts w:ascii="Calibri" w:eastAsia="Calibri" w:hAnsi="Calibri" w:cs="Arial"/>
          <w:sz w:val="24"/>
          <w:szCs w:val="24"/>
        </w:rPr>
        <w:t xml:space="preserve"> and </w:t>
      </w:r>
      <w:r w:rsidRPr="00BF01B1">
        <w:rPr>
          <w:rFonts w:ascii="Calibri" w:eastAsia="Calibri" w:hAnsi="Calibri" w:cs="Arial"/>
          <w:sz w:val="24"/>
          <w:szCs w:val="24"/>
        </w:rPr>
        <w:t xml:space="preserve">service offerings, </w:t>
      </w:r>
      <w:r>
        <w:rPr>
          <w:rFonts w:ascii="Calibri" w:eastAsia="Calibri" w:hAnsi="Calibri" w:cs="Arial"/>
          <w:sz w:val="24"/>
          <w:szCs w:val="24"/>
        </w:rPr>
        <w:t xml:space="preserve">as long as the weaknesses of relying on </w:t>
      </w:r>
      <w:r w:rsidRPr="00BF01B1">
        <w:rPr>
          <w:rFonts w:ascii="Calibri" w:eastAsia="Calibri" w:hAnsi="Calibri" w:cs="Arial"/>
          <w:sz w:val="24"/>
          <w:szCs w:val="24"/>
        </w:rPr>
        <w:t xml:space="preserve">existing product-based routines </w:t>
      </w:r>
      <w:r>
        <w:rPr>
          <w:rFonts w:ascii="Calibri" w:eastAsia="Calibri" w:hAnsi="Calibri" w:cs="Arial"/>
          <w:sz w:val="24"/>
          <w:szCs w:val="24"/>
        </w:rPr>
        <w:t xml:space="preserve">can be managed </w:t>
      </w:r>
      <w:r w:rsidRPr="00BF01B1">
        <w:rPr>
          <w:rFonts w:ascii="Calibri" w:eastAsia="Calibri" w:hAnsi="Calibri" w:cs="Arial"/>
          <w:sz w:val="24"/>
          <w:szCs w:val="24"/>
        </w:rPr>
        <w:t xml:space="preserve">(Ulaga </w:t>
      </w:r>
      <w:r w:rsidR="00B71B68">
        <w:rPr>
          <w:rFonts w:ascii="Calibri" w:eastAsia="Calibri" w:hAnsi="Calibri" w:cs="Arial"/>
          <w:sz w:val="24"/>
          <w:szCs w:val="24"/>
        </w:rPr>
        <w:t>&amp;</w:t>
      </w:r>
      <w:r w:rsidRPr="00BF01B1">
        <w:rPr>
          <w:rFonts w:ascii="Calibri" w:eastAsia="Calibri" w:hAnsi="Calibri" w:cs="Arial"/>
          <w:sz w:val="24"/>
          <w:szCs w:val="24"/>
        </w:rPr>
        <w:t xml:space="preserve"> Reinartz 2011; Gremyr et al. 2014).</w:t>
      </w:r>
      <w:r>
        <w:rPr>
          <w:rFonts w:ascii="Calibri" w:eastAsia="Calibri" w:hAnsi="Calibri" w:cs="Arial"/>
          <w:sz w:val="24"/>
          <w:szCs w:val="24"/>
        </w:rPr>
        <w:t xml:space="preserve"> </w:t>
      </w:r>
    </w:p>
    <w:p w14:paraId="2D3441AE" w14:textId="77777777" w:rsidR="0031765E" w:rsidRDefault="0031765E" w:rsidP="0031765E">
      <w:pPr>
        <w:spacing w:after="0" w:line="480" w:lineRule="auto"/>
        <w:jc w:val="both"/>
        <w:rPr>
          <w:rFonts w:ascii="Calibri" w:eastAsia="Calibri" w:hAnsi="Calibri" w:cs="Arial"/>
          <w:sz w:val="24"/>
          <w:szCs w:val="24"/>
        </w:rPr>
      </w:pPr>
    </w:p>
    <w:p w14:paraId="70C7D829" w14:textId="4227A487" w:rsidR="0031765E" w:rsidRDefault="0031765E" w:rsidP="0031765E">
      <w:pPr>
        <w:spacing w:after="0" w:line="480" w:lineRule="auto"/>
        <w:jc w:val="both"/>
        <w:rPr>
          <w:rFonts w:ascii="Calibri" w:eastAsia="Calibri" w:hAnsi="Calibri" w:cs="Arial"/>
          <w:sz w:val="24"/>
          <w:szCs w:val="24"/>
        </w:rPr>
      </w:pPr>
      <w:r>
        <w:rPr>
          <w:rFonts w:ascii="Calibri" w:eastAsia="Calibri" w:hAnsi="Calibri" w:cs="Arial"/>
          <w:sz w:val="24"/>
          <w:szCs w:val="24"/>
        </w:rPr>
        <w:t>With respect to people and services deployment, a key challenge identified across all cases was the need for people with the right service skillset to develop services (</w:t>
      </w:r>
      <w:r w:rsidR="00B46B71">
        <w:rPr>
          <w:rFonts w:ascii="Calibri" w:eastAsia="Calibri" w:hAnsi="Calibri" w:cs="Arial"/>
          <w:sz w:val="24"/>
          <w:szCs w:val="24"/>
          <w:lang w:val="en-US"/>
        </w:rPr>
        <w:t>Raddats, Burton &amp; Ashman, 2015</w:t>
      </w:r>
      <w:r>
        <w:rPr>
          <w:rFonts w:ascii="Calibri" w:eastAsia="Calibri" w:hAnsi="Calibri" w:cs="Arial"/>
          <w:sz w:val="24"/>
          <w:szCs w:val="24"/>
        </w:rPr>
        <w:t xml:space="preserve">). Indeed, this challenge reflects a wider problem, in that </w:t>
      </w:r>
      <w:r w:rsidRPr="00521F7B">
        <w:rPr>
          <w:rFonts w:ascii="Calibri" w:eastAsia="Calibri" w:hAnsi="Calibri" w:cs="Arial"/>
          <w:sz w:val="24"/>
          <w:szCs w:val="24"/>
          <w:lang w:val="en-US"/>
        </w:rPr>
        <w:t xml:space="preserve">a manufacturer’s product-driven capabilities </w:t>
      </w:r>
      <w:r>
        <w:rPr>
          <w:rFonts w:ascii="Calibri" w:eastAsia="Calibri" w:hAnsi="Calibri" w:cs="Arial"/>
          <w:sz w:val="24"/>
          <w:szCs w:val="24"/>
          <w:lang w:val="en-US"/>
        </w:rPr>
        <w:t xml:space="preserve">are </w:t>
      </w:r>
      <w:r w:rsidRPr="00521F7B">
        <w:rPr>
          <w:rFonts w:ascii="Calibri" w:eastAsia="Calibri" w:hAnsi="Calibri" w:cs="Arial"/>
          <w:sz w:val="24"/>
          <w:szCs w:val="24"/>
          <w:lang w:val="en-US"/>
        </w:rPr>
        <w:t xml:space="preserve">unlikely to be sufficient for </w:t>
      </w:r>
      <w:r>
        <w:rPr>
          <w:rFonts w:ascii="Calibri" w:eastAsia="Calibri" w:hAnsi="Calibri" w:cs="Arial"/>
          <w:sz w:val="24"/>
          <w:szCs w:val="24"/>
          <w:lang w:val="en-US"/>
        </w:rPr>
        <w:t xml:space="preserve">service innovation </w:t>
      </w:r>
      <w:r w:rsidRPr="00521F7B">
        <w:rPr>
          <w:rFonts w:ascii="Calibri" w:eastAsia="Calibri" w:hAnsi="Calibri" w:cs="Arial"/>
          <w:sz w:val="24"/>
          <w:szCs w:val="24"/>
          <w:lang w:val="en-US"/>
        </w:rPr>
        <w:fldChar w:fldCharType="begin"/>
      </w:r>
      <w:r w:rsidRPr="00521F7B">
        <w:rPr>
          <w:rFonts w:ascii="Calibri" w:eastAsia="Calibri" w:hAnsi="Calibri" w:cs="Arial"/>
          <w:sz w:val="24"/>
          <w:szCs w:val="24"/>
          <w:lang w:val="en-US"/>
        </w:rPr>
        <w:instrText xml:space="preserve"> ADDIN ZOTERO_ITEM CSL_CITATION {"citationID":"1akr5q9614","properties":{"formattedCitation":"{\\rtf (Kindstr\\uc0\\u246{}m, Kowalkowski, &amp; Sandberg, 2013)}","plainCitation":"(Kindström, Kowalkowski, &amp; Sandberg, 2013)"},"citationItems":[{"id":2736,"uris":["http://zotero.org/users/364991/items/MTW2BI6Q"],"uri":["http://zotero.org/users/364991/items/MTW2BI6Q"],"itemData":{"id":2736,"type":"article-journal","title":"Enabling service innovation: A dynamic capabilities approach","container-title":"Journal of Business Research","page":"1063-1073","volume":"66","issue":"8","source":"CrossRef","DOI":"10.1016/j.jbusres.2012.03.003","ISSN":"01482963","shortTitle":"Enabling service innovation","language":"en","author":[{"family":"Kindström","given":"Daniel"},{"family":"Kowalkowski","given":"Christian"},{"family":"Sandberg","given":"Erik"}],"issued":{"date-parts":[["2013",8]]}}}],"schema":"https://github.com/citation-style-language/schema/raw/master/csl-citation.json"} </w:instrText>
      </w:r>
      <w:r w:rsidRPr="00521F7B">
        <w:rPr>
          <w:rFonts w:ascii="Calibri" w:eastAsia="Calibri" w:hAnsi="Calibri" w:cs="Arial"/>
          <w:sz w:val="24"/>
          <w:szCs w:val="24"/>
          <w:lang w:val="en-US"/>
        </w:rPr>
        <w:fldChar w:fldCharType="separate"/>
      </w:r>
      <w:r w:rsidRPr="00521F7B">
        <w:rPr>
          <w:rFonts w:ascii="Calibri" w:eastAsia="Calibri" w:hAnsi="Calibri" w:cs="Arial"/>
          <w:sz w:val="24"/>
          <w:szCs w:val="24"/>
          <w:lang w:val="en-US"/>
        </w:rPr>
        <w:t>(Kindström</w:t>
      </w:r>
      <w:r w:rsidR="00D9409D">
        <w:rPr>
          <w:rFonts w:ascii="Calibri" w:eastAsia="Calibri" w:hAnsi="Calibri" w:cs="Arial"/>
          <w:sz w:val="24"/>
          <w:szCs w:val="24"/>
          <w:lang w:val="en-US"/>
        </w:rPr>
        <w:t xml:space="preserve"> et al.,</w:t>
      </w:r>
      <w:r w:rsidRPr="00521F7B">
        <w:rPr>
          <w:rFonts w:ascii="Calibri" w:eastAsia="Calibri" w:hAnsi="Calibri" w:cs="Arial"/>
          <w:sz w:val="24"/>
          <w:szCs w:val="24"/>
          <w:lang w:val="en-US"/>
        </w:rPr>
        <w:t xml:space="preserve"> 2013</w:t>
      </w:r>
      <w:r w:rsidR="00B46B71">
        <w:rPr>
          <w:rFonts w:ascii="Calibri" w:eastAsia="Calibri" w:hAnsi="Calibri" w:cs="Arial"/>
          <w:sz w:val="24"/>
          <w:szCs w:val="24"/>
          <w:lang w:val="en-US"/>
        </w:rPr>
        <w:t>;</w:t>
      </w:r>
      <w:r w:rsidRPr="00521F7B">
        <w:rPr>
          <w:rFonts w:ascii="Calibri" w:eastAsia="Calibri" w:hAnsi="Calibri" w:cs="Arial"/>
          <w:sz w:val="24"/>
          <w:szCs w:val="24"/>
          <w:lang w:val="en-US"/>
        </w:rPr>
        <w:t>)</w:t>
      </w:r>
      <w:r w:rsidRPr="00521F7B">
        <w:rPr>
          <w:rFonts w:ascii="Calibri" w:eastAsia="Calibri" w:hAnsi="Calibri" w:cs="Arial"/>
          <w:sz w:val="24"/>
          <w:szCs w:val="24"/>
        </w:rPr>
        <w:fldChar w:fldCharType="end"/>
      </w:r>
      <w:r w:rsidRPr="00521F7B">
        <w:rPr>
          <w:rFonts w:ascii="Calibri" w:eastAsia="Calibri" w:hAnsi="Calibri" w:cs="Arial"/>
          <w:sz w:val="24"/>
          <w:szCs w:val="24"/>
          <w:lang w:val="en-US"/>
        </w:rPr>
        <w:t xml:space="preserve">. </w:t>
      </w:r>
      <w:r>
        <w:rPr>
          <w:rFonts w:ascii="Calibri" w:eastAsia="Calibri" w:hAnsi="Calibri" w:cs="Arial"/>
          <w:sz w:val="24"/>
          <w:szCs w:val="24"/>
          <w:lang w:val="en-US"/>
        </w:rPr>
        <w:t>For example, SecurCo lacked the necessary services personnel and processes (</w:t>
      </w:r>
      <w:r w:rsidRPr="00912C17">
        <w:rPr>
          <w:rFonts w:ascii="Calibri" w:eastAsia="Calibri" w:hAnsi="Calibri" w:cs="Arial"/>
          <w:sz w:val="24"/>
          <w:szCs w:val="24"/>
        </w:rPr>
        <w:t xml:space="preserve">de Jong </w:t>
      </w:r>
      <w:r w:rsidR="00B71B68">
        <w:rPr>
          <w:rFonts w:ascii="Calibri" w:eastAsia="Calibri" w:hAnsi="Calibri" w:cs="Arial"/>
          <w:sz w:val="24"/>
          <w:szCs w:val="24"/>
        </w:rPr>
        <w:t>&amp;</w:t>
      </w:r>
      <w:r w:rsidRPr="00912C17">
        <w:rPr>
          <w:rFonts w:ascii="Calibri" w:eastAsia="Calibri" w:hAnsi="Calibri" w:cs="Arial"/>
          <w:sz w:val="24"/>
          <w:szCs w:val="24"/>
        </w:rPr>
        <w:t xml:space="preserve"> Vermeulen</w:t>
      </w:r>
      <w:r>
        <w:rPr>
          <w:rFonts w:ascii="Calibri" w:eastAsia="Calibri" w:hAnsi="Calibri" w:cs="Arial"/>
          <w:sz w:val="24"/>
          <w:szCs w:val="24"/>
        </w:rPr>
        <w:t xml:space="preserve">, </w:t>
      </w:r>
      <w:r w:rsidRPr="00912C17">
        <w:rPr>
          <w:rFonts w:ascii="Calibri" w:eastAsia="Calibri" w:hAnsi="Calibri" w:cs="Arial"/>
          <w:sz w:val="24"/>
          <w:szCs w:val="24"/>
        </w:rPr>
        <w:t>2003)</w:t>
      </w:r>
      <w:r>
        <w:rPr>
          <w:rFonts w:ascii="Calibri" w:eastAsia="Calibri" w:hAnsi="Calibri" w:cs="Arial"/>
          <w:sz w:val="24"/>
          <w:szCs w:val="24"/>
        </w:rPr>
        <w:t xml:space="preserve"> and, therefore, felt unable to develop new services.</w:t>
      </w:r>
      <w:r>
        <w:rPr>
          <w:rFonts w:ascii="Calibri" w:eastAsia="Calibri" w:hAnsi="Calibri" w:cs="Arial"/>
          <w:sz w:val="24"/>
          <w:szCs w:val="24"/>
          <w:lang w:val="en-US"/>
        </w:rPr>
        <w:t xml:space="preserve"> ChemCo </w:t>
      </w:r>
      <w:r w:rsidRPr="00211FB1">
        <w:rPr>
          <w:rFonts w:ascii="Calibri" w:eastAsia="Calibri" w:hAnsi="Calibri" w:cs="Arial"/>
          <w:sz w:val="24"/>
          <w:szCs w:val="24"/>
        </w:rPr>
        <w:t xml:space="preserve">faced </w:t>
      </w:r>
      <w:r>
        <w:rPr>
          <w:rFonts w:ascii="Calibri" w:eastAsia="Calibri" w:hAnsi="Calibri" w:cs="Arial"/>
          <w:sz w:val="24"/>
          <w:szCs w:val="24"/>
        </w:rPr>
        <w:t xml:space="preserve">constraints </w:t>
      </w:r>
      <w:r w:rsidRPr="00211FB1">
        <w:rPr>
          <w:rFonts w:ascii="Calibri" w:eastAsia="Calibri" w:hAnsi="Calibri" w:cs="Arial"/>
          <w:sz w:val="24"/>
          <w:szCs w:val="24"/>
        </w:rPr>
        <w:t>in terms of scaling new service</w:t>
      </w:r>
      <w:r>
        <w:rPr>
          <w:rFonts w:ascii="Calibri" w:eastAsia="Calibri" w:hAnsi="Calibri" w:cs="Arial"/>
          <w:sz w:val="24"/>
          <w:szCs w:val="24"/>
        </w:rPr>
        <w:t>s</w:t>
      </w:r>
      <w:r w:rsidRPr="00211FB1">
        <w:rPr>
          <w:rFonts w:ascii="Calibri" w:eastAsia="Calibri" w:hAnsi="Calibri" w:cs="Arial"/>
          <w:sz w:val="24"/>
          <w:szCs w:val="24"/>
        </w:rPr>
        <w:t xml:space="preserve"> </w:t>
      </w:r>
      <w:r>
        <w:rPr>
          <w:rFonts w:ascii="Calibri" w:eastAsia="Calibri" w:hAnsi="Calibri" w:cs="Arial"/>
          <w:sz w:val="24"/>
          <w:szCs w:val="24"/>
        </w:rPr>
        <w:t xml:space="preserve">through lack of requisite </w:t>
      </w:r>
      <w:r w:rsidRPr="00211FB1">
        <w:rPr>
          <w:rFonts w:ascii="Calibri" w:eastAsia="Calibri" w:hAnsi="Calibri" w:cs="Arial"/>
          <w:sz w:val="24"/>
          <w:szCs w:val="24"/>
        </w:rPr>
        <w:t xml:space="preserve">capabilities </w:t>
      </w:r>
      <w:r>
        <w:rPr>
          <w:rFonts w:ascii="Calibri" w:eastAsia="Calibri" w:hAnsi="Calibri" w:cs="Arial"/>
          <w:sz w:val="24"/>
          <w:szCs w:val="24"/>
        </w:rPr>
        <w:t xml:space="preserve">to deliver them in </w:t>
      </w:r>
      <w:r w:rsidRPr="00211FB1">
        <w:rPr>
          <w:rFonts w:ascii="Calibri" w:eastAsia="Calibri" w:hAnsi="Calibri" w:cs="Arial"/>
          <w:sz w:val="24"/>
          <w:szCs w:val="24"/>
        </w:rPr>
        <w:t xml:space="preserve">all markets. </w:t>
      </w:r>
      <w:r>
        <w:rPr>
          <w:rFonts w:ascii="Calibri" w:eastAsia="Calibri" w:hAnsi="Calibri" w:cs="Arial"/>
          <w:sz w:val="24"/>
          <w:szCs w:val="24"/>
        </w:rPr>
        <w:t xml:space="preserve">AeroCo and TelCo </w:t>
      </w:r>
      <w:r w:rsidRPr="00211FB1">
        <w:rPr>
          <w:rFonts w:ascii="Calibri" w:eastAsia="Calibri" w:hAnsi="Calibri" w:cs="Arial"/>
          <w:sz w:val="24"/>
          <w:szCs w:val="24"/>
        </w:rPr>
        <w:t>demonstrated the most long-term commitment to NSD activities, accepting that this involved taking on investment risks when tackling this challenge</w:t>
      </w:r>
      <w:r>
        <w:rPr>
          <w:rFonts w:ascii="Calibri" w:eastAsia="Calibri" w:hAnsi="Calibri" w:cs="Arial"/>
          <w:sz w:val="24"/>
          <w:szCs w:val="24"/>
        </w:rPr>
        <w:t xml:space="preserve">. Evidence suggests that </w:t>
      </w:r>
      <w:r w:rsidRPr="00CC322D">
        <w:rPr>
          <w:rFonts w:ascii="Calibri" w:eastAsia="Calibri" w:hAnsi="Calibri" w:cs="Arial"/>
          <w:sz w:val="24"/>
          <w:szCs w:val="24"/>
        </w:rPr>
        <w:t xml:space="preserve">manufacturers directing their innovation efforts to both products and services outperform </w:t>
      </w:r>
      <w:r>
        <w:rPr>
          <w:rFonts w:ascii="Calibri" w:eastAsia="Calibri" w:hAnsi="Calibri" w:cs="Arial"/>
          <w:sz w:val="24"/>
          <w:szCs w:val="24"/>
        </w:rPr>
        <w:t>peers that do not (Eggert et al., 2015); although</w:t>
      </w:r>
      <w:r>
        <w:rPr>
          <w:rFonts w:ascii="Calibri" w:eastAsia="Calibri" w:hAnsi="Calibri" w:cs="Arial"/>
          <w:sz w:val="24"/>
          <w:szCs w:val="24"/>
          <w:lang w:val="en-US"/>
        </w:rPr>
        <w:t xml:space="preserve"> the risk for an overly product-focused organisation is that when funding is limited product innovation will be prioritised over service innovation.   </w:t>
      </w:r>
    </w:p>
    <w:p w14:paraId="5F1AAE2A" w14:textId="77777777" w:rsidR="0031765E" w:rsidRPr="00211FB1" w:rsidRDefault="0031765E" w:rsidP="0031765E">
      <w:pPr>
        <w:spacing w:after="0" w:line="480" w:lineRule="auto"/>
        <w:jc w:val="both"/>
        <w:rPr>
          <w:rFonts w:ascii="Calibri" w:eastAsia="Calibri" w:hAnsi="Calibri" w:cs="Arial"/>
          <w:sz w:val="24"/>
          <w:szCs w:val="24"/>
        </w:rPr>
      </w:pPr>
    </w:p>
    <w:p w14:paraId="78720DFE" w14:textId="05AF1381" w:rsidR="00211FB1" w:rsidRDefault="0031765E" w:rsidP="00211FB1">
      <w:pPr>
        <w:spacing w:after="0" w:line="480" w:lineRule="auto"/>
        <w:jc w:val="both"/>
        <w:rPr>
          <w:rFonts w:ascii="Calibri" w:eastAsia="Calibri" w:hAnsi="Calibri" w:cs="Arial"/>
          <w:sz w:val="24"/>
          <w:szCs w:val="24"/>
        </w:rPr>
      </w:pPr>
      <w:r>
        <w:rPr>
          <w:rFonts w:ascii="Calibri" w:eastAsia="Calibri" w:hAnsi="Calibri" w:cs="Arial"/>
          <w:sz w:val="24"/>
          <w:szCs w:val="24"/>
        </w:rPr>
        <w:t>Finally, our study also suggests</w:t>
      </w:r>
      <w:r w:rsidRPr="00211FB1">
        <w:rPr>
          <w:rFonts w:ascii="Calibri" w:eastAsia="Calibri" w:hAnsi="Calibri" w:cs="Arial"/>
          <w:sz w:val="24"/>
          <w:szCs w:val="24"/>
        </w:rPr>
        <w:t xml:space="preserve"> </w:t>
      </w:r>
      <w:r>
        <w:rPr>
          <w:rFonts w:ascii="Calibri" w:eastAsia="Calibri" w:hAnsi="Calibri" w:cs="Arial"/>
          <w:sz w:val="24"/>
          <w:szCs w:val="24"/>
        </w:rPr>
        <w:t>that the services strategies categories outlined in Raddats &amp; Kowalkowski (2014) needs further refinement. The data from the two enthusiast cases highlight differences between TelCo and AeroCo in a number of areas that lead us to speculate that future research needs to consider four types of services strategies; with enthusiasts broken down into restrained</w:t>
      </w:r>
      <w:r w:rsidR="00F00B0C">
        <w:rPr>
          <w:rFonts w:ascii="Calibri" w:eastAsia="Calibri" w:hAnsi="Calibri" w:cs="Arial"/>
          <w:sz w:val="24"/>
          <w:szCs w:val="24"/>
        </w:rPr>
        <w:t>-</w:t>
      </w:r>
      <w:r>
        <w:rPr>
          <w:rFonts w:ascii="Calibri" w:eastAsia="Calibri" w:hAnsi="Calibri" w:cs="Arial"/>
          <w:sz w:val="24"/>
          <w:szCs w:val="24"/>
        </w:rPr>
        <w:t>enthusiasts and enthusiasts. Additionally, we note that the ‘doubter’ may be in this position because of constraints resulting from industry structure and its reliance on its network of distributors to provide services.</w:t>
      </w:r>
    </w:p>
    <w:p w14:paraId="5685A711" w14:textId="77777777" w:rsidR="00B71B68" w:rsidRPr="00211FB1" w:rsidRDefault="00B71B68" w:rsidP="00211FB1">
      <w:pPr>
        <w:spacing w:after="0" w:line="480" w:lineRule="auto"/>
        <w:jc w:val="both"/>
        <w:rPr>
          <w:rFonts w:ascii="Calibri" w:eastAsia="Calibri" w:hAnsi="Calibri" w:cs="Arial"/>
          <w:sz w:val="24"/>
          <w:szCs w:val="24"/>
        </w:rPr>
      </w:pPr>
    </w:p>
    <w:p w14:paraId="4A8FB1F3" w14:textId="77777777" w:rsidR="00211FB1" w:rsidRPr="00211FB1" w:rsidRDefault="00211FB1" w:rsidP="00211FB1">
      <w:pPr>
        <w:spacing w:after="0" w:line="480" w:lineRule="auto"/>
        <w:rPr>
          <w:rFonts w:ascii="Calibri" w:eastAsia="Calibri" w:hAnsi="Calibri" w:cs="Arial"/>
          <w:b/>
          <w:sz w:val="24"/>
          <w:szCs w:val="24"/>
        </w:rPr>
      </w:pPr>
      <w:r w:rsidRPr="00211FB1">
        <w:rPr>
          <w:rFonts w:ascii="Calibri" w:eastAsia="Calibri" w:hAnsi="Calibri" w:cs="Arial"/>
          <w:b/>
          <w:sz w:val="24"/>
          <w:szCs w:val="24"/>
        </w:rPr>
        <w:t>5. Conclusions</w:t>
      </w:r>
    </w:p>
    <w:p w14:paraId="7A23CDDD" w14:textId="39D7F098" w:rsidR="00211FB1" w:rsidRPr="00211FB1" w:rsidRDefault="00BD1D23" w:rsidP="007267F3">
      <w:pPr>
        <w:pStyle w:val="CommentText"/>
        <w:spacing w:line="480" w:lineRule="auto"/>
        <w:jc w:val="both"/>
        <w:rPr>
          <w:rFonts w:ascii="Calibri" w:eastAsia="Calibri" w:hAnsi="Calibri" w:cs="Arial"/>
          <w:sz w:val="24"/>
          <w:szCs w:val="24"/>
        </w:rPr>
      </w:pPr>
      <w:r>
        <w:rPr>
          <w:sz w:val="24"/>
          <w:szCs w:val="24"/>
        </w:rPr>
        <w:t>This research goes beyond the macro exploration of the general challenges hindering  manufacturers’ servitization</w:t>
      </w:r>
      <w:r w:rsidRPr="0082002F">
        <w:rPr>
          <w:sz w:val="24"/>
          <w:szCs w:val="24"/>
        </w:rPr>
        <w:t xml:space="preserve"> </w:t>
      </w:r>
      <w:r>
        <w:rPr>
          <w:sz w:val="24"/>
          <w:szCs w:val="24"/>
        </w:rPr>
        <w:t xml:space="preserve">efforts, and instead considers the specific challenges to NSD for manufacturers with differing services strategies. </w:t>
      </w:r>
      <w:r w:rsidR="00211FB1" w:rsidRPr="00211FB1">
        <w:rPr>
          <w:rFonts w:ascii="Calibri" w:eastAsia="Calibri" w:hAnsi="Calibri" w:cs="Arial"/>
          <w:sz w:val="24"/>
          <w:szCs w:val="24"/>
        </w:rPr>
        <w:t xml:space="preserve">In this study, we have identified and explored how the challenges </w:t>
      </w:r>
      <w:r>
        <w:rPr>
          <w:rFonts w:ascii="Calibri" w:eastAsia="Calibri" w:hAnsi="Calibri" w:cs="Arial"/>
          <w:sz w:val="24"/>
          <w:szCs w:val="24"/>
        </w:rPr>
        <w:t xml:space="preserve">they </w:t>
      </w:r>
      <w:r w:rsidR="00133687">
        <w:rPr>
          <w:rFonts w:ascii="Calibri" w:eastAsia="Calibri" w:hAnsi="Calibri" w:cs="Arial"/>
          <w:sz w:val="24"/>
          <w:szCs w:val="24"/>
        </w:rPr>
        <w:t xml:space="preserve">faced </w:t>
      </w:r>
      <w:r w:rsidR="00211FB1" w:rsidRPr="00211FB1">
        <w:rPr>
          <w:rFonts w:ascii="Calibri" w:eastAsia="Calibri" w:hAnsi="Calibri" w:cs="Arial"/>
          <w:sz w:val="24"/>
          <w:szCs w:val="24"/>
        </w:rPr>
        <w:t>affect their new service</w:t>
      </w:r>
      <w:r w:rsidR="006A24BD">
        <w:rPr>
          <w:rFonts w:ascii="Calibri" w:eastAsia="Calibri" w:hAnsi="Calibri" w:cs="Arial"/>
          <w:sz w:val="24"/>
          <w:szCs w:val="24"/>
        </w:rPr>
        <w:t>s</w:t>
      </w:r>
      <w:r w:rsidR="00211FB1" w:rsidRPr="00211FB1">
        <w:rPr>
          <w:rFonts w:ascii="Calibri" w:eastAsia="Calibri" w:hAnsi="Calibri" w:cs="Arial"/>
          <w:sz w:val="24"/>
          <w:szCs w:val="24"/>
        </w:rPr>
        <w:t xml:space="preserve"> development efforts (RQ1)</w:t>
      </w:r>
      <w:r w:rsidR="007B4F4A">
        <w:rPr>
          <w:rFonts w:ascii="Calibri" w:eastAsia="Calibri" w:hAnsi="Calibri" w:cs="Arial"/>
          <w:sz w:val="24"/>
          <w:szCs w:val="24"/>
        </w:rPr>
        <w:t>,</w:t>
      </w:r>
      <w:r w:rsidR="00211FB1" w:rsidRPr="00211FB1">
        <w:rPr>
          <w:rFonts w:ascii="Calibri" w:eastAsia="Calibri" w:hAnsi="Calibri" w:cs="Arial"/>
          <w:sz w:val="24"/>
          <w:szCs w:val="24"/>
        </w:rPr>
        <w:t xml:space="preserve"> whether the responses they implement to overcome these challenges vary according to these differing service</w:t>
      </w:r>
      <w:r w:rsidR="006A24BD">
        <w:rPr>
          <w:rFonts w:ascii="Calibri" w:eastAsia="Calibri" w:hAnsi="Calibri" w:cs="Arial"/>
          <w:sz w:val="24"/>
          <w:szCs w:val="24"/>
        </w:rPr>
        <w:t>s</w:t>
      </w:r>
      <w:r w:rsidR="00211FB1" w:rsidRPr="00211FB1">
        <w:rPr>
          <w:rFonts w:ascii="Calibri" w:eastAsia="Calibri" w:hAnsi="Calibri" w:cs="Arial"/>
          <w:sz w:val="24"/>
          <w:szCs w:val="24"/>
        </w:rPr>
        <w:t xml:space="preserve"> strategies adopted (RQ2)</w:t>
      </w:r>
      <w:r w:rsidR="007B4F4A">
        <w:rPr>
          <w:rFonts w:ascii="Calibri" w:eastAsia="Calibri" w:hAnsi="Calibri" w:cs="Arial"/>
          <w:sz w:val="24"/>
          <w:szCs w:val="24"/>
        </w:rPr>
        <w:t xml:space="preserve"> and specifically we compare the variation in the types of challenges and responses relating to NSD processes</w:t>
      </w:r>
      <w:r w:rsidR="00211FB1" w:rsidRPr="00211FB1">
        <w:rPr>
          <w:rFonts w:ascii="Calibri" w:eastAsia="Calibri" w:hAnsi="Calibri" w:cs="Arial"/>
          <w:sz w:val="24"/>
          <w:szCs w:val="24"/>
        </w:rPr>
        <w:t xml:space="preserve">. In developing research propositions through a cross-case explanation of our research questions we have been able to offer a number of theoretical contributions. </w:t>
      </w:r>
    </w:p>
    <w:p w14:paraId="4A9D8534" w14:textId="77777777" w:rsidR="00211FB1" w:rsidRPr="00211FB1" w:rsidRDefault="00211FB1" w:rsidP="00211FB1">
      <w:pPr>
        <w:spacing w:after="0" w:line="480" w:lineRule="auto"/>
        <w:jc w:val="both"/>
        <w:rPr>
          <w:rFonts w:ascii="Calibri" w:eastAsia="Calibri" w:hAnsi="Calibri" w:cs="Arial"/>
          <w:sz w:val="24"/>
          <w:szCs w:val="24"/>
        </w:rPr>
      </w:pPr>
    </w:p>
    <w:p w14:paraId="267DD693" w14:textId="385A5BFC" w:rsidR="00F90882" w:rsidRPr="00211FB1" w:rsidRDefault="00211FB1" w:rsidP="00F90882">
      <w:pPr>
        <w:spacing w:after="0" w:line="480" w:lineRule="auto"/>
        <w:jc w:val="both"/>
        <w:rPr>
          <w:rFonts w:ascii="Calibri" w:eastAsia="Calibri" w:hAnsi="Calibri" w:cs="Arial"/>
          <w:sz w:val="24"/>
          <w:szCs w:val="24"/>
        </w:rPr>
      </w:pPr>
      <w:r w:rsidRPr="00211FB1">
        <w:rPr>
          <w:rFonts w:ascii="Calibri" w:eastAsia="Calibri" w:hAnsi="Calibri" w:cs="Arial"/>
          <w:sz w:val="24"/>
          <w:szCs w:val="24"/>
        </w:rPr>
        <w:t xml:space="preserve">First, we identify </w:t>
      </w:r>
      <w:r w:rsidR="001774C2">
        <w:rPr>
          <w:rFonts w:ascii="Calibri" w:eastAsia="Calibri" w:hAnsi="Calibri" w:cs="Arial"/>
          <w:sz w:val="24"/>
          <w:szCs w:val="24"/>
        </w:rPr>
        <w:t>various degrees of</w:t>
      </w:r>
      <w:r w:rsidRPr="00211FB1">
        <w:rPr>
          <w:rFonts w:ascii="Calibri" w:eastAsia="Calibri" w:hAnsi="Calibri" w:cs="Calibri"/>
          <w:sz w:val="24"/>
          <w:szCs w:val="24"/>
        </w:rPr>
        <w:t xml:space="preserve"> product-logic </w:t>
      </w:r>
      <w:r w:rsidR="001774C2">
        <w:rPr>
          <w:rFonts w:ascii="Calibri" w:eastAsia="Calibri" w:hAnsi="Calibri" w:cs="Calibri"/>
          <w:sz w:val="24"/>
          <w:szCs w:val="24"/>
        </w:rPr>
        <w:t xml:space="preserve">that </w:t>
      </w:r>
      <w:r w:rsidRPr="00211FB1">
        <w:rPr>
          <w:rFonts w:ascii="Calibri" w:eastAsia="Calibri" w:hAnsi="Calibri" w:cs="Calibri"/>
          <w:sz w:val="24"/>
          <w:szCs w:val="24"/>
        </w:rPr>
        <w:t xml:space="preserve">drive </w:t>
      </w:r>
      <w:r w:rsidR="00346EF1">
        <w:rPr>
          <w:rFonts w:ascii="Calibri" w:eastAsia="Calibri" w:hAnsi="Calibri" w:cs="Calibri"/>
          <w:sz w:val="24"/>
          <w:szCs w:val="24"/>
        </w:rPr>
        <w:t>NSD</w:t>
      </w:r>
      <w:r w:rsidRPr="00211FB1">
        <w:rPr>
          <w:rFonts w:ascii="Calibri" w:eastAsia="Calibri" w:hAnsi="Calibri" w:cs="Calibri"/>
          <w:sz w:val="24"/>
          <w:szCs w:val="24"/>
        </w:rPr>
        <w:t xml:space="preserve"> for manufacturers,</w:t>
      </w:r>
      <w:r w:rsidRPr="00211FB1">
        <w:rPr>
          <w:rFonts w:ascii="Calibri" w:eastAsia="Calibri" w:hAnsi="Calibri" w:cs="Arial"/>
          <w:sz w:val="24"/>
          <w:szCs w:val="24"/>
        </w:rPr>
        <w:t xml:space="preserve"> even those that are service enthusiasts</w:t>
      </w:r>
      <w:r w:rsidRPr="00211FB1">
        <w:rPr>
          <w:rFonts w:ascii="Calibri" w:eastAsia="Calibri" w:hAnsi="Calibri" w:cs="Calibri"/>
          <w:sz w:val="24"/>
          <w:szCs w:val="24"/>
        </w:rPr>
        <w:t xml:space="preserve">. </w:t>
      </w:r>
      <w:r w:rsidRPr="00211FB1">
        <w:rPr>
          <w:rFonts w:ascii="Calibri" w:eastAsia="Calibri" w:hAnsi="Calibri" w:cs="Arial"/>
          <w:sz w:val="24"/>
          <w:szCs w:val="24"/>
        </w:rPr>
        <w:t>Thus, these findings counter previous widely accepted views of servitization as a transformation process to a purely service</w:t>
      </w:r>
      <w:r w:rsidR="00346EF1">
        <w:rPr>
          <w:rFonts w:ascii="Calibri" w:eastAsia="Calibri" w:hAnsi="Calibri" w:cs="Arial"/>
          <w:sz w:val="24"/>
          <w:szCs w:val="24"/>
        </w:rPr>
        <w:t>-</w:t>
      </w:r>
      <w:r w:rsidRPr="00211FB1">
        <w:rPr>
          <w:rFonts w:ascii="Calibri" w:eastAsia="Calibri" w:hAnsi="Calibri" w:cs="Arial"/>
          <w:sz w:val="24"/>
          <w:szCs w:val="24"/>
        </w:rPr>
        <w:t>focused strategy (Mathieu, 2001</w:t>
      </w:r>
      <w:r w:rsidR="007E4059">
        <w:rPr>
          <w:rFonts w:ascii="Calibri" w:eastAsia="Calibri" w:hAnsi="Calibri" w:cs="Arial"/>
          <w:sz w:val="24"/>
          <w:szCs w:val="24"/>
        </w:rPr>
        <w:t>b</w:t>
      </w:r>
      <w:r w:rsidRPr="00211FB1">
        <w:rPr>
          <w:rFonts w:ascii="Calibri" w:eastAsia="Calibri" w:hAnsi="Calibri" w:cs="Arial"/>
          <w:sz w:val="24"/>
          <w:szCs w:val="24"/>
        </w:rPr>
        <w:t xml:space="preserve">; Oliva </w:t>
      </w:r>
      <w:r w:rsidR="00133687">
        <w:rPr>
          <w:rFonts w:ascii="Calibri" w:eastAsia="Calibri" w:hAnsi="Calibri" w:cs="Arial"/>
          <w:sz w:val="24"/>
          <w:szCs w:val="24"/>
        </w:rPr>
        <w:t>&amp;</w:t>
      </w:r>
      <w:r w:rsidR="00133687" w:rsidRPr="00211FB1">
        <w:rPr>
          <w:rFonts w:ascii="Calibri" w:eastAsia="Calibri" w:hAnsi="Calibri" w:cs="Arial"/>
          <w:sz w:val="24"/>
          <w:szCs w:val="24"/>
        </w:rPr>
        <w:t xml:space="preserve"> </w:t>
      </w:r>
      <w:r w:rsidRPr="00211FB1">
        <w:rPr>
          <w:rFonts w:ascii="Calibri" w:eastAsia="Calibri" w:hAnsi="Calibri" w:cs="Arial"/>
          <w:sz w:val="24"/>
          <w:szCs w:val="24"/>
        </w:rPr>
        <w:t xml:space="preserve">Kallenberg, 2003), supporting an alternative emerging view that manufacturers can adopt </w:t>
      </w:r>
      <w:r w:rsidR="002029E5">
        <w:rPr>
          <w:rFonts w:ascii="Calibri" w:eastAsia="Calibri" w:hAnsi="Calibri" w:cs="Arial"/>
          <w:sz w:val="24"/>
          <w:szCs w:val="24"/>
        </w:rPr>
        <w:t>different</w:t>
      </w:r>
      <w:r w:rsidR="002029E5" w:rsidRPr="00211FB1">
        <w:rPr>
          <w:rFonts w:ascii="Calibri" w:eastAsia="Calibri" w:hAnsi="Calibri" w:cs="Arial"/>
          <w:sz w:val="24"/>
          <w:szCs w:val="24"/>
        </w:rPr>
        <w:t xml:space="preserve"> </w:t>
      </w:r>
      <w:r w:rsidRPr="00211FB1">
        <w:rPr>
          <w:rFonts w:ascii="Calibri" w:eastAsia="Calibri" w:hAnsi="Calibri" w:cs="Arial"/>
          <w:sz w:val="24"/>
          <w:szCs w:val="24"/>
        </w:rPr>
        <w:t>hybrid approach</w:t>
      </w:r>
      <w:r w:rsidR="002029E5">
        <w:rPr>
          <w:rFonts w:ascii="Calibri" w:eastAsia="Calibri" w:hAnsi="Calibri" w:cs="Arial"/>
          <w:sz w:val="24"/>
          <w:szCs w:val="24"/>
        </w:rPr>
        <w:t>es</w:t>
      </w:r>
      <w:r w:rsidRPr="00211FB1">
        <w:rPr>
          <w:rFonts w:ascii="Calibri" w:eastAsia="Calibri" w:hAnsi="Calibri" w:cs="Arial"/>
          <w:sz w:val="24"/>
          <w:szCs w:val="24"/>
        </w:rPr>
        <w:t xml:space="preserve"> that supports their </w:t>
      </w:r>
      <w:r w:rsidR="007008BC">
        <w:t>combined product and services offering’ strategy</w:t>
      </w:r>
      <w:r w:rsidR="007008BC" w:rsidRPr="00211FB1" w:rsidDel="007008BC">
        <w:rPr>
          <w:rFonts w:ascii="Calibri" w:eastAsia="Calibri" w:hAnsi="Calibri" w:cs="Arial"/>
          <w:sz w:val="24"/>
          <w:szCs w:val="24"/>
        </w:rPr>
        <w:t xml:space="preserve"> </w:t>
      </w:r>
      <w:r w:rsidRPr="00211FB1">
        <w:rPr>
          <w:rFonts w:ascii="Calibri" w:eastAsia="Calibri" w:hAnsi="Calibri" w:cs="Arial"/>
          <w:sz w:val="24"/>
          <w:szCs w:val="24"/>
        </w:rPr>
        <w:t>(Kowalkowski et al., 2015; Peillon et al., 2015; Ulaga</w:t>
      </w:r>
      <w:r w:rsidRPr="00211FB1">
        <w:rPr>
          <w:rFonts w:ascii="Calibri" w:eastAsia="Calibri" w:hAnsi="Calibri" w:cs="Arial"/>
          <w:iCs/>
          <w:sz w:val="24"/>
          <w:szCs w:val="24"/>
          <w:lang w:val="en-US"/>
        </w:rPr>
        <w:t xml:space="preserve"> </w:t>
      </w:r>
      <w:r w:rsidR="00133687">
        <w:rPr>
          <w:rFonts w:ascii="Calibri" w:eastAsia="Calibri" w:hAnsi="Calibri" w:cs="Arial"/>
          <w:iCs/>
          <w:sz w:val="24"/>
          <w:szCs w:val="24"/>
          <w:lang w:val="en-US"/>
        </w:rPr>
        <w:t>&amp;</w:t>
      </w:r>
      <w:r w:rsidR="00133687" w:rsidRPr="00211FB1">
        <w:rPr>
          <w:rFonts w:ascii="Calibri" w:eastAsia="Calibri" w:hAnsi="Calibri" w:cs="Arial"/>
          <w:iCs/>
          <w:sz w:val="24"/>
          <w:szCs w:val="24"/>
          <w:lang w:val="en-US"/>
        </w:rPr>
        <w:t xml:space="preserve"> </w:t>
      </w:r>
      <w:r w:rsidRPr="00211FB1">
        <w:rPr>
          <w:rFonts w:ascii="Calibri" w:eastAsia="Calibri" w:hAnsi="Calibri" w:cs="Arial"/>
          <w:iCs/>
          <w:sz w:val="24"/>
          <w:szCs w:val="24"/>
          <w:lang w:val="en-US"/>
        </w:rPr>
        <w:t>Reinartz, 2011</w:t>
      </w:r>
      <w:r w:rsidRPr="00211FB1">
        <w:rPr>
          <w:rFonts w:ascii="Calibri" w:eastAsia="Calibri" w:hAnsi="Calibri" w:cs="Arial"/>
          <w:sz w:val="24"/>
          <w:szCs w:val="24"/>
        </w:rPr>
        <w:t xml:space="preserve">). </w:t>
      </w:r>
      <w:r w:rsidR="00BD1D23">
        <w:rPr>
          <w:rFonts w:ascii="Calibri" w:eastAsia="Calibri" w:hAnsi="Calibri" w:cs="Arial"/>
          <w:sz w:val="24"/>
          <w:szCs w:val="24"/>
        </w:rPr>
        <w:t xml:space="preserve"> Additionally, they suggest that the services strategies identified by Raddats </w:t>
      </w:r>
      <w:r w:rsidR="00133687">
        <w:rPr>
          <w:rFonts w:ascii="Calibri" w:eastAsia="Calibri" w:hAnsi="Calibri" w:cs="Arial"/>
          <w:sz w:val="24"/>
          <w:szCs w:val="24"/>
        </w:rPr>
        <w:t>&amp;</w:t>
      </w:r>
      <w:r w:rsidR="00BD1D23">
        <w:rPr>
          <w:rFonts w:ascii="Calibri" w:eastAsia="Calibri" w:hAnsi="Calibri" w:cs="Arial"/>
          <w:sz w:val="24"/>
          <w:szCs w:val="24"/>
        </w:rPr>
        <w:t xml:space="preserve"> Kowalkowski (2014) need refining by further dividing the enthusiast to reflect</w:t>
      </w:r>
      <w:r w:rsidR="000151B0">
        <w:rPr>
          <w:rFonts w:ascii="Calibri" w:eastAsia="Calibri" w:hAnsi="Calibri" w:cs="Arial"/>
          <w:sz w:val="24"/>
          <w:szCs w:val="24"/>
        </w:rPr>
        <w:t xml:space="preserve"> the prevalence of internal organisational constraints </w:t>
      </w:r>
      <w:r w:rsidR="002029E5">
        <w:rPr>
          <w:rFonts w:ascii="Calibri" w:eastAsia="Calibri" w:hAnsi="Calibri" w:cs="Arial"/>
          <w:sz w:val="24"/>
          <w:szCs w:val="24"/>
        </w:rPr>
        <w:t>that differentiate between firms adopting a more restrained version of the enthusiast services strategy.</w:t>
      </w:r>
      <w:r w:rsidR="00F90882">
        <w:rPr>
          <w:rFonts w:ascii="Calibri" w:eastAsia="Calibri" w:hAnsi="Calibri" w:cs="Arial"/>
          <w:sz w:val="24"/>
          <w:szCs w:val="24"/>
        </w:rPr>
        <w:t xml:space="preserve"> We suggest also that further research is needed to identify if the doubter category requires subdivision to account </w:t>
      </w:r>
      <w:r w:rsidR="002029E5">
        <w:rPr>
          <w:rFonts w:ascii="Calibri" w:eastAsia="Calibri" w:hAnsi="Calibri" w:cs="Arial"/>
          <w:sz w:val="24"/>
          <w:szCs w:val="24"/>
        </w:rPr>
        <w:t xml:space="preserve">for </w:t>
      </w:r>
      <w:r w:rsidR="00F90882">
        <w:rPr>
          <w:rFonts w:ascii="Calibri" w:eastAsia="Calibri" w:hAnsi="Calibri" w:cs="Arial"/>
          <w:sz w:val="24"/>
          <w:szCs w:val="24"/>
        </w:rPr>
        <w:t xml:space="preserve">external industry constraints upon services strategy adoption. </w:t>
      </w:r>
    </w:p>
    <w:p w14:paraId="0B0F50EC" w14:textId="77777777" w:rsidR="00211FB1" w:rsidRPr="00211FB1" w:rsidRDefault="00211FB1" w:rsidP="00211FB1">
      <w:pPr>
        <w:spacing w:after="0" w:line="480" w:lineRule="auto"/>
        <w:jc w:val="both"/>
        <w:rPr>
          <w:rFonts w:ascii="Calibri" w:eastAsia="Calibri" w:hAnsi="Calibri" w:cs="Arial"/>
          <w:sz w:val="24"/>
          <w:szCs w:val="24"/>
        </w:rPr>
      </w:pPr>
    </w:p>
    <w:p w14:paraId="65A011EC" w14:textId="7D87A3C5" w:rsidR="00211FB1" w:rsidRPr="00211FB1" w:rsidRDefault="00211FB1" w:rsidP="00211FB1">
      <w:pPr>
        <w:spacing w:after="0" w:line="480" w:lineRule="auto"/>
        <w:jc w:val="both"/>
        <w:rPr>
          <w:rFonts w:ascii="Calibri" w:eastAsia="Calibri" w:hAnsi="Calibri" w:cs="Arial"/>
          <w:sz w:val="24"/>
          <w:szCs w:val="24"/>
        </w:rPr>
      </w:pPr>
      <w:r w:rsidRPr="00211FB1">
        <w:rPr>
          <w:rFonts w:ascii="Calibri" w:eastAsia="Calibri" w:hAnsi="Calibri" w:cs="Calibri"/>
          <w:sz w:val="24"/>
          <w:szCs w:val="24"/>
        </w:rPr>
        <w:t xml:space="preserve">Our </w:t>
      </w:r>
      <w:r w:rsidR="00BD1D23">
        <w:rPr>
          <w:rFonts w:ascii="Calibri" w:eastAsia="Calibri" w:hAnsi="Calibri" w:cs="Calibri"/>
          <w:sz w:val="24"/>
          <w:szCs w:val="24"/>
        </w:rPr>
        <w:t>second</w:t>
      </w:r>
      <w:r w:rsidRPr="00211FB1">
        <w:rPr>
          <w:rFonts w:ascii="Calibri" w:eastAsia="Calibri" w:hAnsi="Calibri" w:cs="Calibri"/>
          <w:sz w:val="24"/>
          <w:szCs w:val="24"/>
        </w:rPr>
        <w:t xml:space="preserve"> contribution</w:t>
      </w:r>
      <w:r w:rsidR="001F09B7">
        <w:rPr>
          <w:rFonts w:ascii="Calibri" w:eastAsia="Calibri" w:hAnsi="Calibri" w:cs="Calibri"/>
          <w:sz w:val="24"/>
          <w:szCs w:val="24"/>
        </w:rPr>
        <w:t xml:space="preserve"> </w:t>
      </w:r>
      <w:r w:rsidRPr="00211FB1">
        <w:rPr>
          <w:rFonts w:ascii="Calibri" w:eastAsia="Calibri" w:hAnsi="Calibri" w:cs="Calibri"/>
          <w:sz w:val="24"/>
          <w:szCs w:val="24"/>
        </w:rPr>
        <w:t>is in identifying that NSD</w:t>
      </w:r>
      <w:r w:rsidRPr="00211FB1">
        <w:rPr>
          <w:rFonts w:ascii="Calibri" w:eastAsia="Calibri" w:hAnsi="Calibri" w:cs="Arial"/>
          <w:sz w:val="24"/>
          <w:szCs w:val="24"/>
        </w:rPr>
        <w:t xml:space="preserve"> outcomes appear to be a function of: service innovation strategy, processes, cultural, structural and people aspects. This observation suggests that overcoming </w:t>
      </w:r>
      <w:r w:rsidR="007B4F4A">
        <w:rPr>
          <w:rFonts w:ascii="Calibri" w:eastAsia="Calibri" w:hAnsi="Calibri" w:cs="Arial"/>
          <w:sz w:val="24"/>
          <w:szCs w:val="24"/>
        </w:rPr>
        <w:t>NSD</w:t>
      </w:r>
      <w:r w:rsidRPr="00211FB1">
        <w:rPr>
          <w:rFonts w:ascii="Calibri" w:eastAsia="Calibri" w:hAnsi="Calibri" w:cs="Arial"/>
          <w:sz w:val="24"/>
          <w:szCs w:val="24"/>
        </w:rPr>
        <w:t xml:space="preserve"> challenges may well </w:t>
      </w:r>
      <w:r w:rsidR="007B4F4A">
        <w:rPr>
          <w:rFonts w:ascii="Calibri" w:eastAsia="Calibri" w:hAnsi="Calibri" w:cs="Arial"/>
          <w:sz w:val="24"/>
          <w:szCs w:val="24"/>
        </w:rPr>
        <w:t>involve</w:t>
      </w:r>
      <w:r w:rsidRPr="00211FB1">
        <w:rPr>
          <w:rFonts w:ascii="Calibri" w:eastAsia="Calibri" w:hAnsi="Calibri" w:cs="Arial"/>
          <w:sz w:val="24"/>
          <w:szCs w:val="24"/>
        </w:rPr>
        <w:t xml:space="preserve"> studying all these themes together</w:t>
      </w:r>
      <w:r w:rsidR="007B4F4A">
        <w:rPr>
          <w:rFonts w:ascii="Calibri" w:eastAsia="Calibri" w:hAnsi="Calibri" w:cs="Arial"/>
          <w:sz w:val="24"/>
          <w:szCs w:val="24"/>
        </w:rPr>
        <w:t xml:space="preserve"> at a holistic level</w:t>
      </w:r>
      <w:r w:rsidRPr="00211FB1">
        <w:rPr>
          <w:rFonts w:ascii="Calibri" w:eastAsia="Calibri" w:hAnsi="Calibri" w:cs="Arial"/>
          <w:sz w:val="24"/>
          <w:szCs w:val="24"/>
        </w:rPr>
        <w:t xml:space="preserve">; this may help to identify and structure future understanding of the areas that researchers ought to consider when trying to understand the connection between NSD strategies and service innovation outcomes. In support of this suggestion we recommend drawing on the Pentathlon framework (Goffin </w:t>
      </w:r>
      <w:r w:rsidR="00A20B1E">
        <w:rPr>
          <w:rFonts w:ascii="Calibri" w:eastAsia="Calibri" w:hAnsi="Calibri" w:cs="Arial"/>
          <w:sz w:val="24"/>
          <w:szCs w:val="24"/>
        </w:rPr>
        <w:t>&amp;</w:t>
      </w:r>
      <w:r w:rsidR="00A20B1E" w:rsidRPr="00211FB1">
        <w:rPr>
          <w:rFonts w:ascii="Calibri" w:eastAsia="Calibri" w:hAnsi="Calibri" w:cs="Arial"/>
          <w:sz w:val="24"/>
          <w:szCs w:val="24"/>
        </w:rPr>
        <w:t xml:space="preserve"> </w:t>
      </w:r>
      <w:r w:rsidRPr="00211FB1">
        <w:rPr>
          <w:rFonts w:ascii="Calibri" w:eastAsia="Calibri" w:hAnsi="Calibri" w:cs="Arial"/>
          <w:sz w:val="24"/>
          <w:szCs w:val="24"/>
        </w:rPr>
        <w:t>Mitchell, 2005); and argue that in line with their work, managing service innovation in servitizing firms is likely to involve decisions and activities surrounding these interlocking areas that together contribute to innovation success. Taking this broad, integrative perspective on the elements of innovation management should enhance understanding of how manufacturers with different service</w:t>
      </w:r>
      <w:r w:rsidR="006A24BD">
        <w:rPr>
          <w:rFonts w:ascii="Calibri" w:eastAsia="Calibri" w:hAnsi="Calibri" w:cs="Arial"/>
          <w:sz w:val="24"/>
          <w:szCs w:val="24"/>
        </w:rPr>
        <w:t>s</w:t>
      </w:r>
      <w:r w:rsidRPr="00211FB1">
        <w:rPr>
          <w:rFonts w:ascii="Calibri" w:eastAsia="Calibri" w:hAnsi="Calibri" w:cs="Arial"/>
          <w:sz w:val="24"/>
          <w:szCs w:val="24"/>
        </w:rPr>
        <w:t xml:space="preserve"> strategies implement service transformation and overcome, or fail to overcome, key challenges as they attempt to transform. </w:t>
      </w:r>
    </w:p>
    <w:p w14:paraId="48DC80AC" w14:textId="77777777" w:rsidR="00211FB1" w:rsidRPr="00211FB1" w:rsidRDefault="00211FB1" w:rsidP="00211FB1">
      <w:pPr>
        <w:spacing w:after="0" w:line="480" w:lineRule="auto"/>
        <w:jc w:val="both"/>
        <w:rPr>
          <w:rFonts w:ascii="Calibri" w:eastAsia="Calibri" w:hAnsi="Calibri" w:cs="Arial"/>
          <w:sz w:val="24"/>
          <w:szCs w:val="24"/>
        </w:rPr>
      </w:pPr>
    </w:p>
    <w:p w14:paraId="4E411C94" w14:textId="57A2A983" w:rsidR="00211FB1" w:rsidRPr="00211FB1" w:rsidRDefault="00E23478" w:rsidP="00211FB1">
      <w:pPr>
        <w:spacing w:after="0" w:line="480" w:lineRule="auto"/>
        <w:jc w:val="both"/>
        <w:rPr>
          <w:rFonts w:ascii="Calibri" w:eastAsia="Calibri" w:hAnsi="Calibri" w:cs="Arial"/>
          <w:sz w:val="24"/>
          <w:szCs w:val="24"/>
        </w:rPr>
      </w:pPr>
      <w:r>
        <w:rPr>
          <w:rFonts w:ascii="Calibri" w:eastAsia="Calibri" w:hAnsi="Calibri" w:cs="Arial"/>
          <w:sz w:val="24"/>
          <w:szCs w:val="24"/>
        </w:rPr>
        <w:t>S</w:t>
      </w:r>
      <w:r w:rsidR="00211FB1" w:rsidRPr="00211FB1">
        <w:rPr>
          <w:rFonts w:ascii="Calibri" w:eastAsia="Calibri" w:hAnsi="Calibri" w:cs="Arial"/>
          <w:sz w:val="24"/>
          <w:szCs w:val="24"/>
        </w:rPr>
        <w:t>ervice</w:t>
      </w:r>
      <w:r w:rsidR="006A24BD">
        <w:rPr>
          <w:rFonts w:ascii="Calibri" w:eastAsia="Calibri" w:hAnsi="Calibri" w:cs="Arial"/>
          <w:sz w:val="24"/>
          <w:szCs w:val="24"/>
        </w:rPr>
        <w:t>s</w:t>
      </w:r>
      <w:r w:rsidR="00211FB1" w:rsidRPr="00211FB1">
        <w:rPr>
          <w:rFonts w:ascii="Calibri" w:eastAsia="Calibri" w:hAnsi="Calibri" w:cs="Arial"/>
          <w:sz w:val="24"/>
          <w:szCs w:val="24"/>
        </w:rPr>
        <w:t xml:space="preserve"> innovation, in this context, is likely to involve NSD processes that are based on, and linked to, NPD processes. These processes run in parallel, with important touchpoints between the actors involved in both processes, which appear vital to the successful development of appropriate product and service</w:t>
      </w:r>
      <w:r w:rsidR="006A24BD">
        <w:rPr>
          <w:rFonts w:ascii="Calibri" w:eastAsia="Calibri" w:hAnsi="Calibri" w:cs="Arial"/>
          <w:sz w:val="24"/>
          <w:szCs w:val="24"/>
        </w:rPr>
        <w:t>s</w:t>
      </w:r>
      <w:r w:rsidR="00211FB1" w:rsidRPr="00211FB1">
        <w:rPr>
          <w:rFonts w:ascii="Calibri" w:eastAsia="Calibri" w:hAnsi="Calibri" w:cs="Arial"/>
          <w:sz w:val="24"/>
          <w:szCs w:val="24"/>
        </w:rPr>
        <w:t xml:space="preserve"> offerings. This approach can generate some communications issues; however, it also means that despite the underlying change that servitization brings, in contrast to prior research, it appears that firms adopt a common development process for new service</w:t>
      </w:r>
      <w:r w:rsidR="006A24BD">
        <w:rPr>
          <w:rFonts w:ascii="Calibri" w:eastAsia="Calibri" w:hAnsi="Calibri" w:cs="Arial"/>
          <w:sz w:val="24"/>
          <w:szCs w:val="24"/>
        </w:rPr>
        <w:t>s</w:t>
      </w:r>
      <w:r w:rsidR="00211FB1" w:rsidRPr="00211FB1">
        <w:rPr>
          <w:rFonts w:ascii="Calibri" w:eastAsia="Calibri" w:hAnsi="Calibri" w:cs="Arial"/>
          <w:sz w:val="24"/>
          <w:szCs w:val="24"/>
        </w:rPr>
        <w:t xml:space="preserve"> innovation that everybody in the organisation understands. This common understanding may then be an important factor in whether or not servitization initiatives are successful. </w:t>
      </w:r>
    </w:p>
    <w:p w14:paraId="22350B16" w14:textId="77777777" w:rsidR="00211FB1" w:rsidRPr="00211FB1" w:rsidRDefault="00211FB1" w:rsidP="00211FB1">
      <w:pPr>
        <w:spacing w:after="0" w:line="480" w:lineRule="auto"/>
        <w:jc w:val="both"/>
        <w:rPr>
          <w:rFonts w:ascii="Calibri" w:eastAsia="Calibri" w:hAnsi="Calibri" w:cs="Arial"/>
          <w:sz w:val="24"/>
          <w:szCs w:val="24"/>
        </w:rPr>
      </w:pPr>
    </w:p>
    <w:p w14:paraId="67F70702" w14:textId="164DE47A" w:rsidR="00211FB1" w:rsidRPr="00211FB1" w:rsidRDefault="00211FB1" w:rsidP="00211FB1">
      <w:pPr>
        <w:spacing w:after="0" w:line="480" w:lineRule="auto"/>
        <w:jc w:val="both"/>
        <w:rPr>
          <w:rFonts w:ascii="Calibri" w:eastAsia="Calibri" w:hAnsi="Calibri" w:cs="Arial"/>
          <w:sz w:val="24"/>
          <w:szCs w:val="24"/>
        </w:rPr>
      </w:pPr>
      <w:r w:rsidRPr="00211FB1">
        <w:rPr>
          <w:rFonts w:ascii="Calibri" w:eastAsia="Calibri" w:hAnsi="Calibri" w:cs="Arial"/>
          <w:sz w:val="24"/>
          <w:szCs w:val="24"/>
        </w:rPr>
        <w:t>Managerial implications emerge with regards to the responses adopted to overcome key service</w:t>
      </w:r>
      <w:r w:rsidR="006A24BD">
        <w:rPr>
          <w:rFonts w:ascii="Calibri" w:eastAsia="Calibri" w:hAnsi="Calibri" w:cs="Arial"/>
          <w:sz w:val="24"/>
          <w:szCs w:val="24"/>
        </w:rPr>
        <w:t>s</w:t>
      </w:r>
      <w:r w:rsidRPr="00211FB1">
        <w:rPr>
          <w:rFonts w:ascii="Calibri" w:eastAsia="Calibri" w:hAnsi="Calibri" w:cs="Arial"/>
          <w:sz w:val="24"/>
          <w:szCs w:val="24"/>
        </w:rPr>
        <w:t xml:space="preserve"> innovation challenges, across four types of organisations with differing service</w:t>
      </w:r>
      <w:r w:rsidR="006A24BD">
        <w:rPr>
          <w:rFonts w:ascii="Calibri" w:eastAsia="Calibri" w:hAnsi="Calibri" w:cs="Arial"/>
          <w:sz w:val="24"/>
          <w:szCs w:val="24"/>
        </w:rPr>
        <w:t>s</w:t>
      </w:r>
      <w:r w:rsidRPr="00211FB1">
        <w:rPr>
          <w:rFonts w:ascii="Calibri" w:eastAsia="Calibri" w:hAnsi="Calibri" w:cs="Arial"/>
          <w:sz w:val="24"/>
          <w:szCs w:val="24"/>
        </w:rPr>
        <w:t xml:space="preserve"> innovation strategies. </w:t>
      </w:r>
      <w:r w:rsidRPr="00211FB1">
        <w:rPr>
          <w:rFonts w:ascii="Calibri" w:eastAsia="Calibri" w:hAnsi="Calibri" w:cs="Calibri"/>
          <w:sz w:val="24"/>
          <w:szCs w:val="24"/>
        </w:rPr>
        <w:t xml:space="preserve">We </w:t>
      </w:r>
      <w:r w:rsidRPr="00211FB1">
        <w:rPr>
          <w:rFonts w:ascii="Calibri" w:eastAsia="Calibri" w:hAnsi="Calibri" w:cs="Arial"/>
          <w:sz w:val="24"/>
          <w:szCs w:val="24"/>
        </w:rPr>
        <w:t xml:space="preserve">suggest that manufacturers do not, and largely should not, ‘break free’ from their established product heritage, despite previous calls to do so (Kindström </w:t>
      </w:r>
      <w:r w:rsidR="00A20B1E">
        <w:rPr>
          <w:rFonts w:ascii="Calibri" w:eastAsia="Calibri" w:hAnsi="Calibri" w:cs="Arial"/>
          <w:sz w:val="24"/>
          <w:szCs w:val="24"/>
        </w:rPr>
        <w:t>&amp;</w:t>
      </w:r>
      <w:r w:rsidR="00A20B1E" w:rsidRPr="00211FB1">
        <w:rPr>
          <w:rFonts w:ascii="Calibri" w:eastAsia="Calibri" w:hAnsi="Calibri" w:cs="Arial"/>
          <w:sz w:val="24"/>
          <w:szCs w:val="24"/>
        </w:rPr>
        <w:t xml:space="preserve"> </w:t>
      </w:r>
      <w:r w:rsidRPr="00211FB1">
        <w:rPr>
          <w:rFonts w:ascii="Calibri" w:eastAsia="Calibri" w:hAnsi="Calibri" w:cs="Arial"/>
          <w:sz w:val="24"/>
          <w:szCs w:val="24"/>
        </w:rPr>
        <w:t xml:space="preserve">Kowalkowski, 2014). Instead, manufacturers with strong product advantages should attempt to create new services in parallel with, and in support of, their existing product expertise, </w:t>
      </w:r>
      <w:r w:rsidRPr="00211FB1">
        <w:rPr>
          <w:rFonts w:ascii="Calibri" w:eastAsia="Calibri" w:hAnsi="Calibri" w:cs="Times New Roman"/>
          <w:sz w:val="24"/>
          <w:szCs w:val="24"/>
        </w:rPr>
        <w:t>but</w:t>
      </w:r>
      <w:r w:rsidRPr="00211FB1">
        <w:rPr>
          <w:rFonts w:ascii="Calibri" w:eastAsia="Calibri" w:hAnsi="Calibri" w:cs="Arial"/>
          <w:sz w:val="24"/>
          <w:szCs w:val="24"/>
        </w:rPr>
        <w:t xml:space="preserve"> they should recognise that retaining and resourcing a very product-focused strategy may ultimately risk limiting their ability to successfully grow NSD activities. If disruptive innovation threatens to destroy their existing product market completely then a more radical shift to a complete service focus may be preferable. </w:t>
      </w:r>
    </w:p>
    <w:p w14:paraId="0AD4C487" w14:textId="77777777" w:rsidR="00211FB1" w:rsidRPr="00211FB1" w:rsidRDefault="00211FB1" w:rsidP="00211FB1">
      <w:pPr>
        <w:spacing w:after="0" w:line="480" w:lineRule="auto"/>
        <w:jc w:val="both"/>
        <w:rPr>
          <w:rFonts w:ascii="Calibri" w:eastAsia="Calibri" w:hAnsi="Calibri" w:cs="Arial"/>
          <w:sz w:val="24"/>
          <w:szCs w:val="24"/>
        </w:rPr>
      </w:pPr>
    </w:p>
    <w:p w14:paraId="1F8418A1" w14:textId="38F78613" w:rsidR="00211FB1" w:rsidRPr="00211FB1" w:rsidRDefault="00211FB1" w:rsidP="00211FB1">
      <w:pPr>
        <w:spacing w:after="0" w:line="480" w:lineRule="auto"/>
        <w:jc w:val="both"/>
        <w:rPr>
          <w:rFonts w:ascii="Calibri" w:eastAsia="Calibri" w:hAnsi="Calibri" w:cs="Times New Roman"/>
          <w:sz w:val="24"/>
          <w:szCs w:val="24"/>
        </w:rPr>
      </w:pPr>
      <w:r w:rsidRPr="00211FB1">
        <w:rPr>
          <w:rFonts w:ascii="Calibri" w:eastAsia="Calibri" w:hAnsi="Calibri" w:cs="Arial"/>
          <w:sz w:val="24"/>
          <w:szCs w:val="24"/>
        </w:rPr>
        <w:t>Organisations attempting to build new business models face challenges around key capabilities; needing to support their service</w:t>
      </w:r>
      <w:r w:rsidR="006A24BD">
        <w:rPr>
          <w:rFonts w:ascii="Calibri" w:eastAsia="Calibri" w:hAnsi="Calibri" w:cs="Arial"/>
          <w:sz w:val="24"/>
          <w:szCs w:val="24"/>
        </w:rPr>
        <w:t>s</w:t>
      </w:r>
      <w:r w:rsidRPr="00211FB1">
        <w:rPr>
          <w:rFonts w:ascii="Calibri" w:eastAsia="Calibri" w:hAnsi="Calibri" w:cs="Arial"/>
          <w:sz w:val="24"/>
          <w:szCs w:val="24"/>
        </w:rPr>
        <w:t xml:space="preserve"> strategy incrementally, while attempting to deliver step changes in service value outcomes</w:t>
      </w:r>
      <w:r w:rsidR="00A20B1E">
        <w:rPr>
          <w:rFonts w:ascii="Calibri" w:eastAsia="Calibri" w:hAnsi="Calibri" w:cs="Arial"/>
          <w:sz w:val="24"/>
          <w:szCs w:val="24"/>
        </w:rPr>
        <w:t xml:space="preserve"> (</w:t>
      </w:r>
      <w:r w:rsidR="00B46B71">
        <w:rPr>
          <w:rFonts w:ascii="Calibri" w:eastAsia="Calibri" w:hAnsi="Calibri" w:cs="Arial"/>
          <w:sz w:val="24"/>
          <w:szCs w:val="24"/>
        </w:rPr>
        <w:t>Story, Raddats, Burton, Zolkiewski &amp; Baines, 2016</w:t>
      </w:r>
      <w:r w:rsidR="00A20B1E">
        <w:rPr>
          <w:rFonts w:ascii="Calibri" w:eastAsia="Calibri" w:hAnsi="Calibri" w:cs="Arial"/>
          <w:sz w:val="24"/>
          <w:szCs w:val="24"/>
        </w:rPr>
        <w:t>)</w:t>
      </w:r>
      <w:r w:rsidRPr="00211FB1">
        <w:rPr>
          <w:rFonts w:ascii="Calibri" w:eastAsia="Calibri" w:hAnsi="Calibri" w:cs="Arial"/>
          <w:sz w:val="24"/>
          <w:szCs w:val="24"/>
        </w:rPr>
        <w:t>. In response to these challenges, firms need to develop clear lines of communication between their NPD and NSD staff, to reduce conflict and increase learning across the organisation, and ensure that staff can understand each other’s issues – through such options as training and job switches. Structures also need to be put in place to support clearer revenue attribution across SBUs and to help with the service</w:t>
      </w:r>
      <w:r w:rsidR="006A24BD">
        <w:rPr>
          <w:rFonts w:ascii="Calibri" w:eastAsia="Calibri" w:hAnsi="Calibri" w:cs="Arial"/>
          <w:sz w:val="24"/>
          <w:szCs w:val="24"/>
        </w:rPr>
        <w:t>s</w:t>
      </w:r>
      <w:r w:rsidRPr="00211FB1">
        <w:rPr>
          <w:rFonts w:ascii="Calibri" w:eastAsia="Calibri" w:hAnsi="Calibri" w:cs="Arial"/>
          <w:sz w:val="24"/>
          <w:szCs w:val="24"/>
        </w:rPr>
        <w:t xml:space="preserve"> personnel constraints that many servitizing firms face, which hinder service</w:t>
      </w:r>
      <w:r w:rsidR="006A24BD">
        <w:rPr>
          <w:rFonts w:ascii="Calibri" w:eastAsia="Calibri" w:hAnsi="Calibri" w:cs="Arial"/>
          <w:sz w:val="24"/>
          <w:szCs w:val="24"/>
        </w:rPr>
        <w:t>s</w:t>
      </w:r>
      <w:r w:rsidRPr="00211FB1">
        <w:rPr>
          <w:rFonts w:ascii="Calibri" w:eastAsia="Calibri" w:hAnsi="Calibri" w:cs="Arial"/>
          <w:sz w:val="24"/>
          <w:szCs w:val="24"/>
        </w:rPr>
        <w:t xml:space="preserve"> implementation efforts. Our findings suggest that multi-skilling current staff, building standardisation or modularisation of services, where possible, and developing supporting process tools improve firms’ NSD outcomes.</w:t>
      </w:r>
    </w:p>
    <w:p w14:paraId="29B1AB10" w14:textId="77777777" w:rsidR="00211FB1" w:rsidRPr="00211FB1" w:rsidRDefault="00211FB1" w:rsidP="00211FB1">
      <w:pPr>
        <w:spacing w:after="0" w:line="480" w:lineRule="auto"/>
        <w:jc w:val="both"/>
        <w:rPr>
          <w:rFonts w:ascii="Calibri" w:eastAsia="Calibri" w:hAnsi="Calibri" w:cs="Arial"/>
          <w:sz w:val="24"/>
          <w:szCs w:val="24"/>
        </w:rPr>
      </w:pPr>
    </w:p>
    <w:p w14:paraId="3D118843" w14:textId="4542E6A6" w:rsidR="00CE703C" w:rsidRDefault="00211FB1" w:rsidP="00211FB1">
      <w:pPr>
        <w:spacing w:after="0" w:line="480" w:lineRule="auto"/>
        <w:jc w:val="both"/>
        <w:rPr>
          <w:sz w:val="24"/>
          <w:szCs w:val="24"/>
        </w:rPr>
      </w:pPr>
      <w:r w:rsidRPr="00211FB1">
        <w:rPr>
          <w:rFonts w:ascii="Calibri" w:eastAsia="Calibri" w:hAnsi="Calibri" w:cs="Arial"/>
          <w:sz w:val="24"/>
          <w:szCs w:val="24"/>
        </w:rPr>
        <w:t xml:space="preserve">The exploratory nature of the study presents limitations with regards to generalisability. We have attempted to purposefully identify cases representing manufacturers with particular strategic approaches identified on the Raddats </w:t>
      </w:r>
      <w:r w:rsidR="00A20B1E">
        <w:rPr>
          <w:rFonts w:ascii="Calibri" w:eastAsia="Calibri" w:hAnsi="Calibri" w:cs="Arial"/>
          <w:sz w:val="24"/>
          <w:szCs w:val="24"/>
        </w:rPr>
        <w:t>&amp;</w:t>
      </w:r>
      <w:r w:rsidR="00A20B1E" w:rsidRPr="00211FB1">
        <w:rPr>
          <w:rFonts w:ascii="Calibri" w:eastAsia="Calibri" w:hAnsi="Calibri" w:cs="Arial"/>
          <w:sz w:val="24"/>
          <w:szCs w:val="24"/>
        </w:rPr>
        <w:t xml:space="preserve"> </w:t>
      </w:r>
      <w:r w:rsidRPr="00211FB1">
        <w:rPr>
          <w:rFonts w:ascii="Calibri" w:eastAsia="Calibri" w:hAnsi="Calibri" w:cs="Arial"/>
          <w:sz w:val="24"/>
          <w:szCs w:val="24"/>
        </w:rPr>
        <w:t>Kowalkowski (2014) model, but future research could consider additional variables that might impact effectiveness at responding to various themes within NSD challenges, such as manufacturer size, technology focus of industry and degree to which a manufacturer’s offering already involves a service</w:t>
      </w:r>
      <w:r w:rsidR="006A24BD">
        <w:rPr>
          <w:rFonts w:ascii="Calibri" w:eastAsia="Calibri" w:hAnsi="Calibri" w:cs="Arial"/>
          <w:sz w:val="24"/>
          <w:szCs w:val="24"/>
        </w:rPr>
        <w:t>s</w:t>
      </w:r>
      <w:r w:rsidRPr="00211FB1">
        <w:rPr>
          <w:rFonts w:ascii="Calibri" w:eastAsia="Calibri" w:hAnsi="Calibri" w:cs="Arial"/>
          <w:sz w:val="24"/>
          <w:szCs w:val="24"/>
        </w:rPr>
        <w:t xml:space="preserve"> component. Future research should </w:t>
      </w:r>
      <w:r w:rsidRPr="00600B60">
        <w:rPr>
          <w:rFonts w:ascii="Calibri" w:eastAsia="Calibri" w:hAnsi="Calibri" w:cs="Arial"/>
          <w:sz w:val="24"/>
          <w:szCs w:val="24"/>
        </w:rPr>
        <w:t xml:space="preserve">also test the impact of the themes and challenges identified and the types of strategic responses adopted using a large sample of manufacturers. </w:t>
      </w:r>
      <w:r w:rsidR="00CE703C" w:rsidRPr="00600B60">
        <w:rPr>
          <w:rFonts w:ascii="Calibri" w:eastAsia="Calibri" w:hAnsi="Calibri" w:cs="Arial"/>
          <w:sz w:val="24"/>
          <w:szCs w:val="24"/>
        </w:rPr>
        <w:t xml:space="preserve"> Another potential limitation relates to </w:t>
      </w:r>
      <w:r w:rsidR="00CE703C" w:rsidRPr="00600B60">
        <w:rPr>
          <w:sz w:val="24"/>
          <w:szCs w:val="24"/>
        </w:rPr>
        <w:t>the industry heterogeneity of our cases. This needs further exploration but our approach has provided important insight into commonality of processes across very different firms and taking an integrative approach to the research can be seen to give interesting insight into common issues that face many manufacturers.</w:t>
      </w:r>
    </w:p>
    <w:p w14:paraId="3898230E" w14:textId="77777777" w:rsidR="007130CF" w:rsidRPr="00600B60" w:rsidRDefault="007130CF" w:rsidP="00211FB1">
      <w:pPr>
        <w:spacing w:after="0" w:line="480" w:lineRule="auto"/>
        <w:jc w:val="both"/>
        <w:rPr>
          <w:rFonts w:ascii="Calibri" w:eastAsia="Calibri" w:hAnsi="Calibri" w:cs="Arial"/>
          <w:sz w:val="24"/>
          <w:szCs w:val="24"/>
        </w:rPr>
      </w:pPr>
    </w:p>
    <w:p w14:paraId="5A88C1E7" w14:textId="14BB18D5" w:rsidR="00476CDC" w:rsidRPr="007D3AD3" w:rsidRDefault="00476CDC" w:rsidP="00476CDC">
      <w:pPr>
        <w:spacing w:after="120" w:line="240" w:lineRule="auto"/>
        <w:jc w:val="both"/>
        <w:rPr>
          <w:b/>
          <w:sz w:val="24"/>
          <w:szCs w:val="24"/>
        </w:rPr>
      </w:pPr>
      <w:r w:rsidRPr="007D3AD3">
        <w:rPr>
          <w:b/>
          <w:sz w:val="24"/>
          <w:szCs w:val="24"/>
        </w:rPr>
        <w:t>References</w:t>
      </w:r>
    </w:p>
    <w:p w14:paraId="4B83A1A5" w14:textId="08DDDBB6" w:rsidR="00476CDC" w:rsidRPr="00FD5F60" w:rsidRDefault="00476CDC" w:rsidP="00476CDC">
      <w:pPr>
        <w:spacing w:after="120" w:line="240" w:lineRule="auto"/>
        <w:ind w:left="142" w:hanging="142"/>
        <w:jc w:val="both"/>
        <w:rPr>
          <w:rFonts w:eastAsia="Times New Roman" w:cs="Arial"/>
          <w:sz w:val="24"/>
          <w:szCs w:val="24"/>
          <w:lang w:val="da-DK" w:eastAsia="en-GB"/>
        </w:rPr>
      </w:pPr>
      <w:r w:rsidRPr="00FD5F60">
        <w:rPr>
          <w:rFonts w:eastAsia="Times New Roman" w:cs="Arial"/>
          <w:sz w:val="24"/>
          <w:szCs w:val="24"/>
          <w:lang w:val="da-DK" w:eastAsia="en-GB"/>
        </w:rPr>
        <w:t>Aaboen, L., Dubois, A.</w:t>
      </w:r>
      <w:r w:rsidR="00177D77">
        <w:rPr>
          <w:rFonts w:eastAsia="Times New Roman" w:cs="Arial"/>
          <w:sz w:val="24"/>
          <w:szCs w:val="24"/>
          <w:lang w:val="da-DK" w:eastAsia="en-GB"/>
        </w:rPr>
        <w:t xml:space="preserve">, </w:t>
      </w:r>
      <w:r w:rsidRPr="00FD5F60">
        <w:rPr>
          <w:rFonts w:eastAsia="Times New Roman" w:cs="Arial"/>
          <w:sz w:val="24"/>
          <w:szCs w:val="24"/>
          <w:lang w:val="da-DK" w:eastAsia="en-GB"/>
        </w:rPr>
        <w:t>Lind,</w:t>
      </w:r>
      <w:r w:rsidRPr="00FD5F60">
        <w:t xml:space="preserve"> </w:t>
      </w:r>
      <w:r w:rsidRPr="00FD5F60">
        <w:rPr>
          <w:rFonts w:eastAsia="Times New Roman" w:cs="Arial"/>
          <w:sz w:val="24"/>
          <w:szCs w:val="24"/>
          <w:lang w:val="da-DK" w:eastAsia="en-GB"/>
        </w:rPr>
        <w:t>F.</w:t>
      </w:r>
      <w:r w:rsidR="00177D77">
        <w:rPr>
          <w:rFonts w:eastAsia="Times New Roman" w:cs="Arial"/>
          <w:sz w:val="24"/>
          <w:szCs w:val="24"/>
          <w:lang w:val="da-DK" w:eastAsia="en-GB"/>
        </w:rPr>
        <w:t>,</w:t>
      </w:r>
      <w:r w:rsidRPr="00FD5F60">
        <w:rPr>
          <w:rFonts w:eastAsia="Times New Roman" w:cs="Arial"/>
          <w:sz w:val="24"/>
          <w:szCs w:val="24"/>
          <w:lang w:val="da-DK" w:eastAsia="en-GB"/>
        </w:rPr>
        <w:t xml:space="preserve"> 2012.</w:t>
      </w:r>
      <w:r w:rsidRPr="00FD5F60">
        <w:t xml:space="preserve"> </w:t>
      </w:r>
      <w:r w:rsidRPr="00FD5F60">
        <w:rPr>
          <w:rFonts w:eastAsia="Times New Roman" w:cs="Arial"/>
          <w:sz w:val="24"/>
          <w:szCs w:val="24"/>
          <w:lang w:val="da-DK" w:eastAsia="en-GB"/>
        </w:rPr>
        <w:t>Capturing processes in longitudinal multiple case studies.</w:t>
      </w:r>
      <w:r w:rsidRPr="00FD5F60">
        <w:t xml:space="preserve"> </w:t>
      </w:r>
      <w:r w:rsidRPr="00FD5F60">
        <w:rPr>
          <w:rFonts w:eastAsia="Times New Roman" w:cs="Arial"/>
          <w:sz w:val="24"/>
          <w:szCs w:val="24"/>
          <w:lang w:val="da-DK" w:eastAsia="en-GB"/>
        </w:rPr>
        <w:t>Industrial Marketing Management,</w:t>
      </w:r>
      <w:r w:rsidRPr="00FD5F60">
        <w:t xml:space="preserve"> </w:t>
      </w:r>
      <w:r w:rsidRPr="00FD5F60">
        <w:rPr>
          <w:rFonts w:eastAsia="Times New Roman" w:cs="Arial"/>
          <w:sz w:val="24"/>
          <w:szCs w:val="24"/>
          <w:lang w:val="da-DK" w:eastAsia="en-GB"/>
        </w:rPr>
        <w:t>41: 235-246.</w:t>
      </w:r>
    </w:p>
    <w:p w14:paraId="13DD11E8" w14:textId="4242788F"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Baines, T. S., Lightfoot, H. W., Benedettini, O., Kay, J. M.</w:t>
      </w:r>
      <w:r w:rsidR="00177D77">
        <w:rPr>
          <w:rFonts w:eastAsia="Times New Roman" w:cs="Arial"/>
          <w:sz w:val="24"/>
          <w:szCs w:val="24"/>
          <w:lang w:eastAsia="en-GB"/>
        </w:rPr>
        <w:t>,</w:t>
      </w:r>
      <w:r w:rsidRPr="00FD5F60">
        <w:rPr>
          <w:rFonts w:eastAsia="Times New Roman" w:cs="Arial"/>
          <w:sz w:val="24"/>
          <w:szCs w:val="24"/>
          <w:lang w:eastAsia="en-GB"/>
        </w:rPr>
        <w:t xml:space="preserve"> 2009. The servitization of manufacturing: A review of literature and reflection on future challenges</w:t>
      </w:r>
      <w:r>
        <w:rPr>
          <w:rFonts w:eastAsia="Times New Roman" w:cs="Arial"/>
          <w:sz w:val="24"/>
          <w:szCs w:val="24"/>
          <w:lang w:eastAsia="en-GB"/>
        </w:rPr>
        <w:t>.</w:t>
      </w:r>
      <w:r w:rsidRPr="00FD5F60">
        <w:rPr>
          <w:rFonts w:eastAsia="Times New Roman" w:cs="Arial"/>
          <w:sz w:val="24"/>
          <w:szCs w:val="24"/>
          <w:lang w:eastAsia="en-GB"/>
        </w:rPr>
        <w:t xml:space="preserve"> Journal of Manufacturing Technology Management, 20(5): 547-567.</w:t>
      </w:r>
    </w:p>
    <w:p w14:paraId="2304B864" w14:textId="0B17DC92"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Baines, T.S.</w:t>
      </w:r>
      <w:r w:rsidR="00177D77">
        <w:rPr>
          <w:rFonts w:eastAsia="Times New Roman" w:cs="Arial"/>
          <w:sz w:val="24"/>
          <w:szCs w:val="24"/>
          <w:lang w:eastAsia="en-GB"/>
        </w:rPr>
        <w:t xml:space="preserve">, </w:t>
      </w:r>
      <w:r w:rsidRPr="00FD5F60">
        <w:rPr>
          <w:rFonts w:eastAsia="Times New Roman" w:cs="Arial"/>
          <w:sz w:val="24"/>
          <w:szCs w:val="24"/>
          <w:lang w:eastAsia="en-GB"/>
        </w:rPr>
        <w:t>Lightfoot, H.</w:t>
      </w:r>
      <w:r w:rsidR="00177D77">
        <w:rPr>
          <w:rFonts w:eastAsia="Times New Roman" w:cs="Arial"/>
          <w:sz w:val="24"/>
          <w:szCs w:val="24"/>
          <w:lang w:eastAsia="en-GB"/>
        </w:rPr>
        <w:t>,</w:t>
      </w:r>
      <w:r w:rsidRPr="00FD5F60">
        <w:rPr>
          <w:rFonts w:eastAsia="Times New Roman" w:cs="Arial"/>
          <w:sz w:val="24"/>
          <w:szCs w:val="24"/>
          <w:lang w:eastAsia="en-GB"/>
        </w:rPr>
        <w:t xml:space="preserve"> 2014. Servitization of the manufacturing firm: Exploring the operations practices and technologies that deliver advanced services. </w:t>
      </w:r>
      <w:r w:rsidRPr="00FD5F60">
        <w:rPr>
          <w:rFonts w:eastAsia="Times New Roman" w:cs="Arial"/>
          <w:iCs/>
          <w:sz w:val="24"/>
          <w:szCs w:val="24"/>
          <w:lang w:eastAsia="en-GB"/>
        </w:rPr>
        <w:t xml:space="preserve">International Journal of Operations and Production Management, </w:t>
      </w:r>
      <w:r w:rsidRPr="00FD5F60">
        <w:rPr>
          <w:rFonts w:eastAsia="Times New Roman" w:cs="Arial"/>
          <w:bCs/>
          <w:sz w:val="24"/>
          <w:szCs w:val="24"/>
          <w:lang w:eastAsia="en-GB"/>
        </w:rPr>
        <w:t>34(1):</w:t>
      </w:r>
      <w:r w:rsidRPr="00FD5F60">
        <w:rPr>
          <w:rFonts w:eastAsia="Times New Roman" w:cs="Arial"/>
          <w:sz w:val="24"/>
          <w:szCs w:val="24"/>
          <w:lang w:eastAsia="en-GB"/>
        </w:rPr>
        <w:t xml:space="preserve"> 2-35. </w:t>
      </w:r>
    </w:p>
    <w:p w14:paraId="54EB828C" w14:textId="0FAD9B2E"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cs="Times New Roman"/>
          <w:sz w:val="24"/>
          <w:szCs w:val="24"/>
        </w:rPr>
        <w:t>Baveja, S.S., Gilbert, J.</w:t>
      </w:r>
      <w:r w:rsidR="00177D77">
        <w:rPr>
          <w:rFonts w:cs="Times New Roman"/>
          <w:sz w:val="24"/>
          <w:szCs w:val="24"/>
        </w:rPr>
        <w:t xml:space="preserve">, </w:t>
      </w:r>
      <w:r w:rsidRPr="00FD5F60">
        <w:rPr>
          <w:rFonts w:cs="Times New Roman"/>
          <w:sz w:val="24"/>
          <w:szCs w:val="24"/>
        </w:rPr>
        <w:t>Ledingham, D.</w:t>
      </w:r>
      <w:r w:rsidR="00177D77">
        <w:rPr>
          <w:rFonts w:cs="Times New Roman"/>
          <w:sz w:val="24"/>
          <w:szCs w:val="24"/>
        </w:rPr>
        <w:t>,</w:t>
      </w:r>
      <w:r w:rsidRPr="00FD5F60">
        <w:rPr>
          <w:rFonts w:cs="Times New Roman"/>
          <w:sz w:val="24"/>
          <w:szCs w:val="24"/>
        </w:rPr>
        <w:t xml:space="preserve"> 2004. From products to services: why it’s not so simple. Harvard Management Update, 9(4): 3-5.</w:t>
      </w:r>
    </w:p>
    <w:p w14:paraId="69FC1883" w14:textId="1226F1D4"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Benedettini, O., Neely, A.</w:t>
      </w:r>
      <w:r w:rsidR="00177D77">
        <w:rPr>
          <w:rFonts w:eastAsia="Times New Roman" w:cs="Arial"/>
          <w:sz w:val="24"/>
          <w:szCs w:val="24"/>
          <w:lang w:eastAsia="en-GB"/>
        </w:rPr>
        <w:t xml:space="preserve">, </w:t>
      </w:r>
      <w:r w:rsidRPr="00FD5F60">
        <w:rPr>
          <w:rFonts w:eastAsia="Times New Roman" w:cs="Arial"/>
          <w:sz w:val="24"/>
          <w:szCs w:val="24"/>
          <w:lang w:eastAsia="en-GB"/>
        </w:rPr>
        <w:t>Swink, M.</w:t>
      </w:r>
      <w:r w:rsidR="00177D77">
        <w:rPr>
          <w:rFonts w:eastAsia="Times New Roman" w:cs="Arial"/>
          <w:sz w:val="24"/>
          <w:szCs w:val="24"/>
          <w:lang w:eastAsia="en-GB"/>
        </w:rPr>
        <w:t>,</w:t>
      </w:r>
      <w:r w:rsidRPr="00FD5F60">
        <w:rPr>
          <w:rFonts w:eastAsia="Times New Roman" w:cs="Arial"/>
          <w:sz w:val="24"/>
          <w:szCs w:val="24"/>
          <w:lang w:eastAsia="en-GB"/>
        </w:rPr>
        <w:t xml:space="preserve"> 2015. Why do servitized firms fail? A risk-based explanation. International Journal of Operations and Production Management, 35(6): 946-979.  </w:t>
      </w:r>
    </w:p>
    <w:p w14:paraId="074549C3" w14:textId="7B181BBE"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Bettencourt, L.A.</w:t>
      </w:r>
      <w:r w:rsidR="00177D77">
        <w:rPr>
          <w:rFonts w:eastAsia="Times New Roman" w:cs="Arial"/>
          <w:sz w:val="24"/>
          <w:szCs w:val="24"/>
          <w:lang w:eastAsia="en-GB"/>
        </w:rPr>
        <w:t>,</w:t>
      </w:r>
      <w:r w:rsidRPr="00FD5F60">
        <w:rPr>
          <w:rFonts w:eastAsia="Times New Roman" w:cs="Arial"/>
          <w:sz w:val="24"/>
          <w:szCs w:val="24"/>
          <w:lang w:eastAsia="en-GB"/>
        </w:rPr>
        <w:t xml:space="preserve"> Brown</w:t>
      </w:r>
      <w:r>
        <w:rPr>
          <w:rFonts w:eastAsia="Times New Roman" w:cs="Arial"/>
          <w:sz w:val="24"/>
          <w:szCs w:val="24"/>
          <w:lang w:eastAsia="en-GB"/>
        </w:rPr>
        <w:t xml:space="preserve">, </w:t>
      </w:r>
      <w:r w:rsidRPr="00FD5F60">
        <w:rPr>
          <w:rFonts w:eastAsia="Times New Roman" w:cs="Arial"/>
          <w:sz w:val="24"/>
          <w:szCs w:val="24"/>
          <w:lang w:eastAsia="en-GB"/>
        </w:rPr>
        <w:t>S.W.</w:t>
      </w:r>
      <w:r w:rsidR="00177D77">
        <w:rPr>
          <w:rFonts w:eastAsia="Times New Roman" w:cs="Arial"/>
          <w:sz w:val="24"/>
          <w:szCs w:val="24"/>
          <w:lang w:eastAsia="en-GB"/>
        </w:rPr>
        <w:t>,</w:t>
      </w:r>
      <w:r w:rsidRPr="00FD5F60">
        <w:rPr>
          <w:rFonts w:eastAsia="Times New Roman" w:cs="Arial"/>
          <w:sz w:val="24"/>
          <w:szCs w:val="24"/>
          <w:lang w:eastAsia="en-GB"/>
        </w:rPr>
        <w:t xml:space="preserve"> 2013. From goods to great: Service innovation in a product-dominant firm. Business Horizons, 56(3):277-283. </w:t>
      </w:r>
    </w:p>
    <w:p w14:paraId="082B6E19" w14:textId="4E516FF8"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Brax, S.</w:t>
      </w:r>
      <w:r w:rsidR="00177D77">
        <w:rPr>
          <w:rFonts w:eastAsia="Times New Roman" w:cs="Arial"/>
          <w:sz w:val="24"/>
          <w:szCs w:val="24"/>
          <w:lang w:eastAsia="en-GB"/>
        </w:rPr>
        <w:t>,</w:t>
      </w:r>
      <w:r w:rsidRPr="00FD5F60">
        <w:rPr>
          <w:rFonts w:eastAsia="Times New Roman" w:cs="Arial"/>
          <w:sz w:val="24"/>
          <w:szCs w:val="24"/>
          <w:lang w:eastAsia="en-GB"/>
        </w:rPr>
        <w:t xml:space="preserve"> 2005. A manufacturer becoming service provider-challenges and a paradox</w:t>
      </w:r>
      <w:r>
        <w:rPr>
          <w:rFonts w:eastAsia="Times New Roman" w:cs="Arial"/>
          <w:sz w:val="24"/>
          <w:szCs w:val="24"/>
          <w:lang w:eastAsia="en-GB"/>
        </w:rPr>
        <w:t>.</w:t>
      </w:r>
      <w:r w:rsidRPr="00FD5F60">
        <w:rPr>
          <w:rFonts w:eastAsia="Times New Roman" w:cs="Arial"/>
          <w:sz w:val="24"/>
          <w:szCs w:val="24"/>
          <w:lang w:eastAsia="en-GB"/>
        </w:rPr>
        <w:t xml:space="preserve"> Managing Service Quality: An International Journal, 15(2): 142-155.</w:t>
      </w:r>
    </w:p>
    <w:p w14:paraId="052B67AA" w14:textId="66ED3E09" w:rsidR="00476CDC" w:rsidRPr="00FD5F60" w:rsidRDefault="00476CDC" w:rsidP="00476CDC">
      <w:pPr>
        <w:spacing w:after="120" w:line="240" w:lineRule="auto"/>
        <w:ind w:left="142" w:hanging="142"/>
        <w:jc w:val="both"/>
        <w:rPr>
          <w:rFonts w:eastAsia="Times New Roman" w:cs="Arial"/>
          <w:sz w:val="24"/>
          <w:szCs w:val="24"/>
          <w:lang w:eastAsia="en-GB"/>
        </w:rPr>
      </w:pPr>
      <w:r w:rsidRPr="00D6066B">
        <w:rPr>
          <w:rFonts w:eastAsia="Times New Roman" w:cs="Arial"/>
          <w:sz w:val="24"/>
          <w:szCs w:val="24"/>
          <w:lang w:eastAsia="en-GB"/>
        </w:rPr>
        <w:t>Carlborg, P., Kindström, D., Kowalkowski, C.</w:t>
      </w:r>
      <w:r w:rsidR="00177D77" w:rsidRPr="00D6066B">
        <w:rPr>
          <w:rFonts w:eastAsia="Times New Roman" w:cs="Arial"/>
          <w:sz w:val="24"/>
          <w:szCs w:val="24"/>
          <w:lang w:eastAsia="en-GB"/>
        </w:rPr>
        <w:t>,</w:t>
      </w:r>
      <w:r w:rsidRPr="00D6066B">
        <w:rPr>
          <w:rFonts w:eastAsia="Times New Roman" w:cs="Arial"/>
          <w:sz w:val="24"/>
          <w:szCs w:val="24"/>
          <w:lang w:eastAsia="en-GB"/>
        </w:rPr>
        <w:t xml:space="preserve"> 2014. </w:t>
      </w:r>
      <w:r w:rsidRPr="00FD5F60">
        <w:rPr>
          <w:rFonts w:eastAsia="Times New Roman" w:cs="Arial"/>
          <w:sz w:val="24"/>
          <w:szCs w:val="24"/>
          <w:lang w:eastAsia="en-GB"/>
        </w:rPr>
        <w:t>The evolution of service innovation research: a critical review and synthesis. The Service Industries Journal, 34(5): 373-398.</w:t>
      </w:r>
    </w:p>
    <w:p w14:paraId="3193D0C1" w14:textId="77777777" w:rsidR="004A22C4" w:rsidRDefault="00476CDC" w:rsidP="004A22C4">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Cooper, R.G.</w:t>
      </w:r>
      <w:r w:rsidR="00177D77">
        <w:rPr>
          <w:rFonts w:eastAsia="Times New Roman" w:cs="Arial"/>
          <w:sz w:val="24"/>
          <w:szCs w:val="24"/>
          <w:lang w:eastAsia="en-GB"/>
        </w:rPr>
        <w:t>,</w:t>
      </w:r>
      <w:r w:rsidRPr="00FD5F60">
        <w:rPr>
          <w:rFonts w:eastAsia="Times New Roman" w:cs="Arial"/>
          <w:sz w:val="24"/>
          <w:szCs w:val="24"/>
          <w:lang w:eastAsia="en-GB"/>
        </w:rPr>
        <w:t xml:space="preserve"> 2008. The Stage-Gate® Idea-to-Launch Process – Update, What’s New, and NexGen Systems. Journal of Product Innovation Management</w:t>
      </w:r>
      <w:r>
        <w:rPr>
          <w:rFonts w:eastAsia="Times New Roman" w:cs="Arial"/>
          <w:sz w:val="24"/>
          <w:szCs w:val="24"/>
          <w:lang w:eastAsia="en-GB"/>
        </w:rPr>
        <w:t>,</w:t>
      </w:r>
      <w:r w:rsidRPr="00FD5F60">
        <w:rPr>
          <w:rFonts w:eastAsia="Times New Roman" w:cs="Arial"/>
          <w:sz w:val="24"/>
          <w:szCs w:val="24"/>
          <w:lang w:eastAsia="en-GB"/>
        </w:rPr>
        <w:t xml:space="preserve"> 25: 213-232.</w:t>
      </w:r>
    </w:p>
    <w:p w14:paraId="70993D35" w14:textId="29C3046D" w:rsidR="004A22C4" w:rsidRPr="00A7219A" w:rsidRDefault="004A22C4" w:rsidP="004A22C4">
      <w:pPr>
        <w:spacing w:after="120" w:line="240" w:lineRule="auto"/>
        <w:ind w:left="142" w:hanging="142"/>
        <w:jc w:val="both"/>
        <w:rPr>
          <w:rFonts w:eastAsia="Times New Roman" w:cs="Arial"/>
          <w:sz w:val="24"/>
          <w:szCs w:val="24"/>
          <w:lang w:eastAsia="en-GB"/>
        </w:rPr>
      </w:pPr>
      <w:r w:rsidRPr="004A22C4">
        <w:rPr>
          <w:sz w:val="24"/>
          <w:szCs w:val="24"/>
        </w:rPr>
        <w:t>Cooper, R.</w:t>
      </w:r>
      <w:r w:rsidRPr="00A7219A">
        <w:rPr>
          <w:sz w:val="24"/>
          <w:szCs w:val="24"/>
        </w:rPr>
        <w:t>G., Edgett, S J. 2012. Best practices in the idea to-launch process and its governance. Research-Technology Management, 55(2): 43-54.</w:t>
      </w:r>
    </w:p>
    <w:p w14:paraId="13FF3C0A" w14:textId="575798FE"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Creswell, J.W.</w:t>
      </w:r>
      <w:r w:rsidR="00177D77">
        <w:rPr>
          <w:rFonts w:eastAsia="Times New Roman" w:cs="Arial"/>
          <w:sz w:val="24"/>
          <w:szCs w:val="24"/>
          <w:lang w:eastAsia="en-GB"/>
        </w:rPr>
        <w:t>,</w:t>
      </w:r>
      <w:r w:rsidRPr="00FD5F60">
        <w:rPr>
          <w:rFonts w:eastAsia="Times New Roman" w:cs="Arial"/>
          <w:sz w:val="24"/>
          <w:szCs w:val="24"/>
          <w:lang w:eastAsia="en-GB"/>
        </w:rPr>
        <w:t xml:space="preserve"> 2003. Research design: </w:t>
      </w:r>
      <w:r w:rsidRPr="00FD5F60">
        <w:rPr>
          <w:rFonts w:eastAsia="Times New Roman" w:cs="Arial"/>
          <w:bCs/>
          <w:sz w:val="24"/>
          <w:szCs w:val="24"/>
          <w:lang w:eastAsia="en-GB"/>
        </w:rPr>
        <w:t>Qualitative, quantitative, and mixed methods approaches</w:t>
      </w:r>
      <w:r w:rsidRPr="00FD5F60">
        <w:rPr>
          <w:rFonts w:eastAsia="Times New Roman" w:cs="Arial"/>
          <w:iCs/>
          <w:sz w:val="24"/>
          <w:szCs w:val="24"/>
          <w:lang w:eastAsia="en-GB"/>
        </w:rPr>
        <w:t>.</w:t>
      </w:r>
      <w:r w:rsidRPr="00FD5F60">
        <w:rPr>
          <w:rFonts w:eastAsia="Times New Roman" w:cs="Arial"/>
          <w:sz w:val="24"/>
          <w:szCs w:val="24"/>
          <w:lang w:eastAsia="en-GB"/>
        </w:rPr>
        <w:t xml:space="preserve"> Sage, Thousand Oaks. </w:t>
      </w:r>
    </w:p>
    <w:p w14:paraId="41AEFBE3" w14:textId="4455B327"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Creswell, J.W.</w:t>
      </w:r>
      <w:r w:rsidR="00177D77">
        <w:rPr>
          <w:rFonts w:eastAsia="Times New Roman" w:cs="Arial"/>
          <w:sz w:val="24"/>
          <w:szCs w:val="24"/>
          <w:lang w:eastAsia="en-GB"/>
        </w:rPr>
        <w:t>,</w:t>
      </w:r>
      <w:r w:rsidRPr="00FD5F60">
        <w:rPr>
          <w:rFonts w:eastAsia="Times New Roman" w:cs="Arial"/>
          <w:sz w:val="24"/>
          <w:szCs w:val="24"/>
          <w:lang w:eastAsia="en-GB"/>
        </w:rPr>
        <w:t xml:space="preserve"> Miller, D.L.</w:t>
      </w:r>
      <w:r w:rsidR="00177D77">
        <w:rPr>
          <w:rFonts w:eastAsia="Times New Roman" w:cs="Arial"/>
          <w:sz w:val="24"/>
          <w:szCs w:val="24"/>
          <w:lang w:eastAsia="en-GB"/>
        </w:rPr>
        <w:t>,</w:t>
      </w:r>
      <w:r w:rsidRPr="00FD5F60">
        <w:rPr>
          <w:rFonts w:eastAsia="Times New Roman" w:cs="Arial"/>
          <w:sz w:val="24"/>
          <w:szCs w:val="24"/>
          <w:lang w:eastAsia="en-GB"/>
        </w:rPr>
        <w:t xml:space="preserve"> 2000. Determining Validity in Qualitative Inquiry, Theory into Practice 39(3): 124-130.</w:t>
      </w:r>
    </w:p>
    <w:p w14:paraId="71020C67" w14:textId="26C6C30D" w:rsidR="00476CDC" w:rsidRPr="008364C0" w:rsidRDefault="00476CDC" w:rsidP="00476CDC">
      <w:pPr>
        <w:spacing w:after="120" w:line="240" w:lineRule="auto"/>
        <w:ind w:left="142" w:hanging="142"/>
        <w:jc w:val="both"/>
        <w:rPr>
          <w:rFonts w:eastAsia="Times New Roman" w:cs="Arial"/>
          <w:sz w:val="24"/>
          <w:szCs w:val="24"/>
          <w:lang w:eastAsia="en-GB"/>
        </w:rPr>
      </w:pPr>
      <w:r w:rsidRPr="008364C0">
        <w:rPr>
          <w:rFonts w:eastAsia="Times New Roman" w:cs="Arial"/>
          <w:sz w:val="24"/>
          <w:szCs w:val="24"/>
          <w:lang w:eastAsia="en-GB"/>
        </w:rPr>
        <w:t>Dachs, B., Biege, S., Borowiecki, M., Lay, G., Jäger, A.</w:t>
      </w:r>
      <w:r w:rsidR="00177D77">
        <w:rPr>
          <w:rFonts w:eastAsia="Times New Roman" w:cs="Arial"/>
          <w:sz w:val="24"/>
          <w:szCs w:val="24"/>
          <w:lang w:eastAsia="en-GB"/>
        </w:rPr>
        <w:t>,</w:t>
      </w:r>
      <w:r w:rsidRPr="008364C0">
        <w:rPr>
          <w:rFonts w:eastAsia="Times New Roman" w:cs="Arial"/>
          <w:sz w:val="24"/>
          <w:szCs w:val="24"/>
          <w:lang w:eastAsia="en-GB"/>
        </w:rPr>
        <w:t xml:space="preserve"> Schartinger, D.</w:t>
      </w:r>
      <w:r w:rsidR="00177D77">
        <w:rPr>
          <w:rFonts w:eastAsia="Times New Roman" w:cs="Arial"/>
          <w:sz w:val="24"/>
          <w:szCs w:val="24"/>
          <w:lang w:eastAsia="en-GB"/>
        </w:rPr>
        <w:t>,</w:t>
      </w:r>
      <w:r w:rsidRPr="008364C0">
        <w:rPr>
          <w:rFonts w:eastAsia="Times New Roman" w:cs="Arial"/>
          <w:sz w:val="24"/>
          <w:szCs w:val="24"/>
          <w:lang w:eastAsia="en-GB"/>
        </w:rPr>
        <w:t xml:space="preserve"> 2014</w:t>
      </w:r>
      <w:r>
        <w:rPr>
          <w:rFonts w:eastAsia="Times New Roman" w:cs="Arial"/>
          <w:sz w:val="24"/>
          <w:szCs w:val="24"/>
          <w:lang w:eastAsia="en-GB"/>
        </w:rPr>
        <w:t>.</w:t>
      </w:r>
      <w:r w:rsidRPr="008364C0">
        <w:rPr>
          <w:rFonts w:eastAsia="Times New Roman" w:cs="Arial"/>
          <w:sz w:val="24"/>
          <w:szCs w:val="24"/>
          <w:lang w:eastAsia="en-GB"/>
        </w:rPr>
        <w:t xml:space="preserve"> Servitisation in European manufacturing industries: Empirical evidence from a large-scale database</w:t>
      </w:r>
      <w:r>
        <w:rPr>
          <w:rFonts w:eastAsia="Times New Roman" w:cs="Arial"/>
          <w:sz w:val="24"/>
          <w:szCs w:val="24"/>
          <w:lang w:eastAsia="en-GB"/>
        </w:rPr>
        <w:t>.</w:t>
      </w:r>
      <w:r w:rsidRPr="008364C0">
        <w:rPr>
          <w:rFonts w:eastAsia="Times New Roman" w:cs="Arial"/>
          <w:sz w:val="24"/>
          <w:szCs w:val="24"/>
          <w:lang w:eastAsia="en-GB"/>
        </w:rPr>
        <w:t xml:space="preserve"> </w:t>
      </w:r>
      <w:r w:rsidRPr="00A314A6">
        <w:rPr>
          <w:rFonts w:eastAsia="Times New Roman" w:cs="Arial"/>
          <w:sz w:val="24"/>
          <w:szCs w:val="24"/>
          <w:lang w:eastAsia="en-GB"/>
        </w:rPr>
        <w:t>The Service Industries Journal</w:t>
      </w:r>
      <w:r>
        <w:rPr>
          <w:rFonts w:eastAsia="Times New Roman" w:cs="Arial"/>
          <w:sz w:val="24"/>
          <w:szCs w:val="24"/>
          <w:lang w:eastAsia="en-GB"/>
        </w:rPr>
        <w:t>,</w:t>
      </w:r>
      <w:r w:rsidRPr="008364C0">
        <w:rPr>
          <w:rFonts w:eastAsia="Times New Roman" w:cs="Arial"/>
          <w:sz w:val="24"/>
          <w:szCs w:val="24"/>
          <w:lang w:eastAsia="en-GB"/>
        </w:rPr>
        <w:t xml:space="preserve"> Vol. 34 Iss. 1, pp. 5-23.</w:t>
      </w:r>
    </w:p>
    <w:p w14:paraId="76A2BC8F" w14:textId="32358212"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 xml:space="preserve">de </w:t>
      </w:r>
      <w:r w:rsidRPr="00FD5F60">
        <w:rPr>
          <w:sz w:val="24"/>
          <w:szCs w:val="24"/>
        </w:rPr>
        <w:t>Jong, J.</w:t>
      </w:r>
      <w:r w:rsidR="00177D77">
        <w:rPr>
          <w:sz w:val="24"/>
          <w:szCs w:val="24"/>
        </w:rPr>
        <w:t>,</w:t>
      </w:r>
      <w:r w:rsidRPr="00FD5F60">
        <w:rPr>
          <w:sz w:val="24"/>
          <w:szCs w:val="24"/>
        </w:rPr>
        <w:t xml:space="preserve"> Vermeulen, P.</w:t>
      </w:r>
      <w:r w:rsidR="00177D77">
        <w:rPr>
          <w:sz w:val="24"/>
          <w:szCs w:val="24"/>
        </w:rPr>
        <w:t>,</w:t>
      </w:r>
      <w:r w:rsidRPr="00FD5F60">
        <w:rPr>
          <w:sz w:val="24"/>
          <w:szCs w:val="24"/>
        </w:rPr>
        <w:t xml:space="preserve"> 2003. Organizing successful new service development: A literature review</w:t>
      </w:r>
      <w:r>
        <w:rPr>
          <w:sz w:val="24"/>
          <w:szCs w:val="24"/>
        </w:rPr>
        <w:t>.</w:t>
      </w:r>
      <w:r w:rsidRPr="00FD5F60">
        <w:rPr>
          <w:sz w:val="24"/>
          <w:szCs w:val="24"/>
        </w:rPr>
        <w:t xml:space="preserve"> Management Decision, 41: 844-858.</w:t>
      </w:r>
    </w:p>
    <w:p w14:paraId="5C289E6D" w14:textId="2CCF27D4"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Dexter, L. A.</w:t>
      </w:r>
      <w:r w:rsidR="00177D77">
        <w:rPr>
          <w:rFonts w:eastAsia="Times New Roman" w:cs="Arial"/>
          <w:sz w:val="24"/>
          <w:szCs w:val="24"/>
          <w:lang w:eastAsia="en-GB"/>
        </w:rPr>
        <w:t>,</w:t>
      </w:r>
      <w:r w:rsidRPr="00FD5F60">
        <w:rPr>
          <w:rFonts w:eastAsia="Times New Roman" w:cs="Arial"/>
          <w:sz w:val="24"/>
          <w:szCs w:val="24"/>
          <w:lang w:eastAsia="en-GB"/>
        </w:rPr>
        <w:t xml:space="preserve"> 2012.  Elite and Specialized Interviewing. ECPR Press, Colchester, UK.</w:t>
      </w:r>
    </w:p>
    <w:p w14:paraId="1D52ABC5" w14:textId="49CBB6CB"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Dubois, A., Gadde, L.-E.</w:t>
      </w:r>
      <w:r w:rsidR="000828DF">
        <w:rPr>
          <w:rFonts w:eastAsia="Times New Roman" w:cs="Arial"/>
          <w:sz w:val="24"/>
          <w:szCs w:val="24"/>
          <w:lang w:eastAsia="en-GB"/>
        </w:rPr>
        <w:t>,</w:t>
      </w:r>
      <w:r w:rsidRPr="00FD5F60">
        <w:rPr>
          <w:rFonts w:eastAsia="Times New Roman" w:cs="Arial"/>
          <w:sz w:val="24"/>
          <w:szCs w:val="24"/>
          <w:lang w:eastAsia="en-GB"/>
        </w:rPr>
        <w:t xml:space="preserve"> 2002. Systematic combining: An abductive approach to case research. Journal of Business Research, 55(7): 553–560.</w:t>
      </w:r>
    </w:p>
    <w:p w14:paraId="079454D3" w14:textId="0671E2C8" w:rsidR="00476CDC" w:rsidRPr="00E92015" w:rsidRDefault="00476CDC" w:rsidP="00476CDC">
      <w:pPr>
        <w:spacing w:after="120" w:line="240" w:lineRule="auto"/>
        <w:ind w:left="142" w:hanging="142"/>
        <w:jc w:val="both"/>
        <w:rPr>
          <w:rFonts w:eastAsia="Times New Roman" w:cs="Arial"/>
          <w:sz w:val="24"/>
          <w:szCs w:val="24"/>
          <w:lang w:eastAsia="en-GB"/>
        </w:rPr>
      </w:pPr>
      <w:r w:rsidRPr="00E92015">
        <w:rPr>
          <w:rFonts w:eastAsia="Times New Roman" w:cs="Arial"/>
          <w:sz w:val="24"/>
          <w:szCs w:val="24"/>
          <w:lang w:eastAsia="en-GB"/>
        </w:rPr>
        <w:t xml:space="preserve">Eggert, A., Hogreve, </w:t>
      </w:r>
      <w:r>
        <w:rPr>
          <w:rFonts w:eastAsia="Times New Roman" w:cs="Arial"/>
          <w:sz w:val="24"/>
          <w:szCs w:val="24"/>
          <w:lang w:eastAsia="en-GB"/>
        </w:rPr>
        <w:t xml:space="preserve">J., </w:t>
      </w:r>
      <w:r w:rsidRPr="00E92015">
        <w:rPr>
          <w:rFonts w:eastAsia="Times New Roman" w:cs="Arial"/>
          <w:sz w:val="24"/>
          <w:szCs w:val="24"/>
          <w:lang w:eastAsia="en-GB"/>
        </w:rPr>
        <w:t xml:space="preserve">Ulaga, </w:t>
      </w:r>
      <w:r>
        <w:rPr>
          <w:rFonts w:eastAsia="Times New Roman" w:cs="Arial"/>
          <w:sz w:val="24"/>
          <w:szCs w:val="24"/>
          <w:lang w:eastAsia="en-GB"/>
        </w:rPr>
        <w:t>W.</w:t>
      </w:r>
      <w:r w:rsidR="000828DF">
        <w:rPr>
          <w:rFonts w:eastAsia="Times New Roman" w:cs="Arial"/>
          <w:sz w:val="24"/>
          <w:szCs w:val="24"/>
          <w:lang w:eastAsia="en-GB"/>
        </w:rPr>
        <w:t xml:space="preserve">, </w:t>
      </w:r>
      <w:r w:rsidRPr="00E92015">
        <w:rPr>
          <w:rFonts w:eastAsia="Times New Roman" w:cs="Arial"/>
          <w:sz w:val="24"/>
          <w:szCs w:val="24"/>
          <w:lang w:eastAsia="en-GB"/>
        </w:rPr>
        <w:t>Muenkhoff, E.</w:t>
      </w:r>
      <w:r w:rsidR="000828DF">
        <w:rPr>
          <w:rFonts w:eastAsia="Times New Roman" w:cs="Arial"/>
          <w:sz w:val="24"/>
          <w:szCs w:val="24"/>
          <w:lang w:eastAsia="en-GB"/>
        </w:rPr>
        <w:t>,</w:t>
      </w:r>
      <w:r w:rsidRPr="00E92015">
        <w:rPr>
          <w:rFonts w:eastAsia="Times New Roman" w:cs="Arial"/>
          <w:sz w:val="24"/>
          <w:szCs w:val="24"/>
          <w:lang w:eastAsia="en-GB"/>
        </w:rPr>
        <w:t xml:space="preserve"> 2011. Industrial Services, Product Innovations, and Firm Profitability: A Multiple-Group Latent Growth Curve Analysis. </w:t>
      </w:r>
      <w:r w:rsidRPr="00E92015">
        <w:rPr>
          <w:rFonts w:eastAsia="Times New Roman" w:cs="Arial"/>
          <w:iCs/>
          <w:sz w:val="24"/>
          <w:szCs w:val="24"/>
          <w:lang w:eastAsia="en-GB"/>
        </w:rPr>
        <w:t>Industrial Marketing Management</w:t>
      </w:r>
      <w:r>
        <w:rPr>
          <w:rFonts w:eastAsia="Times New Roman" w:cs="Arial"/>
          <w:iCs/>
          <w:sz w:val="24"/>
          <w:szCs w:val="24"/>
          <w:lang w:eastAsia="en-GB"/>
        </w:rPr>
        <w:t>,</w:t>
      </w:r>
      <w:r w:rsidRPr="00E92015">
        <w:rPr>
          <w:rFonts w:eastAsia="Times New Roman" w:cs="Arial"/>
          <w:i/>
          <w:iCs/>
          <w:sz w:val="24"/>
          <w:szCs w:val="24"/>
          <w:lang w:eastAsia="en-GB"/>
        </w:rPr>
        <w:t xml:space="preserve"> </w:t>
      </w:r>
      <w:r w:rsidRPr="00E92015">
        <w:rPr>
          <w:rFonts w:eastAsia="Times New Roman" w:cs="Arial"/>
          <w:bCs/>
          <w:sz w:val="24"/>
          <w:szCs w:val="24"/>
          <w:lang w:eastAsia="en-GB"/>
        </w:rPr>
        <w:t>40</w:t>
      </w:r>
      <w:r>
        <w:rPr>
          <w:rFonts w:eastAsia="Times New Roman" w:cs="Arial"/>
          <w:bCs/>
          <w:sz w:val="24"/>
          <w:szCs w:val="24"/>
          <w:lang w:eastAsia="en-GB"/>
        </w:rPr>
        <w:t>(5)</w:t>
      </w:r>
      <w:r w:rsidRPr="00E92015">
        <w:rPr>
          <w:rFonts w:eastAsia="Times New Roman" w:cs="Arial"/>
          <w:bCs/>
          <w:sz w:val="24"/>
          <w:szCs w:val="24"/>
          <w:lang w:eastAsia="en-GB"/>
        </w:rPr>
        <w:t>:</w:t>
      </w:r>
      <w:r w:rsidRPr="00E92015">
        <w:rPr>
          <w:rFonts w:eastAsia="Times New Roman" w:cs="Arial"/>
          <w:sz w:val="24"/>
          <w:szCs w:val="24"/>
          <w:lang w:eastAsia="en-GB"/>
        </w:rPr>
        <w:t xml:space="preserve"> 661-670. </w:t>
      </w:r>
    </w:p>
    <w:p w14:paraId="6086D53A" w14:textId="5A15B951"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Eggert, A., Thiesbrummel, C.</w:t>
      </w:r>
      <w:r w:rsidR="000828DF">
        <w:rPr>
          <w:rFonts w:eastAsia="Times New Roman" w:cs="Arial"/>
          <w:sz w:val="24"/>
          <w:szCs w:val="24"/>
          <w:lang w:eastAsia="en-GB"/>
        </w:rPr>
        <w:t>,</w:t>
      </w:r>
      <w:r w:rsidRPr="00FD5F60">
        <w:rPr>
          <w:rFonts w:eastAsia="Times New Roman" w:cs="Arial"/>
          <w:sz w:val="24"/>
          <w:szCs w:val="24"/>
          <w:lang w:eastAsia="en-GB"/>
        </w:rPr>
        <w:t xml:space="preserve"> Deutscher, C.</w:t>
      </w:r>
      <w:r w:rsidR="000828DF">
        <w:rPr>
          <w:rFonts w:eastAsia="Times New Roman" w:cs="Arial"/>
          <w:sz w:val="24"/>
          <w:szCs w:val="24"/>
          <w:lang w:eastAsia="en-GB"/>
        </w:rPr>
        <w:t>,</w:t>
      </w:r>
      <w:r w:rsidRPr="00FD5F60">
        <w:rPr>
          <w:rFonts w:eastAsia="Times New Roman" w:cs="Arial"/>
          <w:sz w:val="24"/>
          <w:szCs w:val="24"/>
          <w:lang w:eastAsia="en-GB"/>
        </w:rPr>
        <w:t xml:space="preserve"> 2015. Heading for new shores: Do service and hybrid innovations outperform product innovations in industrial companies? Industrial Marketing Management, 45: 173-183. </w:t>
      </w:r>
    </w:p>
    <w:p w14:paraId="2FAF0337" w14:textId="1F4CD1AB"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Eisenhardt, K.M.</w:t>
      </w:r>
      <w:r w:rsidR="000828DF">
        <w:rPr>
          <w:rFonts w:eastAsia="Times New Roman" w:cs="Arial"/>
          <w:sz w:val="24"/>
          <w:szCs w:val="24"/>
          <w:lang w:eastAsia="en-GB"/>
        </w:rPr>
        <w:t>,</w:t>
      </w:r>
      <w:r w:rsidRPr="00FD5F60">
        <w:rPr>
          <w:rFonts w:eastAsia="Times New Roman" w:cs="Arial"/>
          <w:sz w:val="24"/>
          <w:szCs w:val="24"/>
          <w:lang w:eastAsia="en-GB"/>
        </w:rPr>
        <w:t xml:space="preserve"> 1989. Building theories from case study research. Academy of Management Review, October 14(4): 532-550.</w:t>
      </w:r>
    </w:p>
    <w:p w14:paraId="681B1318" w14:textId="78897C43"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Ettlie, J.E., Rosenthal, S. R.</w:t>
      </w:r>
      <w:r w:rsidR="000828DF">
        <w:rPr>
          <w:rFonts w:eastAsia="Times New Roman" w:cs="Arial"/>
          <w:sz w:val="24"/>
          <w:szCs w:val="24"/>
          <w:lang w:eastAsia="en-GB"/>
        </w:rPr>
        <w:t>,</w:t>
      </w:r>
      <w:r w:rsidRPr="00FD5F60">
        <w:rPr>
          <w:rFonts w:eastAsia="Times New Roman" w:cs="Arial"/>
          <w:sz w:val="24"/>
          <w:szCs w:val="24"/>
          <w:lang w:eastAsia="en-GB"/>
        </w:rPr>
        <w:t xml:space="preserve"> 2011. Service versus Manufacturing Innovation. Journal of Product Innovation Management</w:t>
      </w:r>
      <w:r>
        <w:rPr>
          <w:rFonts w:eastAsia="Times New Roman" w:cs="Arial"/>
          <w:sz w:val="24"/>
          <w:szCs w:val="24"/>
          <w:lang w:eastAsia="en-GB"/>
        </w:rPr>
        <w:t>,</w:t>
      </w:r>
      <w:r w:rsidRPr="00FD5F60">
        <w:rPr>
          <w:rFonts w:eastAsia="Times New Roman" w:cs="Arial"/>
          <w:sz w:val="24"/>
          <w:szCs w:val="24"/>
          <w:lang w:eastAsia="en-GB"/>
        </w:rPr>
        <w:t xml:space="preserve"> 28(2): 285-299.</w:t>
      </w:r>
    </w:p>
    <w:p w14:paraId="71B86FCF" w14:textId="4D711797"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Ettlie</w:t>
      </w:r>
      <w:r w:rsidR="000828DF">
        <w:rPr>
          <w:rFonts w:eastAsia="Times New Roman" w:cs="Arial"/>
          <w:sz w:val="24"/>
          <w:szCs w:val="24"/>
          <w:lang w:eastAsia="en-GB"/>
        </w:rPr>
        <w:t xml:space="preserve">, J.E., </w:t>
      </w:r>
      <w:r w:rsidRPr="00FD5F60">
        <w:rPr>
          <w:rFonts w:eastAsia="Times New Roman" w:cs="Arial"/>
          <w:sz w:val="24"/>
          <w:szCs w:val="24"/>
          <w:lang w:eastAsia="en-GB"/>
        </w:rPr>
        <w:t>Rosenthal</w:t>
      </w:r>
      <w:r w:rsidR="000828DF">
        <w:rPr>
          <w:rFonts w:eastAsia="Times New Roman" w:cs="Arial"/>
          <w:sz w:val="24"/>
          <w:szCs w:val="24"/>
          <w:lang w:eastAsia="en-GB"/>
        </w:rPr>
        <w:t>, S</w:t>
      </w:r>
      <w:r w:rsidRPr="00FD5F60">
        <w:rPr>
          <w:rFonts w:eastAsia="Times New Roman" w:cs="Arial"/>
          <w:sz w:val="24"/>
          <w:szCs w:val="24"/>
          <w:lang w:eastAsia="en-GB"/>
        </w:rPr>
        <w:t>.</w:t>
      </w:r>
      <w:r w:rsidR="000828DF">
        <w:rPr>
          <w:rFonts w:eastAsia="Times New Roman" w:cs="Arial"/>
          <w:sz w:val="24"/>
          <w:szCs w:val="24"/>
          <w:lang w:eastAsia="en-GB"/>
        </w:rPr>
        <w:t>R.,</w:t>
      </w:r>
      <w:r w:rsidRPr="00FD5F60">
        <w:rPr>
          <w:rFonts w:eastAsia="Times New Roman" w:cs="Arial"/>
          <w:sz w:val="24"/>
          <w:szCs w:val="24"/>
          <w:lang w:eastAsia="en-GB"/>
        </w:rPr>
        <w:t xml:space="preserve"> 2012. Service innovation in manufacturing. Journal of Service Management</w:t>
      </w:r>
      <w:r>
        <w:rPr>
          <w:rFonts w:eastAsia="Times New Roman" w:cs="Arial"/>
          <w:sz w:val="24"/>
          <w:szCs w:val="24"/>
          <w:lang w:eastAsia="en-GB"/>
        </w:rPr>
        <w:t>,</w:t>
      </w:r>
      <w:r w:rsidRPr="00FD5F60">
        <w:rPr>
          <w:rFonts w:eastAsia="Times New Roman" w:cs="Arial"/>
          <w:sz w:val="24"/>
          <w:szCs w:val="24"/>
          <w:lang w:eastAsia="en-GB"/>
        </w:rPr>
        <w:t xml:space="preserve"> 23(3):440-454.  </w:t>
      </w:r>
    </w:p>
    <w:p w14:paraId="4BA64E36" w14:textId="06A2E270"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Fang, E</w:t>
      </w:r>
      <w:r>
        <w:rPr>
          <w:rFonts w:eastAsia="Times New Roman" w:cs="Arial"/>
          <w:sz w:val="24"/>
          <w:szCs w:val="24"/>
          <w:lang w:eastAsia="en-GB"/>
        </w:rPr>
        <w:t>.</w:t>
      </w:r>
      <w:r w:rsidRPr="00FD5F60">
        <w:rPr>
          <w:rFonts w:eastAsia="Times New Roman" w:cs="Arial"/>
          <w:sz w:val="24"/>
          <w:szCs w:val="24"/>
          <w:lang w:eastAsia="en-GB"/>
        </w:rPr>
        <w:t>, Palmatier, R</w:t>
      </w:r>
      <w:r>
        <w:rPr>
          <w:rFonts w:eastAsia="Times New Roman" w:cs="Arial"/>
          <w:sz w:val="24"/>
          <w:szCs w:val="24"/>
          <w:lang w:eastAsia="en-GB"/>
        </w:rPr>
        <w:t>.</w:t>
      </w:r>
      <w:r w:rsidR="000828DF">
        <w:rPr>
          <w:rFonts w:eastAsia="Times New Roman" w:cs="Arial"/>
          <w:sz w:val="24"/>
          <w:szCs w:val="24"/>
          <w:lang w:eastAsia="en-GB"/>
        </w:rPr>
        <w:t xml:space="preserve">, </w:t>
      </w:r>
      <w:r w:rsidRPr="00FD5F60">
        <w:rPr>
          <w:rFonts w:eastAsia="Times New Roman" w:cs="Arial"/>
          <w:sz w:val="24"/>
          <w:szCs w:val="24"/>
          <w:lang w:eastAsia="en-GB"/>
        </w:rPr>
        <w:t>Steenkamp, J.</w:t>
      </w:r>
      <w:r w:rsidR="000828DF">
        <w:rPr>
          <w:rFonts w:eastAsia="Times New Roman" w:cs="Arial"/>
          <w:sz w:val="24"/>
          <w:szCs w:val="24"/>
          <w:lang w:eastAsia="en-GB"/>
        </w:rPr>
        <w:t>,</w:t>
      </w:r>
      <w:r w:rsidRPr="00FD5F60">
        <w:rPr>
          <w:rFonts w:eastAsia="Times New Roman" w:cs="Arial"/>
          <w:sz w:val="24"/>
          <w:szCs w:val="24"/>
          <w:lang w:eastAsia="en-GB"/>
        </w:rPr>
        <w:t xml:space="preserve"> 2008. Effect of service transition strategies on firm value. Journal of Marketing</w:t>
      </w:r>
      <w:r>
        <w:rPr>
          <w:rFonts w:eastAsia="Times New Roman" w:cs="Arial"/>
          <w:sz w:val="24"/>
          <w:szCs w:val="24"/>
          <w:lang w:eastAsia="en-GB"/>
        </w:rPr>
        <w:t>,</w:t>
      </w:r>
      <w:r w:rsidRPr="00FD5F60">
        <w:rPr>
          <w:rFonts w:eastAsia="Times New Roman" w:cs="Arial"/>
          <w:sz w:val="24"/>
          <w:szCs w:val="24"/>
          <w:lang w:eastAsia="en-GB"/>
        </w:rPr>
        <w:t xml:space="preserve"> 72(4): 1-14.</w:t>
      </w:r>
    </w:p>
    <w:p w14:paraId="46134AC1" w14:textId="31D5895A" w:rsidR="00476CDC" w:rsidRPr="00FD5F60" w:rsidRDefault="00476CDC" w:rsidP="00476CDC">
      <w:pPr>
        <w:spacing w:after="120" w:line="240" w:lineRule="auto"/>
        <w:ind w:left="142" w:hanging="142"/>
        <w:jc w:val="both"/>
        <w:rPr>
          <w:rFonts w:eastAsia="Times New Roman" w:cs="Arial"/>
          <w:sz w:val="24"/>
          <w:szCs w:val="24"/>
          <w:lang w:eastAsia="en-GB"/>
        </w:rPr>
      </w:pPr>
      <w:r w:rsidRPr="00FD5F60">
        <w:rPr>
          <w:rFonts w:eastAsia="Times New Roman" w:cs="Arial"/>
          <w:sz w:val="24"/>
          <w:szCs w:val="24"/>
          <w:lang w:eastAsia="en-GB"/>
        </w:rPr>
        <w:t>Gallouj, F., Windrum, P.</w:t>
      </w:r>
      <w:r w:rsidR="000828DF">
        <w:rPr>
          <w:rFonts w:eastAsia="Times New Roman" w:cs="Arial"/>
          <w:sz w:val="24"/>
          <w:szCs w:val="24"/>
          <w:lang w:eastAsia="en-GB"/>
        </w:rPr>
        <w:t>,</w:t>
      </w:r>
      <w:r w:rsidRPr="00FD5F60">
        <w:rPr>
          <w:rFonts w:eastAsia="Times New Roman" w:cs="Arial"/>
          <w:sz w:val="24"/>
          <w:szCs w:val="24"/>
          <w:lang w:eastAsia="en-GB"/>
        </w:rPr>
        <w:t xml:space="preserve"> 2009. Services and services innovation</w:t>
      </w:r>
      <w:r>
        <w:rPr>
          <w:rFonts w:eastAsia="Times New Roman" w:cs="Arial"/>
          <w:sz w:val="24"/>
          <w:szCs w:val="24"/>
          <w:lang w:eastAsia="en-GB"/>
        </w:rPr>
        <w:t>.</w:t>
      </w:r>
      <w:r w:rsidRPr="00FD5F60">
        <w:rPr>
          <w:rFonts w:eastAsia="Times New Roman" w:cs="Arial"/>
          <w:sz w:val="24"/>
          <w:szCs w:val="24"/>
          <w:lang w:eastAsia="en-GB"/>
        </w:rPr>
        <w:t xml:space="preserve"> Journal of Evolutionary Economics, 19(2): 141–148.</w:t>
      </w:r>
    </w:p>
    <w:p w14:paraId="6D279F7C" w14:textId="7372950A" w:rsidR="00476CDC" w:rsidRDefault="00476CDC" w:rsidP="00476CDC">
      <w:pPr>
        <w:spacing w:after="120" w:line="240" w:lineRule="auto"/>
        <w:ind w:left="142" w:hanging="142"/>
        <w:jc w:val="both"/>
        <w:rPr>
          <w:rFonts w:eastAsia="Times New Roman" w:cs="Arial"/>
          <w:sz w:val="24"/>
          <w:szCs w:val="24"/>
          <w:lang w:val="en-US" w:eastAsia="en-GB"/>
        </w:rPr>
      </w:pPr>
      <w:r w:rsidRPr="00FD5F60">
        <w:rPr>
          <w:rFonts w:eastAsia="Times New Roman" w:cs="Arial"/>
          <w:sz w:val="24"/>
          <w:szCs w:val="24"/>
          <w:lang w:eastAsia="en-GB"/>
        </w:rPr>
        <w:t>Gebauer, H.</w:t>
      </w:r>
      <w:r w:rsidR="000828DF">
        <w:rPr>
          <w:rFonts w:eastAsia="Times New Roman" w:cs="Arial"/>
          <w:sz w:val="24"/>
          <w:szCs w:val="24"/>
          <w:lang w:eastAsia="en-GB"/>
        </w:rPr>
        <w:t>,</w:t>
      </w:r>
      <w:r w:rsidRPr="00FD5F60">
        <w:rPr>
          <w:rFonts w:eastAsia="Times New Roman" w:cs="Arial"/>
          <w:sz w:val="24"/>
          <w:szCs w:val="24"/>
          <w:lang w:eastAsia="en-GB"/>
        </w:rPr>
        <w:t xml:space="preserve"> 2008. </w:t>
      </w:r>
      <w:r w:rsidRPr="00FD5F60">
        <w:rPr>
          <w:rFonts w:eastAsia="Times New Roman" w:cs="Arial"/>
          <w:sz w:val="24"/>
          <w:szCs w:val="24"/>
          <w:lang w:val="en-US" w:eastAsia="en-GB"/>
        </w:rPr>
        <w:t>Identifying service strategies in product manufacturing companies by exploring envi</w:t>
      </w:r>
      <w:r>
        <w:rPr>
          <w:rFonts w:eastAsia="Times New Roman" w:cs="Arial"/>
          <w:sz w:val="24"/>
          <w:szCs w:val="24"/>
          <w:lang w:val="en-US" w:eastAsia="en-GB"/>
        </w:rPr>
        <w:t>ronment–strategy configurations.</w:t>
      </w:r>
      <w:r w:rsidRPr="00FD5F60">
        <w:rPr>
          <w:rFonts w:eastAsia="Times New Roman" w:cs="Arial"/>
          <w:sz w:val="24"/>
          <w:szCs w:val="24"/>
          <w:lang w:val="en-US" w:eastAsia="en-GB"/>
        </w:rPr>
        <w:t xml:space="preserve"> </w:t>
      </w:r>
      <w:r w:rsidRPr="00FD5F60">
        <w:rPr>
          <w:rFonts w:eastAsia="Times New Roman" w:cs="Arial"/>
          <w:iCs/>
          <w:sz w:val="24"/>
          <w:szCs w:val="24"/>
          <w:lang w:val="en-US" w:eastAsia="en-GB"/>
        </w:rPr>
        <w:t>Industrial Marketing Management</w:t>
      </w:r>
      <w:r w:rsidRPr="00FD5F60">
        <w:rPr>
          <w:rFonts w:eastAsia="Times New Roman" w:cs="Arial"/>
          <w:sz w:val="24"/>
          <w:szCs w:val="24"/>
          <w:lang w:val="en-US" w:eastAsia="en-GB"/>
        </w:rPr>
        <w:t>, 37(3): 278-291.</w:t>
      </w:r>
    </w:p>
    <w:p w14:paraId="241E3BEE" w14:textId="6803110B" w:rsidR="00476CDC" w:rsidRPr="00FD5F60" w:rsidRDefault="00476CDC" w:rsidP="00476CDC">
      <w:pPr>
        <w:pStyle w:val="Bibliography"/>
        <w:spacing w:after="120" w:line="240" w:lineRule="auto"/>
        <w:ind w:left="142" w:hanging="142"/>
        <w:jc w:val="both"/>
        <w:rPr>
          <w:sz w:val="24"/>
          <w:szCs w:val="24"/>
          <w:lang w:val="de-DE"/>
        </w:rPr>
      </w:pPr>
      <w:r w:rsidRPr="00FD5F60">
        <w:rPr>
          <w:sz w:val="24"/>
          <w:szCs w:val="24"/>
          <w:lang w:val="de-DE"/>
        </w:rPr>
        <w:t>Gebauer, H., Edvardsson, B., Gustafsson, A.</w:t>
      </w:r>
      <w:r w:rsidR="000828DF">
        <w:rPr>
          <w:sz w:val="24"/>
          <w:szCs w:val="24"/>
          <w:lang w:val="de-DE"/>
        </w:rPr>
        <w:t>,</w:t>
      </w:r>
      <w:r w:rsidRPr="00FD5F60">
        <w:rPr>
          <w:sz w:val="24"/>
          <w:szCs w:val="24"/>
          <w:lang w:val="de-DE"/>
        </w:rPr>
        <w:t xml:space="preserve"> Witell, L.</w:t>
      </w:r>
      <w:r w:rsidR="000828DF">
        <w:rPr>
          <w:sz w:val="24"/>
          <w:szCs w:val="24"/>
          <w:lang w:val="de-DE"/>
        </w:rPr>
        <w:t>,</w:t>
      </w:r>
      <w:r w:rsidRPr="00FD5F60">
        <w:rPr>
          <w:sz w:val="24"/>
          <w:szCs w:val="24"/>
          <w:lang w:val="de-DE"/>
        </w:rPr>
        <w:t xml:space="preserve"> 2010. Match or mismatch: Strategy-structure configurations in the service business of manufacturing companies</w:t>
      </w:r>
      <w:r>
        <w:rPr>
          <w:sz w:val="24"/>
          <w:szCs w:val="24"/>
          <w:lang w:val="de-DE"/>
        </w:rPr>
        <w:t>.</w:t>
      </w:r>
      <w:r w:rsidRPr="00FD5F60">
        <w:rPr>
          <w:sz w:val="24"/>
          <w:szCs w:val="24"/>
          <w:lang w:val="de-DE"/>
        </w:rPr>
        <w:t xml:space="preserve"> Journal of Service Research, 13(2): 198–215.</w:t>
      </w:r>
    </w:p>
    <w:p w14:paraId="36EDD1E2" w14:textId="354E67C0" w:rsidR="00476CDC" w:rsidRPr="00A01CB2" w:rsidRDefault="00476CDC" w:rsidP="00476CDC">
      <w:pPr>
        <w:pStyle w:val="CommentText"/>
        <w:spacing w:after="120"/>
        <w:ind w:left="142" w:hanging="142"/>
        <w:jc w:val="both"/>
        <w:rPr>
          <w:sz w:val="24"/>
          <w:szCs w:val="24"/>
        </w:rPr>
      </w:pPr>
      <w:r w:rsidRPr="00A01CB2">
        <w:rPr>
          <w:sz w:val="24"/>
          <w:szCs w:val="24"/>
        </w:rPr>
        <w:t>Gebauer</w:t>
      </w:r>
      <w:r>
        <w:rPr>
          <w:sz w:val="24"/>
          <w:szCs w:val="24"/>
        </w:rPr>
        <w:t>,</w:t>
      </w:r>
      <w:r w:rsidRPr="00A01CB2">
        <w:rPr>
          <w:sz w:val="24"/>
          <w:szCs w:val="24"/>
        </w:rPr>
        <w:t xml:space="preserve"> H</w:t>
      </w:r>
      <w:r>
        <w:rPr>
          <w:sz w:val="24"/>
          <w:szCs w:val="24"/>
        </w:rPr>
        <w:t>.,</w:t>
      </w:r>
      <w:r w:rsidRPr="00A01CB2">
        <w:rPr>
          <w:sz w:val="24"/>
          <w:szCs w:val="24"/>
        </w:rPr>
        <w:t xml:space="preserve"> Paiola</w:t>
      </w:r>
      <w:r>
        <w:rPr>
          <w:sz w:val="24"/>
          <w:szCs w:val="24"/>
        </w:rPr>
        <w:t>,</w:t>
      </w:r>
      <w:r w:rsidRPr="00A01CB2">
        <w:rPr>
          <w:sz w:val="24"/>
          <w:szCs w:val="24"/>
        </w:rPr>
        <w:t xml:space="preserve"> M</w:t>
      </w:r>
      <w:r>
        <w:rPr>
          <w:sz w:val="24"/>
          <w:szCs w:val="24"/>
        </w:rPr>
        <w:t>.,</w:t>
      </w:r>
      <w:r w:rsidRPr="00A01CB2">
        <w:rPr>
          <w:sz w:val="24"/>
          <w:szCs w:val="24"/>
        </w:rPr>
        <w:t xml:space="preserve"> Edvardsson, </w:t>
      </w:r>
      <w:r>
        <w:rPr>
          <w:sz w:val="24"/>
          <w:szCs w:val="24"/>
        </w:rPr>
        <w:t>B.</w:t>
      </w:r>
      <w:r w:rsidR="000828DF">
        <w:rPr>
          <w:sz w:val="24"/>
          <w:szCs w:val="24"/>
        </w:rPr>
        <w:t>,</w:t>
      </w:r>
      <w:r>
        <w:rPr>
          <w:sz w:val="24"/>
          <w:szCs w:val="24"/>
        </w:rPr>
        <w:t xml:space="preserve"> </w:t>
      </w:r>
      <w:r w:rsidRPr="00A01CB2">
        <w:rPr>
          <w:sz w:val="24"/>
          <w:szCs w:val="24"/>
        </w:rPr>
        <w:t>2010</w:t>
      </w:r>
      <w:r>
        <w:rPr>
          <w:sz w:val="24"/>
          <w:szCs w:val="24"/>
        </w:rPr>
        <w:t xml:space="preserve">. </w:t>
      </w:r>
      <w:r w:rsidRPr="00A01CB2">
        <w:rPr>
          <w:sz w:val="24"/>
          <w:szCs w:val="24"/>
        </w:rPr>
        <w:t>Service business development in small and medium</w:t>
      </w:r>
      <w:r>
        <w:rPr>
          <w:sz w:val="24"/>
          <w:szCs w:val="24"/>
        </w:rPr>
        <w:t xml:space="preserve"> </w:t>
      </w:r>
      <w:r w:rsidRPr="00A01CB2">
        <w:rPr>
          <w:sz w:val="24"/>
          <w:szCs w:val="24"/>
        </w:rPr>
        <w:t>capital goods manufacturing companies</w:t>
      </w:r>
      <w:r>
        <w:rPr>
          <w:sz w:val="24"/>
          <w:szCs w:val="24"/>
        </w:rPr>
        <w:t>.</w:t>
      </w:r>
      <w:r w:rsidRPr="00A01CB2">
        <w:rPr>
          <w:sz w:val="24"/>
          <w:szCs w:val="24"/>
        </w:rPr>
        <w:t xml:space="preserve"> Managing Service Quality: An International Journal, 20</w:t>
      </w:r>
      <w:r>
        <w:rPr>
          <w:sz w:val="24"/>
          <w:szCs w:val="24"/>
        </w:rPr>
        <w:t>(</w:t>
      </w:r>
      <w:r w:rsidRPr="00A01CB2">
        <w:rPr>
          <w:sz w:val="24"/>
          <w:szCs w:val="24"/>
        </w:rPr>
        <w:t>2</w:t>
      </w:r>
      <w:r>
        <w:rPr>
          <w:sz w:val="24"/>
          <w:szCs w:val="24"/>
        </w:rPr>
        <w:t xml:space="preserve">): </w:t>
      </w:r>
      <w:r w:rsidRPr="00A01CB2">
        <w:rPr>
          <w:sz w:val="24"/>
          <w:szCs w:val="24"/>
        </w:rPr>
        <w:t>123-139</w:t>
      </w:r>
      <w:r>
        <w:rPr>
          <w:sz w:val="24"/>
          <w:szCs w:val="24"/>
        </w:rPr>
        <w:t>.</w:t>
      </w:r>
    </w:p>
    <w:p w14:paraId="5C999C53" w14:textId="1BEEF0E4" w:rsidR="00476CDC" w:rsidRPr="00FD5F60" w:rsidRDefault="00476CDC" w:rsidP="00476CDC">
      <w:pPr>
        <w:pStyle w:val="Bibliography"/>
        <w:spacing w:after="120" w:line="240" w:lineRule="auto"/>
        <w:ind w:left="142" w:hanging="142"/>
        <w:jc w:val="both"/>
        <w:rPr>
          <w:sz w:val="24"/>
          <w:szCs w:val="24"/>
        </w:rPr>
      </w:pPr>
      <w:r w:rsidRPr="00FD5F60">
        <w:rPr>
          <w:sz w:val="24"/>
          <w:szCs w:val="24"/>
        </w:rPr>
        <w:t>Goffin, K., Mitchell, R.</w:t>
      </w:r>
      <w:r w:rsidR="000828DF">
        <w:rPr>
          <w:sz w:val="24"/>
          <w:szCs w:val="24"/>
        </w:rPr>
        <w:t>,</w:t>
      </w:r>
      <w:r w:rsidRPr="00FD5F60">
        <w:rPr>
          <w:sz w:val="24"/>
          <w:szCs w:val="24"/>
        </w:rPr>
        <w:t xml:space="preserve"> 2005. Innovation management: Strategy and implementation using the pentathlon framework (Vol. 2). </w:t>
      </w:r>
      <w:r>
        <w:rPr>
          <w:sz w:val="24"/>
          <w:szCs w:val="24"/>
        </w:rPr>
        <w:t xml:space="preserve">Basingstoke: </w:t>
      </w:r>
      <w:r w:rsidRPr="00FD5F60">
        <w:rPr>
          <w:sz w:val="24"/>
          <w:szCs w:val="24"/>
        </w:rPr>
        <w:t>Palgrave Macmillan</w:t>
      </w:r>
      <w:r>
        <w:rPr>
          <w:sz w:val="24"/>
          <w:szCs w:val="24"/>
        </w:rPr>
        <w:t>.</w:t>
      </w:r>
    </w:p>
    <w:p w14:paraId="0C0EF219" w14:textId="389C20E3" w:rsidR="00476CDC" w:rsidRPr="00FD5F60" w:rsidRDefault="00476CDC" w:rsidP="00476CDC">
      <w:pPr>
        <w:pStyle w:val="Bibliography"/>
        <w:spacing w:after="120" w:line="240" w:lineRule="auto"/>
        <w:ind w:left="142" w:hanging="142"/>
        <w:jc w:val="both"/>
        <w:rPr>
          <w:sz w:val="24"/>
          <w:szCs w:val="24"/>
        </w:rPr>
      </w:pPr>
      <w:r w:rsidRPr="00FD5F60">
        <w:rPr>
          <w:sz w:val="24"/>
          <w:szCs w:val="24"/>
        </w:rPr>
        <w:t>Gremyr, I., Löfberg, N., Witell, L.</w:t>
      </w:r>
      <w:r w:rsidR="000828DF">
        <w:rPr>
          <w:sz w:val="24"/>
          <w:szCs w:val="24"/>
        </w:rPr>
        <w:t>,</w:t>
      </w:r>
      <w:r w:rsidRPr="00FD5F60">
        <w:rPr>
          <w:sz w:val="24"/>
          <w:szCs w:val="24"/>
        </w:rPr>
        <w:t xml:space="preserve"> 2010. Service innovations in manufacturing firms</w:t>
      </w:r>
      <w:r>
        <w:rPr>
          <w:sz w:val="24"/>
          <w:szCs w:val="24"/>
        </w:rPr>
        <w:t>.</w:t>
      </w:r>
      <w:r w:rsidRPr="00FD5F60">
        <w:rPr>
          <w:sz w:val="24"/>
          <w:szCs w:val="24"/>
        </w:rPr>
        <w:t xml:space="preserve"> Managing Service Quality: An International Journal, 20(2): 161-175.</w:t>
      </w:r>
    </w:p>
    <w:p w14:paraId="346A69AC" w14:textId="58A677EF" w:rsidR="00476CDC" w:rsidRPr="00FD5F60" w:rsidRDefault="00476CDC" w:rsidP="00476CDC">
      <w:pPr>
        <w:pStyle w:val="Bibliography"/>
        <w:spacing w:after="120" w:line="240" w:lineRule="auto"/>
        <w:ind w:left="142" w:hanging="142"/>
        <w:jc w:val="both"/>
        <w:rPr>
          <w:sz w:val="24"/>
          <w:szCs w:val="24"/>
        </w:rPr>
      </w:pPr>
      <w:r w:rsidRPr="00FD5F60">
        <w:rPr>
          <w:sz w:val="24"/>
          <w:szCs w:val="24"/>
        </w:rPr>
        <w:t xml:space="preserve">Gremyr, I., </w:t>
      </w:r>
      <w:r w:rsidRPr="00FD5F60">
        <w:rPr>
          <w:iCs/>
          <w:sz w:val="24"/>
          <w:szCs w:val="24"/>
        </w:rPr>
        <w:t>Witell</w:t>
      </w:r>
      <w:r w:rsidRPr="00FD5F60">
        <w:rPr>
          <w:sz w:val="24"/>
          <w:szCs w:val="24"/>
        </w:rPr>
        <w:t>, L., Löfberg, N., Edvardsson, B., Fundin, A.</w:t>
      </w:r>
      <w:r w:rsidR="000828DF">
        <w:rPr>
          <w:sz w:val="24"/>
          <w:szCs w:val="24"/>
        </w:rPr>
        <w:t>,</w:t>
      </w:r>
      <w:r w:rsidRPr="00FD5F60">
        <w:rPr>
          <w:sz w:val="24"/>
          <w:szCs w:val="24"/>
        </w:rPr>
        <w:t xml:space="preserve"> 2014. Understanding new service development and service innovation through innovation modes</w:t>
      </w:r>
      <w:r>
        <w:rPr>
          <w:sz w:val="24"/>
          <w:szCs w:val="24"/>
        </w:rPr>
        <w:t>.</w:t>
      </w:r>
      <w:r w:rsidRPr="00FD5F60">
        <w:rPr>
          <w:sz w:val="24"/>
          <w:szCs w:val="24"/>
        </w:rPr>
        <w:t xml:space="preserve"> </w:t>
      </w:r>
      <w:r w:rsidRPr="00FD5F60">
        <w:rPr>
          <w:iCs/>
          <w:sz w:val="24"/>
          <w:szCs w:val="24"/>
        </w:rPr>
        <w:t>Journal of Business and Industrial Marketing,</w:t>
      </w:r>
      <w:r w:rsidRPr="00FD5F60">
        <w:rPr>
          <w:sz w:val="24"/>
          <w:szCs w:val="24"/>
        </w:rPr>
        <w:t xml:space="preserve"> </w:t>
      </w:r>
      <w:r w:rsidRPr="00FD5F60">
        <w:rPr>
          <w:iCs/>
          <w:sz w:val="24"/>
          <w:szCs w:val="24"/>
        </w:rPr>
        <w:t>29</w:t>
      </w:r>
      <w:r w:rsidRPr="00FD5F60">
        <w:rPr>
          <w:sz w:val="24"/>
          <w:szCs w:val="24"/>
        </w:rPr>
        <w:t>(2): 123–131.</w:t>
      </w:r>
    </w:p>
    <w:p w14:paraId="7164B4FD" w14:textId="2A442386" w:rsidR="00476CDC" w:rsidRPr="00FD5F60" w:rsidRDefault="00476CDC" w:rsidP="00476CDC">
      <w:pPr>
        <w:pStyle w:val="Bibliography"/>
        <w:spacing w:after="120" w:line="240" w:lineRule="auto"/>
        <w:ind w:left="142" w:hanging="142"/>
        <w:jc w:val="both"/>
        <w:rPr>
          <w:sz w:val="24"/>
          <w:szCs w:val="24"/>
        </w:rPr>
      </w:pPr>
      <w:r w:rsidRPr="00FD5F60">
        <w:rPr>
          <w:sz w:val="24"/>
          <w:szCs w:val="24"/>
        </w:rPr>
        <w:t>Hirschman, E.C.</w:t>
      </w:r>
      <w:r w:rsidR="000828DF">
        <w:rPr>
          <w:sz w:val="24"/>
          <w:szCs w:val="24"/>
        </w:rPr>
        <w:t>,</w:t>
      </w:r>
      <w:r w:rsidRPr="00FD5F60">
        <w:rPr>
          <w:sz w:val="24"/>
          <w:szCs w:val="24"/>
        </w:rPr>
        <w:t xml:space="preserve"> 1986. Humanistic inquiry in marketing research: Philosophy, method and criteria, Journal of Marketing Research, 23: 237-249.</w:t>
      </w:r>
    </w:p>
    <w:p w14:paraId="3F802F04" w14:textId="0553F301" w:rsidR="00476CDC" w:rsidRPr="00FD5F60" w:rsidRDefault="00476CDC" w:rsidP="00476CDC">
      <w:pPr>
        <w:pStyle w:val="Bibliography"/>
        <w:spacing w:after="120"/>
        <w:ind w:left="142" w:hanging="142"/>
        <w:jc w:val="both"/>
        <w:rPr>
          <w:sz w:val="24"/>
          <w:szCs w:val="24"/>
        </w:rPr>
      </w:pPr>
      <w:r w:rsidRPr="00FD5F60">
        <w:rPr>
          <w:sz w:val="24"/>
          <w:szCs w:val="24"/>
        </w:rPr>
        <w:t>Kindström, D.</w:t>
      </w:r>
      <w:r w:rsidR="000828DF">
        <w:rPr>
          <w:sz w:val="24"/>
          <w:szCs w:val="24"/>
        </w:rPr>
        <w:t xml:space="preserve">, </w:t>
      </w:r>
      <w:r w:rsidRPr="00FD5F60">
        <w:rPr>
          <w:sz w:val="24"/>
          <w:szCs w:val="24"/>
        </w:rPr>
        <w:t>Kowalkowski, C.</w:t>
      </w:r>
      <w:r w:rsidR="000828DF">
        <w:rPr>
          <w:sz w:val="24"/>
          <w:szCs w:val="24"/>
        </w:rPr>
        <w:t>,</w:t>
      </w:r>
      <w:r w:rsidRPr="00FD5F60">
        <w:rPr>
          <w:sz w:val="24"/>
          <w:szCs w:val="24"/>
        </w:rPr>
        <w:t xml:space="preserve"> 2009. Development of industrial service offerings: A process framework. </w:t>
      </w:r>
      <w:r w:rsidRPr="00FD5F60">
        <w:rPr>
          <w:iCs/>
          <w:sz w:val="24"/>
          <w:szCs w:val="24"/>
        </w:rPr>
        <w:t xml:space="preserve">Journal of Service Management, </w:t>
      </w:r>
      <w:r w:rsidRPr="00FD5F60">
        <w:rPr>
          <w:bCs/>
          <w:sz w:val="24"/>
          <w:szCs w:val="24"/>
        </w:rPr>
        <w:t>20(2):</w:t>
      </w:r>
      <w:r w:rsidRPr="00FD5F60">
        <w:rPr>
          <w:sz w:val="24"/>
          <w:szCs w:val="24"/>
        </w:rPr>
        <w:t xml:space="preserve"> 156-172. </w:t>
      </w:r>
    </w:p>
    <w:p w14:paraId="6067EFA8" w14:textId="77777777" w:rsidR="00645913" w:rsidRDefault="00476CDC" w:rsidP="00476CDC">
      <w:pPr>
        <w:pStyle w:val="Bibliography"/>
        <w:spacing w:after="120" w:line="240" w:lineRule="auto"/>
        <w:ind w:left="142" w:hanging="142"/>
        <w:jc w:val="both"/>
        <w:rPr>
          <w:rFonts w:ascii="Tahoma" w:hAnsi="Tahoma" w:cs="Tahoma"/>
          <w:color w:val="000000"/>
        </w:rPr>
      </w:pPr>
      <w:r w:rsidRPr="00FD5F60">
        <w:rPr>
          <w:sz w:val="24"/>
          <w:szCs w:val="24"/>
        </w:rPr>
        <w:t>Kindström, D.,</w:t>
      </w:r>
      <w:r w:rsidR="000828DF">
        <w:rPr>
          <w:sz w:val="24"/>
          <w:szCs w:val="24"/>
        </w:rPr>
        <w:t xml:space="preserve"> </w:t>
      </w:r>
      <w:r w:rsidRPr="00FD5F60">
        <w:rPr>
          <w:sz w:val="24"/>
          <w:szCs w:val="24"/>
        </w:rPr>
        <w:t>Kowalkowski, C.</w:t>
      </w:r>
      <w:r w:rsidR="000828DF">
        <w:rPr>
          <w:sz w:val="24"/>
          <w:szCs w:val="24"/>
        </w:rPr>
        <w:t>,</w:t>
      </w:r>
      <w:r w:rsidRPr="00FD5F60">
        <w:rPr>
          <w:sz w:val="24"/>
          <w:szCs w:val="24"/>
        </w:rPr>
        <w:t xml:space="preserve"> 2014. Service innovation in product-centric firms: A multidimensional business model perspective</w:t>
      </w:r>
      <w:r>
        <w:rPr>
          <w:sz w:val="24"/>
          <w:szCs w:val="24"/>
        </w:rPr>
        <w:t>.</w:t>
      </w:r>
      <w:r w:rsidRPr="00FD5F60">
        <w:rPr>
          <w:sz w:val="24"/>
          <w:szCs w:val="24"/>
        </w:rPr>
        <w:t xml:space="preserve"> </w:t>
      </w:r>
      <w:r w:rsidRPr="00FD5F60">
        <w:rPr>
          <w:iCs/>
          <w:sz w:val="24"/>
          <w:szCs w:val="24"/>
        </w:rPr>
        <w:t>Journal of Business and Industrial Marketing</w:t>
      </w:r>
      <w:r w:rsidRPr="00FD5F60">
        <w:rPr>
          <w:sz w:val="24"/>
          <w:szCs w:val="24"/>
        </w:rPr>
        <w:t xml:space="preserve"> </w:t>
      </w:r>
      <w:r w:rsidRPr="00FD5F60">
        <w:rPr>
          <w:iCs/>
          <w:sz w:val="24"/>
          <w:szCs w:val="24"/>
        </w:rPr>
        <w:t>29</w:t>
      </w:r>
      <w:r w:rsidRPr="00FD5F60">
        <w:rPr>
          <w:sz w:val="24"/>
          <w:szCs w:val="24"/>
        </w:rPr>
        <w:t>(2): 96–111.</w:t>
      </w:r>
      <w:r w:rsidR="00645913" w:rsidRPr="00645913">
        <w:rPr>
          <w:rFonts w:ascii="Tahoma" w:hAnsi="Tahoma" w:cs="Tahoma"/>
          <w:color w:val="000000"/>
        </w:rPr>
        <w:t xml:space="preserve"> </w:t>
      </w:r>
    </w:p>
    <w:p w14:paraId="339895E1" w14:textId="0E61FCDD" w:rsidR="00476CDC" w:rsidRPr="00645913" w:rsidRDefault="00645913" w:rsidP="00476CDC">
      <w:pPr>
        <w:pStyle w:val="Bibliography"/>
        <w:spacing w:after="120" w:line="240" w:lineRule="auto"/>
        <w:ind w:left="142" w:hanging="142"/>
        <w:jc w:val="both"/>
        <w:rPr>
          <w:rFonts w:cstheme="minorHAnsi"/>
          <w:sz w:val="24"/>
          <w:szCs w:val="24"/>
        </w:rPr>
      </w:pPr>
      <w:r w:rsidRPr="00D6066B">
        <w:rPr>
          <w:rFonts w:cstheme="minorHAnsi"/>
          <w:color w:val="000000"/>
          <w:sz w:val="24"/>
          <w:szCs w:val="24"/>
        </w:rPr>
        <w:t xml:space="preserve">Kindström, D., Kowalkowski, C., Sandberg, E., 2013. </w:t>
      </w:r>
      <w:r w:rsidRPr="00645913">
        <w:rPr>
          <w:rFonts w:cstheme="minorHAnsi"/>
          <w:color w:val="000000"/>
          <w:sz w:val="24"/>
          <w:szCs w:val="24"/>
        </w:rPr>
        <w:t>Enabling service innovation: A dynamic capabilities approach. Journal of Business Research, 66(8): 1063–1073. </w:t>
      </w:r>
    </w:p>
    <w:p w14:paraId="7FBAA204" w14:textId="4E0E01E3" w:rsidR="00476CDC" w:rsidRPr="00FD5F60" w:rsidRDefault="00476CDC" w:rsidP="00476CDC">
      <w:pPr>
        <w:pStyle w:val="Bibliography"/>
        <w:spacing w:after="120" w:line="240" w:lineRule="auto"/>
        <w:ind w:left="142" w:hanging="142"/>
        <w:jc w:val="both"/>
        <w:rPr>
          <w:sz w:val="24"/>
          <w:szCs w:val="24"/>
          <w:lang w:val="de-DE"/>
        </w:rPr>
      </w:pPr>
      <w:r w:rsidRPr="00FD5F60">
        <w:rPr>
          <w:sz w:val="24"/>
          <w:szCs w:val="24"/>
          <w:lang w:val="de-DE"/>
        </w:rPr>
        <w:t>King, N., 2004. Using templates in the thematic analysis of texts. In Cassell, C., Symon, G. (E</w:t>
      </w:r>
      <w:r>
        <w:rPr>
          <w:sz w:val="24"/>
          <w:szCs w:val="24"/>
          <w:lang w:val="de-DE"/>
        </w:rPr>
        <w:t>ds).</w:t>
      </w:r>
      <w:r w:rsidRPr="00FD5F60">
        <w:rPr>
          <w:sz w:val="24"/>
          <w:szCs w:val="24"/>
          <w:lang w:val="de-DE"/>
        </w:rPr>
        <w:t xml:space="preserve"> Essential guide to qualitative methods in organisational research</w:t>
      </w:r>
      <w:r>
        <w:rPr>
          <w:sz w:val="24"/>
          <w:szCs w:val="24"/>
          <w:lang w:val="de-DE"/>
        </w:rPr>
        <w:t>. California:</w:t>
      </w:r>
      <w:r w:rsidRPr="00FD5F60">
        <w:rPr>
          <w:sz w:val="24"/>
          <w:szCs w:val="24"/>
        </w:rPr>
        <w:t xml:space="preserve"> </w:t>
      </w:r>
      <w:r>
        <w:rPr>
          <w:sz w:val="24"/>
          <w:szCs w:val="24"/>
        </w:rPr>
        <w:t>Sage, Thousand Oaks,</w:t>
      </w:r>
      <w:r w:rsidRPr="00FD5F60">
        <w:rPr>
          <w:sz w:val="24"/>
          <w:szCs w:val="24"/>
          <w:lang w:val="de-DE"/>
        </w:rPr>
        <w:t xml:space="preserve"> 256-270.</w:t>
      </w:r>
    </w:p>
    <w:p w14:paraId="35E66605" w14:textId="0A6B4C05" w:rsidR="00476CDC" w:rsidRPr="00FD5F60" w:rsidRDefault="00476CDC" w:rsidP="00476CDC">
      <w:pPr>
        <w:pStyle w:val="Bibliography"/>
        <w:spacing w:after="120" w:line="240" w:lineRule="auto"/>
        <w:ind w:left="142" w:hanging="142"/>
        <w:jc w:val="both"/>
        <w:rPr>
          <w:sz w:val="24"/>
          <w:szCs w:val="24"/>
          <w:lang w:val="de-DE"/>
        </w:rPr>
      </w:pPr>
      <w:r w:rsidRPr="00FD5F60">
        <w:rPr>
          <w:sz w:val="24"/>
          <w:szCs w:val="24"/>
          <w:lang w:val="de-DE"/>
        </w:rPr>
        <w:t>Kowalkowski, C., Kindström, D., Alejandro, T., Brege, S.</w:t>
      </w:r>
      <w:r w:rsidR="000828DF">
        <w:rPr>
          <w:sz w:val="24"/>
          <w:szCs w:val="24"/>
          <w:lang w:val="de-DE"/>
        </w:rPr>
        <w:t>,</w:t>
      </w:r>
      <w:r w:rsidRPr="00FD5F60">
        <w:rPr>
          <w:sz w:val="24"/>
          <w:szCs w:val="24"/>
          <w:lang w:val="de-DE"/>
        </w:rPr>
        <w:t xml:space="preserve"> Biggemann, S.</w:t>
      </w:r>
      <w:r w:rsidR="000828DF">
        <w:rPr>
          <w:sz w:val="24"/>
          <w:szCs w:val="24"/>
          <w:lang w:val="de-DE"/>
        </w:rPr>
        <w:t>,</w:t>
      </w:r>
      <w:r w:rsidRPr="00FD5F60">
        <w:rPr>
          <w:sz w:val="24"/>
          <w:szCs w:val="24"/>
          <w:lang w:val="de-DE"/>
        </w:rPr>
        <w:t xml:space="preserve"> 2012. Service infusion as agile incrementalism in action</w:t>
      </w:r>
      <w:r>
        <w:rPr>
          <w:sz w:val="24"/>
          <w:szCs w:val="24"/>
          <w:lang w:val="de-DE"/>
        </w:rPr>
        <w:t>.</w:t>
      </w:r>
      <w:r w:rsidRPr="00FD5F60">
        <w:rPr>
          <w:sz w:val="24"/>
          <w:szCs w:val="24"/>
          <w:lang w:val="de-DE"/>
        </w:rPr>
        <w:t xml:space="preserve"> Journal of Business Research, 65(6): 765-772.</w:t>
      </w:r>
    </w:p>
    <w:p w14:paraId="62E49D50" w14:textId="514FFFA2" w:rsidR="00476CDC" w:rsidRPr="00FD5F60" w:rsidRDefault="00476CDC" w:rsidP="00476CDC">
      <w:pPr>
        <w:pStyle w:val="Bibliography"/>
        <w:spacing w:after="120" w:line="240" w:lineRule="auto"/>
        <w:ind w:left="142" w:hanging="142"/>
        <w:jc w:val="both"/>
        <w:rPr>
          <w:sz w:val="24"/>
          <w:szCs w:val="24"/>
        </w:rPr>
      </w:pPr>
      <w:r w:rsidRPr="00FD5F60">
        <w:rPr>
          <w:sz w:val="24"/>
          <w:szCs w:val="24"/>
          <w:lang w:val="de-DE"/>
        </w:rPr>
        <w:t>Kowalkowski, C., Windahl, C., Kindström D., Gebauer, H.</w:t>
      </w:r>
      <w:r w:rsidR="000828DF">
        <w:rPr>
          <w:sz w:val="24"/>
          <w:szCs w:val="24"/>
          <w:lang w:val="de-DE"/>
        </w:rPr>
        <w:t>,</w:t>
      </w:r>
      <w:r w:rsidRPr="00FD5F60">
        <w:rPr>
          <w:sz w:val="24"/>
          <w:szCs w:val="24"/>
          <w:lang w:val="de-DE"/>
        </w:rPr>
        <w:t xml:space="preserve"> 2015. </w:t>
      </w:r>
      <w:r w:rsidRPr="00FD5F60">
        <w:rPr>
          <w:sz w:val="24"/>
          <w:szCs w:val="24"/>
        </w:rPr>
        <w:t>What service transition? Rethinking established assumptions about manufacturers’ service led growth strategies</w:t>
      </w:r>
      <w:r>
        <w:rPr>
          <w:sz w:val="24"/>
          <w:szCs w:val="24"/>
        </w:rPr>
        <w:t>.</w:t>
      </w:r>
      <w:r w:rsidRPr="00FD5F60">
        <w:rPr>
          <w:sz w:val="24"/>
          <w:szCs w:val="24"/>
        </w:rPr>
        <w:t xml:space="preserve"> </w:t>
      </w:r>
      <w:r w:rsidRPr="00FD5F60">
        <w:rPr>
          <w:iCs/>
          <w:sz w:val="24"/>
          <w:szCs w:val="24"/>
        </w:rPr>
        <w:t>Industrial Marketing Management,</w:t>
      </w:r>
      <w:r w:rsidRPr="00FD5F60">
        <w:rPr>
          <w:sz w:val="24"/>
          <w:szCs w:val="24"/>
        </w:rPr>
        <w:t xml:space="preserve"> </w:t>
      </w:r>
      <w:r w:rsidRPr="00FD5F60">
        <w:rPr>
          <w:iCs/>
          <w:sz w:val="24"/>
          <w:szCs w:val="24"/>
        </w:rPr>
        <w:t>44</w:t>
      </w:r>
      <w:r w:rsidRPr="00FD5F60">
        <w:rPr>
          <w:sz w:val="24"/>
          <w:szCs w:val="24"/>
        </w:rPr>
        <w:t>(2): 59–69.</w:t>
      </w:r>
    </w:p>
    <w:p w14:paraId="7773FB8C" w14:textId="050EBCF3" w:rsidR="00476CDC" w:rsidRPr="00FD5F60" w:rsidRDefault="00476CDC" w:rsidP="00476CDC">
      <w:pPr>
        <w:pStyle w:val="Bibliography"/>
        <w:spacing w:after="120" w:line="240" w:lineRule="auto"/>
        <w:ind w:left="142" w:hanging="142"/>
        <w:jc w:val="both"/>
        <w:rPr>
          <w:sz w:val="24"/>
          <w:szCs w:val="24"/>
        </w:rPr>
      </w:pPr>
      <w:r w:rsidRPr="00FD5F60">
        <w:rPr>
          <w:sz w:val="24"/>
          <w:szCs w:val="24"/>
          <w:lang w:val="de-DE"/>
        </w:rPr>
        <w:t>Lightfoot, H. W., Gebauer, H.</w:t>
      </w:r>
      <w:r w:rsidR="000828DF">
        <w:rPr>
          <w:sz w:val="24"/>
          <w:szCs w:val="24"/>
          <w:lang w:val="de-DE"/>
        </w:rPr>
        <w:t>,</w:t>
      </w:r>
      <w:r w:rsidRPr="00FD5F60">
        <w:rPr>
          <w:sz w:val="24"/>
          <w:szCs w:val="24"/>
          <w:lang w:val="de-DE"/>
        </w:rPr>
        <w:t xml:space="preserve"> 2011. </w:t>
      </w:r>
      <w:r w:rsidRPr="00FD5F60">
        <w:rPr>
          <w:sz w:val="24"/>
          <w:szCs w:val="24"/>
        </w:rPr>
        <w:t>Exploring the alignment between service strategy and service innovation</w:t>
      </w:r>
      <w:r>
        <w:rPr>
          <w:sz w:val="24"/>
          <w:szCs w:val="24"/>
        </w:rPr>
        <w:t>.</w:t>
      </w:r>
      <w:r w:rsidRPr="00FD5F60">
        <w:rPr>
          <w:sz w:val="24"/>
          <w:szCs w:val="24"/>
        </w:rPr>
        <w:t xml:space="preserve"> </w:t>
      </w:r>
      <w:r w:rsidRPr="00FD5F60">
        <w:rPr>
          <w:iCs/>
          <w:sz w:val="24"/>
          <w:szCs w:val="24"/>
        </w:rPr>
        <w:t>Journal of Service Management</w:t>
      </w:r>
      <w:r>
        <w:rPr>
          <w:iCs/>
          <w:sz w:val="24"/>
          <w:szCs w:val="24"/>
        </w:rPr>
        <w:t>,</w:t>
      </w:r>
      <w:r w:rsidRPr="00FD5F60">
        <w:rPr>
          <w:sz w:val="24"/>
          <w:szCs w:val="24"/>
        </w:rPr>
        <w:t xml:space="preserve"> </w:t>
      </w:r>
      <w:r w:rsidRPr="00FD5F60">
        <w:rPr>
          <w:iCs/>
          <w:sz w:val="24"/>
          <w:szCs w:val="24"/>
        </w:rPr>
        <w:t>22</w:t>
      </w:r>
      <w:r w:rsidRPr="00FD5F60">
        <w:rPr>
          <w:sz w:val="24"/>
          <w:szCs w:val="24"/>
        </w:rPr>
        <w:t>(5): 664–683.</w:t>
      </w:r>
    </w:p>
    <w:p w14:paraId="378622DF" w14:textId="21737A9D" w:rsidR="00476CDC" w:rsidRPr="007E4059" w:rsidRDefault="00476CDC" w:rsidP="00476CDC">
      <w:pPr>
        <w:spacing w:after="120" w:line="240" w:lineRule="auto"/>
        <w:ind w:left="142" w:hanging="142"/>
        <w:jc w:val="both"/>
        <w:rPr>
          <w:rFonts w:eastAsia="Times New Roman"/>
          <w:sz w:val="24"/>
          <w:szCs w:val="24"/>
          <w:lang w:eastAsia="en-GB"/>
        </w:rPr>
      </w:pPr>
      <w:r w:rsidRPr="007E4059">
        <w:rPr>
          <w:rFonts w:eastAsia="Times New Roman"/>
          <w:sz w:val="24"/>
          <w:szCs w:val="24"/>
          <w:lang w:eastAsia="en-GB"/>
        </w:rPr>
        <w:t>Löfberg, N., Witell, L.</w:t>
      </w:r>
      <w:r w:rsidR="000828DF">
        <w:rPr>
          <w:rFonts w:eastAsia="Times New Roman"/>
          <w:sz w:val="24"/>
          <w:szCs w:val="24"/>
          <w:lang w:eastAsia="en-GB"/>
        </w:rPr>
        <w:t>,</w:t>
      </w:r>
      <w:r w:rsidRPr="007E4059">
        <w:rPr>
          <w:rFonts w:eastAsia="Times New Roman"/>
          <w:sz w:val="24"/>
          <w:szCs w:val="24"/>
          <w:lang w:eastAsia="en-GB"/>
        </w:rPr>
        <w:t xml:space="preserve"> Gustafsson, A.</w:t>
      </w:r>
      <w:r w:rsidR="000828DF">
        <w:rPr>
          <w:rFonts w:eastAsia="Times New Roman"/>
          <w:sz w:val="24"/>
          <w:szCs w:val="24"/>
          <w:lang w:eastAsia="en-GB"/>
        </w:rPr>
        <w:t>,</w:t>
      </w:r>
      <w:r w:rsidRPr="007E4059">
        <w:rPr>
          <w:rFonts w:eastAsia="Times New Roman"/>
          <w:sz w:val="24"/>
          <w:szCs w:val="24"/>
          <w:lang w:eastAsia="en-GB"/>
        </w:rPr>
        <w:t xml:space="preserve"> 2010. Service strategies in a supply chain. Journal of Service Management, 21(4): 427-440.</w:t>
      </w:r>
    </w:p>
    <w:p w14:paraId="2FF485FA" w14:textId="6B220B2A" w:rsidR="00476CDC" w:rsidRPr="007E4059" w:rsidRDefault="00476CDC" w:rsidP="00476CDC">
      <w:pPr>
        <w:spacing w:after="120" w:line="240" w:lineRule="auto"/>
        <w:ind w:left="142" w:hanging="142"/>
        <w:jc w:val="both"/>
        <w:rPr>
          <w:rFonts w:eastAsia="Times New Roman"/>
          <w:sz w:val="24"/>
          <w:szCs w:val="24"/>
          <w:lang w:eastAsia="en-GB"/>
        </w:rPr>
      </w:pPr>
      <w:r w:rsidRPr="007E4059">
        <w:rPr>
          <w:rFonts w:eastAsia="Times New Roman"/>
          <w:sz w:val="24"/>
          <w:szCs w:val="24"/>
          <w:lang w:eastAsia="en-GB"/>
        </w:rPr>
        <w:t>Mathieu, V.</w:t>
      </w:r>
      <w:r w:rsidR="000828DF">
        <w:rPr>
          <w:rFonts w:eastAsia="Times New Roman"/>
          <w:sz w:val="24"/>
          <w:szCs w:val="24"/>
          <w:lang w:eastAsia="en-GB"/>
        </w:rPr>
        <w:t>,</w:t>
      </w:r>
      <w:r w:rsidRPr="007E4059">
        <w:rPr>
          <w:rFonts w:eastAsia="Times New Roman"/>
          <w:sz w:val="24"/>
          <w:szCs w:val="24"/>
          <w:lang w:eastAsia="en-GB"/>
        </w:rPr>
        <w:t xml:space="preserve"> 2001a</w:t>
      </w:r>
      <w:r w:rsidRPr="00312F75">
        <w:rPr>
          <w:rFonts w:eastAsia="Times New Roman"/>
          <w:sz w:val="24"/>
          <w:szCs w:val="24"/>
          <w:lang w:eastAsia="en-GB"/>
        </w:rPr>
        <w:t xml:space="preserve">. Product Services: From a Service Supporting the Product to a Service Supporting the Client. </w:t>
      </w:r>
      <w:r w:rsidRPr="007E4059">
        <w:rPr>
          <w:rFonts w:eastAsia="Times New Roman"/>
          <w:iCs/>
          <w:sz w:val="24"/>
          <w:szCs w:val="24"/>
          <w:lang w:eastAsia="en-GB"/>
        </w:rPr>
        <w:t>Journal of Business and Industrial Marketing,</w:t>
      </w:r>
      <w:r w:rsidRPr="007E4059">
        <w:rPr>
          <w:rFonts w:eastAsia="Times New Roman"/>
          <w:i/>
          <w:iCs/>
          <w:sz w:val="24"/>
          <w:szCs w:val="24"/>
          <w:lang w:eastAsia="en-GB"/>
        </w:rPr>
        <w:t xml:space="preserve"> </w:t>
      </w:r>
      <w:r w:rsidRPr="007E4059">
        <w:rPr>
          <w:rFonts w:eastAsia="Times New Roman"/>
          <w:bCs/>
          <w:sz w:val="24"/>
          <w:szCs w:val="24"/>
          <w:lang w:eastAsia="en-GB"/>
        </w:rPr>
        <w:t>16(1):</w:t>
      </w:r>
      <w:r w:rsidRPr="007E4059">
        <w:rPr>
          <w:rFonts w:eastAsia="Times New Roman"/>
          <w:sz w:val="24"/>
          <w:szCs w:val="24"/>
          <w:lang w:eastAsia="en-GB"/>
        </w:rPr>
        <w:t xml:space="preserve"> 39-61. </w:t>
      </w:r>
    </w:p>
    <w:p w14:paraId="52C48DCD" w14:textId="141327C5" w:rsidR="00476CDC" w:rsidRPr="00FD5F60" w:rsidRDefault="00476CDC" w:rsidP="00476CDC">
      <w:pPr>
        <w:spacing w:after="120" w:line="240" w:lineRule="auto"/>
        <w:ind w:left="142" w:hanging="142"/>
        <w:jc w:val="both"/>
        <w:rPr>
          <w:rFonts w:eastAsia="Times New Roman"/>
          <w:sz w:val="24"/>
          <w:szCs w:val="24"/>
          <w:lang w:eastAsia="en-GB"/>
        </w:rPr>
      </w:pPr>
      <w:r w:rsidRPr="00FD5F60">
        <w:rPr>
          <w:rFonts w:eastAsia="Times New Roman"/>
          <w:sz w:val="24"/>
          <w:szCs w:val="24"/>
          <w:lang w:eastAsia="en-GB"/>
        </w:rPr>
        <w:t>Mathieu, V.</w:t>
      </w:r>
      <w:r w:rsidR="000828DF">
        <w:rPr>
          <w:rFonts w:eastAsia="Times New Roman"/>
          <w:sz w:val="24"/>
          <w:szCs w:val="24"/>
          <w:lang w:eastAsia="en-GB"/>
        </w:rPr>
        <w:t>,</w:t>
      </w:r>
      <w:r w:rsidRPr="00FD5F60">
        <w:rPr>
          <w:rFonts w:eastAsia="Times New Roman"/>
          <w:sz w:val="24"/>
          <w:szCs w:val="24"/>
          <w:lang w:eastAsia="en-GB"/>
        </w:rPr>
        <w:t xml:space="preserve"> 2001</w:t>
      </w:r>
      <w:r>
        <w:rPr>
          <w:rFonts w:eastAsia="Times New Roman"/>
          <w:sz w:val="24"/>
          <w:szCs w:val="24"/>
          <w:lang w:eastAsia="en-GB"/>
        </w:rPr>
        <w:t>b</w:t>
      </w:r>
      <w:r w:rsidRPr="00FD5F60">
        <w:rPr>
          <w:rFonts w:eastAsia="Times New Roman"/>
          <w:sz w:val="24"/>
          <w:szCs w:val="24"/>
          <w:lang w:eastAsia="en-GB"/>
        </w:rPr>
        <w:t>. Service strategies within the manufacturing sector: benefits, costs and partnership</w:t>
      </w:r>
      <w:r>
        <w:rPr>
          <w:rFonts w:eastAsia="Times New Roman"/>
          <w:sz w:val="24"/>
          <w:szCs w:val="24"/>
          <w:lang w:eastAsia="en-GB"/>
        </w:rPr>
        <w:t>.</w:t>
      </w:r>
      <w:r w:rsidRPr="00FD5F60">
        <w:rPr>
          <w:rFonts w:eastAsia="Times New Roman"/>
          <w:sz w:val="24"/>
          <w:szCs w:val="24"/>
          <w:lang w:eastAsia="en-GB"/>
        </w:rPr>
        <w:t xml:space="preserve"> International Journal of Service Industry Management, 12(5), 451-475.</w:t>
      </w:r>
    </w:p>
    <w:p w14:paraId="5980E456" w14:textId="6633A5AF" w:rsidR="00476CDC" w:rsidRPr="00FD5F60" w:rsidRDefault="00476CDC" w:rsidP="00476CDC">
      <w:pPr>
        <w:spacing w:after="120" w:line="240" w:lineRule="auto"/>
        <w:ind w:left="142" w:hanging="142"/>
        <w:jc w:val="both"/>
        <w:rPr>
          <w:rFonts w:eastAsia="Times New Roman"/>
          <w:sz w:val="24"/>
          <w:szCs w:val="24"/>
          <w:lang w:eastAsia="en-GB"/>
        </w:rPr>
      </w:pPr>
      <w:r w:rsidRPr="00FD5F60">
        <w:rPr>
          <w:rFonts w:eastAsia="Times New Roman"/>
          <w:sz w:val="24"/>
          <w:szCs w:val="24"/>
          <w:lang w:eastAsia="en-GB"/>
        </w:rPr>
        <w:t>Matthyssens, P.</w:t>
      </w:r>
      <w:r w:rsidR="000828DF">
        <w:rPr>
          <w:rFonts w:eastAsia="Times New Roman"/>
          <w:sz w:val="24"/>
          <w:szCs w:val="24"/>
          <w:lang w:eastAsia="en-GB"/>
        </w:rPr>
        <w:t>,</w:t>
      </w:r>
      <w:r w:rsidRPr="00FD5F60">
        <w:rPr>
          <w:rFonts w:eastAsia="Times New Roman"/>
          <w:sz w:val="24"/>
          <w:szCs w:val="24"/>
          <w:lang w:eastAsia="en-GB"/>
        </w:rPr>
        <w:t xml:space="preserve"> Vandenbempt, K.</w:t>
      </w:r>
      <w:r w:rsidR="000828DF">
        <w:rPr>
          <w:rFonts w:eastAsia="Times New Roman"/>
          <w:sz w:val="24"/>
          <w:szCs w:val="24"/>
          <w:lang w:eastAsia="en-GB"/>
        </w:rPr>
        <w:t>,</w:t>
      </w:r>
      <w:r w:rsidRPr="00FD5F60">
        <w:rPr>
          <w:rFonts w:eastAsia="Times New Roman"/>
          <w:sz w:val="24"/>
          <w:szCs w:val="24"/>
          <w:lang w:eastAsia="en-GB"/>
        </w:rPr>
        <w:t xml:space="preserve"> 2008. Moving from basic offerings to value-added solutions: strategies, barriers and alignment</w:t>
      </w:r>
      <w:r>
        <w:rPr>
          <w:rFonts w:eastAsia="Times New Roman"/>
          <w:sz w:val="24"/>
          <w:szCs w:val="24"/>
          <w:lang w:eastAsia="en-GB"/>
        </w:rPr>
        <w:t>.</w:t>
      </w:r>
      <w:r w:rsidRPr="00FD5F60">
        <w:rPr>
          <w:rFonts w:eastAsia="Times New Roman"/>
          <w:sz w:val="24"/>
          <w:szCs w:val="24"/>
          <w:lang w:eastAsia="en-GB"/>
        </w:rPr>
        <w:t xml:space="preserve"> Industrial Marketing Management, 37(3): 316-328.</w:t>
      </w:r>
    </w:p>
    <w:p w14:paraId="40C4A28A" w14:textId="666823CE" w:rsidR="00476CDC" w:rsidRPr="00FD5F60" w:rsidRDefault="00476CDC" w:rsidP="00476CDC">
      <w:pPr>
        <w:pStyle w:val="Bibliography"/>
        <w:spacing w:after="120" w:line="240" w:lineRule="auto"/>
        <w:ind w:left="142" w:hanging="142"/>
        <w:jc w:val="both"/>
        <w:rPr>
          <w:sz w:val="24"/>
          <w:szCs w:val="24"/>
        </w:rPr>
      </w:pPr>
      <w:r w:rsidRPr="00FD5F60">
        <w:rPr>
          <w:sz w:val="24"/>
          <w:szCs w:val="24"/>
        </w:rPr>
        <w:t>Miles, M.B., Huberman, A.M.</w:t>
      </w:r>
      <w:r w:rsidR="000828DF">
        <w:rPr>
          <w:sz w:val="24"/>
          <w:szCs w:val="24"/>
        </w:rPr>
        <w:t>,</w:t>
      </w:r>
      <w:r w:rsidRPr="00FD5F60">
        <w:rPr>
          <w:sz w:val="24"/>
          <w:szCs w:val="24"/>
        </w:rPr>
        <w:t xml:space="preserve"> 1994. Qualitative Data Analysis (2nd Ed.). </w:t>
      </w:r>
      <w:r>
        <w:rPr>
          <w:sz w:val="24"/>
          <w:szCs w:val="24"/>
        </w:rPr>
        <w:t xml:space="preserve">California: </w:t>
      </w:r>
      <w:r w:rsidRPr="00FD5F60">
        <w:rPr>
          <w:sz w:val="24"/>
          <w:szCs w:val="24"/>
        </w:rPr>
        <w:t xml:space="preserve">Sage, </w:t>
      </w:r>
      <w:r>
        <w:rPr>
          <w:sz w:val="24"/>
          <w:szCs w:val="24"/>
        </w:rPr>
        <w:t>Newbury Park,</w:t>
      </w:r>
      <w:r w:rsidRPr="00FD5F60">
        <w:rPr>
          <w:sz w:val="24"/>
          <w:szCs w:val="24"/>
        </w:rPr>
        <w:t xml:space="preserve"> 10–12. </w:t>
      </w:r>
    </w:p>
    <w:p w14:paraId="529C662B" w14:textId="443291FE" w:rsidR="00476CDC" w:rsidRDefault="00476CDC" w:rsidP="00476CDC">
      <w:pPr>
        <w:pStyle w:val="Bibliography"/>
        <w:spacing w:after="120" w:line="240" w:lineRule="auto"/>
        <w:ind w:left="142" w:hanging="142"/>
        <w:jc w:val="both"/>
        <w:rPr>
          <w:sz w:val="24"/>
          <w:szCs w:val="24"/>
        </w:rPr>
      </w:pPr>
      <w:r w:rsidRPr="00FD5F60">
        <w:rPr>
          <w:sz w:val="24"/>
          <w:szCs w:val="24"/>
        </w:rPr>
        <w:t>Möller, K.</w:t>
      </w:r>
      <w:r w:rsidR="000828DF">
        <w:rPr>
          <w:sz w:val="24"/>
          <w:szCs w:val="24"/>
        </w:rPr>
        <w:t>,</w:t>
      </w:r>
      <w:r w:rsidRPr="00FD5F60">
        <w:rPr>
          <w:sz w:val="24"/>
          <w:szCs w:val="24"/>
        </w:rPr>
        <w:t xml:space="preserve"> Rajala, A.</w:t>
      </w:r>
      <w:r w:rsidR="000828DF">
        <w:rPr>
          <w:sz w:val="24"/>
          <w:szCs w:val="24"/>
        </w:rPr>
        <w:t>,</w:t>
      </w:r>
      <w:r w:rsidRPr="00FD5F60">
        <w:rPr>
          <w:sz w:val="24"/>
          <w:szCs w:val="24"/>
        </w:rPr>
        <w:t xml:space="preserve"> 2007. Rise of strategic nets - New modes of value creation</w:t>
      </w:r>
      <w:r>
        <w:rPr>
          <w:sz w:val="24"/>
          <w:szCs w:val="24"/>
        </w:rPr>
        <w:t>.</w:t>
      </w:r>
      <w:r w:rsidRPr="00FD5F60">
        <w:rPr>
          <w:sz w:val="24"/>
          <w:szCs w:val="24"/>
        </w:rPr>
        <w:t xml:space="preserve"> Industrial Marketing Management, 36: 895-908.</w:t>
      </w:r>
    </w:p>
    <w:p w14:paraId="550857E3" w14:textId="21DD0EE7" w:rsidR="00476CDC" w:rsidRPr="005427A0" w:rsidRDefault="00476CDC" w:rsidP="00476CDC">
      <w:pPr>
        <w:pStyle w:val="Bibliography"/>
        <w:spacing w:after="120" w:line="240" w:lineRule="auto"/>
        <w:ind w:left="142" w:hanging="142"/>
        <w:jc w:val="both"/>
        <w:rPr>
          <w:rFonts w:cstheme="minorHAnsi"/>
          <w:sz w:val="24"/>
          <w:szCs w:val="24"/>
        </w:rPr>
      </w:pPr>
      <w:r w:rsidRPr="005057EF">
        <w:rPr>
          <w:sz w:val="24"/>
          <w:szCs w:val="24"/>
        </w:rPr>
        <w:t>Neely, A.</w:t>
      </w:r>
      <w:r w:rsidR="000828DF">
        <w:rPr>
          <w:sz w:val="24"/>
          <w:szCs w:val="24"/>
        </w:rPr>
        <w:t>,</w:t>
      </w:r>
      <w:r w:rsidRPr="005057EF">
        <w:rPr>
          <w:sz w:val="24"/>
          <w:szCs w:val="24"/>
        </w:rPr>
        <w:t xml:space="preserve"> 2008. Exploring the financial consequences of the servitization of </w:t>
      </w:r>
      <w:r w:rsidRPr="005427A0">
        <w:rPr>
          <w:rFonts w:cstheme="minorHAnsi"/>
          <w:sz w:val="24"/>
          <w:szCs w:val="24"/>
        </w:rPr>
        <w:t>manufacturing. Operations Management Research, 1(2)</w:t>
      </w:r>
      <w:r>
        <w:rPr>
          <w:rFonts w:cstheme="minorHAnsi"/>
          <w:sz w:val="24"/>
          <w:szCs w:val="24"/>
        </w:rPr>
        <w:t>:</w:t>
      </w:r>
      <w:r w:rsidRPr="005427A0">
        <w:rPr>
          <w:rFonts w:cstheme="minorHAnsi"/>
          <w:sz w:val="24"/>
          <w:szCs w:val="24"/>
        </w:rPr>
        <w:t xml:space="preserve"> 103–118.</w:t>
      </w:r>
    </w:p>
    <w:p w14:paraId="3C207841" w14:textId="1AED66A2" w:rsidR="00476CDC" w:rsidRPr="00D1567C" w:rsidRDefault="00476CDC" w:rsidP="00476CDC">
      <w:pPr>
        <w:pStyle w:val="Bibliography"/>
        <w:spacing w:after="120" w:line="240" w:lineRule="auto"/>
        <w:ind w:left="142" w:hanging="142"/>
        <w:jc w:val="both"/>
      </w:pPr>
      <w:r w:rsidRPr="00D1567C">
        <w:rPr>
          <w:sz w:val="24"/>
          <w:szCs w:val="24"/>
        </w:rPr>
        <w:t>Neu, W.A., Brown, S.W.</w:t>
      </w:r>
      <w:r w:rsidR="000828DF">
        <w:rPr>
          <w:sz w:val="24"/>
          <w:szCs w:val="24"/>
        </w:rPr>
        <w:t>,</w:t>
      </w:r>
      <w:r w:rsidRPr="00D1567C">
        <w:rPr>
          <w:sz w:val="24"/>
          <w:szCs w:val="24"/>
        </w:rPr>
        <w:t xml:space="preserve"> 2005. Forming successful business-to-business services in </w:t>
      </w:r>
      <w:r w:rsidRPr="00D1567C">
        <w:rPr>
          <w:rFonts w:cstheme="minorHAnsi"/>
          <w:sz w:val="24"/>
          <w:szCs w:val="24"/>
        </w:rPr>
        <w:t>goods-dominant firms. Journal of Service Research, 8(1)</w:t>
      </w:r>
      <w:r>
        <w:rPr>
          <w:rFonts w:cstheme="minorHAnsi"/>
          <w:sz w:val="24"/>
          <w:szCs w:val="24"/>
        </w:rPr>
        <w:t xml:space="preserve">: </w:t>
      </w:r>
      <w:r w:rsidRPr="00D1567C">
        <w:rPr>
          <w:rFonts w:cstheme="minorHAnsi"/>
          <w:sz w:val="24"/>
          <w:szCs w:val="24"/>
        </w:rPr>
        <w:t>3–17.</w:t>
      </w:r>
    </w:p>
    <w:p w14:paraId="44B238D2" w14:textId="20870ED9" w:rsidR="00476CDC" w:rsidRPr="00FD5F60" w:rsidRDefault="00476CDC" w:rsidP="00476CDC">
      <w:pPr>
        <w:pStyle w:val="Bibliography"/>
        <w:spacing w:after="120" w:line="240" w:lineRule="auto"/>
        <w:ind w:left="142" w:hanging="142"/>
        <w:jc w:val="both"/>
        <w:rPr>
          <w:sz w:val="24"/>
          <w:szCs w:val="24"/>
        </w:rPr>
      </w:pPr>
      <w:r w:rsidRPr="00FD5F60">
        <w:rPr>
          <w:sz w:val="24"/>
          <w:szCs w:val="24"/>
        </w:rPr>
        <w:t>Nijssen, E. J., Hillebrand, B., Vermeulen, P. A., Kemp, R. G.</w:t>
      </w:r>
      <w:r w:rsidR="000828DF">
        <w:rPr>
          <w:sz w:val="24"/>
          <w:szCs w:val="24"/>
        </w:rPr>
        <w:t>,</w:t>
      </w:r>
      <w:r w:rsidRPr="00FD5F60">
        <w:rPr>
          <w:sz w:val="24"/>
          <w:szCs w:val="24"/>
        </w:rPr>
        <w:t xml:space="preserve"> 2006. Exploring product and service innovation similarities and differences</w:t>
      </w:r>
      <w:r>
        <w:rPr>
          <w:sz w:val="24"/>
          <w:szCs w:val="24"/>
        </w:rPr>
        <w:t>.</w:t>
      </w:r>
      <w:r w:rsidRPr="00FD5F60">
        <w:rPr>
          <w:sz w:val="24"/>
          <w:szCs w:val="24"/>
        </w:rPr>
        <w:t xml:space="preserve"> International Journal of Research in Marketing, 23(3): 241-251.</w:t>
      </w:r>
    </w:p>
    <w:p w14:paraId="043A96A7" w14:textId="785164EF" w:rsidR="00476CDC" w:rsidRDefault="00476CDC" w:rsidP="00476CDC">
      <w:pPr>
        <w:pStyle w:val="Bibliography"/>
        <w:spacing w:after="120" w:line="240" w:lineRule="auto"/>
        <w:ind w:left="142" w:hanging="142"/>
        <w:jc w:val="both"/>
        <w:rPr>
          <w:sz w:val="24"/>
          <w:szCs w:val="24"/>
        </w:rPr>
      </w:pPr>
      <w:r w:rsidRPr="00C153F2">
        <w:rPr>
          <w:sz w:val="24"/>
          <w:szCs w:val="24"/>
        </w:rPr>
        <w:t>O</w:t>
      </w:r>
      <w:r>
        <w:rPr>
          <w:sz w:val="24"/>
          <w:szCs w:val="24"/>
        </w:rPr>
        <w:t xml:space="preserve">'Reilly, C.A., </w:t>
      </w:r>
      <w:r w:rsidRPr="00C153F2">
        <w:rPr>
          <w:sz w:val="24"/>
          <w:szCs w:val="24"/>
        </w:rPr>
        <w:t>Tushman</w:t>
      </w:r>
      <w:r>
        <w:rPr>
          <w:sz w:val="24"/>
          <w:szCs w:val="24"/>
        </w:rPr>
        <w:t>, M.L.</w:t>
      </w:r>
      <w:r w:rsidR="000828DF">
        <w:rPr>
          <w:sz w:val="24"/>
          <w:szCs w:val="24"/>
        </w:rPr>
        <w:t>,</w:t>
      </w:r>
      <w:r>
        <w:rPr>
          <w:sz w:val="24"/>
          <w:szCs w:val="24"/>
        </w:rPr>
        <w:t xml:space="preserve"> 2011. </w:t>
      </w:r>
      <w:r w:rsidRPr="00C153F2">
        <w:rPr>
          <w:sz w:val="24"/>
          <w:szCs w:val="24"/>
        </w:rPr>
        <w:t xml:space="preserve">Organizational ambidexterity in action: How </w:t>
      </w:r>
      <w:r>
        <w:rPr>
          <w:sz w:val="24"/>
          <w:szCs w:val="24"/>
        </w:rPr>
        <w:t>managers explore and exploit.</w:t>
      </w:r>
      <w:r w:rsidRPr="00C153F2">
        <w:rPr>
          <w:sz w:val="24"/>
          <w:szCs w:val="24"/>
        </w:rPr>
        <w:t xml:space="preserve"> California Management Review</w:t>
      </w:r>
      <w:r>
        <w:rPr>
          <w:sz w:val="24"/>
          <w:szCs w:val="24"/>
        </w:rPr>
        <w:t>, 53(4</w:t>
      </w:r>
      <w:r w:rsidRPr="00C153F2">
        <w:rPr>
          <w:sz w:val="24"/>
          <w:szCs w:val="24"/>
        </w:rPr>
        <w:t>): 5-22.</w:t>
      </w:r>
    </w:p>
    <w:p w14:paraId="56B22749" w14:textId="659A1750" w:rsidR="00476CDC" w:rsidRPr="00FD5F60" w:rsidRDefault="00476CDC" w:rsidP="00476CDC">
      <w:pPr>
        <w:pStyle w:val="Bibliography"/>
        <w:spacing w:after="120" w:line="240" w:lineRule="auto"/>
        <w:ind w:left="142" w:hanging="142"/>
        <w:jc w:val="both"/>
        <w:rPr>
          <w:sz w:val="24"/>
          <w:szCs w:val="24"/>
        </w:rPr>
      </w:pPr>
      <w:r w:rsidRPr="00FD5F60">
        <w:rPr>
          <w:sz w:val="24"/>
          <w:szCs w:val="24"/>
        </w:rPr>
        <w:t>Öhman, M., Finne, M.</w:t>
      </w:r>
      <w:r w:rsidR="000828DF">
        <w:rPr>
          <w:sz w:val="24"/>
          <w:szCs w:val="24"/>
        </w:rPr>
        <w:t xml:space="preserve">, </w:t>
      </w:r>
      <w:r w:rsidRPr="00FD5F60">
        <w:rPr>
          <w:sz w:val="24"/>
          <w:szCs w:val="24"/>
        </w:rPr>
        <w:t>Holmström, J.</w:t>
      </w:r>
      <w:r w:rsidR="000828DF">
        <w:rPr>
          <w:sz w:val="24"/>
          <w:szCs w:val="24"/>
        </w:rPr>
        <w:t>,</w:t>
      </w:r>
      <w:r w:rsidRPr="00FD5F60">
        <w:rPr>
          <w:sz w:val="24"/>
          <w:szCs w:val="24"/>
        </w:rPr>
        <w:t xml:space="preserve"> 2015. Measuring service outcomes for ada</w:t>
      </w:r>
      <w:r>
        <w:rPr>
          <w:sz w:val="24"/>
          <w:szCs w:val="24"/>
        </w:rPr>
        <w:t>ptive preventive maintenance.</w:t>
      </w:r>
      <w:r w:rsidRPr="00FD5F60">
        <w:rPr>
          <w:sz w:val="24"/>
          <w:szCs w:val="24"/>
        </w:rPr>
        <w:t xml:space="preserve"> International Journal of Production Economics,</w:t>
      </w:r>
      <w:r>
        <w:rPr>
          <w:sz w:val="24"/>
          <w:szCs w:val="24"/>
        </w:rPr>
        <w:t xml:space="preserve"> 170(Part B):457-467</w:t>
      </w:r>
      <w:r w:rsidRPr="00FD5F60">
        <w:rPr>
          <w:sz w:val="24"/>
          <w:szCs w:val="24"/>
        </w:rPr>
        <w:t xml:space="preserve">. </w:t>
      </w:r>
    </w:p>
    <w:p w14:paraId="0B99F237" w14:textId="637D46E1" w:rsidR="00476CDC" w:rsidRPr="00FD5F60" w:rsidRDefault="00476CDC" w:rsidP="00476CDC">
      <w:pPr>
        <w:pStyle w:val="Bibliography"/>
        <w:spacing w:after="120" w:line="240" w:lineRule="auto"/>
        <w:ind w:left="142" w:hanging="142"/>
        <w:jc w:val="both"/>
        <w:rPr>
          <w:sz w:val="24"/>
          <w:szCs w:val="24"/>
        </w:rPr>
      </w:pPr>
      <w:r w:rsidRPr="00FD5F60">
        <w:rPr>
          <w:sz w:val="24"/>
          <w:szCs w:val="24"/>
        </w:rPr>
        <w:t>Oliva, R., Kallenberg, R.</w:t>
      </w:r>
      <w:r w:rsidR="000828DF">
        <w:rPr>
          <w:sz w:val="24"/>
          <w:szCs w:val="24"/>
        </w:rPr>
        <w:t>,</w:t>
      </w:r>
      <w:r w:rsidRPr="00FD5F60">
        <w:rPr>
          <w:sz w:val="24"/>
          <w:szCs w:val="24"/>
        </w:rPr>
        <w:t xml:space="preserve"> 2003. Managing the transition from products to services</w:t>
      </w:r>
      <w:r>
        <w:rPr>
          <w:sz w:val="24"/>
          <w:szCs w:val="24"/>
        </w:rPr>
        <w:t>.</w:t>
      </w:r>
      <w:r w:rsidRPr="00FD5F60">
        <w:rPr>
          <w:sz w:val="24"/>
          <w:szCs w:val="24"/>
        </w:rPr>
        <w:t xml:space="preserve"> </w:t>
      </w:r>
      <w:r w:rsidRPr="00FD5F60">
        <w:rPr>
          <w:iCs/>
          <w:sz w:val="24"/>
          <w:szCs w:val="24"/>
        </w:rPr>
        <w:t>International Journal of Service Industry Management</w:t>
      </w:r>
      <w:r>
        <w:rPr>
          <w:iCs/>
          <w:sz w:val="24"/>
          <w:szCs w:val="24"/>
        </w:rPr>
        <w:t>,</w:t>
      </w:r>
      <w:r w:rsidRPr="00FD5F60">
        <w:rPr>
          <w:sz w:val="24"/>
          <w:szCs w:val="24"/>
        </w:rPr>
        <w:t xml:space="preserve"> </w:t>
      </w:r>
      <w:r w:rsidRPr="00FD5F60">
        <w:rPr>
          <w:iCs/>
          <w:sz w:val="24"/>
          <w:szCs w:val="24"/>
        </w:rPr>
        <w:t>14</w:t>
      </w:r>
      <w:r w:rsidRPr="00FD5F60">
        <w:rPr>
          <w:sz w:val="24"/>
          <w:szCs w:val="24"/>
        </w:rPr>
        <w:t>(2): 160–172.</w:t>
      </w:r>
    </w:p>
    <w:p w14:paraId="2BEDE187" w14:textId="58151861" w:rsidR="00476CDC" w:rsidRPr="00FD5F60" w:rsidRDefault="00476CDC" w:rsidP="00476CDC">
      <w:pPr>
        <w:pStyle w:val="Bibliography"/>
        <w:spacing w:after="120" w:line="240" w:lineRule="auto"/>
        <w:ind w:left="142" w:hanging="142"/>
        <w:jc w:val="both"/>
        <w:rPr>
          <w:sz w:val="24"/>
          <w:szCs w:val="24"/>
        </w:rPr>
      </w:pPr>
      <w:r w:rsidRPr="00FD5F60">
        <w:rPr>
          <w:sz w:val="24"/>
          <w:szCs w:val="24"/>
        </w:rPr>
        <w:t>Ostrom, A. L., Bitner, M. J., Brown, S. W., Burkhard, K. A., Goul, M., Smith-Daniels, V., Demirkan H., Rabinovich, E.</w:t>
      </w:r>
      <w:r w:rsidR="000828DF">
        <w:rPr>
          <w:sz w:val="24"/>
          <w:szCs w:val="24"/>
        </w:rPr>
        <w:t>,</w:t>
      </w:r>
      <w:r w:rsidRPr="00FD5F60">
        <w:rPr>
          <w:sz w:val="24"/>
          <w:szCs w:val="24"/>
        </w:rPr>
        <w:t xml:space="preserve"> 2010. Moving forward and making a difference: Research priorities for the science of service</w:t>
      </w:r>
      <w:r>
        <w:rPr>
          <w:sz w:val="24"/>
          <w:szCs w:val="24"/>
        </w:rPr>
        <w:t>.</w:t>
      </w:r>
      <w:r w:rsidRPr="00FD5F60">
        <w:rPr>
          <w:sz w:val="24"/>
          <w:szCs w:val="24"/>
        </w:rPr>
        <w:t xml:space="preserve"> Journal of Service Research, 13(1): 4-36.</w:t>
      </w:r>
    </w:p>
    <w:p w14:paraId="5FF1BEB3" w14:textId="3C5517A2" w:rsidR="00476CDC" w:rsidRPr="00FD5F60" w:rsidRDefault="00476CDC" w:rsidP="00476CDC">
      <w:pPr>
        <w:pStyle w:val="Bibliography"/>
        <w:spacing w:after="120" w:line="240" w:lineRule="auto"/>
        <w:ind w:left="142" w:hanging="142"/>
        <w:jc w:val="both"/>
        <w:rPr>
          <w:sz w:val="24"/>
          <w:szCs w:val="24"/>
        </w:rPr>
      </w:pPr>
      <w:r w:rsidRPr="00FD5F60">
        <w:rPr>
          <w:sz w:val="24"/>
          <w:szCs w:val="24"/>
        </w:rPr>
        <w:t>Peillon, S., Pellegrin, C.</w:t>
      </w:r>
      <w:r w:rsidR="000828DF">
        <w:rPr>
          <w:sz w:val="24"/>
          <w:szCs w:val="24"/>
        </w:rPr>
        <w:t>,</w:t>
      </w:r>
      <w:r w:rsidRPr="00FD5F60">
        <w:rPr>
          <w:sz w:val="24"/>
          <w:szCs w:val="24"/>
        </w:rPr>
        <w:t xml:space="preserve"> Burlat, P.</w:t>
      </w:r>
      <w:r w:rsidR="000828DF">
        <w:rPr>
          <w:sz w:val="24"/>
          <w:szCs w:val="24"/>
        </w:rPr>
        <w:t>,</w:t>
      </w:r>
      <w:r w:rsidRPr="00FD5F60">
        <w:rPr>
          <w:sz w:val="24"/>
          <w:szCs w:val="24"/>
        </w:rPr>
        <w:t xml:space="preserve"> 2015. Exploring the servitization path: A conceptual framework and a case study from the capital goods industry</w:t>
      </w:r>
      <w:r>
        <w:rPr>
          <w:sz w:val="24"/>
          <w:szCs w:val="24"/>
        </w:rPr>
        <w:t>.</w:t>
      </w:r>
      <w:r w:rsidRPr="00FD5F60">
        <w:rPr>
          <w:sz w:val="24"/>
          <w:szCs w:val="24"/>
        </w:rPr>
        <w:t xml:space="preserve"> Production and Planning Control</w:t>
      </w:r>
      <w:r>
        <w:rPr>
          <w:sz w:val="24"/>
          <w:szCs w:val="24"/>
        </w:rPr>
        <w:t>,</w:t>
      </w:r>
      <w:r w:rsidRPr="00FD5F60">
        <w:rPr>
          <w:sz w:val="24"/>
          <w:szCs w:val="24"/>
        </w:rPr>
        <w:t xml:space="preserve"> 26(14-15): 1264-1277.</w:t>
      </w:r>
      <w:r w:rsidRPr="00FD5F60">
        <w:t xml:space="preserve"> </w:t>
      </w:r>
    </w:p>
    <w:p w14:paraId="76D96C74" w14:textId="77777777" w:rsidR="00B46B71" w:rsidRDefault="00476CDC" w:rsidP="00A7219A">
      <w:pPr>
        <w:pStyle w:val="Bibliography"/>
        <w:spacing w:after="120" w:line="240" w:lineRule="auto"/>
        <w:ind w:left="142" w:hanging="142"/>
        <w:jc w:val="both"/>
        <w:rPr>
          <w:sz w:val="24"/>
          <w:szCs w:val="24"/>
        </w:rPr>
      </w:pPr>
      <w:r w:rsidRPr="00D6066B">
        <w:rPr>
          <w:sz w:val="24"/>
          <w:szCs w:val="24"/>
        </w:rPr>
        <w:t>Rabetino, R., Kohtamäki, M., Lehtonen, H.</w:t>
      </w:r>
      <w:r w:rsidR="000828DF" w:rsidRPr="00D6066B">
        <w:rPr>
          <w:sz w:val="24"/>
          <w:szCs w:val="24"/>
        </w:rPr>
        <w:t>,</w:t>
      </w:r>
      <w:r w:rsidRPr="00D6066B">
        <w:rPr>
          <w:sz w:val="24"/>
          <w:szCs w:val="24"/>
        </w:rPr>
        <w:t xml:space="preserve"> Kostama, H.</w:t>
      </w:r>
      <w:r w:rsidR="000828DF" w:rsidRPr="00D6066B">
        <w:rPr>
          <w:sz w:val="24"/>
          <w:szCs w:val="24"/>
        </w:rPr>
        <w:t>,</w:t>
      </w:r>
      <w:r w:rsidRPr="00D6066B">
        <w:rPr>
          <w:sz w:val="24"/>
          <w:szCs w:val="24"/>
        </w:rPr>
        <w:t xml:space="preserve"> 2015. </w:t>
      </w:r>
      <w:r w:rsidRPr="00FD5F60">
        <w:rPr>
          <w:sz w:val="24"/>
          <w:szCs w:val="24"/>
        </w:rPr>
        <w:t>Developing the concept of life-cycle service offering. Industrial Marketing Management, 49: 53-66.</w:t>
      </w:r>
    </w:p>
    <w:p w14:paraId="4076D7CC" w14:textId="0E22A6BD" w:rsidR="00B46B71" w:rsidRPr="00A7219A" w:rsidRDefault="00B46B71" w:rsidP="00A7219A">
      <w:pPr>
        <w:pStyle w:val="Bibliography"/>
        <w:spacing w:after="120" w:line="240" w:lineRule="auto"/>
        <w:ind w:left="142" w:hanging="142"/>
        <w:jc w:val="both"/>
        <w:rPr>
          <w:sz w:val="24"/>
          <w:szCs w:val="24"/>
        </w:rPr>
      </w:pPr>
      <w:r w:rsidRPr="00A7219A">
        <w:rPr>
          <w:iCs/>
          <w:sz w:val="24"/>
          <w:szCs w:val="24"/>
          <w:lang w:val="en-US"/>
        </w:rPr>
        <w:t>Raddats, C., Burton, J. and Ashman, R. 2015.</w:t>
      </w:r>
      <w:r w:rsidRPr="00291DB2">
        <w:rPr>
          <w:iCs/>
          <w:sz w:val="24"/>
          <w:szCs w:val="24"/>
          <w:lang w:val="en-US"/>
        </w:rPr>
        <w:t xml:space="preserve"> Resource configurations for services success in manufacturing companies. Journal of Service Management, 26 (1): 97–116.</w:t>
      </w:r>
    </w:p>
    <w:p w14:paraId="6DDA4D4F" w14:textId="3B4DC30E" w:rsidR="00476CDC" w:rsidRPr="00FD5F60" w:rsidRDefault="00476CDC" w:rsidP="00476CDC">
      <w:pPr>
        <w:pStyle w:val="Bibliography"/>
        <w:spacing w:after="120" w:line="240" w:lineRule="auto"/>
        <w:ind w:left="142" w:hanging="142"/>
        <w:jc w:val="both"/>
        <w:rPr>
          <w:sz w:val="24"/>
          <w:szCs w:val="24"/>
        </w:rPr>
      </w:pPr>
      <w:r w:rsidRPr="00FD5F60">
        <w:rPr>
          <w:sz w:val="24"/>
          <w:szCs w:val="24"/>
        </w:rPr>
        <w:t>Raddats, C., Kowalkowski, C.</w:t>
      </w:r>
      <w:r w:rsidR="000828DF">
        <w:rPr>
          <w:sz w:val="24"/>
          <w:szCs w:val="24"/>
        </w:rPr>
        <w:t>,</w:t>
      </w:r>
      <w:r w:rsidRPr="00FD5F60">
        <w:rPr>
          <w:sz w:val="24"/>
          <w:szCs w:val="24"/>
        </w:rPr>
        <w:t xml:space="preserve"> 2014. A reconceptualization of manufacturers service strategies. </w:t>
      </w:r>
      <w:r w:rsidRPr="00FD5F60">
        <w:rPr>
          <w:iCs/>
          <w:sz w:val="24"/>
          <w:szCs w:val="24"/>
        </w:rPr>
        <w:t>Journal of Business-to-Business Marketing,</w:t>
      </w:r>
      <w:r w:rsidRPr="00FD5F60">
        <w:rPr>
          <w:sz w:val="24"/>
          <w:szCs w:val="24"/>
        </w:rPr>
        <w:t xml:space="preserve"> </w:t>
      </w:r>
      <w:r w:rsidRPr="00FD5F60">
        <w:rPr>
          <w:iCs/>
          <w:sz w:val="24"/>
          <w:szCs w:val="24"/>
        </w:rPr>
        <w:t>21</w:t>
      </w:r>
      <w:r w:rsidRPr="00FD5F60">
        <w:rPr>
          <w:sz w:val="24"/>
          <w:szCs w:val="24"/>
        </w:rPr>
        <w:t>(1): 19–34.</w:t>
      </w:r>
    </w:p>
    <w:p w14:paraId="6AD4B11B" w14:textId="3140B0D3" w:rsidR="00476CDC" w:rsidRPr="00FD5F60" w:rsidRDefault="00476CDC" w:rsidP="00476CDC">
      <w:pPr>
        <w:pStyle w:val="Bibliography"/>
        <w:spacing w:after="120" w:line="240" w:lineRule="auto"/>
        <w:ind w:left="142" w:hanging="142"/>
        <w:jc w:val="both"/>
        <w:rPr>
          <w:iCs/>
          <w:sz w:val="24"/>
          <w:szCs w:val="24"/>
          <w:lang w:val="en-US"/>
        </w:rPr>
      </w:pPr>
      <w:r w:rsidRPr="00FD5F60">
        <w:rPr>
          <w:iCs/>
          <w:sz w:val="24"/>
          <w:szCs w:val="24"/>
          <w:lang w:val="en-US"/>
        </w:rPr>
        <w:t>Raja, J. Z., Bourne, D., Goffin, K., Çakkol, M., Martinez, V.</w:t>
      </w:r>
      <w:r w:rsidR="000828DF">
        <w:rPr>
          <w:iCs/>
          <w:sz w:val="24"/>
          <w:szCs w:val="24"/>
          <w:lang w:val="en-US"/>
        </w:rPr>
        <w:t>,</w:t>
      </w:r>
      <w:r w:rsidRPr="00FD5F60">
        <w:rPr>
          <w:iCs/>
          <w:sz w:val="24"/>
          <w:szCs w:val="24"/>
          <w:lang w:val="en-US"/>
        </w:rPr>
        <w:t xml:space="preserve"> 2013. Achieving Customer Satisfaction through Integrated Products and Services: An Exploratory Study</w:t>
      </w:r>
      <w:r>
        <w:rPr>
          <w:iCs/>
          <w:sz w:val="24"/>
          <w:szCs w:val="24"/>
          <w:lang w:val="en-US"/>
        </w:rPr>
        <w:t>.</w:t>
      </w:r>
      <w:r w:rsidRPr="00FD5F60">
        <w:rPr>
          <w:iCs/>
          <w:sz w:val="24"/>
          <w:szCs w:val="24"/>
          <w:lang w:val="en-US"/>
        </w:rPr>
        <w:t xml:space="preserve"> Journal of Product Innovation Management, 30(6): 1128–1144.</w:t>
      </w:r>
    </w:p>
    <w:p w14:paraId="7C9B37BD" w14:textId="19CC6619" w:rsidR="00476CDC" w:rsidRPr="00FD5F60" w:rsidRDefault="00476CDC" w:rsidP="00476CDC">
      <w:pPr>
        <w:pStyle w:val="Bibliography"/>
        <w:spacing w:after="120" w:line="240" w:lineRule="auto"/>
        <w:ind w:left="142" w:hanging="142"/>
        <w:jc w:val="both"/>
        <w:rPr>
          <w:iCs/>
          <w:sz w:val="24"/>
          <w:szCs w:val="24"/>
          <w:lang w:val="en-US"/>
        </w:rPr>
      </w:pPr>
      <w:r w:rsidRPr="00FD5F60">
        <w:rPr>
          <w:iCs/>
          <w:sz w:val="24"/>
          <w:szCs w:val="24"/>
          <w:lang w:val="en-US"/>
        </w:rPr>
        <w:t>Santamaría, L., Jesús Nieto, M., Miles, I.</w:t>
      </w:r>
      <w:r w:rsidR="000828DF">
        <w:rPr>
          <w:iCs/>
          <w:sz w:val="24"/>
          <w:szCs w:val="24"/>
          <w:lang w:val="en-US"/>
        </w:rPr>
        <w:t>,</w:t>
      </w:r>
      <w:r w:rsidRPr="00FD5F60">
        <w:rPr>
          <w:iCs/>
          <w:sz w:val="24"/>
          <w:szCs w:val="24"/>
          <w:lang w:val="en-US"/>
        </w:rPr>
        <w:t xml:space="preserve"> 2012. Service innovation in manufacturing firms: Evidence from Spain</w:t>
      </w:r>
      <w:r>
        <w:rPr>
          <w:iCs/>
          <w:sz w:val="24"/>
          <w:szCs w:val="24"/>
          <w:lang w:val="en-US"/>
        </w:rPr>
        <w:t>.</w:t>
      </w:r>
      <w:r w:rsidRPr="00FD5F60">
        <w:rPr>
          <w:iCs/>
          <w:sz w:val="24"/>
          <w:szCs w:val="24"/>
          <w:lang w:val="en-US"/>
        </w:rPr>
        <w:t xml:space="preserve"> Technovation</w:t>
      </w:r>
      <w:r>
        <w:rPr>
          <w:iCs/>
          <w:sz w:val="24"/>
          <w:szCs w:val="24"/>
          <w:lang w:val="en-US"/>
        </w:rPr>
        <w:t>,</w:t>
      </w:r>
      <w:r w:rsidRPr="00FD5F60">
        <w:rPr>
          <w:iCs/>
          <w:sz w:val="24"/>
          <w:szCs w:val="24"/>
          <w:lang w:val="en-US"/>
        </w:rPr>
        <w:t xml:space="preserve"> 32(2): 144–155.</w:t>
      </w:r>
    </w:p>
    <w:p w14:paraId="69B65341" w14:textId="51757F95" w:rsidR="00476CDC" w:rsidRDefault="00C92CB0" w:rsidP="00476CDC">
      <w:pPr>
        <w:pStyle w:val="Bibliography"/>
        <w:spacing w:after="120" w:line="240" w:lineRule="auto"/>
        <w:ind w:left="142" w:hanging="142"/>
        <w:jc w:val="both"/>
        <w:rPr>
          <w:sz w:val="24"/>
          <w:szCs w:val="24"/>
          <w:lang w:eastAsia="en-GB"/>
        </w:rPr>
      </w:pPr>
      <w:hyperlink r:id="rId14" w:tooltip="Silverman, D. (page does not exist)" w:history="1">
        <w:r w:rsidR="00476CDC" w:rsidRPr="00FD5F60">
          <w:rPr>
            <w:sz w:val="24"/>
            <w:szCs w:val="24"/>
            <w:lang w:eastAsia="en-GB"/>
          </w:rPr>
          <w:t>Silverman, D.</w:t>
        </w:r>
      </w:hyperlink>
      <w:r w:rsidR="000828DF">
        <w:rPr>
          <w:sz w:val="24"/>
          <w:szCs w:val="24"/>
          <w:lang w:eastAsia="en-GB"/>
        </w:rPr>
        <w:t>,</w:t>
      </w:r>
      <w:r w:rsidR="00476CDC" w:rsidRPr="00FD5F60">
        <w:rPr>
          <w:sz w:val="24"/>
          <w:szCs w:val="24"/>
          <w:lang w:eastAsia="en-GB"/>
        </w:rPr>
        <w:t xml:space="preserve"> </w:t>
      </w:r>
      <w:hyperlink r:id="rId15" w:tooltip="Marvasti, A. (page does not exist)" w:history="1">
        <w:r w:rsidR="00476CDC" w:rsidRPr="00FD5F60">
          <w:rPr>
            <w:sz w:val="24"/>
            <w:szCs w:val="24"/>
            <w:lang w:eastAsia="en-GB"/>
          </w:rPr>
          <w:t>Marvasti, A.</w:t>
        </w:r>
      </w:hyperlink>
      <w:r w:rsidR="000828DF">
        <w:rPr>
          <w:sz w:val="24"/>
          <w:szCs w:val="24"/>
          <w:lang w:eastAsia="en-GB"/>
        </w:rPr>
        <w:t>,</w:t>
      </w:r>
      <w:r w:rsidR="00476CDC" w:rsidRPr="00FD5F60">
        <w:rPr>
          <w:sz w:val="24"/>
          <w:szCs w:val="24"/>
          <w:lang w:eastAsia="en-GB"/>
        </w:rPr>
        <w:t xml:space="preserve"> 2008. Doing Qualitative Research- A comprehensive Guide. New Delhi: Sage Publications.</w:t>
      </w:r>
    </w:p>
    <w:p w14:paraId="116193BF" w14:textId="77777777" w:rsidR="00B46B71" w:rsidRPr="00734480" w:rsidRDefault="00B46B71" w:rsidP="00B46B71">
      <w:pPr>
        <w:pStyle w:val="Bibliography"/>
        <w:spacing w:after="120" w:line="240" w:lineRule="auto"/>
        <w:ind w:left="142" w:hanging="142"/>
        <w:jc w:val="both"/>
        <w:rPr>
          <w:iCs/>
          <w:sz w:val="24"/>
          <w:szCs w:val="24"/>
        </w:rPr>
      </w:pPr>
      <w:r w:rsidRPr="00A7219A">
        <w:rPr>
          <w:iCs/>
          <w:sz w:val="24"/>
          <w:szCs w:val="24"/>
        </w:rPr>
        <w:t>Story, V.M., Raddats, C., Burton, J., Zolkiewski, J. and Baines,</w:t>
      </w:r>
      <w:r w:rsidRPr="00734480">
        <w:rPr>
          <w:iCs/>
          <w:sz w:val="24"/>
          <w:szCs w:val="24"/>
        </w:rPr>
        <w:t xml:space="preserve"> T. 2016. Capabilities for advanced services: A multi-actor perspective. Industrial Marketing Management,  </w:t>
      </w:r>
      <w:hyperlink r:id="rId16" w:tgtFrame="doilink" w:history="1">
        <w:r w:rsidRPr="009675C9">
          <w:t xml:space="preserve"> </w:t>
        </w:r>
        <w:r w:rsidRPr="009675C9">
          <w:rPr>
            <w:rFonts w:cs="Arial"/>
            <w:color w:val="316C9D"/>
            <w:sz w:val="24"/>
            <w:szCs w:val="24"/>
            <w:u w:val="single"/>
            <w:bdr w:val="none" w:sz="0" w:space="0" w:color="auto" w:frame="1"/>
            <w:shd w:val="clear" w:color="auto" w:fill="FFFFFF"/>
          </w:rPr>
          <w:t>http://dx.doi.org/10.1016/j.indmarman.2016.04.015</w:t>
        </w:r>
      </w:hyperlink>
      <w:r>
        <w:rPr>
          <w:sz w:val="24"/>
          <w:szCs w:val="24"/>
        </w:rPr>
        <w:t>.</w:t>
      </w:r>
    </w:p>
    <w:p w14:paraId="12A4DFB9" w14:textId="271DAF93" w:rsidR="00476CDC" w:rsidRPr="00FD5F60" w:rsidRDefault="00476CDC" w:rsidP="00476CDC">
      <w:pPr>
        <w:pStyle w:val="Bibliography"/>
        <w:spacing w:after="120" w:line="240" w:lineRule="auto"/>
        <w:ind w:left="142" w:hanging="142"/>
        <w:jc w:val="both"/>
        <w:rPr>
          <w:iCs/>
          <w:sz w:val="24"/>
          <w:szCs w:val="24"/>
          <w:lang w:val="en-US"/>
        </w:rPr>
      </w:pPr>
      <w:r w:rsidRPr="00FD5F60">
        <w:rPr>
          <w:iCs/>
          <w:sz w:val="24"/>
          <w:szCs w:val="24"/>
          <w:lang w:val="en-US"/>
        </w:rPr>
        <w:t>Snyder, H., Witell, L., Gustafsson, A., Fombelle, P., Kristensson, P.</w:t>
      </w:r>
      <w:r w:rsidR="000828DF">
        <w:rPr>
          <w:iCs/>
          <w:sz w:val="24"/>
          <w:szCs w:val="24"/>
          <w:lang w:val="en-US"/>
        </w:rPr>
        <w:t>,</w:t>
      </w:r>
      <w:r w:rsidRPr="00FD5F60">
        <w:rPr>
          <w:iCs/>
          <w:sz w:val="24"/>
          <w:szCs w:val="24"/>
          <w:lang w:val="en-US"/>
        </w:rPr>
        <w:t xml:space="preserve"> 2016. Identifying categories of service innovation: A review and synthesis of the literature. Journal of Business Research, 69: 2401 – 2408.</w:t>
      </w:r>
    </w:p>
    <w:p w14:paraId="5A278064" w14:textId="03FA8ED8" w:rsidR="00476CDC" w:rsidRPr="00FD5F60" w:rsidRDefault="00476CDC" w:rsidP="00476CDC">
      <w:pPr>
        <w:pStyle w:val="Bibliography"/>
        <w:spacing w:after="120" w:line="240" w:lineRule="auto"/>
        <w:ind w:left="142" w:hanging="142"/>
        <w:jc w:val="both"/>
        <w:rPr>
          <w:iCs/>
          <w:sz w:val="24"/>
          <w:szCs w:val="24"/>
          <w:lang w:val="en-US"/>
        </w:rPr>
      </w:pPr>
      <w:r w:rsidRPr="00E82AC3">
        <w:rPr>
          <w:iCs/>
          <w:sz w:val="24"/>
          <w:szCs w:val="24"/>
        </w:rPr>
        <w:t>Suarez, F.F., Cusumano, M.A., Kahl, S.</w:t>
      </w:r>
      <w:r w:rsidR="000828DF" w:rsidRPr="00E82AC3">
        <w:rPr>
          <w:iCs/>
          <w:sz w:val="24"/>
          <w:szCs w:val="24"/>
        </w:rPr>
        <w:t>,</w:t>
      </w:r>
      <w:r w:rsidRPr="00E82AC3">
        <w:rPr>
          <w:iCs/>
          <w:sz w:val="24"/>
          <w:szCs w:val="24"/>
        </w:rPr>
        <w:t xml:space="preserve"> 2013. </w:t>
      </w:r>
      <w:r w:rsidRPr="00FD5F60">
        <w:rPr>
          <w:iCs/>
          <w:sz w:val="24"/>
          <w:szCs w:val="24"/>
          <w:lang w:val="en-US"/>
        </w:rPr>
        <w:t>Services and the business models of product firms: An empirical analysis of the software industry</w:t>
      </w:r>
      <w:r>
        <w:rPr>
          <w:iCs/>
          <w:sz w:val="24"/>
          <w:szCs w:val="24"/>
          <w:lang w:val="en-US"/>
        </w:rPr>
        <w:t>.</w:t>
      </w:r>
      <w:r w:rsidRPr="00FD5F60">
        <w:rPr>
          <w:iCs/>
          <w:sz w:val="24"/>
          <w:szCs w:val="24"/>
          <w:lang w:val="en-US"/>
        </w:rPr>
        <w:t xml:space="preserve"> Management Science</w:t>
      </w:r>
      <w:r>
        <w:rPr>
          <w:iCs/>
          <w:sz w:val="24"/>
          <w:szCs w:val="24"/>
          <w:lang w:val="en-US"/>
        </w:rPr>
        <w:t>,</w:t>
      </w:r>
      <w:r w:rsidRPr="00FD5F60">
        <w:rPr>
          <w:iCs/>
          <w:sz w:val="24"/>
          <w:szCs w:val="24"/>
          <w:lang w:val="en-US"/>
        </w:rPr>
        <w:t xml:space="preserve"> 59(2): 420–435.</w:t>
      </w:r>
    </w:p>
    <w:p w14:paraId="38756168" w14:textId="3E46AF37" w:rsidR="00476CDC" w:rsidRPr="00FD5F60" w:rsidRDefault="00476CDC" w:rsidP="00476CDC">
      <w:pPr>
        <w:pStyle w:val="Bibliography"/>
        <w:spacing w:after="120" w:line="240" w:lineRule="auto"/>
        <w:ind w:left="142" w:hanging="142"/>
        <w:jc w:val="both"/>
        <w:rPr>
          <w:iCs/>
          <w:sz w:val="24"/>
          <w:szCs w:val="24"/>
          <w:lang w:val="en-US"/>
        </w:rPr>
      </w:pPr>
      <w:r w:rsidRPr="00FD5F60">
        <w:rPr>
          <w:iCs/>
          <w:sz w:val="24"/>
          <w:szCs w:val="24"/>
          <w:lang w:val="en-US"/>
        </w:rPr>
        <w:t>Tukker, A.</w:t>
      </w:r>
      <w:r w:rsidR="000828DF">
        <w:rPr>
          <w:iCs/>
          <w:sz w:val="24"/>
          <w:szCs w:val="24"/>
          <w:lang w:val="en-US"/>
        </w:rPr>
        <w:t>,</w:t>
      </w:r>
      <w:r w:rsidRPr="00FD5F60">
        <w:rPr>
          <w:iCs/>
          <w:sz w:val="24"/>
          <w:szCs w:val="24"/>
          <w:lang w:val="en-US"/>
        </w:rPr>
        <w:t xml:space="preserve"> 2004. Eight Types of Product–Service System: Eight Ways to Sustainability? Experiences from Suspronet. Business Strategy and the Environment</w:t>
      </w:r>
      <w:r>
        <w:rPr>
          <w:iCs/>
          <w:sz w:val="24"/>
          <w:szCs w:val="24"/>
          <w:lang w:val="en-US"/>
        </w:rPr>
        <w:t>,</w:t>
      </w:r>
      <w:r w:rsidRPr="00FD5F60">
        <w:rPr>
          <w:iCs/>
          <w:sz w:val="24"/>
          <w:szCs w:val="24"/>
          <w:lang w:val="en-US"/>
        </w:rPr>
        <w:t xml:space="preserve"> 13(4): 246-260.</w:t>
      </w:r>
    </w:p>
    <w:p w14:paraId="0A26ADE6" w14:textId="38E563C2" w:rsidR="00476CDC" w:rsidRPr="00FD5F60" w:rsidRDefault="00476CDC" w:rsidP="00476CDC">
      <w:pPr>
        <w:pStyle w:val="Bibliography"/>
        <w:spacing w:after="120" w:line="240" w:lineRule="auto"/>
        <w:ind w:left="142" w:hanging="142"/>
        <w:jc w:val="both"/>
        <w:rPr>
          <w:iCs/>
          <w:sz w:val="24"/>
          <w:szCs w:val="24"/>
          <w:lang w:val="en-US"/>
        </w:rPr>
      </w:pPr>
      <w:r w:rsidRPr="00FD5F60">
        <w:rPr>
          <w:iCs/>
          <w:sz w:val="24"/>
          <w:szCs w:val="24"/>
          <w:lang w:val="en-US"/>
        </w:rPr>
        <w:t>Turunen, T.</w:t>
      </w:r>
      <w:r w:rsidR="000828DF">
        <w:rPr>
          <w:iCs/>
          <w:sz w:val="24"/>
          <w:szCs w:val="24"/>
          <w:lang w:val="en-US"/>
        </w:rPr>
        <w:t>,</w:t>
      </w:r>
      <w:r w:rsidRPr="00FD5F60">
        <w:rPr>
          <w:iCs/>
          <w:sz w:val="24"/>
          <w:szCs w:val="24"/>
          <w:lang w:val="en-US"/>
        </w:rPr>
        <w:t xml:space="preserve"> Finne, M.</w:t>
      </w:r>
      <w:r w:rsidR="000828DF">
        <w:rPr>
          <w:iCs/>
          <w:sz w:val="24"/>
          <w:szCs w:val="24"/>
          <w:lang w:val="en-US"/>
        </w:rPr>
        <w:t>,</w:t>
      </w:r>
      <w:r w:rsidRPr="00FD5F60">
        <w:rPr>
          <w:iCs/>
          <w:sz w:val="24"/>
          <w:szCs w:val="24"/>
          <w:lang w:val="en-US"/>
        </w:rPr>
        <w:t xml:space="preserve"> 2014. The organisational environment’s impact on the servitization of manufacturers</w:t>
      </w:r>
      <w:r>
        <w:rPr>
          <w:iCs/>
          <w:sz w:val="24"/>
          <w:szCs w:val="24"/>
          <w:lang w:val="en-US"/>
        </w:rPr>
        <w:t>.</w:t>
      </w:r>
      <w:r w:rsidRPr="00FD5F60">
        <w:rPr>
          <w:iCs/>
          <w:sz w:val="24"/>
          <w:szCs w:val="24"/>
          <w:lang w:val="en-US"/>
        </w:rPr>
        <w:t xml:space="preserve"> European Management Journal, 32(4): 603-615.</w:t>
      </w:r>
    </w:p>
    <w:p w14:paraId="08E9FF3D" w14:textId="5330DCA5" w:rsidR="00476CDC" w:rsidRPr="00FD5F60" w:rsidRDefault="00476CDC" w:rsidP="00476CDC">
      <w:pPr>
        <w:pStyle w:val="Bibliography"/>
        <w:spacing w:after="120" w:line="240" w:lineRule="auto"/>
        <w:ind w:left="142" w:hanging="142"/>
        <w:jc w:val="both"/>
        <w:rPr>
          <w:iCs/>
          <w:sz w:val="24"/>
          <w:szCs w:val="24"/>
          <w:lang w:val="en-US"/>
        </w:rPr>
      </w:pPr>
      <w:r w:rsidRPr="00D6066B">
        <w:rPr>
          <w:iCs/>
          <w:sz w:val="24"/>
          <w:szCs w:val="24"/>
        </w:rPr>
        <w:t>Ulaga, W., Reinartz, W. J.</w:t>
      </w:r>
      <w:r w:rsidR="000828DF" w:rsidRPr="00D6066B">
        <w:rPr>
          <w:iCs/>
          <w:sz w:val="24"/>
          <w:szCs w:val="24"/>
        </w:rPr>
        <w:t>,</w:t>
      </w:r>
      <w:r w:rsidRPr="00D6066B">
        <w:rPr>
          <w:iCs/>
          <w:sz w:val="24"/>
          <w:szCs w:val="24"/>
        </w:rPr>
        <w:t xml:space="preserve"> 2011. </w:t>
      </w:r>
      <w:r w:rsidRPr="00FD5F60">
        <w:rPr>
          <w:iCs/>
          <w:sz w:val="24"/>
          <w:szCs w:val="24"/>
          <w:lang w:val="en-US"/>
        </w:rPr>
        <w:t>Hybrid offerings: how manufacturing firms combine goods and services successfully</w:t>
      </w:r>
      <w:r>
        <w:rPr>
          <w:iCs/>
          <w:sz w:val="24"/>
          <w:szCs w:val="24"/>
          <w:lang w:val="en-US"/>
        </w:rPr>
        <w:t>.</w:t>
      </w:r>
      <w:r w:rsidRPr="00FD5F60">
        <w:rPr>
          <w:iCs/>
          <w:sz w:val="24"/>
          <w:szCs w:val="24"/>
          <w:lang w:val="en-US"/>
        </w:rPr>
        <w:t xml:space="preserve"> Journal of Marketing, 75(6): 5-23.</w:t>
      </w:r>
    </w:p>
    <w:p w14:paraId="13F180DC" w14:textId="148D979C" w:rsidR="00476CDC" w:rsidRPr="00FD5F60" w:rsidRDefault="00476CDC" w:rsidP="00476CDC">
      <w:pPr>
        <w:pStyle w:val="Bibliography"/>
        <w:spacing w:after="120" w:line="240" w:lineRule="auto"/>
        <w:ind w:left="142" w:hanging="142"/>
        <w:jc w:val="both"/>
        <w:rPr>
          <w:sz w:val="24"/>
          <w:szCs w:val="24"/>
        </w:rPr>
      </w:pPr>
      <w:r w:rsidRPr="00FD5F60">
        <w:rPr>
          <w:iCs/>
          <w:sz w:val="24"/>
          <w:szCs w:val="24"/>
        </w:rPr>
        <w:t>Vandermerwe</w:t>
      </w:r>
      <w:r w:rsidRPr="00FD5F60">
        <w:rPr>
          <w:sz w:val="24"/>
          <w:szCs w:val="24"/>
        </w:rPr>
        <w:t>, S.</w:t>
      </w:r>
      <w:r w:rsidR="000828DF">
        <w:rPr>
          <w:sz w:val="24"/>
          <w:szCs w:val="24"/>
        </w:rPr>
        <w:t>,</w:t>
      </w:r>
      <w:r w:rsidRPr="00FD5F60">
        <w:rPr>
          <w:sz w:val="24"/>
          <w:szCs w:val="24"/>
        </w:rPr>
        <w:t xml:space="preserve"> Rada, J.</w:t>
      </w:r>
      <w:r w:rsidR="000828DF">
        <w:rPr>
          <w:sz w:val="24"/>
          <w:szCs w:val="24"/>
        </w:rPr>
        <w:t>,</w:t>
      </w:r>
      <w:r w:rsidRPr="00FD5F60">
        <w:rPr>
          <w:sz w:val="24"/>
          <w:szCs w:val="24"/>
        </w:rPr>
        <w:t xml:space="preserve"> 1989. Servitization of business: Adding value by adding services</w:t>
      </w:r>
      <w:r>
        <w:rPr>
          <w:sz w:val="24"/>
          <w:szCs w:val="24"/>
        </w:rPr>
        <w:t>.</w:t>
      </w:r>
      <w:r w:rsidRPr="00FD5F60">
        <w:rPr>
          <w:sz w:val="24"/>
          <w:szCs w:val="24"/>
        </w:rPr>
        <w:t xml:space="preserve"> </w:t>
      </w:r>
      <w:r w:rsidRPr="00FD5F60">
        <w:rPr>
          <w:iCs/>
          <w:sz w:val="24"/>
          <w:szCs w:val="24"/>
        </w:rPr>
        <w:t>European Management Journal</w:t>
      </w:r>
      <w:r>
        <w:rPr>
          <w:iCs/>
          <w:sz w:val="24"/>
          <w:szCs w:val="24"/>
        </w:rPr>
        <w:t>,</w:t>
      </w:r>
      <w:r w:rsidRPr="00FD5F60">
        <w:rPr>
          <w:sz w:val="24"/>
          <w:szCs w:val="24"/>
        </w:rPr>
        <w:t xml:space="preserve"> </w:t>
      </w:r>
      <w:r w:rsidRPr="00FD5F60">
        <w:rPr>
          <w:iCs/>
          <w:sz w:val="24"/>
          <w:szCs w:val="24"/>
        </w:rPr>
        <w:t>6</w:t>
      </w:r>
      <w:r w:rsidRPr="00FD5F60">
        <w:rPr>
          <w:sz w:val="24"/>
          <w:szCs w:val="24"/>
        </w:rPr>
        <w:t>(4): 314–324</w:t>
      </w:r>
      <w:r>
        <w:rPr>
          <w:sz w:val="24"/>
          <w:szCs w:val="24"/>
        </w:rPr>
        <w:t>.</w:t>
      </w:r>
    </w:p>
    <w:p w14:paraId="32E92627" w14:textId="16FE0435" w:rsidR="00476CDC" w:rsidRPr="00FD5F60" w:rsidRDefault="00476CDC" w:rsidP="00476CDC">
      <w:pPr>
        <w:pStyle w:val="Bibliography"/>
        <w:spacing w:after="120" w:line="240" w:lineRule="auto"/>
        <w:ind w:left="142" w:hanging="142"/>
        <w:rPr>
          <w:iCs/>
          <w:sz w:val="24"/>
          <w:szCs w:val="24"/>
          <w:lang w:val="en-US"/>
        </w:rPr>
      </w:pPr>
      <w:r w:rsidRPr="00FD5F60">
        <w:rPr>
          <w:iCs/>
          <w:sz w:val="24"/>
          <w:szCs w:val="24"/>
          <w:lang w:val="en-US"/>
        </w:rPr>
        <w:t>Visnjic, I., Wiengarten, F.</w:t>
      </w:r>
      <w:r w:rsidR="000828DF">
        <w:rPr>
          <w:iCs/>
          <w:sz w:val="24"/>
          <w:szCs w:val="24"/>
          <w:lang w:val="en-US"/>
        </w:rPr>
        <w:t>,</w:t>
      </w:r>
      <w:r w:rsidRPr="00FD5F60">
        <w:rPr>
          <w:iCs/>
          <w:sz w:val="24"/>
          <w:szCs w:val="24"/>
          <w:lang w:val="en-US"/>
        </w:rPr>
        <w:t xml:space="preserve"> Neely, A.</w:t>
      </w:r>
      <w:r w:rsidR="000828DF">
        <w:rPr>
          <w:iCs/>
          <w:sz w:val="24"/>
          <w:szCs w:val="24"/>
          <w:lang w:val="en-US"/>
        </w:rPr>
        <w:t>,</w:t>
      </w:r>
      <w:r w:rsidRPr="00FD5F60">
        <w:rPr>
          <w:iCs/>
          <w:sz w:val="24"/>
          <w:szCs w:val="24"/>
          <w:lang w:val="en-US"/>
        </w:rPr>
        <w:t xml:space="preserve"> 2016. Only the Brave: Product Innovation, Service Business Model Innovation, and Their Impact on Performance. Journal of Product Innovation Management</w:t>
      </w:r>
      <w:r>
        <w:rPr>
          <w:iCs/>
          <w:sz w:val="24"/>
          <w:szCs w:val="24"/>
          <w:lang w:val="en-US"/>
        </w:rPr>
        <w:t>,</w:t>
      </w:r>
      <w:r w:rsidRPr="00FD5F60">
        <w:rPr>
          <w:iCs/>
          <w:sz w:val="24"/>
          <w:szCs w:val="24"/>
          <w:lang w:val="en-US"/>
        </w:rPr>
        <w:t xml:space="preserve"> 33(1): 36-52. </w:t>
      </w:r>
    </w:p>
    <w:p w14:paraId="356982C8" w14:textId="29F41223" w:rsidR="00476CDC" w:rsidRPr="004D291C" w:rsidRDefault="00476CDC" w:rsidP="00476CDC">
      <w:pPr>
        <w:pStyle w:val="Bibliography"/>
        <w:spacing w:after="120" w:line="240" w:lineRule="auto"/>
        <w:ind w:left="142" w:hanging="142"/>
        <w:jc w:val="both"/>
        <w:rPr>
          <w:iCs/>
          <w:sz w:val="24"/>
          <w:szCs w:val="24"/>
        </w:rPr>
      </w:pPr>
      <w:r w:rsidRPr="004D291C">
        <w:rPr>
          <w:sz w:val="24"/>
          <w:szCs w:val="24"/>
        </w:rPr>
        <w:t>Wilson, E</w:t>
      </w:r>
      <w:r>
        <w:rPr>
          <w:sz w:val="24"/>
          <w:szCs w:val="24"/>
        </w:rPr>
        <w:t>.</w:t>
      </w:r>
      <w:r w:rsidRPr="004D291C">
        <w:rPr>
          <w:sz w:val="24"/>
          <w:szCs w:val="24"/>
        </w:rPr>
        <w:t>J.</w:t>
      </w:r>
      <w:r>
        <w:rPr>
          <w:sz w:val="24"/>
          <w:szCs w:val="24"/>
        </w:rPr>
        <w:t>,</w:t>
      </w:r>
      <w:r w:rsidRPr="004D291C">
        <w:rPr>
          <w:sz w:val="24"/>
          <w:szCs w:val="24"/>
        </w:rPr>
        <w:t xml:space="preserve"> Vlosky </w:t>
      </w:r>
      <w:r w:rsidRPr="00A54FF3">
        <w:rPr>
          <w:sz w:val="24"/>
          <w:szCs w:val="24"/>
        </w:rPr>
        <w:t>R</w:t>
      </w:r>
      <w:r>
        <w:rPr>
          <w:sz w:val="24"/>
          <w:szCs w:val="24"/>
        </w:rPr>
        <w:t>.</w:t>
      </w:r>
      <w:r w:rsidRPr="00A54FF3">
        <w:rPr>
          <w:sz w:val="24"/>
          <w:szCs w:val="24"/>
        </w:rPr>
        <w:t>P.</w:t>
      </w:r>
      <w:r w:rsidR="000828DF">
        <w:rPr>
          <w:sz w:val="24"/>
          <w:szCs w:val="24"/>
        </w:rPr>
        <w:t>,</w:t>
      </w:r>
      <w:r w:rsidRPr="00A54FF3">
        <w:rPr>
          <w:sz w:val="24"/>
          <w:szCs w:val="24"/>
        </w:rPr>
        <w:t xml:space="preserve"> </w:t>
      </w:r>
      <w:r w:rsidRPr="004D291C">
        <w:rPr>
          <w:sz w:val="24"/>
          <w:szCs w:val="24"/>
        </w:rPr>
        <w:t>1997</w:t>
      </w:r>
      <w:r>
        <w:rPr>
          <w:sz w:val="24"/>
          <w:szCs w:val="24"/>
        </w:rPr>
        <w:t>.</w:t>
      </w:r>
      <w:r w:rsidRPr="004D291C">
        <w:rPr>
          <w:sz w:val="24"/>
          <w:szCs w:val="24"/>
        </w:rPr>
        <w:t xml:space="preserve"> Partnering relationship activities: Building theory from case study research</w:t>
      </w:r>
      <w:r>
        <w:rPr>
          <w:sz w:val="24"/>
          <w:szCs w:val="24"/>
        </w:rPr>
        <w:t>.</w:t>
      </w:r>
      <w:r w:rsidRPr="004D291C">
        <w:rPr>
          <w:sz w:val="24"/>
          <w:szCs w:val="24"/>
        </w:rPr>
        <w:t xml:space="preserve"> Journal of Business Research, 39, 59 - 70.</w:t>
      </w:r>
    </w:p>
    <w:p w14:paraId="2BCAF99D" w14:textId="6FA77B15" w:rsidR="00476CDC" w:rsidRPr="00FD5F60" w:rsidRDefault="00476CDC" w:rsidP="00476CDC">
      <w:pPr>
        <w:spacing w:after="120" w:line="240" w:lineRule="auto"/>
        <w:ind w:left="142" w:hanging="142"/>
        <w:jc w:val="both"/>
        <w:rPr>
          <w:rFonts w:eastAsia="Times New Roman"/>
          <w:sz w:val="24"/>
          <w:szCs w:val="24"/>
          <w:lang w:val="de-DE" w:eastAsia="en-GB"/>
        </w:rPr>
      </w:pPr>
      <w:r w:rsidRPr="00FD5F60">
        <w:rPr>
          <w:rFonts w:eastAsia="Times New Roman"/>
          <w:sz w:val="24"/>
          <w:szCs w:val="24"/>
          <w:lang w:val="de-DE" w:eastAsia="en-GB"/>
        </w:rPr>
        <w:t>Yin, Robert K.</w:t>
      </w:r>
      <w:r w:rsidR="000828DF">
        <w:rPr>
          <w:rFonts w:eastAsia="Times New Roman"/>
          <w:sz w:val="24"/>
          <w:szCs w:val="24"/>
          <w:lang w:val="de-DE" w:eastAsia="en-GB"/>
        </w:rPr>
        <w:t>,</w:t>
      </w:r>
      <w:r w:rsidRPr="00FD5F60">
        <w:rPr>
          <w:rFonts w:eastAsia="Times New Roman"/>
          <w:sz w:val="24"/>
          <w:szCs w:val="24"/>
          <w:lang w:val="de-DE" w:eastAsia="en-GB"/>
        </w:rPr>
        <w:t xml:space="preserve"> 2013. Case Study Research Design and Methods (Applied Social Research Methods) (Fifth Ed.). </w:t>
      </w:r>
      <w:r>
        <w:rPr>
          <w:rFonts w:eastAsia="Times New Roman"/>
          <w:sz w:val="24"/>
          <w:szCs w:val="24"/>
          <w:lang w:val="de-DE" w:eastAsia="en-GB"/>
        </w:rPr>
        <w:t xml:space="preserve">California: </w:t>
      </w:r>
      <w:r w:rsidRPr="00FD5F60">
        <w:rPr>
          <w:rFonts w:eastAsia="Times New Roman"/>
          <w:sz w:val="24"/>
          <w:szCs w:val="24"/>
          <w:lang w:val="de-DE" w:eastAsia="en-GB"/>
        </w:rPr>
        <w:t xml:space="preserve">Sage, </w:t>
      </w:r>
      <w:r>
        <w:rPr>
          <w:rFonts w:eastAsia="Times New Roman"/>
          <w:sz w:val="24"/>
          <w:szCs w:val="24"/>
          <w:lang w:val="de-DE" w:eastAsia="en-GB"/>
        </w:rPr>
        <w:t>Thousand Oaks</w:t>
      </w:r>
      <w:r w:rsidRPr="00FD5F60">
        <w:rPr>
          <w:rFonts w:eastAsia="Times New Roman"/>
          <w:sz w:val="24"/>
          <w:szCs w:val="24"/>
          <w:lang w:val="de-DE" w:eastAsia="en-GB"/>
        </w:rPr>
        <w:t>.</w:t>
      </w:r>
    </w:p>
    <w:p w14:paraId="09D2BC78" w14:textId="77777777" w:rsidR="00177D77" w:rsidRDefault="00177D77" w:rsidP="002940C6">
      <w:pPr>
        <w:spacing w:after="120" w:line="240" w:lineRule="auto"/>
        <w:jc w:val="both"/>
        <w:rPr>
          <w:sz w:val="24"/>
          <w:szCs w:val="24"/>
        </w:rPr>
        <w:sectPr w:rsidR="00177D77" w:rsidSect="000A7350">
          <w:footerReference w:type="default" r:id="rId17"/>
          <w:pgSz w:w="11906" w:h="16838"/>
          <w:pgMar w:top="1440" w:right="1440" w:bottom="1440" w:left="1440" w:header="709" w:footer="709" w:gutter="0"/>
          <w:cols w:space="708"/>
          <w:docGrid w:linePitch="360"/>
        </w:sectPr>
      </w:pPr>
    </w:p>
    <w:p w14:paraId="4D2A5ECA" w14:textId="0A5CDB99" w:rsidR="00211FB1" w:rsidRPr="00211FB1" w:rsidRDefault="00211FB1" w:rsidP="00211FB1">
      <w:pPr>
        <w:rPr>
          <w:rFonts w:ascii="Calibri" w:eastAsia="Calibri" w:hAnsi="Calibri" w:cs="Arial"/>
          <w:b/>
          <w:sz w:val="24"/>
          <w:szCs w:val="24"/>
        </w:rPr>
      </w:pPr>
      <w:r w:rsidRPr="00211FB1">
        <w:rPr>
          <w:rFonts w:ascii="Calibri" w:eastAsia="Calibri" w:hAnsi="Calibri" w:cs="Arial"/>
          <w:b/>
          <w:sz w:val="24"/>
          <w:szCs w:val="24"/>
        </w:rPr>
        <w:t>Appendix</w:t>
      </w:r>
      <w:r w:rsidR="00DA4495">
        <w:rPr>
          <w:rFonts w:ascii="Calibri" w:eastAsia="Calibri" w:hAnsi="Calibri" w:cs="Arial"/>
          <w:b/>
          <w:sz w:val="24"/>
          <w:szCs w:val="24"/>
        </w:rPr>
        <w:t xml:space="preserve">: </w:t>
      </w:r>
      <w:r w:rsidRPr="00211FB1">
        <w:rPr>
          <w:rFonts w:ascii="Calibri" w:eastAsia="Calibri" w:hAnsi="Calibri" w:cs="Arial"/>
          <w:b/>
          <w:sz w:val="24"/>
          <w:szCs w:val="24"/>
        </w:rPr>
        <w:t>Challenges and Responses Relating to NSD Processes</w:t>
      </w:r>
    </w:p>
    <w:tbl>
      <w:tblPr>
        <w:tblStyle w:val="TableGrid21"/>
        <w:tblW w:w="0" w:type="auto"/>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26"/>
        <w:gridCol w:w="2551"/>
        <w:gridCol w:w="3119"/>
        <w:gridCol w:w="4111"/>
        <w:gridCol w:w="2867"/>
      </w:tblGrid>
      <w:tr w:rsidR="00211FB1" w:rsidRPr="00211FB1" w14:paraId="6C8D15BE" w14:textId="77777777" w:rsidTr="00211FB1">
        <w:tc>
          <w:tcPr>
            <w:tcW w:w="1526" w:type="dxa"/>
            <w:tcBorders>
              <w:top w:val="single" w:sz="4" w:space="0" w:color="auto"/>
              <w:left w:val="nil"/>
              <w:bottom w:val="single" w:sz="4" w:space="0" w:color="auto"/>
              <w:right w:val="nil"/>
            </w:tcBorders>
            <w:hideMark/>
          </w:tcPr>
          <w:p w14:paraId="6D83393B" w14:textId="77777777" w:rsidR="00211FB1" w:rsidRPr="00211FB1" w:rsidRDefault="00211FB1" w:rsidP="00211FB1">
            <w:pPr>
              <w:jc w:val="both"/>
              <w:rPr>
                <w:b/>
                <w:sz w:val="24"/>
                <w:szCs w:val="24"/>
              </w:rPr>
            </w:pPr>
            <w:r w:rsidRPr="00211FB1">
              <w:rPr>
                <w:b/>
                <w:sz w:val="24"/>
                <w:szCs w:val="24"/>
              </w:rPr>
              <w:t>Themes</w:t>
            </w:r>
          </w:p>
        </w:tc>
        <w:tc>
          <w:tcPr>
            <w:tcW w:w="2551" w:type="dxa"/>
            <w:tcBorders>
              <w:top w:val="single" w:sz="4" w:space="0" w:color="auto"/>
              <w:left w:val="nil"/>
              <w:bottom w:val="single" w:sz="4" w:space="0" w:color="auto"/>
              <w:right w:val="nil"/>
            </w:tcBorders>
            <w:hideMark/>
          </w:tcPr>
          <w:p w14:paraId="5E378212" w14:textId="77777777" w:rsidR="00211FB1" w:rsidRPr="00211FB1" w:rsidRDefault="00211FB1" w:rsidP="00211FB1">
            <w:pPr>
              <w:jc w:val="both"/>
              <w:rPr>
                <w:b/>
                <w:sz w:val="24"/>
                <w:szCs w:val="24"/>
              </w:rPr>
            </w:pPr>
            <w:r w:rsidRPr="00211FB1">
              <w:rPr>
                <w:b/>
                <w:sz w:val="24"/>
                <w:szCs w:val="24"/>
              </w:rPr>
              <w:t>SecurCo</w:t>
            </w:r>
          </w:p>
        </w:tc>
        <w:tc>
          <w:tcPr>
            <w:tcW w:w="3119" w:type="dxa"/>
            <w:tcBorders>
              <w:top w:val="single" w:sz="4" w:space="0" w:color="auto"/>
              <w:left w:val="nil"/>
              <w:bottom w:val="single" w:sz="4" w:space="0" w:color="auto"/>
              <w:right w:val="nil"/>
            </w:tcBorders>
            <w:hideMark/>
          </w:tcPr>
          <w:p w14:paraId="1285CD20" w14:textId="77777777" w:rsidR="00211FB1" w:rsidRPr="00211FB1" w:rsidRDefault="00211FB1" w:rsidP="00211FB1">
            <w:pPr>
              <w:jc w:val="both"/>
              <w:rPr>
                <w:b/>
                <w:sz w:val="24"/>
                <w:szCs w:val="24"/>
              </w:rPr>
            </w:pPr>
            <w:r w:rsidRPr="00211FB1">
              <w:rPr>
                <w:b/>
                <w:sz w:val="24"/>
                <w:szCs w:val="24"/>
              </w:rPr>
              <w:t>ChemCo</w:t>
            </w:r>
          </w:p>
        </w:tc>
        <w:tc>
          <w:tcPr>
            <w:tcW w:w="4111" w:type="dxa"/>
            <w:tcBorders>
              <w:top w:val="single" w:sz="4" w:space="0" w:color="auto"/>
              <w:left w:val="nil"/>
              <w:bottom w:val="single" w:sz="4" w:space="0" w:color="auto"/>
              <w:right w:val="nil"/>
            </w:tcBorders>
            <w:hideMark/>
          </w:tcPr>
          <w:p w14:paraId="321AFD46" w14:textId="77777777" w:rsidR="00211FB1" w:rsidRPr="00211FB1" w:rsidRDefault="00211FB1" w:rsidP="00211FB1">
            <w:pPr>
              <w:jc w:val="both"/>
              <w:rPr>
                <w:b/>
                <w:sz w:val="24"/>
                <w:szCs w:val="24"/>
              </w:rPr>
            </w:pPr>
            <w:r w:rsidRPr="00211FB1">
              <w:rPr>
                <w:b/>
                <w:sz w:val="24"/>
                <w:szCs w:val="24"/>
              </w:rPr>
              <w:t>TelCo</w:t>
            </w:r>
          </w:p>
        </w:tc>
        <w:tc>
          <w:tcPr>
            <w:tcW w:w="2867" w:type="dxa"/>
            <w:tcBorders>
              <w:top w:val="single" w:sz="4" w:space="0" w:color="auto"/>
              <w:left w:val="nil"/>
              <w:bottom w:val="single" w:sz="4" w:space="0" w:color="auto"/>
              <w:right w:val="nil"/>
            </w:tcBorders>
            <w:hideMark/>
          </w:tcPr>
          <w:p w14:paraId="50732631" w14:textId="77777777" w:rsidR="00211FB1" w:rsidRPr="00211FB1" w:rsidRDefault="00211FB1" w:rsidP="00211FB1">
            <w:pPr>
              <w:jc w:val="both"/>
              <w:rPr>
                <w:b/>
                <w:sz w:val="24"/>
                <w:szCs w:val="24"/>
              </w:rPr>
            </w:pPr>
            <w:r w:rsidRPr="00211FB1">
              <w:rPr>
                <w:b/>
                <w:sz w:val="24"/>
                <w:szCs w:val="24"/>
              </w:rPr>
              <w:t>AeroCo</w:t>
            </w:r>
          </w:p>
        </w:tc>
      </w:tr>
      <w:tr w:rsidR="00F84BA3" w:rsidRPr="00211FB1" w14:paraId="1C59078D" w14:textId="77777777" w:rsidTr="00211FB1">
        <w:trPr>
          <w:trHeight w:val="1975"/>
        </w:trPr>
        <w:tc>
          <w:tcPr>
            <w:tcW w:w="1526" w:type="dxa"/>
            <w:tcBorders>
              <w:top w:val="single" w:sz="4" w:space="0" w:color="auto"/>
              <w:left w:val="nil"/>
              <w:bottom w:val="single" w:sz="4" w:space="0" w:color="auto"/>
              <w:right w:val="nil"/>
            </w:tcBorders>
          </w:tcPr>
          <w:p w14:paraId="0D9A89C5" w14:textId="77777777" w:rsidR="00F84BA3" w:rsidRPr="00413626" w:rsidRDefault="00F84BA3" w:rsidP="00F84BA3">
            <w:pPr>
              <w:rPr>
                <w:sz w:val="24"/>
                <w:szCs w:val="24"/>
              </w:rPr>
            </w:pPr>
            <w:r w:rsidRPr="00413626">
              <w:rPr>
                <w:sz w:val="24"/>
                <w:szCs w:val="24"/>
              </w:rPr>
              <w:t xml:space="preserve">Product versus service </w:t>
            </w:r>
            <w:r>
              <w:rPr>
                <w:sz w:val="24"/>
                <w:szCs w:val="24"/>
              </w:rPr>
              <w:t xml:space="preserve">innovation </w:t>
            </w:r>
            <w:r w:rsidRPr="00413626">
              <w:rPr>
                <w:sz w:val="24"/>
                <w:szCs w:val="24"/>
              </w:rPr>
              <w:t>mind-set</w:t>
            </w:r>
          </w:p>
          <w:p w14:paraId="66890BF2" w14:textId="77777777" w:rsidR="00F84BA3" w:rsidRPr="00211FB1" w:rsidRDefault="00F84BA3" w:rsidP="00211FB1">
            <w:pPr>
              <w:jc w:val="both"/>
              <w:rPr>
                <w:sz w:val="24"/>
                <w:szCs w:val="24"/>
              </w:rPr>
            </w:pPr>
          </w:p>
        </w:tc>
        <w:tc>
          <w:tcPr>
            <w:tcW w:w="2551" w:type="dxa"/>
            <w:tcBorders>
              <w:top w:val="single" w:sz="4" w:space="0" w:color="auto"/>
              <w:left w:val="nil"/>
              <w:bottom w:val="single" w:sz="4" w:space="0" w:color="auto"/>
              <w:right w:val="nil"/>
            </w:tcBorders>
          </w:tcPr>
          <w:p w14:paraId="725C5104" w14:textId="77777777" w:rsidR="00F84BA3" w:rsidRPr="00413626" w:rsidRDefault="00F84BA3" w:rsidP="00F84BA3">
            <w:pPr>
              <w:rPr>
                <w:sz w:val="24"/>
                <w:szCs w:val="24"/>
              </w:rPr>
            </w:pPr>
            <w:r w:rsidRPr="00413626">
              <w:rPr>
                <w:i/>
                <w:sz w:val="24"/>
                <w:szCs w:val="24"/>
              </w:rPr>
              <w:t>“[services is] a big growth initiative …but it is an enabler for selling stuff in boxes… we wouldn’t get into the game if we didn’t”</w:t>
            </w:r>
            <w:r w:rsidRPr="00413626">
              <w:rPr>
                <w:sz w:val="24"/>
                <w:szCs w:val="24"/>
              </w:rPr>
              <w:t>.</w:t>
            </w:r>
          </w:p>
          <w:p w14:paraId="329C41C5" w14:textId="5A9CEA42" w:rsidR="00F84BA3" w:rsidRPr="00211FB1" w:rsidRDefault="00F84BA3" w:rsidP="00F84BA3">
            <w:pPr>
              <w:spacing w:after="120"/>
              <w:jc w:val="both"/>
              <w:rPr>
                <w:i/>
                <w:sz w:val="24"/>
                <w:szCs w:val="24"/>
              </w:rPr>
            </w:pPr>
            <w:r w:rsidRPr="00413626">
              <w:rPr>
                <w:i/>
                <w:sz w:val="24"/>
                <w:szCs w:val="24"/>
              </w:rPr>
              <w:t>“At the end of the day we still make hardware... we tend to believe that we will still serve our same channels. Now, it also means we are going to develop apps, that will primarily have different routes to market into other ecosystems that are out there. So, yes, we have to look downstream into how to sell software as it’s something that is not in our DNA really.”</w:t>
            </w:r>
          </w:p>
        </w:tc>
        <w:tc>
          <w:tcPr>
            <w:tcW w:w="3119" w:type="dxa"/>
            <w:tcBorders>
              <w:top w:val="single" w:sz="4" w:space="0" w:color="auto"/>
              <w:left w:val="nil"/>
              <w:bottom w:val="single" w:sz="4" w:space="0" w:color="auto"/>
              <w:right w:val="nil"/>
            </w:tcBorders>
          </w:tcPr>
          <w:p w14:paraId="61157D01" w14:textId="77777777" w:rsidR="00F84BA3" w:rsidRPr="00413626" w:rsidRDefault="00F84BA3" w:rsidP="00F84BA3">
            <w:pPr>
              <w:rPr>
                <w:i/>
                <w:sz w:val="24"/>
                <w:szCs w:val="24"/>
              </w:rPr>
            </w:pPr>
            <w:r w:rsidRPr="00413626">
              <w:rPr>
                <w:i/>
                <w:sz w:val="24"/>
                <w:szCs w:val="24"/>
              </w:rPr>
              <w:t xml:space="preserve">“The whole idea of our service business, our service offering, is to sell our product.” </w:t>
            </w:r>
          </w:p>
          <w:p w14:paraId="10697100" w14:textId="77777777" w:rsidR="00F84BA3" w:rsidRPr="00413626" w:rsidRDefault="00F84BA3" w:rsidP="00F84BA3">
            <w:pPr>
              <w:rPr>
                <w:i/>
                <w:sz w:val="24"/>
                <w:szCs w:val="24"/>
              </w:rPr>
            </w:pPr>
            <w:r w:rsidRPr="00413626">
              <w:rPr>
                <w:rFonts w:eastAsia="Cambria" w:cs="Times New Roman"/>
                <w:i/>
              </w:rPr>
              <w:t>“</w:t>
            </w:r>
            <w:r w:rsidRPr="00413626">
              <w:rPr>
                <w:rFonts w:eastAsia="Cambria" w:cs="Times New Roman"/>
                <w:i/>
                <w:sz w:val="24"/>
                <w:szCs w:val="24"/>
              </w:rPr>
              <w:t xml:space="preserve">The biggest limitation is that selling a complete service requires a totally different set of capabilities and here we have a handful of people that know what to do, … but we have no training culture. So selling this more complex thing requires particularly trained sales people firstly, but secondly also internal people to understand the new challenge with those more complex service offerings.” </w:t>
            </w:r>
          </w:p>
          <w:p w14:paraId="2F93E9E6" w14:textId="77777777" w:rsidR="00F84BA3" w:rsidRPr="00211FB1" w:rsidRDefault="00F84BA3" w:rsidP="00211FB1">
            <w:pPr>
              <w:spacing w:after="120"/>
              <w:jc w:val="both"/>
              <w:rPr>
                <w:i/>
                <w:sz w:val="24"/>
                <w:szCs w:val="24"/>
              </w:rPr>
            </w:pPr>
          </w:p>
        </w:tc>
        <w:tc>
          <w:tcPr>
            <w:tcW w:w="4111" w:type="dxa"/>
            <w:tcBorders>
              <w:top w:val="single" w:sz="4" w:space="0" w:color="auto"/>
              <w:left w:val="nil"/>
              <w:bottom w:val="single" w:sz="4" w:space="0" w:color="auto"/>
              <w:right w:val="nil"/>
            </w:tcBorders>
          </w:tcPr>
          <w:p w14:paraId="59AA8F54" w14:textId="77777777" w:rsidR="00F84BA3" w:rsidRPr="00413626" w:rsidRDefault="00F84BA3" w:rsidP="00F84BA3">
            <w:pPr>
              <w:rPr>
                <w:sz w:val="24"/>
                <w:szCs w:val="24"/>
              </w:rPr>
            </w:pPr>
            <w:r w:rsidRPr="00413626">
              <w:rPr>
                <w:i/>
                <w:sz w:val="24"/>
                <w:szCs w:val="24"/>
              </w:rPr>
              <w:t>“At the time there were 140-something solutions… Over the two years, we’ve transformed to reduce the teams massively. We had four different practice areas and now we’re just [systems team] and we have probably no more than about 20 solutions…. 95% to 98% tied to our products”</w:t>
            </w:r>
            <w:r w:rsidRPr="00413626">
              <w:rPr>
                <w:sz w:val="24"/>
                <w:szCs w:val="24"/>
              </w:rPr>
              <w:t>.</w:t>
            </w:r>
          </w:p>
          <w:p w14:paraId="5880F365" w14:textId="77777777" w:rsidR="00F84BA3" w:rsidRPr="00211FB1" w:rsidRDefault="00F84BA3" w:rsidP="00211FB1">
            <w:pPr>
              <w:spacing w:after="120"/>
              <w:jc w:val="both"/>
              <w:rPr>
                <w:i/>
                <w:sz w:val="24"/>
                <w:szCs w:val="24"/>
              </w:rPr>
            </w:pPr>
          </w:p>
        </w:tc>
        <w:tc>
          <w:tcPr>
            <w:tcW w:w="2867" w:type="dxa"/>
            <w:tcBorders>
              <w:top w:val="single" w:sz="4" w:space="0" w:color="auto"/>
              <w:left w:val="nil"/>
              <w:bottom w:val="single" w:sz="4" w:space="0" w:color="auto"/>
              <w:right w:val="nil"/>
            </w:tcBorders>
          </w:tcPr>
          <w:p w14:paraId="1717B87E" w14:textId="77777777" w:rsidR="00F84BA3" w:rsidRPr="00413626" w:rsidRDefault="00F84BA3" w:rsidP="00F84BA3">
            <w:pPr>
              <w:rPr>
                <w:sz w:val="24"/>
                <w:szCs w:val="24"/>
              </w:rPr>
            </w:pPr>
            <w:r w:rsidRPr="00413626">
              <w:rPr>
                <w:i/>
                <w:sz w:val="24"/>
                <w:szCs w:val="24"/>
              </w:rPr>
              <w:t>“I think there is certainly a senior level acceptance that is the right thing to do and that is gradually maturing through those other lines of business, but it does take time”</w:t>
            </w:r>
            <w:r w:rsidRPr="00413626">
              <w:rPr>
                <w:sz w:val="24"/>
                <w:szCs w:val="24"/>
              </w:rPr>
              <w:t>.</w:t>
            </w:r>
          </w:p>
          <w:p w14:paraId="040D7E43" w14:textId="77777777" w:rsidR="00F84BA3" w:rsidRPr="00413626" w:rsidRDefault="00F84BA3" w:rsidP="00F84BA3">
            <w:pPr>
              <w:rPr>
                <w:sz w:val="24"/>
                <w:szCs w:val="24"/>
              </w:rPr>
            </w:pPr>
            <w:r w:rsidRPr="00413626">
              <w:rPr>
                <w:i/>
                <w:sz w:val="24"/>
                <w:szCs w:val="24"/>
              </w:rPr>
              <w:t xml:space="preserve">“Our first call will always be to use the company’s products but if these products mean that we are not going to win the business then we have got to look elsewhere.” </w:t>
            </w:r>
          </w:p>
          <w:p w14:paraId="66065789" w14:textId="77777777" w:rsidR="00F84BA3" w:rsidRPr="00211FB1" w:rsidRDefault="00F84BA3" w:rsidP="00211FB1">
            <w:pPr>
              <w:spacing w:after="120"/>
              <w:jc w:val="both"/>
              <w:rPr>
                <w:i/>
                <w:sz w:val="24"/>
                <w:szCs w:val="24"/>
              </w:rPr>
            </w:pPr>
          </w:p>
        </w:tc>
      </w:tr>
      <w:tr w:rsidR="00211FB1" w:rsidRPr="00211FB1" w14:paraId="64AC503C" w14:textId="77777777" w:rsidTr="00211FB1">
        <w:trPr>
          <w:trHeight w:val="1975"/>
        </w:trPr>
        <w:tc>
          <w:tcPr>
            <w:tcW w:w="1526" w:type="dxa"/>
            <w:tcBorders>
              <w:top w:val="single" w:sz="4" w:space="0" w:color="auto"/>
              <w:left w:val="nil"/>
              <w:bottom w:val="single" w:sz="4" w:space="0" w:color="auto"/>
              <w:right w:val="nil"/>
            </w:tcBorders>
          </w:tcPr>
          <w:p w14:paraId="7B880218" w14:textId="77777777" w:rsidR="00211FB1" w:rsidRPr="00211FB1" w:rsidRDefault="00211FB1" w:rsidP="00211FB1">
            <w:pPr>
              <w:jc w:val="both"/>
              <w:rPr>
                <w:sz w:val="24"/>
                <w:szCs w:val="24"/>
              </w:rPr>
            </w:pPr>
            <w:r w:rsidRPr="00211FB1">
              <w:rPr>
                <w:sz w:val="24"/>
                <w:szCs w:val="24"/>
              </w:rPr>
              <w:t>NPD/NSD processes</w:t>
            </w:r>
          </w:p>
          <w:p w14:paraId="2BC55E76" w14:textId="77777777" w:rsidR="00211FB1" w:rsidRPr="00211FB1" w:rsidRDefault="00211FB1" w:rsidP="00211FB1">
            <w:pPr>
              <w:jc w:val="both"/>
              <w:rPr>
                <w:sz w:val="24"/>
                <w:szCs w:val="24"/>
              </w:rPr>
            </w:pPr>
          </w:p>
          <w:p w14:paraId="4DC5A590" w14:textId="77777777" w:rsidR="00211FB1" w:rsidRPr="00211FB1" w:rsidRDefault="00211FB1" w:rsidP="00211FB1">
            <w:pPr>
              <w:rPr>
                <w:sz w:val="24"/>
                <w:szCs w:val="24"/>
              </w:rPr>
            </w:pPr>
          </w:p>
          <w:p w14:paraId="326D7734" w14:textId="77777777" w:rsidR="00211FB1" w:rsidRPr="00211FB1" w:rsidRDefault="00211FB1" w:rsidP="00211FB1">
            <w:pPr>
              <w:jc w:val="center"/>
              <w:rPr>
                <w:sz w:val="24"/>
                <w:szCs w:val="24"/>
              </w:rPr>
            </w:pPr>
          </w:p>
          <w:p w14:paraId="2C82E354" w14:textId="77777777" w:rsidR="00211FB1" w:rsidRPr="00211FB1" w:rsidRDefault="00211FB1" w:rsidP="00211FB1">
            <w:pPr>
              <w:rPr>
                <w:sz w:val="24"/>
                <w:szCs w:val="24"/>
              </w:rPr>
            </w:pPr>
          </w:p>
        </w:tc>
        <w:tc>
          <w:tcPr>
            <w:tcW w:w="2551" w:type="dxa"/>
            <w:tcBorders>
              <w:top w:val="single" w:sz="4" w:space="0" w:color="auto"/>
              <w:left w:val="nil"/>
              <w:bottom w:val="single" w:sz="4" w:space="0" w:color="auto"/>
              <w:right w:val="nil"/>
            </w:tcBorders>
          </w:tcPr>
          <w:p w14:paraId="3457D466" w14:textId="77777777" w:rsidR="00211FB1" w:rsidRPr="00211FB1" w:rsidRDefault="00211FB1" w:rsidP="00211FB1">
            <w:pPr>
              <w:spacing w:after="120"/>
              <w:jc w:val="both"/>
              <w:rPr>
                <w:sz w:val="24"/>
                <w:szCs w:val="24"/>
              </w:rPr>
            </w:pPr>
            <w:r w:rsidRPr="00211FB1">
              <w:rPr>
                <w:i/>
                <w:sz w:val="24"/>
                <w:szCs w:val="24"/>
              </w:rPr>
              <w:t>“We try to avoid having one-off small developments because (of) all the approvals... we’ve got to be very careful we don’t get blocked with lots of small stuff”</w:t>
            </w:r>
            <w:r w:rsidRPr="00211FB1">
              <w:rPr>
                <w:sz w:val="24"/>
                <w:szCs w:val="24"/>
              </w:rPr>
              <w:t xml:space="preserve">. </w:t>
            </w:r>
          </w:p>
          <w:p w14:paraId="287C2074" w14:textId="77777777" w:rsidR="00211FB1" w:rsidRPr="00211FB1" w:rsidRDefault="00211FB1" w:rsidP="00211FB1">
            <w:pPr>
              <w:spacing w:after="120"/>
              <w:jc w:val="both"/>
              <w:rPr>
                <w:sz w:val="24"/>
                <w:szCs w:val="24"/>
              </w:rPr>
            </w:pPr>
            <w:r w:rsidRPr="00211FB1">
              <w:rPr>
                <w:i/>
                <w:sz w:val="24"/>
                <w:szCs w:val="24"/>
              </w:rPr>
              <w:t>“If you look at our R&amp;D skills’ pool, it’s been built up over 20-30 years to deliver the kind of software that we would need in proprietary systems….when you turn round and say to somebody ‘open protocol, IP environment’ most of our people can’t do that”</w:t>
            </w:r>
            <w:r w:rsidRPr="00211FB1">
              <w:rPr>
                <w:sz w:val="24"/>
                <w:szCs w:val="24"/>
              </w:rPr>
              <w:t>.</w:t>
            </w:r>
          </w:p>
          <w:p w14:paraId="3CF5BBFC" w14:textId="77777777" w:rsidR="00211FB1" w:rsidRPr="00211FB1" w:rsidRDefault="00211FB1" w:rsidP="00211FB1">
            <w:pPr>
              <w:spacing w:after="120"/>
              <w:jc w:val="both"/>
              <w:rPr>
                <w:sz w:val="24"/>
                <w:szCs w:val="24"/>
              </w:rPr>
            </w:pPr>
          </w:p>
        </w:tc>
        <w:tc>
          <w:tcPr>
            <w:tcW w:w="3119" w:type="dxa"/>
            <w:tcBorders>
              <w:top w:val="single" w:sz="4" w:space="0" w:color="auto"/>
              <w:left w:val="nil"/>
              <w:bottom w:val="single" w:sz="4" w:space="0" w:color="auto"/>
              <w:right w:val="nil"/>
            </w:tcBorders>
          </w:tcPr>
          <w:p w14:paraId="3A399514" w14:textId="77777777" w:rsidR="00211FB1" w:rsidRPr="00211FB1" w:rsidRDefault="00211FB1" w:rsidP="00211FB1">
            <w:pPr>
              <w:spacing w:after="120"/>
              <w:jc w:val="both"/>
              <w:rPr>
                <w:sz w:val="24"/>
                <w:szCs w:val="24"/>
              </w:rPr>
            </w:pPr>
            <w:r w:rsidRPr="00211FB1">
              <w:rPr>
                <w:i/>
                <w:sz w:val="24"/>
                <w:szCs w:val="24"/>
              </w:rPr>
              <w:t>“It’s almost like ‘bushman’ mentality …an innovation, it just kind of gets knocked and kicked around the group… so it’s really not a process, it’s more a brainstorming operation and I’d say that’s even the case at management level. …. We do napkin, fag packet type calculations and if it seems to make sense, then that’s what we do. We don’t formally do a market appraisal.  If the boss feels it’s okay, then ok”</w:t>
            </w:r>
            <w:r w:rsidRPr="00211FB1">
              <w:rPr>
                <w:sz w:val="24"/>
                <w:szCs w:val="24"/>
              </w:rPr>
              <w:t>.</w:t>
            </w:r>
          </w:p>
          <w:p w14:paraId="4E18F4A2" w14:textId="77777777" w:rsidR="00211FB1" w:rsidRPr="00211FB1" w:rsidRDefault="00211FB1" w:rsidP="00211FB1">
            <w:pPr>
              <w:spacing w:after="120"/>
              <w:jc w:val="both"/>
              <w:rPr>
                <w:sz w:val="24"/>
                <w:szCs w:val="24"/>
              </w:rPr>
            </w:pPr>
          </w:p>
          <w:p w14:paraId="2E6DD8EC" w14:textId="77777777" w:rsidR="00211FB1" w:rsidRPr="00211FB1" w:rsidRDefault="00211FB1" w:rsidP="00211FB1">
            <w:pPr>
              <w:spacing w:after="120"/>
              <w:jc w:val="both"/>
              <w:rPr>
                <w:sz w:val="24"/>
                <w:szCs w:val="24"/>
              </w:rPr>
            </w:pPr>
          </w:p>
        </w:tc>
        <w:tc>
          <w:tcPr>
            <w:tcW w:w="4111" w:type="dxa"/>
            <w:tcBorders>
              <w:top w:val="single" w:sz="4" w:space="0" w:color="auto"/>
              <w:left w:val="nil"/>
              <w:bottom w:val="single" w:sz="4" w:space="0" w:color="auto"/>
              <w:right w:val="nil"/>
            </w:tcBorders>
            <w:hideMark/>
          </w:tcPr>
          <w:p w14:paraId="4727A90E" w14:textId="77777777" w:rsidR="00211FB1" w:rsidRPr="00211FB1" w:rsidRDefault="00211FB1" w:rsidP="00211FB1">
            <w:pPr>
              <w:spacing w:after="120"/>
              <w:jc w:val="both"/>
              <w:rPr>
                <w:sz w:val="24"/>
                <w:szCs w:val="24"/>
              </w:rPr>
            </w:pPr>
            <w:r w:rsidRPr="00211FB1">
              <w:rPr>
                <w:i/>
                <w:sz w:val="24"/>
                <w:szCs w:val="24"/>
              </w:rPr>
              <w:t xml:space="preserve">“The very early [approval gates] are at the [service SBU] level, then it usually goes to the [next] level, and if there’s a major investment it probably goes right up to the [group] leadership team to do that, depending on the spend” </w:t>
            </w:r>
            <w:r w:rsidRPr="00211FB1">
              <w:rPr>
                <w:sz w:val="24"/>
                <w:szCs w:val="24"/>
              </w:rPr>
              <w:t>.</w:t>
            </w:r>
          </w:p>
          <w:p w14:paraId="578D5753" w14:textId="77777777" w:rsidR="00211FB1" w:rsidRPr="00211FB1" w:rsidRDefault="00211FB1" w:rsidP="00211FB1">
            <w:pPr>
              <w:spacing w:after="120"/>
              <w:jc w:val="both"/>
              <w:rPr>
                <w:sz w:val="24"/>
                <w:szCs w:val="24"/>
              </w:rPr>
            </w:pPr>
            <w:r w:rsidRPr="00211FB1">
              <w:rPr>
                <w:i/>
                <w:sz w:val="24"/>
                <w:szCs w:val="24"/>
              </w:rPr>
              <w:t>“The challenge is being able to address each area in convincing ways, giving them what they want and that means the innovation for some is relatively safe, it’s much more productised innovation, for others it’s very much bespoke. Hopefully in the middle we get some customers where we can go and try some things, prove it works and then feed it back in later”</w:t>
            </w:r>
            <w:r w:rsidRPr="00211FB1">
              <w:rPr>
                <w:sz w:val="24"/>
                <w:szCs w:val="24"/>
              </w:rPr>
              <w:t>.</w:t>
            </w:r>
          </w:p>
          <w:p w14:paraId="645BF1CD" w14:textId="77777777" w:rsidR="00211FB1" w:rsidRPr="00211FB1" w:rsidRDefault="00211FB1" w:rsidP="00211FB1">
            <w:pPr>
              <w:spacing w:after="120"/>
              <w:rPr>
                <w:sz w:val="24"/>
                <w:szCs w:val="24"/>
              </w:rPr>
            </w:pPr>
            <w:r w:rsidRPr="00211FB1">
              <w:rPr>
                <w:i/>
                <w:sz w:val="24"/>
                <w:szCs w:val="24"/>
              </w:rPr>
              <w:t>“We have certain customers we know … they know us and there’s a good trust relationship. We can then go and take ideas along and develop them or bounce ideas off them; develop proofs of concept. There are other customers that we definitely wouldn’t go to with something new”</w:t>
            </w:r>
            <w:r w:rsidRPr="00211FB1">
              <w:rPr>
                <w:sz w:val="24"/>
                <w:szCs w:val="24"/>
              </w:rPr>
              <w:t>.</w:t>
            </w:r>
          </w:p>
          <w:p w14:paraId="36583FD5" w14:textId="77777777" w:rsidR="00211FB1" w:rsidRPr="00211FB1" w:rsidRDefault="00211FB1" w:rsidP="00211FB1">
            <w:pPr>
              <w:spacing w:after="120"/>
              <w:jc w:val="both"/>
              <w:rPr>
                <w:sz w:val="24"/>
                <w:szCs w:val="24"/>
              </w:rPr>
            </w:pPr>
            <w:r w:rsidRPr="00211FB1">
              <w:rPr>
                <w:i/>
                <w:sz w:val="24"/>
                <w:szCs w:val="24"/>
              </w:rPr>
              <w:t>“It gets picked up and fed back in and then Solution Owners get involved, ‘what went wrong here; why didn’t it work; what have we missed; what have we learnt for next time?’”</w:t>
            </w:r>
            <w:r w:rsidRPr="00211FB1">
              <w:rPr>
                <w:sz w:val="24"/>
                <w:szCs w:val="24"/>
              </w:rPr>
              <w:t>.</w:t>
            </w:r>
          </w:p>
        </w:tc>
        <w:tc>
          <w:tcPr>
            <w:tcW w:w="2867" w:type="dxa"/>
            <w:tcBorders>
              <w:top w:val="single" w:sz="4" w:space="0" w:color="auto"/>
              <w:left w:val="nil"/>
              <w:bottom w:val="single" w:sz="4" w:space="0" w:color="auto"/>
              <w:right w:val="nil"/>
            </w:tcBorders>
            <w:hideMark/>
          </w:tcPr>
          <w:p w14:paraId="7295999B" w14:textId="77777777" w:rsidR="00211FB1" w:rsidRPr="00211FB1" w:rsidRDefault="00211FB1" w:rsidP="00211FB1">
            <w:pPr>
              <w:spacing w:after="120"/>
              <w:jc w:val="both"/>
              <w:rPr>
                <w:sz w:val="24"/>
                <w:szCs w:val="24"/>
              </w:rPr>
            </w:pPr>
            <w:r w:rsidRPr="00211FB1">
              <w:rPr>
                <w:i/>
                <w:sz w:val="24"/>
                <w:szCs w:val="24"/>
              </w:rPr>
              <w:t>“It is tailorable in that you have to go through each gate but for a simple solution … we still have to go through the gates but the meeting may be a couple of PowerPoint slides and some chat.... If the solution is more complex and the risks we are taking more complicated, then we would be more careful with the process”</w:t>
            </w:r>
            <w:r w:rsidRPr="00211FB1">
              <w:rPr>
                <w:sz w:val="24"/>
                <w:szCs w:val="24"/>
              </w:rPr>
              <w:t>.</w:t>
            </w:r>
          </w:p>
          <w:p w14:paraId="7032B73B" w14:textId="77777777" w:rsidR="00211FB1" w:rsidRPr="00211FB1" w:rsidRDefault="00211FB1" w:rsidP="00211FB1">
            <w:pPr>
              <w:spacing w:after="120"/>
              <w:jc w:val="both"/>
              <w:rPr>
                <w:sz w:val="24"/>
                <w:szCs w:val="24"/>
              </w:rPr>
            </w:pPr>
            <w:r w:rsidRPr="00211FB1">
              <w:rPr>
                <w:i/>
                <w:sz w:val="24"/>
                <w:szCs w:val="24"/>
              </w:rPr>
              <w:t>The [manager] who starts the relationship with the customer…has ‘carte blanche’ to fix the customer’s problem. As it comes closer to putting an offer on the table then that person needs help from experts around the company to gauge whether the company can deliver that solution and whether we can make money out of it</w:t>
            </w:r>
            <w:r w:rsidRPr="00211FB1">
              <w:rPr>
                <w:sz w:val="24"/>
                <w:szCs w:val="24"/>
              </w:rPr>
              <w:t>.</w:t>
            </w:r>
          </w:p>
        </w:tc>
      </w:tr>
      <w:tr w:rsidR="00211FB1" w:rsidRPr="00211FB1" w14:paraId="07EF098C" w14:textId="77777777" w:rsidTr="00211FB1">
        <w:tc>
          <w:tcPr>
            <w:tcW w:w="1526" w:type="dxa"/>
            <w:tcBorders>
              <w:top w:val="single" w:sz="4" w:space="0" w:color="auto"/>
              <w:left w:val="nil"/>
              <w:bottom w:val="single" w:sz="4" w:space="0" w:color="auto"/>
              <w:right w:val="nil"/>
            </w:tcBorders>
          </w:tcPr>
          <w:p w14:paraId="418F0D1A" w14:textId="77777777" w:rsidR="00211FB1" w:rsidRPr="00211FB1" w:rsidRDefault="00211FB1" w:rsidP="00211FB1">
            <w:pPr>
              <w:rPr>
                <w:sz w:val="24"/>
                <w:szCs w:val="24"/>
              </w:rPr>
            </w:pPr>
            <w:r w:rsidRPr="00211FB1">
              <w:rPr>
                <w:sz w:val="24"/>
                <w:szCs w:val="24"/>
              </w:rPr>
              <w:t>Connections between NPD and NSD</w:t>
            </w:r>
          </w:p>
          <w:p w14:paraId="27F6693A" w14:textId="77777777" w:rsidR="00211FB1" w:rsidRPr="00211FB1" w:rsidRDefault="00211FB1" w:rsidP="00211FB1">
            <w:pPr>
              <w:rPr>
                <w:sz w:val="24"/>
                <w:szCs w:val="24"/>
              </w:rPr>
            </w:pPr>
          </w:p>
          <w:p w14:paraId="332F9430" w14:textId="77777777" w:rsidR="00211FB1" w:rsidRPr="00211FB1" w:rsidRDefault="00211FB1" w:rsidP="00211FB1">
            <w:pPr>
              <w:rPr>
                <w:i/>
                <w:sz w:val="24"/>
                <w:szCs w:val="24"/>
              </w:rPr>
            </w:pPr>
          </w:p>
        </w:tc>
        <w:tc>
          <w:tcPr>
            <w:tcW w:w="2551" w:type="dxa"/>
            <w:tcBorders>
              <w:top w:val="single" w:sz="4" w:space="0" w:color="auto"/>
              <w:left w:val="nil"/>
              <w:bottom w:val="single" w:sz="4" w:space="0" w:color="auto"/>
              <w:right w:val="nil"/>
            </w:tcBorders>
            <w:hideMark/>
          </w:tcPr>
          <w:p w14:paraId="4354BF2B" w14:textId="77777777" w:rsidR="00211FB1" w:rsidRPr="00211FB1" w:rsidRDefault="00211FB1" w:rsidP="00211FB1">
            <w:pPr>
              <w:spacing w:after="120"/>
              <w:jc w:val="both"/>
              <w:rPr>
                <w:sz w:val="24"/>
                <w:szCs w:val="24"/>
              </w:rPr>
            </w:pPr>
            <w:r w:rsidRPr="00211FB1">
              <w:rPr>
                <w:i/>
                <w:sz w:val="24"/>
                <w:szCs w:val="24"/>
              </w:rPr>
              <w:t>“the systems business integrate our devices to the control panels and all the peripherals into a system and… will maintain those devices in the field. So, we don’t have an after-market business, we just have an OEM business… we sell those detectors to (service SBU) group at the same price….This is the business model that we have today. The largest part of the service model still continues at the systems side; they are the customer-facing business.”</w:t>
            </w:r>
            <w:r w:rsidRPr="00211FB1">
              <w:rPr>
                <w:sz w:val="24"/>
                <w:szCs w:val="24"/>
              </w:rPr>
              <w:t xml:space="preserve"> </w:t>
            </w:r>
          </w:p>
        </w:tc>
        <w:tc>
          <w:tcPr>
            <w:tcW w:w="3119" w:type="dxa"/>
            <w:tcBorders>
              <w:top w:val="single" w:sz="4" w:space="0" w:color="auto"/>
              <w:left w:val="nil"/>
              <w:bottom w:val="single" w:sz="4" w:space="0" w:color="auto"/>
              <w:right w:val="nil"/>
            </w:tcBorders>
          </w:tcPr>
          <w:p w14:paraId="2536A446" w14:textId="77777777" w:rsidR="00211FB1" w:rsidRPr="00211FB1" w:rsidRDefault="00211FB1" w:rsidP="00211FB1">
            <w:pPr>
              <w:spacing w:after="120"/>
              <w:jc w:val="both"/>
              <w:rPr>
                <w:sz w:val="24"/>
                <w:szCs w:val="24"/>
              </w:rPr>
            </w:pPr>
            <w:r w:rsidRPr="00211FB1">
              <w:rPr>
                <w:i/>
                <w:sz w:val="24"/>
                <w:szCs w:val="24"/>
              </w:rPr>
              <w:t>“the sales team is trying to look at what we can do for the customers and where we can improve [product] performance…then you bring it back into the company and start to discuss with management… in general, the sales forces are in the most important position; they are talking with the customer, they see what markets need”</w:t>
            </w:r>
            <w:r w:rsidRPr="00211FB1">
              <w:rPr>
                <w:sz w:val="24"/>
                <w:szCs w:val="24"/>
              </w:rPr>
              <w:t>.</w:t>
            </w:r>
          </w:p>
          <w:p w14:paraId="3C48C821" w14:textId="77777777" w:rsidR="00211FB1" w:rsidRPr="00211FB1" w:rsidRDefault="00211FB1" w:rsidP="00211FB1">
            <w:pPr>
              <w:spacing w:after="120"/>
              <w:jc w:val="both"/>
              <w:rPr>
                <w:sz w:val="24"/>
                <w:szCs w:val="24"/>
              </w:rPr>
            </w:pPr>
          </w:p>
        </w:tc>
        <w:tc>
          <w:tcPr>
            <w:tcW w:w="4111" w:type="dxa"/>
            <w:tcBorders>
              <w:top w:val="single" w:sz="4" w:space="0" w:color="auto"/>
              <w:left w:val="nil"/>
              <w:bottom w:val="single" w:sz="4" w:space="0" w:color="auto"/>
              <w:right w:val="nil"/>
            </w:tcBorders>
          </w:tcPr>
          <w:p w14:paraId="4F326464" w14:textId="77777777" w:rsidR="00211FB1" w:rsidRPr="00211FB1" w:rsidRDefault="00211FB1" w:rsidP="00211FB1">
            <w:pPr>
              <w:spacing w:after="120"/>
              <w:jc w:val="both"/>
              <w:rPr>
                <w:i/>
                <w:sz w:val="24"/>
                <w:szCs w:val="24"/>
              </w:rPr>
            </w:pPr>
            <w:r w:rsidRPr="00211FB1">
              <w:rPr>
                <w:i/>
                <w:sz w:val="24"/>
                <w:szCs w:val="24"/>
              </w:rPr>
              <w:t xml:space="preserve">“For service-led [innovation], we've got guys in the market… close to customers. It’s more of a consultative type of selling… we look at what the customer’s ‘pain points’ are… try to foresee where the industry’s going; and try to … create something unique for the customer”. </w:t>
            </w:r>
          </w:p>
          <w:p w14:paraId="5B423854" w14:textId="77777777" w:rsidR="00211FB1" w:rsidRPr="00211FB1" w:rsidRDefault="00211FB1" w:rsidP="00211FB1">
            <w:pPr>
              <w:spacing w:after="120"/>
              <w:jc w:val="both"/>
              <w:rPr>
                <w:i/>
                <w:sz w:val="24"/>
                <w:szCs w:val="24"/>
              </w:rPr>
            </w:pPr>
          </w:p>
          <w:p w14:paraId="1677CCDA" w14:textId="77777777" w:rsidR="00211FB1" w:rsidRPr="00211FB1" w:rsidRDefault="00211FB1" w:rsidP="00211FB1">
            <w:pPr>
              <w:spacing w:after="120"/>
              <w:jc w:val="both"/>
              <w:rPr>
                <w:i/>
                <w:sz w:val="24"/>
                <w:szCs w:val="24"/>
              </w:rPr>
            </w:pPr>
          </w:p>
        </w:tc>
        <w:tc>
          <w:tcPr>
            <w:tcW w:w="2867" w:type="dxa"/>
            <w:tcBorders>
              <w:top w:val="single" w:sz="4" w:space="0" w:color="auto"/>
              <w:left w:val="nil"/>
              <w:bottom w:val="single" w:sz="4" w:space="0" w:color="auto"/>
              <w:right w:val="nil"/>
            </w:tcBorders>
          </w:tcPr>
          <w:p w14:paraId="0CFA94F9" w14:textId="77777777" w:rsidR="00211FB1" w:rsidRPr="00211FB1" w:rsidRDefault="00211FB1" w:rsidP="00211FB1">
            <w:pPr>
              <w:spacing w:after="120"/>
              <w:jc w:val="both"/>
              <w:rPr>
                <w:sz w:val="24"/>
                <w:szCs w:val="24"/>
              </w:rPr>
            </w:pPr>
            <w:r w:rsidRPr="00211FB1">
              <w:rPr>
                <w:i/>
                <w:sz w:val="24"/>
                <w:szCs w:val="24"/>
              </w:rPr>
              <w:t>“We do feed back into the lines of business. For this solution, this is the range products we are going to use and why we are not using [AeroCo] products. They [product people] can take on-board what we have told them. Or if they want to ignore it because they have other customers that just want to buy product then that’s their own call”</w:t>
            </w:r>
            <w:r w:rsidRPr="00211FB1">
              <w:rPr>
                <w:sz w:val="24"/>
                <w:szCs w:val="24"/>
              </w:rPr>
              <w:t>.</w:t>
            </w:r>
          </w:p>
          <w:p w14:paraId="0431DCC4" w14:textId="77777777" w:rsidR="00211FB1" w:rsidRPr="00211FB1" w:rsidRDefault="00211FB1" w:rsidP="00211FB1">
            <w:pPr>
              <w:spacing w:after="120"/>
              <w:jc w:val="both"/>
              <w:rPr>
                <w:sz w:val="24"/>
                <w:szCs w:val="24"/>
              </w:rPr>
            </w:pPr>
          </w:p>
        </w:tc>
      </w:tr>
      <w:tr w:rsidR="00211FB1" w:rsidRPr="00211FB1" w14:paraId="794EECE4" w14:textId="77777777" w:rsidTr="00211FB1">
        <w:tc>
          <w:tcPr>
            <w:tcW w:w="1526" w:type="dxa"/>
            <w:tcBorders>
              <w:top w:val="single" w:sz="4" w:space="0" w:color="auto"/>
              <w:left w:val="nil"/>
              <w:bottom w:val="single" w:sz="4" w:space="0" w:color="auto"/>
              <w:right w:val="nil"/>
            </w:tcBorders>
          </w:tcPr>
          <w:p w14:paraId="784DF821" w14:textId="5E6CBF5D" w:rsidR="00211FB1" w:rsidRPr="00211FB1" w:rsidRDefault="00211FB1" w:rsidP="00211FB1">
            <w:pPr>
              <w:jc w:val="both"/>
              <w:rPr>
                <w:sz w:val="24"/>
                <w:szCs w:val="24"/>
              </w:rPr>
            </w:pPr>
            <w:r w:rsidRPr="00211FB1">
              <w:rPr>
                <w:sz w:val="24"/>
                <w:szCs w:val="24"/>
              </w:rPr>
              <w:t xml:space="preserve">People and </w:t>
            </w:r>
            <w:r w:rsidR="008C2BE7">
              <w:rPr>
                <w:sz w:val="24"/>
                <w:szCs w:val="24"/>
              </w:rPr>
              <w:t>Service</w:t>
            </w:r>
            <w:r w:rsidR="006A24BD">
              <w:rPr>
                <w:sz w:val="24"/>
                <w:szCs w:val="24"/>
              </w:rPr>
              <w:t>s</w:t>
            </w:r>
          </w:p>
          <w:p w14:paraId="6234F3A3" w14:textId="77777777" w:rsidR="00211FB1" w:rsidRPr="00211FB1" w:rsidRDefault="00211FB1" w:rsidP="00211FB1">
            <w:pPr>
              <w:jc w:val="both"/>
              <w:rPr>
                <w:sz w:val="24"/>
                <w:szCs w:val="24"/>
              </w:rPr>
            </w:pPr>
            <w:r w:rsidRPr="00211FB1">
              <w:rPr>
                <w:sz w:val="24"/>
                <w:szCs w:val="24"/>
              </w:rPr>
              <w:t>Deployment</w:t>
            </w:r>
          </w:p>
          <w:p w14:paraId="24739267" w14:textId="77777777" w:rsidR="00211FB1" w:rsidRPr="00211FB1" w:rsidRDefault="00211FB1" w:rsidP="00211FB1">
            <w:pPr>
              <w:jc w:val="both"/>
              <w:rPr>
                <w:sz w:val="24"/>
                <w:szCs w:val="24"/>
              </w:rPr>
            </w:pPr>
          </w:p>
          <w:p w14:paraId="00C43943" w14:textId="77777777" w:rsidR="00211FB1" w:rsidRPr="00211FB1" w:rsidRDefault="00211FB1" w:rsidP="00211FB1">
            <w:pPr>
              <w:jc w:val="both"/>
              <w:rPr>
                <w:i/>
                <w:sz w:val="24"/>
                <w:szCs w:val="24"/>
              </w:rPr>
            </w:pPr>
          </w:p>
        </w:tc>
        <w:tc>
          <w:tcPr>
            <w:tcW w:w="2551" w:type="dxa"/>
            <w:tcBorders>
              <w:top w:val="single" w:sz="4" w:space="0" w:color="auto"/>
              <w:left w:val="nil"/>
              <w:bottom w:val="single" w:sz="4" w:space="0" w:color="auto"/>
              <w:right w:val="nil"/>
            </w:tcBorders>
            <w:hideMark/>
          </w:tcPr>
          <w:p w14:paraId="02D56987" w14:textId="77777777" w:rsidR="00211FB1" w:rsidRPr="00211FB1" w:rsidRDefault="00211FB1" w:rsidP="00211FB1">
            <w:pPr>
              <w:spacing w:after="120"/>
              <w:jc w:val="both"/>
              <w:rPr>
                <w:sz w:val="24"/>
                <w:szCs w:val="24"/>
              </w:rPr>
            </w:pPr>
            <w:r w:rsidRPr="00211FB1">
              <w:rPr>
                <w:i/>
                <w:sz w:val="24"/>
                <w:szCs w:val="24"/>
              </w:rPr>
              <w:t>“It’s a very heavy person-type of activity and we haven’t got the resources; so we actually don’t do a lot of the ongoing annual maintenance. That’s a very labour intensive activity and really that’s the preserve of what our customers do…(we)</w:t>
            </w:r>
            <w:r w:rsidRPr="00211FB1">
              <w:rPr>
                <w:sz w:val="24"/>
                <w:szCs w:val="24"/>
              </w:rPr>
              <w:t xml:space="preserve"> </w:t>
            </w:r>
            <w:r w:rsidRPr="00211FB1">
              <w:rPr>
                <w:i/>
                <w:sz w:val="24"/>
                <w:szCs w:val="24"/>
              </w:rPr>
              <w:t>struggle with the services a little bit as well because we don’t do it globally, … and lack a bit of critical mass to really generate efficiencies”</w:t>
            </w:r>
            <w:r w:rsidRPr="00211FB1">
              <w:rPr>
                <w:sz w:val="24"/>
                <w:szCs w:val="24"/>
              </w:rPr>
              <w:t>.</w:t>
            </w:r>
          </w:p>
        </w:tc>
        <w:tc>
          <w:tcPr>
            <w:tcW w:w="3119" w:type="dxa"/>
            <w:tcBorders>
              <w:top w:val="single" w:sz="4" w:space="0" w:color="auto"/>
              <w:left w:val="nil"/>
              <w:bottom w:val="single" w:sz="4" w:space="0" w:color="auto"/>
              <w:right w:val="nil"/>
            </w:tcBorders>
          </w:tcPr>
          <w:p w14:paraId="503E1DA2" w14:textId="77777777" w:rsidR="00211FB1" w:rsidRPr="00211FB1" w:rsidRDefault="00211FB1" w:rsidP="00211FB1">
            <w:pPr>
              <w:spacing w:after="120"/>
              <w:jc w:val="both"/>
              <w:rPr>
                <w:sz w:val="24"/>
                <w:szCs w:val="24"/>
              </w:rPr>
            </w:pPr>
            <w:r w:rsidRPr="00211FB1">
              <w:rPr>
                <w:i/>
                <w:sz w:val="24"/>
                <w:szCs w:val="24"/>
              </w:rPr>
              <w:t>“Sometimes we do not have really dedicated people doing just one thing, or developing just one thing …and our labs are also very much production oriented. Our labs are more related to production so maybe we are not so innovative with absolutely new products, or we do it more on an ad hoc basis. This has simply to do with the size of the company. Sometimes we simply lack manpower”</w:t>
            </w:r>
            <w:r w:rsidRPr="00211FB1">
              <w:rPr>
                <w:sz w:val="24"/>
                <w:szCs w:val="24"/>
              </w:rPr>
              <w:t>.</w:t>
            </w:r>
          </w:p>
          <w:p w14:paraId="7A03C106" w14:textId="77777777" w:rsidR="00211FB1" w:rsidRPr="00211FB1" w:rsidRDefault="00211FB1" w:rsidP="00211FB1">
            <w:pPr>
              <w:spacing w:after="120"/>
              <w:jc w:val="both"/>
              <w:rPr>
                <w:sz w:val="24"/>
                <w:szCs w:val="24"/>
              </w:rPr>
            </w:pPr>
            <w:r w:rsidRPr="00211FB1">
              <w:rPr>
                <w:i/>
                <w:sz w:val="24"/>
                <w:szCs w:val="24"/>
              </w:rPr>
              <w:t>“We may, and have in the past, carried out service offering when we’re not supplying our product, usually just to keep our service team ticking over when they have a lull in activity”</w:t>
            </w:r>
            <w:r w:rsidRPr="00211FB1">
              <w:rPr>
                <w:sz w:val="24"/>
                <w:szCs w:val="24"/>
              </w:rPr>
              <w:t>.</w:t>
            </w:r>
          </w:p>
          <w:p w14:paraId="7D110DB8" w14:textId="77777777" w:rsidR="00211FB1" w:rsidRPr="00211FB1" w:rsidRDefault="00211FB1" w:rsidP="00211FB1">
            <w:pPr>
              <w:spacing w:after="120"/>
              <w:jc w:val="both"/>
              <w:rPr>
                <w:sz w:val="24"/>
                <w:szCs w:val="24"/>
              </w:rPr>
            </w:pPr>
          </w:p>
        </w:tc>
        <w:tc>
          <w:tcPr>
            <w:tcW w:w="4111" w:type="dxa"/>
            <w:tcBorders>
              <w:top w:val="single" w:sz="4" w:space="0" w:color="auto"/>
              <w:left w:val="nil"/>
              <w:bottom w:val="single" w:sz="4" w:space="0" w:color="auto"/>
              <w:right w:val="nil"/>
            </w:tcBorders>
          </w:tcPr>
          <w:p w14:paraId="12484681" w14:textId="77777777" w:rsidR="00211FB1" w:rsidRPr="00211FB1" w:rsidRDefault="00211FB1" w:rsidP="00211FB1">
            <w:pPr>
              <w:spacing w:after="120"/>
              <w:jc w:val="both"/>
              <w:rPr>
                <w:i/>
                <w:sz w:val="24"/>
                <w:szCs w:val="24"/>
              </w:rPr>
            </w:pPr>
            <w:r w:rsidRPr="00211FB1">
              <w:rPr>
                <w:i/>
                <w:sz w:val="24"/>
                <w:szCs w:val="24"/>
              </w:rPr>
              <w:t>“Delivery pays the bills today. Innovation pays the bills in the future. So, we’ve got to pay the bills now and try and come up with something new that’s going to pay the bills in the future. So it’s not ideal.</w:t>
            </w:r>
          </w:p>
          <w:p w14:paraId="79C583AC" w14:textId="77777777" w:rsidR="00211FB1" w:rsidRPr="00211FB1" w:rsidRDefault="00211FB1" w:rsidP="00211FB1">
            <w:pPr>
              <w:spacing w:after="120"/>
              <w:jc w:val="both"/>
              <w:rPr>
                <w:sz w:val="24"/>
                <w:szCs w:val="24"/>
              </w:rPr>
            </w:pPr>
            <w:r w:rsidRPr="00211FB1">
              <w:rPr>
                <w:i/>
                <w:sz w:val="24"/>
                <w:szCs w:val="24"/>
              </w:rPr>
              <w:t>“There used to be a large consulting team and they were very bright guys and we’ve still got some of them, but a very small number, and I think it’s to the detriment of the company”</w:t>
            </w:r>
            <w:r w:rsidRPr="00211FB1">
              <w:rPr>
                <w:sz w:val="24"/>
                <w:szCs w:val="24"/>
              </w:rPr>
              <w:t>.</w:t>
            </w:r>
          </w:p>
          <w:p w14:paraId="29596242" w14:textId="77777777" w:rsidR="00211FB1" w:rsidRPr="00211FB1" w:rsidRDefault="00211FB1" w:rsidP="00211FB1">
            <w:pPr>
              <w:spacing w:after="120"/>
              <w:jc w:val="both"/>
              <w:rPr>
                <w:sz w:val="24"/>
                <w:szCs w:val="24"/>
              </w:rPr>
            </w:pPr>
            <w:r w:rsidRPr="00211FB1">
              <w:rPr>
                <w:i/>
                <w:sz w:val="24"/>
                <w:szCs w:val="24"/>
              </w:rPr>
              <w:t>“Once they’ve won a service, they need to deliver it against a standard model that we define, (increasing)</w:t>
            </w:r>
            <w:r w:rsidRPr="00211FB1">
              <w:rPr>
                <w:sz w:val="24"/>
                <w:szCs w:val="24"/>
              </w:rPr>
              <w:t xml:space="preserve"> </w:t>
            </w:r>
            <w:r w:rsidRPr="00211FB1">
              <w:rPr>
                <w:i/>
                <w:sz w:val="24"/>
                <w:szCs w:val="24"/>
              </w:rPr>
              <w:t>the amount that can be done by sub-contractors, by the local organisations, by the Remote Delivery Centres (RDCs)…we’re trying to…re-industrialise and drive a lot more delivery through RDCs because you can get economies of scale, you’ve got repeatability, you can drive efficiencies”</w:t>
            </w:r>
            <w:r w:rsidRPr="00211FB1">
              <w:rPr>
                <w:sz w:val="24"/>
                <w:szCs w:val="24"/>
              </w:rPr>
              <w:t>.</w:t>
            </w:r>
          </w:p>
          <w:p w14:paraId="651B52B8" w14:textId="77777777" w:rsidR="00211FB1" w:rsidRPr="00211FB1" w:rsidRDefault="00211FB1" w:rsidP="00211FB1">
            <w:pPr>
              <w:spacing w:after="120"/>
              <w:jc w:val="both"/>
              <w:rPr>
                <w:sz w:val="24"/>
                <w:szCs w:val="24"/>
              </w:rPr>
            </w:pPr>
          </w:p>
        </w:tc>
        <w:tc>
          <w:tcPr>
            <w:tcW w:w="2867" w:type="dxa"/>
            <w:tcBorders>
              <w:top w:val="single" w:sz="4" w:space="0" w:color="auto"/>
              <w:left w:val="nil"/>
              <w:bottom w:val="single" w:sz="4" w:space="0" w:color="auto"/>
              <w:right w:val="nil"/>
            </w:tcBorders>
            <w:hideMark/>
          </w:tcPr>
          <w:p w14:paraId="64414764" w14:textId="77777777" w:rsidR="00211FB1" w:rsidRPr="00211FB1" w:rsidRDefault="00211FB1" w:rsidP="00211FB1">
            <w:pPr>
              <w:spacing w:after="120"/>
              <w:jc w:val="both"/>
              <w:rPr>
                <w:sz w:val="24"/>
                <w:szCs w:val="24"/>
              </w:rPr>
            </w:pPr>
            <w:r w:rsidRPr="00211FB1">
              <w:rPr>
                <w:i/>
                <w:sz w:val="24"/>
                <w:szCs w:val="24"/>
              </w:rPr>
              <w:t>“Once the customer appreciates he is on a fixed price contract with KPIs, he starts to open up knowing that if you don’t make a profit and if sums were horrendously wrong and we are going to end up making a loss, then at the end of the contract we are going to walk away and he then has a problem trying to find someone to replace [that] infrastructure. As the customers become more experienced they appreciate that and open up to us and we work together to put improvements in place that cut our costs”</w:t>
            </w:r>
            <w:r w:rsidRPr="00211FB1">
              <w:rPr>
                <w:sz w:val="24"/>
                <w:szCs w:val="24"/>
              </w:rPr>
              <w:t>.</w:t>
            </w:r>
          </w:p>
          <w:p w14:paraId="375CAC68" w14:textId="77777777" w:rsidR="00211FB1" w:rsidRPr="00211FB1" w:rsidRDefault="00211FB1" w:rsidP="00211FB1">
            <w:pPr>
              <w:spacing w:after="120"/>
              <w:jc w:val="both"/>
              <w:rPr>
                <w:i/>
                <w:sz w:val="24"/>
                <w:szCs w:val="24"/>
              </w:rPr>
            </w:pPr>
            <w:r w:rsidRPr="00211FB1">
              <w:rPr>
                <w:i/>
                <w:sz w:val="24"/>
                <w:szCs w:val="24"/>
              </w:rPr>
              <w:t>“The way we incentivise our people, even with a new solution (will be higher risk because there is no history behind it), we believe that the continuous improvement ethos that we have will find further savings”</w:t>
            </w:r>
            <w:r w:rsidRPr="00211FB1">
              <w:rPr>
                <w:sz w:val="24"/>
                <w:szCs w:val="24"/>
              </w:rPr>
              <w:t>.</w:t>
            </w:r>
          </w:p>
        </w:tc>
      </w:tr>
    </w:tbl>
    <w:p w14:paraId="5F90D2F8" w14:textId="7D8B4F6F" w:rsidR="00574728" w:rsidRPr="00211FB1" w:rsidRDefault="00574728" w:rsidP="000F7A6A">
      <w:pPr>
        <w:rPr>
          <w:sz w:val="24"/>
          <w:szCs w:val="24"/>
        </w:rPr>
      </w:pPr>
    </w:p>
    <w:sectPr w:rsidR="00574728" w:rsidRPr="00211FB1" w:rsidSect="0027535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7850" w14:textId="77777777" w:rsidR="009E2B86" w:rsidRDefault="009E2B86" w:rsidP="004560F9">
      <w:pPr>
        <w:spacing w:after="0" w:line="240" w:lineRule="auto"/>
      </w:pPr>
      <w:r>
        <w:separator/>
      </w:r>
    </w:p>
  </w:endnote>
  <w:endnote w:type="continuationSeparator" w:id="0">
    <w:p w14:paraId="5353200B" w14:textId="77777777" w:rsidR="009E2B86" w:rsidRDefault="009E2B86" w:rsidP="0045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710543"/>
      <w:docPartObj>
        <w:docPartGallery w:val="Page Numbers (Bottom of Page)"/>
        <w:docPartUnique/>
      </w:docPartObj>
    </w:sdtPr>
    <w:sdtEndPr>
      <w:rPr>
        <w:noProof/>
      </w:rPr>
    </w:sdtEndPr>
    <w:sdtContent>
      <w:p w14:paraId="3A9327CA" w14:textId="0C491C05" w:rsidR="004A22C4" w:rsidRDefault="004A22C4">
        <w:pPr>
          <w:pStyle w:val="Footer"/>
          <w:jc w:val="center"/>
        </w:pPr>
        <w:r>
          <w:fldChar w:fldCharType="begin"/>
        </w:r>
        <w:r>
          <w:instrText xml:space="preserve"> PAGE   \* MERGEFORMAT </w:instrText>
        </w:r>
        <w:r>
          <w:fldChar w:fldCharType="separate"/>
        </w:r>
        <w:r w:rsidR="00C92CB0">
          <w:rPr>
            <w:noProof/>
          </w:rPr>
          <w:t>1</w:t>
        </w:r>
        <w:r>
          <w:rPr>
            <w:noProof/>
          </w:rPr>
          <w:fldChar w:fldCharType="end"/>
        </w:r>
      </w:p>
    </w:sdtContent>
  </w:sdt>
  <w:p w14:paraId="3A6A36F7" w14:textId="77777777" w:rsidR="004A22C4" w:rsidRDefault="004A2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173964"/>
      <w:docPartObj>
        <w:docPartGallery w:val="Page Numbers (Bottom of Page)"/>
        <w:docPartUnique/>
      </w:docPartObj>
    </w:sdtPr>
    <w:sdtEndPr>
      <w:rPr>
        <w:noProof/>
      </w:rPr>
    </w:sdtEndPr>
    <w:sdtContent>
      <w:p w14:paraId="621A9EEC" w14:textId="6D2AB7B6" w:rsidR="004A22C4" w:rsidRDefault="004A22C4">
        <w:pPr>
          <w:pStyle w:val="Footer"/>
          <w:jc w:val="center"/>
        </w:pPr>
        <w:r>
          <w:fldChar w:fldCharType="begin"/>
        </w:r>
        <w:r>
          <w:instrText xml:space="preserve"> PAGE   \* MERGEFORMAT </w:instrText>
        </w:r>
        <w:r>
          <w:fldChar w:fldCharType="separate"/>
        </w:r>
        <w:r w:rsidR="00C92CB0">
          <w:rPr>
            <w:noProof/>
          </w:rPr>
          <w:t>40</w:t>
        </w:r>
        <w:r>
          <w:rPr>
            <w:noProof/>
          </w:rPr>
          <w:fldChar w:fldCharType="end"/>
        </w:r>
      </w:p>
    </w:sdtContent>
  </w:sdt>
  <w:p w14:paraId="324FA418" w14:textId="77777777" w:rsidR="004A22C4" w:rsidRDefault="004A2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CE78D" w14:textId="77777777" w:rsidR="009E2B86" w:rsidRDefault="009E2B86" w:rsidP="004560F9">
      <w:pPr>
        <w:spacing w:after="0" w:line="240" w:lineRule="auto"/>
      </w:pPr>
      <w:r>
        <w:separator/>
      </w:r>
    </w:p>
  </w:footnote>
  <w:footnote w:type="continuationSeparator" w:id="0">
    <w:p w14:paraId="5311DC4D" w14:textId="77777777" w:rsidR="009E2B86" w:rsidRDefault="009E2B86" w:rsidP="00456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FF3"/>
    <w:multiLevelType w:val="hybridMultilevel"/>
    <w:tmpl w:val="AB600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E1507"/>
    <w:multiLevelType w:val="multilevel"/>
    <w:tmpl w:val="DCA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D7DE0"/>
    <w:multiLevelType w:val="hybridMultilevel"/>
    <w:tmpl w:val="A3E6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57460"/>
    <w:multiLevelType w:val="hybridMultilevel"/>
    <w:tmpl w:val="861A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F6CAA"/>
    <w:multiLevelType w:val="hybridMultilevel"/>
    <w:tmpl w:val="E278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F1690"/>
    <w:multiLevelType w:val="hybridMultilevel"/>
    <w:tmpl w:val="A0487F88"/>
    <w:lvl w:ilvl="0" w:tplc="F8824C24">
      <w:start w:val="1"/>
      <w:numFmt w:val="bullet"/>
      <w:lvlText w:val="•"/>
      <w:lvlJc w:val="left"/>
      <w:pPr>
        <w:tabs>
          <w:tab w:val="num" w:pos="720"/>
        </w:tabs>
        <w:ind w:left="720" w:hanging="360"/>
      </w:pPr>
      <w:rPr>
        <w:rFonts w:ascii="Arial" w:hAnsi="Arial" w:hint="default"/>
      </w:rPr>
    </w:lvl>
    <w:lvl w:ilvl="1" w:tplc="7444D1A2">
      <w:start w:val="4516"/>
      <w:numFmt w:val="bullet"/>
      <w:lvlText w:val="–"/>
      <w:lvlJc w:val="left"/>
      <w:pPr>
        <w:tabs>
          <w:tab w:val="num" w:pos="1440"/>
        </w:tabs>
        <w:ind w:left="1440" w:hanging="360"/>
      </w:pPr>
      <w:rPr>
        <w:rFonts w:ascii="Arial" w:hAnsi="Arial" w:hint="default"/>
      </w:rPr>
    </w:lvl>
    <w:lvl w:ilvl="2" w:tplc="ED4AE550">
      <w:start w:val="4516"/>
      <w:numFmt w:val="bullet"/>
      <w:lvlText w:val="•"/>
      <w:lvlJc w:val="left"/>
      <w:pPr>
        <w:tabs>
          <w:tab w:val="num" w:pos="2160"/>
        </w:tabs>
        <w:ind w:left="2160" w:hanging="360"/>
      </w:pPr>
      <w:rPr>
        <w:rFonts w:ascii="Arial" w:hAnsi="Arial" w:hint="default"/>
      </w:rPr>
    </w:lvl>
    <w:lvl w:ilvl="3" w:tplc="B40A7370" w:tentative="1">
      <w:start w:val="1"/>
      <w:numFmt w:val="bullet"/>
      <w:lvlText w:val="•"/>
      <w:lvlJc w:val="left"/>
      <w:pPr>
        <w:tabs>
          <w:tab w:val="num" w:pos="2880"/>
        </w:tabs>
        <w:ind w:left="2880" w:hanging="360"/>
      </w:pPr>
      <w:rPr>
        <w:rFonts w:ascii="Arial" w:hAnsi="Arial" w:hint="default"/>
      </w:rPr>
    </w:lvl>
    <w:lvl w:ilvl="4" w:tplc="00CAADE8" w:tentative="1">
      <w:start w:val="1"/>
      <w:numFmt w:val="bullet"/>
      <w:lvlText w:val="•"/>
      <w:lvlJc w:val="left"/>
      <w:pPr>
        <w:tabs>
          <w:tab w:val="num" w:pos="3600"/>
        </w:tabs>
        <w:ind w:left="3600" w:hanging="360"/>
      </w:pPr>
      <w:rPr>
        <w:rFonts w:ascii="Arial" w:hAnsi="Arial" w:hint="default"/>
      </w:rPr>
    </w:lvl>
    <w:lvl w:ilvl="5" w:tplc="50F433E6" w:tentative="1">
      <w:start w:val="1"/>
      <w:numFmt w:val="bullet"/>
      <w:lvlText w:val="•"/>
      <w:lvlJc w:val="left"/>
      <w:pPr>
        <w:tabs>
          <w:tab w:val="num" w:pos="4320"/>
        </w:tabs>
        <w:ind w:left="4320" w:hanging="360"/>
      </w:pPr>
      <w:rPr>
        <w:rFonts w:ascii="Arial" w:hAnsi="Arial" w:hint="default"/>
      </w:rPr>
    </w:lvl>
    <w:lvl w:ilvl="6" w:tplc="49CEEFC4" w:tentative="1">
      <w:start w:val="1"/>
      <w:numFmt w:val="bullet"/>
      <w:lvlText w:val="•"/>
      <w:lvlJc w:val="left"/>
      <w:pPr>
        <w:tabs>
          <w:tab w:val="num" w:pos="5040"/>
        </w:tabs>
        <w:ind w:left="5040" w:hanging="360"/>
      </w:pPr>
      <w:rPr>
        <w:rFonts w:ascii="Arial" w:hAnsi="Arial" w:hint="default"/>
      </w:rPr>
    </w:lvl>
    <w:lvl w:ilvl="7" w:tplc="F17237E4" w:tentative="1">
      <w:start w:val="1"/>
      <w:numFmt w:val="bullet"/>
      <w:lvlText w:val="•"/>
      <w:lvlJc w:val="left"/>
      <w:pPr>
        <w:tabs>
          <w:tab w:val="num" w:pos="5760"/>
        </w:tabs>
        <w:ind w:left="5760" w:hanging="360"/>
      </w:pPr>
      <w:rPr>
        <w:rFonts w:ascii="Arial" w:hAnsi="Arial" w:hint="default"/>
      </w:rPr>
    </w:lvl>
    <w:lvl w:ilvl="8" w:tplc="8006F0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CB76F6"/>
    <w:multiLevelType w:val="hybridMultilevel"/>
    <w:tmpl w:val="2278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E00A5"/>
    <w:multiLevelType w:val="hybridMultilevel"/>
    <w:tmpl w:val="D572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27555"/>
    <w:multiLevelType w:val="hybridMultilevel"/>
    <w:tmpl w:val="F7A0607C"/>
    <w:lvl w:ilvl="0" w:tplc="4A16BCD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63A6A"/>
    <w:multiLevelType w:val="hybridMultilevel"/>
    <w:tmpl w:val="60C8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166C1"/>
    <w:multiLevelType w:val="hybridMultilevel"/>
    <w:tmpl w:val="B02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A7EFD"/>
    <w:multiLevelType w:val="hybridMultilevel"/>
    <w:tmpl w:val="1E4E185E"/>
    <w:lvl w:ilvl="0" w:tplc="43E2B69A">
      <w:start w:val="1"/>
      <w:numFmt w:val="bullet"/>
      <w:lvlText w:val="•"/>
      <w:lvlJc w:val="left"/>
      <w:pPr>
        <w:tabs>
          <w:tab w:val="num" w:pos="720"/>
        </w:tabs>
        <w:ind w:left="720" w:hanging="360"/>
      </w:pPr>
      <w:rPr>
        <w:rFonts w:ascii="Arial" w:hAnsi="Arial" w:hint="default"/>
      </w:rPr>
    </w:lvl>
    <w:lvl w:ilvl="1" w:tplc="B9581DBA">
      <w:start w:val="4213"/>
      <w:numFmt w:val="bullet"/>
      <w:lvlText w:val="–"/>
      <w:lvlJc w:val="left"/>
      <w:pPr>
        <w:tabs>
          <w:tab w:val="num" w:pos="1440"/>
        </w:tabs>
        <w:ind w:left="1440" w:hanging="360"/>
      </w:pPr>
      <w:rPr>
        <w:rFonts w:ascii="Arial" w:hAnsi="Arial" w:hint="default"/>
      </w:rPr>
    </w:lvl>
    <w:lvl w:ilvl="2" w:tplc="F2648A6C">
      <w:start w:val="1"/>
      <w:numFmt w:val="bullet"/>
      <w:lvlText w:val="•"/>
      <w:lvlJc w:val="left"/>
      <w:pPr>
        <w:tabs>
          <w:tab w:val="num" w:pos="2160"/>
        </w:tabs>
        <w:ind w:left="2160" w:hanging="360"/>
      </w:pPr>
      <w:rPr>
        <w:rFonts w:ascii="Arial" w:hAnsi="Arial" w:hint="default"/>
      </w:rPr>
    </w:lvl>
    <w:lvl w:ilvl="3" w:tplc="E70C475E">
      <w:start w:val="4213"/>
      <w:numFmt w:val="bullet"/>
      <w:lvlText w:val="•"/>
      <w:lvlJc w:val="left"/>
      <w:pPr>
        <w:tabs>
          <w:tab w:val="num" w:pos="2880"/>
        </w:tabs>
        <w:ind w:left="2880" w:hanging="360"/>
      </w:pPr>
      <w:rPr>
        <w:rFonts w:ascii="Arial" w:hAnsi="Arial" w:hint="default"/>
      </w:rPr>
    </w:lvl>
    <w:lvl w:ilvl="4" w:tplc="5DF6FA9E" w:tentative="1">
      <w:start w:val="1"/>
      <w:numFmt w:val="bullet"/>
      <w:lvlText w:val="•"/>
      <w:lvlJc w:val="left"/>
      <w:pPr>
        <w:tabs>
          <w:tab w:val="num" w:pos="3600"/>
        </w:tabs>
        <w:ind w:left="3600" w:hanging="360"/>
      </w:pPr>
      <w:rPr>
        <w:rFonts w:ascii="Arial" w:hAnsi="Arial" w:hint="default"/>
      </w:rPr>
    </w:lvl>
    <w:lvl w:ilvl="5" w:tplc="11A2E744" w:tentative="1">
      <w:start w:val="1"/>
      <w:numFmt w:val="bullet"/>
      <w:lvlText w:val="•"/>
      <w:lvlJc w:val="left"/>
      <w:pPr>
        <w:tabs>
          <w:tab w:val="num" w:pos="4320"/>
        </w:tabs>
        <w:ind w:left="4320" w:hanging="360"/>
      </w:pPr>
      <w:rPr>
        <w:rFonts w:ascii="Arial" w:hAnsi="Arial" w:hint="default"/>
      </w:rPr>
    </w:lvl>
    <w:lvl w:ilvl="6" w:tplc="CA526B40" w:tentative="1">
      <w:start w:val="1"/>
      <w:numFmt w:val="bullet"/>
      <w:lvlText w:val="•"/>
      <w:lvlJc w:val="left"/>
      <w:pPr>
        <w:tabs>
          <w:tab w:val="num" w:pos="5040"/>
        </w:tabs>
        <w:ind w:left="5040" w:hanging="360"/>
      </w:pPr>
      <w:rPr>
        <w:rFonts w:ascii="Arial" w:hAnsi="Arial" w:hint="default"/>
      </w:rPr>
    </w:lvl>
    <w:lvl w:ilvl="7" w:tplc="CE6A6CF2" w:tentative="1">
      <w:start w:val="1"/>
      <w:numFmt w:val="bullet"/>
      <w:lvlText w:val="•"/>
      <w:lvlJc w:val="left"/>
      <w:pPr>
        <w:tabs>
          <w:tab w:val="num" w:pos="5760"/>
        </w:tabs>
        <w:ind w:left="5760" w:hanging="360"/>
      </w:pPr>
      <w:rPr>
        <w:rFonts w:ascii="Arial" w:hAnsi="Arial" w:hint="default"/>
      </w:rPr>
    </w:lvl>
    <w:lvl w:ilvl="8" w:tplc="1A3A6F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CF0596"/>
    <w:multiLevelType w:val="multilevel"/>
    <w:tmpl w:val="D188CC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B21BBD"/>
    <w:multiLevelType w:val="multilevel"/>
    <w:tmpl w:val="96385F1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7E79E2"/>
    <w:multiLevelType w:val="hybridMultilevel"/>
    <w:tmpl w:val="AA4817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D213F2"/>
    <w:multiLevelType w:val="hybridMultilevel"/>
    <w:tmpl w:val="A1140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44C4F"/>
    <w:multiLevelType w:val="hybridMultilevel"/>
    <w:tmpl w:val="BB482BD2"/>
    <w:lvl w:ilvl="0" w:tplc="8B4A3CA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623CF"/>
    <w:multiLevelType w:val="hybridMultilevel"/>
    <w:tmpl w:val="0BC6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72B6D"/>
    <w:multiLevelType w:val="hybridMultilevel"/>
    <w:tmpl w:val="5C4E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01DE1"/>
    <w:multiLevelType w:val="hybridMultilevel"/>
    <w:tmpl w:val="09484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8A513C"/>
    <w:multiLevelType w:val="hybridMultilevel"/>
    <w:tmpl w:val="3E80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9"/>
  </w:num>
  <w:num w:numId="5">
    <w:abstractNumId w:val="17"/>
  </w:num>
  <w:num w:numId="6">
    <w:abstractNumId w:val="4"/>
  </w:num>
  <w:num w:numId="7">
    <w:abstractNumId w:val="3"/>
  </w:num>
  <w:num w:numId="8">
    <w:abstractNumId w:val="6"/>
  </w:num>
  <w:num w:numId="9">
    <w:abstractNumId w:val="18"/>
  </w:num>
  <w:num w:numId="10">
    <w:abstractNumId w:val="10"/>
  </w:num>
  <w:num w:numId="11">
    <w:abstractNumId w:val="11"/>
  </w:num>
  <w:num w:numId="12">
    <w:abstractNumId w:val="5"/>
  </w:num>
  <w:num w:numId="13">
    <w:abstractNumId w:val="13"/>
  </w:num>
  <w:num w:numId="14">
    <w:abstractNumId w:val="12"/>
  </w:num>
  <w:num w:numId="15">
    <w:abstractNumId w:val="2"/>
  </w:num>
  <w:num w:numId="16">
    <w:abstractNumId w:val="7"/>
  </w:num>
  <w:num w:numId="17">
    <w:abstractNumId w:val="1"/>
  </w:num>
  <w:num w:numId="18">
    <w:abstractNumId w:val="16"/>
  </w:num>
  <w:num w:numId="19">
    <w:abstractNumId w:val="15"/>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11"/>
    <w:rsid w:val="000000A6"/>
    <w:rsid w:val="00000548"/>
    <w:rsid w:val="00001F63"/>
    <w:rsid w:val="00002497"/>
    <w:rsid w:val="000030BE"/>
    <w:rsid w:val="0000352F"/>
    <w:rsid w:val="00004CD2"/>
    <w:rsid w:val="00005F83"/>
    <w:rsid w:val="000069A5"/>
    <w:rsid w:val="00006B46"/>
    <w:rsid w:val="00006E1B"/>
    <w:rsid w:val="00007219"/>
    <w:rsid w:val="00010343"/>
    <w:rsid w:val="00010376"/>
    <w:rsid w:val="00010521"/>
    <w:rsid w:val="00010D46"/>
    <w:rsid w:val="00011026"/>
    <w:rsid w:val="00011470"/>
    <w:rsid w:val="00011681"/>
    <w:rsid w:val="0001266E"/>
    <w:rsid w:val="00013E89"/>
    <w:rsid w:val="000151B0"/>
    <w:rsid w:val="00015EC1"/>
    <w:rsid w:val="00017C5F"/>
    <w:rsid w:val="000209AC"/>
    <w:rsid w:val="00021868"/>
    <w:rsid w:val="000225BE"/>
    <w:rsid w:val="00022B5C"/>
    <w:rsid w:val="000242D0"/>
    <w:rsid w:val="00024652"/>
    <w:rsid w:val="00024AD5"/>
    <w:rsid w:val="00025474"/>
    <w:rsid w:val="00025993"/>
    <w:rsid w:val="00026174"/>
    <w:rsid w:val="000276C5"/>
    <w:rsid w:val="00031666"/>
    <w:rsid w:val="000317C2"/>
    <w:rsid w:val="00032756"/>
    <w:rsid w:val="00033651"/>
    <w:rsid w:val="00034A96"/>
    <w:rsid w:val="0003618C"/>
    <w:rsid w:val="00036491"/>
    <w:rsid w:val="00036E76"/>
    <w:rsid w:val="000370CE"/>
    <w:rsid w:val="00037464"/>
    <w:rsid w:val="00037F46"/>
    <w:rsid w:val="00037F59"/>
    <w:rsid w:val="00040B77"/>
    <w:rsid w:val="000418D9"/>
    <w:rsid w:val="000420A6"/>
    <w:rsid w:val="000426A4"/>
    <w:rsid w:val="00042F31"/>
    <w:rsid w:val="00046C4D"/>
    <w:rsid w:val="00047B52"/>
    <w:rsid w:val="00047C5C"/>
    <w:rsid w:val="0005014C"/>
    <w:rsid w:val="0005022C"/>
    <w:rsid w:val="0005047C"/>
    <w:rsid w:val="00051240"/>
    <w:rsid w:val="000512E9"/>
    <w:rsid w:val="000519B7"/>
    <w:rsid w:val="00051BA3"/>
    <w:rsid w:val="00051F59"/>
    <w:rsid w:val="000536EF"/>
    <w:rsid w:val="00053B97"/>
    <w:rsid w:val="00054B3B"/>
    <w:rsid w:val="00054BDE"/>
    <w:rsid w:val="00056B36"/>
    <w:rsid w:val="00057444"/>
    <w:rsid w:val="00057D81"/>
    <w:rsid w:val="000604F1"/>
    <w:rsid w:val="00060703"/>
    <w:rsid w:val="00061027"/>
    <w:rsid w:val="00061254"/>
    <w:rsid w:val="000616C5"/>
    <w:rsid w:val="00061C7A"/>
    <w:rsid w:val="00061ECC"/>
    <w:rsid w:val="00062ED6"/>
    <w:rsid w:val="00063564"/>
    <w:rsid w:val="0006451D"/>
    <w:rsid w:val="00066EB6"/>
    <w:rsid w:val="00070B5B"/>
    <w:rsid w:val="00070F04"/>
    <w:rsid w:val="00074D01"/>
    <w:rsid w:val="00076306"/>
    <w:rsid w:val="00077207"/>
    <w:rsid w:val="0008022D"/>
    <w:rsid w:val="00081D79"/>
    <w:rsid w:val="0008237B"/>
    <w:rsid w:val="000828DF"/>
    <w:rsid w:val="000832B5"/>
    <w:rsid w:val="000838A0"/>
    <w:rsid w:val="00085D03"/>
    <w:rsid w:val="00085FD1"/>
    <w:rsid w:val="00087A52"/>
    <w:rsid w:val="00087E06"/>
    <w:rsid w:val="0009175B"/>
    <w:rsid w:val="000918C3"/>
    <w:rsid w:val="00093930"/>
    <w:rsid w:val="00094138"/>
    <w:rsid w:val="000951E4"/>
    <w:rsid w:val="000955FA"/>
    <w:rsid w:val="00095E0C"/>
    <w:rsid w:val="0009603F"/>
    <w:rsid w:val="00097E68"/>
    <w:rsid w:val="000A037F"/>
    <w:rsid w:val="000A0F23"/>
    <w:rsid w:val="000A1805"/>
    <w:rsid w:val="000A1EC7"/>
    <w:rsid w:val="000A20FA"/>
    <w:rsid w:val="000A2575"/>
    <w:rsid w:val="000A2955"/>
    <w:rsid w:val="000A3856"/>
    <w:rsid w:val="000A45A5"/>
    <w:rsid w:val="000A4A31"/>
    <w:rsid w:val="000A4E76"/>
    <w:rsid w:val="000A5167"/>
    <w:rsid w:val="000A5352"/>
    <w:rsid w:val="000A623B"/>
    <w:rsid w:val="000A6850"/>
    <w:rsid w:val="000A7350"/>
    <w:rsid w:val="000A7D5C"/>
    <w:rsid w:val="000A7E82"/>
    <w:rsid w:val="000B0876"/>
    <w:rsid w:val="000B09CE"/>
    <w:rsid w:val="000B32BD"/>
    <w:rsid w:val="000B3649"/>
    <w:rsid w:val="000B36F2"/>
    <w:rsid w:val="000B4810"/>
    <w:rsid w:val="000B4E39"/>
    <w:rsid w:val="000B502D"/>
    <w:rsid w:val="000B5E83"/>
    <w:rsid w:val="000B5FE6"/>
    <w:rsid w:val="000B6121"/>
    <w:rsid w:val="000B619F"/>
    <w:rsid w:val="000B629C"/>
    <w:rsid w:val="000B67FA"/>
    <w:rsid w:val="000B7648"/>
    <w:rsid w:val="000C09C4"/>
    <w:rsid w:val="000C1EA3"/>
    <w:rsid w:val="000C20C4"/>
    <w:rsid w:val="000C455D"/>
    <w:rsid w:val="000C5700"/>
    <w:rsid w:val="000C5E2D"/>
    <w:rsid w:val="000C65DC"/>
    <w:rsid w:val="000C722D"/>
    <w:rsid w:val="000D0A94"/>
    <w:rsid w:val="000D0B1D"/>
    <w:rsid w:val="000D0D46"/>
    <w:rsid w:val="000D0E99"/>
    <w:rsid w:val="000D0F47"/>
    <w:rsid w:val="000D12A4"/>
    <w:rsid w:val="000D27A4"/>
    <w:rsid w:val="000D2FB1"/>
    <w:rsid w:val="000D3165"/>
    <w:rsid w:val="000D3E8C"/>
    <w:rsid w:val="000D597C"/>
    <w:rsid w:val="000D5A77"/>
    <w:rsid w:val="000D5F04"/>
    <w:rsid w:val="000D6361"/>
    <w:rsid w:val="000D73EE"/>
    <w:rsid w:val="000D744E"/>
    <w:rsid w:val="000D749C"/>
    <w:rsid w:val="000E237B"/>
    <w:rsid w:val="000E2400"/>
    <w:rsid w:val="000E2C04"/>
    <w:rsid w:val="000E4824"/>
    <w:rsid w:val="000E534F"/>
    <w:rsid w:val="000E55A0"/>
    <w:rsid w:val="000E57F6"/>
    <w:rsid w:val="000E5E3C"/>
    <w:rsid w:val="000E736A"/>
    <w:rsid w:val="000F06CE"/>
    <w:rsid w:val="000F127C"/>
    <w:rsid w:val="000F12E3"/>
    <w:rsid w:val="000F3DF0"/>
    <w:rsid w:val="000F543E"/>
    <w:rsid w:val="000F5C7E"/>
    <w:rsid w:val="000F5E3D"/>
    <w:rsid w:val="000F65C1"/>
    <w:rsid w:val="000F7A6A"/>
    <w:rsid w:val="000F7B0C"/>
    <w:rsid w:val="0010183B"/>
    <w:rsid w:val="00101E91"/>
    <w:rsid w:val="00103F1D"/>
    <w:rsid w:val="00104123"/>
    <w:rsid w:val="001047AB"/>
    <w:rsid w:val="0010605F"/>
    <w:rsid w:val="001060FB"/>
    <w:rsid w:val="00107BC6"/>
    <w:rsid w:val="0011013D"/>
    <w:rsid w:val="0011069C"/>
    <w:rsid w:val="001107E2"/>
    <w:rsid w:val="0011216F"/>
    <w:rsid w:val="001121C0"/>
    <w:rsid w:val="00112799"/>
    <w:rsid w:val="001128E5"/>
    <w:rsid w:val="001139B9"/>
    <w:rsid w:val="00113A5E"/>
    <w:rsid w:val="0011436E"/>
    <w:rsid w:val="001145C8"/>
    <w:rsid w:val="00114F1B"/>
    <w:rsid w:val="00115A67"/>
    <w:rsid w:val="0011665B"/>
    <w:rsid w:val="001175B9"/>
    <w:rsid w:val="00117678"/>
    <w:rsid w:val="00117DDF"/>
    <w:rsid w:val="001211F4"/>
    <w:rsid w:val="001228C3"/>
    <w:rsid w:val="00122D63"/>
    <w:rsid w:val="001231D5"/>
    <w:rsid w:val="00123E47"/>
    <w:rsid w:val="001242BB"/>
    <w:rsid w:val="001250BB"/>
    <w:rsid w:val="0012512A"/>
    <w:rsid w:val="001251FE"/>
    <w:rsid w:val="00125CCC"/>
    <w:rsid w:val="00125E8B"/>
    <w:rsid w:val="00126102"/>
    <w:rsid w:val="0012678D"/>
    <w:rsid w:val="0012737A"/>
    <w:rsid w:val="00127970"/>
    <w:rsid w:val="00127FD3"/>
    <w:rsid w:val="00131E18"/>
    <w:rsid w:val="00132C11"/>
    <w:rsid w:val="00132E7A"/>
    <w:rsid w:val="00132FAE"/>
    <w:rsid w:val="0013318C"/>
    <w:rsid w:val="00133687"/>
    <w:rsid w:val="00133A02"/>
    <w:rsid w:val="00133ECE"/>
    <w:rsid w:val="00134395"/>
    <w:rsid w:val="00134540"/>
    <w:rsid w:val="001353D8"/>
    <w:rsid w:val="00135CBD"/>
    <w:rsid w:val="00136239"/>
    <w:rsid w:val="001364D3"/>
    <w:rsid w:val="00136BDE"/>
    <w:rsid w:val="00137BAA"/>
    <w:rsid w:val="001404F5"/>
    <w:rsid w:val="00141646"/>
    <w:rsid w:val="00142745"/>
    <w:rsid w:val="0014294E"/>
    <w:rsid w:val="00142F33"/>
    <w:rsid w:val="00145420"/>
    <w:rsid w:val="00145773"/>
    <w:rsid w:val="00145C00"/>
    <w:rsid w:val="00145DFD"/>
    <w:rsid w:val="00146BF5"/>
    <w:rsid w:val="0015025B"/>
    <w:rsid w:val="00150BCB"/>
    <w:rsid w:val="00150D17"/>
    <w:rsid w:val="00151398"/>
    <w:rsid w:val="00151780"/>
    <w:rsid w:val="00152314"/>
    <w:rsid w:val="0015242A"/>
    <w:rsid w:val="00152529"/>
    <w:rsid w:val="00152E11"/>
    <w:rsid w:val="0015341B"/>
    <w:rsid w:val="00154201"/>
    <w:rsid w:val="001555D6"/>
    <w:rsid w:val="001557FD"/>
    <w:rsid w:val="00155ACB"/>
    <w:rsid w:val="00155F05"/>
    <w:rsid w:val="00156252"/>
    <w:rsid w:val="00156A4B"/>
    <w:rsid w:val="00156DB8"/>
    <w:rsid w:val="00157C3B"/>
    <w:rsid w:val="001604A2"/>
    <w:rsid w:val="001610BD"/>
    <w:rsid w:val="001616CD"/>
    <w:rsid w:val="001631B4"/>
    <w:rsid w:val="00163C8F"/>
    <w:rsid w:val="0016474A"/>
    <w:rsid w:val="00166C61"/>
    <w:rsid w:val="00166F76"/>
    <w:rsid w:val="001711AA"/>
    <w:rsid w:val="001732EB"/>
    <w:rsid w:val="00174CE1"/>
    <w:rsid w:val="00176232"/>
    <w:rsid w:val="00176F8F"/>
    <w:rsid w:val="001774C2"/>
    <w:rsid w:val="00177841"/>
    <w:rsid w:val="00177D77"/>
    <w:rsid w:val="0018022E"/>
    <w:rsid w:val="0018085E"/>
    <w:rsid w:val="00180D79"/>
    <w:rsid w:val="00180E83"/>
    <w:rsid w:val="001812FB"/>
    <w:rsid w:val="0018178C"/>
    <w:rsid w:val="0018262A"/>
    <w:rsid w:val="00183088"/>
    <w:rsid w:val="0018493B"/>
    <w:rsid w:val="00190DAC"/>
    <w:rsid w:val="00192C40"/>
    <w:rsid w:val="0019354F"/>
    <w:rsid w:val="00194703"/>
    <w:rsid w:val="00194986"/>
    <w:rsid w:val="00195845"/>
    <w:rsid w:val="00197B97"/>
    <w:rsid w:val="00197D23"/>
    <w:rsid w:val="001A09F3"/>
    <w:rsid w:val="001A1F94"/>
    <w:rsid w:val="001A3A85"/>
    <w:rsid w:val="001A3CF8"/>
    <w:rsid w:val="001A4810"/>
    <w:rsid w:val="001A487B"/>
    <w:rsid w:val="001A50CC"/>
    <w:rsid w:val="001A5590"/>
    <w:rsid w:val="001A59C3"/>
    <w:rsid w:val="001B0120"/>
    <w:rsid w:val="001B0C88"/>
    <w:rsid w:val="001B16EC"/>
    <w:rsid w:val="001B1D4B"/>
    <w:rsid w:val="001B2AC8"/>
    <w:rsid w:val="001B2F63"/>
    <w:rsid w:val="001B50B5"/>
    <w:rsid w:val="001B5B20"/>
    <w:rsid w:val="001B7CAF"/>
    <w:rsid w:val="001B7EB3"/>
    <w:rsid w:val="001C2411"/>
    <w:rsid w:val="001C303F"/>
    <w:rsid w:val="001C3330"/>
    <w:rsid w:val="001C3AAA"/>
    <w:rsid w:val="001C3FDF"/>
    <w:rsid w:val="001C4CFD"/>
    <w:rsid w:val="001C525C"/>
    <w:rsid w:val="001C595D"/>
    <w:rsid w:val="001C6BD1"/>
    <w:rsid w:val="001D029A"/>
    <w:rsid w:val="001D2B18"/>
    <w:rsid w:val="001D3126"/>
    <w:rsid w:val="001D32CC"/>
    <w:rsid w:val="001D4AA6"/>
    <w:rsid w:val="001D552D"/>
    <w:rsid w:val="001D5954"/>
    <w:rsid w:val="001D6DA0"/>
    <w:rsid w:val="001D71C9"/>
    <w:rsid w:val="001D76C4"/>
    <w:rsid w:val="001E074E"/>
    <w:rsid w:val="001E1E72"/>
    <w:rsid w:val="001E326A"/>
    <w:rsid w:val="001E43BC"/>
    <w:rsid w:val="001E4837"/>
    <w:rsid w:val="001E4C3F"/>
    <w:rsid w:val="001E57B3"/>
    <w:rsid w:val="001E6668"/>
    <w:rsid w:val="001E694C"/>
    <w:rsid w:val="001E74C0"/>
    <w:rsid w:val="001E7851"/>
    <w:rsid w:val="001E793F"/>
    <w:rsid w:val="001F0094"/>
    <w:rsid w:val="001F0399"/>
    <w:rsid w:val="001F04D3"/>
    <w:rsid w:val="001F04E0"/>
    <w:rsid w:val="001F09B7"/>
    <w:rsid w:val="001F12F8"/>
    <w:rsid w:val="001F1603"/>
    <w:rsid w:val="001F2011"/>
    <w:rsid w:val="001F2C21"/>
    <w:rsid w:val="001F3A5D"/>
    <w:rsid w:val="001F3F1C"/>
    <w:rsid w:val="001F4434"/>
    <w:rsid w:val="001F4713"/>
    <w:rsid w:val="001F4A0D"/>
    <w:rsid w:val="001F4EB4"/>
    <w:rsid w:val="001F519D"/>
    <w:rsid w:val="001F6FE0"/>
    <w:rsid w:val="001F7F7B"/>
    <w:rsid w:val="00200CC0"/>
    <w:rsid w:val="00202136"/>
    <w:rsid w:val="00202501"/>
    <w:rsid w:val="002029E5"/>
    <w:rsid w:val="00203037"/>
    <w:rsid w:val="0020342C"/>
    <w:rsid w:val="00203811"/>
    <w:rsid w:val="00204130"/>
    <w:rsid w:val="00205C09"/>
    <w:rsid w:val="00207D91"/>
    <w:rsid w:val="00207DA3"/>
    <w:rsid w:val="00207EA9"/>
    <w:rsid w:val="00207FF3"/>
    <w:rsid w:val="00210FE3"/>
    <w:rsid w:val="00211FB1"/>
    <w:rsid w:val="00211FFD"/>
    <w:rsid w:val="00212E00"/>
    <w:rsid w:val="0021461E"/>
    <w:rsid w:val="002147A1"/>
    <w:rsid w:val="0021627E"/>
    <w:rsid w:val="00216B5C"/>
    <w:rsid w:val="00216BD2"/>
    <w:rsid w:val="002173B8"/>
    <w:rsid w:val="00217B71"/>
    <w:rsid w:val="0022051F"/>
    <w:rsid w:val="00220626"/>
    <w:rsid w:val="00220E5A"/>
    <w:rsid w:val="0022188B"/>
    <w:rsid w:val="002232EC"/>
    <w:rsid w:val="0022343C"/>
    <w:rsid w:val="00223AB9"/>
    <w:rsid w:val="002240AB"/>
    <w:rsid w:val="002246B2"/>
    <w:rsid w:val="002249F6"/>
    <w:rsid w:val="00224B52"/>
    <w:rsid w:val="00224EC1"/>
    <w:rsid w:val="00225107"/>
    <w:rsid w:val="00225697"/>
    <w:rsid w:val="00225C9C"/>
    <w:rsid w:val="00227259"/>
    <w:rsid w:val="002273DF"/>
    <w:rsid w:val="00227C77"/>
    <w:rsid w:val="0023004E"/>
    <w:rsid w:val="00230F05"/>
    <w:rsid w:val="00231C6C"/>
    <w:rsid w:val="00232748"/>
    <w:rsid w:val="00232AB7"/>
    <w:rsid w:val="00232ABE"/>
    <w:rsid w:val="00232D6F"/>
    <w:rsid w:val="002332CE"/>
    <w:rsid w:val="00233826"/>
    <w:rsid w:val="00234AF7"/>
    <w:rsid w:val="00234F55"/>
    <w:rsid w:val="00235F65"/>
    <w:rsid w:val="00236F53"/>
    <w:rsid w:val="00237149"/>
    <w:rsid w:val="0023730D"/>
    <w:rsid w:val="00237425"/>
    <w:rsid w:val="00240779"/>
    <w:rsid w:val="00240CB5"/>
    <w:rsid w:val="002414CF"/>
    <w:rsid w:val="0024286C"/>
    <w:rsid w:val="00242B6C"/>
    <w:rsid w:val="00242C31"/>
    <w:rsid w:val="00242E1E"/>
    <w:rsid w:val="002440D2"/>
    <w:rsid w:val="00244AAA"/>
    <w:rsid w:val="00244AAF"/>
    <w:rsid w:val="00244B49"/>
    <w:rsid w:val="00244E82"/>
    <w:rsid w:val="00245934"/>
    <w:rsid w:val="002464AA"/>
    <w:rsid w:val="00247965"/>
    <w:rsid w:val="00250155"/>
    <w:rsid w:val="00251130"/>
    <w:rsid w:val="0025141E"/>
    <w:rsid w:val="00251D55"/>
    <w:rsid w:val="00253AAC"/>
    <w:rsid w:val="002546E7"/>
    <w:rsid w:val="00256D27"/>
    <w:rsid w:val="00256F3C"/>
    <w:rsid w:val="00257AD7"/>
    <w:rsid w:val="00260FEA"/>
    <w:rsid w:val="00261906"/>
    <w:rsid w:val="00262086"/>
    <w:rsid w:val="002627FA"/>
    <w:rsid w:val="00263073"/>
    <w:rsid w:val="002655C2"/>
    <w:rsid w:val="002656D0"/>
    <w:rsid w:val="0026604D"/>
    <w:rsid w:val="00266234"/>
    <w:rsid w:val="002663BE"/>
    <w:rsid w:val="00267987"/>
    <w:rsid w:val="0027009D"/>
    <w:rsid w:val="002714F7"/>
    <w:rsid w:val="002717EF"/>
    <w:rsid w:val="00271C72"/>
    <w:rsid w:val="00271FEC"/>
    <w:rsid w:val="002730E2"/>
    <w:rsid w:val="002748B5"/>
    <w:rsid w:val="00275354"/>
    <w:rsid w:val="00275634"/>
    <w:rsid w:val="00275EA8"/>
    <w:rsid w:val="00276856"/>
    <w:rsid w:val="002768F6"/>
    <w:rsid w:val="00280842"/>
    <w:rsid w:val="00280E17"/>
    <w:rsid w:val="0028271B"/>
    <w:rsid w:val="00284965"/>
    <w:rsid w:val="00285E87"/>
    <w:rsid w:val="00287EFE"/>
    <w:rsid w:val="002909AA"/>
    <w:rsid w:val="00291DB2"/>
    <w:rsid w:val="0029274B"/>
    <w:rsid w:val="00292B18"/>
    <w:rsid w:val="00292F81"/>
    <w:rsid w:val="00292F84"/>
    <w:rsid w:val="002940C6"/>
    <w:rsid w:val="00294601"/>
    <w:rsid w:val="00294D79"/>
    <w:rsid w:val="00294E86"/>
    <w:rsid w:val="00297546"/>
    <w:rsid w:val="0029777F"/>
    <w:rsid w:val="00297C7C"/>
    <w:rsid w:val="00297F79"/>
    <w:rsid w:val="002A195C"/>
    <w:rsid w:val="002A30A8"/>
    <w:rsid w:val="002A3239"/>
    <w:rsid w:val="002A33EF"/>
    <w:rsid w:val="002A3FDD"/>
    <w:rsid w:val="002A4562"/>
    <w:rsid w:val="002A6210"/>
    <w:rsid w:val="002A69D8"/>
    <w:rsid w:val="002A6C1F"/>
    <w:rsid w:val="002A73A5"/>
    <w:rsid w:val="002B0CAD"/>
    <w:rsid w:val="002B10F4"/>
    <w:rsid w:val="002B198D"/>
    <w:rsid w:val="002B28C7"/>
    <w:rsid w:val="002B2E09"/>
    <w:rsid w:val="002B38EB"/>
    <w:rsid w:val="002B61B1"/>
    <w:rsid w:val="002B693F"/>
    <w:rsid w:val="002B7888"/>
    <w:rsid w:val="002C25F2"/>
    <w:rsid w:val="002C415F"/>
    <w:rsid w:val="002C60DF"/>
    <w:rsid w:val="002C682F"/>
    <w:rsid w:val="002C7279"/>
    <w:rsid w:val="002C7F3B"/>
    <w:rsid w:val="002D054B"/>
    <w:rsid w:val="002D0D3A"/>
    <w:rsid w:val="002D11F4"/>
    <w:rsid w:val="002D16B0"/>
    <w:rsid w:val="002D1A19"/>
    <w:rsid w:val="002D3920"/>
    <w:rsid w:val="002D4928"/>
    <w:rsid w:val="002D4B34"/>
    <w:rsid w:val="002D4E22"/>
    <w:rsid w:val="002D537E"/>
    <w:rsid w:val="002D701B"/>
    <w:rsid w:val="002D71CD"/>
    <w:rsid w:val="002D734A"/>
    <w:rsid w:val="002D77F7"/>
    <w:rsid w:val="002E04EE"/>
    <w:rsid w:val="002E2A74"/>
    <w:rsid w:val="002E33CE"/>
    <w:rsid w:val="002E3AAE"/>
    <w:rsid w:val="002E42F2"/>
    <w:rsid w:val="002E56F7"/>
    <w:rsid w:val="002E6162"/>
    <w:rsid w:val="002E6264"/>
    <w:rsid w:val="002E65D7"/>
    <w:rsid w:val="002E7450"/>
    <w:rsid w:val="002F1EC4"/>
    <w:rsid w:val="002F2D08"/>
    <w:rsid w:val="002F3092"/>
    <w:rsid w:val="002F3754"/>
    <w:rsid w:val="002F4105"/>
    <w:rsid w:val="002F4403"/>
    <w:rsid w:val="002F49B2"/>
    <w:rsid w:val="002F534F"/>
    <w:rsid w:val="002F542D"/>
    <w:rsid w:val="002F5E60"/>
    <w:rsid w:val="002F72D3"/>
    <w:rsid w:val="003017BF"/>
    <w:rsid w:val="0030191B"/>
    <w:rsid w:val="0030284A"/>
    <w:rsid w:val="00302904"/>
    <w:rsid w:val="0030305D"/>
    <w:rsid w:val="00303188"/>
    <w:rsid w:val="003047B2"/>
    <w:rsid w:val="00305C6F"/>
    <w:rsid w:val="0030629D"/>
    <w:rsid w:val="00306C69"/>
    <w:rsid w:val="00306E15"/>
    <w:rsid w:val="00307432"/>
    <w:rsid w:val="00307FB1"/>
    <w:rsid w:val="0031035E"/>
    <w:rsid w:val="00310DB8"/>
    <w:rsid w:val="0031116F"/>
    <w:rsid w:val="003120B7"/>
    <w:rsid w:val="0031214E"/>
    <w:rsid w:val="003124D3"/>
    <w:rsid w:val="00312F75"/>
    <w:rsid w:val="003134AF"/>
    <w:rsid w:val="00313BB9"/>
    <w:rsid w:val="00314228"/>
    <w:rsid w:val="003169D5"/>
    <w:rsid w:val="003170BB"/>
    <w:rsid w:val="0031765E"/>
    <w:rsid w:val="003178B4"/>
    <w:rsid w:val="0032047D"/>
    <w:rsid w:val="00321DB3"/>
    <w:rsid w:val="003227C0"/>
    <w:rsid w:val="00324759"/>
    <w:rsid w:val="0032494B"/>
    <w:rsid w:val="003250E3"/>
    <w:rsid w:val="003251D7"/>
    <w:rsid w:val="003257FD"/>
    <w:rsid w:val="003258B9"/>
    <w:rsid w:val="00325CED"/>
    <w:rsid w:val="00326389"/>
    <w:rsid w:val="00326702"/>
    <w:rsid w:val="00326DD4"/>
    <w:rsid w:val="003276CC"/>
    <w:rsid w:val="00327B9C"/>
    <w:rsid w:val="0033067E"/>
    <w:rsid w:val="0033131C"/>
    <w:rsid w:val="003314D5"/>
    <w:rsid w:val="00331C23"/>
    <w:rsid w:val="00332A6E"/>
    <w:rsid w:val="00334A5E"/>
    <w:rsid w:val="00340562"/>
    <w:rsid w:val="00341337"/>
    <w:rsid w:val="00341BEA"/>
    <w:rsid w:val="00341D2A"/>
    <w:rsid w:val="00342282"/>
    <w:rsid w:val="00344DD2"/>
    <w:rsid w:val="0034542C"/>
    <w:rsid w:val="00345C5B"/>
    <w:rsid w:val="00346060"/>
    <w:rsid w:val="00346EF1"/>
    <w:rsid w:val="00350F7A"/>
    <w:rsid w:val="00351D79"/>
    <w:rsid w:val="003522F7"/>
    <w:rsid w:val="0035460A"/>
    <w:rsid w:val="00355948"/>
    <w:rsid w:val="00356AA5"/>
    <w:rsid w:val="00356E24"/>
    <w:rsid w:val="00357122"/>
    <w:rsid w:val="00360925"/>
    <w:rsid w:val="0036256B"/>
    <w:rsid w:val="003628D5"/>
    <w:rsid w:val="0036347E"/>
    <w:rsid w:val="00363888"/>
    <w:rsid w:val="003639DF"/>
    <w:rsid w:val="00364CA0"/>
    <w:rsid w:val="00365A38"/>
    <w:rsid w:val="0036641D"/>
    <w:rsid w:val="0036713F"/>
    <w:rsid w:val="00367AA6"/>
    <w:rsid w:val="0037450A"/>
    <w:rsid w:val="00374567"/>
    <w:rsid w:val="003747A5"/>
    <w:rsid w:val="00374F40"/>
    <w:rsid w:val="00375213"/>
    <w:rsid w:val="00375904"/>
    <w:rsid w:val="00376392"/>
    <w:rsid w:val="00376705"/>
    <w:rsid w:val="00377C22"/>
    <w:rsid w:val="00380773"/>
    <w:rsid w:val="003812D2"/>
    <w:rsid w:val="00381EEA"/>
    <w:rsid w:val="003820D8"/>
    <w:rsid w:val="003858D7"/>
    <w:rsid w:val="003860C6"/>
    <w:rsid w:val="0039061B"/>
    <w:rsid w:val="003913BD"/>
    <w:rsid w:val="00391404"/>
    <w:rsid w:val="00391755"/>
    <w:rsid w:val="00392035"/>
    <w:rsid w:val="00392FB6"/>
    <w:rsid w:val="003943D7"/>
    <w:rsid w:val="00395720"/>
    <w:rsid w:val="00395B94"/>
    <w:rsid w:val="00395DA3"/>
    <w:rsid w:val="00396014"/>
    <w:rsid w:val="00397507"/>
    <w:rsid w:val="00397523"/>
    <w:rsid w:val="00397883"/>
    <w:rsid w:val="003A018D"/>
    <w:rsid w:val="003A0928"/>
    <w:rsid w:val="003A0B85"/>
    <w:rsid w:val="003A0F8C"/>
    <w:rsid w:val="003A329B"/>
    <w:rsid w:val="003A4C09"/>
    <w:rsid w:val="003A4DCF"/>
    <w:rsid w:val="003A4F43"/>
    <w:rsid w:val="003A5359"/>
    <w:rsid w:val="003A58AE"/>
    <w:rsid w:val="003A6AC6"/>
    <w:rsid w:val="003A72AA"/>
    <w:rsid w:val="003A78B5"/>
    <w:rsid w:val="003A7D3E"/>
    <w:rsid w:val="003B02CD"/>
    <w:rsid w:val="003B083D"/>
    <w:rsid w:val="003B0DB9"/>
    <w:rsid w:val="003B0F62"/>
    <w:rsid w:val="003B115A"/>
    <w:rsid w:val="003B2826"/>
    <w:rsid w:val="003B283A"/>
    <w:rsid w:val="003B3012"/>
    <w:rsid w:val="003B3A8E"/>
    <w:rsid w:val="003B3CA3"/>
    <w:rsid w:val="003B40AD"/>
    <w:rsid w:val="003B5799"/>
    <w:rsid w:val="003B5B63"/>
    <w:rsid w:val="003B5D6D"/>
    <w:rsid w:val="003B7043"/>
    <w:rsid w:val="003B7E8C"/>
    <w:rsid w:val="003C0089"/>
    <w:rsid w:val="003C05B5"/>
    <w:rsid w:val="003C0FCA"/>
    <w:rsid w:val="003C1646"/>
    <w:rsid w:val="003C1A90"/>
    <w:rsid w:val="003C1F7E"/>
    <w:rsid w:val="003C2207"/>
    <w:rsid w:val="003C2A5C"/>
    <w:rsid w:val="003C3B6F"/>
    <w:rsid w:val="003C405C"/>
    <w:rsid w:val="003C55B6"/>
    <w:rsid w:val="003C5B62"/>
    <w:rsid w:val="003C6973"/>
    <w:rsid w:val="003C74D0"/>
    <w:rsid w:val="003C7620"/>
    <w:rsid w:val="003C7808"/>
    <w:rsid w:val="003C7B07"/>
    <w:rsid w:val="003D0874"/>
    <w:rsid w:val="003D0DD9"/>
    <w:rsid w:val="003D42E6"/>
    <w:rsid w:val="003D4FC3"/>
    <w:rsid w:val="003D5C81"/>
    <w:rsid w:val="003D71D2"/>
    <w:rsid w:val="003D767B"/>
    <w:rsid w:val="003D7915"/>
    <w:rsid w:val="003E0FFE"/>
    <w:rsid w:val="003E1A50"/>
    <w:rsid w:val="003E1F43"/>
    <w:rsid w:val="003E20AA"/>
    <w:rsid w:val="003E25AF"/>
    <w:rsid w:val="003E318F"/>
    <w:rsid w:val="003E3AD1"/>
    <w:rsid w:val="003E3F11"/>
    <w:rsid w:val="003E4657"/>
    <w:rsid w:val="003E5AD9"/>
    <w:rsid w:val="003E5C88"/>
    <w:rsid w:val="003E79A9"/>
    <w:rsid w:val="003E7F17"/>
    <w:rsid w:val="003F1378"/>
    <w:rsid w:val="003F388D"/>
    <w:rsid w:val="003F3E4A"/>
    <w:rsid w:val="003F3EB2"/>
    <w:rsid w:val="003F5DC8"/>
    <w:rsid w:val="003F602C"/>
    <w:rsid w:val="003F6A29"/>
    <w:rsid w:val="003F77E9"/>
    <w:rsid w:val="00401D80"/>
    <w:rsid w:val="004027F3"/>
    <w:rsid w:val="00402F0E"/>
    <w:rsid w:val="00403301"/>
    <w:rsid w:val="00404285"/>
    <w:rsid w:val="004046B6"/>
    <w:rsid w:val="004047A0"/>
    <w:rsid w:val="004051AE"/>
    <w:rsid w:val="0040526E"/>
    <w:rsid w:val="00405EAC"/>
    <w:rsid w:val="004060A1"/>
    <w:rsid w:val="004064BB"/>
    <w:rsid w:val="00406B34"/>
    <w:rsid w:val="00406B9D"/>
    <w:rsid w:val="00411104"/>
    <w:rsid w:val="0041181E"/>
    <w:rsid w:val="00412600"/>
    <w:rsid w:val="00412BA0"/>
    <w:rsid w:val="00412D94"/>
    <w:rsid w:val="00412E09"/>
    <w:rsid w:val="00413626"/>
    <w:rsid w:val="0041426A"/>
    <w:rsid w:val="00414D76"/>
    <w:rsid w:val="0041543E"/>
    <w:rsid w:val="00415E4B"/>
    <w:rsid w:val="004169FA"/>
    <w:rsid w:val="0042050B"/>
    <w:rsid w:val="00420686"/>
    <w:rsid w:val="00420A8D"/>
    <w:rsid w:val="00420BED"/>
    <w:rsid w:val="00420D41"/>
    <w:rsid w:val="004215CE"/>
    <w:rsid w:val="004251B0"/>
    <w:rsid w:val="004259AA"/>
    <w:rsid w:val="00425D88"/>
    <w:rsid w:val="004262BB"/>
    <w:rsid w:val="00426E5C"/>
    <w:rsid w:val="00427208"/>
    <w:rsid w:val="00431003"/>
    <w:rsid w:val="004315BF"/>
    <w:rsid w:val="004334D6"/>
    <w:rsid w:val="004336AB"/>
    <w:rsid w:val="004345F6"/>
    <w:rsid w:val="00434807"/>
    <w:rsid w:val="004349B4"/>
    <w:rsid w:val="00434AFB"/>
    <w:rsid w:val="00435122"/>
    <w:rsid w:val="004355A3"/>
    <w:rsid w:val="00437A56"/>
    <w:rsid w:val="004412F6"/>
    <w:rsid w:val="0044196C"/>
    <w:rsid w:val="00441CCB"/>
    <w:rsid w:val="00441EA0"/>
    <w:rsid w:val="00441EF2"/>
    <w:rsid w:val="0044252F"/>
    <w:rsid w:val="0044355C"/>
    <w:rsid w:val="004448EE"/>
    <w:rsid w:val="00444D0C"/>
    <w:rsid w:val="00444D42"/>
    <w:rsid w:val="00445B27"/>
    <w:rsid w:val="00445FA5"/>
    <w:rsid w:val="00447DD2"/>
    <w:rsid w:val="00450BB2"/>
    <w:rsid w:val="00451D9A"/>
    <w:rsid w:val="00453071"/>
    <w:rsid w:val="00454D52"/>
    <w:rsid w:val="00455ADF"/>
    <w:rsid w:val="004560F9"/>
    <w:rsid w:val="0045641A"/>
    <w:rsid w:val="00456BA7"/>
    <w:rsid w:val="00456E32"/>
    <w:rsid w:val="0045721C"/>
    <w:rsid w:val="00457354"/>
    <w:rsid w:val="00460F4A"/>
    <w:rsid w:val="00462218"/>
    <w:rsid w:val="00462272"/>
    <w:rsid w:val="0046304D"/>
    <w:rsid w:val="00465811"/>
    <w:rsid w:val="00470A00"/>
    <w:rsid w:val="004732CF"/>
    <w:rsid w:val="004739A4"/>
    <w:rsid w:val="0047439D"/>
    <w:rsid w:val="00474C93"/>
    <w:rsid w:val="00475168"/>
    <w:rsid w:val="00475EBE"/>
    <w:rsid w:val="004766D0"/>
    <w:rsid w:val="00476A07"/>
    <w:rsid w:val="00476CDC"/>
    <w:rsid w:val="00477332"/>
    <w:rsid w:val="00477DE8"/>
    <w:rsid w:val="00477F8A"/>
    <w:rsid w:val="00480081"/>
    <w:rsid w:val="0048022A"/>
    <w:rsid w:val="00480A45"/>
    <w:rsid w:val="00480B6D"/>
    <w:rsid w:val="004819E9"/>
    <w:rsid w:val="0048308B"/>
    <w:rsid w:val="00484975"/>
    <w:rsid w:val="00485DB8"/>
    <w:rsid w:val="00487DA6"/>
    <w:rsid w:val="004908A8"/>
    <w:rsid w:val="00490A21"/>
    <w:rsid w:val="00492D9F"/>
    <w:rsid w:val="004930F3"/>
    <w:rsid w:val="004944D3"/>
    <w:rsid w:val="00496A9C"/>
    <w:rsid w:val="004972CF"/>
    <w:rsid w:val="004A0443"/>
    <w:rsid w:val="004A15CE"/>
    <w:rsid w:val="004A1EE5"/>
    <w:rsid w:val="004A22C4"/>
    <w:rsid w:val="004A2B55"/>
    <w:rsid w:val="004A2EA4"/>
    <w:rsid w:val="004A355A"/>
    <w:rsid w:val="004A35CB"/>
    <w:rsid w:val="004A3627"/>
    <w:rsid w:val="004A3C7E"/>
    <w:rsid w:val="004A44BD"/>
    <w:rsid w:val="004A5A84"/>
    <w:rsid w:val="004A60AD"/>
    <w:rsid w:val="004B08C6"/>
    <w:rsid w:val="004B21B4"/>
    <w:rsid w:val="004B2245"/>
    <w:rsid w:val="004B33E9"/>
    <w:rsid w:val="004B3AF4"/>
    <w:rsid w:val="004B3B9A"/>
    <w:rsid w:val="004B4A18"/>
    <w:rsid w:val="004B5885"/>
    <w:rsid w:val="004B5C29"/>
    <w:rsid w:val="004B6CF3"/>
    <w:rsid w:val="004C048C"/>
    <w:rsid w:val="004C25E4"/>
    <w:rsid w:val="004C287D"/>
    <w:rsid w:val="004C41BA"/>
    <w:rsid w:val="004C4ACB"/>
    <w:rsid w:val="004C582D"/>
    <w:rsid w:val="004D0A8D"/>
    <w:rsid w:val="004D0B70"/>
    <w:rsid w:val="004D1C5F"/>
    <w:rsid w:val="004D26C5"/>
    <w:rsid w:val="004D291C"/>
    <w:rsid w:val="004D43FC"/>
    <w:rsid w:val="004D4BE3"/>
    <w:rsid w:val="004D5310"/>
    <w:rsid w:val="004D5961"/>
    <w:rsid w:val="004D6613"/>
    <w:rsid w:val="004D66E2"/>
    <w:rsid w:val="004E10EF"/>
    <w:rsid w:val="004E1135"/>
    <w:rsid w:val="004E19AA"/>
    <w:rsid w:val="004E1C65"/>
    <w:rsid w:val="004E423E"/>
    <w:rsid w:val="004E6072"/>
    <w:rsid w:val="004E7534"/>
    <w:rsid w:val="004F00EE"/>
    <w:rsid w:val="004F2107"/>
    <w:rsid w:val="004F3264"/>
    <w:rsid w:val="004F4952"/>
    <w:rsid w:val="004F590C"/>
    <w:rsid w:val="004F6521"/>
    <w:rsid w:val="004F7596"/>
    <w:rsid w:val="0050022C"/>
    <w:rsid w:val="00500B9F"/>
    <w:rsid w:val="00500BEC"/>
    <w:rsid w:val="0050129E"/>
    <w:rsid w:val="00502195"/>
    <w:rsid w:val="00502A5F"/>
    <w:rsid w:val="00504D45"/>
    <w:rsid w:val="0050579D"/>
    <w:rsid w:val="005057EF"/>
    <w:rsid w:val="00506758"/>
    <w:rsid w:val="005067F0"/>
    <w:rsid w:val="00507BC8"/>
    <w:rsid w:val="005105D9"/>
    <w:rsid w:val="00511396"/>
    <w:rsid w:val="00511592"/>
    <w:rsid w:val="00513901"/>
    <w:rsid w:val="00513D21"/>
    <w:rsid w:val="00513D9A"/>
    <w:rsid w:val="00515E65"/>
    <w:rsid w:val="00516A79"/>
    <w:rsid w:val="00516DF2"/>
    <w:rsid w:val="0051712D"/>
    <w:rsid w:val="00517698"/>
    <w:rsid w:val="00517926"/>
    <w:rsid w:val="00520703"/>
    <w:rsid w:val="005248D3"/>
    <w:rsid w:val="00525E19"/>
    <w:rsid w:val="00526A18"/>
    <w:rsid w:val="00527177"/>
    <w:rsid w:val="005277C4"/>
    <w:rsid w:val="005314C5"/>
    <w:rsid w:val="00531783"/>
    <w:rsid w:val="00531A8E"/>
    <w:rsid w:val="00531D5D"/>
    <w:rsid w:val="00531D5E"/>
    <w:rsid w:val="005320F9"/>
    <w:rsid w:val="00532603"/>
    <w:rsid w:val="00533010"/>
    <w:rsid w:val="0053333A"/>
    <w:rsid w:val="00533481"/>
    <w:rsid w:val="00533A3B"/>
    <w:rsid w:val="00534034"/>
    <w:rsid w:val="00534192"/>
    <w:rsid w:val="005353B0"/>
    <w:rsid w:val="00535D1C"/>
    <w:rsid w:val="005400C6"/>
    <w:rsid w:val="005401DF"/>
    <w:rsid w:val="005415F6"/>
    <w:rsid w:val="0054233D"/>
    <w:rsid w:val="00542720"/>
    <w:rsid w:val="005427A0"/>
    <w:rsid w:val="00543075"/>
    <w:rsid w:val="0054337C"/>
    <w:rsid w:val="005438BF"/>
    <w:rsid w:val="00546973"/>
    <w:rsid w:val="00547361"/>
    <w:rsid w:val="005474FF"/>
    <w:rsid w:val="00547AE5"/>
    <w:rsid w:val="00547ECA"/>
    <w:rsid w:val="00550076"/>
    <w:rsid w:val="005519D4"/>
    <w:rsid w:val="005525D1"/>
    <w:rsid w:val="0055276E"/>
    <w:rsid w:val="0055360D"/>
    <w:rsid w:val="00553CC5"/>
    <w:rsid w:val="005541FC"/>
    <w:rsid w:val="0055549F"/>
    <w:rsid w:val="00556671"/>
    <w:rsid w:val="005570A3"/>
    <w:rsid w:val="00561E71"/>
    <w:rsid w:val="00562117"/>
    <w:rsid w:val="00562F3E"/>
    <w:rsid w:val="00563523"/>
    <w:rsid w:val="00563CEC"/>
    <w:rsid w:val="0056436B"/>
    <w:rsid w:val="005647C4"/>
    <w:rsid w:val="005651D8"/>
    <w:rsid w:val="00566332"/>
    <w:rsid w:val="00567948"/>
    <w:rsid w:val="0057159D"/>
    <w:rsid w:val="00573CE0"/>
    <w:rsid w:val="00574728"/>
    <w:rsid w:val="005749CB"/>
    <w:rsid w:val="00574A24"/>
    <w:rsid w:val="00574C04"/>
    <w:rsid w:val="00576DDE"/>
    <w:rsid w:val="00577A53"/>
    <w:rsid w:val="005803CC"/>
    <w:rsid w:val="005804A2"/>
    <w:rsid w:val="0058167C"/>
    <w:rsid w:val="00582001"/>
    <w:rsid w:val="005830A2"/>
    <w:rsid w:val="00583671"/>
    <w:rsid w:val="00583F22"/>
    <w:rsid w:val="00584E64"/>
    <w:rsid w:val="005857D2"/>
    <w:rsid w:val="005858BA"/>
    <w:rsid w:val="00586FA5"/>
    <w:rsid w:val="00587188"/>
    <w:rsid w:val="005905DA"/>
    <w:rsid w:val="00590908"/>
    <w:rsid w:val="0059294F"/>
    <w:rsid w:val="00593637"/>
    <w:rsid w:val="00593881"/>
    <w:rsid w:val="00594212"/>
    <w:rsid w:val="00594D8A"/>
    <w:rsid w:val="00595607"/>
    <w:rsid w:val="005956C8"/>
    <w:rsid w:val="0059577A"/>
    <w:rsid w:val="0059618A"/>
    <w:rsid w:val="00596244"/>
    <w:rsid w:val="005963EE"/>
    <w:rsid w:val="00596927"/>
    <w:rsid w:val="005A0255"/>
    <w:rsid w:val="005A04F9"/>
    <w:rsid w:val="005A1382"/>
    <w:rsid w:val="005A180F"/>
    <w:rsid w:val="005A24E5"/>
    <w:rsid w:val="005A266B"/>
    <w:rsid w:val="005A6E84"/>
    <w:rsid w:val="005A743C"/>
    <w:rsid w:val="005A75B6"/>
    <w:rsid w:val="005A75E3"/>
    <w:rsid w:val="005B058F"/>
    <w:rsid w:val="005B085B"/>
    <w:rsid w:val="005B08ED"/>
    <w:rsid w:val="005B0D2F"/>
    <w:rsid w:val="005B0DEF"/>
    <w:rsid w:val="005B1C0A"/>
    <w:rsid w:val="005B239F"/>
    <w:rsid w:val="005B4007"/>
    <w:rsid w:val="005B40F7"/>
    <w:rsid w:val="005B41DF"/>
    <w:rsid w:val="005B5620"/>
    <w:rsid w:val="005B5EA4"/>
    <w:rsid w:val="005B61D0"/>
    <w:rsid w:val="005B63D1"/>
    <w:rsid w:val="005B6A20"/>
    <w:rsid w:val="005C0963"/>
    <w:rsid w:val="005C2E34"/>
    <w:rsid w:val="005C40BE"/>
    <w:rsid w:val="005C46E4"/>
    <w:rsid w:val="005C4A3D"/>
    <w:rsid w:val="005D145B"/>
    <w:rsid w:val="005D1F05"/>
    <w:rsid w:val="005D3298"/>
    <w:rsid w:val="005D45A9"/>
    <w:rsid w:val="005D49DB"/>
    <w:rsid w:val="005D4DBD"/>
    <w:rsid w:val="005D6969"/>
    <w:rsid w:val="005D7316"/>
    <w:rsid w:val="005D77CA"/>
    <w:rsid w:val="005D7AF2"/>
    <w:rsid w:val="005D7B0A"/>
    <w:rsid w:val="005E0A5B"/>
    <w:rsid w:val="005E1D57"/>
    <w:rsid w:val="005E1FB1"/>
    <w:rsid w:val="005E2DD2"/>
    <w:rsid w:val="005E32DB"/>
    <w:rsid w:val="005E52D7"/>
    <w:rsid w:val="005E5661"/>
    <w:rsid w:val="005E5689"/>
    <w:rsid w:val="005E5766"/>
    <w:rsid w:val="005E6A85"/>
    <w:rsid w:val="005E75ED"/>
    <w:rsid w:val="005F0DC0"/>
    <w:rsid w:val="005F22E5"/>
    <w:rsid w:val="005F2608"/>
    <w:rsid w:val="005F2882"/>
    <w:rsid w:val="005F3E51"/>
    <w:rsid w:val="005F4D23"/>
    <w:rsid w:val="005F4EC6"/>
    <w:rsid w:val="005F6193"/>
    <w:rsid w:val="005F65B5"/>
    <w:rsid w:val="005F6B86"/>
    <w:rsid w:val="005F75E1"/>
    <w:rsid w:val="005F7940"/>
    <w:rsid w:val="00600204"/>
    <w:rsid w:val="00600801"/>
    <w:rsid w:val="00600B60"/>
    <w:rsid w:val="0060419F"/>
    <w:rsid w:val="006044FC"/>
    <w:rsid w:val="00604E3B"/>
    <w:rsid w:val="00605011"/>
    <w:rsid w:val="00606997"/>
    <w:rsid w:val="00606B55"/>
    <w:rsid w:val="00610A6E"/>
    <w:rsid w:val="00611942"/>
    <w:rsid w:val="00612166"/>
    <w:rsid w:val="00612412"/>
    <w:rsid w:val="00612D6B"/>
    <w:rsid w:val="00613D8D"/>
    <w:rsid w:val="00614164"/>
    <w:rsid w:val="00614577"/>
    <w:rsid w:val="00615870"/>
    <w:rsid w:val="00616C44"/>
    <w:rsid w:val="00617912"/>
    <w:rsid w:val="00617A7A"/>
    <w:rsid w:val="00617BA1"/>
    <w:rsid w:val="00620FDF"/>
    <w:rsid w:val="006218B0"/>
    <w:rsid w:val="00622D31"/>
    <w:rsid w:val="00624395"/>
    <w:rsid w:val="00624A83"/>
    <w:rsid w:val="006250BA"/>
    <w:rsid w:val="00625C6A"/>
    <w:rsid w:val="0062601C"/>
    <w:rsid w:val="006260A5"/>
    <w:rsid w:val="00626D50"/>
    <w:rsid w:val="0063054A"/>
    <w:rsid w:val="0063123C"/>
    <w:rsid w:val="00632203"/>
    <w:rsid w:val="006328EA"/>
    <w:rsid w:val="00632BD6"/>
    <w:rsid w:val="0063408C"/>
    <w:rsid w:val="00634E3C"/>
    <w:rsid w:val="0063557A"/>
    <w:rsid w:val="0063579A"/>
    <w:rsid w:val="00635C2B"/>
    <w:rsid w:val="00636DC1"/>
    <w:rsid w:val="00636F04"/>
    <w:rsid w:val="00636F6A"/>
    <w:rsid w:val="00637879"/>
    <w:rsid w:val="006406EC"/>
    <w:rsid w:val="00640BCC"/>
    <w:rsid w:val="006411F7"/>
    <w:rsid w:val="006418FF"/>
    <w:rsid w:val="0064240C"/>
    <w:rsid w:val="00643ACE"/>
    <w:rsid w:val="00645913"/>
    <w:rsid w:val="0064605A"/>
    <w:rsid w:val="00646542"/>
    <w:rsid w:val="00646C25"/>
    <w:rsid w:val="0064704E"/>
    <w:rsid w:val="006475E9"/>
    <w:rsid w:val="00647732"/>
    <w:rsid w:val="0064787B"/>
    <w:rsid w:val="00647F06"/>
    <w:rsid w:val="00650EF6"/>
    <w:rsid w:val="006521B4"/>
    <w:rsid w:val="00655C2A"/>
    <w:rsid w:val="00656371"/>
    <w:rsid w:val="006569E9"/>
    <w:rsid w:val="006632BD"/>
    <w:rsid w:val="00663A84"/>
    <w:rsid w:val="0066545F"/>
    <w:rsid w:val="00665693"/>
    <w:rsid w:val="006656D0"/>
    <w:rsid w:val="00665A90"/>
    <w:rsid w:val="006660A9"/>
    <w:rsid w:val="00666358"/>
    <w:rsid w:val="00667ED5"/>
    <w:rsid w:val="006701F8"/>
    <w:rsid w:val="0067072F"/>
    <w:rsid w:val="00670BB5"/>
    <w:rsid w:val="00672900"/>
    <w:rsid w:val="00673485"/>
    <w:rsid w:val="00673B30"/>
    <w:rsid w:val="00673E5A"/>
    <w:rsid w:val="00674B4B"/>
    <w:rsid w:val="00674E45"/>
    <w:rsid w:val="00674EF8"/>
    <w:rsid w:val="00675062"/>
    <w:rsid w:val="00675E49"/>
    <w:rsid w:val="00680B75"/>
    <w:rsid w:val="00681C1F"/>
    <w:rsid w:val="00684194"/>
    <w:rsid w:val="006850AB"/>
    <w:rsid w:val="00685117"/>
    <w:rsid w:val="006852BB"/>
    <w:rsid w:val="00685A98"/>
    <w:rsid w:val="00687F8D"/>
    <w:rsid w:val="00691516"/>
    <w:rsid w:val="006917A2"/>
    <w:rsid w:val="0069409E"/>
    <w:rsid w:val="00694E1F"/>
    <w:rsid w:val="0069527F"/>
    <w:rsid w:val="00696696"/>
    <w:rsid w:val="00697F62"/>
    <w:rsid w:val="006A05E8"/>
    <w:rsid w:val="006A1597"/>
    <w:rsid w:val="006A2478"/>
    <w:rsid w:val="006A24BD"/>
    <w:rsid w:val="006A25D7"/>
    <w:rsid w:val="006A48CE"/>
    <w:rsid w:val="006A5ADD"/>
    <w:rsid w:val="006A6978"/>
    <w:rsid w:val="006A6D1D"/>
    <w:rsid w:val="006B08C5"/>
    <w:rsid w:val="006B2338"/>
    <w:rsid w:val="006B3C7D"/>
    <w:rsid w:val="006B45C8"/>
    <w:rsid w:val="006B4767"/>
    <w:rsid w:val="006B7353"/>
    <w:rsid w:val="006B76E7"/>
    <w:rsid w:val="006C1F5D"/>
    <w:rsid w:val="006C2460"/>
    <w:rsid w:val="006C35C9"/>
    <w:rsid w:val="006C40F3"/>
    <w:rsid w:val="006C477B"/>
    <w:rsid w:val="006C578A"/>
    <w:rsid w:val="006C6362"/>
    <w:rsid w:val="006C6EB6"/>
    <w:rsid w:val="006C7434"/>
    <w:rsid w:val="006D2883"/>
    <w:rsid w:val="006D2D00"/>
    <w:rsid w:val="006D2D9A"/>
    <w:rsid w:val="006D36F8"/>
    <w:rsid w:val="006D3E2C"/>
    <w:rsid w:val="006D4706"/>
    <w:rsid w:val="006D52F5"/>
    <w:rsid w:val="006D665A"/>
    <w:rsid w:val="006D7925"/>
    <w:rsid w:val="006E07AC"/>
    <w:rsid w:val="006E0B33"/>
    <w:rsid w:val="006E0DD9"/>
    <w:rsid w:val="006E14F8"/>
    <w:rsid w:val="006E18BF"/>
    <w:rsid w:val="006E410D"/>
    <w:rsid w:val="006E4865"/>
    <w:rsid w:val="006E48E7"/>
    <w:rsid w:val="006E5081"/>
    <w:rsid w:val="006E5FF9"/>
    <w:rsid w:val="006E6459"/>
    <w:rsid w:val="006F0390"/>
    <w:rsid w:val="006F05ED"/>
    <w:rsid w:val="006F06A8"/>
    <w:rsid w:val="006F11AE"/>
    <w:rsid w:val="006F14A7"/>
    <w:rsid w:val="006F158A"/>
    <w:rsid w:val="006F31CE"/>
    <w:rsid w:val="006F3E63"/>
    <w:rsid w:val="006F513C"/>
    <w:rsid w:val="006F51F3"/>
    <w:rsid w:val="006F6B2E"/>
    <w:rsid w:val="006F6E6D"/>
    <w:rsid w:val="006F7348"/>
    <w:rsid w:val="006F7439"/>
    <w:rsid w:val="007008BC"/>
    <w:rsid w:val="00701735"/>
    <w:rsid w:val="00701A1E"/>
    <w:rsid w:val="007020D9"/>
    <w:rsid w:val="00702FE0"/>
    <w:rsid w:val="00703BBB"/>
    <w:rsid w:val="00703C5D"/>
    <w:rsid w:val="0070443F"/>
    <w:rsid w:val="007046E3"/>
    <w:rsid w:val="0070570F"/>
    <w:rsid w:val="00706AA0"/>
    <w:rsid w:val="0070776B"/>
    <w:rsid w:val="00710165"/>
    <w:rsid w:val="0071016B"/>
    <w:rsid w:val="007108AE"/>
    <w:rsid w:val="007119AE"/>
    <w:rsid w:val="00711E52"/>
    <w:rsid w:val="00712316"/>
    <w:rsid w:val="007125FC"/>
    <w:rsid w:val="00712E23"/>
    <w:rsid w:val="00712EE7"/>
    <w:rsid w:val="007130CF"/>
    <w:rsid w:val="007133E9"/>
    <w:rsid w:val="0071362A"/>
    <w:rsid w:val="007144A4"/>
    <w:rsid w:val="007144CB"/>
    <w:rsid w:val="007156E0"/>
    <w:rsid w:val="00715888"/>
    <w:rsid w:val="00715981"/>
    <w:rsid w:val="00715D13"/>
    <w:rsid w:val="00716056"/>
    <w:rsid w:val="007176DE"/>
    <w:rsid w:val="007200EB"/>
    <w:rsid w:val="00721E5B"/>
    <w:rsid w:val="00722222"/>
    <w:rsid w:val="00722897"/>
    <w:rsid w:val="0072366D"/>
    <w:rsid w:val="00723965"/>
    <w:rsid w:val="00723E3E"/>
    <w:rsid w:val="0072485E"/>
    <w:rsid w:val="00725353"/>
    <w:rsid w:val="00725F11"/>
    <w:rsid w:val="007267F3"/>
    <w:rsid w:val="007269CA"/>
    <w:rsid w:val="00726D4B"/>
    <w:rsid w:val="00727249"/>
    <w:rsid w:val="00727BC1"/>
    <w:rsid w:val="00727FD5"/>
    <w:rsid w:val="00730F9E"/>
    <w:rsid w:val="0073111D"/>
    <w:rsid w:val="007326E8"/>
    <w:rsid w:val="00732E1B"/>
    <w:rsid w:val="00733599"/>
    <w:rsid w:val="007341FD"/>
    <w:rsid w:val="00734480"/>
    <w:rsid w:val="0073521C"/>
    <w:rsid w:val="00736007"/>
    <w:rsid w:val="00736180"/>
    <w:rsid w:val="00736315"/>
    <w:rsid w:val="0074051A"/>
    <w:rsid w:val="00740686"/>
    <w:rsid w:val="007407EF"/>
    <w:rsid w:val="00740E4C"/>
    <w:rsid w:val="007426C4"/>
    <w:rsid w:val="00743C39"/>
    <w:rsid w:val="00743FAA"/>
    <w:rsid w:val="00744665"/>
    <w:rsid w:val="00745673"/>
    <w:rsid w:val="00745CFE"/>
    <w:rsid w:val="00745DB9"/>
    <w:rsid w:val="00745E60"/>
    <w:rsid w:val="00746731"/>
    <w:rsid w:val="00747D67"/>
    <w:rsid w:val="00750269"/>
    <w:rsid w:val="007506E0"/>
    <w:rsid w:val="00750973"/>
    <w:rsid w:val="00750BEC"/>
    <w:rsid w:val="00750E18"/>
    <w:rsid w:val="007528B3"/>
    <w:rsid w:val="00753349"/>
    <w:rsid w:val="00753772"/>
    <w:rsid w:val="00754801"/>
    <w:rsid w:val="00754E8A"/>
    <w:rsid w:val="007552E6"/>
    <w:rsid w:val="00755A86"/>
    <w:rsid w:val="00757589"/>
    <w:rsid w:val="0075760A"/>
    <w:rsid w:val="00760042"/>
    <w:rsid w:val="0076148A"/>
    <w:rsid w:val="00762210"/>
    <w:rsid w:val="00764797"/>
    <w:rsid w:val="00765480"/>
    <w:rsid w:val="00765FA4"/>
    <w:rsid w:val="00765FF8"/>
    <w:rsid w:val="007676D0"/>
    <w:rsid w:val="00771F0E"/>
    <w:rsid w:val="00771FF5"/>
    <w:rsid w:val="0077212F"/>
    <w:rsid w:val="00772988"/>
    <w:rsid w:val="00773668"/>
    <w:rsid w:val="00777625"/>
    <w:rsid w:val="00777670"/>
    <w:rsid w:val="00777E36"/>
    <w:rsid w:val="007805B6"/>
    <w:rsid w:val="007806D7"/>
    <w:rsid w:val="00780910"/>
    <w:rsid w:val="0078119C"/>
    <w:rsid w:val="007816AA"/>
    <w:rsid w:val="0078176E"/>
    <w:rsid w:val="007817C3"/>
    <w:rsid w:val="007826CE"/>
    <w:rsid w:val="00782D29"/>
    <w:rsid w:val="00784E92"/>
    <w:rsid w:val="00785689"/>
    <w:rsid w:val="007856D9"/>
    <w:rsid w:val="0078604F"/>
    <w:rsid w:val="00786A69"/>
    <w:rsid w:val="00786DFF"/>
    <w:rsid w:val="007871DD"/>
    <w:rsid w:val="00790936"/>
    <w:rsid w:val="00790D98"/>
    <w:rsid w:val="00791720"/>
    <w:rsid w:val="00791748"/>
    <w:rsid w:val="00791B1E"/>
    <w:rsid w:val="0079208F"/>
    <w:rsid w:val="007928BD"/>
    <w:rsid w:val="00792C3E"/>
    <w:rsid w:val="00793213"/>
    <w:rsid w:val="00793404"/>
    <w:rsid w:val="00793D3B"/>
    <w:rsid w:val="007940AC"/>
    <w:rsid w:val="007942BB"/>
    <w:rsid w:val="007944C4"/>
    <w:rsid w:val="00795735"/>
    <w:rsid w:val="00796107"/>
    <w:rsid w:val="0079690E"/>
    <w:rsid w:val="007A05AB"/>
    <w:rsid w:val="007A119D"/>
    <w:rsid w:val="007A1386"/>
    <w:rsid w:val="007A212E"/>
    <w:rsid w:val="007A25FF"/>
    <w:rsid w:val="007A282D"/>
    <w:rsid w:val="007A2BF9"/>
    <w:rsid w:val="007A2CED"/>
    <w:rsid w:val="007A3491"/>
    <w:rsid w:val="007A3AD8"/>
    <w:rsid w:val="007A4B34"/>
    <w:rsid w:val="007A5F4A"/>
    <w:rsid w:val="007A6783"/>
    <w:rsid w:val="007A6DA0"/>
    <w:rsid w:val="007A7DAF"/>
    <w:rsid w:val="007B0922"/>
    <w:rsid w:val="007B0E93"/>
    <w:rsid w:val="007B1A88"/>
    <w:rsid w:val="007B212A"/>
    <w:rsid w:val="007B2D16"/>
    <w:rsid w:val="007B3002"/>
    <w:rsid w:val="007B366B"/>
    <w:rsid w:val="007B3A1B"/>
    <w:rsid w:val="007B3A4B"/>
    <w:rsid w:val="007B3AFE"/>
    <w:rsid w:val="007B4C2A"/>
    <w:rsid w:val="007B4CE8"/>
    <w:rsid w:val="007B4F4A"/>
    <w:rsid w:val="007B54C6"/>
    <w:rsid w:val="007B5E83"/>
    <w:rsid w:val="007B6A49"/>
    <w:rsid w:val="007B762F"/>
    <w:rsid w:val="007C04FB"/>
    <w:rsid w:val="007C0CC3"/>
    <w:rsid w:val="007C0E55"/>
    <w:rsid w:val="007C1DA9"/>
    <w:rsid w:val="007C1F68"/>
    <w:rsid w:val="007C20C9"/>
    <w:rsid w:val="007C219C"/>
    <w:rsid w:val="007C3C2A"/>
    <w:rsid w:val="007C41F0"/>
    <w:rsid w:val="007C5711"/>
    <w:rsid w:val="007C759B"/>
    <w:rsid w:val="007D04C1"/>
    <w:rsid w:val="007D0F4C"/>
    <w:rsid w:val="007D1FA3"/>
    <w:rsid w:val="007D2206"/>
    <w:rsid w:val="007D32E9"/>
    <w:rsid w:val="007D3AD3"/>
    <w:rsid w:val="007D4C1F"/>
    <w:rsid w:val="007D511F"/>
    <w:rsid w:val="007D59F9"/>
    <w:rsid w:val="007D5F42"/>
    <w:rsid w:val="007D5F77"/>
    <w:rsid w:val="007D6909"/>
    <w:rsid w:val="007D6F4E"/>
    <w:rsid w:val="007E1697"/>
    <w:rsid w:val="007E1895"/>
    <w:rsid w:val="007E3502"/>
    <w:rsid w:val="007E3864"/>
    <w:rsid w:val="007E3BCE"/>
    <w:rsid w:val="007E4059"/>
    <w:rsid w:val="007E465D"/>
    <w:rsid w:val="007E48A9"/>
    <w:rsid w:val="007E4DB3"/>
    <w:rsid w:val="007E517C"/>
    <w:rsid w:val="007E6451"/>
    <w:rsid w:val="007E74A8"/>
    <w:rsid w:val="007F035C"/>
    <w:rsid w:val="007F1018"/>
    <w:rsid w:val="007F5A4D"/>
    <w:rsid w:val="007F5BE6"/>
    <w:rsid w:val="007F6562"/>
    <w:rsid w:val="007F6EA8"/>
    <w:rsid w:val="007F7359"/>
    <w:rsid w:val="008007F5"/>
    <w:rsid w:val="00804048"/>
    <w:rsid w:val="00804F55"/>
    <w:rsid w:val="008054EC"/>
    <w:rsid w:val="00805924"/>
    <w:rsid w:val="008061DB"/>
    <w:rsid w:val="0080623F"/>
    <w:rsid w:val="00807E30"/>
    <w:rsid w:val="0081080A"/>
    <w:rsid w:val="008114C1"/>
    <w:rsid w:val="008122EA"/>
    <w:rsid w:val="008128D6"/>
    <w:rsid w:val="00813C3E"/>
    <w:rsid w:val="0081592F"/>
    <w:rsid w:val="00816C34"/>
    <w:rsid w:val="00816F13"/>
    <w:rsid w:val="00817337"/>
    <w:rsid w:val="0082002F"/>
    <w:rsid w:val="00821E07"/>
    <w:rsid w:val="00822DCF"/>
    <w:rsid w:val="00825C92"/>
    <w:rsid w:val="008268D1"/>
    <w:rsid w:val="00826D06"/>
    <w:rsid w:val="00826F04"/>
    <w:rsid w:val="00827091"/>
    <w:rsid w:val="008276BD"/>
    <w:rsid w:val="00827B9F"/>
    <w:rsid w:val="008300B9"/>
    <w:rsid w:val="008303B4"/>
    <w:rsid w:val="00830E97"/>
    <w:rsid w:val="00831ECB"/>
    <w:rsid w:val="00832655"/>
    <w:rsid w:val="00833608"/>
    <w:rsid w:val="008336DB"/>
    <w:rsid w:val="008345C2"/>
    <w:rsid w:val="0083482B"/>
    <w:rsid w:val="00834D8C"/>
    <w:rsid w:val="008355F3"/>
    <w:rsid w:val="008359CD"/>
    <w:rsid w:val="008364C0"/>
    <w:rsid w:val="00837744"/>
    <w:rsid w:val="00837F9F"/>
    <w:rsid w:val="00840855"/>
    <w:rsid w:val="0084097D"/>
    <w:rsid w:val="00840E34"/>
    <w:rsid w:val="0084176F"/>
    <w:rsid w:val="00841E2B"/>
    <w:rsid w:val="00842EBE"/>
    <w:rsid w:val="00842FBF"/>
    <w:rsid w:val="008430CD"/>
    <w:rsid w:val="0084393F"/>
    <w:rsid w:val="00844D78"/>
    <w:rsid w:val="008455D2"/>
    <w:rsid w:val="00845CD2"/>
    <w:rsid w:val="00845DBA"/>
    <w:rsid w:val="00850113"/>
    <w:rsid w:val="00850899"/>
    <w:rsid w:val="008508DE"/>
    <w:rsid w:val="0085140B"/>
    <w:rsid w:val="0085205B"/>
    <w:rsid w:val="00853679"/>
    <w:rsid w:val="00854D41"/>
    <w:rsid w:val="00854E6E"/>
    <w:rsid w:val="00855041"/>
    <w:rsid w:val="00855D52"/>
    <w:rsid w:val="00855FED"/>
    <w:rsid w:val="008560BD"/>
    <w:rsid w:val="008565CA"/>
    <w:rsid w:val="008566B6"/>
    <w:rsid w:val="008569E5"/>
    <w:rsid w:val="00857BBC"/>
    <w:rsid w:val="008600C5"/>
    <w:rsid w:val="00860285"/>
    <w:rsid w:val="008615E5"/>
    <w:rsid w:val="008620F5"/>
    <w:rsid w:val="0086351E"/>
    <w:rsid w:val="00863719"/>
    <w:rsid w:val="008656B9"/>
    <w:rsid w:val="008661DD"/>
    <w:rsid w:val="008675D7"/>
    <w:rsid w:val="00871272"/>
    <w:rsid w:val="00871820"/>
    <w:rsid w:val="00873AE3"/>
    <w:rsid w:val="00873C08"/>
    <w:rsid w:val="00874295"/>
    <w:rsid w:val="008742A3"/>
    <w:rsid w:val="00876CA1"/>
    <w:rsid w:val="00880804"/>
    <w:rsid w:val="00881C61"/>
    <w:rsid w:val="00883227"/>
    <w:rsid w:val="00883C2A"/>
    <w:rsid w:val="00883E73"/>
    <w:rsid w:val="008845F6"/>
    <w:rsid w:val="00884724"/>
    <w:rsid w:val="0088495A"/>
    <w:rsid w:val="00884DCA"/>
    <w:rsid w:val="00887164"/>
    <w:rsid w:val="008871B0"/>
    <w:rsid w:val="00890177"/>
    <w:rsid w:val="0089091F"/>
    <w:rsid w:val="008909D8"/>
    <w:rsid w:val="00891408"/>
    <w:rsid w:val="0089176D"/>
    <w:rsid w:val="00891B84"/>
    <w:rsid w:val="008929CC"/>
    <w:rsid w:val="00894441"/>
    <w:rsid w:val="008944A6"/>
    <w:rsid w:val="00894DAE"/>
    <w:rsid w:val="00895707"/>
    <w:rsid w:val="008960B8"/>
    <w:rsid w:val="00896235"/>
    <w:rsid w:val="00896682"/>
    <w:rsid w:val="00896ACD"/>
    <w:rsid w:val="008973BC"/>
    <w:rsid w:val="0089785B"/>
    <w:rsid w:val="00897E5B"/>
    <w:rsid w:val="008A09D8"/>
    <w:rsid w:val="008A0ABC"/>
    <w:rsid w:val="008A1537"/>
    <w:rsid w:val="008A2409"/>
    <w:rsid w:val="008A260D"/>
    <w:rsid w:val="008A351F"/>
    <w:rsid w:val="008A3812"/>
    <w:rsid w:val="008A3976"/>
    <w:rsid w:val="008A7786"/>
    <w:rsid w:val="008B0019"/>
    <w:rsid w:val="008B07E9"/>
    <w:rsid w:val="008B0D6C"/>
    <w:rsid w:val="008B205A"/>
    <w:rsid w:val="008B2340"/>
    <w:rsid w:val="008B29AB"/>
    <w:rsid w:val="008B45C9"/>
    <w:rsid w:val="008B5153"/>
    <w:rsid w:val="008B5910"/>
    <w:rsid w:val="008B6904"/>
    <w:rsid w:val="008B6A5B"/>
    <w:rsid w:val="008C064D"/>
    <w:rsid w:val="008C1666"/>
    <w:rsid w:val="008C21F6"/>
    <w:rsid w:val="008C2BE7"/>
    <w:rsid w:val="008C331C"/>
    <w:rsid w:val="008C35AA"/>
    <w:rsid w:val="008C3ED2"/>
    <w:rsid w:val="008C455B"/>
    <w:rsid w:val="008C4FFE"/>
    <w:rsid w:val="008C5D4D"/>
    <w:rsid w:val="008C60F8"/>
    <w:rsid w:val="008C639E"/>
    <w:rsid w:val="008C71DC"/>
    <w:rsid w:val="008C7968"/>
    <w:rsid w:val="008D0C58"/>
    <w:rsid w:val="008D0E1D"/>
    <w:rsid w:val="008D1CF6"/>
    <w:rsid w:val="008D2B75"/>
    <w:rsid w:val="008D2DA2"/>
    <w:rsid w:val="008D2F15"/>
    <w:rsid w:val="008D3767"/>
    <w:rsid w:val="008D3E33"/>
    <w:rsid w:val="008D4EBB"/>
    <w:rsid w:val="008D5D4D"/>
    <w:rsid w:val="008D5FB0"/>
    <w:rsid w:val="008D6838"/>
    <w:rsid w:val="008D7ED9"/>
    <w:rsid w:val="008D7FC5"/>
    <w:rsid w:val="008E080F"/>
    <w:rsid w:val="008E11C1"/>
    <w:rsid w:val="008E1721"/>
    <w:rsid w:val="008E1D66"/>
    <w:rsid w:val="008E2F29"/>
    <w:rsid w:val="008E3147"/>
    <w:rsid w:val="008E52D4"/>
    <w:rsid w:val="008E6C51"/>
    <w:rsid w:val="008E7F28"/>
    <w:rsid w:val="008F39AA"/>
    <w:rsid w:val="008F58F0"/>
    <w:rsid w:val="008F7A46"/>
    <w:rsid w:val="008F7B44"/>
    <w:rsid w:val="008F7D41"/>
    <w:rsid w:val="008F7FCD"/>
    <w:rsid w:val="0090051E"/>
    <w:rsid w:val="00900A89"/>
    <w:rsid w:val="00901111"/>
    <w:rsid w:val="0090150E"/>
    <w:rsid w:val="00901688"/>
    <w:rsid w:val="00901DA7"/>
    <w:rsid w:val="00902639"/>
    <w:rsid w:val="00902AD6"/>
    <w:rsid w:val="00902C08"/>
    <w:rsid w:val="00903191"/>
    <w:rsid w:val="009033B4"/>
    <w:rsid w:val="00903E67"/>
    <w:rsid w:val="00904E76"/>
    <w:rsid w:val="00906204"/>
    <w:rsid w:val="009078FC"/>
    <w:rsid w:val="00910CE4"/>
    <w:rsid w:val="00910E02"/>
    <w:rsid w:val="00911004"/>
    <w:rsid w:val="0091211A"/>
    <w:rsid w:val="00912539"/>
    <w:rsid w:val="00912A33"/>
    <w:rsid w:val="009139F0"/>
    <w:rsid w:val="009146D2"/>
    <w:rsid w:val="00914918"/>
    <w:rsid w:val="0091692E"/>
    <w:rsid w:val="00916C46"/>
    <w:rsid w:val="00920017"/>
    <w:rsid w:val="00920F53"/>
    <w:rsid w:val="0092118B"/>
    <w:rsid w:val="00921310"/>
    <w:rsid w:val="00922BDA"/>
    <w:rsid w:val="00923D00"/>
    <w:rsid w:val="009246B5"/>
    <w:rsid w:val="00925469"/>
    <w:rsid w:val="00925CC9"/>
    <w:rsid w:val="009267C4"/>
    <w:rsid w:val="00930F37"/>
    <w:rsid w:val="00932268"/>
    <w:rsid w:val="009323AF"/>
    <w:rsid w:val="0093291A"/>
    <w:rsid w:val="009345A7"/>
    <w:rsid w:val="00934968"/>
    <w:rsid w:val="00934AF9"/>
    <w:rsid w:val="0093529A"/>
    <w:rsid w:val="00935DDE"/>
    <w:rsid w:val="0093644F"/>
    <w:rsid w:val="009364E3"/>
    <w:rsid w:val="00936E67"/>
    <w:rsid w:val="00936FF8"/>
    <w:rsid w:val="00940C6B"/>
    <w:rsid w:val="00940D1E"/>
    <w:rsid w:val="00941886"/>
    <w:rsid w:val="0094212E"/>
    <w:rsid w:val="00943955"/>
    <w:rsid w:val="00943B69"/>
    <w:rsid w:val="00943DE0"/>
    <w:rsid w:val="00944DE0"/>
    <w:rsid w:val="009450B3"/>
    <w:rsid w:val="009452C2"/>
    <w:rsid w:val="0094557E"/>
    <w:rsid w:val="0094628B"/>
    <w:rsid w:val="00946679"/>
    <w:rsid w:val="00946D23"/>
    <w:rsid w:val="009471D2"/>
    <w:rsid w:val="00951668"/>
    <w:rsid w:val="00951C22"/>
    <w:rsid w:val="0095354B"/>
    <w:rsid w:val="00953E81"/>
    <w:rsid w:val="00954390"/>
    <w:rsid w:val="009552DA"/>
    <w:rsid w:val="0095754B"/>
    <w:rsid w:val="009601EA"/>
    <w:rsid w:val="009603A7"/>
    <w:rsid w:val="0096130A"/>
    <w:rsid w:val="00961FCC"/>
    <w:rsid w:val="0096283A"/>
    <w:rsid w:val="00962DB5"/>
    <w:rsid w:val="0096353B"/>
    <w:rsid w:val="00963A14"/>
    <w:rsid w:val="009647D1"/>
    <w:rsid w:val="009648E3"/>
    <w:rsid w:val="00965457"/>
    <w:rsid w:val="00965ECC"/>
    <w:rsid w:val="009660AF"/>
    <w:rsid w:val="0096645F"/>
    <w:rsid w:val="0096726F"/>
    <w:rsid w:val="009675C9"/>
    <w:rsid w:val="00970073"/>
    <w:rsid w:val="00972338"/>
    <w:rsid w:val="00973B67"/>
    <w:rsid w:val="00974DF0"/>
    <w:rsid w:val="00976603"/>
    <w:rsid w:val="00976698"/>
    <w:rsid w:val="009803C2"/>
    <w:rsid w:val="0098094D"/>
    <w:rsid w:val="00981440"/>
    <w:rsid w:val="00981F0F"/>
    <w:rsid w:val="00982898"/>
    <w:rsid w:val="00982A97"/>
    <w:rsid w:val="00982C60"/>
    <w:rsid w:val="0098306D"/>
    <w:rsid w:val="0098399A"/>
    <w:rsid w:val="00984CE4"/>
    <w:rsid w:val="00985AB4"/>
    <w:rsid w:val="0098623A"/>
    <w:rsid w:val="00986799"/>
    <w:rsid w:val="009867E3"/>
    <w:rsid w:val="0098687B"/>
    <w:rsid w:val="009945FD"/>
    <w:rsid w:val="0099540B"/>
    <w:rsid w:val="0099556D"/>
    <w:rsid w:val="009962AD"/>
    <w:rsid w:val="009963DF"/>
    <w:rsid w:val="00996636"/>
    <w:rsid w:val="009967A9"/>
    <w:rsid w:val="009968B2"/>
    <w:rsid w:val="00996A9C"/>
    <w:rsid w:val="00997390"/>
    <w:rsid w:val="009A0BA0"/>
    <w:rsid w:val="009A0F91"/>
    <w:rsid w:val="009A143F"/>
    <w:rsid w:val="009A3433"/>
    <w:rsid w:val="009A3DE6"/>
    <w:rsid w:val="009A424A"/>
    <w:rsid w:val="009A4640"/>
    <w:rsid w:val="009A6066"/>
    <w:rsid w:val="009A6091"/>
    <w:rsid w:val="009B04AE"/>
    <w:rsid w:val="009B0D18"/>
    <w:rsid w:val="009B0E18"/>
    <w:rsid w:val="009B432E"/>
    <w:rsid w:val="009B6640"/>
    <w:rsid w:val="009B7908"/>
    <w:rsid w:val="009C06DE"/>
    <w:rsid w:val="009C152A"/>
    <w:rsid w:val="009C2CF4"/>
    <w:rsid w:val="009C331C"/>
    <w:rsid w:val="009C3DBB"/>
    <w:rsid w:val="009C450C"/>
    <w:rsid w:val="009C4C22"/>
    <w:rsid w:val="009C5FA4"/>
    <w:rsid w:val="009C6D25"/>
    <w:rsid w:val="009C6EA0"/>
    <w:rsid w:val="009D0614"/>
    <w:rsid w:val="009D0C41"/>
    <w:rsid w:val="009D1544"/>
    <w:rsid w:val="009D1E40"/>
    <w:rsid w:val="009D235D"/>
    <w:rsid w:val="009D3493"/>
    <w:rsid w:val="009D3C3B"/>
    <w:rsid w:val="009E03A5"/>
    <w:rsid w:val="009E0E7B"/>
    <w:rsid w:val="009E2B86"/>
    <w:rsid w:val="009E35FC"/>
    <w:rsid w:val="009E55DF"/>
    <w:rsid w:val="009E5C69"/>
    <w:rsid w:val="009E5CA3"/>
    <w:rsid w:val="009E5E77"/>
    <w:rsid w:val="009E65C4"/>
    <w:rsid w:val="009E6D30"/>
    <w:rsid w:val="009E7CA0"/>
    <w:rsid w:val="009F027F"/>
    <w:rsid w:val="009F03D9"/>
    <w:rsid w:val="009F2E3D"/>
    <w:rsid w:val="009F3684"/>
    <w:rsid w:val="009F36C6"/>
    <w:rsid w:val="009F3950"/>
    <w:rsid w:val="009F4347"/>
    <w:rsid w:val="009F434E"/>
    <w:rsid w:val="009F43FF"/>
    <w:rsid w:val="009F595D"/>
    <w:rsid w:val="009F6481"/>
    <w:rsid w:val="009F6AA6"/>
    <w:rsid w:val="009F76EB"/>
    <w:rsid w:val="00A00542"/>
    <w:rsid w:val="00A01CB2"/>
    <w:rsid w:val="00A02787"/>
    <w:rsid w:val="00A03085"/>
    <w:rsid w:val="00A0335B"/>
    <w:rsid w:val="00A0343B"/>
    <w:rsid w:val="00A0401A"/>
    <w:rsid w:val="00A04D98"/>
    <w:rsid w:val="00A04EE1"/>
    <w:rsid w:val="00A055C0"/>
    <w:rsid w:val="00A05AE7"/>
    <w:rsid w:val="00A05CE5"/>
    <w:rsid w:val="00A07A49"/>
    <w:rsid w:val="00A1024F"/>
    <w:rsid w:val="00A10D4F"/>
    <w:rsid w:val="00A10F25"/>
    <w:rsid w:val="00A11EEE"/>
    <w:rsid w:val="00A122A2"/>
    <w:rsid w:val="00A1266B"/>
    <w:rsid w:val="00A12A3C"/>
    <w:rsid w:val="00A12B46"/>
    <w:rsid w:val="00A12BD3"/>
    <w:rsid w:val="00A14352"/>
    <w:rsid w:val="00A14984"/>
    <w:rsid w:val="00A14B21"/>
    <w:rsid w:val="00A14B53"/>
    <w:rsid w:val="00A15616"/>
    <w:rsid w:val="00A15AC0"/>
    <w:rsid w:val="00A178ED"/>
    <w:rsid w:val="00A206FB"/>
    <w:rsid w:val="00A2084C"/>
    <w:rsid w:val="00A20B1E"/>
    <w:rsid w:val="00A20F20"/>
    <w:rsid w:val="00A2145F"/>
    <w:rsid w:val="00A21C90"/>
    <w:rsid w:val="00A21DDE"/>
    <w:rsid w:val="00A23711"/>
    <w:rsid w:val="00A24628"/>
    <w:rsid w:val="00A25EF8"/>
    <w:rsid w:val="00A267EF"/>
    <w:rsid w:val="00A26811"/>
    <w:rsid w:val="00A26994"/>
    <w:rsid w:val="00A2753E"/>
    <w:rsid w:val="00A27E1A"/>
    <w:rsid w:val="00A30696"/>
    <w:rsid w:val="00A309AD"/>
    <w:rsid w:val="00A311E6"/>
    <w:rsid w:val="00A327F0"/>
    <w:rsid w:val="00A33330"/>
    <w:rsid w:val="00A34144"/>
    <w:rsid w:val="00A3458F"/>
    <w:rsid w:val="00A34ACD"/>
    <w:rsid w:val="00A34E22"/>
    <w:rsid w:val="00A36CD1"/>
    <w:rsid w:val="00A40196"/>
    <w:rsid w:val="00A40843"/>
    <w:rsid w:val="00A408A0"/>
    <w:rsid w:val="00A40B15"/>
    <w:rsid w:val="00A40C3F"/>
    <w:rsid w:val="00A4105E"/>
    <w:rsid w:val="00A41F68"/>
    <w:rsid w:val="00A42267"/>
    <w:rsid w:val="00A4277B"/>
    <w:rsid w:val="00A42B55"/>
    <w:rsid w:val="00A4425D"/>
    <w:rsid w:val="00A44855"/>
    <w:rsid w:val="00A50333"/>
    <w:rsid w:val="00A50355"/>
    <w:rsid w:val="00A5062C"/>
    <w:rsid w:val="00A50AE5"/>
    <w:rsid w:val="00A53C2A"/>
    <w:rsid w:val="00A55393"/>
    <w:rsid w:val="00A55AC3"/>
    <w:rsid w:val="00A56497"/>
    <w:rsid w:val="00A5690F"/>
    <w:rsid w:val="00A60D0A"/>
    <w:rsid w:val="00A611CA"/>
    <w:rsid w:val="00A61897"/>
    <w:rsid w:val="00A618BA"/>
    <w:rsid w:val="00A61EEA"/>
    <w:rsid w:val="00A625B0"/>
    <w:rsid w:val="00A62E52"/>
    <w:rsid w:val="00A62FF6"/>
    <w:rsid w:val="00A641D6"/>
    <w:rsid w:val="00A64625"/>
    <w:rsid w:val="00A66013"/>
    <w:rsid w:val="00A66298"/>
    <w:rsid w:val="00A67573"/>
    <w:rsid w:val="00A70CEF"/>
    <w:rsid w:val="00A71220"/>
    <w:rsid w:val="00A71251"/>
    <w:rsid w:val="00A71472"/>
    <w:rsid w:val="00A71F70"/>
    <w:rsid w:val="00A720A9"/>
    <w:rsid w:val="00A7219A"/>
    <w:rsid w:val="00A7283F"/>
    <w:rsid w:val="00A72DFC"/>
    <w:rsid w:val="00A75249"/>
    <w:rsid w:val="00A762A9"/>
    <w:rsid w:val="00A76E2C"/>
    <w:rsid w:val="00A76EC9"/>
    <w:rsid w:val="00A80842"/>
    <w:rsid w:val="00A810A9"/>
    <w:rsid w:val="00A8245A"/>
    <w:rsid w:val="00A8309E"/>
    <w:rsid w:val="00A833BC"/>
    <w:rsid w:val="00A83768"/>
    <w:rsid w:val="00A839E8"/>
    <w:rsid w:val="00A845DE"/>
    <w:rsid w:val="00A85556"/>
    <w:rsid w:val="00A86019"/>
    <w:rsid w:val="00A87F17"/>
    <w:rsid w:val="00A90250"/>
    <w:rsid w:val="00A909E9"/>
    <w:rsid w:val="00A90F8D"/>
    <w:rsid w:val="00A9196A"/>
    <w:rsid w:val="00A92904"/>
    <w:rsid w:val="00A92D4E"/>
    <w:rsid w:val="00A93181"/>
    <w:rsid w:val="00A93FD7"/>
    <w:rsid w:val="00A94374"/>
    <w:rsid w:val="00A95925"/>
    <w:rsid w:val="00A96017"/>
    <w:rsid w:val="00A96CB6"/>
    <w:rsid w:val="00A96D0D"/>
    <w:rsid w:val="00A97B09"/>
    <w:rsid w:val="00A97B5D"/>
    <w:rsid w:val="00AA03A5"/>
    <w:rsid w:val="00AA0891"/>
    <w:rsid w:val="00AA0CCA"/>
    <w:rsid w:val="00AA10AB"/>
    <w:rsid w:val="00AA15DD"/>
    <w:rsid w:val="00AA1A42"/>
    <w:rsid w:val="00AA230C"/>
    <w:rsid w:val="00AA304F"/>
    <w:rsid w:val="00AA3872"/>
    <w:rsid w:val="00AA4B12"/>
    <w:rsid w:val="00AA55AD"/>
    <w:rsid w:val="00AA5F49"/>
    <w:rsid w:val="00AB35D9"/>
    <w:rsid w:val="00AB365A"/>
    <w:rsid w:val="00AB54BD"/>
    <w:rsid w:val="00AB579F"/>
    <w:rsid w:val="00AB5AE7"/>
    <w:rsid w:val="00AB62BA"/>
    <w:rsid w:val="00AB6504"/>
    <w:rsid w:val="00AC071E"/>
    <w:rsid w:val="00AC0AFF"/>
    <w:rsid w:val="00AC2FF0"/>
    <w:rsid w:val="00AC4E2E"/>
    <w:rsid w:val="00AC505E"/>
    <w:rsid w:val="00AC5502"/>
    <w:rsid w:val="00AC559A"/>
    <w:rsid w:val="00AC5729"/>
    <w:rsid w:val="00AC6599"/>
    <w:rsid w:val="00AC679D"/>
    <w:rsid w:val="00AC7AB0"/>
    <w:rsid w:val="00AD02EF"/>
    <w:rsid w:val="00AD0A3D"/>
    <w:rsid w:val="00AD2A3F"/>
    <w:rsid w:val="00AD2A5E"/>
    <w:rsid w:val="00AD33DA"/>
    <w:rsid w:val="00AD40AC"/>
    <w:rsid w:val="00AD4D8C"/>
    <w:rsid w:val="00AD51BE"/>
    <w:rsid w:val="00AD66A9"/>
    <w:rsid w:val="00AD66D0"/>
    <w:rsid w:val="00AD760D"/>
    <w:rsid w:val="00AD761E"/>
    <w:rsid w:val="00AE2275"/>
    <w:rsid w:val="00AE233B"/>
    <w:rsid w:val="00AE24D3"/>
    <w:rsid w:val="00AE3354"/>
    <w:rsid w:val="00AE33C6"/>
    <w:rsid w:val="00AE4104"/>
    <w:rsid w:val="00AE551A"/>
    <w:rsid w:val="00AE5AF7"/>
    <w:rsid w:val="00AE6137"/>
    <w:rsid w:val="00AF086E"/>
    <w:rsid w:val="00AF1B92"/>
    <w:rsid w:val="00AF2B07"/>
    <w:rsid w:val="00AF2C8A"/>
    <w:rsid w:val="00AF33B8"/>
    <w:rsid w:val="00AF356D"/>
    <w:rsid w:val="00AF3577"/>
    <w:rsid w:val="00AF3878"/>
    <w:rsid w:val="00AF58B2"/>
    <w:rsid w:val="00AF5B66"/>
    <w:rsid w:val="00AF6D4E"/>
    <w:rsid w:val="00AF73B9"/>
    <w:rsid w:val="00AF7466"/>
    <w:rsid w:val="00B053F9"/>
    <w:rsid w:val="00B05783"/>
    <w:rsid w:val="00B07041"/>
    <w:rsid w:val="00B07BBE"/>
    <w:rsid w:val="00B07E61"/>
    <w:rsid w:val="00B10A8D"/>
    <w:rsid w:val="00B117D3"/>
    <w:rsid w:val="00B118BB"/>
    <w:rsid w:val="00B11D3D"/>
    <w:rsid w:val="00B137EE"/>
    <w:rsid w:val="00B13E53"/>
    <w:rsid w:val="00B1535C"/>
    <w:rsid w:val="00B16718"/>
    <w:rsid w:val="00B16FEB"/>
    <w:rsid w:val="00B173DA"/>
    <w:rsid w:val="00B17A56"/>
    <w:rsid w:val="00B17C51"/>
    <w:rsid w:val="00B206D4"/>
    <w:rsid w:val="00B20C6A"/>
    <w:rsid w:val="00B2110F"/>
    <w:rsid w:val="00B21837"/>
    <w:rsid w:val="00B21EB3"/>
    <w:rsid w:val="00B222F3"/>
    <w:rsid w:val="00B24165"/>
    <w:rsid w:val="00B246B3"/>
    <w:rsid w:val="00B24A59"/>
    <w:rsid w:val="00B25C5D"/>
    <w:rsid w:val="00B2652C"/>
    <w:rsid w:val="00B26974"/>
    <w:rsid w:val="00B27933"/>
    <w:rsid w:val="00B30678"/>
    <w:rsid w:val="00B30824"/>
    <w:rsid w:val="00B30F89"/>
    <w:rsid w:val="00B31245"/>
    <w:rsid w:val="00B3179A"/>
    <w:rsid w:val="00B32001"/>
    <w:rsid w:val="00B3202D"/>
    <w:rsid w:val="00B32658"/>
    <w:rsid w:val="00B32BB1"/>
    <w:rsid w:val="00B3455E"/>
    <w:rsid w:val="00B36CAC"/>
    <w:rsid w:val="00B37164"/>
    <w:rsid w:val="00B41316"/>
    <w:rsid w:val="00B416DD"/>
    <w:rsid w:val="00B442F9"/>
    <w:rsid w:val="00B445EF"/>
    <w:rsid w:val="00B44629"/>
    <w:rsid w:val="00B44EBB"/>
    <w:rsid w:val="00B4590C"/>
    <w:rsid w:val="00B45FEB"/>
    <w:rsid w:val="00B46A9D"/>
    <w:rsid w:val="00B46B71"/>
    <w:rsid w:val="00B4794D"/>
    <w:rsid w:val="00B47E38"/>
    <w:rsid w:val="00B50FCC"/>
    <w:rsid w:val="00B5150D"/>
    <w:rsid w:val="00B53823"/>
    <w:rsid w:val="00B545BE"/>
    <w:rsid w:val="00B55A87"/>
    <w:rsid w:val="00B576D0"/>
    <w:rsid w:val="00B57E17"/>
    <w:rsid w:val="00B60337"/>
    <w:rsid w:val="00B607D2"/>
    <w:rsid w:val="00B60BDA"/>
    <w:rsid w:val="00B6194B"/>
    <w:rsid w:val="00B62B4F"/>
    <w:rsid w:val="00B63D88"/>
    <w:rsid w:val="00B64126"/>
    <w:rsid w:val="00B646E0"/>
    <w:rsid w:val="00B649CA"/>
    <w:rsid w:val="00B65BBC"/>
    <w:rsid w:val="00B662FF"/>
    <w:rsid w:val="00B71B68"/>
    <w:rsid w:val="00B72052"/>
    <w:rsid w:val="00B722B2"/>
    <w:rsid w:val="00B723A1"/>
    <w:rsid w:val="00B72D44"/>
    <w:rsid w:val="00B743C3"/>
    <w:rsid w:val="00B74C7C"/>
    <w:rsid w:val="00B75D91"/>
    <w:rsid w:val="00B77A5D"/>
    <w:rsid w:val="00B77B48"/>
    <w:rsid w:val="00B80C8F"/>
    <w:rsid w:val="00B813E8"/>
    <w:rsid w:val="00B81D3B"/>
    <w:rsid w:val="00B822A9"/>
    <w:rsid w:val="00B8347D"/>
    <w:rsid w:val="00B8365F"/>
    <w:rsid w:val="00B84A68"/>
    <w:rsid w:val="00B85032"/>
    <w:rsid w:val="00B85996"/>
    <w:rsid w:val="00B864BC"/>
    <w:rsid w:val="00B87163"/>
    <w:rsid w:val="00B8759F"/>
    <w:rsid w:val="00B91B53"/>
    <w:rsid w:val="00B91C9E"/>
    <w:rsid w:val="00B92EFD"/>
    <w:rsid w:val="00B9308A"/>
    <w:rsid w:val="00B958FD"/>
    <w:rsid w:val="00B971DB"/>
    <w:rsid w:val="00BA0058"/>
    <w:rsid w:val="00BA20FA"/>
    <w:rsid w:val="00BA2270"/>
    <w:rsid w:val="00BA36BC"/>
    <w:rsid w:val="00BA3E7B"/>
    <w:rsid w:val="00BA3F60"/>
    <w:rsid w:val="00BA6DE4"/>
    <w:rsid w:val="00BA6F86"/>
    <w:rsid w:val="00BB1306"/>
    <w:rsid w:val="00BB195E"/>
    <w:rsid w:val="00BB1995"/>
    <w:rsid w:val="00BB1BC9"/>
    <w:rsid w:val="00BB1C69"/>
    <w:rsid w:val="00BB1FC2"/>
    <w:rsid w:val="00BB2583"/>
    <w:rsid w:val="00BB26CF"/>
    <w:rsid w:val="00BB36E7"/>
    <w:rsid w:val="00BB58FC"/>
    <w:rsid w:val="00BB591A"/>
    <w:rsid w:val="00BB5D24"/>
    <w:rsid w:val="00BC154D"/>
    <w:rsid w:val="00BC275D"/>
    <w:rsid w:val="00BC2BCB"/>
    <w:rsid w:val="00BC2EC9"/>
    <w:rsid w:val="00BC352E"/>
    <w:rsid w:val="00BC42DB"/>
    <w:rsid w:val="00BC466E"/>
    <w:rsid w:val="00BC4B31"/>
    <w:rsid w:val="00BC4CA4"/>
    <w:rsid w:val="00BC6990"/>
    <w:rsid w:val="00BC6D85"/>
    <w:rsid w:val="00BC6EBB"/>
    <w:rsid w:val="00BC745A"/>
    <w:rsid w:val="00BC74F9"/>
    <w:rsid w:val="00BC792B"/>
    <w:rsid w:val="00BC7A1C"/>
    <w:rsid w:val="00BD0B33"/>
    <w:rsid w:val="00BD1D23"/>
    <w:rsid w:val="00BD1E66"/>
    <w:rsid w:val="00BD2D27"/>
    <w:rsid w:val="00BD3455"/>
    <w:rsid w:val="00BD44BF"/>
    <w:rsid w:val="00BD557A"/>
    <w:rsid w:val="00BD77D3"/>
    <w:rsid w:val="00BE08F9"/>
    <w:rsid w:val="00BE0B3A"/>
    <w:rsid w:val="00BE11F4"/>
    <w:rsid w:val="00BE1A09"/>
    <w:rsid w:val="00BE29D2"/>
    <w:rsid w:val="00BE2D94"/>
    <w:rsid w:val="00BE3329"/>
    <w:rsid w:val="00BE37C0"/>
    <w:rsid w:val="00BE5E2F"/>
    <w:rsid w:val="00BE711C"/>
    <w:rsid w:val="00BE7161"/>
    <w:rsid w:val="00BE74A6"/>
    <w:rsid w:val="00BE77C7"/>
    <w:rsid w:val="00BE7E66"/>
    <w:rsid w:val="00BF05CE"/>
    <w:rsid w:val="00BF21CF"/>
    <w:rsid w:val="00BF55A1"/>
    <w:rsid w:val="00BF5B21"/>
    <w:rsid w:val="00BF6509"/>
    <w:rsid w:val="00BF6C20"/>
    <w:rsid w:val="00C00ADC"/>
    <w:rsid w:val="00C010BC"/>
    <w:rsid w:val="00C010F4"/>
    <w:rsid w:val="00C03ADD"/>
    <w:rsid w:val="00C04400"/>
    <w:rsid w:val="00C044FA"/>
    <w:rsid w:val="00C045EF"/>
    <w:rsid w:val="00C0486D"/>
    <w:rsid w:val="00C05042"/>
    <w:rsid w:val="00C05325"/>
    <w:rsid w:val="00C072E0"/>
    <w:rsid w:val="00C07D23"/>
    <w:rsid w:val="00C10F5D"/>
    <w:rsid w:val="00C11089"/>
    <w:rsid w:val="00C111F0"/>
    <w:rsid w:val="00C12112"/>
    <w:rsid w:val="00C133E9"/>
    <w:rsid w:val="00C13F42"/>
    <w:rsid w:val="00C13FDA"/>
    <w:rsid w:val="00C14035"/>
    <w:rsid w:val="00C1409F"/>
    <w:rsid w:val="00C14131"/>
    <w:rsid w:val="00C14319"/>
    <w:rsid w:val="00C145CC"/>
    <w:rsid w:val="00C153F2"/>
    <w:rsid w:val="00C15902"/>
    <w:rsid w:val="00C16A90"/>
    <w:rsid w:val="00C175AF"/>
    <w:rsid w:val="00C20330"/>
    <w:rsid w:val="00C20A55"/>
    <w:rsid w:val="00C216FD"/>
    <w:rsid w:val="00C21962"/>
    <w:rsid w:val="00C24DA7"/>
    <w:rsid w:val="00C25DB6"/>
    <w:rsid w:val="00C3076D"/>
    <w:rsid w:val="00C31BF3"/>
    <w:rsid w:val="00C31BFF"/>
    <w:rsid w:val="00C31FAA"/>
    <w:rsid w:val="00C336F6"/>
    <w:rsid w:val="00C35965"/>
    <w:rsid w:val="00C364AF"/>
    <w:rsid w:val="00C36904"/>
    <w:rsid w:val="00C376A6"/>
    <w:rsid w:val="00C37ADA"/>
    <w:rsid w:val="00C37B71"/>
    <w:rsid w:val="00C40C34"/>
    <w:rsid w:val="00C4113C"/>
    <w:rsid w:val="00C4212F"/>
    <w:rsid w:val="00C42199"/>
    <w:rsid w:val="00C43817"/>
    <w:rsid w:val="00C43940"/>
    <w:rsid w:val="00C43A43"/>
    <w:rsid w:val="00C4409B"/>
    <w:rsid w:val="00C4415F"/>
    <w:rsid w:val="00C458F3"/>
    <w:rsid w:val="00C45EF1"/>
    <w:rsid w:val="00C4753A"/>
    <w:rsid w:val="00C479AE"/>
    <w:rsid w:val="00C47D9D"/>
    <w:rsid w:val="00C5068C"/>
    <w:rsid w:val="00C5126E"/>
    <w:rsid w:val="00C5143B"/>
    <w:rsid w:val="00C517E8"/>
    <w:rsid w:val="00C522B0"/>
    <w:rsid w:val="00C52351"/>
    <w:rsid w:val="00C52563"/>
    <w:rsid w:val="00C52A5C"/>
    <w:rsid w:val="00C5344C"/>
    <w:rsid w:val="00C54AA2"/>
    <w:rsid w:val="00C54AA7"/>
    <w:rsid w:val="00C563B4"/>
    <w:rsid w:val="00C573C4"/>
    <w:rsid w:val="00C604DA"/>
    <w:rsid w:val="00C61FF3"/>
    <w:rsid w:val="00C62887"/>
    <w:rsid w:val="00C63B6A"/>
    <w:rsid w:val="00C6415A"/>
    <w:rsid w:val="00C64A0A"/>
    <w:rsid w:val="00C65046"/>
    <w:rsid w:val="00C65DB2"/>
    <w:rsid w:val="00C66D19"/>
    <w:rsid w:val="00C67159"/>
    <w:rsid w:val="00C7083E"/>
    <w:rsid w:val="00C7094B"/>
    <w:rsid w:val="00C71592"/>
    <w:rsid w:val="00C72F70"/>
    <w:rsid w:val="00C74298"/>
    <w:rsid w:val="00C7613E"/>
    <w:rsid w:val="00C76481"/>
    <w:rsid w:val="00C7691B"/>
    <w:rsid w:val="00C76B99"/>
    <w:rsid w:val="00C76D2A"/>
    <w:rsid w:val="00C7733B"/>
    <w:rsid w:val="00C8138E"/>
    <w:rsid w:val="00C81B1E"/>
    <w:rsid w:val="00C83E56"/>
    <w:rsid w:val="00C85EFD"/>
    <w:rsid w:val="00C869B7"/>
    <w:rsid w:val="00C8782A"/>
    <w:rsid w:val="00C87E6C"/>
    <w:rsid w:val="00C91E1C"/>
    <w:rsid w:val="00C92CB0"/>
    <w:rsid w:val="00C935A0"/>
    <w:rsid w:val="00C94F31"/>
    <w:rsid w:val="00C950CA"/>
    <w:rsid w:val="00C96436"/>
    <w:rsid w:val="00C96FE9"/>
    <w:rsid w:val="00CA0C70"/>
    <w:rsid w:val="00CA11DF"/>
    <w:rsid w:val="00CA18EC"/>
    <w:rsid w:val="00CA19BD"/>
    <w:rsid w:val="00CA2D86"/>
    <w:rsid w:val="00CA3A9A"/>
    <w:rsid w:val="00CA3DD3"/>
    <w:rsid w:val="00CA456E"/>
    <w:rsid w:val="00CA4813"/>
    <w:rsid w:val="00CA495D"/>
    <w:rsid w:val="00CA4DBD"/>
    <w:rsid w:val="00CA69C7"/>
    <w:rsid w:val="00CA7542"/>
    <w:rsid w:val="00CA7A55"/>
    <w:rsid w:val="00CA7B4D"/>
    <w:rsid w:val="00CB0E3B"/>
    <w:rsid w:val="00CB187E"/>
    <w:rsid w:val="00CB2418"/>
    <w:rsid w:val="00CB29FA"/>
    <w:rsid w:val="00CB3195"/>
    <w:rsid w:val="00CB4884"/>
    <w:rsid w:val="00CB4B92"/>
    <w:rsid w:val="00CB4FAC"/>
    <w:rsid w:val="00CB5C53"/>
    <w:rsid w:val="00CB5F7E"/>
    <w:rsid w:val="00CB754F"/>
    <w:rsid w:val="00CC08C2"/>
    <w:rsid w:val="00CC12EF"/>
    <w:rsid w:val="00CC164F"/>
    <w:rsid w:val="00CC19AA"/>
    <w:rsid w:val="00CC21E9"/>
    <w:rsid w:val="00CC3D33"/>
    <w:rsid w:val="00CC49A9"/>
    <w:rsid w:val="00CC4B04"/>
    <w:rsid w:val="00CC4D56"/>
    <w:rsid w:val="00CC558E"/>
    <w:rsid w:val="00CC6741"/>
    <w:rsid w:val="00CC751A"/>
    <w:rsid w:val="00CC7AA9"/>
    <w:rsid w:val="00CD03D2"/>
    <w:rsid w:val="00CD095D"/>
    <w:rsid w:val="00CD2D02"/>
    <w:rsid w:val="00CD4F74"/>
    <w:rsid w:val="00CD58AE"/>
    <w:rsid w:val="00CD63F2"/>
    <w:rsid w:val="00CD7483"/>
    <w:rsid w:val="00CE0A9D"/>
    <w:rsid w:val="00CE0B7C"/>
    <w:rsid w:val="00CE1DF6"/>
    <w:rsid w:val="00CE29B1"/>
    <w:rsid w:val="00CE3A3E"/>
    <w:rsid w:val="00CE41BA"/>
    <w:rsid w:val="00CE4956"/>
    <w:rsid w:val="00CE49A0"/>
    <w:rsid w:val="00CE4AD9"/>
    <w:rsid w:val="00CE4ADF"/>
    <w:rsid w:val="00CE516E"/>
    <w:rsid w:val="00CE5556"/>
    <w:rsid w:val="00CE703C"/>
    <w:rsid w:val="00CE74E7"/>
    <w:rsid w:val="00CE780A"/>
    <w:rsid w:val="00CE792A"/>
    <w:rsid w:val="00CE7BC0"/>
    <w:rsid w:val="00CE7E3E"/>
    <w:rsid w:val="00CF01EC"/>
    <w:rsid w:val="00CF1168"/>
    <w:rsid w:val="00CF3EAD"/>
    <w:rsid w:val="00CF4E6A"/>
    <w:rsid w:val="00CF4FFF"/>
    <w:rsid w:val="00CF680C"/>
    <w:rsid w:val="00CF7B6F"/>
    <w:rsid w:val="00D01014"/>
    <w:rsid w:val="00D040D1"/>
    <w:rsid w:val="00D0423B"/>
    <w:rsid w:val="00D047E8"/>
    <w:rsid w:val="00D04D30"/>
    <w:rsid w:val="00D056B2"/>
    <w:rsid w:val="00D05976"/>
    <w:rsid w:val="00D06B64"/>
    <w:rsid w:val="00D0774E"/>
    <w:rsid w:val="00D07C68"/>
    <w:rsid w:val="00D1064C"/>
    <w:rsid w:val="00D111F1"/>
    <w:rsid w:val="00D11961"/>
    <w:rsid w:val="00D12618"/>
    <w:rsid w:val="00D126DF"/>
    <w:rsid w:val="00D12AF5"/>
    <w:rsid w:val="00D12F96"/>
    <w:rsid w:val="00D13E01"/>
    <w:rsid w:val="00D15638"/>
    <w:rsid w:val="00D1567C"/>
    <w:rsid w:val="00D15D74"/>
    <w:rsid w:val="00D1671D"/>
    <w:rsid w:val="00D17299"/>
    <w:rsid w:val="00D20D85"/>
    <w:rsid w:val="00D21227"/>
    <w:rsid w:val="00D2147E"/>
    <w:rsid w:val="00D21DB7"/>
    <w:rsid w:val="00D239BA"/>
    <w:rsid w:val="00D2442B"/>
    <w:rsid w:val="00D258E1"/>
    <w:rsid w:val="00D26A0C"/>
    <w:rsid w:val="00D305F3"/>
    <w:rsid w:val="00D311AA"/>
    <w:rsid w:val="00D31F43"/>
    <w:rsid w:val="00D32435"/>
    <w:rsid w:val="00D3296A"/>
    <w:rsid w:val="00D32F62"/>
    <w:rsid w:val="00D34620"/>
    <w:rsid w:val="00D34647"/>
    <w:rsid w:val="00D357AE"/>
    <w:rsid w:val="00D35BF3"/>
    <w:rsid w:val="00D41901"/>
    <w:rsid w:val="00D43BC2"/>
    <w:rsid w:val="00D43C08"/>
    <w:rsid w:val="00D43D7D"/>
    <w:rsid w:val="00D445AE"/>
    <w:rsid w:val="00D4536A"/>
    <w:rsid w:val="00D45999"/>
    <w:rsid w:val="00D4613F"/>
    <w:rsid w:val="00D4735F"/>
    <w:rsid w:val="00D474A8"/>
    <w:rsid w:val="00D50746"/>
    <w:rsid w:val="00D50A1A"/>
    <w:rsid w:val="00D514D0"/>
    <w:rsid w:val="00D51F3E"/>
    <w:rsid w:val="00D524FE"/>
    <w:rsid w:val="00D52AAD"/>
    <w:rsid w:val="00D52C25"/>
    <w:rsid w:val="00D5572E"/>
    <w:rsid w:val="00D55F32"/>
    <w:rsid w:val="00D563C8"/>
    <w:rsid w:val="00D56BFD"/>
    <w:rsid w:val="00D56F7C"/>
    <w:rsid w:val="00D6066B"/>
    <w:rsid w:val="00D616CE"/>
    <w:rsid w:val="00D61C80"/>
    <w:rsid w:val="00D621E8"/>
    <w:rsid w:val="00D62355"/>
    <w:rsid w:val="00D625D1"/>
    <w:rsid w:val="00D63524"/>
    <w:rsid w:val="00D64750"/>
    <w:rsid w:val="00D65B56"/>
    <w:rsid w:val="00D66531"/>
    <w:rsid w:val="00D66789"/>
    <w:rsid w:val="00D6685E"/>
    <w:rsid w:val="00D6690A"/>
    <w:rsid w:val="00D66D69"/>
    <w:rsid w:val="00D67076"/>
    <w:rsid w:val="00D70332"/>
    <w:rsid w:val="00D70A20"/>
    <w:rsid w:val="00D726F0"/>
    <w:rsid w:val="00D72BCF"/>
    <w:rsid w:val="00D7319B"/>
    <w:rsid w:val="00D73515"/>
    <w:rsid w:val="00D73B78"/>
    <w:rsid w:val="00D74416"/>
    <w:rsid w:val="00D752A9"/>
    <w:rsid w:val="00D75380"/>
    <w:rsid w:val="00D77573"/>
    <w:rsid w:val="00D7792B"/>
    <w:rsid w:val="00D80052"/>
    <w:rsid w:val="00D806A4"/>
    <w:rsid w:val="00D80D69"/>
    <w:rsid w:val="00D81E9A"/>
    <w:rsid w:val="00D831CC"/>
    <w:rsid w:val="00D84232"/>
    <w:rsid w:val="00D851FD"/>
    <w:rsid w:val="00D854AD"/>
    <w:rsid w:val="00D8600B"/>
    <w:rsid w:val="00D86817"/>
    <w:rsid w:val="00D87871"/>
    <w:rsid w:val="00D87EF4"/>
    <w:rsid w:val="00D90B48"/>
    <w:rsid w:val="00D9115F"/>
    <w:rsid w:val="00D91DD7"/>
    <w:rsid w:val="00D92FB3"/>
    <w:rsid w:val="00D93FA8"/>
    <w:rsid w:val="00D9409D"/>
    <w:rsid w:val="00D95293"/>
    <w:rsid w:val="00D95459"/>
    <w:rsid w:val="00D95AD3"/>
    <w:rsid w:val="00D962F8"/>
    <w:rsid w:val="00D96EB8"/>
    <w:rsid w:val="00D96FED"/>
    <w:rsid w:val="00DA0258"/>
    <w:rsid w:val="00DA09A1"/>
    <w:rsid w:val="00DA139C"/>
    <w:rsid w:val="00DA1E67"/>
    <w:rsid w:val="00DA2377"/>
    <w:rsid w:val="00DA3368"/>
    <w:rsid w:val="00DA3DDB"/>
    <w:rsid w:val="00DA417C"/>
    <w:rsid w:val="00DA4495"/>
    <w:rsid w:val="00DA7495"/>
    <w:rsid w:val="00DB03F2"/>
    <w:rsid w:val="00DB1858"/>
    <w:rsid w:val="00DB243C"/>
    <w:rsid w:val="00DB28CA"/>
    <w:rsid w:val="00DB34E0"/>
    <w:rsid w:val="00DB41B9"/>
    <w:rsid w:val="00DB448D"/>
    <w:rsid w:val="00DB4AFD"/>
    <w:rsid w:val="00DB54C8"/>
    <w:rsid w:val="00DB56FD"/>
    <w:rsid w:val="00DB58B3"/>
    <w:rsid w:val="00DB6DDC"/>
    <w:rsid w:val="00DB6E57"/>
    <w:rsid w:val="00DC16A8"/>
    <w:rsid w:val="00DC223E"/>
    <w:rsid w:val="00DC2A73"/>
    <w:rsid w:val="00DC2AC7"/>
    <w:rsid w:val="00DC2E73"/>
    <w:rsid w:val="00DC395B"/>
    <w:rsid w:val="00DC3A3C"/>
    <w:rsid w:val="00DC547C"/>
    <w:rsid w:val="00DC730F"/>
    <w:rsid w:val="00DC77DE"/>
    <w:rsid w:val="00DC78E0"/>
    <w:rsid w:val="00DD0319"/>
    <w:rsid w:val="00DD1112"/>
    <w:rsid w:val="00DD1A10"/>
    <w:rsid w:val="00DD2494"/>
    <w:rsid w:val="00DD2A7E"/>
    <w:rsid w:val="00DD306C"/>
    <w:rsid w:val="00DD4C58"/>
    <w:rsid w:val="00DD4D15"/>
    <w:rsid w:val="00DD5290"/>
    <w:rsid w:val="00DD5F2A"/>
    <w:rsid w:val="00DD6368"/>
    <w:rsid w:val="00DD6E4F"/>
    <w:rsid w:val="00DD751B"/>
    <w:rsid w:val="00DD7767"/>
    <w:rsid w:val="00DD7D11"/>
    <w:rsid w:val="00DE0547"/>
    <w:rsid w:val="00DE0639"/>
    <w:rsid w:val="00DE147F"/>
    <w:rsid w:val="00DE14DA"/>
    <w:rsid w:val="00DE15BB"/>
    <w:rsid w:val="00DE2BB3"/>
    <w:rsid w:val="00DE3507"/>
    <w:rsid w:val="00DE526C"/>
    <w:rsid w:val="00DE5C87"/>
    <w:rsid w:val="00DE6251"/>
    <w:rsid w:val="00DE6AD1"/>
    <w:rsid w:val="00DE786E"/>
    <w:rsid w:val="00DE7E42"/>
    <w:rsid w:val="00DF2566"/>
    <w:rsid w:val="00DF2843"/>
    <w:rsid w:val="00DF4D0F"/>
    <w:rsid w:val="00DF50C5"/>
    <w:rsid w:val="00DF5119"/>
    <w:rsid w:val="00DF5553"/>
    <w:rsid w:val="00DF5D5F"/>
    <w:rsid w:val="00DF7343"/>
    <w:rsid w:val="00DF7459"/>
    <w:rsid w:val="00DF78B2"/>
    <w:rsid w:val="00DF78E3"/>
    <w:rsid w:val="00DF7A5E"/>
    <w:rsid w:val="00E00DCD"/>
    <w:rsid w:val="00E00E0B"/>
    <w:rsid w:val="00E01498"/>
    <w:rsid w:val="00E019B2"/>
    <w:rsid w:val="00E02220"/>
    <w:rsid w:val="00E0272A"/>
    <w:rsid w:val="00E02D7F"/>
    <w:rsid w:val="00E030C1"/>
    <w:rsid w:val="00E031CD"/>
    <w:rsid w:val="00E039B4"/>
    <w:rsid w:val="00E04925"/>
    <w:rsid w:val="00E05A22"/>
    <w:rsid w:val="00E0795E"/>
    <w:rsid w:val="00E103C1"/>
    <w:rsid w:val="00E1163E"/>
    <w:rsid w:val="00E11728"/>
    <w:rsid w:val="00E11F2A"/>
    <w:rsid w:val="00E12216"/>
    <w:rsid w:val="00E1282B"/>
    <w:rsid w:val="00E139FE"/>
    <w:rsid w:val="00E13BFE"/>
    <w:rsid w:val="00E13ED9"/>
    <w:rsid w:val="00E14BDE"/>
    <w:rsid w:val="00E15015"/>
    <w:rsid w:val="00E15ED4"/>
    <w:rsid w:val="00E1756A"/>
    <w:rsid w:val="00E21864"/>
    <w:rsid w:val="00E22790"/>
    <w:rsid w:val="00E228D6"/>
    <w:rsid w:val="00E22BB7"/>
    <w:rsid w:val="00E23478"/>
    <w:rsid w:val="00E25E9F"/>
    <w:rsid w:val="00E25EB8"/>
    <w:rsid w:val="00E266D8"/>
    <w:rsid w:val="00E26C78"/>
    <w:rsid w:val="00E3037D"/>
    <w:rsid w:val="00E31F47"/>
    <w:rsid w:val="00E34A7F"/>
    <w:rsid w:val="00E34D29"/>
    <w:rsid w:val="00E35E82"/>
    <w:rsid w:val="00E36A45"/>
    <w:rsid w:val="00E36D11"/>
    <w:rsid w:val="00E36F7E"/>
    <w:rsid w:val="00E37704"/>
    <w:rsid w:val="00E37853"/>
    <w:rsid w:val="00E40021"/>
    <w:rsid w:val="00E41968"/>
    <w:rsid w:val="00E43E65"/>
    <w:rsid w:val="00E44389"/>
    <w:rsid w:val="00E44CE7"/>
    <w:rsid w:val="00E4513D"/>
    <w:rsid w:val="00E460BD"/>
    <w:rsid w:val="00E46ABC"/>
    <w:rsid w:val="00E46B12"/>
    <w:rsid w:val="00E46D6A"/>
    <w:rsid w:val="00E502F4"/>
    <w:rsid w:val="00E53604"/>
    <w:rsid w:val="00E5369A"/>
    <w:rsid w:val="00E540EA"/>
    <w:rsid w:val="00E556B5"/>
    <w:rsid w:val="00E562F8"/>
    <w:rsid w:val="00E566B9"/>
    <w:rsid w:val="00E5697D"/>
    <w:rsid w:val="00E56A81"/>
    <w:rsid w:val="00E56CA1"/>
    <w:rsid w:val="00E57AAD"/>
    <w:rsid w:val="00E60958"/>
    <w:rsid w:val="00E61045"/>
    <w:rsid w:val="00E61363"/>
    <w:rsid w:val="00E61392"/>
    <w:rsid w:val="00E617F4"/>
    <w:rsid w:val="00E62012"/>
    <w:rsid w:val="00E63AA3"/>
    <w:rsid w:val="00E63F20"/>
    <w:rsid w:val="00E641AD"/>
    <w:rsid w:val="00E6443F"/>
    <w:rsid w:val="00E64E84"/>
    <w:rsid w:val="00E6529B"/>
    <w:rsid w:val="00E67448"/>
    <w:rsid w:val="00E6768F"/>
    <w:rsid w:val="00E677B1"/>
    <w:rsid w:val="00E67A1F"/>
    <w:rsid w:val="00E67B98"/>
    <w:rsid w:val="00E70AFB"/>
    <w:rsid w:val="00E71CB0"/>
    <w:rsid w:val="00E72C17"/>
    <w:rsid w:val="00E72C28"/>
    <w:rsid w:val="00E733DE"/>
    <w:rsid w:val="00E7362E"/>
    <w:rsid w:val="00E74578"/>
    <w:rsid w:val="00E747FC"/>
    <w:rsid w:val="00E74E41"/>
    <w:rsid w:val="00E7533E"/>
    <w:rsid w:val="00E7553F"/>
    <w:rsid w:val="00E75ABF"/>
    <w:rsid w:val="00E75B39"/>
    <w:rsid w:val="00E762E5"/>
    <w:rsid w:val="00E769C4"/>
    <w:rsid w:val="00E76D3F"/>
    <w:rsid w:val="00E77976"/>
    <w:rsid w:val="00E77B75"/>
    <w:rsid w:val="00E77DE3"/>
    <w:rsid w:val="00E80EFB"/>
    <w:rsid w:val="00E811A9"/>
    <w:rsid w:val="00E81C4F"/>
    <w:rsid w:val="00E81E04"/>
    <w:rsid w:val="00E82981"/>
    <w:rsid w:val="00E82AC3"/>
    <w:rsid w:val="00E82F5E"/>
    <w:rsid w:val="00E832BA"/>
    <w:rsid w:val="00E85D96"/>
    <w:rsid w:val="00E8610E"/>
    <w:rsid w:val="00E87742"/>
    <w:rsid w:val="00E915F1"/>
    <w:rsid w:val="00E92015"/>
    <w:rsid w:val="00E93800"/>
    <w:rsid w:val="00E9501F"/>
    <w:rsid w:val="00E958C6"/>
    <w:rsid w:val="00E961BC"/>
    <w:rsid w:val="00E96258"/>
    <w:rsid w:val="00E96391"/>
    <w:rsid w:val="00E9695E"/>
    <w:rsid w:val="00E976E1"/>
    <w:rsid w:val="00E9770F"/>
    <w:rsid w:val="00EA0353"/>
    <w:rsid w:val="00EA0A59"/>
    <w:rsid w:val="00EA1245"/>
    <w:rsid w:val="00EA1523"/>
    <w:rsid w:val="00EA1F1E"/>
    <w:rsid w:val="00EA2A98"/>
    <w:rsid w:val="00EA2CE0"/>
    <w:rsid w:val="00EA3DA7"/>
    <w:rsid w:val="00EA5BAD"/>
    <w:rsid w:val="00EA68B7"/>
    <w:rsid w:val="00EA6A72"/>
    <w:rsid w:val="00EB0315"/>
    <w:rsid w:val="00EB0A45"/>
    <w:rsid w:val="00EB0DD0"/>
    <w:rsid w:val="00EB1444"/>
    <w:rsid w:val="00EB38D9"/>
    <w:rsid w:val="00EB39A2"/>
    <w:rsid w:val="00EB43B0"/>
    <w:rsid w:val="00EB4D31"/>
    <w:rsid w:val="00EB5289"/>
    <w:rsid w:val="00EB52CB"/>
    <w:rsid w:val="00EB56D3"/>
    <w:rsid w:val="00EB644A"/>
    <w:rsid w:val="00EB6D25"/>
    <w:rsid w:val="00EB6D98"/>
    <w:rsid w:val="00EB7130"/>
    <w:rsid w:val="00EB7174"/>
    <w:rsid w:val="00EB7FD7"/>
    <w:rsid w:val="00EC2EAA"/>
    <w:rsid w:val="00EC53AA"/>
    <w:rsid w:val="00EC68B8"/>
    <w:rsid w:val="00EC6DAC"/>
    <w:rsid w:val="00EC6E4A"/>
    <w:rsid w:val="00ED106E"/>
    <w:rsid w:val="00ED2EA2"/>
    <w:rsid w:val="00ED322C"/>
    <w:rsid w:val="00ED370E"/>
    <w:rsid w:val="00ED3E85"/>
    <w:rsid w:val="00ED41EB"/>
    <w:rsid w:val="00ED5A82"/>
    <w:rsid w:val="00ED6AA8"/>
    <w:rsid w:val="00ED7232"/>
    <w:rsid w:val="00ED7322"/>
    <w:rsid w:val="00ED77DE"/>
    <w:rsid w:val="00EE096D"/>
    <w:rsid w:val="00EE17EC"/>
    <w:rsid w:val="00EE2242"/>
    <w:rsid w:val="00EE294A"/>
    <w:rsid w:val="00EE2B6B"/>
    <w:rsid w:val="00EE3795"/>
    <w:rsid w:val="00EE5E45"/>
    <w:rsid w:val="00EE6307"/>
    <w:rsid w:val="00EE7FCB"/>
    <w:rsid w:val="00EF0200"/>
    <w:rsid w:val="00EF0DC7"/>
    <w:rsid w:val="00EF0DDE"/>
    <w:rsid w:val="00EF1A91"/>
    <w:rsid w:val="00EF1B01"/>
    <w:rsid w:val="00EF3D62"/>
    <w:rsid w:val="00EF4E0C"/>
    <w:rsid w:val="00EF53C2"/>
    <w:rsid w:val="00EF5E87"/>
    <w:rsid w:val="00EF6D9F"/>
    <w:rsid w:val="00EF7DC1"/>
    <w:rsid w:val="00F005B3"/>
    <w:rsid w:val="00F00B0C"/>
    <w:rsid w:val="00F01DF2"/>
    <w:rsid w:val="00F02034"/>
    <w:rsid w:val="00F020ED"/>
    <w:rsid w:val="00F022E7"/>
    <w:rsid w:val="00F027AD"/>
    <w:rsid w:val="00F0340E"/>
    <w:rsid w:val="00F046B0"/>
    <w:rsid w:val="00F0578A"/>
    <w:rsid w:val="00F05F84"/>
    <w:rsid w:val="00F069F6"/>
    <w:rsid w:val="00F06B2D"/>
    <w:rsid w:val="00F07D30"/>
    <w:rsid w:val="00F1026E"/>
    <w:rsid w:val="00F1161D"/>
    <w:rsid w:val="00F11AE8"/>
    <w:rsid w:val="00F11E56"/>
    <w:rsid w:val="00F12B0E"/>
    <w:rsid w:val="00F12D9A"/>
    <w:rsid w:val="00F12F74"/>
    <w:rsid w:val="00F13249"/>
    <w:rsid w:val="00F14650"/>
    <w:rsid w:val="00F15A91"/>
    <w:rsid w:val="00F15F1F"/>
    <w:rsid w:val="00F17390"/>
    <w:rsid w:val="00F20218"/>
    <w:rsid w:val="00F20ED7"/>
    <w:rsid w:val="00F21BAF"/>
    <w:rsid w:val="00F22906"/>
    <w:rsid w:val="00F2348E"/>
    <w:rsid w:val="00F268BB"/>
    <w:rsid w:val="00F27A7A"/>
    <w:rsid w:val="00F30055"/>
    <w:rsid w:val="00F30B84"/>
    <w:rsid w:val="00F3180C"/>
    <w:rsid w:val="00F31BBE"/>
    <w:rsid w:val="00F3226B"/>
    <w:rsid w:val="00F32624"/>
    <w:rsid w:val="00F32A20"/>
    <w:rsid w:val="00F32CAE"/>
    <w:rsid w:val="00F33428"/>
    <w:rsid w:val="00F3375C"/>
    <w:rsid w:val="00F33FE3"/>
    <w:rsid w:val="00F34CE7"/>
    <w:rsid w:val="00F34F55"/>
    <w:rsid w:val="00F34F7B"/>
    <w:rsid w:val="00F354C0"/>
    <w:rsid w:val="00F35B65"/>
    <w:rsid w:val="00F376EF"/>
    <w:rsid w:val="00F37CFD"/>
    <w:rsid w:val="00F40622"/>
    <w:rsid w:val="00F4169E"/>
    <w:rsid w:val="00F42311"/>
    <w:rsid w:val="00F4255F"/>
    <w:rsid w:val="00F449BC"/>
    <w:rsid w:val="00F4567E"/>
    <w:rsid w:val="00F45AA0"/>
    <w:rsid w:val="00F45BA0"/>
    <w:rsid w:val="00F46B01"/>
    <w:rsid w:val="00F46BB9"/>
    <w:rsid w:val="00F47DA3"/>
    <w:rsid w:val="00F5072D"/>
    <w:rsid w:val="00F519DB"/>
    <w:rsid w:val="00F52E5A"/>
    <w:rsid w:val="00F53F00"/>
    <w:rsid w:val="00F542B9"/>
    <w:rsid w:val="00F54CE7"/>
    <w:rsid w:val="00F5569F"/>
    <w:rsid w:val="00F57055"/>
    <w:rsid w:val="00F57854"/>
    <w:rsid w:val="00F60CAB"/>
    <w:rsid w:val="00F614FE"/>
    <w:rsid w:val="00F632F3"/>
    <w:rsid w:val="00F63607"/>
    <w:rsid w:val="00F67006"/>
    <w:rsid w:val="00F67A90"/>
    <w:rsid w:val="00F707E3"/>
    <w:rsid w:val="00F7160F"/>
    <w:rsid w:val="00F72348"/>
    <w:rsid w:val="00F72FAA"/>
    <w:rsid w:val="00F749B7"/>
    <w:rsid w:val="00F7537B"/>
    <w:rsid w:val="00F76771"/>
    <w:rsid w:val="00F77370"/>
    <w:rsid w:val="00F77F92"/>
    <w:rsid w:val="00F807CA"/>
    <w:rsid w:val="00F80EB2"/>
    <w:rsid w:val="00F81337"/>
    <w:rsid w:val="00F81433"/>
    <w:rsid w:val="00F8228D"/>
    <w:rsid w:val="00F82DC7"/>
    <w:rsid w:val="00F82E61"/>
    <w:rsid w:val="00F8344E"/>
    <w:rsid w:val="00F84840"/>
    <w:rsid w:val="00F84BA3"/>
    <w:rsid w:val="00F856A2"/>
    <w:rsid w:val="00F8647D"/>
    <w:rsid w:val="00F8659E"/>
    <w:rsid w:val="00F90084"/>
    <w:rsid w:val="00F90792"/>
    <w:rsid w:val="00F90882"/>
    <w:rsid w:val="00F90A7E"/>
    <w:rsid w:val="00F913C6"/>
    <w:rsid w:val="00F91BF1"/>
    <w:rsid w:val="00F92105"/>
    <w:rsid w:val="00F9243C"/>
    <w:rsid w:val="00F92ECC"/>
    <w:rsid w:val="00F944C2"/>
    <w:rsid w:val="00F94A30"/>
    <w:rsid w:val="00F94F59"/>
    <w:rsid w:val="00F95F9D"/>
    <w:rsid w:val="00F968E0"/>
    <w:rsid w:val="00F96CE4"/>
    <w:rsid w:val="00F96DAA"/>
    <w:rsid w:val="00FA1785"/>
    <w:rsid w:val="00FA19C2"/>
    <w:rsid w:val="00FA2BED"/>
    <w:rsid w:val="00FA2DF4"/>
    <w:rsid w:val="00FA3C9E"/>
    <w:rsid w:val="00FA4B15"/>
    <w:rsid w:val="00FA4C5A"/>
    <w:rsid w:val="00FA521F"/>
    <w:rsid w:val="00FA677D"/>
    <w:rsid w:val="00FA701B"/>
    <w:rsid w:val="00FA72D5"/>
    <w:rsid w:val="00FA780B"/>
    <w:rsid w:val="00FB1BFB"/>
    <w:rsid w:val="00FB35F4"/>
    <w:rsid w:val="00FB52E1"/>
    <w:rsid w:val="00FB53F0"/>
    <w:rsid w:val="00FB5874"/>
    <w:rsid w:val="00FB5B46"/>
    <w:rsid w:val="00FB71DB"/>
    <w:rsid w:val="00FB74C9"/>
    <w:rsid w:val="00FC00DB"/>
    <w:rsid w:val="00FC0E12"/>
    <w:rsid w:val="00FC1CC4"/>
    <w:rsid w:val="00FC2A92"/>
    <w:rsid w:val="00FC2C0E"/>
    <w:rsid w:val="00FC31B8"/>
    <w:rsid w:val="00FC3A4E"/>
    <w:rsid w:val="00FC4C4A"/>
    <w:rsid w:val="00FC6EAD"/>
    <w:rsid w:val="00FC776B"/>
    <w:rsid w:val="00FC77E6"/>
    <w:rsid w:val="00FC7DC6"/>
    <w:rsid w:val="00FD0D62"/>
    <w:rsid w:val="00FD1367"/>
    <w:rsid w:val="00FD2116"/>
    <w:rsid w:val="00FD322E"/>
    <w:rsid w:val="00FD485E"/>
    <w:rsid w:val="00FD4CD9"/>
    <w:rsid w:val="00FD5C6D"/>
    <w:rsid w:val="00FD5F60"/>
    <w:rsid w:val="00FD6BB5"/>
    <w:rsid w:val="00FD7FD0"/>
    <w:rsid w:val="00FE05DD"/>
    <w:rsid w:val="00FE15AA"/>
    <w:rsid w:val="00FE20A6"/>
    <w:rsid w:val="00FE55AF"/>
    <w:rsid w:val="00FE60C0"/>
    <w:rsid w:val="00FE6984"/>
    <w:rsid w:val="00FE7BAD"/>
    <w:rsid w:val="00FF049E"/>
    <w:rsid w:val="00FF0F81"/>
    <w:rsid w:val="00FF2748"/>
    <w:rsid w:val="00FF3A9E"/>
    <w:rsid w:val="00FF42C9"/>
    <w:rsid w:val="00FF4BCE"/>
    <w:rsid w:val="00FF5D5A"/>
    <w:rsid w:val="00FF6E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5678F"/>
  <w15:docId w15:val="{B997ACD6-3FDA-483A-B74B-6C823BBF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5C0"/>
  </w:style>
  <w:style w:type="paragraph" w:styleId="Heading2">
    <w:name w:val="heading 2"/>
    <w:basedOn w:val="Normal"/>
    <w:link w:val="Heading2Char"/>
    <w:uiPriority w:val="9"/>
    <w:qFormat/>
    <w:rsid w:val="00C628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80E17"/>
  </w:style>
  <w:style w:type="table" w:styleId="TableGrid">
    <w:name w:val="Table Grid"/>
    <w:basedOn w:val="TableNormal"/>
    <w:uiPriority w:val="59"/>
    <w:rsid w:val="00E86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0F9"/>
  </w:style>
  <w:style w:type="paragraph" w:styleId="Footer">
    <w:name w:val="footer"/>
    <w:basedOn w:val="Normal"/>
    <w:link w:val="FooterChar"/>
    <w:uiPriority w:val="99"/>
    <w:unhideWhenUsed/>
    <w:rsid w:val="00456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0F9"/>
  </w:style>
  <w:style w:type="paragraph" w:styleId="BalloonText">
    <w:name w:val="Balloon Text"/>
    <w:basedOn w:val="Normal"/>
    <w:link w:val="BalloonTextChar"/>
    <w:uiPriority w:val="99"/>
    <w:semiHidden/>
    <w:unhideWhenUsed/>
    <w:rsid w:val="00B7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52"/>
    <w:rPr>
      <w:rFonts w:ascii="Tahoma" w:hAnsi="Tahoma" w:cs="Tahoma"/>
      <w:sz w:val="16"/>
      <w:szCs w:val="16"/>
    </w:rPr>
  </w:style>
  <w:style w:type="character" w:styleId="Hyperlink">
    <w:name w:val="Hyperlink"/>
    <w:basedOn w:val="DefaultParagraphFont"/>
    <w:uiPriority w:val="99"/>
    <w:unhideWhenUsed/>
    <w:rsid w:val="00DD5F2A"/>
    <w:rPr>
      <w:color w:val="0000FF" w:themeColor="hyperlink"/>
      <w:u w:val="single"/>
    </w:rPr>
  </w:style>
  <w:style w:type="character" w:styleId="CommentReference">
    <w:name w:val="annotation reference"/>
    <w:basedOn w:val="DefaultParagraphFont"/>
    <w:uiPriority w:val="99"/>
    <w:semiHidden/>
    <w:unhideWhenUsed/>
    <w:rsid w:val="00112799"/>
    <w:rPr>
      <w:sz w:val="16"/>
      <w:szCs w:val="16"/>
    </w:rPr>
  </w:style>
  <w:style w:type="paragraph" w:styleId="CommentText">
    <w:name w:val="annotation text"/>
    <w:basedOn w:val="Normal"/>
    <w:link w:val="CommentTextChar"/>
    <w:uiPriority w:val="99"/>
    <w:unhideWhenUsed/>
    <w:rsid w:val="00112799"/>
    <w:pPr>
      <w:spacing w:line="240" w:lineRule="auto"/>
    </w:pPr>
    <w:rPr>
      <w:sz w:val="20"/>
      <w:szCs w:val="20"/>
    </w:rPr>
  </w:style>
  <w:style w:type="character" w:customStyle="1" w:styleId="CommentTextChar">
    <w:name w:val="Comment Text Char"/>
    <w:basedOn w:val="DefaultParagraphFont"/>
    <w:link w:val="CommentText"/>
    <w:uiPriority w:val="99"/>
    <w:rsid w:val="00112799"/>
    <w:rPr>
      <w:sz w:val="20"/>
      <w:szCs w:val="20"/>
    </w:rPr>
  </w:style>
  <w:style w:type="paragraph" w:styleId="CommentSubject">
    <w:name w:val="annotation subject"/>
    <w:basedOn w:val="CommentText"/>
    <w:next w:val="CommentText"/>
    <w:link w:val="CommentSubjectChar"/>
    <w:uiPriority w:val="99"/>
    <w:semiHidden/>
    <w:unhideWhenUsed/>
    <w:rsid w:val="00112799"/>
    <w:rPr>
      <w:b/>
      <w:bCs/>
    </w:rPr>
  </w:style>
  <w:style w:type="character" w:customStyle="1" w:styleId="CommentSubjectChar">
    <w:name w:val="Comment Subject Char"/>
    <w:basedOn w:val="CommentTextChar"/>
    <w:link w:val="CommentSubject"/>
    <w:uiPriority w:val="99"/>
    <w:semiHidden/>
    <w:rsid w:val="00112799"/>
    <w:rPr>
      <w:b/>
      <w:bCs/>
      <w:sz w:val="20"/>
      <w:szCs w:val="20"/>
    </w:rPr>
  </w:style>
  <w:style w:type="character" w:customStyle="1" w:styleId="apple-converted-space">
    <w:name w:val="apple-converted-space"/>
    <w:basedOn w:val="DefaultParagraphFont"/>
    <w:rsid w:val="00583F22"/>
  </w:style>
  <w:style w:type="paragraph" w:styleId="ListParagraph">
    <w:name w:val="List Paragraph"/>
    <w:basedOn w:val="Normal"/>
    <w:uiPriority w:val="34"/>
    <w:qFormat/>
    <w:rsid w:val="00B07BBE"/>
    <w:pPr>
      <w:ind w:left="720"/>
      <w:contextualSpacing/>
    </w:pPr>
  </w:style>
  <w:style w:type="character" w:styleId="FollowedHyperlink">
    <w:name w:val="FollowedHyperlink"/>
    <w:basedOn w:val="DefaultParagraphFont"/>
    <w:uiPriority w:val="99"/>
    <w:semiHidden/>
    <w:unhideWhenUsed/>
    <w:rsid w:val="00474C93"/>
    <w:rPr>
      <w:color w:val="800080" w:themeColor="followedHyperlink"/>
      <w:u w:val="single"/>
    </w:rPr>
  </w:style>
  <w:style w:type="paragraph" w:styleId="Revision">
    <w:name w:val="Revision"/>
    <w:hidden/>
    <w:uiPriority w:val="99"/>
    <w:semiHidden/>
    <w:rsid w:val="008359CD"/>
    <w:pPr>
      <w:spacing w:after="0" w:line="240" w:lineRule="auto"/>
    </w:pPr>
  </w:style>
  <w:style w:type="numbering" w:customStyle="1" w:styleId="NoList1">
    <w:name w:val="No List1"/>
    <w:next w:val="NoList"/>
    <w:uiPriority w:val="99"/>
    <w:semiHidden/>
    <w:unhideWhenUsed/>
    <w:rsid w:val="00791748"/>
  </w:style>
  <w:style w:type="table" w:customStyle="1" w:styleId="TableGrid1">
    <w:name w:val="Table Grid1"/>
    <w:basedOn w:val="TableNormal"/>
    <w:next w:val="TableGrid"/>
    <w:uiPriority w:val="59"/>
    <w:rsid w:val="00791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8B6904"/>
    <w:pPr>
      <w:tabs>
        <w:tab w:val="left" w:pos="360"/>
        <w:tab w:val="left" w:pos="720"/>
        <w:tab w:val="left" w:pos="1080"/>
      </w:tabs>
      <w:spacing w:after="0" w:line="240" w:lineRule="auto"/>
      <w:ind w:firstLine="360"/>
      <w:jc w:val="both"/>
    </w:pPr>
    <w:rPr>
      <w:rFonts w:ascii="Times New Roman" w:eastAsia="Times New Roman" w:hAnsi="Times New Roman" w:cs="Times New Roman"/>
      <w:snapToGrid w:val="0"/>
      <w:szCs w:val="20"/>
      <w:lang w:val="en-US"/>
    </w:rPr>
  </w:style>
  <w:style w:type="character" w:customStyle="1" w:styleId="NormalIndentChar">
    <w:name w:val="Normal Indent Char"/>
    <w:basedOn w:val="DefaultParagraphFont"/>
    <w:link w:val="NormalIndent"/>
    <w:rsid w:val="008B6904"/>
    <w:rPr>
      <w:rFonts w:ascii="Times New Roman" w:eastAsia="Times New Roman" w:hAnsi="Times New Roman" w:cs="Times New Roman"/>
      <w:snapToGrid w:val="0"/>
      <w:szCs w:val="20"/>
      <w:lang w:val="en-US"/>
    </w:rPr>
  </w:style>
  <w:style w:type="character" w:customStyle="1" w:styleId="page1">
    <w:name w:val="page1"/>
    <w:basedOn w:val="DefaultParagraphFont"/>
    <w:rsid w:val="0022343C"/>
    <w:rPr>
      <w:shd w:val="clear" w:color="auto" w:fill="FFFFFF"/>
    </w:rPr>
  </w:style>
  <w:style w:type="character" w:customStyle="1" w:styleId="Heading2Char">
    <w:name w:val="Heading 2 Char"/>
    <w:basedOn w:val="DefaultParagraphFont"/>
    <w:link w:val="Heading2"/>
    <w:uiPriority w:val="9"/>
    <w:rsid w:val="00C6288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28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2887"/>
    <w:rPr>
      <w:b/>
      <w:bCs/>
    </w:rPr>
  </w:style>
  <w:style w:type="table" w:customStyle="1" w:styleId="TableGrid2">
    <w:name w:val="Table Grid2"/>
    <w:basedOn w:val="TableNormal"/>
    <w:next w:val="TableGrid"/>
    <w:uiPriority w:val="59"/>
    <w:rsid w:val="0041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70073"/>
    <w:pPr>
      <w:spacing w:line="240" w:lineRule="auto"/>
    </w:pPr>
    <w:rPr>
      <w:b/>
      <w:bCs/>
      <w:color w:val="4F81BD" w:themeColor="accent1"/>
      <w:sz w:val="18"/>
      <w:szCs w:val="18"/>
    </w:rPr>
  </w:style>
  <w:style w:type="table" w:customStyle="1" w:styleId="TableGrid3">
    <w:name w:val="Table Grid3"/>
    <w:basedOn w:val="TableNormal"/>
    <w:next w:val="TableGrid"/>
    <w:uiPriority w:val="59"/>
    <w:rsid w:val="00211FB1"/>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11FB1"/>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5087">
      <w:bodyDiv w:val="1"/>
      <w:marLeft w:val="0"/>
      <w:marRight w:val="0"/>
      <w:marTop w:val="0"/>
      <w:marBottom w:val="0"/>
      <w:divBdr>
        <w:top w:val="none" w:sz="0" w:space="0" w:color="auto"/>
        <w:left w:val="none" w:sz="0" w:space="0" w:color="auto"/>
        <w:bottom w:val="none" w:sz="0" w:space="0" w:color="auto"/>
        <w:right w:val="none" w:sz="0" w:space="0" w:color="auto"/>
      </w:divBdr>
    </w:div>
    <w:div w:id="160241582">
      <w:bodyDiv w:val="1"/>
      <w:marLeft w:val="0"/>
      <w:marRight w:val="0"/>
      <w:marTop w:val="0"/>
      <w:marBottom w:val="0"/>
      <w:divBdr>
        <w:top w:val="none" w:sz="0" w:space="0" w:color="auto"/>
        <w:left w:val="none" w:sz="0" w:space="0" w:color="auto"/>
        <w:bottom w:val="none" w:sz="0" w:space="0" w:color="auto"/>
        <w:right w:val="none" w:sz="0" w:space="0" w:color="auto"/>
      </w:divBdr>
    </w:div>
    <w:div w:id="172887834">
      <w:bodyDiv w:val="1"/>
      <w:marLeft w:val="0"/>
      <w:marRight w:val="0"/>
      <w:marTop w:val="0"/>
      <w:marBottom w:val="0"/>
      <w:divBdr>
        <w:top w:val="none" w:sz="0" w:space="0" w:color="auto"/>
        <w:left w:val="none" w:sz="0" w:space="0" w:color="auto"/>
        <w:bottom w:val="none" w:sz="0" w:space="0" w:color="auto"/>
        <w:right w:val="none" w:sz="0" w:space="0" w:color="auto"/>
      </w:divBdr>
    </w:div>
    <w:div w:id="267397059">
      <w:bodyDiv w:val="1"/>
      <w:marLeft w:val="0"/>
      <w:marRight w:val="0"/>
      <w:marTop w:val="0"/>
      <w:marBottom w:val="0"/>
      <w:divBdr>
        <w:top w:val="none" w:sz="0" w:space="0" w:color="auto"/>
        <w:left w:val="none" w:sz="0" w:space="0" w:color="auto"/>
        <w:bottom w:val="none" w:sz="0" w:space="0" w:color="auto"/>
        <w:right w:val="none" w:sz="0" w:space="0" w:color="auto"/>
      </w:divBdr>
      <w:divsChild>
        <w:div w:id="22900294">
          <w:marLeft w:val="1166"/>
          <w:marRight w:val="0"/>
          <w:marTop w:val="115"/>
          <w:marBottom w:val="0"/>
          <w:divBdr>
            <w:top w:val="none" w:sz="0" w:space="0" w:color="auto"/>
            <w:left w:val="none" w:sz="0" w:space="0" w:color="auto"/>
            <w:bottom w:val="none" w:sz="0" w:space="0" w:color="auto"/>
            <w:right w:val="none" w:sz="0" w:space="0" w:color="auto"/>
          </w:divBdr>
        </w:div>
        <w:div w:id="1291128491">
          <w:marLeft w:val="547"/>
          <w:marRight w:val="0"/>
          <w:marTop w:val="120"/>
          <w:marBottom w:val="0"/>
          <w:divBdr>
            <w:top w:val="none" w:sz="0" w:space="0" w:color="auto"/>
            <w:left w:val="none" w:sz="0" w:space="0" w:color="auto"/>
            <w:bottom w:val="none" w:sz="0" w:space="0" w:color="auto"/>
            <w:right w:val="none" w:sz="0" w:space="0" w:color="auto"/>
          </w:divBdr>
        </w:div>
        <w:div w:id="1415202980">
          <w:marLeft w:val="1166"/>
          <w:marRight w:val="0"/>
          <w:marTop w:val="110"/>
          <w:marBottom w:val="0"/>
          <w:divBdr>
            <w:top w:val="none" w:sz="0" w:space="0" w:color="auto"/>
            <w:left w:val="none" w:sz="0" w:space="0" w:color="auto"/>
            <w:bottom w:val="none" w:sz="0" w:space="0" w:color="auto"/>
            <w:right w:val="none" w:sz="0" w:space="0" w:color="auto"/>
          </w:divBdr>
        </w:div>
        <w:div w:id="1730306052">
          <w:marLeft w:val="1166"/>
          <w:marRight w:val="0"/>
          <w:marTop w:val="115"/>
          <w:marBottom w:val="0"/>
          <w:divBdr>
            <w:top w:val="none" w:sz="0" w:space="0" w:color="auto"/>
            <w:left w:val="none" w:sz="0" w:space="0" w:color="auto"/>
            <w:bottom w:val="none" w:sz="0" w:space="0" w:color="auto"/>
            <w:right w:val="none" w:sz="0" w:space="0" w:color="auto"/>
          </w:divBdr>
        </w:div>
        <w:div w:id="1823158292">
          <w:marLeft w:val="547"/>
          <w:marRight w:val="0"/>
          <w:marTop w:val="120"/>
          <w:marBottom w:val="0"/>
          <w:divBdr>
            <w:top w:val="none" w:sz="0" w:space="0" w:color="auto"/>
            <w:left w:val="none" w:sz="0" w:space="0" w:color="auto"/>
            <w:bottom w:val="none" w:sz="0" w:space="0" w:color="auto"/>
            <w:right w:val="none" w:sz="0" w:space="0" w:color="auto"/>
          </w:divBdr>
        </w:div>
      </w:divsChild>
    </w:div>
    <w:div w:id="326908958">
      <w:bodyDiv w:val="1"/>
      <w:marLeft w:val="0"/>
      <w:marRight w:val="0"/>
      <w:marTop w:val="0"/>
      <w:marBottom w:val="0"/>
      <w:divBdr>
        <w:top w:val="none" w:sz="0" w:space="0" w:color="auto"/>
        <w:left w:val="none" w:sz="0" w:space="0" w:color="auto"/>
        <w:bottom w:val="none" w:sz="0" w:space="0" w:color="auto"/>
        <w:right w:val="none" w:sz="0" w:space="0" w:color="auto"/>
      </w:divBdr>
    </w:div>
    <w:div w:id="374162936">
      <w:bodyDiv w:val="1"/>
      <w:marLeft w:val="0"/>
      <w:marRight w:val="0"/>
      <w:marTop w:val="0"/>
      <w:marBottom w:val="0"/>
      <w:divBdr>
        <w:top w:val="none" w:sz="0" w:space="0" w:color="auto"/>
        <w:left w:val="none" w:sz="0" w:space="0" w:color="auto"/>
        <w:bottom w:val="none" w:sz="0" w:space="0" w:color="auto"/>
        <w:right w:val="none" w:sz="0" w:space="0" w:color="auto"/>
      </w:divBdr>
    </w:div>
    <w:div w:id="402485371">
      <w:bodyDiv w:val="1"/>
      <w:marLeft w:val="0"/>
      <w:marRight w:val="0"/>
      <w:marTop w:val="0"/>
      <w:marBottom w:val="0"/>
      <w:divBdr>
        <w:top w:val="none" w:sz="0" w:space="0" w:color="auto"/>
        <w:left w:val="none" w:sz="0" w:space="0" w:color="auto"/>
        <w:bottom w:val="none" w:sz="0" w:space="0" w:color="auto"/>
        <w:right w:val="none" w:sz="0" w:space="0" w:color="auto"/>
      </w:divBdr>
      <w:divsChild>
        <w:div w:id="149252805">
          <w:marLeft w:val="1166"/>
          <w:marRight w:val="0"/>
          <w:marTop w:val="106"/>
          <w:marBottom w:val="0"/>
          <w:divBdr>
            <w:top w:val="none" w:sz="0" w:space="0" w:color="auto"/>
            <w:left w:val="none" w:sz="0" w:space="0" w:color="auto"/>
            <w:bottom w:val="none" w:sz="0" w:space="0" w:color="auto"/>
            <w:right w:val="none" w:sz="0" w:space="0" w:color="auto"/>
          </w:divBdr>
        </w:div>
        <w:div w:id="352071313">
          <w:marLeft w:val="547"/>
          <w:marRight w:val="0"/>
          <w:marTop w:val="110"/>
          <w:marBottom w:val="0"/>
          <w:divBdr>
            <w:top w:val="none" w:sz="0" w:space="0" w:color="auto"/>
            <w:left w:val="none" w:sz="0" w:space="0" w:color="auto"/>
            <w:bottom w:val="none" w:sz="0" w:space="0" w:color="auto"/>
            <w:right w:val="none" w:sz="0" w:space="0" w:color="auto"/>
          </w:divBdr>
        </w:div>
        <w:div w:id="622348804">
          <w:marLeft w:val="1166"/>
          <w:marRight w:val="0"/>
          <w:marTop w:val="110"/>
          <w:marBottom w:val="0"/>
          <w:divBdr>
            <w:top w:val="none" w:sz="0" w:space="0" w:color="auto"/>
            <w:left w:val="none" w:sz="0" w:space="0" w:color="auto"/>
            <w:bottom w:val="none" w:sz="0" w:space="0" w:color="auto"/>
            <w:right w:val="none" w:sz="0" w:space="0" w:color="auto"/>
          </w:divBdr>
        </w:div>
        <w:div w:id="724837002">
          <w:marLeft w:val="1166"/>
          <w:marRight w:val="0"/>
          <w:marTop w:val="106"/>
          <w:marBottom w:val="0"/>
          <w:divBdr>
            <w:top w:val="none" w:sz="0" w:space="0" w:color="auto"/>
            <w:left w:val="none" w:sz="0" w:space="0" w:color="auto"/>
            <w:bottom w:val="none" w:sz="0" w:space="0" w:color="auto"/>
            <w:right w:val="none" w:sz="0" w:space="0" w:color="auto"/>
          </w:divBdr>
        </w:div>
        <w:div w:id="980156715">
          <w:marLeft w:val="547"/>
          <w:marRight w:val="0"/>
          <w:marTop w:val="110"/>
          <w:marBottom w:val="0"/>
          <w:divBdr>
            <w:top w:val="none" w:sz="0" w:space="0" w:color="auto"/>
            <w:left w:val="none" w:sz="0" w:space="0" w:color="auto"/>
            <w:bottom w:val="none" w:sz="0" w:space="0" w:color="auto"/>
            <w:right w:val="none" w:sz="0" w:space="0" w:color="auto"/>
          </w:divBdr>
        </w:div>
        <w:div w:id="1009793568">
          <w:marLeft w:val="547"/>
          <w:marRight w:val="0"/>
          <w:marTop w:val="110"/>
          <w:marBottom w:val="0"/>
          <w:divBdr>
            <w:top w:val="none" w:sz="0" w:space="0" w:color="auto"/>
            <w:left w:val="none" w:sz="0" w:space="0" w:color="auto"/>
            <w:bottom w:val="none" w:sz="0" w:space="0" w:color="auto"/>
            <w:right w:val="none" w:sz="0" w:space="0" w:color="auto"/>
          </w:divBdr>
        </w:div>
        <w:div w:id="1065759894">
          <w:marLeft w:val="1166"/>
          <w:marRight w:val="0"/>
          <w:marTop w:val="106"/>
          <w:marBottom w:val="0"/>
          <w:divBdr>
            <w:top w:val="none" w:sz="0" w:space="0" w:color="auto"/>
            <w:left w:val="none" w:sz="0" w:space="0" w:color="auto"/>
            <w:bottom w:val="none" w:sz="0" w:space="0" w:color="auto"/>
            <w:right w:val="none" w:sz="0" w:space="0" w:color="auto"/>
          </w:divBdr>
        </w:div>
        <w:div w:id="1828664455">
          <w:marLeft w:val="1166"/>
          <w:marRight w:val="0"/>
          <w:marTop w:val="106"/>
          <w:marBottom w:val="0"/>
          <w:divBdr>
            <w:top w:val="none" w:sz="0" w:space="0" w:color="auto"/>
            <w:left w:val="none" w:sz="0" w:space="0" w:color="auto"/>
            <w:bottom w:val="none" w:sz="0" w:space="0" w:color="auto"/>
            <w:right w:val="none" w:sz="0" w:space="0" w:color="auto"/>
          </w:divBdr>
        </w:div>
      </w:divsChild>
    </w:div>
    <w:div w:id="562835176">
      <w:bodyDiv w:val="1"/>
      <w:marLeft w:val="0"/>
      <w:marRight w:val="0"/>
      <w:marTop w:val="0"/>
      <w:marBottom w:val="0"/>
      <w:divBdr>
        <w:top w:val="none" w:sz="0" w:space="0" w:color="auto"/>
        <w:left w:val="none" w:sz="0" w:space="0" w:color="auto"/>
        <w:bottom w:val="none" w:sz="0" w:space="0" w:color="auto"/>
        <w:right w:val="none" w:sz="0" w:space="0" w:color="auto"/>
      </w:divBdr>
    </w:div>
    <w:div w:id="837112512">
      <w:bodyDiv w:val="1"/>
      <w:marLeft w:val="0"/>
      <w:marRight w:val="0"/>
      <w:marTop w:val="0"/>
      <w:marBottom w:val="0"/>
      <w:divBdr>
        <w:top w:val="none" w:sz="0" w:space="0" w:color="auto"/>
        <w:left w:val="none" w:sz="0" w:space="0" w:color="auto"/>
        <w:bottom w:val="none" w:sz="0" w:space="0" w:color="auto"/>
        <w:right w:val="none" w:sz="0" w:space="0" w:color="auto"/>
      </w:divBdr>
    </w:div>
    <w:div w:id="839809360">
      <w:bodyDiv w:val="1"/>
      <w:marLeft w:val="0"/>
      <w:marRight w:val="0"/>
      <w:marTop w:val="0"/>
      <w:marBottom w:val="0"/>
      <w:divBdr>
        <w:top w:val="none" w:sz="0" w:space="0" w:color="auto"/>
        <w:left w:val="none" w:sz="0" w:space="0" w:color="auto"/>
        <w:bottom w:val="none" w:sz="0" w:space="0" w:color="auto"/>
        <w:right w:val="none" w:sz="0" w:space="0" w:color="auto"/>
      </w:divBdr>
      <w:divsChild>
        <w:div w:id="837964420">
          <w:marLeft w:val="547"/>
          <w:marRight w:val="0"/>
          <w:marTop w:val="120"/>
          <w:marBottom w:val="0"/>
          <w:divBdr>
            <w:top w:val="none" w:sz="0" w:space="0" w:color="auto"/>
            <w:left w:val="none" w:sz="0" w:space="0" w:color="auto"/>
            <w:bottom w:val="none" w:sz="0" w:space="0" w:color="auto"/>
            <w:right w:val="none" w:sz="0" w:space="0" w:color="auto"/>
          </w:divBdr>
        </w:div>
        <w:div w:id="1041049425">
          <w:marLeft w:val="1166"/>
          <w:marRight w:val="0"/>
          <w:marTop w:val="110"/>
          <w:marBottom w:val="0"/>
          <w:divBdr>
            <w:top w:val="none" w:sz="0" w:space="0" w:color="auto"/>
            <w:left w:val="none" w:sz="0" w:space="0" w:color="auto"/>
            <w:bottom w:val="none" w:sz="0" w:space="0" w:color="auto"/>
            <w:right w:val="none" w:sz="0" w:space="0" w:color="auto"/>
          </w:divBdr>
        </w:div>
        <w:div w:id="1174226413">
          <w:marLeft w:val="547"/>
          <w:marRight w:val="0"/>
          <w:marTop w:val="120"/>
          <w:marBottom w:val="0"/>
          <w:divBdr>
            <w:top w:val="none" w:sz="0" w:space="0" w:color="auto"/>
            <w:left w:val="none" w:sz="0" w:space="0" w:color="auto"/>
            <w:bottom w:val="none" w:sz="0" w:space="0" w:color="auto"/>
            <w:right w:val="none" w:sz="0" w:space="0" w:color="auto"/>
          </w:divBdr>
        </w:div>
        <w:div w:id="1436053917">
          <w:marLeft w:val="1166"/>
          <w:marRight w:val="0"/>
          <w:marTop w:val="115"/>
          <w:marBottom w:val="0"/>
          <w:divBdr>
            <w:top w:val="none" w:sz="0" w:space="0" w:color="auto"/>
            <w:left w:val="none" w:sz="0" w:space="0" w:color="auto"/>
            <w:bottom w:val="none" w:sz="0" w:space="0" w:color="auto"/>
            <w:right w:val="none" w:sz="0" w:space="0" w:color="auto"/>
          </w:divBdr>
        </w:div>
        <w:div w:id="2122651976">
          <w:marLeft w:val="1166"/>
          <w:marRight w:val="0"/>
          <w:marTop w:val="115"/>
          <w:marBottom w:val="0"/>
          <w:divBdr>
            <w:top w:val="none" w:sz="0" w:space="0" w:color="auto"/>
            <w:left w:val="none" w:sz="0" w:space="0" w:color="auto"/>
            <w:bottom w:val="none" w:sz="0" w:space="0" w:color="auto"/>
            <w:right w:val="none" w:sz="0" w:space="0" w:color="auto"/>
          </w:divBdr>
        </w:div>
      </w:divsChild>
    </w:div>
    <w:div w:id="960958982">
      <w:bodyDiv w:val="1"/>
      <w:marLeft w:val="0"/>
      <w:marRight w:val="0"/>
      <w:marTop w:val="0"/>
      <w:marBottom w:val="0"/>
      <w:divBdr>
        <w:top w:val="none" w:sz="0" w:space="0" w:color="auto"/>
        <w:left w:val="none" w:sz="0" w:space="0" w:color="auto"/>
        <w:bottom w:val="none" w:sz="0" w:space="0" w:color="auto"/>
        <w:right w:val="none" w:sz="0" w:space="0" w:color="auto"/>
      </w:divBdr>
    </w:div>
    <w:div w:id="1048838341">
      <w:bodyDiv w:val="1"/>
      <w:marLeft w:val="0"/>
      <w:marRight w:val="0"/>
      <w:marTop w:val="0"/>
      <w:marBottom w:val="0"/>
      <w:divBdr>
        <w:top w:val="none" w:sz="0" w:space="0" w:color="auto"/>
        <w:left w:val="none" w:sz="0" w:space="0" w:color="auto"/>
        <w:bottom w:val="none" w:sz="0" w:space="0" w:color="auto"/>
        <w:right w:val="none" w:sz="0" w:space="0" w:color="auto"/>
      </w:divBdr>
    </w:div>
    <w:div w:id="1105344801">
      <w:bodyDiv w:val="1"/>
      <w:marLeft w:val="0"/>
      <w:marRight w:val="0"/>
      <w:marTop w:val="0"/>
      <w:marBottom w:val="0"/>
      <w:divBdr>
        <w:top w:val="none" w:sz="0" w:space="0" w:color="auto"/>
        <w:left w:val="none" w:sz="0" w:space="0" w:color="auto"/>
        <w:bottom w:val="none" w:sz="0" w:space="0" w:color="auto"/>
        <w:right w:val="none" w:sz="0" w:space="0" w:color="auto"/>
      </w:divBdr>
    </w:div>
    <w:div w:id="1189173418">
      <w:bodyDiv w:val="1"/>
      <w:marLeft w:val="0"/>
      <w:marRight w:val="0"/>
      <w:marTop w:val="0"/>
      <w:marBottom w:val="0"/>
      <w:divBdr>
        <w:top w:val="none" w:sz="0" w:space="0" w:color="auto"/>
        <w:left w:val="none" w:sz="0" w:space="0" w:color="auto"/>
        <w:bottom w:val="none" w:sz="0" w:space="0" w:color="auto"/>
        <w:right w:val="none" w:sz="0" w:space="0" w:color="auto"/>
      </w:divBdr>
    </w:div>
    <w:div w:id="1196623362">
      <w:bodyDiv w:val="1"/>
      <w:marLeft w:val="0"/>
      <w:marRight w:val="0"/>
      <w:marTop w:val="0"/>
      <w:marBottom w:val="0"/>
      <w:divBdr>
        <w:top w:val="none" w:sz="0" w:space="0" w:color="auto"/>
        <w:left w:val="none" w:sz="0" w:space="0" w:color="auto"/>
        <w:bottom w:val="none" w:sz="0" w:space="0" w:color="auto"/>
        <w:right w:val="none" w:sz="0" w:space="0" w:color="auto"/>
      </w:divBdr>
    </w:div>
    <w:div w:id="1273325257">
      <w:bodyDiv w:val="1"/>
      <w:marLeft w:val="0"/>
      <w:marRight w:val="0"/>
      <w:marTop w:val="0"/>
      <w:marBottom w:val="0"/>
      <w:divBdr>
        <w:top w:val="none" w:sz="0" w:space="0" w:color="auto"/>
        <w:left w:val="none" w:sz="0" w:space="0" w:color="auto"/>
        <w:bottom w:val="none" w:sz="0" w:space="0" w:color="auto"/>
        <w:right w:val="none" w:sz="0" w:space="0" w:color="auto"/>
      </w:divBdr>
    </w:div>
    <w:div w:id="1321083928">
      <w:bodyDiv w:val="1"/>
      <w:marLeft w:val="0"/>
      <w:marRight w:val="0"/>
      <w:marTop w:val="0"/>
      <w:marBottom w:val="0"/>
      <w:divBdr>
        <w:top w:val="none" w:sz="0" w:space="0" w:color="auto"/>
        <w:left w:val="none" w:sz="0" w:space="0" w:color="auto"/>
        <w:bottom w:val="none" w:sz="0" w:space="0" w:color="auto"/>
        <w:right w:val="none" w:sz="0" w:space="0" w:color="auto"/>
      </w:divBdr>
    </w:div>
    <w:div w:id="1396006620">
      <w:bodyDiv w:val="1"/>
      <w:marLeft w:val="0"/>
      <w:marRight w:val="0"/>
      <w:marTop w:val="0"/>
      <w:marBottom w:val="0"/>
      <w:divBdr>
        <w:top w:val="none" w:sz="0" w:space="0" w:color="auto"/>
        <w:left w:val="none" w:sz="0" w:space="0" w:color="auto"/>
        <w:bottom w:val="none" w:sz="0" w:space="0" w:color="auto"/>
        <w:right w:val="none" w:sz="0" w:space="0" w:color="auto"/>
      </w:divBdr>
      <w:divsChild>
        <w:div w:id="1604340096">
          <w:marLeft w:val="0"/>
          <w:marRight w:val="0"/>
          <w:marTop w:val="0"/>
          <w:marBottom w:val="0"/>
          <w:divBdr>
            <w:top w:val="none" w:sz="0" w:space="0" w:color="auto"/>
            <w:left w:val="none" w:sz="0" w:space="0" w:color="auto"/>
            <w:bottom w:val="none" w:sz="0" w:space="0" w:color="auto"/>
            <w:right w:val="none" w:sz="0" w:space="0" w:color="auto"/>
          </w:divBdr>
          <w:divsChild>
            <w:div w:id="264581903">
              <w:marLeft w:val="0"/>
              <w:marRight w:val="0"/>
              <w:marTop w:val="0"/>
              <w:marBottom w:val="0"/>
              <w:divBdr>
                <w:top w:val="none" w:sz="0" w:space="0" w:color="auto"/>
                <w:left w:val="none" w:sz="0" w:space="0" w:color="auto"/>
                <w:bottom w:val="none" w:sz="0" w:space="0" w:color="auto"/>
                <w:right w:val="dashed" w:sz="2" w:space="0" w:color="AAAAAA"/>
              </w:divBdr>
              <w:divsChild>
                <w:div w:id="1843861569">
                  <w:marLeft w:val="0"/>
                  <w:marRight w:val="0"/>
                  <w:marTop w:val="168"/>
                  <w:marBottom w:val="0"/>
                  <w:divBdr>
                    <w:top w:val="single" w:sz="6" w:space="0" w:color="999999"/>
                    <w:left w:val="single" w:sz="6" w:space="0" w:color="999999"/>
                    <w:bottom w:val="single" w:sz="6" w:space="0" w:color="999999"/>
                    <w:right w:val="single" w:sz="6" w:space="0" w:color="999999"/>
                  </w:divBdr>
                  <w:divsChild>
                    <w:div w:id="738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41336">
      <w:bodyDiv w:val="1"/>
      <w:marLeft w:val="0"/>
      <w:marRight w:val="0"/>
      <w:marTop w:val="0"/>
      <w:marBottom w:val="0"/>
      <w:divBdr>
        <w:top w:val="none" w:sz="0" w:space="0" w:color="auto"/>
        <w:left w:val="none" w:sz="0" w:space="0" w:color="auto"/>
        <w:bottom w:val="none" w:sz="0" w:space="0" w:color="auto"/>
        <w:right w:val="none" w:sz="0" w:space="0" w:color="auto"/>
      </w:divBdr>
    </w:div>
    <w:div w:id="1596280148">
      <w:bodyDiv w:val="1"/>
      <w:marLeft w:val="0"/>
      <w:marRight w:val="0"/>
      <w:marTop w:val="0"/>
      <w:marBottom w:val="0"/>
      <w:divBdr>
        <w:top w:val="none" w:sz="0" w:space="0" w:color="auto"/>
        <w:left w:val="none" w:sz="0" w:space="0" w:color="auto"/>
        <w:bottom w:val="none" w:sz="0" w:space="0" w:color="auto"/>
        <w:right w:val="none" w:sz="0" w:space="0" w:color="auto"/>
      </w:divBdr>
    </w:div>
    <w:div w:id="1661929813">
      <w:bodyDiv w:val="1"/>
      <w:marLeft w:val="0"/>
      <w:marRight w:val="0"/>
      <w:marTop w:val="0"/>
      <w:marBottom w:val="0"/>
      <w:divBdr>
        <w:top w:val="none" w:sz="0" w:space="0" w:color="auto"/>
        <w:left w:val="none" w:sz="0" w:space="0" w:color="auto"/>
        <w:bottom w:val="none" w:sz="0" w:space="0" w:color="auto"/>
        <w:right w:val="none" w:sz="0" w:space="0" w:color="auto"/>
      </w:divBdr>
    </w:div>
    <w:div w:id="1932153087">
      <w:bodyDiv w:val="1"/>
      <w:marLeft w:val="0"/>
      <w:marRight w:val="0"/>
      <w:marTop w:val="0"/>
      <w:marBottom w:val="0"/>
      <w:divBdr>
        <w:top w:val="none" w:sz="0" w:space="0" w:color="auto"/>
        <w:left w:val="none" w:sz="0" w:space="0" w:color="auto"/>
        <w:bottom w:val="none" w:sz="0" w:space="0" w:color="auto"/>
        <w:right w:val="none" w:sz="0" w:space="0" w:color="auto"/>
      </w:divBdr>
      <w:divsChild>
        <w:div w:id="160389810">
          <w:marLeft w:val="1166"/>
          <w:marRight w:val="0"/>
          <w:marTop w:val="106"/>
          <w:marBottom w:val="0"/>
          <w:divBdr>
            <w:top w:val="none" w:sz="0" w:space="0" w:color="auto"/>
            <w:left w:val="none" w:sz="0" w:space="0" w:color="auto"/>
            <w:bottom w:val="none" w:sz="0" w:space="0" w:color="auto"/>
            <w:right w:val="none" w:sz="0" w:space="0" w:color="auto"/>
          </w:divBdr>
        </w:div>
        <w:div w:id="231744378">
          <w:marLeft w:val="547"/>
          <w:marRight w:val="0"/>
          <w:marTop w:val="110"/>
          <w:marBottom w:val="0"/>
          <w:divBdr>
            <w:top w:val="none" w:sz="0" w:space="0" w:color="auto"/>
            <w:left w:val="none" w:sz="0" w:space="0" w:color="auto"/>
            <w:bottom w:val="none" w:sz="0" w:space="0" w:color="auto"/>
            <w:right w:val="none" w:sz="0" w:space="0" w:color="auto"/>
          </w:divBdr>
        </w:div>
        <w:div w:id="358513219">
          <w:marLeft w:val="547"/>
          <w:marRight w:val="0"/>
          <w:marTop w:val="110"/>
          <w:marBottom w:val="0"/>
          <w:divBdr>
            <w:top w:val="none" w:sz="0" w:space="0" w:color="auto"/>
            <w:left w:val="none" w:sz="0" w:space="0" w:color="auto"/>
            <w:bottom w:val="none" w:sz="0" w:space="0" w:color="auto"/>
            <w:right w:val="none" w:sz="0" w:space="0" w:color="auto"/>
          </w:divBdr>
        </w:div>
        <w:div w:id="428891732">
          <w:marLeft w:val="1166"/>
          <w:marRight w:val="0"/>
          <w:marTop w:val="110"/>
          <w:marBottom w:val="0"/>
          <w:divBdr>
            <w:top w:val="none" w:sz="0" w:space="0" w:color="auto"/>
            <w:left w:val="none" w:sz="0" w:space="0" w:color="auto"/>
            <w:bottom w:val="none" w:sz="0" w:space="0" w:color="auto"/>
            <w:right w:val="none" w:sz="0" w:space="0" w:color="auto"/>
          </w:divBdr>
        </w:div>
        <w:div w:id="1349526597">
          <w:marLeft w:val="547"/>
          <w:marRight w:val="0"/>
          <w:marTop w:val="110"/>
          <w:marBottom w:val="0"/>
          <w:divBdr>
            <w:top w:val="none" w:sz="0" w:space="0" w:color="auto"/>
            <w:left w:val="none" w:sz="0" w:space="0" w:color="auto"/>
            <w:bottom w:val="none" w:sz="0" w:space="0" w:color="auto"/>
            <w:right w:val="none" w:sz="0" w:space="0" w:color="auto"/>
          </w:divBdr>
        </w:div>
        <w:div w:id="1396203872">
          <w:marLeft w:val="1166"/>
          <w:marRight w:val="0"/>
          <w:marTop w:val="106"/>
          <w:marBottom w:val="0"/>
          <w:divBdr>
            <w:top w:val="none" w:sz="0" w:space="0" w:color="auto"/>
            <w:left w:val="none" w:sz="0" w:space="0" w:color="auto"/>
            <w:bottom w:val="none" w:sz="0" w:space="0" w:color="auto"/>
            <w:right w:val="none" w:sz="0" w:space="0" w:color="auto"/>
          </w:divBdr>
        </w:div>
        <w:div w:id="1563829015">
          <w:marLeft w:val="1166"/>
          <w:marRight w:val="0"/>
          <w:marTop w:val="106"/>
          <w:marBottom w:val="0"/>
          <w:divBdr>
            <w:top w:val="none" w:sz="0" w:space="0" w:color="auto"/>
            <w:left w:val="none" w:sz="0" w:space="0" w:color="auto"/>
            <w:bottom w:val="none" w:sz="0" w:space="0" w:color="auto"/>
            <w:right w:val="none" w:sz="0" w:space="0" w:color="auto"/>
          </w:divBdr>
        </w:div>
        <w:div w:id="1687054903">
          <w:marLeft w:val="1166"/>
          <w:marRight w:val="0"/>
          <w:marTop w:val="106"/>
          <w:marBottom w:val="0"/>
          <w:divBdr>
            <w:top w:val="none" w:sz="0" w:space="0" w:color="auto"/>
            <w:left w:val="none" w:sz="0" w:space="0" w:color="auto"/>
            <w:bottom w:val="none" w:sz="0" w:space="0" w:color="auto"/>
            <w:right w:val="none" w:sz="0" w:space="0" w:color="auto"/>
          </w:divBdr>
        </w:div>
      </w:divsChild>
    </w:div>
    <w:div w:id="1978025688">
      <w:bodyDiv w:val="1"/>
      <w:marLeft w:val="0"/>
      <w:marRight w:val="0"/>
      <w:marTop w:val="0"/>
      <w:marBottom w:val="0"/>
      <w:divBdr>
        <w:top w:val="none" w:sz="0" w:space="0" w:color="auto"/>
        <w:left w:val="none" w:sz="0" w:space="0" w:color="auto"/>
        <w:bottom w:val="none" w:sz="0" w:space="0" w:color="auto"/>
        <w:right w:val="none" w:sz="0" w:space="0" w:color="auto"/>
      </w:divBdr>
    </w:div>
    <w:div w:id="2062705271">
      <w:bodyDiv w:val="1"/>
      <w:marLeft w:val="0"/>
      <w:marRight w:val="0"/>
      <w:marTop w:val="0"/>
      <w:marBottom w:val="0"/>
      <w:divBdr>
        <w:top w:val="none" w:sz="0" w:space="0" w:color="auto"/>
        <w:left w:val="none" w:sz="0" w:space="0" w:color="auto"/>
        <w:bottom w:val="none" w:sz="0" w:space="0" w:color="auto"/>
        <w:right w:val="none" w:sz="0" w:space="0" w:color="auto"/>
      </w:divBdr>
    </w:div>
    <w:div w:id="2085838504">
      <w:bodyDiv w:val="1"/>
      <w:marLeft w:val="0"/>
      <w:marRight w:val="0"/>
      <w:marTop w:val="0"/>
      <w:marBottom w:val="0"/>
      <w:divBdr>
        <w:top w:val="none" w:sz="0" w:space="0" w:color="auto"/>
        <w:left w:val="none" w:sz="0" w:space="0" w:color="auto"/>
        <w:bottom w:val="none" w:sz="0" w:space="0" w:color="auto"/>
        <w:right w:val="none" w:sz="0" w:space="0" w:color="auto"/>
      </w:divBdr>
      <w:divsChild>
        <w:div w:id="214230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Burton@manchester.ac.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y.Zolkiewski@mbs.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x.doi.org/10.1016/j.indmarman.2016.04.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https://en.wikipedia.org/w/index.php?title=Marvasti,_A.&amp;action=edit&amp;redlink=1" TargetMode="External"/><Relationship Id="rId10" Type="http://schemas.openxmlformats.org/officeDocument/2006/relationships/hyperlink" Target="mailto:C.Raddats@liverpoo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m.story@lboro.ac.uk" TargetMode="External"/><Relationship Id="rId14" Type="http://schemas.openxmlformats.org/officeDocument/2006/relationships/hyperlink" Target="https://en.wikipedia.org/w/index.php?title=Silverman,_D.&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68C7-2E3A-4CD1-AB19-8CD5345C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11829</Words>
  <Characters>67430</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Raddats</dc:creator>
  <cp:lastModifiedBy>Raddats, Chris</cp:lastModifiedBy>
  <cp:revision>2</cp:revision>
  <cp:lastPrinted>2016-08-01T14:16:00Z</cp:lastPrinted>
  <dcterms:created xsi:type="dcterms:W3CDTF">2017-01-19T12:26:00Z</dcterms:created>
  <dcterms:modified xsi:type="dcterms:W3CDTF">2017-01-19T12:26:00Z</dcterms:modified>
</cp:coreProperties>
</file>