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B5" w:rsidRPr="00F229E2" w:rsidRDefault="000073AA" w:rsidP="004A4ACA">
      <w:pPr>
        <w:ind w:left="1416" w:firstLine="708"/>
        <w:rPr>
          <w:rFonts w:cstheme="minorHAnsi"/>
          <w:lang w:val="en-GB"/>
        </w:rPr>
      </w:pPr>
      <w:bookmarkStart w:id="0" w:name="_GoBack"/>
      <w:bookmarkEnd w:id="0"/>
      <w:r>
        <w:rPr>
          <w:rFonts w:cstheme="minorHAnsi"/>
          <w:noProof/>
          <w:lang w:val="en-US"/>
        </w:rPr>
        <w:drawing>
          <wp:inline distT="0" distB="0" distL="0" distR="0" wp14:anchorId="035A8B57">
            <wp:extent cx="5753100" cy="5204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0" cy="5205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7B5" w:rsidRPr="00F229E2" w:rsidRDefault="002977B5" w:rsidP="002977B5">
      <w:pPr>
        <w:rPr>
          <w:rFonts w:cstheme="minorHAnsi"/>
          <w:lang w:val="en-GB"/>
        </w:rPr>
      </w:pPr>
    </w:p>
    <w:p w:rsidR="002977B5" w:rsidRPr="00F229E2" w:rsidRDefault="00F44C45" w:rsidP="002977B5">
      <w:pPr>
        <w:rPr>
          <w:lang w:val="en-GB"/>
        </w:rPr>
      </w:pPr>
      <w:r w:rsidRPr="00F229E2">
        <w:rPr>
          <w:rFonts w:cstheme="minorHAnsi"/>
          <w:b/>
          <w:lang w:val="en-GB"/>
        </w:rPr>
        <w:t>Supplementary f</w:t>
      </w:r>
      <w:r w:rsidR="002977B5" w:rsidRPr="00F229E2">
        <w:rPr>
          <w:rFonts w:cstheme="minorHAnsi"/>
          <w:b/>
          <w:lang w:val="en-GB"/>
        </w:rPr>
        <w:t>igure 1:</w:t>
      </w:r>
      <w:r w:rsidR="002977B5" w:rsidRPr="00F229E2">
        <w:rPr>
          <w:rFonts w:cstheme="minorHAnsi"/>
          <w:lang w:val="en-GB"/>
        </w:rPr>
        <w:t xml:space="preserve"> Flow chart </w:t>
      </w:r>
      <w:r w:rsidR="003563B2">
        <w:rPr>
          <w:rFonts w:cstheme="minorHAnsi"/>
          <w:lang w:val="en-GB"/>
        </w:rPr>
        <w:t>depicting</w:t>
      </w:r>
      <w:r w:rsidR="002977B5" w:rsidRPr="00F229E2">
        <w:rPr>
          <w:rFonts w:cstheme="minorHAnsi"/>
          <w:lang w:val="en-GB"/>
        </w:rPr>
        <w:t xml:space="preserve"> the selection of the population </w:t>
      </w:r>
      <w:r w:rsidR="003563B2">
        <w:rPr>
          <w:rFonts w:cstheme="minorHAnsi"/>
          <w:lang w:val="en-GB"/>
        </w:rPr>
        <w:t xml:space="preserve">of the study </w:t>
      </w:r>
      <w:r w:rsidR="002977B5" w:rsidRPr="00F229E2">
        <w:rPr>
          <w:rFonts w:cstheme="minorHAnsi"/>
          <w:lang w:val="en-GB"/>
        </w:rPr>
        <w:t xml:space="preserve">on </w:t>
      </w:r>
      <w:r w:rsidR="0003427D">
        <w:rPr>
          <w:rFonts w:cstheme="minorHAnsi"/>
          <w:lang w:val="en-GB"/>
        </w:rPr>
        <w:t xml:space="preserve">vaginal </w:t>
      </w:r>
      <w:r w:rsidR="002977B5" w:rsidRPr="00F229E2">
        <w:rPr>
          <w:rFonts w:cstheme="minorHAnsi"/>
          <w:lang w:val="en-GB"/>
        </w:rPr>
        <w:t>HPV infection within HELIUS study, Amsterdam, the Netherlands.</w:t>
      </w:r>
      <w:r w:rsidR="002977B5" w:rsidRPr="00F229E2">
        <w:rPr>
          <w:lang w:val="en-GB"/>
        </w:rPr>
        <w:br w:type="page"/>
      </w:r>
    </w:p>
    <w:tbl>
      <w:tblPr>
        <w:tblW w:w="15673" w:type="dxa"/>
        <w:tblInd w:w="-214" w:type="dxa"/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4073"/>
        <w:gridCol w:w="531"/>
        <w:gridCol w:w="485"/>
        <w:gridCol w:w="987"/>
        <w:gridCol w:w="532"/>
        <w:gridCol w:w="532"/>
        <w:gridCol w:w="894"/>
        <w:gridCol w:w="532"/>
        <w:gridCol w:w="532"/>
        <w:gridCol w:w="898"/>
        <w:gridCol w:w="532"/>
        <w:gridCol w:w="532"/>
        <w:gridCol w:w="881"/>
        <w:gridCol w:w="532"/>
        <w:gridCol w:w="532"/>
        <w:gridCol w:w="878"/>
        <w:gridCol w:w="532"/>
        <w:gridCol w:w="532"/>
        <w:gridCol w:w="878"/>
      </w:tblGrid>
      <w:tr w:rsidR="00DF758A" w:rsidRPr="00926F87" w:rsidTr="008C664F">
        <w:trPr>
          <w:trHeight w:val="660"/>
        </w:trPr>
        <w:tc>
          <w:tcPr>
            <w:tcW w:w="156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lastRenderedPageBreak/>
              <w:t xml:space="preserve">Supplementary table 1. 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H</w:t>
            </w:r>
            <w:r w:rsidR="00D267E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igh-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risk HPV prevalence by risk factor in six different ethnicities of </w:t>
            </w: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>592 randomly selected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female HELIUS participants aged between 18 and 34 years who provided a vaginal swab and completed the questionnaire,</w:t>
            </w:r>
            <w:r w:rsidR="00D267E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by ethnicity,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the HELIUS study Amsterdam, the Netherlands</w:t>
            </w:r>
          </w:p>
        </w:tc>
      </w:tr>
      <w:tr w:rsidR="00DF758A" w:rsidRPr="00F229E2" w:rsidTr="008C664F">
        <w:trPr>
          <w:trHeight w:val="63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Dutch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South-Asian Surinamese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African Surinamese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Ghanaian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Moroccan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Turkish</w:t>
            </w:r>
          </w:p>
        </w:tc>
      </w:tr>
      <w:tr w:rsidR="00DF758A" w:rsidRPr="00F229E2" w:rsidTr="008C664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 xml:space="preserve">     (N=108)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 xml:space="preserve">     (N=100)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 xml:space="preserve">     (N=111)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 xml:space="preserve">     (N=81)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 xml:space="preserve">     (N=103)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 xml:space="preserve">     (N=89)</w:t>
            </w:r>
          </w:p>
        </w:tc>
      </w:tr>
      <w:tr w:rsidR="009A2B32" w:rsidRPr="00F229E2" w:rsidTr="008C664F">
        <w:trPr>
          <w:trHeight w:val="375"/>
        </w:trPr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tot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tot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tot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tot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tot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tot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H</w:t>
            </w:r>
            <w:r w:rsidR="00D267E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igh-</w:t>
            </w: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risk HPV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29%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Socio</w:t>
            </w:r>
            <w:r w:rsidR="00F17EC0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-</w:t>
            </w: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demographic characteristics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Age (years)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4D0E37">
            <w:pPr>
              <w:spacing w:after="0"/>
              <w:ind w:right="-81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=0.641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0.555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0.279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0.343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0.698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0.963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18-23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39%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29%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24-27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29%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29%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28-30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29%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31-34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39%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26%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Education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0.569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0.870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0.955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0.031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0.252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0.495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Lower and intermediate education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27%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Higher education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19%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35%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Civil status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0.154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0.284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0.936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0.838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0.443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0.109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Married/cohabiting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19%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Never married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37%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Divorced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50%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Current religion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0.321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0.039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0.781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0.393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0.230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0.159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No religion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39%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54%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A876E0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Roman Catholic Church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29%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A876E0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Christianity (other than Roman Catholic)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29%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A1" w:rsidRPr="00F229E2" w:rsidRDefault="003629A1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Islam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Hinduism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Other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lastRenderedPageBreak/>
              <w:t>Migration status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0.655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0.473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0.145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0.248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0.595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1st generation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19%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2nd generation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31%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Health-related characteristics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Oral contraceptives use ever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0.062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0.016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0.031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58241F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</w:t>
            </w: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&lt;0.001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0.867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0.112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15%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Yes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45%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DF758A" w:rsidRPr="00926F87" w:rsidTr="008C664F">
        <w:trPr>
          <w:trHeight w:val="255"/>
        </w:trPr>
        <w:tc>
          <w:tcPr>
            <w:tcW w:w="7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Self-reported genital warts/ulcers/vesicles in the preceding month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0.373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0.905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0.178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0.755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0.776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0.119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27%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Yes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60%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Substance use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Smoking status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0.169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0.987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0.850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0.101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0.376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0.373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Never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22%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Former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Current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55%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36%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F90F4B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Alcohol use in </w:t>
            </w:r>
            <w:r w:rsidR="00F90F4B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the preceding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year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0.129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0.352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0.170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0.087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0.297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58241F" w:rsidP="0058241F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</w:t>
            </w:r>
            <w:r w:rsidR="00DF758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&lt;0.001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15%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Yes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63%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STI at visit **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0.767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0.638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0.022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0.995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0.513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29%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29%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Yes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50%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Sexual behavio</w:t>
            </w:r>
            <w:r w:rsidR="00021058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u</w:t>
            </w: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>Sexual activity ever***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0.053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0.028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0.092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0.056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0.019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 xml:space="preserve">    Never had sex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F2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F2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F2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19%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 xml:space="preserve">    Sex with a man (+/- woman)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F2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45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F2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103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F2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44%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37%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 xml:space="preserve">    Sex with a woman only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Currently in a steady relationship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0.239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0.275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0.449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0.220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0.272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0.045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39%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Yes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29%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20%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A876E0" w:rsidRPr="00926F87" w:rsidTr="008C664F">
        <w:trPr>
          <w:trHeight w:val="255"/>
        </w:trPr>
        <w:tc>
          <w:tcPr>
            <w:tcW w:w="7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lang w:val="en-GB" w:eastAsia="nl-NL"/>
              </w:rPr>
              <w:t>Among participants reporting to ever have had sex with a man</w:t>
            </w:r>
            <w:r w:rsidR="007B345D" w:rsidRPr="00F229E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lang w:val="en-GB" w:eastAsia="nl-NL"/>
              </w:rPr>
              <w:t xml:space="preserve"> (n=476)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926F87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Age at sexual debut (years)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0.424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0.296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0.361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0.154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0.793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0.152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≤16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80%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17-18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43%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19-20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35%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≥21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28%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Lifetime number of male sex partners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0.001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0.034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0.875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0.012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0.014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0.004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2-5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26%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64%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6-10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75%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60%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≥11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39%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100%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5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Sexual activity in the preceding six months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0.003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0.088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0.109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0.741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4D0E37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DF758A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0.001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No sex past six months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With steady partner only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25%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With casual partner(s)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52%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50%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83%</w:t>
            </w: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     (+/-steady partner(s))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F229E2" w:rsidTr="008C664F">
        <w:trPr>
          <w:trHeight w:val="25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8A" w:rsidRPr="00F229E2" w:rsidRDefault="00DF758A" w:rsidP="00DF758A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9A2B32" w:rsidTr="008C664F">
        <w:trPr>
          <w:trHeight w:val="20"/>
        </w:trPr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9A2B32" w:rsidRDefault="009A2B32" w:rsidP="00F009F7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9A2B3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Condom use in the preceding six months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9A2B32" w:rsidRDefault="009A2B32" w:rsidP="00F009F7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9A2B32" w:rsidRDefault="009A2B32" w:rsidP="00F009F7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9A2B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Pr="009A2B3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0.033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9A2B32" w:rsidRDefault="009A2B32" w:rsidP="00F009F7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B32" w:rsidRPr="009A2B32" w:rsidRDefault="009A2B32" w:rsidP="00F009F7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B32" w:rsidRPr="009A2B32" w:rsidRDefault="009A2B32" w:rsidP="00F009F7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  <w:r w:rsidRPr="009A2B32">
              <w:rPr>
                <w:rFonts w:ascii="Calibri" w:hAnsi="Calibri" w:cs="Arial"/>
                <w:color w:val="000000"/>
                <w:sz w:val="22"/>
                <w:lang w:val="en-US"/>
              </w:rPr>
              <w:t>p=0.822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B32" w:rsidRPr="009A2B32" w:rsidRDefault="009A2B32" w:rsidP="00F009F7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B32" w:rsidRPr="009A2B32" w:rsidRDefault="009A2B32" w:rsidP="00F009F7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B32" w:rsidRPr="009A2B32" w:rsidRDefault="009A2B32" w:rsidP="00F009F7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  <w:r w:rsidRPr="009A2B32">
              <w:rPr>
                <w:rFonts w:ascii="Calibri" w:hAnsi="Calibri" w:cs="Arial"/>
                <w:color w:val="000000"/>
                <w:sz w:val="22"/>
                <w:lang w:val="en-US"/>
              </w:rPr>
              <w:t>p=0.409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B32" w:rsidRPr="009A2B32" w:rsidRDefault="009A2B32" w:rsidP="00F009F7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B32" w:rsidRPr="009A2B32" w:rsidRDefault="009A2B32" w:rsidP="00F009F7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B32" w:rsidRPr="009A2B32" w:rsidRDefault="009A2B32" w:rsidP="00F009F7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  <w:r w:rsidRPr="009A2B32">
              <w:rPr>
                <w:rFonts w:ascii="Calibri" w:hAnsi="Calibri" w:cs="Arial"/>
                <w:color w:val="000000"/>
                <w:sz w:val="22"/>
                <w:lang w:val="en-US"/>
              </w:rPr>
              <w:t>p=0.903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B32" w:rsidRPr="009A2B32" w:rsidRDefault="009A2B32" w:rsidP="00F009F7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B32" w:rsidRPr="009A2B32" w:rsidRDefault="009A2B32" w:rsidP="00F009F7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B32" w:rsidRPr="009A2B32" w:rsidRDefault="009A2B32" w:rsidP="00F009F7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  <w:r w:rsidRPr="009A2B32">
              <w:rPr>
                <w:rFonts w:ascii="Calibri" w:hAnsi="Calibri" w:cs="Arial"/>
                <w:color w:val="000000"/>
                <w:sz w:val="22"/>
                <w:lang w:val="en-US"/>
              </w:rPr>
              <w:t>p=0.814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B32" w:rsidRPr="009A2B32" w:rsidRDefault="009A2B32" w:rsidP="00F009F7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B32" w:rsidRPr="009A2B32" w:rsidRDefault="009A2B32" w:rsidP="00F009F7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9A2B32" w:rsidRDefault="009A2B32" w:rsidP="00F009F7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  <w:r w:rsidRPr="009A2B32">
              <w:rPr>
                <w:rFonts w:ascii="Calibri" w:hAnsi="Calibri" w:cs="Arial"/>
                <w:color w:val="000000"/>
                <w:sz w:val="22"/>
                <w:lang w:val="en-US"/>
              </w:rPr>
              <w:t>p=0.910</w:t>
            </w:r>
          </w:p>
        </w:tc>
      </w:tr>
      <w:tr w:rsidR="008C664F" w:rsidRPr="009A2B32" w:rsidTr="008C664F">
        <w:trPr>
          <w:trHeight w:val="2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4F" w:rsidRPr="009A2B32" w:rsidRDefault="008C664F" w:rsidP="008C664F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9A2B3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No sex past six months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21%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25%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18%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27%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25%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33%</w:t>
            </w:r>
          </w:p>
        </w:tc>
      </w:tr>
      <w:tr w:rsidR="008C664F" w:rsidRPr="009A2B32" w:rsidTr="008C664F">
        <w:trPr>
          <w:trHeight w:val="2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4F" w:rsidRPr="009A2B32" w:rsidRDefault="008C664F" w:rsidP="008C664F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9A2B3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Never/mostly not/sometimes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44%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20%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37%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34%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29%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39%</w:t>
            </w:r>
          </w:p>
        </w:tc>
      </w:tr>
      <w:tr w:rsidR="008C664F" w:rsidRPr="009A2B32" w:rsidTr="008C664F">
        <w:trPr>
          <w:trHeight w:val="2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64F" w:rsidRPr="009A2B32" w:rsidRDefault="008C664F" w:rsidP="008C664F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9A2B3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Mostly/always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62%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27%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41%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31%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36%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64F" w:rsidRPr="008C664F" w:rsidRDefault="008C664F" w:rsidP="008C664F">
            <w:pPr>
              <w:jc w:val="right"/>
              <w:rPr>
                <w:rFonts w:ascii="Calibri" w:hAnsi="Calibri"/>
                <w:sz w:val="22"/>
              </w:rPr>
            </w:pPr>
            <w:r w:rsidRPr="008C664F">
              <w:rPr>
                <w:rFonts w:ascii="Calibri" w:hAnsi="Calibri"/>
                <w:sz w:val="22"/>
              </w:rPr>
              <w:t>33%</w:t>
            </w:r>
          </w:p>
        </w:tc>
      </w:tr>
      <w:tr w:rsidR="009A2B32" w:rsidRPr="00926F87" w:rsidTr="008C664F">
        <w:trPr>
          <w:trHeight w:val="300"/>
        </w:trPr>
        <w:tc>
          <w:tcPr>
            <w:tcW w:w="156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9A2B3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9A2B3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Abbreviations:</w:t>
            </w:r>
            <w:r w:rsidRPr="009A2B3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HELIUS, </w:t>
            </w:r>
            <w:proofErr w:type="spellStart"/>
            <w:r w:rsidRPr="009A2B3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HEalthy</w:t>
            </w:r>
            <w:proofErr w:type="spellEnd"/>
            <w:r w:rsidRPr="009A2B3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</w:t>
            </w:r>
            <w:proofErr w:type="spellStart"/>
            <w:r w:rsidRPr="009A2B3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LIfe</w:t>
            </w:r>
            <w:proofErr w:type="spellEnd"/>
            <w:r w:rsidRPr="009A2B3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in Urban Setting; HIV, human immunodeficiency virus; </w:t>
            </w:r>
          </w:p>
        </w:tc>
      </w:tr>
      <w:tr w:rsidR="009A2B32" w:rsidRPr="00926F87" w:rsidTr="008C664F">
        <w:trPr>
          <w:trHeight w:val="300"/>
        </w:trPr>
        <w:tc>
          <w:tcPr>
            <w:tcW w:w="11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HPV, human papillomavirus; IQR, interquartile range; STI, sexually transmitted infection; N.A. not applicable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</w:p>
        </w:tc>
      </w:tr>
      <w:tr w:rsidR="009A2B32" w:rsidRPr="00926F87" w:rsidTr="008C664F">
        <w:trPr>
          <w:trHeight w:val="300"/>
        </w:trPr>
        <w:tc>
          <w:tcPr>
            <w:tcW w:w="156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+/- denotes an optional category e.g. +/- steady partner indicates that individuals with and without a steady partners are included in this category</w:t>
            </w:r>
          </w:p>
        </w:tc>
      </w:tr>
      <w:tr w:rsidR="009A2B32" w:rsidRPr="00926F87" w:rsidTr="008C664F">
        <w:trPr>
          <w:trHeight w:val="300"/>
        </w:trPr>
        <w:tc>
          <w:tcPr>
            <w:tcW w:w="156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-values &lt;0.05 are considered statistically significant</w:t>
            </w:r>
            <w:r>
              <w:rPr>
                <w:rFonts w:ascii="Calibri" w:eastAsia="Times New Roman" w:hAnsi="Calibri" w:cs="Calibri"/>
                <w:iCs/>
                <w:color w:val="000000"/>
                <w:sz w:val="22"/>
                <w:lang w:val="en-GB" w:eastAsia="nl-NL"/>
              </w:rPr>
              <w:t xml:space="preserve">, 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are based on the Chi-squared test, and are presented in the row of the variable name and in the percentage column</w:t>
            </w:r>
          </w:p>
        </w:tc>
      </w:tr>
      <w:tr w:rsidR="009A2B32" w:rsidRPr="00926F87" w:rsidTr="008C664F">
        <w:trPr>
          <w:trHeight w:val="300"/>
        </w:trPr>
        <w:tc>
          <w:tcPr>
            <w:tcW w:w="9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lastRenderedPageBreak/>
              <w:t xml:space="preserve">** Chlamydia, gonorrhoea, or </w:t>
            </w:r>
            <w:proofErr w:type="spellStart"/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trichomoniasis</w:t>
            </w:r>
            <w:proofErr w:type="spellEnd"/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(nobody tested positive for gonorrhoea)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9A2B32" w:rsidRPr="00926F87" w:rsidTr="008C664F">
        <w:trPr>
          <w:trHeight w:val="300"/>
        </w:trPr>
        <w:tc>
          <w:tcPr>
            <w:tcW w:w="11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*** One participant reported to ever have had sex, but did not report whether this was with a man or a woman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32" w:rsidRPr="00F229E2" w:rsidRDefault="009A2B32" w:rsidP="009A2B3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</w:tbl>
    <w:p w:rsidR="004D0E37" w:rsidRPr="00F229E2" w:rsidRDefault="004D0E37" w:rsidP="007E5137">
      <w:pPr>
        <w:rPr>
          <w:lang w:val="en-GB"/>
        </w:rPr>
      </w:pPr>
    </w:p>
    <w:p w:rsidR="00C10606" w:rsidRPr="00F229E2" w:rsidRDefault="00C10606">
      <w:pPr>
        <w:spacing w:after="200" w:line="276" w:lineRule="auto"/>
        <w:contextualSpacing w:val="0"/>
        <w:rPr>
          <w:lang w:val="en-GB"/>
        </w:rPr>
      </w:pPr>
      <w:r w:rsidRPr="00F229E2">
        <w:rPr>
          <w:lang w:val="en-GB"/>
        </w:rPr>
        <w:br w:type="page"/>
      </w:r>
    </w:p>
    <w:tbl>
      <w:tblPr>
        <w:tblW w:w="1563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988"/>
        <w:gridCol w:w="1367"/>
        <w:gridCol w:w="681"/>
        <w:gridCol w:w="1279"/>
        <w:gridCol w:w="531"/>
        <w:gridCol w:w="1330"/>
        <w:gridCol w:w="642"/>
        <w:gridCol w:w="1306"/>
        <w:gridCol w:w="531"/>
        <w:gridCol w:w="1357"/>
        <w:gridCol w:w="642"/>
        <w:gridCol w:w="1439"/>
      </w:tblGrid>
      <w:tr w:rsidR="00C10606" w:rsidRPr="00926F87" w:rsidTr="00EC3F5A">
        <w:trPr>
          <w:trHeight w:val="300"/>
        </w:trPr>
        <w:tc>
          <w:tcPr>
            <w:tcW w:w="15638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0606" w:rsidRPr="00F229E2" w:rsidRDefault="00B54AC1" w:rsidP="00655B8D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lastRenderedPageBreak/>
              <w:t>Supplementary table</w:t>
            </w:r>
            <w:r w:rsidR="00C10606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 xml:space="preserve"> </w:t>
            </w:r>
            <w:r w:rsid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2</w:t>
            </w:r>
            <w:r w:rsidR="00C10606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.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</w:t>
            </w:r>
            <w:proofErr w:type="spellStart"/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Bivariable</w:t>
            </w:r>
            <w:proofErr w:type="spellEnd"/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analyses of risk factors of high</w:t>
            </w:r>
            <w:r w:rsid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-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risk HPV using Generalized Estimating Equations*, in 592 female HELIUS participants aged between 18 and 34 years who provided a vaginal swab and completed the questionnaire</w:t>
            </w:r>
            <w:r w:rsidR="00655B8D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,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by ethnicity, the HELIUS study Amsterdam, the Netherlands</w:t>
            </w:r>
          </w:p>
        </w:tc>
      </w:tr>
      <w:tr w:rsidR="00C10606" w:rsidRPr="00926F87" w:rsidTr="00EC3F5A">
        <w:trPr>
          <w:trHeight w:val="360"/>
        </w:trPr>
        <w:tc>
          <w:tcPr>
            <w:tcW w:w="15638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</w:tr>
      <w:tr w:rsidR="001760A1" w:rsidRPr="00F229E2" w:rsidTr="00EC3F5A">
        <w:trPr>
          <w:trHeight w:val="28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Dutch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 xml:space="preserve">South-Asian 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African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Ghanaian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Moroccan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Turkish</w:t>
            </w:r>
          </w:p>
        </w:tc>
      </w:tr>
      <w:tr w:rsidR="00C10606" w:rsidRPr="00F229E2" w:rsidTr="00EC3F5A">
        <w:trPr>
          <w:trHeight w:val="28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Surinamese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Surinamese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</w:tr>
      <w:tr w:rsidR="00B02FD0" w:rsidRPr="00F229E2" w:rsidTr="00EC3F5A">
        <w:trPr>
          <w:trHeight w:val="28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>(N=108)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>(N=100)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>(N=111)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>(N=81)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>(N=103)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center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>(N=89)</w:t>
            </w:r>
          </w:p>
        </w:tc>
      </w:tr>
      <w:tr w:rsidR="00C10606" w:rsidRPr="00F229E2" w:rsidTr="00EC3F5A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 xml:space="preserve">OR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95% CI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 xml:space="preserve">OR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95% CI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 xml:space="preserve">OR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95% CI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 xml:space="preserve">OR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95% CI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 xml:space="preserve">OR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95% CI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 xml:space="preserve">OR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95% CI</w:t>
            </w:r>
          </w:p>
        </w:tc>
      </w:tr>
      <w:tr w:rsidR="001760A1" w:rsidRPr="00F229E2" w:rsidTr="00EC3F5A">
        <w:trPr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Socio</w:t>
            </w:r>
            <w:r w:rsidR="009454F0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-</w:t>
            </w: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demographic characteristics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Age (years)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0.771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0.564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0.842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0.374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0.855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0.623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18-23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24-27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1.15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(0.55 - 2.41)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1.37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(0.33 - 5.72)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0.99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(0.39 - 2.57)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1.99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(0.62 - 6.44)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(0.56 - 4.31)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1.73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(0.55 - 5.43)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28-30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(0.46 - 2.26)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(0.44 - 7.36)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(0.48 - 3.23)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2.75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(0.85 - 8.91)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(0.36 - 3.68)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2.03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(0.67 - 6.18)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31-34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(0.34 - 1.64)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(0.09 - 3.30)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(0.28 - 2.05)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(0.64 - 6.25)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(0.41 - 3.63)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1.88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(0.62 - 5.69)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Education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0.440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0.940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0.062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0.585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Lower education and intermediate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Higher education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1.29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(0.68 - 2.44)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(0.19 - 2.29)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(0.48 - 2.19)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(0.02 - 1.10)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(0.22 - 1.26)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1.26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(0.55 - 2.91)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Civil status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0.395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0.281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0.652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0.089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0.045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Married/cohabiting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Never married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1.33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(0.69 - 2.55)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2.11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(0.54 - 8.17)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(0.42 - 3.49)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1.31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(0.41 - 4.18)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2.08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(0.89 - 4.85)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2.40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(1.02 - 5.64)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Divorced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(0.17 - 4.74)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4.11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(1.16 - 14.54)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Current religion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0.113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0.387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0.434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0.578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0.018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No religion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Religious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(0.03 - 1.43)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2.05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B02FD0">
            <w:pPr>
              <w:spacing w:after="0"/>
              <w:ind w:right="-67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(0.40 - 10.34)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(0.36 - 1.56)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(0.19 - 2.55)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(0.09 - 2.77)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(0.15 - 0.84)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Migration status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0.739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0.152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0.167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0.554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1st generation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lastRenderedPageBreak/>
              <w:t xml:space="preserve">   2nd generation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0.82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(0.25 - 2.71)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(0.62 - 2.66)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(0.18 - 1.31)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(0.76 - 4.91)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1.31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(0.53 - 3.25)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Health-related characteristics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Oral contraceptives use ever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0.066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0.110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No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Yes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4.67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(0.90 - 24.20)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8.25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B02FD0">
            <w:pPr>
              <w:spacing w:after="0"/>
              <w:ind w:right="-48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(0.70 - 97.68)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11.42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B02FD0">
            <w:pPr>
              <w:spacing w:after="0"/>
              <w:ind w:right="-115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(2.70 - 48.23)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(0.38 - 1.80)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2.67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(0.80 - 8.92)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1760A1" w:rsidRPr="00926F87" w:rsidTr="00EC3F5A">
        <w:trPr>
          <w:trHeight w:val="300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Self-reported genital warts/ulcers/vesicles in the preceding month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0.411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0.977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0.081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No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Yes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(0.45 - 7.18)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B02FD0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0.96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B02FD0" w:rsidP="00B02FD0">
            <w:pPr>
              <w:spacing w:after="0"/>
              <w:ind w:right="-67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(0.07 -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13.13)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(0.38 - 6.63)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(0.06 - 5.13)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(0.37 - 10.72)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2.88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(0.88 - 9.46)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Substance use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Smoking status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0.759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0.649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0.287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0.075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0.572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Never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Former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1.22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(0.56 - 2.64)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(0.32 - 7.53)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1.62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(0.58 - 4.51)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2.39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B02FD0">
            <w:pPr>
              <w:spacing w:after="0"/>
              <w:ind w:right="-115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(0.48 - 11.84)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2.76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(0.90 - 8.44)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1.41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(0.43 - 4.64)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Current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1.94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(1.04 - 3.59)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(0.16 - 3.37)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1.09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(0.47 - 2.51)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(0.25 - 2.82)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1.85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(0.81 - 4.20)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1E3FB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Alcohol use in </w:t>
            </w:r>
            <w:r w:rsidR="001E3FB6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the preceding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year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0.199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0.429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0.285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1760A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</w:t>
            </w: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&lt;0.001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No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Yes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3.44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(0.52 - 22.70)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2.31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(0.64 - 8.39)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1.47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(0.56 - 3.86)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1.61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(0.67 - 3.85)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(0.69 - 5.29)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7.84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(3.65 - 16.87)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STI at visit**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0.538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0.246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0.038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0.599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0.799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No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Yes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(0.05 - 4.83)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1.87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(0.65 - 5.40)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3.21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(1.07 - 9.64)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(0.30 - 7.89)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1.35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(0.14 - 13.30)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  <w:p w:rsidR="009937ED" w:rsidRDefault="009937ED" w:rsidP="00C10606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  <w:p w:rsidR="009937ED" w:rsidRDefault="009937ED" w:rsidP="00C10606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  <w:p w:rsidR="009937ED" w:rsidRDefault="009937ED" w:rsidP="00C10606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  <w:p w:rsidR="009937ED" w:rsidRPr="00F229E2" w:rsidRDefault="009937ED" w:rsidP="00C10606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lastRenderedPageBreak/>
              <w:t>Sexual behaviour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>Sexual activity ever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0.043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0.377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0.021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 xml:space="preserve">    Never had sex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 xml:space="preserve">    Sex with a man (+/- woman)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3.67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633077">
            <w:pPr>
              <w:spacing w:after="0"/>
              <w:ind w:right="-7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(1.04 - 12.91)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(0.63 - 3.38)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14.45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633077">
            <w:pPr>
              <w:spacing w:after="0"/>
              <w:ind w:right="-7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(1.49 - 139.79)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sz w:val="22"/>
                <w:lang w:val="en-GB" w:eastAsia="nl-NL"/>
              </w:rPr>
              <w:t xml:space="preserve">    Sex with a woman only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1760A1" w:rsidRPr="00F229E2" w:rsidTr="00EC3F5A">
        <w:trPr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Currently in a steady relationship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0.492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0.351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0.160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0.042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No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Yes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0.82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(0.47 - 1.44)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(0.19 - 1.66)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(0.34 - 1.46)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1.98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(0.85 - 4.62)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(0.26 - 1.25)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(0.19 - 0.97)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</w:tr>
      <w:tr w:rsidR="008F1702" w:rsidRPr="00926F87" w:rsidTr="00A876E0">
        <w:trPr>
          <w:trHeight w:val="300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02" w:rsidRPr="00F229E2" w:rsidRDefault="008F1702" w:rsidP="008F170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lang w:val="en-GB" w:eastAsia="nl-NL"/>
              </w:rPr>
              <w:t>Among participants reporting to ever have had sex with a man(n=476)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02" w:rsidRPr="00F229E2" w:rsidRDefault="008F170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02" w:rsidRPr="00F229E2" w:rsidRDefault="008F170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02" w:rsidRPr="00F229E2" w:rsidRDefault="008F170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02" w:rsidRPr="00F229E2" w:rsidRDefault="008F170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02" w:rsidRPr="00F229E2" w:rsidRDefault="008F170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02" w:rsidRPr="00F229E2" w:rsidRDefault="008F170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02" w:rsidRPr="00F229E2" w:rsidRDefault="008F170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02" w:rsidRPr="00F229E2" w:rsidRDefault="008F170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Age at sexual debut (years)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0.393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0.931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0.217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≤16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17-18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(0.31 - 1.20)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0.96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(0.29 - 3.18)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(0.76 - 3.32)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(0.24 - 1.87)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(0.19 - 2.92)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(0.20 - 2.64)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19-20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(0.20 - 1.98)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(0.07 - 2.24)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(0.17 - 2.03)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(0.11 - 3.04)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(0.22 - 3.30)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(0.13 - 1.79)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≥21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0.57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(0.19 - 1.68)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(0.01 - 2.43)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(0.17 - 6.46)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(0.06 - 1.55)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(0.22 - 2.18)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(0.09 - 1.12)</w:t>
            </w:r>
          </w:p>
        </w:tc>
      </w:tr>
      <w:tr w:rsidR="00C10606" w:rsidRPr="00F229E2" w:rsidTr="00EC3F5A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1A48E2" w:rsidRPr="00F229E2" w:rsidTr="00EC3F5A">
        <w:trPr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8E2" w:rsidRPr="00F229E2" w:rsidRDefault="001A48E2" w:rsidP="001A48E2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Lifetime number of male sex partners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E2" w:rsidRPr="00F229E2" w:rsidRDefault="001A48E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E2" w:rsidRPr="00F229E2" w:rsidRDefault="001A48E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E2" w:rsidRPr="00F229E2" w:rsidRDefault="001A48E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E2" w:rsidRPr="00F229E2" w:rsidRDefault="001A48E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E2" w:rsidRPr="00F229E2" w:rsidRDefault="001A48E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0.903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E2" w:rsidRPr="00F229E2" w:rsidRDefault="001A48E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E2" w:rsidRPr="00F229E2" w:rsidRDefault="001A48E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E2" w:rsidRPr="00F229E2" w:rsidRDefault="001A48E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E2" w:rsidRPr="00F229E2" w:rsidRDefault="001A48E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E2" w:rsidRPr="00F229E2" w:rsidRDefault="001A48E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E2" w:rsidRPr="00F229E2" w:rsidRDefault="001A48E2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0.002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N.A.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(0.03 - 1.10)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(0.25 - 3.95)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0.48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(0.09 - 2.50)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(0.07 - 0.40)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(0.09 - 0.54)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2-5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6-10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2.12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(1.00 - 4.48)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3.54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(1.30 - 9.68)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1.05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(0.48 - 2.30)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2.13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(0.69 - 6.59)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(0.21 - 2.69)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1.15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(0.44 - 2.98)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≥11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3.07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(1.54 - 6.14)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1.59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(0.27 - 9.42)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(0.24 - 2.01)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3.1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B02FD0">
            <w:pPr>
              <w:spacing w:after="0"/>
              <w:ind w:right="-115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(0.79 - 12.18)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(0.04 - 2.33)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(0.09 - 11.64)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1760A1" w:rsidRPr="00F229E2" w:rsidTr="00EC3F5A">
        <w:trPr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Sexual activity in the preceding six months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0.089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0.226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89030C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GB" w:eastAsia="nl-NL"/>
              </w:rPr>
              <w:t>p=</w:t>
            </w:r>
            <w:r w:rsidR="00C10606"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0.001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No sex past six months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With steady partner only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3.63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(1.11 - 11.85)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(0.28 - 4.48)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2.59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B02FD0">
            <w:pPr>
              <w:spacing w:after="0"/>
              <w:ind w:right="-48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(0.44 - 15.15)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(0.29 - 3.64)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1.76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(0.54 - 5.72)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0.67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(0.23 - 1.98)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With casual partner(s)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6.78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(2.02 - 22.80)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7.92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B02FD0">
            <w:pPr>
              <w:spacing w:after="0"/>
              <w:ind w:right="-67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(1.65 - 38.03)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4.98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F12D5A">
            <w:pPr>
              <w:spacing w:after="0"/>
              <w:ind w:right="-65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(0.82 - 30.31)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3.19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B02FD0">
            <w:pPr>
              <w:spacing w:after="0"/>
              <w:ind w:right="-115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(0.62 - 16.46)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2.13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(0.19 - 23.99)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3.26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(1.07 - 9.99)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       (+/-steady partner(s))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171868" w:rsidRPr="00F229E2" w:rsidTr="005751D3">
        <w:trPr>
          <w:trHeight w:val="318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F229E2" w:rsidRDefault="00171868" w:rsidP="00171868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lastRenderedPageBreak/>
              <w:t>Condom use in the preceding six months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B669CB" w:rsidRDefault="00171868" w:rsidP="00171868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b/>
                <w:color w:val="000000"/>
                <w:sz w:val="22"/>
                <w:lang w:val="en-US"/>
              </w:rPr>
            </w:pPr>
            <w:r w:rsidRPr="00B669CB">
              <w:rPr>
                <w:rFonts w:ascii="Calibri" w:hAnsi="Calibri" w:cs="Arial"/>
                <w:b/>
                <w:i/>
                <w:iCs/>
                <w:color w:val="000000"/>
                <w:sz w:val="22"/>
                <w:lang w:val="en-US"/>
              </w:rPr>
              <w:t>p</w:t>
            </w:r>
            <w:r w:rsidRPr="00B669CB">
              <w:rPr>
                <w:rFonts w:ascii="Calibri" w:hAnsi="Calibri" w:cs="Arial"/>
                <w:b/>
                <w:color w:val="000000"/>
                <w:sz w:val="22"/>
                <w:lang w:val="en-US"/>
              </w:rPr>
              <w:t>=0.0248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  <w:r w:rsidRPr="00171868">
              <w:rPr>
                <w:rFonts w:ascii="Calibri" w:hAnsi="Calibri" w:cs="Arial"/>
                <w:i/>
                <w:iCs/>
                <w:color w:val="000000"/>
                <w:sz w:val="22"/>
                <w:lang w:val="en-US"/>
              </w:rPr>
              <w:t>p</w:t>
            </w:r>
            <w:r w:rsidRPr="00171868">
              <w:rPr>
                <w:rFonts w:ascii="Calibri" w:hAnsi="Calibri" w:cs="Arial"/>
                <w:color w:val="000000"/>
                <w:sz w:val="22"/>
                <w:lang w:val="en-US"/>
              </w:rPr>
              <w:t>=0.797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  <w:r w:rsidRPr="00171868">
              <w:rPr>
                <w:rFonts w:ascii="Calibri" w:hAnsi="Calibri" w:cs="Arial"/>
                <w:i/>
                <w:iCs/>
                <w:color w:val="000000"/>
                <w:sz w:val="22"/>
                <w:lang w:val="en-US"/>
              </w:rPr>
              <w:t>p</w:t>
            </w:r>
            <w:r w:rsidRPr="00171868">
              <w:rPr>
                <w:rFonts w:ascii="Calibri" w:hAnsi="Calibri" w:cs="Arial"/>
                <w:color w:val="000000"/>
                <w:sz w:val="22"/>
                <w:lang w:val="en-US"/>
              </w:rPr>
              <w:t>=0.221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  <w:r w:rsidRPr="00171868">
              <w:rPr>
                <w:rFonts w:ascii="Calibri" w:hAnsi="Calibri" w:cs="Arial"/>
                <w:i/>
                <w:iCs/>
                <w:color w:val="000000"/>
                <w:sz w:val="22"/>
                <w:lang w:val="en-US"/>
              </w:rPr>
              <w:t>p</w:t>
            </w:r>
            <w:r w:rsidRPr="00171868">
              <w:rPr>
                <w:rFonts w:ascii="Calibri" w:hAnsi="Calibri" w:cs="Arial"/>
                <w:color w:val="000000"/>
                <w:sz w:val="22"/>
                <w:lang w:val="en-US"/>
              </w:rPr>
              <w:t>=0.731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  <w:r w:rsidRPr="00171868">
              <w:rPr>
                <w:rFonts w:ascii="Calibri" w:hAnsi="Calibri" w:cs="Arial"/>
                <w:i/>
                <w:iCs/>
                <w:color w:val="000000"/>
                <w:sz w:val="22"/>
                <w:lang w:val="en-US"/>
              </w:rPr>
              <w:t>p</w:t>
            </w:r>
            <w:r w:rsidRPr="00171868">
              <w:rPr>
                <w:rFonts w:ascii="Calibri" w:hAnsi="Calibri" w:cs="Arial"/>
                <w:color w:val="000000"/>
                <w:sz w:val="22"/>
                <w:lang w:val="en-US"/>
              </w:rPr>
              <w:t>=0.142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  <w:r w:rsidRPr="00171868">
              <w:rPr>
                <w:rFonts w:ascii="Calibri" w:hAnsi="Calibri" w:cs="Arial"/>
                <w:i/>
                <w:iCs/>
                <w:color w:val="000000"/>
                <w:sz w:val="22"/>
                <w:lang w:val="en-US"/>
              </w:rPr>
              <w:t>p</w:t>
            </w:r>
            <w:r w:rsidRPr="00171868">
              <w:rPr>
                <w:rFonts w:ascii="Calibri" w:hAnsi="Calibri" w:cs="Arial"/>
                <w:color w:val="000000"/>
                <w:sz w:val="22"/>
                <w:lang w:val="en-US"/>
              </w:rPr>
              <w:t>=0.586</w:t>
            </w:r>
          </w:p>
        </w:tc>
      </w:tr>
      <w:tr w:rsidR="00C10606" w:rsidRPr="00F229E2" w:rsidTr="005751D3">
        <w:trPr>
          <w:trHeight w:val="31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5751D3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No sex past six months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171868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171868" w:rsidRDefault="00C10606" w:rsidP="00171868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171868" w:rsidRDefault="00C10606" w:rsidP="00171868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171868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171868" w:rsidRDefault="00C10606" w:rsidP="00171868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171868" w:rsidRDefault="00C10606" w:rsidP="00171868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171868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171868" w:rsidRDefault="00C10606" w:rsidP="00171868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171868" w:rsidRDefault="00C10606" w:rsidP="00171868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171868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171868" w:rsidRDefault="00C10606" w:rsidP="00171868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171868" w:rsidRDefault="00C10606" w:rsidP="00171868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171868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171868" w:rsidRDefault="00C10606" w:rsidP="00171868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171868" w:rsidRDefault="00C10606" w:rsidP="00171868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171868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171868" w:rsidRDefault="00C10606" w:rsidP="00171868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171868" w:rsidRPr="00F229E2" w:rsidTr="005751D3">
        <w:trPr>
          <w:trHeight w:val="31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F229E2" w:rsidRDefault="00171868" w:rsidP="005751D3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Never/mostly not/sometimes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C036C1" w:rsidRDefault="00171868" w:rsidP="00171868">
            <w:pPr>
              <w:jc w:val="right"/>
            </w:pPr>
            <w:r w:rsidRPr="00C036C1">
              <w:t>4.11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(1.26 - 13.43)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1.71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(0.34 - 8.49)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A34D09" w:rsidP="00171868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2.77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A34D09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(0.</w:t>
            </w:r>
            <w:r w:rsidR="00A34D09">
              <w:rPr>
                <w:rFonts w:ascii="Calibri" w:hAnsi="Calibri"/>
                <w:sz w:val="22"/>
              </w:rPr>
              <w:t>48</w:t>
            </w:r>
            <w:r w:rsidR="00A34D09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- </w:t>
            </w:r>
            <w:r w:rsidR="00A34D09">
              <w:rPr>
                <w:rFonts w:ascii="Calibri" w:hAnsi="Calibri"/>
                <w:sz w:val="22"/>
              </w:rPr>
              <w:t>16.12</w:t>
            </w:r>
            <w:r w:rsidRPr="00171868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1.33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(0.39 - 4.54)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1.38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(0.42 - 4.52)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1.26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(0.43 - 3.66)</w:t>
            </w:r>
          </w:p>
        </w:tc>
      </w:tr>
      <w:tr w:rsidR="00171868" w:rsidRPr="00F229E2" w:rsidTr="005751D3">
        <w:trPr>
          <w:trHeight w:val="31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F229E2" w:rsidRDefault="00171868" w:rsidP="005751D3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   Mostly/always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C036C1" w:rsidRDefault="00171868" w:rsidP="00171868">
            <w:pPr>
              <w:jc w:val="right"/>
            </w:pPr>
            <w:r w:rsidRPr="00C036C1">
              <w:t>5.63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(1.62 - 19.55)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1.37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290B61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(0.16-11.58)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A34D09" w:rsidP="00171868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28008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(0.</w:t>
            </w:r>
            <w:r w:rsidR="00F60E35">
              <w:rPr>
                <w:rFonts w:ascii="Calibri" w:hAnsi="Calibri"/>
                <w:sz w:val="22"/>
              </w:rPr>
              <w:t>70</w:t>
            </w:r>
            <w:r w:rsidR="00280088">
              <w:rPr>
                <w:rFonts w:ascii="Calibri" w:hAnsi="Calibri"/>
                <w:sz w:val="22"/>
              </w:rPr>
              <w:t>-</w:t>
            </w:r>
            <w:r w:rsidRPr="00171868">
              <w:rPr>
                <w:rFonts w:ascii="Calibri" w:hAnsi="Calibri"/>
                <w:sz w:val="22"/>
              </w:rPr>
              <w:t xml:space="preserve"> </w:t>
            </w:r>
            <w:r w:rsidR="00F60E35">
              <w:rPr>
                <w:rFonts w:ascii="Calibri" w:hAnsi="Calibri"/>
                <w:sz w:val="22"/>
              </w:rPr>
              <w:t>25.37</w:t>
            </w:r>
            <w:r w:rsidRPr="00171868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0.85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(0.18 - 3.92)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3.11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(0.86 - 11.28)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0.68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8" w:rsidRPr="00171868" w:rsidRDefault="00171868" w:rsidP="00171868">
            <w:pPr>
              <w:jc w:val="right"/>
              <w:rPr>
                <w:rFonts w:ascii="Calibri" w:hAnsi="Calibri"/>
                <w:sz w:val="22"/>
              </w:rPr>
            </w:pPr>
            <w:r w:rsidRPr="00171868">
              <w:rPr>
                <w:rFonts w:ascii="Calibri" w:hAnsi="Calibri"/>
                <w:sz w:val="22"/>
              </w:rPr>
              <w:t>(0.15 - 2.98)</w:t>
            </w:r>
          </w:p>
        </w:tc>
      </w:tr>
      <w:tr w:rsidR="00C10606" w:rsidRPr="00F229E2" w:rsidTr="00EC3F5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 </w:t>
            </w:r>
          </w:p>
        </w:tc>
      </w:tr>
      <w:tr w:rsidR="000724E7" w:rsidRPr="00926F87" w:rsidTr="00A876E0">
        <w:trPr>
          <w:trHeight w:val="300"/>
        </w:trPr>
        <w:tc>
          <w:tcPr>
            <w:tcW w:w="15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4E7" w:rsidRPr="00F229E2" w:rsidRDefault="000724E7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nl-NL"/>
              </w:rPr>
              <w:t>Abbreviations: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HELIUS, Healthy Life in Urban Setting; HPV, human papillomavirus; STI, sexually transmitted infection; N.A.=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ot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a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pplicable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; ; OR, Odds Ratio; 95% CI, 95% Confidence Interval</w:t>
            </w:r>
          </w:p>
        </w:tc>
      </w:tr>
      <w:tr w:rsidR="00C10606" w:rsidRPr="00926F87" w:rsidTr="00EC3F5A">
        <w:trPr>
          <w:trHeight w:val="300"/>
        </w:trPr>
        <w:tc>
          <w:tcPr>
            <w:tcW w:w="15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6" w:rsidRPr="00F229E2" w:rsidRDefault="00C10606" w:rsidP="006725C5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-values are based on Wald test; </w:t>
            </w:r>
            <w:r w:rsidRPr="00F229E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GB" w:eastAsia="nl-NL"/>
              </w:rPr>
              <w:t>p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-values &lt;0.05 are considered</w:t>
            </w:r>
            <w:r w:rsidR="000724E7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statistically</w:t>
            </w: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significant </w:t>
            </w:r>
            <w:r w:rsidR="00FE3EA5"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and are presented in the row of the variable name and in the </w:t>
            </w:r>
            <w:r w:rsidR="00D73573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95% CI column</w:t>
            </w:r>
          </w:p>
        </w:tc>
      </w:tr>
      <w:tr w:rsidR="00C10606" w:rsidRPr="00926F87" w:rsidTr="00EC3F5A">
        <w:trPr>
          <w:trHeight w:val="300"/>
        </w:trPr>
        <w:tc>
          <w:tcPr>
            <w:tcW w:w="1563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* Columns showing </w:t>
            </w:r>
            <w:proofErr w:type="spellStart"/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bivariable</w:t>
            </w:r>
            <w:proofErr w:type="spellEnd"/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odds ratios are based on Generalized Estimating Equations: in other words each participant has 12 records, one for every high risk HPV type, making it possible to correct for being positive for more tha</w:t>
            </w:r>
            <w:r w:rsidR="00D73573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n one HPV type at the same time</w:t>
            </w:r>
          </w:p>
        </w:tc>
      </w:tr>
      <w:tr w:rsidR="00C10606" w:rsidRPr="00926F87" w:rsidTr="00EC3F5A">
        <w:trPr>
          <w:trHeight w:val="300"/>
        </w:trPr>
        <w:tc>
          <w:tcPr>
            <w:tcW w:w="1563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606" w:rsidRPr="00F229E2" w:rsidRDefault="00C10606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  <w:tr w:rsidR="00D73573" w:rsidRPr="00926F87" w:rsidTr="00A876E0">
        <w:trPr>
          <w:trHeight w:val="300"/>
        </w:trPr>
        <w:tc>
          <w:tcPr>
            <w:tcW w:w="9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73" w:rsidRPr="00F229E2" w:rsidRDefault="00D73573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** Chlamydia, gonorrhoea, or </w:t>
            </w:r>
            <w:proofErr w:type="spellStart"/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>trichomoniasis</w:t>
            </w:r>
            <w:proofErr w:type="spellEnd"/>
            <w:r w:rsidRPr="00F229E2"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  <w:t xml:space="preserve"> (nobody tested positive for gonorrhoea)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73" w:rsidRPr="00F229E2" w:rsidRDefault="00D73573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73" w:rsidRPr="00F229E2" w:rsidRDefault="00D73573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73" w:rsidRPr="00F229E2" w:rsidRDefault="00D73573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73" w:rsidRPr="00F229E2" w:rsidRDefault="00D73573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73" w:rsidRPr="00F229E2" w:rsidRDefault="00D73573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573" w:rsidRPr="00F229E2" w:rsidRDefault="00D73573" w:rsidP="00C10606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lang w:val="en-GB" w:eastAsia="nl-NL"/>
              </w:rPr>
            </w:pPr>
          </w:p>
        </w:tc>
      </w:tr>
    </w:tbl>
    <w:p w:rsidR="00507479" w:rsidRPr="00F229E2" w:rsidRDefault="00507479">
      <w:pPr>
        <w:spacing w:after="200" w:line="276" w:lineRule="auto"/>
        <w:contextualSpacing w:val="0"/>
        <w:rPr>
          <w:lang w:val="en-GB"/>
        </w:rPr>
      </w:pPr>
    </w:p>
    <w:p w:rsidR="004D0E37" w:rsidRPr="00F229E2" w:rsidRDefault="004D0E37">
      <w:pPr>
        <w:spacing w:after="200" w:line="276" w:lineRule="auto"/>
        <w:contextualSpacing w:val="0"/>
        <w:rPr>
          <w:lang w:val="en-GB"/>
        </w:rPr>
      </w:pPr>
    </w:p>
    <w:p w:rsidR="007E5137" w:rsidRPr="00F229E2" w:rsidRDefault="007E5137" w:rsidP="007E5137">
      <w:pPr>
        <w:rPr>
          <w:lang w:val="en-GB"/>
        </w:rPr>
      </w:pPr>
    </w:p>
    <w:sectPr w:rsidR="007E5137" w:rsidRPr="00F229E2" w:rsidSect="004D0E37">
      <w:footerReference w:type="default" r:id="rId8"/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35" w:rsidRDefault="00A03535" w:rsidP="00BB1404">
      <w:pPr>
        <w:spacing w:after="0"/>
      </w:pPr>
      <w:r>
        <w:separator/>
      </w:r>
    </w:p>
  </w:endnote>
  <w:endnote w:type="continuationSeparator" w:id="0">
    <w:p w:rsidR="00A03535" w:rsidRDefault="00A03535" w:rsidP="00BB14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E8" w:rsidRDefault="006434E8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A876E0" w:rsidRPr="00505481" w:rsidRDefault="00A876E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35" w:rsidRDefault="00A03535" w:rsidP="00BB1404">
      <w:pPr>
        <w:spacing w:after="0"/>
      </w:pPr>
      <w:r>
        <w:separator/>
      </w:r>
    </w:p>
  </w:footnote>
  <w:footnote w:type="continuationSeparator" w:id="0">
    <w:p w:rsidR="00A03535" w:rsidRDefault="00A03535" w:rsidP="00BB14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8A"/>
    <w:rsid w:val="000073AA"/>
    <w:rsid w:val="00013AFF"/>
    <w:rsid w:val="00021058"/>
    <w:rsid w:val="0003427D"/>
    <w:rsid w:val="000724E7"/>
    <w:rsid w:val="000878F4"/>
    <w:rsid w:val="00137750"/>
    <w:rsid w:val="001462D4"/>
    <w:rsid w:val="00171868"/>
    <w:rsid w:val="001760A1"/>
    <w:rsid w:val="001958CE"/>
    <w:rsid w:val="00197774"/>
    <w:rsid w:val="001A48E2"/>
    <w:rsid w:val="001C1F7A"/>
    <w:rsid w:val="001D714D"/>
    <w:rsid w:val="001E3FB6"/>
    <w:rsid w:val="00224FCD"/>
    <w:rsid w:val="00234C31"/>
    <w:rsid w:val="00251E64"/>
    <w:rsid w:val="00280088"/>
    <w:rsid w:val="00290B61"/>
    <w:rsid w:val="002977B5"/>
    <w:rsid w:val="002A7838"/>
    <w:rsid w:val="002D3827"/>
    <w:rsid w:val="003563B2"/>
    <w:rsid w:val="003629A1"/>
    <w:rsid w:val="00372B4A"/>
    <w:rsid w:val="00380DDD"/>
    <w:rsid w:val="00381EEA"/>
    <w:rsid w:val="003C7D80"/>
    <w:rsid w:val="00402101"/>
    <w:rsid w:val="00462983"/>
    <w:rsid w:val="004A4ACA"/>
    <w:rsid w:val="004B34A4"/>
    <w:rsid w:val="004D0E37"/>
    <w:rsid w:val="004D4D33"/>
    <w:rsid w:val="00505481"/>
    <w:rsid w:val="00507479"/>
    <w:rsid w:val="00521B69"/>
    <w:rsid w:val="005751D3"/>
    <w:rsid w:val="0058241F"/>
    <w:rsid w:val="005B03A2"/>
    <w:rsid w:val="005D1A7E"/>
    <w:rsid w:val="005E4AAC"/>
    <w:rsid w:val="005F3CAA"/>
    <w:rsid w:val="00600EB9"/>
    <w:rsid w:val="00633077"/>
    <w:rsid w:val="006434E8"/>
    <w:rsid w:val="006521E8"/>
    <w:rsid w:val="00655B8D"/>
    <w:rsid w:val="006664C4"/>
    <w:rsid w:val="006725C5"/>
    <w:rsid w:val="007047E3"/>
    <w:rsid w:val="007B345D"/>
    <w:rsid w:val="007E5137"/>
    <w:rsid w:val="00801463"/>
    <w:rsid w:val="008439CE"/>
    <w:rsid w:val="0089030C"/>
    <w:rsid w:val="008A2153"/>
    <w:rsid w:val="008B05F8"/>
    <w:rsid w:val="008C664F"/>
    <w:rsid w:val="008F1702"/>
    <w:rsid w:val="00926F87"/>
    <w:rsid w:val="009454F0"/>
    <w:rsid w:val="009474BF"/>
    <w:rsid w:val="009937ED"/>
    <w:rsid w:val="009A2B32"/>
    <w:rsid w:val="009D6832"/>
    <w:rsid w:val="00A03535"/>
    <w:rsid w:val="00A34D09"/>
    <w:rsid w:val="00A425CF"/>
    <w:rsid w:val="00A80D1E"/>
    <w:rsid w:val="00A876E0"/>
    <w:rsid w:val="00A9167F"/>
    <w:rsid w:val="00AE7F90"/>
    <w:rsid w:val="00B02FD0"/>
    <w:rsid w:val="00B327A2"/>
    <w:rsid w:val="00B54AC1"/>
    <w:rsid w:val="00B669CB"/>
    <w:rsid w:val="00B77D1A"/>
    <w:rsid w:val="00B938BA"/>
    <w:rsid w:val="00BB1404"/>
    <w:rsid w:val="00BB23FF"/>
    <w:rsid w:val="00C10606"/>
    <w:rsid w:val="00C26732"/>
    <w:rsid w:val="00C42616"/>
    <w:rsid w:val="00C500D7"/>
    <w:rsid w:val="00C81E1F"/>
    <w:rsid w:val="00CD2154"/>
    <w:rsid w:val="00CD54CF"/>
    <w:rsid w:val="00D11D10"/>
    <w:rsid w:val="00D24601"/>
    <w:rsid w:val="00D267EA"/>
    <w:rsid w:val="00D667BE"/>
    <w:rsid w:val="00D73573"/>
    <w:rsid w:val="00D748F7"/>
    <w:rsid w:val="00DF758A"/>
    <w:rsid w:val="00E07F94"/>
    <w:rsid w:val="00E1749A"/>
    <w:rsid w:val="00E333C6"/>
    <w:rsid w:val="00E47D37"/>
    <w:rsid w:val="00EC3F5A"/>
    <w:rsid w:val="00F009F7"/>
    <w:rsid w:val="00F12D5A"/>
    <w:rsid w:val="00F17EC0"/>
    <w:rsid w:val="00F229E2"/>
    <w:rsid w:val="00F44C45"/>
    <w:rsid w:val="00F60E35"/>
    <w:rsid w:val="00F8378F"/>
    <w:rsid w:val="00F84322"/>
    <w:rsid w:val="00F90F4B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1AEC1-5766-4387-832C-885CABFD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64"/>
    <w:pPr>
      <w:spacing w:after="280" w:line="240" w:lineRule="auto"/>
      <w:contextualSpacing/>
    </w:pPr>
    <w:rPr>
      <w:rFonts w:ascii="Corbel" w:hAnsi="Corbe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5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58A"/>
    <w:rPr>
      <w:color w:val="800080"/>
      <w:u w:val="single"/>
    </w:rPr>
  </w:style>
  <w:style w:type="paragraph" w:customStyle="1" w:styleId="font5">
    <w:name w:val="font5"/>
    <w:basedOn w:val="Normal"/>
    <w:rsid w:val="00DF758A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b/>
      <w:bCs/>
      <w:color w:val="000000"/>
      <w:sz w:val="22"/>
      <w:lang w:eastAsia="nl-NL"/>
    </w:rPr>
  </w:style>
  <w:style w:type="paragraph" w:customStyle="1" w:styleId="font6">
    <w:name w:val="font6"/>
    <w:basedOn w:val="Normal"/>
    <w:rsid w:val="00DF758A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000000"/>
      <w:sz w:val="22"/>
      <w:lang w:eastAsia="nl-NL"/>
    </w:rPr>
  </w:style>
  <w:style w:type="paragraph" w:customStyle="1" w:styleId="font7">
    <w:name w:val="font7"/>
    <w:basedOn w:val="Normal"/>
    <w:rsid w:val="00DF758A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sz w:val="22"/>
      <w:lang w:eastAsia="nl-NL"/>
    </w:rPr>
  </w:style>
  <w:style w:type="paragraph" w:customStyle="1" w:styleId="font8">
    <w:name w:val="font8"/>
    <w:basedOn w:val="Normal"/>
    <w:rsid w:val="00DF758A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i/>
      <w:iCs/>
      <w:color w:val="000000"/>
      <w:sz w:val="22"/>
      <w:lang w:eastAsia="nl-NL"/>
    </w:rPr>
  </w:style>
  <w:style w:type="paragraph" w:customStyle="1" w:styleId="font9">
    <w:name w:val="font9"/>
    <w:basedOn w:val="Normal"/>
    <w:rsid w:val="00DF758A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b/>
      <w:bCs/>
      <w:i/>
      <w:iCs/>
      <w:color w:val="000000"/>
      <w:sz w:val="22"/>
      <w:lang w:eastAsia="nl-NL"/>
    </w:rPr>
  </w:style>
  <w:style w:type="paragraph" w:customStyle="1" w:styleId="xl63">
    <w:name w:val="xl63"/>
    <w:basedOn w:val="Normal"/>
    <w:rsid w:val="00DF758A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b/>
      <w:bCs/>
      <w:i/>
      <w:iCs/>
      <w:sz w:val="22"/>
      <w:lang w:eastAsia="nl-NL"/>
    </w:rPr>
  </w:style>
  <w:style w:type="paragraph" w:customStyle="1" w:styleId="xl64">
    <w:name w:val="xl64"/>
    <w:basedOn w:val="Normal"/>
    <w:rsid w:val="00DF758A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sz w:val="22"/>
      <w:lang w:eastAsia="nl-NL"/>
    </w:rPr>
  </w:style>
  <w:style w:type="paragraph" w:customStyle="1" w:styleId="xl65">
    <w:name w:val="xl65"/>
    <w:basedOn w:val="Normal"/>
    <w:rsid w:val="00DF758A"/>
    <w:pPr>
      <w:spacing w:before="100" w:beforeAutospacing="1" w:after="100" w:afterAutospacing="1"/>
      <w:contextualSpacing w:val="0"/>
      <w:jc w:val="right"/>
    </w:pPr>
    <w:rPr>
      <w:rFonts w:ascii="Calibri" w:eastAsia="Times New Roman" w:hAnsi="Calibri" w:cs="Calibri"/>
      <w:sz w:val="22"/>
      <w:lang w:eastAsia="nl-NL"/>
    </w:rPr>
  </w:style>
  <w:style w:type="paragraph" w:customStyle="1" w:styleId="xl66">
    <w:name w:val="xl66"/>
    <w:basedOn w:val="Normal"/>
    <w:rsid w:val="00DF758A"/>
    <w:pPr>
      <w:pBdr>
        <w:bottom w:val="single" w:sz="8" w:space="0" w:color="auto"/>
      </w:pBdr>
      <w:spacing w:before="100" w:beforeAutospacing="1" w:after="100" w:afterAutospacing="1"/>
      <w:contextualSpacing w:val="0"/>
      <w:jc w:val="right"/>
    </w:pPr>
    <w:rPr>
      <w:rFonts w:ascii="Calibri" w:eastAsia="Times New Roman" w:hAnsi="Calibri" w:cs="Calibri"/>
      <w:sz w:val="22"/>
      <w:lang w:eastAsia="nl-NL"/>
    </w:rPr>
  </w:style>
  <w:style w:type="paragraph" w:customStyle="1" w:styleId="xl67">
    <w:name w:val="xl67"/>
    <w:basedOn w:val="Normal"/>
    <w:rsid w:val="00DF758A"/>
    <w:pPr>
      <w:spacing w:before="100" w:beforeAutospacing="1" w:after="100" w:afterAutospacing="1"/>
      <w:contextualSpacing w:val="0"/>
      <w:jc w:val="right"/>
    </w:pPr>
    <w:rPr>
      <w:rFonts w:ascii="Calibri" w:eastAsia="Times New Roman" w:hAnsi="Calibri" w:cs="Calibri"/>
      <w:sz w:val="22"/>
      <w:lang w:eastAsia="nl-NL"/>
    </w:rPr>
  </w:style>
  <w:style w:type="paragraph" w:customStyle="1" w:styleId="xl68">
    <w:name w:val="xl68"/>
    <w:basedOn w:val="Normal"/>
    <w:rsid w:val="00DF758A"/>
    <w:pPr>
      <w:spacing w:before="100" w:beforeAutospacing="1" w:after="100" w:afterAutospacing="1"/>
      <w:contextualSpacing w:val="0"/>
      <w:jc w:val="right"/>
    </w:pPr>
    <w:rPr>
      <w:rFonts w:ascii="Calibri" w:eastAsia="Times New Roman" w:hAnsi="Calibri" w:cs="Calibri"/>
      <w:sz w:val="22"/>
      <w:lang w:eastAsia="nl-NL"/>
    </w:rPr>
  </w:style>
  <w:style w:type="paragraph" w:customStyle="1" w:styleId="xl69">
    <w:name w:val="xl69"/>
    <w:basedOn w:val="Normal"/>
    <w:rsid w:val="00DF758A"/>
    <w:pPr>
      <w:spacing w:before="100" w:beforeAutospacing="1" w:after="100" w:afterAutospacing="1"/>
      <w:contextualSpacing w:val="0"/>
      <w:jc w:val="right"/>
    </w:pPr>
    <w:rPr>
      <w:rFonts w:ascii="Calibri" w:eastAsia="Times New Roman" w:hAnsi="Calibri" w:cs="Calibri"/>
      <w:b/>
      <w:bCs/>
      <w:sz w:val="22"/>
      <w:lang w:eastAsia="nl-NL"/>
    </w:rPr>
  </w:style>
  <w:style w:type="paragraph" w:customStyle="1" w:styleId="xl70">
    <w:name w:val="xl70"/>
    <w:basedOn w:val="Normal"/>
    <w:rsid w:val="00DF758A"/>
    <w:pPr>
      <w:pBdr>
        <w:bottom w:val="single" w:sz="4" w:space="0" w:color="auto"/>
      </w:pBdr>
      <w:spacing w:before="100" w:beforeAutospacing="1" w:after="100" w:afterAutospacing="1"/>
      <w:contextualSpacing w:val="0"/>
      <w:jc w:val="right"/>
    </w:pPr>
    <w:rPr>
      <w:rFonts w:ascii="Calibri" w:eastAsia="Times New Roman" w:hAnsi="Calibri" w:cs="Calibri"/>
      <w:sz w:val="22"/>
      <w:lang w:eastAsia="nl-NL"/>
    </w:rPr>
  </w:style>
  <w:style w:type="paragraph" w:customStyle="1" w:styleId="xl71">
    <w:name w:val="xl71"/>
    <w:basedOn w:val="Normal"/>
    <w:rsid w:val="00DF758A"/>
    <w:pPr>
      <w:pBdr>
        <w:bottom w:val="single" w:sz="4" w:space="0" w:color="auto"/>
      </w:pBdr>
      <w:spacing w:before="100" w:beforeAutospacing="1" w:after="100" w:afterAutospacing="1"/>
      <w:contextualSpacing w:val="0"/>
      <w:jc w:val="right"/>
    </w:pPr>
    <w:rPr>
      <w:rFonts w:ascii="Calibri" w:eastAsia="Times New Roman" w:hAnsi="Calibri" w:cs="Calibri"/>
      <w:sz w:val="22"/>
      <w:lang w:eastAsia="nl-NL"/>
    </w:rPr>
  </w:style>
  <w:style w:type="paragraph" w:customStyle="1" w:styleId="xl72">
    <w:name w:val="xl72"/>
    <w:basedOn w:val="Normal"/>
    <w:rsid w:val="00DF758A"/>
    <w:pPr>
      <w:pBdr>
        <w:bottom w:val="single" w:sz="8" w:space="0" w:color="auto"/>
      </w:pBdr>
      <w:spacing w:before="100" w:beforeAutospacing="1" w:after="100" w:afterAutospacing="1"/>
      <w:contextualSpacing w:val="0"/>
    </w:pPr>
    <w:rPr>
      <w:rFonts w:ascii="Calibri" w:eastAsia="Times New Roman" w:hAnsi="Calibri" w:cs="Calibri"/>
      <w:sz w:val="22"/>
      <w:lang w:eastAsia="nl-NL"/>
    </w:rPr>
  </w:style>
  <w:style w:type="paragraph" w:customStyle="1" w:styleId="xl73">
    <w:name w:val="xl73"/>
    <w:basedOn w:val="Normal"/>
    <w:rsid w:val="00DF758A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b/>
      <w:bCs/>
      <w:sz w:val="22"/>
      <w:lang w:eastAsia="nl-NL"/>
    </w:rPr>
  </w:style>
  <w:style w:type="paragraph" w:customStyle="1" w:styleId="xl74">
    <w:name w:val="xl74"/>
    <w:basedOn w:val="Normal"/>
    <w:rsid w:val="00DF758A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sz w:val="22"/>
      <w:lang w:eastAsia="nl-NL"/>
    </w:rPr>
  </w:style>
  <w:style w:type="paragraph" w:customStyle="1" w:styleId="xl75">
    <w:name w:val="xl75"/>
    <w:basedOn w:val="Normal"/>
    <w:rsid w:val="00DF758A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sz w:val="22"/>
      <w:lang w:eastAsia="nl-NL"/>
    </w:rPr>
  </w:style>
  <w:style w:type="paragraph" w:customStyle="1" w:styleId="xl76">
    <w:name w:val="xl76"/>
    <w:basedOn w:val="Normal"/>
    <w:rsid w:val="00DF758A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sz w:val="22"/>
      <w:lang w:eastAsia="nl-NL"/>
    </w:rPr>
  </w:style>
  <w:style w:type="paragraph" w:customStyle="1" w:styleId="xl77">
    <w:name w:val="xl77"/>
    <w:basedOn w:val="Normal"/>
    <w:rsid w:val="00DF758A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sz w:val="22"/>
      <w:lang w:eastAsia="nl-NL"/>
    </w:rPr>
  </w:style>
  <w:style w:type="paragraph" w:customStyle="1" w:styleId="xl78">
    <w:name w:val="xl78"/>
    <w:basedOn w:val="Normal"/>
    <w:rsid w:val="00DF758A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sz w:val="22"/>
      <w:lang w:eastAsia="nl-NL"/>
    </w:rPr>
  </w:style>
  <w:style w:type="paragraph" w:customStyle="1" w:styleId="xl79">
    <w:name w:val="xl79"/>
    <w:basedOn w:val="Normal"/>
    <w:rsid w:val="00DF758A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sz w:val="22"/>
      <w:lang w:eastAsia="nl-NL"/>
    </w:rPr>
  </w:style>
  <w:style w:type="paragraph" w:customStyle="1" w:styleId="xl80">
    <w:name w:val="xl80"/>
    <w:basedOn w:val="Normal"/>
    <w:rsid w:val="00DF758A"/>
    <w:pPr>
      <w:spacing w:before="100" w:beforeAutospacing="1" w:after="100" w:afterAutospacing="1"/>
      <w:contextualSpacing w:val="0"/>
      <w:jc w:val="right"/>
    </w:pPr>
    <w:rPr>
      <w:rFonts w:ascii="Calibri" w:eastAsia="Times New Roman" w:hAnsi="Calibri" w:cs="Calibri"/>
      <w:b/>
      <w:bCs/>
      <w:sz w:val="22"/>
      <w:lang w:eastAsia="nl-NL"/>
    </w:rPr>
  </w:style>
  <w:style w:type="paragraph" w:customStyle="1" w:styleId="xl81">
    <w:name w:val="xl81"/>
    <w:basedOn w:val="Normal"/>
    <w:rsid w:val="00DF758A"/>
    <w:pPr>
      <w:pBdr>
        <w:bottom w:val="single" w:sz="4" w:space="0" w:color="auto"/>
      </w:pBdr>
      <w:spacing w:before="100" w:beforeAutospacing="1" w:after="100" w:afterAutospacing="1"/>
      <w:contextualSpacing w:val="0"/>
    </w:pPr>
    <w:rPr>
      <w:rFonts w:ascii="Calibri" w:eastAsia="Times New Roman" w:hAnsi="Calibri" w:cs="Calibri"/>
      <w:sz w:val="22"/>
      <w:lang w:eastAsia="nl-NL"/>
    </w:rPr>
  </w:style>
  <w:style w:type="paragraph" w:customStyle="1" w:styleId="xl82">
    <w:name w:val="xl82"/>
    <w:basedOn w:val="Normal"/>
    <w:rsid w:val="00DF758A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b/>
      <w:bCs/>
      <w:sz w:val="22"/>
      <w:lang w:eastAsia="nl-NL"/>
    </w:rPr>
  </w:style>
  <w:style w:type="paragraph" w:customStyle="1" w:styleId="xl84">
    <w:name w:val="xl84"/>
    <w:basedOn w:val="Normal"/>
    <w:rsid w:val="00DF758A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sz w:val="22"/>
      <w:lang w:eastAsia="nl-NL"/>
    </w:rPr>
  </w:style>
  <w:style w:type="paragraph" w:customStyle="1" w:styleId="xl85">
    <w:name w:val="xl85"/>
    <w:basedOn w:val="Normal"/>
    <w:rsid w:val="00DF758A"/>
    <w:pPr>
      <w:pBdr>
        <w:bottom w:val="single" w:sz="4" w:space="0" w:color="auto"/>
      </w:pBdr>
      <w:spacing w:before="100" w:beforeAutospacing="1" w:after="100" w:afterAutospacing="1"/>
      <w:contextualSpacing w:val="0"/>
    </w:pPr>
    <w:rPr>
      <w:rFonts w:ascii="Calibri" w:eastAsia="Times New Roman" w:hAnsi="Calibri" w:cs="Calibri"/>
      <w:sz w:val="22"/>
      <w:lang w:eastAsia="nl-NL"/>
    </w:rPr>
  </w:style>
  <w:style w:type="paragraph" w:customStyle="1" w:styleId="xl86">
    <w:name w:val="xl86"/>
    <w:basedOn w:val="Normal"/>
    <w:rsid w:val="00DF758A"/>
    <w:pPr>
      <w:pBdr>
        <w:bottom w:val="single" w:sz="4" w:space="0" w:color="auto"/>
      </w:pBdr>
      <w:spacing w:before="100" w:beforeAutospacing="1" w:after="100" w:afterAutospacing="1"/>
      <w:contextualSpacing w:val="0"/>
    </w:pPr>
    <w:rPr>
      <w:rFonts w:ascii="Calibri" w:eastAsia="Times New Roman" w:hAnsi="Calibri" w:cs="Calibri"/>
      <w:sz w:val="22"/>
      <w:lang w:eastAsia="nl-NL"/>
    </w:rPr>
  </w:style>
  <w:style w:type="paragraph" w:customStyle="1" w:styleId="xl87">
    <w:name w:val="xl87"/>
    <w:basedOn w:val="Normal"/>
    <w:rsid w:val="00DF758A"/>
    <w:pPr>
      <w:spacing w:before="100" w:beforeAutospacing="1" w:after="100" w:afterAutospacing="1"/>
      <w:contextualSpacing w:val="0"/>
      <w:jc w:val="center"/>
    </w:pPr>
    <w:rPr>
      <w:rFonts w:ascii="Calibri" w:eastAsia="Times New Roman" w:hAnsi="Calibri" w:cs="Calibri"/>
      <w:b/>
      <w:bCs/>
      <w:sz w:val="22"/>
      <w:lang w:eastAsia="nl-NL"/>
    </w:rPr>
  </w:style>
  <w:style w:type="paragraph" w:customStyle="1" w:styleId="xl88">
    <w:name w:val="xl88"/>
    <w:basedOn w:val="Normal"/>
    <w:rsid w:val="00DF758A"/>
    <w:pPr>
      <w:pBdr>
        <w:bottom w:val="single" w:sz="4" w:space="0" w:color="auto"/>
      </w:pBdr>
      <w:spacing w:before="100" w:beforeAutospacing="1" w:after="100" w:afterAutospacing="1"/>
      <w:contextualSpacing w:val="0"/>
    </w:pPr>
    <w:rPr>
      <w:rFonts w:ascii="Calibri" w:eastAsia="Times New Roman" w:hAnsi="Calibri" w:cs="Calibri"/>
      <w:b/>
      <w:bCs/>
      <w:sz w:val="22"/>
      <w:lang w:eastAsia="nl-NL"/>
    </w:rPr>
  </w:style>
  <w:style w:type="paragraph" w:customStyle="1" w:styleId="xl89">
    <w:name w:val="xl89"/>
    <w:basedOn w:val="Normal"/>
    <w:rsid w:val="00DF758A"/>
    <w:pPr>
      <w:spacing w:before="100" w:beforeAutospacing="1" w:after="100" w:afterAutospacing="1"/>
      <w:contextualSpacing w:val="0"/>
      <w:jc w:val="center"/>
    </w:pPr>
    <w:rPr>
      <w:rFonts w:ascii="Calibri" w:eastAsia="Times New Roman" w:hAnsi="Calibri" w:cs="Calibri"/>
      <w:b/>
      <w:bCs/>
      <w:sz w:val="22"/>
      <w:lang w:eastAsia="nl-NL"/>
    </w:rPr>
  </w:style>
  <w:style w:type="paragraph" w:customStyle="1" w:styleId="xl90">
    <w:name w:val="xl90"/>
    <w:basedOn w:val="Normal"/>
    <w:rsid w:val="00DF758A"/>
    <w:pPr>
      <w:spacing w:before="100" w:beforeAutospacing="1" w:after="100" w:afterAutospacing="1"/>
      <w:contextualSpacing w:val="0"/>
      <w:jc w:val="center"/>
    </w:pPr>
    <w:rPr>
      <w:rFonts w:ascii="Calibri" w:eastAsia="Times New Roman" w:hAnsi="Calibri" w:cs="Calibri"/>
      <w:sz w:val="22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BB14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1404"/>
    <w:rPr>
      <w:rFonts w:ascii="Corbel" w:hAnsi="Corbel"/>
      <w:sz w:val="21"/>
    </w:rPr>
  </w:style>
  <w:style w:type="paragraph" w:styleId="Footer">
    <w:name w:val="footer"/>
    <w:basedOn w:val="Normal"/>
    <w:link w:val="FooterChar"/>
    <w:uiPriority w:val="99"/>
    <w:unhideWhenUsed/>
    <w:rsid w:val="00BB14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1404"/>
    <w:rPr>
      <w:rFonts w:ascii="Corbel" w:hAnsi="Corbel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4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04"/>
    <w:rPr>
      <w:rFonts w:ascii="Tahoma" w:hAnsi="Tahoma" w:cs="Tahoma"/>
      <w:sz w:val="16"/>
      <w:szCs w:val="16"/>
    </w:rPr>
  </w:style>
  <w:style w:type="paragraph" w:customStyle="1" w:styleId="xl83">
    <w:name w:val="xl83"/>
    <w:basedOn w:val="Normal"/>
    <w:rsid w:val="00C10606"/>
    <w:pPr>
      <w:pBdr>
        <w:bottom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Calibri" w:eastAsia="Times New Roman" w:hAnsi="Calibri" w:cs="Calibri"/>
      <w:sz w:val="22"/>
      <w:lang w:eastAsia="nl-NL"/>
    </w:rPr>
  </w:style>
  <w:style w:type="paragraph" w:customStyle="1" w:styleId="xl91">
    <w:name w:val="xl91"/>
    <w:basedOn w:val="Normal"/>
    <w:rsid w:val="00C10606"/>
    <w:pPr>
      <w:spacing w:before="100" w:beforeAutospacing="1" w:after="100" w:afterAutospacing="1"/>
      <w:contextualSpacing w:val="0"/>
      <w:jc w:val="right"/>
      <w:textAlignment w:val="top"/>
    </w:pPr>
    <w:rPr>
      <w:rFonts w:ascii="Calibri" w:eastAsia="Times New Roman" w:hAnsi="Calibri" w:cs="Calibri"/>
      <w:sz w:val="22"/>
      <w:lang w:eastAsia="nl-NL"/>
    </w:rPr>
  </w:style>
  <w:style w:type="paragraph" w:customStyle="1" w:styleId="xl92">
    <w:name w:val="xl92"/>
    <w:basedOn w:val="Normal"/>
    <w:rsid w:val="00C10606"/>
    <w:pPr>
      <w:spacing w:before="100" w:beforeAutospacing="1" w:after="100" w:afterAutospacing="1"/>
      <w:contextualSpacing w:val="0"/>
      <w:jc w:val="right"/>
    </w:pPr>
    <w:rPr>
      <w:rFonts w:ascii="Calibri" w:eastAsia="Times New Roman" w:hAnsi="Calibri" w:cs="Calibri"/>
      <w:sz w:val="22"/>
      <w:lang w:eastAsia="nl-NL"/>
    </w:rPr>
  </w:style>
  <w:style w:type="paragraph" w:customStyle="1" w:styleId="xl93">
    <w:name w:val="xl93"/>
    <w:basedOn w:val="Normal"/>
    <w:rsid w:val="00C10606"/>
    <w:pPr>
      <w:spacing w:before="100" w:beforeAutospacing="1" w:after="100" w:afterAutospacing="1"/>
      <w:contextualSpacing w:val="0"/>
      <w:jc w:val="right"/>
      <w:textAlignment w:val="top"/>
    </w:pPr>
    <w:rPr>
      <w:rFonts w:ascii="Calibri" w:eastAsia="Times New Roman" w:hAnsi="Calibri" w:cs="Calibri"/>
      <w:b/>
      <w:bCs/>
      <w:sz w:val="22"/>
      <w:lang w:eastAsia="nl-NL"/>
    </w:rPr>
  </w:style>
  <w:style w:type="paragraph" w:customStyle="1" w:styleId="xl94">
    <w:name w:val="xl94"/>
    <w:basedOn w:val="Normal"/>
    <w:rsid w:val="00C10606"/>
    <w:pPr>
      <w:spacing w:before="100" w:beforeAutospacing="1" w:after="100" w:afterAutospacing="1"/>
      <w:contextualSpacing w:val="0"/>
      <w:jc w:val="right"/>
      <w:textAlignment w:val="top"/>
    </w:pPr>
    <w:rPr>
      <w:rFonts w:ascii="Calibri" w:eastAsia="Times New Roman" w:hAnsi="Calibri" w:cs="Calibri"/>
      <w:b/>
      <w:bCs/>
      <w:sz w:val="22"/>
      <w:lang w:eastAsia="nl-NL"/>
    </w:rPr>
  </w:style>
  <w:style w:type="paragraph" w:customStyle="1" w:styleId="xl95">
    <w:name w:val="xl95"/>
    <w:basedOn w:val="Normal"/>
    <w:rsid w:val="00C10606"/>
    <w:pPr>
      <w:spacing w:before="100" w:beforeAutospacing="1" w:after="100" w:afterAutospacing="1"/>
      <w:contextualSpacing w:val="0"/>
      <w:jc w:val="right"/>
    </w:pPr>
    <w:rPr>
      <w:rFonts w:ascii="Calibri" w:eastAsia="Times New Roman" w:hAnsi="Calibri" w:cs="Calibri"/>
      <w:b/>
      <w:bCs/>
      <w:sz w:val="22"/>
      <w:lang w:eastAsia="nl-NL"/>
    </w:rPr>
  </w:style>
  <w:style w:type="paragraph" w:customStyle="1" w:styleId="xl96">
    <w:name w:val="xl96"/>
    <w:basedOn w:val="Normal"/>
    <w:rsid w:val="00C10606"/>
    <w:pPr>
      <w:pBdr>
        <w:bottom w:val="single" w:sz="4" w:space="0" w:color="auto"/>
      </w:pBdr>
      <w:spacing w:before="100" w:beforeAutospacing="1" w:after="100" w:afterAutospacing="1"/>
      <w:contextualSpacing w:val="0"/>
      <w:jc w:val="right"/>
      <w:textAlignment w:val="center"/>
    </w:pPr>
    <w:rPr>
      <w:rFonts w:ascii="Calibri" w:eastAsia="Times New Roman" w:hAnsi="Calibri" w:cs="Calibri"/>
      <w:b/>
      <w:bCs/>
      <w:sz w:val="22"/>
      <w:lang w:eastAsia="nl-NL"/>
    </w:rPr>
  </w:style>
  <w:style w:type="paragraph" w:customStyle="1" w:styleId="xl97">
    <w:name w:val="xl97"/>
    <w:basedOn w:val="Normal"/>
    <w:rsid w:val="00C10606"/>
    <w:pPr>
      <w:pBdr>
        <w:bottom w:val="single" w:sz="4" w:space="0" w:color="auto"/>
      </w:pBdr>
      <w:spacing w:before="100" w:beforeAutospacing="1" w:after="100" w:afterAutospacing="1"/>
      <w:contextualSpacing w:val="0"/>
      <w:jc w:val="right"/>
      <w:textAlignment w:val="center"/>
    </w:pPr>
    <w:rPr>
      <w:rFonts w:ascii="Calibri" w:eastAsia="Times New Roman" w:hAnsi="Calibri" w:cs="Calibri"/>
      <w:b/>
      <w:bCs/>
      <w:sz w:val="22"/>
      <w:lang w:eastAsia="nl-NL"/>
    </w:rPr>
  </w:style>
  <w:style w:type="paragraph" w:customStyle="1" w:styleId="xl98">
    <w:name w:val="xl98"/>
    <w:basedOn w:val="Normal"/>
    <w:rsid w:val="00C10606"/>
    <w:pPr>
      <w:pBdr>
        <w:top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Calibri" w:eastAsia="Times New Roman" w:hAnsi="Calibri" w:cs="Calibri"/>
      <w:b/>
      <w:bCs/>
      <w:sz w:val="22"/>
      <w:lang w:eastAsia="nl-NL"/>
    </w:rPr>
  </w:style>
  <w:style w:type="paragraph" w:customStyle="1" w:styleId="xl99">
    <w:name w:val="xl99"/>
    <w:basedOn w:val="Normal"/>
    <w:rsid w:val="00C10606"/>
    <w:pPr>
      <w:spacing w:before="100" w:beforeAutospacing="1" w:after="100" w:afterAutospacing="1"/>
      <w:contextualSpacing w:val="0"/>
      <w:jc w:val="center"/>
    </w:pPr>
    <w:rPr>
      <w:rFonts w:ascii="Calibri" w:eastAsia="Times New Roman" w:hAnsi="Calibri" w:cs="Calibri"/>
      <w:sz w:val="22"/>
      <w:lang w:eastAsia="nl-NL"/>
    </w:rPr>
  </w:style>
  <w:style w:type="paragraph" w:customStyle="1" w:styleId="xl100">
    <w:name w:val="xl100"/>
    <w:basedOn w:val="Normal"/>
    <w:rsid w:val="00C10606"/>
    <w:pPr>
      <w:spacing w:before="100" w:beforeAutospacing="1" w:after="100" w:afterAutospacing="1"/>
      <w:contextualSpacing w:val="0"/>
      <w:jc w:val="center"/>
      <w:textAlignment w:val="center"/>
    </w:pPr>
    <w:rPr>
      <w:rFonts w:ascii="Calibri" w:eastAsia="Times New Roman" w:hAnsi="Calibri" w:cs="Calibri"/>
      <w:b/>
      <w:bCs/>
      <w:sz w:val="22"/>
      <w:lang w:eastAsia="nl-NL"/>
    </w:rPr>
  </w:style>
  <w:style w:type="paragraph" w:customStyle="1" w:styleId="xl101">
    <w:name w:val="xl101"/>
    <w:basedOn w:val="Normal"/>
    <w:rsid w:val="00C10606"/>
    <w:pPr>
      <w:spacing w:before="100" w:beforeAutospacing="1" w:after="100" w:afterAutospacing="1"/>
      <w:contextualSpacing w:val="0"/>
      <w:textAlignment w:val="top"/>
    </w:pPr>
    <w:rPr>
      <w:rFonts w:ascii="Calibri" w:eastAsia="Times New Roman" w:hAnsi="Calibri" w:cs="Calibri"/>
      <w:sz w:val="22"/>
      <w:lang w:eastAsia="nl-NL"/>
    </w:rPr>
  </w:style>
  <w:style w:type="paragraph" w:customStyle="1" w:styleId="xl102">
    <w:name w:val="xl102"/>
    <w:basedOn w:val="Normal"/>
    <w:rsid w:val="00C10606"/>
    <w:pPr>
      <w:pBdr>
        <w:bottom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Calibri" w:eastAsia="Times New Roman" w:hAnsi="Calibri" w:cs="Calibri"/>
      <w:b/>
      <w:bCs/>
      <w:sz w:val="22"/>
      <w:lang w:eastAsia="nl-NL"/>
    </w:rPr>
  </w:style>
  <w:style w:type="paragraph" w:customStyle="1" w:styleId="xl103">
    <w:name w:val="xl103"/>
    <w:basedOn w:val="Normal"/>
    <w:rsid w:val="00C10606"/>
    <w:pPr>
      <w:pBdr>
        <w:top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Calibri" w:eastAsia="Times New Roman" w:hAnsi="Calibri" w:cs="Calibri"/>
      <w:b/>
      <w:bCs/>
      <w:sz w:val="22"/>
      <w:lang w:eastAsia="nl-NL"/>
    </w:rPr>
  </w:style>
  <w:style w:type="paragraph" w:customStyle="1" w:styleId="xl104">
    <w:name w:val="xl104"/>
    <w:basedOn w:val="Normal"/>
    <w:rsid w:val="00C10606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sz w:val="22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83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8F"/>
    <w:rPr>
      <w:rFonts w:ascii="Corbel" w:hAnsi="Corbe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78F"/>
    <w:rPr>
      <w:rFonts w:ascii="Corbel" w:hAnsi="Corbe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0073AA"/>
    <w:pPr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ABAF-34A2-45D9-9D2B-56DA09B0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2044</Words>
  <Characters>11656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GGD Amsterdam</Company>
  <LinksUpToDate>false</LinksUpToDate>
  <CharactersWithSpaces>13673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Alberts, Nienke</dc:creator>
  <cp:lastModifiedBy>Nienke Alberts</cp:lastModifiedBy>
  <cp:revision>3</cp:revision>
  <cp:lastPrinted>2015-09-29T09:52:00Z</cp:lastPrinted>
  <dcterms:created xsi:type="dcterms:W3CDTF">2016-04-02T20:26:00Z</dcterms:created>
  <dcterms:modified xsi:type="dcterms:W3CDTF">2016-04-02T20:27:00Z</dcterms:modified>
</cp:coreProperties>
</file>