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C6364" w14:textId="0A80B3B0" w:rsidR="00474A24" w:rsidRPr="00D81ACB" w:rsidRDefault="007965A0" w:rsidP="00D81ACB">
      <w:pPr>
        <w:pStyle w:val="Heading1"/>
        <w:spacing w:line="360" w:lineRule="auto"/>
        <w:rPr>
          <w:rStyle w:val="TitleChar"/>
          <w:sz w:val="36"/>
        </w:rPr>
      </w:pPr>
      <w:r w:rsidRPr="002E5BED">
        <w:fldChar w:fldCharType="begin"/>
      </w:r>
      <w:r w:rsidRPr="002E5BED">
        <w:instrText xml:space="preserve"> MACROBUTTON MTEditEquationSection2 </w:instrText>
      </w:r>
      <w:r w:rsidRPr="002E5BED">
        <w:fldChar w:fldCharType="begin"/>
      </w:r>
      <w:r w:rsidRPr="002E5BED">
        <w:instrText xml:space="preserve"> SEQ MTEqn \r \h \* MERGEFORMAT </w:instrText>
      </w:r>
      <w:r w:rsidRPr="002E5BED">
        <w:fldChar w:fldCharType="end"/>
      </w:r>
      <w:r w:rsidRPr="002E5BED">
        <w:fldChar w:fldCharType="begin"/>
      </w:r>
      <w:r w:rsidRPr="002E5BED">
        <w:instrText xml:space="preserve"> SEQ MTSec \r 1 \h \* MERGEFORMAT </w:instrText>
      </w:r>
      <w:r w:rsidRPr="002E5BED">
        <w:fldChar w:fldCharType="end"/>
      </w:r>
      <w:r w:rsidRPr="002E5BED">
        <w:fldChar w:fldCharType="begin"/>
      </w:r>
      <w:r w:rsidRPr="002E5BED">
        <w:instrText xml:space="preserve"> SEQ MTChap \r 1 \h \* MERGEFORMAT </w:instrText>
      </w:r>
      <w:r w:rsidRPr="002E5BED">
        <w:fldChar w:fldCharType="end"/>
      </w:r>
      <w:r w:rsidRPr="002E5BED">
        <w:fldChar w:fldCharType="end"/>
      </w:r>
      <w:r w:rsidR="00756A04" w:rsidRPr="00D81ACB">
        <w:rPr>
          <w:rStyle w:val="TitleChar"/>
          <w:sz w:val="36"/>
        </w:rPr>
        <w:t xml:space="preserve">Estimated </w:t>
      </w:r>
      <w:r w:rsidR="003E535B" w:rsidRPr="00D81ACB">
        <w:rPr>
          <w:rStyle w:val="TitleChar"/>
          <w:sz w:val="36"/>
        </w:rPr>
        <w:t>r</w:t>
      </w:r>
      <w:r w:rsidR="00756A04" w:rsidRPr="00D81ACB">
        <w:rPr>
          <w:rStyle w:val="TitleChar"/>
          <w:sz w:val="36"/>
        </w:rPr>
        <w:t xml:space="preserve">eductions </w:t>
      </w:r>
      <w:r w:rsidR="00474A24" w:rsidRPr="00D81ACB">
        <w:rPr>
          <w:rStyle w:val="TitleChar"/>
          <w:sz w:val="36"/>
        </w:rPr>
        <w:t>in</w:t>
      </w:r>
      <w:r w:rsidR="00756A04" w:rsidRPr="00D81ACB">
        <w:rPr>
          <w:rStyle w:val="TitleChar"/>
          <w:sz w:val="36"/>
        </w:rPr>
        <w:t xml:space="preserve"> </w:t>
      </w:r>
      <w:r w:rsidR="003E535B" w:rsidRPr="00D81ACB">
        <w:rPr>
          <w:rStyle w:val="TitleChar"/>
          <w:sz w:val="36"/>
        </w:rPr>
        <w:t>c</w:t>
      </w:r>
      <w:r w:rsidR="00756A04" w:rsidRPr="00D81ACB">
        <w:rPr>
          <w:rStyle w:val="TitleChar"/>
          <w:sz w:val="36"/>
        </w:rPr>
        <w:t xml:space="preserve">ardiovascular </w:t>
      </w:r>
      <w:r w:rsidR="005236C6" w:rsidRPr="00D81ACB">
        <w:rPr>
          <w:rStyle w:val="TitleChar"/>
          <w:sz w:val="36"/>
        </w:rPr>
        <w:t>and</w:t>
      </w:r>
      <w:r w:rsidR="00756A04" w:rsidRPr="00D81ACB">
        <w:rPr>
          <w:rStyle w:val="TitleChar"/>
          <w:sz w:val="36"/>
        </w:rPr>
        <w:t xml:space="preserve"> </w:t>
      </w:r>
      <w:r w:rsidR="003E535B" w:rsidRPr="00D81ACB">
        <w:rPr>
          <w:rStyle w:val="TitleChar"/>
          <w:sz w:val="36"/>
        </w:rPr>
        <w:t>g</w:t>
      </w:r>
      <w:r w:rsidR="00756A04" w:rsidRPr="00D81ACB">
        <w:rPr>
          <w:rStyle w:val="TitleChar"/>
          <w:sz w:val="36"/>
        </w:rPr>
        <w:t xml:space="preserve">astric </w:t>
      </w:r>
      <w:r w:rsidR="003E535B" w:rsidRPr="00D81ACB">
        <w:rPr>
          <w:rStyle w:val="TitleChar"/>
          <w:sz w:val="36"/>
        </w:rPr>
        <w:t>c</w:t>
      </w:r>
      <w:r w:rsidR="00756A04" w:rsidRPr="00D81ACB">
        <w:rPr>
          <w:rStyle w:val="TitleChar"/>
          <w:sz w:val="36"/>
        </w:rPr>
        <w:t xml:space="preserve">ancer </w:t>
      </w:r>
      <w:r w:rsidR="003E535B" w:rsidRPr="00D81ACB">
        <w:rPr>
          <w:rStyle w:val="TitleChar"/>
          <w:sz w:val="36"/>
        </w:rPr>
        <w:t>d</w:t>
      </w:r>
      <w:r w:rsidR="00756A04" w:rsidRPr="00D81ACB">
        <w:rPr>
          <w:rStyle w:val="TitleChar"/>
          <w:sz w:val="36"/>
        </w:rPr>
        <w:t xml:space="preserve">isease </w:t>
      </w:r>
      <w:r w:rsidR="003E535B" w:rsidRPr="00D81ACB">
        <w:rPr>
          <w:rStyle w:val="TitleChar"/>
          <w:sz w:val="36"/>
        </w:rPr>
        <w:t>b</w:t>
      </w:r>
      <w:r w:rsidR="00756A04" w:rsidRPr="00D81ACB">
        <w:rPr>
          <w:rStyle w:val="TitleChar"/>
          <w:sz w:val="36"/>
        </w:rPr>
        <w:t xml:space="preserve">urden </w:t>
      </w:r>
      <w:r w:rsidR="005236C6" w:rsidRPr="00D81ACB">
        <w:rPr>
          <w:rStyle w:val="TitleChar"/>
          <w:sz w:val="36"/>
        </w:rPr>
        <w:t>through</w:t>
      </w:r>
      <w:r w:rsidR="00756A04" w:rsidRPr="00D81ACB">
        <w:rPr>
          <w:rStyle w:val="TitleChar"/>
          <w:sz w:val="36"/>
        </w:rPr>
        <w:t xml:space="preserve"> </w:t>
      </w:r>
      <w:r w:rsidR="003E535B" w:rsidRPr="00D81ACB">
        <w:rPr>
          <w:rStyle w:val="TitleChar"/>
          <w:sz w:val="36"/>
        </w:rPr>
        <w:t>s</w:t>
      </w:r>
      <w:r w:rsidR="00756A04" w:rsidRPr="00D81ACB">
        <w:rPr>
          <w:rStyle w:val="TitleChar"/>
          <w:sz w:val="36"/>
        </w:rPr>
        <w:t xml:space="preserve">alt </w:t>
      </w:r>
      <w:r w:rsidR="003E535B" w:rsidRPr="00D81ACB">
        <w:rPr>
          <w:rStyle w:val="TitleChar"/>
          <w:sz w:val="36"/>
        </w:rPr>
        <w:t>p</w:t>
      </w:r>
      <w:r w:rsidR="00756A04" w:rsidRPr="00D81ACB">
        <w:rPr>
          <w:rStyle w:val="TitleChar"/>
          <w:sz w:val="36"/>
        </w:rPr>
        <w:t>olicies</w:t>
      </w:r>
      <w:r w:rsidR="00D45D15">
        <w:rPr>
          <w:rStyle w:val="TitleChar"/>
          <w:sz w:val="36"/>
        </w:rPr>
        <w:t xml:space="preserve"> in England</w:t>
      </w:r>
      <w:r w:rsidR="00756A04" w:rsidRPr="00D81ACB">
        <w:rPr>
          <w:rStyle w:val="TitleChar"/>
          <w:sz w:val="36"/>
        </w:rPr>
        <w:t xml:space="preserve">: an </w:t>
      </w:r>
      <w:r w:rsidR="00A02812" w:rsidRPr="00D81ACB">
        <w:rPr>
          <w:rStyle w:val="TitleChar"/>
          <w:sz w:val="36"/>
        </w:rPr>
        <w:t>IMPACT</w:t>
      </w:r>
      <w:r w:rsidR="00A02812" w:rsidRPr="00D81ACB">
        <w:rPr>
          <w:rStyle w:val="TitleChar"/>
          <w:sz w:val="36"/>
          <w:vertAlign w:val="subscript"/>
        </w:rPr>
        <w:t>NCD</w:t>
      </w:r>
      <w:r w:rsidR="00A02812" w:rsidRPr="00D81ACB">
        <w:rPr>
          <w:rStyle w:val="TitleChar"/>
          <w:sz w:val="36"/>
        </w:rPr>
        <w:t xml:space="preserve"> </w:t>
      </w:r>
      <w:r w:rsidR="003E535B" w:rsidRPr="00D81ACB">
        <w:rPr>
          <w:rStyle w:val="TitleChar"/>
          <w:sz w:val="36"/>
        </w:rPr>
        <w:t>m</w:t>
      </w:r>
      <w:r w:rsidR="00756A04" w:rsidRPr="00D81ACB">
        <w:rPr>
          <w:rStyle w:val="TitleChar"/>
          <w:sz w:val="36"/>
        </w:rPr>
        <w:t xml:space="preserve">icrosimulation </w:t>
      </w:r>
      <w:r w:rsidR="003E535B" w:rsidRPr="00D81ACB">
        <w:rPr>
          <w:rStyle w:val="TitleChar"/>
          <w:sz w:val="36"/>
        </w:rPr>
        <w:t>s</w:t>
      </w:r>
      <w:r w:rsidR="00756A04" w:rsidRPr="00D81ACB">
        <w:rPr>
          <w:rStyle w:val="TitleChar"/>
          <w:sz w:val="36"/>
        </w:rPr>
        <w:t>tudy</w:t>
      </w:r>
    </w:p>
    <w:p w14:paraId="2A0B1061" w14:textId="77777777" w:rsidR="00C57572" w:rsidRDefault="00C57572" w:rsidP="00AC0B1E"/>
    <w:p w14:paraId="214EF201" w14:textId="3470933E" w:rsidR="00277890" w:rsidRPr="004E5FE2" w:rsidRDefault="00277890" w:rsidP="00277890">
      <w:r w:rsidRPr="004E5FE2">
        <w:t>Chris Kypridemos</w:t>
      </w:r>
      <w:r w:rsidRPr="004312C1">
        <w:rPr>
          <w:vertAlign w:val="superscript"/>
        </w:rPr>
        <w:t>1</w:t>
      </w:r>
      <w:r w:rsidRPr="004E5FE2">
        <w:t>, Maria Guzman-Castillo</w:t>
      </w:r>
      <w:r w:rsidRPr="004312C1">
        <w:rPr>
          <w:vertAlign w:val="superscript"/>
        </w:rPr>
        <w:t>1</w:t>
      </w:r>
      <w:r w:rsidRPr="004E5FE2">
        <w:t>, Lirije Hyseni</w:t>
      </w:r>
      <w:r w:rsidRPr="004312C1">
        <w:rPr>
          <w:vertAlign w:val="superscript"/>
        </w:rPr>
        <w:t>1</w:t>
      </w:r>
      <w:r w:rsidRPr="004E5FE2">
        <w:t xml:space="preserve">, </w:t>
      </w:r>
      <w:r>
        <w:t>Graeme L. Hickey</w:t>
      </w:r>
      <w:r w:rsidRPr="004312C1">
        <w:rPr>
          <w:vertAlign w:val="superscript"/>
        </w:rPr>
        <w:t>2</w:t>
      </w:r>
      <w:r>
        <w:t xml:space="preserve">, </w:t>
      </w:r>
      <w:r w:rsidRPr="004E5FE2">
        <w:t>Piotr Bandosz</w:t>
      </w:r>
      <w:r w:rsidRPr="00277890">
        <w:rPr>
          <w:vertAlign w:val="superscript"/>
        </w:rPr>
        <w:t>1,</w:t>
      </w:r>
      <w:r w:rsidRPr="004312C1">
        <w:rPr>
          <w:vertAlign w:val="superscript"/>
        </w:rPr>
        <w:t>3</w:t>
      </w:r>
      <w:r w:rsidRPr="004E5FE2">
        <w:t>, Iain Buchan</w:t>
      </w:r>
      <w:r w:rsidRPr="004312C1">
        <w:rPr>
          <w:vertAlign w:val="superscript"/>
        </w:rPr>
        <w:t>4</w:t>
      </w:r>
      <w:r w:rsidRPr="004E5FE2">
        <w:t>, Simon Capewell</w:t>
      </w:r>
      <w:r w:rsidRPr="004312C1">
        <w:rPr>
          <w:vertAlign w:val="superscript"/>
        </w:rPr>
        <w:t>1</w:t>
      </w:r>
      <w:r w:rsidRPr="004E5FE2">
        <w:t>, Martin O’Flaherty</w:t>
      </w:r>
      <w:r w:rsidRPr="004312C1">
        <w:rPr>
          <w:vertAlign w:val="superscript"/>
        </w:rPr>
        <w:t>1</w:t>
      </w:r>
    </w:p>
    <w:p w14:paraId="6CA6C556" w14:textId="77777777" w:rsidR="00277890" w:rsidRPr="004E5FE2" w:rsidRDefault="00277890" w:rsidP="00277890"/>
    <w:p w14:paraId="54ED5E31" w14:textId="77777777" w:rsidR="00277890" w:rsidRDefault="00277890" w:rsidP="00277890">
      <w:pPr>
        <w:pStyle w:val="ListParagraph"/>
        <w:numPr>
          <w:ilvl w:val="0"/>
          <w:numId w:val="26"/>
        </w:numPr>
      </w:pPr>
      <w:r w:rsidRPr="004E5FE2">
        <w:t>Department of Public Health and Policy, Universi</w:t>
      </w:r>
      <w:r>
        <w:t xml:space="preserve">ty of Liverpool, Liverpool, UK </w:t>
      </w:r>
    </w:p>
    <w:p w14:paraId="314351A6" w14:textId="77777777" w:rsidR="00277890" w:rsidRDefault="00277890" w:rsidP="00277890">
      <w:pPr>
        <w:pStyle w:val="ListParagraph"/>
        <w:numPr>
          <w:ilvl w:val="0"/>
          <w:numId w:val="26"/>
        </w:numPr>
      </w:pPr>
      <w:r>
        <w:t xml:space="preserve">Department of Biostatistics, </w:t>
      </w:r>
      <w:r w:rsidRPr="004E5FE2">
        <w:t xml:space="preserve">University of Liverpool, Liverpool, UK </w:t>
      </w:r>
    </w:p>
    <w:p w14:paraId="7EA00A98" w14:textId="39BFCEF5" w:rsidR="00277890" w:rsidRDefault="00277890" w:rsidP="00277890">
      <w:pPr>
        <w:pStyle w:val="ListParagraph"/>
        <w:numPr>
          <w:ilvl w:val="0"/>
          <w:numId w:val="26"/>
        </w:numPr>
      </w:pPr>
      <w:r w:rsidRPr="00277890">
        <w:t>Department of Prevention and Medical Education, Medical University of Gdansk</w:t>
      </w:r>
      <w:r w:rsidRPr="004E5FE2">
        <w:t xml:space="preserve">, Gdansk, Poland </w:t>
      </w:r>
    </w:p>
    <w:p w14:paraId="5CC35963" w14:textId="77277359" w:rsidR="00277890" w:rsidRPr="004E5FE2" w:rsidRDefault="00277890" w:rsidP="00277890">
      <w:pPr>
        <w:pStyle w:val="ListParagraph"/>
        <w:numPr>
          <w:ilvl w:val="0"/>
          <w:numId w:val="26"/>
        </w:numPr>
      </w:pPr>
      <w:r w:rsidRPr="004E5FE2">
        <w:t xml:space="preserve">Farr Institute @ </w:t>
      </w:r>
      <w:r w:rsidRPr="00566088">
        <w:rPr>
          <w:noProof/>
        </w:rPr>
        <w:t>HeRC</w:t>
      </w:r>
      <w:r w:rsidRPr="004E5FE2">
        <w:t>, University of Manchester, Manchester</w:t>
      </w:r>
      <w:r>
        <w:t>, UK</w:t>
      </w:r>
    </w:p>
    <w:p w14:paraId="32EF3419" w14:textId="77777777" w:rsidR="004E5FE2" w:rsidRDefault="004E5FE2" w:rsidP="00AC0B1E"/>
    <w:p w14:paraId="1DAE737C" w14:textId="77777777" w:rsidR="004E5FE2" w:rsidRPr="006B5721" w:rsidRDefault="004E5FE2" w:rsidP="00AC0B1E">
      <w:r w:rsidRPr="006B5721">
        <w:t>Correspondence to:</w:t>
      </w:r>
    </w:p>
    <w:p w14:paraId="7F7ABFF2" w14:textId="4E211C39" w:rsidR="004E5FE2" w:rsidRPr="006B5721" w:rsidRDefault="004E5FE2" w:rsidP="00AC0B1E">
      <w:r w:rsidRPr="004E5FE2">
        <w:t>Dr</w:t>
      </w:r>
      <w:r>
        <w:rPr>
          <w:b/>
          <w:color w:val="FF0000"/>
        </w:rPr>
        <w:t xml:space="preserve"> </w:t>
      </w:r>
      <w:r w:rsidRPr="006E7CB1">
        <w:t>Chris Kypridemos, Department of Public Health and Policy, Institute of Psychology, Health and Society, Whelan Building, Quadrangle</w:t>
      </w:r>
      <w:r w:rsidRPr="00725405">
        <w:t xml:space="preserve">, </w:t>
      </w:r>
      <w:r w:rsidRPr="00B61881">
        <w:t>University of Liverpool</w:t>
      </w:r>
      <w:r w:rsidRPr="006B5721">
        <w:t>, Liverpool L69 3GB, UK</w:t>
      </w:r>
    </w:p>
    <w:p w14:paraId="232292AA" w14:textId="77777777" w:rsidR="004E5FE2" w:rsidRPr="006B5721" w:rsidRDefault="00A532AE" w:rsidP="00AC0B1E">
      <w:hyperlink r:id="rId8" w:history="1">
        <w:r w:rsidR="00A02812" w:rsidRPr="00FC0CAB">
          <w:rPr>
            <w:rStyle w:val="Hyperlink"/>
          </w:rPr>
          <w:t>ckyprid@liverpool.ac.uk</w:t>
        </w:r>
      </w:hyperlink>
    </w:p>
    <w:p w14:paraId="00613F08" w14:textId="77777777" w:rsidR="004E5FE2" w:rsidRPr="00CA2E4A" w:rsidRDefault="004E5FE2" w:rsidP="00724E26">
      <w:pPr>
        <w:pStyle w:val="NoSpacing"/>
        <w:spacing w:line="480" w:lineRule="auto"/>
        <w:rPr>
          <w:sz w:val="22"/>
        </w:rPr>
      </w:pPr>
    </w:p>
    <w:p w14:paraId="2DBBBD05" w14:textId="35B69472" w:rsidR="00A36ECB" w:rsidRPr="00CA2E4A" w:rsidRDefault="00614C8F" w:rsidP="00724E26">
      <w:pPr>
        <w:pStyle w:val="NoSpacing"/>
        <w:spacing w:line="480" w:lineRule="auto"/>
        <w:rPr>
          <w:sz w:val="22"/>
        </w:rPr>
      </w:pPr>
      <w:r w:rsidRPr="00CA2E4A">
        <w:rPr>
          <w:b/>
          <w:sz w:val="22"/>
        </w:rPr>
        <w:t>Keywords</w:t>
      </w:r>
      <w:r w:rsidR="003A386A" w:rsidRPr="00CA2E4A">
        <w:rPr>
          <w:b/>
          <w:sz w:val="22"/>
        </w:rPr>
        <w:t>:</w:t>
      </w:r>
      <w:r w:rsidR="003A386A" w:rsidRPr="00CA2E4A">
        <w:rPr>
          <w:sz w:val="22"/>
        </w:rPr>
        <w:t xml:space="preserve"> </w:t>
      </w:r>
      <w:r w:rsidR="00544C27">
        <w:rPr>
          <w:sz w:val="22"/>
        </w:rPr>
        <w:t>Salt</w:t>
      </w:r>
      <w:r w:rsidR="00544C27" w:rsidRPr="00CA2E4A">
        <w:rPr>
          <w:sz w:val="22"/>
        </w:rPr>
        <w:t>,</w:t>
      </w:r>
      <w:r w:rsidR="00544C27">
        <w:rPr>
          <w:sz w:val="22"/>
        </w:rPr>
        <w:t xml:space="preserve"> </w:t>
      </w:r>
      <w:r w:rsidR="00A36ECB" w:rsidRPr="00CA2E4A">
        <w:rPr>
          <w:sz w:val="22"/>
        </w:rPr>
        <w:t xml:space="preserve">Cardiovascular disease, </w:t>
      </w:r>
      <w:r w:rsidR="00544C27">
        <w:rPr>
          <w:sz w:val="22"/>
        </w:rPr>
        <w:t>Gastric cancer</w:t>
      </w:r>
      <w:r w:rsidR="0091350A">
        <w:rPr>
          <w:sz w:val="22"/>
        </w:rPr>
        <w:t>,</w:t>
      </w:r>
      <w:r w:rsidR="00A36ECB" w:rsidRPr="00CA2E4A">
        <w:rPr>
          <w:sz w:val="22"/>
        </w:rPr>
        <w:t xml:space="preserve"> Public health policy, Microsimulation</w:t>
      </w:r>
    </w:p>
    <w:p w14:paraId="164F3B9E" w14:textId="77777777" w:rsidR="00AA3C26" w:rsidRPr="00735737" w:rsidRDefault="00AA3C26" w:rsidP="00724E26">
      <w:pPr>
        <w:pStyle w:val="NoSpacing"/>
        <w:spacing w:line="480" w:lineRule="auto"/>
        <w:rPr>
          <w:b/>
          <w:sz w:val="22"/>
        </w:rPr>
      </w:pPr>
    </w:p>
    <w:p w14:paraId="11633CD0" w14:textId="6E6CBF9F" w:rsidR="00735737" w:rsidRPr="00735737" w:rsidRDefault="00735737" w:rsidP="00724E26">
      <w:pPr>
        <w:pStyle w:val="NoSpacing"/>
        <w:spacing w:line="480" w:lineRule="auto"/>
        <w:rPr>
          <w:b/>
          <w:sz w:val="22"/>
        </w:rPr>
      </w:pPr>
      <w:r w:rsidRPr="00735737">
        <w:rPr>
          <w:b/>
          <w:sz w:val="22"/>
        </w:rPr>
        <w:t>Abstract word count</w:t>
      </w:r>
      <w:r>
        <w:rPr>
          <w:b/>
          <w:sz w:val="22"/>
        </w:rPr>
        <w:t xml:space="preserve">: </w:t>
      </w:r>
      <w:r w:rsidR="005F02C6">
        <w:rPr>
          <w:sz w:val="22"/>
        </w:rPr>
        <w:t>313</w:t>
      </w:r>
    </w:p>
    <w:p w14:paraId="010EC0E8" w14:textId="61831236" w:rsidR="0042565F" w:rsidRPr="00CA2E4A" w:rsidRDefault="00EB1E33" w:rsidP="00E508B9">
      <w:pPr>
        <w:pStyle w:val="NoSpacing"/>
        <w:spacing w:line="480" w:lineRule="auto"/>
      </w:pPr>
      <w:r w:rsidRPr="00CA2E4A">
        <w:rPr>
          <w:b/>
        </w:rPr>
        <w:t>W</w:t>
      </w:r>
      <w:r w:rsidRPr="00CA2E4A">
        <w:rPr>
          <w:b/>
          <w:sz w:val="22"/>
        </w:rPr>
        <w:t>ord count (excluding title page, abstract, references, figures and tables):</w:t>
      </w:r>
      <w:r w:rsidRPr="00CA2E4A">
        <w:t xml:space="preserve"> </w:t>
      </w:r>
      <w:r w:rsidR="00C74132">
        <w:t>34</w:t>
      </w:r>
      <w:r w:rsidR="0028778E">
        <w:t>5</w:t>
      </w:r>
      <w:r w:rsidR="00C74132">
        <w:t>0</w:t>
      </w:r>
      <w:r w:rsidR="0042565F" w:rsidRPr="00CA2E4A">
        <w:br w:type="page"/>
      </w:r>
    </w:p>
    <w:p w14:paraId="404B4279" w14:textId="77777777" w:rsidR="00744801" w:rsidRPr="00F34CDA" w:rsidRDefault="00744801" w:rsidP="00F34CDA">
      <w:pPr>
        <w:pStyle w:val="Heading1"/>
      </w:pPr>
      <w:r w:rsidRPr="00F34CDA">
        <w:lastRenderedPageBreak/>
        <w:t>Abstract</w:t>
      </w:r>
    </w:p>
    <w:p w14:paraId="67D8D824" w14:textId="77777777" w:rsidR="005F02C6" w:rsidRPr="00F34CDA" w:rsidRDefault="005F02C6" w:rsidP="00FA5682">
      <w:pPr>
        <w:pStyle w:val="Heading2"/>
      </w:pPr>
      <w:r w:rsidRPr="00F34CDA">
        <w:t>Objective</w:t>
      </w:r>
    </w:p>
    <w:p w14:paraId="04E8CDD9" w14:textId="77777777" w:rsidR="005F02C6" w:rsidRPr="00F34CDA" w:rsidRDefault="005F02C6" w:rsidP="00FA5682">
      <w:pPr>
        <w:spacing w:line="276" w:lineRule="auto"/>
        <w:rPr>
          <w:b/>
        </w:rPr>
      </w:pPr>
      <w:r w:rsidRPr="00F34CDA">
        <w:t>To estimate the impact and equity of existing and potential United Kingdom salt reduction policies on primary prevention of cardiovascular disease and gastric cancer in England.</w:t>
      </w:r>
    </w:p>
    <w:p w14:paraId="722DBF77" w14:textId="77777777" w:rsidR="005F02C6" w:rsidRPr="00F34CDA" w:rsidRDefault="005F02C6" w:rsidP="00FA5682">
      <w:pPr>
        <w:pStyle w:val="Heading2"/>
      </w:pPr>
      <w:r w:rsidRPr="00F34CDA">
        <w:t>Design</w:t>
      </w:r>
    </w:p>
    <w:p w14:paraId="60173CED" w14:textId="77777777" w:rsidR="005F02C6" w:rsidRPr="00F34CDA" w:rsidRDefault="005F02C6" w:rsidP="00FA5682">
      <w:pPr>
        <w:spacing w:line="276" w:lineRule="auto"/>
      </w:pPr>
      <w:r w:rsidRPr="00F34CDA">
        <w:t>A microsimulation study of a close-to-reality synthetic population. In the first period, 2003-2015, we compared the impact of current policy against a counterfactual ‘no intervention’ scenario, which assumed salt consumption pe</w:t>
      </w:r>
      <w:r>
        <w:t>rsisted at 2003 levels. For 2016–2030</w:t>
      </w:r>
      <w:r w:rsidRPr="00F34CDA">
        <w:t>, we assumed additional legislative policies</w:t>
      </w:r>
      <w:r>
        <w:t xml:space="preserve"> could achieve</w:t>
      </w:r>
      <w:r w:rsidRPr="00F34CDA">
        <w:t xml:space="preserve"> a steeper salt decline and we compare</w:t>
      </w:r>
      <w:r>
        <w:t>d</w:t>
      </w:r>
      <w:r w:rsidRPr="00F34CDA">
        <w:t xml:space="preserve"> this against the counterfactual scenario that the downward trend in salt consumption observed between 2001 and 2011 would continue up to 20</w:t>
      </w:r>
      <w:r>
        <w:t>30</w:t>
      </w:r>
      <w:r w:rsidRPr="00F34CDA">
        <w:t>.</w:t>
      </w:r>
    </w:p>
    <w:p w14:paraId="7689444F" w14:textId="77777777" w:rsidR="005F02C6" w:rsidRPr="00F34CDA" w:rsidRDefault="005F02C6" w:rsidP="00FA5682">
      <w:pPr>
        <w:pStyle w:val="Heading2"/>
      </w:pPr>
      <w:r w:rsidRPr="00F34CDA">
        <w:t>Setting</w:t>
      </w:r>
    </w:p>
    <w:p w14:paraId="0B0E8057" w14:textId="77777777" w:rsidR="005F02C6" w:rsidRPr="00F34CDA" w:rsidRDefault="005F02C6" w:rsidP="00FA5682">
      <w:pPr>
        <w:spacing w:line="276" w:lineRule="auto"/>
      </w:pPr>
      <w:r w:rsidRPr="00F34CDA">
        <w:t>Synthetic population with similar characteristics to the non-institutionalised population of England.</w:t>
      </w:r>
    </w:p>
    <w:p w14:paraId="465E43F9" w14:textId="77777777" w:rsidR="005F02C6" w:rsidRPr="00F34CDA" w:rsidRDefault="005F02C6" w:rsidP="00FA5682">
      <w:pPr>
        <w:pStyle w:val="Heading2"/>
      </w:pPr>
      <w:r w:rsidRPr="00F34CDA">
        <w:t>Participants</w:t>
      </w:r>
    </w:p>
    <w:p w14:paraId="29629468" w14:textId="77777777" w:rsidR="005F02C6" w:rsidRPr="00F34CDA" w:rsidRDefault="005F02C6" w:rsidP="00FA5682">
      <w:pPr>
        <w:spacing w:line="276" w:lineRule="auto"/>
      </w:pPr>
      <w:r w:rsidRPr="00F34CDA">
        <w:t>Synthetic individuals with traits informed by the Health Survey for England.</w:t>
      </w:r>
    </w:p>
    <w:p w14:paraId="45E4114E" w14:textId="77777777" w:rsidR="005F02C6" w:rsidRPr="00FA5682" w:rsidRDefault="005F02C6" w:rsidP="00FA5682">
      <w:pPr>
        <w:pStyle w:val="Heading2"/>
        <w:rPr>
          <w:rFonts w:cstheme="minorHAnsi"/>
        </w:rPr>
      </w:pPr>
      <w:r w:rsidRPr="00FA5682">
        <w:rPr>
          <w:rFonts w:cstheme="minorHAnsi"/>
        </w:rPr>
        <w:t>Main measure</w:t>
      </w:r>
    </w:p>
    <w:p w14:paraId="5978A7AA" w14:textId="77777777" w:rsidR="005F02C6" w:rsidRPr="00FA5682" w:rsidRDefault="005F02C6" w:rsidP="00FA5682">
      <w:pPr>
        <w:spacing w:line="276" w:lineRule="auto"/>
        <w:rPr>
          <w:rFonts w:cstheme="minorHAnsi"/>
          <w:sz w:val="24"/>
          <w:szCs w:val="24"/>
          <w:lang w:val="en-US"/>
        </w:rPr>
      </w:pPr>
      <w:r w:rsidRPr="00FA5682">
        <w:rPr>
          <w:rFonts w:cstheme="minorHAnsi"/>
        </w:rPr>
        <w:t xml:space="preserve">Cardiovascular disease and gastric cancer cases and deaths prevented or postponed, </w:t>
      </w:r>
      <w:r w:rsidRPr="00FA5682">
        <w:rPr>
          <w:rFonts w:cstheme="minorHAnsi"/>
          <w:sz w:val="24"/>
          <w:szCs w:val="24"/>
          <w:lang w:val="en-US"/>
        </w:rPr>
        <w:t xml:space="preserve">stratified by fifths of socioeconomic status using the index of multiple </w:t>
      </w:r>
      <w:r w:rsidRPr="00566088">
        <w:rPr>
          <w:rFonts w:cstheme="minorHAnsi"/>
          <w:noProof/>
          <w:sz w:val="24"/>
          <w:szCs w:val="24"/>
          <w:lang w:val="en-US"/>
        </w:rPr>
        <w:t>deprivation</w:t>
      </w:r>
      <w:r w:rsidRPr="00FA5682">
        <w:rPr>
          <w:rFonts w:cstheme="minorHAnsi"/>
          <w:sz w:val="24"/>
          <w:szCs w:val="24"/>
          <w:lang w:val="en-US"/>
        </w:rPr>
        <w:t>.</w:t>
      </w:r>
    </w:p>
    <w:p w14:paraId="0C840570" w14:textId="3C4278FC" w:rsidR="00E21618" w:rsidRPr="00D75E27" w:rsidRDefault="0091350A" w:rsidP="00FA5682">
      <w:pPr>
        <w:pStyle w:val="Heading2"/>
      </w:pPr>
      <w:r>
        <w:t>Results</w:t>
      </w:r>
    </w:p>
    <w:p w14:paraId="3FD149B8" w14:textId="09EEB69E" w:rsidR="00E21618" w:rsidRDefault="00E21618" w:rsidP="00FA5682">
      <w:pPr>
        <w:spacing w:line="276" w:lineRule="auto"/>
      </w:pPr>
      <w:r w:rsidRPr="00430FEB">
        <w:t xml:space="preserve">Since 2003, current </w:t>
      </w:r>
      <w:r>
        <w:t xml:space="preserve">salt </w:t>
      </w:r>
      <w:r w:rsidRPr="00430FEB">
        <w:t>polic</w:t>
      </w:r>
      <w:r>
        <w:t>ies have</w:t>
      </w:r>
      <w:r w:rsidRPr="00430FEB">
        <w:t xml:space="preserve"> prevented or postponed approximately </w:t>
      </w:r>
      <w:r>
        <w:t>5</w:t>
      </w:r>
      <w:r w:rsidR="00F51216">
        <w:t>2</w:t>
      </w:r>
      <w:r>
        <w:t xml:space="preserve">,000 CVD cases </w:t>
      </w:r>
      <w:r w:rsidR="001A61CC">
        <w:t>(i</w:t>
      </w:r>
      <w:r w:rsidR="0089711D">
        <w:t>nterquartile range (IQR):</w:t>
      </w:r>
      <w:r w:rsidR="003D4A53">
        <w:t xml:space="preserve"> </w:t>
      </w:r>
      <w:r w:rsidR="001A61CC">
        <w:t>34,000 to 76,000</w:t>
      </w:r>
      <w:r w:rsidR="0089711D">
        <w:t xml:space="preserve">) </w:t>
      </w:r>
      <w:r>
        <w:t>and 1</w:t>
      </w:r>
      <w:r w:rsidR="00F51216">
        <w:t>0</w:t>
      </w:r>
      <w:r>
        <w:t>,000 CVD deaths</w:t>
      </w:r>
      <w:r w:rsidR="001A61CC">
        <w:t xml:space="preserve"> (IQR: 3,000 to 17,000)</w:t>
      </w:r>
      <w:r>
        <w:t>. In addition, the current policies have prevented a</w:t>
      </w:r>
      <w:r w:rsidR="001A61CC">
        <w:t>pproximately</w:t>
      </w:r>
      <w:r>
        <w:t xml:space="preserve"> </w:t>
      </w:r>
      <w:r w:rsidR="00F51216">
        <w:t>5</w:t>
      </w:r>
      <w:r>
        <w:t xml:space="preserve">,000 new cases of </w:t>
      </w:r>
      <w:r w:rsidR="008F124C">
        <w:t>GCa</w:t>
      </w:r>
      <w:r w:rsidR="001A61CC">
        <w:t xml:space="preserve"> </w:t>
      </w:r>
      <w:r w:rsidR="002B233C">
        <w:t>(IQR: 2,000 to 7,000)</w:t>
      </w:r>
      <w:r>
        <w:t xml:space="preserve"> resulting in </w:t>
      </w:r>
      <w:r w:rsidR="002B233C">
        <w:t xml:space="preserve">about </w:t>
      </w:r>
      <w:r w:rsidR="00F51216">
        <w:t>2</w:t>
      </w:r>
      <w:r>
        <w:t>,000 fewer deaths</w:t>
      </w:r>
      <w:r w:rsidR="002B233C">
        <w:t xml:space="preserve"> (IQR: 0 to 4,000)</w:t>
      </w:r>
      <w:r>
        <w:t>.</w:t>
      </w:r>
      <w:r w:rsidRPr="00430FEB">
        <w:t xml:space="preserve"> Th</w:t>
      </w:r>
      <w:r>
        <w:t xml:space="preserve">is policy </w:t>
      </w:r>
      <w:r w:rsidR="00F51216">
        <w:t>did</w:t>
      </w:r>
      <w:r>
        <w:t xml:space="preserve"> no</w:t>
      </w:r>
      <w:r w:rsidR="00F51216">
        <w:t>t</w:t>
      </w:r>
      <w:r w:rsidRPr="00430FEB">
        <w:t xml:space="preserve"> </w:t>
      </w:r>
      <w:r w:rsidR="00F51216">
        <w:t>reduce</w:t>
      </w:r>
      <w:r w:rsidRPr="00430FEB">
        <w:t xml:space="preserve"> socioeconomic inequali</w:t>
      </w:r>
      <w:r>
        <w:t>ties in CVD</w:t>
      </w:r>
      <w:r w:rsidR="00F51216">
        <w:t>,</w:t>
      </w:r>
      <w:r>
        <w:t xml:space="preserve"> </w:t>
      </w:r>
      <w:r w:rsidR="00F51216">
        <w:t>and likely</w:t>
      </w:r>
      <w:r w:rsidRPr="00430FEB">
        <w:t xml:space="preserve"> increased inequalities in gastric cancer.</w:t>
      </w:r>
    </w:p>
    <w:p w14:paraId="5B05DBE1" w14:textId="2936C69D" w:rsidR="00E21618" w:rsidRDefault="00E21618" w:rsidP="00FA5682">
      <w:pPr>
        <w:spacing w:line="276" w:lineRule="auto"/>
      </w:pPr>
      <w:r w:rsidRPr="00430FEB">
        <w:t>Additional legislative policies from 201</w:t>
      </w:r>
      <w:r w:rsidR="00FD1D66">
        <w:t>6</w:t>
      </w:r>
      <w:r w:rsidRPr="00430FEB">
        <w:t xml:space="preserve"> could further prevent or postpone approximately </w:t>
      </w:r>
      <w:r>
        <w:t>1</w:t>
      </w:r>
      <w:r w:rsidR="00FD1D66">
        <w:t>9</w:t>
      </w:r>
      <w:r>
        <w:t>,</w:t>
      </w:r>
      <w:r w:rsidRPr="00430FEB">
        <w:t xml:space="preserve">000 </w:t>
      </w:r>
      <w:r>
        <w:t xml:space="preserve">CVD </w:t>
      </w:r>
      <w:r w:rsidRPr="00430FEB">
        <w:t>cases</w:t>
      </w:r>
      <w:r w:rsidR="00D86668">
        <w:t xml:space="preserve"> (IQR: 8,000 to 30,000)</w:t>
      </w:r>
      <w:r w:rsidRPr="00430FEB">
        <w:t xml:space="preserve"> and </w:t>
      </w:r>
      <w:r w:rsidR="001E45B8">
        <w:t>3</w:t>
      </w:r>
      <w:r>
        <w:t>,</w:t>
      </w:r>
      <w:r w:rsidR="001E45B8">
        <w:t>6</w:t>
      </w:r>
      <w:r w:rsidRPr="00430FEB">
        <w:t>00 deaths</w:t>
      </w:r>
      <w:r>
        <w:t xml:space="preserve"> by </w:t>
      </w:r>
      <w:r w:rsidR="009F48AD">
        <w:t>2030</w:t>
      </w:r>
      <w:r w:rsidR="00D86668">
        <w:t xml:space="preserve"> (IQR:</w:t>
      </w:r>
      <w:r w:rsidR="00870D36">
        <w:t xml:space="preserve"> -400 to </w:t>
      </w:r>
      <w:r w:rsidR="00870D36" w:rsidRPr="00566088">
        <w:rPr>
          <w:noProof/>
        </w:rPr>
        <w:t>8,100</w:t>
      </w:r>
      <w:r w:rsidR="00D86668" w:rsidRPr="00566088">
        <w:rPr>
          <w:noProof/>
        </w:rPr>
        <w:t>)</w:t>
      </w:r>
      <w:r>
        <w:t xml:space="preserve"> </w:t>
      </w:r>
      <w:r w:rsidR="00DC4B8C">
        <w:t>and</w:t>
      </w:r>
      <w:r w:rsidRPr="00430FEB">
        <w:t xml:space="preserve"> </w:t>
      </w:r>
      <w:r w:rsidR="00DC4B8C">
        <w:t>may reduce</w:t>
      </w:r>
      <w:r w:rsidRPr="00430FEB">
        <w:t xml:space="preserve"> inequalities</w:t>
      </w:r>
      <w:r>
        <w:t xml:space="preserve">. </w:t>
      </w:r>
      <w:r w:rsidR="0005222F">
        <w:t>Similarly,</w:t>
      </w:r>
      <w:r>
        <w:t xml:space="preserve"> for </w:t>
      </w:r>
      <w:r w:rsidR="008F124C">
        <w:t>GCa</w:t>
      </w:r>
      <w:r>
        <w:t xml:space="preserve"> </w:t>
      </w:r>
      <w:r w:rsidR="001E45B8">
        <w:t>1</w:t>
      </w:r>
      <w:r>
        <w:t>,</w:t>
      </w:r>
      <w:r w:rsidR="001E45B8">
        <w:t>2</w:t>
      </w:r>
      <w:r>
        <w:t xml:space="preserve">00 cases </w:t>
      </w:r>
      <w:r w:rsidR="00870D36">
        <w:t xml:space="preserve">(IQR: -200 to 3,000) </w:t>
      </w:r>
      <w:r>
        <w:t xml:space="preserve">and </w:t>
      </w:r>
      <w:r w:rsidR="001E45B8">
        <w:t>7</w:t>
      </w:r>
      <w:r>
        <w:t>00 deaths</w:t>
      </w:r>
      <w:r w:rsidR="00870D36">
        <w:t xml:space="preserve"> (IQR: </w:t>
      </w:r>
      <w:r w:rsidR="00720F60">
        <w:t>-900 to 2,300</w:t>
      </w:r>
      <w:r w:rsidR="00870D36">
        <w:t>)</w:t>
      </w:r>
      <w:r>
        <w:t xml:space="preserve"> could be prevented or postponed with</w:t>
      </w:r>
      <w:r w:rsidR="00566088">
        <w:t xml:space="preserve"> a</w:t>
      </w:r>
      <w:r>
        <w:t xml:space="preserve"> </w:t>
      </w:r>
      <w:r w:rsidRPr="00566088">
        <w:rPr>
          <w:noProof/>
        </w:rPr>
        <w:t>neutral</w:t>
      </w:r>
      <w:r>
        <w:t xml:space="preserve"> impact on inequalities.</w:t>
      </w:r>
    </w:p>
    <w:p w14:paraId="0AD11DE2" w14:textId="77777777" w:rsidR="00E21618" w:rsidRPr="00FA5682" w:rsidRDefault="00E21618" w:rsidP="00FA5682">
      <w:pPr>
        <w:pStyle w:val="Heading2"/>
      </w:pPr>
      <w:r w:rsidRPr="00FA5682">
        <w:t>Conclusions</w:t>
      </w:r>
    </w:p>
    <w:p w14:paraId="5920F305" w14:textId="77777777" w:rsidR="005F02C6" w:rsidRDefault="005F02C6" w:rsidP="00FA5682">
      <w:pPr>
        <w:spacing w:line="276" w:lineRule="auto"/>
        <w:rPr>
          <w:shd w:val="clear" w:color="auto" w:fill="FFFFFF"/>
        </w:rPr>
      </w:pPr>
      <w:r w:rsidRPr="00DF4122">
        <w:rPr>
          <w:shd w:val="clear" w:color="auto" w:fill="FFFFFF"/>
        </w:rPr>
        <w:t>Current salt reduction policies are powerfully effective in reducing the cardiovascular and gastric cancer disease burdens overall but fail to reduce the inequalities involved. Additional structural policies could achieve further, more equitable health benefits.</w:t>
      </w:r>
    </w:p>
    <w:p w14:paraId="79F98FFA" w14:textId="5913B439" w:rsidR="007B5AC6" w:rsidRDefault="00744801" w:rsidP="002D2E57">
      <w:pPr>
        <w:pStyle w:val="Heading1"/>
      </w:pPr>
      <w:r>
        <w:br w:type="page"/>
      </w:r>
    </w:p>
    <w:p w14:paraId="2C54194A" w14:textId="77777777" w:rsidR="00C07B67" w:rsidRDefault="00C07B67" w:rsidP="00C07B67">
      <w:pPr>
        <w:pStyle w:val="Heading1"/>
      </w:pPr>
      <w:r>
        <w:lastRenderedPageBreak/>
        <w:t>Strengths and limitations</w:t>
      </w:r>
    </w:p>
    <w:p w14:paraId="315AFDB5" w14:textId="77777777" w:rsidR="00C07B67" w:rsidRDefault="00C07B67" w:rsidP="00C07B67">
      <w:pPr>
        <w:pStyle w:val="ListParagraph"/>
        <w:numPr>
          <w:ilvl w:val="0"/>
          <w:numId w:val="31"/>
        </w:numPr>
        <w:rPr>
          <w:lang w:eastAsia="en-GB"/>
        </w:rPr>
      </w:pPr>
      <w:r>
        <w:t>Our study uses a technically advanced dynamic microsimulation model that synthesises information from the best available sources of information on population exposures to salt, and other non-communicable disease related risk factor.</w:t>
      </w:r>
    </w:p>
    <w:p w14:paraId="0AC3C9B8" w14:textId="77777777" w:rsidR="00C07B67" w:rsidRDefault="00C07B67" w:rsidP="00C07B67">
      <w:pPr>
        <w:pStyle w:val="ListParagraph"/>
        <w:numPr>
          <w:ilvl w:val="0"/>
          <w:numId w:val="31"/>
        </w:numPr>
        <w:rPr>
          <w:lang w:eastAsia="en-GB"/>
        </w:rPr>
      </w:pPr>
      <w:r>
        <w:t xml:space="preserve">Many assumptions must be made with such models; yet, in spite of the potential frailty of such assumptions this model validated well against observed CVD and GCa incidence and mortality in real populations, even when </w:t>
      </w:r>
      <w:r w:rsidRPr="0028778E">
        <w:rPr>
          <w:noProof/>
        </w:rPr>
        <w:t>multiply</w:t>
      </w:r>
      <w:r>
        <w:t xml:space="preserve"> stratified. </w:t>
      </w:r>
    </w:p>
    <w:p w14:paraId="141E5DD4" w14:textId="04E2C82F" w:rsidR="00C07B67" w:rsidRDefault="00C07B67" w:rsidP="00C07B67">
      <w:pPr>
        <w:pStyle w:val="ListParagraph"/>
        <w:numPr>
          <w:ilvl w:val="0"/>
          <w:numId w:val="31"/>
        </w:numPr>
      </w:pPr>
      <w:r>
        <w:t xml:space="preserve">The main assumption for the evaluation of current </w:t>
      </w:r>
      <w:r w:rsidRPr="00566088">
        <w:rPr>
          <w:noProof/>
        </w:rPr>
        <w:t>policy</w:t>
      </w:r>
      <w:r>
        <w:t xml:space="preserve"> was that the decline in salt consumption observed since 2003 was fully attributable to the implemented policy. </w:t>
      </w:r>
    </w:p>
    <w:p w14:paraId="6C025A84" w14:textId="77777777" w:rsidR="00C07B67" w:rsidRDefault="00C07B67" w:rsidP="00C07B67">
      <w:pPr>
        <w:pStyle w:val="ListParagraph"/>
        <w:numPr>
          <w:ilvl w:val="0"/>
          <w:numId w:val="31"/>
        </w:numPr>
      </w:pPr>
      <w:r>
        <w:t xml:space="preserve">We could not find a sufficiently large dataset with individual-level 24h urine sodium measurements and other non-communicable disease related risk factor information. Therefore, we developed a stochastic process to overcome this and synthesise information from multiple sources, which increased the overall uncertainty of the model and is reflected in our reported uncertainty estimates. </w:t>
      </w:r>
    </w:p>
    <w:p w14:paraId="790C730C" w14:textId="426774E0" w:rsidR="00C07B67" w:rsidRDefault="00C07B67" w:rsidP="00055510">
      <w:pPr>
        <w:pStyle w:val="ListParagraph"/>
        <w:numPr>
          <w:ilvl w:val="0"/>
          <w:numId w:val="31"/>
        </w:numPr>
        <w:spacing w:after="200" w:line="276" w:lineRule="auto"/>
        <w:rPr>
          <w:lang w:eastAsia="en-GB"/>
        </w:rPr>
      </w:pPr>
      <w:r>
        <w:rPr>
          <w:lang w:eastAsia="en-GB"/>
        </w:rPr>
        <w:t xml:space="preserve">To ensure transparency, we have made </w:t>
      </w:r>
      <w:r w:rsidRPr="00F56603">
        <w:rPr>
          <w:lang w:eastAsia="en-GB"/>
        </w:rPr>
        <w:t>IMPACT</w:t>
      </w:r>
      <w:r w:rsidRPr="00C07B67">
        <w:rPr>
          <w:b/>
          <w:vertAlign w:val="subscript"/>
          <w:lang w:eastAsia="en-GB"/>
        </w:rPr>
        <w:t>NCD</w:t>
      </w:r>
      <w:r>
        <w:rPr>
          <w:lang w:eastAsia="en-GB"/>
        </w:rPr>
        <w:t xml:space="preserve"> source code open under GNU GPLv3 license.</w:t>
      </w:r>
      <w:r>
        <w:rPr>
          <w:lang w:eastAsia="en-GB"/>
        </w:rPr>
        <w:br w:type="page"/>
      </w:r>
    </w:p>
    <w:p w14:paraId="3A2A9EAB" w14:textId="5E9B195F" w:rsidR="00325FCA" w:rsidRDefault="00F05C93" w:rsidP="00AC0B1E">
      <w:pPr>
        <w:pStyle w:val="Heading1"/>
      </w:pPr>
      <w:r>
        <w:lastRenderedPageBreak/>
        <w:t>Background</w:t>
      </w:r>
    </w:p>
    <w:p w14:paraId="1015EB81" w14:textId="438F7F0D" w:rsidR="00E2266B" w:rsidRDefault="00720E84" w:rsidP="00AC0B1E">
      <w:r>
        <w:t>Excess</w:t>
      </w:r>
      <w:r w:rsidR="00E2266B">
        <w:t xml:space="preserve"> salt consumption is associated with higher risk of cardiovascular disease (CVD) and gastric cancer (GCa).</w:t>
      </w:r>
      <w:r w:rsidR="00566088" w:rsidRPr="00566088">
        <w:rPr>
          <w:rFonts w:ascii="Calibri" w:hAnsi="Calibri"/>
        </w:rPr>
        <w:t>[1,2]</w:t>
      </w:r>
      <w:r w:rsidR="00E2266B">
        <w:t xml:space="preserve"> </w:t>
      </w:r>
      <w:r w:rsidR="009B738A">
        <w:t>Globally</w:t>
      </w:r>
      <w:r w:rsidR="009E2A7A">
        <w:t xml:space="preserve">, more than 1.5 million </w:t>
      </w:r>
      <w:r w:rsidR="0021146C" w:rsidRPr="00566088">
        <w:rPr>
          <w:noProof/>
        </w:rPr>
        <w:t>CVD</w:t>
      </w:r>
      <w:r w:rsidR="00566088">
        <w:rPr>
          <w:noProof/>
        </w:rPr>
        <w:t>-</w:t>
      </w:r>
      <w:r w:rsidR="009E2A7A" w:rsidRPr="00566088">
        <w:rPr>
          <w:noProof/>
        </w:rPr>
        <w:t>related</w:t>
      </w:r>
      <w:r w:rsidR="009E2A7A">
        <w:t xml:space="preserve"> deaths every year can be attributed to</w:t>
      </w:r>
      <w:r w:rsidR="00566088">
        <w:t xml:space="preserve"> the</w:t>
      </w:r>
      <w:r w:rsidR="009E2A7A">
        <w:t xml:space="preserve"> </w:t>
      </w:r>
      <w:r w:rsidR="009E2A7A" w:rsidRPr="00566088">
        <w:rPr>
          <w:noProof/>
        </w:rPr>
        <w:t>excess</w:t>
      </w:r>
      <w:r w:rsidR="009E2A7A">
        <w:t xml:space="preserve"> salt intake.</w:t>
      </w:r>
      <w:r w:rsidR="00566088" w:rsidRPr="00566088">
        <w:rPr>
          <w:rFonts w:ascii="Calibri" w:hAnsi="Calibri"/>
        </w:rPr>
        <w:t>[3]</w:t>
      </w:r>
      <w:r w:rsidR="009E2A7A">
        <w:t xml:space="preserve"> Further</w:t>
      </w:r>
      <w:r w:rsidR="0021146C">
        <w:t xml:space="preserve"> salt-related deaths </w:t>
      </w:r>
      <w:r w:rsidR="009012DA">
        <w:t>come</w:t>
      </w:r>
      <w:r w:rsidR="0021146C">
        <w:t xml:space="preserve"> from </w:t>
      </w:r>
      <w:r w:rsidR="00534376">
        <w:t>GCa</w:t>
      </w:r>
      <w:r w:rsidR="009012DA">
        <w:t>. H</w:t>
      </w:r>
      <w:r w:rsidR="0021146C">
        <w:t xml:space="preserve">ealth policies </w:t>
      </w:r>
      <w:r w:rsidR="0021146C" w:rsidRPr="00566088">
        <w:rPr>
          <w:noProof/>
        </w:rPr>
        <w:t>worldwide</w:t>
      </w:r>
      <w:r w:rsidR="00566088">
        <w:rPr>
          <w:noProof/>
        </w:rPr>
        <w:t>, therefore,</w:t>
      </w:r>
      <w:r w:rsidR="009012DA">
        <w:t xml:space="preserve"> </w:t>
      </w:r>
      <w:r w:rsidR="0021146C">
        <w:t>aim to reduce dietary salt intake</w:t>
      </w:r>
      <w:r w:rsidR="00DC02EA">
        <w:t>.</w:t>
      </w:r>
      <w:r w:rsidR="00566088" w:rsidRPr="00566088">
        <w:rPr>
          <w:rFonts w:ascii="Calibri" w:hAnsi="Calibri"/>
        </w:rPr>
        <w:t>[4]</w:t>
      </w:r>
      <w:r w:rsidR="00BD2C3C">
        <w:t xml:space="preserve"> </w:t>
      </w:r>
      <w:r w:rsidR="00323997">
        <w:t>Furthermore, t</w:t>
      </w:r>
      <w:r w:rsidR="00A26B84">
        <w:t xml:space="preserve">he World Health Organisation recommends </w:t>
      </w:r>
      <w:r>
        <w:t xml:space="preserve">reducing population exposure to </w:t>
      </w:r>
      <w:r w:rsidR="00A26B84">
        <w:t>salt as one of the ‘best buy’ strategies to prevent non-communicable diseases, highlighting its cost-effectiveness and feasibility.</w:t>
      </w:r>
      <w:r w:rsidR="00566088" w:rsidRPr="00566088">
        <w:rPr>
          <w:rFonts w:ascii="Calibri" w:hAnsi="Calibri"/>
        </w:rPr>
        <w:t>[5]</w:t>
      </w:r>
    </w:p>
    <w:p w14:paraId="33F85E20" w14:textId="196E4340" w:rsidR="001B03DF" w:rsidRDefault="00BD2C3C" w:rsidP="00AC0B1E">
      <w:r>
        <w:t xml:space="preserve">Since 2003, </w:t>
      </w:r>
      <w:r w:rsidR="0021146C">
        <w:t xml:space="preserve">the </w:t>
      </w:r>
      <w:r w:rsidR="001B03DF">
        <w:t xml:space="preserve">United Kingdom (UK) </w:t>
      </w:r>
      <w:r w:rsidR="00933A1D">
        <w:t xml:space="preserve">has </w:t>
      </w:r>
      <w:r w:rsidR="00A91E58">
        <w:t xml:space="preserve">had </w:t>
      </w:r>
      <w:r>
        <w:t>one of</w:t>
      </w:r>
      <w:r w:rsidR="00AB0F3E">
        <w:t xml:space="preserve"> the</w:t>
      </w:r>
      <w:r>
        <w:t xml:space="preserve"> </w:t>
      </w:r>
      <w:r w:rsidR="00A91E58">
        <w:t xml:space="preserve">world’s </w:t>
      </w:r>
      <w:r w:rsidR="00323997">
        <w:t xml:space="preserve">most successful </w:t>
      </w:r>
      <w:r w:rsidR="001B03DF">
        <w:t>salt reduction strategies</w:t>
      </w:r>
      <w:r w:rsidR="00A91E58">
        <w:t xml:space="preserve">, including public awareness campaigns, food labelling, and </w:t>
      </w:r>
      <w:r w:rsidR="003316DE">
        <w:t>‘</w:t>
      </w:r>
      <w:r w:rsidR="00A91E58">
        <w:t>voluntary</w:t>
      </w:r>
      <w:r w:rsidR="003316DE">
        <w:t>’</w:t>
      </w:r>
      <w:r w:rsidR="00A91E58">
        <w:t xml:space="preserve"> reformulation of processed foods</w:t>
      </w:r>
      <w:r w:rsidR="00933A1D">
        <w:t>.</w:t>
      </w:r>
      <w:r w:rsidR="00566088" w:rsidRPr="00566088">
        <w:rPr>
          <w:rFonts w:ascii="Calibri" w:hAnsi="Calibri"/>
        </w:rPr>
        <w:t>[6]</w:t>
      </w:r>
      <w:r w:rsidR="00933A1D">
        <w:t xml:space="preserve"> </w:t>
      </w:r>
      <w:r w:rsidR="00901B1A">
        <w:t xml:space="preserve">The strategy </w:t>
      </w:r>
      <w:r w:rsidR="003E244E">
        <w:t xml:space="preserve">components </w:t>
      </w:r>
      <w:r w:rsidR="00901B1A">
        <w:t>and the evolution of the strategy over the years have been described in detail elsewhere.</w:t>
      </w:r>
      <w:r w:rsidR="00566088" w:rsidRPr="00566088">
        <w:rPr>
          <w:rFonts w:ascii="Calibri" w:hAnsi="Calibri"/>
        </w:rPr>
        <w:t>[7,8]</w:t>
      </w:r>
      <w:r w:rsidR="00901B1A">
        <w:t xml:space="preserve"> </w:t>
      </w:r>
      <w:r w:rsidR="00A91E58">
        <w:t xml:space="preserve">This package of measures is </w:t>
      </w:r>
      <w:r w:rsidR="00A01601">
        <w:t xml:space="preserve">regularly evaluated and </w:t>
      </w:r>
      <w:r w:rsidR="00323997">
        <w:t xml:space="preserve">has been </w:t>
      </w:r>
      <w:r w:rsidR="00A01601">
        <w:t>monitored through nationally representative surveys using 24h urine collection measurements.</w:t>
      </w:r>
      <w:r w:rsidR="00566088" w:rsidRPr="00566088">
        <w:rPr>
          <w:rFonts w:ascii="Calibri" w:hAnsi="Calibri"/>
        </w:rPr>
        <w:t>[9]</w:t>
      </w:r>
      <w:r w:rsidR="006B1877">
        <w:t xml:space="preserve"> </w:t>
      </w:r>
      <w:r w:rsidR="00D54330">
        <w:t>Between 2001 and 2011 the mean salt consumption in the UK dropped from 9.5g/day to 8.1g/day</w:t>
      </w:r>
      <w:r w:rsidR="00297743">
        <w:t>.</w:t>
      </w:r>
      <w:r w:rsidR="00566088" w:rsidRPr="00566088">
        <w:rPr>
          <w:rFonts w:ascii="Calibri" w:hAnsi="Calibri"/>
        </w:rPr>
        <w:t>[10]</w:t>
      </w:r>
      <w:r w:rsidR="00297743">
        <w:t xml:space="preserve"> A </w:t>
      </w:r>
      <w:r w:rsidR="005C3A67">
        <w:t>success</w:t>
      </w:r>
      <w:r w:rsidR="00297743">
        <w:t>, however still far from the national target of 6g/day.</w:t>
      </w:r>
      <w:r w:rsidR="00566088" w:rsidRPr="00566088">
        <w:rPr>
          <w:rFonts w:ascii="Calibri" w:hAnsi="Calibri"/>
        </w:rPr>
        <w:t>[11]</w:t>
      </w:r>
    </w:p>
    <w:p w14:paraId="5A3FB62F" w14:textId="0523C0F0" w:rsidR="00AB0F3E" w:rsidRDefault="00D2161B" w:rsidP="00AC0B1E">
      <w:r>
        <w:t>In the UK, s</w:t>
      </w:r>
      <w:r w:rsidR="001C54C9">
        <w:t xml:space="preserve">alt consumption </w:t>
      </w:r>
      <w:r w:rsidR="00323997">
        <w:t>is higher in more deprived groups</w:t>
      </w:r>
      <w:r w:rsidR="006705A1">
        <w:t>.</w:t>
      </w:r>
      <w:r w:rsidR="00566088" w:rsidRPr="00566088">
        <w:rPr>
          <w:rFonts w:ascii="Calibri" w:hAnsi="Calibri"/>
        </w:rPr>
        <w:t>[12,13]</w:t>
      </w:r>
      <w:r w:rsidR="006705A1">
        <w:t xml:space="preserve"> Therefore, interventions </w:t>
      </w:r>
      <w:r>
        <w:t>aim to reduce salt consumption</w:t>
      </w:r>
      <w:r w:rsidR="00513EF6">
        <w:t xml:space="preserve"> </w:t>
      </w:r>
      <w:r w:rsidR="008A528C">
        <w:t>should</w:t>
      </w:r>
      <w:r w:rsidR="000672DA">
        <w:t xml:space="preserve"> </w:t>
      </w:r>
      <w:r w:rsidR="00323997">
        <w:t>ideally</w:t>
      </w:r>
      <w:r>
        <w:t xml:space="preserve"> </w:t>
      </w:r>
      <w:r w:rsidR="00383730">
        <w:t>aim to</w:t>
      </w:r>
      <w:r w:rsidR="00513EF6">
        <w:t xml:space="preserve"> </w:t>
      </w:r>
      <w:r w:rsidR="00323997">
        <w:t xml:space="preserve">also </w:t>
      </w:r>
      <w:r w:rsidR="00513EF6">
        <w:t>reduce socioeconomic inequalities in health.</w:t>
      </w:r>
      <w:r w:rsidR="002064B6">
        <w:t xml:space="preserve"> </w:t>
      </w:r>
      <w:r w:rsidR="00B36347">
        <w:t>Unfortunately, t</w:t>
      </w:r>
      <w:r w:rsidR="00323997">
        <w:t>he current UK</w:t>
      </w:r>
      <w:r w:rsidR="002064B6">
        <w:t xml:space="preserve"> strategy </w:t>
      </w:r>
      <w:r w:rsidR="00323997">
        <w:t xml:space="preserve">might </w:t>
      </w:r>
      <w:r w:rsidR="002064B6">
        <w:t>potentially increase socioeconomic inequality</w:t>
      </w:r>
      <w:r w:rsidR="00C86A10">
        <w:t xml:space="preserve"> because awareness campaigns, food labelling and voluntary reformulation </w:t>
      </w:r>
      <w:r w:rsidR="00DF6804">
        <w:t>can be</w:t>
      </w:r>
      <w:r w:rsidR="00C86A10">
        <w:t xml:space="preserve"> more effective among the </w:t>
      </w:r>
      <w:r w:rsidR="00B86AB2">
        <w:t xml:space="preserve">more </w:t>
      </w:r>
      <w:r w:rsidR="00C86A10">
        <w:t>health conscious</w:t>
      </w:r>
      <w:r w:rsidR="00B86AB2">
        <w:t>, affluent</w:t>
      </w:r>
      <w:r w:rsidR="00905736">
        <w:t xml:space="preserve"> individuals</w:t>
      </w:r>
      <w:r w:rsidR="00C86A10">
        <w:t>.</w:t>
      </w:r>
      <w:r w:rsidR="00566088" w:rsidRPr="00566088">
        <w:rPr>
          <w:rFonts w:ascii="Calibri" w:hAnsi="Calibri" w:cs="Times New Roman"/>
          <w:szCs w:val="24"/>
        </w:rPr>
        <w:t>[14–17]</w:t>
      </w:r>
      <w:r w:rsidR="00C86A10">
        <w:t xml:space="preserve"> Indeed,</w:t>
      </w:r>
      <w:r w:rsidR="00B86AB2">
        <w:t xml:space="preserve"> evidence suggests</w:t>
      </w:r>
      <w:r w:rsidR="00C86A10">
        <w:t xml:space="preserve"> </w:t>
      </w:r>
      <w:r w:rsidR="00B77B3D">
        <w:t xml:space="preserve">the socioeconomic gradient in salt consumption </w:t>
      </w:r>
      <w:r w:rsidR="00B86AB2">
        <w:t xml:space="preserve">might </w:t>
      </w:r>
      <w:r w:rsidR="008C46FF">
        <w:t xml:space="preserve">have </w:t>
      </w:r>
      <w:r w:rsidR="00B9639E">
        <w:t>worsen</w:t>
      </w:r>
      <w:r w:rsidR="008C46FF">
        <w:t>ed</w:t>
      </w:r>
      <w:r w:rsidR="00B77B3D">
        <w:t xml:space="preserve"> during the programme.</w:t>
      </w:r>
      <w:r w:rsidR="00566088" w:rsidRPr="00566088">
        <w:rPr>
          <w:rFonts w:ascii="Calibri" w:hAnsi="Calibri"/>
        </w:rPr>
        <w:t>[13,18]</w:t>
      </w:r>
      <w:r w:rsidR="00661AA5">
        <w:t xml:space="preserve"> </w:t>
      </w:r>
      <w:r w:rsidR="008C46FF" w:rsidRPr="008C46FF">
        <w:t>In contrast</w:t>
      </w:r>
      <w:r w:rsidR="006C7182" w:rsidRPr="008C46FF">
        <w:t>,</w:t>
      </w:r>
      <w:r w:rsidR="006C7182" w:rsidRPr="008C46FF">
        <w:rPr>
          <w:sz w:val="24"/>
        </w:rPr>
        <w:t xml:space="preserve"> </w:t>
      </w:r>
      <w:r w:rsidR="00757414">
        <w:t xml:space="preserve">modelling studies </w:t>
      </w:r>
      <w:r w:rsidR="00FC54E8">
        <w:t xml:space="preserve">consistently </w:t>
      </w:r>
      <w:r w:rsidR="00757414">
        <w:t xml:space="preserve">suggest that more </w:t>
      </w:r>
      <w:r w:rsidR="006C7182">
        <w:t>structural</w:t>
      </w:r>
      <w:r w:rsidR="00757414">
        <w:t xml:space="preserve"> interventions can be more effective, cost-effective and equitable than the current </w:t>
      </w:r>
      <w:r w:rsidR="00FC54E8">
        <w:t xml:space="preserve">UK </w:t>
      </w:r>
      <w:r w:rsidR="00757414">
        <w:t>policy.</w:t>
      </w:r>
      <w:r w:rsidR="00566088" w:rsidRPr="00566088">
        <w:rPr>
          <w:rFonts w:ascii="Calibri" w:hAnsi="Calibri"/>
        </w:rPr>
        <w:t>[19,20]</w:t>
      </w:r>
    </w:p>
    <w:p w14:paraId="593D0AA1" w14:textId="1C867FF5" w:rsidR="00FC54E8" w:rsidRDefault="00682FB0" w:rsidP="00AC0B1E">
      <w:r>
        <w:t>Str</w:t>
      </w:r>
      <w:r w:rsidR="00563831">
        <w:t>uctural</w:t>
      </w:r>
      <w:r>
        <w:t xml:space="preserve"> salt reduction policies </w:t>
      </w:r>
      <w:r w:rsidR="005C3A67">
        <w:t xml:space="preserve">are usually </w:t>
      </w:r>
      <w:r>
        <w:t xml:space="preserve">based </w:t>
      </w:r>
      <w:r w:rsidR="00386BA6">
        <w:t>on legislative initiatives</w:t>
      </w:r>
      <w:r>
        <w:t xml:space="preserve"> </w:t>
      </w:r>
      <w:r w:rsidR="005C3A67">
        <w:t>like</w:t>
      </w:r>
      <w:r w:rsidR="00566088">
        <w:t xml:space="preserve"> a</w:t>
      </w:r>
      <w:r>
        <w:t xml:space="preserve"> </w:t>
      </w:r>
      <w:r w:rsidR="007959CB" w:rsidRPr="00566088">
        <w:rPr>
          <w:noProof/>
        </w:rPr>
        <w:t>mandatory</w:t>
      </w:r>
      <w:r w:rsidR="007959CB">
        <w:t xml:space="preserve"> reformulation of processed foods </w:t>
      </w:r>
      <w:r w:rsidR="005C3A67">
        <w:t>or</w:t>
      </w:r>
      <w:r w:rsidR="007959CB">
        <w:t xml:space="preserve"> taxation of high-salt foods</w:t>
      </w:r>
      <w:r w:rsidR="005C3A67">
        <w:t>. S</w:t>
      </w:r>
      <w:r w:rsidR="00A91E58">
        <w:t>uch</w:t>
      </w:r>
      <w:r w:rsidR="005C3A67">
        <w:t xml:space="preserve"> policies</w:t>
      </w:r>
      <w:r w:rsidR="00386BA6">
        <w:t xml:space="preserve"> have </w:t>
      </w:r>
      <w:r w:rsidR="00757414">
        <w:t xml:space="preserve">already </w:t>
      </w:r>
      <w:r w:rsidR="00386BA6">
        <w:t xml:space="preserve">been </w:t>
      </w:r>
      <w:r w:rsidR="00A91E58">
        <w:t>adopted successfully in</w:t>
      </w:r>
      <w:r w:rsidR="00386BA6">
        <w:t xml:space="preserve"> Argentina, </w:t>
      </w:r>
      <w:r w:rsidR="00FC54E8">
        <w:t>South Africa</w:t>
      </w:r>
      <w:r w:rsidR="00A91E58">
        <w:t xml:space="preserve">, </w:t>
      </w:r>
      <w:r w:rsidR="000B04E1">
        <w:t xml:space="preserve">Portugal, </w:t>
      </w:r>
      <w:r w:rsidR="00386BA6">
        <w:t>Hungary</w:t>
      </w:r>
      <w:r w:rsidR="00A91E58">
        <w:t xml:space="preserve"> and </w:t>
      </w:r>
      <w:r w:rsidR="00386BA6">
        <w:t>elsewhere</w:t>
      </w:r>
      <w:r w:rsidR="005B0EC1">
        <w:t xml:space="preserve">, </w:t>
      </w:r>
      <w:r w:rsidR="008C46FF">
        <w:t xml:space="preserve">emphasising </w:t>
      </w:r>
      <w:r w:rsidR="005B0EC1">
        <w:t>their feasibility</w:t>
      </w:r>
      <w:r w:rsidR="00386BA6">
        <w:t>.</w:t>
      </w:r>
      <w:r w:rsidR="00566088" w:rsidRPr="00566088">
        <w:rPr>
          <w:rFonts w:ascii="Calibri" w:hAnsi="Calibri"/>
        </w:rPr>
        <w:t>[4]</w:t>
      </w:r>
      <w:r w:rsidR="00E63001">
        <w:t xml:space="preserve"> </w:t>
      </w:r>
      <w:r w:rsidR="005B0EC1">
        <w:t>In fact, t</w:t>
      </w:r>
      <w:r w:rsidR="00FC54E8">
        <w:t>he actual</w:t>
      </w:r>
      <w:r w:rsidR="00E63001">
        <w:t xml:space="preserve"> number of countries </w:t>
      </w:r>
      <w:r w:rsidR="005B0EC1">
        <w:t xml:space="preserve">currently </w:t>
      </w:r>
      <w:r w:rsidR="00E63001">
        <w:t xml:space="preserve">implementing legislative measures </w:t>
      </w:r>
      <w:r w:rsidR="000672DA">
        <w:t xml:space="preserve">has </w:t>
      </w:r>
      <w:r w:rsidR="00FC54E8">
        <w:t>substantially</w:t>
      </w:r>
      <w:r w:rsidR="00E63001">
        <w:t xml:space="preserve"> increase</w:t>
      </w:r>
      <w:r w:rsidR="00FC54E8">
        <w:t>d</w:t>
      </w:r>
      <w:r w:rsidR="00E63001">
        <w:t xml:space="preserve"> since 2010</w:t>
      </w:r>
      <w:r w:rsidR="006A5E3C">
        <w:t xml:space="preserve">, </w:t>
      </w:r>
      <w:r w:rsidR="00A91E58">
        <w:t xml:space="preserve">indicating a global move </w:t>
      </w:r>
      <w:r w:rsidR="006A5E3C">
        <w:t>to</w:t>
      </w:r>
      <w:r w:rsidR="000672DA">
        <w:t>wards</w:t>
      </w:r>
      <w:r w:rsidR="006A5E3C">
        <w:t xml:space="preserve"> stricter salt reduction policies</w:t>
      </w:r>
      <w:r w:rsidR="00E63001">
        <w:t>.</w:t>
      </w:r>
      <w:r w:rsidR="00566088" w:rsidRPr="00566088">
        <w:rPr>
          <w:rFonts w:ascii="Calibri" w:hAnsi="Calibri"/>
        </w:rPr>
        <w:t>[4]</w:t>
      </w:r>
    </w:p>
    <w:p w14:paraId="15CDAF5D" w14:textId="35DF2BBE" w:rsidR="00F62B72" w:rsidRPr="001B03DF" w:rsidRDefault="00905736" w:rsidP="00AC0B1E">
      <w:r>
        <w:lastRenderedPageBreak/>
        <w:t>The</w:t>
      </w:r>
      <w:r w:rsidR="005C3A67">
        <w:t xml:space="preserve"> </w:t>
      </w:r>
      <w:r>
        <w:t>a</w:t>
      </w:r>
      <w:r w:rsidR="00F62B72">
        <w:t xml:space="preserve">im of this study was to estimate the impact </w:t>
      </w:r>
      <w:r w:rsidR="003E41CD">
        <w:t xml:space="preserve">and equity </w:t>
      </w:r>
      <w:r w:rsidR="00F62B72">
        <w:t xml:space="preserve">of current </w:t>
      </w:r>
      <w:r w:rsidR="00F128EA">
        <w:t xml:space="preserve">UK </w:t>
      </w:r>
      <w:r w:rsidR="000B04E1">
        <w:t>salt reduction policy</w:t>
      </w:r>
      <w:r w:rsidR="00F62B72">
        <w:t xml:space="preserve"> on CVD and </w:t>
      </w:r>
      <w:r w:rsidR="0081346E">
        <w:t>GCa</w:t>
      </w:r>
      <w:r w:rsidR="005C63D1">
        <w:t xml:space="preserve"> </w:t>
      </w:r>
      <w:r w:rsidR="000B04E1">
        <w:t>burden since 2003. W</w:t>
      </w:r>
      <w:r w:rsidR="00EF76E5">
        <w:t xml:space="preserve">e </w:t>
      </w:r>
      <w:r w:rsidR="000B04E1">
        <w:t xml:space="preserve">further </w:t>
      </w:r>
      <w:r w:rsidR="00EF76E5">
        <w:t xml:space="preserve">compared current policy with </w:t>
      </w:r>
      <w:r w:rsidR="00B9639E">
        <w:t xml:space="preserve">other </w:t>
      </w:r>
      <w:r w:rsidR="00190F48">
        <w:t xml:space="preserve">feasible </w:t>
      </w:r>
      <w:r w:rsidR="000B04E1">
        <w:t>policies to estimate possible additional incidence and mortality reductions.</w:t>
      </w:r>
    </w:p>
    <w:p w14:paraId="0ECD3358" w14:textId="77777777" w:rsidR="00325FCA" w:rsidRDefault="00325FCA" w:rsidP="00AC0B1E">
      <w:pPr>
        <w:pStyle w:val="Heading1"/>
      </w:pPr>
      <w:r w:rsidRPr="00CA2E4A">
        <w:t>Methods</w:t>
      </w:r>
    </w:p>
    <w:p w14:paraId="71375F0D" w14:textId="329FE9F7" w:rsidR="008A0979" w:rsidRDefault="0063247C" w:rsidP="00AC0B1E">
      <w:r>
        <w:t xml:space="preserve">We used </w:t>
      </w:r>
      <w:r w:rsidRPr="00715355">
        <w:rPr>
          <w:lang w:eastAsia="en-GB"/>
        </w:rPr>
        <w:t>IMPACT</w:t>
      </w:r>
      <w:r w:rsidRPr="00715355">
        <w:rPr>
          <w:b/>
          <w:vertAlign w:val="subscript"/>
          <w:lang w:eastAsia="en-GB"/>
        </w:rPr>
        <w:t>NCD</w:t>
      </w:r>
      <w:r w:rsidR="000B04E1">
        <w:rPr>
          <w:lang w:eastAsia="en-GB"/>
        </w:rPr>
        <w:t xml:space="preserve">, </w:t>
      </w:r>
      <w:r w:rsidR="00144EDC">
        <w:t xml:space="preserve">a </w:t>
      </w:r>
      <w:r w:rsidR="00144EDC" w:rsidRPr="00CA2E4A">
        <w:t>discrete time, dynamic, stochastic microsimulation model</w:t>
      </w:r>
      <w:r w:rsidR="00144EDC">
        <w:t xml:space="preserve"> to simulate the effect of current policy and compare it to counterfactual scenarios</w:t>
      </w:r>
      <w:r w:rsidR="00144EDC" w:rsidRPr="00CA2E4A">
        <w:t>.</w:t>
      </w:r>
      <w:r w:rsidR="00144EDC">
        <w:t xml:space="preserve"> </w:t>
      </w:r>
      <w:r w:rsidR="00DD2F59">
        <w:t>We split ou</w:t>
      </w:r>
      <w:r w:rsidR="00770EF8">
        <w:t>r</w:t>
      </w:r>
      <w:r w:rsidR="00DD2F59">
        <w:t xml:space="preserve"> analysis into </w:t>
      </w:r>
      <w:r w:rsidR="000672DA">
        <w:t xml:space="preserve">two </w:t>
      </w:r>
      <w:r w:rsidR="00B83F24">
        <w:t>periods</w:t>
      </w:r>
      <w:r w:rsidR="00DD2F59">
        <w:t xml:space="preserve">. </w:t>
      </w:r>
      <w:r w:rsidR="008A0979">
        <w:t xml:space="preserve">The first </w:t>
      </w:r>
      <w:r w:rsidR="00A0707C">
        <w:t xml:space="preserve">corresponds to </w:t>
      </w:r>
      <w:r w:rsidR="00B83F24">
        <w:t>years</w:t>
      </w:r>
      <w:r w:rsidR="00A0707C">
        <w:t xml:space="preserve"> </w:t>
      </w:r>
      <w:r w:rsidR="008A0979">
        <w:t>2003</w:t>
      </w:r>
      <w:r w:rsidR="00A91E58">
        <w:t>-2</w:t>
      </w:r>
      <w:r w:rsidR="008A0979">
        <w:t>015</w:t>
      </w:r>
      <w:r w:rsidR="00B93C85">
        <w:t>,</w:t>
      </w:r>
      <w:r w:rsidR="008A0979">
        <w:t xml:space="preserve"> </w:t>
      </w:r>
      <w:r w:rsidR="00A91E58">
        <w:t xml:space="preserve">for which </w:t>
      </w:r>
      <w:r w:rsidR="008A0979">
        <w:t>we compared</w:t>
      </w:r>
      <w:r w:rsidR="00A4430C">
        <w:t xml:space="preserve"> </w:t>
      </w:r>
      <w:r w:rsidR="00B70B23">
        <w:t xml:space="preserve">the potential benefits of </w:t>
      </w:r>
      <w:r w:rsidR="00B93C85">
        <w:t>current</w:t>
      </w:r>
      <w:r w:rsidR="00A4430C">
        <w:t xml:space="preserve"> </w:t>
      </w:r>
      <w:r w:rsidR="008A0979">
        <w:t>polic</w:t>
      </w:r>
      <w:r w:rsidR="00A91E58">
        <w:t>ies</w:t>
      </w:r>
      <w:r w:rsidR="008A0979">
        <w:t xml:space="preserve"> against </w:t>
      </w:r>
      <w:r w:rsidR="00B93C85">
        <w:t>a</w:t>
      </w:r>
      <w:r w:rsidR="008A0979">
        <w:t xml:space="preserve"> </w:t>
      </w:r>
      <w:r w:rsidR="00A91E58">
        <w:t xml:space="preserve">null </w:t>
      </w:r>
      <w:r w:rsidR="008A0979">
        <w:t xml:space="preserve">intervention scenario. </w:t>
      </w:r>
      <w:r w:rsidR="00A91E58">
        <w:t>For th</w:t>
      </w:r>
      <w:r w:rsidR="000B04E1">
        <w:t>e</w:t>
      </w:r>
      <w:r w:rsidR="008A0979">
        <w:t xml:space="preserve"> second</w:t>
      </w:r>
      <w:r w:rsidR="004A394D">
        <w:t xml:space="preserve"> period</w:t>
      </w:r>
      <w:r w:rsidR="00A91E58">
        <w:t xml:space="preserve">, </w:t>
      </w:r>
      <w:r w:rsidR="008A0979">
        <w:t>201</w:t>
      </w:r>
      <w:r w:rsidR="00A23DC5">
        <w:t>6</w:t>
      </w:r>
      <w:r w:rsidR="00A91E58">
        <w:t>-</w:t>
      </w:r>
      <w:r w:rsidR="00B83F24">
        <w:t>20</w:t>
      </w:r>
      <w:r w:rsidR="00A23DC5">
        <w:t>30</w:t>
      </w:r>
      <w:r w:rsidR="00B83F24">
        <w:t>,</w:t>
      </w:r>
      <w:r w:rsidR="00DD70E7">
        <w:t xml:space="preserve"> we </w:t>
      </w:r>
      <w:r w:rsidR="004A394D">
        <w:t>explored</w:t>
      </w:r>
      <w:r w:rsidR="00DD70E7">
        <w:t xml:space="preserve"> the </w:t>
      </w:r>
      <w:r w:rsidR="004A394D">
        <w:t xml:space="preserve">potential benefits </w:t>
      </w:r>
      <w:r w:rsidR="00D161AA">
        <w:t xml:space="preserve">of </w:t>
      </w:r>
      <w:r w:rsidR="00A23DC5">
        <w:t>additional</w:t>
      </w:r>
      <w:r w:rsidR="00DD70E7">
        <w:t xml:space="preserve"> </w:t>
      </w:r>
      <w:r w:rsidR="00770EF8">
        <w:t>structural</w:t>
      </w:r>
      <w:r w:rsidR="004A394D">
        <w:t xml:space="preserve"> salt reduction policies, assuming they </w:t>
      </w:r>
      <w:r w:rsidR="00B83F24">
        <w:t>might lead</w:t>
      </w:r>
      <w:r w:rsidR="004A394D">
        <w:t xml:space="preserve"> to </w:t>
      </w:r>
      <w:r w:rsidR="00D161AA">
        <w:t xml:space="preserve">steeper </w:t>
      </w:r>
      <w:r w:rsidR="004A394D">
        <w:t>declines</w:t>
      </w:r>
      <w:r w:rsidR="00A91E58">
        <w:t xml:space="preserve"> in salt intake</w:t>
      </w:r>
      <w:r w:rsidR="004A394D">
        <w:t>.</w:t>
      </w:r>
    </w:p>
    <w:p w14:paraId="74467CBE" w14:textId="77777777" w:rsidR="004F0CE2" w:rsidRDefault="004F0CE2" w:rsidP="00AC0B1E">
      <w:pPr>
        <w:pStyle w:val="Heading2"/>
      </w:pPr>
      <w:r w:rsidRPr="00CA2E4A">
        <w:t>Model description</w:t>
      </w:r>
    </w:p>
    <w:p w14:paraId="4F2C6B26" w14:textId="3B9A4213" w:rsidR="004A394D" w:rsidRPr="004A394D" w:rsidRDefault="004A394D" w:rsidP="00AC0B1E">
      <w:r w:rsidRPr="002F0BB6">
        <w:rPr>
          <w:lang w:eastAsia="en-GB"/>
        </w:rPr>
        <w:t>IMPACT</w:t>
      </w:r>
      <w:r w:rsidRPr="002F0BB6">
        <w:rPr>
          <w:b/>
          <w:vertAlign w:val="subscript"/>
          <w:lang w:eastAsia="en-GB"/>
        </w:rPr>
        <w:t>NCD</w:t>
      </w:r>
      <w:r>
        <w:t xml:space="preserve"> simulates synthetic individuals and allows for greater</w:t>
      </w:r>
      <w:r w:rsidRPr="00CA2E4A">
        <w:t xml:space="preserve"> flexibility and more detailed simulation</w:t>
      </w:r>
      <w:r>
        <w:t>, including different lag times between exposures and outcomes, socioeconomic gradients in trends of risk factors, and a competing risk framework</w:t>
      </w:r>
      <w:r w:rsidR="00A91E58">
        <w:t xml:space="preserve"> – a computationally</w:t>
      </w:r>
      <w:r w:rsidR="00536C46">
        <w:t xml:space="preserve"> </w:t>
      </w:r>
      <w:r w:rsidR="00A91E58">
        <w:t>intensive task for which we employed the</w:t>
      </w:r>
      <w:r w:rsidR="005725D2">
        <w:t xml:space="preserve"> </w:t>
      </w:r>
      <w:r w:rsidRPr="0034782D">
        <w:t xml:space="preserve">Farr Institute’s statistical </w:t>
      </w:r>
      <w:r w:rsidRPr="00566088">
        <w:rPr>
          <w:noProof/>
        </w:rPr>
        <w:t>high</w:t>
      </w:r>
      <w:r w:rsidR="00566088">
        <w:rPr>
          <w:noProof/>
        </w:rPr>
        <w:t>-</w:t>
      </w:r>
      <w:r w:rsidRPr="00566088">
        <w:rPr>
          <w:noProof/>
        </w:rPr>
        <w:t>performance</w:t>
      </w:r>
      <w:r w:rsidRPr="0034782D">
        <w:t xml:space="preserve"> computing facilities</w:t>
      </w:r>
      <w:r w:rsidR="00D161AA">
        <w:t>.</w:t>
      </w:r>
      <w:r w:rsidR="00566088" w:rsidRPr="00566088">
        <w:rPr>
          <w:rFonts w:ascii="Calibri" w:hAnsi="Calibri"/>
        </w:rPr>
        <w:t>[21]</w:t>
      </w:r>
    </w:p>
    <w:p w14:paraId="761780D2" w14:textId="582B5DD4" w:rsidR="00D161AA" w:rsidRDefault="004A394D" w:rsidP="00AC0B1E">
      <w:pPr>
        <w:rPr>
          <w:lang w:eastAsia="en-GB"/>
        </w:rPr>
      </w:pPr>
      <w:r>
        <w:rPr>
          <w:lang w:eastAsia="en-GB"/>
        </w:rPr>
        <w:t>The model</w:t>
      </w:r>
      <w:r w:rsidR="00272EBA" w:rsidRPr="00CA2E4A">
        <w:rPr>
          <w:lang w:eastAsia="en-GB"/>
        </w:rPr>
        <w:t xml:space="preserve"> </w:t>
      </w:r>
      <w:r w:rsidR="002F441F" w:rsidRPr="00CA2E4A">
        <w:rPr>
          <w:lang w:eastAsia="en-GB"/>
        </w:rPr>
        <w:t>synthesises</w:t>
      </w:r>
      <w:r w:rsidR="00272EBA" w:rsidRPr="00CA2E4A">
        <w:rPr>
          <w:lang w:eastAsia="en-GB"/>
        </w:rPr>
        <w:t xml:space="preserve"> information </w:t>
      </w:r>
      <w:r w:rsidR="00B21A58" w:rsidRPr="00CA2E4A">
        <w:rPr>
          <w:lang w:eastAsia="en-GB"/>
        </w:rPr>
        <w:t xml:space="preserve">from Office for National Statistics (ONS) </w:t>
      </w:r>
      <w:r w:rsidR="00717825">
        <w:rPr>
          <w:lang w:eastAsia="en-GB"/>
        </w:rPr>
        <w:t xml:space="preserve">regarding </w:t>
      </w:r>
      <w:r w:rsidR="00717825" w:rsidRPr="00CA2E4A">
        <w:rPr>
          <w:lang w:eastAsia="en-GB"/>
        </w:rPr>
        <w:t xml:space="preserve">English population structure by age, sex and socioeconomic status </w:t>
      </w:r>
      <w:r w:rsidR="00B21A58" w:rsidRPr="00CA2E4A">
        <w:rPr>
          <w:lang w:eastAsia="en-GB"/>
        </w:rPr>
        <w:t>and the Health Survey for England</w:t>
      </w:r>
      <w:r w:rsidR="00566088" w:rsidRPr="00566088">
        <w:rPr>
          <w:rFonts w:ascii="Calibri" w:hAnsi="Calibri"/>
        </w:rPr>
        <w:t>[22]</w:t>
      </w:r>
      <w:r w:rsidR="00B21A58" w:rsidRPr="00CA2E4A">
        <w:rPr>
          <w:lang w:eastAsia="en-GB"/>
        </w:rPr>
        <w:t xml:space="preserve"> </w:t>
      </w:r>
      <w:r w:rsidR="00247CD3">
        <w:rPr>
          <w:lang w:eastAsia="en-GB"/>
        </w:rPr>
        <w:t>regarding</w:t>
      </w:r>
      <w:r w:rsidR="002F441F" w:rsidRPr="00CA2E4A">
        <w:rPr>
          <w:lang w:eastAsia="en-GB"/>
        </w:rPr>
        <w:t xml:space="preserve"> exposure to CVD </w:t>
      </w:r>
      <w:r w:rsidR="00717825">
        <w:rPr>
          <w:lang w:eastAsia="en-GB"/>
        </w:rPr>
        <w:t>and GC</w:t>
      </w:r>
      <w:r w:rsidR="00247CD3">
        <w:rPr>
          <w:lang w:eastAsia="en-GB"/>
        </w:rPr>
        <w:t>a</w:t>
      </w:r>
      <w:r w:rsidR="00717825">
        <w:rPr>
          <w:lang w:eastAsia="en-GB"/>
        </w:rPr>
        <w:t xml:space="preserve"> </w:t>
      </w:r>
      <w:r w:rsidR="002F441F" w:rsidRPr="00CA2E4A">
        <w:rPr>
          <w:lang w:eastAsia="en-GB"/>
        </w:rPr>
        <w:t>associated risk factors</w:t>
      </w:r>
      <w:r w:rsidR="00B93C85">
        <w:rPr>
          <w:lang w:eastAsia="en-GB"/>
        </w:rPr>
        <w:t xml:space="preserve"> (see below)</w:t>
      </w:r>
      <w:r w:rsidR="002F441F" w:rsidRPr="00CA2E4A">
        <w:rPr>
          <w:lang w:eastAsia="en-GB"/>
        </w:rPr>
        <w:t xml:space="preserve"> to </w:t>
      </w:r>
      <w:r w:rsidR="00B21A58" w:rsidRPr="00CA2E4A">
        <w:rPr>
          <w:lang w:eastAsia="en-GB"/>
        </w:rPr>
        <w:t>generate</w:t>
      </w:r>
      <w:r w:rsidR="002F441F" w:rsidRPr="00CA2E4A">
        <w:rPr>
          <w:lang w:eastAsia="en-GB"/>
        </w:rPr>
        <w:t xml:space="preserve"> a close</w:t>
      </w:r>
      <w:r w:rsidR="00E0127B">
        <w:rPr>
          <w:lang w:eastAsia="en-GB"/>
        </w:rPr>
        <w:t>-</w:t>
      </w:r>
      <w:r w:rsidR="002F441F" w:rsidRPr="00CA2E4A">
        <w:rPr>
          <w:lang w:eastAsia="en-GB"/>
        </w:rPr>
        <w:t>to</w:t>
      </w:r>
      <w:r w:rsidR="00E0127B">
        <w:rPr>
          <w:lang w:eastAsia="en-GB"/>
        </w:rPr>
        <w:t>-</w:t>
      </w:r>
      <w:r w:rsidR="002F441F" w:rsidRPr="00CA2E4A">
        <w:rPr>
          <w:lang w:eastAsia="en-GB"/>
        </w:rPr>
        <w:t>reality synthetic population</w:t>
      </w:r>
      <w:r w:rsidR="001C44D7" w:rsidRPr="00CA2E4A">
        <w:rPr>
          <w:lang w:eastAsia="en-GB"/>
        </w:rPr>
        <w:t>.</w:t>
      </w:r>
      <w:r w:rsidR="00566088" w:rsidRPr="00566088">
        <w:rPr>
          <w:rFonts w:ascii="Calibri" w:hAnsi="Calibri"/>
        </w:rPr>
        <w:t>[23]</w:t>
      </w:r>
      <w:r w:rsidR="00EA4C64" w:rsidRPr="00CA2E4A">
        <w:rPr>
          <w:lang w:eastAsia="en-GB"/>
        </w:rPr>
        <w:t xml:space="preserve"> </w:t>
      </w:r>
      <w:r w:rsidR="00EA4C64" w:rsidRPr="00566088">
        <w:rPr>
          <w:noProof/>
          <w:lang w:eastAsia="en-GB"/>
        </w:rPr>
        <w:t>Well</w:t>
      </w:r>
      <w:r w:rsidR="00566088">
        <w:rPr>
          <w:noProof/>
          <w:lang w:eastAsia="en-GB"/>
        </w:rPr>
        <w:t>-</w:t>
      </w:r>
      <w:r w:rsidR="00EA4C64" w:rsidRPr="00CA2E4A">
        <w:rPr>
          <w:lang w:eastAsia="en-GB"/>
        </w:rPr>
        <w:t xml:space="preserve">established </w:t>
      </w:r>
      <w:r w:rsidR="00B21A58" w:rsidRPr="00CA2E4A">
        <w:rPr>
          <w:lang w:eastAsia="en-GB"/>
        </w:rPr>
        <w:t>causal pathways</w:t>
      </w:r>
      <w:r w:rsidR="00EA4C64" w:rsidRPr="00CA2E4A">
        <w:rPr>
          <w:lang w:eastAsia="en-GB"/>
        </w:rPr>
        <w:t xml:space="preserve"> between </w:t>
      </w:r>
      <w:r w:rsidR="00247CD3" w:rsidRPr="00CA2E4A">
        <w:rPr>
          <w:lang w:eastAsia="en-GB"/>
        </w:rPr>
        <w:t xml:space="preserve">associated risk factors </w:t>
      </w:r>
      <w:r w:rsidR="00247CD3">
        <w:rPr>
          <w:lang w:eastAsia="en-GB"/>
        </w:rPr>
        <w:t>and disease</w:t>
      </w:r>
      <w:r w:rsidR="001C44D7" w:rsidRPr="00CA2E4A">
        <w:rPr>
          <w:lang w:eastAsia="en-GB"/>
        </w:rPr>
        <w:t xml:space="preserve"> </w:t>
      </w:r>
      <w:r w:rsidR="0091446A" w:rsidRPr="00CA2E4A">
        <w:rPr>
          <w:lang w:eastAsia="en-GB"/>
        </w:rPr>
        <w:t>are</w:t>
      </w:r>
      <w:r w:rsidR="00EA4C64" w:rsidRPr="00CA2E4A">
        <w:rPr>
          <w:lang w:eastAsia="en-GB"/>
        </w:rPr>
        <w:t xml:space="preserve"> used to translate exposure into CVD</w:t>
      </w:r>
      <w:r w:rsidR="00247CD3">
        <w:rPr>
          <w:lang w:eastAsia="en-GB"/>
        </w:rPr>
        <w:t xml:space="preserve"> and GCa</w:t>
      </w:r>
      <w:r w:rsidR="00EA4C64" w:rsidRPr="00CA2E4A">
        <w:rPr>
          <w:lang w:eastAsia="en-GB"/>
        </w:rPr>
        <w:t xml:space="preserve"> incidence and mortality</w:t>
      </w:r>
      <w:r w:rsidR="001C44D7" w:rsidRPr="00CA2E4A">
        <w:rPr>
          <w:lang w:eastAsia="en-GB"/>
        </w:rPr>
        <w:t>,</w:t>
      </w:r>
      <w:r w:rsidR="0091446A" w:rsidRPr="00CA2E4A">
        <w:rPr>
          <w:lang w:eastAsia="en-GB"/>
        </w:rPr>
        <w:t xml:space="preserve"> in a competing risk framework.</w:t>
      </w:r>
      <w:r w:rsidR="00EA4C64" w:rsidRPr="00CA2E4A">
        <w:rPr>
          <w:lang w:eastAsia="en-GB"/>
        </w:rPr>
        <w:t xml:space="preserve"> </w:t>
      </w:r>
      <w:r w:rsidR="00D161AA">
        <w:rPr>
          <w:lang w:eastAsia="en-GB"/>
        </w:rPr>
        <w:t>E</w:t>
      </w:r>
      <w:r w:rsidR="00D161AA" w:rsidRPr="00CA2E4A">
        <w:rPr>
          <w:lang w:eastAsia="en-GB"/>
        </w:rPr>
        <w:t>ffect sizes were taken from published meta-analyses</w:t>
      </w:r>
      <w:r w:rsidR="00D31E42">
        <w:rPr>
          <w:lang w:eastAsia="en-GB"/>
        </w:rPr>
        <w:t xml:space="preserve"> and longitudinal studies (see Table S1 in the Supplement)</w:t>
      </w:r>
      <w:r w:rsidR="00D161AA" w:rsidRPr="00CA2E4A">
        <w:rPr>
          <w:lang w:eastAsia="en-GB"/>
        </w:rPr>
        <w:t>.</w:t>
      </w:r>
      <w:r w:rsidR="00D161AA">
        <w:rPr>
          <w:lang w:eastAsia="en-GB"/>
        </w:rPr>
        <w:t xml:space="preserve"> F</w:t>
      </w:r>
      <w:r w:rsidR="00247CD3">
        <w:rPr>
          <w:lang w:eastAsia="en-GB"/>
        </w:rPr>
        <w:t xml:space="preserve">or salt, we assumed </w:t>
      </w:r>
      <w:r w:rsidR="00D161AA">
        <w:rPr>
          <w:lang w:eastAsia="en-GB"/>
        </w:rPr>
        <w:t>a mediated effect through systolic blood pressure on CVD incidence with</w:t>
      </w:r>
      <w:r w:rsidR="00D161AA" w:rsidRPr="00CA2E4A">
        <w:rPr>
          <w:lang w:eastAsia="en-GB"/>
        </w:rPr>
        <w:t xml:space="preserve"> 5-year </w:t>
      </w:r>
      <w:r w:rsidR="00FF4EE5">
        <w:rPr>
          <w:lang w:eastAsia="en-GB"/>
        </w:rPr>
        <w:t xml:space="preserve">mean </w:t>
      </w:r>
      <w:r w:rsidR="00D161AA" w:rsidRPr="00CA2E4A">
        <w:rPr>
          <w:lang w:eastAsia="en-GB"/>
        </w:rPr>
        <w:t>lag time</w:t>
      </w:r>
      <w:r w:rsidR="00D161AA">
        <w:rPr>
          <w:lang w:eastAsia="en-GB"/>
        </w:rPr>
        <w:t>, and</w:t>
      </w:r>
      <w:r w:rsidR="00D161AA" w:rsidRPr="00CA2E4A">
        <w:rPr>
          <w:lang w:eastAsia="en-GB"/>
        </w:rPr>
        <w:t xml:space="preserve"> </w:t>
      </w:r>
      <w:r w:rsidR="00247CD3">
        <w:rPr>
          <w:lang w:eastAsia="en-GB"/>
        </w:rPr>
        <w:t xml:space="preserve">a direct effect </w:t>
      </w:r>
      <w:r w:rsidR="00566088">
        <w:rPr>
          <w:noProof/>
          <w:lang w:eastAsia="en-GB"/>
        </w:rPr>
        <w:t>on</w:t>
      </w:r>
      <w:r w:rsidR="00247CD3">
        <w:rPr>
          <w:lang w:eastAsia="en-GB"/>
        </w:rPr>
        <w:t xml:space="preserve"> GCa incidence with a </w:t>
      </w:r>
      <w:r w:rsidR="00FF4EE5">
        <w:rPr>
          <w:lang w:eastAsia="en-GB"/>
        </w:rPr>
        <w:t xml:space="preserve">mean </w:t>
      </w:r>
      <w:r w:rsidR="00247CD3">
        <w:rPr>
          <w:lang w:eastAsia="en-GB"/>
        </w:rPr>
        <w:t xml:space="preserve">lag time of </w:t>
      </w:r>
      <w:r w:rsidR="00765645">
        <w:rPr>
          <w:lang w:eastAsia="en-GB"/>
        </w:rPr>
        <w:t>8</w:t>
      </w:r>
      <w:r w:rsidR="00247CD3">
        <w:rPr>
          <w:lang w:eastAsia="en-GB"/>
        </w:rPr>
        <w:t xml:space="preserve"> years</w:t>
      </w:r>
      <w:r w:rsidR="00D161AA">
        <w:rPr>
          <w:lang w:eastAsia="en-GB"/>
        </w:rPr>
        <w:t>.</w:t>
      </w:r>
      <w:r w:rsidR="00247CD3">
        <w:rPr>
          <w:lang w:eastAsia="en-GB"/>
        </w:rPr>
        <w:t xml:space="preserve"> </w:t>
      </w:r>
    </w:p>
    <w:p w14:paraId="7EB5E754" w14:textId="4846E817" w:rsidR="00272EBA" w:rsidRDefault="0029366C" w:rsidP="00AC0B1E">
      <w:pPr>
        <w:rPr>
          <w:lang w:eastAsia="en-GB"/>
        </w:rPr>
      </w:pPr>
      <w:r>
        <w:rPr>
          <w:lang w:eastAsia="en-GB"/>
        </w:rPr>
        <w:t>Outputs include CVD and GCa incidence and mortality</w:t>
      </w:r>
      <w:r w:rsidR="005A6F7C">
        <w:rPr>
          <w:lang w:eastAsia="en-GB"/>
        </w:rPr>
        <w:t xml:space="preserve"> in</w:t>
      </w:r>
      <w:r>
        <w:rPr>
          <w:lang w:eastAsia="en-GB"/>
        </w:rPr>
        <w:t xml:space="preserve"> the synthetic popul</w:t>
      </w:r>
      <w:r w:rsidR="005A6F7C">
        <w:rPr>
          <w:lang w:eastAsia="en-GB"/>
        </w:rPr>
        <w:t>ation under different scenarios</w:t>
      </w:r>
      <w:r w:rsidR="0091446A" w:rsidRPr="00CA2E4A">
        <w:rPr>
          <w:lang w:eastAsia="en-GB"/>
        </w:rPr>
        <w:t>.</w:t>
      </w:r>
      <w:r w:rsidR="004F0CE2" w:rsidRPr="00CA2E4A">
        <w:rPr>
          <w:lang w:eastAsia="en-GB"/>
        </w:rPr>
        <w:t xml:space="preserve"> A detailed description of IMPACT</w:t>
      </w:r>
      <w:r w:rsidR="004F0CE2" w:rsidRPr="00CA2E4A">
        <w:rPr>
          <w:b/>
          <w:vertAlign w:val="subscript"/>
          <w:lang w:eastAsia="en-GB"/>
        </w:rPr>
        <w:t>NCD</w:t>
      </w:r>
      <w:r w:rsidR="004F0CE2" w:rsidRPr="00CA2E4A">
        <w:rPr>
          <w:lang w:eastAsia="en-GB"/>
        </w:rPr>
        <w:t xml:space="preserve"> </w:t>
      </w:r>
      <w:r w:rsidR="00D161AA">
        <w:rPr>
          <w:lang w:eastAsia="en-GB"/>
        </w:rPr>
        <w:t xml:space="preserve">is provided </w:t>
      </w:r>
      <w:r w:rsidR="004F0CE2" w:rsidRPr="00CA2E4A">
        <w:rPr>
          <w:lang w:eastAsia="en-GB"/>
        </w:rPr>
        <w:t xml:space="preserve">in the </w:t>
      </w:r>
      <w:r w:rsidR="00E0127B">
        <w:rPr>
          <w:lang w:eastAsia="en-GB"/>
        </w:rPr>
        <w:t>Supplement</w:t>
      </w:r>
      <w:r w:rsidR="005D0AE3">
        <w:rPr>
          <w:lang w:eastAsia="en-GB"/>
        </w:rPr>
        <w:t xml:space="preserve"> Chapters S</w:t>
      </w:r>
      <w:r w:rsidR="00320F38">
        <w:rPr>
          <w:lang w:eastAsia="en-GB"/>
        </w:rPr>
        <w:t>2-S4</w:t>
      </w:r>
      <w:r w:rsidR="00B93C85">
        <w:rPr>
          <w:lang w:eastAsia="en-GB"/>
        </w:rPr>
        <w:t>.</w:t>
      </w:r>
    </w:p>
    <w:p w14:paraId="23788936" w14:textId="0D7D276A" w:rsidR="00FC6EAB" w:rsidRPr="00EC3443" w:rsidRDefault="00BC3D9D" w:rsidP="00AC0B1E">
      <w:pPr>
        <w:pStyle w:val="Heading3"/>
      </w:pPr>
      <w:r w:rsidRPr="00EC3443">
        <w:t>Risk factor</w:t>
      </w:r>
      <w:r w:rsidR="00FC6EAB" w:rsidRPr="00EC3443">
        <w:t xml:space="preserve"> </w:t>
      </w:r>
      <w:r w:rsidRPr="00EC3443">
        <w:t>modelling</w:t>
      </w:r>
    </w:p>
    <w:p w14:paraId="6234B4A8" w14:textId="2C4827E1" w:rsidR="00FC6EAB" w:rsidRPr="00CA2E4A" w:rsidRDefault="00FC6EAB" w:rsidP="00AC0B1E">
      <w:r>
        <w:lastRenderedPageBreak/>
        <w:t xml:space="preserve">The </w:t>
      </w:r>
      <w:r w:rsidR="00B93C85">
        <w:t xml:space="preserve">exposure of the </w:t>
      </w:r>
      <w:r>
        <w:t xml:space="preserve">synthetic population </w:t>
      </w:r>
      <w:r w:rsidR="00B93C85">
        <w:t xml:space="preserve">to </w:t>
      </w:r>
      <w:r>
        <w:t xml:space="preserve">salt was informed </w:t>
      </w:r>
      <w:r w:rsidR="00536C46">
        <w:t>by four</w:t>
      </w:r>
      <w:r>
        <w:t xml:space="preserve"> nationally representative surveys </w:t>
      </w:r>
      <w:r w:rsidR="00EC3443">
        <w:t xml:space="preserve">employing </w:t>
      </w:r>
      <w:r w:rsidR="00536C46" w:rsidRPr="00FE292A">
        <w:t>24</w:t>
      </w:r>
      <w:r w:rsidR="00B749DA">
        <w:t>h</w:t>
      </w:r>
      <w:r w:rsidRPr="00FE292A">
        <w:t xml:space="preserve"> urine collections</w:t>
      </w:r>
      <w:r>
        <w:t xml:space="preserve"> </w:t>
      </w:r>
      <w:r w:rsidR="00B93C85">
        <w:t>between 2001</w:t>
      </w:r>
      <w:r w:rsidR="00EC3443">
        <w:t>-</w:t>
      </w:r>
      <w:r w:rsidR="00B93C85">
        <w:t>2011</w:t>
      </w:r>
      <w:r>
        <w:t>.</w:t>
      </w:r>
      <w:r w:rsidR="00566088" w:rsidRPr="00566088">
        <w:rPr>
          <w:rFonts w:ascii="Calibri" w:hAnsi="Calibri" w:cs="Times New Roman"/>
          <w:szCs w:val="24"/>
        </w:rPr>
        <w:t>[10,24–26]</w:t>
      </w:r>
      <w:r>
        <w:t xml:space="preserve"> </w:t>
      </w:r>
      <w:r w:rsidR="00B93C85">
        <w:t>We used a stochastic process to enhance the information from these surveys with information from spot urine measurements (see detailed description in the Supplement</w:t>
      </w:r>
      <w:r w:rsidR="00435A9F">
        <w:t xml:space="preserve"> Paragraph S</w:t>
      </w:r>
      <w:r w:rsidR="00320F38">
        <w:t>3</w:t>
      </w:r>
      <w:r w:rsidR="00435A9F">
        <w:t>.3.2</w:t>
      </w:r>
      <w:r w:rsidR="00B93C85">
        <w:t xml:space="preserve">). </w:t>
      </w:r>
      <w:r w:rsidR="002F4EE9">
        <w:t>Then, w</w:t>
      </w:r>
      <w:r w:rsidR="00BC3D9D">
        <w:t>e used quantile regression t</w:t>
      </w:r>
      <w:r>
        <w:t xml:space="preserve">o </w:t>
      </w:r>
      <w:r w:rsidR="00BC3D9D">
        <w:t>project daily salt consumption to 20</w:t>
      </w:r>
      <w:r w:rsidR="00A23DC5">
        <w:t>30</w:t>
      </w:r>
      <w:r w:rsidR="00BC3D9D">
        <w:t xml:space="preserve">. </w:t>
      </w:r>
      <w:r w:rsidR="00F62D17">
        <w:t xml:space="preserve">Changes in salt consumption were transformed to </w:t>
      </w:r>
      <w:r w:rsidR="00945BDE">
        <w:rPr>
          <w:lang w:eastAsia="en-GB"/>
        </w:rPr>
        <w:t>systolic blood pressure</w:t>
      </w:r>
      <w:r w:rsidR="00F62D17">
        <w:t xml:space="preserve"> changes using the meta-regression equation of a meta-analys</w:t>
      </w:r>
      <w:r w:rsidR="00354C7A">
        <w:t>i</w:t>
      </w:r>
      <w:r w:rsidR="00F62D17">
        <w:t>s of 103 trials.</w:t>
      </w:r>
      <w:r w:rsidR="00566088" w:rsidRPr="00566088">
        <w:rPr>
          <w:rFonts w:ascii="Calibri" w:hAnsi="Calibri"/>
        </w:rPr>
        <w:t>[3]</w:t>
      </w:r>
      <w:r w:rsidR="00F62D17">
        <w:t xml:space="preserve"> </w:t>
      </w:r>
      <w:r w:rsidR="004D7A7F">
        <w:t xml:space="preserve">The ideal level of salt consumption is </w:t>
      </w:r>
      <w:r w:rsidR="00610484">
        <w:t>not clear (see appendix Text S4 in Mozaffarian et al)</w:t>
      </w:r>
      <w:r w:rsidR="00435A9F">
        <w:t>.</w:t>
      </w:r>
      <w:r w:rsidR="00566088" w:rsidRPr="00566088">
        <w:rPr>
          <w:rFonts w:ascii="Calibri" w:hAnsi="Calibri"/>
        </w:rPr>
        <w:t>[3]</w:t>
      </w:r>
      <w:r w:rsidR="004D7A7F">
        <w:t xml:space="preserve"> </w:t>
      </w:r>
      <w:r w:rsidR="000643D0">
        <w:t xml:space="preserve">We allowed the level of </w:t>
      </w:r>
      <w:r w:rsidR="00B32446">
        <w:t>ideal</w:t>
      </w:r>
      <w:r w:rsidR="000643D0">
        <w:t xml:space="preserve"> salt consumption under which no risk exist to vary between 1.5 g/day and 6 g/day with a m</w:t>
      </w:r>
      <w:r w:rsidR="005C63D1">
        <w:t xml:space="preserve">ode </w:t>
      </w:r>
      <w:r w:rsidR="000643D0">
        <w:t>of 3.8 g/day,</w:t>
      </w:r>
      <w:r w:rsidR="002F4EE9">
        <w:t xml:space="preserve"> following a </w:t>
      </w:r>
      <w:r w:rsidR="00EC3443">
        <w:t xml:space="preserve">PERT </w:t>
      </w:r>
      <w:r w:rsidR="002F4EE9">
        <w:t>distribution.</w:t>
      </w:r>
      <w:r w:rsidR="00566088" w:rsidRPr="00566088">
        <w:rPr>
          <w:rFonts w:ascii="Calibri" w:hAnsi="Calibri"/>
        </w:rPr>
        <w:t>[27]</w:t>
      </w:r>
    </w:p>
    <w:p w14:paraId="1B037B48" w14:textId="4A87D92C" w:rsidR="00F54B33" w:rsidRDefault="000E3F8F" w:rsidP="00AC0B1E">
      <w:r>
        <w:t>Trends</w:t>
      </w:r>
      <w:r w:rsidR="00361F1E">
        <w:t xml:space="preserve"> of other CVD and GCa associated risk factors were </w:t>
      </w:r>
      <w:r w:rsidR="00AA5B01">
        <w:t xml:space="preserve">also </w:t>
      </w:r>
      <w:r w:rsidR="00FC6EAB">
        <w:t>considered</w:t>
      </w:r>
      <w:r w:rsidR="00B77597" w:rsidRPr="00CA2E4A">
        <w:t xml:space="preserve"> </w:t>
      </w:r>
      <w:r w:rsidR="00E23138">
        <w:t>in this study</w:t>
      </w:r>
      <w:r w:rsidR="00505035">
        <w:t xml:space="preserve"> by projecting the observed </w:t>
      </w:r>
      <w:r w:rsidR="00D64FCB">
        <w:t xml:space="preserve">in </w:t>
      </w:r>
      <w:r w:rsidR="00A23DC5" w:rsidRPr="00A23DC5">
        <w:t>Health Survey for England</w:t>
      </w:r>
      <w:r w:rsidR="00D64FCB">
        <w:t xml:space="preserve"> </w:t>
      </w:r>
      <w:r w:rsidR="00505035">
        <w:t>trends</w:t>
      </w:r>
      <w:r w:rsidRPr="000E3F8F">
        <w:t xml:space="preserve"> </w:t>
      </w:r>
      <w:r>
        <w:t>since 2001</w:t>
      </w:r>
      <w:r w:rsidR="00D64FCB">
        <w:t>,</w:t>
      </w:r>
      <w:r w:rsidR="00505035">
        <w:t xml:space="preserve"> up to </w:t>
      </w:r>
      <w:r w:rsidR="00A23DC5">
        <w:t>2030</w:t>
      </w:r>
      <w:r w:rsidR="00E23138">
        <w:t xml:space="preserve">. </w:t>
      </w:r>
      <w:r w:rsidR="00FC6EAB">
        <w:t xml:space="preserve">For </w:t>
      </w:r>
      <w:r w:rsidR="00F54B33">
        <w:t>CVD</w:t>
      </w:r>
      <w:r w:rsidR="00FC6EAB">
        <w:t>,</w:t>
      </w:r>
      <w:r w:rsidR="00F54B33">
        <w:t xml:space="preserve"> </w:t>
      </w:r>
      <w:r w:rsidR="002940A8" w:rsidRPr="00CA2E4A">
        <w:t>body mass i</w:t>
      </w:r>
      <w:r w:rsidR="00FC6EAB">
        <w:t xml:space="preserve">ndex, </w:t>
      </w:r>
      <w:r w:rsidR="00BC60C5">
        <w:t>total plasma cholestero</w:t>
      </w:r>
      <w:r w:rsidR="00FF4EE5">
        <w:t>l</w:t>
      </w:r>
      <w:r w:rsidR="002940A8" w:rsidRPr="00CA2E4A">
        <w:t>, diabetes mellitus (</w:t>
      </w:r>
      <w:r w:rsidR="00E0127B">
        <w:t>diagnosis</w:t>
      </w:r>
      <w:r w:rsidR="00495614">
        <w:t xml:space="preserve"> or elevated g</w:t>
      </w:r>
      <w:r w:rsidR="00495614" w:rsidRPr="00495614">
        <w:t xml:space="preserve">lycated </w:t>
      </w:r>
      <w:r w:rsidR="00495614">
        <w:t>h</w:t>
      </w:r>
      <w:r w:rsidR="00495614" w:rsidRPr="00495614">
        <w:t>aemoglobin</w:t>
      </w:r>
      <w:r w:rsidR="00E0127B">
        <w:t>/no dia</w:t>
      </w:r>
      <w:r w:rsidR="00495614">
        <w:t>betes</w:t>
      </w:r>
      <w:r w:rsidR="002940A8" w:rsidRPr="00CA2E4A">
        <w:t>), smoking status (current</w:t>
      </w:r>
      <w:r w:rsidR="00102B6C" w:rsidRPr="00CA2E4A">
        <w:t>/ex/never smoker</w:t>
      </w:r>
      <w:r w:rsidR="002940A8" w:rsidRPr="00CA2E4A">
        <w:t>)</w:t>
      </w:r>
      <w:r w:rsidR="00102B6C" w:rsidRPr="00CA2E4A">
        <w:t>, environmental tobacco exposure</w:t>
      </w:r>
      <w:r w:rsidR="002940A8" w:rsidRPr="00CA2E4A">
        <w:t xml:space="preserve"> </w:t>
      </w:r>
      <w:r w:rsidR="00BC60C5">
        <w:t>(</w:t>
      </w:r>
      <w:r w:rsidR="00D9224C" w:rsidRPr="00CA2E4A">
        <w:t>binary variable)</w:t>
      </w:r>
      <w:r w:rsidR="000171FE" w:rsidRPr="00CA2E4A">
        <w:t xml:space="preserve">, </w:t>
      </w:r>
      <w:r w:rsidR="00102B6C" w:rsidRPr="00CA2E4A">
        <w:t xml:space="preserve">fruit and vegetable </w:t>
      </w:r>
      <w:r w:rsidR="00384D12" w:rsidRPr="00CA2E4A">
        <w:t>(</w:t>
      </w:r>
      <w:r w:rsidR="004D7A7F">
        <w:t>port</w:t>
      </w:r>
      <w:r w:rsidR="00610484">
        <w:t>i</w:t>
      </w:r>
      <w:r w:rsidR="004D7A7F">
        <w:t>ons</w:t>
      </w:r>
      <w:r w:rsidR="00D96783">
        <w:t>/day</w:t>
      </w:r>
      <w:r w:rsidR="00384D12" w:rsidRPr="00CA2E4A">
        <w:t xml:space="preserve">) </w:t>
      </w:r>
      <w:r w:rsidR="00102B6C" w:rsidRPr="00CA2E4A">
        <w:t>consumption</w:t>
      </w:r>
      <w:r w:rsidR="004E120B" w:rsidRPr="00CA2E4A">
        <w:t>,</w:t>
      </w:r>
      <w:r w:rsidR="00384D12" w:rsidRPr="00CA2E4A">
        <w:t xml:space="preserve"> </w:t>
      </w:r>
      <w:r w:rsidR="00BC60C5">
        <w:t>and physical activity (</w:t>
      </w:r>
      <w:r w:rsidR="004D7A7F">
        <w:t>days with at least 30 min of moderate or vigorous physical activity/week</w:t>
      </w:r>
      <w:r w:rsidR="000171FE" w:rsidRPr="00CA2E4A">
        <w:t>)</w:t>
      </w:r>
      <w:r w:rsidR="00FC6EAB">
        <w:t xml:space="preserve"> were included</w:t>
      </w:r>
      <w:r w:rsidR="002940A8" w:rsidRPr="00CA2E4A">
        <w:t>.</w:t>
      </w:r>
      <w:r w:rsidR="00F54B33">
        <w:t xml:space="preserve"> </w:t>
      </w:r>
      <w:r w:rsidR="00FC6EAB">
        <w:t>S</w:t>
      </w:r>
      <w:r w:rsidR="00F54B33">
        <w:t xml:space="preserve">moking </w:t>
      </w:r>
      <w:r w:rsidR="00FF4EE5">
        <w:t>duration, body</w:t>
      </w:r>
      <w:r w:rsidR="00FF4EE5" w:rsidRPr="00CA2E4A">
        <w:t xml:space="preserve"> mass i</w:t>
      </w:r>
      <w:r w:rsidR="00FF4EE5">
        <w:t xml:space="preserve">ndex, </w:t>
      </w:r>
      <w:r w:rsidR="00F54B33">
        <w:t xml:space="preserve">and </w:t>
      </w:r>
      <w:r w:rsidR="00FF4EE5">
        <w:t>less than two portions of fruit &amp; vegetable consumption</w:t>
      </w:r>
      <w:r w:rsidR="00F54B33">
        <w:t xml:space="preserve"> were considered</w:t>
      </w:r>
      <w:r w:rsidR="00F54B33" w:rsidRPr="00F54B33">
        <w:t xml:space="preserve"> </w:t>
      </w:r>
      <w:r w:rsidR="00F54B33">
        <w:t>for GCa.</w:t>
      </w:r>
      <w:r w:rsidR="00566088" w:rsidRPr="00566088">
        <w:rPr>
          <w:rFonts w:ascii="Calibri" w:hAnsi="Calibri"/>
        </w:rPr>
        <w:t>[28]</w:t>
      </w:r>
    </w:p>
    <w:p w14:paraId="0E7C4E8F" w14:textId="77777777" w:rsidR="00961F74" w:rsidRDefault="00961F74" w:rsidP="00AC0B1E"/>
    <w:p w14:paraId="6F9D425C" w14:textId="3BBB8C2D" w:rsidR="00FF2928" w:rsidRDefault="00AE4A3D" w:rsidP="00AC0B1E">
      <w:r w:rsidRPr="00CA2E4A">
        <w:t>CVD was defined as the sum of coronary heart disease (CHD) and stroke</w:t>
      </w:r>
      <w:r w:rsidR="00181164" w:rsidRPr="00CA2E4A">
        <w:t xml:space="preserve"> </w:t>
      </w:r>
      <w:r w:rsidR="004E120B" w:rsidRPr="00CA2E4A">
        <w:t xml:space="preserve">(any type) </w:t>
      </w:r>
      <w:r w:rsidR="00181164" w:rsidRPr="00CA2E4A">
        <w:t>cases. This study focuses on primary prevention</w:t>
      </w:r>
      <w:r w:rsidR="00095DA4">
        <w:t>;</w:t>
      </w:r>
      <w:r w:rsidR="00181164" w:rsidRPr="00CA2E4A">
        <w:t xml:space="preserve"> hence</w:t>
      </w:r>
      <w:r w:rsidR="00095DA4">
        <w:t>,</w:t>
      </w:r>
      <w:r w:rsidR="000E3F8F">
        <w:t xml:space="preserve"> only the first episode of CHD, </w:t>
      </w:r>
      <w:r w:rsidR="00181164" w:rsidRPr="00CA2E4A">
        <w:t xml:space="preserve">stroke </w:t>
      </w:r>
      <w:r w:rsidR="000E3F8F">
        <w:t>and GCa</w:t>
      </w:r>
      <w:r w:rsidR="00F54B33">
        <w:t xml:space="preserve"> </w:t>
      </w:r>
      <w:r w:rsidR="000E3F8F">
        <w:t>was considered</w:t>
      </w:r>
      <w:r w:rsidR="00125A41">
        <w:t xml:space="preserve">. </w:t>
      </w:r>
      <w:r w:rsidR="00181164" w:rsidRPr="00CA2E4A">
        <w:t xml:space="preserve">The competing risk </w:t>
      </w:r>
      <w:r w:rsidR="00744CEC" w:rsidRPr="00CA2E4A">
        <w:t>framework allows</w:t>
      </w:r>
      <w:r w:rsidR="00181164" w:rsidRPr="00CA2E4A">
        <w:t xml:space="preserve"> individuals to develop CHD</w:t>
      </w:r>
      <w:r w:rsidR="00125A41">
        <w:t>,</w:t>
      </w:r>
      <w:r w:rsidR="00181164" w:rsidRPr="00CA2E4A">
        <w:t xml:space="preserve"> </w:t>
      </w:r>
      <w:r w:rsidR="000421B5" w:rsidRPr="00CA2E4A">
        <w:t>stroke</w:t>
      </w:r>
      <w:r w:rsidR="00125A41" w:rsidRPr="00CA2E4A">
        <w:t xml:space="preserve"> </w:t>
      </w:r>
      <w:r w:rsidR="00744CEC" w:rsidRPr="00CA2E4A">
        <w:t>or</w:t>
      </w:r>
      <w:r w:rsidR="00125A41">
        <w:t xml:space="preserve"> GCa</w:t>
      </w:r>
      <w:r w:rsidR="00181164" w:rsidRPr="00CA2E4A">
        <w:t xml:space="preserve"> </w:t>
      </w:r>
      <w:r w:rsidR="00125A41">
        <w:t>independently</w:t>
      </w:r>
      <w:r w:rsidR="00744CEC" w:rsidRPr="00CA2E4A">
        <w:t>, and die from these or any other cause.</w:t>
      </w:r>
    </w:p>
    <w:p w14:paraId="7F07AF04" w14:textId="77777777" w:rsidR="009453D8" w:rsidRPr="00172076" w:rsidRDefault="00A910CC" w:rsidP="00AC0B1E">
      <w:pPr>
        <w:pStyle w:val="Heading3"/>
      </w:pPr>
      <w:r w:rsidRPr="00172076">
        <w:t>Model o</w:t>
      </w:r>
      <w:r w:rsidR="009453D8" w:rsidRPr="00172076">
        <w:t>ut</w:t>
      </w:r>
      <w:r w:rsidR="00454788" w:rsidRPr="00172076">
        <w:t>puts</w:t>
      </w:r>
    </w:p>
    <w:p w14:paraId="64D2265C" w14:textId="5C7686AC" w:rsidR="005D3D28" w:rsidRDefault="00801D09" w:rsidP="00AC0B1E">
      <w:r>
        <w:rPr>
          <w:lang w:eastAsia="en-GB"/>
        </w:rPr>
        <w:t xml:space="preserve">For this study, </w:t>
      </w:r>
      <w:r w:rsidR="00291A7A" w:rsidRPr="00CA2E4A">
        <w:rPr>
          <w:lang w:eastAsia="en-GB"/>
        </w:rPr>
        <w:t>IMPACT</w:t>
      </w:r>
      <w:r w:rsidR="00291A7A" w:rsidRPr="00CA2E4A">
        <w:rPr>
          <w:b/>
          <w:vertAlign w:val="subscript"/>
          <w:lang w:eastAsia="en-GB"/>
        </w:rPr>
        <w:t>NCD</w:t>
      </w:r>
      <w:r w:rsidR="00291A7A" w:rsidRPr="00CA2E4A">
        <w:rPr>
          <w:lang w:eastAsia="en-GB"/>
        </w:rPr>
        <w:t xml:space="preserve"> estimate</w:t>
      </w:r>
      <w:r>
        <w:rPr>
          <w:lang w:eastAsia="en-GB"/>
        </w:rPr>
        <w:t>d</w:t>
      </w:r>
      <w:r w:rsidR="00454788" w:rsidRPr="00CA2E4A">
        <w:rPr>
          <w:lang w:eastAsia="en-GB"/>
        </w:rPr>
        <w:t xml:space="preserve"> </w:t>
      </w:r>
      <w:r w:rsidR="00226A2D" w:rsidRPr="00CA2E4A">
        <w:rPr>
          <w:lang w:eastAsia="en-GB"/>
        </w:rPr>
        <w:t xml:space="preserve">the </w:t>
      </w:r>
      <w:r w:rsidR="00804A04" w:rsidRPr="00CA2E4A">
        <w:rPr>
          <w:lang w:eastAsia="en-GB"/>
        </w:rPr>
        <w:t xml:space="preserve">cumulative </w:t>
      </w:r>
      <w:r w:rsidR="00226A2D" w:rsidRPr="00CA2E4A">
        <w:rPr>
          <w:lang w:eastAsia="en-GB"/>
        </w:rPr>
        <w:t xml:space="preserve">cases prevented or postponed and </w:t>
      </w:r>
      <w:r w:rsidR="00804A04" w:rsidRPr="00CA2E4A">
        <w:rPr>
          <w:lang w:eastAsia="en-GB"/>
        </w:rPr>
        <w:t xml:space="preserve">deaths </w:t>
      </w:r>
      <w:r w:rsidR="00226A2D" w:rsidRPr="00CA2E4A">
        <w:rPr>
          <w:lang w:eastAsia="en-GB"/>
        </w:rPr>
        <w:t xml:space="preserve">prevented or postponed </w:t>
      </w:r>
      <w:r>
        <w:rPr>
          <w:lang w:eastAsia="en-GB"/>
        </w:rPr>
        <w:t>for the relevant period</w:t>
      </w:r>
      <w:r w:rsidR="007B7503">
        <w:rPr>
          <w:lang w:eastAsia="en-GB"/>
        </w:rPr>
        <w:t xml:space="preserve"> </w:t>
      </w:r>
      <w:r w:rsidR="00D32E02">
        <w:rPr>
          <w:lang w:eastAsia="en-GB"/>
        </w:rPr>
        <w:t>and</w:t>
      </w:r>
      <w:r w:rsidR="007B7503">
        <w:rPr>
          <w:lang w:eastAsia="en-GB"/>
        </w:rPr>
        <w:t xml:space="preserve"> </w:t>
      </w:r>
      <w:r w:rsidR="00D32E02">
        <w:rPr>
          <w:lang w:eastAsia="en-GB"/>
        </w:rPr>
        <w:t xml:space="preserve">for </w:t>
      </w:r>
      <w:r w:rsidR="007B7503">
        <w:rPr>
          <w:lang w:eastAsia="en-GB"/>
        </w:rPr>
        <w:t>ages 30 to 84</w:t>
      </w:r>
      <w:r w:rsidR="00804A04" w:rsidRPr="00CA2E4A">
        <w:rPr>
          <w:lang w:eastAsia="en-GB"/>
        </w:rPr>
        <w:t xml:space="preserve">. </w:t>
      </w:r>
      <w:r w:rsidR="00226A2D" w:rsidRPr="00CA2E4A">
        <w:rPr>
          <w:lang w:eastAsia="en-GB"/>
        </w:rPr>
        <w:t>T</w:t>
      </w:r>
      <w:r w:rsidR="005A6F7C">
        <w:rPr>
          <w:lang w:eastAsia="en-GB"/>
        </w:rPr>
        <w:t>he results were stratified by quintile group</w:t>
      </w:r>
      <w:r w:rsidR="000421B5">
        <w:rPr>
          <w:lang w:eastAsia="en-GB"/>
        </w:rPr>
        <w:t>s</w:t>
      </w:r>
      <w:r w:rsidR="00F87CCF">
        <w:rPr>
          <w:lang w:eastAsia="en-GB"/>
        </w:rPr>
        <w:t xml:space="preserve"> of I</w:t>
      </w:r>
      <w:r w:rsidR="005A6F7C">
        <w:rPr>
          <w:lang w:eastAsia="en-GB"/>
        </w:rPr>
        <w:t xml:space="preserve">ndex of </w:t>
      </w:r>
      <w:r w:rsidR="00F87CCF">
        <w:rPr>
          <w:lang w:eastAsia="en-GB"/>
        </w:rPr>
        <w:t>M</w:t>
      </w:r>
      <w:r w:rsidR="005A6F7C">
        <w:rPr>
          <w:lang w:eastAsia="en-GB"/>
        </w:rPr>
        <w:t xml:space="preserve">ultiple </w:t>
      </w:r>
      <w:r w:rsidR="00F87CCF">
        <w:rPr>
          <w:lang w:eastAsia="en-GB"/>
        </w:rPr>
        <w:t>D</w:t>
      </w:r>
      <w:r w:rsidR="005A6F7C">
        <w:rPr>
          <w:lang w:eastAsia="en-GB"/>
        </w:rPr>
        <w:t>eprivation (QIMD)</w:t>
      </w:r>
      <w:r w:rsidRPr="00CA2E4A">
        <w:t>,</w:t>
      </w:r>
      <w:r w:rsidR="000E3F8F">
        <w:t xml:space="preserve"> </w:t>
      </w:r>
      <w:r w:rsidRPr="00CA2E4A">
        <w:t>a relative measure of area deprivation widely used in England.</w:t>
      </w:r>
      <w:r w:rsidR="00566088" w:rsidRPr="00566088">
        <w:rPr>
          <w:rFonts w:ascii="Calibri" w:hAnsi="Calibri"/>
        </w:rPr>
        <w:t>[29]</w:t>
      </w:r>
      <w:r w:rsidR="00B93C85">
        <w:t xml:space="preserve"> </w:t>
      </w:r>
      <w:r w:rsidR="00A73712">
        <w:t xml:space="preserve">Inspired by </w:t>
      </w:r>
      <w:r w:rsidR="005E3135">
        <w:t>the</w:t>
      </w:r>
      <w:r w:rsidR="00A73712">
        <w:t xml:space="preserve"> slope index of inequality</w:t>
      </w:r>
      <w:r w:rsidR="000421B5">
        <w:t>,</w:t>
      </w:r>
      <w:r w:rsidR="00566088" w:rsidRPr="00566088">
        <w:rPr>
          <w:rFonts w:ascii="Calibri" w:hAnsi="Calibri"/>
        </w:rPr>
        <w:t>[30]</w:t>
      </w:r>
      <w:r w:rsidR="00A73712">
        <w:t xml:space="preserve"> </w:t>
      </w:r>
      <w:r w:rsidR="005D3D28">
        <w:t xml:space="preserve">we used two </w:t>
      </w:r>
      <w:r w:rsidR="005D3D28" w:rsidRPr="00566088">
        <w:rPr>
          <w:noProof/>
        </w:rPr>
        <w:t>regression</w:t>
      </w:r>
      <w:r w:rsidR="00566088">
        <w:rPr>
          <w:noProof/>
        </w:rPr>
        <w:t>-</w:t>
      </w:r>
      <w:r w:rsidR="005D3D28" w:rsidRPr="00566088">
        <w:rPr>
          <w:noProof/>
        </w:rPr>
        <w:t>based</w:t>
      </w:r>
      <w:r w:rsidR="005D3D28">
        <w:t xml:space="preserve"> metrics</w:t>
      </w:r>
      <w:r w:rsidR="003C5EEC">
        <w:t>,</w:t>
      </w:r>
      <w:r w:rsidR="005D3D28">
        <w:t xml:space="preserve"> the </w:t>
      </w:r>
      <w:r w:rsidR="003C5EEC">
        <w:t>‘</w:t>
      </w:r>
      <w:r w:rsidR="005D3D28">
        <w:t xml:space="preserve">absolute </w:t>
      </w:r>
      <w:r w:rsidR="00532930">
        <w:t>equity</w:t>
      </w:r>
      <w:r w:rsidR="003C5EEC">
        <w:t xml:space="preserve"> </w:t>
      </w:r>
      <w:r w:rsidR="005D3D28">
        <w:t>slope index</w:t>
      </w:r>
      <w:r w:rsidR="003C5EEC">
        <w:t>’</w:t>
      </w:r>
      <w:r w:rsidR="005D3D28">
        <w:t xml:space="preserve"> and the </w:t>
      </w:r>
      <w:r w:rsidR="003C5EEC">
        <w:t xml:space="preserve">‘relative </w:t>
      </w:r>
      <w:r w:rsidR="00532930">
        <w:t>equity</w:t>
      </w:r>
      <w:r w:rsidR="003C5EEC">
        <w:t xml:space="preserve"> </w:t>
      </w:r>
      <w:r w:rsidR="005D3D28">
        <w:t>slope index</w:t>
      </w:r>
      <w:r w:rsidR="003C5EEC">
        <w:t>’</w:t>
      </w:r>
      <w:r w:rsidR="005E3135">
        <w:t>,</w:t>
      </w:r>
      <w:r w:rsidR="005E3135" w:rsidRPr="005E3135">
        <w:t xml:space="preserve"> </w:t>
      </w:r>
      <w:r w:rsidR="005E3135">
        <w:t>as equity measures of a policy</w:t>
      </w:r>
      <w:r w:rsidR="003C5EEC">
        <w:t>.</w:t>
      </w:r>
      <w:r w:rsidR="005D3D28">
        <w:t xml:space="preserve"> </w:t>
      </w:r>
      <w:r w:rsidR="003F3113">
        <w:t>The former measures the</w:t>
      </w:r>
      <w:r w:rsidR="0084218C">
        <w:t xml:space="preserve"> impact of an </w:t>
      </w:r>
      <w:r w:rsidR="0084218C">
        <w:lastRenderedPageBreak/>
        <w:t xml:space="preserve">intervention </w:t>
      </w:r>
      <w:r w:rsidR="003F3113">
        <w:t>on absolute inequality</w:t>
      </w:r>
      <w:r w:rsidR="000E3935">
        <w:t>; for instance, a value of 100 means 100 more cases were prevented or postponed in most deprived compared to least deprived</w:t>
      </w:r>
      <w:r w:rsidR="00E06BF2">
        <w:t xml:space="preserve"> areas</w:t>
      </w:r>
      <w:r w:rsidR="003F3113">
        <w:t>, and absolute inequality was decreased</w:t>
      </w:r>
      <w:r w:rsidR="000E3935">
        <w:t xml:space="preserve">. The latter takes into account </w:t>
      </w:r>
      <w:r w:rsidR="00A73712">
        <w:t xml:space="preserve">pre-existing socioeconomic gradient of </w:t>
      </w:r>
      <w:r w:rsidR="00E06BF2">
        <w:t>disease burden</w:t>
      </w:r>
      <w:r w:rsidR="003F3113">
        <w:t xml:space="preserve"> and measures the impact of an intervention on relative inequality</w:t>
      </w:r>
      <w:r w:rsidR="00E06BF2">
        <w:t>; positive values m</w:t>
      </w:r>
      <w:r w:rsidR="001A6CF3">
        <w:t>ean</w:t>
      </w:r>
      <w:r w:rsidR="00E06BF2">
        <w:t xml:space="preserve"> the poli</w:t>
      </w:r>
      <w:r w:rsidR="00DC4B8C">
        <w:t xml:space="preserve">cy tackles relative </w:t>
      </w:r>
      <w:r w:rsidR="00CD01B4">
        <w:t>inequality</w:t>
      </w:r>
      <w:r w:rsidR="00E06BF2">
        <w:t xml:space="preserve"> and negative </w:t>
      </w:r>
      <w:r w:rsidR="001A6CF3">
        <w:t>that the policy generates relative inequality.</w:t>
      </w:r>
    </w:p>
    <w:p w14:paraId="6D1685A4" w14:textId="2E74707D" w:rsidR="004C039D" w:rsidRDefault="00913E35" w:rsidP="00AC0B1E">
      <w:r>
        <w:t xml:space="preserve">Because of the assumed lag times, any </w:t>
      </w:r>
      <w:r w:rsidR="00085F18">
        <w:t xml:space="preserve">changes in salt exposure in the 2003 </w:t>
      </w:r>
      <w:r w:rsidR="00D50022">
        <w:t>to</w:t>
      </w:r>
      <w:r w:rsidR="00085F18">
        <w:t xml:space="preserve"> 2015</w:t>
      </w:r>
      <w:r>
        <w:t xml:space="preserve"> period will reflect on CVD incidence and mortality in years 2008 to 2020 and GCa incidence and mortality, in years 2011</w:t>
      </w:r>
      <w:r w:rsidR="00EC3443">
        <w:t>-</w:t>
      </w:r>
      <w:r>
        <w:t xml:space="preserve">2023. </w:t>
      </w:r>
      <w:r w:rsidR="00D50022">
        <w:t xml:space="preserve">Similarly, for the </w:t>
      </w:r>
      <w:r>
        <w:t xml:space="preserve">period </w:t>
      </w:r>
      <w:r w:rsidRPr="00566088">
        <w:rPr>
          <w:noProof/>
        </w:rPr>
        <w:t>201</w:t>
      </w:r>
      <w:r w:rsidR="004121A9" w:rsidRPr="00566088">
        <w:rPr>
          <w:noProof/>
        </w:rPr>
        <w:t>6</w:t>
      </w:r>
      <w:r w:rsidR="00EC3443" w:rsidRPr="00566088">
        <w:rPr>
          <w:noProof/>
        </w:rPr>
        <w:t>-</w:t>
      </w:r>
      <w:r w:rsidR="005C63D1" w:rsidRPr="00566088">
        <w:rPr>
          <w:noProof/>
        </w:rPr>
        <w:t>20</w:t>
      </w:r>
      <w:r w:rsidR="00A23DC5" w:rsidRPr="00566088">
        <w:rPr>
          <w:noProof/>
        </w:rPr>
        <w:t>30</w:t>
      </w:r>
      <w:r w:rsidR="00566088">
        <w:rPr>
          <w:noProof/>
        </w:rPr>
        <w:t>,</w:t>
      </w:r>
      <w:r>
        <w:t xml:space="preserve"> these changes will be reflected in CVD burden in 20</w:t>
      </w:r>
      <w:r w:rsidR="005C63D1">
        <w:t>2</w:t>
      </w:r>
      <w:r w:rsidR="002E5629">
        <w:t>1</w:t>
      </w:r>
      <w:r w:rsidR="00EC3443">
        <w:t>-</w:t>
      </w:r>
      <w:r>
        <w:t>203</w:t>
      </w:r>
      <w:r w:rsidR="002E5629">
        <w:t>5</w:t>
      </w:r>
      <w:r>
        <w:t xml:space="preserve"> and in GCa burden in 202</w:t>
      </w:r>
      <w:r w:rsidR="002E5629">
        <w:t>4</w:t>
      </w:r>
      <w:r w:rsidR="00EC3443">
        <w:t>-</w:t>
      </w:r>
      <w:r>
        <w:t>203</w:t>
      </w:r>
      <w:r w:rsidR="002E5629">
        <w:t>8</w:t>
      </w:r>
      <w:r>
        <w:t>.</w:t>
      </w:r>
    </w:p>
    <w:p w14:paraId="1411C5D7" w14:textId="77777777" w:rsidR="004A394D" w:rsidRDefault="004A394D" w:rsidP="00AC0B1E">
      <w:pPr>
        <w:pStyle w:val="Heading3"/>
      </w:pPr>
      <w:r>
        <w:t>Uncertainty</w:t>
      </w:r>
      <w:r w:rsidR="003104E4">
        <w:t xml:space="preserve"> Analysis</w:t>
      </w:r>
    </w:p>
    <w:p w14:paraId="08DF73E5" w14:textId="53033B94" w:rsidR="008D2AB9" w:rsidRDefault="000E3F8F" w:rsidP="00AC0B1E">
      <w:r>
        <w:rPr>
          <w:lang w:eastAsia="en-GB"/>
        </w:rPr>
        <w:t>A probabilistic sensitivity analysis is incorporated in our estimates,</w:t>
      </w:r>
      <w:r w:rsidRPr="00013244">
        <w:rPr>
          <w:lang w:eastAsia="en-GB"/>
        </w:rPr>
        <w:t xml:space="preserve"> </w:t>
      </w:r>
      <w:r>
        <w:rPr>
          <w:lang w:eastAsia="en-GB"/>
        </w:rPr>
        <w:t xml:space="preserve">as </w:t>
      </w:r>
      <w:r w:rsidR="004A394D" w:rsidRPr="00013244">
        <w:rPr>
          <w:lang w:eastAsia="en-GB"/>
        </w:rPr>
        <w:t>IMPACT</w:t>
      </w:r>
      <w:r w:rsidR="004A394D" w:rsidRPr="00F70947">
        <w:rPr>
          <w:b/>
          <w:vertAlign w:val="subscript"/>
          <w:lang w:eastAsia="en-GB"/>
        </w:rPr>
        <w:t>NCD</w:t>
      </w:r>
      <w:r w:rsidR="004A394D">
        <w:rPr>
          <w:lang w:eastAsia="en-GB"/>
        </w:rPr>
        <w:t xml:space="preserve"> implements a </w:t>
      </w:r>
      <w:r w:rsidR="00F36713">
        <w:rPr>
          <w:lang w:eastAsia="en-GB"/>
        </w:rPr>
        <w:t>second</w:t>
      </w:r>
      <w:r w:rsidR="004A394D">
        <w:rPr>
          <w:lang w:eastAsia="en-GB"/>
        </w:rPr>
        <w:t xml:space="preserve"> order Monte Carlo approach </w:t>
      </w:r>
      <w:r w:rsidR="0090436F">
        <w:rPr>
          <w:lang w:eastAsia="en-GB"/>
        </w:rPr>
        <w:t>that allows</w:t>
      </w:r>
      <w:r w:rsidR="0090436F" w:rsidRPr="0090436F">
        <w:rPr>
          <w:lang w:eastAsia="en-GB"/>
        </w:rPr>
        <w:t xml:space="preserve"> the estimated uncertainty of model inputs to be propagated to the outputs</w:t>
      </w:r>
      <w:r>
        <w:rPr>
          <w:lang w:eastAsia="en-GB"/>
        </w:rPr>
        <w:t>.</w:t>
      </w:r>
      <w:r w:rsidR="00566088" w:rsidRPr="00566088">
        <w:rPr>
          <w:rFonts w:ascii="Calibri" w:hAnsi="Calibri"/>
        </w:rPr>
        <w:t>[31]</w:t>
      </w:r>
      <w:r w:rsidR="004A394D">
        <w:rPr>
          <w:lang w:eastAsia="en-GB"/>
        </w:rPr>
        <w:t xml:space="preserve"> </w:t>
      </w:r>
      <w:r w:rsidR="004E763D" w:rsidRPr="004E763D">
        <w:rPr>
          <w:lang w:eastAsia="en-GB"/>
        </w:rPr>
        <w:t xml:space="preserve">We summarise the </w:t>
      </w:r>
      <w:r w:rsidR="004E763D">
        <w:rPr>
          <w:lang w:eastAsia="en-GB"/>
        </w:rPr>
        <w:t xml:space="preserve">output </w:t>
      </w:r>
      <w:r w:rsidR="004E763D" w:rsidRPr="004E763D">
        <w:rPr>
          <w:lang w:eastAsia="en-GB"/>
        </w:rPr>
        <w:t xml:space="preserve">distributions by reporting medians and interquartile ranges (IQR) in the form of first and third quartiles. </w:t>
      </w:r>
      <w:r w:rsidR="00651FD5">
        <w:rPr>
          <w:lang w:eastAsia="en-GB"/>
        </w:rPr>
        <w:t>We also report the probability (</w:t>
      </w:r>
      <w:r w:rsidR="00A56657" w:rsidRPr="00A60182">
        <w:rPr>
          <w:lang w:eastAsia="en-GB"/>
        </w:rPr>
        <w:t>P</w:t>
      </w:r>
      <w:r w:rsidR="00370230">
        <w:rPr>
          <w:lang w:eastAsia="en-GB"/>
        </w:rPr>
        <w:t>s</w:t>
      </w:r>
      <w:r w:rsidR="00A60182" w:rsidRPr="00A60182">
        <w:rPr>
          <w:lang w:eastAsia="en-GB"/>
        </w:rPr>
        <w:t>)</w:t>
      </w:r>
      <w:r w:rsidR="00651FD5">
        <w:t xml:space="preserve"> that a policy scenario </w:t>
      </w:r>
      <w:r w:rsidR="0015065A">
        <w:t xml:space="preserve">aspect </w:t>
      </w:r>
      <w:r w:rsidR="00651FD5">
        <w:t xml:space="preserve">is superior </w:t>
      </w:r>
      <w:r w:rsidR="0015065A">
        <w:t>to</w:t>
      </w:r>
      <w:r w:rsidR="00651FD5">
        <w:t xml:space="preserve"> the counterfactual one. </w:t>
      </w:r>
      <w:r w:rsidR="00AB1B7B">
        <w:t xml:space="preserve">For example, ‘100 cases prevented or postponed </w:t>
      </w:r>
      <w:r w:rsidR="00A60182">
        <w:t>(P</w:t>
      </w:r>
      <w:r w:rsidR="00370230">
        <w:t>s</w:t>
      </w:r>
      <w:r w:rsidR="00A60182">
        <w:t>=</w:t>
      </w:r>
      <w:r w:rsidR="00AB1B7B">
        <w:t>8</w:t>
      </w:r>
      <w:r w:rsidR="00A60182">
        <w:t>0%</w:t>
      </w:r>
      <w:r w:rsidR="00B30686">
        <w:t>)</w:t>
      </w:r>
      <w:r w:rsidR="00AB1B7B">
        <w:t xml:space="preserve"> in scenario A’ is interpreted as ‘in 80% of Monte Carlo iterations </w:t>
      </w:r>
      <w:r w:rsidR="00B30686">
        <w:t xml:space="preserve">at least one case </w:t>
      </w:r>
      <w:r w:rsidR="00633FB6">
        <w:t>has</w:t>
      </w:r>
      <w:r w:rsidR="00B30686">
        <w:t xml:space="preserve"> been prevented or postponed in </w:t>
      </w:r>
      <w:r w:rsidR="00AB1B7B">
        <w:t xml:space="preserve">scenario </w:t>
      </w:r>
      <w:r w:rsidR="00B30686">
        <w:t>‘A’ comparing to the counterfactual scenario</w:t>
      </w:r>
      <w:r w:rsidR="00AB1B7B">
        <w:t>’</w:t>
      </w:r>
      <w:r w:rsidR="00B30686">
        <w:t xml:space="preserve">. </w:t>
      </w:r>
      <w:r w:rsidR="00633FB6">
        <w:t>Con</w:t>
      </w:r>
      <w:r w:rsidR="00B30686">
        <w:t xml:space="preserve">sequently, in the remaining 20% of iterations, cases in scenario ‘A’ were more than in the counterfactual scenario. This does not mean that scenario ‘A’ was harmful, but that its effect </w:t>
      </w:r>
      <w:r w:rsidR="00FA3460">
        <w:t xml:space="preserve">in those particular settings </w:t>
      </w:r>
      <w:r w:rsidR="00B30686">
        <w:t xml:space="preserve">was not large enough </w:t>
      </w:r>
      <w:r w:rsidR="00BC0760">
        <w:t xml:space="preserve">to </w:t>
      </w:r>
      <w:r w:rsidR="00633FB6">
        <w:t>exceed</w:t>
      </w:r>
      <w:r w:rsidR="00B30686">
        <w:t xml:space="preserve"> the ‘noise</w:t>
      </w:r>
      <w:r w:rsidR="00BC0760">
        <w:t xml:space="preserve"> level</w:t>
      </w:r>
      <w:r w:rsidR="00B30686">
        <w:t xml:space="preserve">’ from other sources of uncertainty </w:t>
      </w:r>
      <w:r w:rsidR="00FA3460">
        <w:t xml:space="preserve">in the model. </w:t>
      </w:r>
      <w:r w:rsidR="004A394D" w:rsidRPr="00CA2E4A">
        <w:t>For a detailed description of the sources of uncertainty that were</w:t>
      </w:r>
      <w:r>
        <w:t xml:space="preserve"> considered</w:t>
      </w:r>
      <w:r w:rsidR="00F36713">
        <w:t>,</w:t>
      </w:r>
      <w:r>
        <w:t xml:space="preserve"> please </w:t>
      </w:r>
      <w:r w:rsidR="00F36713">
        <w:t>refer to</w:t>
      </w:r>
      <w:r w:rsidR="004A394D" w:rsidRPr="00CA2E4A">
        <w:t xml:space="preserve"> the </w:t>
      </w:r>
      <w:r w:rsidR="004A394D">
        <w:t>Supplement</w:t>
      </w:r>
      <w:r w:rsidR="008B5CFD">
        <w:t xml:space="preserve"> Chapter S</w:t>
      </w:r>
      <w:r w:rsidR="00320F38">
        <w:t>6</w:t>
      </w:r>
      <w:r w:rsidR="004A394D">
        <w:t>.</w:t>
      </w:r>
    </w:p>
    <w:p w14:paraId="7F6DC0CD" w14:textId="0E6D8EA7" w:rsidR="00FE1920" w:rsidRDefault="00EE6FE3" w:rsidP="00AC0B1E">
      <w:pPr>
        <w:pStyle w:val="Heading2"/>
      </w:pPr>
      <w:r>
        <w:t>Period</w:t>
      </w:r>
      <w:r w:rsidR="00FE1920" w:rsidRPr="00FE1920">
        <w:t xml:space="preserve"> 20</w:t>
      </w:r>
      <w:r w:rsidR="00257CF5">
        <w:t>03</w:t>
      </w:r>
      <w:r w:rsidR="00EC3443">
        <w:t>-</w:t>
      </w:r>
      <w:r w:rsidR="00257CF5">
        <w:t>2015</w:t>
      </w:r>
      <w:r>
        <w:t xml:space="preserve"> scenarios</w:t>
      </w:r>
    </w:p>
    <w:p w14:paraId="308A638C" w14:textId="75E489C0" w:rsidR="00EE6FE3" w:rsidRPr="00EE6FE3" w:rsidRDefault="00EE6FE3" w:rsidP="00AC0B1E">
      <w:r>
        <w:t xml:space="preserve">Two scenarios were simulated. </w:t>
      </w:r>
      <w:r>
        <w:rPr>
          <w:lang w:eastAsia="en-GB"/>
        </w:rPr>
        <w:t xml:space="preserve">The ‘no intervention’ scenario assumes that no salt related interventions were implemented since 2003. Therefore, the salt exposure remained stable at the estimated level of 2003 for the </w:t>
      </w:r>
      <w:r w:rsidR="00923B1E">
        <w:rPr>
          <w:lang w:eastAsia="en-GB"/>
        </w:rPr>
        <w:t>period</w:t>
      </w:r>
      <w:r>
        <w:rPr>
          <w:lang w:eastAsia="en-GB"/>
        </w:rPr>
        <w:t xml:space="preserve"> up to 2015. The ‘current policy’ scenario simulates the decline in salt consumption that was observed between 2003</w:t>
      </w:r>
      <w:r w:rsidR="00923B1E">
        <w:rPr>
          <w:lang w:eastAsia="en-GB"/>
        </w:rPr>
        <w:t xml:space="preserve"> and </w:t>
      </w:r>
      <w:r>
        <w:rPr>
          <w:lang w:eastAsia="en-GB"/>
        </w:rPr>
        <w:t>2011, and projects it up to 2015, assuming a logarithmic decline.</w:t>
      </w:r>
    </w:p>
    <w:p w14:paraId="4819BB10" w14:textId="2DED131F" w:rsidR="00EE6FE3" w:rsidRDefault="00EE6FE3" w:rsidP="00AC0B1E">
      <w:pPr>
        <w:pStyle w:val="Heading2"/>
      </w:pPr>
      <w:r>
        <w:lastRenderedPageBreak/>
        <w:t>Period</w:t>
      </w:r>
      <w:r w:rsidRPr="00FE1920">
        <w:t xml:space="preserve"> 20</w:t>
      </w:r>
      <w:r>
        <w:t>1</w:t>
      </w:r>
      <w:r w:rsidR="004121A9">
        <w:t>6</w:t>
      </w:r>
      <w:r>
        <w:t>-20</w:t>
      </w:r>
      <w:r w:rsidR="002E5629">
        <w:t>30</w:t>
      </w:r>
      <w:r>
        <w:t xml:space="preserve"> scenarios</w:t>
      </w:r>
    </w:p>
    <w:p w14:paraId="1E2A4069" w14:textId="6FFEB8CB" w:rsidR="00EE4049" w:rsidRDefault="00FE1920" w:rsidP="00AC0B1E">
      <w:pPr>
        <w:rPr>
          <w:lang w:eastAsia="en-GB"/>
        </w:rPr>
      </w:pPr>
      <w:r>
        <w:rPr>
          <w:lang w:eastAsia="en-GB"/>
        </w:rPr>
        <w:t>Here we modelled</w:t>
      </w:r>
      <w:r w:rsidR="00AD3234">
        <w:rPr>
          <w:lang w:eastAsia="en-GB"/>
        </w:rPr>
        <w:t xml:space="preserve"> the potential effect of </w:t>
      </w:r>
      <w:r w:rsidR="00FC21CC">
        <w:rPr>
          <w:lang w:eastAsia="en-GB"/>
        </w:rPr>
        <w:t>str</w:t>
      </w:r>
      <w:r w:rsidR="00DE2FB7">
        <w:rPr>
          <w:lang w:eastAsia="en-GB"/>
        </w:rPr>
        <w:t>uctural</w:t>
      </w:r>
      <w:r w:rsidR="00FC21CC">
        <w:rPr>
          <w:lang w:eastAsia="en-GB"/>
        </w:rPr>
        <w:t>, legislative</w:t>
      </w:r>
      <w:r w:rsidR="00597479">
        <w:rPr>
          <w:lang w:eastAsia="en-GB"/>
        </w:rPr>
        <w:t xml:space="preserve"> </w:t>
      </w:r>
      <w:r w:rsidR="00FC21CC">
        <w:rPr>
          <w:lang w:eastAsia="en-GB"/>
        </w:rPr>
        <w:t xml:space="preserve">policies </w:t>
      </w:r>
      <w:r w:rsidR="00597479">
        <w:rPr>
          <w:lang w:eastAsia="en-GB"/>
        </w:rPr>
        <w:t>on salt intake</w:t>
      </w:r>
      <w:r w:rsidR="004F11D1">
        <w:rPr>
          <w:lang w:eastAsia="en-GB"/>
        </w:rPr>
        <w:t>,</w:t>
      </w:r>
      <w:r w:rsidR="0077750F">
        <w:rPr>
          <w:lang w:eastAsia="en-GB"/>
        </w:rPr>
        <w:t xml:space="preserve"> aimed to </w:t>
      </w:r>
      <w:r w:rsidR="004F11D1">
        <w:rPr>
          <w:lang w:eastAsia="en-GB"/>
        </w:rPr>
        <w:t>achieve feasible</w:t>
      </w:r>
      <w:r w:rsidR="0077750F">
        <w:rPr>
          <w:lang w:eastAsia="en-GB"/>
        </w:rPr>
        <w:t xml:space="preserve"> and ideal targets</w:t>
      </w:r>
      <w:r w:rsidR="00FC3972">
        <w:rPr>
          <w:lang w:eastAsia="en-GB"/>
        </w:rPr>
        <w:t xml:space="preserve">. </w:t>
      </w:r>
      <w:r w:rsidR="00EE4049">
        <w:rPr>
          <w:lang w:eastAsia="en-GB"/>
        </w:rPr>
        <w:t>First, we modelled a</w:t>
      </w:r>
      <w:r w:rsidR="00564B63">
        <w:rPr>
          <w:lang w:eastAsia="en-GB"/>
        </w:rPr>
        <w:t xml:space="preserve"> ‘current policy’</w:t>
      </w:r>
      <w:r w:rsidR="00EE4049">
        <w:rPr>
          <w:lang w:eastAsia="en-GB"/>
        </w:rPr>
        <w:t xml:space="preserve"> </w:t>
      </w:r>
      <w:r w:rsidR="00564B63">
        <w:rPr>
          <w:lang w:eastAsia="en-GB"/>
        </w:rPr>
        <w:t>(</w:t>
      </w:r>
      <w:r w:rsidR="00EE4049">
        <w:rPr>
          <w:lang w:eastAsia="en-GB"/>
        </w:rPr>
        <w:t>baseline</w:t>
      </w:r>
      <w:r w:rsidR="00564B63">
        <w:rPr>
          <w:lang w:eastAsia="en-GB"/>
        </w:rPr>
        <w:t>)</w:t>
      </w:r>
      <w:r w:rsidR="00EE4049">
        <w:rPr>
          <w:lang w:eastAsia="en-GB"/>
        </w:rPr>
        <w:t xml:space="preserve"> scenario where the logarithmic decline observed from 2003</w:t>
      </w:r>
      <w:r w:rsidR="00EC3443">
        <w:rPr>
          <w:lang w:eastAsia="en-GB"/>
        </w:rPr>
        <w:t>-</w:t>
      </w:r>
      <w:r w:rsidR="00EE4049">
        <w:rPr>
          <w:lang w:eastAsia="en-GB"/>
        </w:rPr>
        <w:t>201</w:t>
      </w:r>
      <w:r w:rsidR="004F11D1">
        <w:rPr>
          <w:lang w:eastAsia="en-GB"/>
        </w:rPr>
        <w:t>1</w:t>
      </w:r>
      <w:r w:rsidR="00EE4049">
        <w:rPr>
          <w:lang w:eastAsia="en-GB"/>
        </w:rPr>
        <w:t xml:space="preserve"> was projected up to 20</w:t>
      </w:r>
      <w:r w:rsidR="002E5629">
        <w:rPr>
          <w:lang w:eastAsia="en-GB"/>
        </w:rPr>
        <w:t>30</w:t>
      </w:r>
      <w:r w:rsidR="00EE4049">
        <w:rPr>
          <w:lang w:eastAsia="en-GB"/>
        </w:rPr>
        <w:t>.</w:t>
      </w:r>
    </w:p>
    <w:p w14:paraId="55F5CFB0" w14:textId="5C470058" w:rsidR="00F358E4" w:rsidRDefault="00EE4049" w:rsidP="00AC0B1E">
      <w:pPr>
        <w:rPr>
          <w:lang w:eastAsia="en-GB"/>
        </w:rPr>
      </w:pPr>
      <w:r>
        <w:rPr>
          <w:lang w:eastAsia="en-GB"/>
        </w:rPr>
        <w:t xml:space="preserve">In a </w:t>
      </w:r>
      <w:r w:rsidR="008E741A">
        <w:rPr>
          <w:lang w:eastAsia="en-GB"/>
        </w:rPr>
        <w:t>‘</w:t>
      </w:r>
      <w:r>
        <w:rPr>
          <w:lang w:eastAsia="en-GB"/>
        </w:rPr>
        <w:t>f</w:t>
      </w:r>
      <w:r w:rsidR="00322276">
        <w:rPr>
          <w:lang w:eastAsia="en-GB"/>
        </w:rPr>
        <w:t>easible</w:t>
      </w:r>
      <w:r w:rsidR="008E741A">
        <w:rPr>
          <w:lang w:eastAsia="en-GB"/>
        </w:rPr>
        <w:t>’</w:t>
      </w:r>
      <w:r w:rsidR="00322276">
        <w:rPr>
          <w:lang w:eastAsia="en-GB"/>
        </w:rPr>
        <w:t xml:space="preserve"> target</w:t>
      </w:r>
      <w:r>
        <w:rPr>
          <w:lang w:eastAsia="en-GB"/>
        </w:rPr>
        <w:t xml:space="preserve"> scenario</w:t>
      </w:r>
      <w:r w:rsidR="00322276">
        <w:rPr>
          <w:lang w:eastAsia="en-GB"/>
        </w:rPr>
        <w:t xml:space="preserve">: </w:t>
      </w:r>
      <w:r w:rsidR="00564B63">
        <w:rPr>
          <w:lang w:eastAsia="en-GB"/>
        </w:rPr>
        <w:t>w</w:t>
      </w:r>
      <w:r w:rsidR="00FC3972">
        <w:rPr>
          <w:lang w:eastAsia="en-GB"/>
        </w:rPr>
        <w:t>e assume</w:t>
      </w:r>
      <w:r w:rsidR="00564B63">
        <w:rPr>
          <w:lang w:eastAsia="en-GB"/>
        </w:rPr>
        <w:t>d</w:t>
      </w:r>
      <w:r w:rsidR="00AD3234">
        <w:rPr>
          <w:lang w:eastAsia="en-GB"/>
        </w:rPr>
        <w:t xml:space="preserve"> that in 20</w:t>
      </w:r>
      <w:r w:rsidR="00FC21CC">
        <w:rPr>
          <w:lang w:eastAsia="en-GB"/>
        </w:rPr>
        <w:t>1</w:t>
      </w:r>
      <w:r w:rsidR="004121A9">
        <w:rPr>
          <w:lang w:eastAsia="en-GB"/>
        </w:rPr>
        <w:t>6</w:t>
      </w:r>
      <w:r w:rsidR="00ED5111">
        <w:rPr>
          <w:lang w:eastAsia="en-GB"/>
        </w:rPr>
        <w:t>,</w:t>
      </w:r>
      <w:r w:rsidR="00AD3234">
        <w:rPr>
          <w:lang w:eastAsia="en-GB"/>
        </w:rPr>
        <w:t xml:space="preserve"> </w:t>
      </w:r>
      <w:r w:rsidR="00A731DA">
        <w:rPr>
          <w:lang w:eastAsia="en-GB"/>
        </w:rPr>
        <w:t>policies like mandatory reformulation and/or</w:t>
      </w:r>
      <w:r w:rsidR="00AD3234">
        <w:rPr>
          <w:lang w:eastAsia="en-GB"/>
        </w:rPr>
        <w:t xml:space="preserve"> </w:t>
      </w:r>
      <w:r w:rsidR="00A731DA">
        <w:rPr>
          <w:lang w:eastAsia="en-GB"/>
        </w:rPr>
        <w:t>taxation of high-salt foods were</w:t>
      </w:r>
      <w:r w:rsidR="00AD3234">
        <w:rPr>
          <w:lang w:eastAsia="en-GB"/>
        </w:rPr>
        <w:t xml:space="preserve"> implemented</w:t>
      </w:r>
      <w:r w:rsidR="00FC3972">
        <w:rPr>
          <w:lang w:eastAsia="en-GB"/>
        </w:rPr>
        <w:t xml:space="preserve"> and as</w:t>
      </w:r>
      <w:r w:rsidR="00A731DA">
        <w:rPr>
          <w:lang w:eastAsia="en-GB"/>
        </w:rPr>
        <w:t xml:space="preserve"> a result</w:t>
      </w:r>
      <w:r w:rsidR="00FC3972">
        <w:rPr>
          <w:lang w:eastAsia="en-GB"/>
        </w:rPr>
        <w:t>,</w:t>
      </w:r>
      <w:r w:rsidR="00AD3234">
        <w:rPr>
          <w:lang w:eastAsia="en-GB"/>
        </w:rPr>
        <w:t xml:space="preserve"> the mean salt consumption </w:t>
      </w:r>
      <w:r w:rsidR="0019493E">
        <w:rPr>
          <w:lang w:eastAsia="en-GB"/>
        </w:rPr>
        <w:t>will gradually decline</w:t>
      </w:r>
      <w:r w:rsidR="00AD3234">
        <w:rPr>
          <w:lang w:eastAsia="en-GB"/>
        </w:rPr>
        <w:t xml:space="preserve"> to </w:t>
      </w:r>
      <w:r w:rsidR="00F358E4">
        <w:rPr>
          <w:lang w:eastAsia="en-GB"/>
        </w:rPr>
        <w:t xml:space="preserve">the </w:t>
      </w:r>
      <w:r w:rsidR="00FC21CC">
        <w:rPr>
          <w:lang w:eastAsia="en-GB"/>
        </w:rPr>
        <w:t>national target of</w:t>
      </w:r>
      <w:r w:rsidR="00F358E4">
        <w:rPr>
          <w:lang w:eastAsia="en-GB"/>
        </w:rPr>
        <w:t xml:space="preserve"> </w:t>
      </w:r>
      <w:r w:rsidR="00AD3234">
        <w:rPr>
          <w:lang w:eastAsia="en-GB"/>
        </w:rPr>
        <w:t>6g/day</w:t>
      </w:r>
      <w:r w:rsidR="00F358E4">
        <w:rPr>
          <w:lang w:eastAsia="en-GB"/>
        </w:rPr>
        <w:t xml:space="preserve"> by 20</w:t>
      </w:r>
      <w:r w:rsidR="00FC21CC">
        <w:rPr>
          <w:lang w:eastAsia="en-GB"/>
        </w:rPr>
        <w:t>2</w:t>
      </w:r>
      <w:r w:rsidR="003236DC">
        <w:rPr>
          <w:lang w:eastAsia="en-GB"/>
        </w:rPr>
        <w:t>0</w:t>
      </w:r>
      <w:r w:rsidR="00E12E37">
        <w:rPr>
          <w:lang w:eastAsia="en-GB"/>
        </w:rPr>
        <w:t xml:space="preserve"> for ages 19 to 64</w:t>
      </w:r>
      <w:r w:rsidR="00F358E4">
        <w:rPr>
          <w:lang w:eastAsia="en-GB"/>
        </w:rPr>
        <w:t>.</w:t>
      </w:r>
      <w:r w:rsidR="00FC3972">
        <w:rPr>
          <w:lang w:eastAsia="en-GB"/>
        </w:rPr>
        <w:t xml:space="preserve"> </w:t>
      </w:r>
      <w:r w:rsidR="00E12E37">
        <w:rPr>
          <w:lang w:eastAsia="en-GB"/>
        </w:rPr>
        <w:t xml:space="preserve">Due to lack of empirical evidence regarding the magnitude of the impact of such policies on salt, we allowed their target to vary between 5.8 and 7 g/day following a </w:t>
      </w:r>
      <w:r w:rsidR="00710A84">
        <w:rPr>
          <w:lang w:eastAsia="en-GB"/>
        </w:rPr>
        <w:t xml:space="preserve">PERT </w:t>
      </w:r>
      <w:r w:rsidR="00E12E37">
        <w:rPr>
          <w:lang w:eastAsia="en-GB"/>
        </w:rPr>
        <w:t xml:space="preserve">distribution. </w:t>
      </w:r>
      <w:r w:rsidR="002E5CBD">
        <w:rPr>
          <w:lang w:eastAsia="en-GB"/>
        </w:rPr>
        <w:t>The intervention was modelled to be more effective for individuals with higher salt consumption.</w:t>
      </w:r>
    </w:p>
    <w:p w14:paraId="522D8115" w14:textId="2C26CDFA" w:rsidR="00F358E4" w:rsidRDefault="00EE4049" w:rsidP="00AC0B1E">
      <w:r>
        <w:t xml:space="preserve">In an </w:t>
      </w:r>
      <w:r w:rsidR="008E741A">
        <w:t>‘</w:t>
      </w:r>
      <w:r w:rsidR="00564B63">
        <w:t>i</w:t>
      </w:r>
      <w:r w:rsidR="00F358E4">
        <w:t>deal</w:t>
      </w:r>
      <w:r w:rsidR="008E741A">
        <w:t>’</w:t>
      </w:r>
      <w:r w:rsidR="00AD3234">
        <w:t xml:space="preserve"> </w:t>
      </w:r>
      <w:r w:rsidR="007C37AE">
        <w:t>t</w:t>
      </w:r>
      <w:r w:rsidR="00322276">
        <w:t>arget</w:t>
      </w:r>
      <w:r>
        <w:t xml:space="preserve"> scenario</w:t>
      </w:r>
      <w:r w:rsidR="00322276">
        <w:t>:</w:t>
      </w:r>
      <w:r w:rsidR="007C37AE">
        <w:t xml:space="preserve"> We</w:t>
      </w:r>
      <w:r w:rsidR="00B40593">
        <w:t xml:space="preserve"> assumed </w:t>
      </w:r>
      <w:r w:rsidR="00B32446">
        <w:t>mean salt intake to reach</w:t>
      </w:r>
      <w:r w:rsidR="00B40593">
        <w:t xml:space="preserve"> </w:t>
      </w:r>
      <w:r w:rsidR="00B32446">
        <w:t>the ideal salt intake</w:t>
      </w:r>
      <w:r>
        <w:t xml:space="preserve"> </w:t>
      </w:r>
      <w:r w:rsidR="007C37AE">
        <w:t xml:space="preserve">3.8 </w:t>
      </w:r>
      <w:r>
        <w:t>g/day</w:t>
      </w:r>
      <w:r w:rsidR="00A113C2">
        <w:t xml:space="preserve"> </w:t>
      </w:r>
      <w:r w:rsidR="00B32446">
        <w:t>b</w:t>
      </w:r>
      <w:r w:rsidR="00A113C2">
        <w:t>y 2025</w:t>
      </w:r>
      <w:r w:rsidR="00564B63" w:rsidRPr="00564B63">
        <w:rPr>
          <w:lang w:eastAsia="en-GB"/>
        </w:rPr>
        <w:t xml:space="preserve"> </w:t>
      </w:r>
      <w:r w:rsidR="00564B63">
        <w:rPr>
          <w:lang w:eastAsia="en-GB"/>
        </w:rPr>
        <w:t>for ages 19 to 64</w:t>
      </w:r>
      <w:r w:rsidR="00641D82">
        <w:t>.</w:t>
      </w:r>
      <w:r w:rsidR="00B32446">
        <w:t xml:space="preserve"> </w:t>
      </w:r>
      <w:r w:rsidR="00665CB4">
        <w:t xml:space="preserve">The ideal salt consumption was modelled to vary between 1.5 g/day and 6 g/day following a </w:t>
      </w:r>
      <w:r w:rsidR="00710A84">
        <w:t xml:space="preserve">PERT </w:t>
      </w:r>
      <w:r w:rsidR="00665CB4">
        <w:t>distribution.</w:t>
      </w:r>
      <w:r w:rsidR="002E5CBD">
        <w:t xml:space="preserve"> Similarly to the previous scenario, the intervention was modelled to be more effective for individuals with higher salt consumption.</w:t>
      </w:r>
      <w:r w:rsidR="002F3FDD">
        <w:t xml:space="preserve"> The modelled trends of salt </w:t>
      </w:r>
      <w:r w:rsidR="00536112">
        <w:t>consumption</w:t>
      </w:r>
      <w:r w:rsidR="002F3FDD">
        <w:t xml:space="preserve"> for all scenarios are depicted in </w:t>
      </w:r>
      <w:r w:rsidR="0028778E">
        <w:t xml:space="preserve">Figure </w:t>
      </w:r>
      <w:r w:rsidR="0028778E">
        <w:rPr>
          <w:noProof/>
        </w:rPr>
        <w:t>1</w:t>
      </w:r>
      <w:r w:rsidR="002F3FDD">
        <w:t>.</w:t>
      </w:r>
    </w:p>
    <w:p w14:paraId="18B5A93B" w14:textId="1CBDF1A3" w:rsidR="002F3FDD" w:rsidRDefault="008B56F8" w:rsidP="002F3FDD">
      <w:pPr>
        <w:keepNext/>
      </w:pPr>
      <w:r>
        <w:rPr>
          <w:noProof/>
          <w:lang w:eastAsia="en-GB"/>
        </w:rPr>
        <w:t>[FIGURE 1 HERE]</w:t>
      </w:r>
    </w:p>
    <w:p w14:paraId="15962E9F" w14:textId="4401C7DA" w:rsidR="00536112" w:rsidRPr="00A93909" w:rsidRDefault="002F3FDD" w:rsidP="00536112">
      <w:pPr>
        <w:pStyle w:val="Caption"/>
      </w:pPr>
      <w:bookmarkStart w:id="0" w:name="_Ref466761925"/>
      <w:r>
        <w:t xml:space="preserve">Figure </w:t>
      </w:r>
      <w:r w:rsidR="00A532AE">
        <w:fldChar w:fldCharType="begin"/>
      </w:r>
      <w:r w:rsidR="00A532AE">
        <w:instrText xml:space="preserve"> SEQ Figure \* ARABIC </w:instrText>
      </w:r>
      <w:r w:rsidR="00A532AE">
        <w:fldChar w:fldCharType="separate"/>
      </w:r>
      <w:r w:rsidR="004F3777">
        <w:rPr>
          <w:noProof/>
        </w:rPr>
        <w:t>1</w:t>
      </w:r>
      <w:r w:rsidR="00A532AE">
        <w:rPr>
          <w:noProof/>
        </w:rPr>
        <w:fldChar w:fldCharType="end"/>
      </w:r>
      <w:bookmarkEnd w:id="0"/>
      <w:r>
        <w:t xml:space="preserve"> </w:t>
      </w:r>
      <w:r w:rsidR="00536112">
        <w:t>Modelled trends of median salt consumption in English population aged 30 to 84 under the four simulated scenarios. Error bars</w:t>
      </w:r>
      <w:r w:rsidR="00536112" w:rsidRPr="00A93909">
        <w:t xml:space="preserve"> represent </w:t>
      </w:r>
      <w:r w:rsidR="00536112">
        <w:t>interquartile ranges</w:t>
      </w:r>
      <w:r w:rsidR="00536112" w:rsidRPr="00A93909">
        <w:t>.</w:t>
      </w:r>
    </w:p>
    <w:p w14:paraId="0515386A" w14:textId="367155C2" w:rsidR="002F3FDD" w:rsidRPr="00F358E4" w:rsidRDefault="002F3FDD" w:rsidP="002F3FDD">
      <w:pPr>
        <w:pStyle w:val="Caption"/>
      </w:pPr>
    </w:p>
    <w:p w14:paraId="36BDDCEB" w14:textId="77777777" w:rsidR="00042929" w:rsidRPr="00172076" w:rsidRDefault="00EE4049" w:rsidP="00AC0B1E">
      <w:pPr>
        <w:pStyle w:val="Heading3"/>
      </w:pPr>
      <w:r>
        <w:t>Other assumptions</w:t>
      </w:r>
    </w:p>
    <w:p w14:paraId="2CD0F87E" w14:textId="7A1F66D6" w:rsidR="005125A3" w:rsidRDefault="00DC77FA" w:rsidP="00AC0B1E">
      <w:pPr>
        <w:rPr>
          <w:lang w:eastAsia="en-GB"/>
        </w:rPr>
      </w:pPr>
      <w:r>
        <w:rPr>
          <w:lang w:eastAsia="en-GB"/>
        </w:rPr>
        <w:t xml:space="preserve">We </w:t>
      </w:r>
      <w:r w:rsidR="00D9344F" w:rsidRPr="00CA2E4A">
        <w:rPr>
          <w:lang w:eastAsia="en-GB"/>
        </w:rPr>
        <w:t>assume</w:t>
      </w:r>
      <w:r>
        <w:rPr>
          <w:lang w:eastAsia="en-GB"/>
        </w:rPr>
        <w:t>d</w:t>
      </w:r>
      <w:r w:rsidR="00D9344F" w:rsidRPr="00CA2E4A">
        <w:rPr>
          <w:lang w:eastAsia="en-GB"/>
        </w:rPr>
        <w:t xml:space="preserve"> that </w:t>
      </w:r>
      <w:r>
        <w:rPr>
          <w:lang w:eastAsia="en-GB"/>
        </w:rPr>
        <w:t>CVD and GCa case fatality is</w:t>
      </w:r>
      <w:r w:rsidR="00D9344F" w:rsidRPr="00CA2E4A">
        <w:rPr>
          <w:lang w:eastAsia="en-GB"/>
        </w:rPr>
        <w:t xml:space="preserve"> improving by </w:t>
      </w:r>
      <w:r w:rsidR="001E00FE">
        <w:rPr>
          <w:lang w:eastAsia="en-GB"/>
        </w:rPr>
        <w:t>5</w:t>
      </w:r>
      <w:r w:rsidR="00D9344F" w:rsidRPr="00CA2E4A">
        <w:rPr>
          <w:lang w:eastAsia="en-GB"/>
        </w:rPr>
        <w:t xml:space="preserve">% </w:t>
      </w:r>
      <w:r>
        <w:rPr>
          <w:lang w:eastAsia="en-GB"/>
        </w:rPr>
        <w:t xml:space="preserve">and 2% </w:t>
      </w:r>
      <w:r w:rsidR="00423C3A">
        <w:rPr>
          <w:lang w:eastAsia="en-GB"/>
        </w:rPr>
        <w:t xml:space="preserve">annually, </w:t>
      </w:r>
      <w:r>
        <w:rPr>
          <w:lang w:eastAsia="en-GB"/>
        </w:rPr>
        <w:t>respectively</w:t>
      </w:r>
      <w:r w:rsidR="001E00FE">
        <w:rPr>
          <w:lang w:eastAsia="en-GB"/>
        </w:rPr>
        <w:t>, but the rate of improvement diminishes by 1% (relative) every year</w:t>
      </w:r>
      <w:r w:rsidR="006E75AB">
        <w:rPr>
          <w:lang w:eastAsia="en-GB"/>
        </w:rPr>
        <w:t xml:space="preserve">. </w:t>
      </w:r>
      <w:r>
        <w:rPr>
          <w:lang w:eastAsia="en-GB"/>
        </w:rPr>
        <w:t xml:space="preserve">Moreover, we </w:t>
      </w:r>
      <w:r w:rsidR="00D902A0">
        <w:rPr>
          <w:lang w:eastAsia="en-GB"/>
        </w:rPr>
        <w:t>assumed</w:t>
      </w:r>
      <w:r w:rsidR="00D9344F" w:rsidRPr="00CA2E4A">
        <w:rPr>
          <w:lang w:eastAsia="en-GB"/>
        </w:rPr>
        <w:t xml:space="preserve"> that there is a constant fatality rate </w:t>
      </w:r>
      <w:r w:rsidR="00763729">
        <w:rPr>
          <w:lang w:eastAsia="en-GB"/>
        </w:rPr>
        <w:t xml:space="preserve">socioeconomic </w:t>
      </w:r>
      <w:r w:rsidR="00D9344F" w:rsidRPr="00CA2E4A">
        <w:rPr>
          <w:lang w:eastAsia="en-GB"/>
        </w:rPr>
        <w:t xml:space="preserve">gradient of </w:t>
      </w:r>
      <w:r w:rsidR="00671307">
        <w:rPr>
          <w:lang w:eastAsia="en-GB"/>
        </w:rPr>
        <w:t xml:space="preserve">approximately </w:t>
      </w:r>
      <w:r w:rsidR="00A113C2">
        <w:rPr>
          <w:lang w:eastAsia="en-GB"/>
        </w:rPr>
        <w:t>5</w:t>
      </w:r>
      <w:r w:rsidR="00D9344F" w:rsidRPr="00CA2E4A">
        <w:rPr>
          <w:lang w:eastAsia="en-GB"/>
        </w:rPr>
        <w:t xml:space="preserve">% by </w:t>
      </w:r>
      <w:r w:rsidR="006E75AB" w:rsidRPr="00CA2E4A">
        <w:rPr>
          <w:lang w:eastAsia="en-GB"/>
        </w:rPr>
        <w:t>QIMD</w:t>
      </w:r>
      <w:r w:rsidR="006E75AB">
        <w:rPr>
          <w:lang w:eastAsia="en-GB"/>
        </w:rPr>
        <w:t xml:space="preserve"> </w:t>
      </w:r>
      <w:r w:rsidR="006E75AB" w:rsidRPr="00CA2E4A">
        <w:rPr>
          <w:lang w:eastAsia="en-GB"/>
        </w:rPr>
        <w:t>level</w:t>
      </w:r>
      <w:r w:rsidR="00D9344F" w:rsidRPr="00CA2E4A">
        <w:rPr>
          <w:lang w:eastAsia="en-GB"/>
        </w:rPr>
        <w:t xml:space="preserve"> </w:t>
      </w:r>
      <w:r w:rsidR="00671307">
        <w:rPr>
          <w:lang w:eastAsia="en-GB"/>
        </w:rPr>
        <w:t>(halved for ages over 70)</w:t>
      </w:r>
      <w:r w:rsidR="00436CCF">
        <w:rPr>
          <w:lang w:eastAsia="en-GB"/>
        </w:rPr>
        <w:t xml:space="preserve"> </w:t>
      </w:r>
      <w:r w:rsidR="00D9344F" w:rsidRPr="00CA2E4A">
        <w:rPr>
          <w:lang w:eastAsia="en-GB"/>
        </w:rPr>
        <w:t xml:space="preserve">forcing the more deprived to experience worse </w:t>
      </w:r>
      <w:r w:rsidR="00FD3B0C">
        <w:rPr>
          <w:lang w:eastAsia="en-GB"/>
        </w:rPr>
        <w:t>disease</w:t>
      </w:r>
      <w:r w:rsidR="00D9344F" w:rsidRPr="00CA2E4A">
        <w:rPr>
          <w:lang w:eastAsia="en-GB"/>
        </w:rPr>
        <w:t xml:space="preserve"> outcomes.</w:t>
      </w:r>
      <w:r w:rsidR="006E75AB">
        <w:rPr>
          <w:lang w:eastAsia="en-GB"/>
        </w:rPr>
        <w:t xml:space="preserve"> </w:t>
      </w:r>
      <w:r w:rsidR="00B82EC2">
        <w:rPr>
          <w:lang w:eastAsia="en-GB"/>
        </w:rPr>
        <w:t>These</w:t>
      </w:r>
      <w:r w:rsidR="006E75AB">
        <w:rPr>
          <w:lang w:eastAsia="en-GB"/>
        </w:rPr>
        <w:t xml:space="preserve"> assumptions are </w:t>
      </w:r>
      <w:r w:rsidR="000C3C1D">
        <w:rPr>
          <w:lang w:eastAsia="en-GB"/>
        </w:rPr>
        <w:t>based on</w:t>
      </w:r>
      <w:r w:rsidR="006E75AB">
        <w:rPr>
          <w:lang w:eastAsia="en-GB"/>
        </w:rPr>
        <w:t xml:space="preserve"> empirical evidence.</w:t>
      </w:r>
      <w:r w:rsidR="00566088" w:rsidRPr="00566088">
        <w:rPr>
          <w:rFonts w:ascii="Calibri" w:hAnsi="Calibri" w:cs="Times New Roman"/>
          <w:szCs w:val="24"/>
        </w:rPr>
        <w:t>[32–35]</w:t>
      </w:r>
      <w:r w:rsidR="00D9344F" w:rsidRPr="00CA2E4A">
        <w:rPr>
          <w:lang w:eastAsia="en-GB"/>
        </w:rPr>
        <w:t xml:space="preserve"> </w:t>
      </w:r>
      <w:r w:rsidR="0028778E">
        <w:t xml:space="preserve">Table </w:t>
      </w:r>
      <w:r w:rsidR="0028778E">
        <w:rPr>
          <w:noProof/>
        </w:rPr>
        <w:t>1</w:t>
      </w:r>
      <w:r w:rsidR="00961F74">
        <w:rPr>
          <w:lang w:eastAsia="en-GB"/>
        </w:rPr>
        <w:t xml:space="preserve"> presents the key modelling assumptions.</w:t>
      </w:r>
    </w:p>
    <w:p w14:paraId="2193886B" w14:textId="6FC64F66" w:rsidR="009D4EB7" w:rsidRDefault="009D4EB7" w:rsidP="009D4EB7">
      <w:pPr>
        <w:pStyle w:val="Caption"/>
        <w:keepNext/>
      </w:pPr>
      <w:bookmarkStart w:id="1" w:name="_Ref466552973"/>
      <w:r>
        <w:t xml:space="preserve">Table </w:t>
      </w:r>
      <w:r w:rsidR="00A532AE">
        <w:fldChar w:fldCharType="begin"/>
      </w:r>
      <w:r w:rsidR="00A532AE">
        <w:instrText xml:space="preserve"> SEQ Table \* ARABIC </w:instrText>
      </w:r>
      <w:r w:rsidR="00A532AE">
        <w:fldChar w:fldCharType="separate"/>
      </w:r>
      <w:r w:rsidR="004F3777">
        <w:rPr>
          <w:noProof/>
        </w:rPr>
        <w:t>1</w:t>
      </w:r>
      <w:r w:rsidR="00A532AE">
        <w:rPr>
          <w:noProof/>
        </w:rPr>
        <w:fldChar w:fldCharType="end"/>
      </w:r>
      <w:bookmarkEnd w:id="1"/>
      <w:r w:rsidR="00DD525B">
        <w:rPr>
          <w:noProof/>
        </w:rPr>
        <w:t xml:space="preserve"> </w:t>
      </w:r>
      <w:r w:rsidRPr="00F56603">
        <w:t>IMPACT</w:t>
      </w:r>
      <w:r w:rsidRPr="00F56603">
        <w:rPr>
          <w:vertAlign w:val="subscript"/>
        </w:rPr>
        <w:t>NCD</w:t>
      </w:r>
      <w:r>
        <w:t xml:space="preserve"> key assumptions</w:t>
      </w:r>
    </w:p>
    <w:tbl>
      <w:tblPr>
        <w:tblStyle w:val="TableGrid"/>
        <w:tblW w:w="0" w:type="auto"/>
        <w:tblLook w:val="04A0" w:firstRow="1" w:lastRow="0" w:firstColumn="1" w:lastColumn="0" w:noHBand="0" w:noVBand="1"/>
      </w:tblPr>
      <w:tblGrid>
        <w:gridCol w:w="2706"/>
        <w:gridCol w:w="7262"/>
      </w:tblGrid>
      <w:tr w:rsidR="003B76ED" w14:paraId="5DCE0FDB" w14:textId="77777777" w:rsidTr="009D4EB7">
        <w:trPr>
          <w:trHeight w:val="436"/>
        </w:trPr>
        <w:tc>
          <w:tcPr>
            <w:tcW w:w="2706" w:type="dxa"/>
            <w:vAlign w:val="center"/>
          </w:tcPr>
          <w:p w14:paraId="05E44234" w14:textId="77777777" w:rsidR="003B76ED" w:rsidRDefault="003B76ED" w:rsidP="003B76ED">
            <w:pPr>
              <w:spacing w:after="0" w:line="240" w:lineRule="auto"/>
              <w:jc w:val="left"/>
            </w:pPr>
            <w:r>
              <w:t>Population module</w:t>
            </w:r>
          </w:p>
        </w:tc>
        <w:tc>
          <w:tcPr>
            <w:tcW w:w="7262" w:type="dxa"/>
            <w:vAlign w:val="center"/>
          </w:tcPr>
          <w:p w14:paraId="20CC6F14" w14:textId="7196EE96" w:rsidR="003B76ED" w:rsidRDefault="009D4EB7" w:rsidP="003B76ED">
            <w:pPr>
              <w:spacing w:after="0" w:line="240" w:lineRule="auto"/>
              <w:jc w:val="left"/>
            </w:pPr>
            <w:r>
              <w:t>M</w:t>
            </w:r>
            <w:r w:rsidR="003B76ED">
              <w:t>igration is not considered.</w:t>
            </w:r>
          </w:p>
        </w:tc>
      </w:tr>
      <w:tr w:rsidR="003B76ED" w14:paraId="008813B0" w14:textId="77777777" w:rsidTr="009D4EB7">
        <w:trPr>
          <w:trHeight w:val="567"/>
        </w:trPr>
        <w:tc>
          <w:tcPr>
            <w:tcW w:w="2706" w:type="dxa"/>
            <w:vAlign w:val="center"/>
          </w:tcPr>
          <w:p w14:paraId="45432A3C" w14:textId="77777777" w:rsidR="003B76ED" w:rsidRDefault="003B76ED" w:rsidP="003B76ED">
            <w:pPr>
              <w:spacing w:after="0" w:line="240" w:lineRule="auto"/>
              <w:jc w:val="left"/>
            </w:pPr>
          </w:p>
        </w:tc>
        <w:tc>
          <w:tcPr>
            <w:tcW w:w="7262" w:type="dxa"/>
            <w:vAlign w:val="center"/>
          </w:tcPr>
          <w:p w14:paraId="3CB82C4B" w14:textId="77777777" w:rsidR="003B76ED" w:rsidRDefault="003B76ED" w:rsidP="003B76ED">
            <w:pPr>
              <w:spacing w:after="0" w:line="240" w:lineRule="auto"/>
              <w:jc w:val="left"/>
            </w:pPr>
            <w:r>
              <w:t>Social mobility is not considered.</w:t>
            </w:r>
          </w:p>
        </w:tc>
      </w:tr>
      <w:tr w:rsidR="003B76ED" w14:paraId="05435845" w14:textId="77777777" w:rsidTr="009D4EB7">
        <w:trPr>
          <w:trHeight w:val="567"/>
        </w:trPr>
        <w:tc>
          <w:tcPr>
            <w:tcW w:w="2706" w:type="dxa"/>
            <w:vAlign w:val="center"/>
          </w:tcPr>
          <w:p w14:paraId="7F6803A0" w14:textId="77777777" w:rsidR="003B76ED" w:rsidRDefault="003B76ED" w:rsidP="003B76ED">
            <w:pPr>
              <w:spacing w:after="0" w:line="240" w:lineRule="auto"/>
              <w:jc w:val="left"/>
            </w:pPr>
          </w:p>
        </w:tc>
        <w:tc>
          <w:tcPr>
            <w:tcW w:w="7262" w:type="dxa"/>
            <w:vAlign w:val="center"/>
          </w:tcPr>
          <w:p w14:paraId="54601646" w14:textId="64583C72" w:rsidR="003B76ED" w:rsidRDefault="003B76ED" w:rsidP="00C6286B">
            <w:pPr>
              <w:spacing w:after="0" w:line="240" w:lineRule="auto"/>
              <w:jc w:val="left"/>
            </w:pPr>
            <w:r>
              <w:t xml:space="preserve">QIMD is a marker of </w:t>
            </w:r>
            <w:r w:rsidR="009D4EB7">
              <w:t>relative area</w:t>
            </w:r>
            <w:r>
              <w:t xml:space="preserve"> deprivation with several versions since 2003. We considered all version of QIMD identical.</w:t>
            </w:r>
          </w:p>
        </w:tc>
      </w:tr>
      <w:tr w:rsidR="003B76ED" w14:paraId="12E75610" w14:textId="77777777" w:rsidTr="009D4EB7">
        <w:trPr>
          <w:trHeight w:val="567"/>
        </w:trPr>
        <w:tc>
          <w:tcPr>
            <w:tcW w:w="2706" w:type="dxa"/>
            <w:vAlign w:val="center"/>
          </w:tcPr>
          <w:p w14:paraId="039E0492" w14:textId="77777777" w:rsidR="003B76ED" w:rsidRDefault="003B76ED" w:rsidP="003B76ED">
            <w:pPr>
              <w:spacing w:after="0" w:line="240" w:lineRule="auto"/>
              <w:jc w:val="left"/>
            </w:pPr>
          </w:p>
        </w:tc>
        <w:tc>
          <w:tcPr>
            <w:tcW w:w="7262" w:type="dxa"/>
            <w:vAlign w:val="center"/>
          </w:tcPr>
          <w:p w14:paraId="6021FCAD" w14:textId="77777777" w:rsidR="003B76ED" w:rsidRDefault="003B76ED" w:rsidP="003B76ED">
            <w:pPr>
              <w:spacing w:after="0" w:line="240" w:lineRule="auto"/>
              <w:jc w:val="left"/>
            </w:pPr>
            <w:r>
              <w:t>We assume all salt that is consumed is excreted from urine and all urine sodium origins from salt consumption.</w:t>
            </w:r>
          </w:p>
        </w:tc>
      </w:tr>
      <w:tr w:rsidR="003B76ED" w14:paraId="68C57229" w14:textId="77777777" w:rsidTr="009D4EB7">
        <w:trPr>
          <w:trHeight w:val="567"/>
        </w:trPr>
        <w:tc>
          <w:tcPr>
            <w:tcW w:w="2706" w:type="dxa"/>
            <w:vAlign w:val="center"/>
          </w:tcPr>
          <w:p w14:paraId="4FDD55CA" w14:textId="77777777" w:rsidR="003B76ED" w:rsidRDefault="003B76ED" w:rsidP="003B76ED">
            <w:pPr>
              <w:spacing w:after="0" w:line="240" w:lineRule="auto"/>
              <w:jc w:val="left"/>
            </w:pPr>
          </w:p>
        </w:tc>
        <w:tc>
          <w:tcPr>
            <w:tcW w:w="7262" w:type="dxa"/>
            <w:vAlign w:val="center"/>
          </w:tcPr>
          <w:p w14:paraId="79310623" w14:textId="14838974" w:rsidR="003B76ED" w:rsidRDefault="003B76ED" w:rsidP="00961F74">
            <w:pPr>
              <w:spacing w:after="0" w:line="240" w:lineRule="auto"/>
              <w:jc w:val="left"/>
            </w:pPr>
            <w:r>
              <w:t>We assume that the surveys used, are truly representative of the population</w:t>
            </w:r>
            <w:r w:rsidR="00961F74">
              <w:t>.</w:t>
            </w:r>
          </w:p>
        </w:tc>
      </w:tr>
      <w:tr w:rsidR="00DD525B" w14:paraId="328814E8" w14:textId="77777777" w:rsidTr="009D4EB7">
        <w:trPr>
          <w:trHeight w:val="567"/>
        </w:trPr>
        <w:tc>
          <w:tcPr>
            <w:tcW w:w="2706" w:type="dxa"/>
            <w:vAlign w:val="center"/>
          </w:tcPr>
          <w:p w14:paraId="0AAF8BD0" w14:textId="77777777" w:rsidR="00DD525B" w:rsidRDefault="00DD525B" w:rsidP="003B76ED">
            <w:pPr>
              <w:spacing w:after="0" w:line="240" w:lineRule="auto"/>
              <w:jc w:val="left"/>
            </w:pPr>
          </w:p>
        </w:tc>
        <w:tc>
          <w:tcPr>
            <w:tcW w:w="7262" w:type="dxa"/>
            <w:vAlign w:val="center"/>
          </w:tcPr>
          <w:p w14:paraId="0B9371F9" w14:textId="001D6272" w:rsidR="00DD525B" w:rsidRDefault="00DD525B" w:rsidP="00DD525B">
            <w:pPr>
              <w:spacing w:after="0" w:line="240" w:lineRule="auto"/>
              <w:jc w:val="left"/>
            </w:pPr>
            <w:r>
              <w:t>We assume that the decline in salt consumption observed since 2003 was fully attributable to the implemented policy</w:t>
            </w:r>
          </w:p>
        </w:tc>
      </w:tr>
      <w:tr w:rsidR="003B76ED" w14:paraId="3DF54C46" w14:textId="77777777" w:rsidTr="009D4EB7">
        <w:trPr>
          <w:trHeight w:val="567"/>
        </w:trPr>
        <w:tc>
          <w:tcPr>
            <w:tcW w:w="2706" w:type="dxa"/>
            <w:vAlign w:val="center"/>
          </w:tcPr>
          <w:p w14:paraId="79B97C10" w14:textId="77777777" w:rsidR="003B76ED" w:rsidRDefault="003B76ED" w:rsidP="003B76ED">
            <w:pPr>
              <w:spacing w:after="0" w:line="240" w:lineRule="auto"/>
              <w:jc w:val="left"/>
            </w:pPr>
            <w:r>
              <w:t>Disease module</w:t>
            </w:r>
          </w:p>
        </w:tc>
        <w:tc>
          <w:tcPr>
            <w:tcW w:w="7262" w:type="dxa"/>
            <w:vAlign w:val="center"/>
          </w:tcPr>
          <w:p w14:paraId="5BD9649A" w14:textId="77777777" w:rsidR="003B76ED" w:rsidRDefault="003B76ED" w:rsidP="003B76ED">
            <w:pPr>
              <w:spacing w:after="0" w:line="240" w:lineRule="auto"/>
              <w:jc w:val="left"/>
            </w:pPr>
            <w:r>
              <w:t>We assume multiplicative risk effects.</w:t>
            </w:r>
          </w:p>
        </w:tc>
      </w:tr>
      <w:tr w:rsidR="003B76ED" w14:paraId="19C368EA" w14:textId="77777777" w:rsidTr="009D4EB7">
        <w:trPr>
          <w:trHeight w:val="567"/>
        </w:trPr>
        <w:tc>
          <w:tcPr>
            <w:tcW w:w="2706" w:type="dxa"/>
            <w:vAlign w:val="center"/>
          </w:tcPr>
          <w:p w14:paraId="067BFB97" w14:textId="77777777" w:rsidR="003B76ED" w:rsidRDefault="003B76ED" w:rsidP="003B76ED">
            <w:pPr>
              <w:spacing w:after="0" w:line="240" w:lineRule="auto"/>
              <w:jc w:val="left"/>
            </w:pPr>
          </w:p>
        </w:tc>
        <w:tc>
          <w:tcPr>
            <w:tcW w:w="7262" w:type="dxa"/>
            <w:vAlign w:val="center"/>
          </w:tcPr>
          <w:p w14:paraId="5D6F8162" w14:textId="77777777" w:rsidR="003B76ED" w:rsidRDefault="003B76ED" w:rsidP="003B76ED">
            <w:pPr>
              <w:spacing w:after="0" w:line="240" w:lineRule="auto"/>
              <w:jc w:val="left"/>
            </w:pPr>
            <w:r>
              <w:t>We assume log-linear dose-response for the continuous risk factors.</w:t>
            </w:r>
          </w:p>
        </w:tc>
      </w:tr>
      <w:tr w:rsidR="003B76ED" w14:paraId="26FFDAA6" w14:textId="77777777" w:rsidTr="009D4EB7">
        <w:trPr>
          <w:trHeight w:val="567"/>
        </w:trPr>
        <w:tc>
          <w:tcPr>
            <w:tcW w:w="2706" w:type="dxa"/>
            <w:vAlign w:val="center"/>
          </w:tcPr>
          <w:p w14:paraId="789CAA74" w14:textId="77777777" w:rsidR="003B76ED" w:rsidRDefault="003B76ED" w:rsidP="003B76ED">
            <w:pPr>
              <w:spacing w:after="0" w:line="240" w:lineRule="auto"/>
              <w:jc w:val="left"/>
            </w:pPr>
          </w:p>
        </w:tc>
        <w:tc>
          <w:tcPr>
            <w:tcW w:w="7262" w:type="dxa"/>
            <w:vAlign w:val="center"/>
          </w:tcPr>
          <w:p w14:paraId="2D440EFD" w14:textId="77777777" w:rsidR="003B76ED" w:rsidRDefault="003B76ED" w:rsidP="003B76ED">
            <w:pPr>
              <w:keepNext/>
              <w:spacing w:after="0" w:line="240" w:lineRule="auto"/>
              <w:jc w:val="left"/>
            </w:pPr>
            <w:r>
              <w:t>We assume</w:t>
            </w:r>
            <w:r w:rsidRPr="002831EE">
              <w:t xml:space="preserve"> that the effects of the risk factors on incidence and mortality are equal and risk factors are not modifying survival</w:t>
            </w:r>
            <w:r>
              <w:t>.</w:t>
            </w:r>
          </w:p>
        </w:tc>
      </w:tr>
      <w:tr w:rsidR="003B76ED" w14:paraId="1C1E3EC9" w14:textId="77777777" w:rsidTr="009D4EB7">
        <w:trPr>
          <w:trHeight w:val="567"/>
        </w:trPr>
        <w:tc>
          <w:tcPr>
            <w:tcW w:w="2706" w:type="dxa"/>
            <w:vAlign w:val="center"/>
          </w:tcPr>
          <w:p w14:paraId="4073EADF" w14:textId="77777777" w:rsidR="003B76ED" w:rsidRDefault="003B76ED" w:rsidP="003B76ED">
            <w:pPr>
              <w:spacing w:after="0" w:line="240" w:lineRule="auto"/>
              <w:jc w:val="left"/>
            </w:pPr>
          </w:p>
        </w:tc>
        <w:tc>
          <w:tcPr>
            <w:tcW w:w="7262" w:type="dxa"/>
            <w:vAlign w:val="center"/>
          </w:tcPr>
          <w:p w14:paraId="3A063B50" w14:textId="77777777" w:rsidR="003B76ED" w:rsidRDefault="003B76ED" w:rsidP="003B76ED">
            <w:pPr>
              <w:keepNext/>
              <w:spacing w:after="0" w:line="240" w:lineRule="auto"/>
              <w:jc w:val="left"/>
            </w:pPr>
            <w:r>
              <w:t>We a</w:t>
            </w:r>
            <w:r w:rsidRPr="00AF72D8">
              <w:t>ssume 5-year</w:t>
            </w:r>
            <w:r>
              <w:t xml:space="preserve"> mean</w:t>
            </w:r>
            <w:r w:rsidRPr="00AF72D8">
              <w:t xml:space="preserve"> lag time for CVD and 8-year for GCa (except </w:t>
            </w:r>
            <w:r>
              <w:t xml:space="preserve">for the </w:t>
            </w:r>
            <w:r w:rsidRPr="00AF72D8">
              <w:t>cumulative effect</w:t>
            </w:r>
            <w:r>
              <w:t xml:space="preserve"> of smoking on GCa where</w:t>
            </w:r>
            <w:r w:rsidRPr="00AF72D8">
              <w:t xml:space="preserve"> lag</w:t>
            </w:r>
            <w:r>
              <w:t xml:space="preserve"> was assumed similar to CVD one</w:t>
            </w:r>
            <w:r w:rsidRPr="00AF72D8">
              <w:t>)</w:t>
            </w:r>
            <w:r>
              <w:t>.</w:t>
            </w:r>
          </w:p>
        </w:tc>
      </w:tr>
      <w:tr w:rsidR="003B76ED" w14:paraId="41744DD9" w14:textId="77777777" w:rsidTr="009D4EB7">
        <w:trPr>
          <w:trHeight w:val="567"/>
        </w:trPr>
        <w:tc>
          <w:tcPr>
            <w:tcW w:w="2706" w:type="dxa"/>
            <w:vAlign w:val="center"/>
          </w:tcPr>
          <w:p w14:paraId="4F5B6CE0" w14:textId="77777777" w:rsidR="003B76ED" w:rsidRDefault="003B76ED" w:rsidP="003B76ED">
            <w:pPr>
              <w:spacing w:after="0" w:line="240" w:lineRule="auto"/>
              <w:jc w:val="left"/>
            </w:pPr>
          </w:p>
        </w:tc>
        <w:tc>
          <w:tcPr>
            <w:tcW w:w="7262" w:type="dxa"/>
            <w:vAlign w:val="center"/>
          </w:tcPr>
          <w:p w14:paraId="016CAEA3" w14:textId="77777777" w:rsidR="003B76ED" w:rsidRDefault="003B76ED" w:rsidP="003B76ED">
            <w:pPr>
              <w:spacing w:after="0" w:line="240" w:lineRule="auto"/>
              <w:jc w:val="left"/>
            </w:pPr>
            <w:r>
              <w:t>We assume 100% risk reversibility.</w:t>
            </w:r>
          </w:p>
        </w:tc>
      </w:tr>
      <w:tr w:rsidR="003B76ED" w14:paraId="3D9B0958" w14:textId="77777777" w:rsidTr="009D4EB7">
        <w:trPr>
          <w:trHeight w:val="567"/>
        </w:trPr>
        <w:tc>
          <w:tcPr>
            <w:tcW w:w="2706" w:type="dxa"/>
            <w:vAlign w:val="center"/>
          </w:tcPr>
          <w:p w14:paraId="25DB653C" w14:textId="77777777" w:rsidR="003B76ED" w:rsidRDefault="003B76ED" w:rsidP="003B76ED">
            <w:pPr>
              <w:spacing w:after="0" w:line="240" w:lineRule="auto"/>
              <w:jc w:val="left"/>
            </w:pPr>
          </w:p>
        </w:tc>
        <w:tc>
          <w:tcPr>
            <w:tcW w:w="7262" w:type="dxa"/>
            <w:vAlign w:val="center"/>
          </w:tcPr>
          <w:p w14:paraId="6CC78736" w14:textId="77777777" w:rsidR="003B76ED" w:rsidRDefault="003B76ED" w:rsidP="003B76ED">
            <w:pPr>
              <w:spacing w:after="0" w:line="240" w:lineRule="auto"/>
              <w:jc w:val="left"/>
            </w:pPr>
            <w:r>
              <w:t>We assume that t</w:t>
            </w:r>
            <w:r w:rsidRPr="00AF72D8">
              <w:t>rends in disease incidence are attributable only to trends of the</w:t>
            </w:r>
            <w:r>
              <w:t xml:space="preserve"> relevant modelled risk factors.</w:t>
            </w:r>
          </w:p>
        </w:tc>
      </w:tr>
      <w:tr w:rsidR="003B76ED" w14:paraId="556ADECD" w14:textId="77777777" w:rsidTr="009D4EB7">
        <w:trPr>
          <w:trHeight w:val="567"/>
        </w:trPr>
        <w:tc>
          <w:tcPr>
            <w:tcW w:w="2706" w:type="dxa"/>
            <w:vAlign w:val="center"/>
          </w:tcPr>
          <w:p w14:paraId="7FC25001" w14:textId="77777777" w:rsidR="003B76ED" w:rsidRDefault="003B76ED" w:rsidP="003B76ED">
            <w:pPr>
              <w:spacing w:after="0" w:line="240" w:lineRule="auto"/>
              <w:jc w:val="left"/>
            </w:pPr>
          </w:p>
        </w:tc>
        <w:tc>
          <w:tcPr>
            <w:tcW w:w="7262" w:type="dxa"/>
            <w:vAlign w:val="center"/>
          </w:tcPr>
          <w:p w14:paraId="5C842ACD" w14:textId="3D599D18" w:rsidR="003B76ED" w:rsidRDefault="003B76ED" w:rsidP="003B76ED">
            <w:pPr>
              <w:spacing w:after="0" w:line="240" w:lineRule="auto"/>
              <w:jc w:val="left"/>
            </w:pPr>
            <w:r>
              <w:t xml:space="preserve">Only </w:t>
            </w:r>
            <w:r w:rsidRPr="00566088">
              <w:rPr>
                <w:noProof/>
              </w:rPr>
              <w:t>well</w:t>
            </w:r>
            <w:r w:rsidR="00566088">
              <w:rPr>
                <w:noProof/>
              </w:rPr>
              <w:t>-</w:t>
            </w:r>
            <w:r w:rsidRPr="00566088">
              <w:rPr>
                <w:noProof/>
              </w:rPr>
              <w:t>accepted</w:t>
            </w:r>
            <w:r>
              <w:t xml:space="preserve"> associations</w:t>
            </w:r>
            <w:r w:rsidRPr="00AF72D8">
              <w:t xml:space="preserve"> </w:t>
            </w:r>
            <w:r>
              <w:t>between upstream and downstream</w:t>
            </w:r>
            <w:r w:rsidRPr="00AF72D8">
              <w:t xml:space="preserve"> risk factors </w:t>
            </w:r>
            <w:r>
              <w:t xml:space="preserve">that have been </w:t>
            </w:r>
            <w:r w:rsidRPr="00AF72D8">
              <w:t xml:space="preserve">observed in longitudinal studies </w:t>
            </w:r>
            <w:r>
              <w:t>a</w:t>
            </w:r>
            <w:r w:rsidRPr="00AF72D8">
              <w:t>re considered</w:t>
            </w:r>
            <w:r>
              <w:t>.</w:t>
            </w:r>
            <w:r w:rsidRPr="00AF72D8">
              <w:t xml:space="preserve"> However</w:t>
            </w:r>
            <w:r>
              <w:t>,</w:t>
            </w:r>
            <w:r w:rsidRPr="00AF72D8">
              <w:t xml:space="preserve"> </w:t>
            </w:r>
            <w:r>
              <w:t>t</w:t>
            </w:r>
            <w:r w:rsidRPr="00AF72D8">
              <w:t>he magnitude</w:t>
            </w:r>
            <w:r>
              <w:t>s</w:t>
            </w:r>
            <w:r w:rsidRPr="00AF72D8">
              <w:t xml:space="preserve"> of </w:t>
            </w:r>
            <w:r>
              <w:t>the associa</w:t>
            </w:r>
            <w:r w:rsidRPr="00AF72D8">
              <w:t xml:space="preserve">tions are </w:t>
            </w:r>
            <w:r>
              <w:t>extracted from</w:t>
            </w:r>
            <w:r w:rsidRPr="00AF72D8">
              <w:t xml:space="preserve"> a series of nationally representative cross-sectional surveys (H</w:t>
            </w:r>
            <w:r>
              <w:t xml:space="preserve">ealth </w:t>
            </w:r>
            <w:r w:rsidRPr="00AF72D8">
              <w:t>S</w:t>
            </w:r>
            <w:r>
              <w:t xml:space="preserve">urvey for </w:t>
            </w:r>
            <w:r w:rsidRPr="00AF72D8">
              <w:t>E</w:t>
            </w:r>
            <w:r>
              <w:t>ngland</w:t>
            </w:r>
            <w:r w:rsidRPr="00AF72D8">
              <w:t>).</w:t>
            </w:r>
          </w:p>
        </w:tc>
      </w:tr>
      <w:tr w:rsidR="003B76ED" w14:paraId="02CDBDA1" w14:textId="77777777" w:rsidTr="009D4EB7">
        <w:trPr>
          <w:trHeight w:val="567"/>
        </w:trPr>
        <w:tc>
          <w:tcPr>
            <w:tcW w:w="2706" w:type="dxa"/>
            <w:vAlign w:val="center"/>
          </w:tcPr>
          <w:p w14:paraId="7FF240A0" w14:textId="77777777" w:rsidR="003B76ED" w:rsidRDefault="003B76ED" w:rsidP="003B76ED">
            <w:pPr>
              <w:spacing w:after="0" w:line="240" w:lineRule="auto"/>
              <w:jc w:val="left"/>
            </w:pPr>
          </w:p>
        </w:tc>
        <w:tc>
          <w:tcPr>
            <w:tcW w:w="7262" w:type="dxa"/>
            <w:vAlign w:val="center"/>
          </w:tcPr>
          <w:p w14:paraId="0BA63862" w14:textId="206A6F9D" w:rsidR="003B76ED" w:rsidRDefault="003B76ED" w:rsidP="005A671E">
            <w:pPr>
              <w:spacing w:after="0" w:line="240" w:lineRule="auto"/>
              <w:jc w:val="left"/>
            </w:pPr>
            <w:r w:rsidRPr="00AF72D8">
              <w:t xml:space="preserve">For </w:t>
            </w:r>
            <w:r>
              <w:t>GCa,</w:t>
            </w:r>
            <w:r w:rsidRPr="00AF72D8">
              <w:t xml:space="preserve"> we assume that survival 10 years after diagnosis equals remission</w:t>
            </w:r>
            <w:r>
              <w:t>.</w:t>
            </w:r>
          </w:p>
        </w:tc>
      </w:tr>
      <w:tr w:rsidR="00302EE8" w14:paraId="7D21B39F" w14:textId="77777777" w:rsidTr="005D0AE3">
        <w:trPr>
          <w:trHeight w:val="567"/>
        </w:trPr>
        <w:tc>
          <w:tcPr>
            <w:tcW w:w="9968" w:type="dxa"/>
            <w:gridSpan w:val="2"/>
            <w:vAlign w:val="center"/>
          </w:tcPr>
          <w:p w14:paraId="16F62CCF" w14:textId="6E5A06AD" w:rsidR="00302EE8" w:rsidRPr="00AF72D8" w:rsidRDefault="00302EE8" w:rsidP="00140F15">
            <w:pPr>
              <w:spacing w:after="0" w:line="240" w:lineRule="auto"/>
              <w:jc w:val="left"/>
            </w:pPr>
            <w:r>
              <w:t>CVD: cardiovascular disease, GCa: gastric cancer, QIMD: q</w:t>
            </w:r>
            <w:r w:rsidR="00140F15">
              <w:t>uan</w:t>
            </w:r>
            <w:r>
              <w:t>tile group of Index of Multiple Deprivation</w:t>
            </w:r>
          </w:p>
        </w:tc>
      </w:tr>
    </w:tbl>
    <w:p w14:paraId="333A4530" w14:textId="77777777" w:rsidR="003B76ED" w:rsidRDefault="003B76ED" w:rsidP="00AC0B1E">
      <w:pPr>
        <w:rPr>
          <w:lang w:eastAsia="en-GB"/>
        </w:rPr>
      </w:pPr>
    </w:p>
    <w:p w14:paraId="67D9BA6F" w14:textId="77777777" w:rsidR="0082458D" w:rsidRDefault="00325FCA" w:rsidP="00AC0B1E">
      <w:pPr>
        <w:pStyle w:val="Heading1"/>
      </w:pPr>
      <w:r w:rsidRPr="00CA2E4A">
        <w:t>Results</w:t>
      </w:r>
    </w:p>
    <w:p w14:paraId="26D22B2A" w14:textId="72CE1B63" w:rsidR="009E6916" w:rsidRPr="009E6916" w:rsidRDefault="00D161AA" w:rsidP="00AC0B1E">
      <w:r>
        <w:t>W</w:t>
      </w:r>
      <w:r w:rsidR="000B5048">
        <w:t>e present our results separately for the two distinct periods</w:t>
      </w:r>
      <w:r w:rsidR="00906773">
        <w:t>, then a</w:t>
      </w:r>
      <w:r w:rsidR="005520A8">
        <w:t>n</w:t>
      </w:r>
      <w:r w:rsidR="002E05A7">
        <w:t xml:space="preserve"> </w:t>
      </w:r>
      <w:r w:rsidR="005520A8">
        <w:t>external</w:t>
      </w:r>
      <w:r w:rsidR="002E05A7">
        <w:t xml:space="preserve"> validation of </w:t>
      </w:r>
      <w:r w:rsidR="002E05A7" w:rsidRPr="00363E87">
        <w:rPr>
          <w:lang w:eastAsia="en-GB"/>
        </w:rPr>
        <w:t>IMPACT</w:t>
      </w:r>
      <w:r w:rsidR="002E05A7" w:rsidRPr="00363E87">
        <w:rPr>
          <w:b/>
          <w:vertAlign w:val="subscript"/>
          <w:lang w:eastAsia="en-GB"/>
        </w:rPr>
        <w:t>NCD</w:t>
      </w:r>
      <w:r w:rsidR="00290A58">
        <w:t>.</w:t>
      </w:r>
    </w:p>
    <w:p w14:paraId="67CEA0E1" w14:textId="71EB9172" w:rsidR="00CE6745" w:rsidRDefault="00F53647" w:rsidP="00AC0B1E">
      <w:pPr>
        <w:pStyle w:val="Heading2"/>
      </w:pPr>
      <w:r>
        <w:t xml:space="preserve">Evaluation of current policy </w:t>
      </w:r>
      <w:r w:rsidR="00E15713">
        <w:t>(2003-2015)</w:t>
      </w:r>
    </w:p>
    <w:p w14:paraId="7CFEC189" w14:textId="21B23858" w:rsidR="0072545D" w:rsidRPr="0072545D" w:rsidRDefault="00225759" w:rsidP="00AC0B1E">
      <w:r>
        <w:rPr>
          <w:lang w:eastAsia="en-GB"/>
        </w:rPr>
        <w:t>U</w:t>
      </w:r>
      <w:r w:rsidR="000B3E36">
        <w:t xml:space="preserve">nder </w:t>
      </w:r>
      <w:r w:rsidR="00E518D9">
        <w:t xml:space="preserve">the </w:t>
      </w:r>
      <w:r w:rsidR="00D66A69">
        <w:t>‘</w:t>
      </w:r>
      <w:r w:rsidR="008E741A">
        <w:t>c</w:t>
      </w:r>
      <w:r w:rsidR="000B3E36">
        <w:t xml:space="preserve">urrent </w:t>
      </w:r>
      <w:r w:rsidR="008E741A">
        <w:t>p</w:t>
      </w:r>
      <w:r w:rsidR="00E518D9">
        <w:t>olicy</w:t>
      </w:r>
      <w:r w:rsidR="00D66A69">
        <w:t>’</w:t>
      </w:r>
      <w:r w:rsidR="00E518D9">
        <w:t xml:space="preserve"> </w:t>
      </w:r>
      <w:r w:rsidR="000B3E36">
        <w:t>scenario, me</w:t>
      </w:r>
      <w:r>
        <w:t>di</w:t>
      </w:r>
      <w:r w:rsidR="000B3E36">
        <w:t xml:space="preserve">an salt consumption was reduced from </w:t>
      </w:r>
      <w:r w:rsidR="00A16031">
        <w:t>8</w:t>
      </w:r>
      <w:r w:rsidR="000B3E36">
        <w:t>.</w:t>
      </w:r>
      <w:r w:rsidR="00A16031">
        <w:t>9</w:t>
      </w:r>
      <w:r w:rsidR="000B3E36">
        <w:t xml:space="preserve"> </w:t>
      </w:r>
      <w:r w:rsidR="00420C25">
        <w:t>(</w:t>
      </w:r>
      <w:r>
        <w:t>IQR</w:t>
      </w:r>
      <w:r w:rsidR="00420C25">
        <w:t xml:space="preserve">: </w:t>
      </w:r>
      <w:r w:rsidR="00E629E4">
        <w:t>8.</w:t>
      </w:r>
      <w:r w:rsidR="00A16031">
        <w:t>7</w:t>
      </w:r>
      <w:r w:rsidR="00420C25">
        <w:t xml:space="preserve"> to 9.</w:t>
      </w:r>
      <w:r w:rsidR="00A16031">
        <w:t>2</w:t>
      </w:r>
      <w:r w:rsidR="00420C25">
        <w:t xml:space="preserve">) </w:t>
      </w:r>
      <w:r w:rsidR="000B3E36">
        <w:t>g/day in 2003 to 7.</w:t>
      </w:r>
      <w:r w:rsidR="00A16031">
        <w:t>1</w:t>
      </w:r>
      <w:r w:rsidR="000B3E36">
        <w:t xml:space="preserve"> </w:t>
      </w:r>
      <w:r w:rsidR="00420C25" w:rsidRPr="00420C25">
        <w:t>(</w:t>
      </w:r>
      <w:r>
        <w:t>IQR</w:t>
      </w:r>
      <w:r w:rsidR="00420C25" w:rsidRPr="00420C25">
        <w:t xml:space="preserve">: </w:t>
      </w:r>
      <w:r w:rsidR="00A16031">
        <w:t>6</w:t>
      </w:r>
      <w:r w:rsidR="00420C25" w:rsidRPr="00420C25">
        <w:t>.</w:t>
      </w:r>
      <w:r w:rsidR="00A16031">
        <w:t>9</w:t>
      </w:r>
      <w:r w:rsidR="00420C25" w:rsidRPr="00420C25">
        <w:t xml:space="preserve"> to </w:t>
      </w:r>
      <w:r w:rsidR="00420C25">
        <w:t>7</w:t>
      </w:r>
      <w:r w:rsidR="00420C25" w:rsidRPr="00420C25">
        <w:t>.</w:t>
      </w:r>
      <w:r w:rsidR="00A16031">
        <w:t>2</w:t>
      </w:r>
      <w:r w:rsidR="00420C25" w:rsidRPr="00420C25">
        <w:t>)</w:t>
      </w:r>
      <w:r w:rsidR="00420C25">
        <w:t xml:space="preserve"> </w:t>
      </w:r>
      <w:r w:rsidR="000B3E36">
        <w:t>g/day in 2015.</w:t>
      </w:r>
      <w:r w:rsidR="00E43DE2">
        <w:t xml:space="preserve"> </w:t>
      </w:r>
      <w:r w:rsidR="00E629E4">
        <w:t>S</w:t>
      </w:r>
      <w:r w:rsidR="00073C8E">
        <w:t xml:space="preserve">ocioeconomic inequalities </w:t>
      </w:r>
      <w:r w:rsidR="00290A58">
        <w:t xml:space="preserve">in salt consumption </w:t>
      </w:r>
      <w:r w:rsidR="00073C8E">
        <w:t>remained and might even have increased</w:t>
      </w:r>
      <w:r w:rsidR="00FF0233">
        <w:t xml:space="preserve"> as a result </w:t>
      </w:r>
      <w:r w:rsidR="00073C8E">
        <w:t xml:space="preserve">of </w:t>
      </w:r>
      <w:r w:rsidR="00FF0233">
        <w:t xml:space="preserve">the </w:t>
      </w:r>
      <w:r w:rsidR="00E629E4">
        <w:t>current policy.</w:t>
      </w:r>
    </w:p>
    <w:p w14:paraId="4D5FEE8D" w14:textId="332F1958" w:rsidR="00DD3F8C" w:rsidRDefault="00953312" w:rsidP="00AC0B1E">
      <w:r>
        <w:lastRenderedPageBreak/>
        <w:t xml:space="preserve">Under the </w:t>
      </w:r>
      <w:r w:rsidR="006B0AAE">
        <w:t>‘</w:t>
      </w:r>
      <w:r w:rsidR="008E741A">
        <w:t>n</w:t>
      </w:r>
      <w:r w:rsidR="00AB09D7">
        <w:t xml:space="preserve">o </w:t>
      </w:r>
      <w:r w:rsidR="008E741A">
        <w:t>i</w:t>
      </w:r>
      <w:r>
        <w:t>ntervention</w:t>
      </w:r>
      <w:r w:rsidR="006B0AAE">
        <w:t>’</w:t>
      </w:r>
      <w:r>
        <w:t xml:space="preserve"> scenario </w:t>
      </w:r>
      <w:r w:rsidR="009800C1">
        <w:t>IMPACT</w:t>
      </w:r>
      <w:r w:rsidR="00757186" w:rsidRPr="00757186">
        <w:rPr>
          <w:b/>
          <w:vertAlign w:val="subscript"/>
        </w:rPr>
        <w:t>NCD</w:t>
      </w:r>
      <w:r>
        <w:t xml:space="preserve"> estimated approximately 1</w:t>
      </w:r>
      <w:r w:rsidR="00C54961">
        <w:t>.</w:t>
      </w:r>
      <w:r w:rsidR="00A16031">
        <w:t>3</w:t>
      </w:r>
      <w:r>
        <w:t xml:space="preserve"> (</w:t>
      </w:r>
      <w:r w:rsidR="00355955">
        <w:t>IQR</w:t>
      </w:r>
      <w:r>
        <w:t>: 1.</w:t>
      </w:r>
      <w:r w:rsidR="00A16031">
        <w:t>2</w:t>
      </w:r>
      <w:r>
        <w:t xml:space="preserve"> </w:t>
      </w:r>
      <w:r w:rsidR="001F1AF2">
        <w:t>to</w:t>
      </w:r>
      <w:r>
        <w:t xml:space="preserve"> 1.</w:t>
      </w:r>
      <w:r w:rsidR="00A16031">
        <w:t>4</w:t>
      </w:r>
      <w:r>
        <w:t xml:space="preserve">) million </w:t>
      </w:r>
      <w:r w:rsidR="009800C1">
        <w:t xml:space="preserve">new </w:t>
      </w:r>
      <w:r>
        <w:t xml:space="preserve">cases </w:t>
      </w:r>
      <w:r w:rsidR="009800C1">
        <w:t xml:space="preserve">of CVD </w:t>
      </w:r>
      <w:r>
        <w:t xml:space="preserve">and </w:t>
      </w:r>
      <w:r w:rsidR="00A16031">
        <w:t>70</w:t>
      </w:r>
      <w:r w:rsidR="00C54961">
        <w:t>0,000</w:t>
      </w:r>
      <w:r w:rsidR="009800C1">
        <w:t xml:space="preserve"> (</w:t>
      </w:r>
      <w:r w:rsidR="00355955">
        <w:t>IQR</w:t>
      </w:r>
      <w:r w:rsidR="0042790B">
        <w:t>:</w:t>
      </w:r>
      <w:r w:rsidR="009800C1">
        <w:t xml:space="preserve"> </w:t>
      </w:r>
      <w:r w:rsidR="00A16031">
        <w:t>680</w:t>
      </w:r>
      <w:r w:rsidR="00C54961">
        <w:t>,000</w:t>
      </w:r>
      <w:r w:rsidR="009800C1">
        <w:t xml:space="preserve"> </w:t>
      </w:r>
      <w:r w:rsidR="001F1AF2">
        <w:t>to</w:t>
      </w:r>
      <w:r w:rsidR="009800C1">
        <w:t xml:space="preserve"> </w:t>
      </w:r>
      <w:r w:rsidR="00A16031">
        <w:t>72</w:t>
      </w:r>
      <w:r w:rsidR="00C54961">
        <w:t>0,000</w:t>
      </w:r>
      <w:r w:rsidR="009800C1">
        <w:t>) deaths from</w:t>
      </w:r>
      <w:r>
        <w:t xml:space="preserve"> CVD</w:t>
      </w:r>
      <w:r w:rsidR="009800C1">
        <w:t xml:space="preserve">. </w:t>
      </w:r>
      <w:r w:rsidR="008551C5">
        <w:t>Likewise, the</w:t>
      </w:r>
      <w:r w:rsidR="00C54961">
        <w:t xml:space="preserve"> model estimated approximately </w:t>
      </w:r>
      <w:r w:rsidR="00A16031">
        <w:t>68</w:t>
      </w:r>
      <w:r w:rsidR="008551C5">
        <w:t>,000 (</w:t>
      </w:r>
      <w:r w:rsidR="00355955">
        <w:t>IQR</w:t>
      </w:r>
      <w:r w:rsidR="008551C5">
        <w:t xml:space="preserve">: </w:t>
      </w:r>
      <w:r w:rsidR="00A16031">
        <w:t>61</w:t>
      </w:r>
      <w:r w:rsidR="008551C5">
        <w:t xml:space="preserve">,000 to </w:t>
      </w:r>
      <w:r w:rsidR="00355955">
        <w:t>7</w:t>
      </w:r>
      <w:r w:rsidR="00A16031">
        <w:t>4</w:t>
      </w:r>
      <w:r w:rsidR="008551C5">
        <w:t xml:space="preserve">,000) new GCa cases and </w:t>
      </w:r>
      <w:r w:rsidR="00C54961">
        <w:t>4</w:t>
      </w:r>
      <w:r w:rsidR="00A16031">
        <w:t>1</w:t>
      </w:r>
      <w:r w:rsidR="00BB1C6A">
        <w:t>,000 (</w:t>
      </w:r>
      <w:r w:rsidR="00355955">
        <w:t>IQR</w:t>
      </w:r>
      <w:r w:rsidR="00BB1C6A">
        <w:t xml:space="preserve">: </w:t>
      </w:r>
      <w:r w:rsidR="00A16031">
        <w:t>37</w:t>
      </w:r>
      <w:r w:rsidR="00BB1C6A">
        <w:t xml:space="preserve">,000 to </w:t>
      </w:r>
      <w:r w:rsidR="00355955">
        <w:t>4</w:t>
      </w:r>
      <w:r w:rsidR="00A16031">
        <w:t>4</w:t>
      </w:r>
      <w:r w:rsidR="00BB1C6A">
        <w:t>,000) deaths.</w:t>
      </w:r>
    </w:p>
    <w:p w14:paraId="744F7003" w14:textId="613B0AA3" w:rsidR="004C3E16" w:rsidRDefault="004C3E16" w:rsidP="00AC0B1E">
      <w:r>
        <w:t>Compar</w:t>
      </w:r>
      <w:r w:rsidR="00AB09D7">
        <w:t xml:space="preserve">ed with the </w:t>
      </w:r>
      <w:r w:rsidR="006A30B2">
        <w:t>‘</w:t>
      </w:r>
      <w:r w:rsidR="008E741A">
        <w:t>n</w:t>
      </w:r>
      <w:r w:rsidR="00AB09D7">
        <w:t xml:space="preserve">o </w:t>
      </w:r>
      <w:r w:rsidR="008E741A">
        <w:t>i</w:t>
      </w:r>
      <w:r w:rsidR="00AB09D7">
        <w:t>ntervention</w:t>
      </w:r>
      <w:r w:rsidR="006A30B2">
        <w:t>’</w:t>
      </w:r>
      <w:r>
        <w:t xml:space="preserve"> scenario, </w:t>
      </w:r>
      <w:r w:rsidR="006B0AAE">
        <w:t>the salt</w:t>
      </w:r>
      <w:r w:rsidR="009800C1">
        <w:t xml:space="preserve"> reduction strategy resulted in </w:t>
      </w:r>
      <w:r w:rsidR="001F1AF2">
        <w:t xml:space="preserve">about </w:t>
      </w:r>
      <w:r w:rsidR="00A16031">
        <w:t>52</w:t>
      </w:r>
      <w:r w:rsidR="00C54961">
        <w:t>,000 (</w:t>
      </w:r>
      <w:r w:rsidR="00355955">
        <w:t>IQR</w:t>
      </w:r>
      <w:r w:rsidR="00DD3F8C">
        <w:t xml:space="preserve">: </w:t>
      </w:r>
      <w:r w:rsidR="00A16031">
        <w:t>34</w:t>
      </w:r>
      <w:r w:rsidR="00DD3F8C">
        <w:t xml:space="preserve">,000 to </w:t>
      </w:r>
      <w:r w:rsidR="00A16031">
        <w:t>76</w:t>
      </w:r>
      <w:r w:rsidR="00DD3F8C">
        <w:t>,000</w:t>
      </w:r>
      <w:r w:rsidR="003450E5">
        <w:t xml:space="preserve">; </w:t>
      </w:r>
      <w:r w:rsidR="00DE5861" w:rsidRPr="00DE5861">
        <w:t>Ps</w:t>
      </w:r>
      <w:r w:rsidR="00DE5861">
        <w:t xml:space="preserve"> = </w:t>
      </w:r>
      <w:r w:rsidR="00A16031">
        <w:t>99</w:t>
      </w:r>
      <w:r w:rsidR="00DE5861">
        <w:t>%</w:t>
      </w:r>
      <w:r w:rsidR="001F1AF2">
        <w:t>) fewer new CVD cases</w:t>
      </w:r>
      <w:r w:rsidR="001E3D76">
        <w:t xml:space="preserve">, and </w:t>
      </w:r>
      <w:r w:rsidR="00EC5E1C">
        <w:t>1</w:t>
      </w:r>
      <w:r w:rsidR="00A16031">
        <w:t>0</w:t>
      </w:r>
      <w:r w:rsidR="001F1AF2">
        <w:t>,000 (</w:t>
      </w:r>
      <w:r w:rsidR="00355955">
        <w:t>IQR</w:t>
      </w:r>
      <w:r w:rsidR="00254F8A">
        <w:t xml:space="preserve">: </w:t>
      </w:r>
      <w:r w:rsidR="00A16031">
        <w:t>3</w:t>
      </w:r>
      <w:r w:rsidR="00254F8A">
        <w:t xml:space="preserve">,000 to </w:t>
      </w:r>
      <w:r w:rsidR="00A16031">
        <w:t>17</w:t>
      </w:r>
      <w:r w:rsidR="00254F8A">
        <w:t>,000</w:t>
      </w:r>
      <w:r w:rsidR="003450E5">
        <w:t xml:space="preserve">; </w:t>
      </w:r>
      <w:r w:rsidR="00DE5861">
        <w:t xml:space="preserve">Ps = </w:t>
      </w:r>
      <w:r w:rsidR="00A16031">
        <w:t>86</w:t>
      </w:r>
      <w:r w:rsidR="00DE5861">
        <w:t>%</w:t>
      </w:r>
      <w:r w:rsidR="001F1AF2">
        <w:t>)</w:t>
      </w:r>
      <w:r w:rsidR="001E3D76">
        <w:t xml:space="preserve"> fewer CVD deaths. </w:t>
      </w:r>
      <w:r w:rsidR="00AB09D7">
        <w:t>In addition</w:t>
      </w:r>
      <w:r w:rsidR="001E3D76">
        <w:t xml:space="preserve">, the current policy prevented around </w:t>
      </w:r>
      <w:r w:rsidR="00A16031">
        <w:t>5</w:t>
      </w:r>
      <w:r w:rsidR="001E3D76">
        <w:t>,</w:t>
      </w:r>
      <w:r w:rsidR="00A475DE">
        <w:t>0</w:t>
      </w:r>
      <w:r w:rsidR="001E3D76">
        <w:t>00 (</w:t>
      </w:r>
      <w:r w:rsidR="00355955">
        <w:t>IQR</w:t>
      </w:r>
      <w:r w:rsidR="00254F8A">
        <w:t xml:space="preserve">: </w:t>
      </w:r>
      <w:r w:rsidR="00A16031">
        <w:t>2</w:t>
      </w:r>
      <w:r w:rsidR="00254F8A">
        <w:t>,</w:t>
      </w:r>
      <w:r w:rsidR="00A475DE">
        <w:t>0</w:t>
      </w:r>
      <w:r w:rsidR="00254F8A">
        <w:t xml:space="preserve">00 to </w:t>
      </w:r>
      <w:r w:rsidR="00A16031">
        <w:t>7</w:t>
      </w:r>
      <w:r w:rsidR="00254F8A">
        <w:t>,</w:t>
      </w:r>
      <w:r w:rsidR="00A475DE">
        <w:t>0</w:t>
      </w:r>
      <w:r w:rsidR="00254F8A">
        <w:t>00</w:t>
      </w:r>
      <w:r w:rsidR="003450E5">
        <w:t xml:space="preserve">; </w:t>
      </w:r>
      <w:r w:rsidR="00DE5861">
        <w:t xml:space="preserve">Ps </w:t>
      </w:r>
      <w:r w:rsidR="003450E5">
        <w:t>=</w:t>
      </w:r>
      <w:r w:rsidR="00DE5861">
        <w:t xml:space="preserve"> </w:t>
      </w:r>
      <w:r w:rsidR="00A475DE">
        <w:t>9</w:t>
      </w:r>
      <w:r w:rsidR="00631FA8">
        <w:t>2</w:t>
      </w:r>
      <w:r w:rsidR="00DE5861">
        <w:t>%</w:t>
      </w:r>
      <w:r w:rsidR="001E3D76">
        <w:t>) new cases of GC</w:t>
      </w:r>
      <w:r w:rsidR="008660B4">
        <w:t>a</w:t>
      </w:r>
      <w:r w:rsidR="001E3D76">
        <w:t xml:space="preserve"> resulting in </w:t>
      </w:r>
      <w:r w:rsidR="00631FA8">
        <w:t>2</w:t>
      </w:r>
      <w:r w:rsidR="001E3D76">
        <w:t>,</w:t>
      </w:r>
      <w:r w:rsidR="00E023E9">
        <w:t>0</w:t>
      </w:r>
      <w:r w:rsidR="001E3D76">
        <w:t>00 (</w:t>
      </w:r>
      <w:r w:rsidR="00355955">
        <w:t>IQR</w:t>
      </w:r>
      <w:r w:rsidR="00254F8A">
        <w:t xml:space="preserve">: </w:t>
      </w:r>
      <w:r w:rsidR="00631FA8">
        <w:t>0</w:t>
      </w:r>
      <w:r w:rsidR="00254F8A">
        <w:t xml:space="preserve"> to </w:t>
      </w:r>
      <w:r w:rsidR="00631FA8">
        <w:t>4</w:t>
      </w:r>
      <w:r w:rsidR="00254F8A">
        <w:t>,</w:t>
      </w:r>
      <w:r w:rsidR="00E023E9">
        <w:t>0</w:t>
      </w:r>
      <w:r w:rsidR="00254F8A">
        <w:t>00</w:t>
      </w:r>
      <w:r w:rsidR="003450E5">
        <w:t xml:space="preserve">; </w:t>
      </w:r>
      <w:r w:rsidR="00DE5861">
        <w:t xml:space="preserve">Ps </w:t>
      </w:r>
      <w:r w:rsidR="003450E5">
        <w:t>=</w:t>
      </w:r>
      <w:r w:rsidR="00DE5861">
        <w:t xml:space="preserve"> </w:t>
      </w:r>
      <w:r w:rsidR="00631FA8">
        <w:t>78</w:t>
      </w:r>
      <w:r w:rsidR="00DE5861">
        <w:t>%</w:t>
      </w:r>
      <w:r w:rsidR="001E3D76">
        <w:t>) fewer GCA deaths</w:t>
      </w:r>
      <w:r w:rsidR="00130439">
        <w:t>.</w:t>
      </w:r>
    </w:p>
    <w:p w14:paraId="2689064C" w14:textId="70FC14FD" w:rsidR="00A04087" w:rsidRDefault="000346C9" w:rsidP="00AC0B1E">
      <w:r>
        <w:t>When equity</w:t>
      </w:r>
      <w:r w:rsidR="00010922">
        <w:t xml:space="preserve"> </w:t>
      </w:r>
      <w:r>
        <w:t>was</w:t>
      </w:r>
      <w:r w:rsidR="00010922">
        <w:t xml:space="preserve"> considered</w:t>
      </w:r>
      <w:r w:rsidR="00CD0596">
        <w:t xml:space="preserve">, </w:t>
      </w:r>
      <w:r w:rsidR="00A17857">
        <w:t xml:space="preserve">we estimated </w:t>
      </w:r>
      <w:r w:rsidR="00861CC2">
        <w:t xml:space="preserve">that </w:t>
      </w:r>
      <w:r w:rsidR="00D5152F">
        <w:t xml:space="preserve">the current policy </w:t>
      </w:r>
      <w:r w:rsidR="006569E6">
        <w:t xml:space="preserve">has </w:t>
      </w:r>
      <w:r w:rsidR="00A04087">
        <w:t xml:space="preserve">a </w:t>
      </w:r>
      <w:r w:rsidR="00FC4A74">
        <w:t xml:space="preserve">rather </w:t>
      </w:r>
      <w:r w:rsidR="00A04087">
        <w:t xml:space="preserve">neutral effect on tackling </w:t>
      </w:r>
      <w:r w:rsidR="00FC4A74">
        <w:t xml:space="preserve">socioeconomic </w:t>
      </w:r>
      <w:r w:rsidR="00A04087">
        <w:t>inequalities</w:t>
      </w:r>
      <w:r w:rsidR="00FC4A74">
        <w:t xml:space="preserve"> in CVD</w:t>
      </w:r>
      <w:r w:rsidR="00A04087">
        <w:t xml:space="preserve">. </w:t>
      </w:r>
      <w:r w:rsidR="004D5940">
        <w:t xml:space="preserve">The effect on GCa </w:t>
      </w:r>
      <w:r w:rsidR="00E754F9">
        <w:t xml:space="preserve">equity </w:t>
      </w:r>
      <w:r w:rsidR="004D5940">
        <w:t xml:space="preserve">was more complex. </w:t>
      </w:r>
      <w:r w:rsidR="0064256F">
        <w:t>C</w:t>
      </w:r>
      <w:r w:rsidR="004D5940">
        <w:t xml:space="preserve">urrent policy </w:t>
      </w:r>
      <w:r w:rsidR="0064256F">
        <w:t xml:space="preserve">apparently </w:t>
      </w:r>
      <w:r w:rsidR="004D5940">
        <w:t xml:space="preserve">prevented or postponed </w:t>
      </w:r>
      <w:r w:rsidR="00AB09D7">
        <w:t xml:space="preserve">fewer </w:t>
      </w:r>
      <w:r w:rsidR="004D5940">
        <w:t xml:space="preserve">GCa cases in more deprived areas. However, </w:t>
      </w:r>
      <w:r w:rsidR="0064256F">
        <w:t xml:space="preserve">GCa incidence increases with age and </w:t>
      </w:r>
      <w:r w:rsidR="00E71F97">
        <w:t xml:space="preserve">more affluent individuals tend to live longer. </w:t>
      </w:r>
      <w:r w:rsidR="0064256F">
        <w:t xml:space="preserve">After </w:t>
      </w:r>
      <w:r w:rsidR="00DE5861">
        <w:t>directly standardising</w:t>
      </w:r>
      <w:r w:rsidR="00F36713">
        <w:t xml:space="preserve"> age and sex</w:t>
      </w:r>
      <w:r w:rsidR="00DE5861">
        <w:t>,</w:t>
      </w:r>
      <w:r w:rsidR="00E71F97">
        <w:t xml:space="preserve"> </w:t>
      </w:r>
      <w:r w:rsidR="003F3113">
        <w:t xml:space="preserve">the effect was </w:t>
      </w:r>
      <w:r w:rsidR="00DE5861">
        <w:t>essentially disappeared</w:t>
      </w:r>
      <w:r w:rsidR="003B2B40">
        <w:t xml:space="preserve"> </w:t>
      </w:r>
      <w:r w:rsidR="001E45B8">
        <w:t>for a</w:t>
      </w:r>
      <w:r w:rsidR="00DC4B8C">
        <w:t>bsolute inequality</w:t>
      </w:r>
      <w:r w:rsidR="001E45B8">
        <w:t xml:space="preserve"> bur remained </w:t>
      </w:r>
      <w:r w:rsidR="00DC4B8C">
        <w:t>for relative inequality</w:t>
      </w:r>
      <w:r w:rsidR="00A86FB1">
        <w:t xml:space="preserve"> </w:t>
      </w:r>
      <w:r w:rsidR="003B2B40">
        <w:t>(</w:t>
      </w:r>
      <w:r w:rsidR="0028778E">
        <w:t xml:space="preserve">Table </w:t>
      </w:r>
      <w:r w:rsidR="0028778E">
        <w:rPr>
          <w:noProof/>
        </w:rPr>
        <w:t>2</w:t>
      </w:r>
      <w:r w:rsidR="003B2B40">
        <w:t>).</w:t>
      </w:r>
    </w:p>
    <w:p w14:paraId="71C357F7" w14:textId="2901D61D" w:rsidR="00A17857" w:rsidRDefault="00A17857" w:rsidP="00AC0B1E">
      <w:pPr>
        <w:pStyle w:val="Caption"/>
      </w:pPr>
      <w:bookmarkStart w:id="2" w:name="_Ref430773952"/>
      <w:r>
        <w:t xml:space="preserve">Table </w:t>
      </w:r>
      <w:fldSimple w:instr=" SEQ Table \* ARABIC ">
        <w:r w:rsidR="004F3777">
          <w:rPr>
            <w:noProof/>
          </w:rPr>
          <w:t>2</w:t>
        </w:r>
      </w:fldSimple>
      <w:bookmarkEnd w:id="2"/>
      <w:r>
        <w:t xml:space="preserve">. </w:t>
      </w:r>
      <w:r w:rsidR="00566088">
        <w:rPr>
          <w:noProof/>
        </w:rPr>
        <w:t>The e</w:t>
      </w:r>
      <w:r w:rsidRPr="00566088">
        <w:rPr>
          <w:noProof/>
        </w:rPr>
        <w:t>ffectiveness</w:t>
      </w:r>
      <w:r>
        <w:t xml:space="preserve"> of current policy compared with the ‘</w:t>
      </w:r>
      <w:r w:rsidR="008E741A">
        <w:t>n</w:t>
      </w:r>
      <w:r>
        <w:t xml:space="preserve">o </w:t>
      </w:r>
      <w:r w:rsidR="008E741A">
        <w:t>i</w:t>
      </w:r>
      <w:r>
        <w:t xml:space="preserve">ntervention’ scenario by quantile group of </w:t>
      </w:r>
      <w:r w:rsidR="00140F15">
        <w:t>Index of M</w:t>
      </w:r>
      <w:r>
        <w:t xml:space="preserve">ultiple </w:t>
      </w:r>
      <w:r w:rsidR="00140F15">
        <w:t>D</w:t>
      </w:r>
      <w:r>
        <w:t xml:space="preserve">eprivation (QIMD). </w:t>
      </w:r>
    </w:p>
    <w:tbl>
      <w:tblPr>
        <w:tblStyle w:val="TableGrid"/>
        <w:tblW w:w="0" w:type="auto"/>
        <w:tblLook w:val="04A0" w:firstRow="1" w:lastRow="0" w:firstColumn="1" w:lastColumn="0" w:noHBand="0" w:noVBand="1"/>
      </w:tblPr>
      <w:tblGrid>
        <w:gridCol w:w="1791"/>
        <w:gridCol w:w="2072"/>
        <w:gridCol w:w="2070"/>
        <w:gridCol w:w="2072"/>
        <w:gridCol w:w="1963"/>
      </w:tblGrid>
      <w:tr w:rsidR="00DD0656" w:rsidRPr="00421029" w14:paraId="322F444D" w14:textId="77777777" w:rsidTr="00E50A57">
        <w:tc>
          <w:tcPr>
            <w:tcW w:w="1791" w:type="dxa"/>
            <w:vAlign w:val="center"/>
          </w:tcPr>
          <w:p w14:paraId="6E128E12" w14:textId="77777777" w:rsidR="00DD0656" w:rsidRPr="00421029" w:rsidRDefault="00DD0656" w:rsidP="00421029">
            <w:pPr>
              <w:spacing w:line="240" w:lineRule="auto"/>
              <w:rPr>
                <w:sz w:val="20"/>
              </w:rPr>
            </w:pPr>
          </w:p>
        </w:tc>
        <w:tc>
          <w:tcPr>
            <w:tcW w:w="4142" w:type="dxa"/>
            <w:gridSpan w:val="2"/>
            <w:vAlign w:val="bottom"/>
          </w:tcPr>
          <w:p w14:paraId="58E145BE" w14:textId="77777777" w:rsidR="00DD0656" w:rsidRPr="00421029" w:rsidRDefault="00DD0656" w:rsidP="00421029">
            <w:pPr>
              <w:spacing w:line="240" w:lineRule="auto"/>
              <w:rPr>
                <w:sz w:val="20"/>
              </w:rPr>
            </w:pPr>
            <w:r w:rsidRPr="00421029">
              <w:rPr>
                <w:sz w:val="20"/>
              </w:rPr>
              <w:t>C</w:t>
            </w:r>
            <w:r w:rsidR="001C71B0" w:rsidRPr="00421029">
              <w:rPr>
                <w:sz w:val="20"/>
              </w:rPr>
              <w:t>PP absolute reduction</w:t>
            </w:r>
            <w:r w:rsidR="003A6470" w:rsidRPr="00421029">
              <w:rPr>
                <w:sz w:val="20"/>
              </w:rPr>
              <w:t xml:space="preserve"> in thousands</w:t>
            </w:r>
          </w:p>
        </w:tc>
        <w:tc>
          <w:tcPr>
            <w:tcW w:w="4035" w:type="dxa"/>
            <w:gridSpan w:val="2"/>
            <w:vAlign w:val="bottom"/>
          </w:tcPr>
          <w:p w14:paraId="553D77F1" w14:textId="77777777" w:rsidR="00DD0656" w:rsidRPr="00421029" w:rsidRDefault="001C71B0" w:rsidP="00421029">
            <w:pPr>
              <w:spacing w:line="240" w:lineRule="auto"/>
              <w:rPr>
                <w:sz w:val="20"/>
              </w:rPr>
            </w:pPr>
            <w:r w:rsidRPr="00421029">
              <w:rPr>
                <w:sz w:val="20"/>
              </w:rPr>
              <w:t xml:space="preserve">CPP relative </w:t>
            </w:r>
            <w:r w:rsidR="003A6470" w:rsidRPr="00421029">
              <w:rPr>
                <w:sz w:val="20"/>
              </w:rPr>
              <w:t xml:space="preserve">percentage </w:t>
            </w:r>
            <w:r w:rsidRPr="00421029">
              <w:rPr>
                <w:sz w:val="20"/>
              </w:rPr>
              <w:t>reduction</w:t>
            </w:r>
          </w:p>
        </w:tc>
      </w:tr>
      <w:tr w:rsidR="00DD0656" w:rsidRPr="00421029" w14:paraId="31B958AB" w14:textId="77777777" w:rsidTr="00E50A57">
        <w:tc>
          <w:tcPr>
            <w:tcW w:w="1791" w:type="dxa"/>
            <w:vAlign w:val="center"/>
          </w:tcPr>
          <w:p w14:paraId="5A5BF917" w14:textId="77777777" w:rsidR="00DD0656" w:rsidRPr="00421029" w:rsidRDefault="00DD0656" w:rsidP="00421029">
            <w:pPr>
              <w:spacing w:line="240" w:lineRule="auto"/>
              <w:rPr>
                <w:sz w:val="20"/>
              </w:rPr>
            </w:pPr>
            <w:r w:rsidRPr="00421029">
              <w:rPr>
                <w:sz w:val="20"/>
              </w:rPr>
              <w:t>QIMD</w:t>
            </w:r>
          </w:p>
        </w:tc>
        <w:tc>
          <w:tcPr>
            <w:tcW w:w="2072" w:type="dxa"/>
            <w:vAlign w:val="center"/>
          </w:tcPr>
          <w:p w14:paraId="156FCD43" w14:textId="77777777" w:rsidR="00DD0656" w:rsidRPr="00421029" w:rsidRDefault="00DD0656" w:rsidP="00421029">
            <w:pPr>
              <w:spacing w:line="240" w:lineRule="auto"/>
              <w:rPr>
                <w:sz w:val="20"/>
              </w:rPr>
            </w:pPr>
            <w:r w:rsidRPr="00421029">
              <w:rPr>
                <w:sz w:val="20"/>
              </w:rPr>
              <w:t xml:space="preserve">CVD </w:t>
            </w:r>
          </w:p>
        </w:tc>
        <w:tc>
          <w:tcPr>
            <w:tcW w:w="2070" w:type="dxa"/>
            <w:vAlign w:val="center"/>
          </w:tcPr>
          <w:p w14:paraId="7D223803" w14:textId="77777777" w:rsidR="00DD0656" w:rsidRPr="00421029" w:rsidRDefault="00DD0656" w:rsidP="00421029">
            <w:pPr>
              <w:spacing w:line="240" w:lineRule="auto"/>
              <w:rPr>
                <w:sz w:val="20"/>
              </w:rPr>
            </w:pPr>
            <w:r w:rsidRPr="00421029">
              <w:rPr>
                <w:sz w:val="20"/>
              </w:rPr>
              <w:t xml:space="preserve">GCa </w:t>
            </w:r>
          </w:p>
        </w:tc>
        <w:tc>
          <w:tcPr>
            <w:tcW w:w="2072" w:type="dxa"/>
            <w:vAlign w:val="center"/>
          </w:tcPr>
          <w:p w14:paraId="24CBBF88" w14:textId="77777777" w:rsidR="00DD0656" w:rsidRPr="00421029" w:rsidRDefault="00DD0656" w:rsidP="00421029">
            <w:pPr>
              <w:spacing w:line="240" w:lineRule="auto"/>
              <w:rPr>
                <w:sz w:val="20"/>
              </w:rPr>
            </w:pPr>
            <w:r w:rsidRPr="00421029">
              <w:rPr>
                <w:sz w:val="20"/>
              </w:rPr>
              <w:t>CVD</w:t>
            </w:r>
          </w:p>
        </w:tc>
        <w:tc>
          <w:tcPr>
            <w:tcW w:w="1963" w:type="dxa"/>
            <w:vAlign w:val="center"/>
          </w:tcPr>
          <w:p w14:paraId="377F825F" w14:textId="77777777" w:rsidR="00DD0656" w:rsidRPr="00421029" w:rsidRDefault="00DD0656" w:rsidP="00421029">
            <w:pPr>
              <w:spacing w:line="240" w:lineRule="auto"/>
              <w:rPr>
                <w:sz w:val="20"/>
              </w:rPr>
            </w:pPr>
            <w:r w:rsidRPr="00421029">
              <w:rPr>
                <w:sz w:val="20"/>
              </w:rPr>
              <w:t>GCa</w:t>
            </w:r>
          </w:p>
        </w:tc>
      </w:tr>
      <w:tr w:rsidR="001C71B0" w:rsidRPr="00421029" w14:paraId="6CFC11EB" w14:textId="77777777" w:rsidTr="00E50A57">
        <w:tc>
          <w:tcPr>
            <w:tcW w:w="1791" w:type="dxa"/>
            <w:vAlign w:val="center"/>
          </w:tcPr>
          <w:p w14:paraId="2E8B7003" w14:textId="77777777" w:rsidR="001C71B0" w:rsidRPr="00421029" w:rsidRDefault="001C71B0" w:rsidP="00421029">
            <w:pPr>
              <w:spacing w:line="240" w:lineRule="auto"/>
              <w:rPr>
                <w:sz w:val="20"/>
              </w:rPr>
            </w:pPr>
            <w:r w:rsidRPr="00421029">
              <w:rPr>
                <w:sz w:val="20"/>
              </w:rPr>
              <w:t>1 (least deprived)</w:t>
            </w:r>
          </w:p>
        </w:tc>
        <w:tc>
          <w:tcPr>
            <w:tcW w:w="2072" w:type="dxa"/>
            <w:vAlign w:val="center"/>
          </w:tcPr>
          <w:p w14:paraId="3654FF67" w14:textId="25A54A24" w:rsidR="001C71B0" w:rsidRPr="00421029" w:rsidRDefault="00631FA8" w:rsidP="00631FA8">
            <w:pPr>
              <w:spacing w:line="240" w:lineRule="auto"/>
              <w:rPr>
                <w:sz w:val="20"/>
              </w:rPr>
            </w:pPr>
            <w:r>
              <w:rPr>
                <w:sz w:val="20"/>
              </w:rPr>
              <w:t>9</w:t>
            </w:r>
            <w:r w:rsidR="003A6470" w:rsidRPr="00421029">
              <w:rPr>
                <w:sz w:val="20"/>
              </w:rPr>
              <w:t>.</w:t>
            </w:r>
            <w:r w:rsidR="006B1F2D">
              <w:rPr>
                <w:sz w:val="20"/>
              </w:rPr>
              <w:t>7</w:t>
            </w:r>
            <w:r w:rsidR="003A6470" w:rsidRPr="00421029">
              <w:rPr>
                <w:sz w:val="20"/>
              </w:rPr>
              <w:t xml:space="preserve"> (</w:t>
            </w:r>
            <w:r>
              <w:rPr>
                <w:sz w:val="20"/>
              </w:rPr>
              <w:t>4.6 to 16.2</w:t>
            </w:r>
            <w:r w:rsidR="003A6470" w:rsidRPr="00421029">
              <w:rPr>
                <w:sz w:val="20"/>
              </w:rPr>
              <w:t>)</w:t>
            </w:r>
          </w:p>
        </w:tc>
        <w:tc>
          <w:tcPr>
            <w:tcW w:w="2070" w:type="dxa"/>
            <w:vAlign w:val="center"/>
          </w:tcPr>
          <w:p w14:paraId="75D6E3DD" w14:textId="78ADD38C" w:rsidR="001C71B0" w:rsidRPr="00421029" w:rsidRDefault="001C71B0" w:rsidP="001E4CB5">
            <w:pPr>
              <w:spacing w:line="240" w:lineRule="auto"/>
              <w:rPr>
                <w:sz w:val="20"/>
              </w:rPr>
            </w:pPr>
            <w:r w:rsidRPr="00421029">
              <w:rPr>
                <w:sz w:val="20"/>
              </w:rPr>
              <w:t>1.</w:t>
            </w:r>
            <w:r w:rsidR="00913738">
              <w:rPr>
                <w:sz w:val="20"/>
              </w:rPr>
              <w:t>0</w:t>
            </w:r>
            <w:r w:rsidRPr="00421029">
              <w:rPr>
                <w:sz w:val="20"/>
              </w:rPr>
              <w:t xml:space="preserve"> (</w:t>
            </w:r>
            <w:r w:rsidR="001E4CB5">
              <w:rPr>
                <w:sz w:val="20"/>
              </w:rPr>
              <w:t>-</w:t>
            </w:r>
            <w:r w:rsidR="00421029" w:rsidRPr="00421029">
              <w:rPr>
                <w:sz w:val="20"/>
              </w:rPr>
              <w:t>0</w:t>
            </w:r>
            <w:r w:rsidR="00B17563">
              <w:rPr>
                <w:sz w:val="20"/>
              </w:rPr>
              <w:t>.</w:t>
            </w:r>
            <w:r w:rsidR="001E4CB5">
              <w:rPr>
                <w:sz w:val="20"/>
              </w:rPr>
              <w:t>1</w:t>
            </w:r>
            <w:r w:rsidRPr="00421029">
              <w:rPr>
                <w:sz w:val="20"/>
              </w:rPr>
              <w:t xml:space="preserve"> to </w:t>
            </w:r>
            <w:r w:rsidR="001E4CB5">
              <w:rPr>
                <w:sz w:val="20"/>
              </w:rPr>
              <w:t>2</w:t>
            </w:r>
            <w:r w:rsidR="004A0D98" w:rsidRPr="00421029">
              <w:rPr>
                <w:sz w:val="20"/>
              </w:rPr>
              <w:t>.</w:t>
            </w:r>
            <w:r w:rsidR="001E4CB5">
              <w:rPr>
                <w:sz w:val="20"/>
              </w:rPr>
              <w:t>1</w:t>
            </w:r>
            <w:r w:rsidRPr="00421029">
              <w:rPr>
                <w:sz w:val="20"/>
              </w:rPr>
              <w:t>)</w:t>
            </w:r>
          </w:p>
        </w:tc>
        <w:tc>
          <w:tcPr>
            <w:tcW w:w="2072" w:type="dxa"/>
            <w:vAlign w:val="center"/>
          </w:tcPr>
          <w:p w14:paraId="4FF08022" w14:textId="6238BA3C" w:rsidR="001C71B0" w:rsidRPr="00421029" w:rsidRDefault="001C71B0" w:rsidP="00631FA8">
            <w:pPr>
              <w:spacing w:line="240" w:lineRule="auto"/>
              <w:rPr>
                <w:sz w:val="20"/>
              </w:rPr>
            </w:pPr>
            <w:r w:rsidRPr="00421029">
              <w:rPr>
                <w:sz w:val="20"/>
              </w:rPr>
              <w:t>4.</w:t>
            </w:r>
            <w:r w:rsidR="00631FA8">
              <w:rPr>
                <w:sz w:val="20"/>
              </w:rPr>
              <w:t>1</w:t>
            </w:r>
            <w:r w:rsidR="00DA1DEB" w:rsidRPr="00421029">
              <w:rPr>
                <w:sz w:val="20"/>
              </w:rPr>
              <w:t>%</w:t>
            </w:r>
            <w:r w:rsidRPr="00421029">
              <w:rPr>
                <w:sz w:val="20"/>
              </w:rPr>
              <w:t xml:space="preserve"> (</w:t>
            </w:r>
            <w:r w:rsidR="00631FA8">
              <w:rPr>
                <w:sz w:val="20"/>
              </w:rPr>
              <w:t>1</w:t>
            </w:r>
            <w:r w:rsidR="000876AB" w:rsidRPr="00421029">
              <w:rPr>
                <w:sz w:val="20"/>
              </w:rPr>
              <w:t>.</w:t>
            </w:r>
            <w:r w:rsidR="00631FA8">
              <w:rPr>
                <w:sz w:val="20"/>
              </w:rPr>
              <w:t>9</w:t>
            </w:r>
            <w:r w:rsidR="00277EEF">
              <w:rPr>
                <w:sz w:val="20"/>
              </w:rPr>
              <w:t>%</w:t>
            </w:r>
            <w:r w:rsidRPr="00421029">
              <w:rPr>
                <w:sz w:val="20"/>
              </w:rPr>
              <w:t xml:space="preserve"> to </w:t>
            </w:r>
            <w:r w:rsidR="00B17563">
              <w:rPr>
                <w:sz w:val="20"/>
              </w:rPr>
              <w:t>6</w:t>
            </w:r>
            <w:r w:rsidRPr="00421029">
              <w:rPr>
                <w:sz w:val="20"/>
              </w:rPr>
              <w:t>.</w:t>
            </w:r>
            <w:r w:rsidR="00631FA8">
              <w:rPr>
                <w:sz w:val="20"/>
              </w:rPr>
              <w:t>5</w:t>
            </w:r>
            <w:r w:rsidR="00277EEF">
              <w:rPr>
                <w:sz w:val="20"/>
              </w:rPr>
              <w:t>%</w:t>
            </w:r>
            <w:r w:rsidRPr="00421029">
              <w:rPr>
                <w:sz w:val="20"/>
              </w:rPr>
              <w:t>)</w:t>
            </w:r>
          </w:p>
        </w:tc>
        <w:tc>
          <w:tcPr>
            <w:tcW w:w="1963" w:type="dxa"/>
            <w:vAlign w:val="center"/>
          </w:tcPr>
          <w:p w14:paraId="58707317" w14:textId="46029A40" w:rsidR="001C71B0" w:rsidRPr="00421029" w:rsidRDefault="001E4CB5" w:rsidP="00BB7878">
            <w:pPr>
              <w:spacing w:line="240" w:lineRule="auto"/>
              <w:rPr>
                <w:sz w:val="20"/>
              </w:rPr>
            </w:pPr>
            <w:r>
              <w:rPr>
                <w:sz w:val="20"/>
              </w:rPr>
              <w:t>7.3</w:t>
            </w:r>
            <w:r w:rsidR="00DA1DEB" w:rsidRPr="00421029">
              <w:rPr>
                <w:sz w:val="20"/>
              </w:rPr>
              <w:t>%</w:t>
            </w:r>
            <w:r w:rsidR="001C71B0" w:rsidRPr="00421029">
              <w:rPr>
                <w:sz w:val="20"/>
              </w:rPr>
              <w:t xml:space="preserve"> (</w:t>
            </w:r>
            <w:r w:rsidR="00BB7878">
              <w:rPr>
                <w:sz w:val="20"/>
              </w:rPr>
              <w:t>-0.9</w:t>
            </w:r>
            <w:r w:rsidR="00277EEF">
              <w:rPr>
                <w:sz w:val="20"/>
              </w:rPr>
              <w:t>%</w:t>
            </w:r>
            <w:r w:rsidR="001C71B0" w:rsidRPr="00421029">
              <w:rPr>
                <w:sz w:val="20"/>
              </w:rPr>
              <w:t xml:space="preserve"> to </w:t>
            </w:r>
            <w:r w:rsidR="00B17563">
              <w:rPr>
                <w:sz w:val="20"/>
              </w:rPr>
              <w:t>1</w:t>
            </w:r>
            <w:r w:rsidR="00BB7878">
              <w:rPr>
                <w:sz w:val="20"/>
              </w:rPr>
              <w:t>5.3</w:t>
            </w:r>
            <w:r w:rsidR="00277EEF">
              <w:rPr>
                <w:sz w:val="20"/>
              </w:rPr>
              <w:t>%</w:t>
            </w:r>
            <w:r w:rsidR="001C71B0" w:rsidRPr="00421029">
              <w:rPr>
                <w:sz w:val="20"/>
              </w:rPr>
              <w:t>)</w:t>
            </w:r>
          </w:p>
        </w:tc>
      </w:tr>
      <w:tr w:rsidR="001C71B0" w:rsidRPr="00421029" w14:paraId="4B439CDF" w14:textId="77777777" w:rsidTr="00E50A57">
        <w:tc>
          <w:tcPr>
            <w:tcW w:w="1791" w:type="dxa"/>
            <w:vAlign w:val="center"/>
          </w:tcPr>
          <w:p w14:paraId="1D485909" w14:textId="77777777" w:rsidR="001C71B0" w:rsidRPr="00421029" w:rsidRDefault="001C71B0" w:rsidP="00421029">
            <w:pPr>
              <w:spacing w:line="240" w:lineRule="auto"/>
              <w:rPr>
                <w:sz w:val="20"/>
              </w:rPr>
            </w:pPr>
            <w:r w:rsidRPr="00421029">
              <w:rPr>
                <w:sz w:val="20"/>
              </w:rPr>
              <w:t>2</w:t>
            </w:r>
          </w:p>
        </w:tc>
        <w:tc>
          <w:tcPr>
            <w:tcW w:w="2072" w:type="dxa"/>
            <w:vAlign w:val="center"/>
          </w:tcPr>
          <w:p w14:paraId="7B8C8110" w14:textId="6D160285" w:rsidR="001C71B0" w:rsidRPr="00421029" w:rsidRDefault="001A03AD" w:rsidP="00631FA8">
            <w:pPr>
              <w:spacing w:line="240" w:lineRule="auto"/>
              <w:rPr>
                <w:sz w:val="20"/>
              </w:rPr>
            </w:pPr>
            <w:r>
              <w:rPr>
                <w:sz w:val="20"/>
              </w:rPr>
              <w:t xml:space="preserve">11.7 </w:t>
            </w:r>
            <w:r w:rsidRPr="00421029">
              <w:rPr>
                <w:sz w:val="20"/>
              </w:rPr>
              <w:t>(</w:t>
            </w:r>
            <w:r w:rsidR="00631FA8">
              <w:rPr>
                <w:sz w:val="20"/>
              </w:rPr>
              <w:t>5</w:t>
            </w:r>
            <w:r w:rsidR="003268A4" w:rsidRPr="00421029">
              <w:rPr>
                <w:sz w:val="20"/>
              </w:rPr>
              <w:t>.</w:t>
            </w:r>
            <w:r w:rsidR="006B1F2D">
              <w:rPr>
                <w:sz w:val="20"/>
              </w:rPr>
              <w:t>5</w:t>
            </w:r>
            <w:r w:rsidR="001C71B0" w:rsidRPr="00421029">
              <w:rPr>
                <w:sz w:val="20"/>
              </w:rPr>
              <w:t xml:space="preserve"> to </w:t>
            </w:r>
            <w:r w:rsidR="00631FA8">
              <w:rPr>
                <w:sz w:val="20"/>
              </w:rPr>
              <w:t>18</w:t>
            </w:r>
            <w:r w:rsidR="003A6470" w:rsidRPr="00421029">
              <w:rPr>
                <w:sz w:val="20"/>
              </w:rPr>
              <w:t>.</w:t>
            </w:r>
            <w:r w:rsidR="006B1F2D">
              <w:rPr>
                <w:sz w:val="20"/>
              </w:rPr>
              <w:t>8</w:t>
            </w:r>
            <w:r w:rsidR="001C71B0" w:rsidRPr="00421029">
              <w:rPr>
                <w:sz w:val="20"/>
              </w:rPr>
              <w:t>)</w:t>
            </w:r>
          </w:p>
        </w:tc>
        <w:tc>
          <w:tcPr>
            <w:tcW w:w="2070" w:type="dxa"/>
            <w:vAlign w:val="center"/>
          </w:tcPr>
          <w:p w14:paraId="58403800" w14:textId="087164DC" w:rsidR="001C71B0" w:rsidRPr="00421029" w:rsidRDefault="00913738" w:rsidP="001E4CB5">
            <w:pPr>
              <w:spacing w:line="240" w:lineRule="auto"/>
              <w:rPr>
                <w:sz w:val="20"/>
              </w:rPr>
            </w:pPr>
            <w:r>
              <w:rPr>
                <w:sz w:val="20"/>
              </w:rPr>
              <w:t>1.1</w:t>
            </w:r>
            <w:r w:rsidR="001C71B0" w:rsidRPr="00421029">
              <w:rPr>
                <w:sz w:val="20"/>
              </w:rPr>
              <w:t xml:space="preserve"> (</w:t>
            </w:r>
            <w:r w:rsidR="00421029" w:rsidRPr="00421029">
              <w:rPr>
                <w:sz w:val="20"/>
              </w:rPr>
              <w:t>0.</w:t>
            </w:r>
            <w:r w:rsidR="001E4CB5">
              <w:rPr>
                <w:sz w:val="20"/>
              </w:rPr>
              <w:t>0</w:t>
            </w:r>
            <w:r w:rsidR="000069B7" w:rsidRPr="00421029">
              <w:rPr>
                <w:sz w:val="20"/>
              </w:rPr>
              <w:t xml:space="preserve"> to </w:t>
            </w:r>
            <w:r w:rsidR="001E4CB5">
              <w:rPr>
                <w:sz w:val="20"/>
              </w:rPr>
              <w:t>2</w:t>
            </w:r>
            <w:r w:rsidR="000069B7" w:rsidRPr="00421029">
              <w:rPr>
                <w:sz w:val="20"/>
              </w:rPr>
              <w:t>.</w:t>
            </w:r>
            <w:r w:rsidR="00B17563">
              <w:rPr>
                <w:sz w:val="20"/>
              </w:rPr>
              <w:t>3</w:t>
            </w:r>
            <w:r w:rsidR="001C71B0" w:rsidRPr="00421029">
              <w:rPr>
                <w:sz w:val="20"/>
              </w:rPr>
              <w:t>)</w:t>
            </w:r>
          </w:p>
        </w:tc>
        <w:tc>
          <w:tcPr>
            <w:tcW w:w="2072" w:type="dxa"/>
            <w:vAlign w:val="center"/>
          </w:tcPr>
          <w:p w14:paraId="32B13523" w14:textId="673697D7" w:rsidR="001C71B0" w:rsidRPr="00421029" w:rsidRDefault="00631FA8" w:rsidP="00631FA8">
            <w:pPr>
              <w:spacing w:line="240" w:lineRule="auto"/>
              <w:rPr>
                <w:sz w:val="20"/>
              </w:rPr>
            </w:pPr>
            <w:r>
              <w:rPr>
                <w:sz w:val="20"/>
              </w:rPr>
              <w:t>4</w:t>
            </w:r>
            <w:r w:rsidR="001C71B0" w:rsidRPr="00421029">
              <w:rPr>
                <w:sz w:val="20"/>
              </w:rPr>
              <w:t>.</w:t>
            </w:r>
            <w:r>
              <w:rPr>
                <w:sz w:val="20"/>
              </w:rPr>
              <w:t>4</w:t>
            </w:r>
            <w:r w:rsidR="00DA1DEB" w:rsidRPr="00421029">
              <w:rPr>
                <w:sz w:val="20"/>
              </w:rPr>
              <w:t>%</w:t>
            </w:r>
            <w:r w:rsidR="001C71B0" w:rsidRPr="00421029">
              <w:rPr>
                <w:sz w:val="20"/>
              </w:rPr>
              <w:t xml:space="preserve"> (</w:t>
            </w:r>
            <w:r>
              <w:rPr>
                <w:sz w:val="20"/>
              </w:rPr>
              <w:t>2</w:t>
            </w:r>
            <w:r w:rsidR="001C71B0" w:rsidRPr="00421029">
              <w:rPr>
                <w:sz w:val="20"/>
              </w:rPr>
              <w:t>.</w:t>
            </w:r>
            <w:r w:rsidR="006B1F2D">
              <w:rPr>
                <w:sz w:val="20"/>
              </w:rPr>
              <w:t>3</w:t>
            </w:r>
            <w:r w:rsidR="00277EEF">
              <w:rPr>
                <w:sz w:val="20"/>
              </w:rPr>
              <w:t>%</w:t>
            </w:r>
            <w:r w:rsidR="001C71B0" w:rsidRPr="00421029">
              <w:rPr>
                <w:sz w:val="20"/>
              </w:rPr>
              <w:t xml:space="preserve"> to </w:t>
            </w:r>
            <w:r>
              <w:rPr>
                <w:sz w:val="20"/>
              </w:rPr>
              <w:t>6</w:t>
            </w:r>
            <w:r w:rsidR="000876AB" w:rsidRPr="00421029">
              <w:rPr>
                <w:sz w:val="20"/>
              </w:rPr>
              <w:t>.</w:t>
            </w:r>
            <w:r>
              <w:rPr>
                <w:sz w:val="20"/>
              </w:rPr>
              <w:t>8</w:t>
            </w:r>
            <w:r w:rsidR="00277EEF">
              <w:rPr>
                <w:sz w:val="20"/>
              </w:rPr>
              <w:t>%</w:t>
            </w:r>
            <w:r w:rsidR="001C71B0" w:rsidRPr="00421029">
              <w:rPr>
                <w:sz w:val="20"/>
              </w:rPr>
              <w:t>)</w:t>
            </w:r>
          </w:p>
        </w:tc>
        <w:tc>
          <w:tcPr>
            <w:tcW w:w="1963" w:type="dxa"/>
            <w:vAlign w:val="center"/>
          </w:tcPr>
          <w:p w14:paraId="53505116" w14:textId="6AF76F6B" w:rsidR="001C71B0" w:rsidRPr="00421029" w:rsidRDefault="001E4CB5" w:rsidP="00BB7878">
            <w:pPr>
              <w:spacing w:line="240" w:lineRule="auto"/>
              <w:rPr>
                <w:sz w:val="20"/>
              </w:rPr>
            </w:pPr>
            <w:r>
              <w:rPr>
                <w:sz w:val="20"/>
              </w:rPr>
              <w:t>7.8</w:t>
            </w:r>
            <w:r w:rsidR="00DA1DEB" w:rsidRPr="00421029">
              <w:rPr>
                <w:sz w:val="20"/>
              </w:rPr>
              <w:t>%</w:t>
            </w:r>
            <w:r w:rsidR="001C71B0" w:rsidRPr="00421029">
              <w:rPr>
                <w:sz w:val="20"/>
              </w:rPr>
              <w:t xml:space="preserve"> (</w:t>
            </w:r>
            <w:r w:rsidR="00BB7878">
              <w:rPr>
                <w:sz w:val="20"/>
              </w:rPr>
              <w:t>0</w:t>
            </w:r>
            <w:r w:rsidR="00CB11AB">
              <w:rPr>
                <w:sz w:val="20"/>
              </w:rPr>
              <w:t>.</w:t>
            </w:r>
            <w:r w:rsidR="00BB7878">
              <w:rPr>
                <w:sz w:val="20"/>
              </w:rPr>
              <w:t>0</w:t>
            </w:r>
            <w:r w:rsidR="00277EEF">
              <w:rPr>
                <w:sz w:val="20"/>
              </w:rPr>
              <w:t>%</w:t>
            </w:r>
            <w:r w:rsidR="001C71B0" w:rsidRPr="00421029">
              <w:rPr>
                <w:sz w:val="20"/>
              </w:rPr>
              <w:t xml:space="preserve"> to </w:t>
            </w:r>
            <w:r w:rsidR="00BB7878">
              <w:rPr>
                <w:sz w:val="20"/>
              </w:rPr>
              <w:t>16.1</w:t>
            </w:r>
            <w:r w:rsidR="00277EEF">
              <w:rPr>
                <w:sz w:val="20"/>
              </w:rPr>
              <w:t>%</w:t>
            </w:r>
            <w:r w:rsidR="001C71B0" w:rsidRPr="00421029">
              <w:rPr>
                <w:sz w:val="20"/>
              </w:rPr>
              <w:t>)</w:t>
            </w:r>
          </w:p>
        </w:tc>
      </w:tr>
      <w:tr w:rsidR="001C71B0" w:rsidRPr="00421029" w14:paraId="618B5405" w14:textId="77777777" w:rsidTr="00E50A57">
        <w:tc>
          <w:tcPr>
            <w:tcW w:w="1791" w:type="dxa"/>
            <w:vAlign w:val="center"/>
          </w:tcPr>
          <w:p w14:paraId="7BE5F5B8" w14:textId="77777777" w:rsidR="001C71B0" w:rsidRPr="00421029" w:rsidRDefault="001C71B0" w:rsidP="00421029">
            <w:pPr>
              <w:spacing w:line="240" w:lineRule="auto"/>
              <w:rPr>
                <w:sz w:val="20"/>
              </w:rPr>
            </w:pPr>
            <w:r w:rsidRPr="00421029">
              <w:rPr>
                <w:sz w:val="20"/>
              </w:rPr>
              <w:t>3</w:t>
            </w:r>
          </w:p>
        </w:tc>
        <w:tc>
          <w:tcPr>
            <w:tcW w:w="2072" w:type="dxa"/>
            <w:vAlign w:val="center"/>
          </w:tcPr>
          <w:p w14:paraId="40108476" w14:textId="0C8CCB26" w:rsidR="001C71B0" w:rsidRPr="00421029" w:rsidRDefault="003A6470" w:rsidP="00631FA8">
            <w:pPr>
              <w:spacing w:line="240" w:lineRule="auto"/>
              <w:rPr>
                <w:sz w:val="20"/>
              </w:rPr>
            </w:pPr>
            <w:r w:rsidRPr="00421029">
              <w:rPr>
                <w:sz w:val="20"/>
              </w:rPr>
              <w:t>1</w:t>
            </w:r>
            <w:r w:rsidR="00631FA8">
              <w:rPr>
                <w:sz w:val="20"/>
              </w:rPr>
              <w:t>1</w:t>
            </w:r>
            <w:r w:rsidRPr="00421029">
              <w:rPr>
                <w:sz w:val="20"/>
              </w:rPr>
              <w:t>.</w:t>
            </w:r>
            <w:r w:rsidR="00631FA8">
              <w:rPr>
                <w:sz w:val="20"/>
              </w:rPr>
              <w:t>3</w:t>
            </w:r>
            <w:r w:rsidR="001C71B0" w:rsidRPr="00421029">
              <w:rPr>
                <w:sz w:val="20"/>
              </w:rPr>
              <w:t xml:space="preserve"> (</w:t>
            </w:r>
            <w:r w:rsidR="00631FA8">
              <w:rPr>
                <w:sz w:val="20"/>
              </w:rPr>
              <w:t>5</w:t>
            </w:r>
            <w:r w:rsidR="003268A4" w:rsidRPr="00421029">
              <w:rPr>
                <w:sz w:val="20"/>
              </w:rPr>
              <w:t>.</w:t>
            </w:r>
            <w:r w:rsidR="00631FA8">
              <w:rPr>
                <w:sz w:val="20"/>
              </w:rPr>
              <w:t>3</w:t>
            </w:r>
            <w:r w:rsidR="001C71B0" w:rsidRPr="00421029">
              <w:rPr>
                <w:sz w:val="20"/>
              </w:rPr>
              <w:t xml:space="preserve"> to </w:t>
            </w:r>
            <w:r w:rsidR="00631FA8">
              <w:rPr>
                <w:sz w:val="20"/>
              </w:rPr>
              <w:t>17</w:t>
            </w:r>
            <w:r w:rsidRPr="00421029">
              <w:rPr>
                <w:sz w:val="20"/>
              </w:rPr>
              <w:t>.</w:t>
            </w:r>
            <w:r w:rsidR="00631FA8">
              <w:rPr>
                <w:sz w:val="20"/>
              </w:rPr>
              <w:t>8</w:t>
            </w:r>
            <w:r w:rsidR="001C71B0" w:rsidRPr="00421029">
              <w:rPr>
                <w:sz w:val="20"/>
              </w:rPr>
              <w:t>)</w:t>
            </w:r>
          </w:p>
        </w:tc>
        <w:tc>
          <w:tcPr>
            <w:tcW w:w="2070" w:type="dxa"/>
            <w:vAlign w:val="center"/>
          </w:tcPr>
          <w:p w14:paraId="54B67D01" w14:textId="76FDFDA1" w:rsidR="001C71B0" w:rsidRPr="00421029" w:rsidRDefault="00530619" w:rsidP="001E4CB5">
            <w:pPr>
              <w:spacing w:line="240" w:lineRule="auto"/>
              <w:rPr>
                <w:sz w:val="20"/>
              </w:rPr>
            </w:pPr>
            <w:r w:rsidRPr="00421029">
              <w:rPr>
                <w:sz w:val="20"/>
              </w:rPr>
              <w:t>1.</w:t>
            </w:r>
            <w:r w:rsidR="00913738">
              <w:rPr>
                <w:sz w:val="20"/>
              </w:rPr>
              <w:t>0</w:t>
            </w:r>
            <w:r w:rsidR="001C71B0" w:rsidRPr="00421029">
              <w:rPr>
                <w:sz w:val="20"/>
              </w:rPr>
              <w:t xml:space="preserve"> (</w:t>
            </w:r>
            <w:r w:rsidR="001E4CB5">
              <w:rPr>
                <w:sz w:val="20"/>
              </w:rPr>
              <w:t>-</w:t>
            </w:r>
            <w:r w:rsidR="00B17563">
              <w:rPr>
                <w:sz w:val="20"/>
              </w:rPr>
              <w:t>0.</w:t>
            </w:r>
            <w:r w:rsidR="001E4CB5">
              <w:rPr>
                <w:sz w:val="20"/>
              </w:rPr>
              <w:t>2</w:t>
            </w:r>
            <w:r w:rsidR="001C71B0" w:rsidRPr="00421029">
              <w:rPr>
                <w:sz w:val="20"/>
              </w:rPr>
              <w:t xml:space="preserve"> to </w:t>
            </w:r>
            <w:r w:rsidR="001E4CB5">
              <w:rPr>
                <w:sz w:val="20"/>
              </w:rPr>
              <w:t>2</w:t>
            </w:r>
            <w:r w:rsidR="000069B7" w:rsidRPr="00421029">
              <w:rPr>
                <w:sz w:val="20"/>
              </w:rPr>
              <w:t>.</w:t>
            </w:r>
            <w:r w:rsidR="006B1F2D">
              <w:rPr>
                <w:sz w:val="20"/>
              </w:rPr>
              <w:t>0</w:t>
            </w:r>
            <w:r w:rsidR="001C71B0" w:rsidRPr="00421029">
              <w:rPr>
                <w:sz w:val="20"/>
              </w:rPr>
              <w:t>)</w:t>
            </w:r>
          </w:p>
        </w:tc>
        <w:tc>
          <w:tcPr>
            <w:tcW w:w="2072" w:type="dxa"/>
            <w:vAlign w:val="center"/>
          </w:tcPr>
          <w:p w14:paraId="77E67CE8" w14:textId="66D872D6" w:rsidR="001C71B0" w:rsidRPr="00421029" w:rsidRDefault="006B1F2D" w:rsidP="00631FA8">
            <w:pPr>
              <w:spacing w:line="240" w:lineRule="auto"/>
              <w:rPr>
                <w:sz w:val="20"/>
              </w:rPr>
            </w:pPr>
            <w:r>
              <w:rPr>
                <w:sz w:val="20"/>
              </w:rPr>
              <w:t>4</w:t>
            </w:r>
            <w:r w:rsidR="001C71B0" w:rsidRPr="00421029">
              <w:rPr>
                <w:sz w:val="20"/>
              </w:rPr>
              <w:t>.</w:t>
            </w:r>
            <w:r w:rsidR="00631FA8">
              <w:rPr>
                <w:sz w:val="20"/>
              </w:rPr>
              <w:t>3</w:t>
            </w:r>
            <w:r w:rsidR="00DA1DEB" w:rsidRPr="00421029">
              <w:rPr>
                <w:sz w:val="20"/>
              </w:rPr>
              <w:t>%</w:t>
            </w:r>
            <w:r w:rsidR="001C71B0" w:rsidRPr="00421029">
              <w:rPr>
                <w:sz w:val="20"/>
              </w:rPr>
              <w:t xml:space="preserve"> (</w:t>
            </w:r>
            <w:r>
              <w:rPr>
                <w:sz w:val="20"/>
              </w:rPr>
              <w:t>2</w:t>
            </w:r>
            <w:r w:rsidR="00B17563">
              <w:rPr>
                <w:sz w:val="20"/>
              </w:rPr>
              <w:t>.</w:t>
            </w:r>
            <w:r w:rsidR="00631FA8">
              <w:rPr>
                <w:sz w:val="20"/>
              </w:rPr>
              <w:t>2</w:t>
            </w:r>
            <w:r w:rsidR="00277EEF">
              <w:rPr>
                <w:sz w:val="20"/>
              </w:rPr>
              <w:t>%</w:t>
            </w:r>
            <w:r w:rsidR="001C71B0" w:rsidRPr="00421029">
              <w:rPr>
                <w:sz w:val="20"/>
              </w:rPr>
              <w:t xml:space="preserve"> to </w:t>
            </w:r>
            <w:r w:rsidR="00631FA8">
              <w:rPr>
                <w:sz w:val="20"/>
              </w:rPr>
              <w:t>6.4</w:t>
            </w:r>
            <w:r w:rsidR="00277EEF">
              <w:rPr>
                <w:sz w:val="20"/>
              </w:rPr>
              <w:t>%</w:t>
            </w:r>
            <w:r w:rsidR="001C71B0" w:rsidRPr="00421029">
              <w:rPr>
                <w:sz w:val="20"/>
              </w:rPr>
              <w:t>)</w:t>
            </w:r>
          </w:p>
        </w:tc>
        <w:tc>
          <w:tcPr>
            <w:tcW w:w="1963" w:type="dxa"/>
            <w:vAlign w:val="center"/>
          </w:tcPr>
          <w:p w14:paraId="6052BF8C" w14:textId="03C266C9" w:rsidR="001C71B0" w:rsidRPr="00421029" w:rsidRDefault="001E4CB5" w:rsidP="00BB7878">
            <w:pPr>
              <w:spacing w:line="240" w:lineRule="auto"/>
              <w:rPr>
                <w:sz w:val="20"/>
              </w:rPr>
            </w:pPr>
            <w:r>
              <w:rPr>
                <w:sz w:val="20"/>
              </w:rPr>
              <w:t>6.9</w:t>
            </w:r>
            <w:r w:rsidR="00DA1DEB" w:rsidRPr="00421029">
              <w:rPr>
                <w:sz w:val="20"/>
              </w:rPr>
              <w:t xml:space="preserve">% </w:t>
            </w:r>
            <w:r w:rsidR="001C71B0" w:rsidRPr="00421029">
              <w:rPr>
                <w:sz w:val="20"/>
              </w:rPr>
              <w:t>(</w:t>
            </w:r>
            <w:r w:rsidR="00BB7878">
              <w:rPr>
                <w:sz w:val="20"/>
              </w:rPr>
              <w:t>-1.3</w:t>
            </w:r>
            <w:r w:rsidR="00277EEF">
              <w:rPr>
                <w:sz w:val="20"/>
              </w:rPr>
              <w:t>%</w:t>
            </w:r>
            <w:r w:rsidR="001C71B0" w:rsidRPr="00421029">
              <w:rPr>
                <w:sz w:val="20"/>
              </w:rPr>
              <w:t xml:space="preserve"> to </w:t>
            </w:r>
            <w:r w:rsidR="0039046A">
              <w:rPr>
                <w:sz w:val="20"/>
              </w:rPr>
              <w:t>1</w:t>
            </w:r>
            <w:r w:rsidR="00BB7878">
              <w:rPr>
                <w:sz w:val="20"/>
              </w:rPr>
              <w:t>4</w:t>
            </w:r>
            <w:r w:rsidR="001C71B0" w:rsidRPr="00421029">
              <w:rPr>
                <w:sz w:val="20"/>
              </w:rPr>
              <w:t>.</w:t>
            </w:r>
            <w:r w:rsidR="00BB7878">
              <w:rPr>
                <w:sz w:val="20"/>
              </w:rPr>
              <w:t>7</w:t>
            </w:r>
            <w:r w:rsidR="00277EEF">
              <w:rPr>
                <w:sz w:val="20"/>
              </w:rPr>
              <w:t>%</w:t>
            </w:r>
            <w:r w:rsidR="001C71B0" w:rsidRPr="00421029">
              <w:rPr>
                <w:sz w:val="20"/>
              </w:rPr>
              <w:t>)</w:t>
            </w:r>
          </w:p>
        </w:tc>
      </w:tr>
      <w:tr w:rsidR="001C71B0" w:rsidRPr="00421029" w14:paraId="204FA31D" w14:textId="77777777" w:rsidTr="00E50A57">
        <w:tc>
          <w:tcPr>
            <w:tcW w:w="1791" w:type="dxa"/>
            <w:vAlign w:val="center"/>
          </w:tcPr>
          <w:p w14:paraId="39232ED1" w14:textId="77777777" w:rsidR="001C71B0" w:rsidRPr="00421029" w:rsidRDefault="001C71B0" w:rsidP="00421029">
            <w:pPr>
              <w:spacing w:line="240" w:lineRule="auto"/>
              <w:rPr>
                <w:sz w:val="20"/>
              </w:rPr>
            </w:pPr>
            <w:r w:rsidRPr="00421029">
              <w:rPr>
                <w:sz w:val="20"/>
              </w:rPr>
              <w:t>4</w:t>
            </w:r>
          </w:p>
        </w:tc>
        <w:tc>
          <w:tcPr>
            <w:tcW w:w="2072" w:type="dxa"/>
            <w:vAlign w:val="center"/>
          </w:tcPr>
          <w:p w14:paraId="15C7CA17" w14:textId="6C2FFE37" w:rsidR="001C71B0" w:rsidRPr="00421029" w:rsidRDefault="003A6470" w:rsidP="00631FA8">
            <w:pPr>
              <w:spacing w:line="240" w:lineRule="auto"/>
              <w:rPr>
                <w:sz w:val="20"/>
              </w:rPr>
            </w:pPr>
            <w:r w:rsidRPr="00421029">
              <w:rPr>
                <w:sz w:val="20"/>
              </w:rPr>
              <w:t>1</w:t>
            </w:r>
            <w:r w:rsidR="00631FA8">
              <w:rPr>
                <w:sz w:val="20"/>
              </w:rPr>
              <w:t>0</w:t>
            </w:r>
            <w:r w:rsidRPr="00421029">
              <w:rPr>
                <w:sz w:val="20"/>
              </w:rPr>
              <w:t>.</w:t>
            </w:r>
            <w:r w:rsidR="006B1F2D">
              <w:rPr>
                <w:sz w:val="20"/>
              </w:rPr>
              <w:t>8</w:t>
            </w:r>
            <w:r w:rsidRPr="00421029">
              <w:rPr>
                <w:sz w:val="20"/>
              </w:rPr>
              <w:t xml:space="preserve"> </w:t>
            </w:r>
            <w:r w:rsidR="001C71B0" w:rsidRPr="00421029">
              <w:rPr>
                <w:sz w:val="20"/>
              </w:rPr>
              <w:t>(</w:t>
            </w:r>
            <w:r w:rsidR="00631FA8">
              <w:rPr>
                <w:sz w:val="20"/>
              </w:rPr>
              <w:t>5.0</w:t>
            </w:r>
            <w:r w:rsidR="001C71B0" w:rsidRPr="00421029">
              <w:rPr>
                <w:sz w:val="20"/>
              </w:rPr>
              <w:t xml:space="preserve"> to </w:t>
            </w:r>
            <w:r w:rsidR="00631FA8">
              <w:rPr>
                <w:sz w:val="20"/>
              </w:rPr>
              <w:t>17</w:t>
            </w:r>
            <w:r w:rsidRPr="00421029">
              <w:rPr>
                <w:sz w:val="20"/>
              </w:rPr>
              <w:t>.</w:t>
            </w:r>
            <w:r w:rsidR="00631FA8">
              <w:rPr>
                <w:sz w:val="20"/>
              </w:rPr>
              <w:t>5</w:t>
            </w:r>
            <w:r w:rsidR="001C71B0" w:rsidRPr="00421029">
              <w:rPr>
                <w:sz w:val="20"/>
              </w:rPr>
              <w:t>)</w:t>
            </w:r>
          </w:p>
        </w:tc>
        <w:tc>
          <w:tcPr>
            <w:tcW w:w="2070" w:type="dxa"/>
            <w:vAlign w:val="center"/>
          </w:tcPr>
          <w:p w14:paraId="2CA096BE" w14:textId="1EB1A053" w:rsidR="001C71B0" w:rsidRPr="00421029" w:rsidRDefault="00913738" w:rsidP="001E4CB5">
            <w:pPr>
              <w:spacing w:line="240" w:lineRule="auto"/>
              <w:rPr>
                <w:sz w:val="20"/>
              </w:rPr>
            </w:pPr>
            <w:r>
              <w:rPr>
                <w:sz w:val="20"/>
              </w:rPr>
              <w:t>0.8</w:t>
            </w:r>
            <w:r w:rsidR="001C71B0" w:rsidRPr="00421029">
              <w:rPr>
                <w:sz w:val="20"/>
              </w:rPr>
              <w:t xml:space="preserve"> (</w:t>
            </w:r>
            <w:r w:rsidR="001E4CB5">
              <w:rPr>
                <w:sz w:val="20"/>
              </w:rPr>
              <w:t>-</w:t>
            </w:r>
            <w:r w:rsidR="00B17563">
              <w:rPr>
                <w:sz w:val="20"/>
              </w:rPr>
              <w:t>0.</w:t>
            </w:r>
            <w:r w:rsidR="001E4CB5">
              <w:rPr>
                <w:sz w:val="20"/>
              </w:rPr>
              <w:t>1</w:t>
            </w:r>
            <w:r w:rsidR="001C71B0" w:rsidRPr="00421029">
              <w:rPr>
                <w:sz w:val="20"/>
              </w:rPr>
              <w:t xml:space="preserve"> to </w:t>
            </w:r>
            <w:r w:rsidR="001E4CB5">
              <w:rPr>
                <w:sz w:val="20"/>
              </w:rPr>
              <w:t>1</w:t>
            </w:r>
            <w:r w:rsidR="000069B7" w:rsidRPr="00421029">
              <w:rPr>
                <w:sz w:val="20"/>
              </w:rPr>
              <w:t>.</w:t>
            </w:r>
            <w:r w:rsidR="001E4CB5">
              <w:rPr>
                <w:sz w:val="20"/>
              </w:rPr>
              <w:t>9</w:t>
            </w:r>
            <w:r w:rsidR="001C71B0" w:rsidRPr="00421029">
              <w:rPr>
                <w:sz w:val="20"/>
              </w:rPr>
              <w:t>)</w:t>
            </w:r>
          </w:p>
        </w:tc>
        <w:tc>
          <w:tcPr>
            <w:tcW w:w="2072" w:type="dxa"/>
            <w:vAlign w:val="center"/>
          </w:tcPr>
          <w:p w14:paraId="27C3CE51" w14:textId="3E222D34" w:rsidR="001C71B0" w:rsidRPr="00421029" w:rsidRDefault="006B1F2D" w:rsidP="00913738">
            <w:pPr>
              <w:spacing w:line="240" w:lineRule="auto"/>
              <w:rPr>
                <w:sz w:val="20"/>
              </w:rPr>
            </w:pPr>
            <w:r>
              <w:rPr>
                <w:sz w:val="20"/>
              </w:rPr>
              <w:t>4</w:t>
            </w:r>
            <w:r w:rsidR="001C71B0" w:rsidRPr="00421029">
              <w:rPr>
                <w:sz w:val="20"/>
              </w:rPr>
              <w:t>.</w:t>
            </w:r>
            <w:r w:rsidR="00913738">
              <w:rPr>
                <w:sz w:val="20"/>
              </w:rPr>
              <w:t>3</w:t>
            </w:r>
            <w:r w:rsidR="00DA1DEB" w:rsidRPr="00421029">
              <w:rPr>
                <w:sz w:val="20"/>
              </w:rPr>
              <w:t>%</w:t>
            </w:r>
            <w:r w:rsidR="001C71B0" w:rsidRPr="00421029">
              <w:rPr>
                <w:sz w:val="20"/>
              </w:rPr>
              <w:t xml:space="preserve"> (</w:t>
            </w:r>
            <w:r w:rsidR="00913738">
              <w:rPr>
                <w:sz w:val="20"/>
              </w:rPr>
              <w:t>2</w:t>
            </w:r>
            <w:r w:rsidR="000876AB" w:rsidRPr="00421029">
              <w:rPr>
                <w:sz w:val="20"/>
              </w:rPr>
              <w:t>.</w:t>
            </w:r>
            <w:r w:rsidR="00913738">
              <w:rPr>
                <w:sz w:val="20"/>
              </w:rPr>
              <w:t>1</w:t>
            </w:r>
            <w:r w:rsidR="00277EEF">
              <w:rPr>
                <w:sz w:val="20"/>
              </w:rPr>
              <w:t>%</w:t>
            </w:r>
            <w:r w:rsidR="001C71B0" w:rsidRPr="00421029">
              <w:rPr>
                <w:sz w:val="20"/>
              </w:rPr>
              <w:t xml:space="preserve"> to </w:t>
            </w:r>
            <w:r>
              <w:rPr>
                <w:sz w:val="20"/>
              </w:rPr>
              <w:t>6</w:t>
            </w:r>
            <w:r w:rsidR="000876AB" w:rsidRPr="00421029">
              <w:rPr>
                <w:sz w:val="20"/>
              </w:rPr>
              <w:t>.</w:t>
            </w:r>
            <w:r w:rsidR="00913738">
              <w:rPr>
                <w:sz w:val="20"/>
              </w:rPr>
              <w:t>7</w:t>
            </w:r>
            <w:r w:rsidR="00277EEF">
              <w:rPr>
                <w:sz w:val="20"/>
              </w:rPr>
              <w:t>%</w:t>
            </w:r>
            <w:r w:rsidR="001C71B0" w:rsidRPr="00421029">
              <w:rPr>
                <w:sz w:val="20"/>
              </w:rPr>
              <w:t>)</w:t>
            </w:r>
          </w:p>
        </w:tc>
        <w:tc>
          <w:tcPr>
            <w:tcW w:w="1963" w:type="dxa"/>
            <w:vAlign w:val="center"/>
          </w:tcPr>
          <w:p w14:paraId="1DCEC45B" w14:textId="3B17313D" w:rsidR="001C71B0" w:rsidRPr="00421029" w:rsidRDefault="00BB7878" w:rsidP="00BB7878">
            <w:pPr>
              <w:spacing w:line="240" w:lineRule="auto"/>
              <w:rPr>
                <w:sz w:val="20"/>
              </w:rPr>
            </w:pPr>
            <w:r>
              <w:rPr>
                <w:sz w:val="20"/>
              </w:rPr>
              <w:t>6.5</w:t>
            </w:r>
            <w:r w:rsidR="00DA1DEB" w:rsidRPr="00421029">
              <w:rPr>
                <w:sz w:val="20"/>
              </w:rPr>
              <w:t>%</w:t>
            </w:r>
            <w:r w:rsidR="001C71B0" w:rsidRPr="00421029">
              <w:rPr>
                <w:sz w:val="20"/>
              </w:rPr>
              <w:t xml:space="preserve"> (</w:t>
            </w:r>
            <w:r>
              <w:rPr>
                <w:sz w:val="20"/>
              </w:rPr>
              <w:t>-1.0</w:t>
            </w:r>
            <w:r w:rsidR="00277EEF">
              <w:rPr>
                <w:sz w:val="20"/>
              </w:rPr>
              <w:t>%</w:t>
            </w:r>
            <w:r w:rsidR="001C71B0" w:rsidRPr="00421029">
              <w:rPr>
                <w:sz w:val="20"/>
              </w:rPr>
              <w:t xml:space="preserve"> to </w:t>
            </w:r>
            <w:r>
              <w:rPr>
                <w:sz w:val="20"/>
              </w:rPr>
              <w:t>15.6</w:t>
            </w:r>
            <w:r w:rsidR="00277EEF">
              <w:rPr>
                <w:sz w:val="20"/>
              </w:rPr>
              <w:t>%</w:t>
            </w:r>
            <w:r w:rsidR="001C71B0" w:rsidRPr="00421029">
              <w:rPr>
                <w:sz w:val="20"/>
              </w:rPr>
              <w:t>)</w:t>
            </w:r>
          </w:p>
        </w:tc>
      </w:tr>
      <w:tr w:rsidR="001C71B0" w:rsidRPr="00421029" w14:paraId="4BECF23B" w14:textId="77777777" w:rsidTr="00E50A57">
        <w:tc>
          <w:tcPr>
            <w:tcW w:w="1791" w:type="dxa"/>
            <w:tcBorders>
              <w:bottom w:val="double" w:sz="4" w:space="0" w:color="auto"/>
            </w:tcBorders>
            <w:vAlign w:val="center"/>
          </w:tcPr>
          <w:p w14:paraId="2A315106" w14:textId="77777777" w:rsidR="001C71B0" w:rsidRPr="00421029" w:rsidRDefault="001C71B0" w:rsidP="00421029">
            <w:pPr>
              <w:spacing w:line="240" w:lineRule="auto"/>
              <w:rPr>
                <w:sz w:val="20"/>
              </w:rPr>
            </w:pPr>
            <w:r w:rsidRPr="00421029">
              <w:rPr>
                <w:sz w:val="20"/>
              </w:rPr>
              <w:t>5 (most deprived)</w:t>
            </w:r>
          </w:p>
        </w:tc>
        <w:tc>
          <w:tcPr>
            <w:tcW w:w="2072" w:type="dxa"/>
            <w:tcBorders>
              <w:bottom w:val="double" w:sz="4" w:space="0" w:color="auto"/>
            </w:tcBorders>
            <w:vAlign w:val="center"/>
          </w:tcPr>
          <w:p w14:paraId="40FE2394" w14:textId="4235D9DC" w:rsidR="001C71B0" w:rsidRPr="00421029" w:rsidRDefault="00631FA8" w:rsidP="00631FA8">
            <w:pPr>
              <w:spacing w:line="240" w:lineRule="auto"/>
              <w:rPr>
                <w:sz w:val="20"/>
              </w:rPr>
            </w:pPr>
            <w:r>
              <w:rPr>
                <w:sz w:val="20"/>
              </w:rPr>
              <w:t>9</w:t>
            </w:r>
            <w:r w:rsidR="003A6470" w:rsidRPr="00421029">
              <w:rPr>
                <w:sz w:val="20"/>
              </w:rPr>
              <w:t>.</w:t>
            </w:r>
            <w:r>
              <w:rPr>
                <w:sz w:val="20"/>
              </w:rPr>
              <w:t>2</w:t>
            </w:r>
            <w:r w:rsidR="001C71B0" w:rsidRPr="00421029">
              <w:rPr>
                <w:sz w:val="20"/>
              </w:rPr>
              <w:t xml:space="preserve"> (</w:t>
            </w:r>
            <w:r>
              <w:rPr>
                <w:sz w:val="20"/>
              </w:rPr>
              <w:t>3</w:t>
            </w:r>
            <w:r w:rsidR="003A6470" w:rsidRPr="00421029">
              <w:rPr>
                <w:sz w:val="20"/>
              </w:rPr>
              <w:t>.</w:t>
            </w:r>
            <w:r>
              <w:rPr>
                <w:sz w:val="20"/>
              </w:rPr>
              <w:t>8</w:t>
            </w:r>
            <w:r w:rsidR="001C71B0" w:rsidRPr="00421029">
              <w:rPr>
                <w:sz w:val="20"/>
              </w:rPr>
              <w:t xml:space="preserve"> to </w:t>
            </w:r>
            <w:r>
              <w:rPr>
                <w:sz w:val="20"/>
              </w:rPr>
              <w:t>15</w:t>
            </w:r>
            <w:r w:rsidR="003A6470" w:rsidRPr="00421029">
              <w:rPr>
                <w:sz w:val="20"/>
              </w:rPr>
              <w:t>.</w:t>
            </w:r>
            <w:r>
              <w:rPr>
                <w:sz w:val="20"/>
              </w:rPr>
              <w:t>5</w:t>
            </w:r>
            <w:r w:rsidR="001C71B0" w:rsidRPr="00421029">
              <w:rPr>
                <w:sz w:val="20"/>
              </w:rPr>
              <w:t>)</w:t>
            </w:r>
          </w:p>
        </w:tc>
        <w:tc>
          <w:tcPr>
            <w:tcW w:w="2070" w:type="dxa"/>
            <w:tcBorders>
              <w:bottom w:val="double" w:sz="4" w:space="0" w:color="auto"/>
            </w:tcBorders>
            <w:vAlign w:val="center"/>
          </w:tcPr>
          <w:p w14:paraId="70A7BAC8" w14:textId="020256EE" w:rsidR="001C71B0" w:rsidRPr="00421029" w:rsidRDefault="00913738" w:rsidP="001E4CB5">
            <w:pPr>
              <w:spacing w:line="240" w:lineRule="auto"/>
              <w:rPr>
                <w:sz w:val="20"/>
              </w:rPr>
            </w:pPr>
            <w:r>
              <w:rPr>
                <w:sz w:val="20"/>
              </w:rPr>
              <w:t>0.9</w:t>
            </w:r>
            <w:r w:rsidR="001C71B0" w:rsidRPr="00421029">
              <w:rPr>
                <w:sz w:val="20"/>
              </w:rPr>
              <w:t xml:space="preserve"> (</w:t>
            </w:r>
            <w:r w:rsidR="001E4CB5">
              <w:rPr>
                <w:sz w:val="20"/>
              </w:rPr>
              <w:t>-</w:t>
            </w:r>
            <w:r w:rsidR="00421029" w:rsidRPr="00421029">
              <w:rPr>
                <w:sz w:val="20"/>
              </w:rPr>
              <w:t>0.</w:t>
            </w:r>
            <w:r w:rsidR="001E4CB5">
              <w:rPr>
                <w:sz w:val="20"/>
              </w:rPr>
              <w:t>2</w:t>
            </w:r>
            <w:r w:rsidR="001C71B0" w:rsidRPr="00421029">
              <w:rPr>
                <w:sz w:val="20"/>
              </w:rPr>
              <w:t xml:space="preserve"> to </w:t>
            </w:r>
            <w:r w:rsidR="00421029" w:rsidRPr="00421029">
              <w:rPr>
                <w:sz w:val="20"/>
              </w:rPr>
              <w:t>2</w:t>
            </w:r>
            <w:r w:rsidR="000069B7" w:rsidRPr="00421029">
              <w:rPr>
                <w:sz w:val="20"/>
              </w:rPr>
              <w:t>.</w:t>
            </w:r>
            <w:r w:rsidR="001E4CB5">
              <w:rPr>
                <w:sz w:val="20"/>
              </w:rPr>
              <w:t>0</w:t>
            </w:r>
            <w:r w:rsidR="001C71B0" w:rsidRPr="00421029">
              <w:rPr>
                <w:sz w:val="20"/>
              </w:rPr>
              <w:t>)</w:t>
            </w:r>
          </w:p>
        </w:tc>
        <w:tc>
          <w:tcPr>
            <w:tcW w:w="2072" w:type="dxa"/>
            <w:tcBorders>
              <w:bottom w:val="double" w:sz="4" w:space="0" w:color="auto"/>
            </w:tcBorders>
            <w:vAlign w:val="center"/>
          </w:tcPr>
          <w:p w14:paraId="6DB57893" w14:textId="15212BC3" w:rsidR="001C71B0" w:rsidRPr="00421029" w:rsidRDefault="00913738" w:rsidP="00913738">
            <w:pPr>
              <w:spacing w:line="240" w:lineRule="auto"/>
              <w:rPr>
                <w:sz w:val="20"/>
              </w:rPr>
            </w:pPr>
            <w:r>
              <w:rPr>
                <w:sz w:val="20"/>
              </w:rPr>
              <w:t>3</w:t>
            </w:r>
            <w:r w:rsidR="001C71B0" w:rsidRPr="00421029">
              <w:rPr>
                <w:sz w:val="20"/>
              </w:rPr>
              <w:t>.</w:t>
            </w:r>
            <w:r>
              <w:rPr>
                <w:sz w:val="20"/>
              </w:rPr>
              <w:t>9</w:t>
            </w:r>
            <w:r w:rsidR="00DA1DEB" w:rsidRPr="00421029">
              <w:rPr>
                <w:sz w:val="20"/>
              </w:rPr>
              <w:t>%</w:t>
            </w:r>
            <w:r w:rsidR="000876AB" w:rsidRPr="00421029">
              <w:rPr>
                <w:sz w:val="20"/>
              </w:rPr>
              <w:t xml:space="preserve"> (</w:t>
            </w:r>
            <w:r>
              <w:rPr>
                <w:sz w:val="20"/>
              </w:rPr>
              <w:t>1</w:t>
            </w:r>
            <w:r w:rsidR="000876AB" w:rsidRPr="00421029">
              <w:rPr>
                <w:sz w:val="20"/>
              </w:rPr>
              <w:t>.</w:t>
            </w:r>
            <w:r w:rsidR="006B1F2D">
              <w:rPr>
                <w:sz w:val="20"/>
              </w:rPr>
              <w:t>6</w:t>
            </w:r>
            <w:r w:rsidR="00277EEF">
              <w:rPr>
                <w:sz w:val="20"/>
              </w:rPr>
              <w:t>%</w:t>
            </w:r>
            <w:r w:rsidR="001C71B0" w:rsidRPr="00421029">
              <w:rPr>
                <w:sz w:val="20"/>
              </w:rPr>
              <w:t xml:space="preserve"> to </w:t>
            </w:r>
            <w:r w:rsidR="00B17563">
              <w:rPr>
                <w:sz w:val="20"/>
              </w:rPr>
              <w:t>6</w:t>
            </w:r>
            <w:r w:rsidR="001C71B0" w:rsidRPr="00421029">
              <w:rPr>
                <w:sz w:val="20"/>
              </w:rPr>
              <w:t>.</w:t>
            </w:r>
            <w:r>
              <w:rPr>
                <w:sz w:val="20"/>
              </w:rPr>
              <w:t>0</w:t>
            </w:r>
            <w:r w:rsidR="00277EEF">
              <w:rPr>
                <w:sz w:val="20"/>
              </w:rPr>
              <w:t>%</w:t>
            </w:r>
            <w:r w:rsidR="001C71B0" w:rsidRPr="00421029">
              <w:rPr>
                <w:sz w:val="20"/>
              </w:rPr>
              <w:t>)</w:t>
            </w:r>
          </w:p>
        </w:tc>
        <w:tc>
          <w:tcPr>
            <w:tcW w:w="1963" w:type="dxa"/>
            <w:tcBorders>
              <w:bottom w:val="double" w:sz="4" w:space="0" w:color="auto"/>
            </w:tcBorders>
            <w:vAlign w:val="center"/>
          </w:tcPr>
          <w:p w14:paraId="65DF8B39" w14:textId="382352CC" w:rsidR="001C71B0" w:rsidRPr="00421029" w:rsidRDefault="00BB7878" w:rsidP="00BB7878">
            <w:pPr>
              <w:spacing w:line="240" w:lineRule="auto"/>
              <w:rPr>
                <w:sz w:val="20"/>
              </w:rPr>
            </w:pPr>
            <w:r>
              <w:rPr>
                <w:sz w:val="20"/>
              </w:rPr>
              <w:t>7.2</w:t>
            </w:r>
            <w:r w:rsidR="00DA1DEB" w:rsidRPr="00421029">
              <w:rPr>
                <w:sz w:val="20"/>
              </w:rPr>
              <w:t>%</w:t>
            </w:r>
            <w:r w:rsidR="00CB11AB">
              <w:rPr>
                <w:sz w:val="20"/>
              </w:rPr>
              <w:t xml:space="preserve"> </w:t>
            </w:r>
            <w:r w:rsidR="001C71B0" w:rsidRPr="00421029">
              <w:rPr>
                <w:sz w:val="20"/>
              </w:rPr>
              <w:t>(</w:t>
            </w:r>
            <w:r>
              <w:rPr>
                <w:sz w:val="20"/>
              </w:rPr>
              <w:t>-</w:t>
            </w:r>
            <w:r w:rsidR="0039046A">
              <w:rPr>
                <w:sz w:val="20"/>
              </w:rPr>
              <w:t>2</w:t>
            </w:r>
            <w:r w:rsidR="00421029" w:rsidRPr="00421029">
              <w:rPr>
                <w:sz w:val="20"/>
              </w:rPr>
              <w:t>.</w:t>
            </w:r>
            <w:r>
              <w:rPr>
                <w:sz w:val="20"/>
              </w:rPr>
              <w:t>1</w:t>
            </w:r>
            <w:r w:rsidR="00277EEF">
              <w:rPr>
                <w:sz w:val="20"/>
              </w:rPr>
              <w:t>%</w:t>
            </w:r>
            <w:r w:rsidR="001C71B0" w:rsidRPr="00421029">
              <w:rPr>
                <w:sz w:val="20"/>
              </w:rPr>
              <w:t xml:space="preserve"> to </w:t>
            </w:r>
            <w:r>
              <w:rPr>
                <w:sz w:val="20"/>
              </w:rPr>
              <w:t>15</w:t>
            </w:r>
            <w:r w:rsidR="00421029" w:rsidRPr="00421029">
              <w:rPr>
                <w:sz w:val="20"/>
              </w:rPr>
              <w:t>.</w:t>
            </w:r>
            <w:r>
              <w:rPr>
                <w:sz w:val="20"/>
              </w:rPr>
              <w:t>6</w:t>
            </w:r>
            <w:r w:rsidR="00277EEF">
              <w:rPr>
                <w:sz w:val="20"/>
              </w:rPr>
              <w:t>%</w:t>
            </w:r>
            <w:r w:rsidR="001C71B0" w:rsidRPr="00421029">
              <w:rPr>
                <w:sz w:val="20"/>
              </w:rPr>
              <w:t>)</w:t>
            </w:r>
          </w:p>
        </w:tc>
      </w:tr>
      <w:tr w:rsidR="00724756" w:rsidRPr="00421029" w14:paraId="12761F32" w14:textId="77777777" w:rsidTr="00E50A57">
        <w:tc>
          <w:tcPr>
            <w:tcW w:w="1791" w:type="dxa"/>
            <w:tcBorders>
              <w:top w:val="double" w:sz="4" w:space="0" w:color="auto"/>
            </w:tcBorders>
            <w:vAlign w:val="center"/>
          </w:tcPr>
          <w:p w14:paraId="5C15AA2F" w14:textId="77777777" w:rsidR="00724756" w:rsidRPr="00421029" w:rsidRDefault="00574C12" w:rsidP="00421029">
            <w:pPr>
              <w:spacing w:line="240" w:lineRule="auto"/>
              <w:rPr>
                <w:sz w:val="20"/>
              </w:rPr>
            </w:pPr>
            <w:r w:rsidRPr="00421029">
              <w:rPr>
                <w:sz w:val="20"/>
              </w:rPr>
              <w:t>S</w:t>
            </w:r>
            <w:r w:rsidR="00724756" w:rsidRPr="00421029">
              <w:rPr>
                <w:sz w:val="20"/>
              </w:rPr>
              <w:t>lope</w:t>
            </w:r>
            <w:r w:rsidR="00756FAE" w:rsidRPr="00421029">
              <w:rPr>
                <w:sz w:val="20"/>
              </w:rPr>
              <w:t xml:space="preserve"> (crude)</w:t>
            </w:r>
          </w:p>
        </w:tc>
        <w:tc>
          <w:tcPr>
            <w:tcW w:w="2072" w:type="dxa"/>
            <w:tcBorders>
              <w:top w:val="double" w:sz="4" w:space="0" w:color="auto"/>
            </w:tcBorders>
            <w:vAlign w:val="center"/>
          </w:tcPr>
          <w:p w14:paraId="462EA45E" w14:textId="3ED3C54F" w:rsidR="00724756" w:rsidRPr="00421029" w:rsidRDefault="00631FA8" w:rsidP="00631FA8">
            <w:pPr>
              <w:spacing w:line="240" w:lineRule="auto"/>
              <w:rPr>
                <w:sz w:val="20"/>
              </w:rPr>
            </w:pPr>
            <w:r>
              <w:rPr>
                <w:sz w:val="20"/>
              </w:rPr>
              <w:t>-</w:t>
            </w:r>
            <w:r w:rsidR="00456A61">
              <w:rPr>
                <w:sz w:val="20"/>
              </w:rPr>
              <w:t>0.</w:t>
            </w:r>
            <w:r>
              <w:rPr>
                <w:sz w:val="20"/>
              </w:rPr>
              <w:t>7</w:t>
            </w:r>
            <w:r w:rsidR="00456A61">
              <w:rPr>
                <w:sz w:val="20"/>
              </w:rPr>
              <w:t xml:space="preserve"> (95% CI: </w:t>
            </w:r>
            <w:r w:rsidR="006B1F2D">
              <w:rPr>
                <w:sz w:val="20"/>
              </w:rPr>
              <w:t>-</w:t>
            </w:r>
            <w:r>
              <w:rPr>
                <w:sz w:val="20"/>
              </w:rPr>
              <w:t>1</w:t>
            </w:r>
            <w:r w:rsidR="00456A61">
              <w:rPr>
                <w:sz w:val="20"/>
              </w:rPr>
              <w:t>.</w:t>
            </w:r>
            <w:r>
              <w:rPr>
                <w:sz w:val="20"/>
              </w:rPr>
              <w:t>6 to 0</w:t>
            </w:r>
            <w:r w:rsidR="00B17563">
              <w:rPr>
                <w:sz w:val="20"/>
              </w:rPr>
              <w:t>.</w:t>
            </w:r>
            <w:r>
              <w:rPr>
                <w:sz w:val="20"/>
              </w:rPr>
              <w:t>2</w:t>
            </w:r>
            <w:r w:rsidR="00456A61">
              <w:rPr>
                <w:sz w:val="20"/>
              </w:rPr>
              <w:t>)</w:t>
            </w:r>
          </w:p>
        </w:tc>
        <w:tc>
          <w:tcPr>
            <w:tcW w:w="2070" w:type="dxa"/>
            <w:tcBorders>
              <w:top w:val="double" w:sz="4" w:space="0" w:color="auto"/>
            </w:tcBorders>
            <w:vAlign w:val="center"/>
          </w:tcPr>
          <w:p w14:paraId="06647515" w14:textId="5293F084" w:rsidR="00724756" w:rsidRPr="00421029" w:rsidRDefault="00854A5C" w:rsidP="006B1F2D">
            <w:pPr>
              <w:spacing w:line="240" w:lineRule="auto"/>
              <w:rPr>
                <w:sz w:val="20"/>
              </w:rPr>
            </w:pPr>
            <w:r>
              <w:rPr>
                <w:sz w:val="20"/>
              </w:rPr>
              <w:t>-0.</w:t>
            </w:r>
            <w:r w:rsidR="006B1F2D">
              <w:rPr>
                <w:sz w:val="20"/>
              </w:rPr>
              <w:t>4</w:t>
            </w:r>
            <w:r>
              <w:rPr>
                <w:sz w:val="20"/>
              </w:rPr>
              <w:t xml:space="preserve"> (95% CI: -0.</w:t>
            </w:r>
            <w:r w:rsidR="006B1F2D">
              <w:rPr>
                <w:sz w:val="20"/>
              </w:rPr>
              <w:t>6</w:t>
            </w:r>
            <w:r>
              <w:rPr>
                <w:sz w:val="20"/>
              </w:rPr>
              <w:t xml:space="preserve"> to -0.</w:t>
            </w:r>
            <w:r w:rsidR="006B1F2D">
              <w:rPr>
                <w:sz w:val="20"/>
              </w:rPr>
              <w:t>2</w:t>
            </w:r>
            <w:r>
              <w:rPr>
                <w:sz w:val="20"/>
              </w:rPr>
              <w:t>)</w:t>
            </w:r>
          </w:p>
        </w:tc>
        <w:tc>
          <w:tcPr>
            <w:tcW w:w="2072" w:type="dxa"/>
            <w:tcBorders>
              <w:top w:val="double" w:sz="4" w:space="0" w:color="auto"/>
            </w:tcBorders>
            <w:vAlign w:val="center"/>
          </w:tcPr>
          <w:p w14:paraId="56EC4C51" w14:textId="747FDFB5" w:rsidR="00724756" w:rsidRPr="00421029" w:rsidRDefault="006B1F2D" w:rsidP="00913738">
            <w:pPr>
              <w:spacing w:line="240" w:lineRule="auto"/>
              <w:rPr>
                <w:sz w:val="20"/>
              </w:rPr>
            </w:pPr>
            <w:r>
              <w:rPr>
                <w:sz w:val="20"/>
              </w:rPr>
              <w:t>-</w:t>
            </w:r>
            <w:r w:rsidR="00913738">
              <w:rPr>
                <w:sz w:val="20"/>
              </w:rPr>
              <w:t>2</w:t>
            </w:r>
            <w:r w:rsidR="00854A5C">
              <w:rPr>
                <w:sz w:val="20"/>
              </w:rPr>
              <w:t>.</w:t>
            </w:r>
            <w:r w:rsidR="00913738">
              <w:rPr>
                <w:sz w:val="20"/>
              </w:rPr>
              <w:t>9</w:t>
            </w:r>
            <w:r w:rsidR="00854A5C">
              <w:rPr>
                <w:sz w:val="20"/>
              </w:rPr>
              <w:t>% (95% CI: -</w:t>
            </w:r>
            <w:r w:rsidR="00913738">
              <w:rPr>
                <w:sz w:val="20"/>
              </w:rPr>
              <w:t>6</w:t>
            </w:r>
            <w:r w:rsidR="00854A5C">
              <w:rPr>
                <w:sz w:val="20"/>
              </w:rPr>
              <w:t>.</w:t>
            </w:r>
            <w:r w:rsidR="00913738">
              <w:rPr>
                <w:sz w:val="20"/>
              </w:rPr>
              <w:t>1</w:t>
            </w:r>
            <w:r w:rsidR="00854A5C">
              <w:rPr>
                <w:sz w:val="20"/>
              </w:rPr>
              <w:t xml:space="preserve">% to </w:t>
            </w:r>
            <w:r w:rsidR="00913738">
              <w:rPr>
                <w:sz w:val="20"/>
              </w:rPr>
              <w:t>0</w:t>
            </w:r>
            <w:r w:rsidR="00854A5C">
              <w:rPr>
                <w:sz w:val="20"/>
              </w:rPr>
              <w:t>.</w:t>
            </w:r>
            <w:r w:rsidR="00913738">
              <w:rPr>
                <w:sz w:val="20"/>
              </w:rPr>
              <w:t>4</w:t>
            </w:r>
            <w:r w:rsidR="00854A5C">
              <w:rPr>
                <w:sz w:val="20"/>
              </w:rPr>
              <w:t>%)</w:t>
            </w:r>
          </w:p>
        </w:tc>
        <w:tc>
          <w:tcPr>
            <w:tcW w:w="1963" w:type="dxa"/>
            <w:tcBorders>
              <w:top w:val="double" w:sz="4" w:space="0" w:color="auto"/>
            </w:tcBorders>
            <w:vAlign w:val="center"/>
          </w:tcPr>
          <w:p w14:paraId="4238A747" w14:textId="5A684943" w:rsidR="00724756" w:rsidRPr="00421029" w:rsidRDefault="00854A5C" w:rsidP="00BB7878">
            <w:pPr>
              <w:spacing w:line="240" w:lineRule="auto"/>
              <w:rPr>
                <w:sz w:val="20"/>
              </w:rPr>
            </w:pPr>
            <w:r>
              <w:rPr>
                <w:sz w:val="20"/>
              </w:rPr>
              <w:t>-</w:t>
            </w:r>
            <w:r w:rsidR="00BB7878">
              <w:rPr>
                <w:sz w:val="20"/>
              </w:rPr>
              <w:t>1</w:t>
            </w:r>
            <w:r w:rsidR="00CB11AB">
              <w:rPr>
                <w:sz w:val="20"/>
              </w:rPr>
              <w:t>.</w:t>
            </w:r>
            <w:r w:rsidR="00BB7878">
              <w:rPr>
                <w:sz w:val="20"/>
              </w:rPr>
              <w:t>6</w:t>
            </w:r>
            <w:r>
              <w:rPr>
                <w:sz w:val="20"/>
              </w:rPr>
              <w:t>% (95% CI: -</w:t>
            </w:r>
            <w:r w:rsidR="00BB7878">
              <w:rPr>
                <w:sz w:val="20"/>
              </w:rPr>
              <w:t>2</w:t>
            </w:r>
            <w:r w:rsidR="00CB11AB">
              <w:rPr>
                <w:sz w:val="20"/>
              </w:rPr>
              <w:t>.</w:t>
            </w:r>
            <w:r w:rsidR="00BB7878">
              <w:rPr>
                <w:sz w:val="20"/>
              </w:rPr>
              <w:t>8</w:t>
            </w:r>
            <w:r>
              <w:rPr>
                <w:sz w:val="20"/>
              </w:rPr>
              <w:t xml:space="preserve">% to </w:t>
            </w:r>
            <w:r w:rsidR="00BB7878">
              <w:rPr>
                <w:sz w:val="20"/>
              </w:rPr>
              <w:t>-</w:t>
            </w:r>
            <w:r>
              <w:rPr>
                <w:sz w:val="20"/>
              </w:rPr>
              <w:t>0.</w:t>
            </w:r>
            <w:r w:rsidR="00BB7878">
              <w:rPr>
                <w:sz w:val="20"/>
              </w:rPr>
              <w:t>3</w:t>
            </w:r>
            <w:r>
              <w:rPr>
                <w:sz w:val="20"/>
              </w:rPr>
              <w:t>%)</w:t>
            </w:r>
          </w:p>
        </w:tc>
      </w:tr>
      <w:tr w:rsidR="00C2035C" w:rsidRPr="00421029" w14:paraId="1A56EC7A" w14:textId="77777777" w:rsidTr="00E50A57">
        <w:tc>
          <w:tcPr>
            <w:tcW w:w="1791" w:type="dxa"/>
            <w:vAlign w:val="center"/>
          </w:tcPr>
          <w:p w14:paraId="589770D1" w14:textId="2580CA6C" w:rsidR="00C2035C" w:rsidRPr="00BF7342" w:rsidRDefault="00C2035C" w:rsidP="0014557B">
            <w:pPr>
              <w:spacing w:line="240" w:lineRule="auto"/>
              <w:jc w:val="left"/>
              <w:rPr>
                <w:sz w:val="20"/>
              </w:rPr>
            </w:pPr>
            <w:r w:rsidRPr="00BF7342">
              <w:rPr>
                <w:sz w:val="20"/>
              </w:rPr>
              <w:t xml:space="preserve">Slope </w:t>
            </w:r>
            <w:r w:rsidR="00511FAC" w:rsidRPr="00BF7342">
              <w:rPr>
                <w:sz w:val="20"/>
              </w:rPr>
              <w:t xml:space="preserve">(directly </w:t>
            </w:r>
            <w:r w:rsidRPr="00BF7342">
              <w:rPr>
                <w:sz w:val="20"/>
              </w:rPr>
              <w:t xml:space="preserve">age and </w:t>
            </w:r>
            <w:r w:rsidR="003A30EC" w:rsidRPr="00BF7342">
              <w:rPr>
                <w:sz w:val="20"/>
              </w:rPr>
              <w:t>sex standardised</w:t>
            </w:r>
            <w:r w:rsidR="00511FAC" w:rsidRPr="00BF7342">
              <w:rPr>
                <w:sz w:val="20"/>
              </w:rPr>
              <w:t>)</w:t>
            </w:r>
          </w:p>
        </w:tc>
        <w:tc>
          <w:tcPr>
            <w:tcW w:w="2072" w:type="dxa"/>
            <w:vAlign w:val="center"/>
          </w:tcPr>
          <w:p w14:paraId="44CFEFD8" w14:textId="4C3497D7" w:rsidR="00C2035C" w:rsidRPr="00421029" w:rsidRDefault="00BB7878" w:rsidP="00BB7878">
            <w:pPr>
              <w:spacing w:line="240" w:lineRule="auto"/>
              <w:rPr>
                <w:sz w:val="20"/>
              </w:rPr>
            </w:pPr>
            <w:r>
              <w:rPr>
                <w:sz w:val="20"/>
              </w:rPr>
              <w:t>4</w:t>
            </w:r>
            <w:r w:rsidR="00B85BBD">
              <w:rPr>
                <w:sz w:val="20"/>
              </w:rPr>
              <w:t>.</w:t>
            </w:r>
            <w:r>
              <w:rPr>
                <w:sz w:val="20"/>
              </w:rPr>
              <w:t>7</w:t>
            </w:r>
            <w:r w:rsidR="006E1601">
              <w:rPr>
                <w:sz w:val="20"/>
              </w:rPr>
              <w:t xml:space="preserve"> (95% CI: </w:t>
            </w:r>
            <w:r>
              <w:rPr>
                <w:sz w:val="20"/>
              </w:rPr>
              <w:t>3</w:t>
            </w:r>
            <w:r w:rsidR="00B85BBD">
              <w:rPr>
                <w:sz w:val="20"/>
              </w:rPr>
              <w:t>.</w:t>
            </w:r>
            <w:r w:rsidR="00AB6D8E">
              <w:rPr>
                <w:sz w:val="20"/>
              </w:rPr>
              <w:t>8</w:t>
            </w:r>
            <w:r w:rsidR="006E1601">
              <w:rPr>
                <w:sz w:val="20"/>
              </w:rPr>
              <w:t xml:space="preserve"> to</w:t>
            </w:r>
            <w:r>
              <w:rPr>
                <w:sz w:val="20"/>
              </w:rPr>
              <w:t xml:space="preserve"> 5</w:t>
            </w:r>
            <w:r w:rsidR="00B85BBD">
              <w:rPr>
                <w:sz w:val="20"/>
              </w:rPr>
              <w:t>.</w:t>
            </w:r>
            <w:r>
              <w:rPr>
                <w:sz w:val="20"/>
              </w:rPr>
              <w:t>7</w:t>
            </w:r>
            <w:r w:rsidR="006E1601">
              <w:rPr>
                <w:sz w:val="20"/>
              </w:rPr>
              <w:t>)</w:t>
            </w:r>
          </w:p>
        </w:tc>
        <w:tc>
          <w:tcPr>
            <w:tcW w:w="2070" w:type="dxa"/>
            <w:vAlign w:val="center"/>
          </w:tcPr>
          <w:p w14:paraId="78311D36" w14:textId="0C2FB7EE" w:rsidR="00C2035C" w:rsidRPr="00421029" w:rsidRDefault="00BA2C1B" w:rsidP="00BB7878">
            <w:pPr>
              <w:spacing w:line="240" w:lineRule="auto"/>
              <w:rPr>
                <w:sz w:val="20"/>
              </w:rPr>
            </w:pPr>
            <w:r>
              <w:rPr>
                <w:sz w:val="20"/>
              </w:rPr>
              <w:t>0.</w:t>
            </w:r>
            <w:r w:rsidR="00BB7878">
              <w:rPr>
                <w:sz w:val="20"/>
              </w:rPr>
              <w:t>2</w:t>
            </w:r>
            <w:r>
              <w:rPr>
                <w:sz w:val="20"/>
              </w:rPr>
              <w:t xml:space="preserve"> (95% CI: 0</w:t>
            </w:r>
            <w:r w:rsidR="0014557B">
              <w:rPr>
                <w:sz w:val="20"/>
              </w:rPr>
              <w:t>.</w:t>
            </w:r>
            <w:r w:rsidR="00BB7878">
              <w:rPr>
                <w:sz w:val="20"/>
              </w:rPr>
              <w:t>0</w:t>
            </w:r>
            <w:r>
              <w:rPr>
                <w:sz w:val="20"/>
              </w:rPr>
              <w:t xml:space="preserve"> to 0.</w:t>
            </w:r>
            <w:r w:rsidR="00BB7878">
              <w:rPr>
                <w:sz w:val="20"/>
              </w:rPr>
              <w:t>3</w:t>
            </w:r>
            <w:r>
              <w:rPr>
                <w:sz w:val="20"/>
              </w:rPr>
              <w:t>)</w:t>
            </w:r>
          </w:p>
        </w:tc>
        <w:tc>
          <w:tcPr>
            <w:tcW w:w="2072" w:type="dxa"/>
            <w:vAlign w:val="center"/>
          </w:tcPr>
          <w:p w14:paraId="0F3AA877" w14:textId="3020F9C9" w:rsidR="00C2035C" w:rsidRPr="00421029" w:rsidRDefault="00BB7878" w:rsidP="00BB7878">
            <w:pPr>
              <w:spacing w:line="240" w:lineRule="auto"/>
              <w:rPr>
                <w:sz w:val="20"/>
              </w:rPr>
            </w:pPr>
            <w:r>
              <w:rPr>
                <w:sz w:val="20"/>
              </w:rPr>
              <w:t>-</w:t>
            </w:r>
            <w:r w:rsidR="00AB6D8E">
              <w:rPr>
                <w:sz w:val="20"/>
              </w:rPr>
              <w:t>0.</w:t>
            </w:r>
            <w:r>
              <w:rPr>
                <w:sz w:val="20"/>
              </w:rPr>
              <w:t>1</w:t>
            </w:r>
            <w:r w:rsidR="002C2F12">
              <w:rPr>
                <w:sz w:val="20"/>
              </w:rPr>
              <w:t xml:space="preserve">% (95% CI: </w:t>
            </w:r>
            <w:r w:rsidR="00AB6D8E">
              <w:rPr>
                <w:sz w:val="20"/>
              </w:rPr>
              <w:t>-</w:t>
            </w:r>
            <w:r w:rsidR="002C2F12">
              <w:rPr>
                <w:sz w:val="20"/>
              </w:rPr>
              <w:t>0.</w:t>
            </w:r>
            <w:r>
              <w:rPr>
                <w:sz w:val="20"/>
              </w:rPr>
              <w:t>5</w:t>
            </w:r>
            <w:r w:rsidR="002C2F12">
              <w:rPr>
                <w:sz w:val="20"/>
              </w:rPr>
              <w:t>% to 0.</w:t>
            </w:r>
            <w:r>
              <w:rPr>
                <w:sz w:val="20"/>
              </w:rPr>
              <w:t>2</w:t>
            </w:r>
            <w:r w:rsidR="002C2F12">
              <w:rPr>
                <w:sz w:val="20"/>
              </w:rPr>
              <w:t>%)</w:t>
            </w:r>
          </w:p>
        </w:tc>
        <w:tc>
          <w:tcPr>
            <w:tcW w:w="1963" w:type="dxa"/>
            <w:vAlign w:val="center"/>
          </w:tcPr>
          <w:p w14:paraId="585D9CD8" w14:textId="0FC42053" w:rsidR="00C2035C" w:rsidRPr="00421029" w:rsidRDefault="00BA2C1B" w:rsidP="00947B5D">
            <w:pPr>
              <w:spacing w:line="240" w:lineRule="auto"/>
              <w:rPr>
                <w:sz w:val="20"/>
              </w:rPr>
            </w:pPr>
            <w:r>
              <w:rPr>
                <w:sz w:val="20"/>
              </w:rPr>
              <w:t>-</w:t>
            </w:r>
            <w:r w:rsidR="00BB7878">
              <w:rPr>
                <w:sz w:val="20"/>
              </w:rPr>
              <w:t>1</w:t>
            </w:r>
            <w:r>
              <w:rPr>
                <w:sz w:val="20"/>
              </w:rPr>
              <w:t>.</w:t>
            </w:r>
            <w:r w:rsidR="00BB7878">
              <w:rPr>
                <w:sz w:val="20"/>
              </w:rPr>
              <w:t>5</w:t>
            </w:r>
            <w:r>
              <w:rPr>
                <w:sz w:val="20"/>
              </w:rPr>
              <w:t>% (95% CI: -</w:t>
            </w:r>
            <w:r w:rsidR="00BB7878">
              <w:rPr>
                <w:sz w:val="20"/>
              </w:rPr>
              <w:t>2</w:t>
            </w:r>
            <w:r w:rsidR="002C2F12">
              <w:rPr>
                <w:sz w:val="20"/>
              </w:rPr>
              <w:t>.</w:t>
            </w:r>
            <w:r w:rsidR="00BB7878">
              <w:rPr>
                <w:sz w:val="20"/>
              </w:rPr>
              <w:t>7</w:t>
            </w:r>
            <w:r>
              <w:rPr>
                <w:sz w:val="20"/>
              </w:rPr>
              <w:t xml:space="preserve">% to </w:t>
            </w:r>
            <w:r w:rsidR="00947B5D">
              <w:rPr>
                <w:sz w:val="20"/>
              </w:rPr>
              <w:t>-0.2</w:t>
            </w:r>
            <w:r>
              <w:rPr>
                <w:sz w:val="20"/>
              </w:rPr>
              <w:t>%)</w:t>
            </w:r>
          </w:p>
        </w:tc>
      </w:tr>
      <w:tr w:rsidR="00E50A57" w:rsidRPr="00421029" w14:paraId="77DF115B" w14:textId="77777777" w:rsidTr="009E7C87">
        <w:tc>
          <w:tcPr>
            <w:tcW w:w="9968" w:type="dxa"/>
            <w:gridSpan w:val="5"/>
            <w:vAlign w:val="center"/>
          </w:tcPr>
          <w:p w14:paraId="1AE9012E" w14:textId="2938DA37" w:rsidR="00E50A57" w:rsidRDefault="00E50A57" w:rsidP="00277EEF">
            <w:pPr>
              <w:spacing w:line="240" w:lineRule="auto"/>
              <w:rPr>
                <w:sz w:val="20"/>
              </w:rPr>
            </w:pPr>
            <w:r w:rsidRPr="00E50A57">
              <w:rPr>
                <w:sz w:val="20"/>
              </w:rPr>
              <w:t>Absolute and relative median reductions of cases prevented or postponed (CPP) are presented for cardiovascular disease (CVD) and gastric cancer (GCa). The slope for absolute and relative reduction represents the absolute and relative equity slope index, respectively. Brackets contain interquartile ranges (IQR) for the estimated CPP and 95% confidence intervals (CI) for the slopes.</w:t>
            </w:r>
          </w:p>
        </w:tc>
      </w:tr>
    </w:tbl>
    <w:p w14:paraId="13BACE47" w14:textId="77777777" w:rsidR="00DD0656" w:rsidRPr="003F6215" w:rsidRDefault="00DD0656" w:rsidP="00AC0B1E"/>
    <w:p w14:paraId="008837FD" w14:textId="6BE5F7B8" w:rsidR="00365AFF" w:rsidRDefault="0023103A" w:rsidP="00AC0B1E">
      <w:pPr>
        <w:pStyle w:val="Heading2"/>
      </w:pPr>
      <w:r>
        <w:t xml:space="preserve">Future </w:t>
      </w:r>
      <w:r w:rsidR="006E75AB">
        <w:t>options</w:t>
      </w:r>
      <w:r>
        <w:t xml:space="preserve"> (201</w:t>
      </w:r>
      <w:r w:rsidR="00E546D7">
        <w:t>6</w:t>
      </w:r>
      <w:r>
        <w:t>-20</w:t>
      </w:r>
      <w:r w:rsidR="00575F72">
        <w:t>30</w:t>
      </w:r>
      <w:r>
        <w:t>)</w:t>
      </w:r>
    </w:p>
    <w:p w14:paraId="1FB3DE71" w14:textId="03C39E9A" w:rsidR="00D110AF" w:rsidRDefault="0064256F" w:rsidP="00586D66">
      <w:r>
        <w:lastRenderedPageBreak/>
        <w:t xml:space="preserve">Under the </w:t>
      </w:r>
      <w:r w:rsidR="00171305">
        <w:t>‘</w:t>
      </w:r>
      <w:r w:rsidR="008E741A">
        <w:t>c</w:t>
      </w:r>
      <w:r w:rsidR="00171305">
        <w:t xml:space="preserve">urrent </w:t>
      </w:r>
      <w:r w:rsidR="008E741A">
        <w:t>p</w:t>
      </w:r>
      <w:r w:rsidR="00171305">
        <w:t>olicy’</w:t>
      </w:r>
      <w:r>
        <w:t xml:space="preserve"> scenario,</w:t>
      </w:r>
      <w:r w:rsidRPr="00013244">
        <w:rPr>
          <w:lang w:eastAsia="en-GB"/>
        </w:rPr>
        <w:t xml:space="preserve"> </w:t>
      </w:r>
      <w:r w:rsidR="00204F26" w:rsidRPr="00013244">
        <w:rPr>
          <w:lang w:eastAsia="en-GB"/>
        </w:rPr>
        <w:t>IMPACT</w:t>
      </w:r>
      <w:r w:rsidR="00204F26" w:rsidRPr="00013244">
        <w:rPr>
          <w:b/>
          <w:vertAlign w:val="subscript"/>
          <w:lang w:eastAsia="en-GB"/>
        </w:rPr>
        <w:t>NCD</w:t>
      </w:r>
      <w:r w:rsidR="00204F26">
        <w:t xml:space="preserve"> projected that </w:t>
      </w:r>
      <w:r w:rsidR="00D110AF">
        <w:t>me</w:t>
      </w:r>
      <w:r w:rsidR="00203FB7">
        <w:t>di</w:t>
      </w:r>
      <w:r w:rsidR="00D110AF">
        <w:t xml:space="preserve">an </w:t>
      </w:r>
      <w:r w:rsidR="00204F26">
        <w:t xml:space="preserve">salt consumption </w:t>
      </w:r>
      <w:r>
        <w:t xml:space="preserve">would </w:t>
      </w:r>
      <w:r w:rsidR="00204F26">
        <w:t xml:space="preserve">reduce </w:t>
      </w:r>
      <w:r>
        <w:t xml:space="preserve">further </w:t>
      </w:r>
      <w:r w:rsidR="00204F26">
        <w:t>from 7.</w:t>
      </w:r>
      <w:r w:rsidR="002559A5">
        <w:t>0</w:t>
      </w:r>
      <w:r w:rsidR="006836E9">
        <w:t xml:space="preserve"> (</w:t>
      </w:r>
      <w:r w:rsidR="00203FB7">
        <w:t>IQR</w:t>
      </w:r>
      <w:r w:rsidR="006836E9">
        <w:t xml:space="preserve">: </w:t>
      </w:r>
      <w:r w:rsidR="002A7494">
        <w:t>6</w:t>
      </w:r>
      <w:r w:rsidR="006836E9">
        <w:t>.</w:t>
      </w:r>
      <w:r w:rsidR="001C69A6">
        <w:t>8</w:t>
      </w:r>
      <w:r w:rsidR="006836E9">
        <w:t xml:space="preserve"> to 7.</w:t>
      </w:r>
      <w:r w:rsidR="001C69A6">
        <w:t>7</w:t>
      </w:r>
      <w:r w:rsidR="006836E9">
        <w:t>)</w:t>
      </w:r>
      <w:r w:rsidR="00204F26">
        <w:t xml:space="preserve"> g/day in 201</w:t>
      </w:r>
      <w:r w:rsidR="002A7494">
        <w:t>6</w:t>
      </w:r>
      <w:r w:rsidR="00204F26">
        <w:t xml:space="preserve"> to </w:t>
      </w:r>
      <w:r w:rsidR="006836E9">
        <w:t>6</w:t>
      </w:r>
      <w:r w:rsidR="00204F26">
        <w:t>.</w:t>
      </w:r>
      <w:r w:rsidR="00EA2447">
        <w:t>2</w:t>
      </w:r>
      <w:r w:rsidR="00204F26">
        <w:t xml:space="preserve"> </w:t>
      </w:r>
      <w:r w:rsidR="006836E9">
        <w:t>(</w:t>
      </w:r>
      <w:r w:rsidR="00203FB7">
        <w:t>IQR</w:t>
      </w:r>
      <w:r w:rsidR="006836E9">
        <w:t xml:space="preserve">: </w:t>
      </w:r>
      <w:r w:rsidR="001C69A6">
        <w:t>5</w:t>
      </w:r>
      <w:r w:rsidR="006836E9">
        <w:t>.</w:t>
      </w:r>
      <w:r w:rsidR="001C69A6">
        <w:t>9</w:t>
      </w:r>
      <w:r w:rsidR="006836E9">
        <w:t xml:space="preserve"> to 6.</w:t>
      </w:r>
      <w:r w:rsidR="001C69A6">
        <w:t>2</w:t>
      </w:r>
      <w:r w:rsidR="006836E9">
        <w:t xml:space="preserve">) </w:t>
      </w:r>
      <w:r w:rsidR="00204F26">
        <w:t>g/day in 20</w:t>
      </w:r>
      <w:r w:rsidR="00121732">
        <w:t>30</w:t>
      </w:r>
      <w:r w:rsidR="00204F26">
        <w:t xml:space="preserve">. </w:t>
      </w:r>
      <w:r w:rsidR="00DF6930">
        <w:t>T</w:t>
      </w:r>
      <w:r w:rsidR="00204F26">
        <w:t>he addition of structural polic</w:t>
      </w:r>
      <w:r w:rsidR="007601AE">
        <w:t xml:space="preserve">ies </w:t>
      </w:r>
      <w:r w:rsidR="00490191">
        <w:t xml:space="preserve">might reach </w:t>
      </w:r>
      <w:r w:rsidR="006A30B2">
        <w:t>the national</w:t>
      </w:r>
      <w:r w:rsidR="007601AE">
        <w:t xml:space="preserve"> target</w:t>
      </w:r>
      <w:r w:rsidR="00D110AF">
        <w:t xml:space="preserve"> of 6 g/day by 20</w:t>
      </w:r>
      <w:r w:rsidR="002A7494">
        <w:t>2</w:t>
      </w:r>
      <w:r w:rsidR="00EA2447">
        <w:t>0</w:t>
      </w:r>
      <w:r w:rsidR="00783EA8">
        <w:t>.</w:t>
      </w:r>
      <w:r w:rsidR="00D110AF">
        <w:t xml:space="preserve"> </w:t>
      </w:r>
      <w:r w:rsidR="00783EA8">
        <w:t>Th</w:t>
      </w:r>
      <w:r w:rsidR="00D110AF">
        <w:t xml:space="preserve">e less feasible </w:t>
      </w:r>
      <w:r w:rsidR="008E741A">
        <w:t>‘i</w:t>
      </w:r>
      <w:r w:rsidR="00D110AF">
        <w:t>deal</w:t>
      </w:r>
      <w:r w:rsidR="008E741A">
        <w:t>’</w:t>
      </w:r>
      <w:r w:rsidR="00490191">
        <w:t xml:space="preserve"> </w:t>
      </w:r>
      <w:r w:rsidR="008E741A">
        <w:t>p</w:t>
      </w:r>
      <w:r w:rsidR="006A30B2">
        <w:t>olicy scenario</w:t>
      </w:r>
      <w:r w:rsidR="00D110AF">
        <w:t xml:space="preserve"> </w:t>
      </w:r>
      <w:r w:rsidR="00783EA8">
        <w:t>was es</w:t>
      </w:r>
      <w:r w:rsidR="00E43479">
        <w:t>timated</w:t>
      </w:r>
      <w:r w:rsidR="00783EA8">
        <w:t xml:space="preserve"> </w:t>
      </w:r>
      <w:r w:rsidR="00D110AF">
        <w:t xml:space="preserve">to </w:t>
      </w:r>
      <w:r w:rsidR="000C1032">
        <w:t>reach 3.</w:t>
      </w:r>
      <w:r w:rsidR="001C69A6">
        <w:t>6</w:t>
      </w:r>
      <w:r w:rsidR="00D110AF">
        <w:t xml:space="preserve"> </w:t>
      </w:r>
      <w:r w:rsidR="000C1032">
        <w:t>(</w:t>
      </w:r>
      <w:r w:rsidR="00203FB7">
        <w:t>IQR</w:t>
      </w:r>
      <w:r w:rsidR="000C1032">
        <w:t xml:space="preserve">: </w:t>
      </w:r>
      <w:r w:rsidR="00EA2447">
        <w:t>3</w:t>
      </w:r>
      <w:r w:rsidR="00203FB7">
        <w:t>.</w:t>
      </w:r>
      <w:r w:rsidR="00EA2447">
        <w:t>0</w:t>
      </w:r>
      <w:r w:rsidR="000C1032">
        <w:t xml:space="preserve"> to </w:t>
      </w:r>
      <w:r w:rsidR="00203FB7">
        <w:t>4.</w:t>
      </w:r>
      <w:r w:rsidR="00EA2447">
        <w:t>1</w:t>
      </w:r>
      <w:r w:rsidR="000C1032">
        <w:t xml:space="preserve">) </w:t>
      </w:r>
      <w:r w:rsidR="00D110AF">
        <w:t>g/day</w:t>
      </w:r>
      <w:r w:rsidR="008409B5">
        <w:t xml:space="preserve"> </w:t>
      </w:r>
      <w:r w:rsidR="008C7464">
        <w:t>by 20</w:t>
      </w:r>
      <w:r w:rsidR="00121732">
        <w:t>30</w:t>
      </w:r>
      <w:r w:rsidR="009158B2">
        <w:t xml:space="preserve">. Inequality in salt consumption </w:t>
      </w:r>
      <w:r w:rsidR="00490191">
        <w:t xml:space="preserve">persisted </w:t>
      </w:r>
      <w:r w:rsidR="009158B2">
        <w:t xml:space="preserve">under the </w:t>
      </w:r>
      <w:r w:rsidR="00171305">
        <w:t>‘</w:t>
      </w:r>
      <w:r w:rsidR="008E741A">
        <w:t>c</w:t>
      </w:r>
      <w:r w:rsidR="00171305">
        <w:t xml:space="preserve">urrent </w:t>
      </w:r>
      <w:r w:rsidR="008E741A">
        <w:t>p</w:t>
      </w:r>
      <w:r w:rsidR="00171305">
        <w:t>olicy’</w:t>
      </w:r>
      <w:r w:rsidR="00AB09D7">
        <w:t xml:space="preserve"> </w:t>
      </w:r>
      <w:r w:rsidR="009158B2">
        <w:t xml:space="preserve">projections and decreased </w:t>
      </w:r>
      <w:r w:rsidR="00586D66">
        <w:t>moderately</w:t>
      </w:r>
      <w:r w:rsidR="00490191" w:rsidRPr="00490191">
        <w:t xml:space="preserve"> </w:t>
      </w:r>
      <w:r w:rsidR="009158B2">
        <w:t>with the addition of structural policies.</w:t>
      </w:r>
      <w:r w:rsidR="008C7464">
        <w:t xml:space="preserve"> </w:t>
      </w:r>
    </w:p>
    <w:p w14:paraId="526962F4" w14:textId="54D310E9" w:rsidR="006F56D8" w:rsidRDefault="001B138F" w:rsidP="00AC0B1E">
      <w:pPr>
        <w:rPr>
          <w:lang w:eastAsia="en-GB"/>
        </w:rPr>
      </w:pPr>
      <w:r>
        <w:rPr>
          <w:lang w:eastAsia="en-GB"/>
        </w:rPr>
        <w:t xml:space="preserve">Under the </w:t>
      </w:r>
      <w:r w:rsidR="009F1C0D">
        <w:rPr>
          <w:lang w:eastAsia="en-GB"/>
        </w:rPr>
        <w:t>‘current p</w:t>
      </w:r>
      <w:r w:rsidR="00171305">
        <w:rPr>
          <w:lang w:eastAsia="en-GB"/>
        </w:rPr>
        <w:t>olicy’</w:t>
      </w:r>
      <w:r>
        <w:rPr>
          <w:lang w:eastAsia="en-GB"/>
        </w:rPr>
        <w:t xml:space="preserve"> scenario</w:t>
      </w:r>
      <w:r w:rsidR="00490191">
        <w:rPr>
          <w:lang w:eastAsia="en-GB"/>
        </w:rPr>
        <w:t>,</w:t>
      </w:r>
      <w:r>
        <w:rPr>
          <w:lang w:eastAsia="en-GB"/>
        </w:rPr>
        <w:t xml:space="preserve"> </w:t>
      </w:r>
      <w:r w:rsidR="009909DF">
        <w:rPr>
          <w:lang w:eastAsia="en-GB"/>
        </w:rPr>
        <w:t xml:space="preserve">we calculated </w:t>
      </w:r>
      <w:r w:rsidR="006A30B2">
        <w:rPr>
          <w:lang w:eastAsia="en-GB"/>
        </w:rPr>
        <w:t xml:space="preserve">approximately </w:t>
      </w:r>
      <w:r w:rsidR="00121732">
        <w:rPr>
          <w:lang w:eastAsia="en-GB"/>
        </w:rPr>
        <w:t>1.</w:t>
      </w:r>
      <w:r w:rsidR="001C69A6">
        <w:rPr>
          <w:lang w:eastAsia="en-GB"/>
        </w:rPr>
        <w:t>4</w:t>
      </w:r>
      <w:r w:rsidR="00121732">
        <w:rPr>
          <w:lang w:eastAsia="en-GB"/>
        </w:rPr>
        <w:t xml:space="preserve"> million</w:t>
      </w:r>
      <w:r w:rsidR="006A30B2">
        <w:rPr>
          <w:lang w:eastAsia="en-GB"/>
        </w:rPr>
        <w:t xml:space="preserve"> </w:t>
      </w:r>
      <w:r w:rsidR="009909DF">
        <w:rPr>
          <w:lang w:eastAsia="en-GB"/>
        </w:rPr>
        <w:t xml:space="preserve">new cases of </w:t>
      </w:r>
      <w:r w:rsidR="006A30B2">
        <w:rPr>
          <w:lang w:eastAsia="en-GB"/>
        </w:rPr>
        <w:t>CVD (</w:t>
      </w:r>
      <w:r w:rsidR="002B1B32">
        <w:rPr>
          <w:lang w:eastAsia="en-GB"/>
        </w:rPr>
        <w:t>IQR</w:t>
      </w:r>
      <w:r w:rsidR="00490191">
        <w:rPr>
          <w:lang w:eastAsia="en-GB"/>
        </w:rPr>
        <w:t xml:space="preserve">: </w:t>
      </w:r>
      <w:r w:rsidR="00121732">
        <w:rPr>
          <w:lang w:eastAsia="en-GB"/>
        </w:rPr>
        <w:t>1.</w:t>
      </w:r>
      <w:r w:rsidR="001C69A6">
        <w:rPr>
          <w:lang w:eastAsia="en-GB"/>
        </w:rPr>
        <w:t>3</w:t>
      </w:r>
      <w:r w:rsidR="002B1B32">
        <w:rPr>
          <w:lang w:eastAsia="en-GB"/>
        </w:rPr>
        <w:t xml:space="preserve"> to </w:t>
      </w:r>
      <w:r w:rsidR="00121732">
        <w:rPr>
          <w:lang w:eastAsia="en-GB"/>
        </w:rPr>
        <w:t>1.</w:t>
      </w:r>
      <w:r w:rsidR="001C69A6">
        <w:rPr>
          <w:lang w:eastAsia="en-GB"/>
        </w:rPr>
        <w:t>4</w:t>
      </w:r>
      <w:r w:rsidR="00121732">
        <w:rPr>
          <w:lang w:eastAsia="en-GB"/>
        </w:rPr>
        <w:t xml:space="preserve"> million</w:t>
      </w:r>
      <w:r w:rsidR="00490191">
        <w:rPr>
          <w:lang w:eastAsia="en-GB"/>
        </w:rPr>
        <w:t xml:space="preserve">) </w:t>
      </w:r>
      <w:r w:rsidR="009909DF">
        <w:rPr>
          <w:lang w:eastAsia="en-GB"/>
        </w:rPr>
        <w:t xml:space="preserve">and </w:t>
      </w:r>
      <w:r w:rsidR="001C69A6">
        <w:rPr>
          <w:lang w:eastAsia="en-GB"/>
        </w:rPr>
        <w:t>53</w:t>
      </w:r>
      <w:r w:rsidR="00121732">
        <w:rPr>
          <w:lang w:eastAsia="en-GB"/>
        </w:rPr>
        <w:t>0</w:t>
      </w:r>
      <w:r w:rsidR="009909DF">
        <w:rPr>
          <w:lang w:eastAsia="en-GB"/>
        </w:rPr>
        <w:t>,000 deaths (</w:t>
      </w:r>
      <w:r w:rsidR="002B1B32">
        <w:rPr>
          <w:lang w:eastAsia="en-GB"/>
        </w:rPr>
        <w:t>IQR</w:t>
      </w:r>
      <w:r w:rsidR="009909DF">
        <w:rPr>
          <w:lang w:eastAsia="en-GB"/>
        </w:rPr>
        <w:t xml:space="preserve">: </w:t>
      </w:r>
      <w:r w:rsidR="001C69A6">
        <w:rPr>
          <w:lang w:eastAsia="en-GB"/>
        </w:rPr>
        <w:t>51</w:t>
      </w:r>
      <w:r w:rsidR="009909DF">
        <w:rPr>
          <w:lang w:eastAsia="en-GB"/>
        </w:rPr>
        <w:t xml:space="preserve">0,000 to </w:t>
      </w:r>
      <w:r w:rsidR="001C69A6">
        <w:rPr>
          <w:lang w:eastAsia="en-GB"/>
        </w:rPr>
        <w:t>56</w:t>
      </w:r>
      <w:r w:rsidR="009909DF">
        <w:rPr>
          <w:lang w:eastAsia="en-GB"/>
        </w:rPr>
        <w:t xml:space="preserve">0,000). Similarly, for GCa </w:t>
      </w:r>
      <w:r w:rsidR="00336065">
        <w:rPr>
          <w:lang w:eastAsia="en-GB"/>
        </w:rPr>
        <w:t xml:space="preserve">we estimated </w:t>
      </w:r>
      <w:r w:rsidR="00490191">
        <w:rPr>
          <w:lang w:eastAsia="en-GB"/>
        </w:rPr>
        <w:t xml:space="preserve">some </w:t>
      </w:r>
      <w:r w:rsidR="00121732">
        <w:rPr>
          <w:lang w:eastAsia="en-GB"/>
        </w:rPr>
        <w:t>80</w:t>
      </w:r>
      <w:r w:rsidR="009909DF">
        <w:rPr>
          <w:lang w:eastAsia="en-GB"/>
        </w:rPr>
        <w:t xml:space="preserve">,000 </w:t>
      </w:r>
      <w:r w:rsidR="00336065">
        <w:rPr>
          <w:lang w:eastAsia="en-GB"/>
        </w:rPr>
        <w:t xml:space="preserve">new cases </w:t>
      </w:r>
      <w:r w:rsidR="001E6206">
        <w:rPr>
          <w:lang w:eastAsia="en-GB"/>
        </w:rPr>
        <w:t xml:space="preserve">(IQR: </w:t>
      </w:r>
      <w:r w:rsidR="001C69A6">
        <w:rPr>
          <w:lang w:eastAsia="en-GB"/>
        </w:rPr>
        <w:t>65</w:t>
      </w:r>
      <w:r w:rsidR="001E6206">
        <w:rPr>
          <w:lang w:eastAsia="en-GB"/>
        </w:rPr>
        <w:t xml:space="preserve">,000 to </w:t>
      </w:r>
      <w:r w:rsidR="00121732">
        <w:rPr>
          <w:lang w:eastAsia="en-GB"/>
        </w:rPr>
        <w:t>9</w:t>
      </w:r>
      <w:r w:rsidR="001C69A6">
        <w:rPr>
          <w:lang w:eastAsia="en-GB"/>
        </w:rPr>
        <w:t>3</w:t>
      </w:r>
      <w:r w:rsidR="00490191">
        <w:rPr>
          <w:lang w:eastAsia="en-GB"/>
        </w:rPr>
        <w:t xml:space="preserve">,000) </w:t>
      </w:r>
      <w:r w:rsidR="00336065">
        <w:rPr>
          <w:lang w:eastAsia="en-GB"/>
        </w:rPr>
        <w:t xml:space="preserve">and </w:t>
      </w:r>
      <w:r w:rsidR="00883A8E">
        <w:rPr>
          <w:lang w:eastAsia="en-GB"/>
        </w:rPr>
        <w:t>4</w:t>
      </w:r>
      <w:r w:rsidR="001C69A6">
        <w:rPr>
          <w:lang w:eastAsia="en-GB"/>
        </w:rPr>
        <w:t>2</w:t>
      </w:r>
      <w:r w:rsidR="00336065">
        <w:rPr>
          <w:lang w:eastAsia="en-GB"/>
        </w:rPr>
        <w:t xml:space="preserve">,000 </w:t>
      </w:r>
      <w:r w:rsidR="00490191" w:rsidRPr="00490191">
        <w:rPr>
          <w:lang w:eastAsia="en-GB"/>
        </w:rPr>
        <w:t xml:space="preserve">deaths </w:t>
      </w:r>
      <w:r w:rsidR="00336065">
        <w:rPr>
          <w:lang w:eastAsia="en-GB"/>
        </w:rPr>
        <w:t>(</w:t>
      </w:r>
      <w:r w:rsidR="001E6206">
        <w:rPr>
          <w:lang w:eastAsia="en-GB"/>
        </w:rPr>
        <w:t>IQR</w:t>
      </w:r>
      <w:r w:rsidR="00336065">
        <w:rPr>
          <w:lang w:eastAsia="en-GB"/>
        </w:rPr>
        <w:t xml:space="preserve">: </w:t>
      </w:r>
      <w:r w:rsidR="00883A8E">
        <w:rPr>
          <w:lang w:eastAsia="en-GB"/>
        </w:rPr>
        <w:t>3</w:t>
      </w:r>
      <w:r w:rsidR="001C69A6">
        <w:rPr>
          <w:lang w:eastAsia="en-GB"/>
        </w:rPr>
        <w:t>5</w:t>
      </w:r>
      <w:r w:rsidR="00336065">
        <w:rPr>
          <w:lang w:eastAsia="en-GB"/>
        </w:rPr>
        <w:t xml:space="preserve">,000 to </w:t>
      </w:r>
      <w:r w:rsidR="00883A8E">
        <w:rPr>
          <w:lang w:eastAsia="en-GB"/>
        </w:rPr>
        <w:t>4</w:t>
      </w:r>
      <w:r w:rsidR="001C69A6">
        <w:rPr>
          <w:lang w:eastAsia="en-GB"/>
        </w:rPr>
        <w:t>9</w:t>
      </w:r>
      <w:r w:rsidR="00336065">
        <w:rPr>
          <w:lang w:eastAsia="en-GB"/>
        </w:rPr>
        <w:t>,000)</w:t>
      </w:r>
      <w:r w:rsidR="00EC65EB">
        <w:rPr>
          <w:lang w:eastAsia="en-GB"/>
        </w:rPr>
        <w:t>.</w:t>
      </w:r>
      <w:r w:rsidR="00973071">
        <w:rPr>
          <w:lang w:eastAsia="en-GB"/>
        </w:rPr>
        <w:t xml:space="preserve"> Approximately 20,000 more cases </w:t>
      </w:r>
      <w:r w:rsidR="00F51216">
        <w:rPr>
          <w:lang w:eastAsia="en-GB"/>
        </w:rPr>
        <w:t>of CVD and GCa can be</w:t>
      </w:r>
      <w:r w:rsidR="00973071">
        <w:rPr>
          <w:lang w:eastAsia="en-GB"/>
        </w:rPr>
        <w:t xml:space="preserve"> prevented or postponed from the implementation of structural policies. </w:t>
      </w:r>
      <w:r w:rsidR="0028778E">
        <w:t xml:space="preserve">Table </w:t>
      </w:r>
      <w:r w:rsidR="0028778E">
        <w:rPr>
          <w:noProof/>
        </w:rPr>
        <w:t>3</w:t>
      </w:r>
      <w:r w:rsidR="003C196B">
        <w:rPr>
          <w:lang w:eastAsia="en-GB"/>
        </w:rPr>
        <w:t xml:space="preserve"> presents </w:t>
      </w:r>
      <w:r w:rsidR="006F56D8" w:rsidRPr="00F56603">
        <w:rPr>
          <w:lang w:eastAsia="en-GB"/>
        </w:rPr>
        <w:t>IMPACT</w:t>
      </w:r>
      <w:r w:rsidR="006F56D8" w:rsidRPr="006F56D8">
        <w:rPr>
          <w:b/>
          <w:vertAlign w:val="subscript"/>
          <w:lang w:eastAsia="en-GB"/>
        </w:rPr>
        <w:t>NCD</w:t>
      </w:r>
      <w:r w:rsidR="006F56D8">
        <w:rPr>
          <w:lang w:eastAsia="en-GB"/>
        </w:rPr>
        <w:t xml:space="preserve"> estimates</w:t>
      </w:r>
      <w:r w:rsidR="006C5054">
        <w:rPr>
          <w:lang w:eastAsia="en-GB"/>
        </w:rPr>
        <w:t xml:space="preserve"> </w:t>
      </w:r>
      <w:r w:rsidR="006F56D8">
        <w:rPr>
          <w:lang w:eastAsia="en-GB"/>
        </w:rPr>
        <w:t>for the two counterfactual scenarios</w:t>
      </w:r>
      <w:r w:rsidR="00F2758B">
        <w:rPr>
          <w:lang w:eastAsia="en-GB"/>
        </w:rPr>
        <w:t>.</w:t>
      </w:r>
      <w:r w:rsidR="00490191">
        <w:rPr>
          <w:lang w:eastAsia="en-GB"/>
        </w:rPr>
        <w:t xml:space="preserve">  </w:t>
      </w:r>
    </w:p>
    <w:p w14:paraId="3006181D" w14:textId="558A306F" w:rsidR="008409B5" w:rsidRPr="004E7649" w:rsidRDefault="00081FBF" w:rsidP="00AC0B1E">
      <w:pPr>
        <w:rPr>
          <w:lang w:eastAsia="en-GB"/>
        </w:rPr>
      </w:pPr>
      <w:r>
        <w:rPr>
          <w:lang w:eastAsia="en-GB"/>
        </w:rPr>
        <w:t>The addition of structural polic</w:t>
      </w:r>
      <w:r w:rsidR="0007564E">
        <w:rPr>
          <w:lang w:eastAsia="en-GB"/>
        </w:rPr>
        <w:t>ies</w:t>
      </w:r>
      <w:r>
        <w:rPr>
          <w:lang w:eastAsia="en-GB"/>
        </w:rPr>
        <w:t xml:space="preserve"> was more effective </w:t>
      </w:r>
      <w:r w:rsidR="000D33DB">
        <w:rPr>
          <w:lang w:eastAsia="en-GB"/>
        </w:rPr>
        <w:t>among the most deprived</w:t>
      </w:r>
      <w:r w:rsidR="002635C0">
        <w:rPr>
          <w:lang w:eastAsia="en-GB"/>
        </w:rPr>
        <w:t xml:space="preserve"> </w:t>
      </w:r>
      <w:r w:rsidR="00490191">
        <w:rPr>
          <w:lang w:eastAsia="en-GB"/>
        </w:rPr>
        <w:t xml:space="preserve">groups </w:t>
      </w:r>
      <w:r w:rsidR="002635C0">
        <w:rPr>
          <w:lang w:eastAsia="en-GB"/>
        </w:rPr>
        <w:t>especially for CVD</w:t>
      </w:r>
      <w:r w:rsidR="00EB45B4">
        <w:rPr>
          <w:lang w:eastAsia="en-GB"/>
        </w:rPr>
        <w:t xml:space="preserve"> and </w:t>
      </w:r>
      <w:r w:rsidR="00490191">
        <w:rPr>
          <w:lang w:eastAsia="en-GB"/>
        </w:rPr>
        <w:t xml:space="preserve">might </w:t>
      </w:r>
      <w:r w:rsidR="00EB45B4">
        <w:rPr>
          <w:lang w:eastAsia="en-GB"/>
        </w:rPr>
        <w:t>potentially</w:t>
      </w:r>
      <w:r w:rsidR="002635C0">
        <w:rPr>
          <w:lang w:eastAsia="en-GB"/>
        </w:rPr>
        <w:t xml:space="preserve"> decrease </w:t>
      </w:r>
      <w:r w:rsidR="001E45B8">
        <w:rPr>
          <w:lang w:eastAsia="en-GB"/>
        </w:rPr>
        <w:t>absolute</w:t>
      </w:r>
      <w:r w:rsidR="004E7649">
        <w:rPr>
          <w:lang w:eastAsia="en-GB"/>
        </w:rPr>
        <w:t xml:space="preserve"> </w:t>
      </w:r>
      <w:r w:rsidR="00EB45B4">
        <w:rPr>
          <w:lang w:eastAsia="en-GB"/>
        </w:rPr>
        <w:t xml:space="preserve">socioeconomic </w:t>
      </w:r>
      <w:r w:rsidR="004E7649">
        <w:rPr>
          <w:lang w:eastAsia="en-GB"/>
        </w:rPr>
        <w:t>inequalit</w:t>
      </w:r>
      <w:r w:rsidR="00DC4B8C">
        <w:rPr>
          <w:lang w:eastAsia="en-GB"/>
        </w:rPr>
        <w:t>y</w:t>
      </w:r>
      <w:r w:rsidR="002635C0">
        <w:rPr>
          <w:lang w:eastAsia="en-GB"/>
        </w:rPr>
        <w:t xml:space="preserve"> (</w:t>
      </w:r>
      <w:r w:rsidR="0028778E">
        <w:t xml:space="preserve">Table </w:t>
      </w:r>
      <w:r w:rsidR="0028778E">
        <w:rPr>
          <w:noProof/>
        </w:rPr>
        <w:t>4</w:t>
      </w:r>
      <w:r w:rsidR="002635C0">
        <w:rPr>
          <w:lang w:eastAsia="en-GB"/>
        </w:rPr>
        <w:t>)</w:t>
      </w:r>
      <w:r w:rsidR="004E7649">
        <w:rPr>
          <w:lang w:eastAsia="en-GB"/>
        </w:rPr>
        <w:t>.</w:t>
      </w:r>
      <w:r w:rsidR="00E465FA">
        <w:rPr>
          <w:lang w:eastAsia="en-GB"/>
        </w:rPr>
        <w:t xml:space="preserve"> </w:t>
      </w:r>
      <w:r w:rsidR="00AC2EEA">
        <w:rPr>
          <w:lang w:eastAsia="en-GB"/>
        </w:rPr>
        <w:t xml:space="preserve">As </w:t>
      </w:r>
      <w:r w:rsidR="00EB45B4">
        <w:rPr>
          <w:lang w:eastAsia="en-GB"/>
        </w:rPr>
        <w:t>anticipated</w:t>
      </w:r>
      <w:r w:rsidR="00AC2EEA">
        <w:rPr>
          <w:lang w:eastAsia="en-GB"/>
        </w:rPr>
        <w:t xml:space="preserve">, the </w:t>
      </w:r>
      <w:r w:rsidR="006A30B2">
        <w:rPr>
          <w:lang w:eastAsia="en-GB"/>
        </w:rPr>
        <w:t>‘</w:t>
      </w:r>
      <w:r w:rsidR="009F1C0D">
        <w:rPr>
          <w:lang w:eastAsia="en-GB"/>
        </w:rPr>
        <w:t>i</w:t>
      </w:r>
      <w:r w:rsidR="00AC2EEA">
        <w:rPr>
          <w:lang w:eastAsia="en-GB"/>
        </w:rPr>
        <w:t>deal</w:t>
      </w:r>
      <w:r w:rsidR="009F1C0D">
        <w:rPr>
          <w:lang w:eastAsia="en-GB"/>
        </w:rPr>
        <w:t>’</w:t>
      </w:r>
      <w:r w:rsidR="00490191">
        <w:rPr>
          <w:lang w:eastAsia="en-GB"/>
        </w:rPr>
        <w:t xml:space="preserve"> </w:t>
      </w:r>
      <w:r w:rsidR="00AC2EEA">
        <w:rPr>
          <w:lang w:eastAsia="en-GB"/>
        </w:rPr>
        <w:t>scenario ha</w:t>
      </w:r>
      <w:r w:rsidR="00EB45B4">
        <w:rPr>
          <w:lang w:eastAsia="en-GB"/>
        </w:rPr>
        <w:t>d</w:t>
      </w:r>
      <w:r w:rsidR="00AC2EEA">
        <w:rPr>
          <w:lang w:eastAsia="en-GB"/>
        </w:rPr>
        <w:t xml:space="preserve"> the </w:t>
      </w:r>
      <w:r w:rsidR="00BC75C8">
        <w:rPr>
          <w:lang w:eastAsia="en-GB"/>
        </w:rPr>
        <w:t>largest</w:t>
      </w:r>
      <w:r w:rsidR="00AC2EEA">
        <w:rPr>
          <w:lang w:eastAsia="en-GB"/>
        </w:rPr>
        <w:t xml:space="preserve"> impact</w:t>
      </w:r>
      <w:r w:rsidR="00787693">
        <w:rPr>
          <w:lang w:eastAsia="en-GB"/>
        </w:rPr>
        <w:t xml:space="preserve"> </w:t>
      </w:r>
      <w:r w:rsidR="00EB45B4">
        <w:rPr>
          <w:lang w:eastAsia="en-GB"/>
        </w:rPr>
        <w:t>on burden and inequality</w:t>
      </w:r>
      <w:r w:rsidR="00AC2EEA">
        <w:rPr>
          <w:lang w:eastAsia="en-GB"/>
        </w:rPr>
        <w:t xml:space="preserve"> (</w:t>
      </w:r>
      <w:r w:rsidR="0028778E">
        <w:t xml:space="preserve">Table </w:t>
      </w:r>
      <w:r w:rsidR="0028778E">
        <w:rPr>
          <w:noProof/>
        </w:rPr>
        <w:t>5</w:t>
      </w:r>
      <w:r w:rsidR="00AC2EEA">
        <w:rPr>
          <w:lang w:eastAsia="en-GB"/>
        </w:rPr>
        <w:t>).</w:t>
      </w:r>
    </w:p>
    <w:p w14:paraId="74D7D278" w14:textId="653D2FDB" w:rsidR="00E46DCD" w:rsidRDefault="00E46DCD" w:rsidP="00AC0B1E">
      <w:pPr>
        <w:pStyle w:val="Caption"/>
      </w:pPr>
      <w:bookmarkStart w:id="3" w:name="_Ref430796776"/>
      <w:r>
        <w:t xml:space="preserve">Table </w:t>
      </w:r>
      <w:r w:rsidR="00A532AE">
        <w:fldChar w:fldCharType="begin"/>
      </w:r>
      <w:r w:rsidR="00A532AE">
        <w:instrText xml:space="preserve"> SEQ Table \* ARABIC </w:instrText>
      </w:r>
      <w:r w:rsidR="00A532AE">
        <w:fldChar w:fldCharType="separate"/>
      </w:r>
      <w:r w:rsidR="004F3777">
        <w:rPr>
          <w:noProof/>
        </w:rPr>
        <w:t>3</w:t>
      </w:r>
      <w:r w:rsidR="00A532AE">
        <w:rPr>
          <w:noProof/>
        </w:rPr>
        <w:fldChar w:fldCharType="end"/>
      </w:r>
      <w:bookmarkEnd w:id="3"/>
      <w:r>
        <w:t>.</w:t>
      </w:r>
      <w:r w:rsidR="009A0927">
        <w:t xml:space="preserve"> </w:t>
      </w:r>
      <w:r w:rsidR="00CC5F29">
        <w:t>Additional c</w:t>
      </w:r>
      <w:r w:rsidR="00E02B58">
        <w:t xml:space="preserve">ases </w:t>
      </w:r>
      <w:r w:rsidR="00A02633">
        <w:t xml:space="preserve">and deaths </w:t>
      </w:r>
      <w:r w:rsidR="00E02B58">
        <w:t>that can be potentially prevented or postponed</w:t>
      </w:r>
      <w:r w:rsidR="009A0927">
        <w:t xml:space="preserve"> (CPP</w:t>
      </w:r>
      <w:r w:rsidR="00A02633">
        <w:t>, DPP</w:t>
      </w:r>
      <w:r w:rsidR="009A0927">
        <w:t>) from the addition of structural policies to current policy</w:t>
      </w:r>
      <w:r w:rsidR="003C196B">
        <w:t>,</w:t>
      </w:r>
      <w:r w:rsidR="009A0927">
        <w:t xml:space="preserve"> </w:t>
      </w:r>
      <w:r w:rsidR="003C196B">
        <w:t xml:space="preserve">and under the </w:t>
      </w:r>
      <w:r w:rsidR="00F36713">
        <w:t>‘</w:t>
      </w:r>
      <w:r w:rsidR="003C196B">
        <w:t>ideal scenario</w:t>
      </w:r>
      <w:r w:rsidR="00F36713">
        <w:t>’</w:t>
      </w:r>
      <w:r w:rsidR="003C196B">
        <w:t>.</w:t>
      </w:r>
      <w:r w:rsidR="00BD1DCB">
        <w:t xml:space="preserve"> </w:t>
      </w:r>
    </w:p>
    <w:tbl>
      <w:tblPr>
        <w:tblStyle w:val="TableGrid"/>
        <w:tblW w:w="0" w:type="auto"/>
        <w:tblLook w:val="04A0" w:firstRow="1" w:lastRow="0" w:firstColumn="1" w:lastColumn="0" w:noHBand="0" w:noVBand="1"/>
      </w:tblPr>
      <w:tblGrid>
        <w:gridCol w:w="1988"/>
        <w:gridCol w:w="1995"/>
        <w:gridCol w:w="1995"/>
        <w:gridCol w:w="1995"/>
        <w:gridCol w:w="1995"/>
      </w:tblGrid>
      <w:tr w:rsidR="002977D5" w:rsidRPr="00A02633" w14:paraId="0BC15242" w14:textId="77777777" w:rsidTr="00E50A57">
        <w:tc>
          <w:tcPr>
            <w:tcW w:w="1988" w:type="dxa"/>
            <w:vAlign w:val="center"/>
          </w:tcPr>
          <w:p w14:paraId="16B23FCE" w14:textId="77777777" w:rsidR="002977D5" w:rsidRPr="00A02633" w:rsidRDefault="002977D5" w:rsidP="00A02633">
            <w:pPr>
              <w:spacing w:line="240" w:lineRule="auto"/>
              <w:rPr>
                <w:sz w:val="20"/>
              </w:rPr>
            </w:pPr>
          </w:p>
        </w:tc>
        <w:tc>
          <w:tcPr>
            <w:tcW w:w="3990" w:type="dxa"/>
            <w:gridSpan w:val="2"/>
            <w:vAlign w:val="bottom"/>
          </w:tcPr>
          <w:p w14:paraId="4F467F34" w14:textId="77777777" w:rsidR="002977D5" w:rsidRPr="00A02633" w:rsidRDefault="002977D5" w:rsidP="00A02633">
            <w:pPr>
              <w:spacing w:line="240" w:lineRule="auto"/>
              <w:rPr>
                <w:sz w:val="20"/>
              </w:rPr>
            </w:pPr>
            <w:r w:rsidRPr="00A02633">
              <w:rPr>
                <w:sz w:val="20"/>
              </w:rPr>
              <w:t>Cardiovascular disease</w:t>
            </w:r>
          </w:p>
        </w:tc>
        <w:tc>
          <w:tcPr>
            <w:tcW w:w="3990" w:type="dxa"/>
            <w:gridSpan w:val="2"/>
            <w:vAlign w:val="bottom"/>
          </w:tcPr>
          <w:p w14:paraId="5E8ABEA9" w14:textId="77777777" w:rsidR="002977D5" w:rsidRPr="00A02633" w:rsidRDefault="002977D5" w:rsidP="00A02633">
            <w:pPr>
              <w:spacing w:line="240" w:lineRule="auto"/>
              <w:rPr>
                <w:sz w:val="20"/>
              </w:rPr>
            </w:pPr>
            <w:r w:rsidRPr="00A02633">
              <w:rPr>
                <w:sz w:val="20"/>
              </w:rPr>
              <w:t>Gastric cancer</w:t>
            </w:r>
          </w:p>
        </w:tc>
      </w:tr>
      <w:tr w:rsidR="002977D5" w:rsidRPr="00A02633" w14:paraId="21995CD5" w14:textId="77777777" w:rsidTr="00E50A57">
        <w:tc>
          <w:tcPr>
            <w:tcW w:w="1988" w:type="dxa"/>
            <w:vAlign w:val="center"/>
          </w:tcPr>
          <w:p w14:paraId="127D60EE" w14:textId="77777777" w:rsidR="002977D5" w:rsidRPr="00A02633" w:rsidRDefault="002666F9" w:rsidP="00A02633">
            <w:pPr>
              <w:spacing w:line="240" w:lineRule="auto"/>
              <w:rPr>
                <w:sz w:val="20"/>
              </w:rPr>
            </w:pPr>
            <w:r w:rsidRPr="00A02633">
              <w:rPr>
                <w:sz w:val="20"/>
              </w:rPr>
              <w:t>Scenario</w:t>
            </w:r>
          </w:p>
        </w:tc>
        <w:tc>
          <w:tcPr>
            <w:tcW w:w="1995" w:type="dxa"/>
            <w:vAlign w:val="center"/>
          </w:tcPr>
          <w:p w14:paraId="6EFC51B7" w14:textId="53C033A0" w:rsidR="002977D5" w:rsidRPr="00A02633" w:rsidRDefault="002977D5" w:rsidP="00A02633">
            <w:pPr>
              <w:spacing w:line="240" w:lineRule="auto"/>
              <w:rPr>
                <w:sz w:val="20"/>
              </w:rPr>
            </w:pPr>
            <w:r w:rsidRPr="00A02633">
              <w:rPr>
                <w:sz w:val="20"/>
              </w:rPr>
              <w:t>CPP</w:t>
            </w:r>
            <w:r w:rsidR="00A02633" w:rsidRPr="00A02633">
              <w:rPr>
                <w:sz w:val="20"/>
              </w:rPr>
              <w:t xml:space="preserve"> in thousands</w:t>
            </w:r>
          </w:p>
        </w:tc>
        <w:tc>
          <w:tcPr>
            <w:tcW w:w="1995" w:type="dxa"/>
            <w:vAlign w:val="center"/>
          </w:tcPr>
          <w:p w14:paraId="60D7CFB7" w14:textId="2871E2BB" w:rsidR="002977D5" w:rsidRPr="00A02633" w:rsidRDefault="002977D5" w:rsidP="00A02633">
            <w:pPr>
              <w:spacing w:line="240" w:lineRule="auto"/>
              <w:rPr>
                <w:sz w:val="20"/>
              </w:rPr>
            </w:pPr>
            <w:r w:rsidRPr="00A02633">
              <w:rPr>
                <w:sz w:val="20"/>
              </w:rPr>
              <w:t>DPP</w:t>
            </w:r>
            <w:r w:rsidR="00A02633" w:rsidRPr="00A02633">
              <w:rPr>
                <w:sz w:val="20"/>
              </w:rPr>
              <w:t xml:space="preserve"> in thousands</w:t>
            </w:r>
          </w:p>
        </w:tc>
        <w:tc>
          <w:tcPr>
            <w:tcW w:w="1995" w:type="dxa"/>
            <w:vAlign w:val="center"/>
          </w:tcPr>
          <w:p w14:paraId="52489198" w14:textId="3D34C800" w:rsidR="002977D5" w:rsidRPr="00A02633" w:rsidRDefault="002977D5" w:rsidP="00A02633">
            <w:pPr>
              <w:spacing w:line="240" w:lineRule="auto"/>
              <w:rPr>
                <w:sz w:val="20"/>
              </w:rPr>
            </w:pPr>
            <w:r w:rsidRPr="00A02633">
              <w:rPr>
                <w:sz w:val="20"/>
              </w:rPr>
              <w:t>CPP</w:t>
            </w:r>
            <w:r w:rsidR="00A02633" w:rsidRPr="00A02633">
              <w:rPr>
                <w:sz w:val="20"/>
              </w:rPr>
              <w:t xml:space="preserve"> in thousands</w:t>
            </w:r>
          </w:p>
        </w:tc>
        <w:tc>
          <w:tcPr>
            <w:tcW w:w="1995" w:type="dxa"/>
            <w:vAlign w:val="center"/>
          </w:tcPr>
          <w:p w14:paraId="4506668F" w14:textId="7EEDC3EA" w:rsidR="002977D5" w:rsidRPr="00A02633" w:rsidRDefault="002977D5" w:rsidP="00A02633">
            <w:pPr>
              <w:spacing w:line="240" w:lineRule="auto"/>
              <w:rPr>
                <w:sz w:val="20"/>
              </w:rPr>
            </w:pPr>
            <w:r w:rsidRPr="00A02633">
              <w:rPr>
                <w:sz w:val="20"/>
              </w:rPr>
              <w:t>DPP</w:t>
            </w:r>
            <w:r w:rsidR="00A02633" w:rsidRPr="00A02633">
              <w:rPr>
                <w:sz w:val="20"/>
              </w:rPr>
              <w:t xml:space="preserve"> in thousands</w:t>
            </w:r>
          </w:p>
        </w:tc>
      </w:tr>
      <w:tr w:rsidR="002977D5" w:rsidRPr="00A02633" w14:paraId="4511177E" w14:textId="77777777" w:rsidTr="00E50A57">
        <w:tc>
          <w:tcPr>
            <w:tcW w:w="1988" w:type="dxa"/>
            <w:vAlign w:val="center"/>
          </w:tcPr>
          <w:p w14:paraId="138B2BE7" w14:textId="77777777" w:rsidR="002977D5" w:rsidRPr="00A02633" w:rsidRDefault="00973071" w:rsidP="00A02633">
            <w:pPr>
              <w:spacing w:line="240" w:lineRule="auto"/>
              <w:rPr>
                <w:sz w:val="20"/>
              </w:rPr>
            </w:pPr>
            <w:r w:rsidRPr="00A02633">
              <w:rPr>
                <w:sz w:val="20"/>
              </w:rPr>
              <w:t>Feasible</w:t>
            </w:r>
          </w:p>
        </w:tc>
        <w:tc>
          <w:tcPr>
            <w:tcW w:w="1995" w:type="dxa"/>
            <w:vAlign w:val="center"/>
          </w:tcPr>
          <w:p w14:paraId="5D1FEC32" w14:textId="2A1038E3" w:rsidR="002977D5" w:rsidRPr="00A02633" w:rsidRDefault="001C69A6" w:rsidP="001C69A6">
            <w:pPr>
              <w:spacing w:line="240" w:lineRule="auto"/>
              <w:rPr>
                <w:sz w:val="20"/>
              </w:rPr>
            </w:pPr>
            <w:r>
              <w:rPr>
                <w:sz w:val="20"/>
                <w:lang w:eastAsia="en-GB"/>
              </w:rPr>
              <w:t>18</w:t>
            </w:r>
            <w:r w:rsidR="00A02633">
              <w:rPr>
                <w:sz w:val="20"/>
                <w:lang w:eastAsia="en-GB"/>
              </w:rPr>
              <w:t>.</w:t>
            </w:r>
            <w:r>
              <w:rPr>
                <w:sz w:val="20"/>
                <w:lang w:eastAsia="en-GB"/>
              </w:rPr>
              <w:t>7</w:t>
            </w:r>
            <w:r w:rsidR="002666F9" w:rsidRPr="00A02633">
              <w:rPr>
                <w:sz w:val="20"/>
                <w:lang w:eastAsia="en-GB"/>
              </w:rPr>
              <w:t xml:space="preserve"> (</w:t>
            </w:r>
            <w:r>
              <w:rPr>
                <w:sz w:val="20"/>
                <w:lang w:eastAsia="en-GB"/>
              </w:rPr>
              <w:t>8</w:t>
            </w:r>
            <w:r w:rsidR="00A02633">
              <w:rPr>
                <w:sz w:val="20"/>
                <w:lang w:eastAsia="en-GB"/>
              </w:rPr>
              <w:t>.</w:t>
            </w:r>
            <w:r>
              <w:rPr>
                <w:sz w:val="20"/>
                <w:lang w:eastAsia="en-GB"/>
              </w:rPr>
              <w:t>0</w:t>
            </w:r>
            <w:r w:rsidR="00012180" w:rsidRPr="00A02633">
              <w:rPr>
                <w:sz w:val="20"/>
                <w:lang w:eastAsia="en-GB"/>
              </w:rPr>
              <w:t xml:space="preserve"> to </w:t>
            </w:r>
            <w:r>
              <w:rPr>
                <w:sz w:val="20"/>
                <w:lang w:eastAsia="en-GB"/>
              </w:rPr>
              <w:t>29</w:t>
            </w:r>
            <w:r w:rsidR="00A02633">
              <w:rPr>
                <w:sz w:val="20"/>
                <w:lang w:eastAsia="en-GB"/>
              </w:rPr>
              <w:t>.</w:t>
            </w:r>
            <w:r>
              <w:rPr>
                <w:sz w:val="20"/>
                <w:lang w:eastAsia="en-GB"/>
              </w:rPr>
              <w:t>5</w:t>
            </w:r>
            <w:r w:rsidR="00B82528">
              <w:rPr>
                <w:sz w:val="20"/>
                <w:lang w:eastAsia="en-GB"/>
              </w:rPr>
              <w:t xml:space="preserve">; Ps = </w:t>
            </w:r>
            <w:r w:rsidR="00883A8E">
              <w:rPr>
                <w:sz w:val="20"/>
                <w:lang w:eastAsia="en-GB"/>
              </w:rPr>
              <w:t>9</w:t>
            </w:r>
            <w:r>
              <w:rPr>
                <w:sz w:val="20"/>
                <w:lang w:eastAsia="en-GB"/>
              </w:rPr>
              <w:t>0</w:t>
            </w:r>
            <w:r w:rsidR="00B82528">
              <w:rPr>
                <w:sz w:val="20"/>
                <w:lang w:eastAsia="en-GB"/>
              </w:rPr>
              <w:t>%</w:t>
            </w:r>
            <w:r w:rsidR="002666F9" w:rsidRPr="00A02633">
              <w:rPr>
                <w:sz w:val="20"/>
                <w:lang w:eastAsia="en-GB"/>
              </w:rPr>
              <w:t>)</w:t>
            </w:r>
          </w:p>
        </w:tc>
        <w:tc>
          <w:tcPr>
            <w:tcW w:w="1995" w:type="dxa"/>
            <w:vAlign w:val="center"/>
          </w:tcPr>
          <w:p w14:paraId="2CB52B9B" w14:textId="6E628E4E" w:rsidR="002977D5" w:rsidRPr="00A02633" w:rsidRDefault="001C69A6" w:rsidP="00325DE2">
            <w:pPr>
              <w:spacing w:line="240" w:lineRule="auto"/>
              <w:rPr>
                <w:sz w:val="20"/>
              </w:rPr>
            </w:pPr>
            <w:r>
              <w:rPr>
                <w:sz w:val="20"/>
                <w:lang w:eastAsia="en-GB"/>
              </w:rPr>
              <w:t>3</w:t>
            </w:r>
            <w:r w:rsidR="00BC053D">
              <w:rPr>
                <w:sz w:val="20"/>
                <w:lang w:eastAsia="en-GB"/>
              </w:rPr>
              <w:t>.</w:t>
            </w:r>
            <w:r>
              <w:rPr>
                <w:sz w:val="20"/>
                <w:lang w:eastAsia="en-GB"/>
              </w:rPr>
              <w:t>6</w:t>
            </w:r>
            <w:r w:rsidR="002666F9" w:rsidRPr="00A02633">
              <w:rPr>
                <w:sz w:val="20"/>
                <w:lang w:eastAsia="en-GB"/>
              </w:rPr>
              <w:t xml:space="preserve"> (</w:t>
            </w:r>
            <w:r w:rsidR="00325DE2">
              <w:rPr>
                <w:sz w:val="20"/>
                <w:lang w:eastAsia="en-GB"/>
              </w:rPr>
              <w:t>-0.4</w:t>
            </w:r>
            <w:r w:rsidR="002666F9" w:rsidRPr="00A02633">
              <w:rPr>
                <w:sz w:val="20"/>
                <w:lang w:eastAsia="en-GB"/>
              </w:rPr>
              <w:t xml:space="preserve"> to </w:t>
            </w:r>
            <w:r w:rsidR="00325DE2">
              <w:rPr>
                <w:sz w:val="20"/>
                <w:lang w:eastAsia="en-GB"/>
              </w:rPr>
              <w:t>8.1</w:t>
            </w:r>
            <w:r w:rsidR="00B82528">
              <w:rPr>
                <w:sz w:val="20"/>
                <w:lang w:eastAsia="en-GB"/>
              </w:rPr>
              <w:t xml:space="preserve">; Ps = </w:t>
            </w:r>
            <w:r w:rsidR="00325DE2">
              <w:rPr>
                <w:sz w:val="20"/>
                <w:lang w:eastAsia="en-GB"/>
              </w:rPr>
              <w:t>72</w:t>
            </w:r>
            <w:r w:rsidR="00B82528">
              <w:rPr>
                <w:sz w:val="20"/>
                <w:lang w:eastAsia="en-GB"/>
              </w:rPr>
              <w:t>%</w:t>
            </w:r>
            <w:r w:rsidR="002666F9" w:rsidRPr="00A02633">
              <w:rPr>
                <w:sz w:val="20"/>
                <w:lang w:eastAsia="en-GB"/>
              </w:rPr>
              <w:t>)</w:t>
            </w:r>
          </w:p>
        </w:tc>
        <w:tc>
          <w:tcPr>
            <w:tcW w:w="1995" w:type="dxa"/>
            <w:vAlign w:val="center"/>
          </w:tcPr>
          <w:p w14:paraId="3D56B34C" w14:textId="17DF4873" w:rsidR="002977D5" w:rsidRPr="00A02633" w:rsidRDefault="001C69A6" w:rsidP="001C69A6">
            <w:pPr>
              <w:spacing w:line="240" w:lineRule="auto"/>
              <w:rPr>
                <w:sz w:val="20"/>
              </w:rPr>
            </w:pPr>
            <w:r>
              <w:rPr>
                <w:sz w:val="20"/>
                <w:lang w:eastAsia="en-GB"/>
              </w:rPr>
              <w:t>1</w:t>
            </w:r>
            <w:r w:rsidR="00BC053D">
              <w:rPr>
                <w:sz w:val="20"/>
                <w:lang w:eastAsia="en-GB"/>
              </w:rPr>
              <w:t>.</w:t>
            </w:r>
            <w:r>
              <w:rPr>
                <w:sz w:val="20"/>
                <w:lang w:eastAsia="en-GB"/>
              </w:rPr>
              <w:t>2</w:t>
            </w:r>
            <w:r w:rsidR="002666F9" w:rsidRPr="00A02633">
              <w:rPr>
                <w:sz w:val="20"/>
                <w:lang w:eastAsia="en-GB"/>
              </w:rPr>
              <w:t xml:space="preserve"> (</w:t>
            </w:r>
            <w:r>
              <w:rPr>
                <w:sz w:val="20"/>
                <w:lang w:eastAsia="en-GB"/>
              </w:rPr>
              <w:t>-</w:t>
            </w:r>
            <w:r w:rsidR="00EA2447">
              <w:rPr>
                <w:sz w:val="20"/>
                <w:lang w:eastAsia="en-GB"/>
              </w:rPr>
              <w:t>0.</w:t>
            </w:r>
            <w:r>
              <w:rPr>
                <w:sz w:val="20"/>
                <w:lang w:eastAsia="en-GB"/>
              </w:rPr>
              <w:t>2</w:t>
            </w:r>
            <w:r w:rsidR="00EA2447">
              <w:rPr>
                <w:sz w:val="20"/>
                <w:lang w:eastAsia="en-GB"/>
              </w:rPr>
              <w:t xml:space="preserve"> </w:t>
            </w:r>
            <w:r w:rsidR="002666F9" w:rsidRPr="00A02633">
              <w:rPr>
                <w:sz w:val="20"/>
                <w:lang w:eastAsia="en-GB"/>
              </w:rPr>
              <w:t xml:space="preserve">to </w:t>
            </w:r>
            <w:r>
              <w:rPr>
                <w:sz w:val="20"/>
                <w:lang w:eastAsia="en-GB"/>
              </w:rPr>
              <w:t>3</w:t>
            </w:r>
            <w:r w:rsidR="00BC053D">
              <w:rPr>
                <w:sz w:val="20"/>
                <w:lang w:eastAsia="en-GB"/>
              </w:rPr>
              <w:t>.</w:t>
            </w:r>
            <w:r>
              <w:rPr>
                <w:sz w:val="20"/>
                <w:lang w:eastAsia="en-GB"/>
              </w:rPr>
              <w:t>0</w:t>
            </w:r>
            <w:r w:rsidR="00B82528">
              <w:rPr>
                <w:sz w:val="20"/>
                <w:lang w:eastAsia="en-GB"/>
              </w:rPr>
              <w:t xml:space="preserve">; Ps = </w:t>
            </w:r>
            <w:r>
              <w:rPr>
                <w:sz w:val="20"/>
                <w:lang w:eastAsia="en-GB"/>
              </w:rPr>
              <w:t>72</w:t>
            </w:r>
            <w:r w:rsidR="00B82528">
              <w:rPr>
                <w:sz w:val="20"/>
                <w:lang w:eastAsia="en-GB"/>
              </w:rPr>
              <w:t>%</w:t>
            </w:r>
            <w:r w:rsidR="002666F9" w:rsidRPr="00A02633">
              <w:rPr>
                <w:sz w:val="20"/>
                <w:lang w:eastAsia="en-GB"/>
              </w:rPr>
              <w:t>)</w:t>
            </w:r>
          </w:p>
        </w:tc>
        <w:tc>
          <w:tcPr>
            <w:tcW w:w="1995" w:type="dxa"/>
            <w:vAlign w:val="center"/>
          </w:tcPr>
          <w:p w14:paraId="42294A38" w14:textId="097C777D" w:rsidR="002977D5" w:rsidRPr="00A02633" w:rsidRDefault="00325DE2" w:rsidP="00325DE2">
            <w:pPr>
              <w:spacing w:line="240" w:lineRule="auto"/>
              <w:rPr>
                <w:sz w:val="20"/>
              </w:rPr>
            </w:pPr>
            <w:r>
              <w:rPr>
                <w:sz w:val="20"/>
                <w:lang w:eastAsia="en-GB"/>
              </w:rPr>
              <w:t>0.7</w:t>
            </w:r>
            <w:r w:rsidR="002666F9" w:rsidRPr="00A02633">
              <w:rPr>
                <w:sz w:val="20"/>
                <w:lang w:eastAsia="en-GB"/>
              </w:rPr>
              <w:t xml:space="preserve"> (</w:t>
            </w:r>
            <w:r w:rsidR="00BC053D">
              <w:rPr>
                <w:sz w:val="20"/>
                <w:lang w:eastAsia="en-GB"/>
              </w:rPr>
              <w:t>-</w:t>
            </w:r>
            <w:r w:rsidR="004553A7">
              <w:rPr>
                <w:sz w:val="20"/>
                <w:lang w:eastAsia="en-GB"/>
              </w:rPr>
              <w:t>0</w:t>
            </w:r>
            <w:r w:rsidR="00BC053D">
              <w:rPr>
                <w:sz w:val="20"/>
                <w:lang w:eastAsia="en-GB"/>
              </w:rPr>
              <w:t>.</w:t>
            </w:r>
            <w:r>
              <w:rPr>
                <w:sz w:val="20"/>
                <w:lang w:eastAsia="en-GB"/>
              </w:rPr>
              <w:t>9</w:t>
            </w:r>
            <w:r w:rsidR="002666F9" w:rsidRPr="00A02633">
              <w:rPr>
                <w:sz w:val="20"/>
                <w:lang w:eastAsia="en-GB"/>
              </w:rPr>
              <w:t xml:space="preserve"> to </w:t>
            </w:r>
            <w:r>
              <w:rPr>
                <w:sz w:val="20"/>
                <w:lang w:eastAsia="en-GB"/>
              </w:rPr>
              <w:t>2</w:t>
            </w:r>
            <w:r w:rsidR="00BC053D">
              <w:rPr>
                <w:sz w:val="20"/>
                <w:lang w:eastAsia="en-GB"/>
              </w:rPr>
              <w:t>.</w:t>
            </w:r>
            <w:r>
              <w:rPr>
                <w:sz w:val="20"/>
                <w:lang w:eastAsia="en-GB"/>
              </w:rPr>
              <w:t>3</w:t>
            </w:r>
            <w:r w:rsidR="00CC1B7C">
              <w:rPr>
                <w:sz w:val="20"/>
                <w:lang w:eastAsia="en-GB"/>
              </w:rPr>
              <w:t xml:space="preserve">; Ps = </w:t>
            </w:r>
            <w:r>
              <w:rPr>
                <w:sz w:val="20"/>
                <w:lang w:eastAsia="en-GB"/>
              </w:rPr>
              <w:t>63</w:t>
            </w:r>
            <w:r w:rsidR="00CC1B7C">
              <w:rPr>
                <w:sz w:val="20"/>
                <w:lang w:eastAsia="en-GB"/>
              </w:rPr>
              <w:t>%</w:t>
            </w:r>
            <w:r w:rsidR="002666F9" w:rsidRPr="00A02633">
              <w:rPr>
                <w:sz w:val="20"/>
                <w:lang w:eastAsia="en-GB"/>
              </w:rPr>
              <w:t>)</w:t>
            </w:r>
          </w:p>
        </w:tc>
      </w:tr>
      <w:tr w:rsidR="002977D5" w:rsidRPr="00A02633" w14:paraId="3BA94B12" w14:textId="77777777" w:rsidTr="00E50A57">
        <w:tc>
          <w:tcPr>
            <w:tcW w:w="1988" w:type="dxa"/>
            <w:vAlign w:val="center"/>
          </w:tcPr>
          <w:p w14:paraId="3BBF0BC0" w14:textId="77777777" w:rsidR="002977D5" w:rsidRPr="00A02633" w:rsidRDefault="002666F9" w:rsidP="00A02633">
            <w:pPr>
              <w:spacing w:line="240" w:lineRule="auto"/>
              <w:rPr>
                <w:sz w:val="20"/>
              </w:rPr>
            </w:pPr>
            <w:r w:rsidRPr="00A02633">
              <w:rPr>
                <w:sz w:val="20"/>
              </w:rPr>
              <w:t>Ideal</w:t>
            </w:r>
          </w:p>
        </w:tc>
        <w:tc>
          <w:tcPr>
            <w:tcW w:w="1995" w:type="dxa"/>
            <w:vAlign w:val="center"/>
          </w:tcPr>
          <w:p w14:paraId="2B328976" w14:textId="2556577C" w:rsidR="002977D5" w:rsidRPr="00A02633" w:rsidRDefault="00325DE2" w:rsidP="00325DE2">
            <w:pPr>
              <w:spacing w:line="240" w:lineRule="auto"/>
              <w:rPr>
                <w:sz w:val="20"/>
              </w:rPr>
            </w:pPr>
            <w:r>
              <w:rPr>
                <w:sz w:val="20"/>
                <w:lang w:eastAsia="en-GB"/>
              </w:rPr>
              <w:t>73.2</w:t>
            </w:r>
            <w:r w:rsidR="002666F9" w:rsidRPr="00A02633">
              <w:rPr>
                <w:sz w:val="20"/>
                <w:lang w:eastAsia="en-GB"/>
              </w:rPr>
              <w:t xml:space="preserve"> (</w:t>
            </w:r>
            <w:r>
              <w:rPr>
                <w:sz w:val="20"/>
                <w:lang w:eastAsia="en-GB"/>
              </w:rPr>
              <w:t>53</w:t>
            </w:r>
            <w:r w:rsidR="00BC053D">
              <w:rPr>
                <w:sz w:val="20"/>
                <w:lang w:eastAsia="en-GB"/>
              </w:rPr>
              <w:t>.</w:t>
            </w:r>
            <w:r>
              <w:rPr>
                <w:sz w:val="20"/>
                <w:lang w:eastAsia="en-GB"/>
              </w:rPr>
              <w:t>9</w:t>
            </w:r>
            <w:r w:rsidR="002666F9" w:rsidRPr="00A02633">
              <w:rPr>
                <w:sz w:val="20"/>
                <w:lang w:eastAsia="en-GB"/>
              </w:rPr>
              <w:t xml:space="preserve"> to </w:t>
            </w:r>
            <w:r w:rsidR="004553A7">
              <w:rPr>
                <w:sz w:val="20"/>
                <w:lang w:eastAsia="en-GB"/>
              </w:rPr>
              <w:t>9</w:t>
            </w:r>
            <w:r>
              <w:rPr>
                <w:sz w:val="20"/>
                <w:lang w:eastAsia="en-GB"/>
              </w:rPr>
              <w:t>4</w:t>
            </w:r>
            <w:r w:rsidR="00BC053D">
              <w:rPr>
                <w:sz w:val="20"/>
                <w:lang w:eastAsia="en-GB"/>
              </w:rPr>
              <w:t>.</w:t>
            </w:r>
            <w:r>
              <w:rPr>
                <w:sz w:val="20"/>
                <w:lang w:eastAsia="en-GB"/>
              </w:rPr>
              <w:t>3</w:t>
            </w:r>
            <w:r w:rsidR="004553A7">
              <w:rPr>
                <w:sz w:val="20"/>
                <w:lang w:eastAsia="en-GB"/>
              </w:rPr>
              <w:t>; Ps = 100</w:t>
            </w:r>
            <w:r w:rsidR="00B82528">
              <w:rPr>
                <w:sz w:val="20"/>
                <w:lang w:eastAsia="en-GB"/>
              </w:rPr>
              <w:t>%</w:t>
            </w:r>
            <w:r w:rsidR="002666F9" w:rsidRPr="00A02633">
              <w:rPr>
                <w:sz w:val="20"/>
                <w:lang w:eastAsia="en-GB"/>
              </w:rPr>
              <w:t>)</w:t>
            </w:r>
          </w:p>
        </w:tc>
        <w:tc>
          <w:tcPr>
            <w:tcW w:w="1995" w:type="dxa"/>
            <w:vAlign w:val="center"/>
          </w:tcPr>
          <w:p w14:paraId="4CD03CFF" w14:textId="7E6DD5E9" w:rsidR="002977D5" w:rsidRPr="00A02633" w:rsidRDefault="004553A7" w:rsidP="004553A7">
            <w:pPr>
              <w:spacing w:line="240" w:lineRule="auto"/>
              <w:rPr>
                <w:sz w:val="20"/>
              </w:rPr>
            </w:pPr>
            <w:r>
              <w:rPr>
                <w:sz w:val="20"/>
              </w:rPr>
              <w:t>1</w:t>
            </w:r>
            <w:r w:rsidR="00325DE2">
              <w:rPr>
                <w:sz w:val="20"/>
              </w:rPr>
              <w:t>1</w:t>
            </w:r>
            <w:r w:rsidR="00BC053D">
              <w:rPr>
                <w:sz w:val="20"/>
              </w:rPr>
              <w:t>.</w:t>
            </w:r>
            <w:r w:rsidR="00325DE2">
              <w:rPr>
                <w:sz w:val="20"/>
              </w:rPr>
              <w:t>0</w:t>
            </w:r>
            <w:r w:rsidR="002666F9" w:rsidRPr="00A02633">
              <w:rPr>
                <w:sz w:val="20"/>
              </w:rPr>
              <w:t xml:space="preserve"> (</w:t>
            </w:r>
            <w:r w:rsidR="00325DE2">
              <w:rPr>
                <w:sz w:val="20"/>
              </w:rPr>
              <w:t>6.5</w:t>
            </w:r>
            <w:r w:rsidR="00B61C6B" w:rsidRPr="00A02633">
              <w:rPr>
                <w:sz w:val="20"/>
              </w:rPr>
              <w:t xml:space="preserve"> to </w:t>
            </w:r>
            <w:r w:rsidR="00325DE2">
              <w:rPr>
                <w:sz w:val="20"/>
              </w:rPr>
              <w:t>16.1</w:t>
            </w:r>
            <w:r w:rsidR="00B82528">
              <w:rPr>
                <w:sz w:val="20"/>
              </w:rPr>
              <w:t xml:space="preserve">; Ps = </w:t>
            </w:r>
            <w:r w:rsidR="00325DE2">
              <w:rPr>
                <w:sz w:val="20"/>
              </w:rPr>
              <w:t>95</w:t>
            </w:r>
            <w:r w:rsidR="00B82528">
              <w:rPr>
                <w:sz w:val="20"/>
              </w:rPr>
              <w:t>%</w:t>
            </w:r>
            <w:r w:rsidR="002977D5" w:rsidRPr="00A02633">
              <w:rPr>
                <w:sz w:val="20"/>
              </w:rPr>
              <w:t>)</w:t>
            </w:r>
          </w:p>
        </w:tc>
        <w:tc>
          <w:tcPr>
            <w:tcW w:w="1995" w:type="dxa"/>
            <w:vAlign w:val="center"/>
          </w:tcPr>
          <w:p w14:paraId="6BC0E743" w14:textId="2E4827E2" w:rsidR="002977D5" w:rsidRPr="00A02633" w:rsidRDefault="00325DE2" w:rsidP="00325DE2">
            <w:pPr>
              <w:spacing w:line="240" w:lineRule="auto"/>
              <w:rPr>
                <w:sz w:val="20"/>
              </w:rPr>
            </w:pPr>
            <w:r>
              <w:rPr>
                <w:sz w:val="20"/>
              </w:rPr>
              <w:t>6.3</w:t>
            </w:r>
            <w:r w:rsidR="002666F9" w:rsidRPr="00A02633">
              <w:rPr>
                <w:sz w:val="20"/>
              </w:rPr>
              <w:t xml:space="preserve"> (</w:t>
            </w:r>
            <w:r>
              <w:rPr>
                <w:sz w:val="20"/>
              </w:rPr>
              <w:t>3.4</w:t>
            </w:r>
            <w:r w:rsidR="00BC053D">
              <w:rPr>
                <w:sz w:val="20"/>
              </w:rPr>
              <w:t xml:space="preserve"> </w:t>
            </w:r>
            <w:r w:rsidR="002666F9" w:rsidRPr="00A02633">
              <w:rPr>
                <w:sz w:val="20"/>
              </w:rPr>
              <w:t xml:space="preserve">to </w:t>
            </w:r>
            <w:r>
              <w:rPr>
                <w:sz w:val="20"/>
              </w:rPr>
              <w:t>9.6</w:t>
            </w:r>
            <w:r w:rsidR="00B82528">
              <w:rPr>
                <w:sz w:val="20"/>
              </w:rPr>
              <w:t xml:space="preserve">; Ps = </w:t>
            </w:r>
            <w:r w:rsidR="004553A7">
              <w:rPr>
                <w:sz w:val="20"/>
              </w:rPr>
              <w:t>9</w:t>
            </w:r>
            <w:r>
              <w:rPr>
                <w:sz w:val="20"/>
              </w:rPr>
              <w:t>4</w:t>
            </w:r>
            <w:r w:rsidR="00B82528">
              <w:rPr>
                <w:sz w:val="20"/>
              </w:rPr>
              <w:t>%</w:t>
            </w:r>
            <w:r w:rsidR="002666F9" w:rsidRPr="00A02633">
              <w:rPr>
                <w:sz w:val="20"/>
              </w:rPr>
              <w:t>)</w:t>
            </w:r>
          </w:p>
        </w:tc>
        <w:tc>
          <w:tcPr>
            <w:tcW w:w="1995" w:type="dxa"/>
            <w:vAlign w:val="center"/>
          </w:tcPr>
          <w:p w14:paraId="6274F35E" w14:textId="4D517314" w:rsidR="002977D5" w:rsidRPr="00A02633" w:rsidRDefault="004553A7" w:rsidP="00325DE2">
            <w:pPr>
              <w:spacing w:line="240" w:lineRule="auto"/>
              <w:rPr>
                <w:sz w:val="20"/>
              </w:rPr>
            </w:pPr>
            <w:r>
              <w:rPr>
                <w:sz w:val="20"/>
              </w:rPr>
              <w:t>3</w:t>
            </w:r>
            <w:r w:rsidR="00BC053D">
              <w:rPr>
                <w:sz w:val="20"/>
              </w:rPr>
              <w:t>.</w:t>
            </w:r>
            <w:r w:rsidR="00325DE2">
              <w:rPr>
                <w:sz w:val="20"/>
              </w:rPr>
              <w:t>1</w:t>
            </w:r>
            <w:r w:rsidR="002666F9" w:rsidRPr="00A02633">
              <w:rPr>
                <w:sz w:val="20"/>
              </w:rPr>
              <w:t xml:space="preserve"> (</w:t>
            </w:r>
            <w:r>
              <w:rPr>
                <w:sz w:val="20"/>
              </w:rPr>
              <w:t>1</w:t>
            </w:r>
            <w:r w:rsidR="00BC053D">
              <w:rPr>
                <w:sz w:val="20"/>
              </w:rPr>
              <w:t>.</w:t>
            </w:r>
            <w:r w:rsidR="00325DE2">
              <w:rPr>
                <w:sz w:val="20"/>
              </w:rPr>
              <w:t>1</w:t>
            </w:r>
            <w:r w:rsidR="002666F9" w:rsidRPr="00A02633">
              <w:rPr>
                <w:sz w:val="20"/>
              </w:rPr>
              <w:t xml:space="preserve"> to </w:t>
            </w:r>
            <w:r>
              <w:rPr>
                <w:sz w:val="20"/>
              </w:rPr>
              <w:t>5</w:t>
            </w:r>
            <w:r w:rsidR="00BC053D">
              <w:rPr>
                <w:sz w:val="20"/>
              </w:rPr>
              <w:t>.</w:t>
            </w:r>
            <w:r w:rsidR="00325DE2">
              <w:rPr>
                <w:sz w:val="20"/>
              </w:rPr>
              <w:t>1</w:t>
            </w:r>
            <w:r w:rsidR="00B82528">
              <w:rPr>
                <w:sz w:val="20"/>
              </w:rPr>
              <w:t xml:space="preserve">; Ps = </w:t>
            </w:r>
            <w:r>
              <w:rPr>
                <w:sz w:val="20"/>
              </w:rPr>
              <w:t>86</w:t>
            </w:r>
            <w:r w:rsidR="00B82528">
              <w:rPr>
                <w:sz w:val="20"/>
              </w:rPr>
              <w:t>%</w:t>
            </w:r>
            <w:r w:rsidR="002666F9" w:rsidRPr="00A02633">
              <w:rPr>
                <w:sz w:val="20"/>
              </w:rPr>
              <w:t>)</w:t>
            </w:r>
          </w:p>
        </w:tc>
      </w:tr>
      <w:tr w:rsidR="00E50A57" w:rsidRPr="00A02633" w14:paraId="13F5B841" w14:textId="77777777" w:rsidTr="009E7C87">
        <w:tc>
          <w:tcPr>
            <w:tcW w:w="9968" w:type="dxa"/>
            <w:gridSpan w:val="5"/>
            <w:vAlign w:val="center"/>
          </w:tcPr>
          <w:p w14:paraId="50CE4339" w14:textId="4809E7DE" w:rsidR="00E50A57" w:rsidRDefault="00E50A57" w:rsidP="00CF1706">
            <w:pPr>
              <w:spacing w:line="240" w:lineRule="auto"/>
              <w:rPr>
                <w:sz w:val="20"/>
              </w:rPr>
            </w:pPr>
            <w:r w:rsidRPr="00E50A57">
              <w:rPr>
                <w:sz w:val="20"/>
              </w:rPr>
              <w:t xml:space="preserve">Compared to the current policy projections for 2015 to </w:t>
            </w:r>
            <w:r w:rsidR="009F48AD">
              <w:rPr>
                <w:sz w:val="20"/>
              </w:rPr>
              <w:t>2030</w:t>
            </w:r>
            <w:r w:rsidRPr="00E50A57">
              <w:rPr>
                <w:sz w:val="20"/>
              </w:rPr>
              <w:t>. Brackets contain the respective interquartile ranges and the probability of superiority (Ps).</w:t>
            </w:r>
          </w:p>
        </w:tc>
      </w:tr>
    </w:tbl>
    <w:p w14:paraId="68B1B6EC" w14:textId="77777777" w:rsidR="002977D5" w:rsidRDefault="002977D5" w:rsidP="00AC0B1E">
      <w:pPr>
        <w:rPr>
          <w:lang w:eastAsia="en-GB"/>
        </w:rPr>
      </w:pPr>
    </w:p>
    <w:p w14:paraId="04C35D38" w14:textId="3956BAAB" w:rsidR="00081FBF" w:rsidRDefault="00081FBF" w:rsidP="00AC0B1E">
      <w:pPr>
        <w:pStyle w:val="Caption"/>
      </w:pPr>
      <w:bookmarkStart w:id="4" w:name="_Ref432168311"/>
      <w:r>
        <w:t xml:space="preserve">Table </w:t>
      </w:r>
      <w:r w:rsidR="00A532AE">
        <w:fldChar w:fldCharType="begin"/>
      </w:r>
      <w:r w:rsidR="00A532AE">
        <w:instrText xml:space="preserve"> SEQ Table \* ARABIC </w:instrText>
      </w:r>
      <w:r w:rsidR="00A532AE">
        <w:fldChar w:fldCharType="separate"/>
      </w:r>
      <w:r w:rsidR="004F3777">
        <w:rPr>
          <w:noProof/>
        </w:rPr>
        <w:t>4</w:t>
      </w:r>
      <w:r w:rsidR="00A532AE">
        <w:rPr>
          <w:noProof/>
        </w:rPr>
        <w:fldChar w:fldCharType="end"/>
      </w:r>
      <w:bookmarkEnd w:id="4"/>
      <w:r>
        <w:t xml:space="preserve">. </w:t>
      </w:r>
      <w:r w:rsidR="00566088">
        <w:rPr>
          <w:noProof/>
        </w:rPr>
        <w:t>The a</w:t>
      </w:r>
      <w:r w:rsidRPr="00566088">
        <w:rPr>
          <w:noProof/>
        </w:rPr>
        <w:t>dditional</w:t>
      </w:r>
      <w:r>
        <w:t xml:space="preserve"> effectiveness of structural policies compared </w:t>
      </w:r>
      <w:r w:rsidR="00A32C1F">
        <w:t>to</w:t>
      </w:r>
      <w:r>
        <w:t xml:space="preserve"> the ‘</w:t>
      </w:r>
      <w:r w:rsidR="00C83A51">
        <w:t>c</w:t>
      </w:r>
      <w:r>
        <w:t xml:space="preserve">urrent </w:t>
      </w:r>
      <w:r w:rsidR="00C83A51">
        <w:t>p</w:t>
      </w:r>
      <w:r>
        <w:t xml:space="preserve">olicy’ scenario by quantile group of </w:t>
      </w:r>
      <w:r w:rsidR="00F87CCF" w:rsidRPr="00F87CCF">
        <w:t>Index of Multiple Deprivation</w:t>
      </w:r>
      <w:r>
        <w:t xml:space="preserve"> (QIMD). </w:t>
      </w:r>
    </w:p>
    <w:tbl>
      <w:tblPr>
        <w:tblStyle w:val="TableGrid"/>
        <w:tblW w:w="0" w:type="auto"/>
        <w:tblLook w:val="04A0" w:firstRow="1" w:lastRow="0" w:firstColumn="1" w:lastColumn="0" w:noHBand="0" w:noVBand="1"/>
      </w:tblPr>
      <w:tblGrid>
        <w:gridCol w:w="1928"/>
        <w:gridCol w:w="1935"/>
        <w:gridCol w:w="2071"/>
        <w:gridCol w:w="2073"/>
        <w:gridCol w:w="1961"/>
      </w:tblGrid>
      <w:tr w:rsidR="00652CC1" w:rsidRPr="008939D4" w14:paraId="03312080" w14:textId="77777777" w:rsidTr="00E50A57">
        <w:tc>
          <w:tcPr>
            <w:tcW w:w="1928" w:type="dxa"/>
            <w:vAlign w:val="center"/>
          </w:tcPr>
          <w:p w14:paraId="55DBECE2" w14:textId="77777777" w:rsidR="00652CC1" w:rsidRPr="008939D4" w:rsidRDefault="00264F9A" w:rsidP="008939D4">
            <w:pPr>
              <w:spacing w:line="240" w:lineRule="auto"/>
              <w:rPr>
                <w:sz w:val="20"/>
                <w:szCs w:val="20"/>
              </w:rPr>
            </w:pPr>
            <w:r w:rsidRPr="008939D4">
              <w:rPr>
                <w:sz w:val="20"/>
                <w:szCs w:val="20"/>
              </w:rPr>
              <w:t>‘Feasible’ scenario</w:t>
            </w:r>
          </w:p>
        </w:tc>
        <w:tc>
          <w:tcPr>
            <w:tcW w:w="4006" w:type="dxa"/>
            <w:gridSpan w:val="2"/>
            <w:vAlign w:val="bottom"/>
          </w:tcPr>
          <w:p w14:paraId="711B7523" w14:textId="77777777" w:rsidR="00652CC1" w:rsidRPr="008939D4" w:rsidRDefault="00652CC1" w:rsidP="008939D4">
            <w:pPr>
              <w:spacing w:line="240" w:lineRule="auto"/>
              <w:rPr>
                <w:sz w:val="20"/>
                <w:szCs w:val="20"/>
              </w:rPr>
            </w:pPr>
            <w:r w:rsidRPr="008939D4">
              <w:rPr>
                <w:sz w:val="20"/>
                <w:szCs w:val="20"/>
              </w:rPr>
              <w:t>CPP absolute reduction in thousands</w:t>
            </w:r>
          </w:p>
        </w:tc>
        <w:tc>
          <w:tcPr>
            <w:tcW w:w="4034" w:type="dxa"/>
            <w:gridSpan w:val="2"/>
            <w:vAlign w:val="bottom"/>
          </w:tcPr>
          <w:p w14:paraId="4569B427" w14:textId="77777777" w:rsidR="00652CC1" w:rsidRPr="008939D4" w:rsidRDefault="00652CC1" w:rsidP="008939D4">
            <w:pPr>
              <w:spacing w:line="240" w:lineRule="auto"/>
              <w:rPr>
                <w:sz w:val="20"/>
                <w:szCs w:val="20"/>
              </w:rPr>
            </w:pPr>
            <w:r w:rsidRPr="008939D4">
              <w:rPr>
                <w:sz w:val="20"/>
                <w:szCs w:val="20"/>
              </w:rPr>
              <w:t>CPP relative percentage reduction</w:t>
            </w:r>
          </w:p>
        </w:tc>
      </w:tr>
      <w:tr w:rsidR="00934EBF" w:rsidRPr="008939D4" w14:paraId="28671251" w14:textId="77777777" w:rsidTr="00E50A57">
        <w:tc>
          <w:tcPr>
            <w:tcW w:w="1928" w:type="dxa"/>
            <w:vAlign w:val="center"/>
          </w:tcPr>
          <w:p w14:paraId="0EB88A4C" w14:textId="77777777" w:rsidR="00652CC1" w:rsidRPr="008939D4" w:rsidRDefault="00652CC1" w:rsidP="008939D4">
            <w:pPr>
              <w:spacing w:line="240" w:lineRule="auto"/>
              <w:rPr>
                <w:sz w:val="20"/>
                <w:szCs w:val="20"/>
              </w:rPr>
            </w:pPr>
            <w:r w:rsidRPr="008939D4">
              <w:rPr>
                <w:sz w:val="20"/>
                <w:szCs w:val="20"/>
              </w:rPr>
              <w:t>QIMD</w:t>
            </w:r>
          </w:p>
        </w:tc>
        <w:tc>
          <w:tcPr>
            <w:tcW w:w="1935" w:type="dxa"/>
            <w:vAlign w:val="center"/>
          </w:tcPr>
          <w:p w14:paraId="589E3723" w14:textId="77777777" w:rsidR="00652CC1" w:rsidRPr="008939D4" w:rsidRDefault="00652CC1" w:rsidP="008939D4">
            <w:pPr>
              <w:spacing w:line="240" w:lineRule="auto"/>
              <w:rPr>
                <w:sz w:val="20"/>
                <w:szCs w:val="20"/>
              </w:rPr>
            </w:pPr>
            <w:r w:rsidRPr="008939D4">
              <w:rPr>
                <w:sz w:val="20"/>
                <w:szCs w:val="20"/>
              </w:rPr>
              <w:t xml:space="preserve">CVD </w:t>
            </w:r>
          </w:p>
        </w:tc>
        <w:tc>
          <w:tcPr>
            <w:tcW w:w="2071" w:type="dxa"/>
            <w:vAlign w:val="center"/>
          </w:tcPr>
          <w:p w14:paraId="48B62D07" w14:textId="77777777" w:rsidR="00652CC1" w:rsidRPr="008939D4" w:rsidRDefault="00652CC1" w:rsidP="008939D4">
            <w:pPr>
              <w:spacing w:line="240" w:lineRule="auto"/>
              <w:rPr>
                <w:sz w:val="20"/>
                <w:szCs w:val="20"/>
              </w:rPr>
            </w:pPr>
            <w:r w:rsidRPr="008939D4">
              <w:rPr>
                <w:sz w:val="20"/>
                <w:szCs w:val="20"/>
              </w:rPr>
              <w:t xml:space="preserve">GCa </w:t>
            </w:r>
          </w:p>
        </w:tc>
        <w:tc>
          <w:tcPr>
            <w:tcW w:w="2073" w:type="dxa"/>
            <w:vAlign w:val="center"/>
          </w:tcPr>
          <w:p w14:paraId="0FEA544A" w14:textId="77777777" w:rsidR="00652CC1" w:rsidRPr="008939D4" w:rsidRDefault="00652CC1" w:rsidP="008939D4">
            <w:pPr>
              <w:spacing w:line="240" w:lineRule="auto"/>
              <w:rPr>
                <w:sz w:val="20"/>
                <w:szCs w:val="20"/>
              </w:rPr>
            </w:pPr>
            <w:r w:rsidRPr="008939D4">
              <w:rPr>
                <w:sz w:val="20"/>
                <w:szCs w:val="20"/>
              </w:rPr>
              <w:t>CVD</w:t>
            </w:r>
          </w:p>
        </w:tc>
        <w:tc>
          <w:tcPr>
            <w:tcW w:w="1961" w:type="dxa"/>
            <w:vAlign w:val="center"/>
          </w:tcPr>
          <w:p w14:paraId="2BB06031" w14:textId="77777777" w:rsidR="00652CC1" w:rsidRPr="008939D4" w:rsidRDefault="00652CC1" w:rsidP="008939D4">
            <w:pPr>
              <w:spacing w:line="240" w:lineRule="auto"/>
              <w:rPr>
                <w:sz w:val="20"/>
                <w:szCs w:val="20"/>
              </w:rPr>
            </w:pPr>
            <w:r w:rsidRPr="008939D4">
              <w:rPr>
                <w:sz w:val="20"/>
                <w:szCs w:val="20"/>
              </w:rPr>
              <w:t>GCa</w:t>
            </w:r>
          </w:p>
        </w:tc>
      </w:tr>
      <w:tr w:rsidR="00934EBF" w:rsidRPr="008939D4" w14:paraId="0A27C2A8" w14:textId="77777777" w:rsidTr="00E50A57">
        <w:tc>
          <w:tcPr>
            <w:tcW w:w="1928" w:type="dxa"/>
            <w:vAlign w:val="center"/>
          </w:tcPr>
          <w:p w14:paraId="15367117" w14:textId="77777777" w:rsidR="00652CC1" w:rsidRPr="008939D4" w:rsidRDefault="00652CC1" w:rsidP="008939D4">
            <w:pPr>
              <w:spacing w:line="240" w:lineRule="auto"/>
              <w:rPr>
                <w:sz w:val="20"/>
                <w:szCs w:val="20"/>
              </w:rPr>
            </w:pPr>
            <w:r w:rsidRPr="008939D4">
              <w:rPr>
                <w:sz w:val="20"/>
                <w:szCs w:val="20"/>
              </w:rPr>
              <w:t>1 (least deprived)</w:t>
            </w:r>
          </w:p>
        </w:tc>
        <w:tc>
          <w:tcPr>
            <w:tcW w:w="1935" w:type="dxa"/>
            <w:vAlign w:val="center"/>
          </w:tcPr>
          <w:p w14:paraId="649D33A7" w14:textId="42523451" w:rsidR="00652CC1" w:rsidRPr="008939D4" w:rsidRDefault="00B75D6F" w:rsidP="00577559">
            <w:pPr>
              <w:spacing w:line="240" w:lineRule="auto"/>
              <w:rPr>
                <w:sz w:val="20"/>
                <w:szCs w:val="20"/>
              </w:rPr>
            </w:pPr>
            <w:r>
              <w:rPr>
                <w:sz w:val="20"/>
                <w:szCs w:val="20"/>
              </w:rPr>
              <w:t>2</w:t>
            </w:r>
            <w:r w:rsidR="00402BE1">
              <w:rPr>
                <w:sz w:val="20"/>
                <w:szCs w:val="20"/>
              </w:rPr>
              <w:t>.</w:t>
            </w:r>
            <w:r w:rsidR="00577559">
              <w:rPr>
                <w:sz w:val="20"/>
                <w:szCs w:val="20"/>
              </w:rPr>
              <w:t>7</w:t>
            </w:r>
            <w:r w:rsidR="00652CC1" w:rsidRPr="008939D4">
              <w:rPr>
                <w:sz w:val="20"/>
                <w:szCs w:val="20"/>
              </w:rPr>
              <w:t xml:space="preserve"> (</w:t>
            </w:r>
            <w:r w:rsidR="006C45A9" w:rsidRPr="008939D4">
              <w:rPr>
                <w:sz w:val="20"/>
                <w:szCs w:val="20"/>
              </w:rPr>
              <w:t>-</w:t>
            </w:r>
            <w:r>
              <w:rPr>
                <w:sz w:val="20"/>
                <w:szCs w:val="20"/>
              </w:rPr>
              <w:t>1</w:t>
            </w:r>
            <w:r w:rsidR="006C45A9" w:rsidRPr="008939D4">
              <w:rPr>
                <w:sz w:val="20"/>
                <w:szCs w:val="20"/>
              </w:rPr>
              <w:t>.</w:t>
            </w:r>
            <w:r>
              <w:rPr>
                <w:sz w:val="20"/>
                <w:szCs w:val="20"/>
              </w:rPr>
              <w:t>0</w:t>
            </w:r>
            <w:r w:rsidR="00652CC1" w:rsidRPr="008939D4">
              <w:rPr>
                <w:sz w:val="20"/>
                <w:szCs w:val="20"/>
              </w:rPr>
              <w:t xml:space="preserve"> to </w:t>
            </w:r>
            <w:r>
              <w:rPr>
                <w:sz w:val="20"/>
                <w:szCs w:val="20"/>
              </w:rPr>
              <w:t>6</w:t>
            </w:r>
            <w:r w:rsidR="00402BE1">
              <w:rPr>
                <w:sz w:val="20"/>
                <w:szCs w:val="20"/>
              </w:rPr>
              <w:t>.</w:t>
            </w:r>
            <w:r w:rsidR="00577559">
              <w:rPr>
                <w:sz w:val="20"/>
                <w:szCs w:val="20"/>
              </w:rPr>
              <w:t>4</w:t>
            </w:r>
            <w:r w:rsidR="00652CC1" w:rsidRPr="008939D4">
              <w:rPr>
                <w:sz w:val="20"/>
                <w:szCs w:val="20"/>
              </w:rPr>
              <w:t>)</w:t>
            </w:r>
          </w:p>
        </w:tc>
        <w:tc>
          <w:tcPr>
            <w:tcW w:w="2071" w:type="dxa"/>
            <w:vAlign w:val="center"/>
          </w:tcPr>
          <w:p w14:paraId="7DD385A0" w14:textId="3186138F" w:rsidR="00652CC1" w:rsidRPr="008939D4" w:rsidRDefault="00D9055C" w:rsidP="007C0E1B">
            <w:pPr>
              <w:spacing w:line="240" w:lineRule="auto"/>
              <w:rPr>
                <w:sz w:val="20"/>
                <w:szCs w:val="20"/>
              </w:rPr>
            </w:pPr>
            <w:r w:rsidRPr="008939D4">
              <w:rPr>
                <w:sz w:val="20"/>
                <w:szCs w:val="20"/>
              </w:rPr>
              <w:t>0.</w:t>
            </w:r>
            <w:r w:rsidR="007C0E1B">
              <w:rPr>
                <w:sz w:val="20"/>
                <w:szCs w:val="20"/>
              </w:rPr>
              <w:t>3</w:t>
            </w:r>
            <w:r w:rsidR="00652CC1" w:rsidRPr="008939D4">
              <w:rPr>
                <w:sz w:val="20"/>
                <w:szCs w:val="20"/>
              </w:rPr>
              <w:t xml:space="preserve"> (</w:t>
            </w:r>
            <w:r w:rsidR="00F45730" w:rsidRPr="008939D4">
              <w:rPr>
                <w:sz w:val="20"/>
                <w:szCs w:val="20"/>
              </w:rPr>
              <w:t>-</w:t>
            </w:r>
            <w:r w:rsidR="001F63AD">
              <w:rPr>
                <w:sz w:val="20"/>
                <w:szCs w:val="20"/>
              </w:rPr>
              <w:t>0</w:t>
            </w:r>
            <w:r w:rsidRPr="008939D4">
              <w:rPr>
                <w:sz w:val="20"/>
                <w:szCs w:val="20"/>
              </w:rPr>
              <w:t>.</w:t>
            </w:r>
            <w:r w:rsidR="007C0E1B">
              <w:rPr>
                <w:sz w:val="20"/>
                <w:szCs w:val="20"/>
              </w:rPr>
              <w:t>7</w:t>
            </w:r>
            <w:r w:rsidR="00652CC1" w:rsidRPr="008939D4">
              <w:rPr>
                <w:sz w:val="20"/>
                <w:szCs w:val="20"/>
              </w:rPr>
              <w:t xml:space="preserve"> to </w:t>
            </w:r>
            <w:r w:rsidR="001F63AD">
              <w:rPr>
                <w:sz w:val="20"/>
                <w:szCs w:val="20"/>
              </w:rPr>
              <w:t>1</w:t>
            </w:r>
            <w:r w:rsidRPr="008939D4">
              <w:rPr>
                <w:sz w:val="20"/>
                <w:szCs w:val="20"/>
              </w:rPr>
              <w:t>.</w:t>
            </w:r>
            <w:r w:rsidR="007C0E1B">
              <w:rPr>
                <w:sz w:val="20"/>
                <w:szCs w:val="20"/>
              </w:rPr>
              <w:t>1</w:t>
            </w:r>
            <w:r w:rsidR="00652CC1" w:rsidRPr="008939D4">
              <w:rPr>
                <w:sz w:val="20"/>
                <w:szCs w:val="20"/>
              </w:rPr>
              <w:t>)</w:t>
            </w:r>
          </w:p>
        </w:tc>
        <w:tc>
          <w:tcPr>
            <w:tcW w:w="2073" w:type="dxa"/>
            <w:vAlign w:val="center"/>
          </w:tcPr>
          <w:p w14:paraId="36BA43E9" w14:textId="6C487B8C" w:rsidR="00652CC1" w:rsidRPr="008939D4" w:rsidRDefault="00652CC1" w:rsidP="001F63AD">
            <w:pPr>
              <w:spacing w:line="240" w:lineRule="auto"/>
              <w:rPr>
                <w:sz w:val="20"/>
                <w:szCs w:val="20"/>
              </w:rPr>
            </w:pPr>
            <w:r w:rsidRPr="008939D4">
              <w:rPr>
                <w:sz w:val="20"/>
                <w:szCs w:val="20"/>
              </w:rPr>
              <w:t>1.</w:t>
            </w:r>
            <w:r w:rsidR="001F63AD">
              <w:rPr>
                <w:sz w:val="20"/>
                <w:szCs w:val="20"/>
              </w:rPr>
              <w:t>6</w:t>
            </w:r>
            <w:r w:rsidRPr="008939D4">
              <w:rPr>
                <w:sz w:val="20"/>
                <w:szCs w:val="20"/>
              </w:rPr>
              <w:t>% (</w:t>
            </w:r>
            <w:r w:rsidR="00F45730" w:rsidRPr="008939D4">
              <w:rPr>
                <w:sz w:val="20"/>
                <w:szCs w:val="20"/>
              </w:rPr>
              <w:t>-</w:t>
            </w:r>
            <w:r w:rsidR="001F63AD">
              <w:rPr>
                <w:sz w:val="20"/>
                <w:szCs w:val="20"/>
              </w:rPr>
              <w:t>0</w:t>
            </w:r>
            <w:r w:rsidR="00F45730" w:rsidRPr="008939D4">
              <w:rPr>
                <w:sz w:val="20"/>
                <w:szCs w:val="20"/>
              </w:rPr>
              <w:t>.</w:t>
            </w:r>
            <w:r w:rsidR="001F63AD">
              <w:rPr>
                <w:sz w:val="20"/>
                <w:szCs w:val="20"/>
              </w:rPr>
              <w:t>5</w:t>
            </w:r>
            <w:r w:rsidR="00CF1706">
              <w:rPr>
                <w:sz w:val="20"/>
                <w:szCs w:val="20"/>
              </w:rPr>
              <w:t>%</w:t>
            </w:r>
            <w:r w:rsidRPr="008939D4">
              <w:rPr>
                <w:sz w:val="20"/>
                <w:szCs w:val="20"/>
              </w:rPr>
              <w:t xml:space="preserve"> to </w:t>
            </w:r>
            <w:r w:rsidR="001F63AD">
              <w:rPr>
                <w:sz w:val="20"/>
                <w:szCs w:val="20"/>
              </w:rPr>
              <w:t>3</w:t>
            </w:r>
            <w:r w:rsidR="00F45730" w:rsidRPr="008939D4">
              <w:rPr>
                <w:sz w:val="20"/>
                <w:szCs w:val="20"/>
              </w:rPr>
              <w:t>.</w:t>
            </w:r>
            <w:r w:rsidR="001F63AD">
              <w:rPr>
                <w:sz w:val="20"/>
                <w:szCs w:val="20"/>
              </w:rPr>
              <w:t>6</w:t>
            </w:r>
            <w:r w:rsidR="00687F10">
              <w:rPr>
                <w:sz w:val="20"/>
                <w:szCs w:val="20"/>
              </w:rPr>
              <w:t>%</w:t>
            </w:r>
            <w:r w:rsidRPr="008939D4">
              <w:rPr>
                <w:sz w:val="20"/>
                <w:szCs w:val="20"/>
              </w:rPr>
              <w:t>)</w:t>
            </w:r>
          </w:p>
        </w:tc>
        <w:tc>
          <w:tcPr>
            <w:tcW w:w="1961" w:type="dxa"/>
            <w:vAlign w:val="center"/>
          </w:tcPr>
          <w:p w14:paraId="22CC13FE" w14:textId="2E5635C9" w:rsidR="00652CC1" w:rsidRPr="008939D4" w:rsidRDefault="007C0E1B" w:rsidP="007C0E1B">
            <w:pPr>
              <w:spacing w:line="240" w:lineRule="auto"/>
              <w:rPr>
                <w:sz w:val="20"/>
                <w:szCs w:val="20"/>
              </w:rPr>
            </w:pPr>
            <w:r>
              <w:rPr>
                <w:sz w:val="20"/>
                <w:szCs w:val="20"/>
              </w:rPr>
              <w:t>2</w:t>
            </w:r>
            <w:r w:rsidR="008939D4" w:rsidRPr="008939D4">
              <w:rPr>
                <w:sz w:val="20"/>
                <w:szCs w:val="20"/>
              </w:rPr>
              <w:t>.</w:t>
            </w:r>
            <w:r>
              <w:rPr>
                <w:sz w:val="20"/>
                <w:szCs w:val="20"/>
              </w:rPr>
              <w:t>6</w:t>
            </w:r>
            <w:r w:rsidR="00652CC1" w:rsidRPr="008939D4">
              <w:rPr>
                <w:sz w:val="20"/>
                <w:szCs w:val="20"/>
              </w:rPr>
              <w:t>% (</w:t>
            </w:r>
            <w:r w:rsidR="008939D4" w:rsidRPr="008939D4">
              <w:rPr>
                <w:sz w:val="20"/>
                <w:szCs w:val="20"/>
              </w:rPr>
              <w:t>-</w:t>
            </w:r>
            <w:r>
              <w:rPr>
                <w:sz w:val="20"/>
                <w:szCs w:val="20"/>
              </w:rPr>
              <w:t>6</w:t>
            </w:r>
            <w:r w:rsidR="008939D4" w:rsidRPr="008939D4">
              <w:rPr>
                <w:sz w:val="20"/>
                <w:szCs w:val="20"/>
              </w:rPr>
              <w:t>.</w:t>
            </w:r>
            <w:r>
              <w:rPr>
                <w:sz w:val="20"/>
                <w:szCs w:val="20"/>
              </w:rPr>
              <w:t>2</w:t>
            </w:r>
            <w:r w:rsidR="00CF1706">
              <w:rPr>
                <w:sz w:val="20"/>
                <w:szCs w:val="20"/>
              </w:rPr>
              <w:t>%</w:t>
            </w:r>
            <w:r w:rsidR="00652CC1" w:rsidRPr="008939D4">
              <w:rPr>
                <w:sz w:val="20"/>
                <w:szCs w:val="20"/>
              </w:rPr>
              <w:t xml:space="preserve"> to </w:t>
            </w:r>
            <w:r w:rsidR="008939D4" w:rsidRPr="008939D4">
              <w:rPr>
                <w:sz w:val="20"/>
                <w:szCs w:val="20"/>
              </w:rPr>
              <w:t>1</w:t>
            </w:r>
            <w:r>
              <w:rPr>
                <w:sz w:val="20"/>
                <w:szCs w:val="20"/>
              </w:rPr>
              <w:t>0</w:t>
            </w:r>
            <w:r w:rsidR="008939D4" w:rsidRPr="008939D4">
              <w:rPr>
                <w:sz w:val="20"/>
                <w:szCs w:val="20"/>
              </w:rPr>
              <w:t>.</w:t>
            </w:r>
            <w:r>
              <w:rPr>
                <w:sz w:val="20"/>
                <w:szCs w:val="20"/>
              </w:rPr>
              <w:t>3</w:t>
            </w:r>
            <w:r w:rsidR="00CF1706">
              <w:rPr>
                <w:sz w:val="20"/>
                <w:szCs w:val="20"/>
              </w:rPr>
              <w:t>%</w:t>
            </w:r>
            <w:r w:rsidR="00652CC1" w:rsidRPr="008939D4">
              <w:rPr>
                <w:sz w:val="20"/>
                <w:szCs w:val="20"/>
              </w:rPr>
              <w:t>)</w:t>
            </w:r>
          </w:p>
        </w:tc>
      </w:tr>
      <w:tr w:rsidR="00934EBF" w:rsidRPr="008939D4" w14:paraId="790A2644" w14:textId="77777777" w:rsidTr="00E50A57">
        <w:tc>
          <w:tcPr>
            <w:tcW w:w="1928" w:type="dxa"/>
            <w:vAlign w:val="center"/>
          </w:tcPr>
          <w:p w14:paraId="3263502B" w14:textId="77777777" w:rsidR="00652CC1" w:rsidRPr="008939D4" w:rsidRDefault="00652CC1" w:rsidP="008939D4">
            <w:pPr>
              <w:spacing w:line="240" w:lineRule="auto"/>
              <w:rPr>
                <w:sz w:val="20"/>
                <w:szCs w:val="20"/>
              </w:rPr>
            </w:pPr>
            <w:r w:rsidRPr="008939D4">
              <w:rPr>
                <w:sz w:val="20"/>
                <w:szCs w:val="20"/>
              </w:rPr>
              <w:lastRenderedPageBreak/>
              <w:t>2</w:t>
            </w:r>
          </w:p>
        </w:tc>
        <w:tc>
          <w:tcPr>
            <w:tcW w:w="1935" w:type="dxa"/>
            <w:vAlign w:val="center"/>
          </w:tcPr>
          <w:p w14:paraId="270750BF" w14:textId="529B1653" w:rsidR="00652CC1" w:rsidRPr="008939D4" w:rsidRDefault="00577559" w:rsidP="00577559">
            <w:pPr>
              <w:spacing w:line="240" w:lineRule="auto"/>
              <w:rPr>
                <w:sz w:val="20"/>
                <w:szCs w:val="20"/>
              </w:rPr>
            </w:pPr>
            <w:r>
              <w:rPr>
                <w:sz w:val="20"/>
                <w:szCs w:val="20"/>
              </w:rPr>
              <w:t>2</w:t>
            </w:r>
            <w:r w:rsidR="00402BE1">
              <w:rPr>
                <w:sz w:val="20"/>
                <w:szCs w:val="20"/>
              </w:rPr>
              <w:t>.</w:t>
            </w:r>
            <w:r w:rsidR="00B75D6F">
              <w:rPr>
                <w:sz w:val="20"/>
                <w:szCs w:val="20"/>
              </w:rPr>
              <w:t>4</w:t>
            </w:r>
            <w:r w:rsidR="00652CC1" w:rsidRPr="008939D4">
              <w:rPr>
                <w:sz w:val="20"/>
                <w:szCs w:val="20"/>
              </w:rPr>
              <w:t xml:space="preserve"> (</w:t>
            </w:r>
            <w:r w:rsidR="006C45A9" w:rsidRPr="008939D4">
              <w:rPr>
                <w:sz w:val="20"/>
                <w:szCs w:val="20"/>
              </w:rPr>
              <w:t>-</w:t>
            </w:r>
            <w:r w:rsidR="00B75D6F">
              <w:rPr>
                <w:sz w:val="20"/>
                <w:szCs w:val="20"/>
              </w:rPr>
              <w:t>1</w:t>
            </w:r>
            <w:r w:rsidR="00D9055C" w:rsidRPr="008939D4">
              <w:rPr>
                <w:sz w:val="20"/>
                <w:szCs w:val="20"/>
              </w:rPr>
              <w:t>.</w:t>
            </w:r>
            <w:r w:rsidR="00402BE1">
              <w:rPr>
                <w:sz w:val="20"/>
                <w:szCs w:val="20"/>
              </w:rPr>
              <w:t>2</w:t>
            </w:r>
            <w:r w:rsidR="00D9055C" w:rsidRPr="008939D4">
              <w:rPr>
                <w:sz w:val="20"/>
                <w:szCs w:val="20"/>
              </w:rPr>
              <w:t xml:space="preserve"> </w:t>
            </w:r>
            <w:r w:rsidR="00652CC1" w:rsidRPr="008939D4">
              <w:rPr>
                <w:sz w:val="20"/>
                <w:szCs w:val="20"/>
              </w:rPr>
              <w:t xml:space="preserve">to </w:t>
            </w:r>
            <w:r>
              <w:rPr>
                <w:sz w:val="20"/>
                <w:szCs w:val="20"/>
              </w:rPr>
              <w:t>6</w:t>
            </w:r>
            <w:r w:rsidR="00D9055C" w:rsidRPr="008939D4">
              <w:rPr>
                <w:sz w:val="20"/>
                <w:szCs w:val="20"/>
              </w:rPr>
              <w:t>.</w:t>
            </w:r>
            <w:r>
              <w:rPr>
                <w:sz w:val="20"/>
                <w:szCs w:val="20"/>
              </w:rPr>
              <w:t>6</w:t>
            </w:r>
            <w:r w:rsidR="00652CC1" w:rsidRPr="008939D4">
              <w:rPr>
                <w:sz w:val="20"/>
                <w:szCs w:val="20"/>
              </w:rPr>
              <w:t>)</w:t>
            </w:r>
          </w:p>
        </w:tc>
        <w:tc>
          <w:tcPr>
            <w:tcW w:w="2071" w:type="dxa"/>
            <w:vAlign w:val="center"/>
          </w:tcPr>
          <w:p w14:paraId="5EB18208" w14:textId="6C5F750F" w:rsidR="00652CC1" w:rsidRPr="008939D4" w:rsidRDefault="00D9055C" w:rsidP="007C0E1B">
            <w:pPr>
              <w:spacing w:line="240" w:lineRule="auto"/>
              <w:rPr>
                <w:sz w:val="20"/>
                <w:szCs w:val="20"/>
              </w:rPr>
            </w:pPr>
            <w:r w:rsidRPr="008939D4">
              <w:rPr>
                <w:sz w:val="20"/>
                <w:szCs w:val="20"/>
              </w:rPr>
              <w:t>0.</w:t>
            </w:r>
            <w:r w:rsidR="007C0E1B">
              <w:rPr>
                <w:sz w:val="20"/>
                <w:szCs w:val="20"/>
              </w:rPr>
              <w:t>2</w:t>
            </w:r>
            <w:r w:rsidRPr="008939D4">
              <w:rPr>
                <w:sz w:val="20"/>
                <w:szCs w:val="20"/>
              </w:rPr>
              <w:t xml:space="preserve"> </w:t>
            </w:r>
            <w:r w:rsidR="00652CC1" w:rsidRPr="008939D4">
              <w:rPr>
                <w:sz w:val="20"/>
                <w:szCs w:val="20"/>
              </w:rPr>
              <w:t>(</w:t>
            </w:r>
            <w:r w:rsidR="00F45730" w:rsidRPr="008939D4">
              <w:rPr>
                <w:sz w:val="20"/>
                <w:szCs w:val="20"/>
              </w:rPr>
              <w:t>-</w:t>
            </w:r>
            <w:r w:rsidR="001F63AD">
              <w:rPr>
                <w:sz w:val="20"/>
                <w:szCs w:val="20"/>
              </w:rPr>
              <w:t>0</w:t>
            </w:r>
            <w:r w:rsidRPr="008939D4">
              <w:rPr>
                <w:sz w:val="20"/>
                <w:szCs w:val="20"/>
              </w:rPr>
              <w:t>.</w:t>
            </w:r>
            <w:r w:rsidR="007C0E1B">
              <w:rPr>
                <w:sz w:val="20"/>
                <w:szCs w:val="20"/>
              </w:rPr>
              <w:t>7</w:t>
            </w:r>
            <w:r w:rsidR="00652CC1" w:rsidRPr="008939D4">
              <w:rPr>
                <w:sz w:val="20"/>
                <w:szCs w:val="20"/>
              </w:rPr>
              <w:t xml:space="preserve"> to </w:t>
            </w:r>
            <w:r w:rsidR="001F63AD">
              <w:rPr>
                <w:sz w:val="20"/>
                <w:szCs w:val="20"/>
              </w:rPr>
              <w:t>1</w:t>
            </w:r>
            <w:r w:rsidRPr="008939D4">
              <w:rPr>
                <w:sz w:val="20"/>
                <w:szCs w:val="20"/>
              </w:rPr>
              <w:t>.</w:t>
            </w:r>
            <w:r w:rsidR="007C0E1B">
              <w:rPr>
                <w:sz w:val="20"/>
                <w:szCs w:val="20"/>
              </w:rPr>
              <w:t>2</w:t>
            </w:r>
            <w:r w:rsidR="00652CC1" w:rsidRPr="008939D4">
              <w:rPr>
                <w:sz w:val="20"/>
                <w:szCs w:val="20"/>
              </w:rPr>
              <w:t>)</w:t>
            </w:r>
          </w:p>
        </w:tc>
        <w:tc>
          <w:tcPr>
            <w:tcW w:w="2073" w:type="dxa"/>
            <w:vAlign w:val="center"/>
          </w:tcPr>
          <w:p w14:paraId="5AD65428" w14:textId="1CDEE402" w:rsidR="00652CC1" w:rsidRPr="008939D4" w:rsidRDefault="00652CC1" w:rsidP="007C0E1B">
            <w:pPr>
              <w:spacing w:line="240" w:lineRule="auto"/>
              <w:rPr>
                <w:sz w:val="20"/>
                <w:szCs w:val="20"/>
              </w:rPr>
            </w:pPr>
            <w:r w:rsidRPr="008939D4">
              <w:rPr>
                <w:sz w:val="20"/>
                <w:szCs w:val="20"/>
              </w:rPr>
              <w:t>1.</w:t>
            </w:r>
            <w:r w:rsidR="007C0E1B">
              <w:rPr>
                <w:sz w:val="20"/>
                <w:szCs w:val="20"/>
              </w:rPr>
              <w:t>3</w:t>
            </w:r>
            <w:r w:rsidRPr="008939D4">
              <w:rPr>
                <w:sz w:val="20"/>
                <w:szCs w:val="20"/>
              </w:rPr>
              <w:t>% (</w:t>
            </w:r>
            <w:r w:rsidR="00F45730" w:rsidRPr="008939D4">
              <w:rPr>
                <w:sz w:val="20"/>
                <w:szCs w:val="20"/>
              </w:rPr>
              <w:t>-</w:t>
            </w:r>
            <w:r w:rsidR="001F63AD">
              <w:rPr>
                <w:sz w:val="20"/>
                <w:szCs w:val="20"/>
              </w:rPr>
              <w:t>0</w:t>
            </w:r>
            <w:r w:rsidRPr="008939D4">
              <w:rPr>
                <w:sz w:val="20"/>
                <w:szCs w:val="20"/>
              </w:rPr>
              <w:t>.</w:t>
            </w:r>
            <w:r w:rsidR="007C0E1B">
              <w:rPr>
                <w:sz w:val="20"/>
                <w:szCs w:val="20"/>
              </w:rPr>
              <w:t>7</w:t>
            </w:r>
            <w:r w:rsidR="00CF1706">
              <w:rPr>
                <w:sz w:val="20"/>
                <w:szCs w:val="20"/>
              </w:rPr>
              <w:t>%</w:t>
            </w:r>
            <w:r w:rsidRPr="008939D4">
              <w:rPr>
                <w:sz w:val="20"/>
                <w:szCs w:val="20"/>
              </w:rPr>
              <w:t xml:space="preserve"> to </w:t>
            </w:r>
            <w:r w:rsidR="001F63AD">
              <w:rPr>
                <w:sz w:val="20"/>
                <w:szCs w:val="20"/>
              </w:rPr>
              <w:t>3</w:t>
            </w:r>
            <w:r w:rsidRPr="008939D4">
              <w:rPr>
                <w:sz w:val="20"/>
                <w:szCs w:val="20"/>
              </w:rPr>
              <w:t>.</w:t>
            </w:r>
            <w:r w:rsidR="001F63AD">
              <w:rPr>
                <w:sz w:val="20"/>
                <w:szCs w:val="20"/>
              </w:rPr>
              <w:t>6</w:t>
            </w:r>
            <w:r w:rsidR="00687F10">
              <w:rPr>
                <w:sz w:val="20"/>
                <w:szCs w:val="20"/>
              </w:rPr>
              <w:t>%</w:t>
            </w:r>
            <w:r w:rsidRPr="008939D4">
              <w:rPr>
                <w:sz w:val="20"/>
                <w:szCs w:val="20"/>
              </w:rPr>
              <w:t>)</w:t>
            </w:r>
          </w:p>
        </w:tc>
        <w:tc>
          <w:tcPr>
            <w:tcW w:w="1961" w:type="dxa"/>
            <w:vAlign w:val="center"/>
          </w:tcPr>
          <w:p w14:paraId="6B6767E8" w14:textId="0C311B77" w:rsidR="00652CC1" w:rsidRPr="008939D4" w:rsidRDefault="007C0E1B" w:rsidP="007C0E1B">
            <w:pPr>
              <w:spacing w:line="240" w:lineRule="auto"/>
              <w:rPr>
                <w:sz w:val="20"/>
                <w:szCs w:val="20"/>
              </w:rPr>
            </w:pPr>
            <w:r>
              <w:rPr>
                <w:sz w:val="20"/>
                <w:szCs w:val="20"/>
              </w:rPr>
              <w:t>2.4</w:t>
            </w:r>
            <w:r w:rsidR="00652CC1" w:rsidRPr="008939D4">
              <w:rPr>
                <w:sz w:val="20"/>
                <w:szCs w:val="20"/>
              </w:rPr>
              <w:t>% (</w:t>
            </w:r>
            <w:r w:rsidR="008939D4">
              <w:rPr>
                <w:sz w:val="20"/>
                <w:szCs w:val="20"/>
              </w:rPr>
              <w:t>-</w:t>
            </w:r>
            <w:r>
              <w:rPr>
                <w:sz w:val="20"/>
                <w:szCs w:val="20"/>
              </w:rPr>
              <w:t>6</w:t>
            </w:r>
            <w:r w:rsidR="008939D4">
              <w:rPr>
                <w:sz w:val="20"/>
                <w:szCs w:val="20"/>
              </w:rPr>
              <w:t>.</w:t>
            </w:r>
            <w:r>
              <w:rPr>
                <w:sz w:val="20"/>
                <w:szCs w:val="20"/>
              </w:rPr>
              <w:t>6</w:t>
            </w:r>
            <w:r w:rsidR="00CF1706">
              <w:rPr>
                <w:sz w:val="20"/>
                <w:szCs w:val="20"/>
              </w:rPr>
              <w:t>%</w:t>
            </w:r>
            <w:r w:rsidR="00652CC1" w:rsidRPr="008939D4">
              <w:rPr>
                <w:sz w:val="20"/>
                <w:szCs w:val="20"/>
              </w:rPr>
              <w:t xml:space="preserve"> to </w:t>
            </w:r>
            <w:r w:rsidR="008939D4">
              <w:rPr>
                <w:sz w:val="20"/>
                <w:szCs w:val="20"/>
              </w:rPr>
              <w:t>1</w:t>
            </w:r>
            <w:r>
              <w:rPr>
                <w:sz w:val="20"/>
                <w:szCs w:val="20"/>
              </w:rPr>
              <w:t>0</w:t>
            </w:r>
            <w:r w:rsidR="00652CC1" w:rsidRPr="008939D4">
              <w:rPr>
                <w:sz w:val="20"/>
                <w:szCs w:val="20"/>
              </w:rPr>
              <w:t>.</w:t>
            </w:r>
            <w:r>
              <w:rPr>
                <w:sz w:val="20"/>
                <w:szCs w:val="20"/>
              </w:rPr>
              <w:t>4</w:t>
            </w:r>
            <w:r w:rsidR="00CF1706">
              <w:rPr>
                <w:sz w:val="20"/>
                <w:szCs w:val="20"/>
              </w:rPr>
              <w:t>%</w:t>
            </w:r>
            <w:r w:rsidR="00652CC1" w:rsidRPr="008939D4">
              <w:rPr>
                <w:sz w:val="20"/>
                <w:szCs w:val="20"/>
              </w:rPr>
              <w:t>)</w:t>
            </w:r>
          </w:p>
        </w:tc>
      </w:tr>
      <w:tr w:rsidR="00934EBF" w:rsidRPr="008939D4" w14:paraId="237AEFBA" w14:textId="77777777" w:rsidTr="00E50A57">
        <w:tc>
          <w:tcPr>
            <w:tcW w:w="1928" w:type="dxa"/>
            <w:vAlign w:val="center"/>
          </w:tcPr>
          <w:p w14:paraId="156AE9A1" w14:textId="77777777" w:rsidR="00652CC1" w:rsidRPr="008939D4" w:rsidRDefault="00652CC1" w:rsidP="008939D4">
            <w:pPr>
              <w:spacing w:line="240" w:lineRule="auto"/>
              <w:rPr>
                <w:sz w:val="20"/>
                <w:szCs w:val="20"/>
              </w:rPr>
            </w:pPr>
            <w:r w:rsidRPr="008939D4">
              <w:rPr>
                <w:sz w:val="20"/>
                <w:szCs w:val="20"/>
              </w:rPr>
              <w:t>3</w:t>
            </w:r>
          </w:p>
        </w:tc>
        <w:tc>
          <w:tcPr>
            <w:tcW w:w="1935" w:type="dxa"/>
            <w:vAlign w:val="center"/>
          </w:tcPr>
          <w:p w14:paraId="419180C2" w14:textId="6FF5FC5E" w:rsidR="00652CC1" w:rsidRPr="008939D4" w:rsidRDefault="00577559" w:rsidP="00B75D6F">
            <w:pPr>
              <w:spacing w:line="240" w:lineRule="auto"/>
              <w:rPr>
                <w:sz w:val="20"/>
                <w:szCs w:val="20"/>
              </w:rPr>
            </w:pPr>
            <w:r>
              <w:rPr>
                <w:sz w:val="20"/>
                <w:szCs w:val="20"/>
              </w:rPr>
              <w:t>2.8</w:t>
            </w:r>
            <w:r w:rsidR="00652CC1" w:rsidRPr="008939D4">
              <w:rPr>
                <w:sz w:val="20"/>
                <w:szCs w:val="20"/>
              </w:rPr>
              <w:t xml:space="preserve"> (</w:t>
            </w:r>
            <w:r>
              <w:rPr>
                <w:sz w:val="20"/>
                <w:szCs w:val="20"/>
              </w:rPr>
              <w:t>-1.</w:t>
            </w:r>
            <w:r w:rsidR="00B75D6F">
              <w:rPr>
                <w:sz w:val="20"/>
                <w:szCs w:val="20"/>
              </w:rPr>
              <w:t>0</w:t>
            </w:r>
            <w:r>
              <w:rPr>
                <w:sz w:val="20"/>
                <w:szCs w:val="20"/>
              </w:rPr>
              <w:t xml:space="preserve"> </w:t>
            </w:r>
            <w:r w:rsidR="00652CC1" w:rsidRPr="008939D4">
              <w:rPr>
                <w:sz w:val="20"/>
                <w:szCs w:val="20"/>
              </w:rPr>
              <w:t xml:space="preserve">to </w:t>
            </w:r>
            <w:r>
              <w:rPr>
                <w:sz w:val="20"/>
                <w:szCs w:val="20"/>
              </w:rPr>
              <w:t>6</w:t>
            </w:r>
            <w:r w:rsidR="00402BE1">
              <w:rPr>
                <w:sz w:val="20"/>
                <w:szCs w:val="20"/>
              </w:rPr>
              <w:t>.</w:t>
            </w:r>
            <w:r w:rsidR="00B75D6F">
              <w:rPr>
                <w:sz w:val="20"/>
                <w:szCs w:val="20"/>
              </w:rPr>
              <w:t>8</w:t>
            </w:r>
            <w:r w:rsidR="00652CC1" w:rsidRPr="008939D4">
              <w:rPr>
                <w:sz w:val="20"/>
                <w:szCs w:val="20"/>
              </w:rPr>
              <w:t>)</w:t>
            </w:r>
          </w:p>
        </w:tc>
        <w:tc>
          <w:tcPr>
            <w:tcW w:w="2071" w:type="dxa"/>
            <w:vAlign w:val="center"/>
          </w:tcPr>
          <w:p w14:paraId="06055FF5" w14:textId="355310B8" w:rsidR="00652CC1" w:rsidRPr="008939D4" w:rsidRDefault="00D9055C" w:rsidP="007C0E1B">
            <w:pPr>
              <w:spacing w:line="240" w:lineRule="auto"/>
              <w:rPr>
                <w:sz w:val="20"/>
                <w:szCs w:val="20"/>
              </w:rPr>
            </w:pPr>
            <w:r w:rsidRPr="008939D4">
              <w:rPr>
                <w:sz w:val="20"/>
                <w:szCs w:val="20"/>
              </w:rPr>
              <w:t>0.</w:t>
            </w:r>
            <w:r w:rsidR="007C0E1B">
              <w:rPr>
                <w:sz w:val="20"/>
                <w:szCs w:val="20"/>
              </w:rPr>
              <w:t>2</w:t>
            </w:r>
            <w:r w:rsidRPr="008939D4">
              <w:rPr>
                <w:sz w:val="20"/>
                <w:szCs w:val="20"/>
              </w:rPr>
              <w:t xml:space="preserve"> </w:t>
            </w:r>
            <w:r w:rsidR="00652CC1" w:rsidRPr="008939D4">
              <w:rPr>
                <w:sz w:val="20"/>
                <w:szCs w:val="20"/>
              </w:rPr>
              <w:t>(</w:t>
            </w:r>
            <w:r w:rsidR="00F45730" w:rsidRPr="008939D4">
              <w:rPr>
                <w:sz w:val="20"/>
                <w:szCs w:val="20"/>
              </w:rPr>
              <w:t>-</w:t>
            </w:r>
            <w:r w:rsidR="001F63AD">
              <w:rPr>
                <w:sz w:val="20"/>
                <w:szCs w:val="20"/>
              </w:rPr>
              <w:t>0</w:t>
            </w:r>
            <w:r w:rsidRPr="008939D4">
              <w:rPr>
                <w:sz w:val="20"/>
                <w:szCs w:val="20"/>
              </w:rPr>
              <w:t>.</w:t>
            </w:r>
            <w:r w:rsidR="007C0E1B">
              <w:rPr>
                <w:sz w:val="20"/>
                <w:szCs w:val="20"/>
              </w:rPr>
              <w:t>7</w:t>
            </w:r>
            <w:r w:rsidR="00652CC1" w:rsidRPr="008939D4">
              <w:rPr>
                <w:sz w:val="20"/>
                <w:szCs w:val="20"/>
              </w:rPr>
              <w:t xml:space="preserve"> to </w:t>
            </w:r>
            <w:r w:rsidR="001F63AD">
              <w:rPr>
                <w:sz w:val="20"/>
                <w:szCs w:val="20"/>
              </w:rPr>
              <w:t>1</w:t>
            </w:r>
            <w:r w:rsidRPr="008939D4">
              <w:rPr>
                <w:sz w:val="20"/>
                <w:szCs w:val="20"/>
              </w:rPr>
              <w:t>.</w:t>
            </w:r>
            <w:r w:rsidR="007C0E1B">
              <w:rPr>
                <w:sz w:val="20"/>
                <w:szCs w:val="20"/>
              </w:rPr>
              <w:t>2</w:t>
            </w:r>
            <w:r w:rsidR="00652CC1" w:rsidRPr="008939D4">
              <w:rPr>
                <w:sz w:val="20"/>
                <w:szCs w:val="20"/>
              </w:rPr>
              <w:t>)</w:t>
            </w:r>
          </w:p>
        </w:tc>
        <w:tc>
          <w:tcPr>
            <w:tcW w:w="2073" w:type="dxa"/>
            <w:vAlign w:val="center"/>
          </w:tcPr>
          <w:p w14:paraId="173EE670" w14:textId="334F459C" w:rsidR="00652CC1" w:rsidRPr="008939D4" w:rsidRDefault="007C0E1B" w:rsidP="007C0E1B">
            <w:pPr>
              <w:spacing w:line="240" w:lineRule="auto"/>
              <w:rPr>
                <w:sz w:val="20"/>
                <w:szCs w:val="20"/>
              </w:rPr>
            </w:pPr>
            <w:r>
              <w:rPr>
                <w:sz w:val="20"/>
                <w:szCs w:val="20"/>
              </w:rPr>
              <w:t>1.5</w:t>
            </w:r>
            <w:r w:rsidR="00652CC1" w:rsidRPr="008939D4">
              <w:rPr>
                <w:sz w:val="20"/>
                <w:szCs w:val="20"/>
              </w:rPr>
              <w:t>% (</w:t>
            </w:r>
            <w:r>
              <w:rPr>
                <w:sz w:val="20"/>
                <w:szCs w:val="20"/>
              </w:rPr>
              <w:t>-</w:t>
            </w:r>
            <w:r w:rsidR="001F63AD">
              <w:rPr>
                <w:sz w:val="20"/>
                <w:szCs w:val="20"/>
              </w:rPr>
              <w:t>0</w:t>
            </w:r>
            <w:r w:rsidR="00652CC1" w:rsidRPr="008939D4">
              <w:rPr>
                <w:sz w:val="20"/>
                <w:szCs w:val="20"/>
              </w:rPr>
              <w:t>.</w:t>
            </w:r>
            <w:r>
              <w:rPr>
                <w:sz w:val="20"/>
                <w:szCs w:val="20"/>
              </w:rPr>
              <w:t>7</w:t>
            </w:r>
            <w:r w:rsidR="00CF1706">
              <w:rPr>
                <w:sz w:val="20"/>
                <w:szCs w:val="20"/>
              </w:rPr>
              <w:t>%</w:t>
            </w:r>
            <w:r w:rsidR="00652CC1" w:rsidRPr="008939D4">
              <w:rPr>
                <w:sz w:val="20"/>
                <w:szCs w:val="20"/>
              </w:rPr>
              <w:t xml:space="preserve"> to </w:t>
            </w:r>
            <w:r>
              <w:rPr>
                <w:sz w:val="20"/>
                <w:szCs w:val="20"/>
              </w:rPr>
              <w:t>3</w:t>
            </w:r>
            <w:r w:rsidR="00652CC1" w:rsidRPr="008939D4">
              <w:rPr>
                <w:sz w:val="20"/>
                <w:szCs w:val="20"/>
              </w:rPr>
              <w:t>.</w:t>
            </w:r>
            <w:r>
              <w:rPr>
                <w:sz w:val="20"/>
                <w:szCs w:val="20"/>
              </w:rPr>
              <w:t>6</w:t>
            </w:r>
            <w:r w:rsidR="00687F10">
              <w:rPr>
                <w:sz w:val="20"/>
                <w:szCs w:val="20"/>
              </w:rPr>
              <w:t>%</w:t>
            </w:r>
            <w:r w:rsidR="00652CC1" w:rsidRPr="008939D4">
              <w:rPr>
                <w:sz w:val="20"/>
                <w:szCs w:val="20"/>
              </w:rPr>
              <w:t>)</w:t>
            </w:r>
          </w:p>
        </w:tc>
        <w:tc>
          <w:tcPr>
            <w:tcW w:w="1961" w:type="dxa"/>
            <w:vAlign w:val="center"/>
          </w:tcPr>
          <w:p w14:paraId="631B2583" w14:textId="33945637" w:rsidR="00652CC1" w:rsidRPr="008939D4" w:rsidRDefault="007C0E1B" w:rsidP="007C0E1B">
            <w:pPr>
              <w:spacing w:line="240" w:lineRule="auto"/>
              <w:rPr>
                <w:sz w:val="20"/>
                <w:szCs w:val="20"/>
              </w:rPr>
            </w:pPr>
            <w:r>
              <w:rPr>
                <w:sz w:val="20"/>
                <w:szCs w:val="20"/>
              </w:rPr>
              <w:t>2</w:t>
            </w:r>
            <w:r w:rsidR="00652CC1" w:rsidRPr="008939D4">
              <w:rPr>
                <w:sz w:val="20"/>
                <w:szCs w:val="20"/>
              </w:rPr>
              <w:t>.</w:t>
            </w:r>
            <w:r>
              <w:rPr>
                <w:sz w:val="20"/>
                <w:szCs w:val="20"/>
              </w:rPr>
              <w:t>4</w:t>
            </w:r>
            <w:r w:rsidR="00652CC1" w:rsidRPr="008939D4">
              <w:rPr>
                <w:sz w:val="20"/>
                <w:szCs w:val="20"/>
              </w:rPr>
              <w:t>% (</w:t>
            </w:r>
            <w:r w:rsidR="008939D4">
              <w:rPr>
                <w:sz w:val="20"/>
                <w:szCs w:val="20"/>
              </w:rPr>
              <w:t>-</w:t>
            </w:r>
            <w:r>
              <w:rPr>
                <w:sz w:val="20"/>
                <w:szCs w:val="20"/>
              </w:rPr>
              <w:t>7</w:t>
            </w:r>
            <w:r w:rsidR="00652CC1" w:rsidRPr="008939D4">
              <w:rPr>
                <w:sz w:val="20"/>
                <w:szCs w:val="20"/>
              </w:rPr>
              <w:t>.</w:t>
            </w:r>
            <w:r>
              <w:rPr>
                <w:sz w:val="20"/>
                <w:szCs w:val="20"/>
              </w:rPr>
              <w:t>0</w:t>
            </w:r>
            <w:r w:rsidR="00CF1706">
              <w:rPr>
                <w:sz w:val="20"/>
                <w:szCs w:val="20"/>
              </w:rPr>
              <w:t>%</w:t>
            </w:r>
            <w:r w:rsidR="008939D4">
              <w:rPr>
                <w:sz w:val="20"/>
                <w:szCs w:val="20"/>
              </w:rPr>
              <w:t xml:space="preserve"> </w:t>
            </w:r>
            <w:r w:rsidR="00652CC1" w:rsidRPr="008939D4">
              <w:rPr>
                <w:sz w:val="20"/>
                <w:szCs w:val="20"/>
              </w:rPr>
              <w:t xml:space="preserve">to </w:t>
            </w:r>
            <w:r w:rsidR="008939D4">
              <w:rPr>
                <w:sz w:val="20"/>
                <w:szCs w:val="20"/>
              </w:rPr>
              <w:t>1</w:t>
            </w:r>
            <w:r>
              <w:rPr>
                <w:sz w:val="20"/>
                <w:szCs w:val="20"/>
              </w:rPr>
              <w:t>0</w:t>
            </w:r>
            <w:r w:rsidR="00652CC1" w:rsidRPr="008939D4">
              <w:rPr>
                <w:sz w:val="20"/>
                <w:szCs w:val="20"/>
              </w:rPr>
              <w:t>.</w:t>
            </w:r>
            <w:r>
              <w:rPr>
                <w:sz w:val="20"/>
                <w:szCs w:val="20"/>
              </w:rPr>
              <w:t>2</w:t>
            </w:r>
            <w:r w:rsidR="00CF1706">
              <w:rPr>
                <w:sz w:val="20"/>
                <w:szCs w:val="20"/>
              </w:rPr>
              <w:t>%</w:t>
            </w:r>
            <w:r w:rsidR="00652CC1" w:rsidRPr="008939D4">
              <w:rPr>
                <w:sz w:val="20"/>
                <w:szCs w:val="20"/>
              </w:rPr>
              <w:t>)</w:t>
            </w:r>
          </w:p>
        </w:tc>
      </w:tr>
      <w:tr w:rsidR="00934EBF" w:rsidRPr="008939D4" w14:paraId="27A485C9" w14:textId="77777777" w:rsidTr="00E50A57">
        <w:tc>
          <w:tcPr>
            <w:tcW w:w="1928" w:type="dxa"/>
            <w:vAlign w:val="center"/>
          </w:tcPr>
          <w:p w14:paraId="3E4B83F1" w14:textId="77777777" w:rsidR="00652CC1" w:rsidRPr="008939D4" w:rsidRDefault="00652CC1" w:rsidP="008939D4">
            <w:pPr>
              <w:spacing w:line="240" w:lineRule="auto"/>
              <w:rPr>
                <w:sz w:val="20"/>
                <w:szCs w:val="20"/>
              </w:rPr>
            </w:pPr>
            <w:r w:rsidRPr="008939D4">
              <w:rPr>
                <w:sz w:val="20"/>
                <w:szCs w:val="20"/>
              </w:rPr>
              <w:t>4</w:t>
            </w:r>
          </w:p>
        </w:tc>
        <w:tc>
          <w:tcPr>
            <w:tcW w:w="1935" w:type="dxa"/>
            <w:vAlign w:val="center"/>
          </w:tcPr>
          <w:p w14:paraId="7211986D" w14:textId="1B161E02" w:rsidR="00652CC1" w:rsidRPr="008939D4" w:rsidRDefault="00577559" w:rsidP="00577559">
            <w:pPr>
              <w:spacing w:line="240" w:lineRule="auto"/>
              <w:rPr>
                <w:sz w:val="20"/>
                <w:szCs w:val="20"/>
              </w:rPr>
            </w:pPr>
            <w:r>
              <w:rPr>
                <w:sz w:val="20"/>
                <w:szCs w:val="20"/>
              </w:rPr>
              <w:t>2</w:t>
            </w:r>
            <w:r w:rsidR="00B75D6F">
              <w:rPr>
                <w:sz w:val="20"/>
                <w:szCs w:val="20"/>
              </w:rPr>
              <w:t>.</w:t>
            </w:r>
            <w:r>
              <w:rPr>
                <w:sz w:val="20"/>
                <w:szCs w:val="20"/>
              </w:rPr>
              <w:t>8</w:t>
            </w:r>
            <w:r w:rsidR="00652CC1" w:rsidRPr="008939D4">
              <w:rPr>
                <w:sz w:val="20"/>
                <w:szCs w:val="20"/>
              </w:rPr>
              <w:t xml:space="preserve"> (</w:t>
            </w:r>
            <w:r>
              <w:rPr>
                <w:sz w:val="20"/>
                <w:szCs w:val="20"/>
              </w:rPr>
              <w:t>-1.3</w:t>
            </w:r>
            <w:r w:rsidR="00652CC1" w:rsidRPr="008939D4">
              <w:rPr>
                <w:sz w:val="20"/>
                <w:szCs w:val="20"/>
              </w:rPr>
              <w:t xml:space="preserve"> to </w:t>
            </w:r>
            <w:r>
              <w:rPr>
                <w:sz w:val="20"/>
                <w:szCs w:val="20"/>
              </w:rPr>
              <w:t>7</w:t>
            </w:r>
            <w:r w:rsidR="00D9055C" w:rsidRPr="008939D4">
              <w:rPr>
                <w:sz w:val="20"/>
                <w:szCs w:val="20"/>
              </w:rPr>
              <w:t>.</w:t>
            </w:r>
            <w:r w:rsidR="001F63AD">
              <w:rPr>
                <w:sz w:val="20"/>
                <w:szCs w:val="20"/>
              </w:rPr>
              <w:t>0</w:t>
            </w:r>
            <w:r w:rsidR="00652CC1" w:rsidRPr="008939D4">
              <w:rPr>
                <w:sz w:val="20"/>
                <w:szCs w:val="20"/>
              </w:rPr>
              <w:t>)</w:t>
            </w:r>
          </w:p>
        </w:tc>
        <w:tc>
          <w:tcPr>
            <w:tcW w:w="2071" w:type="dxa"/>
            <w:vAlign w:val="center"/>
          </w:tcPr>
          <w:p w14:paraId="281192AC" w14:textId="44726C9D" w:rsidR="00652CC1" w:rsidRPr="008939D4" w:rsidRDefault="00D9055C" w:rsidP="007C0E1B">
            <w:pPr>
              <w:spacing w:line="240" w:lineRule="auto"/>
              <w:rPr>
                <w:sz w:val="20"/>
                <w:szCs w:val="20"/>
              </w:rPr>
            </w:pPr>
            <w:r w:rsidRPr="008939D4">
              <w:rPr>
                <w:sz w:val="20"/>
                <w:szCs w:val="20"/>
              </w:rPr>
              <w:t>0.</w:t>
            </w:r>
            <w:r w:rsidR="007C0E1B">
              <w:rPr>
                <w:sz w:val="20"/>
                <w:szCs w:val="20"/>
              </w:rPr>
              <w:t>2</w:t>
            </w:r>
            <w:r w:rsidR="00652CC1" w:rsidRPr="008939D4">
              <w:rPr>
                <w:sz w:val="20"/>
                <w:szCs w:val="20"/>
              </w:rPr>
              <w:t xml:space="preserve"> (</w:t>
            </w:r>
            <w:r w:rsidR="00F45730" w:rsidRPr="008939D4">
              <w:rPr>
                <w:sz w:val="20"/>
                <w:szCs w:val="20"/>
              </w:rPr>
              <w:t>-</w:t>
            </w:r>
            <w:r w:rsidR="001F63AD">
              <w:rPr>
                <w:sz w:val="20"/>
                <w:szCs w:val="20"/>
              </w:rPr>
              <w:t>0</w:t>
            </w:r>
            <w:r w:rsidRPr="008939D4">
              <w:rPr>
                <w:sz w:val="20"/>
                <w:szCs w:val="20"/>
              </w:rPr>
              <w:t>.</w:t>
            </w:r>
            <w:r w:rsidR="007C0E1B">
              <w:rPr>
                <w:sz w:val="20"/>
                <w:szCs w:val="20"/>
              </w:rPr>
              <w:t>7</w:t>
            </w:r>
            <w:r w:rsidR="00F45730" w:rsidRPr="008939D4">
              <w:rPr>
                <w:sz w:val="20"/>
                <w:szCs w:val="20"/>
              </w:rPr>
              <w:t xml:space="preserve"> </w:t>
            </w:r>
            <w:r w:rsidR="00652CC1" w:rsidRPr="008939D4">
              <w:rPr>
                <w:sz w:val="20"/>
                <w:szCs w:val="20"/>
              </w:rPr>
              <w:t xml:space="preserve">to </w:t>
            </w:r>
            <w:r w:rsidR="001F63AD">
              <w:rPr>
                <w:sz w:val="20"/>
                <w:szCs w:val="20"/>
              </w:rPr>
              <w:t>1</w:t>
            </w:r>
            <w:r w:rsidRPr="008939D4">
              <w:rPr>
                <w:sz w:val="20"/>
                <w:szCs w:val="20"/>
              </w:rPr>
              <w:t>.</w:t>
            </w:r>
            <w:r w:rsidR="007C0E1B">
              <w:rPr>
                <w:sz w:val="20"/>
                <w:szCs w:val="20"/>
              </w:rPr>
              <w:t>0</w:t>
            </w:r>
            <w:r w:rsidR="00652CC1" w:rsidRPr="008939D4">
              <w:rPr>
                <w:sz w:val="20"/>
                <w:szCs w:val="20"/>
              </w:rPr>
              <w:t>)</w:t>
            </w:r>
          </w:p>
        </w:tc>
        <w:tc>
          <w:tcPr>
            <w:tcW w:w="2073" w:type="dxa"/>
            <w:vAlign w:val="center"/>
          </w:tcPr>
          <w:p w14:paraId="45349ABD" w14:textId="0C1E07D5" w:rsidR="00652CC1" w:rsidRPr="008939D4" w:rsidRDefault="007C0E1B" w:rsidP="007C0E1B">
            <w:pPr>
              <w:spacing w:line="240" w:lineRule="auto"/>
              <w:rPr>
                <w:sz w:val="20"/>
                <w:szCs w:val="20"/>
              </w:rPr>
            </w:pPr>
            <w:r>
              <w:rPr>
                <w:sz w:val="20"/>
                <w:szCs w:val="20"/>
              </w:rPr>
              <w:t>1</w:t>
            </w:r>
            <w:r w:rsidR="00652CC1" w:rsidRPr="008939D4">
              <w:rPr>
                <w:sz w:val="20"/>
                <w:szCs w:val="20"/>
              </w:rPr>
              <w:t>.</w:t>
            </w:r>
            <w:r>
              <w:rPr>
                <w:sz w:val="20"/>
                <w:szCs w:val="20"/>
              </w:rPr>
              <w:t>6</w:t>
            </w:r>
            <w:r w:rsidR="00652CC1" w:rsidRPr="008939D4">
              <w:rPr>
                <w:sz w:val="20"/>
                <w:szCs w:val="20"/>
              </w:rPr>
              <w:t>% (</w:t>
            </w:r>
            <w:r>
              <w:rPr>
                <w:sz w:val="20"/>
                <w:szCs w:val="20"/>
              </w:rPr>
              <w:t>-</w:t>
            </w:r>
            <w:r w:rsidR="001F63AD">
              <w:rPr>
                <w:sz w:val="20"/>
                <w:szCs w:val="20"/>
              </w:rPr>
              <w:t>0</w:t>
            </w:r>
            <w:r w:rsidR="00652CC1" w:rsidRPr="008939D4">
              <w:rPr>
                <w:sz w:val="20"/>
                <w:szCs w:val="20"/>
              </w:rPr>
              <w:t>.</w:t>
            </w:r>
            <w:r>
              <w:rPr>
                <w:sz w:val="20"/>
                <w:szCs w:val="20"/>
              </w:rPr>
              <w:t>7</w:t>
            </w:r>
            <w:r w:rsidR="00CF1706">
              <w:rPr>
                <w:sz w:val="20"/>
                <w:szCs w:val="20"/>
              </w:rPr>
              <w:t>%</w:t>
            </w:r>
            <w:r w:rsidR="00652CC1" w:rsidRPr="008939D4">
              <w:rPr>
                <w:sz w:val="20"/>
                <w:szCs w:val="20"/>
              </w:rPr>
              <w:t xml:space="preserve"> to </w:t>
            </w:r>
            <w:r w:rsidR="001F63AD">
              <w:rPr>
                <w:sz w:val="20"/>
                <w:szCs w:val="20"/>
              </w:rPr>
              <w:t>3</w:t>
            </w:r>
            <w:r w:rsidR="00652CC1" w:rsidRPr="008939D4">
              <w:rPr>
                <w:sz w:val="20"/>
                <w:szCs w:val="20"/>
              </w:rPr>
              <w:t>.</w:t>
            </w:r>
            <w:r>
              <w:rPr>
                <w:sz w:val="20"/>
                <w:szCs w:val="20"/>
              </w:rPr>
              <w:t>9</w:t>
            </w:r>
            <w:r w:rsidR="00687F10">
              <w:rPr>
                <w:sz w:val="20"/>
                <w:szCs w:val="20"/>
              </w:rPr>
              <w:t>%</w:t>
            </w:r>
            <w:r w:rsidR="00652CC1" w:rsidRPr="008939D4">
              <w:rPr>
                <w:sz w:val="20"/>
                <w:szCs w:val="20"/>
              </w:rPr>
              <w:t>)</w:t>
            </w:r>
          </w:p>
        </w:tc>
        <w:tc>
          <w:tcPr>
            <w:tcW w:w="1961" w:type="dxa"/>
            <w:vAlign w:val="center"/>
          </w:tcPr>
          <w:p w14:paraId="0E211EBA" w14:textId="16B240ED" w:rsidR="00652CC1" w:rsidRPr="008939D4" w:rsidRDefault="007C0E1B" w:rsidP="007C0E1B">
            <w:pPr>
              <w:spacing w:line="240" w:lineRule="auto"/>
              <w:rPr>
                <w:sz w:val="20"/>
                <w:szCs w:val="20"/>
              </w:rPr>
            </w:pPr>
            <w:r>
              <w:rPr>
                <w:sz w:val="20"/>
                <w:szCs w:val="20"/>
              </w:rPr>
              <w:t>2</w:t>
            </w:r>
            <w:r w:rsidR="00652CC1" w:rsidRPr="008939D4">
              <w:rPr>
                <w:sz w:val="20"/>
                <w:szCs w:val="20"/>
              </w:rPr>
              <w:t>.</w:t>
            </w:r>
            <w:r>
              <w:rPr>
                <w:sz w:val="20"/>
                <w:szCs w:val="20"/>
              </w:rPr>
              <w:t>2</w:t>
            </w:r>
            <w:r w:rsidR="00652CC1" w:rsidRPr="008939D4">
              <w:rPr>
                <w:sz w:val="20"/>
                <w:szCs w:val="20"/>
              </w:rPr>
              <w:t>% (</w:t>
            </w:r>
            <w:r w:rsidR="008939D4">
              <w:rPr>
                <w:sz w:val="20"/>
                <w:szCs w:val="20"/>
              </w:rPr>
              <w:t>-</w:t>
            </w:r>
            <w:r>
              <w:rPr>
                <w:sz w:val="20"/>
                <w:szCs w:val="20"/>
              </w:rPr>
              <w:t>7</w:t>
            </w:r>
            <w:r w:rsidR="00652CC1" w:rsidRPr="008939D4">
              <w:rPr>
                <w:sz w:val="20"/>
                <w:szCs w:val="20"/>
              </w:rPr>
              <w:t>.</w:t>
            </w:r>
            <w:r>
              <w:rPr>
                <w:sz w:val="20"/>
                <w:szCs w:val="20"/>
              </w:rPr>
              <w:t>5</w:t>
            </w:r>
            <w:r w:rsidR="00CF1706">
              <w:rPr>
                <w:sz w:val="20"/>
                <w:szCs w:val="20"/>
              </w:rPr>
              <w:t>%</w:t>
            </w:r>
            <w:r w:rsidR="00652CC1" w:rsidRPr="008939D4">
              <w:rPr>
                <w:sz w:val="20"/>
                <w:szCs w:val="20"/>
              </w:rPr>
              <w:t xml:space="preserve"> to </w:t>
            </w:r>
            <w:r w:rsidR="008939D4">
              <w:rPr>
                <w:sz w:val="20"/>
                <w:szCs w:val="20"/>
              </w:rPr>
              <w:t>1</w:t>
            </w:r>
            <w:r>
              <w:rPr>
                <w:sz w:val="20"/>
                <w:szCs w:val="20"/>
              </w:rPr>
              <w:t>1</w:t>
            </w:r>
            <w:r w:rsidR="00652CC1" w:rsidRPr="008939D4">
              <w:rPr>
                <w:sz w:val="20"/>
                <w:szCs w:val="20"/>
              </w:rPr>
              <w:t>.</w:t>
            </w:r>
            <w:r>
              <w:rPr>
                <w:sz w:val="20"/>
                <w:szCs w:val="20"/>
              </w:rPr>
              <w:t>2</w:t>
            </w:r>
            <w:r w:rsidR="00CF1706">
              <w:rPr>
                <w:sz w:val="20"/>
                <w:szCs w:val="20"/>
              </w:rPr>
              <w:t>%</w:t>
            </w:r>
            <w:r w:rsidR="00652CC1" w:rsidRPr="008939D4">
              <w:rPr>
                <w:sz w:val="20"/>
                <w:szCs w:val="20"/>
              </w:rPr>
              <w:t>)</w:t>
            </w:r>
          </w:p>
        </w:tc>
      </w:tr>
      <w:tr w:rsidR="00934EBF" w:rsidRPr="008939D4" w14:paraId="5F8C84E0" w14:textId="77777777" w:rsidTr="00E50A57">
        <w:tc>
          <w:tcPr>
            <w:tcW w:w="1928" w:type="dxa"/>
            <w:tcBorders>
              <w:bottom w:val="double" w:sz="4" w:space="0" w:color="auto"/>
            </w:tcBorders>
            <w:vAlign w:val="center"/>
          </w:tcPr>
          <w:p w14:paraId="6DAD3D0B" w14:textId="77777777" w:rsidR="00652CC1" w:rsidRPr="008939D4" w:rsidRDefault="00652CC1" w:rsidP="008939D4">
            <w:pPr>
              <w:spacing w:line="240" w:lineRule="auto"/>
              <w:rPr>
                <w:sz w:val="20"/>
                <w:szCs w:val="20"/>
              </w:rPr>
            </w:pPr>
            <w:r w:rsidRPr="008939D4">
              <w:rPr>
                <w:sz w:val="20"/>
                <w:szCs w:val="20"/>
              </w:rPr>
              <w:t>5 (most deprived)</w:t>
            </w:r>
          </w:p>
        </w:tc>
        <w:tc>
          <w:tcPr>
            <w:tcW w:w="1935" w:type="dxa"/>
            <w:tcBorders>
              <w:bottom w:val="double" w:sz="4" w:space="0" w:color="auto"/>
            </w:tcBorders>
            <w:vAlign w:val="center"/>
          </w:tcPr>
          <w:p w14:paraId="2A0BC4B6" w14:textId="78B1474E" w:rsidR="00652CC1" w:rsidRPr="008939D4" w:rsidRDefault="00577559" w:rsidP="00577559">
            <w:pPr>
              <w:spacing w:line="240" w:lineRule="auto"/>
              <w:rPr>
                <w:sz w:val="20"/>
                <w:szCs w:val="20"/>
              </w:rPr>
            </w:pPr>
            <w:r>
              <w:rPr>
                <w:sz w:val="20"/>
                <w:szCs w:val="20"/>
              </w:rPr>
              <w:t>3</w:t>
            </w:r>
            <w:r w:rsidR="00D9055C" w:rsidRPr="008939D4">
              <w:rPr>
                <w:sz w:val="20"/>
                <w:szCs w:val="20"/>
              </w:rPr>
              <w:t>.</w:t>
            </w:r>
            <w:r>
              <w:rPr>
                <w:sz w:val="20"/>
                <w:szCs w:val="20"/>
              </w:rPr>
              <w:t>3</w:t>
            </w:r>
            <w:r w:rsidR="00652CC1" w:rsidRPr="008939D4">
              <w:rPr>
                <w:sz w:val="20"/>
                <w:szCs w:val="20"/>
              </w:rPr>
              <w:t xml:space="preserve"> (</w:t>
            </w:r>
            <w:r>
              <w:rPr>
                <w:sz w:val="20"/>
                <w:szCs w:val="20"/>
              </w:rPr>
              <w:t>-0.9</w:t>
            </w:r>
            <w:r w:rsidR="001F63AD">
              <w:rPr>
                <w:sz w:val="20"/>
                <w:szCs w:val="20"/>
              </w:rPr>
              <w:t xml:space="preserve"> </w:t>
            </w:r>
            <w:r w:rsidR="00652CC1" w:rsidRPr="008939D4">
              <w:rPr>
                <w:sz w:val="20"/>
                <w:szCs w:val="20"/>
              </w:rPr>
              <w:t xml:space="preserve">to </w:t>
            </w:r>
            <w:r>
              <w:rPr>
                <w:sz w:val="20"/>
                <w:szCs w:val="20"/>
              </w:rPr>
              <w:t>7.3</w:t>
            </w:r>
            <w:r w:rsidR="00652CC1" w:rsidRPr="008939D4">
              <w:rPr>
                <w:sz w:val="20"/>
                <w:szCs w:val="20"/>
              </w:rPr>
              <w:t>)</w:t>
            </w:r>
          </w:p>
        </w:tc>
        <w:tc>
          <w:tcPr>
            <w:tcW w:w="2071" w:type="dxa"/>
            <w:tcBorders>
              <w:bottom w:val="double" w:sz="4" w:space="0" w:color="auto"/>
            </w:tcBorders>
            <w:vAlign w:val="center"/>
          </w:tcPr>
          <w:p w14:paraId="20863B62" w14:textId="1AB438F7" w:rsidR="00652CC1" w:rsidRPr="008939D4" w:rsidRDefault="00D9055C" w:rsidP="007C0E1B">
            <w:pPr>
              <w:spacing w:line="240" w:lineRule="auto"/>
              <w:rPr>
                <w:sz w:val="20"/>
                <w:szCs w:val="20"/>
              </w:rPr>
            </w:pPr>
            <w:r w:rsidRPr="008939D4">
              <w:rPr>
                <w:sz w:val="20"/>
                <w:szCs w:val="20"/>
              </w:rPr>
              <w:t>0.</w:t>
            </w:r>
            <w:r w:rsidR="007C0E1B">
              <w:rPr>
                <w:sz w:val="20"/>
                <w:szCs w:val="20"/>
              </w:rPr>
              <w:t>3</w:t>
            </w:r>
            <w:r w:rsidRPr="008939D4">
              <w:rPr>
                <w:sz w:val="20"/>
                <w:szCs w:val="20"/>
              </w:rPr>
              <w:t xml:space="preserve"> </w:t>
            </w:r>
            <w:r w:rsidR="00652CC1" w:rsidRPr="008939D4">
              <w:rPr>
                <w:sz w:val="20"/>
                <w:szCs w:val="20"/>
              </w:rPr>
              <w:t>(</w:t>
            </w:r>
            <w:r w:rsidR="00F45730" w:rsidRPr="008939D4">
              <w:rPr>
                <w:sz w:val="20"/>
                <w:szCs w:val="20"/>
              </w:rPr>
              <w:t>-</w:t>
            </w:r>
            <w:r w:rsidRPr="008939D4">
              <w:rPr>
                <w:sz w:val="20"/>
                <w:szCs w:val="20"/>
              </w:rPr>
              <w:t>0.</w:t>
            </w:r>
            <w:r w:rsidR="007C0E1B">
              <w:rPr>
                <w:sz w:val="20"/>
                <w:szCs w:val="20"/>
              </w:rPr>
              <w:t>7</w:t>
            </w:r>
            <w:r w:rsidR="00652CC1" w:rsidRPr="008939D4">
              <w:rPr>
                <w:sz w:val="20"/>
                <w:szCs w:val="20"/>
              </w:rPr>
              <w:t xml:space="preserve"> to </w:t>
            </w:r>
            <w:r w:rsidR="001F63AD">
              <w:rPr>
                <w:sz w:val="20"/>
                <w:szCs w:val="20"/>
              </w:rPr>
              <w:t>1</w:t>
            </w:r>
            <w:r w:rsidRPr="008939D4">
              <w:rPr>
                <w:sz w:val="20"/>
                <w:szCs w:val="20"/>
              </w:rPr>
              <w:t>.</w:t>
            </w:r>
            <w:r w:rsidR="007C0E1B">
              <w:rPr>
                <w:sz w:val="20"/>
                <w:szCs w:val="20"/>
              </w:rPr>
              <w:t>2</w:t>
            </w:r>
            <w:r w:rsidR="00652CC1" w:rsidRPr="008939D4">
              <w:rPr>
                <w:sz w:val="20"/>
                <w:szCs w:val="20"/>
              </w:rPr>
              <w:t>)</w:t>
            </w:r>
          </w:p>
        </w:tc>
        <w:tc>
          <w:tcPr>
            <w:tcW w:w="2073" w:type="dxa"/>
            <w:tcBorders>
              <w:bottom w:val="double" w:sz="4" w:space="0" w:color="auto"/>
            </w:tcBorders>
            <w:vAlign w:val="center"/>
          </w:tcPr>
          <w:p w14:paraId="58A0DA18" w14:textId="24F24BD6" w:rsidR="00652CC1" w:rsidRPr="008939D4" w:rsidRDefault="001F63AD" w:rsidP="007C0E1B">
            <w:pPr>
              <w:spacing w:line="240" w:lineRule="auto"/>
              <w:rPr>
                <w:sz w:val="20"/>
                <w:szCs w:val="20"/>
              </w:rPr>
            </w:pPr>
            <w:r>
              <w:rPr>
                <w:sz w:val="20"/>
                <w:szCs w:val="20"/>
              </w:rPr>
              <w:t>1</w:t>
            </w:r>
            <w:r w:rsidR="00652CC1" w:rsidRPr="008939D4">
              <w:rPr>
                <w:sz w:val="20"/>
                <w:szCs w:val="20"/>
              </w:rPr>
              <w:t>.</w:t>
            </w:r>
            <w:r w:rsidR="007C0E1B">
              <w:rPr>
                <w:sz w:val="20"/>
                <w:szCs w:val="20"/>
              </w:rPr>
              <w:t>8</w:t>
            </w:r>
            <w:r w:rsidR="00652CC1" w:rsidRPr="008939D4">
              <w:rPr>
                <w:sz w:val="20"/>
                <w:szCs w:val="20"/>
              </w:rPr>
              <w:t>% (</w:t>
            </w:r>
            <w:r w:rsidR="007C0E1B">
              <w:rPr>
                <w:sz w:val="20"/>
                <w:szCs w:val="20"/>
              </w:rPr>
              <w:t>-</w:t>
            </w:r>
            <w:r>
              <w:rPr>
                <w:sz w:val="20"/>
                <w:szCs w:val="20"/>
              </w:rPr>
              <w:t>0</w:t>
            </w:r>
            <w:r w:rsidR="00652CC1" w:rsidRPr="008939D4">
              <w:rPr>
                <w:sz w:val="20"/>
                <w:szCs w:val="20"/>
              </w:rPr>
              <w:t>.</w:t>
            </w:r>
            <w:r w:rsidR="007C0E1B">
              <w:rPr>
                <w:sz w:val="20"/>
                <w:szCs w:val="20"/>
              </w:rPr>
              <w:t>6</w:t>
            </w:r>
            <w:r w:rsidR="00CF1706">
              <w:rPr>
                <w:sz w:val="20"/>
                <w:szCs w:val="20"/>
              </w:rPr>
              <w:t>%</w:t>
            </w:r>
            <w:r w:rsidR="00652CC1" w:rsidRPr="008939D4">
              <w:rPr>
                <w:sz w:val="20"/>
                <w:szCs w:val="20"/>
              </w:rPr>
              <w:t xml:space="preserve"> to </w:t>
            </w:r>
            <w:r>
              <w:rPr>
                <w:sz w:val="20"/>
                <w:szCs w:val="20"/>
              </w:rPr>
              <w:t>4</w:t>
            </w:r>
            <w:r w:rsidR="00652CC1" w:rsidRPr="008939D4">
              <w:rPr>
                <w:sz w:val="20"/>
                <w:szCs w:val="20"/>
              </w:rPr>
              <w:t>.</w:t>
            </w:r>
            <w:r>
              <w:rPr>
                <w:sz w:val="20"/>
                <w:szCs w:val="20"/>
              </w:rPr>
              <w:t>0</w:t>
            </w:r>
            <w:r w:rsidR="00687F10">
              <w:rPr>
                <w:sz w:val="20"/>
                <w:szCs w:val="20"/>
              </w:rPr>
              <w:t>%</w:t>
            </w:r>
            <w:r w:rsidR="00652CC1" w:rsidRPr="008939D4">
              <w:rPr>
                <w:sz w:val="20"/>
                <w:szCs w:val="20"/>
              </w:rPr>
              <w:t>)</w:t>
            </w:r>
          </w:p>
        </w:tc>
        <w:tc>
          <w:tcPr>
            <w:tcW w:w="1961" w:type="dxa"/>
            <w:tcBorders>
              <w:bottom w:val="double" w:sz="4" w:space="0" w:color="auto"/>
            </w:tcBorders>
            <w:vAlign w:val="center"/>
          </w:tcPr>
          <w:p w14:paraId="2DDBAD1A" w14:textId="28EBC532" w:rsidR="00652CC1" w:rsidRPr="008939D4" w:rsidRDefault="007C0E1B" w:rsidP="007C0E1B">
            <w:pPr>
              <w:spacing w:line="240" w:lineRule="auto"/>
              <w:rPr>
                <w:sz w:val="20"/>
                <w:szCs w:val="20"/>
              </w:rPr>
            </w:pPr>
            <w:r>
              <w:rPr>
                <w:sz w:val="20"/>
                <w:szCs w:val="20"/>
              </w:rPr>
              <w:t>2.7</w:t>
            </w:r>
            <w:r w:rsidR="00652CC1" w:rsidRPr="008939D4">
              <w:rPr>
                <w:sz w:val="20"/>
                <w:szCs w:val="20"/>
              </w:rPr>
              <w:t>% (</w:t>
            </w:r>
            <w:r w:rsidR="008939D4">
              <w:rPr>
                <w:sz w:val="20"/>
                <w:szCs w:val="20"/>
              </w:rPr>
              <w:t>-</w:t>
            </w:r>
            <w:r>
              <w:rPr>
                <w:sz w:val="20"/>
                <w:szCs w:val="20"/>
              </w:rPr>
              <w:t>7.7</w:t>
            </w:r>
            <w:r w:rsidR="00CF1706">
              <w:rPr>
                <w:sz w:val="20"/>
                <w:szCs w:val="20"/>
              </w:rPr>
              <w:t>%</w:t>
            </w:r>
            <w:r w:rsidR="00652CC1" w:rsidRPr="008939D4">
              <w:rPr>
                <w:sz w:val="20"/>
                <w:szCs w:val="20"/>
              </w:rPr>
              <w:t xml:space="preserve"> to </w:t>
            </w:r>
            <w:r w:rsidR="001F63AD">
              <w:rPr>
                <w:sz w:val="20"/>
                <w:szCs w:val="20"/>
              </w:rPr>
              <w:t>1</w:t>
            </w:r>
            <w:r>
              <w:rPr>
                <w:sz w:val="20"/>
                <w:szCs w:val="20"/>
              </w:rPr>
              <w:t>1</w:t>
            </w:r>
            <w:r w:rsidR="00652CC1" w:rsidRPr="008939D4">
              <w:rPr>
                <w:sz w:val="20"/>
                <w:szCs w:val="20"/>
              </w:rPr>
              <w:t>.</w:t>
            </w:r>
            <w:r>
              <w:rPr>
                <w:sz w:val="20"/>
                <w:szCs w:val="20"/>
              </w:rPr>
              <w:t>6</w:t>
            </w:r>
            <w:r w:rsidR="00CF1706">
              <w:rPr>
                <w:sz w:val="20"/>
                <w:szCs w:val="20"/>
              </w:rPr>
              <w:t>%</w:t>
            </w:r>
            <w:r w:rsidR="00652CC1" w:rsidRPr="008939D4">
              <w:rPr>
                <w:sz w:val="20"/>
                <w:szCs w:val="20"/>
              </w:rPr>
              <w:t>)</w:t>
            </w:r>
          </w:p>
        </w:tc>
      </w:tr>
      <w:tr w:rsidR="00934EBF" w:rsidRPr="008939D4" w14:paraId="0037CF60" w14:textId="77777777" w:rsidTr="00E50A57">
        <w:tc>
          <w:tcPr>
            <w:tcW w:w="1928" w:type="dxa"/>
            <w:tcBorders>
              <w:top w:val="double" w:sz="4" w:space="0" w:color="auto"/>
            </w:tcBorders>
            <w:vAlign w:val="center"/>
          </w:tcPr>
          <w:p w14:paraId="2CD27BB0" w14:textId="77777777" w:rsidR="00652CC1" w:rsidRPr="008939D4" w:rsidRDefault="00652CC1" w:rsidP="008939D4">
            <w:pPr>
              <w:spacing w:line="240" w:lineRule="auto"/>
              <w:rPr>
                <w:sz w:val="20"/>
                <w:szCs w:val="20"/>
              </w:rPr>
            </w:pPr>
            <w:r w:rsidRPr="008939D4">
              <w:rPr>
                <w:sz w:val="20"/>
                <w:szCs w:val="20"/>
              </w:rPr>
              <w:t>Slope</w:t>
            </w:r>
          </w:p>
        </w:tc>
        <w:tc>
          <w:tcPr>
            <w:tcW w:w="1935" w:type="dxa"/>
            <w:tcBorders>
              <w:top w:val="double" w:sz="4" w:space="0" w:color="auto"/>
            </w:tcBorders>
            <w:vAlign w:val="center"/>
          </w:tcPr>
          <w:p w14:paraId="21DFE183" w14:textId="4FFD0CA0" w:rsidR="00652CC1" w:rsidRPr="008939D4" w:rsidRDefault="00577559" w:rsidP="00577559">
            <w:pPr>
              <w:spacing w:line="240" w:lineRule="auto"/>
              <w:rPr>
                <w:sz w:val="20"/>
                <w:szCs w:val="20"/>
              </w:rPr>
            </w:pPr>
            <w:r>
              <w:rPr>
                <w:sz w:val="20"/>
                <w:szCs w:val="20"/>
              </w:rPr>
              <w:t>0.6</w:t>
            </w:r>
            <w:r w:rsidR="00191066">
              <w:rPr>
                <w:sz w:val="20"/>
                <w:szCs w:val="20"/>
              </w:rPr>
              <w:t xml:space="preserve"> (95% CI: </w:t>
            </w:r>
            <w:r>
              <w:rPr>
                <w:sz w:val="20"/>
                <w:szCs w:val="20"/>
              </w:rPr>
              <w:t>0.0</w:t>
            </w:r>
            <w:r w:rsidR="00191066">
              <w:rPr>
                <w:sz w:val="20"/>
                <w:szCs w:val="20"/>
              </w:rPr>
              <w:t xml:space="preserve"> to </w:t>
            </w:r>
            <w:r>
              <w:rPr>
                <w:sz w:val="20"/>
                <w:szCs w:val="20"/>
              </w:rPr>
              <w:t>1.1</w:t>
            </w:r>
            <w:r w:rsidR="00191066">
              <w:rPr>
                <w:sz w:val="20"/>
                <w:szCs w:val="20"/>
              </w:rPr>
              <w:t>)</w:t>
            </w:r>
          </w:p>
        </w:tc>
        <w:tc>
          <w:tcPr>
            <w:tcW w:w="2071" w:type="dxa"/>
            <w:tcBorders>
              <w:top w:val="double" w:sz="4" w:space="0" w:color="auto"/>
            </w:tcBorders>
            <w:vAlign w:val="center"/>
          </w:tcPr>
          <w:p w14:paraId="24DB1883" w14:textId="4197C320" w:rsidR="00652CC1" w:rsidRPr="008939D4" w:rsidRDefault="00991860" w:rsidP="007C0E1B">
            <w:pPr>
              <w:spacing w:line="240" w:lineRule="auto"/>
              <w:rPr>
                <w:sz w:val="20"/>
                <w:szCs w:val="20"/>
              </w:rPr>
            </w:pPr>
            <w:r>
              <w:rPr>
                <w:sz w:val="20"/>
                <w:szCs w:val="20"/>
              </w:rPr>
              <w:t>0.</w:t>
            </w:r>
            <w:r w:rsidR="001F63AD">
              <w:rPr>
                <w:sz w:val="20"/>
                <w:szCs w:val="20"/>
              </w:rPr>
              <w:t>0</w:t>
            </w:r>
            <w:r w:rsidR="00741F08">
              <w:rPr>
                <w:sz w:val="20"/>
                <w:szCs w:val="20"/>
              </w:rPr>
              <w:t xml:space="preserve"> (95% CI: -0.</w:t>
            </w:r>
            <w:r w:rsidR="001F63AD">
              <w:rPr>
                <w:sz w:val="20"/>
                <w:szCs w:val="20"/>
              </w:rPr>
              <w:t>1</w:t>
            </w:r>
            <w:r>
              <w:rPr>
                <w:sz w:val="20"/>
                <w:szCs w:val="20"/>
              </w:rPr>
              <w:t xml:space="preserve"> to 0.</w:t>
            </w:r>
            <w:r w:rsidR="007C0E1B">
              <w:rPr>
                <w:sz w:val="20"/>
                <w:szCs w:val="20"/>
              </w:rPr>
              <w:t>2</w:t>
            </w:r>
            <w:r>
              <w:rPr>
                <w:sz w:val="20"/>
                <w:szCs w:val="20"/>
              </w:rPr>
              <w:t>)</w:t>
            </w:r>
          </w:p>
        </w:tc>
        <w:tc>
          <w:tcPr>
            <w:tcW w:w="2073" w:type="dxa"/>
            <w:tcBorders>
              <w:top w:val="double" w:sz="4" w:space="0" w:color="auto"/>
            </w:tcBorders>
            <w:vAlign w:val="center"/>
          </w:tcPr>
          <w:p w14:paraId="04481CBB" w14:textId="662F7835" w:rsidR="00652CC1" w:rsidRPr="008939D4" w:rsidRDefault="00991860" w:rsidP="007C0E1B">
            <w:pPr>
              <w:spacing w:line="240" w:lineRule="auto"/>
              <w:rPr>
                <w:sz w:val="20"/>
                <w:szCs w:val="20"/>
              </w:rPr>
            </w:pPr>
            <w:r>
              <w:rPr>
                <w:sz w:val="20"/>
                <w:szCs w:val="20"/>
              </w:rPr>
              <w:t>0.</w:t>
            </w:r>
            <w:r w:rsidR="007C0E1B">
              <w:rPr>
                <w:sz w:val="20"/>
                <w:szCs w:val="20"/>
              </w:rPr>
              <w:t>2</w:t>
            </w:r>
            <w:r>
              <w:rPr>
                <w:sz w:val="20"/>
                <w:szCs w:val="20"/>
              </w:rPr>
              <w:t xml:space="preserve">% (95% CI: </w:t>
            </w:r>
            <w:r w:rsidR="007C0E1B">
              <w:rPr>
                <w:sz w:val="20"/>
                <w:szCs w:val="20"/>
              </w:rPr>
              <w:t>-</w:t>
            </w:r>
            <w:r>
              <w:rPr>
                <w:sz w:val="20"/>
                <w:szCs w:val="20"/>
              </w:rPr>
              <w:t>0.</w:t>
            </w:r>
            <w:r w:rsidR="007C0E1B">
              <w:rPr>
                <w:sz w:val="20"/>
                <w:szCs w:val="20"/>
              </w:rPr>
              <w:t>1</w:t>
            </w:r>
            <w:r>
              <w:rPr>
                <w:sz w:val="20"/>
                <w:szCs w:val="20"/>
              </w:rPr>
              <w:t xml:space="preserve">% to </w:t>
            </w:r>
            <w:r w:rsidR="00AA56D0">
              <w:rPr>
                <w:sz w:val="20"/>
                <w:szCs w:val="20"/>
              </w:rPr>
              <w:t>0</w:t>
            </w:r>
            <w:r>
              <w:rPr>
                <w:sz w:val="20"/>
                <w:szCs w:val="20"/>
              </w:rPr>
              <w:t>.</w:t>
            </w:r>
            <w:r w:rsidR="007C0E1B">
              <w:rPr>
                <w:sz w:val="20"/>
                <w:szCs w:val="20"/>
              </w:rPr>
              <w:t>5</w:t>
            </w:r>
            <w:r>
              <w:rPr>
                <w:sz w:val="20"/>
                <w:szCs w:val="20"/>
              </w:rPr>
              <w:t>%)</w:t>
            </w:r>
          </w:p>
        </w:tc>
        <w:tc>
          <w:tcPr>
            <w:tcW w:w="1961" w:type="dxa"/>
            <w:tcBorders>
              <w:top w:val="double" w:sz="4" w:space="0" w:color="auto"/>
            </w:tcBorders>
            <w:vAlign w:val="center"/>
          </w:tcPr>
          <w:p w14:paraId="5D82DBD1" w14:textId="02815DBF" w:rsidR="00652CC1" w:rsidRPr="008939D4" w:rsidRDefault="00991860" w:rsidP="00011E21">
            <w:pPr>
              <w:spacing w:line="240" w:lineRule="auto"/>
              <w:rPr>
                <w:sz w:val="20"/>
                <w:szCs w:val="20"/>
              </w:rPr>
            </w:pPr>
            <w:r>
              <w:rPr>
                <w:sz w:val="20"/>
                <w:szCs w:val="20"/>
              </w:rPr>
              <w:t>0.</w:t>
            </w:r>
            <w:r w:rsidR="007C0E1B">
              <w:rPr>
                <w:sz w:val="20"/>
                <w:szCs w:val="20"/>
              </w:rPr>
              <w:t>3</w:t>
            </w:r>
            <w:r>
              <w:rPr>
                <w:sz w:val="20"/>
                <w:szCs w:val="20"/>
              </w:rPr>
              <w:t>% (95% CI: -1.</w:t>
            </w:r>
            <w:r w:rsidR="00011E21">
              <w:rPr>
                <w:sz w:val="20"/>
                <w:szCs w:val="20"/>
              </w:rPr>
              <w:t>1</w:t>
            </w:r>
            <w:r w:rsidR="00CF1706">
              <w:rPr>
                <w:sz w:val="20"/>
                <w:szCs w:val="20"/>
              </w:rPr>
              <w:t>%</w:t>
            </w:r>
            <w:r>
              <w:rPr>
                <w:sz w:val="20"/>
                <w:szCs w:val="20"/>
              </w:rPr>
              <w:t xml:space="preserve"> to </w:t>
            </w:r>
            <w:r w:rsidR="001F63AD">
              <w:rPr>
                <w:sz w:val="20"/>
                <w:szCs w:val="20"/>
              </w:rPr>
              <w:t>1</w:t>
            </w:r>
            <w:r>
              <w:rPr>
                <w:sz w:val="20"/>
                <w:szCs w:val="20"/>
              </w:rPr>
              <w:t>.</w:t>
            </w:r>
            <w:r w:rsidR="00011E21">
              <w:rPr>
                <w:sz w:val="20"/>
                <w:szCs w:val="20"/>
              </w:rPr>
              <w:t>6</w:t>
            </w:r>
            <w:r w:rsidR="00CF1706">
              <w:rPr>
                <w:sz w:val="20"/>
                <w:szCs w:val="20"/>
              </w:rPr>
              <w:t>%</w:t>
            </w:r>
            <w:r>
              <w:rPr>
                <w:sz w:val="20"/>
                <w:szCs w:val="20"/>
              </w:rPr>
              <w:t>)</w:t>
            </w:r>
          </w:p>
        </w:tc>
      </w:tr>
      <w:tr w:rsidR="00934EBF" w:rsidRPr="008939D4" w14:paraId="615E16DE" w14:textId="77777777" w:rsidTr="00E50A57">
        <w:tc>
          <w:tcPr>
            <w:tcW w:w="1928" w:type="dxa"/>
            <w:vAlign w:val="center"/>
          </w:tcPr>
          <w:p w14:paraId="781B3F4F" w14:textId="29641E73" w:rsidR="00AC0B2F" w:rsidRPr="008939D4" w:rsidRDefault="00AC0B2F" w:rsidP="00F4353F">
            <w:pPr>
              <w:spacing w:line="240" w:lineRule="auto"/>
              <w:jc w:val="left"/>
              <w:rPr>
                <w:sz w:val="20"/>
                <w:szCs w:val="20"/>
              </w:rPr>
            </w:pPr>
            <w:r w:rsidRPr="008939D4">
              <w:rPr>
                <w:sz w:val="20"/>
                <w:szCs w:val="20"/>
              </w:rPr>
              <w:t xml:space="preserve">Slope </w:t>
            </w:r>
            <w:r w:rsidR="00F4353F">
              <w:rPr>
                <w:sz w:val="20"/>
                <w:szCs w:val="20"/>
              </w:rPr>
              <w:t>(directly</w:t>
            </w:r>
            <w:r w:rsidRPr="008939D4">
              <w:rPr>
                <w:sz w:val="20"/>
                <w:szCs w:val="20"/>
              </w:rPr>
              <w:t xml:space="preserve"> age and sex</w:t>
            </w:r>
            <w:r w:rsidR="00F4353F">
              <w:rPr>
                <w:sz w:val="20"/>
                <w:szCs w:val="20"/>
              </w:rPr>
              <w:t xml:space="preserve"> standardised)</w:t>
            </w:r>
          </w:p>
        </w:tc>
        <w:tc>
          <w:tcPr>
            <w:tcW w:w="1935" w:type="dxa"/>
            <w:vAlign w:val="center"/>
          </w:tcPr>
          <w:p w14:paraId="4858A4B3" w14:textId="581187DA" w:rsidR="00AC0B2F" w:rsidRPr="008939D4" w:rsidRDefault="00011E21" w:rsidP="00011E21">
            <w:pPr>
              <w:spacing w:line="240" w:lineRule="auto"/>
              <w:rPr>
                <w:sz w:val="20"/>
                <w:szCs w:val="20"/>
              </w:rPr>
            </w:pPr>
            <w:r>
              <w:rPr>
                <w:sz w:val="20"/>
                <w:szCs w:val="20"/>
              </w:rPr>
              <w:t>1</w:t>
            </w:r>
            <w:r w:rsidR="00991860">
              <w:rPr>
                <w:sz w:val="20"/>
                <w:szCs w:val="20"/>
              </w:rPr>
              <w:t>.</w:t>
            </w:r>
            <w:r>
              <w:rPr>
                <w:sz w:val="20"/>
                <w:szCs w:val="20"/>
              </w:rPr>
              <w:t>7</w:t>
            </w:r>
            <w:r w:rsidR="00991860">
              <w:rPr>
                <w:sz w:val="20"/>
                <w:szCs w:val="20"/>
              </w:rPr>
              <w:t xml:space="preserve"> (95% CI: </w:t>
            </w:r>
            <w:r>
              <w:rPr>
                <w:sz w:val="20"/>
                <w:szCs w:val="20"/>
              </w:rPr>
              <w:t>1</w:t>
            </w:r>
            <w:r w:rsidR="00991860">
              <w:rPr>
                <w:sz w:val="20"/>
                <w:szCs w:val="20"/>
              </w:rPr>
              <w:t>.</w:t>
            </w:r>
            <w:r>
              <w:rPr>
                <w:sz w:val="20"/>
                <w:szCs w:val="20"/>
              </w:rPr>
              <w:t>1</w:t>
            </w:r>
            <w:r w:rsidR="00991860">
              <w:rPr>
                <w:sz w:val="20"/>
                <w:szCs w:val="20"/>
              </w:rPr>
              <w:t xml:space="preserve"> to </w:t>
            </w:r>
            <w:r>
              <w:rPr>
                <w:sz w:val="20"/>
                <w:szCs w:val="20"/>
              </w:rPr>
              <w:t>2</w:t>
            </w:r>
            <w:r w:rsidR="00991860">
              <w:rPr>
                <w:sz w:val="20"/>
                <w:szCs w:val="20"/>
              </w:rPr>
              <w:t>.</w:t>
            </w:r>
            <w:r>
              <w:rPr>
                <w:sz w:val="20"/>
                <w:szCs w:val="20"/>
              </w:rPr>
              <w:t>3</w:t>
            </w:r>
            <w:r w:rsidR="00991860">
              <w:rPr>
                <w:sz w:val="20"/>
                <w:szCs w:val="20"/>
              </w:rPr>
              <w:t>)</w:t>
            </w:r>
          </w:p>
        </w:tc>
        <w:tc>
          <w:tcPr>
            <w:tcW w:w="2071" w:type="dxa"/>
            <w:vAlign w:val="center"/>
          </w:tcPr>
          <w:p w14:paraId="0BB33794" w14:textId="4483DB7F" w:rsidR="00AC0B2F" w:rsidRPr="008939D4" w:rsidRDefault="00862F06" w:rsidP="00011E21">
            <w:pPr>
              <w:spacing w:line="240" w:lineRule="auto"/>
              <w:rPr>
                <w:sz w:val="20"/>
                <w:szCs w:val="20"/>
              </w:rPr>
            </w:pPr>
            <w:r>
              <w:rPr>
                <w:sz w:val="20"/>
                <w:szCs w:val="20"/>
              </w:rPr>
              <w:t>0.</w:t>
            </w:r>
            <w:r w:rsidR="00AA56D0">
              <w:rPr>
                <w:sz w:val="20"/>
                <w:szCs w:val="20"/>
              </w:rPr>
              <w:t>1</w:t>
            </w:r>
            <w:r w:rsidR="00991860">
              <w:rPr>
                <w:sz w:val="20"/>
                <w:szCs w:val="20"/>
              </w:rPr>
              <w:t xml:space="preserve"> (95% CI: </w:t>
            </w:r>
            <w:r w:rsidR="00151A72">
              <w:rPr>
                <w:sz w:val="20"/>
                <w:szCs w:val="20"/>
              </w:rPr>
              <w:t>0.</w:t>
            </w:r>
            <w:r w:rsidR="00AA56D0">
              <w:rPr>
                <w:sz w:val="20"/>
                <w:szCs w:val="20"/>
              </w:rPr>
              <w:t>0</w:t>
            </w:r>
            <w:r w:rsidR="00AC10B1">
              <w:rPr>
                <w:sz w:val="20"/>
                <w:szCs w:val="20"/>
              </w:rPr>
              <w:t xml:space="preserve"> to 0.</w:t>
            </w:r>
            <w:r w:rsidR="00011E21">
              <w:rPr>
                <w:sz w:val="20"/>
                <w:szCs w:val="20"/>
              </w:rPr>
              <w:t>2</w:t>
            </w:r>
            <w:r w:rsidR="00991860">
              <w:rPr>
                <w:sz w:val="20"/>
                <w:szCs w:val="20"/>
              </w:rPr>
              <w:t>)</w:t>
            </w:r>
          </w:p>
        </w:tc>
        <w:tc>
          <w:tcPr>
            <w:tcW w:w="2073" w:type="dxa"/>
            <w:vAlign w:val="center"/>
          </w:tcPr>
          <w:p w14:paraId="7567E65B" w14:textId="25859BD2" w:rsidR="00AC0B2F" w:rsidRPr="008939D4" w:rsidRDefault="00991860" w:rsidP="00011E21">
            <w:pPr>
              <w:spacing w:line="240" w:lineRule="auto"/>
              <w:rPr>
                <w:sz w:val="20"/>
                <w:szCs w:val="20"/>
              </w:rPr>
            </w:pPr>
            <w:r>
              <w:rPr>
                <w:sz w:val="20"/>
                <w:szCs w:val="20"/>
              </w:rPr>
              <w:t>0.</w:t>
            </w:r>
            <w:r w:rsidR="00AA56D0">
              <w:rPr>
                <w:sz w:val="20"/>
                <w:szCs w:val="20"/>
              </w:rPr>
              <w:t>1</w:t>
            </w:r>
            <w:r>
              <w:rPr>
                <w:sz w:val="20"/>
                <w:szCs w:val="20"/>
              </w:rPr>
              <w:t xml:space="preserve">% (95% CI: </w:t>
            </w:r>
            <w:r w:rsidR="00011E21">
              <w:rPr>
                <w:sz w:val="20"/>
                <w:szCs w:val="20"/>
              </w:rPr>
              <w:t>-0.2</w:t>
            </w:r>
            <w:r w:rsidR="00CF1706">
              <w:rPr>
                <w:sz w:val="20"/>
                <w:szCs w:val="20"/>
              </w:rPr>
              <w:t>%</w:t>
            </w:r>
            <w:r w:rsidR="00011E21">
              <w:rPr>
                <w:sz w:val="20"/>
                <w:szCs w:val="20"/>
              </w:rPr>
              <w:t xml:space="preserve"> to 0.4</w:t>
            </w:r>
            <w:r w:rsidR="00CF1706">
              <w:rPr>
                <w:sz w:val="20"/>
                <w:szCs w:val="20"/>
              </w:rPr>
              <w:t>%</w:t>
            </w:r>
            <w:r>
              <w:rPr>
                <w:sz w:val="20"/>
                <w:szCs w:val="20"/>
              </w:rPr>
              <w:t>)</w:t>
            </w:r>
          </w:p>
        </w:tc>
        <w:tc>
          <w:tcPr>
            <w:tcW w:w="1961" w:type="dxa"/>
            <w:vAlign w:val="center"/>
          </w:tcPr>
          <w:p w14:paraId="2DFD16BD" w14:textId="06E14503" w:rsidR="00AC0B2F" w:rsidRPr="008939D4" w:rsidRDefault="00AA56D0" w:rsidP="00011E21">
            <w:pPr>
              <w:spacing w:line="240" w:lineRule="auto"/>
              <w:rPr>
                <w:sz w:val="20"/>
                <w:szCs w:val="20"/>
              </w:rPr>
            </w:pPr>
            <w:r>
              <w:rPr>
                <w:sz w:val="20"/>
                <w:szCs w:val="20"/>
              </w:rPr>
              <w:t>-</w:t>
            </w:r>
            <w:r w:rsidR="00151A72">
              <w:rPr>
                <w:sz w:val="20"/>
                <w:szCs w:val="20"/>
              </w:rPr>
              <w:t>0</w:t>
            </w:r>
            <w:r>
              <w:rPr>
                <w:sz w:val="20"/>
                <w:szCs w:val="20"/>
              </w:rPr>
              <w:t>.</w:t>
            </w:r>
            <w:r w:rsidR="00011E21">
              <w:rPr>
                <w:sz w:val="20"/>
                <w:szCs w:val="20"/>
              </w:rPr>
              <w:t>2</w:t>
            </w:r>
            <w:r w:rsidR="00151A72">
              <w:rPr>
                <w:sz w:val="20"/>
                <w:szCs w:val="20"/>
              </w:rPr>
              <w:t>% (95% CI: -</w:t>
            </w:r>
            <w:r>
              <w:rPr>
                <w:sz w:val="20"/>
                <w:szCs w:val="20"/>
              </w:rPr>
              <w:t>1.</w:t>
            </w:r>
            <w:r w:rsidR="00011E21">
              <w:rPr>
                <w:sz w:val="20"/>
                <w:szCs w:val="20"/>
              </w:rPr>
              <w:t>6</w:t>
            </w:r>
            <w:r w:rsidR="00CF1706">
              <w:rPr>
                <w:sz w:val="20"/>
                <w:szCs w:val="20"/>
              </w:rPr>
              <w:t>%</w:t>
            </w:r>
            <w:r w:rsidR="00151A72">
              <w:rPr>
                <w:sz w:val="20"/>
                <w:szCs w:val="20"/>
              </w:rPr>
              <w:t xml:space="preserve"> to </w:t>
            </w:r>
            <w:r w:rsidR="00011E21">
              <w:rPr>
                <w:sz w:val="20"/>
                <w:szCs w:val="20"/>
              </w:rPr>
              <w:t>1</w:t>
            </w:r>
            <w:r>
              <w:rPr>
                <w:sz w:val="20"/>
                <w:szCs w:val="20"/>
              </w:rPr>
              <w:t>.</w:t>
            </w:r>
            <w:r w:rsidR="00011E21">
              <w:rPr>
                <w:sz w:val="20"/>
                <w:szCs w:val="20"/>
              </w:rPr>
              <w:t>1</w:t>
            </w:r>
            <w:r w:rsidR="00CF1706">
              <w:rPr>
                <w:sz w:val="20"/>
                <w:szCs w:val="20"/>
              </w:rPr>
              <w:t>%</w:t>
            </w:r>
            <w:r w:rsidR="00151A72">
              <w:rPr>
                <w:sz w:val="20"/>
                <w:szCs w:val="20"/>
              </w:rPr>
              <w:t>)</w:t>
            </w:r>
          </w:p>
        </w:tc>
      </w:tr>
      <w:tr w:rsidR="00E50A57" w:rsidRPr="008939D4" w14:paraId="42DB2E20" w14:textId="77777777" w:rsidTr="009E7C87">
        <w:tc>
          <w:tcPr>
            <w:tcW w:w="9968" w:type="dxa"/>
            <w:gridSpan w:val="5"/>
            <w:vAlign w:val="center"/>
          </w:tcPr>
          <w:p w14:paraId="2BB7BD05" w14:textId="7B80733E" w:rsidR="00E50A57" w:rsidRDefault="00E50A57" w:rsidP="00CF1706">
            <w:pPr>
              <w:spacing w:line="240" w:lineRule="auto"/>
              <w:rPr>
                <w:sz w:val="20"/>
                <w:szCs w:val="20"/>
              </w:rPr>
            </w:pPr>
            <w:r w:rsidRPr="00E50A57">
              <w:rPr>
                <w:sz w:val="20"/>
                <w:szCs w:val="20"/>
              </w:rPr>
              <w:t>Absolute and relative reductions of cases prevented or postponed (CPP) are presented for cardiovascular disease (CVD) and gastric cancer (GCa). The slope for absolute and relative reduction represents the absolute and relative equity slope index, respectively. Brackets contain interquartile ranges (IQR) for the estimated CPP and 95% confidence intervals (CI) for the slopes.</w:t>
            </w:r>
          </w:p>
        </w:tc>
      </w:tr>
    </w:tbl>
    <w:p w14:paraId="71A0240D" w14:textId="77777777" w:rsidR="00652CC1" w:rsidRDefault="00652CC1" w:rsidP="00AC0B1E">
      <w:pPr>
        <w:rPr>
          <w:lang w:eastAsia="en-GB"/>
        </w:rPr>
      </w:pPr>
    </w:p>
    <w:p w14:paraId="27940C06" w14:textId="3731C118" w:rsidR="00081FBF" w:rsidRDefault="00081FBF" w:rsidP="00AC0B1E">
      <w:pPr>
        <w:pStyle w:val="Caption"/>
      </w:pPr>
      <w:bookmarkStart w:id="5" w:name="_Ref432169376"/>
      <w:r>
        <w:t xml:space="preserve">Table </w:t>
      </w:r>
      <w:r w:rsidR="00A532AE">
        <w:fldChar w:fldCharType="begin"/>
      </w:r>
      <w:r w:rsidR="00A532AE">
        <w:instrText xml:space="preserve"> SEQ Table \* ARABIC </w:instrText>
      </w:r>
      <w:r w:rsidR="00A532AE">
        <w:fldChar w:fldCharType="separate"/>
      </w:r>
      <w:r w:rsidR="004F3777">
        <w:rPr>
          <w:noProof/>
        </w:rPr>
        <w:t>5</w:t>
      </w:r>
      <w:r w:rsidR="00A532AE">
        <w:rPr>
          <w:noProof/>
        </w:rPr>
        <w:fldChar w:fldCharType="end"/>
      </w:r>
      <w:bookmarkEnd w:id="5"/>
      <w:r>
        <w:t>.</w:t>
      </w:r>
      <w:r w:rsidRPr="00081FBF">
        <w:t xml:space="preserve"> </w:t>
      </w:r>
      <w:r w:rsidR="00566088">
        <w:rPr>
          <w:noProof/>
        </w:rPr>
        <w:t>The a</w:t>
      </w:r>
      <w:r w:rsidRPr="00566088">
        <w:rPr>
          <w:noProof/>
        </w:rPr>
        <w:t>dditional</w:t>
      </w:r>
      <w:r>
        <w:t xml:space="preserve"> effectiveness of ‘</w:t>
      </w:r>
      <w:r w:rsidR="00C83A51">
        <w:t>i</w:t>
      </w:r>
      <w:r>
        <w:t xml:space="preserve">deal’ compared </w:t>
      </w:r>
      <w:r w:rsidR="00A32C1F">
        <w:t>to</w:t>
      </w:r>
      <w:r>
        <w:t xml:space="preserve"> the ‘</w:t>
      </w:r>
      <w:r w:rsidR="00C83A51">
        <w:t>c</w:t>
      </w:r>
      <w:r>
        <w:t xml:space="preserve">urrent </w:t>
      </w:r>
      <w:r w:rsidR="00C83A51">
        <w:t>p</w:t>
      </w:r>
      <w:r>
        <w:t xml:space="preserve">olicy’ scenario by quantile group of </w:t>
      </w:r>
      <w:r w:rsidR="00F87CCF" w:rsidRPr="00F87CCF">
        <w:t>Index of Multiple Deprivation</w:t>
      </w:r>
      <w:r>
        <w:t xml:space="preserve"> (QIMD). </w:t>
      </w:r>
    </w:p>
    <w:tbl>
      <w:tblPr>
        <w:tblStyle w:val="TableGrid"/>
        <w:tblW w:w="0" w:type="auto"/>
        <w:tblLook w:val="04A0" w:firstRow="1" w:lastRow="0" w:firstColumn="1" w:lastColumn="0" w:noHBand="0" w:noVBand="1"/>
      </w:tblPr>
      <w:tblGrid>
        <w:gridCol w:w="1791"/>
        <w:gridCol w:w="2072"/>
        <w:gridCol w:w="2071"/>
        <w:gridCol w:w="2073"/>
        <w:gridCol w:w="1961"/>
      </w:tblGrid>
      <w:tr w:rsidR="00652CC1" w:rsidRPr="00B76C48" w14:paraId="51229639" w14:textId="77777777" w:rsidTr="00E50A57">
        <w:tc>
          <w:tcPr>
            <w:tcW w:w="1791" w:type="dxa"/>
            <w:vAlign w:val="center"/>
          </w:tcPr>
          <w:p w14:paraId="759DFB0C" w14:textId="77777777" w:rsidR="00652CC1" w:rsidRPr="00B76C48" w:rsidRDefault="00264F9A" w:rsidP="00B76C48">
            <w:pPr>
              <w:spacing w:line="240" w:lineRule="auto"/>
              <w:rPr>
                <w:sz w:val="20"/>
                <w:szCs w:val="20"/>
              </w:rPr>
            </w:pPr>
            <w:r w:rsidRPr="00B76C48">
              <w:rPr>
                <w:sz w:val="20"/>
                <w:szCs w:val="20"/>
              </w:rPr>
              <w:t>‘</w:t>
            </w:r>
            <w:r w:rsidR="00D9055C" w:rsidRPr="00B76C48">
              <w:rPr>
                <w:sz w:val="20"/>
                <w:szCs w:val="20"/>
              </w:rPr>
              <w:t>Ideal</w:t>
            </w:r>
            <w:r w:rsidRPr="00B76C48">
              <w:rPr>
                <w:sz w:val="20"/>
                <w:szCs w:val="20"/>
              </w:rPr>
              <w:t>’ scenario</w:t>
            </w:r>
          </w:p>
        </w:tc>
        <w:tc>
          <w:tcPr>
            <w:tcW w:w="4143" w:type="dxa"/>
            <w:gridSpan w:val="2"/>
            <w:vAlign w:val="bottom"/>
          </w:tcPr>
          <w:p w14:paraId="48B4F664" w14:textId="77777777" w:rsidR="00652CC1" w:rsidRPr="00B76C48" w:rsidRDefault="00652CC1" w:rsidP="00B76C48">
            <w:pPr>
              <w:spacing w:line="240" w:lineRule="auto"/>
              <w:rPr>
                <w:sz w:val="20"/>
                <w:szCs w:val="20"/>
              </w:rPr>
            </w:pPr>
            <w:r w:rsidRPr="00B76C48">
              <w:rPr>
                <w:sz w:val="20"/>
                <w:szCs w:val="20"/>
              </w:rPr>
              <w:t>CPP absolute reduction in thousands</w:t>
            </w:r>
          </w:p>
        </w:tc>
        <w:tc>
          <w:tcPr>
            <w:tcW w:w="4034" w:type="dxa"/>
            <w:gridSpan w:val="2"/>
            <w:vAlign w:val="bottom"/>
          </w:tcPr>
          <w:p w14:paraId="615D3E0E" w14:textId="77777777" w:rsidR="00652CC1" w:rsidRPr="00B76C48" w:rsidRDefault="00652CC1" w:rsidP="00B76C48">
            <w:pPr>
              <w:spacing w:line="240" w:lineRule="auto"/>
              <w:rPr>
                <w:sz w:val="20"/>
                <w:szCs w:val="20"/>
              </w:rPr>
            </w:pPr>
            <w:r w:rsidRPr="00B76C48">
              <w:rPr>
                <w:sz w:val="20"/>
                <w:szCs w:val="20"/>
              </w:rPr>
              <w:t>CPP relative percentage reduction</w:t>
            </w:r>
          </w:p>
        </w:tc>
      </w:tr>
      <w:tr w:rsidR="00652CC1" w:rsidRPr="00B76C48" w14:paraId="4643E3C8" w14:textId="77777777" w:rsidTr="00E50A57">
        <w:tc>
          <w:tcPr>
            <w:tcW w:w="1791" w:type="dxa"/>
            <w:vAlign w:val="center"/>
          </w:tcPr>
          <w:p w14:paraId="36E9DB34" w14:textId="77777777" w:rsidR="00652CC1" w:rsidRPr="00B76C48" w:rsidRDefault="00652CC1" w:rsidP="00B76C48">
            <w:pPr>
              <w:spacing w:line="240" w:lineRule="auto"/>
              <w:rPr>
                <w:sz w:val="20"/>
                <w:szCs w:val="20"/>
              </w:rPr>
            </w:pPr>
            <w:r w:rsidRPr="00B76C48">
              <w:rPr>
                <w:sz w:val="20"/>
                <w:szCs w:val="20"/>
              </w:rPr>
              <w:t>QIMD</w:t>
            </w:r>
          </w:p>
        </w:tc>
        <w:tc>
          <w:tcPr>
            <w:tcW w:w="2072" w:type="dxa"/>
            <w:vAlign w:val="center"/>
          </w:tcPr>
          <w:p w14:paraId="448B3335" w14:textId="77777777" w:rsidR="00652CC1" w:rsidRPr="00B76C48" w:rsidRDefault="00652CC1" w:rsidP="00B76C48">
            <w:pPr>
              <w:spacing w:line="240" w:lineRule="auto"/>
              <w:rPr>
                <w:sz w:val="20"/>
                <w:szCs w:val="20"/>
              </w:rPr>
            </w:pPr>
            <w:r w:rsidRPr="00B76C48">
              <w:rPr>
                <w:sz w:val="20"/>
                <w:szCs w:val="20"/>
              </w:rPr>
              <w:t xml:space="preserve">CVD </w:t>
            </w:r>
          </w:p>
        </w:tc>
        <w:tc>
          <w:tcPr>
            <w:tcW w:w="2071" w:type="dxa"/>
            <w:vAlign w:val="center"/>
          </w:tcPr>
          <w:p w14:paraId="2B383F83" w14:textId="77777777" w:rsidR="00652CC1" w:rsidRPr="00B76C48" w:rsidRDefault="00652CC1" w:rsidP="00B76C48">
            <w:pPr>
              <w:spacing w:line="240" w:lineRule="auto"/>
              <w:rPr>
                <w:sz w:val="20"/>
                <w:szCs w:val="20"/>
              </w:rPr>
            </w:pPr>
            <w:r w:rsidRPr="00B76C48">
              <w:rPr>
                <w:sz w:val="20"/>
                <w:szCs w:val="20"/>
              </w:rPr>
              <w:t xml:space="preserve">GCa </w:t>
            </w:r>
          </w:p>
        </w:tc>
        <w:tc>
          <w:tcPr>
            <w:tcW w:w="2073" w:type="dxa"/>
            <w:vAlign w:val="center"/>
          </w:tcPr>
          <w:p w14:paraId="27E95477" w14:textId="77777777" w:rsidR="00652CC1" w:rsidRPr="00B76C48" w:rsidRDefault="00652CC1" w:rsidP="00B76C48">
            <w:pPr>
              <w:spacing w:line="240" w:lineRule="auto"/>
              <w:rPr>
                <w:sz w:val="20"/>
                <w:szCs w:val="20"/>
              </w:rPr>
            </w:pPr>
            <w:r w:rsidRPr="00B76C48">
              <w:rPr>
                <w:sz w:val="20"/>
                <w:szCs w:val="20"/>
              </w:rPr>
              <w:t>CVD</w:t>
            </w:r>
          </w:p>
        </w:tc>
        <w:tc>
          <w:tcPr>
            <w:tcW w:w="1961" w:type="dxa"/>
            <w:vAlign w:val="center"/>
          </w:tcPr>
          <w:p w14:paraId="3D5A24D5" w14:textId="77777777" w:rsidR="00652CC1" w:rsidRPr="00B76C48" w:rsidRDefault="00652CC1" w:rsidP="00B76C48">
            <w:pPr>
              <w:spacing w:line="240" w:lineRule="auto"/>
              <w:rPr>
                <w:sz w:val="20"/>
                <w:szCs w:val="20"/>
              </w:rPr>
            </w:pPr>
            <w:r w:rsidRPr="00B76C48">
              <w:rPr>
                <w:sz w:val="20"/>
                <w:szCs w:val="20"/>
              </w:rPr>
              <w:t>GCa</w:t>
            </w:r>
          </w:p>
        </w:tc>
      </w:tr>
      <w:tr w:rsidR="00652CC1" w:rsidRPr="00B76C48" w14:paraId="5BBCFE62" w14:textId="77777777" w:rsidTr="00E50A57">
        <w:tc>
          <w:tcPr>
            <w:tcW w:w="1791" w:type="dxa"/>
            <w:vAlign w:val="center"/>
          </w:tcPr>
          <w:p w14:paraId="358658C8" w14:textId="77777777" w:rsidR="00652CC1" w:rsidRPr="00B76C48" w:rsidRDefault="00652CC1" w:rsidP="00B76C48">
            <w:pPr>
              <w:spacing w:line="240" w:lineRule="auto"/>
              <w:rPr>
                <w:sz w:val="20"/>
                <w:szCs w:val="20"/>
              </w:rPr>
            </w:pPr>
            <w:r w:rsidRPr="00B76C48">
              <w:rPr>
                <w:sz w:val="20"/>
                <w:szCs w:val="20"/>
              </w:rPr>
              <w:t>1 (least deprived)</w:t>
            </w:r>
          </w:p>
        </w:tc>
        <w:tc>
          <w:tcPr>
            <w:tcW w:w="2072" w:type="dxa"/>
            <w:vAlign w:val="center"/>
          </w:tcPr>
          <w:p w14:paraId="7E08C46C" w14:textId="23AFF7BD" w:rsidR="00652CC1" w:rsidRPr="00B76C48" w:rsidRDefault="00774687" w:rsidP="00774687">
            <w:pPr>
              <w:spacing w:line="240" w:lineRule="auto"/>
              <w:rPr>
                <w:sz w:val="20"/>
                <w:szCs w:val="20"/>
              </w:rPr>
            </w:pPr>
            <w:r>
              <w:rPr>
                <w:sz w:val="20"/>
                <w:szCs w:val="20"/>
              </w:rPr>
              <w:t>7</w:t>
            </w:r>
            <w:r w:rsidR="00023B36" w:rsidRPr="00B76C48">
              <w:rPr>
                <w:sz w:val="20"/>
                <w:szCs w:val="20"/>
              </w:rPr>
              <w:t>.</w:t>
            </w:r>
            <w:r>
              <w:rPr>
                <w:sz w:val="20"/>
                <w:szCs w:val="20"/>
              </w:rPr>
              <w:t>7</w:t>
            </w:r>
            <w:r w:rsidR="00652CC1" w:rsidRPr="00B76C48">
              <w:rPr>
                <w:sz w:val="20"/>
                <w:szCs w:val="20"/>
              </w:rPr>
              <w:t xml:space="preserve"> (</w:t>
            </w:r>
            <w:r w:rsidR="00F4607C">
              <w:rPr>
                <w:sz w:val="20"/>
                <w:szCs w:val="20"/>
              </w:rPr>
              <w:t>3</w:t>
            </w:r>
            <w:r w:rsidR="00632130">
              <w:rPr>
                <w:sz w:val="20"/>
                <w:szCs w:val="20"/>
              </w:rPr>
              <w:t>.</w:t>
            </w:r>
            <w:r>
              <w:rPr>
                <w:sz w:val="20"/>
                <w:szCs w:val="20"/>
              </w:rPr>
              <w:t>3</w:t>
            </w:r>
            <w:r w:rsidR="00652CC1" w:rsidRPr="00B76C48">
              <w:rPr>
                <w:sz w:val="20"/>
                <w:szCs w:val="20"/>
              </w:rPr>
              <w:t xml:space="preserve"> to </w:t>
            </w:r>
            <w:r w:rsidR="00934EBF">
              <w:rPr>
                <w:sz w:val="20"/>
                <w:szCs w:val="20"/>
              </w:rPr>
              <w:t>12</w:t>
            </w:r>
            <w:r w:rsidR="003C7C23" w:rsidRPr="00B76C48">
              <w:rPr>
                <w:sz w:val="20"/>
                <w:szCs w:val="20"/>
              </w:rPr>
              <w:t>.</w:t>
            </w:r>
            <w:r>
              <w:rPr>
                <w:sz w:val="20"/>
                <w:szCs w:val="20"/>
              </w:rPr>
              <w:t>6</w:t>
            </w:r>
            <w:r w:rsidR="00652CC1" w:rsidRPr="00B76C48">
              <w:rPr>
                <w:sz w:val="20"/>
                <w:szCs w:val="20"/>
              </w:rPr>
              <w:t>)</w:t>
            </w:r>
          </w:p>
        </w:tc>
        <w:tc>
          <w:tcPr>
            <w:tcW w:w="2071" w:type="dxa"/>
            <w:vAlign w:val="center"/>
          </w:tcPr>
          <w:p w14:paraId="31646649" w14:textId="43DD2ED1" w:rsidR="00652CC1" w:rsidRPr="00B76C48" w:rsidRDefault="006C455B" w:rsidP="006C455B">
            <w:pPr>
              <w:spacing w:line="240" w:lineRule="auto"/>
              <w:rPr>
                <w:sz w:val="20"/>
                <w:szCs w:val="20"/>
              </w:rPr>
            </w:pPr>
            <w:r>
              <w:rPr>
                <w:sz w:val="20"/>
                <w:szCs w:val="20"/>
              </w:rPr>
              <w:t>0.8</w:t>
            </w:r>
            <w:r w:rsidR="00652CC1" w:rsidRPr="00B76C48">
              <w:rPr>
                <w:sz w:val="20"/>
                <w:szCs w:val="20"/>
              </w:rPr>
              <w:t xml:space="preserve"> (</w:t>
            </w:r>
            <w:r>
              <w:rPr>
                <w:sz w:val="20"/>
                <w:szCs w:val="20"/>
              </w:rPr>
              <w:t>-</w:t>
            </w:r>
            <w:r w:rsidR="00934EBF">
              <w:rPr>
                <w:sz w:val="20"/>
                <w:szCs w:val="20"/>
              </w:rPr>
              <w:t>0</w:t>
            </w:r>
            <w:r>
              <w:rPr>
                <w:sz w:val="20"/>
                <w:szCs w:val="20"/>
              </w:rPr>
              <w:t>.3</w:t>
            </w:r>
            <w:r w:rsidR="00652CC1" w:rsidRPr="00B76C48">
              <w:rPr>
                <w:sz w:val="20"/>
                <w:szCs w:val="20"/>
              </w:rPr>
              <w:t xml:space="preserve"> to </w:t>
            </w:r>
            <w:r w:rsidR="000E6A20">
              <w:rPr>
                <w:sz w:val="20"/>
                <w:szCs w:val="20"/>
              </w:rPr>
              <w:t>1</w:t>
            </w:r>
            <w:r w:rsidR="003E448E" w:rsidRPr="00B76C48">
              <w:rPr>
                <w:sz w:val="20"/>
                <w:szCs w:val="20"/>
              </w:rPr>
              <w:t>.</w:t>
            </w:r>
            <w:r>
              <w:rPr>
                <w:sz w:val="20"/>
                <w:szCs w:val="20"/>
              </w:rPr>
              <w:t>7</w:t>
            </w:r>
            <w:r w:rsidR="00652CC1" w:rsidRPr="00B76C48">
              <w:rPr>
                <w:sz w:val="20"/>
                <w:szCs w:val="20"/>
              </w:rPr>
              <w:t>)</w:t>
            </w:r>
          </w:p>
        </w:tc>
        <w:tc>
          <w:tcPr>
            <w:tcW w:w="2073" w:type="dxa"/>
            <w:vAlign w:val="center"/>
          </w:tcPr>
          <w:p w14:paraId="73B4CC84" w14:textId="3DE829D4" w:rsidR="00652CC1" w:rsidRPr="00B76C48" w:rsidRDefault="00934EBF" w:rsidP="006C455B">
            <w:pPr>
              <w:spacing w:line="240" w:lineRule="auto"/>
              <w:rPr>
                <w:sz w:val="20"/>
                <w:szCs w:val="20"/>
              </w:rPr>
            </w:pPr>
            <w:r>
              <w:rPr>
                <w:sz w:val="20"/>
                <w:szCs w:val="20"/>
              </w:rPr>
              <w:t>4</w:t>
            </w:r>
            <w:r w:rsidR="00652CC1" w:rsidRPr="00B76C48">
              <w:rPr>
                <w:sz w:val="20"/>
                <w:szCs w:val="20"/>
              </w:rPr>
              <w:t>.</w:t>
            </w:r>
            <w:r w:rsidR="006C455B">
              <w:rPr>
                <w:sz w:val="20"/>
                <w:szCs w:val="20"/>
              </w:rPr>
              <w:t>2</w:t>
            </w:r>
            <w:r>
              <w:rPr>
                <w:sz w:val="20"/>
                <w:szCs w:val="20"/>
              </w:rPr>
              <w:t>%</w:t>
            </w:r>
            <w:r w:rsidR="00652CC1" w:rsidRPr="00B76C48">
              <w:rPr>
                <w:sz w:val="20"/>
                <w:szCs w:val="20"/>
              </w:rPr>
              <w:t xml:space="preserve"> (</w:t>
            </w:r>
            <w:r w:rsidR="006C455B">
              <w:rPr>
                <w:sz w:val="20"/>
                <w:szCs w:val="20"/>
              </w:rPr>
              <w:t>2.0</w:t>
            </w:r>
            <w:r w:rsidR="00FA3157">
              <w:rPr>
                <w:sz w:val="20"/>
                <w:szCs w:val="20"/>
              </w:rPr>
              <w:t>%</w:t>
            </w:r>
            <w:r w:rsidR="00652CC1" w:rsidRPr="00B76C48">
              <w:rPr>
                <w:sz w:val="20"/>
                <w:szCs w:val="20"/>
              </w:rPr>
              <w:t xml:space="preserve"> to </w:t>
            </w:r>
            <w:r w:rsidR="006C455B">
              <w:rPr>
                <w:sz w:val="20"/>
                <w:szCs w:val="20"/>
              </w:rPr>
              <w:t>6.5</w:t>
            </w:r>
            <w:r w:rsidR="00FA3157">
              <w:rPr>
                <w:sz w:val="20"/>
                <w:szCs w:val="20"/>
              </w:rPr>
              <w:t>%</w:t>
            </w:r>
            <w:r w:rsidR="00652CC1" w:rsidRPr="00B76C48">
              <w:rPr>
                <w:sz w:val="20"/>
                <w:szCs w:val="20"/>
              </w:rPr>
              <w:t>)</w:t>
            </w:r>
          </w:p>
        </w:tc>
        <w:tc>
          <w:tcPr>
            <w:tcW w:w="1961" w:type="dxa"/>
            <w:vAlign w:val="center"/>
          </w:tcPr>
          <w:p w14:paraId="7A16E786" w14:textId="0B1875D0" w:rsidR="00652CC1" w:rsidRPr="00B76C48" w:rsidRDefault="006C455B" w:rsidP="006C455B">
            <w:pPr>
              <w:spacing w:line="240" w:lineRule="auto"/>
              <w:rPr>
                <w:sz w:val="20"/>
                <w:szCs w:val="20"/>
              </w:rPr>
            </w:pPr>
            <w:r>
              <w:rPr>
                <w:sz w:val="20"/>
                <w:szCs w:val="20"/>
              </w:rPr>
              <w:t>6.7</w:t>
            </w:r>
            <w:r w:rsidR="004C7967">
              <w:rPr>
                <w:sz w:val="20"/>
                <w:szCs w:val="20"/>
              </w:rPr>
              <w:t>%</w:t>
            </w:r>
            <w:r w:rsidR="00652CC1" w:rsidRPr="00B76C48">
              <w:rPr>
                <w:sz w:val="20"/>
                <w:szCs w:val="20"/>
              </w:rPr>
              <w:t xml:space="preserve"> (</w:t>
            </w:r>
            <w:r>
              <w:rPr>
                <w:sz w:val="20"/>
                <w:szCs w:val="20"/>
              </w:rPr>
              <w:t>-2.7</w:t>
            </w:r>
            <w:r w:rsidR="00FA3157">
              <w:rPr>
                <w:sz w:val="20"/>
                <w:szCs w:val="20"/>
              </w:rPr>
              <w:t>%</w:t>
            </w:r>
            <w:r w:rsidR="00652CC1" w:rsidRPr="00B76C48">
              <w:rPr>
                <w:sz w:val="20"/>
                <w:szCs w:val="20"/>
              </w:rPr>
              <w:t xml:space="preserve"> to </w:t>
            </w:r>
            <w:r>
              <w:rPr>
                <w:sz w:val="20"/>
                <w:szCs w:val="20"/>
              </w:rPr>
              <w:t>15.2</w:t>
            </w:r>
            <w:r w:rsidR="00FA3157">
              <w:rPr>
                <w:sz w:val="20"/>
                <w:szCs w:val="20"/>
              </w:rPr>
              <w:t>%</w:t>
            </w:r>
            <w:r w:rsidR="00652CC1" w:rsidRPr="00B76C48">
              <w:rPr>
                <w:sz w:val="20"/>
                <w:szCs w:val="20"/>
              </w:rPr>
              <w:t>)</w:t>
            </w:r>
          </w:p>
        </w:tc>
      </w:tr>
      <w:tr w:rsidR="00652CC1" w:rsidRPr="00B76C48" w14:paraId="6AFF4547" w14:textId="77777777" w:rsidTr="00E50A57">
        <w:tc>
          <w:tcPr>
            <w:tcW w:w="1791" w:type="dxa"/>
            <w:vAlign w:val="center"/>
          </w:tcPr>
          <w:p w14:paraId="7C77D56E" w14:textId="77777777" w:rsidR="00652CC1" w:rsidRPr="00B76C48" w:rsidRDefault="00652CC1" w:rsidP="00B76C48">
            <w:pPr>
              <w:spacing w:line="240" w:lineRule="auto"/>
              <w:rPr>
                <w:sz w:val="20"/>
                <w:szCs w:val="20"/>
              </w:rPr>
            </w:pPr>
            <w:r w:rsidRPr="00B76C48">
              <w:rPr>
                <w:sz w:val="20"/>
                <w:szCs w:val="20"/>
              </w:rPr>
              <w:t>2</w:t>
            </w:r>
          </w:p>
        </w:tc>
        <w:tc>
          <w:tcPr>
            <w:tcW w:w="2072" w:type="dxa"/>
            <w:vAlign w:val="center"/>
          </w:tcPr>
          <w:p w14:paraId="1C43E961" w14:textId="23A5E2C9" w:rsidR="00652CC1" w:rsidRPr="00B76C48" w:rsidRDefault="00F4607C" w:rsidP="00774687">
            <w:pPr>
              <w:spacing w:line="240" w:lineRule="auto"/>
              <w:rPr>
                <w:sz w:val="20"/>
                <w:szCs w:val="20"/>
              </w:rPr>
            </w:pPr>
            <w:r>
              <w:rPr>
                <w:sz w:val="20"/>
                <w:szCs w:val="20"/>
              </w:rPr>
              <w:t>8</w:t>
            </w:r>
            <w:r w:rsidR="003C7C23" w:rsidRPr="00B76C48">
              <w:rPr>
                <w:sz w:val="20"/>
                <w:szCs w:val="20"/>
              </w:rPr>
              <w:t>.</w:t>
            </w:r>
            <w:r w:rsidR="00774687">
              <w:rPr>
                <w:sz w:val="20"/>
                <w:szCs w:val="20"/>
              </w:rPr>
              <w:t>2</w:t>
            </w:r>
            <w:r w:rsidR="00652CC1" w:rsidRPr="00B76C48">
              <w:rPr>
                <w:sz w:val="20"/>
                <w:szCs w:val="20"/>
              </w:rPr>
              <w:t xml:space="preserve"> (</w:t>
            </w:r>
            <w:r w:rsidR="00774687">
              <w:rPr>
                <w:sz w:val="20"/>
                <w:szCs w:val="20"/>
              </w:rPr>
              <w:t>3.6</w:t>
            </w:r>
            <w:r w:rsidR="00652CC1" w:rsidRPr="00B76C48">
              <w:rPr>
                <w:sz w:val="20"/>
                <w:szCs w:val="20"/>
              </w:rPr>
              <w:t xml:space="preserve"> to </w:t>
            </w:r>
            <w:r w:rsidR="00774687">
              <w:rPr>
                <w:sz w:val="20"/>
                <w:szCs w:val="20"/>
              </w:rPr>
              <w:t>12.6</w:t>
            </w:r>
            <w:r w:rsidR="00652CC1" w:rsidRPr="00B76C48">
              <w:rPr>
                <w:sz w:val="20"/>
                <w:szCs w:val="20"/>
              </w:rPr>
              <w:t>)</w:t>
            </w:r>
          </w:p>
        </w:tc>
        <w:tc>
          <w:tcPr>
            <w:tcW w:w="2071" w:type="dxa"/>
            <w:vAlign w:val="center"/>
          </w:tcPr>
          <w:p w14:paraId="745CF0FF" w14:textId="41C89D86" w:rsidR="00652CC1" w:rsidRPr="00B76C48" w:rsidRDefault="000E6A20" w:rsidP="006C455B">
            <w:pPr>
              <w:spacing w:line="240" w:lineRule="auto"/>
              <w:rPr>
                <w:sz w:val="20"/>
                <w:szCs w:val="20"/>
              </w:rPr>
            </w:pPr>
            <w:r>
              <w:rPr>
                <w:sz w:val="20"/>
                <w:szCs w:val="20"/>
              </w:rPr>
              <w:t>0</w:t>
            </w:r>
            <w:r w:rsidR="00652CC1" w:rsidRPr="00B76C48">
              <w:rPr>
                <w:sz w:val="20"/>
                <w:szCs w:val="20"/>
              </w:rPr>
              <w:t>.</w:t>
            </w:r>
            <w:r w:rsidR="006C455B">
              <w:rPr>
                <w:sz w:val="20"/>
                <w:szCs w:val="20"/>
              </w:rPr>
              <w:t>7</w:t>
            </w:r>
            <w:r w:rsidR="00652CC1" w:rsidRPr="00B76C48">
              <w:rPr>
                <w:sz w:val="20"/>
                <w:szCs w:val="20"/>
              </w:rPr>
              <w:t xml:space="preserve"> (</w:t>
            </w:r>
            <w:r w:rsidR="00934EBF">
              <w:rPr>
                <w:sz w:val="20"/>
                <w:szCs w:val="20"/>
              </w:rPr>
              <w:t>-0.</w:t>
            </w:r>
            <w:r w:rsidR="006C455B">
              <w:rPr>
                <w:sz w:val="20"/>
                <w:szCs w:val="20"/>
              </w:rPr>
              <w:t>2</w:t>
            </w:r>
            <w:r w:rsidR="00652CC1" w:rsidRPr="00B76C48">
              <w:rPr>
                <w:sz w:val="20"/>
                <w:szCs w:val="20"/>
              </w:rPr>
              <w:t xml:space="preserve"> to </w:t>
            </w:r>
            <w:r>
              <w:rPr>
                <w:sz w:val="20"/>
                <w:szCs w:val="20"/>
              </w:rPr>
              <w:t>1</w:t>
            </w:r>
            <w:r w:rsidR="00934EBF">
              <w:rPr>
                <w:sz w:val="20"/>
                <w:szCs w:val="20"/>
              </w:rPr>
              <w:t>.</w:t>
            </w:r>
            <w:r w:rsidR="006C455B">
              <w:rPr>
                <w:sz w:val="20"/>
                <w:szCs w:val="20"/>
              </w:rPr>
              <w:t>7</w:t>
            </w:r>
            <w:r w:rsidR="00652CC1" w:rsidRPr="00B76C48">
              <w:rPr>
                <w:sz w:val="20"/>
                <w:szCs w:val="20"/>
              </w:rPr>
              <w:t>)</w:t>
            </w:r>
          </w:p>
        </w:tc>
        <w:tc>
          <w:tcPr>
            <w:tcW w:w="2073" w:type="dxa"/>
            <w:vAlign w:val="center"/>
          </w:tcPr>
          <w:p w14:paraId="2C9660C5" w14:textId="54838576" w:rsidR="00652CC1" w:rsidRPr="00B76C48" w:rsidRDefault="006C455B" w:rsidP="006C455B">
            <w:pPr>
              <w:spacing w:line="240" w:lineRule="auto"/>
              <w:rPr>
                <w:sz w:val="20"/>
                <w:szCs w:val="20"/>
              </w:rPr>
            </w:pPr>
            <w:r>
              <w:rPr>
                <w:sz w:val="20"/>
                <w:szCs w:val="20"/>
              </w:rPr>
              <w:t>4.1</w:t>
            </w:r>
            <w:r w:rsidR="00934EBF">
              <w:rPr>
                <w:sz w:val="20"/>
                <w:szCs w:val="20"/>
              </w:rPr>
              <w:t>%</w:t>
            </w:r>
            <w:r w:rsidR="00652CC1" w:rsidRPr="00B76C48">
              <w:rPr>
                <w:sz w:val="20"/>
                <w:szCs w:val="20"/>
              </w:rPr>
              <w:t xml:space="preserve"> (</w:t>
            </w:r>
            <w:r w:rsidR="000E6A20">
              <w:rPr>
                <w:sz w:val="20"/>
                <w:szCs w:val="20"/>
              </w:rPr>
              <w:t>1</w:t>
            </w:r>
            <w:r w:rsidR="00934EBF">
              <w:rPr>
                <w:sz w:val="20"/>
                <w:szCs w:val="20"/>
              </w:rPr>
              <w:t>.</w:t>
            </w:r>
            <w:r w:rsidR="000E6A20">
              <w:rPr>
                <w:sz w:val="20"/>
                <w:szCs w:val="20"/>
              </w:rPr>
              <w:t>9</w:t>
            </w:r>
            <w:r w:rsidR="00FA3157">
              <w:rPr>
                <w:sz w:val="20"/>
                <w:szCs w:val="20"/>
              </w:rPr>
              <w:t>%</w:t>
            </w:r>
            <w:r w:rsidR="00652CC1" w:rsidRPr="00B76C48">
              <w:rPr>
                <w:sz w:val="20"/>
                <w:szCs w:val="20"/>
              </w:rPr>
              <w:t xml:space="preserve"> to </w:t>
            </w:r>
            <w:r>
              <w:rPr>
                <w:sz w:val="20"/>
                <w:szCs w:val="20"/>
              </w:rPr>
              <w:t>6.2</w:t>
            </w:r>
            <w:r w:rsidR="00FA3157">
              <w:rPr>
                <w:sz w:val="20"/>
                <w:szCs w:val="20"/>
              </w:rPr>
              <w:t>%</w:t>
            </w:r>
            <w:r w:rsidR="00652CC1" w:rsidRPr="00B76C48">
              <w:rPr>
                <w:sz w:val="20"/>
                <w:szCs w:val="20"/>
              </w:rPr>
              <w:t>)</w:t>
            </w:r>
          </w:p>
        </w:tc>
        <w:tc>
          <w:tcPr>
            <w:tcW w:w="1961" w:type="dxa"/>
            <w:vAlign w:val="center"/>
          </w:tcPr>
          <w:p w14:paraId="200B4268" w14:textId="3D20291E" w:rsidR="00652CC1" w:rsidRPr="00B76C48" w:rsidRDefault="006C455B" w:rsidP="006C455B">
            <w:pPr>
              <w:spacing w:line="240" w:lineRule="auto"/>
              <w:rPr>
                <w:sz w:val="20"/>
                <w:szCs w:val="20"/>
              </w:rPr>
            </w:pPr>
            <w:r>
              <w:rPr>
                <w:sz w:val="20"/>
                <w:szCs w:val="20"/>
              </w:rPr>
              <w:t>5.6</w:t>
            </w:r>
            <w:r w:rsidR="004C7967">
              <w:rPr>
                <w:sz w:val="20"/>
                <w:szCs w:val="20"/>
              </w:rPr>
              <w:t>%</w:t>
            </w:r>
            <w:r w:rsidR="00652CC1" w:rsidRPr="00B76C48">
              <w:rPr>
                <w:sz w:val="20"/>
                <w:szCs w:val="20"/>
              </w:rPr>
              <w:t xml:space="preserve"> (</w:t>
            </w:r>
            <w:r w:rsidR="004C7967">
              <w:rPr>
                <w:sz w:val="20"/>
                <w:szCs w:val="20"/>
              </w:rPr>
              <w:t>-</w:t>
            </w:r>
            <w:r>
              <w:rPr>
                <w:sz w:val="20"/>
                <w:szCs w:val="20"/>
              </w:rPr>
              <w:t>1</w:t>
            </w:r>
            <w:r w:rsidR="004C7967">
              <w:rPr>
                <w:sz w:val="20"/>
                <w:szCs w:val="20"/>
              </w:rPr>
              <w:t>.</w:t>
            </w:r>
            <w:r w:rsidR="000E6A20">
              <w:rPr>
                <w:sz w:val="20"/>
                <w:szCs w:val="20"/>
              </w:rPr>
              <w:t>7</w:t>
            </w:r>
            <w:r w:rsidR="00FA3157">
              <w:rPr>
                <w:sz w:val="20"/>
                <w:szCs w:val="20"/>
              </w:rPr>
              <w:t>%</w:t>
            </w:r>
            <w:r w:rsidR="00652CC1" w:rsidRPr="00B76C48">
              <w:rPr>
                <w:sz w:val="20"/>
                <w:szCs w:val="20"/>
              </w:rPr>
              <w:t xml:space="preserve"> to </w:t>
            </w:r>
            <w:r>
              <w:rPr>
                <w:sz w:val="20"/>
                <w:szCs w:val="20"/>
              </w:rPr>
              <w:t>14.4</w:t>
            </w:r>
            <w:r w:rsidR="00FA3157">
              <w:rPr>
                <w:sz w:val="20"/>
                <w:szCs w:val="20"/>
              </w:rPr>
              <w:t>%</w:t>
            </w:r>
            <w:r w:rsidR="00652CC1" w:rsidRPr="00B76C48">
              <w:rPr>
                <w:sz w:val="20"/>
                <w:szCs w:val="20"/>
              </w:rPr>
              <w:t>)</w:t>
            </w:r>
          </w:p>
        </w:tc>
      </w:tr>
      <w:tr w:rsidR="003E448E" w:rsidRPr="00B76C48" w14:paraId="1081553C" w14:textId="77777777" w:rsidTr="00E50A57">
        <w:tc>
          <w:tcPr>
            <w:tcW w:w="1791" w:type="dxa"/>
            <w:vAlign w:val="center"/>
          </w:tcPr>
          <w:p w14:paraId="5E11A928" w14:textId="77777777" w:rsidR="003E448E" w:rsidRPr="00B76C48" w:rsidRDefault="003E448E" w:rsidP="00B76C48">
            <w:pPr>
              <w:spacing w:line="240" w:lineRule="auto"/>
              <w:rPr>
                <w:sz w:val="20"/>
                <w:szCs w:val="20"/>
              </w:rPr>
            </w:pPr>
            <w:r w:rsidRPr="00B76C48">
              <w:rPr>
                <w:sz w:val="20"/>
                <w:szCs w:val="20"/>
              </w:rPr>
              <w:t>3</w:t>
            </w:r>
          </w:p>
        </w:tc>
        <w:tc>
          <w:tcPr>
            <w:tcW w:w="2072" w:type="dxa"/>
            <w:vAlign w:val="center"/>
          </w:tcPr>
          <w:p w14:paraId="669340D1" w14:textId="5482448E" w:rsidR="003E448E" w:rsidRPr="00B76C48" w:rsidRDefault="00774687" w:rsidP="00774687">
            <w:pPr>
              <w:spacing w:line="240" w:lineRule="auto"/>
              <w:rPr>
                <w:sz w:val="20"/>
                <w:szCs w:val="20"/>
              </w:rPr>
            </w:pPr>
            <w:r>
              <w:rPr>
                <w:sz w:val="20"/>
                <w:szCs w:val="20"/>
              </w:rPr>
              <w:t>8.9</w:t>
            </w:r>
            <w:r w:rsidR="003E448E" w:rsidRPr="00B76C48">
              <w:rPr>
                <w:sz w:val="20"/>
                <w:szCs w:val="20"/>
              </w:rPr>
              <w:t xml:space="preserve"> (</w:t>
            </w:r>
            <w:r>
              <w:rPr>
                <w:sz w:val="20"/>
                <w:szCs w:val="20"/>
              </w:rPr>
              <w:t>4.0</w:t>
            </w:r>
            <w:r w:rsidR="003E448E" w:rsidRPr="00B76C48">
              <w:rPr>
                <w:sz w:val="20"/>
                <w:szCs w:val="20"/>
              </w:rPr>
              <w:t xml:space="preserve"> to </w:t>
            </w:r>
            <w:r w:rsidR="00934EBF">
              <w:rPr>
                <w:sz w:val="20"/>
                <w:szCs w:val="20"/>
              </w:rPr>
              <w:t>1</w:t>
            </w:r>
            <w:r>
              <w:rPr>
                <w:sz w:val="20"/>
                <w:szCs w:val="20"/>
              </w:rPr>
              <w:t>4</w:t>
            </w:r>
            <w:r w:rsidR="003E448E" w:rsidRPr="00B76C48">
              <w:rPr>
                <w:sz w:val="20"/>
                <w:szCs w:val="20"/>
              </w:rPr>
              <w:t>.</w:t>
            </w:r>
            <w:r w:rsidR="00F4607C">
              <w:rPr>
                <w:sz w:val="20"/>
                <w:szCs w:val="20"/>
              </w:rPr>
              <w:t>4</w:t>
            </w:r>
            <w:r w:rsidR="003E448E" w:rsidRPr="00B76C48">
              <w:rPr>
                <w:sz w:val="20"/>
                <w:szCs w:val="20"/>
              </w:rPr>
              <w:t>)</w:t>
            </w:r>
          </w:p>
        </w:tc>
        <w:tc>
          <w:tcPr>
            <w:tcW w:w="2071" w:type="dxa"/>
            <w:vAlign w:val="center"/>
          </w:tcPr>
          <w:p w14:paraId="3A2A713C" w14:textId="467808F4" w:rsidR="003E448E" w:rsidRPr="00B76C48" w:rsidRDefault="003E448E" w:rsidP="006C455B">
            <w:pPr>
              <w:spacing w:line="240" w:lineRule="auto"/>
              <w:rPr>
                <w:sz w:val="20"/>
                <w:szCs w:val="20"/>
              </w:rPr>
            </w:pPr>
            <w:r w:rsidRPr="00B76C48">
              <w:rPr>
                <w:sz w:val="20"/>
                <w:szCs w:val="20"/>
              </w:rPr>
              <w:t>1</w:t>
            </w:r>
            <w:r w:rsidR="006C455B">
              <w:rPr>
                <w:sz w:val="20"/>
                <w:szCs w:val="20"/>
              </w:rPr>
              <w:t>.0</w:t>
            </w:r>
            <w:r w:rsidR="000E6A20">
              <w:rPr>
                <w:sz w:val="20"/>
                <w:szCs w:val="20"/>
              </w:rPr>
              <w:t xml:space="preserve"> (</w:t>
            </w:r>
            <w:r w:rsidR="006C455B">
              <w:rPr>
                <w:sz w:val="20"/>
                <w:szCs w:val="20"/>
              </w:rPr>
              <w:t>-</w:t>
            </w:r>
            <w:r w:rsidR="000E6A20">
              <w:rPr>
                <w:sz w:val="20"/>
                <w:szCs w:val="20"/>
              </w:rPr>
              <w:t>0.</w:t>
            </w:r>
            <w:r w:rsidR="006C455B">
              <w:rPr>
                <w:sz w:val="20"/>
                <w:szCs w:val="20"/>
              </w:rPr>
              <w:t>1</w:t>
            </w:r>
            <w:r w:rsidRPr="00B76C48">
              <w:rPr>
                <w:sz w:val="20"/>
                <w:szCs w:val="20"/>
              </w:rPr>
              <w:t xml:space="preserve"> to </w:t>
            </w:r>
            <w:r w:rsidR="00934EBF">
              <w:rPr>
                <w:sz w:val="20"/>
                <w:szCs w:val="20"/>
              </w:rPr>
              <w:t>2.</w:t>
            </w:r>
            <w:r w:rsidR="000E6A20">
              <w:rPr>
                <w:sz w:val="20"/>
                <w:szCs w:val="20"/>
              </w:rPr>
              <w:t>0</w:t>
            </w:r>
            <w:r w:rsidRPr="00B76C48">
              <w:rPr>
                <w:sz w:val="20"/>
                <w:szCs w:val="20"/>
              </w:rPr>
              <w:t>)</w:t>
            </w:r>
          </w:p>
        </w:tc>
        <w:tc>
          <w:tcPr>
            <w:tcW w:w="2073" w:type="dxa"/>
            <w:vAlign w:val="center"/>
          </w:tcPr>
          <w:p w14:paraId="0946E670" w14:textId="126C0206" w:rsidR="003E448E" w:rsidRPr="00B76C48" w:rsidRDefault="00934EBF" w:rsidP="006C455B">
            <w:pPr>
              <w:spacing w:line="240" w:lineRule="auto"/>
              <w:rPr>
                <w:sz w:val="20"/>
                <w:szCs w:val="20"/>
              </w:rPr>
            </w:pPr>
            <w:r>
              <w:rPr>
                <w:sz w:val="20"/>
                <w:szCs w:val="20"/>
              </w:rPr>
              <w:t>4.</w:t>
            </w:r>
            <w:r w:rsidR="000E6A20">
              <w:rPr>
                <w:sz w:val="20"/>
                <w:szCs w:val="20"/>
              </w:rPr>
              <w:t>4</w:t>
            </w:r>
            <w:r>
              <w:rPr>
                <w:sz w:val="20"/>
                <w:szCs w:val="20"/>
              </w:rPr>
              <w:t>% (</w:t>
            </w:r>
            <w:r w:rsidR="000E6A20">
              <w:rPr>
                <w:sz w:val="20"/>
                <w:szCs w:val="20"/>
              </w:rPr>
              <w:t>2</w:t>
            </w:r>
            <w:r>
              <w:rPr>
                <w:sz w:val="20"/>
                <w:szCs w:val="20"/>
              </w:rPr>
              <w:t>.</w:t>
            </w:r>
            <w:r w:rsidR="006C455B">
              <w:rPr>
                <w:sz w:val="20"/>
                <w:szCs w:val="20"/>
              </w:rPr>
              <w:t>1</w:t>
            </w:r>
            <w:r w:rsidR="00FA3157">
              <w:rPr>
                <w:sz w:val="20"/>
                <w:szCs w:val="20"/>
              </w:rPr>
              <w:t>%</w:t>
            </w:r>
            <w:r>
              <w:rPr>
                <w:sz w:val="20"/>
                <w:szCs w:val="20"/>
              </w:rPr>
              <w:t xml:space="preserve"> to </w:t>
            </w:r>
            <w:r w:rsidR="000E6A20">
              <w:rPr>
                <w:sz w:val="20"/>
                <w:szCs w:val="20"/>
              </w:rPr>
              <w:t>6</w:t>
            </w:r>
            <w:r>
              <w:rPr>
                <w:sz w:val="20"/>
                <w:szCs w:val="20"/>
              </w:rPr>
              <w:t>.</w:t>
            </w:r>
            <w:r w:rsidR="006C455B">
              <w:rPr>
                <w:sz w:val="20"/>
                <w:szCs w:val="20"/>
              </w:rPr>
              <w:t>9</w:t>
            </w:r>
            <w:r w:rsidR="00FA3157">
              <w:rPr>
                <w:sz w:val="20"/>
                <w:szCs w:val="20"/>
              </w:rPr>
              <w:t>%</w:t>
            </w:r>
            <w:r w:rsidR="003E448E" w:rsidRPr="00B76C48">
              <w:rPr>
                <w:sz w:val="20"/>
                <w:szCs w:val="20"/>
              </w:rPr>
              <w:t>)</w:t>
            </w:r>
          </w:p>
        </w:tc>
        <w:tc>
          <w:tcPr>
            <w:tcW w:w="1961" w:type="dxa"/>
            <w:vAlign w:val="center"/>
          </w:tcPr>
          <w:p w14:paraId="00030FC9" w14:textId="2A927E55" w:rsidR="003E448E" w:rsidRPr="00B76C48" w:rsidRDefault="006C455B" w:rsidP="003F74CB">
            <w:pPr>
              <w:spacing w:line="240" w:lineRule="auto"/>
              <w:rPr>
                <w:sz w:val="20"/>
                <w:szCs w:val="20"/>
              </w:rPr>
            </w:pPr>
            <w:r>
              <w:rPr>
                <w:sz w:val="20"/>
                <w:szCs w:val="20"/>
              </w:rPr>
              <w:t>8.5</w:t>
            </w:r>
            <w:r w:rsidR="004C7967">
              <w:rPr>
                <w:sz w:val="20"/>
                <w:szCs w:val="20"/>
              </w:rPr>
              <w:t>%</w:t>
            </w:r>
            <w:r w:rsidR="003E448E" w:rsidRPr="00B76C48">
              <w:rPr>
                <w:sz w:val="20"/>
                <w:szCs w:val="20"/>
              </w:rPr>
              <w:t xml:space="preserve"> (</w:t>
            </w:r>
            <w:r>
              <w:rPr>
                <w:sz w:val="20"/>
                <w:szCs w:val="20"/>
              </w:rPr>
              <w:t>-</w:t>
            </w:r>
            <w:r w:rsidR="000E6A20">
              <w:rPr>
                <w:sz w:val="20"/>
                <w:szCs w:val="20"/>
              </w:rPr>
              <w:t>0</w:t>
            </w:r>
            <w:r w:rsidR="004C7967">
              <w:rPr>
                <w:sz w:val="20"/>
                <w:szCs w:val="20"/>
              </w:rPr>
              <w:t>.</w:t>
            </w:r>
            <w:r>
              <w:rPr>
                <w:sz w:val="20"/>
                <w:szCs w:val="20"/>
              </w:rPr>
              <w:t>9</w:t>
            </w:r>
            <w:r w:rsidR="00FA3157">
              <w:rPr>
                <w:sz w:val="20"/>
                <w:szCs w:val="20"/>
              </w:rPr>
              <w:t>%</w:t>
            </w:r>
            <w:r w:rsidR="003E448E" w:rsidRPr="00B76C48">
              <w:rPr>
                <w:sz w:val="20"/>
                <w:szCs w:val="20"/>
              </w:rPr>
              <w:t xml:space="preserve"> to </w:t>
            </w:r>
            <w:r w:rsidR="000E6A20">
              <w:rPr>
                <w:sz w:val="20"/>
                <w:szCs w:val="20"/>
              </w:rPr>
              <w:t>17</w:t>
            </w:r>
            <w:r w:rsidR="004C7967">
              <w:rPr>
                <w:sz w:val="20"/>
                <w:szCs w:val="20"/>
              </w:rPr>
              <w:t>.</w:t>
            </w:r>
            <w:r w:rsidR="003F74CB">
              <w:rPr>
                <w:sz w:val="20"/>
                <w:szCs w:val="20"/>
              </w:rPr>
              <w:t>4</w:t>
            </w:r>
            <w:r w:rsidR="00FA3157">
              <w:rPr>
                <w:sz w:val="20"/>
                <w:szCs w:val="20"/>
              </w:rPr>
              <w:t>%</w:t>
            </w:r>
            <w:r w:rsidR="003E448E" w:rsidRPr="00B76C48">
              <w:rPr>
                <w:sz w:val="20"/>
                <w:szCs w:val="20"/>
              </w:rPr>
              <w:t>)</w:t>
            </w:r>
          </w:p>
        </w:tc>
      </w:tr>
      <w:tr w:rsidR="00652CC1" w:rsidRPr="00B76C48" w14:paraId="1C2FB191" w14:textId="77777777" w:rsidTr="00E50A57">
        <w:tc>
          <w:tcPr>
            <w:tcW w:w="1791" w:type="dxa"/>
            <w:vAlign w:val="center"/>
          </w:tcPr>
          <w:p w14:paraId="4CAF8FA7" w14:textId="77777777" w:rsidR="00652CC1" w:rsidRPr="00B76C48" w:rsidRDefault="00652CC1" w:rsidP="00B76C48">
            <w:pPr>
              <w:spacing w:line="240" w:lineRule="auto"/>
              <w:rPr>
                <w:sz w:val="20"/>
                <w:szCs w:val="20"/>
              </w:rPr>
            </w:pPr>
            <w:r w:rsidRPr="00B76C48">
              <w:rPr>
                <w:sz w:val="20"/>
                <w:szCs w:val="20"/>
              </w:rPr>
              <w:t>4</w:t>
            </w:r>
          </w:p>
        </w:tc>
        <w:tc>
          <w:tcPr>
            <w:tcW w:w="2072" w:type="dxa"/>
            <w:vAlign w:val="center"/>
          </w:tcPr>
          <w:p w14:paraId="0626CB75" w14:textId="355B0D7F" w:rsidR="00652CC1" w:rsidRPr="00B76C48" w:rsidRDefault="00774687" w:rsidP="00774687">
            <w:pPr>
              <w:spacing w:line="240" w:lineRule="auto"/>
              <w:rPr>
                <w:sz w:val="20"/>
                <w:szCs w:val="20"/>
              </w:rPr>
            </w:pPr>
            <w:r>
              <w:rPr>
                <w:sz w:val="20"/>
                <w:szCs w:val="20"/>
              </w:rPr>
              <w:t>8.6</w:t>
            </w:r>
            <w:r w:rsidR="003C7C23" w:rsidRPr="00B76C48">
              <w:rPr>
                <w:sz w:val="20"/>
                <w:szCs w:val="20"/>
              </w:rPr>
              <w:t xml:space="preserve"> </w:t>
            </w:r>
            <w:r w:rsidR="00652CC1" w:rsidRPr="00B76C48">
              <w:rPr>
                <w:sz w:val="20"/>
                <w:szCs w:val="20"/>
              </w:rPr>
              <w:t>(</w:t>
            </w:r>
            <w:r>
              <w:rPr>
                <w:sz w:val="20"/>
                <w:szCs w:val="20"/>
              </w:rPr>
              <w:t>3.5</w:t>
            </w:r>
            <w:r w:rsidR="00652CC1" w:rsidRPr="00B76C48">
              <w:rPr>
                <w:sz w:val="20"/>
                <w:szCs w:val="20"/>
              </w:rPr>
              <w:t xml:space="preserve"> to </w:t>
            </w:r>
            <w:r>
              <w:rPr>
                <w:sz w:val="20"/>
                <w:szCs w:val="20"/>
              </w:rPr>
              <w:t>13.3</w:t>
            </w:r>
            <w:r w:rsidR="00652CC1" w:rsidRPr="00B76C48">
              <w:rPr>
                <w:sz w:val="20"/>
                <w:szCs w:val="20"/>
              </w:rPr>
              <w:t>)</w:t>
            </w:r>
          </w:p>
        </w:tc>
        <w:tc>
          <w:tcPr>
            <w:tcW w:w="2071" w:type="dxa"/>
            <w:vAlign w:val="center"/>
          </w:tcPr>
          <w:p w14:paraId="1957F1C4" w14:textId="3AA4F21C" w:rsidR="00652CC1" w:rsidRPr="00B76C48" w:rsidRDefault="00934EBF" w:rsidP="006C455B">
            <w:pPr>
              <w:spacing w:line="240" w:lineRule="auto"/>
              <w:rPr>
                <w:sz w:val="20"/>
                <w:szCs w:val="20"/>
              </w:rPr>
            </w:pPr>
            <w:r>
              <w:rPr>
                <w:sz w:val="20"/>
                <w:szCs w:val="20"/>
              </w:rPr>
              <w:t>0</w:t>
            </w:r>
            <w:r w:rsidR="006C455B">
              <w:rPr>
                <w:sz w:val="20"/>
                <w:szCs w:val="20"/>
              </w:rPr>
              <w:t>.7</w:t>
            </w:r>
            <w:r w:rsidR="00652CC1" w:rsidRPr="00B76C48">
              <w:rPr>
                <w:sz w:val="20"/>
                <w:szCs w:val="20"/>
              </w:rPr>
              <w:t xml:space="preserve"> (</w:t>
            </w:r>
            <w:r>
              <w:rPr>
                <w:sz w:val="20"/>
                <w:szCs w:val="20"/>
              </w:rPr>
              <w:t>-0.</w:t>
            </w:r>
            <w:r w:rsidR="006C455B">
              <w:rPr>
                <w:sz w:val="20"/>
                <w:szCs w:val="20"/>
              </w:rPr>
              <w:t>2</w:t>
            </w:r>
            <w:r>
              <w:rPr>
                <w:sz w:val="20"/>
                <w:szCs w:val="20"/>
              </w:rPr>
              <w:t xml:space="preserve"> to </w:t>
            </w:r>
            <w:r w:rsidR="000E6A20">
              <w:rPr>
                <w:sz w:val="20"/>
                <w:szCs w:val="20"/>
              </w:rPr>
              <w:t>1</w:t>
            </w:r>
            <w:r w:rsidR="003E448E" w:rsidRPr="00B76C48">
              <w:rPr>
                <w:sz w:val="20"/>
                <w:szCs w:val="20"/>
              </w:rPr>
              <w:t>.</w:t>
            </w:r>
            <w:r w:rsidR="006C455B">
              <w:rPr>
                <w:sz w:val="20"/>
                <w:szCs w:val="20"/>
              </w:rPr>
              <w:t>6</w:t>
            </w:r>
            <w:r w:rsidR="00652CC1" w:rsidRPr="00B76C48">
              <w:rPr>
                <w:sz w:val="20"/>
                <w:szCs w:val="20"/>
              </w:rPr>
              <w:t>)</w:t>
            </w:r>
          </w:p>
        </w:tc>
        <w:tc>
          <w:tcPr>
            <w:tcW w:w="2073" w:type="dxa"/>
            <w:vAlign w:val="center"/>
          </w:tcPr>
          <w:p w14:paraId="5DE2B0C3" w14:textId="5F4E7FF3" w:rsidR="00652CC1" w:rsidRPr="00B76C48" w:rsidRDefault="00934EBF" w:rsidP="006C455B">
            <w:pPr>
              <w:spacing w:line="240" w:lineRule="auto"/>
              <w:rPr>
                <w:sz w:val="20"/>
                <w:szCs w:val="20"/>
              </w:rPr>
            </w:pPr>
            <w:r>
              <w:rPr>
                <w:sz w:val="20"/>
                <w:szCs w:val="20"/>
              </w:rPr>
              <w:t>4.</w:t>
            </w:r>
            <w:r w:rsidR="006C455B">
              <w:rPr>
                <w:sz w:val="20"/>
                <w:szCs w:val="20"/>
              </w:rPr>
              <w:t>4</w:t>
            </w:r>
            <w:r>
              <w:rPr>
                <w:sz w:val="20"/>
                <w:szCs w:val="20"/>
              </w:rPr>
              <w:t>%</w:t>
            </w:r>
            <w:r w:rsidR="00652CC1" w:rsidRPr="00B76C48">
              <w:rPr>
                <w:sz w:val="20"/>
                <w:szCs w:val="20"/>
              </w:rPr>
              <w:t xml:space="preserve"> (</w:t>
            </w:r>
            <w:r w:rsidR="006C455B">
              <w:rPr>
                <w:sz w:val="20"/>
                <w:szCs w:val="20"/>
              </w:rPr>
              <w:t>1.9</w:t>
            </w:r>
            <w:r w:rsidR="00FA3157">
              <w:rPr>
                <w:sz w:val="20"/>
                <w:szCs w:val="20"/>
              </w:rPr>
              <w:t>%</w:t>
            </w:r>
            <w:r w:rsidR="00652CC1" w:rsidRPr="00B76C48">
              <w:rPr>
                <w:sz w:val="20"/>
                <w:szCs w:val="20"/>
              </w:rPr>
              <w:t xml:space="preserve"> to </w:t>
            </w:r>
            <w:r w:rsidR="000E6A20">
              <w:rPr>
                <w:sz w:val="20"/>
                <w:szCs w:val="20"/>
              </w:rPr>
              <w:t>6</w:t>
            </w:r>
            <w:r w:rsidR="00652CC1" w:rsidRPr="00B76C48">
              <w:rPr>
                <w:sz w:val="20"/>
                <w:szCs w:val="20"/>
              </w:rPr>
              <w:t>.</w:t>
            </w:r>
            <w:r w:rsidR="006C455B">
              <w:rPr>
                <w:sz w:val="20"/>
                <w:szCs w:val="20"/>
              </w:rPr>
              <w:t>7</w:t>
            </w:r>
            <w:r w:rsidR="00FA3157">
              <w:rPr>
                <w:sz w:val="20"/>
                <w:szCs w:val="20"/>
              </w:rPr>
              <w:t>%</w:t>
            </w:r>
            <w:r w:rsidR="00652CC1" w:rsidRPr="00B76C48">
              <w:rPr>
                <w:sz w:val="20"/>
                <w:szCs w:val="20"/>
              </w:rPr>
              <w:t>)</w:t>
            </w:r>
          </w:p>
        </w:tc>
        <w:tc>
          <w:tcPr>
            <w:tcW w:w="1961" w:type="dxa"/>
            <w:vAlign w:val="center"/>
          </w:tcPr>
          <w:p w14:paraId="5CA40A65" w14:textId="5D27BEE1" w:rsidR="00652CC1" w:rsidRPr="00B76C48" w:rsidRDefault="006C455B" w:rsidP="003F74CB">
            <w:pPr>
              <w:spacing w:line="240" w:lineRule="auto"/>
              <w:rPr>
                <w:sz w:val="20"/>
                <w:szCs w:val="20"/>
              </w:rPr>
            </w:pPr>
            <w:r>
              <w:rPr>
                <w:sz w:val="20"/>
                <w:szCs w:val="20"/>
              </w:rPr>
              <w:t>6.8</w:t>
            </w:r>
            <w:r w:rsidR="004C7967">
              <w:rPr>
                <w:sz w:val="20"/>
                <w:szCs w:val="20"/>
              </w:rPr>
              <w:t>%</w:t>
            </w:r>
            <w:r w:rsidR="00652CC1" w:rsidRPr="00B76C48">
              <w:rPr>
                <w:sz w:val="20"/>
                <w:szCs w:val="20"/>
              </w:rPr>
              <w:t xml:space="preserve"> (</w:t>
            </w:r>
            <w:r w:rsidR="000E6A20">
              <w:rPr>
                <w:sz w:val="20"/>
                <w:szCs w:val="20"/>
              </w:rPr>
              <w:t>-</w:t>
            </w:r>
            <w:r w:rsidR="003F74CB">
              <w:rPr>
                <w:sz w:val="20"/>
                <w:szCs w:val="20"/>
              </w:rPr>
              <w:t>2</w:t>
            </w:r>
            <w:r w:rsidR="00652CC1" w:rsidRPr="00B76C48">
              <w:rPr>
                <w:sz w:val="20"/>
                <w:szCs w:val="20"/>
              </w:rPr>
              <w:t>.</w:t>
            </w:r>
            <w:r w:rsidR="003F74CB">
              <w:rPr>
                <w:sz w:val="20"/>
                <w:szCs w:val="20"/>
              </w:rPr>
              <w:t>0</w:t>
            </w:r>
            <w:r w:rsidR="00FA3157">
              <w:rPr>
                <w:sz w:val="20"/>
                <w:szCs w:val="20"/>
              </w:rPr>
              <w:t>%</w:t>
            </w:r>
            <w:r w:rsidR="00652CC1" w:rsidRPr="00B76C48">
              <w:rPr>
                <w:sz w:val="20"/>
                <w:szCs w:val="20"/>
              </w:rPr>
              <w:t xml:space="preserve"> to </w:t>
            </w:r>
            <w:r w:rsidR="003F74CB">
              <w:rPr>
                <w:sz w:val="20"/>
                <w:szCs w:val="20"/>
              </w:rPr>
              <w:t>15.8</w:t>
            </w:r>
            <w:r w:rsidR="00FA3157">
              <w:rPr>
                <w:sz w:val="20"/>
                <w:szCs w:val="20"/>
              </w:rPr>
              <w:t>%</w:t>
            </w:r>
            <w:r w:rsidR="00652CC1" w:rsidRPr="00B76C48">
              <w:rPr>
                <w:sz w:val="20"/>
                <w:szCs w:val="20"/>
              </w:rPr>
              <w:t>)</w:t>
            </w:r>
          </w:p>
        </w:tc>
      </w:tr>
      <w:tr w:rsidR="003E448E" w:rsidRPr="00B76C48" w14:paraId="6A1964DA" w14:textId="77777777" w:rsidTr="00E50A57">
        <w:tc>
          <w:tcPr>
            <w:tcW w:w="1791" w:type="dxa"/>
            <w:tcBorders>
              <w:bottom w:val="double" w:sz="4" w:space="0" w:color="auto"/>
            </w:tcBorders>
            <w:vAlign w:val="center"/>
          </w:tcPr>
          <w:p w14:paraId="6CBBB83A" w14:textId="77777777" w:rsidR="003E448E" w:rsidRPr="00B76C48" w:rsidRDefault="003E448E" w:rsidP="00B76C48">
            <w:pPr>
              <w:spacing w:line="240" w:lineRule="auto"/>
              <w:rPr>
                <w:sz w:val="20"/>
                <w:szCs w:val="20"/>
              </w:rPr>
            </w:pPr>
            <w:r w:rsidRPr="00B76C48">
              <w:rPr>
                <w:sz w:val="20"/>
                <w:szCs w:val="20"/>
              </w:rPr>
              <w:t>5 (most deprived)</w:t>
            </w:r>
          </w:p>
        </w:tc>
        <w:tc>
          <w:tcPr>
            <w:tcW w:w="2072" w:type="dxa"/>
            <w:tcBorders>
              <w:bottom w:val="double" w:sz="4" w:space="0" w:color="auto"/>
            </w:tcBorders>
            <w:vAlign w:val="center"/>
          </w:tcPr>
          <w:p w14:paraId="78977DE1" w14:textId="1BBA317B" w:rsidR="003E448E" w:rsidRPr="00B76C48" w:rsidRDefault="00774687" w:rsidP="00774687">
            <w:pPr>
              <w:spacing w:line="240" w:lineRule="auto"/>
              <w:rPr>
                <w:sz w:val="20"/>
                <w:szCs w:val="20"/>
              </w:rPr>
            </w:pPr>
            <w:r>
              <w:rPr>
                <w:sz w:val="20"/>
                <w:szCs w:val="20"/>
              </w:rPr>
              <w:t>9.7</w:t>
            </w:r>
            <w:r w:rsidR="003E448E" w:rsidRPr="00B76C48">
              <w:rPr>
                <w:sz w:val="20"/>
                <w:szCs w:val="20"/>
              </w:rPr>
              <w:t xml:space="preserve"> (</w:t>
            </w:r>
            <w:r>
              <w:rPr>
                <w:sz w:val="20"/>
                <w:szCs w:val="20"/>
              </w:rPr>
              <w:t>4.7</w:t>
            </w:r>
            <w:r w:rsidR="003E448E" w:rsidRPr="00B76C48">
              <w:rPr>
                <w:sz w:val="20"/>
                <w:szCs w:val="20"/>
              </w:rPr>
              <w:t xml:space="preserve"> to </w:t>
            </w:r>
            <w:r>
              <w:rPr>
                <w:sz w:val="20"/>
                <w:szCs w:val="20"/>
              </w:rPr>
              <w:t>14.8</w:t>
            </w:r>
            <w:r w:rsidR="003E448E" w:rsidRPr="00B76C48">
              <w:rPr>
                <w:sz w:val="20"/>
                <w:szCs w:val="20"/>
              </w:rPr>
              <w:t>)</w:t>
            </w:r>
          </w:p>
        </w:tc>
        <w:tc>
          <w:tcPr>
            <w:tcW w:w="2071" w:type="dxa"/>
            <w:tcBorders>
              <w:bottom w:val="double" w:sz="4" w:space="0" w:color="auto"/>
            </w:tcBorders>
            <w:vAlign w:val="center"/>
          </w:tcPr>
          <w:p w14:paraId="66C527D5" w14:textId="78A33813" w:rsidR="003E448E" w:rsidRPr="00B76C48" w:rsidRDefault="003E448E" w:rsidP="006C455B">
            <w:pPr>
              <w:spacing w:line="240" w:lineRule="auto"/>
              <w:rPr>
                <w:sz w:val="20"/>
                <w:szCs w:val="20"/>
              </w:rPr>
            </w:pPr>
            <w:r w:rsidRPr="00B76C48">
              <w:rPr>
                <w:sz w:val="20"/>
                <w:szCs w:val="20"/>
              </w:rPr>
              <w:t>1</w:t>
            </w:r>
            <w:r w:rsidR="00934EBF">
              <w:rPr>
                <w:sz w:val="20"/>
                <w:szCs w:val="20"/>
              </w:rPr>
              <w:t>.</w:t>
            </w:r>
            <w:r w:rsidR="006C455B">
              <w:rPr>
                <w:sz w:val="20"/>
                <w:szCs w:val="20"/>
              </w:rPr>
              <w:t>0</w:t>
            </w:r>
            <w:r w:rsidRPr="00B76C48">
              <w:rPr>
                <w:sz w:val="20"/>
                <w:szCs w:val="20"/>
              </w:rPr>
              <w:t xml:space="preserve"> (</w:t>
            </w:r>
            <w:r w:rsidR="006C455B">
              <w:rPr>
                <w:sz w:val="20"/>
                <w:szCs w:val="20"/>
              </w:rPr>
              <w:t>0</w:t>
            </w:r>
            <w:r w:rsidR="0004190E">
              <w:rPr>
                <w:sz w:val="20"/>
                <w:szCs w:val="20"/>
              </w:rPr>
              <w:t>.</w:t>
            </w:r>
            <w:r w:rsidR="006C455B">
              <w:rPr>
                <w:sz w:val="20"/>
                <w:szCs w:val="20"/>
              </w:rPr>
              <w:t>1</w:t>
            </w:r>
            <w:r w:rsidRPr="00B76C48">
              <w:rPr>
                <w:sz w:val="20"/>
                <w:szCs w:val="20"/>
              </w:rPr>
              <w:t xml:space="preserve"> to </w:t>
            </w:r>
            <w:r w:rsidR="006C455B">
              <w:rPr>
                <w:sz w:val="20"/>
                <w:szCs w:val="20"/>
              </w:rPr>
              <w:t>1.9</w:t>
            </w:r>
            <w:r w:rsidRPr="00B76C48">
              <w:rPr>
                <w:sz w:val="20"/>
                <w:szCs w:val="20"/>
              </w:rPr>
              <w:t>)</w:t>
            </w:r>
          </w:p>
        </w:tc>
        <w:tc>
          <w:tcPr>
            <w:tcW w:w="2073" w:type="dxa"/>
            <w:tcBorders>
              <w:bottom w:val="double" w:sz="4" w:space="0" w:color="auto"/>
            </w:tcBorders>
            <w:vAlign w:val="center"/>
          </w:tcPr>
          <w:p w14:paraId="34960367" w14:textId="64486A52" w:rsidR="003E448E" w:rsidRPr="00B76C48" w:rsidRDefault="003E448E" w:rsidP="006C455B">
            <w:pPr>
              <w:spacing w:line="240" w:lineRule="auto"/>
              <w:rPr>
                <w:sz w:val="20"/>
                <w:szCs w:val="20"/>
              </w:rPr>
            </w:pPr>
            <w:r w:rsidRPr="00B76C48">
              <w:rPr>
                <w:sz w:val="20"/>
                <w:szCs w:val="20"/>
              </w:rPr>
              <w:t>4.</w:t>
            </w:r>
            <w:r w:rsidR="006C455B">
              <w:rPr>
                <w:sz w:val="20"/>
                <w:szCs w:val="20"/>
              </w:rPr>
              <w:t>9</w:t>
            </w:r>
            <w:r w:rsidR="00934EBF">
              <w:rPr>
                <w:sz w:val="20"/>
                <w:szCs w:val="20"/>
              </w:rPr>
              <w:t>% (</w:t>
            </w:r>
            <w:r w:rsidR="000E6A20">
              <w:rPr>
                <w:sz w:val="20"/>
                <w:szCs w:val="20"/>
              </w:rPr>
              <w:t>2</w:t>
            </w:r>
            <w:r w:rsidR="00934EBF">
              <w:rPr>
                <w:sz w:val="20"/>
                <w:szCs w:val="20"/>
              </w:rPr>
              <w:t>.</w:t>
            </w:r>
            <w:r w:rsidR="006C455B">
              <w:rPr>
                <w:sz w:val="20"/>
                <w:szCs w:val="20"/>
              </w:rPr>
              <w:t>5</w:t>
            </w:r>
            <w:r w:rsidR="00FA3157">
              <w:rPr>
                <w:sz w:val="20"/>
                <w:szCs w:val="20"/>
              </w:rPr>
              <w:t>%</w:t>
            </w:r>
            <w:r w:rsidR="00934EBF">
              <w:rPr>
                <w:sz w:val="20"/>
                <w:szCs w:val="20"/>
              </w:rPr>
              <w:t xml:space="preserve"> to </w:t>
            </w:r>
            <w:r w:rsidR="000E6A20">
              <w:rPr>
                <w:sz w:val="20"/>
                <w:szCs w:val="20"/>
              </w:rPr>
              <w:t>7</w:t>
            </w:r>
            <w:r w:rsidR="00934EBF">
              <w:rPr>
                <w:sz w:val="20"/>
                <w:szCs w:val="20"/>
              </w:rPr>
              <w:t>.</w:t>
            </w:r>
            <w:r w:rsidR="000E6A20">
              <w:rPr>
                <w:sz w:val="20"/>
                <w:szCs w:val="20"/>
              </w:rPr>
              <w:t>1</w:t>
            </w:r>
            <w:r w:rsidR="00FA3157">
              <w:rPr>
                <w:sz w:val="20"/>
                <w:szCs w:val="20"/>
              </w:rPr>
              <w:t>%</w:t>
            </w:r>
            <w:r w:rsidRPr="00B76C48">
              <w:rPr>
                <w:sz w:val="20"/>
                <w:szCs w:val="20"/>
              </w:rPr>
              <w:t>)</w:t>
            </w:r>
          </w:p>
        </w:tc>
        <w:tc>
          <w:tcPr>
            <w:tcW w:w="1961" w:type="dxa"/>
            <w:tcBorders>
              <w:bottom w:val="double" w:sz="4" w:space="0" w:color="auto"/>
            </w:tcBorders>
            <w:vAlign w:val="center"/>
          </w:tcPr>
          <w:p w14:paraId="7A0D44E8" w14:textId="7903DFC0" w:rsidR="003E448E" w:rsidRPr="00B76C48" w:rsidRDefault="006C455B" w:rsidP="003F74CB">
            <w:pPr>
              <w:spacing w:line="240" w:lineRule="auto"/>
              <w:rPr>
                <w:sz w:val="20"/>
                <w:szCs w:val="20"/>
              </w:rPr>
            </w:pPr>
            <w:r>
              <w:rPr>
                <w:sz w:val="20"/>
                <w:szCs w:val="20"/>
              </w:rPr>
              <w:t>9.3</w:t>
            </w:r>
            <w:r w:rsidR="004C7967">
              <w:rPr>
                <w:sz w:val="20"/>
                <w:szCs w:val="20"/>
              </w:rPr>
              <w:t>%</w:t>
            </w:r>
            <w:r w:rsidR="003E448E" w:rsidRPr="00B76C48">
              <w:rPr>
                <w:sz w:val="20"/>
                <w:szCs w:val="20"/>
              </w:rPr>
              <w:t xml:space="preserve"> (</w:t>
            </w:r>
            <w:r w:rsidR="003F74CB">
              <w:rPr>
                <w:sz w:val="20"/>
                <w:szCs w:val="20"/>
              </w:rPr>
              <w:t>1.0</w:t>
            </w:r>
            <w:r w:rsidR="00FA3157">
              <w:rPr>
                <w:sz w:val="20"/>
                <w:szCs w:val="20"/>
              </w:rPr>
              <w:t>%</w:t>
            </w:r>
            <w:r w:rsidR="003E448E" w:rsidRPr="00B76C48">
              <w:rPr>
                <w:sz w:val="20"/>
                <w:szCs w:val="20"/>
              </w:rPr>
              <w:t xml:space="preserve"> to </w:t>
            </w:r>
            <w:r w:rsidR="003F74CB">
              <w:rPr>
                <w:sz w:val="20"/>
                <w:szCs w:val="20"/>
              </w:rPr>
              <w:t>18.4</w:t>
            </w:r>
            <w:r w:rsidR="00FA3157">
              <w:rPr>
                <w:sz w:val="20"/>
                <w:szCs w:val="20"/>
              </w:rPr>
              <w:t>%</w:t>
            </w:r>
            <w:r w:rsidR="003E448E" w:rsidRPr="00B76C48">
              <w:rPr>
                <w:sz w:val="20"/>
                <w:szCs w:val="20"/>
              </w:rPr>
              <w:t>)</w:t>
            </w:r>
          </w:p>
        </w:tc>
      </w:tr>
      <w:tr w:rsidR="003E448E" w:rsidRPr="00B76C48" w14:paraId="73CFE688" w14:textId="77777777" w:rsidTr="00E50A57">
        <w:tc>
          <w:tcPr>
            <w:tcW w:w="1791" w:type="dxa"/>
            <w:tcBorders>
              <w:top w:val="double" w:sz="4" w:space="0" w:color="auto"/>
            </w:tcBorders>
            <w:vAlign w:val="center"/>
          </w:tcPr>
          <w:p w14:paraId="6B3EE0AD" w14:textId="77777777" w:rsidR="003E448E" w:rsidRPr="00B76C48" w:rsidRDefault="003E448E" w:rsidP="00B76C48">
            <w:pPr>
              <w:spacing w:line="240" w:lineRule="auto"/>
              <w:rPr>
                <w:sz w:val="20"/>
                <w:szCs w:val="20"/>
              </w:rPr>
            </w:pPr>
            <w:r w:rsidRPr="00B76C48">
              <w:rPr>
                <w:sz w:val="20"/>
                <w:szCs w:val="20"/>
              </w:rPr>
              <w:t>Slope</w:t>
            </w:r>
          </w:p>
        </w:tc>
        <w:tc>
          <w:tcPr>
            <w:tcW w:w="2072" w:type="dxa"/>
            <w:tcBorders>
              <w:top w:val="double" w:sz="4" w:space="0" w:color="auto"/>
            </w:tcBorders>
            <w:vAlign w:val="center"/>
          </w:tcPr>
          <w:p w14:paraId="663E32C0" w14:textId="235C4A39" w:rsidR="003E448E" w:rsidRPr="00B76C48" w:rsidRDefault="00774687" w:rsidP="006C455B">
            <w:pPr>
              <w:spacing w:line="240" w:lineRule="auto"/>
              <w:rPr>
                <w:sz w:val="20"/>
                <w:szCs w:val="20"/>
              </w:rPr>
            </w:pPr>
            <w:r>
              <w:rPr>
                <w:sz w:val="20"/>
                <w:szCs w:val="20"/>
              </w:rPr>
              <w:t>2</w:t>
            </w:r>
            <w:r w:rsidR="00BB63AB">
              <w:rPr>
                <w:sz w:val="20"/>
                <w:szCs w:val="20"/>
              </w:rPr>
              <w:t>.</w:t>
            </w:r>
            <w:r>
              <w:rPr>
                <w:sz w:val="20"/>
                <w:szCs w:val="20"/>
              </w:rPr>
              <w:t>1</w:t>
            </w:r>
            <w:r w:rsidR="00BB63AB">
              <w:rPr>
                <w:sz w:val="20"/>
                <w:szCs w:val="20"/>
              </w:rPr>
              <w:t xml:space="preserve"> (95% CI: </w:t>
            </w:r>
            <w:r w:rsidR="006C455B">
              <w:rPr>
                <w:sz w:val="20"/>
                <w:szCs w:val="20"/>
              </w:rPr>
              <w:t>1.4</w:t>
            </w:r>
            <w:r w:rsidR="00BB63AB">
              <w:rPr>
                <w:sz w:val="20"/>
                <w:szCs w:val="20"/>
              </w:rPr>
              <w:t xml:space="preserve"> to </w:t>
            </w:r>
            <w:r w:rsidR="006C455B">
              <w:rPr>
                <w:sz w:val="20"/>
                <w:szCs w:val="20"/>
              </w:rPr>
              <w:t>2.8</w:t>
            </w:r>
            <w:r w:rsidR="00BB63AB">
              <w:rPr>
                <w:sz w:val="20"/>
                <w:szCs w:val="20"/>
              </w:rPr>
              <w:t>)</w:t>
            </w:r>
          </w:p>
        </w:tc>
        <w:tc>
          <w:tcPr>
            <w:tcW w:w="2071" w:type="dxa"/>
            <w:tcBorders>
              <w:top w:val="double" w:sz="4" w:space="0" w:color="auto"/>
            </w:tcBorders>
            <w:vAlign w:val="center"/>
          </w:tcPr>
          <w:p w14:paraId="7B2DCAC9" w14:textId="790A380B" w:rsidR="003E448E" w:rsidRPr="00B76C48" w:rsidRDefault="00C66FFA" w:rsidP="006C455B">
            <w:pPr>
              <w:spacing w:line="240" w:lineRule="auto"/>
              <w:rPr>
                <w:sz w:val="20"/>
                <w:szCs w:val="20"/>
              </w:rPr>
            </w:pPr>
            <w:r>
              <w:rPr>
                <w:sz w:val="20"/>
                <w:szCs w:val="20"/>
              </w:rPr>
              <w:t>0.</w:t>
            </w:r>
            <w:r w:rsidR="006C455B">
              <w:rPr>
                <w:sz w:val="20"/>
                <w:szCs w:val="20"/>
              </w:rPr>
              <w:t>3</w:t>
            </w:r>
            <w:r w:rsidR="000E6A20">
              <w:rPr>
                <w:sz w:val="20"/>
                <w:szCs w:val="20"/>
              </w:rPr>
              <w:t xml:space="preserve"> (95% CI: </w:t>
            </w:r>
            <w:r>
              <w:rPr>
                <w:sz w:val="20"/>
                <w:szCs w:val="20"/>
              </w:rPr>
              <w:t>0.</w:t>
            </w:r>
            <w:r w:rsidR="006C455B">
              <w:rPr>
                <w:sz w:val="20"/>
                <w:szCs w:val="20"/>
              </w:rPr>
              <w:t>1</w:t>
            </w:r>
            <w:r>
              <w:rPr>
                <w:sz w:val="20"/>
                <w:szCs w:val="20"/>
              </w:rPr>
              <w:t xml:space="preserve"> to 0.</w:t>
            </w:r>
            <w:r w:rsidR="006C455B">
              <w:rPr>
                <w:sz w:val="20"/>
                <w:szCs w:val="20"/>
              </w:rPr>
              <w:t>4</w:t>
            </w:r>
            <w:r>
              <w:rPr>
                <w:sz w:val="20"/>
                <w:szCs w:val="20"/>
              </w:rPr>
              <w:t>)</w:t>
            </w:r>
          </w:p>
        </w:tc>
        <w:tc>
          <w:tcPr>
            <w:tcW w:w="2073" w:type="dxa"/>
            <w:tcBorders>
              <w:top w:val="double" w:sz="4" w:space="0" w:color="auto"/>
            </w:tcBorders>
            <w:vAlign w:val="center"/>
          </w:tcPr>
          <w:p w14:paraId="26C97576" w14:textId="45104499" w:rsidR="003E448E" w:rsidRPr="00B76C48" w:rsidRDefault="006C455B" w:rsidP="006C455B">
            <w:pPr>
              <w:spacing w:line="240" w:lineRule="auto"/>
              <w:rPr>
                <w:sz w:val="20"/>
                <w:szCs w:val="20"/>
              </w:rPr>
            </w:pPr>
            <w:r>
              <w:rPr>
                <w:sz w:val="20"/>
                <w:szCs w:val="20"/>
              </w:rPr>
              <w:t>0.8</w:t>
            </w:r>
            <w:r w:rsidR="00BB63AB">
              <w:rPr>
                <w:sz w:val="20"/>
                <w:szCs w:val="20"/>
              </w:rPr>
              <w:t xml:space="preserve">% (95% CI: </w:t>
            </w:r>
            <w:r w:rsidR="0078792B">
              <w:rPr>
                <w:sz w:val="20"/>
                <w:szCs w:val="20"/>
              </w:rPr>
              <w:t>0</w:t>
            </w:r>
            <w:r w:rsidR="00BB63AB">
              <w:rPr>
                <w:sz w:val="20"/>
                <w:szCs w:val="20"/>
              </w:rPr>
              <w:t>.</w:t>
            </w:r>
            <w:r>
              <w:rPr>
                <w:sz w:val="20"/>
                <w:szCs w:val="20"/>
              </w:rPr>
              <w:t>5</w:t>
            </w:r>
            <w:r w:rsidR="007C0724">
              <w:rPr>
                <w:sz w:val="20"/>
                <w:szCs w:val="20"/>
              </w:rPr>
              <w:t>%</w:t>
            </w:r>
            <w:r w:rsidR="00BB63AB">
              <w:rPr>
                <w:sz w:val="20"/>
                <w:szCs w:val="20"/>
              </w:rPr>
              <w:t xml:space="preserve"> to 1.</w:t>
            </w:r>
            <w:r>
              <w:rPr>
                <w:sz w:val="20"/>
                <w:szCs w:val="20"/>
              </w:rPr>
              <w:t>2</w:t>
            </w:r>
            <w:r w:rsidR="007C0724">
              <w:rPr>
                <w:sz w:val="20"/>
                <w:szCs w:val="20"/>
              </w:rPr>
              <w:t>%</w:t>
            </w:r>
            <w:r w:rsidR="00BB63AB">
              <w:rPr>
                <w:sz w:val="20"/>
                <w:szCs w:val="20"/>
              </w:rPr>
              <w:t>)</w:t>
            </w:r>
          </w:p>
        </w:tc>
        <w:tc>
          <w:tcPr>
            <w:tcW w:w="1961" w:type="dxa"/>
            <w:tcBorders>
              <w:top w:val="double" w:sz="4" w:space="0" w:color="auto"/>
            </w:tcBorders>
            <w:vAlign w:val="center"/>
          </w:tcPr>
          <w:p w14:paraId="19ABEDD6" w14:textId="35B653AF" w:rsidR="003E448E" w:rsidRPr="00B76C48" w:rsidRDefault="003F74CB" w:rsidP="003F74CB">
            <w:pPr>
              <w:spacing w:line="240" w:lineRule="auto"/>
              <w:rPr>
                <w:sz w:val="20"/>
                <w:szCs w:val="20"/>
              </w:rPr>
            </w:pPr>
            <w:r>
              <w:rPr>
                <w:sz w:val="20"/>
                <w:szCs w:val="20"/>
              </w:rPr>
              <w:t>3</w:t>
            </w:r>
            <w:r w:rsidR="00C66FFA">
              <w:rPr>
                <w:sz w:val="20"/>
                <w:szCs w:val="20"/>
              </w:rPr>
              <w:t>.</w:t>
            </w:r>
            <w:r w:rsidR="000E6A20">
              <w:rPr>
                <w:sz w:val="20"/>
                <w:szCs w:val="20"/>
              </w:rPr>
              <w:t xml:space="preserve">4% (95% CI: </w:t>
            </w:r>
            <w:r>
              <w:rPr>
                <w:sz w:val="20"/>
                <w:szCs w:val="20"/>
              </w:rPr>
              <w:t>2</w:t>
            </w:r>
            <w:r w:rsidR="00C66FFA">
              <w:rPr>
                <w:sz w:val="20"/>
                <w:szCs w:val="20"/>
              </w:rPr>
              <w:t>.0</w:t>
            </w:r>
            <w:r w:rsidR="00FA3157">
              <w:rPr>
                <w:sz w:val="20"/>
                <w:szCs w:val="20"/>
              </w:rPr>
              <w:t>%</w:t>
            </w:r>
            <w:r w:rsidR="00C66FFA">
              <w:rPr>
                <w:sz w:val="20"/>
                <w:szCs w:val="20"/>
              </w:rPr>
              <w:t xml:space="preserve"> to </w:t>
            </w:r>
            <w:r>
              <w:rPr>
                <w:sz w:val="20"/>
                <w:szCs w:val="20"/>
              </w:rPr>
              <w:t>4</w:t>
            </w:r>
            <w:r w:rsidR="00C66FFA">
              <w:rPr>
                <w:sz w:val="20"/>
                <w:szCs w:val="20"/>
              </w:rPr>
              <w:t>.</w:t>
            </w:r>
            <w:r w:rsidR="000E6A20">
              <w:rPr>
                <w:sz w:val="20"/>
                <w:szCs w:val="20"/>
              </w:rPr>
              <w:t>7</w:t>
            </w:r>
            <w:r w:rsidR="00FA3157">
              <w:rPr>
                <w:sz w:val="20"/>
                <w:szCs w:val="20"/>
              </w:rPr>
              <w:t>%</w:t>
            </w:r>
            <w:r w:rsidR="00C66FFA">
              <w:rPr>
                <w:sz w:val="20"/>
                <w:szCs w:val="20"/>
              </w:rPr>
              <w:t>)</w:t>
            </w:r>
          </w:p>
        </w:tc>
      </w:tr>
      <w:tr w:rsidR="00652CC1" w:rsidRPr="00B76C48" w14:paraId="5765643A" w14:textId="77777777" w:rsidTr="00E50A57">
        <w:tc>
          <w:tcPr>
            <w:tcW w:w="1791" w:type="dxa"/>
            <w:vAlign w:val="center"/>
          </w:tcPr>
          <w:p w14:paraId="09CBEDAA" w14:textId="015801B1" w:rsidR="00652CC1" w:rsidRPr="00B76C48" w:rsidRDefault="00652CC1" w:rsidP="003E1AE6">
            <w:pPr>
              <w:spacing w:line="240" w:lineRule="auto"/>
              <w:jc w:val="left"/>
              <w:rPr>
                <w:sz w:val="20"/>
                <w:szCs w:val="20"/>
              </w:rPr>
            </w:pPr>
            <w:r w:rsidRPr="00B76C48">
              <w:rPr>
                <w:sz w:val="20"/>
                <w:szCs w:val="20"/>
              </w:rPr>
              <w:t xml:space="preserve">Slope </w:t>
            </w:r>
            <w:r w:rsidR="00532930">
              <w:rPr>
                <w:sz w:val="20"/>
                <w:szCs w:val="20"/>
              </w:rPr>
              <w:t>(directly</w:t>
            </w:r>
            <w:r w:rsidR="00532930" w:rsidRPr="008939D4">
              <w:rPr>
                <w:sz w:val="20"/>
                <w:szCs w:val="20"/>
              </w:rPr>
              <w:t xml:space="preserve"> age and sex</w:t>
            </w:r>
            <w:r w:rsidR="00532930">
              <w:rPr>
                <w:sz w:val="20"/>
                <w:szCs w:val="20"/>
              </w:rPr>
              <w:t xml:space="preserve"> standardised)</w:t>
            </w:r>
          </w:p>
        </w:tc>
        <w:tc>
          <w:tcPr>
            <w:tcW w:w="2072" w:type="dxa"/>
            <w:vAlign w:val="center"/>
          </w:tcPr>
          <w:p w14:paraId="6F6948C7" w14:textId="0E5078C2" w:rsidR="00652CC1" w:rsidRPr="00B76C48" w:rsidRDefault="003F74CB" w:rsidP="003F74CB">
            <w:pPr>
              <w:spacing w:line="240" w:lineRule="auto"/>
              <w:rPr>
                <w:sz w:val="20"/>
                <w:szCs w:val="20"/>
              </w:rPr>
            </w:pPr>
            <w:r>
              <w:rPr>
                <w:sz w:val="20"/>
                <w:szCs w:val="20"/>
              </w:rPr>
              <w:t>5.7</w:t>
            </w:r>
            <w:r w:rsidR="00652CC1" w:rsidRPr="00B76C48">
              <w:rPr>
                <w:sz w:val="20"/>
                <w:szCs w:val="20"/>
              </w:rPr>
              <w:t xml:space="preserve"> (</w:t>
            </w:r>
            <w:r w:rsidR="00862F06">
              <w:rPr>
                <w:sz w:val="20"/>
                <w:szCs w:val="20"/>
              </w:rPr>
              <w:t xml:space="preserve">95% CI: </w:t>
            </w:r>
            <w:r>
              <w:rPr>
                <w:sz w:val="20"/>
                <w:szCs w:val="20"/>
              </w:rPr>
              <w:t>5</w:t>
            </w:r>
            <w:r w:rsidR="00E05BA4">
              <w:rPr>
                <w:sz w:val="20"/>
                <w:szCs w:val="20"/>
              </w:rPr>
              <w:t>.</w:t>
            </w:r>
            <w:r w:rsidR="00A56B97">
              <w:rPr>
                <w:sz w:val="20"/>
                <w:szCs w:val="20"/>
              </w:rPr>
              <w:t>0</w:t>
            </w:r>
            <w:r w:rsidR="00AC0B2F" w:rsidRPr="00B76C48">
              <w:rPr>
                <w:sz w:val="20"/>
                <w:szCs w:val="20"/>
              </w:rPr>
              <w:t xml:space="preserve"> </w:t>
            </w:r>
            <w:r w:rsidR="00652CC1" w:rsidRPr="00B76C48">
              <w:rPr>
                <w:sz w:val="20"/>
                <w:szCs w:val="20"/>
              </w:rPr>
              <w:t xml:space="preserve">to </w:t>
            </w:r>
            <w:r>
              <w:rPr>
                <w:sz w:val="20"/>
                <w:szCs w:val="20"/>
              </w:rPr>
              <w:t>6.3</w:t>
            </w:r>
            <w:r w:rsidR="00652CC1" w:rsidRPr="00B76C48">
              <w:rPr>
                <w:sz w:val="20"/>
                <w:szCs w:val="20"/>
              </w:rPr>
              <w:t>)</w:t>
            </w:r>
          </w:p>
        </w:tc>
        <w:tc>
          <w:tcPr>
            <w:tcW w:w="2071" w:type="dxa"/>
            <w:vAlign w:val="center"/>
          </w:tcPr>
          <w:p w14:paraId="3519F913" w14:textId="5E0F31B2" w:rsidR="00652CC1" w:rsidRPr="00B76C48" w:rsidRDefault="006F25BB" w:rsidP="003F74CB">
            <w:pPr>
              <w:spacing w:line="240" w:lineRule="auto"/>
              <w:rPr>
                <w:sz w:val="20"/>
                <w:szCs w:val="20"/>
              </w:rPr>
            </w:pPr>
            <w:r>
              <w:rPr>
                <w:sz w:val="20"/>
                <w:szCs w:val="20"/>
              </w:rPr>
              <w:t>0.</w:t>
            </w:r>
            <w:r w:rsidR="003F74CB">
              <w:rPr>
                <w:sz w:val="20"/>
                <w:szCs w:val="20"/>
              </w:rPr>
              <w:t>6</w:t>
            </w:r>
            <w:r w:rsidR="00652CC1" w:rsidRPr="00B76C48">
              <w:rPr>
                <w:sz w:val="20"/>
                <w:szCs w:val="20"/>
              </w:rPr>
              <w:t xml:space="preserve"> (</w:t>
            </w:r>
            <w:r w:rsidR="00CA2E44">
              <w:rPr>
                <w:sz w:val="20"/>
                <w:szCs w:val="20"/>
              </w:rPr>
              <w:t xml:space="preserve">95% CI: </w:t>
            </w:r>
            <w:r>
              <w:rPr>
                <w:sz w:val="20"/>
                <w:szCs w:val="20"/>
              </w:rPr>
              <w:t>0.</w:t>
            </w:r>
            <w:r w:rsidR="00A56B97">
              <w:rPr>
                <w:sz w:val="20"/>
                <w:szCs w:val="20"/>
              </w:rPr>
              <w:t>4</w:t>
            </w:r>
            <w:r w:rsidR="00652CC1" w:rsidRPr="00B76C48">
              <w:rPr>
                <w:sz w:val="20"/>
                <w:szCs w:val="20"/>
              </w:rPr>
              <w:t xml:space="preserve"> to </w:t>
            </w:r>
            <w:r>
              <w:rPr>
                <w:sz w:val="20"/>
                <w:szCs w:val="20"/>
              </w:rPr>
              <w:t>0.</w:t>
            </w:r>
            <w:r w:rsidR="003F74CB">
              <w:rPr>
                <w:sz w:val="20"/>
                <w:szCs w:val="20"/>
              </w:rPr>
              <w:t>7</w:t>
            </w:r>
            <w:r w:rsidR="00652CC1" w:rsidRPr="00B76C48">
              <w:rPr>
                <w:sz w:val="20"/>
                <w:szCs w:val="20"/>
              </w:rPr>
              <w:t>)</w:t>
            </w:r>
          </w:p>
        </w:tc>
        <w:tc>
          <w:tcPr>
            <w:tcW w:w="2073" w:type="dxa"/>
            <w:vAlign w:val="center"/>
          </w:tcPr>
          <w:p w14:paraId="40750E44" w14:textId="60C011DE" w:rsidR="00652CC1" w:rsidRPr="00B76C48" w:rsidRDefault="003F74CB" w:rsidP="003F74CB">
            <w:pPr>
              <w:spacing w:line="240" w:lineRule="auto"/>
              <w:rPr>
                <w:sz w:val="20"/>
                <w:szCs w:val="20"/>
              </w:rPr>
            </w:pPr>
            <w:r>
              <w:rPr>
                <w:sz w:val="20"/>
                <w:szCs w:val="20"/>
              </w:rPr>
              <w:t>0</w:t>
            </w:r>
            <w:r w:rsidR="00015B95" w:rsidRPr="00B76C48">
              <w:rPr>
                <w:sz w:val="20"/>
                <w:szCs w:val="20"/>
              </w:rPr>
              <w:t>.</w:t>
            </w:r>
            <w:r>
              <w:rPr>
                <w:sz w:val="20"/>
                <w:szCs w:val="20"/>
              </w:rPr>
              <w:t>7</w:t>
            </w:r>
            <w:r w:rsidR="006F25BB">
              <w:rPr>
                <w:sz w:val="20"/>
                <w:szCs w:val="20"/>
              </w:rPr>
              <w:t>%</w:t>
            </w:r>
            <w:r w:rsidR="00995F8E" w:rsidRPr="00B76C48">
              <w:rPr>
                <w:sz w:val="20"/>
                <w:szCs w:val="20"/>
              </w:rPr>
              <w:t xml:space="preserve"> (</w:t>
            </w:r>
            <w:r w:rsidR="007C0724">
              <w:rPr>
                <w:sz w:val="20"/>
                <w:szCs w:val="20"/>
              </w:rPr>
              <w:t>95% CI: 0.</w:t>
            </w:r>
            <w:r>
              <w:rPr>
                <w:sz w:val="20"/>
                <w:szCs w:val="20"/>
              </w:rPr>
              <w:t>3</w:t>
            </w:r>
            <w:r w:rsidR="007C0724">
              <w:rPr>
                <w:sz w:val="20"/>
                <w:szCs w:val="20"/>
              </w:rPr>
              <w:t xml:space="preserve">% </w:t>
            </w:r>
            <w:r w:rsidR="00652CC1" w:rsidRPr="00B76C48">
              <w:rPr>
                <w:sz w:val="20"/>
                <w:szCs w:val="20"/>
              </w:rPr>
              <w:t xml:space="preserve">to </w:t>
            </w:r>
            <w:r w:rsidR="007C0724">
              <w:rPr>
                <w:sz w:val="20"/>
                <w:szCs w:val="20"/>
              </w:rPr>
              <w:t>1.</w:t>
            </w:r>
            <w:r>
              <w:rPr>
                <w:sz w:val="20"/>
                <w:szCs w:val="20"/>
              </w:rPr>
              <w:t>0</w:t>
            </w:r>
            <w:r w:rsidR="007C0724">
              <w:rPr>
                <w:sz w:val="20"/>
                <w:szCs w:val="20"/>
              </w:rPr>
              <w:t>%</w:t>
            </w:r>
            <w:r w:rsidR="00652CC1" w:rsidRPr="00B76C48">
              <w:rPr>
                <w:sz w:val="20"/>
                <w:szCs w:val="20"/>
              </w:rPr>
              <w:t>)</w:t>
            </w:r>
          </w:p>
        </w:tc>
        <w:tc>
          <w:tcPr>
            <w:tcW w:w="1961" w:type="dxa"/>
            <w:vAlign w:val="center"/>
          </w:tcPr>
          <w:p w14:paraId="65B121AA" w14:textId="264CE431" w:rsidR="00652CC1" w:rsidRPr="00B76C48" w:rsidRDefault="003F74CB" w:rsidP="003F74CB">
            <w:pPr>
              <w:spacing w:line="240" w:lineRule="auto"/>
              <w:rPr>
                <w:sz w:val="20"/>
                <w:szCs w:val="20"/>
              </w:rPr>
            </w:pPr>
            <w:r>
              <w:rPr>
                <w:sz w:val="20"/>
                <w:szCs w:val="20"/>
              </w:rPr>
              <w:t>2</w:t>
            </w:r>
            <w:r w:rsidR="00015B95" w:rsidRPr="00B76C48">
              <w:rPr>
                <w:sz w:val="20"/>
                <w:szCs w:val="20"/>
              </w:rPr>
              <w:t>.</w:t>
            </w:r>
            <w:r>
              <w:rPr>
                <w:sz w:val="20"/>
                <w:szCs w:val="20"/>
              </w:rPr>
              <w:t>9</w:t>
            </w:r>
            <w:r w:rsidR="006F25BB">
              <w:rPr>
                <w:sz w:val="20"/>
                <w:szCs w:val="20"/>
              </w:rPr>
              <w:t>%</w:t>
            </w:r>
            <w:r w:rsidR="00652CC1" w:rsidRPr="00B76C48">
              <w:rPr>
                <w:sz w:val="20"/>
                <w:szCs w:val="20"/>
              </w:rPr>
              <w:t xml:space="preserve"> (</w:t>
            </w:r>
            <w:r w:rsidR="00D2506E">
              <w:rPr>
                <w:sz w:val="20"/>
                <w:szCs w:val="20"/>
              </w:rPr>
              <w:t xml:space="preserve">95% CI: </w:t>
            </w:r>
            <w:r>
              <w:rPr>
                <w:sz w:val="20"/>
                <w:szCs w:val="20"/>
              </w:rPr>
              <w:t>1</w:t>
            </w:r>
            <w:r w:rsidR="00A56B97">
              <w:rPr>
                <w:sz w:val="20"/>
                <w:szCs w:val="20"/>
              </w:rPr>
              <w:t>.</w:t>
            </w:r>
            <w:r>
              <w:rPr>
                <w:sz w:val="20"/>
                <w:szCs w:val="20"/>
              </w:rPr>
              <w:t>5</w:t>
            </w:r>
            <w:r w:rsidR="00D2506E">
              <w:rPr>
                <w:sz w:val="20"/>
                <w:szCs w:val="20"/>
              </w:rPr>
              <w:t>%</w:t>
            </w:r>
            <w:r w:rsidR="00652CC1" w:rsidRPr="00B76C48">
              <w:rPr>
                <w:sz w:val="20"/>
                <w:szCs w:val="20"/>
              </w:rPr>
              <w:t xml:space="preserve"> to </w:t>
            </w:r>
            <w:r>
              <w:rPr>
                <w:sz w:val="20"/>
                <w:szCs w:val="20"/>
              </w:rPr>
              <w:t>4.3</w:t>
            </w:r>
            <w:r w:rsidR="00D2506E">
              <w:rPr>
                <w:sz w:val="20"/>
                <w:szCs w:val="20"/>
              </w:rPr>
              <w:t>%</w:t>
            </w:r>
            <w:r w:rsidR="00652CC1" w:rsidRPr="00B76C48">
              <w:rPr>
                <w:sz w:val="20"/>
                <w:szCs w:val="20"/>
              </w:rPr>
              <w:t>)</w:t>
            </w:r>
          </w:p>
        </w:tc>
      </w:tr>
      <w:tr w:rsidR="00E50A57" w:rsidRPr="00B76C48" w14:paraId="3E797559" w14:textId="77777777" w:rsidTr="009E7C87">
        <w:tc>
          <w:tcPr>
            <w:tcW w:w="9968" w:type="dxa"/>
            <w:gridSpan w:val="5"/>
            <w:vAlign w:val="center"/>
          </w:tcPr>
          <w:p w14:paraId="3D2B3ABF" w14:textId="7A9759CB" w:rsidR="00E50A57" w:rsidRDefault="00E50A57" w:rsidP="00D2506E">
            <w:pPr>
              <w:spacing w:line="240" w:lineRule="auto"/>
              <w:rPr>
                <w:sz w:val="20"/>
                <w:szCs w:val="20"/>
              </w:rPr>
            </w:pPr>
            <w:r w:rsidRPr="00E50A57">
              <w:rPr>
                <w:sz w:val="20"/>
                <w:szCs w:val="20"/>
              </w:rPr>
              <w:t>Absolute and relative reductions of cases prevented or postponed (CPP) are presented for cardiovascular disease (CVD) and gastric cancer (GCa). The slope for absolute and relative reduction represents the absolute and relative equity slope index, respectively. Brackets contain interquartile ranges (IQR) for the estimated CPP and 95% confidence intervals (CI) for the slopes.</w:t>
            </w:r>
          </w:p>
        </w:tc>
      </w:tr>
    </w:tbl>
    <w:p w14:paraId="67C2ED5E" w14:textId="77777777" w:rsidR="003E5874" w:rsidRDefault="003E5874" w:rsidP="00AC0B1E">
      <w:pPr>
        <w:rPr>
          <w:lang w:eastAsia="en-GB"/>
        </w:rPr>
      </w:pPr>
    </w:p>
    <w:p w14:paraId="3C19295B" w14:textId="7AAD61BB" w:rsidR="000B5048" w:rsidRPr="004E03DD" w:rsidRDefault="000B5048" w:rsidP="00AC0B1E">
      <w:pPr>
        <w:pStyle w:val="Heading2"/>
        <w:rPr>
          <w:sz w:val="22"/>
          <w:lang w:eastAsia="en-GB"/>
        </w:rPr>
      </w:pPr>
      <w:r w:rsidRPr="00CA2E4A">
        <w:rPr>
          <w:lang w:eastAsia="en-GB"/>
        </w:rPr>
        <w:t>Validation</w:t>
      </w:r>
      <w:r w:rsidR="004E03DD">
        <w:rPr>
          <w:lang w:eastAsia="en-GB"/>
        </w:rPr>
        <w:t xml:space="preserve"> </w:t>
      </w:r>
      <w:r w:rsidR="0000713A">
        <w:rPr>
          <w:lang w:eastAsia="en-GB"/>
        </w:rPr>
        <w:t>(Fig</w:t>
      </w:r>
      <w:r w:rsidR="004B0715">
        <w:rPr>
          <w:lang w:eastAsia="en-GB"/>
        </w:rPr>
        <w:t>ure</w:t>
      </w:r>
      <w:r w:rsidR="00F84A15">
        <w:rPr>
          <w:lang w:eastAsia="en-GB"/>
        </w:rPr>
        <w:t xml:space="preserve"> </w:t>
      </w:r>
      <w:r w:rsidR="000367A1">
        <w:rPr>
          <w:lang w:eastAsia="en-GB"/>
        </w:rPr>
        <w:t>2</w:t>
      </w:r>
      <w:r w:rsidR="006A30B2">
        <w:rPr>
          <w:lang w:eastAsia="en-GB"/>
        </w:rPr>
        <w:t>)</w:t>
      </w:r>
    </w:p>
    <w:p w14:paraId="2C546BB7" w14:textId="520662A0" w:rsidR="000B5048" w:rsidRDefault="000B5048" w:rsidP="00AC0B1E">
      <w:pPr>
        <w:rPr>
          <w:lang w:eastAsia="en-GB"/>
        </w:rPr>
      </w:pPr>
      <w:r>
        <w:rPr>
          <w:lang w:eastAsia="en-GB"/>
        </w:rPr>
        <w:lastRenderedPageBreak/>
        <w:t xml:space="preserve">We assessed the </w:t>
      </w:r>
      <w:r w:rsidR="005520A8">
        <w:rPr>
          <w:lang w:eastAsia="en-GB"/>
        </w:rPr>
        <w:t>eternal</w:t>
      </w:r>
      <w:r>
        <w:rPr>
          <w:lang w:eastAsia="en-GB"/>
        </w:rPr>
        <w:t xml:space="preserve"> validity of the </w:t>
      </w:r>
      <w:r w:rsidR="00490191" w:rsidRPr="00490191">
        <w:rPr>
          <w:lang w:eastAsia="en-GB"/>
        </w:rPr>
        <w:t>IMPACT</w:t>
      </w:r>
      <w:r w:rsidR="00490191" w:rsidRPr="006A30B2">
        <w:rPr>
          <w:b/>
          <w:vertAlign w:val="subscript"/>
          <w:lang w:eastAsia="en-GB"/>
        </w:rPr>
        <w:t>NCD</w:t>
      </w:r>
      <w:r w:rsidR="00490191" w:rsidRPr="00490191">
        <w:rPr>
          <w:lang w:eastAsia="en-GB"/>
        </w:rPr>
        <w:t xml:space="preserve"> </w:t>
      </w:r>
      <w:r>
        <w:rPr>
          <w:lang w:eastAsia="en-GB"/>
        </w:rPr>
        <w:t>model by comparing the estimated number of deaths from CVD and GCa against the observed number of deaths from the same causes fo</w:t>
      </w:r>
      <w:r w:rsidR="00890E83">
        <w:rPr>
          <w:lang w:eastAsia="en-GB"/>
        </w:rPr>
        <w:t xml:space="preserve">r years 2006 to 2013 in </w:t>
      </w:r>
      <w:r w:rsidR="0000713A">
        <w:rPr>
          <w:lang w:eastAsia="en-GB"/>
        </w:rPr>
        <w:t>England (Fig</w:t>
      </w:r>
      <w:r w:rsidR="004B0715">
        <w:rPr>
          <w:lang w:eastAsia="en-GB"/>
        </w:rPr>
        <w:t>ure</w:t>
      </w:r>
      <w:r w:rsidR="00BD48FC">
        <w:rPr>
          <w:lang w:eastAsia="en-GB"/>
        </w:rPr>
        <w:t xml:space="preserve"> </w:t>
      </w:r>
      <w:r w:rsidR="002A519A">
        <w:rPr>
          <w:lang w:eastAsia="en-GB"/>
        </w:rPr>
        <w:t>2</w:t>
      </w:r>
      <w:r w:rsidR="00BD48FC">
        <w:rPr>
          <w:lang w:eastAsia="en-GB"/>
        </w:rPr>
        <w:t>)</w:t>
      </w:r>
      <w:r w:rsidR="00890E83">
        <w:rPr>
          <w:lang w:eastAsia="en-GB"/>
        </w:rPr>
        <w:t>.</w:t>
      </w:r>
      <w:r>
        <w:rPr>
          <w:lang w:eastAsia="en-GB"/>
        </w:rPr>
        <w:t xml:space="preserve"> Detailed graphs by age group, sex, QIMD and disease can be found in the Supplement</w:t>
      </w:r>
      <w:r w:rsidR="00F96834">
        <w:rPr>
          <w:lang w:eastAsia="en-GB"/>
        </w:rPr>
        <w:t xml:space="preserve"> Chapter S</w:t>
      </w:r>
      <w:r w:rsidR="00320F38">
        <w:rPr>
          <w:lang w:eastAsia="en-GB"/>
        </w:rPr>
        <w:t>8</w:t>
      </w:r>
      <w:r w:rsidR="00490191">
        <w:rPr>
          <w:lang w:eastAsia="en-GB"/>
        </w:rPr>
        <w:t>.</w:t>
      </w:r>
      <w:r>
        <w:rPr>
          <w:lang w:eastAsia="en-GB"/>
        </w:rPr>
        <w:t xml:space="preserve"> </w:t>
      </w:r>
      <w:r w:rsidR="006A30B2">
        <w:rPr>
          <w:lang w:eastAsia="en-GB"/>
        </w:rPr>
        <w:t xml:space="preserve">Overall, </w:t>
      </w:r>
      <w:r w:rsidR="006A30B2" w:rsidRPr="00490191">
        <w:rPr>
          <w:lang w:eastAsia="en-GB"/>
        </w:rPr>
        <w:t>IMPACT</w:t>
      </w:r>
      <w:r w:rsidR="006A30B2" w:rsidRPr="006A30B2">
        <w:rPr>
          <w:b/>
          <w:vertAlign w:val="subscript"/>
          <w:lang w:eastAsia="en-GB"/>
        </w:rPr>
        <w:t>NCD</w:t>
      </w:r>
      <w:r>
        <w:rPr>
          <w:lang w:eastAsia="en-GB"/>
        </w:rPr>
        <w:t xml:space="preserve"> is </w:t>
      </w:r>
      <w:r w:rsidR="00AB09D7">
        <w:rPr>
          <w:lang w:eastAsia="en-GB"/>
        </w:rPr>
        <w:t xml:space="preserve">strongly validated even when mortality </w:t>
      </w:r>
      <w:r w:rsidR="004E03DD">
        <w:rPr>
          <w:lang w:eastAsia="en-GB"/>
        </w:rPr>
        <w:t>wa</w:t>
      </w:r>
      <w:r w:rsidR="00AB09D7">
        <w:rPr>
          <w:lang w:eastAsia="en-GB"/>
        </w:rPr>
        <w:t>s highly stratified</w:t>
      </w:r>
      <w:r w:rsidR="004E03DD">
        <w:rPr>
          <w:lang w:eastAsia="en-GB"/>
        </w:rPr>
        <w:t>.</w:t>
      </w:r>
    </w:p>
    <w:p w14:paraId="3DB51549" w14:textId="072A68DE" w:rsidR="000B5048" w:rsidRDefault="000B5048" w:rsidP="00AC0B1E"/>
    <w:p w14:paraId="0105CD77" w14:textId="17AD6F21" w:rsidR="00AD0820" w:rsidRDefault="008B56F8" w:rsidP="00AC0B1E">
      <w:r>
        <w:rPr>
          <w:noProof/>
          <w:lang w:eastAsia="en-GB"/>
        </w:rPr>
        <w:t>[FIGURE 2 HERE</w:t>
      </w:r>
      <w:bookmarkStart w:id="6" w:name="_GoBack"/>
      <w:bookmarkEnd w:id="6"/>
      <w:r>
        <w:rPr>
          <w:noProof/>
          <w:lang w:eastAsia="en-GB"/>
        </w:rPr>
        <w:t>]</w:t>
      </w:r>
    </w:p>
    <w:p w14:paraId="66FE6822" w14:textId="57AE2DA1" w:rsidR="000B5048" w:rsidRPr="00A93909" w:rsidRDefault="0000713A" w:rsidP="00AC0B1E">
      <w:pPr>
        <w:pStyle w:val="Caption"/>
      </w:pPr>
      <w:r>
        <w:t>Fig</w:t>
      </w:r>
      <w:r w:rsidR="0013402A">
        <w:t>ure</w:t>
      </w:r>
      <w:r w:rsidR="000B5048">
        <w:t xml:space="preserve"> </w:t>
      </w:r>
      <w:r w:rsidR="00A532AE">
        <w:fldChar w:fldCharType="begin"/>
      </w:r>
      <w:r w:rsidR="00A532AE">
        <w:instrText xml:space="preserve"> SEQ Figure \* ARABIC </w:instrText>
      </w:r>
      <w:r w:rsidR="00A532AE">
        <w:fldChar w:fldCharType="separate"/>
      </w:r>
      <w:r w:rsidR="004F3777">
        <w:rPr>
          <w:noProof/>
        </w:rPr>
        <w:t>2</w:t>
      </w:r>
      <w:r w:rsidR="00A532AE">
        <w:rPr>
          <w:noProof/>
        </w:rPr>
        <w:fldChar w:fldCharType="end"/>
      </w:r>
      <w:r w:rsidR="000B5048">
        <w:rPr>
          <w:noProof/>
        </w:rPr>
        <w:t xml:space="preserve"> </w:t>
      </w:r>
      <w:r w:rsidR="000B5048" w:rsidRPr="00A93909">
        <w:t>Number of deaths from cardiovascular disease and gastric cancer in England, by year</w:t>
      </w:r>
      <w:r w:rsidR="00E52956" w:rsidRPr="00A93909">
        <w:t xml:space="preserve"> </w:t>
      </w:r>
      <w:r w:rsidR="00852469">
        <w:t xml:space="preserve">and sex </w:t>
      </w:r>
      <w:r w:rsidR="00E52956" w:rsidRPr="00A93909">
        <w:t>for ages 30 to 84</w:t>
      </w:r>
      <w:r w:rsidR="000B5048" w:rsidRPr="00A93909">
        <w:t xml:space="preserve">. </w:t>
      </w:r>
      <w:r w:rsidR="00A31C77" w:rsidRPr="00A93909">
        <w:t xml:space="preserve">Office for </w:t>
      </w:r>
      <w:r w:rsidR="00B26430">
        <w:t>N</w:t>
      </w:r>
      <w:r w:rsidR="00A31C77" w:rsidRPr="00A93909">
        <w:t xml:space="preserve">ational </w:t>
      </w:r>
      <w:r w:rsidR="00B26430">
        <w:t>S</w:t>
      </w:r>
      <w:r w:rsidR="00A31C77" w:rsidRPr="00A93909">
        <w:t>tatistic</w:t>
      </w:r>
      <w:r w:rsidR="00A93909" w:rsidRPr="00A93909">
        <w:t>s (ONS)</w:t>
      </w:r>
      <w:r w:rsidR="00A31C77" w:rsidRPr="00A93909">
        <w:t xml:space="preserve"> reported </w:t>
      </w:r>
      <w:r w:rsidR="00A93909" w:rsidRPr="00A93909">
        <w:t xml:space="preserve">deaths </w:t>
      </w:r>
      <w:r w:rsidR="00A31C77" w:rsidRPr="00A93909">
        <w:t>(</w:t>
      </w:r>
      <w:r w:rsidR="00A93909" w:rsidRPr="00A93909">
        <w:t>o</w:t>
      </w:r>
      <w:r w:rsidR="000B5048" w:rsidRPr="00A93909">
        <w:t>bserved</w:t>
      </w:r>
      <w:r w:rsidR="00A31C77" w:rsidRPr="00A93909">
        <w:t>)</w:t>
      </w:r>
      <w:r w:rsidR="000B5048" w:rsidRPr="00A93909">
        <w:t xml:space="preserve"> vs IMPACT</w:t>
      </w:r>
      <w:r w:rsidR="000B5048" w:rsidRPr="00A93909">
        <w:rPr>
          <w:vertAlign w:val="subscript"/>
        </w:rPr>
        <w:t>NCD</w:t>
      </w:r>
      <w:r w:rsidR="00A93909" w:rsidRPr="00A93909">
        <w:t xml:space="preserve"> estimated</w:t>
      </w:r>
      <w:r w:rsidR="000B5048" w:rsidRPr="00A93909">
        <w:t xml:space="preserve">. </w:t>
      </w:r>
      <w:r w:rsidR="00A31C77" w:rsidRPr="00A93909">
        <w:t>Observed deaths after 2010 were adjusted</w:t>
      </w:r>
      <w:r w:rsidR="00A93909" w:rsidRPr="00A93909">
        <w:t xml:space="preserve"> to account for </w:t>
      </w:r>
      <w:r w:rsidR="00A93909">
        <w:t>changes in</w:t>
      </w:r>
      <w:r w:rsidR="00566088">
        <w:t xml:space="preserve"> the</w:t>
      </w:r>
      <w:r w:rsidR="00A31C77" w:rsidRPr="00A93909">
        <w:t xml:space="preserve"> </w:t>
      </w:r>
      <w:r w:rsidR="00A31C77" w:rsidRPr="00566088">
        <w:rPr>
          <w:noProof/>
        </w:rPr>
        <w:t>ICD-10</w:t>
      </w:r>
      <w:r w:rsidR="00A31C77" w:rsidRPr="00A93909">
        <w:t xml:space="preserve"> version</w:t>
      </w:r>
      <w:r w:rsidR="00A93909" w:rsidRPr="00A93909">
        <w:t xml:space="preserve"> used by ONS</w:t>
      </w:r>
      <w:r w:rsidR="00A31C77" w:rsidRPr="00A93909">
        <w:t xml:space="preserve"> </w:t>
      </w:r>
      <w:r w:rsidR="00A93909" w:rsidRPr="00A93909">
        <w:t>since 2011.</w:t>
      </w:r>
      <w:r w:rsidR="00566088" w:rsidRPr="00566088">
        <w:rPr>
          <w:rFonts w:ascii="Calibri" w:hAnsi="Calibri"/>
        </w:rPr>
        <w:t>[36]</w:t>
      </w:r>
      <w:r w:rsidR="00A93909" w:rsidRPr="00A93909">
        <w:t xml:space="preserve"> </w:t>
      </w:r>
      <w:r w:rsidR="00D96E39">
        <w:t>Error bars</w:t>
      </w:r>
      <w:r w:rsidR="00A93909" w:rsidRPr="00A93909">
        <w:t xml:space="preserve"> represent </w:t>
      </w:r>
      <w:r w:rsidR="00D96E39">
        <w:t>interquartile ranges</w:t>
      </w:r>
      <w:r w:rsidR="00A93909" w:rsidRPr="00A93909">
        <w:t>.</w:t>
      </w:r>
    </w:p>
    <w:p w14:paraId="48EDDFA8" w14:textId="77777777" w:rsidR="000B5048" w:rsidRPr="00CA2E4A" w:rsidRDefault="000B5048" w:rsidP="00AC0B1E">
      <w:pPr>
        <w:rPr>
          <w:lang w:eastAsia="en-GB"/>
        </w:rPr>
      </w:pPr>
    </w:p>
    <w:p w14:paraId="68A9FACF" w14:textId="77777777" w:rsidR="000B5168" w:rsidRDefault="00325FCA" w:rsidP="00AC0B1E">
      <w:pPr>
        <w:pStyle w:val="Heading1"/>
      </w:pPr>
      <w:r w:rsidRPr="00CA2E4A">
        <w:t>Discussion</w:t>
      </w:r>
    </w:p>
    <w:p w14:paraId="5C07BBAD" w14:textId="2101ED69" w:rsidR="00EB4064" w:rsidRDefault="007235E0" w:rsidP="00AC0B1E">
      <w:r>
        <w:t xml:space="preserve">This is the first study </w:t>
      </w:r>
      <w:r w:rsidR="00AB09D7">
        <w:t xml:space="preserve">to </w:t>
      </w:r>
      <w:r>
        <w:t>quantif</w:t>
      </w:r>
      <w:r w:rsidR="00AB09D7">
        <w:t>y</w:t>
      </w:r>
      <w:r>
        <w:t xml:space="preserve"> </w:t>
      </w:r>
      <w:r w:rsidR="00741BC6">
        <w:t>the impact</w:t>
      </w:r>
      <w:r w:rsidR="004E03DD">
        <w:t xml:space="preserve"> of UK salt reduction policies</w:t>
      </w:r>
      <w:r w:rsidR="004C3EE8">
        <w:t xml:space="preserve"> on CVD an</w:t>
      </w:r>
      <w:r w:rsidR="00D8297B">
        <w:t>d</w:t>
      </w:r>
      <w:r w:rsidR="004E03DD">
        <w:t xml:space="preserve"> </w:t>
      </w:r>
      <w:r w:rsidR="004C3EE8">
        <w:t>GCa</w:t>
      </w:r>
      <w:r w:rsidR="004E03DD" w:rsidRPr="004E03DD">
        <w:t xml:space="preserve"> </w:t>
      </w:r>
      <w:r w:rsidR="004E03DD">
        <w:t>by socioeconomic group.</w:t>
      </w:r>
      <w:r>
        <w:t xml:space="preserve"> </w:t>
      </w:r>
      <w:r w:rsidR="00EB4064">
        <w:t xml:space="preserve">We estimated that </w:t>
      </w:r>
      <w:r w:rsidR="004E03DD">
        <w:t xml:space="preserve">the </w:t>
      </w:r>
      <w:r w:rsidR="004E03DD" w:rsidRPr="004E03DD">
        <w:t xml:space="preserve">current UK salt strategy has potentially prevented or postponed </w:t>
      </w:r>
      <w:r w:rsidR="00D8297B">
        <w:t>some</w:t>
      </w:r>
      <w:r w:rsidR="00EB4064">
        <w:t xml:space="preserve"> </w:t>
      </w:r>
      <w:r w:rsidR="007F4A94">
        <w:t>57</w:t>
      </w:r>
      <w:r w:rsidR="00EB4064">
        <w:t xml:space="preserve">,000 new cases and </w:t>
      </w:r>
      <w:r w:rsidR="007F4A94">
        <w:t>12</w:t>
      </w:r>
      <w:r w:rsidR="00EB4064">
        <w:t xml:space="preserve">,000 deaths from CVD and GCa </w:t>
      </w:r>
      <w:r w:rsidR="00AB09D7">
        <w:t>in England</w:t>
      </w:r>
      <w:r w:rsidR="00EB4064">
        <w:t xml:space="preserve">. </w:t>
      </w:r>
      <w:r w:rsidR="006740AC">
        <w:t xml:space="preserve">The addition of structural policies </w:t>
      </w:r>
      <w:r w:rsidR="00802A88">
        <w:t>and achievement on the national target by 2020</w:t>
      </w:r>
      <w:r w:rsidR="00BC3507">
        <w:t xml:space="preserve"> </w:t>
      </w:r>
      <w:r w:rsidR="006740AC">
        <w:t xml:space="preserve">could </w:t>
      </w:r>
      <w:r w:rsidR="00D201F6">
        <w:t xml:space="preserve">potentially </w:t>
      </w:r>
      <w:r w:rsidR="006740AC">
        <w:t>prevent or postpone</w:t>
      </w:r>
      <w:r w:rsidR="00D201F6">
        <w:t xml:space="preserve"> a further</w:t>
      </w:r>
      <w:r w:rsidR="006740AC">
        <w:t xml:space="preserve"> </w:t>
      </w:r>
      <w:r w:rsidR="00BC3507">
        <w:t>20,</w:t>
      </w:r>
      <w:r w:rsidR="006740AC">
        <w:t>000 new cases and 4</w:t>
      </w:r>
      <w:r w:rsidR="00BC3507">
        <w:t xml:space="preserve">,000 deaths, while the </w:t>
      </w:r>
      <w:r w:rsidR="006A30B2">
        <w:t>‘</w:t>
      </w:r>
      <w:r w:rsidR="00D201F6">
        <w:t>ideal</w:t>
      </w:r>
      <w:r w:rsidR="006A30B2">
        <w:t>’</w:t>
      </w:r>
      <w:r w:rsidR="00D201F6">
        <w:t xml:space="preserve"> combination</w:t>
      </w:r>
      <w:r w:rsidR="00BC3507">
        <w:t xml:space="preserve"> of salt reduction policies </w:t>
      </w:r>
      <w:r w:rsidR="00D201F6">
        <w:t xml:space="preserve">might potentially </w:t>
      </w:r>
      <w:r w:rsidR="00BC3507">
        <w:t xml:space="preserve">prevent or postpone </w:t>
      </w:r>
      <w:r w:rsidR="00802A88">
        <w:t xml:space="preserve">some </w:t>
      </w:r>
      <w:r w:rsidR="007F4A94">
        <w:t>8</w:t>
      </w:r>
      <w:r w:rsidR="00BC3507">
        <w:t xml:space="preserve">0,000 new cases and </w:t>
      </w:r>
      <w:r w:rsidR="007F4A94">
        <w:t>14</w:t>
      </w:r>
      <w:r w:rsidR="00BC3507">
        <w:t>,000 deaths from CVD and GCa.</w:t>
      </w:r>
    </w:p>
    <w:p w14:paraId="2FB7CBF1" w14:textId="5843F5E9" w:rsidR="00815D4C" w:rsidRDefault="00815D4C" w:rsidP="00AC0B1E">
      <w:r>
        <w:t>When</w:t>
      </w:r>
      <w:r w:rsidR="00CA7904">
        <w:t xml:space="preserve"> equity is considered</w:t>
      </w:r>
      <w:r w:rsidR="00D201F6">
        <w:t>,</w:t>
      </w:r>
      <w:r w:rsidR="00CA7904">
        <w:t xml:space="preserve"> the impact of the implemented strategy is more complex. Our </w:t>
      </w:r>
      <w:r w:rsidR="00CA7904" w:rsidRPr="00566088">
        <w:rPr>
          <w:noProof/>
        </w:rPr>
        <w:t>results</w:t>
      </w:r>
      <w:r w:rsidR="00CA7904">
        <w:t xml:space="preserve"> agree with previous studies</w:t>
      </w:r>
      <w:r w:rsidR="00566088" w:rsidRPr="00566088">
        <w:rPr>
          <w:rFonts w:ascii="Calibri" w:hAnsi="Calibri"/>
        </w:rPr>
        <w:t>[13,18]</w:t>
      </w:r>
      <w:r w:rsidR="00164E0C">
        <w:t xml:space="preserve"> that the socioeconomic gradient in salt consumption </w:t>
      </w:r>
      <w:r w:rsidR="00DB5AC3">
        <w:t xml:space="preserve">would not be </w:t>
      </w:r>
      <w:r w:rsidR="00D201F6">
        <w:t xml:space="preserve"> </w:t>
      </w:r>
      <w:r w:rsidR="00164E0C">
        <w:t xml:space="preserve">reduced </w:t>
      </w:r>
      <w:r w:rsidR="00D201F6">
        <w:t xml:space="preserve">by these </w:t>
      </w:r>
      <w:r w:rsidR="00FE70F8">
        <w:t>strateg</w:t>
      </w:r>
      <w:r w:rsidR="00D201F6">
        <w:t>ies</w:t>
      </w:r>
      <w:r w:rsidR="00FE70F8">
        <w:t xml:space="preserve">. </w:t>
      </w:r>
      <w:r w:rsidR="00924CFA" w:rsidRPr="00013244">
        <w:rPr>
          <w:lang w:eastAsia="en-GB"/>
        </w:rPr>
        <w:t>IMPACT</w:t>
      </w:r>
      <w:r w:rsidR="00924CFA" w:rsidRPr="00013244">
        <w:rPr>
          <w:b/>
          <w:vertAlign w:val="subscript"/>
          <w:lang w:eastAsia="en-GB"/>
        </w:rPr>
        <w:t>NCD</w:t>
      </w:r>
      <w:r w:rsidR="00924CFA">
        <w:t xml:space="preserve"> estimated </w:t>
      </w:r>
      <w:r w:rsidR="00D201F6">
        <w:t xml:space="preserve">that current policies might have </w:t>
      </w:r>
      <w:r w:rsidR="00DA7141">
        <w:t xml:space="preserve">a </w:t>
      </w:r>
      <w:r w:rsidR="003B53D4">
        <w:t xml:space="preserve">rather </w:t>
      </w:r>
      <w:r w:rsidR="00DA7141">
        <w:t xml:space="preserve">neutral impact </w:t>
      </w:r>
      <w:r w:rsidR="00DB5AC3">
        <w:t xml:space="preserve">of </w:t>
      </w:r>
      <w:r w:rsidR="00DA7141">
        <w:t xml:space="preserve">CVD socioeconomic inequalities </w:t>
      </w:r>
      <w:r w:rsidR="00DB5AC3">
        <w:t>(absolute and relative)</w:t>
      </w:r>
      <w:r w:rsidR="00D201F6">
        <w:t xml:space="preserve"> and worsen GCa inequalities </w:t>
      </w:r>
      <w:r w:rsidR="00596609">
        <w:t xml:space="preserve">reflecting an older </w:t>
      </w:r>
      <w:r w:rsidR="00DA7141">
        <w:t>age distrib</w:t>
      </w:r>
      <w:r w:rsidR="00596609">
        <w:t>ution</w:t>
      </w:r>
      <w:r w:rsidR="00DA7141">
        <w:t xml:space="preserve"> in </w:t>
      </w:r>
      <w:r w:rsidR="00596609">
        <w:t xml:space="preserve">more affluent </w:t>
      </w:r>
      <w:r w:rsidR="00DA7141">
        <w:t xml:space="preserve">groups. </w:t>
      </w:r>
      <w:r w:rsidR="00596609">
        <w:t>However, t</w:t>
      </w:r>
      <w:r w:rsidR="00845CB3">
        <w:t>he addition of structural polic</w:t>
      </w:r>
      <w:r w:rsidR="00DA7141">
        <w:t>ies</w:t>
      </w:r>
      <w:r w:rsidR="00F55193">
        <w:t xml:space="preserve"> may</w:t>
      </w:r>
      <w:r w:rsidR="00845CB3">
        <w:t xml:space="preserve"> </w:t>
      </w:r>
      <w:r w:rsidR="00596609">
        <w:t xml:space="preserve">reduce </w:t>
      </w:r>
      <w:r w:rsidR="00845CB3">
        <w:t>absolute socioeconomic inequalit</w:t>
      </w:r>
      <w:r w:rsidR="00F55193">
        <w:t>y</w:t>
      </w:r>
      <w:r w:rsidR="002E6FED">
        <w:t xml:space="preserve"> in CVD incidence and neutralise the negative impact of </w:t>
      </w:r>
      <w:r w:rsidR="00596609">
        <w:t>current policies</w:t>
      </w:r>
      <w:r w:rsidR="008B74D3">
        <w:t xml:space="preserve"> on GCa inequalities</w:t>
      </w:r>
      <w:r w:rsidR="00845CB3">
        <w:t>.</w:t>
      </w:r>
    </w:p>
    <w:p w14:paraId="3917AC33" w14:textId="3802B1DE" w:rsidR="007235E0" w:rsidRDefault="00596609" w:rsidP="00AC0B1E">
      <w:r>
        <w:lastRenderedPageBreak/>
        <w:t xml:space="preserve">Simpler </w:t>
      </w:r>
      <w:r w:rsidR="00A8522B">
        <w:t xml:space="preserve">modelling studies have </w:t>
      </w:r>
      <w:r>
        <w:t xml:space="preserve">previously examined </w:t>
      </w:r>
      <w:r w:rsidR="00A8522B">
        <w:t xml:space="preserve">the impact of a theoretical decrease in </w:t>
      </w:r>
      <w:r>
        <w:t>UK salt consumption</w:t>
      </w:r>
      <w:r w:rsidR="00A8522B">
        <w:t xml:space="preserve">. </w:t>
      </w:r>
      <w:r w:rsidR="004916D4">
        <w:t>A</w:t>
      </w:r>
      <w:r w:rsidRPr="00596609">
        <w:t xml:space="preserve"> 3 g/day reduction in salt consumption </w:t>
      </w:r>
      <w:r>
        <w:t xml:space="preserve">might prevent </w:t>
      </w:r>
      <w:r w:rsidR="0020299A">
        <w:t>about 32,000 CVD cases and 4,500 CVD deaths in England and Wales in a 10-year period</w:t>
      </w:r>
      <w:r w:rsidR="004916D4" w:rsidRPr="004916D4">
        <w:t xml:space="preserve"> </w:t>
      </w:r>
      <w:r w:rsidR="004916D4">
        <w:t>according to Barton et al,</w:t>
      </w:r>
      <w:r w:rsidR="00566088" w:rsidRPr="00566088">
        <w:rPr>
          <w:rFonts w:ascii="Calibri" w:hAnsi="Calibri"/>
        </w:rPr>
        <w:t>[37]</w:t>
      </w:r>
      <w:r w:rsidR="00B477BC">
        <w:t xml:space="preserve"> </w:t>
      </w:r>
      <w:r w:rsidR="004916D4">
        <w:t xml:space="preserve">or 200,000 CVD fewer events and 90,000 CVD fewer deaths according to </w:t>
      </w:r>
      <w:r w:rsidR="00B477BC">
        <w:t>Dodhia et al.</w:t>
      </w:r>
      <w:r w:rsidR="00566088" w:rsidRPr="00566088">
        <w:rPr>
          <w:rFonts w:ascii="Calibri" w:hAnsi="Calibri"/>
        </w:rPr>
        <w:t>[38]</w:t>
      </w:r>
      <w:r w:rsidR="00693634">
        <w:t xml:space="preserve"> </w:t>
      </w:r>
      <w:r w:rsidR="004916D4">
        <w:t xml:space="preserve">or almost 100,000 </w:t>
      </w:r>
      <w:r w:rsidR="00566088">
        <w:rPr>
          <w:noProof/>
        </w:rPr>
        <w:t>fewer</w:t>
      </w:r>
      <w:r w:rsidR="004916D4">
        <w:t xml:space="preserve"> CVD deaths in 20 years</w:t>
      </w:r>
      <w:r w:rsidR="004916D4" w:rsidRPr="004916D4" w:rsidDel="004916D4">
        <w:rPr>
          <w:sz w:val="18"/>
        </w:rPr>
        <w:t xml:space="preserve"> </w:t>
      </w:r>
      <w:r w:rsidR="004916D4" w:rsidRPr="004916D4">
        <w:t xml:space="preserve">according to </w:t>
      </w:r>
      <w:r w:rsidR="004916D4" w:rsidRPr="00566088">
        <w:rPr>
          <w:noProof/>
        </w:rPr>
        <w:t>Hedriksen</w:t>
      </w:r>
      <w:r w:rsidR="004916D4">
        <w:t xml:space="preserve"> et al.</w:t>
      </w:r>
      <w:r w:rsidR="00566088" w:rsidRPr="00566088">
        <w:rPr>
          <w:rFonts w:ascii="Calibri" w:hAnsi="Calibri"/>
        </w:rPr>
        <w:t>[39]</w:t>
      </w:r>
      <w:r w:rsidR="004916D4">
        <w:t xml:space="preserve"> </w:t>
      </w:r>
      <w:r w:rsidR="00AA55C6">
        <w:rPr>
          <w:sz w:val="18"/>
        </w:rPr>
        <w:t xml:space="preserve"> </w:t>
      </w:r>
      <w:r w:rsidR="00B04818">
        <w:t xml:space="preserve">Our results appear to </w:t>
      </w:r>
      <w:r w:rsidR="00AA55C6">
        <w:t xml:space="preserve">echo </w:t>
      </w:r>
      <w:r w:rsidR="00AA55C6" w:rsidRPr="0028778E">
        <w:rPr>
          <w:noProof/>
        </w:rPr>
        <w:t>the more</w:t>
      </w:r>
      <w:r w:rsidR="00AA55C6">
        <w:t xml:space="preserve"> conservative estimates by Barton e</w:t>
      </w:r>
      <w:r w:rsidR="00F321F3">
        <w:t>t al.</w:t>
      </w:r>
      <w:r w:rsidR="00566088" w:rsidRPr="00566088">
        <w:rPr>
          <w:rFonts w:ascii="Calibri" w:hAnsi="Calibri"/>
        </w:rPr>
        <w:t>[37]</w:t>
      </w:r>
      <w:r w:rsidR="00AA55C6">
        <w:t xml:space="preserve"> </w:t>
      </w:r>
      <w:r w:rsidR="00DC58AC">
        <w:t>In addition</w:t>
      </w:r>
      <w:r w:rsidR="00F55193">
        <w:t>,</w:t>
      </w:r>
      <w:r w:rsidR="00AA55C6">
        <w:t xml:space="preserve"> </w:t>
      </w:r>
      <w:r w:rsidR="00693634">
        <w:t>Gillespie et al</w:t>
      </w:r>
      <w:r w:rsidR="00C765C5">
        <w:t>.</w:t>
      </w:r>
      <w:r w:rsidR="00566088" w:rsidRPr="00566088">
        <w:rPr>
          <w:rFonts w:ascii="Calibri" w:hAnsi="Calibri"/>
        </w:rPr>
        <w:t>[20]</w:t>
      </w:r>
      <w:r w:rsidR="00693634">
        <w:t xml:space="preserve"> </w:t>
      </w:r>
      <w:r w:rsidR="00AA55C6">
        <w:t xml:space="preserve">model </w:t>
      </w:r>
      <w:r w:rsidR="00A63267">
        <w:t xml:space="preserve">that was </w:t>
      </w:r>
      <w:r w:rsidR="00AA55C6">
        <w:t>informed by expert</w:t>
      </w:r>
      <w:r w:rsidR="00BE453D">
        <w:t>s’</w:t>
      </w:r>
      <w:r w:rsidR="00AA55C6">
        <w:t xml:space="preserve"> opinion</w:t>
      </w:r>
      <w:r w:rsidR="00A63267">
        <w:t xml:space="preserve"> </w:t>
      </w:r>
      <w:r w:rsidR="008C0B51">
        <w:t>to model</w:t>
      </w:r>
      <w:r w:rsidR="00A63267">
        <w:t xml:space="preserve"> policy effectiveness and equity</w:t>
      </w:r>
      <w:r w:rsidR="00AA55C6">
        <w:t xml:space="preserve"> </w:t>
      </w:r>
      <w:r w:rsidR="00693634">
        <w:t xml:space="preserve">estimated that mandatory </w:t>
      </w:r>
      <w:r w:rsidR="00B04818">
        <w:t xml:space="preserve">salt </w:t>
      </w:r>
      <w:r w:rsidR="00693634">
        <w:t xml:space="preserve">reformulation </w:t>
      </w:r>
      <w:r w:rsidR="00AA55C6">
        <w:t xml:space="preserve">might </w:t>
      </w:r>
      <w:r w:rsidR="00C7763C">
        <w:t xml:space="preserve">reduce socioeconomic inequalities </w:t>
      </w:r>
      <w:r w:rsidR="007929E8">
        <w:t>in CHD</w:t>
      </w:r>
      <w:r w:rsidR="00C7763C">
        <w:t xml:space="preserve">. We reached </w:t>
      </w:r>
      <w:r w:rsidR="00AA55C6">
        <w:t xml:space="preserve">reassuringly </w:t>
      </w:r>
      <w:r w:rsidR="007929E8">
        <w:t xml:space="preserve">similar </w:t>
      </w:r>
      <w:r w:rsidR="00C7763C">
        <w:t>conclusion</w:t>
      </w:r>
      <w:r w:rsidR="00AA55C6">
        <w:t>s</w:t>
      </w:r>
      <w:r w:rsidR="00C7763C">
        <w:t xml:space="preserve"> using </w:t>
      </w:r>
      <w:r w:rsidR="00DC58AC">
        <w:t xml:space="preserve">a </w:t>
      </w:r>
      <w:r w:rsidR="00AA55C6">
        <w:t>very</w:t>
      </w:r>
      <w:r w:rsidR="00DC58AC">
        <w:t xml:space="preserve"> </w:t>
      </w:r>
      <w:r w:rsidR="00C7763C">
        <w:t>different methodology.</w:t>
      </w:r>
    </w:p>
    <w:p w14:paraId="5C35FD96" w14:textId="6073B304" w:rsidR="00E60050" w:rsidRDefault="00DC58AC" w:rsidP="00AC0B1E">
      <w:r>
        <w:t xml:space="preserve">Going further than previous </w:t>
      </w:r>
      <w:r w:rsidR="007F1132">
        <w:t>studies,</w:t>
      </w:r>
      <w:r w:rsidR="00E60050">
        <w:t xml:space="preserve"> we modelled structural interventions </w:t>
      </w:r>
      <w:r>
        <w:t xml:space="preserve">and </w:t>
      </w:r>
      <w:r w:rsidR="00CC0379">
        <w:t>as being</w:t>
      </w:r>
      <w:r w:rsidR="00E60050">
        <w:t xml:space="preserve"> more </w:t>
      </w:r>
      <w:r w:rsidR="002B6E77">
        <w:t xml:space="preserve">effective </w:t>
      </w:r>
      <w:r w:rsidR="00594A67">
        <w:t xml:space="preserve">for those </w:t>
      </w:r>
      <w:r w:rsidR="002B6E77">
        <w:t xml:space="preserve">individuals </w:t>
      </w:r>
      <w:r w:rsidR="00594A67">
        <w:t>with the highest salt intakes</w:t>
      </w:r>
      <w:r w:rsidR="002B6E77">
        <w:t>. In the UK</w:t>
      </w:r>
      <w:r w:rsidR="00534906">
        <w:t>, about 70% of dietary salt comes from processed food.</w:t>
      </w:r>
      <w:r w:rsidR="00566088" w:rsidRPr="00566088">
        <w:rPr>
          <w:rFonts w:ascii="Calibri" w:hAnsi="Calibri"/>
        </w:rPr>
        <w:t>[11]</w:t>
      </w:r>
      <w:r w:rsidR="00534906">
        <w:t xml:space="preserve"> </w:t>
      </w:r>
      <w:r w:rsidR="00AA55C6" w:rsidRPr="00AA55C6">
        <w:rPr>
          <w:sz w:val="18"/>
        </w:rPr>
        <w:t xml:space="preserve"> </w:t>
      </w:r>
      <w:r w:rsidR="00534906">
        <w:t>Since structural policies target processed foods, their effect would be stronger</w:t>
      </w:r>
      <w:r w:rsidR="00470765">
        <w:t xml:space="preserve"> among those with higher</w:t>
      </w:r>
      <w:r w:rsidR="00594A67">
        <w:t xml:space="preserve"> </w:t>
      </w:r>
      <w:r w:rsidR="00470765">
        <w:t xml:space="preserve">consumption of processed food, </w:t>
      </w:r>
      <w:r w:rsidR="00AA55C6">
        <w:t xml:space="preserve">and hence </w:t>
      </w:r>
      <w:r w:rsidR="00470765">
        <w:t>higher salt intake.</w:t>
      </w:r>
    </w:p>
    <w:p w14:paraId="32EAD6E6" w14:textId="5F7A58E2" w:rsidR="00B749DA" w:rsidRDefault="00B749DA" w:rsidP="00B749DA">
      <w:r>
        <w:t>Some researchers claim that salt consumption lower than 7.5g can actually increase the risk of CVD and overall mortality.</w:t>
      </w:r>
      <w:r w:rsidR="00566088" w:rsidRPr="00566088">
        <w:rPr>
          <w:rFonts w:ascii="Calibri" w:hAnsi="Calibri"/>
        </w:rPr>
        <w:t>[40,41]</w:t>
      </w:r>
      <w:r>
        <w:t xml:space="preserve"> However, it appears that their argument is based on biased measurement methodology. Previous studies that used the gold standard measure of individual salt</w:t>
      </w:r>
      <w:r w:rsidR="006C308F">
        <w:t xml:space="preserve"> intake,</w:t>
      </w:r>
      <w:r>
        <w:t xml:space="preserve"> multiple non-consecutive 24h urine collections</w:t>
      </w:r>
      <w:r w:rsidR="006C308F">
        <w:t>,</w:t>
      </w:r>
      <w:r>
        <w:t xml:space="preserve"> to measure</w:t>
      </w:r>
      <w:r w:rsidR="00566088">
        <w:t xml:space="preserve"> the</w:t>
      </w:r>
      <w:r>
        <w:t xml:space="preserve"> </w:t>
      </w:r>
      <w:r w:rsidR="006C308F" w:rsidRPr="00566088">
        <w:rPr>
          <w:noProof/>
        </w:rPr>
        <w:t>salt</w:t>
      </w:r>
      <w:r w:rsidR="006C308F">
        <w:t xml:space="preserve"> </w:t>
      </w:r>
      <w:r>
        <w:t xml:space="preserve">exposure </w:t>
      </w:r>
      <w:r w:rsidR="006C308F">
        <w:t xml:space="preserve">of their participants have consistently suggested that the optimal daily salt exposure is </w:t>
      </w:r>
      <w:r w:rsidR="00133B31">
        <w:t>well below</w:t>
      </w:r>
      <w:r w:rsidR="006C308F">
        <w:t xml:space="preserve"> 6g.</w:t>
      </w:r>
      <w:r w:rsidR="00566088" w:rsidRPr="00566088">
        <w:rPr>
          <w:rFonts w:ascii="Calibri" w:hAnsi="Calibri"/>
        </w:rPr>
        <w:t>[42]</w:t>
      </w:r>
    </w:p>
    <w:p w14:paraId="1E4E5443" w14:textId="77777777" w:rsidR="00DC7D9D" w:rsidRDefault="00DC7D9D" w:rsidP="00AC0B1E">
      <w:pPr>
        <w:pStyle w:val="Heading2"/>
      </w:pPr>
      <w:r w:rsidRPr="00CA2E4A">
        <w:t>Public health implications</w:t>
      </w:r>
    </w:p>
    <w:p w14:paraId="70D0995B" w14:textId="0224D6A3" w:rsidR="006D69E0" w:rsidRDefault="00BB220A" w:rsidP="00AC0B1E">
      <w:r>
        <w:t xml:space="preserve">Our study confirms </w:t>
      </w:r>
      <w:r w:rsidR="005C0CEF">
        <w:t xml:space="preserve">and quantifies </w:t>
      </w:r>
      <w:r>
        <w:t>th</w:t>
      </w:r>
      <w:r w:rsidR="005C0CEF">
        <w:t>e</w:t>
      </w:r>
      <w:r w:rsidR="00EB7C02">
        <w:t xml:space="preserve"> positive</w:t>
      </w:r>
      <w:r w:rsidR="005C0CEF">
        <w:t xml:space="preserve"> impact of the currently implemented </w:t>
      </w:r>
      <w:r w:rsidR="00AA55C6">
        <w:t xml:space="preserve">UK </w:t>
      </w:r>
      <w:r w:rsidR="005C0CEF">
        <w:t>salt reduction polic</w:t>
      </w:r>
      <w:r w:rsidR="00AA55C6">
        <w:t>ies</w:t>
      </w:r>
      <w:r w:rsidR="00EB7C02">
        <w:t xml:space="preserve"> on CVD and GCa disease burden</w:t>
      </w:r>
      <w:r w:rsidR="00594A67">
        <w:t>s</w:t>
      </w:r>
      <w:r w:rsidR="005C0CEF">
        <w:t>.</w:t>
      </w:r>
      <w:r w:rsidR="00EB7C02">
        <w:t xml:space="preserve"> </w:t>
      </w:r>
      <w:r w:rsidR="009E7750">
        <w:t>The overall health potential from salt reduction policies is likely to be greater, for example through kidney disease, which we have not considered in our study.</w:t>
      </w:r>
      <w:r w:rsidR="009650DC">
        <w:t xml:space="preserve"> </w:t>
      </w:r>
      <w:r w:rsidR="00EB7C02">
        <w:t>However</w:t>
      </w:r>
      <w:r w:rsidR="00594A67">
        <w:t xml:space="preserve">, </w:t>
      </w:r>
      <w:r w:rsidR="00C55A11">
        <w:t>we also</w:t>
      </w:r>
      <w:r w:rsidR="00EB7C02">
        <w:t xml:space="preserve"> highlight two culprits of current policy. First, </w:t>
      </w:r>
      <w:r w:rsidR="002F3EAE">
        <w:t>the national target of 6g/day is unlikely to be reached in the next 1</w:t>
      </w:r>
      <w:r w:rsidR="00F55193">
        <w:t>5</w:t>
      </w:r>
      <w:r w:rsidR="002F3EAE">
        <w:t xml:space="preserve"> years </w:t>
      </w:r>
      <w:r w:rsidR="00EB7C02">
        <w:t xml:space="preserve">assuming </w:t>
      </w:r>
      <w:r w:rsidR="002F3EAE">
        <w:t xml:space="preserve">the decline continues to </w:t>
      </w:r>
      <w:r w:rsidR="0019016C">
        <w:t xml:space="preserve">be logarithmic. </w:t>
      </w:r>
      <w:r w:rsidR="00EB7C02">
        <w:t xml:space="preserve">Second, </w:t>
      </w:r>
      <w:r w:rsidR="00594A67">
        <w:t xml:space="preserve">the </w:t>
      </w:r>
      <w:r w:rsidR="00EB7C02">
        <w:t>current policy</w:t>
      </w:r>
      <w:r w:rsidR="00594A67">
        <w:t xml:space="preserve"> will probably not </w:t>
      </w:r>
      <w:r w:rsidR="0019016C">
        <w:t xml:space="preserve">reduce </w:t>
      </w:r>
      <w:r w:rsidR="0019016C" w:rsidRPr="0019016C">
        <w:t>socioeconomic</w:t>
      </w:r>
      <w:r w:rsidR="00EB7C02" w:rsidRPr="0019016C">
        <w:rPr>
          <w:sz w:val="32"/>
        </w:rPr>
        <w:t xml:space="preserve"> </w:t>
      </w:r>
      <w:r w:rsidR="00EB7C02">
        <w:t>inequalities</w:t>
      </w:r>
      <w:r w:rsidR="00594A67">
        <w:t xml:space="preserve"> </w:t>
      </w:r>
      <w:r w:rsidR="00914D82">
        <w:t>in CVD incidence</w:t>
      </w:r>
      <w:r w:rsidR="004706B5">
        <w:t xml:space="preserve"> and might </w:t>
      </w:r>
      <w:r w:rsidR="002F3EAE">
        <w:t xml:space="preserve">even </w:t>
      </w:r>
      <w:r w:rsidR="00594A67">
        <w:t xml:space="preserve">increase </w:t>
      </w:r>
      <w:r w:rsidR="002F3EAE">
        <w:t xml:space="preserve">inequalities in </w:t>
      </w:r>
      <w:r w:rsidR="004706B5">
        <w:t>GCa</w:t>
      </w:r>
      <w:r w:rsidR="00914D82">
        <w:t>.</w:t>
      </w:r>
      <w:r w:rsidR="002F3EAE">
        <w:t xml:space="preserve"> </w:t>
      </w:r>
    </w:p>
    <w:p w14:paraId="6D2F2D78" w14:textId="09246237" w:rsidR="00241A2D" w:rsidRDefault="009E7750" w:rsidP="00AC0B1E">
      <w:r>
        <w:t>S</w:t>
      </w:r>
      <w:r w:rsidR="000B48B0">
        <w:t>tructural policies, like</w:t>
      </w:r>
      <w:r w:rsidR="00566088">
        <w:t xml:space="preserve"> a</w:t>
      </w:r>
      <w:r w:rsidR="000B48B0">
        <w:t xml:space="preserve"> </w:t>
      </w:r>
      <w:r w:rsidR="000B48B0" w:rsidRPr="00566088">
        <w:rPr>
          <w:noProof/>
        </w:rPr>
        <w:t>mandatory</w:t>
      </w:r>
      <w:r w:rsidR="000B48B0">
        <w:t xml:space="preserve"> reformulation of processed foods, </w:t>
      </w:r>
      <w:r w:rsidR="002F3EAE">
        <w:t xml:space="preserve">could </w:t>
      </w:r>
      <w:r w:rsidR="000B48B0">
        <w:t xml:space="preserve">potentially accelerate </w:t>
      </w:r>
      <w:r w:rsidR="0019016C">
        <w:t>the decline</w:t>
      </w:r>
      <w:r w:rsidR="00594A67">
        <w:t xml:space="preserve"> in</w:t>
      </w:r>
      <w:r w:rsidR="000B48B0">
        <w:t xml:space="preserve"> salt consumption </w:t>
      </w:r>
      <w:r w:rsidR="002225C6">
        <w:t>and</w:t>
      </w:r>
      <w:r w:rsidR="002F3EAE">
        <w:t xml:space="preserve"> reduce </w:t>
      </w:r>
      <w:r w:rsidR="000B48B0">
        <w:t xml:space="preserve">absolute </w:t>
      </w:r>
      <w:r w:rsidR="00F55193">
        <w:t>inequality</w:t>
      </w:r>
      <w:r w:rsidR="000B48B0">
        <w:t xml:space="preserve"> in CVD. </w:t>
      </w:r>
      <w:r w:rsidR="002A2094">
        <w:t>The existing salt</w:t>
      </w:r>
      <w:r w:rsidR="002D5333">
        <w:t xml:space="preserve"> reduction </w:t>
      </w:r>
      <w:r w:rsidR="001A33DF">
        <w:t>recommendations</w:t>
      </w:r>
      <w:r w:rsidR="002A2094">
        <w:t xml:space="preserve"> for </w:t>
      </w:r>
      <w:r w:rsidR="00594A67">
        <w:t xml:space="preserve">the </w:t>
      </w:r>
      <w:r w:rsidR="002A2094">
        <w:lastRenderedPageBreak/>
        <w:t xml:space="preserve">food industry </w:t>
      </w:r>
      <w:r w:rsidR="00594A67">
        <w:t xml:space="preserve">could achieve </w:t>
      </w:r>
      <w:r w:rsidR="002A2094">
        <w:t>the national target.</w:t>
      </w:r>
      <w:r w:rsidR="00566088" w:rsidRPr="00566088">
        <w:rPr>
          <w:rFonts w:ascii="Calibri" w:hAnsi="Calibri"/>
        </w:rPr>
        <w:t>[9]</w:t>
      </w:r>
      <w:r w:rsidR="002A2094">
        <w:t xml:space="preserve"> </w:t>
      </w:r>
      <w:r w:rsidR="00565560">
        <w:t xml:space="preserve">In order to realise </w:t>
      </w:r>
      <w:r w:rsidR="00565560" w:rsidRPr="00566088">
        <w:rPr>
          <w:noProof/>
        </w:rPr>
        <w:t>this</w:t>
      </w:r>
      <w:r w:rsidR="00566088">
        <w:rPr>
          <w:noProof/>
        </w:rPr>
        <w:t>,</w:t>
      </w:r>
      <w:r w:rsidR="00594A67">
        <w:t xml:space="preserve"> however, the food industry must comply with</w:t>
      </w:r>
      <w:r w:rsidR="00594A67" w:rsidRPr="00566088">
        <w:rPr>
          <w:noProof/>
        </w:rPr>
        <w:t xml:space="preserve"> </w:t>
      </w:r>
      <w:r w:rsidR="001A33DF" w:rsidRPr="00566088">
        <w:rPr>
          <w:noProof/>
        </w:rPr>
        <w:t>them</w:t>
      </w:r>
      <w:r w:rsidR="009E47E4" w:rsidRPr="00566088">
        <w:rPr>
          <w:noProof/>
        </w:rPr>
        <w:t>,</w:t>
      </w:r>
      <w:r w:rsidR="009E47E4">
        <w:t xml:space="preserve"> which</w:t>
      </w:r>
      <w:r w:rsidR="002F3EAE">
        <w:t xml:space="preserve"> is not happening at present.</w:t>
      </w:r>
      <w:r w:rsidR="00566088" w:rsidRPr="00566088">
        <w:rPr>
          <w:rFonts w:ascii="Calibri" w:hAnsi="Calibri"/>
        </w:rPr>
        <w:t>[43]</w:t>
      </w:r>
      <w:r w:rsidR="002F3EAE">
        <w:t xml:space="preserve"> </w:t>
      </w:r>
      <w:r w:rsidR="009E47E4">
        <w:t>F</w:t>
      </w:r>
      <w:r w:rsidR="00594A67">
        <w:t>ailing to do so</w:t>
      </w:r>
      <w:r w:rsidR="001A33DF">
        <w:t>,</w:t>
      </w:r>
      <w:r w:rsidR="00594A67">
        <w:t xml:space="preserve"> will </w:t>
      </w:r>
      <w:r w:rsidR="002F3EAE">
        <w:t xml:space="preserve">most </w:t>
      </w:r>
      <w:r w:rsidR="00594A67">
        <w:t>affect the poorest in society</w:t>
      </w:r>
      <w:r w:rsidR="002225C6">
        <w:t>.</w:t>
      </w:r>
      <w:r w:rsidR="00241A2D">
        <w:t xml:space="preserve"> </w:t>
      </w:r>
      <w:r w:rsidR="004D30E7">
        <w:t xml:space="preserve">Although we did not consider cost in our study, previous studies have suggested that mandatory reformulation is not only cost </w:t>
      </w:r>
      <w:r w:rsidR="004D30E7" w:rsidRPr="00566088">
        <w:rPr>
          <w:noProof/>
        </w:rPr>
        <w:t>effective</w:t>
      </w:r>
      <w:r w:rsidR="004D30E7">
        <w:t xml:space="preserve"> but potentially cost saving.</w:t>
      </w:r>
      <w:r w:rsidR="00566088" w:rsidRPr="00566088">
        <w:rPr>
          <w:rFonts w:ascii="Calibri" w:hAnsi="Calibri"/>
        </w:rPr>
        <w:t>[44,45]</w:t>
      </w:r>
    </w:p>
    <w:p w14:paraId="63E2C722" w14:textId="6A5F0B65" w:rsidR="00241A2D" w:rsidRPr="004B70BB" w:rsidRDefault="007E07BD" w:rsidP="00AC0B1E">
      <w:r>
        <w:t>Many experts are supporting now the combined reformulation in portion sizes, sugar, salt, and fat content of processed food with sanctions for food manufacturers that do not comply.</w:t>
      </w:r>
      <w:r w:rsidR="00566088" w:rsidRPr="00566088">
        <w:rPr>
          <w:rFonts w:ascii="Calibri" w:hAnsi="Calibri"/>
        </w:rPr>
        <w:t>[46]</w:t>
      </w:r>
      <w:r>
        <w:t xml:space="preserve"> </w:t>
      </w:r>
      <w:r w:rsidR="004B70BB">
        <w:t xml:space="preserve">After the </w:t>
      </w:r>
      <w:r w:rsidR="004B70BB" w:rsidRPr="0028778E">
        <w:rPr>
          <w:noProof/>
        </w:rPr>
        <w:t>derail</w:t>
      </w:r>
      <w:r w:rsidR="004B70BB">
        <w:t xml:space="preserve"> of the salt reduction strategy in 2011 </w:t>
      </w:r>
      <w:r w:rsidR="00A04CC7">
        <w:t>due to the ‘Responsibility Deal’, that transferred the responsibility for nutrition from the Food Standards Agency to the food industry itself, salt reduction efforts have been renewed since 2014.</w:t>
      </w:r>
      <w:r w:rsidR="00566088" w:rsidRPr="00566088">
        <w:rPr>
          <w:rFonts w:ascii="Calibri" w:hAnsi="Calibri"/>
        </w:rPr>
        <w:t>[7]</w:t>
      </w:r>
      <w:r w:rsidR="00A04CC7">
        <w:t xml:space="preserve"> In fact, </w:t>
      </w:r>
      <w:r w:rsidR="00BD06A3">
        <w:t>the second year of the Public Health England sugar reformulation programme is scheduled to also address salt in 2017.</w:t>
      </w:r>
      <w:r w:rsidR="00566088" w:rsidRPr="00566088">
        <w:rPr>
          <w:rFonts w:ascii="Calibri" w:hAnsi="Calibri"/>
        </w:rPr>
        <w:t>[47]</w:t>
      </w:r>
    </w:p>
    <w:p w14:paraId="20200828" w14:textId="77777777" w:rsidR="003F243D" w:rsidRDefault="00F331F8" w:rsidP="00AC0B1E">
      <w:pPr>
        <w:pStyle w:val="Heading2"/>
      </w:pPr>
      <w:r w:rsidRPr="00CA2E4A">
        <w:t>Strengths and l</w:t>
      </w:r>
      <w:r w:rsidR="003F243D" w:rsidRPr="00CA2E4A">
        <w:t>imitations</w:t>
      </w:r>
    </w:p>
    <w:p w14:paraId="07E5B450" w14:textId="7A8B9A6B" w:rsidR="00F66FE0" w:rsidRDefault="00725265" w:rsidP="00AC0B1E">
      <w:pPr>
        <w:rPr>
          <w:lang w:eastAsia="en-GB"/>
        </w:rPr>
      </w:pPr>
      <w:r>
        <w:t xml:space="preserve">Our study </w:t>
      </w:r>
      <w:r w:rsidR="005010E4">
        <w:t>uses a technically advanced microsimulation model that synthesise</w:t>
      </w:r>
      <w:r w:rsidR="00F66FE0">
        <w:t>s</w:t>
      </w:r>
      <w:r w:rsidR="005010E4">
        <w:t xml:space="preserve"> information from the best available sources </w:t>
      </w:r>
      <w:r w:rsidR="006113D2">
        <w:t>of information on</w:t>
      </w:r>
      <w:r w:rsidR="00225925">
        <w:t xml:space="preserve"> </w:t>
      </w:r>
      <w:r w:rsidR="005010E4">
        <w:t>population exposure</w:t>
      </w:r>
      <w:r w:rsidR="00FF2CA9">
        <w:t>s</w:t>
      </w:r>
      <w:r w:rsidR="005010E4">
        <w:t xml:space="preserve"> to salt</w:t>
      </w:r>
      <w:r w:rsidR="00FF2CA9">
        <w:t>,</w:t>
      </w:r>
      <w:r w:rsidR="005010E4">
        <w:t xml:space="preserve"> and other non-communicable disease related risk factor</w:t>
      </w:r>
      <w:r w:rsidR="00FF2CA9">
        <w:t>,</w:t>
      </w:r>
      <w:r w:rsidR="003A1545">
        <w:t xml:space="preserve"> </w:t>
      </w:r>
      <w:r w:rsidR="00362CB2">
        <w:t>to generate</w:t>
      </w:r>
      <w:r w:rsidR="00FF2CA9">
        <w:t xml:space="preserve"> a</w:t>
      </w:r>
      <w:r w:rsidR="00F66FE0">
        <w:t xml:space="preserve"> ‘close to reality’ synthetic population</w:t>
      </w:r>
      <w:r w:rsidR="005010E4">
        <w:t xml:space="preserve">. </w:t>
      </w:r>
      <w:r w:rsidR="00FF2CA9">
        <w:t>Many assumptions must be made with such models. Yet</w:t>
      </w:r>
      <w:r w:rsidR="00F55193">
        <w:t>,</w:t>
      </w:r>
      <w:r w:rsidR="00FF2CA9">
        <w:t xml:space="preserve"> in spite of the potential frailty of such assumptions this model validated </w:t>
      </w:r>
      <w:r w:rsidR="00225925">
        <w:t xml:space="preserve">well </w:t>
      </w:r>
      <w:r w:rsidR="00FF2CA9">
        <w:t xml:space="preserve">against </w:t>
      </w:r>
      <w:r w:rsidR="00225925">
        <w:t xml:space="preserve">observed CVD and GCa incidence and mortality in </w:t>
      </w:r>
      <w:r w:rsidR="00FF2CA9">
        <w:t>real populations</w:t>
      </w:r>
      <w:r w:rsidR="00225925">
        <w:t>,</w:t>
      </w:r>
      <w:r w:rsidR="00FF2CA9">
        <w:t xml:space="preserve"> </w:t>
      </w:r>
      <w:r w:rsidR="00F66FE0">
        <w:t xml:space="preserve">even when </w:t>
      </w:r>
      <w:r w:rsidR="00F66FE0" w:rsidRPr="0028778E">
        <w:rPr>
          <w:noProof/>
        </w:rPr>
        <w:t>multiply</w:t>
      </w:r>
      <w:r w:rsidR="00F66FE0">
        <w:t xml:space="preserve"> stratified</w:t>
      </w:r>
      <w:r w:rsidR="005010E4">
        <w:t xml:space="preserve">. </w:t>
      </w:r>
      <w:r w:rsidR="00F66FE0">
        <w:rPr>
          <w:lang w:eastAsia="en-GB"/>
        </w:rPr>
        <w:t xml:space="preserve">This </w:t>
      </w:r>
      <w:r w:rsidR="00FF2CA9">
        <w:rPr>
          <w:lang w:eastAsia="en-GB"/>
        </w:rPr>
        <w:t xml:space="preserve">validation </w:t>
      </w:r>
      <w:r w:rsidR="00F66FE0">
        <w:rPr>
          <w:lang w:eastAsia="en-GB"/>
        </w:rPr>
        <w:t xml:space="preserve">is particularly important because </w:t>
      </w:r>
      <w:r w:rsidR="00514B03">
        <w:rPr>
          <w:lang w:eastAsia="en-GB"/>
        </w:rPr>
        <w:t xml:space="preserve">for </w:t>
      </w:r>
      <w:r w:rsidR="00FF2CA9">
        <w:rPr>
          <w:lang w:eastAsia="en-GB"/>
        </w:rPr>
        <w:t xml:space="preserve">the </w:t>
      </w:r>
      <w:r w:rsidR="00514B03">
        <w:rPr>
          <w:lang w:eastAsia="en-GB"/>
        </w:rPr>
        <w:t xml:space="preserve">years after 2006 </w:t>
      </w:r>
      <w:r w:rsidR="00F66FE0">
        <w:rPr>
          <w:lang w:eastAsia="en-GB"/>
        </w:rPr>
        <w:t xml:space="preserve">the incidence and mortality in the synthetic population </w:t>
      </w:r>
      <w:r w:rsidR="00FF2CA9">
        <w:rPr>
          <w:lang w:eastAsia="en-GB"/>
        </w:rPr>
        <w:t xml:space="preserve">were </w:t>
      </w:r>
      <w:r w:rsidR="00F66FE0">
        <w:rPr>
          <w:lang w:eastAsia="en-GB"/>
        </w:rPr>
        <w:t>recreated from first epidemiological principles and no</w:t>
      </w:r>
      <w:r w:rsidR="00514B03">
        <w:rPr>
          <w:lang w:eastAsia="en-GB"/>
        </w:rPr>
        <w:t>t</w:t>
      </w:r>
      <w:r w:rsidR="00F66FE0">
        <w:rPr>
          <w:lang w:eastAsia="en-GB"/>
        </w:rPr>
        <w:t xml:space="preserve"> </w:t>
      </w:r>
      <w:r w:rsidR="007D0393">
        <w:rPr>
          <w:lang w:eastAsia="en-GB"/>
        </w:rPr>
        <w:t>through an optimisation</w:t>
      </w:r>
      <w:r w:rsidR="00F66FE0">
        <w:rPr>
          <w:lang w:eastAsia="en-GB"/>
        </w:rPr>
        <w:t xml:space="preserve"> process. </w:t>
      </w:r>
      <w:r w:rsidR="009126C2">
        <w:rPr>
          <w:lang w:eastAsia="en-GB"/>
        </w:rPr>
        <w:t>Moreover</w:t>
      </w:r>
      <w:r w:rsidR="00225925">
        <w:rPr>
          <w:lang w:eastAsia="en-GB"/>
        </w:rPr>
        <w:t>,</w:t>
      </w:r>
      <w:r w:rsidR="009126C2">
        <w:rPr>
          <w:lang w:eastAsia="en-GB"/>
        </w:rPr>
        <w:t xml:space="preserve"> to </w:t>
      </w:r>
      <w:r w:rsidR="00576569">
        <w:rPr>
          <w:lang w:eastAsia="en-GB"/>
        </w:rPr>
        <w:t>ensure transparency</w:t>
      </w:r>
      <w:r w:rsidR="009126C2">
        <w:rPr>
          <w:lang w:eastAsia="en-GB"/>
        </w:rPr>
        <w:t xml:space="preserve">, </w:t>
      </w:r>
      <w:r w:rsidR="001720B0">
        <w:rPr>
          <w:lang w:eastAsia="en-GB"/>
        </w:rPr>
        <w:t xml:space="preserve">we </w:t>
      </w:r>
      <w:r w:rsidR="00FF2CA9">
        <w:rPr>
          <w:lang w:eastAsia="en-GB"/>
        </w:rPr>
        <w:t xml:space="preserve">have </w:t>
      </w:r>
      <w:r w:rsidR="001720B0">
        <w:rPr>
          <w:lang w:eastAsia="en-GB"/>
        </w:rPr>
        <w:t xml:space="preserve">made </w:t>
      </w:r>
      <w:r w:rsidR="009126C2" w:rsidRPr="00F56603">
        <w:rPr>
          <w:lang w:eastAsia="en-GB"/>
        </w:rPr>
        <w:t>IMPACT</w:t>
      </w:r>
      <w:r w:rsidR="009126C2" w:rsidRPr="009126C2">
        <w:rPr>
          <w:b/>
          <w:vertAlign w:val="subscript"/>
          <w:lang w:eastAsia="en-GB"/>
        </w:rPr>
        <w:t>NCD</w:t>
      </w:r>
      <w:r w:rsidR="009126C2">
        <w:rPr>
          <w:lang w:eastAsia="en-GB"/>
        </w:rPr>
        <w:t xml:space="preserve"> </w:t>
      </w:r>
      <w:r w:rsidR="00576569">
        <w:rPr>
          <w:lang w:eastAsia="en-GB"/>
        </w:rPr>
        <w:t xml:space="preserve">source </w:t>
      </w:r>
      <w:r w:rsidR="009126C2">
        <w:rPr>
          <w:lang w:eastAsia="en-GB"/>
        </w:rPr>
        <w:t xml:space="preserve">code </w:t>
      </w:r>
      <w:r w:rsidR="00576569">
        <w:rPr>
          <w:lang w:eastAsia="en-GB"/>
        </w:rPr>
        <w:t>open under GNU GPLv3 license.</w:t>
      </w:r>
    </w:p>
    <w:p w14:paraId="12430302" w14:textId="40A82A6C" w:rsidR="00B04818" w:rsidRPr="00B04818" w:rsidRDefault="00225925" w:rsidP="00AC0B1E">
      <w:r>
        <w:t xml:space="preserve">This study has </w:t>
      </w:r>
      <w:r w:rsidR="00FB0D9C">
        <w:t xml:space="preserve">many </w:t>
      </w:r>
      <w:r w:rsidR="002225C6">
        <w:t>l</w:t>
      </w:r>
      <w:r w:rsidR="00FB0D9C">
        <w:t xml:space="preserve">imitations, </w:t>
      </w:r>
      <w:r>
        <w:t>t</w:t>
      </w:r>
      <w:r w:rsidR="006D69E0">
        <w:t>hree</w:t>
      </w:r>
      <w:r w:rsidR="003A35FC">
        <w:t xml:space="preserve"> of which</w:t>
      </w:r>
      <w:r>
        <w:t xml:space="preserve"> </w:t>
      </w:r>
      <w:r w:rsidR="00FB0D9C">
        <w:t>are noteworthy</w:t>
      </w:r>
      <w:r w:rsidR="002225C6">
        <w:t xml:space="preserve">. </w:t>
      </w:r>
      <w:r w:rsidR="00FF2CA9">
        <w:t>First,</w:t>
      </w:r>
      <w:r w:rsidR="00FB6556">
        <w:t xml:space="preserve"> for the evaluation of </w:t>
      </w:r>
      <w:r w:rsidR="008E741A">
        <w:t>current p</w:t>
      </w:r>
      <w:r w:rsidR="00FF2CA9">
        <w:t>olicy</w:t>
      </w:r>
      <w:r>
        <w:t>,</w:t>
      </w:r>
      <w:r w:rsidR="00FF2CA9">
        <w:t xml:space="preserve"> </w:t>
      </w:r>
      <w:r w:rsidR="00FB6556">
        <w:t>we</w:t>
      </w:r>
      <w:r>
        <w:t xml:space="preserve"> </w:t>
      </w:r>
      <w:r w:rsidR="00FB6556">
        <w:t>assume</w:t>
      </w:r>
      <w:r>
        <w:t>d</w:t>
      </w:r>
      <w:r w:rsidR="00FB6556">
        <w:t xml:space="preserve"> that the decline in salt consumption </w:t>
      </w:r>
      <w:r w:rsidR="00FF2CA9">
        <w:t xml:space="preserve">observed </w:t>
      </w:r>
      <w:r w:rsidR="00FB6556">
        <w:t xml:space="preserve">since 2003 </w:t>
      </w:r>
      <w:r>
        <w:t>was</w:t>
      </w:r>
      <w:r w:rsidR="00FB6556">
        <w:t xml:space="preserve"> fully attributable to the implemented policy. </w:t>
      </w:r>
      <w:r w:rsidR="00FB0D9C">
        <w:t>This was perhaps slightly simplistic, and o</w:t>
      </w:r>
      <w:r w:rsidR="005F1FC3">
        <w:t xml:space="preserve">ur estimates </w:t>
      </w:r>
      <w:r w:rsidRPr="00566088">
        <w:rPr>
          <w:noProof/>
        </w:rPr>
        <w:t>may</w:t>
      </w:r>
      <w:r w:rsidR="00566088">
        <w:rPr>
          <w:noProof/>
        </w:rPr>
        <w:t>, therefore,</w:t>
      </w:r>
      <w:r>
        <w:t xml:space="preserve"> </w:t>
      </w:r>
      <w:r w:rsidR="005F1FC3">
        <w:t>be high</w:t>
      </w:r>
      <w:r>
        <w:t xml:space="preserve">. </w:t>
      </w:r>
      <w:r w:rsidR="006D69E0">
        <w:t xml:space="preserve">Second, </w:t>
      </w:r>
      <w:r w:rsidR="005A5617">
        <w:t xml:space="preserve">we did not </w:t>
      </w:r>
      <w:r w:rsidR="00921150">
        <w:t xml:space="preserve">model the </w:t>
      </w:r>
      <w:r w:rsidR="005A5617">
        <w:t>effect of the ‘Responsibility Deal’</w:t>
      </w:r>
      <w:r w:rsidR="00921150">
        <w:t xml:space="preserve"> that potentially reduced the rate of salt decline since 2011.</w:t>
      </w:r>
      <w:r w:rsidR="00566088" w:rsidRPr="00566088">
        <w:rPr>
          <w:rFonts w:ascii="Calibri" w:hAnsi="Calibri"/>
        </w:rPr>
        <w:t>[7,43]</w:t>
      </w:r>
      <w:r w:rsidR="00921150">
        <w:t xml:space="preserve"> </w:t>
      </w:r>
      <w:r>
        <w:t>However, this over-estimation</w:t>
      </w:r>
      <w:r w:rsidR="005F1FC3">
        <w:t xml:space="preserve"> </w:t>
      </w:r>
      <w:r>
        <w:t xml:space="preserve">of the baseline </w:t>
      </w:r>
      <w:r w:rsidRPr="00566088">
        <w:rPr>
          <w:noProof/>
        </w:rPr>
        <w:t>w</w:t>
      </w:r>
      <w:r w:rsidR="00FB0D9C" w:rsidRPr="00566088">
        <w:rPr>
          <w:noProof/>
        </w:rPr>
        <w:t>ould</w:t>
      </w:r>
      <w:r w:rsidR="00566088">
        <w:rPr>
          <w:noProof/>
        </w:rPr>
        <w:t>, therefore,</w:t>
      </w:r>
      <w:r>
        <w:t xml:space="preserve"> </w:t>
      </w:r>
      <w:r w:rsidR="00FB0D9C">
        <w:t xml:space="preserve">reduce </w:t>
      </w:r>
      <w:r w:rsidR="005F1FC3">
        <w:t xml:space="preserve">the </w:t>
      </w:r>
      <w:r w:rsidR="00FB0D9C">
        <w:t xml:space="preserve">apparent gains from additional </w:t>
      </w:r>
      <w:r w:rsidR="005F1FC3">
        <w:t>structural policies</w:t>
      </w:r>
      <w:r w:rsidR="00FB0D9C">
        <w:t xml:space="preserve">, making </w:t>
      </w:r>
      <w:r w:rsidR="005F1FC3">
        <w:t xml:space="preserve">our conclusions relatively conservative. </w:t>
      </w:r>
      <w:r w:rsidR="005A5617">
        <w:t>Third</w:t>
      </w:r>
      <w:r w:rsidR="005F1FC3">
        <w:t xml:space="preserve">, </w:t>
      </w:r>
      <w:r w:rsidR="00FB0D9C">
        <w:t xml:space="preserve">we could not find a sufficiently large dataset with individual-level 24h urine sodium measurements and other non-communicable disease related risk factor </w:t>
      </w:r>
      <w:r w:rsidR="00FB0D9C">
        <w:lastRenderedPageBreak/>
        <w:t>information</w:t>
      </w:r>
      <w:r w:rsidR="002225C6">
        <w:t xml:space="preserve">. </w:t>
      </w:r>
      <w:r w:rsidR="00A37F14">
        <w:t>The</w:t>
      </w:r>
      <w:r w:rsidR="00E3211F">
        <w:t xml:space="preserve"> stochastic process </w:t>
      </w:r>
      <w:r w:rsidR="00A37F14">
        <w:t xml:space="preserve">we developed to overcome this and synthesise information from multiple sources </w:t>
      </w:r>
      <w:r w:rsidR="00DA512C">
        <w:t>increased</w:t>
      </w:r>
      <w:r w:rsidR="00566088">
        <w:t xml:space="preserve"> the</w:t>
      </w:r>
      <w:r w:rsidR="00DA512C">
        <w:t xml:space="preserve"> </w:t>
      </w:r>
      <w:r w:rsidR="00DA512C" w:rsidRPr="00566088">
        <w:rPr>
          <w:noProof/>
        </w:rPr>
        <w:t>overall</w:t>
      </w:r>
      <w:r w:rsidR="00DA512C">
        <w:t xml:space="preserve"> uncertainty of the model. Nevertheless, </w:t>
      </w:r>
      <w:r w:rsidR="00A37F14">
        <w:t>t</w:t>
      </w:r>
      <w:r w:rsidR="00FB0D9C">
        <w:t>his</w:t>
      </w:r>
      <w:r w:rsidR="00E3211F">
        <w:t xml:space="preserve"> uncertainty </w:t>
      </w:r>
      <w:r w:rsidR="00FB0D9C">
        <w:t xml:space="preserve">has been quantified and transparently reported </w:t>
      </w:r>
      <w:r w:rsidR="00BD48FC">
        <w:t>using uncertainty intervals</w:t>
      </w:r>
      <w:r w:rsidR="00DA512C">
        <w:t>.</w:t>
      </w:r>
    </w:p>
    <w:p w14:paraId="2FD72211" w14:textId="77777777" w:rsidR="00DA512C" w:rsidRDefault="00F51DD0" w:rsidP="00F05C93">
      <w:pPr>
        <w:pStyle w:val="Heading1"/>
      </w:pPr>
      <w:r w:rsidRPr="00CA2E4A">
        <w:t>Conclusions</w:t>
      </w:r>
      <w:r w:rsidR="00DA512C">
        <w:t xml:space="preserve"> </w:t>
      </w:r>
    </w:p>
    <w:p w14:paraId="6B42C4CF" w14:textId="3091D6BD" w:rsidR="00DA512C" w:rsidRDefault="00DA512C" w:rsidP="00AC0B1E">
      <w:r w:rsidRPr="00DA512C">
        <w:t>Current salt reduction policies are generally effective in reducing the cardiovascular and cancer disease burden but fail to do so equitably. Additional structural policies could achieve further, more equitable health benefits.</w:t>
      </w:r>
    </w:p>
    <w:p w14:paraId="0248D314" w14:textId="2C7ED14D" w:rsidR="00F05C93" w:rsidRDefault="00F05C93" w:rsidP="00F05C93">
      <w:pPr>
        <w:pStyle w:val="Heading1"/>
      </w:pPr>
      <w:r>
        <w:t>Declarations</w:t>
      </w:r>
    </w:p>
    <w:p w14:paraId="3880BEB3" w14:textId="77777777" w:rsidR="000D4764" w:rsidRPr="00CA2E4A" w:rsidRDefault="000D4764" w:rsidP="000D4764">
      <w:pPr>
        <w:pStyle w:val="Heading2"/>
      </w:pPr>
      <w:r w:rsidRPr="00CA2E4A">
        <w:t>Ethical approval</w:t>
      </w:r>
    </w:p>
    <w:p w14:paraId="3E20AC80" w14:textId="11A8C66D" w:rsidR="000D4764" w:rsidRDefault="000D4764" w:rsidP="000D4764">
      <w:r w:rsidRPr="000D4764">
        <w:t xml:space="preserve">Ethical approval </w:t>
      </w:r>
      <w:r>
        <w:t>was n</w:t>
      </w:r>
      <w:r w:rsidRPr="00CA2E4A">
        <w:t xml:space="preserve">ot required for this study, as it is an analysis of previously collected data. Ethical approval for each survey was obtained </w:t>
      </w:r>
      <w:r w:rsidR="00B15F05">
        <w:rPr>
          <w:noProof/>
        </w:rPr>
        <w:t>by</w:t>
      </w:r>
      <w:r w:rsidRPr="00CA2E4A">
        <w:t xml:space="preserve"> the Health Survey for England team.</w:t>
      </w:r>
    </w:p>
    <w:p w14:paraId="4585915A" w14:textId="5243454A" w:rsidR="000D4764" w:rsidRDefault="009A6ECB" w:rsidP="009A6ECB">
      <w:pPr>
        <w:pStyle w:val="Heading2"/>
      </w:pPr>
      <w:r>
        <w:t>Data sharing</w:t>
      </w:r>
      <w:r w:rsidR="000D4764" w:rsidRPr="000D4764">
        <w:t xml:space="preserve"> </w:t>
      </w:r>
    </w:p>
    <w:p w14:paraId="62965715" w14:textId="70FBC548" w:rsidR="000D4764" w:rsidRPr="000D4764" w:rsidRDefault="000D4764" w:rsidP="000D4764">
      <w:pPr>
        <w:rPr>
          <w:color w:val="5F5F5F" w:themeColor="hyperlink"/>
        </w:rPr>
      </w:pPr>
      <w:r w:rsidRPr="00CA2E4A">
        <w:t>Anonymised, non-identifiable participant level cross-sectional survey data are freely available for academic researchers and public health staff to download from the UK Data Service.</w:t>
      </w:r>
      <w:r>
        <w:t xml:space="preserve"> The source code of IMPACT</w:t>
      </w:r>
      <w:r w:rsidRPr="006113D2">
        <w:rPr>
          <w:b/>
          <w:vertAlign w:val="subscript"/>
        </w:rPr>
        <w:t>NCD</w:t>
      </w:r>
      <w:r>
        <w:t xml:space="preserve"> is available at </w:t>
      </w:r>
      <w:r w:rsidR="00A643CF" w:rsidRPr="00A643CF">
        <w:t>https://github.com/ChristK/IMPACTncd/tree/Evaluation_of_UK_salt_strategy</w:t>
      </w:r>
      <w:r w:rsidRPr="00B77A01">
        <w:rPr>
          <w:rStyle w:val="Hyperlink"/>
          <w:u w:val="none"/>
        </w:rPr>
        <w:t>.</w:t>
      </w:r>
    </w:p>
    <w:p w14:paraId="5FBA822C" w14:textId="43B3B8D5" w:rsidR="000D4764" w:rsidRPr="00CA2E4A" w:rsidRDefault="000D4764" w:rsidP="000D4764">
      <w:pPr>
        <w:pStyle w:val="Heading2"/>
      </w:pPr>
      <w:r w:rsidRPr="00CA2E4A">
        <w:t xml:space="preserve">Competing </w:t>
      </w:r>
      <w:r>
        <w:t>i</w:t>
      </w:r>
      <w:r w:rsidRPr="00CA2E4A">
        <w:t>nterests</w:t>
      </w:r>
    </w:p>
    <w:p w14:paraId="6ED71A1F" w14:textId="1F0D9006" w:rsidR="000D4764" w:rsidRPr="000D4764" w:rsidRDefault="000D4764" w:rsidP="000D4764">
      <w:r w:rsidRPr="00B230D0">
        <w:t xml:space="preserve">All authors have completed the ICMJE uniform disclosure form at http://www.icmje.org/coi_disclosure.pdf and </w:t>
      </w:r>
      <w:r w:rsidRPr="0028778E">
        <w:rPr>
          <w:noProof/>
        </w:rPr>
        <w:t>declare:</w:t>
      </w:r>
      <w:r w:rsidRPr="00B230D0">
        <w:t xml:space="preserve"> no support from any organisation for the submitted work; no financial relationships with any organisations that might have an interest in the submitted work in the previous three years, no other relationships or activities that could appear to have influenced the submitted work</w:t>
      </w:r>
      <w:r>
        <w:t>.</w:t>
      </w:r>
    </w:p>
    <w:p w14:paraId="30AFB8D1" w14:textId="77777777" w:rsidR="000D4764" w:rsidRPr="00CA2E4A" w:rsidRDefault="000D4764" w:rsidP="000D4764">
      <w:pPr>
        <w:pStyle w:val="Heading2"/>
      </w:pPr>
      <w:r w:rsidRPr="00CA2E4A">
        <w:t>Funding</w:t>
      </w:r>
    </w:p>
    <w:p w14:paraId="6051F9A6" w14:textId="3B2B573F" w:rsidR="000D4764" w:rsidRPr="00CA2E4A" w:rsidRDefault="000D4764" w:rsidP="000D4764">
      <w:r w:rsidRPr="00CA2E4A">
        <w:t xml:space="preserve">The Health Survey for England was funded by the Department of Health until 2004 and the Health and Social Care Information Centre from 2005. IB </w:t>
      </w:r>
      <w:r>
        <w:t>and CK were</w:t>
      </w:r>
      <w:r w:rsidRPr="00CA2E4A">
        <w:t xml:space="preserve"> supported by Medical Research Council Health eResearch Centre grant MR/K006665/1. </w:t>
      </w:r>
      <w:r>
        <w:t xml:space="preserve">SC, MOF, MGC, LH, </w:t>
      </w:r>
      <w:r w:rsidRPr="00CA2E4A">
        <w:t>and PB were supported by the National Institu</w:t>
      </w:r>
      <w:r w:rsidR="004C0DF0">
        <w:t xml:space="preserve">te </w:t>
      </w:r>
      <w:r w:rsidRPr="00CA2E4A">
        <w:t>f</w:t>
      </w:r>
      <w:r w:rsidR="004C0DF0">
        <w:t>or</w:t>
      </w:r>
      <w:r w:rsidRPr="00CA2E4A">
        <w:t xml:space="preserve"> Health Research through a grant </w:t>
      </w:r>
      <w:r>
        <w:t xml:space="preserve">(SPHR-LIL-PH1-MCD) </w:t>
      </w:r>
      <w:r w:rsidRPr="00CA2E4A">
        <w:t xml:space="preserve">to the LiLaC collaboration between the University of Liverpool </w:t>
      </w:r>
      <w:r w:rsidRPr="00CA2E4A">
        <w:lastRenderedPageBreak/>
        <w:t xml:space="preserve">and Lancaster University. </w:t>
      </w:r>
      <w:r w:rsidRPr="00AC0B1E">
        <w:t>The funders had no role in study design, data collection and analysis, decision to publish, o</w:t>
      </w:r>
      <w:r>
        <w:t>r preparation of the manuscript</w:t>
      </w:r>
      <w:r w:rsidRPr="00CA2E4A">
        <w:t>.</w:t>
      </w:r>
      <w:r>
        <w:t xml:space="preserve"> </w:t>
      </w:r>
    </w:p>
    <w:p w14:paraId="163860A7" w14:textId="7E6BCE79" w:rsidR="000D4764" w:rsidRPr="00CA2E4A" w:rsidRDefault="009A6ECB" w:rsidP="000D4764">
      <w:pPr>
        <w:pStyle w:val="Heading2"/>
      </w:pPr>
      <w:r>
        <w:t>C</w:t>
      </w:r>
      <w:r w:rsidRPr="00CA2E4A">
        <w:t>ontr</w:t>
      </w:r>
      <w:r>
        <w:t>ibutor</w:t>
      </w:r>
      <w:r w:rsidRPr="00CA2E4A">
        <w:t>s</w:t>
      </w:r>
      <w:r>
        <w:t>hip</w:t>
      </w:r>
    </w:p>
    <w:p w14:paraId="0BE0B007" w14:textId="6F95CE33" w:rsidR="000D4764" w:rsidRPr="00CA2E4A" w:rsidRDefault="000D4764" w:rsidP="000D4764">
      <w:r w:rsidRPr="00CA2E4A">
        <w:t>All authors made</w:t>
      </w:r>
      <w:r w:rsidR="00566088">
        <w:t xml:space="preserve"> a</w:t>
      </w:r>
      <w:r w:rsidRPr="00CA2E4A">
        <w:t xml:space="preserve"> </w:t>
      </w:r>
      <w:r w:rsidRPr="00566088">
        <w:rPr>
          <w:noProof/>
        </w:rPr>
        <w:t>substantial</w:t>
      </w:r>
      <w:r w:rsidRPr="00CA2E4A">
        <w:t xml:space="preserve"> contribution to conception and design. CK</w:t>
      </w:r>
      <w:r>
        <w:t>,</w:t>
      </w:r>
      <w:r w:rsidRPr="00CA2E4A">
        <w:t xml:space="preserve"> </w:t>
      </w:r>
      <w:r>
        <w:t xml:space="preserve">MGC, and </w:t>
      </w:r>
      <w:r w:rsidRPr="00CA2E4A">
        <w:t xml:space="preserve">MOF had the original idea. </w:t>
      </w:r>
      <w:r>
        <w:t xml:space="preserve">LH did the literature search. </w:t>
      </w:r>
      <w:r w:rsidRPr="00CA2E4A">
        <w:t>CK prepared and conducted data analysis</w:t>
      </w:r>
      <w:r w:rsidR="00A643CF">
        <w:t xml:space="preserve"> and modelling</w:t>
      </w:r>
      <w:r w:rsidRPr="00CA2E4A">
        <w:t xml:space="preserve">. All authors contributed to drafting the manuscript and revising it critically. </w:t>
      </w:r>
    </w:p>
    <w:p w14:paraId="7C6070F6" w14:textId="77777777" w:rsidR="000D4764" w:rsidRPr="00027216" w:rsidRDefault="000D4764" w:rsidP="000D4764">
      <w:pPr>
        <w:pStyle w:val="Heading2"/>
      </w:pPr>
      <w:r w:rsidRPr="00027216">
        <w:t>Transparency declaration</w:t>
      </w:r>
    </w:p>
    <w:p w14:paraId="2652D8F5" w14:textId="088123D0" w:rsidR="009E7C87" w:rsidRDefault="000D4764" w:rsidP="000D4764">
      <w:r>
        <w:t>The lead author</w:t>
      </w:r>
      <w:r w:rsidRPr="009D0856">
        <w:t xml:space="preserve"> (the manuscript’s guarantor)</w:t>
      </w:r>
      <w:r w:rsidRPr="00027216">
        <w:t xml:space="preserve"> affirms that this manuscript is an honest, accurate, and transparent account of the study being reported; that no important aspects of the study have been omitted; and that any discrepancies from the study as planned have been explained.</w:t>
      </w:r>
      <w:r>
        <w:t xml:space="preserve"> </w:t>
      </w:r>
      <w:r w:rsidRPr="001D5C9A">
        <w:t>All authors, external and internal, had full access to all of the data (including statistical reports and tables) in the study and can take responsibility for the integrity of the data and the accuracy of the data analysis.</w:t>
      </w:r>
    </w:p>
    <w:p w14:paraId="00B851F1" w14:textId="1F9A69C2" w:rsidR="009E7C87" w:rsidRPr="00AC0B1E" w:rsidRDefault="009E7C87" w:rsidP="009E7C87">
      <w:pPr>
        <w:pStyle w:val="Heading1"/>
      </w:pPr>
      <w:r w:rsidRPr="000E3F8F">
        <w:t>References</w:t>
      </w:r>
    </w:p>
    <w:p w14:paraId="017DD942" w14:textId="296CB7F9" w:rsidR="0028778E" w:rsidRPr="00077D34" w:rsidRDefault="0028778E" w:rsidP="0028778E">
      <w:pPr>
        <w:pStyle w:val="Bibliography"/>
        <w:rPr>
          <w:rFonts w:ascii="Calibri" w:hAnsi="Calibri"/>
        </w:rPr>
      </w:pPr>
      <w:r w:rsidRPr="0028778E">
        <w:rPr>
          <w:rFonts w:ascii="Calibri" w:hAnsi="Calibri"/>
        </w:rPr>
        <w:t xml:space="preserve">1 </w:t>
      </w:r>
      <w:r w:rsidRPr="0028778E">
        <w:rPr>
          <w:rFonts w:ascii="Calibri" w:hAnsi="Calibri"/>
        </w:rPr>
        <w:tab/>
      </w:r>
      <w:r w:rsidRPr="00077D34">
        <w:rPr>
          <w:rFonts w:ascii="Calibri" w:hAnsi="Calibri"/>
        </w:rPr>
        <w:t xml:space="preserve">Strazzullo P, D’Elia L, Kandala N-B, </w:t>
      </w:r>
      <w:r w:rsidRPr="00077D34">
        <w:rPr>
          <w:rFonts w:ascii="Calibri" w:hAnsi="Calibri"/>
          <w:i/>
          <w:iCs/>
        </w:rPr>
        <w:t>et al.</w:t>
      </w:r>
      <w:r w:rsidRPr="00077D34">
        <w:rPr>
          <w:rFonts w:ascii="Calibri" w:hAnsi="Calibri"/>
        </w:rPr>
        <w:t xml:space="preserve"> Salt intake, stroke, and cardiovascular disease: meta-analysis of prospective studies. </w:t>
      </w:r>
      <w:r w:rsidRPr="00077D34">
        <w:rPr>
          <w:rFonts w:ascii="Calibri" w:hAnsi="Calibri"/>
          <w:i/>
          <w:iCs/>
        </w:rPr>
        <w:t>BMJ</w:t>
      </w:r>
      <w:r w:rsidRPr="00077D34">
        <w:rPr>
          <w:rFonts w:ascii="Calibri" w:hAnsi="Calibri"/>
        </w:rPr>
        <w:t xml:space="preserve"> 2009;</w:t>
      </w:r>
      <w:r w:rsidRPr="00077D34">
        <w:rPr>
          <w:rFonts w:ascii="Calibri" w:hAnsi="Calibri"/>
          <w:bCs/>
        </w:rPr>
        <w:t>339</w:t>
      </w:r>
      <w:r w:rsidRPr="00077D34">
        <w:rPr>
          <w:rFonts w:ascii="Calibri" w:hAnsi="Calibri"/>
        </w:rPr>
        <w:t>:b4567. doi:10.1136/bmj.b4567</w:t>
      </w:r>
    </w:p>
    <w:p w14:paraId="5404585F" w14:textId="77777777" w:rsidR="0028778E" w:rsidRPr="00077D34" w:rsidRDefault="0028778E" w:rsidP="0028778E">
      <w:pPr>
        <w:pStyle w:val="Bibliography"/>
        <w:rPr>
          <w:rFonts w:ascii="Calibri" w:hAnsi="Calibri"/>
        </w:rPr>
      </w:pPr>
      <w:r w:rsidRPr="00077D34">
        <w:rPr>
          <w:rFonts w:ascii="Calibri" w:hAnsi="Calibri"/>
        </w:rPr>
        <w:t xml:space="preserve">2 </w:t>
      </w:r>
      <w:r w:rsidRPr="00077D34">
        <w:rPr>
          <w:rFonts w:ascii="Calibri" w:hAnsi="Calibri"/>
        </w:rPr>
        <w:tab/>
        <w:t xml:space="preserve">D’Elia L, Rossi G, Ippolito R, </w:t>
      </w:r>
      <w:r w:rsidRPr="00077D34">
        <w:rPr>
          <w:rFonts w:ascii="Calibri" w:hAnsi="Calibri"/>
          <w:i/>
          <w:iCs/>
        </w:rPr>
        <w:t>et al.</w:t>
      </w:r>
      <w:r w:rsidRPr="00077D34">
        <w:rPr>
          <w:rFonts w:ascii="Calibri" w:hAnsi="Calibri"/>
        </w:rPr>
        <w:t xml:space="preserve"> Habitual salt intake and risk of gastric cancer: A meta-analysis of prospective studies. </w:t>
      </w:r>
      <w:r w:rsidRPr="00077D34">
        <w:rPr>
          <w:rFonts w:ascii="Calibri" w:hAnsi="Calibri"/>
          <w:i/>
          <w:iCs/>
        </w:rPr>
        <w:t>Clin Nutr</w:t>
      </w:r>
      <w:r w:rsidRPr="00077D34">
        <w:rPr>
          <w:rFonts w:ascii="Calibri" w:hAnsi="Calibri"/>
        </w:rPr>
        <w:t xml:space="preserve"> 2012;</w:t>
      </w:r>
      <w:r w:rsidRPr="00077D34">
        <w:rPr>
          <w:rFonts w:ascii="Calibri" w:hAnsi="Calibri"/>
          <w:bCs/>
        </w:rPr>
        <w:t>31</w:t>
      </w:r>
      <w:r w:rsidRPr="00077D34">
        <w:rPr>
          <w:rFonts w:ascii="Calibri" w:hAnsi="Calibri"/>
        </w:rPr>
        <w:t>:489–98. doi:10.1016/j.clnu.2012.01.003</w:t>
      </w:r>
    </w:p>
    <w:p w14:paraId="45BF1279" w14:textId="77777777" w:rsidR="0028778E" w:rsidRPr="00077D34" w:rsidRDefault="0028778E" w:rsidP="0028778E">
      <w:pPr>
        <w:pStyle w:val="Bibliography"/>
        <w:rPr>
          <w:rFonts w:ascii="Calibri" w:hAnsi="Calibri"/>
        </w:rPr>
      </w:pPr>
      <w:r w:rsidRPr="00077D34">
        <w:rPr>
          <w:rFonts w:ascii="Calibri" w:hAnsi="Calibri"/>
        </w:rPr>
        <w:t xml:space="preserve">3 </w:t>
      </w:r>
      <w:r w:rsidRPr="00077D34">
        <w:rPr>
          <w:rFonts w:ascii="Calibri" w:hAnsi="Calibri"/>
        </w:rPr>
        <w:tab/>
        <w:t xml:space="preserve">Mozaffarian D, Fahimi S, Singh GM, </w:t>
      </w:r>
      <w:r w:rsidRPr="00077D34">
        <w:rPr>
          <w:rFonts w:ascii="Calibri" w:hAnsi="Calibri"/>
          <w:i/>
          <w:iCs/>
        </w:rPr>
        <w:t>et al.</w:t>
      </w:r>
      <w:r w:rsidRPr="00077D34">
        <w:rPr>
          <w:rFonts w:ascii="Calibri" w:hAnsi="Calibri"/>
        </w:rPr>
        <w:t xml:space="preserve"> Global sodium consumption and death from cardiovascular causes. </w:t>
      </w:r>
      <w:r w:rsidRPr="00077D34">
        <w:rPr>
          <w:rFonts w:ascii="Calibri" w:hAnsi="Calibri"/>
          <w:i/>
          <w:iCs/>
        </w:rPr>
        <w:t>N Engl J Med</w:t>
      </w:r>
      <w:r w:rsidRPr="00077D34">
        <w:rPr>
          <w:rFonts w:ascii="Calibri" w:hAnsi="Calibri"/>
        </w:rPr>
        <w:t xml:space="preserve"> 2014;</w:t>
      </w:r>
      <w:r w:rsidRPr="00077D34">
        <w:rPr>
          <w:rFonts w:ascii="Calibri" w:hAnsi="Calibri"/>
          <w:bCs/>
        </w:rPr>
        <w:t>371</w:t>
      </w:r>
      <w:r w:rsidRPr="00077D34">
        <w:rPr>
          <w:rFonts w:ascii="Calibri" w:hAnsi="Calibri"/>
        </w:rPr>
        <w:t>:624–34. doi:10.1056/NEJMoa1304127</w:t>
      </w:r>
    </w:p>
    <w:p w14:paraId="4E3488B8" w14:textId="77777777" w:rsidR="0028778E" w:rsidRPr="00077D34" w:rsidRDefault="0028778E" w:rsidP="0028778E">
      <w:pPr>
        <w:pStyle w:val="Bibliography"/>
        <w:rPr>
          <w:rFonts w:ascii="Calibri" w:hAnsi="Calibri"/>
        </w:rPr>
      </w:pPr>
      <w:r w:rsidRPr="00077D34">
        <w:rPr>
          <w:rFonts w:ascii="Calibri" w:hAnsi="Calibri"/>
        </w:rPr>
        <w:t xml:space="preserve">4 </w:t>
      </w:r>
      <w:r w:rsidRPr="00077D34">
        <w:rPr>
          <w:rFonts w:ascii="Calibri" w:hAnsi="Calibri"/>
        </w:rPr>
        <w:tab/>
        <w:t xml:space="preserve">Trieu K, Neal B, Hawkes C, </w:t>
      </w:r>
      <w:r w:rsidRPr="00077D34">
        <w:rPr>
          <w:rFonts w:ascii="Calibri" w:hAnsi="Calibri"/>
          <w:i/>
          <w:iCs/>
        </w:rPr>
        <w:t>et al.</w:t>
      </w:r>
      <w:r w:rsidRPr="00077D34">
        <w:rPr>
          <w:rFonts w:ascii="Calibri" w:hAnsi="Calibri"/>
        </w:rPr>
        <w:t xml:space="preserve"> Salt reduction initiatives around the world – a systematic review of progress towards the global target. </w:t>
      </w:r>
      <w:r w:rsidRPr="00077D34">
        <w:rPr>
          <w:rFonts w:ascii="Calibri" w:hAnsi="Calibri"/>
          <w:i/>
          <w:iCs/>
        </w:rPr>
        <w:t>PLoS ONE</w:t>
      </w:r>
      <w:r w:rsidRPr="00077D34">
        <w:rPr>
          <w:rFonts w:ascii="Calibri" w:hAnsi="Calibri"/>
        </w:rPr>
        <w:t xml:space="preserve"> 2015;</w:t>
      </w:r>
      <w:r w:rsidRPr="00077D34">
        <w:rPr>
          <w:rFonts w:ascii="Calibri" w:hAnsi="Calibri"/>
          <w:bCs/>
        </w:rPr>
        <w:t>10</w:t>
      </w:r>
      <w:r w:rsidRPr="00077D34">
        <w:rPr>
          <w:rFonts w:ascii="Calibri" w:hAnsi="Calibri"/>
        </w:rPr>
        <w:t>:e0130247. doi:10.1371/journal.pone.0130247</w:t>
      </w:r>
    </w:p>
    <w:p w14:paraId="506DCFBD" w14:textId="1BBF6F8B" w:rsidR="0028778E" w:rsidRPr="00077D34" w:rsidRDefault="0028778E" w:rsidP="0028778E">
      <w:pPr>
        <w:pStyle w:val="Bibliography"/>
        <w:rPr>
          <w:rFonts w:ascii="Calibri" w:hAnsi="Calibri"/>
        </w:rPr>
      </w:pPr>
      <w:r w:rsidRPr="00077D34">
        <w:rPr>
          <w:rFonts w:ascii="Calibri" w:hAnsi="Calibri"/>
        </w:rPr>
        <w:t xml:space="preserve">5 </w:t>
      </w:r>
      <w:r w:rsidRPr="00077D34">
        <w:rPr>
          <w:rFonts w:ascii="Calibri" w:hAnsi="Calibri"/>
        </w:rPr>
        <w:tab/>
        <w:t xml:space="preserve">Alwan A, Armstrong T, Bettcher D, </w:t>
      </w:r>
      <w:r w:rsidRPr="00077D34">
        <w:rPr>
          <w:rFonts w:ascii="Calibri" w:hAnsi="Calibri"/>
          <w:i/>
          <w:iCs/>
        </w:rPr>
        <w:t>et al.</w:t>
      </w:r>
      <w:r w:rsidRPr="00077D34">
        <w:rPr>
          <w:rFonts w:ascii="Calibri" w:hAnsi="Calibri"/>
        </w:rPr>
        <w:t xml:space="preserve"> Global status report on noncommun</w:t>
      </w:r>
      <w:r w:rsidR="00077D34">
        <w:rPr>
          <w:rFonts w:ascii="Calibri" w:hAnsi="Calibri"/>
        </w:rPr>
        <w:t xml:space="preserve">icable diseases 2010. Geneva: </w:t>
      </w:r>
      <w:r w:rsidRPr="00077D34">
        <w:rPr>
          <w:rFonts w:ascii="Calibri" w:hAnsi="Calibri"/>
        </w:rPr>
        <w:t>World Health Organization 2011. http://whqlibdoc.who.int/publications/2011/9789240686458_eng.pdf (accessed 14 Nov2016).</w:t>
      </w:r>
    </w:p>
    <w:p w14:paraId="1FC757C9" w14:textId="77777777" w:rsidR="0028778E" w:rsidRPr="00077D34" w:rsidRDefault="0028778E" w:rsidP="0028778E">
      <w:pPr>
        <w:pStyle w:val="Bibliography"/>
        <w:rPr>
          <w:rFonts w:ascii="Calibri" w:hAnsi="Calibri"/>
        </w:rPr>
      </w:pPr>
      <w:r w:rsidRPr="00077D34">
        <w:rPr>
          <w:rFonts w:ascii="Calibri" w:hAnsi="Calibri"/>
        </w:rPr>
        <w:t xml:space="preserve">6 </w:t>
      </w:r>
      <w:r w:rsidRPr="00077D34">
        <w:rPr>
          <w:rFonts w:ascii="Calibri" w:hAnsi="Calibri"/>
        </w:rPr>
        <w:tab/>
        <w:t xml:space="preserve">Webster JL, Dunford EK, Hawkes C, </w:t>
      </w:r>
      <w:r w:rsidRPr="00077D34">
        <w:rPr>
          <w:rFonts w:ascii="Calibri" w:hAnsi="Calibri"/>
          <w:i/>
          <w:iCs/>
        </w:rPr>
        <w:t>et al.</w:t>
      </w:r>
      <w:r w:rsidRPr="00077D34">
        <w:rPr>
          <w:rFonts w:ascii="Calibri" w:hAnsi="Calibri"/>
        </w:rPr>
        <w:t xml:space="preserve"> Salt reduction initiatives around the world: </w:t>
      </w:r>
      <w:r w:rsidRPr="00077D34">
        <w:rPr>
          <w:rFonts w:ascii="Calibri" w:hAnsi="Calibri"/>
          <w:i/>
          <w:iCs/>
        </w:rPr>
        <w:t>J Hypertens</w:t>
      </w:r>
      <w:r w:rsidRPr="00077D34">
        <w:rPr>
          <w:rFonts w:ascii="Calibri" w:hAnsi="Calibri"/>
        </w:rPr>
        <w:t xml:space="preserve"> 2011;</w:t>
      </w:r>
      <w:r w:rsidRPr="00077D34">
        <w:rPr>
          <w:rFonts w:ascii="Calibri" w:hAnsi="Calibri"/>
          <w:bCs/>
        </w:rPr>
        <w:t>29</w:t>
      </w:r>
      <w:r w:rsidRPr="00077D34">
        <w:rPr>
          <w:rFonts w:ascii="Calibri" w:hAnsi="Calibri"/>
        </w:rPr>
        <w:t>:1043–50. doi:10.1097/HJH.0b013e328345ed83</w:t>
      </w:r>
    </w:p>
    <w:p w14:paraId="3D7F707E" w14:textId="77777777" w:rsidR="0028778E" w:rsidRPr="00077D34" w:rsidRDefault="0028778E" w:rsidP="0028778E">
      <w:pPr>
        <w:pStyle w:val="Bibliography"/>
        <w:rPr>
          <w:rFonts w:ascii="Calibri" w:hAnsi="Calibri"/>
        </w:rPr>
      </w:pPr>
      <w:r w:rsidRPr="00077D34">
        <w:rPr>
          <w:rFonts w:ascii="Calibri" w:hAnsi="Calibri"/>
        </w:rPr>
        <w:t xml:space="preserve">7 </w:t>
      </w:r>
      <w:r w:rsidRPr="00077D34">
        <w:rPr>
          <w:rFonts w:ascii="Calibri" w:hAnsi="Calibri"/>
        </w:rPr>
        <w:tab/>
        <w:t xml:space="preserve">MacGregor GA, He FJ, Pombo-Rodrigues S. Food and the responsibility deal: how the salt reduction strategy was derailed. </w:t>
      </w:r>
      <w:r w:rsidRPr="00077D34">
        <w:rPr>
          <w:rFonts w:ascii="Calibri" w:hAnsi="Calibri"/>
          <w:i/>
          <w:iCs/>
        </w:rPr>
        <w:t>BMJ</w:t>
      </w:r>
      <w:r w:rsidRPr="00077D34">
        <w:rPr>
          <w:rFonts w:ascii="Calibri" w:hAnsi="Calibri"/>
        </w:rPr>
        <w:t xml:space="preserve"> 2015;</w:t>
      </w:r>
      <w:r w:rsidRPr="00077D34">
        <w:rPr>
          <w:rFonts w:ascii="Calibri" w:hAnsi="Calibri"/>
          <w:bCs/>
        </w:rPr>
        <w:t>350</w:t>
      </w:r>
      <w:r w:rsidRPr="00077D34">
        <w:rPr>
          <w:rFonts w:ascii="Calibri" w:hAnsi="Calibri"/>
        </w:rPr>
        <w:t>:h1936. doi:10.1136/bmj.h1936</w:t>
      </w:r>
    </w:p>
    <w:p w14:paraId="5D0B6DA2" w14:textId="77777777" w:rsidR="0028778E" w:rsidRPr="00077D34" w:rsidRDefault="0028778E" w:rsidP="0028778E">
      <w:pPr>
        <w:pStyle w:val="Bibliography"/>
        <w:rPr>
          <w:rFonts w:ascii="Calibri" w:hAnsi="Calibri"/>
        </w:rPr>
      </w:pPr>
      <w:r w:rsidRPr="00077D34">
        <w:rPr>
          <w:rFonts w:ascii="Calibri" w:hAnsi="Calibri"/>
        </w:rPr>
        <w:t xml:space="preserve">8 </w:t>
      </w:r>
      <w:r w:rsidRPr="00077D34">
        <w:rPr>
          <w:rFonts w:ascii="Calibri" w:hAnsi="Calibri"/>
        </w:rPr>
        <w:tab/>
        <w:t xml:space="preserve">He FJ, Brinsden HC, MacGregor GA. Salt reduction in the United Kingdom: a successful experiment in public health. </w:t>
      </w:r>
      <w:r w:rsidRPr="00077D34">
        <w:rPr>
          <w:rFonts w:ascii="Calibri" w:hAnsi="Calibri"/>
          <w:i/>
          <w:iCs/>
        </w:rPr>
        <w:t>J Hum Hypertens</w:t>
      </w:r>
      <w:r w:rsidRPr="00077D34">
        <w:rPr>
          <w:rFonts w:ascii="Calibri" w:hAnsi="Calibri"/>
        </w:rPr>
        <w:t xml:space="preserve"> 2014;</w:t>
      </w:r>
      <w:r w:rsidRPr="00077D34">
        <w:rPr>
          <w:rFonts w:ascii="Calibri" w:hAnsi="Calibri"/>
          <w:bCs/>
        </w:rPr>
        <w:t>28</w:t>
      </w:r>
      <w:r w:rsidRPr="00077D34">
        <w:rPr>
          <w:rFonts w:ascii="Calibri" w:hAnsi="Calibri"/>
        </w:rPr>
        <w:t>:345–52. doi:10.1038/jhh.2013.105</w:t>
      </w:r>
    </w:p>
    <w:p w14:paraId="1A79D438" w14:textId="77777777" w:rsidR="0028778E" w:rsidRPr="00077D34" w:rsidRDefault="0028778E" w:rsidP="0028778E">
      <w:pPr>
        <w:pStyle w:val="Bibliography"/>
        <w:rPr>
          <w:rFonts w:ascii="Calibri" w:hAnsi="Calibri"/>
        </w:rPr>
      </w:pPr>
      <w:r w:rsidRPr="00077D34">
        <w:rPr>
          <w:rFonts w:ascii="Calibri" w:hAnsi="Calibri"/>
        </w:rPr>
        <w:lastRenderedPageBreak/>
        <w:t xml:space="preserve">9 </w:t>
      </w:r>
      <w:r w:rsidRPr="00077D34">
        <w:rPr>
          <w:rFonts w:ascii="Calibri" w:hAnsi="Calibri"/>
        </w:rPr>
        <w:tab/>
        <w:t xml:space="preserve">Wyness LA, Butriss JL, Stanner SA. Reducing the population’s sodium intake: the UK Food Standards Agency’s salt reduction programme. </w:t>
      </w:r>
      <w:r w:rsidRPr="00077D34">
        <w:rPr>
          <w:rFonts w:ascii="Calibri" w:hAnsi="Calibri"/>
          <w:i/>
          <w:iCs/>
        </w:rPr>
        <w:t>Public Health Nutr</w:t>
      </w:r>
      <w:r w:rsidRPr="00077D34">
        <w:rPr>
          <w:rFonts w:ascii="Calibri" w:hAnsi="Calibri"/>
        </w:rPr>
        <w:t xml:space="preserve"> 2012;</w:t>
      </w:r>
      <w:r w:rsidRPr="00077D34">
        <w:rPr>
          <w:rFonts w:ascii="Calibri" w:hAnsi="Calibri"/>
          <w:bCs/>
        </w:rPr>
        <w:t>15</w:t>
      </w:r>
      <w:r w:rsidRPr="00077D34">
        <w:rPr>
          <w:rFonts w:ascii="Calibri" w:hAnsi="Calibri"/>
        </w:rPr>
        <w:t>:254–261. doi:10.1017/S1368980011000966</w:t>
      </w:r>
    </w:p>
    <w:p w14:paraId="4ECF1F31" w14:textId="6262F4D5" w:rsidR="0028778E" w:rsidRPr="00077D34" w:rsidRDefault="0028778E" w:rsidP="0028778E">
      <w:pPr>
        <w:pStyle w:val="Bibliography"/>
        <w:rPr>
          <w:rFonts w:ascii="Calibri" w:hAnsi="Calibri"/>
        </w:rPr>
      </w:pPr>
      <w:r w:rsidRPr="00077D34">
        <w:rPr>
          <w:rFonts w:ascii="Calibri" w:hAnsi="Calibri"/>
        </w:rPr>
        <w:t xml:space="preserve">10 </w:t>
      </w:r>
      <w:r w:rsidRPr="00077D34">
        <w:rPr>
          <w:rFonts w:ascii="Calibri" w:hAnsi="Calibri"/>
        </w:rPr>
        <w:tab/>
        <w:t xml:space="preserve">Sadler K, Nicholson S, Steer T, </w:t>
      </w:r>
      <w:r w:rsidRPr="00077D34">
        <w:rPr>
          <w:rFonts w:ascii="Calibri" w:hAnsi="Calibri"/>
          <w:i/>
          <w:iCs/>
        </w:rPr>
        <w:t>et al.</w:t>
      </w:r>
      <w:r w:rsidRPr="00077D34">
        <w:rPr>
          <w:rFonts w:ascii="Calibri" w:hAnsi="Calibri"/>
        </w:rPr>
        <w:t xml:space="preserve"> National Diet and Nutrition Survey - Assessment of dietary sodium in adults (aged 19 to 64 ye</w:t>
      </w:r>
      <w:r w:rsidR="00077D34">
        <w:rPr>
          <w:rFonts w:ascii="Calibri" w:hAnsi="Calibri"/>
        </w:rPr>
        <w:t>ars) in England, 2011. London:</w:t>
      </w:r>
      <w:r w:rsidRPr="00077D34">
        <w:rPr>
          <w:rFonts w:ascii="Calibri" w:hAnsi="Calibri"/>
        </w:rPr>
        <w:t xml:space="preserve"> Department of Health 2012. http://webarchive.nationalarchives.gov.uk/20130402145952/http://transparency.dh.gov.uk/2012/06/21/sodium-levels-among-adults/ (accessed 14 Nov2016).</w:t>
      </w:r>
    </w:p>
    <w:p w14:paraId="7AEC7323" w14:textId="7960DB88" w:rsidR="0028778E" w:rsidRPr="00077D34" w:rsidRDefault="0028778E" w:rsidP="0028778E">
      <w:pPr>
        <w:pStyle w:val="Bibliography"/>
        <w:rPr>
          <w:rFonts w:ascii="Calibri" w:hAnsi="Calibri"/>
        </w:rPr>
      </w:pPr>
      <w:r w:rsidRPr="00077D34">
        <w:rPr>
          <w:rFonts w:ascii="Calibri" w:hAnsi="Calibri"/>
        </w:rPr>
        <w:t xml:space="preserve">11 </w:t>
      </w:r>
      <w:r w:rsidRPr="00077D34">
        <w:rPr>
          <w:rFonts w:ascii="Calibri" w:hAnsi="Calibri"/>
        </w:rPr>
        <w:tab/>
        <w:t>Scientific Advisory Committee on Nutrition.</w:t>
      </w:r>
      <w:r w:rsidR="00077D34">
        <w:rPr>
          <w:rFonts w:ascii="Calibri" w:hAnsi="Calibri"/>
        </w:rPr>
        <w:t xml:space="preserve"> Salt and health. Norwich, UK:</w:t>
      </w:r>
      <w:r w:rsidRPr="00077D34">
        <w:rPr>
          <w:rFonts w:ascii="Calibri" w:hAnsi="Calibri"/>
        </w:rPr>
        <w:t xml:space="preserve"> The stationery office 2003. https://www.gov.uk/government/uploads/system/uploads/attachment_data/file/338782/SACN_Salt_and_Health_report.pdf (accessed 14 Nov2016).</w:t>
      </w:r>
    </w:p>
    <w:p w14:paraId="5C0A0BD6" w14:textId="77777777" w:rsidR="0028778E" w:rsidRPr="00077D34" w:rsidRDefault="0028778E" w:rsidP="0028778E">
      <w:pPr>
        <w:pStyle w:val="Bibliography"/>
        <w:rPr>
          <w:rFonts w:ascii="Calibri" w:hAnsi="Calibri"/>
        </w:rPr>
      </w:pPr>
      <w:r w:rsidRPr="00077D34">
        <w:rPr>
          <w:rFonts w:ascii="Calibri" w:hAnsi="Calibri"/>
        </w:rPr>
        <w:t xml:space="preserve">12 </w:t>
      </w:r>
      <w:r w:rsidRPr="00077D34">
        <w:rPr>
          <w:rFonts w:ascii="Calibri" w:hAnsi="Calibri"/>
        </w:rPr>
        <w:tab/>
        <w:t xml:space="preserve">Ji C, Kandala N-B, Cappuccio FP. Spatial variation of salt intake in Britain and association with socioeconomic status. </w:t>
      </w:r>
      <w:r w:rsidRPr="00077D34">
        <w:rPr>
          <w:rFonts w:ascii="Calibri" w:hAnsi="Calibri"/>
          <w:i/>
          <w:iCs/>
        </w:rPr>
        <w:t>BMJ Open</w:t>
      </w:r>
      <w:r w:rsidRPr="00077D34">
        <w:rPr>
          <w:rFonts w:ascii="Calibri" w:hAnsi="Calibri"/>
        </w:rPr>
        <w:t xml:space="preserve"> 2013;</w:t>
      </w:r>
      <w:r w:rsidRPr="00077D34">
        <w:rPr>
          <w:rFonts w:ascii="Calibri" w:hAnsi="Calibri"/>
          <w:bCs/>
        </w:rPr>
        <w:t>3</w:t>
      </w:r>
      <w:r w:rsidRPr="00077D34">
        <w:rPr>
          <w:rFonts w:ascii="Calibri" w:hAnsi="Calibri"/>
        </w:rPr>
        <w:t>:e002246. doi:10.1136/bmjopen-2012-002246</w:t>
      </w:r>
    </w:p>
    <w:p w14:paraId="0874EFFB" w14:textId="77777777" w:rsidR="0028778E" w:rsidRPr="00077D34" w:rsidRDefault="0028778E" w:rsidP="0028778E">
      <w:pPr>
        <w:pStyle w:val="Bibliography"/>
        <w:rPr>
          <w:rFonts w:ascii="Calibri" w:hAnsi="Calibri"/>
        </w:rPr>
      </w:pPr>
      <w:r w:rsidRPr="00077D34">
        <w:rPr>
          <w:rFonts w:ascii="Calibri" w:hAnsi="Calibri"/>
        </w:rPr>
        <w:t xml:space="preserve">13 </w:t>
      </w:r>
      <w:r w:rsidRPr="00077D34">
        <w:rPr>
          <w:rFonts w:ascii="Calibri" w:hAnsi="Calibri"/>
        </w:rPr>
        <w:tab/>
        <w:t xml:space="preserve">Ji C, Cappuccio FP. Socioeconomic inequality in salt intake in Britain 10 years after a national salt reduction programme. </w:t>
      </w:r>
      <w:r w:rsidRPr="00077D34">
        <w:rPr>
          <w:rFonts w:ascii="Calibri" w:hAnsi="Calibri"/>
          <w:i/>
          <w:iCs/>
        </w:rPr>
        <w:t>BMJ Open</w:t>
      </w:r>
      <w:r w:rsidRPr="00077D34">
        <w:rPr>
          <w:rFonts w:ascii="Calibri" w:hAnsi="Calibri"/>
        </w:rPr>
        <w:t xml:space="preserve"> 2014;</w:t>
      </w:r>
      <w:r w:rsidRPr="00077D34">
        <w:rPr>
          <w:rFonts w:ascii="Calibri" w:hAnsi="Calibri"/>
          <w:bCs/>
        </w:rPr>
        <w:t>4</w:t>
      </w:r>
      <w:r w:rsidRPr="00077D34">
        <w:rPr>
          <w:rFonts w:ascii="Calibri" w:hAnsi="Calibri"/>
        </w:rPr>
        <w:t>:e005683. doi:10.1136/bmjopen-2014-005683</w:t>
      </w:r>
    </w:p>
    <w:p w14:paraId="09271E7E" w14:textId="77777777" w:rsidR="0028778E" w:rsidRPr="00077D34" w:rsidRDefault="0028778E" w:rsidP="0028778E">
      <w:pPr>
        <w:pStyle w:val="Bibliography"/>
        <w:rPr>
          <w:rFonts w:ascii="Calibri" w:hAnsi="Calibri"/>
        </w:rPr>
      </w:pPr>
      <w:r w:rsidRPr="00077D34">
        <w:rPr>
          <w:rFonts w:ascii="Calibri" w:hAnsi="Calibri"/>
        </w:rPr>
        <w:t xml:space="preserve">14 </w:t>
      </w:r>
      <w:r w:rsidRPr="00077D34">
        <w:rPr>
          <w:rFonts w:ascii="Calibri" w:hAnsi="Calibri"/>
        </w:rPr>
        <w:tab/>
        <w:t xml:space="preserve">McLaren L, McIntyre L, Kirkpatrick S. Rose’s population strategy of prevention need not increase social inequalities in health. </w:t>
      </w:r>
      <w:r w:rsidRPr="00077D34">
        <w:rPr>
          <w:rFonts w:ascii="Calibri" w:hAnsi="Calibri"/>
          <w:i/>
          <w:iCs/>
        </w:rPr>
        <w:t>Int J Epidemiol</w:t>
      </w:r>
      <w:r w:rsidRPr="00077D34">
        <w:rPr>
          <w:rFonts w:ascii="Calibri" w:hAnsi="Calibri"/>
        </w:rPr>
        <w:t xml:space="preserve"> 2010;</w:t>
      </w:r>
      <w:r w:rsidRPr="00077D34">
        <w:rPr>
          <w:rFonts w:ascii="Calibri" w:hAnsi="Calibri"/>
          <w:bCs/>
        </w:rPr>
        <w:t>39</w:t>
      </w:r>
      <w:r w:rsidRPr="00077D34">
        <w:rPr>
          <w:rFonts w:ascii="Calibri" w:hAnsi="Calibri"/>
        </w:rPr>
        <w:t>:372–7. doi:10.1093/ije/dyp315</w:t>
      </w:r>
    </w:p>
    <w:p w14:paraId="3CC984FE" w14:textId="77777777" w:rsidR="0028778E" w:rsidRPr="00077D34" w:rsidRDefault="0028778E" w:rsidP="0028778E">
      <w:pPr>
        <w:pStyle w:val="Bibliography"/>
        <w:rPr>
          <w:rFonts w:ascii="Calibri" w:hAnsi="Calibri"/>
        </w:rPr>
      </w:pPr>
      <w:r w:rsidRPr="00077D34">
        <w:rPr>
          <w:rFonts w:ascii="Calibri" w:hAnsi="Calibri"/>
        </w:rPr>
        <w:t xml:space="preserve">15 </w:t>
      </w:r>
      <w:r w:rsidRPr="00077D34">
        <w:rPr>
          <w:rFonts w:ascii="Calibri" w:hAnsi="Calibri"/>
        </w:rPr>
        <w:tab/>
        <w:t xml:space="preserve">Lorenc T, Petticrew M, Welch V, </w:t>
      </w:r>
      <w:r w:rsidRPr="00077D34">
        <w:rPr>
          <w:rFonts w:ascii="Calibri" w:hAnsi="Calibri"/>
          <w:i/>
          <w:iCs/>
        </w:rPr>
        <w:t>et al.</w:t>
      </w:r>
      <w:r w:rsidRPr="00077D34">
        <w:rPr>
          <w:rFonts w:ascii="Calibri" w:hAnsi="Calibri"/>
        </w:rPr>
        <w:t xml:space="preserve"> What types of interventions generate inequalities? Evidence from systematic reviews. </w:t>
      </w:r>
      <w:r w:rsidRPr="00077D34">
        <w:rPr>
          <w:rFonts w:ascii="Calibri" w:hAnsi="Calibri"/>
          <w:i/>
          <w:iCs/>
        </w:rPr>
        <w:t>J Epidemiol Community Health</w:t>
      </w:r>
      <w:r w:rsidRPr="00077D34">
        <w:rPr>
          <w:rFonts w:ascii="Calibri" w:hAnsi="Calibri"/>
        </w:rPr>
        <w:t xml:space="preserve"> 2013;</w:t>
      </w:r>
      <w:r w:rsidRPr="00077D34">
        <w:rPr>
          <w:rFonts w:ascii="Calibri" w:hAnsi="Calibri"/>
          <w:bCs/>
        </w:rPr>
        <w:t>67</w:t>
      </w:r>
      <w:r w:rsidRPr="00077D34">
        <w:rPr>
          <w:rFonts w:ascii="Calibri" w:hAnsi="Calibri"/>
        </w:rPr>
        <w:t>:190–3. doi:10.1136/jech-2012-201257</w:t>
      </w:r>
    </w:p>
    <w:p w14:paraId="19FFC71D" w14:textId="77777777" w:rsidR="0028778E" w:rsidRPr="00077D34" w:rsidRDefault="0028778E" w:rsidP="0028778E">
      <w:pPr>
        <w:pStyle w:val="Bibliography"/>
        <w:rPr>
          <w:rFonts w:ascii="Calibri" w:hAnsi="Calibri"/>
        </w:rPr>
      </w:pPr>
      <w:r w:rsidRPr="00077D34">
        <w:rPr>
          <w:rFonts w:ascii="Calibri" w:hAnsi="Calibri"/>
        </w:rPr>
        <w:t xml:space="preserve">16 </w:t>
      </w:r>
      <w:r w:rsidRPr="00077D34">
        <w:rPr>
          <w:rFonts w:ascii="Calibri" w:hAnsi="Calibri"/>
        </w:rPr>
        <w:tab/>
        <w:t xml:space="preserve">McGill R, Anwar E, Orton L, </w:t>
      </w:r>
      <w:r w:rsidRPr="00077D34">
        <w:rPr>
          <w:rFonts w:ascii="Calibri" w:hAnsi="Calibri"/>
          <w:i/>
          <w:iCs/>
        </w:rPr>
        <w:t>et al.</w:t>
      </w:r>
      <w:r w:rsidRPr="00077D34">
        <w:rPr>
          <w:rFonts w:ascii="Calibri" w:hAnsi="Calibri"/>
        </w:rPr>
        <w:t xml:space="preserve"> Are interventions to promote healthy eating equally effective for all? Systematic review of socioeconomic inequalities in impact. </w:t>
      </w:r>
      <w:r w:rsidRPr="00077D34">
        <w:rPr>
          <w:rFonts w:ascii="Calibri" w:hAnsi="Calibri"/>
          <w:i/>
          <w:iCs/>
        </w:rPr>
        <w:t>BMC Public Health</w:t>
      </w:r>
      <w:r w:rsidRPr="00077D34">
        <w:rPr>
          <w:rFonts w:ascii="Calibri" w:hAnsi="Calibri"/>
        </w:rPr>
        <w:t xml:space="preserve"> 2015;</w:t>
      </w:r>
      <w:r w:rsidRPr="00077D34">
        <w:rPr>
          <w:rFonts w:ascii="Calibri" w:hAnsi="Calibri"/>
          <w:bCs/>
        </w:rPr>
        <w:t>15</w:t>
      </w:r>
      <w:r w:rsidRPr="00077D34">
        <w:rPr>
          <w:rFonts w:ascii="Calibri" w:hAnsi="Calibri"/>
        </w:rPr>
        <w:t>:457. doi:10.1186/s12889-015-1781-7</w:t>
      </w:r>
    </w:p>
    <w:p w14:paraId="048657EA" w14:textId="77777777" w:rsidR="0028778E" w:rsidRPr="00077D34" w:rsidRDefault="0028778E" w:rsidP="0028778E">
      <w:pPr>
        <w:pStyle w:val="Bibliography"/>
        <w:rPr>
          <w:rFonts w:ascii="Calibri" w:hAnsi="Calibri"/>
        </w:rPr>
      </w:pPr>
      <w:r w:rsidRPr="00077D34">
        <w:rPr>
          <w:rFonts w:ascii="Calibri" w:hAnsi="Calibri"/>
        </w:rPr>
        <w:t xml:space="preserve">17 </w:t>
      </w:r>
      <w:r w:rsidRPr="00077D34">
        <w:rPr>
          <w:rFonts w:ascii="Calibri" w:hAnsi="Calibri"/>
        </w:rPr>
        <w:tab/>
        <w:t xml:space="preserve">Adams J, Mytton O, White M, </w:t>
      </w:r>
      <w:r w:rsidRPr="00077D34">
        <w:rPr>
          <w:rFonts w:ascii="Calibri" w:hAnsi="Calibri"/>
          <w:i/>
          <w:iCs/>
        </w:rPr>
        <w:t>et al.</w:t>
      </w:r>
      <w:r w:rsidRPr="00077D34">
        <w:rPr>
          <w:rFonts w:ascii="Calibri" w:hAnsi="Calibri"/>
        </w:rPr>
        <w:t xml:space="preserve"> Why are some population interventions for diet and obesity more equitable and effective than others? The role of individual agency. </w:t>
      </w:r>
      <w:r w:rsidRPr="00077D34">
        <w:rPr>
          <w:rFonts w:ascii="Calibri" w:hAnsi="Calibri"/>
          <w:i/>
          <w:iCs/>
        </w:rPr>
        <w:t>PLOS Med</w:t>
      </w:r>
      <w:r w:rsidRPr="00077D34">
        <w:rPr>
          <w:rFonts w:ascii="Calibri" w:hAnsi="Calibri"/>
        </w:rPr>
        <w:t xml:space="preserve"> 2016;</w:t>
      </w:r>
      <w:r w:rsidRPr="00077D34">
        <w:rPr>
          <w:rFonts w:ascii="Calibri" w:hAnsi="Calibri"/>
          <w:bCs/>
        </w:rPr>
        <w:t>13</w:t>
      </w:r>
      <w:r w:rsidRPr="00077D34">
        <w:rPr>
          <w:rFonts w:ascii="Calibri" w:hAnsi="Calibri"/>
        </w:rPr>
        <w:t>:e1001990. doi:10.1371/journal.pmed.1001990</w:t>
      </w:r>
    </w:p>
    <w:p w14:paraId="30E75E36" w14:textId="77777777" w:rsidR="0028778E" w:rsidRPr="00077D34" w:rsidRDefault="0028778E" w:rsidP="0028778E">
      <w:pPr>
        <w:pStyle w:val="Bibliography"/>
        <w:rPr>
          <w:rFonts w:ascii="Calibri" w:hAnsi="Calibri"/>
        </w:rPr>
      </w:pPr>
      <w:r w:rsidRPr="00077D34">
        <w:rPr>
          <w:rFonts w:ascii="Calibri" w:hAnsi="Calibri"/>
        </w:rPr>
        <w:t xml:space="preserve">18 </w:t>
      </w:r>
      <w:r w:rsidRPr="00077D34">
        <w:rPr>
          <w:rFonts w:ascii="Calibri" w:hAnsi="Calibri"/>
        </w:rPr>
        <w:tab/>
        <w:t xml:space="preserve">Millett C, Laverty AA, Stylianou N, </w:t>
      </w:r>
      <w:r w:rsidRPr="00077D34">
        <w:rPr>
          <w:rFonts w:ascii="Calibri" w:hAnsi="Calibri"/>
          <w:i/>
          <w:iCs/>
        </w:rPr>
        <w:t>et al.</w:t>
      </w:r>
      <w:r w:rsidRPr="00077D34">
        <w:rPr>
          <w:rFonts w:ascii="Calibri" w:hAnsi="Calibri"/>
        </w:rPr>
        <w:t xml:space="preserve"> Impacts of a national strategy to reduce population salt intake in england: serial cross sectional study. </w:t>
      </w:r>
      <w:r w:rsidRPr="00077D34">
        <w:rPr>
          <w:rFonts w:ascii="Calibri" w:hAnsi="Calibri"/>
          <w:i/>
          <w:iCs/>
        </w:rPr>
        <w:t>PLoS ONE</w:t>
      </w:r>
      <w:r w:rsidRPr="00077D34">
        <w:rPr>
          <w:rFonts w:ascii="Calibri" w:hAnsi="Calibri"/>
        </w:rPr>
        <w:t xml:space="preserve"> 2012;</w:t>
      </w:r>
      <w:r w:rsidRPr="00077D34">
        <w:rPr>
          <w:rFonts w:ascii="Calibri" w:hAnsi="Calibri"/>
          <w:bCs/>
        </w:rPr>
        <w:t>7</w:t>
      </w:r>
      <w:r w:rsidRPr="00077D34">
        <w:rPr>
          <w:rFonts w:ascii="Calibri" w:hAnsi="Calibri"/>
        </w:rPr>
        <w:t>:e29836. doi:10.1371/journal.pone.0029836</w:t>
      </w:r>
    </w:p>
    <w:p w14:paraId="37160BEB" w14:textId="77777777" w:rsidR="0028778E" w:rsidRPr="00077D34" w:rsidRDefault="0028778E" w:rsidP="0028778E">
      <w:pPr>
        <w:pStyle w:val="Bibliography"/>
        <w:rPr>
          <w:rFonts w:ascii="Calibri" w:hAnsi="Calibri"/>
        </w:rPr>
      </w:pPr>
      <w:r w:rsidRPr="00077D34">
        <w:rPr>
          <w:rFonts w:ascii="Calibri" w:hAnsi="Calibri"/>
        </w:rPr>
        <w:t xml:space="preserve">19 </w:t>
      </w:r>
      <w:r w:rsidRPr="00077D34">
        <w:rPr>
          <w:rFonts w:ascii="Calibri" w:hAnsi="Calibri"/>
        </w:rPr>
        <w:tab/>
        <w:t xml:space="preserve">Cobiac LJ, Vos T, Veerman JL. Cost-effectiveness of interventions to reduce dietary salt intake. </w:t>
      </w:r>
      <w:r w:rsidRPr="00077D34">
        <w:rPr>
          <w:rFonts w:ascii="Calibri" w:hAnsi="Calibri"/>
          <w:i/>
          <w:iCs/>
        </w:rPr>
        <w:t>Heart</w:t>
      </w:r>
      <w:r w:rsidRPr="00077D34">
        <w:rPr>
          <w:rFonts w:ascii="Calibri" w:hAnsi="Calibri"/>
        </w:rPr>
        <w:t xml:space="preserve"> 2010;</w:t>
      </w:r>
      <w:r w:rsidRPr="00077D34">
        <w:rPr>
          <w:rFonts w:ascii="Calibri" w:hAnsi="Calibri"/>
          <w:bCs/>
        </w:rPr>
        <w:t>96</w:t>
      </w:r>
      <w:r w:rsidRPr="00077D34">
        <w:rPr>
          <w:rFonts w:ascii="Calibri" w:hAnsi="Calibri"/>
        </w:rPr>
        <w:t>:1920–5. doi:10.1136/hrt.2010.199240</w:t>
      </w:r>
    </w:p>
    <w:p w14:paraId="63D40917" w14:textId="77777777" w:rsidR="0028778E" w:rsidRPr="00077D34" w:rsidRDefault="0028778E" w:rsidP="0028778E">
      <w:pPr>
        <w:pStyle w:val="Bibliography"/>
        <w:rPr>
          <w:rFonts w:ascii="Calibri" w:hAnsi="Calibri"/>
        </w:rPr>
      </w:pPr>
      <w:r w:rsidRPr="00077D34">
        <w:rPr>
          <w:rFonts w:ascii="Calibri" w:hAnsi="Calibri"/>
        </w:rPr>
        <w:t xml:space="preserve">20 </w:t>
      </w:r>
      <w:r w:rsidRPr="00077D34">
        <w:rPr>
          <w:rFonts w:ascii="Calibri" w:hAnsi="Calibri"/>
        </w:rPr>
        <w:tab/>
        <w:t xml:space="preserve">Gillespie DOS, Allen K, Guzman-Castillo M, </w:t>
      </w:r>
      <w:r w:rsidRPr="00077D34">
        <w:rPr>
          <w:rFonts w:ascii="Calibri" w:hAnsi="Calibri"/>
          <w:i/>
          <w:iCs/>
        </w:rPr>
        <w:t>et al.</w:t>
      </w:r>
      <w:r w:rsidRPr="00077D34">
        <w:rPr>
          <w:rFonts w:ascii="Calibri" w:hAnsi="Calibri"/>
        </w:rPr>
        <w:t xml:space="preserve"> The health equity and effectiveness of policy options to reduce dietary salt intake in England: policy forecast. </w:t>
      </w:r>
      <w:r w:rsidRPr="00077D34">
        <w:rPr>
          <w:rFonts w:ascii="Calibri" w:hAnsi="Calibri"/>
          <w:i/>
          <w:iCs/>
        </w:rPr>
        <w:t>PLoS ONE</w:t>
      </w:r>
      <w:r w:rsidRPr="00077D34">
        <w:rPr>
          <w:rFonts w:ascii="Calibri" w:hAnsi="Calibri"/>
        </w:rPr>
        <w:t xml:space="preserve"> 2015;</w:t>
      </w:r>
      <w:r w:rsidRPr="00077D34">
        <w:rPr>
          <w:rFonts w:ascii="Calibri" w:hAnsi="Calibri"/>
          <w:bCs/>
        </w:rPr>
        <w:t>10</w:t>
      </w:r>
      <w:r w:rsidRPr="00077D34">
        <w:rPr>
          <w:rFonts w:ascii="Calibri" w:hAnsi="Calibri"/>
        </w:rPr>
        <w:t>:e0127927. doi:10.1371/journal.pone.0127927</w:t>
      </w:r>
    </w:p>
    <w:p w14:paraId="586DA593" w14:textId="77777777" w:rsidR="0028778E" w:rsidRPr="00077D34" w:rsidRDefault="0028778E" w:rsidP="0028778E">
      <w:pPr>
        <w:pStyle w:val="Bibliography"/>
        <w:rPr>
          <w:rFonts w:ascii="Calibri" w:hAnsi="Calibri"/>
        </w:rPr>
      </w:pPr>
      <w:r w:rsidRPr="00077D34">
        <w:rPr>
          <w:rFonts w:ascii="Calibri" w:hAnsi="Calibri"/>
        </w:rPr>
        <w:t xml:space="preserve">21 </w:t>
      </w:r>
      <w:r w:rsidRPr="00077D34">
        <w:rPr>
          <w:rFonts w:ascii="Calibri" w:hAnsi="Calibri"/>
        </w:rPr>
        <w:tab/>
        <w:t>Farr Institute. Investment in supercomputer accelerates the pace of health research across the North of England. http://www.farrinstitute.org/news/investment-in-supercomputer-accelerates-the-pace-of-health-research-across-the-north-of-england (accessed 26 Apr2016).</w:t>
      </w:r>
    </w:p>
    <w:p w14:paraId="0175D9AA" w14:textId="77777777" w:rsidR="0028778E" w:rsidRPr="00077D34" w:rsidRDefault="0028778E" w:rsidP="0028778E">
      <w:pPr>
        <w:pStyle w:val="Bibliography"/>
        <w:rPr>
          <w:rFonts w:ascii="Calibri" w:hAnsi="Calibri"/>
        </w:rPr>
      </w:pPr>
      <w:r w:rsidRPr="00077D34">
        <w:rPr>
          <w:rFonts w:ascii="Calibri" w:hAnsi="Calibri"/>
        </w:rPr>
        <w:t xml:space="preserve">22 </w:t>
      </w:r>
      <w:r w:rsidRPr="00077D34">
        <w:rPr>
          <w:rFonts w:ascii="Calibri" w:hAnsi="Calibri"/>
        </w:rPr>
        <w:tab/>
        <w:t>National Centre for Social Research, University College London. Department of Epidemiology and Public Health. Health Survey for England, 2001 [computer file]. 3rd Edition. Colchester, Essex: UK Data Archive [distributor]. 2010.http://dx.doi.org/10.5255/UKDA-SN-4628-1 (accessed 1 May2014).</w:t>
      </w:r>
    </w:p>
    <w:p w14:paraId="212BF965" w14:textId="77777777" w:rsidR="0028778E" w:rsidRPr="00077D34" w:rsidRDefault="0028778E" w:rsidP="0028778E">
      <w:pPr>
        <w:pStyle w:val="Bibliography"/>
        <w:rPr>
          <w:rFonts w:ascii="Calibri" w:hAnsi="Calibri"/>
        </w:rPr>
      </w:pPr>
      <w:r w:rsidRPr="00077D34">
        <w:rPr>
          <w:rFonts w:ascii="Calibri" w:hAnsi="Calibri"/>
        </w:rPr>
        <w:t xml:space="preserve">23 </w:t>
      </w:r>
      <w:r w:rsidRPr="00077D34">
        <w:rPr>
          <w:rFonts w:ascii="Calibri" w:hAnsi="Calibri"/>
        </w:rPr>
        <w:tab/>
        <w:t xml:space="preserve">Alfons A, Kraft S, Templ M, </w:t>
      </w:r>
      <w:r w:rsidRPr="00077D34">
        <w:rPr>
          <w:rFonts w:ascii="Calibri" w:hAnsi="Calibri"/>
          <w:i/>
          <w:iCs/>
        </w:rPr>
        <w:t>et al.</w:t>
      </w:r>
      <w:r w:rsidRPr="00077D34">
        <w:rPr>
          <w:rFonts w:ascii="Calibri" w:hAnsi="Calibri"/>
        </w:rPr>
        <w:t xml:space="preserve"> Simulation of close-to-reality population data for household surveys with application to EU-SILC. </w:t>
      </w:r>
      <w:r w:rsidRPr="00077D34">
        <w:rPr>
          <w:rFonts w:ascii="Calibri" w:hAnsi="Calibri"/>
          <w:i/>
          <w:iCs/>
        </w:rPr>
        <w:t>Stat Methods Appl</w:t>
      </w:r>
      <w:r w:rsidRPr="00077D34">
        <w:rPr>
          <w:rFonts w:ascii="Calibri" w:hAnsi="Calibri"/>
        </w:rPr>
        <w:t xml:space="preserve"> 2011;</w:t>
      </w:r>
      <w:r w:rsidRPr="00077D34">
        <w:rPr>
          <w:rFonts w:ascii="Calibri" w:hAnsi="Calibri"/>
          <w:bCs/>
        </w:rPr>
        <w:t>20</w:t>
      </w:r>
      <w:r w:rsidRPr="00077D34">
        <w:rPr>
          <w:rFonts w:ascii="Calibri" w:hAnsi="Calibri"/>
        </w:rPr>
        <w:t>:383–407. doi:10.1007/s10260-011-0163-2</w:t>
      </w:r>
    </w:p>
    <w:p w14:paraId="2F0B58BB" w14:textId="77777777" w:rsidR="0028778E" w:rsidRPr="00077D34" w:rsidRDefault="0028778E" w:rsidP="0028778E">
      <w:pPr>
        <w:pStyle w:val="Bibliography"/>
        <w:rPr>
          <w:rFonts w:ascii="Calibri" w:hAnsi="Calibri"/>
        </w:rPr>
      </w:pPr>
      <w:r w:rsidRPr="00077D34">
        <w:rPr>
          <w:rFonts w:ascii="Calibri" w:hAnsi="Calibri"/>
        </w:rPr>
        <w:t xml:space="preserve">24 </w:t>
      </w:r>
      <w:r w:rsidRPr="00077D34">
        <w:rPr>
          <w:rFonts w:ascii="Calibri" w:hAnsi="Calibri"/>
        </w:rPr>
        <w:tab/>
        <w:t xml:space="preserve">National Centre for Social Research. An assessment of dietary sodium levels among adults (aged 19-64) in the UK general population in 2008, based on analysis of dietary sodium in 24-hour urine samples. 2008. </w:t>
      </w:r>
      <w:r w:rsidRPr="00077D34">
        <w:rPr>
          <w:rFonts w:ascii="Calibri" w:hAnsi="Calibri"/>
        </w:rPr>
        <w:lastRenderedPageBreak/>
        <w:t>http://tna.europarchive.org/20110116113217/http://www.food.gov.uk/multimedia/pdfs/08sodiumreport.pdf</w:t>
      </w:r>
    </w:p>
    <w:p w14:paraId="6157D662" w14:textId="77777777" w:rsidR="0028778E" w:rsidRPr="00077D34" w:rsidRDefault="0028778E" w:rsidP="0028778E">
      <w:pPr>
        <w:pStyle w:val="Bibliography"/>
        <w:rPr>
          <w:rFonts w:ascii="Calibri" w:hAnsi="Calibri"/>
        </w:rPr>
      </w:pPr>
      <w:r w:rsidRPr="00077D34">
        <w:rPr>
          <w:rFonts w:ascii="Calibri" w:hAnsi="Calibri"/>
        </w:rPr>
        <w:t xml:space="preserve">25 </w:t>
      </w:r>
      <w:r w:rsidRPr="00077D34">
        <w:rPr>
          <w:rFonts w:ascii="Calibri" w:hAnsi="Calibri"/>
        </w:rPr>
        <w:tab/>
        <w:t>National Centre for Social Research. An assessment of dietary sodium levels among adults (aged 19-64) in the general population in England, based on analysis of dietary sodium in 24-hour urine samples. 2006. http://tna.europarchive.org/20110116113217/http://www.food.gov.uk/multimedia/pdfs/englandsodiumreport.pdf (accessed 14 Nov2016).</w:t>
      </w:r>
    </w:p>
    <w:p w14:paraId="01C86B00" w14:textId="1B0CC8F6" w:rsidR="0028778E" w:rsidRPr="00077D34" w:rsidRDefault="0028778E" w:rsidP="0028778E">
      <w:pPr>
        <w:pStyle w:val="Bibliography"/>
        <w:rPr>
          <w:rFonts w:ascii="Calibri" w:hAnsi="Calibri"/>
        </w:rPr>
      </w:pPr>
      <w:r w:rsidRPr="00077D34">
        <w:rPr>
          <w:rFonts w:ascii="Calibri" w:hAnsi="Calibri"/>
        </w:rPr>
        <w:t xml:space="preserve">26 </w:t>
      </w:r>
      <w:r w:rsidRPr="00077D34">
        <w:rPr>
          <w:rFonts w:ascii="Calibri" w:hAnsi="Calibri"/>
        </w:rPr>
        <w:tab/>
        <w:t xml:space="preserve">Henderson L, Irving K, Gregory J, </w:t>
      </w:r>
      <w:r w:rsidRPr="00077D34">
        <w:rPr>
          <w:rFonts w:ascii="Calibri" w:hAnsi="Calibri"/>
          <w:i/>
          <w:iCs/>
        </w:rPr>
        <w:t>et al.</w:t>
      </w:r>
      <w:r w:rsidRPr="00077D34">
        <w:rPr>
          <w:rFonts w:ascii="Calibri" w:hAnsi="Calibri"/>
        </w:rPr>
        <w:t xml:space="preserve"> National Diet and Nutrition Survey: adults aged 19 to 64 years. Volume 3: Vitamin and mineral intake</w:t>
      </w:r>
      <w:r w:rsidR="00077D34">
        <w:rPr>
          <w:rFonts w:ascii="Calibri" w:hAnsi="Calibri"/>
        </w:rPr>
        <w:t xml:space="preserve"> and urinary analytes. London:</w:t>
      </w:r>
      <w:r w:rsidRPr="00077D34">
        <w:rPr>
          <w:rFonts w:ascii="Calibri" w:hAnsi="Calibri"/>
        </w:rPr>
        <w:t xml:space="preserve"> The Stationery Office 2003. http://www.ons.gov.uk/ons/rel/lifestyles/the-national-diet-and-nutrition-survey/2001-edition/the-national-diet-and-nutrition-survey---volume-3.pdf (accessed 5 Jun2015).</w:t>
      </w:r>
    </w:p>
    <w:p w14:paraId="00BD7E53" w14:textId="77777777" w:rsidR="0028778E" w:rsidRPr="00077D34" w:rsidRDefault="0028778E" w:rsidP="0028778E">
      <w:pPr>
        <w:pStyle w:val="Bibliography"/>
        <w:rPr>
          <w:rFonts w:ascii="Calibri" w:hAnsi="Calibri"/>
        </w:rPr>
      </w:pPr>
      <w:r w:rsidRPr="00077D34">
        <w:rPr>
          <w:rFonts w:ascii="Calibri" w:hAnsi="Calibri"/>
        </w:rPr>
        <w:t xml:space="preserve">27 </w:t>
      </w:r>
      <w:r w:rsidRPr="00077D34">
        <w:rPr>
          <w:rFonts w:ascii="Calibri" w:hAnsi="Calibri"/>
        </w:rPr>
        <w:tab/>
        <w:t xml:space="preserve">Clark CE. Letter to the editor-the PERT model for the distribution of an activity time. </w:t>
      </w:r>
      <w:r w:rsidRPr="00077D34">
        <w:rPr>
          <w:rFonts w:ascii="Calibri" w:hAnsi="Calibri"/>
          <w:i/>
          <w:iCs/>
        </w:rPr>
        <w:t>Oper Res</w:t>
      </w:r>
      <w:r w:rsidRPr="00077D34">
        <w:rPr>
          <w:rFonts w:ascii="Calibri" w:hAnsi="Calibri"/>
        </w:rPr>
        <w:t xml:space="preserve"> 1962;</w:t>
      </w:r>
      <w:r w:rsidRPr="00077D34">
        <w:rPr>
          <w:rFonts w:ascii="Calibri" w:hAnsi="Calibri"/>
          <w:bCs/>
        </w:rPr>
        <w:t>10</w:t>
      </w:r>
      <w:r w:rsidRPr="00077D34">
        <w:rPr>
          <w:rFonts w:ascii="Calibri" w:hAnsi="Calibri"/>
        </w:rPr>
        <w:t>:405–6.</w:t>
      </w:r>
    </w:p>
    <w:p w14:paraId="00A3E6CA" w14:textId="77777777" w:rsidR="0028778E" w:rsidRPr="00077D34" w:rsidRDefault="0028778E" w:rsidP="0028778E">
      <w:pPr>
        <w:pStyle w:val="Bibliography"/>
        <w:rPr>
          <w:rFonts w:ascii="Calibri" w:hAnsi="Calibri"/>
        </w:rPr>
      </w:pPr>
      <w:r w:rsidRPr="00077D34">
        <w:rPr>
          <w:rFonts w:ascii="Calibri" w:hAnsi="Calibri"/>
        </w:rPr>
        <w:t xml:space="preserve">28 </w:t>
      </w:r>
      <w:r w:rsidRPr="00077D34">
        <w:rPr>
          <w:rFonts w:ascii="Calibri" w:hAnsi="Calibri"/>
        </w:rPr>
        <w:tab/>
        <w:t>World Cancer Research Fund International/American Institute for Cancer Research. Continuous Update Project report: diet, nutrition, physical activity and stomach cancer. AICR/WCRF 2016. http://wcrf.org/sites/default/files/Stomach-Cancer-2016-Report.pdf (accessed 22 Apr2016).</w:t>
      </w:r>
    </w:p>
    <w:p w14:paraId="2AD97313" w14:textId="77777777" w:rsidR="0028778E" w:rsidRPr="00077D34" w:rsidRDefault="0028778E" w:rsidP="0028778E">
      <w:pPr>
        <w:pStyle w:val="Bibliography"/>
        <w:rPr>
          <w:rFonts w:ascii="Calibri" w:hAnsi="Calibri"/>
        </w:rPr>
      </w:pPr>
      <w:r w:rsidRPr="00077D34">
        <w:rPr>
          <w:rFonts w:ascii="Calibri" w:hAnsi="Calibri"/>
        </w:rPr>
        <w:t xml:space="preserve">29 </w:t>
      </w:r>
      <w:r w:rsidRPr="00077D34">
        <w:rPr>
          <w:rFonts w:ascii="Calibri" w:hAnsi="Calibri"/>
        </w:rPr>
        <w:tab/>
        <w:t>Department for Communities and Local Government. English indices of deprivation 2010 - Publications - GOV.UK. 2011.https://www.gov.uk/government/statistics/english-indices-of-deprivation-2010 (accessed 26 Aug2014).</w:t>
      </w:r>
    </w:p>
    <w:p w14:paraId="7320603F" w14:textId="77777777" w:rsidR="0028778E" w:rsidRPr="00077D34" w:rsidRDefault="0028778E" w:rsidP="0028778E">
      <w:pPr>
        <w:pStyle w:val="Bibliography"/>
        <w:rPr>
          <w:rFonts w:ascii="Calibri" w:hAnsi="Calibri"/>
        </w:rPr>
      </w:pPr>
      <w:r w:rsidRPr="00077D34">
        <w:rPr>
          <w:rFonts w:ascii="Calibri" w:hAnsi="Calibri"/>
        </w:rPr>
        <w:t xml:space="preserve">30 </w:t>
      </w:r>
      <w:r w:rsidRPr="00077D34">
        <w:rPr>
          <w:rFonts w:ascii="Calibri" w:hAnsi="Calibri"/>
        </w:rPr>
        <w:tab/>
        <w:t xml:space="preserve">Mackenbach JP, Kunst AE. Measuring the magnitude of socio-economic inequalities in health: An overview of available measures illustrated with two examples from Europe. </w:t>
      </w:r>
      <w:r w:rsidRPr="00077D34">
        <w:rPr>
          <w:rFonts w:ascii="Calibri" w:hAnsi="Calibri"/>
          <w:i/>
          <w:iCs/>
        </w:rPr>
        <w:t>Soc Sci Med</w:t>
      </w:r>
      <w:r w:rsidRPr="00077D34">
        <w:rPr>
          <w:rFonts w:ascii="Calibri" w:hAnsi="Calibri"/>
        </w:rPr>
        <w:t xml:space="preserve"> 1997;</w:t>
      </w:r>
      <w:r w:rsidRPr="00077D34">
        <w:rPr>
          <w:rFonts w:ascii="Calibri" w:hAnsi="Calibri"/>
          <w:bCs/>
        </w:rPr>
        <w:t>44</w:t>
      </w:r>
      <w:r w:rsidRPr="00077D34">
        <w:rPr>
          <w:rFonts w:ascii="Calibri" w:hAnsi="Calibri"/>
        </w:rPr>
        <w:t>:757–71. doi:10.1016/S0277-9536(96)00073-1</w:t>
      </w:r>
    </w:p>
    <w:p w14:paraId="3C1933B8" w14:textId="77777777" w:rsidR="0028778E" w:rsidRPr="00077D34" w:rsidRDefault="0028778E" w:rsidP="0028778E">
      <w:pPr>
        <w:pStyle w:val="Bibliography"/>
        <w:rPr>
          <w:rFonts w:ascii="Calibri" w:hAnsi="Calibri"/>
        </w:rPr>
      </w:pPr>
      <w:r w:rsidRPr="00077D34">
        <w:rPr>
          <w:rFonts w:ascii="Calibri" w:hAnsi="Calibri"/>
        </w:rPr>
        <w:t xml:space="preserve">31 </w:t>
      </w:r>
      <w:r w:rsidRPr="00077D34">
        <w:rPr>
          <w:rFonts w:ascii="Calibri" w:hAnsi="Calibri"/>
        </w:rPr>
        <w:tab/>
        <w:t xml:space="preserve">Koerkamp BG, Stijnen T, Weinstein MC, </w:t>
      </w:r>
      <w:r w:rsidRPr="00077D34">
        <w:rPr>
          <w:rFonts w:ascii="Calibri" w:hAnsi="Calibri"/>
          <w:i/>
          <w:iCs/>
        </w:rPr>
        <w:t>et al.</w:t>
      </w:r>
      <w:r w:rsidRPr="00077D34">
        <w:rPr>
          <w:rFonts w:ascii="Calibri" w:hAnsi="Calibri"/>
        </w:rPr>
        <w:t xml:space="preserve"> The combined analysis of uncertainty and patient heterogeneity in medical decision models. </w:t>
      </w:r>
      <w:r w:rsidRPr="00077D34">
        <w:rPr>
          <w:rFonts w:ascii="Calibri" w:hAnsi="Calibri"/>
          <w:i/>
          <w:iCs/>
        </w:rPr>
        <w:t>Med Decis Making</w:t>
      </w:r>
      <w:r w:rsidRPr="00077D34">
        <w:rPr>
          <w:rFonts w:ascii="Calibri" w:hAnsi="Calibri"/>
        </w:rPr>
        <w:t xml:space="preserve"> 2011;</w:t>
      </w:r>
      <w:r w:rsidRPr="00077D34">
        <w:rPr>
          <w:rFonts w:ascii="Calibri" w:hAnsi="Calibri"/>
          <w:bCs/>
        </w:rPr>
        <w:t>31</w:t>
      </w:r>
      <w:r w:rsidRPr="00077D34">
        <w:rPr>
          <w:rFonts w:ascii="Calibri" w:hAnsi="Calibri"/>
        </w:rPr>
        <w:t>:650–61. doi:10.1177/0272989X10381282</w:t>
      </w:r>
    </w:p>
    <w:p w14:paraId="2DE1E3CD" w14:textId="77777777" w:rsidR="0028778E" w:rsidRPr="00077D34" w:rsidRDefault="0028778E" w:rsidP="0028778E">
      <w:pPr>
        <w:pStyle w:val="Bibliography"/>
        <w:rPr>
          <w:rFonts w:ascii="Calibri" w:hAnsi="Calibri"/>
        </w:rPr>
      </w:pPr>
      <w:r w:rsidRPr="00077D34">
        <w:rPr>
          <w:rFonts w:ascii="Calibri" w:hAnsi="Calibri"/>
        </w:rPr>
        <w:t xml:space="preserve">32 </w:t>
      </w:r>
      <w:r w:rsidRPr="00077D34">
        <w:rPr>
          <w:rFonts w:ascii="Calibri" w:hAnsi="Calibri"/>
        </w:rPr>
        <w:tab/>
        <w:t xml:space="preserve">Townsend N, Wickramasinghe K, Bhatnagar P, </w:t>
      </w:r>
      <w:r w:rsidRPr="00077D34">
        <w:rPr>
          <w:rFonts w:ascii="Calibri" w:hAnsi="Calibri"/>
          <w:i/>
          <w:iCs/>
        </w:rPr>
        <w:t>et al.</w:t>
      </w:r>
      <w:r w:rsidRPr="00077D34">
        <w:rPr>
          <w:rFonts w:ascii="Calibri" w:hAnsi="Calibri"/>
        </w:rPr>
        <w:t xml:space="preserve"> Coronary heart disease statistics 2012 edition. British Heart Foundation 2012. https://www.bhf.org.uk/-/media/files/publications/research/2012_chd_statistics_compendium.pdf (accessed 14 Nov2016).</w:t>
      </w:r>
    </w:p>
    <w:p w14:paraId="4DECEDAA" w14:textId="77777777" w:rsidR="0028778E" w:rsidRPr="00077D34" w:rsidRDefault="0028778E" w:rsidP="0028778E">
      <w:pPr>
        <w:pStyle w:val="Bibliography"/>
        <w:rPr>
          <w:rFonts w:ascii="Calibri" w:hAnsi="Calibri"/>
        </w:rPr>
      </w:pPr>
      <w:r w:rsidRPr="00077D34">
        <w:rPr>
          <w:rFonts w:ascii="Calibri" w:hAnsi="Calibri"/>
        </w:rPr>
        <w:t xml:space="preserve">33 </w:t>
      </w:r>
      <w:r w:rsidRPr="00077D34">
        <w:rPr>
          <w:rFonts w:ascii="Calibri" w:hAnsi="Calibri"/>
        </w:rPr>
        <w:tab/>
        <w:t xml:space="preserve">Stephens MR, Blackshaw GRJC, Lewis WG, </w:t>
      </w:r>
      <w:r w:rsidRPr="00077D34">
        <w:rPr>
          <w:rFonts w:ascii="Calibri" w:hAnsi="Calibri"/>
          <w:i/>
          <w:iCs/>
        </w:rPr>
        <w:t>et al.</w:t>
      </w:r>
      <w:r w:rsidRPr="00077D34">
        <w:rPr>
          <w:rFonts w:ascii="Calibri" w:hAnsi="Calibri"/>
        </w:rPr>
        <w:t xml:space="preserve"> Influence of socio-economic deprivation on outcomes for patients diagnosed with gastric cancer. </w:t>
      </w:r>
      <w:r w:rsidRPr="00077D34">
        <w:rPr>
          <w:rFonts w:ascii="Calibri" w:hAnsi="Calibri"/>
          <w:i/>
          <w:iCs/>
        </w:rPr>
        <w:t>Scand J Gastroenterol</w:t>
      </w:r>
      <w:r w:rsidRPr="00077D34">
        <w:rPr>
          <w:rFonts w:ascii="Calibri" w:hAnsi="Calibri"/>
        </w:rPr>
        <w:t xml:space="preserve"> 2005;</w:t>
      </w:r>
      <w:r w:rsidRPr="00077D34">
        <w:rPr>
          <w:rFonts w:ascii="Calibri" w:hAnsi="Calibri"/>
          <w:bCs/>
        </w:rPr>
        <w:t>40</w:t>
      </w:r>
      <w:r w:rsidRPr="00077D34">
        <w:rPr>
          <w:rFonts w:ascii="Calibri" w:hAnsi="Calibri"/>
        </w:rPr>
        <w:t>:1351–7.</w:t>
      </w:r>
    </w:p>
    <w:p w14:paraId="15666375" w14:textId="77777777" w:rsidR="0028778E" w:rsidRPr="00077D34" w:rsidRDefault="0028778E" w:rsidP="0028778E">
      <w:pPr>
        <w:pStyle w:val="Bibliography"/>
        <w:rPr>
          <w:rFonts w:ascii="Calibri" w:hAnsi="Calibri"/>
        </w:rPr>
      </w:pPr>
      <w:r w:rsidRPr="00077D34">
        <w:rPr>
          <w:rFonts w:ascii="Calibri" w:hAnsi="Calibri"/>
        </w:rPr>
        <w:t xml:space="preserve">34 </w:t>
      </w:r>
      <w:r w:rsidRPr="00077D34">
        <w:rPr>
          <w:rFonts w:ascii="Calibri" w:hAnsi="Calibri"/>
        </w:rPr>
        <w:tab/>
        <w:t xml:space="preserve">Siemerink EJM, Hospers GAP, Mulder NH, </w:t>
      </w:r>
      <w:r w:rsidRPr="00077D34">
        <w:rPr>
          <w:rFonts w:ascii="Calibri" w:hAnsi="Calibri"/>
          <w:i/>
          <w:iCs/>
        </w:rPr>
        <w:t>et al.</w:t>
      </w:r>
      <w:r w:rsidRPr="00077D34">
        <w:rPr>
          <w:rFonts w:ascii="Calibri" w:hAnsi="Calibri"/>
        </w:rPr>
        <w:t xml:space="preserve"> Disparities in survival of stomach cancer among different socioeconomic groups in North-East Netherlands. </w:t>
      </w:r>
      <w:r w:rsidRPr="00077D34">
        <w:rPr>
          <w:rFonts w:ascii="Calibri" w:hAnsi="Calibri"/>
          <w:i/>
          <w:iCs/>
        </w:rPr>
        <w:t>Cancer Epidemiol</w:t>
      </w:r>
      <w:r w:rsidRPr="00077D34">
        <w:rPr>
          <w:rFonts w:ascii="Calibri" w:hAnsi="Calibri"/>
        </w:rPr>
        <w:t xml:space="preserve"> 2011;</w:t>
      </w:r>
      <w:r w:rsidRPr="00077D34">
        <w:rPr>
          <w:rFonts w:ascii="Calibri" w:hAnsi="Calibri"/>
          <w:bCs/>
        </w:rPr>
        <w:t>35</w:t>
      </w:r>
      <w:r w:rsidRPr="00077D34">
        <w:rPr>
          <w:rFonts w:ascii="Calibri" w:hAnsi="Calibri"/>
        </w:rPr>
        <w:t>:413–6. doi:10.1016/j.canep.2011.02.015</w:t>
      </w:r>
    </w:p>
    <w:p w14:paraId="14024B09" w14:textId="77777777" w:rsidR="0028778E" w:rsidRPr="00077D34" w:rsidRDefault="0028778E" w:rsidP="0028778E">
      <w:pPr>
        <w:pStyle w:val="Bibliography"/>
        <w:rPr>
          <w:rFonts w:ascii="Calibri" w:hAnsi="Calibri"/>
        </w:rPr>
      </w:pPr>
      <w:r w:rsidRPr="00077D34">
        <w:rPr>
          <w:rFonts w:ascii="Calibri" w:hAnsi="Calibri"/>
        </w:rPr>
        <w:t xml:space="preserve">35 </w:t>
      </w:r>
      <w:r w:rsidRPr="00077D34">
        <w:rPr>
          <w:rFonts w:ascii="Calibri" w:hAnsi="Calibri"/>
        </w:rPr>
        <w:tab/>
        <w:t xml:space="preserve">Allemani C, Weir HK, Carreira H, </w:t>
      </w:r>
      <w:r w:rsidRPr="00077D34">
        <w:rPr>
          <w:rFonts w:ascii="Calibri" w:hAnsi="Calibri"/>
          <w:i/>
          <w:iCs/>
        </w:rPr>
        <w:t>et al.</w:t>
      </w:r>
      <w:r w:rsidRPr="00077D34">
        <w:rPr>
          <w:rFonts w:ascii="Calibri" w:hAnsi="Calibri"/>
        </w:rPr>
        <w:t xml:space="preserve"> Global surveillance of cancer survival 1995–2009: analysis of individual data for 25 676 887 patients from 279 population-based registries in 67 countries (CONCORD-2). </w:t>
      </w:r>
      <w:r w:rsidRPr="00077D34">
        <w:rPr>
          <w:rFonts w:ascii="Calibri" w:hAnsi="Calibri"/>
          <w:i/>
          <w:iCs/>
        </w:rPr>
        <w:t>The Lancet</w:t>
      </w:r>
      <w:r w:rsidRPr="00077D34">
        <w:rPr>
          <w:rFonts w:ascii="Calibri" w:hAnsi="Calibri"/>
        </w:rPr>
        <w:t xml:space="preserve"> 2015;</w:t>
      </w:r>
      <w:r w:rsidRPr="00077D34">
        <w:rPr>
          <w:rFonts w:ascii="Calibri" w:hAnsi="Calibri"/>
          <w:bCs/>
        </w:rPr>
        <w:t>385</w:t>
      </w:r>
      <w:r w:rsidRPr="00077D34">
        <w:rPr>
          <w:rFonts w:ascii="Calibri" w:hAnsi="Calibri"/>
        </w:rPr>
        <w:t>:977–1010. doi:10.1016/S0140-6736(14)62038-9</w:t>
      </w:r>
    </w:p>
    <w:p w14:paraId="37054F58" w14:textId="77777777" w:rsidR="0028778E" w:rsidRPr="00077D34" w:rsidRDefault="0028778E" w:rsidP="0028778E">
      <w:pPr>
        <w:pStyle w:val="Bibliography"/>
        <w:rPr>
          <w:rFonts w:ascii="Calibri" w:hAnsi="Calibri"/>
        </w:rPr>
      </w:pPr>
      <w:r w:rsidRPr="00077D34">
        <w:rPr>
          <w:rFonts w:ascii="Calibri" w:hAnsi="Calibri"/>
        </w:rPr>
        <w:t xml:space="preserve">36 </w:t>
      </w:r>
      <w:r w:rsidRPr="00077D34">
        <w:rPr>
          <w:rFonts w:ascii="Calibri" w:hAnsi="Calibri"/>
        </w:rPr>
        <w:tab/>
        <w:t>Office for National Statistics. Results of the ICD-10 v2010 bridge coding study, England and Wales. 2011.http://www.ons.gov.uk/ons/rel/subnational-health3/results-of-the-icd-10-v2010-bridge-coding-study--england-and-wales--2009/2009/index.html (accessed 21 Sep2015).</w:t>
      </w:r>
    </w:p>
    <w:p w14:paraId="61C1A9D9" w14:textId="77777777" w:rsidR="0028778E" w:rsidRPr="00077D34" w:rsidRDefault="0028778E" w:rsidP="0028778E">
      <w:pPr>
        <w:pStyle w:val="Bibliography"/>
        <w:rPr>
          <w:rFonts w:ascii="Calibri" w:hAnsi="Calibri"/>
        </w:rPr>
      </w:pPr>
      <w:r w:rsidRPr="00077D34">
        <w:rPr>
          <w:rFonts w:ascii="Calibri" w:hAnsi="Calibri"/>
        </w:rPr>
        <w:t xml:space="preserve">37 </w:t>
      </w:r>
      <w:r w:rsidRPr="00077D34">
        <w:rPr>
          <w:rFonts w:ascii="Calibri" w:hAnsi="Calibri"/>
        </w:rPr>
        <w:tab/>
        <w:t xml:space="preserve">Barton P, Andronis L, Briggs A, </w:t>
      </w:r>
      <w:r w:rsidRPr="00077D34">
        <w:rPr>
          <w:rFonts w:ascii="Calibri" w:hAnsi="Calibri"/>
          <w:i/>
          <w:iCs/>
        </w:rPr>
        <w:t>et al.</w:t>
      </w:r>
      <w:r w:rsidRPr="00077D34">
        <w:rPr>
          <w:rFonts w:ascii="Calibri" w:hAnsi="Calibri"/>
        </w:rPr>
        <w:t xml:space="preserve"> Effectiveness and cost effectiveness of cardiovascular disease prevention in whole populations: modelling study. </w:t>
      </w:r>
      <w:r w:rsidRPr="00077D34">
        <w:rPr>
          <w:rFonts w:ascii="Calibri" w:hAnsi="Calibri"/>
          <w:i/>
          <w:iCs/>
        </w:rPr>
        <w:t>BMJ</w:t>
      </w:r>
      <w:r w:rsidRPr="00077D34">
        <w:rPr>
          <w:rFonts w:ascii="Calibri" w:hAnsi="Calibri"/>
        </w:rPr>
        <w:t xml:space="preserve"> 2011;</w:t>
      </w:r>
      <w:r w:rsidRPr="00077D34">
        <w:rPr>
          <w:rFonts w:ascii="Calibri" w:hAnsi="Calibri"/>
          <w:bCs/>
        </w:rPr>
        <w:t>343</w:t>
      </w:r>
      <w:r w:rsidRPr="00077D34">
        <w:rPr>
          <w:rFonts w:ascii="Calibri" w:hAnsi="Calibri"/>
        </w:rPr>
        <w:t>:d4044. doi:10.1136/bmj.d4044</w:t>
      </w:r>
    </w:p>
    <w:p w14:paraId="5D9DE397" w14:textId="77777777" w:rsidR="0028778E" w:rsidRPr="00077D34" w:rsidRDefault="0028778E" w:rsidP="0028778E">
      <w:pPr>
        <w:pStyle w:val="Bibliography"/>
        <w:rPr>
          <w:rFonts w:ascii="Calibri" w:hAnsi="Calibri"/>
        </w:rPr>
      </w:pPr>
      <w:r w:rsidRPr="00077D34">
        <w:rPr>
          <w:rFonts w:ascii="Calibri" w:hAnsi="Calibri"/>
        </w:rPr>
        <w:lastRenderedPageBreak/>
        <w:t xml:space="preserve">38 </w:t>
      </w:r>
      <w:r w:rsidRPr="00077D34">
        <w:rPr>
          <w:rFonts w:ascii="Calibri" w:hAnsi="Calibri"/>
        </w:rPr>
        <w:tab/>
        <w:t xml:space="preserve">Dodhia H, Phillips K, Zannou M-I, </w:t>
      </w:r>
      <w:r w:rsidRPr="00077D34">
        <w:rPr>
          <w:rFonts w:ascii="Calibri" w:hAnsi="Calibri"/>
          <w:i/>
          <w:iCs/>
        </w:rPr>
        <w:t>et al.</w:t>
      </w:r>
      <w:r w:rsidRPr="00077D34">
        <w:rPr>
          <w:rFonts w:ascii="Calibri" w:hAnsi="Calibri"/>
        </w:rPr>
        <w:t xml:space="preserve"> Modelling the impact on avoidable cardiovascular disease burden and costs of interventions to lower SBP in the England population: </w:t>
      </w:r>
      <w:r w:rsidRPr="00077D34">
        <w:rPr>
          <w:rFonts w:ascii="Calibri" w:hAnsi="Calibri"/>
          <w:i/>
          <w:iCs/>
        </w:rPr>
        <w:t>J Hypertens</w:t>
      </w:r>
      <w:r w:rsidRPr="00077D34">
        <w:rPr>
          <w:rFonts w:ascii="Calibri" w:hAnsi="Calibri"/>
        </w:rPr>
        <w:t xml:space="preserve"> 2012;</w:t>
      </w:r>
      <w:r w:rsidRPr="00077D34">
        <w:rPr>
          <w:rFonts w:ascii="Calibri" w:hAnsi="Calibri"/>
          <w:bCs/>
        </w:rPr>
        <w:t>30</w:t>
      </w:r>
      <w:r w:rsidRPr="00077D34">
        <w:rPr>
          <w:rFonts w:ascii="Calibri" w:hAnsi="Calibri"/>
        </w:rPr>
        <w:t>:217–26. doi:10.1097/HJH.0b013e32834d86ee</w:t>
      </w:r>
    </w:p>
    <w:p w14:paraId="0D30F811" w14:textId="77777777" w:rsidR="0028778E" w:rsidRPr="00077D34" w:rsidRDefault="0028778E" w:rsidP="0028778E">
      <w:pPr>
        <w:pStyle w:val="Bibliography"/>
        <w:rPr>
          <w:rFonts w:ascii="Calibri" w:hAnsi="Calibri"/>
        </w:rPr>
      </w:pPr>
      <w:r w:rsidRPr="00077D34">
        <w:rPr>
          <w:rFonts w:ascii="Calibri" w:hAnsi="Calibri"/>
        </w:rPr>
        <w:t xml:space="preserve">39 </w:t>
      </w:r>
      <w:r w:rsidRPr="00077D34">
        <w:rPr>
          <w:rFonts w:ascii="Calibri" w:hAnsi="Calibri"/>
        </w:rPr>
        <w:tab/>
        <w:t xml:space="preserve">Hendriksen MAH, van Raaij JMA, Geleijnse JM, </w:t>
      </w:r>
      <w:r w:rsidRPr="00077D34">
        <w:rPr>
          <w:rFonts w:ascii="Calibri" w:hAnsi="Calibri"/>
          <w:i/>
          <w:iCs/>
        </w:rPr>
        <w:t>et al.</w:t>
      </w:r>
      <w:r w:rsidRPr="00077D34">
        <w:rPr>
          <w:rFonts w:ascii="Calibri" w:hAnsi="Calibri"/>
        </w:rPr>
        <w:t xml:space="preserve"> Health gain by salt reduction in Europe: a modelling study. </w:t>
      </w:r>
      <w:r w:rsidRPr="00077D34">
        <w:rPr>
          <w:rFonts w:ascii="Calibri" w:hAnsi="Calibri"/>
          <w:i/>
          <w:iCs/>
        </w:rPr>
        <w:t>PLoS ONE</w:t>
      </w:r>
      <w:r w:rsidRPr="00077D34">
        <w:rPr>
          <w:rFonts w:ascii="Calibri" w:hAnsi="Calibri"/>
        </w:rPr>
        <w:t xml:space="preserve"> 2015;</w:t>
      </w:r>
      <w:r w:rsidRPr="00077D34">
        <w:rPr>
          <w:rFonts w:ascii="Calibri" w:hAnsi="Calibri"/>
          <w:bCs/>
        </w:rPr>
        <w:t>10</w:t>
      </w:r>
      <w:r w:rsidRPr="00077D34">
        <w:rPr>
          <w:rFonts w:ascii="Calibri" w:hAnsi="Calibri"/>
        </w:rPr>
        <w:t>. doi:10.1371/journal.pone.0118873</w:t>
      </w:r>
    </w:p>
    <w:p w14:paraId="2AA96058" w14:textId="77777777" w:rsidR="0028778E" w:rsidRPr="00077D34" w:rsidRDefault="0028778E" w:rsidP="0028778E">
      <w:pPr>
        <w:pStyle w:val="Bibliography"/>
        <w:rPr>
          <w:rFonts w:ascii="Calibri" w:hAnsi="Calibri"/>
        </w:rPr>
      </w:pPr>
      <w:r w:rsidRPr="00077D34">
        <w:rPr>
          <w:rFonts w:ascii="Calibri" w:hAnsi="Calibri"/>
        </w:rPr>
        <w:t xml:space="preserve">40 </w:t>
      </w:r>
      <w:r w:rsidRPr="00077D34">
        <w:rPr>
          <w:rFonts w:ascii="Calibri" w:hAnsi="Calibri"/>
        </w:rPr>
        <w:tab/>
        <w:t xml:space="preserve">Mente A, O’Donnell M, Rangarajan S, </w:t>
      </w:r>
      <w:r w:rsidRPr="00077D34">
        <w:rPr>
          <w:rFonts w:ascii="Calibri" w:hAnsi="Calibri"/>
          <w:i/>
          <w:iCs/>
        </w:rPr>
        <w:t>et al.</w:t>
      </w:r>
      <w:r w:rsidRPr="00077D34">
        <w:rPr>
          <w:rFonts w:ascii="Calibri" w:hAnsi="Calibri"/>
        </w:rPr>
        <w:t xml:space="preserve"> Associations of urinary sodium excretion with cardiovascular events in individuals with and without hypertension: a pooled analysis of data from four studies. </w:t>
      </w:r>
      <w:r w:rsidRPr="00077D34">
        <w:rPr>
          <w:rFonts w:ascii="Calibri" w:hAnsi="Calibri"/>
          <w:i/>
          <w:iCs/>
        </w:rPr>
        <w:t>The Lancet</w:t>
      </w:r>
      <w:r w:rsidRPr="00077D34">
        <w:rPr>
          <w:rFonts w:ascii="Calibri" w:hAnsi="Calibri"/>
        </w:rPr>
        <w:t xml:space="preserve"> 2016;</w:t>
      </w:r>
      <w:r w:rsidRPr="00077D34">
        <w:rPr>
          <w:rFonts w:ascii="Calibri" w:hAnsi="Calibri"/>
          <w:bCs/>
        </w:rPr>
        <w:t>388</w:t>
      </w:r>
      <w:r w:rsidRPr="00077D34">
        <w:rPr>
          <w:rFonts w:ascii="Calibri" w:hAnsi="Calibri"/>
        </w:rPr>
        <w:t>:465–75. doi:10.1016/S0140-6736(16)30467-6</w:t>
      </w:r>
    </w:p>
    <w:p w14:paraId="3EE1E457" w14:textId="77777777" w:rsidR="0028778E" w:rsidRPr="00077D34" w:rsidRDefault="0028778E" w:rsidP="0028778E">
      <w:pPr>
        <w:pStyle w:val="Bibliography"/>
        <w:rPr>
          <w:rFonts w:ascii="Calibri" w:hAnsi="Calibri"/>
        </w:rPr>
      </w:pPr>
      <w:r w:rsidRPr="00077D34">
        <w:rPr>
          <w:rFonts w:ascii="Calibri" w:hAnsi="Calibri"/>
        </w:rPr>
        <w:t xml:space="preserve">41 </w:t>
      </w:r>
      <w:r w:rsidRPr="00077D34">
        <w:rPr>
          <w:rFonts w:ascii="Calibri" w:hAnsi="Calibri"/>
        </w:rPr>
        <w:tab/>
        <w:t xml:space="preserve">O’Donnell M, Mente A, Rangarajan S, </w:t>
      </w:r>
      <w:r w:rsidRPr="00077D34">
        <w:rPr>
          <w:rFonts w:ascii="Calibri" w:hAnsi="Calibri"/>
          <w:i/>
          <w:iCs/>
        </w:rPr>
        <w:t>et al.</w:t>
      </w:r>
      <w:r w:rsidRPr="00077D34">
        <w:rPr>
          <w:rFonts w:ascii="Calibri" w:hAnsi="Calibri"/>
        </w:rPr>
        <w:t xml:space="preserve"> Urinary sodium and potassium excretion, mortality, and cardiovascular events. </w:t>
      </w:r>
      <w:r w:rsidRPr="00077D34">
        <w:rPr>
          <w:rFonts w:ascii="Calibri" w:hAnsi="Calibri"/>
          <w:i/>
          <w:iCs/>
        </w:rPr>
        <w:t>N Engl J Med</w:t>
      </w:r>
      <w:r w:rsidRPr="00077D34">
        <w:rPr>
          <w:rFonts w:ascii="Calibri" w:hAnsi="Calibri"/>
        </w:rPr>
        <w:t xml:space="preserve"> 2014;</w:t>
      </w:r>
      <w:r w:rsidRPr="00077D34">
        <w:rPr>
          <w:rFonts w:ascii="Calibri" w:hAnsi="Calibri"/>
          <w:bCs/>
        </w:rPr>
        <w:t>371</w:t>
      </w:r>
      <w:r w:rsidRPr="00077D34">
        <w:rPr>
          <w:rFonts w:ascii="Calibri" w:hAnsi="Calibri"/>
        </w:rPr>
        <w:t>:612–23. doi:10.1056/NEJMoa1311889</w:t>
      </w:r>
    </w:p>
    <w:p w14:paraId="7B01A54F" w14:textId="77777777" w:rsidR="0028778E" w:rsidRPr="00077D34" w:rsidRDefault="0028778E" w:rsidP="0028778E">
      <w:pPr>
        <w:pStyle w:val="Bibliography"/>
        <w:rPr>
          <w:rFonts w:ascii="Calibri" w:hAnsi="Calibri"/>
        </w:rPr>
      </w:pPr>
      <w:r w:rsidRPr="00077D34">
        <w:rPr>
          <w:rFonts w:ascii="Calibri" w:hAnsi="Calibri"/>
        </w:rPr>
        <w:t xml:space="preserve">42 </w:t>
      </w:r>
      <w:r w:rsidRPr="00077D34">
        <w:rPr>
          <w:rFonts w:ascii="Calibri" w:hAnsi="Calibri"/>
        </w:rPr>
        <w:tab/>
        <w:t xml:space="preserve">Cogswell ME, Mugavero K, Bowman BA, </w:t>
      </w:r>
      <w:r w:rsidRPr="00077D34">
        <w:rPr>
          <w:rFonts w:ascii="Calibri" w:hAnsi="Calibri"/>
          <w:i/>
          <w:iCs/>
        </w:rPr>
        <w:t>et al.</w:t>
      </w:r>
      <w:r w:rsidRPr="00077D34">
        <w:rPr>
          <w:rFonts w:ascii="Calibri" w:hAnsi="Calibri"/>
        </w:rPr>
        <w:t xml:space="preserve"> Dietary sodium and cardiovascular disease risk — measurement matters. </w:t>
      </w:r>
      <w:r w:rsidRPr="00077D34">
        <w:rPr>
          <w:rFonts w:ascii="Calibri" w:hAnsi="Calibri"/>
          <w:i/>
          <w:iCs/>
        </w:rPr>
        <w:t>N Engl J Med</w:t>
      </w:r>
      <w:r w:rsidRPr="00077D34">
        <w:rPr>
          <w:rFonts w:ascii="Calibri" w:hAnsi="Calibri"/>
        </w:rPr>
        <w:t xml:space="preserve"> 2016;</w:t>
      </w:r>
      <w:r w:rsidRPr="00077D34">
        <w:rPr>
          <w:rFonts w:ascii="Calibri" w:hAnsi="Calibri"/>
          <w:bCs/>
        </w:rPr>
        <w:t>375</w:t>
      </w:r>
      <w:r w:rsidRPr="00077D34">
        <w:rPr>
          <w:rFonts w:ascii="Calibri" w:hAnsi="Calibri"/>
        </w:rPr>
        <w:t>:580--586. doi:10.1056/NEJMsb1607161</w:t>
      </w:r>
    </w:p>
    <w:p w14:paraId="092FC163" w14:textId="77777777" w:rsidR="0028778E" w:rsidRPr="00077D34" w:rsidRDefault="0028778E" w:rsidP="0028778E">
      <w:pPr>
        <w:pStyle w:val="Bibliography"/>
        <w:rPr>
          <w:rFonts w:ascii="Calibri" w:hAnsi="Calibri"/>
        </w:rPr>
      </w:pPr>
      <w:r w:rsidRPr="00077D34">
        <w:rPr>
          <w:rFonts w:ascii="Calibri" w:hAnsi="Calibri"/>
        </w:rPr>
        <w:t xml:space="preserve">43 </w:t>
      </w:r>
      <w:r w:rsidRPr="00077D34">
        <w:rPr>
          <w:rFonts w:ascii="Calibri" w:hAnsi="Calibri"/>
        </w:rPr>
        <w:tab/>
        <w:t xml:space="preserve">Knai C, Petticrew M, Durand MA, </w:t>
      </w:r>
      <w:r w:rsidRPr="00077D34">
        <w:rPr>
          <w:rFonts w:ascii="Calibri" w:hAnsi="Calibri"/>
          <w:i/>
          <w:iCs/>
        </w:rPr>
        <w:t>et al.</w:t>
      </w:r>
      <w:r w:rsidRPr="00077D34">
        <w:rPr>
          <w:rFonts w:ascii="Calibri" w:hAnsi="Calibri"/>
        </w:rPr>
        <w:t xml:space="preserve"> Has a public–private partnership resulted in action on healthier diets in England? An analysis of the Public Health Responsibility Deal food pledges. </w:t>
      </w:r>
      <w:r w:rsidRPr="00077D34">
        <w:rPr>
          <w:rFonts w:ascii="Calibri" w:hAnsi="Calibri"/>
          <w:i/>
          <w:iCs/>
        </w:rPr>
        <w:t>Food Policy</w:t>
      </w:r>
      <w:r w:rsidRPr="00077D34">
        <w:rPr>
          <w:rFonts w:ascii="Calibri" w:hAnsi="Calibri"/>
        </w:rPr>
        <w:t xml:space="preserve"> 2015;</w:t>
      </w:r>
      <w:r w:rsidRPr="00077D34">
        <w:rPr>
          <w:rFonts w:ascii="Calibri" w:hAnsi="Calibri"/>
          <w:bCs/>
        </w:rPr>
        <w:t>54</w:t>
      </w:r>
      <w:r w:rsidRPr="00077D34">
        <w:rPr>
          <w:rFonts w:ascii="Calibri" w:hAnsi="Calibri"/>
        </w:rPr>
        <w:t>:1–10. doi:10.1016/j.foodpol.2015.04.002</w:t>
      </w:r>
    </w:p>
    <w:p w14:paraId="081AA5D8" w14:textId="77777777" w:rsidR="0028778E" w:rsidRPr="00077D34" w:rsidRDefault="0028778E" w:rsidP="0028778E">
      <w:pPr>
        <w:pStyle w:val="Bibliography"/>
        <w:rPr>
          <w:rFonts w:ascii="Calibri" w:hAnsi="Calibri"/>
        </w:rPr>
      </w:pPr>
      <w:r w:rsidRPr="00077D34">
        <w:rPr>
          <w:rFonts w:ascii="Calibri" w:hAnsi="Calibri"/>
        </w:rPr>
        <w:t xml:space="preserve">44 </w:t>
      </w:r>
      <w:r w:rsidRPr="00077D34">
        <w:rPr>
          <w:rFonts w:ascii="Calibri" w:hAnsi="Calibri"/>
        </w:rPr>
        <w:tab/>
        <w:t xml:space="preserve">Collins M, Mason H, O’Flaherty M, </w:t>
      </w:r>
      <w:r w:rsidRPr="00077D34">
        <w:rPr>
          <w:rFonts w:ascii="Calibri" w:hAnsi="Calibri"/>
          <w:i/>
          <w:iCs/>
        </w:rPr>
        <w:t>et al.</w:t>
      </w:r>
      <w:r w:rsidRPr="00077D34">
        <w:rPr>
          <w:rFonts w:ascii="Calibri" w:hAnsi="Calibri"/>
        </w:rPr>
        <w:t xml:space="preserve"> An economic evaluation of salt reduction policies to reduce coronary heart disease in England: a policy modeling study. </w:t>
      </w:r>
      <w:r w:rsidRPr="00077D34">
        <w:rPr>
          <w:rFonts w:ascii="Calibri" w:hAnsi="Calibri"/>
          <w:i/>
          <w:iCs/>
        </w:rPr>
        <w:t>Value Health J Int Soc Pharmacoeconomics Outcomes Res</w:t>
      </w:r>
      <w:r w:rsidRPr="00077D34">
        <w:rPr>
          <w:rFonts w:ascii="Calibri" w:hAnsi="Calibri"/>
        </w:rPr>
        <w:t xml:space="preserve"> 2014;</w:t>
      </w:r>
      <w:r w:rsidRPr="00077D34">
        <w:rPr>
          <w:rFonts w:ascii="Calibri" w:hAnsi="Calibri"/>
          <w:bCs/>
        </w:rPr>
        <w:t>17</w:t>
      </w:r>
      <w:r w:rsidRPr="00077D34">
        <w:rPr>
          <w:rFonts w:ascii="Calibri" w:hAnsi="Calibri"/>
        </w:rPr>
        <w:t>:517–24. doi:10.1016/j.jval.2014.03.1722</w:t>
      </w:r>
    </w:p>
    <w:p w14:paraId="01590FC3" w14:textId="77777777" w:rsidR="0028778E" w:rsidRPr="00077D34" w:rsidRDefault="0028778E" w:rsidP="0028778E">
      <w:pPr>
        <w:pStyle w:val="Bibliography"/>
        <w:rPr>
          <w:rFonts w:ascii="Calibri" w:hAnsi="Calibri"/>
        </w:rPr>
      </w:pPr>
      <w:r w:rsidRPr="00077D34">
        <w:rPr>
          <w:rFonts w:ascii="Calibri" w:hAnsi="Calibri"/>
        </w:rPr>
        <w:t xml:space="preserve">45 </w:t>
      </w:r>
      <w:r w:rsidRPr="00077D34">
        <w:rPr>
          <w:rFonts w:ascii="Calibri" w:hAnsi="Calibri"/>
        </w:rPr>
        <w:tab/>
        <w:t xml:space="preserve">Mason H, Shoaibi A, Ghandour R, </w:t>
      </w:r>
      <w:r w:rsidRPr="00077D34">
        <w:rPr>
          <w:rFonts w:ascii="Calibri" w:hAnsi="Calibri"/>
          <w:i/>
          <w:iCs/>
        </w:rPr>
        <w:t>et al.</w:t>
      </w:r>
      <w:r w:rsidRPr="00077D34">
        <w:rPr>
          <w:rFonts w:ascii="Calibri" w:hAnsi="Calibri"/>
        </w:rPr>
        <w:t xml:space="preserve"> A cost effectiveness analysis of salt reduction policies to reduce coronary heart disease in four Eastern Mediterranean countries. </w:t>
      </w:r>
      <w:r w:rsidRPr="00077D34">
        <w:rPr>
          <w:rFonts w:ascii="Calibri" w:hAnsi="Calibri"/>
          <w:i/>
          <w:iCs/>
        </w:rPr>
        <w:t>PloS One</w:t>
      </w:r>
      <w:r w:rsidRPr="00077D34">
        <w:rPr>
          <w:rFonts w:ascii="Calibri" w:hAnsi="Calibri"/>
        </w:rPr>
        <w:t xml:space="preserve"> 2014;</w:t>
      </w:r>
      <w:r w:rsidRPr="00077D34">
        <w:rPr>
          <w:rFonts w:ascii="Calibri" w:hAnsi="Calibri"/>
          <w:bCs/>
        </w:rPr>
        <w:t>9</w:t>
      </w:r>
      <w:r w:rsidRPr="00077D34">
        <w:rPr>
          <w:rFonts w:ascii="Calibri" w:hAnsi="Calibri"/>
        </w:rPr>
        <w:t>:e84445. doi:10.1371/journal.pone.0084445</w:t>
      </w:r>
    </w:p>
    <w:p w14:paraId="50BE5978" w14:textId="77777777" w:rsidR="0028778E" w:rsidRPr="00077D34" w:rsidRDefault="0028778E" w:rsidP="0028778E">
      <w:pPr>
        <w:pStyle w:val="Bibliography"/>
        <w:rPr>
          <w:rFonts w:ascii="Calibri" w:hAnsi="Calibri"/>
        </w:rPr>
      </w:pPr>
      <w:r w:rsidRPr="00077D34">
        <w:rPr>
          <w:rFonts w:ascii="Calibri" w:hAnsi="Calibri"/>
        </w:rPr>
        <w:t xml:space="preserve">46 </w:t>
      </w:r>
      <w:r w:rsidRPr="00077D34">
        <w:rPr>
          <w:rFonts w:ascii="Calibri" w:hAnsi="Calibri"/>
        </w:rPr>
        <w:tab/>
        <w:t>Obesity Health Alliance. Reformulation briefing. 2016.http://obesityhealthalliance.org.uk/wp-content/uploads/2016/08/Reformulation-briefing-FINAL.pdf (accessed 11 Dec2016).</w:t>
      </w:r>
    </w:p>
    <w:p w14:paraId="317B4230" w14:textId="77777777" w:rsidR="0028778E" w:rsidRPr="00077D34" w:rsidRDefault="0028778E" w:rsidP="0028778E">
      <w:pPr>
        <w:pStyle w:val="Bibliography"/>
        <w:rPr>
          <w:rFonts w:ascii="Calibri" w:hAnsi="Calibri"/>
        </w:rPr>
      </w:pPr>
      <w:r w:rsidRPr="00077D34">
        <w:rPr>
          <w:rFonts w:ascii="Calibri" w:hAnsi="Calibri"/>
        </w:rPr>
        <w:t xml:space="preserve">47 </w:t>
      </w:r>
      <w:r w:rsidRPr="00077D34">
        <w:rPr>
          <w:rFonts w:ascii="Calibri" w:hAnsi="Calibri"/>
        </w:rPr>
        <w:tab/>
        <w:t>HM Government. Childhood obesity: a plan for action. 2016.https://www.gov.uk/government/publications/childhood-obesity-a-plan-for-action (accessed 11 Dec2016).</w:t>
      </w:r>
    </w:p>
    <w:p w14:paraId="4867879F" w14:textId="5A02686B" w:rsidR="009E7C87" w:rsidRPr="00065EC5" w:rsidRDefault="009E7C87" w:rsidP="00E508B9">
      <w:pPr>
        <w:pStyle w:val="Heading2"/>
      </w:pPr>
    </w:p>
    <w:sectPr w:rsidR="009E7C87" w:rsidRPr="00065EC5" w:rsidSect="00640048">
      <w:footerReference w:type="default" r:id="rId9"/>
      <w:pgSz w:w="11906" w:h="16838" w:code="9"/>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3C80D" w14:textId="77777777" w:rsidR="00A532AE" w:rsidRDefault="00A532AE" w:rsidP="00AC0B1E">
      <w:r>
        <w:separator/>
      </w:r>
    </w:p>
  </w:endnote>
  <w:endnote w:type="continuationSeparator" w:id="0">
    <w:p w14:paraId="225363EA" w14:textId="77777777" w:rsidR="00A532AE" w:rsidRDefault="00A532AE" w:rsidP="00AC0B1E">
      <w:r>
        <w:continuationSeparator/>
      </w:r>
    </w:p>
  </w:endnote>
  <w:endnote w:type="continuationNotice" w:id="1">
    <w:p w14:paraId="7340F44B" w14:textId="77777777" w:rsidR="00A532AE" w:rsidRDefault="00A532AE" w:rsidP="00AC0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423311"/>
      <w:docPartObj>
        <w:docPartGallery w:val="Page Numbers (Bottom of Page)"/>
        <w:docPartUnique/>
      </w:docPartObj>
    </w:sdtPr>
    <w:sdtEndPr>
      <w:rPr>
        <w:noProof/>
      </w:rPr>
    </w:sdtEndPr>
    <w:sdtContent>
      <w:p w14:paraId="354777B6" w14:textId="0CB68907" w:rsidR="005D0AE3" w:rsidRDefault="005D0AE3" w:rsidP="00AC0B1E">
        <w:pPr>
          <w:pStyle w:val="Footer"/>
        </w:pPr>
        <w:r>
          <w:fldChar w:fldCharType="begin"/>
        </w:r>
        <w:r>
          <w:instrText xml:space="preserve"> PAGE   \* MERGEFORMAT </w:instrText>
        </w:r>
        <w:r>
          <w:fldChar w:fldCharType="separate"/>
        </w:r>
        <w:r w:rsidR="008B56F8">
          <w:rPr>
            <w:noProof/>
          </w:rPr>
          <w:t>11</w:t>
        </w:r>
        <w:r>
          <w:rPr>
            <w:noProof/>
          </w:rPr>
          <w:fldChar w:fldCharType="end"/>
        </w:r>
      </w:p>
    </w:sdtContent>
  </w:sdt>
  <w:p w14:paraId="11C84A53" w14:textId="77777777" w:rsidR="005D0AE3" w:rsidRDefault="005D0AE3" w:rsidP="00AC0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D1234" w14:textId="77777777" w:rsidR="00A532AE" w:rsidRDefault="00A532AE" w:rsidP="00AC0B1E">
      <w:r>
        <w:separator/>
      </w:r>
    </w:p>
  </w:footnote>
  <w:footnote w:type="continuationSeparator" w:id="0">
    <w:p w14:paraId="1ECA6BAC" w14:textId="77777777" w:rsidR="00A532AE" w:rsidRDefault="00A532AE" w:rsidP="00AC0B1E">
      <w:r>
        <w:continuationSeparator/>
      </w:r>
    </w:p>
  </w:footnote>
  <w:footnote w:type="continuationNotice" w:id="1">
    <w:p w14:paraId="23B228A6" w14:textId="77777777" w:rsidR="00A532AE" w:rsidRDefault="00A532AE" w:rsidP="00AC0B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308"/>
      </v:shape>
    </w:pict>
  </w:numPicBullet>
  <w:abstractNum w:abstractNumId="0" w15:restartNumberingAfterBreak="0">
    <w:nsid w:val="FFFFFF1D"/>
    <w:multiLevelType w:val="multilevel"/>
    <w:tmpl w:val="42D099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70190"/>
    <w:multiLevelType w:val="hybridMultilevel"/>
    <w:tmpl w:val="310E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20AB3"/>
    <w:multiLevelType w:val="hybridMultilevel"/>
    <w:tmpl w:val="5298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392E12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B7E617F"/>
    <w:multiLevelType w:val="hybridMultilevel"/>
    <w:tmpl w:val="5BAA2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01C99"/>
    <w:multiLevelType w:val="hybridMultilevel"/>
    <w:tmpl w:val="9C32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A26EA"/>
    <w:multiLevelType w:val="hybridMultilevel"/>
    <w:tmpl w:val="2D848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E557A8"/>
    <w:multiLevelType w:val="hybridMultilevel"/>
    <w:tmpl w:val="2DC0A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F590D"/>
    <w:multiLevelType w:val="hybridMultilevel"/>
    <w:tmpl w:val="D424142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C27D9"/>
    <w:multiLevelType w:val="hybridMultilevel"/>
    <w:tmpl w:val="01661BB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4BF3111"/>
    <w:multiLevelType w:val="hybridMultilevel"/>
    <w:tmpl w:val="42DA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07971"/>
    <w:multiLevelType w:val="hybridMultilevel"/>
    <w:tmpl w:val="4EC0B3F6"/>
    <w:lvl w:ilvl="0" w:tplc="55AAEFCE">
      <w:start w:val="1911"/>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C1C4A"/>
    <w:multiLevelType w:val="hybridMultilevel"/>
    <w:tmpl w:val="1022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4686C"/>
    <w:multiLevelType w:val="hybridMultilevel"/>
    <w:tmpl w:val="CE2C0D3C"/>
    <w:lvl w:ilvl="0" w:tplc="4C9C857E">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4EEE4BA0"/>
    <w:multiLevelType w:val="hybridMultilevel"/>
    <w:tmpl w:val="D9FA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7A3809"/>
    <w:multiLevelType w:val="hybridMultilevel"/>
    <w:tmpl w:val="DCCE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B623FC"/>
    <w:multiLevelType w:val="hybridMultilevel"/>
    <w:tmpl w:val="63D2F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577165E"/>
    <w:multiLevelType w:val="hybridMultilevel"/>
    <w:tmpl w:val="D75C60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A50C5D"/>
    <w:multiLevelType w:val="hybridMultilevel"/>
    <w:tmpl w:val="2C2AB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FB2E64"/>
    <w:multiLevelType w:val="hybridMultilevel"/>
    <w:tmpl w:val="FC864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1C0BEE"/>
    <w:multiLevelType w:val="hybridMultilevel"/>
    <w:tmpl w:val="98C66C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A94C0E"/>
    <w:multiLevelType w:val="hybridMultilevel"/>
    <w:tmpl w:val="3E3034F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8"/>
  </w:num>
  <w:num w:numId="13">
    <w:abstractNumId w:val="21"/>
  </w:num>
  <w:num w:numId="14">
    <w:abstractNumId w:val="20"/>
  </w:num>
  <w:num w:numId="15">
    <w:abstractNumId w:val="6"/>
  </w:num>
  <w:num w:numId="16">
    <w:abstractNumId w:val="1"/>
  </w:num>
  <w:num w:numId="17">
    <w:abstractNumId w:val="4"/>
  </w:num>
  <w:num w:numId="18">
    <w:abstractNumId w:val="7"/>
  </w:num>
  <w:num w:numId="19">
    <w:abstractNumId w:val="15"/>
  </w:num>
  <w:num w:numId="20">
    <w:abstractNumId w:val="11"/>
  </w:num>
  <w:num w:numId="21">
    <w:abstractNumId w:val="19"/>
  </w:num>
  <w:num w:numId="22">
    <w:abstractNumId w:val="10"/>
  </w:num>
  <w:num w:numId="23">
    <w:abstractNumId w:val="9"/>
  </w:num>
  <w:num w:numId="24">
    <w:abstractNumId w:val="18"/>
  </w:num>
  <w:num w:numId="25">
    <w:abstractNumId w:val="13"/>
  </w:num>
  <w:num w:numId="26">
    <w:abstractNumId w:val="17"/>
  </w:num>
  <w:num w:numId="27">
    <w:abstractNumId w:val="0"/>
  </w:num>
  <w:num w:numId="28">
    <w:abstractNumId w:val="14"/>
  </w:num>
  <w:num w:numId="29">
    <w:abstractNumId w:val="2"/>
  </w:num>
  <w:num w:numId="30">
    <w:abstractNumId w:val="1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8" w:nlCheck="1" w:checkStyle="0"/>
  <w:activeWritingStyle w:appName="MSWord" w:lang="en-US" w:vendorID="64" w:dllVersion="131078"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zMDA1N7SwtDAzNzVR0lEKTi0uzszPAykwrgUAgIZWqCwAAAA="/>
  </w:docVars>
  <w:rsids>
    <w:rsidRoot w:val="00325FCA"/>
    <w:rsid w:val="00000230"/>
    <w:rsid w:val="00000A27"/>
    <w:rsid w:val="00002A9D"/>
    <w:rsid w:val="00002ADC"/>
    <w:rsid w:val="00002AE9"/>
    <w:rsid w:val="00003451"/>
    <w:rsid w:val="00003DD6"/>
    <w:rsid w:val="0000564E"/>
    <w:rsid w:val="00006153"/>
    <w:rsid w:val="000061D4"/>
    <w:rsid w:val="000069B7"/>
    <w:rsid w:val="00006F53"/>
    <w:rsid w:val="0000713A"/>
    <w:rsid w:val="000071FB"/>
    <w:rsid w:val="00007432"/>
    <w:rsid w:val="00007BEC"/>
    <w:rsid w:val="00010922"/>
    <w:rsid w:val="00011E21"/>
    <w:rsid w:val="00012180"/>
    <w:rsid w:val="00012792"/>
    <w:rsid w:val="000128E2"/>
    <w:rsid w:val="00012A7D"/>
    <w:rsid w:val="00012C1D"/>
    <w:rsid w:val="00013272"/>
    <w:rsid w:val="000134BC"/>
    <w:rsid w:val="000140BF"/>
    <w:rsid w:val="00014B2A"/>
    <w:rsid w:val="0001539B"/>
    <w:rsid w:val="00015B95"/>
    <w:rsid w:val="00015ED8"/>
    <w:rsid w:val="00016F14"/>
    <w:rsid w:val="000171FE"/>
    <w:rsid w:val="0001733E"/>
    <w:rsid w:val="0001799F"/>
    <w:rsid w:val="000201C2"/>
    <w:rsid w:val="00020EAA"/>
    <w:rsid w:val="000212B3"/>
    <w:rsid w:val="00022369"/>
    <w:rsid w:val="000236E1"/>
    <w:rsid w:val="00023896"/>
    <w:rsid w:val="00023A09"/>
    <w:rsid w:val="00023B36"/>
    <w:rsid w:val="000251E4"/>
    <w:rsid w:val="0002529E"/>
    <w:rsid w:val="00025858"/>
    <w:rsid w:val="00026460"/>
    <w:rsid w:val="00027216"/>
    <w:rsid w:val="00027552"/>
    <w:rsid w:val="00027E90"/>
    <w:rsid w:val="000302B1"/>
    <w:rsid w:val="00030696"/>
    <w:rsid w:val="00030BF0"/>
    <w:rsid w:val="000312BD"/>
    <w:rsid w:val="0003191C"/>
    <w:rsid w:val="00032899"/>
    <w:rsid w:val="0003311A"/>
    <w:rsid w:val="00034413"/>
    <w:rsid w:val="000346C9"/>
    <w:rsid w:val="000346EF"/>
    <w:rsid w:val="00034EB2"/>
    <w:rsid w:val="00035C31"/>
    <w:rsid w:val="000367A1"/>
    <w:rsid w:val="00036A1A"/>
    <w:rsid w:val="00037D59"/>
    <w:rsid w:val="00037F6B"/>
    <w:rsid w:val="0004010C"/>
    <w:rsid w:val="0004063E"/>
    <w:rsid w:val="0004070B"/>
    <w:rsid w:val="00041899"/>
    <w:rsid w:val="0004190E"/>
    <w:rsid w:val="00041AEC"/>
    <w:rsid w:val="000421B5"/>
    <w:rsid w:val="00042929"/>
    <w:rsid w:val="00043A97"/>
    <w:rsid w:val="00044FB0"/>
    <w:rsid w:val="00047110"/>
    <w:rsid w:val="00050992"/>
    <w:rsid w:val="00051097"/>
    <w:rsid w:val="000511CC"/>
    <w:rsid w:val="00051ED0"/>
    <w:rsid w:val="0005222F"/>
    <w:rsid w:val="000526C4"/>
    <w:rsid w:val="00053562"/>
    <w:rsid w:val="000536D6"/>
    <w:rsid w:val="00053739"/>
    <w:rsid w:val="000550BB"/>
    <w:rsid w:val="000553B5"/>
    <w:rsid w:val="00055A41"/>
    <w:rsid w:val="00055CB2"/>
    <w:rsid w:val="00056A9D"/>
    <w:rsid w:val="00057272"/>
    <w:rsid w:val="00057D26"/>
    <w:rsid w:val="000609D0"/>
    <w:rsid w:val="00060A06"/>
    <w:rsid w:val="00060DF0"/>
    <w:rsid w:val="00061FA4"/>
    <w:rsid w:val="000631E3"/>
    <w:rsid w:val="000643D0"/>
    <w:rsid w:val="00064421"/>
    <w:rsid w:val="00064FF1"/>
    <w:rsid w:val="00065B39"/>
    <w:rsid w:val="00065B5A"/>
    <w:rsid w:val="00065EC5"/>
    <w:rsid w:val="000666EF"/>
    <w:rsid w:val="000672DA"/>
    <w:rsid w:val="00070357"/>
    <w:rsid w:val="000709DE"/>
    <w:rsid w:val="00070A94"/>
    <w:rsid w:val="0007157C"/>
    <w:rsid w:val="00072822"/>
    <w:rsid w:val="0007370B"/>
    <w:rsid w:val="000739BD"/>
    <w:rsid w:val="00073C8E"/>
    <w:rsid w:val="000740A6"/>
    <w:rsid w:val="00074749"/>
    <w:rsid w:val="00074BBF"/>
    <w:rsid w:val="00074C67"/>
    <w:rsid w:val="00074C80"/>
    <w:rsid w:val="0007564E"/>
    <w:rsid w:val="0007591D"/>
    <w:rsid w:val="0007675F"/>
    <w:rsid w:val="00076E25"/>
    <w:rsid w:val="000771C1"/>
    <w:rsid w:val="00077D34"/>
    <w:rsid w:val="00077DE9"/>
    <w:rsid w:val="00080733"/>
    <w:rsid w:val="0008092A"/>
    <w:rsid w:val="000810D9"/>
    <w:rsid w:val="00081E0F"/>
    <w:rsid w:val="00081FBF"/>
    <w:rsid w:val="00083492"/>
    <w:rsid w:val="000835DC"/>
    <w:rsid w:val="0008437D"/>
    <w:rsid w:val="000858B6"/>
    <w:rsid w:val="00085A4C"/>
    <w:rsid w:val="00085F18"/>
    <w:rsid w:val="0008615E"/>
    <w:rsid w:val="000868DA"/>
    <w:rsid w:val="00087554"/>
    <w:rsid w:val="000876AB"/>
    <w:rsid w:val="00087717"/>
    <w:rsid w:val="0009060B"/>
    <w:rsid w:val="000916C4"/>
    <w:rsid w:val="00092162"/>
    <w:rsid w:val="00092BB6"/>
    <w:rsid w:val="00092BFE"/>
    <w:rsid w:val="000938CD"/>
    <w:rsid w:val="0009407D"/>
    <w:rsid w:val="00094B65"/>
    <w:rsid w:val="00094DEC"/>
    <w:rsid w:val="000951C4"/>
    <w:rsid w:val="000953CD"/>
    <w:rsid w:val="00095846"/>
    <w:rsid w:val="00095938"/>
    <w:rsid w:val="00095CC8"/>
    <w:rsid w:val="00095DA4"/>
    <w:rsid w:val="00096DEF"/>
    <w:rsid w:val="00096FDD"/>
    <w:rsid w:val="00097792"/>
    <w:rsid w:val="000A0301"/>
    <w:rsid w:val="000A0A89"/>
    <w:rsid w:val="000A0FB3"/>
    <w:rsid w:val="000A0FE3"/>
    <w:rsid w:val="000A103F"/>
    <w:rsid w:val="000A1360"/>
    <w:rsid w:val="000A1600"/>
    <w:rsid w:val="000A1791"/>
    <w:rsid w:val="000A21FD"/>
    <w:rsid w:val="000A28BB"/>
    <w:rsid w:val="000A2D70"/>
    <w:rsid w:val="000A39AE"/>
    <w:rsid w:val="000A3A40"/>
    <w:rsid w:val="000A3EE9"/>
    <w:rsid w:val="000A4825"/>
    <w:rsid w:val="000A48DD"/>
    <w:rsid w:val="000A4A24"/>
    <w:rsid w:val="000A56A6"/>
    <w:rsid w:val="000A5DF2"/>
    <w:rsid w:val="000A71D6"/>
    <w:rsid w:val="000A7461"/>
    <w:rsid w:val="000A78D3"/>
    <w:rsid w:val="000A7E73"/>
    <w:rsid w:val="000B04AA"/>
    <w:rsid w:val="000B04E1"/>
    <w:rsid w:val="000B107F"/>
    <w:rsid w:val="000B1832"/>
    <w:rsid w:val="000B21AA"/>
    <w:rsid w:val="000B228E"/>
    <w:rsid w:val="000B3E36"/>
    <w:rsid w:val="000B48B0"/>
    <w:rsid w:val="000B4F4F"/>
    <w:rsid w:val="000B4FB7"/>
    <w:rsid w:val="000B5048"/>
    <w:rsid w:val="000B5168"/>
    <w:rsid w:val="000B5623"/>
    <w:rsid w:val="000B6B27"/>
    <w:rsid w:val="000B7FCD"/>
    <w:rsid w:val="000C0622"/>
    <w:rsid w:val="000C076E"/>
    <w:rsid w:val="000C0EE3"/>
    <w:rsid w:val="000C1023"/>
    <w:rsid w:val="000C1032"/>
    <w:rsid w:val="000C165E"/>
    <w:rsid w:val="000C2A6A"/>
    <w:rsid w:val="000C316A"/>
    <w:rsid w:val="000C3C1D"/>
    <w:rsid w:val="000C46D4"/>
    <w:rsid w:val="000C5363"/>
    <w:rsid w:val="000C63CA"/>
    <w:rsid w:val="000C6AA5"/>
    <w:rsid w:val="000C7A85"/>
    <w:rsid w:val="000D2649"/>
    <w:rsid w:val="000D33DB"/>
    <w:rsid w:val="000D396A"/>
    <w:rsid w:val="000D40C4"/>
    <w:rsid w:val="000D4764"/>
    <w:rsid w:val="000D544F"/>
    <w:rsid w:val="000D556D"/>
    <w:rsid w:val="000D5B3E"/>
    <w:rsid w:val="000D62DC"/>
    <w:rsid w:val="000D6750"/>
    <w:rsid w:val="000D7046"/>
    <w:rsid w:val="000D73DA"/>
    <w:rsid w:val="000D7AC3"/>
    <w:rsid w:val="000D7B2A"/>
    <w:rsid w:val="000D7F0F"/>
    <w:rsid w:val="000D7F25"/>
    <w:rsid w:val="000E0160"/>
    <w:rsid w:val="000E0448"/>
    <w:rsid w:val="000E07B4"/>
    <w:rsid w:val="000E13C8"/>
    <w:rsid w:val="000E1C22"/>
    <w:rsid w:val="000E2054"/>
    <w:rsid w:val="000E208A"/>
    <w:rsid w:val="000E358D"/>
    <w:rsid w:val="000E3935"/>
    <w:rsid w:val="000E3F8F"/>
    <w:rsid w:val="000E463A"/>
    <w:rsid w:val="000E55EA"/>
    <w:rsid w:val="000E6A20"/>
    <w:rsid w:val="000E6B27"/>
    <w:rsid w:val="000E772D"/>
    <w:rsid w:val="000E77DB"/>
    <w:rsid w:val="000E7F3B"/>
    <w:rsid w:val="000F0C28"/>
    <w:rsid w:val="000F1442"/>
    <w:rsid w:val="000F1BC2"/>
    <w:rsid w:val="000F1FD1"/>
    <w:rsid w:val="000F251D"/>
    <w:rsid w:val="000F6401"/>
    <w:rsid w:val="000F66F1"/>
    <w:rsid w:val="000F7804"/>
    <w:rsid w:val="001013C1"/>
    <w:rsid w:val="001027F1"/>
    <w:rsid w:val="00102952"/>
    <w:rsid w:val="00102B6C"/>
    <w:rsid w:val="00102CE0"/>
    <w:rsid w:val="001034B0"/>
    <w:rsid w:val="001038AC"/>
    <w:rsid w:val="00103AD1"/>
    <w:rsid w:val="00104222"/>
    <w:rsid w:val="00104CD4"/>
    <w:rsid w:val="0010642C"/>
    <w:rsid w:val="001106B2"/>
    <w:rsid w:val="0011093D"/>
    <w:rsid w:val="001116F8"/>
    <w:rsid w:val="00112613"/>
    <w:rsid w:val="00113CCA"/>
    <w:rsid w:val="00114593"/>
    <w:rsid w:val="00114721"/>
    <w:rsid w:val="00114CD1"/>
    <w:rsid w:val="00116C5E"/>
    <w:rsid w:val="00116F71"/>
    <w:rsid w:val="0011714D"/>
    <w:rsid w:val="00117F7C"/>
    <w:rsid w:val="00120312"/>
    <w:rsid w:val="00120B70"/>
    <w:rsid w:val="00120D03"/>
    <w:rsid w:val="00121732"/>
    <w:rsid w:val="0012357A"/>
    <w:rsid w:val="001247C4"/>
    <w:rsid w:val="00125137"/>
    <w:rsid w:val="00125A41"/>
    <w:rsid w:val="00125BA0"/>
    <w:rsid w:val="00125BC4"/>
    <w:rsid w:val="00126BE8"/>
    <w:rsid w:val="00127A04"/>
    <w:rsid w:val="00127D3E"/>
    <w:rsid w:val="00130439"/>
    <w:rsid w:val="001309D2"/>
    <w:rsid w:val="00131E8D"/>
    <w:rsid w:val="00132D1A"/>
    <w:rsid w:val="00133B31"/>
    <w:rsid w:val="00133E8F"/>
    <w:rsid w:val="0013402A"/>
    <w:rsid w:val="001349E0"/>
    <w:rsid w:val="001351D3"/>
    <w:rsid w:val="0013667A"/>
    <w:rsid w:val="001379BC"/>
    <w:rsid w:val="00137E5A"/>
    <w:rsid w:val="00140094"/>
    <w:rsid w:val="00140F15"/>
    <w:rsid w:val="001413B0"/>
    <w:rsid w:val="0014178D"/>
    <w:rsid w:val="00141D9D"/>
    <w:rsid w:val="001432C7"/>
    <w:rsid w:val="001444CD"/>
    <w:rsid w:val="0014475E"/>
    <w:rsid w:val="00144EDC"/>
    <w:rsid w:val="0014557B"/>
    <w:rsid w:val="0014625B"/>
    <w:rsid w:val="00146832"/>
    <w:rsid w:val="00146F7E"/>
    <w:rsid w:val="001472C4"/>
    <w:rsid w:val="0014757D"/>
    <w:rsid w:val="00147818"/>
    <w:rsid w:val="001479A4"/>
    <w:rsid w:val="0015065A"/>
    <w:rsid w:val="00150C33"/>
    <w:rsid w:val="001510EF"/>
    <w:rsid w:val="00151A72"/>
    <w:rsid w:val="00151DD6"/>
    <w:rsid w:val="00151EB3"/>
    <w:rsid w:val="0015332D"/>
    <w:rsid w:val="00153ABD"/>
    <w:rsid w:val="00154DCA"/>
    <w:rsid w:val="00155C92"/>
    <w:rsid w:val="0015642C"/>
    <w:rsid w:val="0016039A"/>
    <w:rsid w:val="001606D6"/>
    <w:rsid w:val="0016177D"/>
    <w:rsid w:val="00161CA2"/>
    <w:rsid w:val="00163F10"/>
    <w:rsid w:val="0016422A"/>
    <w:rsid w:val="001643B9"/>
    <w:rsid w:val="00164AA3"/>
    <w:rsid w:val="00164E0C"/>
    <w:rsid w:val="00164E11"/>
    <w:rsid w:val="00165A3B"/>
    <w:rsid w:val="00166733"/>
    <w:rsid w:val="001704F0"/>
    <w:rsid w:val="00171305"/>
    <w:rsid w:val="00171347"/>
    <w:rsid w:val="00171570"/>
    <w:rsid w:val="00171B37"/>
    <w:rsid w:val="00171B77"/>
    <w:rsid w:val="00171CB4"/>
    <w:rsid w:val="00172076"/>
    <w:rsid w:val="001720B0"/>
    <w:rsid w:val="00172481"/>
    <w:rsid w:val="00172B9C"/>
    <w:rsid w:val="00172E42"/>
    <w:rsid w:val="00173109"/>
    <w:rsid w:val="00175010"/>
    <w:rsid w:val="00175766"/>
    <w:rsid w:val="00175F48"/>
    <w:rsid w:val="001767C1"/>
    <w:rsid w:val="00176B7E"/>
    <w:rsid w:val="001774B2"/>
    <w:rsid w:val="00180014"/>
    <w:rsid w:val="00180BCC"/>
    <w:rsid w:val="001810B1"/>
    <w:rsid w:val="00181164"/>
    <w:rsid w:val="00181D02"/>
    <w:rsid w:val="00181E2D"/>
    <w:rsid w:val="00181EE8"/>
    <w:rsid w:val="00182189"/>
    <w:rsid w:val="001829B3"/>
    <w:rsid w:val="00182F84"/>
    <w:rsid w:val="001833D8"/>
    <w:rsid w:val="00183A56"/>
    <w:rsid w:val="00183E88"/>
    <w:rsid w:val="001841EA"/>
    <w:rsid w:val="00184B26"/>
    <w:rsid w:val="0018559F"/>
    <w:rsid w:val="0018660F"/>
    <w:rsid w:val="0018728C"/>
    <w:rsid w:val="0018788D"/>
    <w:rsid w:val="001879EB"/>
    <w:rsid w:val="0019002C"/>
    <w:rsid w:val="0019016C"/>
    <w:rsid w:val="001907B5"/>
    <w:rsid w:val="00190B5B"/>
    <w:rsid w:val="00190F48"/>
    <w:rsid w:val="00191066"/>
    <w:rsid w:val="00191198"/>
    <w:rsid w:val="00192941"/>
    <w:rsid w:val="00192D2F"/>
    <w:rsid w:val="0019319A"/>
    <w:rsid w:val="001932B3"/>
    <w:rsid w:val="00193713"/>
    <w:rsid w:val="00193C1F"/>
    <w:rsid w:val="00193E53"/>
    <w:rsid w:val="00194661"/>
    <w:rsid w:val="0019493E"/>
    <w:rsid w:val="00194FBF"/>
    <w:rsid w:val="001953C3"/>
    <w:rsid w:val="00196A27"/>
    <w:rsid w:val="001A000A"/>
    <w:rsid w:val="001A001E"/>
    <w:rsid w:val="001A0219"/>
    <w:rsid w:val="001A03AD"/>
    <w:rsid w:val="001A10FC"/>
    <w:rsid w:val="001A186E"/>
    <w:rsid w:val="001A1A35"/>
    <w:rsid w:val="001A1D82"/>
    <w:rsid w:val="001A280C"/>
    <w:rsid w:val="001A33DF"/>
    <w:rsid w:val="001A3AB1"/>
    <w:rsid w:val="001A4BE7"/>
    <w:rsid w:val="001A61CC"/>
    <w:rsid w:val="001A6CF3"/>
    <w:rsid w:val="001B02F9"/>
    <w:rsid w:val="001B03DF"/>
    <w:rsid w:val="001B043D"/>
    <w:rsid w:val="001B092A"/>
    <w:rsid w:val="001B0982"/>
    <w:rsid w:val="001B138F"/>
    <w:rsid w:val="001B13AA"/>
    <w:rsid w:val="001B17B6"/>
    <w:rsid w:val="001B3CBB"/>
    <w:rsid w:val="001B4709"/>
    <w:rsid w:val="001B550C"/>
    <w:rsid w:val="001B632B"/>
    <w:rsid w:val="001B7E4E"/>
    <w:rsid w:val="001C0210"/>
    <w:rsid w:val="001C049C"/>
    <w:rsid w:val="001C193B"/>
    <w:rsid w:val="001C2146"/>
    <w:rsid w:val="001C2D16"/>
    <w:rsid w:val="001C2D59"/>
    <w:rsid w:val="001C2FAF"/>
    <w:rsid w:val="001C44D7"/>
    <w:rsid w:val="001C4A71"/>
    <w:rsid w:val="001C4B81"/>
    <w:rsid w:val="001C54C9"/>
    <w:rsid w:val="001C59F3"/>
    <w:rsid w:val="001C675D"/>
    <w:rsid w:val="001C69A6"/>
    <w:rsid w:val="001C6E60"/>
    <w:rsid w:val="001C71B0"/>
    <w:rsid w:val="001D0438"/>
    <w:rsid w:val="001D0C89"/>
    <w:rsid w:val="001D1C9B"/>
    <w:rsid w:val="001D2AF1"/>
    <w:rsid w:val="001D314B"/>
    <w:rsid w:val="001D33DA"/>
    <w:rsid w:val="001D4180"/>
    <w:rsid w:val="001D528A"/>
    <w:rsid w:val="001D5C9A"/>
    <w:rsid w:val="001D5EBF"/>
    <w:rsid w:val="001D6C52"/>
    <w:rsid w:val="001D7C68"/>
    <w:rsid w:val="001E00FE"/>
    <w:rsid w:val="001E1077"/>
    <w:rsid w:val="001E1CEE"/>
    <w:rsid w:val="001E1FDE"/>
    <w:rsid w:val="001E30A9"/>
    <w:rsid w:val="001E3D76"/>
    <w:rsid w:val="001E45B8"/>
    <w:rsid w:val="001E47D1"/>
    <w:rsid w:val="001E4A2E"/>
    <w:rsid w:val="001E4CB5"/>
    <w:rsid w:val="001E6062"/>
    <w:rsid w:val="001E6206"/>
    <w:rsid w:val="001E6E5C"/>
    <w:rsid w:val="001E71EF"/>
    <w:rsid w:val="001E7C6B"/>
    <w:rsid w:val="001F0CD7"/>
    <w:rsid w:val="001F1288"/>
    <w:rsid w:val="001F1AF2"/>
    <w:rsid w:val="001F1E0D"/>
    <w:rsid w:val="001F2ECA"/>
    <w:rsid w:val="001F30F9"/>
    <w:rsid w:val="001F35F9"/>
    <w:rsid w:val="001F41ED"/>
    <w:rsid w:val="001F45EF"/>
    <w:rsid w:val="001F4D32"/>
    <w:rsid w:val="001F52BD"/>
    <w:rsid w:val="001F593F"/>
    <w:rsid w:val="001F5C91"/>
    <w:rsid w:val="001F63AD"/>
    <w:rsid w:val="001F702B"/>
    <w:rsid w:val="001F7309"/>
    <w:rsid w:val="001F7A2D"/>
    <w:rsid w:val="002005E2"/>
    <w:rsid w:val="00200CB7"/>
    <w:rsid w:val="00202206"/>
    <w:rsid w:val="0020299A"/>
    <w:rsid w:val="00202C19"/>
    <w:rsid w:val="00202F05"/>
    <w:rsid w:val="00203778"/>
    <w:rsid w:val="00203D40"/>
    <w:rsid w:val="00203FB7"/>
    <w:rsid w:val="0020400F"/>
    <w:rsid w:val="00204120"/>
    <w:rsid w:val="00204F26"/>
    <w:rsid w:val="00205219"/>
    <w:rsid w:val="002054A8"/>
    <w:rsid w:val="00205BE6"/>
    <w:rsid w:val="002061B6"/>
    <w:rsid w:val="002064B6"/>
    <w:rsid w:val="00206750"/>
    <w:rsid w:val="00206D7C"/>
    <w:rsid w:val="002076BC"/>
    <w:rsid w:val="00207C3D"/>
    <w:rsid w:val="00210450"/>
    <w:rsid w:val="00210AD3"/>
    <w:rsid w:val="00210BD4"/>
    <w:rsid w:val="0021146C"/>
    <w:rsid w:val="00211FE4"/>
    <w:rsid w:val="0021214D"/>
    <w:rsid w:val="00212F21"/>
    <w:rsid w:val="00213276"/>
    <w:rsid w:val="00213A0E"/>
    <w:rsid w:val="00213EE1"/>
    <w:rsid w:val="00214D0D"/>
    <w:rsid w:val="00215571"/>
    <w:rsid w:val="0021573B"/>
    <w:rsid w:val="00215875"/>
    <w:rsid w:val="00215919"/>
    <w:rsid w:val="00216012"/>
    <w:rsid w:val="00216B1F"/>
    <w:rsid w:val="00216E9C"/>
    <w:rsid w:val="00220D6D"/>
    <w:rsid w:val="00220DEE"/>
    <w:rsid w:val="00221245"/>
    <w:rsid w:val="0022175E"/>
    <w:rsid w:val="00221CDB"/>
    <w:rsid w:val="002225C6"/>
    <w:rsid w:val="00222C52"/>
    <w:rsid w:val="00222F35"/>
    <w:rsid w:val="00223DC7"/>
    <w:rsid w:val="002243C1"/>
    <w:rsid w:val="00224BAF"/>
    <w:rsid w:val="00225759"/>
    <w:rsid w:val="002257F8"/>
    <w:rsid w:val="0022583A"/>
    <w:rsid w:val="00225925"/>
    <w:rsid w:val="00226A2D"/>
    <w:rsid w:val="0022762A"/>
    <w:rsid w:val="00230095"/>
    <w:rsid w:val="00230427"/>
    <w:rsid w:val="00230D7C"/>
    <w:rsid w:val="0023103A"/>
    <w:rsid w:val="00231140"/>
    <w:rsid w:val="0023241D"/>
    <w:rsid w:val="002328B7"/>
    <w:rsid w:val="00232C25"/>
    <w:rsid w:val="0023376C"/>
    <w:rsid w:val="00234276"/>
    <w:rsid w:val="00234873"/>
    <w:rsid w:val="00235EF7"/>
    <w:rsid w:val="00236436"/>
    <w:rsid w:val="00236582"/>
    <w:rsid w:val="00236681"/>
    <w:rsid w:val="00237AA7"/>
    <w:rsid w:val="00240242"/>
    <w:rsid w:val="00240374"/>
    <w:rsid w:val="0024083F"/>
    <w:rsid w:val="00240A55"/>
    <w:rsid w:val="00240E9B"/>
    <w:rsid w:val="00241A2D"/>
    <w:rsid w:val="00241ACE"/>
    <w:rsid w:val="00241E5B"/>
    <w:rsid w:val="002428C8"/>
    <w:rsid w:val="002432DF"/>
    <w:rsid w:val="0024356C"/>
    <w:rsid w:val="00243A9D"/>
    <w:rsid w:val="00244E5A"/>
    <w:rsid w:val="00245893"/>
    <w:rsid w:val="00246842"/>
    <w:rsid w:val="00246CAE"/>
    <w:rsid w:val="0024762E"/>
    <w:rsid w:val="00247CD3"/>
    <w:rsid w:val="0025007B"/>
    <w:rsid w:val="0025066A"/>
    <w:rsid w:val="00250ECC"/>
    <w:rsid w:val="00251CE9"/>
    <w:rsid w:val="00252C3F"/>
    <w:rsid w:val="0025373E"/>
    <w:rsid w:val="00253CF4"/>
    <w:rsid w:val="00254C34"/>
    <w:rsid w:val="00254CCE"/>
    <w:rsid w:val="00254F8A"/>
    <w:rsid w:val="002559A5"/>
    <w:rsid w:val="00256759"/>
    <w:rsid w:val="00256AC9"/>
    <w:rsid w:val="0025761B"/>
    <w:rsid w:val="00257CF5"/>
    <w:rsid w:val="00257DF9"/>
    <w:rsid w:val="00260074"/>
    <w:rsid w:val="00260791"/>
    <w:rsid w:val="00260E92"/>
    <w:rsid w:val="0026112E"/>
    <w:rsid w:val="002627B2"/>
    <w:rsid w:val="002632F7"/>
    <w:rsid w:val="002635C0"/>
    <w:rsid w:val="00263FAA"/>
    <w:rsid w:val="002641AC"/>
    <w:rsid w:val="00264BE4"/>
    <w:rsid w:val="00264C02"/>
    <w:rsid w:val="00264F9A"/>
    <w:rsid w:val="00265BD9"/>
    <w:rsid w:val="002666F9"/>
    <w:rsid w:val="00267518"/>
    <w:rsid w:val="002676D2"/>
    <w:rsid w:val="00270291"/>
    <w:rsid w:val="00272028"/>
    <w:rsid w:val="002724E2"/>
    <w:rsid w:val="00272A74"/>
    <w:rsid w:val="00272EBA"/>
    <w:rsid w:val="002754D5"/>
    <w:rsid w:val="002758BC"/>
    <w:rsid w:val="00276270"/>
    <w:rsid w:val="00276271"/>
    <w:rsid w:val="002769AD"/>
    <w:rsid w:val="00276C54"/>
    <w:rsid w:val="002772AD"/>
    <w:rsid w:val="00277890"/>
    <w:rsid w:val="00277EEF"/>
    <w:rsid w:val="0028035B"/>
    <w:rsid w:val="002819DD"/>
    <w:rsid w:val="002827C0"/>
    <w:rsid w:val="0028322E"/>
    <w:rsid w:val="002839CD"/>
    <w:rsid w:val="002844DD"/>
    <w:rsid w:val="00284781"/>
    <w:rsid w:val="002848E5"/>
    <w:rsid w:val="00284E0D"/>
    <w:rsid w:val="002858A3"/>
    <w:rsid w:val="00286D8D"/>
    <w:rsid w:val="00287270"/>
    <w:rsid w:val="0028778E"/>
    <w:rsid w:val="002904F5"/>
    <w:rsid w:val="00290A58"/>
    <w:rsid w:val="00290B67"/>
    <w:rsid w:val="00290CB2"/>
    <w:rsid w:val="00291A68"/>
    <w:rsid w:val="00291A7A"/>
    <w:rsid w:val="0029366C"/>
    <w:rsid w:val="00293B40"/>
    <w:rsid w:val="002940A8"/>
    <w:rsid w:val="00294961"/>
    <w:rsid w:val="00294C5F"/>
    <w:rsid w:val="00294CC4"/>
    <w:rsid w:val="00295B8E"/>
    <w:rsid w:val="00295D79"/>
    <w:rsid w:val="0029696E"/>
    <w:rsid w:val="00297743"/>
    <w:rsid w:val="002977D5"/>
    <w:rsid w:val="002A1D22"/>
    <w:rsid w:val="002A2094"/>
    <w:rsid w:val="002A2195"/>
    <w:rsid w:val="002A28E3"/>
    <w:rsid w:val="002A293B"/>
    <w:rsid w:val="002A2FFC"/>
    <w:rsid w:val="002A3773"/>
    <w:rsid w:val="002A37BA"/>
    <w:rsid w:val="002A3BE4"/>
    <w:rsid w:val="002A4B49"/>
    <w:rsid w:val="002A519A"/>
    <w:rsid w:val="002A5478"/>
    <w:rsid w:val="002A5568"/>
    <w:rsid w:val="002A663D"/>
    <w:rsid w:val="002A6963"/>
    <w:rsid w:val="002A697B"/>
    <w:rsid w:val="002A6C82"/>
    <w:rsid w:val="002A7494"/>
    <w:rsid w:val="002B1B32"/>
    <w:rsid w:val="002B233C"/>
    <w:rsid w:val="002B38A8"/>
    <w:rsid w:val="002B3CBA"/>
    <w:rsid w:val="002B41CA"/>
    <w:rsid w:val="002B4727"/>
    <w:rsid w:val="002B50AF"/>
    <w:rsid w:val="002B6A5C"/>
    <w:rsid w:val="002B6E77"/>
    <w:rsid w:val="002B7319"/>
    <w:rsid w:val="002C07A5"/>
    <w:rsid w:val="002C0E57"/>
    <w:rsid w:val="002C1B63"/>
    <w:rsid w:val="002C1E85"/>
    <w:rsid w:val="002C2F12"/>
    <w:rsid w:val="002C308E"/>
    <w:rsid w:val="002C513D"/>
    <w:rsid w:val="002C51D6"/>
    <w:rsid w:val="002C62CE"/>
    <w:rsid w:val="002C69F3"/>
    <w:rsid w:val="002C6E09"/>
    <w:rsid w:val="002C7404"/>
    <w:rsid w:val="002C7C48"/>
    <w:rsid w:val="002D000C"/>
    <w:rsid w:val="002D18E5"/>
    <w:rsid w:val="002D1D9E"/>
    <w:rsid w:val="002D2E57"/>
    <w:rsid w:val="002D429E"/>
    <w:rsid w:val="002D5333"/>
    <w:rsid w:val="002D58C0"/>
    <w:rsid w:val="002D7001"/>
    <w:rsid w:val="002D7489"/>
    <w:rsid w:val="002D7D7C"/>
    <w:rsid w:val="002E0506"/>
    <w:rsid w:val="002E05A7"/>
    <w:rsid w:val="002E139B"/>
    <w:rsid w:val="002E1A02"/>
    <w:rsid w:val="002E1EE0"/>
    <w:rsid w:val="002E3D8C"/>
    <w:rsid w:val="002E42BF"/>
    <w:rsid w:val="002E5629"/>
    <w:rsid w:val="002E5833"/>
    <w:rsid w:val="002E5BED"/>
    <w:rsid w:val="002E5CBD"/>
    <w:rsid w:val="002E6165"/>
    <w:rsid w:val="002E6257"/>
    <w:rsid w:val="002E653C"/>
    <w:rsid w:val="002E6C41"/>
    <w:rsid w:val="002E6D76"/>
    <w:rsid w:val="002E6FED"/>
    <w:rsid w:val="002E7B97"/>
    <w:rsid w:val="002F0D42"/>
    <w:rsid w:val="002F12B0"/>
    <w:rsid w:val="002F1675"/>
    <w:rsid w:val="002F185C"/>
    <w:rsid w:val="002F1AC1"/>
    <w:rsid w:val="002F3EAE"/>
    <w:rsid w:val="002F3FDD"/>
    <w:rsid w:val="002F433F"/>
    <w:rsid w:val="002F437B"/>
    <w:rsid w:val="002F441F"/>
    <w:rsid w:val="002F45A7"/>
    <w:rsid w:val="002F492C"/>
    <w:rsid w:val="002F4EE9"/>
    <w:rsid w:val="002F52F4"/>
    <w:rsid w:val="002F62E0"/>
    <w:rsid w:val="002F6530"/>
    <w:rsid w:val="002F76BB"/>
    <w:rsid w:val="003003AA"/>
    <w:rsid w:val="003009FB"/>
    <w:rsid w:val="003020BF"/>
    <w:rsid w:val="0030264D"/>
    <w:rsid w:val="00302768"/>
    <w:rsid w:val="00302DE3"/>
    <w:rsid w:val="00302ED2"/>
    <w:rsid w:val="00302EE8"/>
    <w:rsid w:val="00304892"/>
    <w:rsid w:val="00304A1E"/>
    <w:rsid w:val="0030520C"/>
    <w:rsid w:val="00306638"/>
    <w:rsid w:val="00306BAC"/>
    <w:rsid w:val="00307158"/>
    <w:rsid w:val="003074CE"/>
    <w:rsid w:val="0030791A"/>
    <w:rsid w:val="00307A22"/>
    <w:rsid w:val="00307C54"/>
    <w:rsid w:val="003104E4"/>
    <w:rsid w:val="00310610"/>
    <w:rsid w:val="00310A81"/>
    <w:rsid w:val="0031204C"/>
    <w:rsid w:val="00312636"/>
    <w:rsid w:val="003130E3"/>
    <w:rsid w:val="00313FC5"/>
    <w:rsid w:val="0031552C"/>
    <w:rsid w:val="00315C43"/>
    <w:rsid w:val="00317062"/>
    <w:rsid w:val="0032009F"/>
    <w:rsid w:val="003206A7"/>
    <w:rsid w:val="00320F38"/>
    <w:rsid w:val="0032145A"/>
    <w:rsid w:val="00322276"/>
    <w:rsid w:val="003228C2"/>
    <w:rsid w:val="00322F55"/>
    <w:rsid w:val="003236DC"/>
    <w:rsid w:val="00323951"/>
    <w:rsid w:val="00323997"/>
    <w:rsid w:val="00323CD4"/>
    <w:rsid w:val="00323D29"/>
    <w:rsid w:val="003252C4"/>
    <w:rsid w:val="00325DE2"/>
    <w:rsid w:val="00325FCA"/>
    <w:rsid w:val="00326113"/>
    <w:rsid w:val="003268A4"/>
    <w:rsid w:val="00326F07"/>
    <w:rsid w:val="00327D3A"/>
    <w:rsid w:val="00327D52"/>
    <w:rsid w:val="00330C53"/>
    <w:rsid w:val="00330D32"/>
    <w:rsid w:val="00331214"/>
    <w:rsid w:val="003316DE"/>
    <w:rsid w:val="00331927"/>
    <w:rsid w:val="00331E93"/>
    <w:rsid w:val="00331FD4"/>
    <w:rsid w:val="00332A25"/>
    <w:rsid w:val="003333BD"/>
    <w:rsid w:val="0033395B"/>
    <w:rsid w:val="00334160"/>
    <w:rsid w:val="00334D6C"/>
    <w:rsid w:val="00335A80"/>
    <w:rsid w:val="00335B81"/>
    <w:rsid w:val="00336065"/>
    <w:rsid w:val="003369CD"/>
    <w:rsid w:val="00337284"/>
    <w:rsid w:val="00337ECE"/>
    <w:rsid w:val="00340B6E"/>
    <w:rsid w:val="003412E1"/>
    <w:rsid w:val="00341AB2"/>
    <w:rsid w:val="003421C2"/>
    <w:rsid w:val="003422A3"/>
    <w:rsid w:val="00342372"/>
    <w:rsid w:val="00342A4D"/>
    <w:rsid w:val="00343493"/>
    <w:rsid w:val="00343C70"/>
    <w:rsid w:val="00343D2A"/>
    <w:rsid w:val="00344151"/>
    <w:rsid w:val="00344758"/>
    <w:rsid w:val="00344E7F"/>
    <w:rsid w:val="00344ED6"/>
    <w:rsid w:val="003450E5"/>
    <w:rsid w:val="003452BE"/>
    <w:rsid w:val="0034587C"/>
    <w:rsid w:val="00347281"/>
    <w:rsid w:val="003477EC"/>
    <w:rsid w:val="0034782D"/>
    <w:rsid w:val="003510E6"/>
    <w:rsid w:val="003518C4"/>
    <w:rsid w:val="0035193F"/>
    <w:rsid w:val="00354C7A"/>
    <w:rsid w:val="00355955"/>
    <w:rsid w:val="00355A4A"/>
    <w:rsid w:val="003563FD"/>
    <w:rsid w:val="003568A0"/>
    <w:rsid w:val="00360117"/>
    <w:rsid w:val="00361755"/>
    <w:rsid w:val="00361759"/>
    <w:rsid w:val="00361D5B"/>
    <w:rsid w:val="00361F1E"/>
    <w:rsid w:val="00362CB2"/>
    <w:rsid w:val="003631E8"/>
    <w:rsid w:val="00363C7B"/>
    <w:rsid w:val="00363E41"/>
    <w:rsid w:val="00364A26"/>
    <w:rsid w:val="00365AFF"/>
    <w:rsid w:val="003666CC"/>
    <w:rsid w:val="003670F8"/>
    <w:rsid w:val="003677D1"/>
    <w:rsid w:val="003678EB"/>
    <w:rsid w:val="00370230"/>
    <w:rsid w:val="003713DA"/>
    <w:rsid w:val="00373E0F"/>
    <w:rsid w:val="0037400E"/>
    <w:rsid w:val="00374405"/>
    <w:rsid w:val="00375066"/>
    <w:rsid w:val="003761A8"/>
    <w:rsid w:val="003765C6"/>
    <w:rsid w:val="00377440"/>
    <w:rsid w:val="00377499"/>
    <w:rsid w:val="00377B7E"/>
    <w:rsid w:val="00381E8A"/>
    <w:rsid w:val="00381ED0"/>
    <w:rsid w:val="00383561"/>
    <w:rsid w:val="00383730"/>
    <w:rsid w:val="003842C5"/>
    <w:rsid w:val="00384D12"/>
    <w:rsid w:val="00385956"/>
    <w:rsid w:val="00385CD5"/>
    <w:rsid w:val="00386294"/>
    <w:rsid w:val="00386683"/>
    <w:rsid w:val="003868A0"/>
    <w:rsid w:val="00386BA6"/>
    <w:rsid w:val="00387A1B"/>
    <w:rsid w:val="003902A2"/>
    <w:rsid w:val="0039046A"/>
    <w:rsid w:val="00390AD7"/>
    <w:rsid w:val="0039116A"/>
    <w:rsid w:val="00391572"/>
    <w:rsid w:val="00391F31"/>
    <w:rsid w:val="003921D7"/>
    <w:rsid w:val="0039329D"/>
    <w:rsid w:val="00393DCC"/>
    <w:rsid w:val="0039423E"/>
    <w:rsid w:val="0039536A"/>
    <w:rsid w:val="003953D3"/>
    <w:rsid w:val="00395AA4"/>
    <w:rsid w:val="00396C12"/>
    <w:rsid w:val="00396D2B"/>
    <w:rsid w:val="003A0EC6"/>
    <w:rsid w:val="003A1545"/>
    <w:rsid w:val="003A1A62"/>
    <w:rsid w:val="003A2D1D"/>
    <w:rsid w:val="003A30EC"/>
    <w:rsid w:val="003A35B0"/>
    <w:rsid w:val="003A35FC"/>
    <w:rsid w:val="003A36F9"/>
    <w:rsid w:val="003A386A"/>
    <w:rsid w:val="003A4E85"/>
    <w:rsid w:val="003A6155"/>
    <w:rsid w:val="003A6470"/>
    <w:rsid w:val="003B01A5"/>
    <w:rsid w:val="003B037B"/>
    <w:rsid w:val="003B046A"/>
    <w:rsid w:val="003B071C"/>
    <w:rsid w:val="003B0960"/>
    <w:rsid w:val="003B0DBD"/>
    <w:rsid w:val="003B2B40"/>
    <w:rsid w:val="003B2ECB"/>
    <w:rsid w:val="003B3ABF"/>
    <w:rsid w:val="003B5217"/>
    <w:rsid w:val="003B53D4"/>
    <w:rsid w:val="003B6B70"/>
    <w:rsid w:val="003B74C0"/>
    <w:rsid w:val="003B760D"/>
    <w:rsid w:val="003B76ED"/>
    <w:rsid w:val="003C003D"/>
    <w:rsid w:val="003C196B"/>
    <w:rsid w:val="003C2AB2"/>
    <w:rsid w:val="003C2F8D"/>
    <w:rsid w:val="003C4B72"/>
    <w:rsid w:val="003C5EEC"/>
    <w:rsid w:val="003C6619"/>
    <w:rsid w:val="003C673B"/>
    <w:rsid w:val="003C691A"/>
    <w:rsid w:val="003C6E67"/>
    <w:rsid w:val="003C795D"/>
    <w:rsid w:val="003C79B9"/>
    <w:rsid w:val="003C7C23"/>
    <w:rsid w:val="003D160C"/>
    <w:rsid w:val="003D1D47"/>
    <w:rsid w:val="003D253F"/>
    <w:rsid w:val="003D281D"/>
    <w:rsid w:val="003D4A53"/>
    <w:rsid w:val="003D4B41"/>
    <w:rsid w:val="003D5AF6"/>
    <w:rsid w:val="003D6203"/>
    <w:rsid w:val="003D637F"/>
    <w:rsid w:val="003D6E35"/>
    <w:rsid w:val="003D7A4A"/>
    <w:rsid w:val="003E0760"/>
    <w:rsid w:val="003E1104"/>
    <w:rsid w:val="003E17F5"/>
    <w:rsid w:val="003E1AE6"/>
    <w:rsid w:val="003E244E"/>
    <w:rsid w:val="003E2CBC"/>
    <w:rsid w:val="003E2E95"/>
    <w:rsid w:val="003E2FF0"/>
    <w:rsid w:val="003E3A14"/>
    <w:rsid w:val="003E405F"/>
    <w:rsid w:val="003E41CD"/>
    <w:rsid w:val="003E448E"/>
    <w:rsid w:val="003E4AAA"/>
    <w:rsid w:val="003E535B"/>
    <w:rsid w:val="003E5874"/>
    <w:rsid w:val="003E5D3D"/>
    <w:rsid w:val="003E5F57"/>
    <w:rsid w:val="003E6E44"/>
    <w:rsid w:val="003E775A"/>
    <w:rsid w:val="003F0798"/>
    <w:rsid w:val="003F109E"/>
    <w:rsid w:val="003F2408"/>
    <w:rsid w:val="003F243D"/>
    <w:rsid w:val="003F2968"/>
    <w:rsid w:val="003F2E3E"/>
    <w:rsid w:val="003F3113"/>
    <w:rsid w:val="003F3825"/>
    <w:rsid w:val="003F38A3"/>
    <w:rsid w:val="003F3F58"/>
    <w:rsid w:val="003F5EDC"/>
    <w:rsid w:val="003F6215"/>
    <w:rsid w:val="003F6F88"/>
    <w:rsid w:val="003F74CB"/>
    <w:rsid w:val="003F7AEC"/>
    <w:rsid w:val="003F7E4F"/>
    <w:rsid w:val="00400B60"/>
    <w:rsid w:val="00401354"/>
    <w:rsid w:val="00401FA3"/>
    <w:rsid w:val="0040236F"/>
    <w:rsid w:val="004023D8"/>
    <w:rsid w:val="00402BE1"/>
    <w:rsid w:val="004039F5"/>
    <w:rsid w:val="00403B6B"/>
    <w:rsid w:val="00403D1D"/>
    <w:rsid w:val="00405158"/>
    <w:rsid w:val="00406886"/>
    <w:rsid w:val="00406EC2"/>
    <w:rsid w:val="0041001D"/>
    <w:rsid w:val="004103CC"/>
    <w:rsid w:val="004107F9"/>
    <w:rsid w:val="004114E1"/>
    <w:rsid w:val="00411A2D"/>
    <w:rsid w:val="004121A9"/>
    <w:rsid w:val="00412363"/>
    <w:rsid w:val="00412992"/>
    <w:rsid w:val="00413250"/>
    <w:rsid w:val="004138AF"/>
    <w:rsid w:val="00413CE6"/>
    <w:rsid w:val="004154EA"/>
    <w:rsid w:val="00416B4F"/>
    <w:rsid w:val="0041717F"/>
    <w:rsid w:val="004179F1"/>
    <w:rsid w:val="00420360"/>
    <w:rsid w:val="004208DF"/>
    <w:rsid w:val="00420C25"/>
    <w:rsid w:val="00421029"/>
    <w:rsid w:val="00423C3A"/>
    <w:rsid w:val="0042468F"/>
    <w:rsid w:val="004254AB"/>
    <w:rsid w:val="0042565F"/>
    <w:rsid w:val="00425F3D"/>
    <w:rsid w:val="00426D20"/>
    <w:rsid w:val="004270EE"/>
    <w:rsid w:val="00427371"/>
    <w:rsid w:val="0042739C"/>
    <w:rsid w:val="00427864"/>
    <w:rsid w:val="0042790B"/>
    <w:rsid w:val="00430175"/>
    <w:rsid w:val="00430F08"/>
    <w:rsid w:val="00430FEB"/>
    <w:rsid w:val="00431035"/>
    <w:rsid w:val="004312C1"/>
    <w:rsid w:val="00435A9F"/>
    <w:rsid w:val="00436CCF"/>
    <w:rsid w:val="00437074"/>
    <w:rsid w:val="00440856"/>
    <w:rsid w:val="00442093"/>
    <w:rsid w:val="00442C1C"/>
    <w:rsid w:val="00443185"/>
    <w:rsid w:val="00443375"/>
    <w:rsid w:val="00443A94"/>
    <w:rsid w:val="004452F0"/>
    <w:rsid w:val="00445328"/>
    <w:rsid w:val="004455DC"/>
    <w:rsid w:val="00446204"/>
    <w:rsid w:val="004465E7"/>
    <w:rsid w:val="0044777F"/>
    <w:rsid w:val="00452738"/>
    <w:rsid w:val="00452F0B"/>
    <w:rsid w:val="0045349A"/>
    <w:rsid w:val="0045460C"/>
    <w:rsid w:val="00454788"/>
    <w:rsid w:val="00455015"/>
    <w:rsid w:val="00455096"/>
    <w:rsid w:val="004553A7"/>
    <w:rsid w:val="00455A8D"/>
    <w:rsid w:val="00456A61"/>
    <w:rsid w:val="00456FF0"/>
    <w:rsid w:val="00457EC4"/>
    <w:rsid w:val="00460376"/>
    <w:rsid w:val="004608D9"/>
    <w:rsid w:val="00462CC8"/>
    <w:rsid w:val="0046302D"/>
    <w:rsid w:val="00463270"/>
    <w:rsid w:val="0046344D"/>
    <w:rsid w:val="0046368E"/>
    <w:rsid w:val="00463F4B"/>
    <w:rsid w:val="00464117"/>
    <w:rsid w:val="00466149"/>
    <w:rsid w:val="00466902"/>
    <w:rsid w:val="00467119"/>
    <w:rsid w:val="0046767A"/>
    <w:rsid w:val="00467941"/>
    <w:rsid w:val="004704B4"/>
    <w:rsid w:val="004705C5"/>
    <w:rsid w:val="004706B5"/>
    <w:rsid w:val="0047074B"/>
    <w:rsid w:val="00470765"/>
    <w:rsid w:val="004709A0"/>
    <w:rsid w:val="004709EE"/>
    <w:rsid w:val="0047105C"/>
    <w:rsid w:val="004718F7"/>
    <w:rsid w:val="0047193D"/>
    <w:rsid w:val="00471F2A"/>
    <w:rsid w:val="0047207D"/>
    <w:rsid w:val="0047419A"/>
    <w:rsid w:val="00474644"/>
    <w:rsid w:val="00474A24"/>
    <w:rsid w:val="004751E8"/>
    <w:rsid w:val="00475387"/>
    <w:rsid w:val="00475433"/>
    <w:rsid w:val="004754C1"/>
    <w:rsid w:val="00475E2E"/>
    <w:rsid w:val="00476D4C"/>
    <w:rsid w:val="00476FF6"/>
    <w:rsid w:val="0047725C"/>
    <w:rsid w:val="00477524"/>
    <w:rsid w:val="00477762"/>
    <w:rsid w:val="00477CFA"/>
    <w:rsid w:val="00480972"/>
    <w:rsid w:val="00480A25"/>
    <w:rsid w:val="00480D7C"/>
    <w:rsid w:val="00483A44"/>
    <w:rsid w:val="0048423B"/>
    <w:rsid w:val="00484B2F"/>
    <w:rsid w:val="00485DFA"/>
    <w:rsid w:val="00486CB5"/>
    <w:rsid w:val="004900B8"/>
    <w:rsid w:val="00490191"/>
    <w:rsid w:val="004916D4"/>
    <w:rsid w:val="00491E86"/>
    <w:rsid w:val="00492A31"/>
    <w:rsid w:val="00493045"/>
    <w:rsid w:val="00493114"/>
    <w:rsid w:val="00493E75"/>
    <w:rsid w:val="00495614"/>
    <w:rsid w:val="00495896"/>
    <w:rsid w:val="0049638A"/>
    <w:rsid w:val="004963F7"/>
    <w:rsid w:val="00496785"/>
    <w:rsid w:val="00496840"/>
    <w:rsid w:val="00496911"/>
    <w:rsid w:val="00496F8C"/>
    <w:rsid w:val="004976AF"/>
    <w:rsid w:val="004A0949"/>
    <w:rsid w:val="004A0CEB"/>
    <w:rsid w:val="004A0D98"/>
    <w:rsid w:val="004A2AE8"/>
    <w:rsid w:val="004A32F7"/>
    <w:rsid w:val="004A394D"/>
    <w:rsid w:val="004A3D5E"/>
    <w:rsid w:val="004A3F0E"/>
    <w:rsid w:val="004A56F8"/>
    <w:rsid w:val="004A625A"/>
    <w:rsid w:val="004A6808"/>
    <w:rsid w:val="004A6CFB"/>
    <w:rsid w:val="004A6EB2"/>
    <w:rsid w:val="004A75E5"/>
    <w:rsid w:val="004A7A05"/>
    <w:rsid w:val="004B00EC"/>
    <w:rsid w:val="004B01F7"/>
    <w:rsid w:val="004B0570"/>
    <w:rsid w:val="004B0715"/>
    <w:rsid w:val="004B2E5B"/>
    <w:rsid w:val="004B3067"/>
    <w:rsid w:val="004B35A8"/>
    <w:rsid w:val="004B70BB"/>
    <w:rsid w:val="004B7318"/>
    <w:rsid w:val="004B79E6"/>
    <w:rsid w:val="004B7A60"/>
    <w:rsid w:val="004B7AE8"/>
    <w:rsid w:val="004C02C5"/>
    <w:rsid w:val="004C039D"/>
    <w:rsid w:val="004C0606"/>
    <w:rsid w:val="004C0794"/>
    <w:rsid w:val="004C0C8C"/>
    <w:rsid w:val="004C0DF0"/>
    <w:rsid w:val="004C130E"/>
    <w:rsid w:val="004C1973"/>
    <w:rsid w:val="004C1F37"/>
    <w:rsid w:val="004C28C0"/>
    <w:rsid w:val="004C2937"/>
    <w:rsid w:val="004C2E72"/>
    <w:rsid w:val="004C3802"/>
    <w:rsid w:val="004C3E16"/>
    <w:rsid w:val="004C3EE8"/>
    <w:rsid w:val="004C492C"/>
    <w:rsid w:val="004C50C5"/>
    <w:rsid w:val="004C5511"/>
    <w:rsid w:val="004C56A7"/>
    <w:rsid w:val="004C6369"/>
    <w:rsid w:val="004C640B"/>
    <w:rsid w:val="004C6524"/>
    <w:rsid w:val="004C6738"/>
    <w:rsid w:val="004C7967"/>
    <w:rsid w:val="004D031E"/>
    <w:rsid w:val="004D0E1C"/>
    <w:rsid w:val="004D1642"/>
    <w:rsid w:val="004D30E7"/>
    <w:rsid w:val="004D3203"/>
    <w:rsid w:val="004D3FA0"/>
    <w:rsid w:val="004D4727"/>
    <w:rsid w:val="004D4F0E"/>
    <w:rsid w:val="004D5084"/>
    <w:rsid w:val="004D5302"/>
    <w:rsid w:val="004D5669"/>
    <w:rsid w:val="004D5940"/>
    <w:rsid w:val="004D5D38"/>
    <w:rsid w:val="004D6329"/>
    <w:rsid w:val="004D6503"/>
    <w:rsid w:val="004D73D5"/>
    <w:rsid w:val="004D7A7F"/>
    <w:rsid w:val="004D7E53"/>
    <w:rsid w:val="004E03DD"/>
    <w:rsid w:val="004E0975"/>
    <w:rsid w:val="004E120B"/>
    <w:rsid w:val="004E2231"/>
    <w:rsid w:val="004E2393"/>
    <w:rsid w:val="004E2A4E"/>
    <w:rsid w:val="004E2F2D"/>
    <w:rsid w:val="004E317D"/>
    <w:rsid w:val="004E4C06"/>
    <w:rsid w:val="004E4DEA"/>
    <w:rsid w:val="004E4FDE"/>
    <w:rsid w:val="004E5FE2"/>
    <w:rsid w:val="004E6E61"/>
    <w:rsid w:val="004E763D"/>
    <w:rsid w:val="004E7649"/>
    <w:rsid w:val="004F0CE2"/>
    <w:rsid w:val="004F0D4B"/>
    <w:rsid w:val="004F11D1"/>
    <w:rsid w:val="004F1DA0"/>
    <w:rsid w:val="004F3777"/>
    <w:rsid w:val="004F45E5"/>
    <w:rsid w:val="004F79E9"/>
    <w:rsid w:val="00500297"/>
    <w:rsid w:val="00500717"/>
    <w:rsid w:val="005008C7"/>
    <w:rsid w:val="005010E4"/>
    <w:rsid w:val="00501352"/>
    <w:rsid w:val="00501707"/>
    <w:rsid w:val="00501F13"/>
    <w:rsid w:val="005020C7"/>
    <w:rsid w:val="00502C76"/>
    <w:rsid w:val="005035A2"/>
    <w:rsid w:val="005041B3"/>
    <w:rsid w:val="00504530"/>
    <w:rsid w:val="00504BA9"/>
    <w:rsid w:val="00505035"/>
    <w:rsid w:val="00505FA6"/>
    <w:rsid w:val="00506976"/>
    <w:rsid w:val="00507EEB"/>
    <w:rsid w:val="005102D4"/>
    <w:rsid w:val="005109B7"/>
    <w:rsid w:val="0051150B"/>
    <w:rsid w:val="0051180C"/>
    <w:rsid w:val="00511A7D"/>
    <w:rsid w:val="00511FAC"/>
    <w:rsid w:val="005125A3"/>
    <w:rsid w:val="00513286"/>
    <w:rsid w:val="00513EF6"/>
    <w:rsid w:val="005143E2"/>
    <w:rsid w:val="00514B03"/>
    <w:rsid w:val="005168DC"/>
    <w:rsid w:val="00517C88"/>
    <w:rsid w:val="005201F7"/>
    <w:rsid w:val="00520710"/>
    <w:rsid w:val="00520D06"/>
    <w:rsid w:val="00520D6F"/>
    <w:rsid w:val="005213AF"/>
    <w:rsid w:val="00522597"/>
    <w:rsid w:val="00522B5A"/>
    <w:rsid w:val="00523235"/>
    <w:rsid w:val="005236C6"/>
    <w:rsid w:val="00524960"/>
    <w:rsid w:val="00524C43"/>
    <w:rsid w:val="00524D75"/>
    <w:rsid w:val="00525179"/>
    <w:rsid w:val="005253A3"/>
    <w:rsid w:val="00525680"/>
    <w:rsid w:val="005259D0"/>
    <w:rsid w:val="00525A58"/>
    <w:rsid w:val="00525C89"/>
    <w:rsid w:val="00525CF2"/>
    <w:rsid w:val="00525D47"/>
    <w:rsid w:val="00526A4E"/>
    <w:rsid w:val="00527B79"/>
    <w:rsid w:val="00530619"/>
    <w:rsid w:val="0053077B"/>
    <w:rsid w:val="00532930"/>
    <w:rsid w:val="00533499"/>
    <w:rsid w:val="00534376"/>
    <w:rsid w:val="00534906"/>
    <w:rsid w:val="005349EB"/>
    <w:rsid w:val="00534D26"/>
    <w:rsid w:val="00535312"/>
    <w:rsid w:val="00535590"/>
    <w:rsid w:val="00536112"/>
    <w:rsid w:val="005367D8"/>
    <w:rsid w:val="00536C20"/>
    <w:rsid w:val="00536C46"/>
    <w:rsid w:val="00537F8D"/>
    <w:rsid w:val="005403CC"/>
    <w:rsid w:val="00540CF5"/>
    <w:rsid w:val="005414BB"/>
    <w:rsid w:val="00541DE6"/>
    <w:rsid w:val="005422CB"/>
    <w:rsid w:val="00543800"/>
    <w:rsid w:val="00543EF0"/>
    <w:rsid w:val="00544C27"/>
    <w:rsid w:val="00545161"/>
    <w:rsid w:val="00545769"/>
    <w:rsid w:val="00546A08"/>
    <w:rsid w:val="00547118"/>
    <w:rsid w:val="00547135"/>
    <w:rsid w:val="00550226"/>
    <w:rsid w:val="00550546"/>
    <w:rsid w:val="0055056C"/>
    <w:rsid w:val="0055090E"/>
    <w:rsid w:val="00551D64"/>
    <w:rsid w:val="00551EA2"/>
    <w:rsid w:val="0055202E"/>
    <w:rsid w:val="005520A8"/>
    <w:rsid w:val="00552863"/>
    <w:rsid w:val="00552BDC"/>
    <w:rsid w:val="00553B6D"/>
    <w:rsid w:val="00555D3E"/>
    <w:rsid w:val="00556913"/>
    <w:rsid w:val="00560003"/>
    <w:rsid w:val="00560998"/>
    <w:rsid w:val="00561464"/>
    <w:rsid w:val="005617B6"/>
    <w:rsid w:val="00562507"/>
    <w:rsid w:val="0056341D"/>
    <w:rsid w:val="00563831"/>
    <w:rsid w:val="00563A30"/>
    <w:rsid w:val="00564A61"/>
    <w:rsid w:val="00564B63"/>
    <w:rsid w:val="00565560"/>
    <w:rsid w:val="005657DB"/>
    <w:rsid w:val="00566088"/>
    <w:rsid w:val="00567485"/>
    <w:rsid w:val="00570385"/>
    <w:rsid w:val="00570926"/>
    <w:rsid w:val="00570D5F"/>
    <w:rsid w:val="00571781"/>
    <w:rsid w:val="00571A13"/>
    <w:rsid w:val="00571F49"/>
    <w:rsid w:val="005725D2"/>
    <w:rsid w:val="00572AE6"/>
    <w:rsid w:val="00573CB1"/>
    <w:rsid w:val="0057434E"/>
    <w:rsid w:val="00574A91"/>
    <w:rsid w:val="00574C12"/>
    <w:rsid w:val="00575F72"/>
    <w:rsid w:val="00576569"/>
    <w:rsid w:val="00576F6C"/>
    <w:rsid w:val="00577559"/>
    <w:rsid w:val="00577684"/>
    <w:rsid w:val="0058147B"/>
    <w:rsid w:val="00581B23"/>
    <w:rsid w:val="00582506"/>
    <w:rsid w:val="00582593"/>
    <w:rsid w:val="00582776"/>
    <w:rsid w:val="00583379"/>
    <w:rsid w:val="005845E7"/>
    <w:rsid w:val="00584ADA"/>
    <w:rsid w:val="00585519"/>
    <w:rsid w:val="00585757"/>
    <w:rsid w:val="00585C61"/>
    <w:rsid w:val="00586525"/>
    <w:rsid w:val="00586D66"/>
    <w:rsid w:val="0058743C"/>
    <w:rsid w:val="005876C9"/>
    <w:rsid w:val="00587A2C"/>
    <w:rsid w:val="00590083"/>
    <w:rsid w:val="005915BD"/>
    <w:rsid w:val="0059164F"/>
    <w:rsid w:val="005919CC"/>
    <w:rsid w:val="00592EBB"/>
    <w:rsid w:val="00593D99"/>
    <w:rsid w:val="00594A67"/>
    <w:rsid w:val="00596609"/>
    <w:rsid w:val="00596894"/>
    <w:rsid w:val="005968C5"/>
    <w:rsid w:val="00597479"/>
    <w:rsid w:val="0059793F"/>
    <w:rsid w:val="005A0988"/>
    <w:rsid w:val="005A201A"/>
    <w:rsid w:val="005A35B8"/>
    <w:rsid w:val="005A3611"/>
    <w:rsid w:val="005A44C2"/>
    <w:rsid w:val="005A5150"/>
    <w:rsid w:val="005A5617"/>
    <w:rsid w:val="005A5824"/>
    <w:rsid w:val="005A5A2A"/>
    <w:rsid w:val="005A5D20"/>
    <w:rsid w:val="005A671E"/>
    <w:rsid w:val="005A6F7C"/>
    <w:rsid w:val="005A7C2E"/>
    <w:rsid w:val="005B0AF9"/>
    <w:rsid w:val="005B0EC1"/>
    <w:rsid w:val="005B145F"/>
    <w:rsid w:val="005B2BCE"/>
    <w:rsid w:val="005B2BD6"/>
    <w:rsid w:val="005B2FCF"/>
    <w:rsid w:val="005B349B"/>
    <w:rsid w:val="005B34FC"/>
    <w:rsid w:val="005B4971"/>
    <w:rsid w:val="005B5A6B"/>
    <w:rsid w:val="005B6DF8"/>
    <w:rsid w:val="005B7864"/>
    <w:rsid w:val="005C0266"/>
    <w:rsid w:val="005C0CEF"/>
    <w:rsid w:val="005C12F3"/>
    <w:rsid w:val="005C131F"/>
    <w:rsid w:val="005C1B6F"/>
    <w:rsid w:val="005C249D"/>
    <w:rsid w:val="005C32D4"/>
    <w:rsid w:val="005C358D"/>
    <w:rsid w:val="005C3A67"/>
    <w:rsid w:val="005C4090"/>
    <w:rsid w:val="005C4404"/>
    <w:rsid w:val="005C49A1"/>
    <w:rsid w:val="005C564A"/>
    <w:rsid w:val="005C585C"/>
    <w:rsid w:val="005C5991"/>
    <w:rsid w:val="005C5AB6"/>
    <w:rsid w:val="005C5ABC"/>
    <w:rsid w:val="005C5ABF"/>
    <w:rsid w:val="005C618B"/>
    <w:rsid w:val="005C6304"/>
    <w:rsid w:val="005C63D1"/>
    <w:rsid w:val="005C6488"/>
    <w:rsid w:val="005C798F"/>
    <w:rsid w:val="005D0AE3"/>
    <w:rsid w:val="005D0F05"/>
    <w:rsid w:val="005D1151"/>
    <w:rsid w:val="005D1B9A"/>
    <w:rsid w:val="005D1D7F"/>
    <w:rsid w:val="005D21A8"/>
    <w:rsid w:val="005D2F79"/>
    <w:rsid w:val="005D30EA"/>
    <w:rsid w:val="005D3D28"/>
    <w:rsid w:val="005D4319"/>
    <w:rsid w:val="005D43F7"/>
    <w:rsid w:val="005D5DBF"/>
    <w:rsid w:val="005D69E5"/>
    <w:rsid w:val="005D6B2C"/>
    <w:rsid w:val="005E11CB"/>
    <w:rsid w:val="005E125D"/>
    <w:rsid w:val="005E298C"/>
    <w:rsid w:val="005E3135"/>
    <w:rsid w:val="005E3270"/>
    <w:rsid w:val="005E58D0"/>
    <w:rsid w:val="005E729E"/>
    <w:rsid w:val="005E74EA"/>
    <w:rsid w:val="005E7F3A"/>
    <w:rsid w:val="005F008D"/>
    <w:rsid w:val="005F02C6"/>
    <w:rsid w:val="005F031C"/>
    <w:rsid w:val="005F0354"/>
    <w:rsid w:val="005F0382"/>
    <w:rsid w:val="005F0482"/>
    <w:rsid w:val="005F09E5"/>
    <w:rsid w:val="005F13B9"/>
    <w:rsid w:val="005F1FC3"/>
    <w:rsid w:val="005F2BF0"/>
    <w:rsid w:val="005F3213"/>
    <w:rsid w:val="005F3841"/>
    <w:rsid w:val="005F407A"/>
    <w:rsid w:val="005F4E7E"/>
    <w:rsid w:val="005F50B2"/>
    <w:rsid w:val="005F50FB"/>
    <w:rsid w:val="005F5D2F"/>
    <w:rsid w:val="005F68DE"/>
    <w:rsid w:val="005F6C34"/>
    <w:rsid w:val="005F6D88"/>
    <w:rsid w:val="005F716F"/>
    <w:rsid w:val="005F7D2A"/>
    <w:rsid w:val="006013EC"/>
    <w:rsid w:val="00602653"/>
    <w:rsid w:val="006027C5"/>
    <w:rsid w:val="006027C7"/>
    <w:rsid w:val="00602B35"/>
    <w:rsid w:val="00602FA0"/>
    <w:rsid w:val="0060453E"/>
    <w:rsid w:val="00604825"/>
    <w:rsid w:val="006055F6"/>
    <w:rsid w:val="00606B37"/>
    <w:rsid w:val="006072AD"/>
    <w:rsid w:val="0060738F"/>
    <w:rsid w:val="00610484"/>
    <w:rsid w:val="006113D2"/>
    <w:rsid w:val="00611833"/>
    <w:rsid w:val="00612B2B"/>
    <w:rsid w:val="00612CEE"/>
    <w:rsid w:val="00613A88"/>
    <w:rsid w:val="00613AA8"/>
    <w:rsid w:val="00613AE8"/>
    <w:rsid w:val="006141BA"/>
    <w:rsid w:val="006142B8"/>
    <w:rsid w:val="00614C8F"/>
    <w:rsid w:val="00614F19"/>
    <w:rsid w:val="00615FF9"/>
    <w:rsid w:val="00616222"/>
    <w:rsid w:val="00616E0A"/>
    <w:rsid w:val="006173AB"/>
    <w:rsid w:val="00617CE0"/>
    <w:rsid w:val="00620D7D"/>
    <w:rsid w:val="00621218"/>
    <w:rsid w:val="006215FE"/>
    <w:rsid w:val="00621AAB"/>
    <w:rsid w:val="00621ADF"/>
    <w:rsid w:val="00621BDA"/>
    <w:rsid w:val="006227AB"/>
    <w:rsid w:val="00623A7D"/>
    <w:rsid w:val="00624499"/>
    <w:rsid w:val="00625D5D"/>
    <w:rsid w:val="006261C9"/>
    <w:rsid w:val="00626AFE"/>
    <w:rsid w:val="00626DCC"/>
    <w:rsid w:val="00627312"/>
    <w:rsid w:val="00627B1E"/>
    <w:rsid w:val="00627E66"/>
    <w:rsid w:val="00630141"/>
    <w:rsid w:val="00630756"/>
    <w:rsid w:val="006308F8"/>
    <w:rsid w:val="00631258"/>
    <w:rsid w:val="00631FA8"/>
    <w:rsid w:val="00632130"/>
    <w:rsid w:val="00632290"/>
    <w:rsid w:val="0063247C"/>
    <w:rsid w:val="0063328B"/>
    <w:rsid w:val="00633E7A"/>
    <w:rsid w:val="00633FB6"/>
    <w:rsid w:val="00634741"/>
    <w:rsid w:val="00634FB8"/>
    <w:rsid w:val="00635563"/>
    <w:rsid w:val="0063590E"/>
    <w:rsid w:val="00637177"/>
    <w:rsid w:val="00637E8D"/>
    <w:rsid w:val="00637F49"/>
    <w:rsid w:val="00640048"/>
    <w:rsid w:val="006400F6"/>
    <w:rsid w:val="006402F0"/>
    <w:rsid w:val="006404E6"/>
    <w:rsid w:val="00640767"/>
    <w:rsid w:val="00640FFF"/>
    <w:rsid w:val="00641308"/>
    <w:rsid w:val="00641AF7"/>
    <w:rsid w:val="00641D82"/>
    <w:rsid w:val="00641E57"/>
    <w:rsid w:val="00642074"/>
    <w:rsid w:val="0064256F"/>
    <w:rsid w:val="00643AFD"/>
    <w:rsid w:val="00644A38"/>
    <w:rsid w:val="00644B30"/>
    <w:rsid w:val="00644E59"/>
    <w:rsid w:val="006450E1"/>
    <w:rsid w:val="00645709"/>
    <w:rsid w:val="00646348"/>
    <w:rsid w:val="00646719"/>
    <w:rsid w:val="00647499"/>
    <w:rsid w:val="00647DBB"/>
    <w:rsid w:val="00647F3E"/>
    <w:rsid w:val="00650EA5"/>
    <w:rsid w:val="006514D3"/>
    <w:rsid w:val="00651AAF"/>
    <w:rsid w:val="00651FD5"/>
    <w:rsid w:val="00652B96"/>
    <w:rsid w:val="00652CC1"/>
    <w:rsid w:val="00653774"/>
    <w:rsid w:val="00653850"/>
    <w:rsid w:val="006548E9"/>
    <w:rsid w:val="00654C37"/>
    <w:rsid w:val="00655471"/>
    <w:rsid w:val="00655A03"/>
    <w:rsid w:val="00656997"/>
    <w:rsid w:val="006569E6"/>
    <w:rsid w:val="00660CF7"/>
    <w:rsid w:val="00661404"/>
    <w:rsid w:val="00661AA5"/>
    <w:rsid w:val="00662992"/>
    <w:rsid w:val="00662AAC"/>
    <w:rsid w:val="006634CD"/>
    <w:rsid w:val="00663969"/>
    <w:rsid w:val="00663BA4"/>
    <w:rsid w:val="00664A13"/>
    <w:rsid w:val="00664FD6"/>
    <w:rsid w:val="006653A3"/>
    <w:rsid w:val="00665664"/>
    <w:rsid w:val="00665C80"/>
    <w:rsid w:val="00665CB4"/>
    <w:rsid w:val="00665E5F"/>
    <w:rsid w:val="00666FD8"/>
    <w:rsid w:val="00667276"/>
    <w:rsid w:val="00667CCA"/>
    <w:rsid w:val="006702EE"/>
    <w:rsid w:val="006703A7"/>
    <w:rsid w:val="006705A1"/>
    <w:rsid w:val="00671307"/>
    <w:rsid w:val="006740AC"/>
    <w:rsid w:val="00675086"/>
    <w:rsid w:val="00675E71"/>
    <w:rsid w:val="00676771"/>
    <w:rsid w:val="00676FF1"/>
    <w:rsid w:val="0067750A"/>
    <w:rsid w:val="006775B9"/>
    <w:rsid w:val="00680366"/>
    <w:rsid w:val="00680426"/>
    <w:rsid w:val="006804EC"/>
    <w:rsid w:val="00681644"/>
    <w:rsid w:val="006818D6"/>
    <w:rsid w:val="0068247B"/>
    <w:rsid w:val="00682FB0"/>
    <w:rsid w:val="006836E9"/>
    <w:rsid w:val="00684089"/>
    <w:rsid w:val="006859DF"/>
    <w:rsid w:val="00685CEF"/>
    <w:rsid w:val="00685D78"/>
    <w:rsid w:val="00686662"/>
    <w:rsid w:val="00686E66"/>
    <w:rsid w:val="006876A9"/>
    <w:rsid w:val="00687C6F"/>
    <w:rsid w:val="00687F10"/>
    <w:rsid w:val="006908FD"/>
    <w:rsid w:val="00690EC7"/>
    <w:rsid w:val="00691239"/>
    <w:rsid w:val="0069289C"/>
    <w:rsid w:val="00693634"/>
    <w:rsid w:val="00693866"/>
    <w:rsid w:val="0069655D"/>
    <w:rsid w:val="00697C2F"/>
    <w:rsid w:val="00697F96"/>
    <w:rsid w:val="006A00F2"/>
    <w:rsid w:val="006A04A2"/>
    <w:rsid w:val="006A1784"/>
    <w:rsid w:val="006A2292"/>
    <w:rsid w:val="006A30B2"/>
    <w:rsid w:val="006A390F"/>
    <w:rsid w:val="006A4520"/>
    <w:rsid w:val="006A4578"/>
    <w:rsid w:val="006A54E8"/>
    <w:rsid w:val="006A584A"/>
    <w:rsid w:val="006A5E3C"/>
    <w:rsid w:val="006A6960"/>
    <w:rsid w:val="006B037E"/>
    <w:rsid w:val="006B09E4"/>
    <w:rsid w:val="006B0AAE"/>
    <w:rsid w:val="006B13B5"/>
    <w:rsid w:val="006B1830"/>
    <w:rsid w:val="006B1877"/>
    <w:rsid w:val="006B1F2D"/>
    <w:rsid w:val="006B1F53"/>
    <w:rsid w:val="006B2552"/>
    <w:rsid w:val="006B2E5C"/>
    <w:rsid w:val="006B310E"/>
    <w:rsid w:val="006B3112"/>
    <w:rsid w:val="006B35AA"/>
    <w:rsid w:val="006B4815"/>
    <w:rsid w:val="006B4DC9"/>
    <w:rsid w:val="006B6121"/>
    <w:rsid w:val="006B76A4"/>
    <w:rsid w:val="006B778A"/>
    <w:rsid w:val="006C016D"/>
    <w:rsid w:val="006C161B"/>
    <w:rsid w:val="006C1ACF"/>
    <w:rsid w:val="006C260C"/>
    <w:rsid w:val="006C308F"/>
    <w:rsid w:val="006C33E2"/>
    <w:rsid w:val="006C44DF"/>
    <w:rsid w:val="006C455B"/>
    <w:rsid w:val="006C45A9"/>
    <w:rsid w:val="006C45F9"/>
    <w:rsid w:val="006C5054"/>
    <w:rsid w:val="006C627A"/>
    <w:rsid w:val="006C64CD"/>
    <w:rsid w:val="006C7182"/>
    <w:rsid w:val="006C7544"/>
    <w:rsid w:val="006C7EFD"/>
    <w:rsid w:val="006D0292"/>
    <w:rsid w:val="006D0350"/>
    <w:rsid w:val="006D0579"/>
    <w:rsid w:val="006D0C96"/>
    <w:rsid w:val="006D2596"/>
    <w:rsid w:val="006D2A7C"/>
    <w:rsid w:val="006D2DC4"/>
    <w:rsid w:val="006D3A0C"/>
    <w:rsid w:val="006D46AC"/>
    <w:rsid w:val="006D470C"/>
    <w:rsid w:val="006D65D0"/>
    <w:rsid w:val="006D69E0"/>
    <w:rsid w:val="006D6AF0"/>
    <w:rsid w:val="006D6B3C"/>
    <w:rsid w:val="006D6DAA"/>
    <w:rsid w:val="006D78D7"/>
    <w:rsid w:val="006E02DA"/>
    <w:rsid w:val="006E07F8"/>
    <w:rsid w:val="006E1601"/>
    <w:rsid w:val="006E1678"/>
    <w:rsid w:val="006E1B92"/>
    <w:rsid w:val="006E48FC"/>
    <w:rsid w:val="006E5B9B"/>
    <w:rsid w:val="006E60B1"/>
    <w:rsid w:val="006E65D2"/>
    <w:rsid w:val="006E6995"/>
    <w:rsid w:val="006E72D3"/>
    <w:rsid w:val="006E7558"/>
    <w:rsid w:val="006E75AB"/>
    <w:rsid w:val="006E7ABE"/>
    <w:rsid w:val="006F0974"/>
    <w:rsid w:val="006F10D4"/>
    <w:rsid w:val="006F1C75"/>
    <w:rsid w:val="006F1F90"/>
    <w:rsid w:val="006F212F"/>
    <w:rsid w:val="006F25BB"/>
    <w:rsid w:val="006F3E50"/>
    <w:rsid w:val="006F5437"/>
    <w:rsid w:val="006F551F"/>
    <w:rsid w:val="006F56D8"/>
    <w:rsid w:val="006F6023"/>
    <w:rsid w:val="006F7173"/>
    <w:rsid w:val="006F7BC8"/>
    <w:rsid w:val="006F7F82"/>
    <w:rsid w:val="00700AB6"/>
    <w:rsid w:val="00700F4E"/>
    <w:rsid w:val="007026A6"/>
    <w:rsid w:val="007031A8"/>
    <w:rsid w:val="0070334F"/>
    <w:rsid w:val="0070590A"/>
    <w:rsid w:val="00705F9D"/>
    <w:rsid w:val="00706D47"/>
    <w:rsid w:val="00707A62"/>
    <w:rsid w:val="00707E34"/>
    <w:rsid w:val="00710A84"/>
    <w:rsid w:val="00710D0A"/>
    <w:rsid w:val="00711836"/>
    <w:rsid w:val="00711B8E"/>
    <w:rsid w:val="00712E7B"/>
    <w:rsid w:val="00713524"/>
    <w:rsid w:val="00713E85"/>
    <w:rsid w:val="0071473F"/>
    <w:rsid w:val="00714DA0"/>
    <w:rsid w:val="00714F2E"/>
    <w:rsid w:val="007156D3"/>
    <w:rsid w:val="0071581B"/>
    <w:rsid w:val="007162EF"/>
    <w:rsid w:val="00716602"/>
    <w:rsid w:val="00717603"/>
    <w:rsid w:val="00717825"/>
    <w:rsid w:val="00717A33"/>
    <w:rsid w:val="00717A65"/>
    <w:rsid w:val="00717D56"/>
    <w:rsid w:val="00720181"/>
    <w:rsid w:val="00720613"/>
    <w:rsid w:val="007207DD"/>
    <w:rsid w:val="00720DAF"/>
    <w:rsid w:val="00720E84"/>
    <w:rsid w:val="00720EA9"/>
    <w:rsid w:val="00720F60"/>
    <w:rsid w:val="00721FCE"/>
    <w:rsid w:val="00722C7B"/>
    <w:rsid w:val="00722F1B"/>
    <w:rsid w:val="007234B9"/>
    <w:rsid w:val="007235E0"/>
    <w:rsid w:val="0072400B"/>
    <w:rsid w:val="00724756"/>
    <w:rsid w:val="00724B2D"/>
    <w:rsid w:val="00724E26"/>
    <w:rsid w:val="00725265"/>
    <w:rsid w:val="0072545D"/>
    <w:rsid w:val="00725511"/>
    <w:rsid w:val="00725695"/>
    <w:rsid w:val="00725FC7"/>
    <w:rsid w:val="00726679"/>
    <w:rsid w:val="0072682B"/>
    <w:rsid w:val="007268A1"/>
    <w:rsid w:val="007271B3"/>
    <w:rsid w:val="00731975"/>
    <w:rsid w:val="0073255E"/>
    <w:rsid w:val="00732831"/>
    <w:rsid w:val="0073288A"/>
    <w:rsid w:val="0073317F"/>
    <w:rsid w:val="007352BA"/>
    <w:rsid w:val="00735737"/>
    <w:rsid w:val="00736187"/>
    <w:rsid w:val="00737C53"/>
    <w:rsid w:val="00740C07"/>
    <w:rsid w:val="00741BC6"/>
    <w:rsid w:val="00741F08"/>
    <w:rsid w:val="00741FF3"/>
    <w:rsid w:val="00743011"/>
    <w:rsid w:val="00743116"/>
    <w:rsid w:val="00743668"/>
    <w:rsid w:val="0074369A"/>
    <w:rsid w:val="00743766"/>
    <w:rsid w:val="00744653"/>
    <w:rsid w:val="00744801"/>
    <w:rsid w:val="00744CEC"/>
    <w:rsid w:val="0074553C"/>
    <w:rsid w:val="00745BF8"/>
    <w:rsid w:val="007470EB"/>
    <w:rsid w:val="007505DB"/>
    <w:rsid w:val="00750FBD"/>
    <w:rsid w:val="00751432"/>
    <w:rsid w:val="00752839"/>
    <w:rsid w:val="0075426A"/>
    <w:rsid w:val="0075480C"/>
    <w:rsid w:val="00756A04"/>
    <w:rsid w:val="00756E9F"/>
    <w:rsid w:val="00756FAE"/>
    <w:rsid w:val="00757186"/>
    <w:rsid w:val="00757414"/>
    <w:rsid w:val="00757A0B"/>
    <w:rsid w:val="007601AE"/>
    <w:rsid w:val="00761CA7"/>
    <w:rsid w:val="00762C90"/>
    <w:rsid w:val="00762D42"/>
    <w:rsid w:val="00763153"/>
    <w:rsid w:val="0076363F"/>
    <w:rsid w:val="00763729"/>
    <w:rsid w:val="00763D81"/>
    <w:rsid w:val="007646AB"/>
    <w:rsid w:val="0076544D"/>
    <w:rsid w:val="00765645"/>
    <w:rsid w:val="00766592"/>
    <w:rsid w:val="00766682"/>
    <w:rsid w:val="0076704A"/>
    <w:rsid w:val="00767050"/>
    <w:rsid w:val="00767229"/>
    <w:rsid w:val="0077002F"/>
    <w:rsid w:val="0077078A"/>
    <w:rsid w:val="00770EF8"/>
    <w:rsid w:val="00771D9B"/>
    <w:rsid w:val="007723C3"/>
    <w:rsid w:val="00772F64"/>
    <w:rsid w:val="00773C7F"/>
    <w:rsid w:val="00773D13"/>
    <w:rsid w:val="00774687"/>
    <w:rsid w:val="00774F2A"/>
    <w:rsid w:val="00776003"/>
    <w:rsid w:val="00776025"/>
    <w:rsid w:val="007771C2"/>
    <w:rsid w:val="0077738D"/>
    <w:rsid w:val="007773DC"/>
    <w:rsid w:val="0077750F"/>
    <w:rsid w:val="007777D7"/>
    <w:rsid w:val="00777D72"/>
    <w:rsid w:val="007805B1"/>
    <w:rsid w:val="00780DAC"/>
    <w:rsid w:val="0078125B"/>
    <w:rsid w:val="00781D72"/>
    <w:rsid w:val="007823A0"/>
    <w:rsid w:val="00783400"/>
    <w:rsid w:val="00783580"/>
    <w:rsid w:val="00783735"/>
    <w:rsid w:val="00783EA8"/>
    <w:rsid w:val="007840C3"/>
    <w:rsid w:val="00784267"/>
    <w:rsid w:val="007857A2"/>
    <w:rsid w:val="00785CA1"/>
    <w:rsid w:val="007863C1"/>
    <w:rsid w:val="00786F34"/>
    <w:rsid w:val="00787693"/>
    <w:rsid w:val="0078792B"/>
    <w:rsid w:val="00787B9C"/>
    <w:rsid w:val="00787D4F"/>
    <w:rsid w:val="0079149C"/>
    <w:rsid w:val="007917E8"/>
    <w:rsid w:val="00792126"/>
    <w:rsid w:val="007929E8"/>
    <w:rsid w:val="00793975"/>
    <w:rsid w:val="00793A6B"/>
    <w:rsid w:val="00793CEC"/>
    <w:rsid w:val="00793E20"/>
    <w:rsid w:val="007943E7"/>
    <w:rsid w:val="00794B9B"/>
    <w:rsid w:val="00795286"/>
    <w:rsid w:val="007959CB"/>
    <w:rsid w:val="00795BD4"/>
    <w:rsid w:val="00796104"/>
    <w:rsid w:val="007965A0"/>
    <w:rsid w:val="00797352"/>
    <w:rsid w:val="00797A0C"/>
    <w:rsid w:val="00797AB1"/>
    <w:rsid w:val="007A114C"/>
    <w:rsid w:val="007A1E16"/>
    <w:rsid w:val="007A36E0"/>
    <w:rsid w:val="007A3AEF"/>
    <w:rsid w:val="007A4130"/>
    <w:rsid w:val="007A424B"/>
    <w:rsid w:val="007A5ABE"/>
    <w:rsid w:val="007A5AE6"/>
    <w:rsid w:val="007A7871"/>
    <w:rsid w:val="007A7DB6"/>
    <w:rsid w:val="007B06E1"/>
    <w:rsid w:val="007B1142"/>
    <w:rsid w:val="007B137B"/>
    <w:rsid w:val="007B58C2"/>
    <w:rsid w:val="007B5AC6"/>
    <w:rsid w:val="007B5B8C"/>
    <w:rsid w:val="007B6182"/>
    <w:rsid w:val="007B6341"/>
    <w:rsid w:val="007B68C1"/>
    <w:rsid w:val="007B7503"/>
    <w:rsid w:val="007B7947"/>
    <w:rsid w:val="007C0724"/>
    <w:rsid w:val="007C0E1B"/>
    <w:rsid w:val="007C1BA1"/>
    <w:rsid w:val="007C1C5C"/>
    <w:rsid w:val="007C2253"/>
    <w:rsid w:val="007C28F6"/>
    <w:rsid w:val="007C2943"/>
    <w:rsid w:val="007C37AE"/>
    <w:rsid w:val="007C4165"/>
    <w:rsid w:val="007C4858"/>
    <w:rsid w:val="007C48D4"/>
    <w:rsid w:val="007C74D9"/>
    <w:rsid w:val="007C75CE"/>
    <w:rsid w:val="007C7602"/>
    <w:rsid w:val="007D00E7"/>
    <w:rsid w:val="007D0393"/>
    <w:rsid w:val="007D040D"/>
    <w:rsid w:val="007D2617"/>
    <w:rsid w:val="007D3333"/>
    <w:rsid w:val="007D4D91"/>
    <w:rsid w:val="007D5170"/>
    <w:rsid w:val="007D53B8"/>
    <w:rsid w:val="007D5C47"/>
    <w:rsid w:val="007D5D92"/>
    <w:rsid w:val="007D640A"/>
    <w:rsid w:val="007D7D3B"/>
    <w:rsid w:val="007E07BD"/>
    <w:rsid w:val="007E0B8E"/>
    <w:rsid w:val="007E104F"/>
    <w:rsid w:val="007E1E70"/>
    <w:rsid w:val="007E1ECC"/>
    <w:rsid w:val="007E2525"/>
    <w:rsid w:val="007E2F49"/>
    <w:rsid w:val="007E4017"/>
    <w:rsid w:val="007E4FFB"/>
    <w:rsid w:val="007E5F49"/>
    <w:rsid w:val="007E7C4F"/>
    <w:rsid w:val="007F093C"/>
    <w:rsid w:val="007F0B41"/>
    <w:rsid w:val="007F0D05"/>
    <w:rsid w:val="007F0EB7"/>
    <w:rsid w:val="007F0F5A"/>
    <w:rsid w:val="007F0F7F"/>
    <w:rsid w:val="007F1132"/>
    <w:rsid w:val="007F19E6"/>
    <w:rsid w:val="007F2BDD"/>
    <w:rsid w:val="007F3BFF"/>
    <w:rsid w:val="007F45CD"/>
    <w:rsid w:val="007F4A94"/>
    <w:rsid w:val="007F52B5"/>
    <w:rsid w:val="007F54BC"/>
    <w:rsid w:val="007F5599"/>
    <w:rsid w:val="007F6430"/>
    <w:rsid w:val="007F6767"/>
    <w:rsid w:val="007F6EB4"/>
    <w:rsid w:val="00800E04"/>
    <w:rsid w:val="0080183C"/>
    <w:rsid w:val="00801AF2"/>
    <w:rsid w:val="00801D09"/>
    <w:rsid w:val="00802A88"/>
    <w:rsid w:val="00802FB9"/>
    <w:rsid w:val="0080358A"/>
    <w:rsid w:val="008035DE"/>
    <w:rsid w:val="0080490E"/>
    <w:rsid w:val="00804A04"/>
    <w:rsid w:val="00804D8E"/>
    <w:rsid w:val="0080536E"/>
    <w:rsid w:val="00805DB9"/>
    <w:rsid w:val="00806638"/>
    <w:rsid w:val="00806687"/>
    <w:rsid w:val="00806A94"/>
    <w:rsid w:val="008075F1"/>
    <w:rsid w:val="0080791D"/>
    <w:rsid w:val="00810137"/>
    <w:rsid w:val="00810756"/>
    <w:rsid w:val="0081205E"/>
    <w:rsid w:val="00812D18"/>
    <w:rsid w:val="0081346E"/>
    <w:rsid w:val="00814092"/>
    <w:rsid w:val="008142D4"/>
    <w:rsid w:val="008149FD"/>
    <w:rsid w:val="00815062"/>
    <w:rsid w:val="0081568C"/>
    <w:rsid w:val="00815D4C"/>
    <w:rsid w:val="008168CA"/>
    <w:rsid w:val="00816FC8"/>
    <w:rsid w:val="00817502"/>
    <w:rsid w:val="0082121E"/>
    <w:rsid w:val="00821666"/>
    <w:rsid w:val="00821D3E"/>
    <w:rsid w:val="00821F43"/>
    <w:rsid w:val="00822617"/>
    <w:rsid w:val="008233DA"/>
    <w:rsid w:val="0082458D"/>
    <w:rsid w:val="00824C70"/>
    <w:rsid w:val="00825200"/>
    <w:rsid w:val="00825850"/>
    <w:rsid w:val="00825FBC"/>
    <w:rsid w:val="00826212"/>
    <w:rsid w:val="00826B86"/>
    <w:rsid w:val="00831CD3"/>
    <w:rsid w:val="00832972"/>
    <w:rsid w:val="00832C76"/>
    <w:rsid w:val="00833DB9"/>
    <w:rsid w:val="00834C1D"/>
    <w:rsid w:val="008351C7"/>
    <w:rsid w:val="008360BA"/>
    <w:rsid w:val="00836C9F"/>
    <w:rsid w:val="00837898"/>
    <w:rsid w:val="00837BAF"/>
    <w:rsid w:val="00837C9B"/>
    <w:rsid w:val="00837D9C"/>
    <w:rsid w:val="00840155"/>
    <w:rsid w:val="008406DD"/>
    <w:rsid w:val="008409B5"/>
    <w:rsid w:val="00840AE3"/>
    <w:rsid w:val="0084218C"/>
    <w:rsid w:val="00842463"/>
    <w:rsid w:val="008428BE"/>
    <w:rsid w:val="00844282"/>
    <w:rsid w:val="00844359"/>
    <w:rsid w:val="008449DB"/>
    <w:rsid w:val="008459D4"/>
    <w:rsid w:val="00845B3A"/>
    <w:rsid w:val="00845CB3"/>
    <w:rsid w:val="008474CC"/>
    <w:rsid w:val="00847F7C"/>
    <w:rsid w:val="0085148C"/>
    <w:rsid w:val="00852469"/>
    <w:rsid w:val="00852C6A"/>
    <w:rsid w:val="00852EFC"/>
    <w:rsid w:val="00854A5C"/>
    <w:rsid w:val="008551C5"/>
    <w:rsid w:val="0085604D"/>
    <w:rsid w:val="00856EBF"/>
    <w:rsid w:val="008571F2"/>
    <w:rsid w:val="00857642"/>
    <w:rsid w:val="00857B6B"/>
    <w:rsid w:val="00857C00"/>
    <w:rsid w:val="0086002B"/>
    <w:rsid w:val="008600B0"/>
    <w:rsid w:val="008601C2"/>
    <w:rsid w:val="00860F58"/>
    <w:rsid w:val="0086126F"/>
    <w:rsid w:val="00861CC2"/>
    <w:rsid w:val="0086201B"/>
    <w:rsid w:val="00862605"/>
    <w:rsid w:val="00862F06"/>
    <w:rsid w:val="00863C65"/>
    <w:rsid w:val="00864270"/>
    <w:rsid w:val="008651F5"/>
    <w:rsid w:val="00866031"/>
    <w:rsid w:val="008660B4"/>
    <w:rsid w:val="00866CB8"/>
    <w:rsid w:val="00866CD0"/>
    <w:rsid w:val="0086718F"/>
    <w:rsid w:val="00867294"/>
    <w:rsid w:val="00870D36"/>
    <w:rsid w:val="00872813"/>
    <w:rsid w:val="008728F0"/>
    <w:rsid w:val="00872908"/>
    <w:rsid w:val="0087379B"/>
    <w:rsid w:val="00873EB3"/>
    <w:rsid w:val="0087491C"/>
    <w:rsid w:val="00874D17"/>
    <w:rsid w:val="0087524A"/>
    <w:rsid w:val="00875DFA"/>
    <w:rsid w:val="00880333"/>
    <w:rsid w:val="00880363"/>
    <w:rsid w:val="00881818"/>
    <w:rsid w:val="00882131"/>
    <w:rsid w:val="00882F71"/>
    <w:rsid w:val="0088335C"/>
    <w:rsid w:val="0088375F"/>
    <w:rsid w:val="0088384F"/>
    <w:rsid w:val="008838C9"/>
    <w:rsid w:val="008839BF"/>
    <w:rsid w:val="00883A8E"/>
    <w:rsid w:val="00883DFB"/>
    <w:rsid w:val="00885C7C"/>
    <w:rsid w:val="0088674E"/>
    <w:rsid w:val="00886791"/>
    <w:rsid w:val="00887056"/>
    <w:rsid w:val="00887487"/>
    <w:rsid w:val="008878D4"/>
    <w:rsid w:val="00890E83"/>
    <w:rsid w:val="00891C7B"/>
    <w:rsid w:val="008939D4"/>
    <w:rsid w:val="0089414F"/>
    <w:rsid w:val="0089440E"/>
    <w:rsid w:val="00894C94"/>
    <w:rsid w:val="00894D3D"/>
    <w:rsid w:val="00895E10"/>
    <w:rsid w:val="00896247"/>
    <w:rsid w:val="00896940"/>
    <w:rsid w:val="0089711D"/>
    <w:rsid w:val="00897680"/>
    <w:rsid w:val="008A0891"/>
    <w:rsid w:val="008A0979"/>
    <w:rsid w:val="008A1849"/>
    <w:rsid w:val="008A21B4"/>
    <w:rsid w:val="008A268F"/>
    <w:rsid w:val="008A2CFA"/>
    <w:rsid w:val="008A30CB"/>
    <w:rsid w:val="008A3884"/>
    <w:rsid w:val="008A4CBC"/>
    <w:rsid w:val="008A528C"/>
    <w:rsid w:val="008A5C28"/>
    <w:rsid w:val="008A5E12"/>
    <w:rsid w:val="008A6B41"/>
    <w:rsid w:val="008A6C9E"/>
    <w:rsid w:val="008A6F0D"/>
    <w:rsid w:val="008A7573"/>
    <w:rsid w:val="008A7869"/>
    <w:rsid w:val="008A7B42"/>
    <w:rsid w:val="008A7D2E"/>
    <w:rsid w:val="008B1D23"/>
    <w:rsid w:val="008B2659"/>
    <w:rsid w:val="008B44D9"/>
    <w:rsid w:val="008B4F61"/>
    <w:rsid w:val="008B56F8"/>
    <w:rsid w:val="008B5CFD"/>
    <w:rsid w:val="008B6F57"/>
    <w:rsid w:val="008B74D3"/>
    <w:rsid w:val="008C0B51"/>
    <w:rsid w:val="008C11EF"/>
    <w:rsid w:val="008C1396"/>
    <w:rsid w:val="008C18C2"/>
    <w:rsid w:val="008C2580"/>
    <w:rsid w:val="008C287E"/>
    <w:rsid w:val="008C39CB"/>
    <w:rsid w:val="008C39F8"/>
    <w:rsid w:val="008C3DEF"/>
    <w:rsid w:val="008C3E06"/>
    <w:rsid w:val="008C3F74"/>
    <w:rsid w:val="008C46FF"/>
    <w:rsid w:val="008C6826"/>
    <w:rsid w:val="008C70A1"/>
    <w:rsid w:val="008C7323"/>
    <w:rsid w:val="008C7464"/>
    <w:rsid w:val="008C79B2"/>
    <w:rsid w:val="008D0AEA"/>
    <w:rsid w:val="008D0B31"/>
    <w:rsid w:val="008D1775"/>
    <w:rsid w:val="008D212B"/>
    <w:rsid w:val="008D2AB9"/>
    <w:rsid w:val="008D32EA"/>
    <w:rsid w:val="008D3E08"/>
    <w:rsid w:val="008D4AFE"/>
    <w:rsid w:val="008D508F"/>
    <w:rsid w:val="008D5CB7"/>
    <w:rsid w:val="008D5E52"/>
    <w:rsid w:val="008E0694"/>
    <w:rsid w:val="008E1846"/>
    <w:rsid w:val="008E2EF1"/>
    <w:rsid w:val="008E2F71"/>
    <w:rsid w:val="008E2FEE"/>
    <w:rsid w:val="008E3218"/>
    <w:rsid w:val="008E3A5F"/>
    <w:rsid w:val="008E3D94"/>
    <w:rsid w:val="008E45A0"/>
    <w:rsid w:val="008E4763"/>
    <w:rsid w:val="008E494A"/>
    <w:rsid w:val="008E6987"/>
    <w:rsid w:val="008E72A3"/>
    <w:rsid w:val="008E741A"/>
    <w:rsid w:val="008E7C02"/>
    <w:rsid w:val="008F124C"/>
    <w:rsid w:val="008F13BC"/>
    <w:rsid w:val="008F238D"/>
    <w:rsid w:val="008F29A2"/>
    <w:rsid w:val="008F2FBD"/>
    <w:rsid w:val="008F37D4"/>
    <w:rsid w:val="008F3B92"/>
    <w:rsid w:val="008F4E29"/>
    <w:rsid w:val="008F5EF9"/>
    <w:rsid w:val="008F748B"/>
    <w:rsid w:val="008F7721"/>
    <w:rsid w:val="00900319"/>
    <w:rsid w:val="0090113D"/>
    <w:rsid w:val="009012DA"/>
    <w:rsid w:val="0090133E"/>
    <w:rsid w:val="00901566"/>
    <w:rsid w:val="00901B1A"/>
    <w:rsid w:val="00902772"/>
    <w:rsid w:val="009028F8"/>
    <w:rsid w:val="009030FC"/>
    <w:rsid w:val="0090436F"/>
    <w:rsid w:val="00905557"/>
    <w:rsid w:val="00905628"/>
    <w:rsid w:val="00905736"/>
    <w:rsid w:val="00905B49"/>
    <w:rsid w:val="00905DA8"/>
    <w:rsid w:val="009066EF"/>
    <w:rsid w:val="00906773"/>
    <w:rsid w:val="00906A11"/>
    <w:rsid w:val="0090783F"/>
    <w:rsid w:val="00907A48"/>
    <w:rsid w:val="00910DED"/>
    <w:rsid w:val="0091198D"/>
    <w:rsid w:val="009126C2"/>
    <w:rsid w:val="009126DD"/>
    <w:rsid w:val="00912ED3"/>
    <w:rsid w:val="009132DF"/>
    <w:rsid w:val="0091350A"/>
    <w:rsid w:val="00913738"/>
    <w:rsid w:val="009137E1"/>
    <w:rsid w:val="00913E35"/>
    <w:rsid w:val="0091446A"/>
    <w:rsid w:val="00914B87"/>
    <w:rsid w:val="00914D82"/>
    <w:rsid w:val="009151C8"/>
    <w:rsid w:val="0091526A"/>
    <w:rsid w:val="00915304"/>
    <w:rsid w:val="0091546E"/>
    <w:rsid w:val="009158B2"/>
    <w:rsid w:val="0091668C"/>
    <w:rsid w:val="0091675A"/>
    <w:rsid w:val="00916807"/>
    <w:rsid w:val="0091705E"/>
    <w:rsid w:val="0091776C"/>
    <w:rsid w:val="00920764"/>
    <w:rsid w:val="00920E1B"/>
    <w:rsid w:val="00921150"/>
    <w:rsid w:val="009216B0"/>
    <w:rsid w:val="009219A9"/>
    <w:rsid w:val="00921DE1"/>
    <w:rsid w:val="00922015"/>
    <w:rsid w:val="00922DFD"/>
    <w:rsid w:val="00923B1E"/>
    <w:rsid w:val="00924466"/>
    <w:rsid w:val="009245FB"/>
    <w:rsid w:val="00924BB5"/>
    <w:rsid w:val="00924CFA"/>
    <w:rsid w:val="009255C7"/>
    <w:rsid w:val="009258CB"/>
    <w:rsid w:val="009262BE"/>
    <w:rsid w:val="00930600"/>
    <w:rsid w:val="00931040"/>
    <w:rsid w:val="00932185"/>
    <w:rsid w:val="0093230B"/>
    <w:rsid w:val="00933A1D"/>
    <w:rsid w:val="009345DA"/>
    <w:rsid w:val="00934EBF"/>
    <w:rsid w:val="00934F98"/>
    <w:rsid w:val="0093559C"/>
    <w:rsid w:val="00935E16"/>
    <w:rsid w:val="0093617B"/>
    <w:rsid w:val="00936283"/>
    <w:rsid w:val="00937B94"/>
    <w:rsid w:val="009402CE"/>
    <w:rsid w:val="00940CA5"/>
    <w:rsid w:val="00941105"/>
    <w:rsid w:val="00941989"/>
    <w:rsid w:val="00941A2D"/>
    <w:rsid w:val="00944156"/>
    <w:rsid w:val="009443D0"/>
    <w:rsid w:val="009453D8"/>
    <w:rsid w:val="00945BDE"/>
    <w:rsid w:val="009473EC"/>
    <w:rsid w:val="009477AB"/>
    <w:rsid w:val="00947B5D"/>
    <w:rsid w:val="0095071D"/>
    <w:rsid w:val="00950E1F"/>
    <w:rsid w:val="0095180F"/>
    <w:rsid w:val="00951B97"/>
    <w:rsid w:val="00951FF7"/>
    <w:rsid w:val="009520F2"/>
    <w:rsid w:val="00953312"/>
    <w:rsid w:val="00953B5F"/>
    <w:rsid w:val="0095470B"/>
    <w:rsid w:val="00954CBA"/>
    <w:rsid w:val="009550E0"/>
    <w:rsid w:val="00956106"/>
    <w:rsid w:val="009567AC"/>
    <w:rsid w:val="009575B6"/>
    <w:rsid w:val="0095778F"/>
    <w:rsid w:val="009616A5"/>
    <w:rsid w:val="00961F74"/>
    <w:rsid w:val="00962B5D"/>
    <w:rsid w:val="009634E8"/>
    <w:rsid w:val="009639F1"/>
    <w:rsid w:val="00964C3E"/>
    <w:rsid w:val="009650DC"/>
    <w:rsid w:val="00966851"/>
    <w:rsid w:val="0097273C"/>
    <w:rsid w:val="00973071"/>
    <w:rsid w:val="0097392B"/>
    <w:rsid w:val="00974269"/>
    <w:rsid w:val="009746DE"/>
    <w:rsid w:val="009749DE"/>
    <w:rsid w:val="00975CBF"/>
    <w:rsid w:val="009766DA"/>
    <w:rsid w:val="0097704B"/>
    <w:rsid w:val="00977874"/>
    <w:rsid w:val="00977CBC"/>
    <w:rsid w:val="009800C1"/>
    <w:rsid w:val="0098091D"/>
    <w:rsid w:val="00980E21"/>
    <w:rsid w:val="009810B4"/>
    <w:rsid w:val="00981C98"/>
    <w:rsid w:val="0098232F"/>
    <w:rsid w:val="0098313B"/>
    <w:rsid w:val="009838EE"/>
    <w:rsid w:val="00985F85"/>
    <w:rsid w:val="009867F0"/>
    <w:rsid w:val="00987581"/>
    <w:rsid w:val="00987C24"/>
    <w:rsid w:val="00990195"/>
    <w:rsid w:val="00990771"/>
    <w:rsid w:val="009908CA"/>
    <w:rsid w:val="009909DF"/>
    <w:rsid w:val="00990B16"/>
    <w:rsid w:val="00990F54"/>
    <w:rsid w:val="009913BE"/>
    <w:rsid w:val="0099142B"/>
    <w:rsid w:val="009915F1"/>
    <w:rsid w:val="00991860"/>
    <w:rsid w:val="009935E6"/>
    <w:rsid w:val="00994A9B"/>
    <w:rsid w:val="00995036"/>
    <w:rsid w:val="00995218"/>
    <w:rsid w:val="009958B6"/>
    <w:rsid w:val="00995F8E"/>
    <w:rsid w:val="0099626C"/>
    <w:rsid w:val="00997AEB"/>
    <w:rsid w:val="009A02D4"/>
    <w:rsid w:val="009A0927"/>
    <w:rsid w:val="009A1D04"/>
    <w:rsid w:val="009A250C"/>
    <w:rsid w:val="009A2516"/>
    <w:rsid w:val="009A2734"/>
    <w:rsid w:val="009A2BA4"/>
    <w:rsid w:val="009A2DE9"/>
    <w:rsid w:val="009A3C16"/>
    <w:rsid w:val="009A3C87"/>
    <w:rsid w:val="009A418A"/>
    <w:rsid w:val="009A4347"/>
    <w:rsid w:val="009A4CE4"/>
    <w:rsid w:val="009A4E8D"/>
    <w:rsid w:val="009A536C"/>
    <w:rsid w:val="009A5C9A"/>
    <w:rsid w:val="009A5F61"/>
    <w:rsid w:val="009A5F96"/>
    <w:rsid w:val="009A6A84"/>
    <w:rsid w:val="009A6ECB"/>
    <w:rsid w:val="009A787C"/>
    <w:rsid w:val="009B03F3"/>
    <w:rsid w:val="009B0E86"/>
    <w:rsid w:val="009B12EF"/>
    <w:rsid w:val="009B26A7"/>
    <w:rsid w:val="009B32D7"/>
    <w:rsid w:val="009B3B71"/>
    <w:rsid w:val="009B3B73"/>
    <w:rsid w:val="009B3ED7"/>
    <w:rsid w:val="009B4A92"/>
    <w:rsid w:val="009B5231"/>
    <w:rsid w:val="009B57C3"/>
    <w:rsid w:val="009B5FDC"/>
    <w:rsid w:val="009B6482"/>
    <w:rsid w:val="009B650B"/>
    <w:rsid w:val="009B7172"/>
    <w:rsid w:val="009B71A3"/>
    <w:rsid w:val="009B738A"/>
    <w:rsid w:val="009B7AC8"/>
    <w:rsid w:val="009B7EEA"/>
    <w:rsid w:val="009C0C56"/>
    <w:rsid w:val="009C195C"/>
    <w:rsid w:val="009C20AF"/>
    <w:rsid w:val="009C2F16"/>
    <w:rsid w:val="009C3D50"/>
    <w:rsid w:val="009C4303"/>
    <w:rsid w:val="009C53CD"/>
    <w:rsid w:val="009C6BB5"/>
    <w:rsid w:val="009C6F88"/>
    <w:rsid w:val="009C713E"/>
    <w:rsid w:val="009C7210"/>
    <w:rsid w:val="009C77DE"/>
    <w:rsid w:val="009D0478"/>
    <w:rsid w:val="009D0856"/>
    <w:rsid w:val="009D0AC4"/>
    <w:rsid w:val="009D10BD"/>
    <w:rsid w:val="009D1E0C"/>
    <w:rsid w:val="009D3DDC"/>
    <w:rsid w:val="009D3F18"/>
    <w:rsid w:val="009D406A"/>
    <w:rsid w:val="009D48B2"/>
    <w:rsid w:val="009D4C98"/>
    <w:rsid w:val="009D4EB7"/>
    <w:rsid w:val="009D6060"/>
    <w:rsid w:val="009D6C11"/>
    <w:rsid w:val="009D6D0C"/>
    <w:rsid w:val="009D7FA7"/>
    <w:rsid w:val="009E0423"/>
    <w:rsid w:val="009E0BF3"/>
    <w:rsid w:val="009E1FEB"/>
    <w:rsid w:val="009E2702"/>
    <w:rsid w:val="009E27EA"/>
    <w:rsid w:val="009E297B"/>
    <w:rsid w:val="009E2A7A"/>
    <w:rsid w:val="009E2A8B"/>
    <w:rsid w:val="009E47E4"/>
    <w:rsid w:val="009E4C05"/>
    <w:rsid w:val="009E63ED"/>
    <w:rsid w:val="009E6916"/>
    <w:rsid w:val="009E6CF7"/>
    <w:rsid w:val="009E6FFE"/>
    <w:rsid w:val="009E7558"/>
    <w:rsid w:val="009E7750"/>
    <w:rsid w:val="009E7C87"/>
    <w:rsid w:val="009F1BF1"/>
    <w:rsid w:val="009F1C0D"/>
    <w:rsid w:val="009F1CDD"/>
    <w:rsid w:val="009F307C"/>
    <w:rsid w:val="009F48AD"/>
    <w:rsid w:val="009F5B2D"/>
    <w:rsid w:val="009F620D"/>
    <w:rsid w:val="009F6409"/>
    <w:rsid w:val="009F7F54"/>
    <w:rsid w:val="00A00214"/>
    <w:rsid w:val="00A002ED"/>
    <w:rsid w:val="00A006AE"/>
    <w:rsid w:val="00A008C4"/>
    <w:rsid w:val="00A00E75"/>
    <w:rsid w:val="00A01601"/>
    <w:rsid w:val="00A02633"/>
    <w:rsid w:val="00A02812"/>
    <w:rsid w:val="00A02AD7"/>
    <w:rsid w:val="00A02BFE"/>
    <w:rsid w:val="00A02DFE"/>
    <w:rsid w:val="00A04087"/>
    <w:rsid w:val="00A04CC7"/>
    <w:rsid w:val="00A064C2"/>
    <w:rsid w:val="00A0707C"/>
    <w:rsid w:val="00A0787E"/>
    <w:rsid w:val="00A101BF"/>
    <w:rsid w:val="00A1096F"/>
    <w:rsid w:val="00A10C94"/>
    <w:rsid w:val="00A113C2"/>
    <w:rsid w:val="00A11902"/>
    <w:rsid w:val="00A11943"/>
    <w:rsid w:val="00A12F91"/>
    <w:rsid w:val="00A135DC"/>
    <w:rsid w:val="00A13F9A"/>
    <w:rsid w:val="00A148A5"/>
    <w:rsid w:val="00A15973"/>
    <w:rsid w:val="00A15A21"/>
    <w:rsid w:val="00A16031"/>
    <w:rsid w:val="00A16921"/>
    <w:rsid w:val="00A16A80"/>
    <w:rsid w:val="00A16EFF"/>
    <w:rsid w:val="00A17188"/>
    <w:rsid w:val="00A1725D"/>
    <w:rsid w:val="00A17857"/>
    <w:rsid w:val="00A21E7E"/>
    <w:rsid w:val="00A221F3"/>
    <w:rsid w:val="00A22807"/>
    <w:rsid w:val="00A239F4"/>
    <w:rsid w:val="00A23DC5"/>
    <w:rsid w:val="00A24B1E"/>
    <w:rsid w:val="00A25664"/>
    <w:rsid w:val="00A26B84"/>
    <w:rsid w:val="00A27184"/>
    <w:rsid w:val="00A30977"/>
    <w:rsid w:val="00A30D9A"/>
    <w:rsid w:val="00A316F1"/>
    <w:rsid w:val="00A318CD"/>
    <w:rsid w:val="00A31C77"/>
    <w:rsid w:val="00A32C1F"/>
    <w:rsid w:val="00A32E2B"/>
    <w:rsid w:val="00A33A99"/>
    <w:rsid w:val="00A349AA"/>
    <w:rsid w:val="00A34A43"/>
    <w:rsid w:val="00A34BA9"/>
    <w:rsid w:val="00A34CEC"/>
    <w:rsid w:val="00A35E66"/>
    <w:rsid w:val="00A36642"/>
    <w:rsid w:val="00A36B55"/>
    <w:rsid w:val="00A36ECB"/>
    <w:rsid w:val="00A37DAE"/>
    <w:rsid w:val="00A37F14"/>
    <w:rsid w:val="00A41090"/>
    <w:rsid w:val="00A41AD1"/>
    <w:rsid w:val="00A43877"/>
    <w:rsid w:val="00A4430C"/>
    <w:rsid w:val="00A44613"/>
    <w:rsid w:val="00A44BB0"/>
    <w:rsid w:val="00A45835"/>
    <w:rsid w:val="00A461AD"/>
    <w:rsid w:val="00A46768"/>
    <w:rsid w:val="00A46A8B"/>
    <w:rsid w:val="00A475DE"/>
    <w:rsid w:val="00A50254"/>
    <w:rsid w:val="00A50DA9"/>
    <w:rsid w:val="00A532AE"/>
    <w:rsid w:val="00A5341B"/>
    <w:rsid w:val="00A55748"/>
    <w:rsid w:val="00A55E5C"/>
    <w:rsid w:val="00A56657"/>
    <w:rsid w:val="00A56B97"/>
    <w:rsid w:val="00A56C23"/>
    <w:rsid w:val="00A57956"/>
    <w:rsid w:val="00A60182"/>
    <w:rsid w:val="00A60837"/>
    <w:rsid w:val="00A60999"/>
    <w:rsid w:val="00A61F30"/>
    <w:rsid w:val="00A63267"/>
    <w:rsid w:val="00A6339C"/>
    <w:rsid w:val="00A643CF"/>
    <w:rsid w:val="00A643D3"/>
    <w:rsid w:val="00A64F02"/>
    <w:rsid w:val="00A65261"/>
    <w:rsid w:val="00A65AE9"/>
    <w:rsid w:val="00A665C7"/>
    <w:rsid w:val="00A668C8"/>
    <w:rsid w:val="00A670E7"/>
    <w:rsid w:val="00A67206"/>
    <w:rsid w:val="00A676B8"/>
    <w:rsid w:val="00A67806"/>
    <w:rsid w:val="00A67EB4"/>
    <w:rsid w:val="00A70190"/>
    <w:rsid w:val="00A706DD"/>
    <w:rsid w:val="00A70FDA"/>
    <w:rsid w:val="00A7289E"/>
    <w:rsid w:val="00A72A19"/>
    <w:rsid w:val="00A731DA"/>
    <w:rsid w:val="00A73309"/>
    <w:rsid w:val="00A73712"/>
    <w:rsid w:val="00A739D4"/>
    <w:rsid w:val="00A73E97"/>
    <w:rsid w:val="00A74039"/>
    <w:rsid w:val="00A7403D"/>
    <w:rsid w:val="00A7405F"/>
    <w:rsid w:val="00A751E0"/>
    <w:rsid w:val="00A75570"/>
    <w:rsid w:val="00A7574D"/>
    <w:rsid w:val="00A76D68"/>
    <w:rsid w:val="00A775A8"/>
    <w:rsid w:val="00A8058B"/>
    <w:rsid w:val="00A80CAF"/>
    <w:rsid w:val="00A81AB7"/>
    <w:rsid w:val="00A82F3C"/>
    <w:rsid w:val="00A831ED"/>
    <w:rsid w:val="00A837F9"/>
    <w:rsid w:val="00A83C9F"/>
    <w:rsid w:val="00A841A8"/>
    <w:rsid w:val="00A8522B"/>
    <w:rsid w:val="00A855CE"/>
    <w:rsid w:val="00A86FB1"/>
    <w:rsid w:val="00A87CE2"/>
    <w:rsid w:val="00A9070B"/>
    <w:rsid w:val="00A90883"/>
    <w:rsid w:val="00A9088E"/>
    <w:rsid w:val="00A90E99"/>
    <w:rsid w:val="00A910CC"/>
    <w:rsid w:val="00A9135F"/>
    <w:rsid w:val="00A91D2B"/>
    <w:rsid w:val="00A91E58"/>
    <w:rsid w:val="00A921AB"/>
    <w:rsid w:val="00A92A33"/>
    <w:rsid w:val="00A92B2A"/>
    <w:rsid w:val="00A93909"/>
    <w:rsid w:val="00A93AEA"/>
    <w:rsid w:val="00A9575F"/>
    <w:rsid w:val="00A9593C"/>
    <w:rsid w:val="00A9676F"/>
    <w:rsid w:val="00A9696C"/>
    <w:rsid w:val="00AA1090"/>
    <w:rsid w:val="00AA1A18"/>
    <w:rsid w:val="00AA1DC0"/>
    <w:rsid w:val="00AA1F7C"/>
    <w:rsid w:val="00AA270B"/>
    <w:rsid w:val="00AA2E0E"/>
    <w:rsid w:val="00AA3141"/>
    <w:rsid w:val="00AA3161"/>
    <w:rsid w:val="00AA3901"/>
    <w:rsid w:val="00AA3C26"/>
    <w:rsid w:val="00AA3DCE"/>
    <w:rsid w:val="00AA3E09"/>
    <w:rsid w:val="00AA55C6"/>
    <w:rsid w:val="00AA56D0"/>
    <w:rsid w:val="00AA5B01"/>
    <w:rsid w:val="00AB09D7"/>
    <w:rsid w:val="00AB0BEF"/>
    <w:rsid w:val="00AB0F3E"/>
    <w:rsid w:val="00AB1532"/>
    <w:rsid w:val="00AB1B7B"/>
    <w:rsid w:val="00AB1EA6"/>
    <w:rsid w:val="00AB2014"/>
    <w:rsid w:val="00AB22E9"/>
    <w:rsid w:val="00AB3BFB"/>
    <w:rsid w:val="00AB5AA5"/>
    <w:rsid w:val="00AB6D8E"/>
    <w:rsid w:val="00AB739C"/>
    <w:rsid w:val="00AC0B1E"/>
    <w:rsid w:val="00AC0B2F"/>
    <w:rsid w:val="00AC10B1"/>
    <w:rsid w:val="00AC16B2"/>
    <w:rsid w:val="00AC18D6"/>
    <w:rsid w:val="00AC1986"/>
    <w:rsid w:val="00AC1C2D"/>
    <w:rsid w:val="00AC2973"/>
    <w:rsid w:val="00AC2B52"/>
    <w:rsid w:val="00AC2EEA"/>
    <w:rsid w:val="00AC313E"/>
    <w:rsid w:val="00AC3857"/>
    <w:rsid w:val="00AC41DA"/>
    <w:rsid w:val="00AC425B"/>
    <w:rsid w:val="00AC4D0A"/>
    <w:rsid w:val="00AC58B4"/>
    <w:rsid w:val="00AC6243"/>
    <w:rsid w:val="00AC6426"/>
    <w:rsid w:val="00AD013D"/>
    <w:rsid w:val="00AD0820"/>
    <w:rsid w:val="00AD1035"/>
    <w:rsid w:val="00AD131A"/>
    <w:rsid w:val="00AD146D"/>
    <w:rsid w:val="00AD25C1"/>
    <w:rsid w:val="00AD2B62"/>
    <w:rsid w:val="00AD3234"/>
    <w:rsid w:val="00AD32F8"/>
    <w:rsid w:val="00AD35EB"/>
    <w:rsid w:val="00AD369D"/>
    <w:rsid w:val="00AD3A78"/>
    <w:rsid w:val="00AD3F15"/>
    <w:rsid w:val="00AD4D60"/>
    <w:rsid w:val="00AD7ED7"/>
    <w:rsid w:val="00AD7FF6"/>
    <w:rsid w:val="00AE28FB"/>
    <w:rsid w:val="00AE2C30"/>
    <w:rsid w:val="00AE3C84"/>
    <w:rsid w:val="00AE4A3D"/>
    <w:rsid w:val="00AE697C"/>
    <w:rsid w:val="00AE6C2C"/>
    <w:rsid w:val="00AE73D7"/>
    <w:rsid w:val="00AF01A0"/>
    <w:rsid w:val="00AF072A"/>
    <w:rsid w:val="00AF0AC9"/>
    <w:rsid w:val="00AF0C11"/>
    <w:rsid w:val="00AF0E93"/>
    <w:rsid w:val="00AF160A"/>
    <w:rsid w:val="00AF2642"/>
    <w:rsid w:val="00AF4C34"/>
    <w:rsid w:val="00AF5467"/>
    <w:rsid w:val="00AF5A37"/>
    <w:rsid w:val="00AF7116"/>
    <w:rsid w:val="00B00141"/>
    <w:rsid w:val="00B02802"/>
    <w:rsid w:val="00B0400B"/>
    <w:rsid w:val="00B04135"/>
    <w:rsid w:val="00B04818"/>
    <w:rsid w:val="00B04E44"/>
    <w:rsid w:val="00B07099"/>
    <w:rsid w:val="00B0765B"/>
    <w:rsid w:val="00B110AF"/>
    <w:rsid w:val="00B1250C"/>
    <w:rsid w:val="00B12B84"/>
    <w:rsid w:val="00B13269"/>
    <w:rsid w:val="00B14639"/>
    <w:rsid w:val="00B15F05"/>
    <w:rsid w:val="00B1686B"/>
    <w:rsid w:val="00B16E80"/>
    <w:rsid w:val="00B17563"/>
    <w:rsid w:val="00B17B44"/>
    <w:rsid w:val="00B205F3"/>
    <w:rsid w:val="00B207D9"/>
    <w:rsid w:val="00B20B70"/>
    <w:rsid w:val="00B21434"/>
    <w:rsid w:val="00B21646"/>
    <w:rsid w:val="00B21997"/>
    <w:rsid w:val="00B21A58"/>
    <w:rsid w:val="00B220EB"/>
    <w:rsid w:val="00B22C2D"/>
    <w:rsid w:val="00B22D5F"/>
    <w:rsid w:val="00B230D0"/>
    <w:rsid w:val="00B231EF"/>
    <w:rsid w:val="00B23502"/>
    <w:rsid w:val="00B23B42"/>
    <w:rsid w:val="00B241B9"/>
    <w:rsid w:val="00B24B14"/>
    <w:rsid w:val="00B24D40"/>
    <w:rsid w:val="00B25AAC"/>
    <w:rsid w:val="00B26430"/>
    <w:rsid w:val="00B2672C"/>
    <w:rsid w:val="00B2700E"/>
    <w:rsid w:val="00B30686"/>
    <w:rsid w:val="00B3080F"/>
    <w:rsid w:val="00B313F0"/>
    <w:rsid w:val="00B317A5"/>
    <w:rsid w:val="00B32446"/>
    <w:rsid w:val="00B32CE6"/>
    <w:rsid w:val="00B33369"/>
    <w:rsid w:val="00B33769"/>
    <w:rsid w:val="00B34786"/>
    <w:rsid w:val="00B35954"/>
    <w:rsid w:val="00B36347"/>
    <w:rsid w:val="00B40593"/>
    <w:rsid w:val="00B40767"/>
    <w:rsid w:val="00B415E1"/>
    <w:rsid w:val="00B41C2F"/>
    <w:rsid w:val="00B41CF2"/>
    <w:rsid w:val="00B42F2C"/>
    <w:rsid w:val="00B440DD"/>
    <w:rsid w:val="00B4550A"/>
    <w:rsid w:val="00B458EB"/>
    <w:rsid w:val="00B45B45"/>
    <w:rsid w:val="00B45C30"/>
    <w:rsid w:val="00B45CD6"/>
    <w:rsid w:val="00B477BC"/>
    <w:rsid w:val="00B478EE"/>
    <w:rsid w:val="00B507DE"/>
    <w:rsid w:val="00B50BB2"/>
    <w:rsid w:val="00B50DE7"/>
    <w:rsid w:val="00B522D5"/>
    <w:rsid w:val="00B53E3C"/>
    <w:rsid w:val="00B544F2"/>
    <w:rsid w:val="00B550F6"/>
    <w:rsid w:val="00B5519B"/>
    <w:rsid w:val="00B558FD"/>
    <w:rsid w:val="00B55C5B"/>
    <w:rsid w:val="00B55E88"/>
    <w:rsid w:val="00B56338"/>
    <w:rsid w:val="00B565E2"/>
    <w:rsid w:val="00B61BF2"/>
    <w:rsid w:val="00B61C6B"/>
    <w:rsid w:val="00B61E76"/>
    <w:rsid w:val="00B61F62"/>
    <w:rsid w:val="00B62999"/>
    <w:rsid w:val="00B62C53"/>
    <w:rsid w:val="00B6313F"/>
    <w:rsid w:val="00B65844"/>
    <w:rsid w:val="00B70211"/>
    <w:rsid w:val="00B7089E"/>
    <w:rsid w:val="00B70B23"/>
    <w:rsid w:val="00B710AD"/>
    <w:rsid w:val="00B72CF4"/>
    <w:rsid w:val="00B73DA1"/>
    <w:rsid w:val="00B744DC"/>
    <w:rsid w:val="00B749DA"/>
    <w:rsid w:val="00B74AAF"/>
    <w:rsid w:val="00B75388"/>
    <w:rsid w:val="00B758EB"/>
    <w:rsid w:val="00B75D6F"/>
    <w:rsid w:val="00B76199"/>
    <w:rsid w:val="00B76C48"/>
    <w:rsid w:val="00B76FCB"/>
    <w:rsid w:val="00B77317"/>
    <w:rsid w:val="00B77597"/>
    <w:rsid w:val="00B77991"/>
    <w:rsid w:val="00B77A01"/>
    <w:rsid w:val="00B77B3D"/>
    <w:rsid w:val="00B801C0"/>
    <w:rsid w:val="00B80405"/>
    <w:rsid w:val="00B80E6B"/>
    <w:rsid w:val="00B821FF"/>
    <w:rsid w:val="00B8232D"/>
    <w:rsid w:val="00B824C1"/>
    <w:rsid w:val="00B82528"/>
    <w:rsid w:val="00B82914"/>
    <w:rsid w:val="00B82B16"/>
    <w:rsid w:val="00B82EC2"/>
    <w:rsid w:val="00B83F24"/>
    <w:rsid w:val="00B83FCE"/>
    <w:rsid w:val="00B854E1"/>
    <w:rsid w:val="00B85536"/>
    <w:rsid w:val="00B85BBD"/>
    <w:rsid w:val="00B867D9"/>
    <w:rsid w:val="00B86AB2"/>
    <w:rsid w:val="00B8709D"/>
    <w:rsid w:val="00B916B5"/>
    <w:rsid w:val="00B93BD2"/>
    <w:rsid w:val="00B93C85"/>
    <w:rsid w:val="00B95B6D"/>
    <w:rsid w:val="00B95E81"/>
    <w:rsid w:val="00B9639E"/>
    <w:rsid w:val="00B964D6"/>
    <w:rsid w:val="00B9685B"/>
    <w:rsid w:val="00B96E16"/>
    <w:rsid w:val="00B9708C"/>
    <w:rsid w:val="00B9798C"/>
    <w:rsid w:val="00B97C68"/>
    <w:rsid w:val="00BA1D6B"/>
    <w:rsid w:val="00BA2C1B"/>
    <w:rsid w:val="00BA31D2"/>
    <w:rsid w:val="00BA397D"/>
    <w:rsid w:val="00BA5E77"/>
    <w:rsid w:val="00BA6CB3"/>
    <w:rsid w:val="00BA72F3"/>
    <w:rsid w:val="00BA790F"/>
    <w:rsid w:val="00BB06A8"/>
    <w:rsid w:val="00BB07C8"/>
    <w:rsid w:val="00BB197F"/>
    <w:rsid w:val="00BB1C6A"/>
    <w:rsid w:val="00BB1DDD"/>
    <w:rsid w:val="00BB2171"/>
    <w:rsid w:val="00BB220A"/>
    <w:rsid w:val="00BB238F"/>
    <w:rsid w:val="00BB29FF"/>
    <w:rsid w:val="00BB311B"/>
    <w:rsid w:val="00BB3E89"/>
    <w:rsid w:val="00BB5FFE"/>
    <w:rsid w:val="00BB63AB"/>
    <w:rsid w:val="00BB7878"/>
    <w:rsid w:val="00BB7CFF"/>
    <w:rsid w:val="00BB7EFF"/>
    <w:rsid w:val="00BC053D"/>
    <w:rsid w:val="00BC0760"/>
    <w:rsid w:val="00BC21C7"/>
    <w:rsid w:val="00BC33A3"/>
    <w:rsid w:val="00BC33D4"/>
    <w:rsid w:val="00BC3507"/>
    <w:rsid w:val="00BC3D9D"/>
    <w:rsid w:val="00BC411F"/>
    <w:rsid w:val="00BC4429"/>
    <w:rsid w:val="00BC46B8"/>
    <w:rsid w:val="00BC4D05"/>
    <w:rsid w:val="00BC5CE5"/>
    <w:rsid w:val="00BC5EB0"/>
    <w:rsid w:val="00BC60C5"/>
    <w:rsid w:val="00BC6461"/>
    <w:rsid w:val="00BC64B2"/>
    <w:rsid w:val="00BC67A3"/>
    <w:rsid w:val="00BC6EFB"/>
    <w:rsid w:val="00BC6FFF"/>
    <w:rsid w:val="00BC75C8"/>
    <w:rsid w:val="00BC7BDA"/>
    <w:rsid w:val="00BD06A3"/>
    <w:rsid w:val="00BD1515"/>
    <w:rsid w:val="00BD1ACB"/>
    <w:rsid w:val="00BD1DCB"/>
    <w:rsid w:val="00BD1F30"/>
    <w:rsid w:val="00BD29C9"/>
    <w:rsid w:val="00BD2C3C"/>
    <w:rsid w:val="00BD44E2"/>
    <w:rsid w:val="00BD455E"/>
    <w:rsid w:val="00BD48FC"/>
    <w:rsid w:val="00BD53DF"/>
    <w:rsid w:val="00BD5E44"/>
    <w:rsid w:val="00BD6693"/>
    <w:rsid w:val="00BD7F35"/>
    <w:rsid w:val="00BE0819"/>
    <w:rsid w:val="00BE09C3"/>
    <w:rsid w:val="00BE0C37"/>
    <w:rsid w:val="00BE367F"/>
    <w:rsid w:val="00BE453D"/>
    <w:rsid w:val="00BE5CF1"/>
    <w:rsid w:val="00BE658C"/>
    <w:rsid w:val="00BE7DBC"/>
    <w:rsid w:val="00BF1593"/>
    <w:rsid w:val="00BF1CEA"/>
    <w:rsid w:val="00BF303A"/>
    <w:rsid w:val="00BF316E"/>
    <w:rsid w:val="00BF3A7D"/>
    <w:rsid w:val="00BF3D64"/>
    <w:rsid w:val="00BF475A"/>
    <w:rsid w:val="00BF652D"/>
    <w:rsid w:val="00BF68A5"/>
    <w:rsid w:val="00BF6D48"/>
    <w:rsid w:val="00BF7342"/>
    <w:rsid w:val="00C007DD"/>
    <w:rsid w:val="00C026C8"/>
    <w:rsid w:val="00C02A54"/>
    <w:rsid w:val="00C04380"/>
    <w:rsid w:val="00C043A3"/>
    <w:rsid w:val="00C04921"/>
    <w:rsid w:val="00C04A4F"/>
    <w:rsid w:val="00C04E75"/>
    <w:rsid w:val="00C0513B"/>
    <w:rsid w:val="00C05B26"/>
    <w:rsid w:val="00C06EE8"/>
    <w:rsid w:val="00C071EB"/>
    <w:rsid w:val="00C0727E"/>
    <w:rsid w:val="00C0785C"/>
    <w:rsid w:val="00C07B67"/>
    <w:rsid w:val="00C10875"/>
    <w:rsid w:val="00C108E6"/>
    <w:rsid w:val="00C11604"/>
    <w:rsid w:val="00C118D2"/>
    <w:rsid w:val="00C12444"/>
    <w:rsid w:val="00C12898"/>
    <w:rsid w:val="00C1558A"/>
    <w:rsid w:val="00C15CB6"/>
    <w:rsid w:val="00C15EFF"/>
    <w:rsid w:val="00C16020"/>
    <w:rsid w:val="00C16D06"/>
    <w:rsid w:val="00C2035C"/>
    <w:rsid w:val="00C207EB"/>
    <w:rsid w:val="00C211FC"/>
    <w:rsid w:val="00C216DF"/>
    <w:rsid w:val="00C21968"/>
    <w:rsid w:val="00C2230B"/>
    <w:rsid w:val="00C229AA"/>
    <w:rsid w:val="00C2338E"/>
    <w:rsid w:val="00C2478D"/>
    <w:rsid w:val="00C24B19"/>
    <w:rsid w:val="00C251F1"/>
    <w:rsid w:val="00C25A98"/>
    <w:rsid w:val="00C25C69"/>
    <w:rsid w:val="00C25DB7"/>
    <w:rsid w:val="00C2693C"/>
    <w:rsid w:val="00C2752C"/>
    <w:rsid w:val="00C27C1A"/>
    <w:rsid w:val="00C30688"/>
    <w:rsid w:val="00C31141"/>
    <w:rsid w:val="00C31745"/>
    <w:rsid w:val="00C319EF"/>
    <w:rsid w:val="00C31AD1"/>
    <w:rsid w:val="00C31E40"/>
    <w:rsid w:val="00C322BB"/>
    <w:rsid w:val="00C32E43"/>
    <w:rsid w:val="00C33B0F"/>
    <w:rsid w:val="00C348CB"/>
    <w:rsid w:val="00C34CB9"/>
    <w:rsid w:val="00C34E42"/>
    <w:rsid w:val="00C36415"/>
    <w:rsid w:val="00C36C0A"/>
    <w:rsid w:val="00C37A0D"/>
    <w:rsid w:val="00C37A68"/>
    <w:rsid w:val="00C37F12"/>
    <w:rsid w:val="00C401FC"/>
    <w:rsid w:val="00C409B5"/>
    <w:rsid w:val="00C41066"/>
    <w:rsid w:val="00C410D6"/>
    <w:rsid w:val="00C42139"/>
    <w:rsid w:val="00C42279"/>
    <w:rsid w:val="00C42777"/>
    <w:rsid w:val="00C431B6"/>
    <w:rsid w:val="00C44202"/>
    <w:rsid w:val="00C44E3D"/>
    <w:rsid w:val="00C4548C"/>
    <w:rsid w:val="00C45976"/>
    <w:rsid w:val="00C46A9E"/>
    <w:rsid w:val="00C4712F"/>
    <w:rsid w:val="00C50035"/>
    <w:rsid w:val="00C50CFD"/>
    <w:rsid w:val="00C5127C"/>
    <w:rsid w:val="00C51415"/>
    <w:rsid w:val="00C517B8"/>
    <w:rsid w:val="00C51C67"/>
    <w:rsid w:val="00C51DAD"/>
    <w:rsid w:val="00C51EEB"/>
    <w:rsid w:val="00C52934"/>
    <w:rsid w:val="00C5454A"/>
    <w:rsid w:val="00C54961"/>
    <w:rsid w:val="00C54AD1"/>
    <w:rsid w:val="00C55A11"/>
    <w:rsid w:val="00C57572"/>
    <w:rsid w:val="00C609E6"/>
    <w:rsid w:val="00C6132F"/>
    <w:rsid w:val="00C61E4B"/>
    <w:rsid w:val="00C6286B"/>
    <w:rsid w:val="00C62D8F"/>
    <w:rsid w:val="00C6372A"/>
    <w:rsid w:val="00C63838"/>
    <w:rsid w:val="00C63C51"/>
    <w:rsid w:val="00C64E0A"/>
    <w:rsid w:val="00C64F2E"/>
    <w:rsid w:val="00C6574E"/>
    <w:rsid w:val="00C65E6B"/>
    <w:rsid w:val="00C662DB"/>
    <w:rsid w:val="00C664F0"/>
    <w:rsid w:val="00C66C83"/>
    <w:rsid w:val="00C66DEB"/>
    <w:rsid w:val="00C66FFA"/>
    <w:rsid w:val="00C67137"/>
    <w:rsid w:val="00C67A6D"/>
    <w:rsid w:val="00C67EB6"/>
    <w:rsid w:val="00C70DF0"/>
    <w:rsid w:val="00C728CD"/>
    <w:rsid w:val="00C7390D"/>
    <w:rsid w:val="00C74132"/>
    <w:rsid w:val="00C74526"/>
    <w:rsid w:val="00C75229"/>
    <w:rsid w:val="00C765C5"/>
    <w:rsid w:val="00C76651"/>
    <w:rsid w:val="00C76CCD"/>
    <w:rsid w:val="00C7763C"/>
    <w:rsid w:val="00C77F13"/>
    <w:rsid w:val="00C808BA"/>
    <w:rsid w:val="00C81C76"/>
    <w:rsid w:val="00C81F66"/>
    <w:rsid w:val="00C827A3"/>
    <w:rsid w:val="00C827F1"/>
    <w:rsid w:val="00C828A7"/>
    <w:rsid w:val="00C82C64"/>
    <w:rsid w:val="00C83A51"/>
    <w:rsid w:val="00C83ED2"/>
    <w:rsid w:val="00C86A10"/>
    <w:rsid w:val="00C86C45"/>
    <w:rsid w:val="00C874BC"/>
    <w:rsid w:val="00C906F4"/>
    <w:rsid w:val="00C90B18"/>
    <w:rsid w:val="00C90EBF"/>
    <w:rsid w:val="00C92555"/>
    <w:rsid w:val="00C92708"/>
    <w:rsid w:val="00C9382B"/>
    <w:rsid w:val="00C93FC9"/>
    <w:rsid w:val="00C94429"/>
    <w:rsid w:val="00C94B42"/>
    <w:rsid w:val="00C9554A"/>
    <w:rsid w:val="00C95B4B"/>
    <w:rsid w:val="00C960A7"/>
    <w:rsid w:val="00C96F6F"/>
    <w:rsid w:val="00C971B4"/>
    <w:rsid w:val="00C9759C"/>
    <w:rsid w:val="00C97FB1"/>
    <w:rsid w:val="00CA1E5F"/>
    <w:rsid w:val="00CA2047"/>
    <w:rsid w:val="00CA2E44"/>
    <w:rsid w:val="00CA2E4A"/>
    <w:rsid w:val="00CA51B8"/>
    <w:rsid w:val="00CA5322"/>
    <w:rsid w:val="00CA54B7"/>
    <w:rsid w:val="00CA657D"/>
    <w:rsid w:val="00CA7475"/>
    <w:rsid w:val="00CA7904"/>
    <w:rsid w:val="00CB1163"/>
    <w:rsid w:val="00CB11AB"/>
    <w:rsid w:val="00CB25FC"/>
    <w:rsid w:val="00CB3789"/>
    <w:rsid w:val="00CB43FD"/>
    <w:rsid w:val="00CB4565"/>
    <w:rsid w:val="00CB462B"/>
    <w:rsid w:val="00CB584A"/>
    <w:rsid w:val="00CB632E"/>
    <w:rsid w:val="00CB67E1"/>
    <w:rsid w:val="00CB6D9B"/>
    <w:rsid w:val="00CB6FB8"/>
    <w:rsid w:val="00CC0198"/>
    <w:rsid w:val="00CC0379"/>
    <w:rsid w:val="00CC0669"/>
    <w:rsid w:val="00CC16BF"/>
    <w:rsid w:val="00CC1928"/>
    <w:rsid w:val="00CC1B7C"/>
    <w:rsid w:val="00CC25D9"/>
    <w:rsid w:val="00CC2F96"/>
    <w:rsid w:val="00CC3D7C"/>
    <w:rsid w:val="00CC5F29"/>
    <w:rsid w:val="00CC64B0"/>
    <w:rsid w:val="00CC6A49"/>
    <w:rsid w:val="00CC7AE1"/>
    <w:rsid w:val="00CD01B4"/>
    <w:rsid w:val="00CD0596"/>
    <w:rsid w:val="00CD07CE"/>
    <w:rsid w:val="00CD1BF8"/>
    <w:rsid w:val="00CD2201"/>
    <w:rsid w:val="00CD299D"/>
    <w:rsid w:val="00CD3296"/>
    <w:rsid w:val="00CD440B"/>
    <w:rsid w:val="00CD4D12"/>
    <w:rsid w:val="00CD50F5"/>
    <w:rsid w:val="00CD6A52"/>
    <w:rsid w:val="00CD7012"/>
    <w:rsid w:val="00CD7E29"/>
    <w:rsid w:val="00CE0176"/>
    <w:rsid w:val="00CE1031"/>
    <w:rsid w:val="00CE1092"/>
    <w:rsid w:val="00CE2625"/>
    <w:rsid w:val="00CE29CB"/>
    <w:rsid w:val="00CE3199"/>
    <w:rsid w:val="00CE4113"/>
    <w:rsid w:val="00CE441B"/>
    <w:rsid w:val="00CE4798"/>
    <w:rsid w:val="00CE589B"/>
    <w:rsid w:val="00CE6745"/>
    <w:rsid w:val="00CE6FEE"/>
    <w:rsid w:val="00CF110B"/>
    <w:rsid w:val="00CF133B"/>
    <w:rsid w:val="00CF1706"/>
    <w:rsid w:val="00CF3BB6"/>
    <w:rsid w:val="00CF5A65"/>
    <w:rsid w:val="00CF60A6"/>
    <w:rsid w:val="00CF6C4C"/>
    <w:rsid w:val="00CF6E3B"/>
    <w:rsid w:val="00CF761F"/>
    <w:rsid w:val="00CF7676"/>
    <w:rsid w:val="00CF7AB5"/>
    <w:rsid w:val="00D003D6"/>
    <w:rsid w:val="00D0201C"/>
    <w:rsid w:val="00D04181"/>
    <w:rsid w:val="00D049E3"/>
    <w:rsid w:val="00D05702"/>
    <w:rsid w:val="00D05852"/>
    <w:rsid w:val="00D05D2A"/>
    <w:rsid w:val="00D110AF"/>
    <w:rsid w:val="00D112DD"/>
    <w:rsid w:val="00D11496"/>
    <w:rsid w:val="00D13269"/>
    <w:rsid w:val="00D1444B"/>
    <w:rsid w:val="00D15560"/>
    <w:rsid w:val="00D15719"/>
    <w:rsid w:val="00D161AA"/>
    <w:rsid w:val="00D16351"/>
    <w:rsid w:val="00D17572"/>
    <w:rsid w:val="00D176CE"/>
    <w:rsid w:val="00D17EEB"/>
    <w:rsid w:val="00D201F6"/>
    <w:rsid w:val="00D2043F"/>
    <w:rsid w:val="00D20453"/>
    <w:rsid w:val="00D2161B"/>
    <w:rsid w:val="00D223C5"/>
    <w:rsid w:val="00D22548"/>
    <w:rsid w:val="00D22BF0"/>
    <w:rsid w:val="00D22D5C"/>
    <w:rsid w:val="00D232BB"/>
    <w:rsid w:val="00D23532"/>
    <w:rsid w:val="00D237C9"/>
    <w:rsid w:val="00D2450D"/>
    <w:rsid w:val="00D2452B"/>
    <w:rsid w:val="00D2473F"/>
    <w:rsid w:val="00D24B1B"/>
    <w:rsid w:val="00D2506E"/>
    <w:rsid w:val="00D2553F"/>
    <w:rsid w:val="00D25BCF"/>
    <w:rsid w:val="00D25C71"/>
    <w:rsid w:val="00D2653E"/>
    <w:rsid w:val="00D26CD4"/>
    <w:rsid w:val="00D270E7"/>
    <w:rsid w:val="00D27E50"/>
    <w:rsid w:val="00D305DD"/>
    <w:rsid w:val="00D30D04"/>
    <w:rsid w:val="00D314CC"/>
    <w:rsid w:val="00D318DC"/>
    <w:rsid w:val="00D31E42"/>
    <w:rsid w:val="00D32E02"/>
    <w:rsid w:val="00D3573A"/>
    <w:rsid w:val="00D35DCB"/>
    <w:rsid w:val="00D36211"/>
    <w:rsid w:val="00D37538"/>
    <w:rsid w:val="00D4048E"/>
    <w:rsid w:val="00D4049E"/>
    <w:rsid w:val="00D41CAD"/>
    <w:rsid w:val="00D41D75"/>
    <w:rsid w:val="00D41FEB"/>
    <w:rsid w:val="00D45D15"/>
    <w:rsid w:val="00D45DEB"/>
    <w:rsid w:val="00D467A2"/>
    <w:rsid w:val="00D46B46"/>
    <w:rsid w:val="00D50022"/>
    <w:rsid w:val="00D5008F"/>
    <w:rsid w:val="00D509F0"/>
    <w:rsid w:val="00D50E5A"/>
    <w:rsid w:val="00D5152F"/>
    <w:rsid w:val="00D517E5"/>
    <w:rsid w:val="00D52BA9"/>
    <w:rsid w:val="00D54031"/>
    <w:rsid w:val="00D54330"/>
    <w:rsid w:val="00D54ABB"/>
    <w:rsid w:val="00D55067"/>
    <w:rsid w:val="00D55DA8"/>
    <w:rsid w:val="00D55FD2"/>
    <w:rsid w:val="00D56B8C"/>
    <w:rsid w:val="00D56E36"/>
    <w:rsid w:val="00D56ED7"/>
    <w:rsid w:val="00D57221"/>
    <w:rsid w:val="00D60743"/>
    <w:rsid w:val="00D60E33"/>
    <w:rsid w:val="00D61D06"/>
    <w:rsid w:val="00D61E98"/>
    <w:rsid w:val="00D634D3"/>
    <w:rsid w:val="00D63918"/>
    <w:rsid w:val="00D63D08"/>
    <w:rsid w:val="00D646BC"/>
    <w:rsid w:val="00D64FCB"/>
    <w:rsid w:val="00D6553D"/>
    <w:rsid w:val="00D65607"/>
    <w:rsid w:val="00D66A69"/>
    <w:rsid w:val="00D67222"/>
    <w:rsid w:val="00D70018"/>
    <w:rsid w:val="00D70453"/>
    <w:rsid w:val="00D71E22"/>
    <w:rsid w:val="00D72947"/>
    <w:rsid w:val="00D72E56"/>
    <w:rsid w:val="00D73672"/>
    <w:rsid w:val="00D755D3"/>
    <w:rsid w:val="00D7676F"/>
    <w:rsid w:val="00D76E74"/>
    <w:rsid w:val="00D772D8"/>
    <w:rsid w:val="00D77410"/>
    <w:rsid w:val="00D802EC"/>
    <w:rsid w:val="00D80B8A"/>
    <w:rsid w:val="00D811BF"/>
    <w:rsid w:val="00D8148E"/>
    <w:rsid w:val="00D8161C"/>
    <w:rsid w:val="00D81ACB"/>
    <w:rsid w:val="00D81ADE"/>
    <w:rsid w:val="00D81B5C"/>
    <w:rsid w:val="00D81E07"/>
    <w:rsid w:val="00D82148"/>
    <w:rsid w:val="00D8278F"/>
    <w:rsid w:val="00D8297B"/>
    <w:rsid w:val="00D82FE6"/>
    <w:rsid w:val="00D833F1"/>
    <w:rsid w:val="00D840C1"/>
    <w:rsid w:val="00D8539B"/>
    <w:rsid w:val="00D856BA"/>
    <w:rsid w:val="00D85BF8"/>
    <w:rsid w:val="00D86668"/>
    <w:rsid w:val="00D8682D"/>
    <w:rsid w:val="00D86D32"/>
    <w:rsid w:val="00D8789C"/>
    <w:rsid w:val="00D9017D"/>
    <w:rsid w:val="00D90199"/>
    <w:rsid w:val="00D902A0"/>
    <w:rsid w:val="00D9055C"/>
    <w:rsid w:val="00D909B1"/>
    <w:rsid w:val="00D915FE"/>
    <w:rsid w:val="00D917D4"/>
    <w:rsid w:val="00D91B31"/>
    <w:rsid w:val="00D9224C"/>
    <w:rsid w:val="00D92750"/>
    <w:rsid w:val="00D9344F"/>
    <w:rsid w:val="00D949DB"/>
    <w:rsid w:val="00D95811"/>
    <w:rsid w:val="00D95DDB"/>
    <w:rsid w:val="00D96783"/>
    <w:rsid w:val="00D96E39"/>
    <w:rsid w:val="00D976FF"/>
    <w:rsid w:val="00D97DB9"/>
    <w:rsid w:val="00DA06F0"/>
    <w:rsid w:val="00DA102D"/>
    <w:rsid w:val="00DA1114"/>
    <w:rsid w:val="00DA1835"/>
    <w:rsid w:val="00DA1DEB"/>
    <w:rsid w:val="00DA3CF6"/>
    <w:rsid w:val="00DA512C"/>
    <w:rsid w:val="00DA6283"/>
    <w:rsid w:val="00DA64F9"/>
    <w:rsid w:val="00DA7141"/>
    <w:rsid w:val="00DB1DA9"/>
    <w:rsid w:val="00DB2551"/>
    <w:rsid w:val="00DB28B5"/>
    <w:rsid w:val="00DB51EA"/>
    <w:rsid w:val="00DB546C"/>
    <w:rsid w:val="00DB573D"/>
    <w:rsid w:val="00DB5AC3"/>
    <w:rsid w:val="00DB5C5E"/>
    <w:rsid w:val="00DB7482"/>
    <w:rsid w:val="00DB7766"/>
    <w:rsid w:val="00DB7985"/>
    <w:rsid w:val="00DC01D4"/>
    <w:rsid w:val="00DC02EA"/>
    <w:rsid w:val="00DC0456"/>
    <w:rsid w:val="00DC0500"/>
    <w:rsid w:val="00DC075E"/>
    <w:rsid w:val="00DC07B7"/>
    <w:rsid w:val="00DC087C"/>
    <w:rsid w:val="00DC2CC8"/>
    <w:rsid w:val="00DC2FE1"/>
    <w:rsid w:val="00DC422A"/>
    <w:rsid w:val="00DC4598"/>
    <w:rsid w:val="00DC4964"/>
    <w:rsid w:val="00DC4ACA"/>
    <w:rsid w:val="00DC4B14"/>
    <w:rsid w:val="00DC4B8C"/>
    <w:rsid w:val="00DC58AC"/>
    <w:rsid w:val="00DC6153"/>
    <w:rsid w:val="00DC68B9"/>
    <w:rsid w:val="00DC6BB8"/>
    <w:rsid w:val="00DC6BF4"/>
    <w:rsid w:val="00DC77FA"/>
    <w:rsid w:val="00DC7BE9"/>
    <w:rsid w:val="00DC7C3E"/>
    <w:rsid w:val="00DC7D9D"/>
    <w:rsid w:val="00DD0656"/>
    <w:rsid w:val="00DD0C02"/>
    <w:rsid w:val="00DD0FA8"/>
    <w:rsid w:val="00DD2F59"/>
    <w:rsid w:val="00DD3DC3"/>
    <w:rsid w:val="00DD3F8C"/>
    <w:rsid w:val="00DD4413"/>
    <w:rsid w:val="00DD525B"/>
    <w:rsid w:val="00DD5355"/>
    <w:rsid w:val="00DD541D"/>
    <w:rsid w:val="00DD61F2"/>
    <w:rsid w:val="00DD6F03"/>
    <w:rsid w:val="00DD70E7"/>
    <w:rsid w:val="00DD7B1D"/>
    <w:rsid w:val="00DE108F"/>
    <w:rsid w:val="00DE1D97"/>
    <w:rsid w:val="00DE208F"/>
    <w:rsid w:val="00DE2FB7"/>
    <w:rsid w:val="00DE3D63"/>
    <w:rsid w:val="00DE496B"/>
    <w:rsid w:val="00DE5861"/>
    <w:rsid w:val="00DE6A63"/>
    <w:rsid w:val="00DE6D49"/>
    <w:rsid w:val="00DF1F8E"/>
    <w:rsid w:val="00DF2458"/>
    <w:rsid w:val="00DF2DD7"/>
    <w:rsid w:val="00DF3830"/>
    <w:rsid w:val="00DF4B5E"/>
    <w:rsid w:val="00DF542F"/>
    <w:rsid w:val="00DF5510"/>
    <w:rsid w:val="00DF603D"/>
    <w:rsid w:val="00DF6804"/>
    <w:rsid w:val="00DF6930"/>
    <w:rsid w:val="00DF6FDA"/>
    <w:rsid w:val="00DF6FDE"/>
    <w:rsid w:val="00DF72C6"/>
    <w:rsid w:val="00DF7539"/>
    <w:rsid w:val="00DF759C"/>
    <w:rsid w:val="00DF773A"/>
    <w:rsid w:val="00E003C7"/>
    <w:rsid w:val="00E0127B"/>
    <w:rsid w:val="00E01ECE"/>
    <w:rsid w:val="00E023E9"/>
    <w:rsid w:val="00E02954"/>
    <w:rsid w:val="00E02B58"/>
    <w:rsid w:val="00E03409"/>
    <w:rsid w:val="00E04192"/>
    <w:rsid w:val="00E045EB"/>
    <w:rsid w:val="00E05BA4"/>
    <w:rsid w:val="00E05CF7"/>
    <w:rsid w:val="00E06B99"/>
    <w:rsid w:val="00E06BF2"/>
    <w:rsid w:val="00E072E9"/>
    <w:rsid w:val="00E0730F"/>
    <w:rsid w:val="00E07A10"/>
    <w:rsid w:val="00E07E52"/>
    <w:rsid w:val="00E07F15"/>
    <w:rsid w:val="00E103DF"/>
    <w:rsid w:val="00E107EB"/>
    <w:rsid w:val="00E1231E"/>
    <w:rsid w:val="00E12DBC"/>
    <w:rsid w:val="00E12E37"/>
    <w:rsid w:val="00E132D7"/>
    <w:rsid w:val="00E1347E"/>
    <w:rsid w:val="00E15713"/>
    <w:rsid w:val="00E15B6D"/>
    <w:rsid w:val="00E165D6"/>
    <w:rsid w:val="00E17DC0"/>
    <w:rsid w:val="00E20AB6"/>
    <w:rsid w:val="00E21427"/>
    <w:rsid w:val="00E21618"/>
    <w:rsid w:val="00E21D70"/>
    <w:rsid w:val="00E2202A"/>
    <w:rsid w:val="00E22314"/>
    <w:rsid w:val="00E2266B"/>
    <w:rsid w:val="00E23138"/>
    <w:rsid w:val="00E23B36"/>
    <w:rsid w:val="00E2416B"/>
    <w:rsid w:val="00E249A6"/>
    <w:rsid w:val="00E24C09"/>
    <w:rsid w:val="00E25EC1"/>
    <w:rsid w:val="00E263AC"/>
    <w:rsid w:val="00E27267"/>
    <w:rsid w:val="00E27BAE"/>
    <w:rsid w:val="00E300CA"/>
    <w:rsid w:val="00E30624"/>
    <w:rsid w:val="00E3152C"/>
    <w:rsid w:val="00E3211F"/>
    <w:rsid w:val="00E34A51"/>
    <w:rsid w:val="00E355DC"/>
    <w:rsid w:val="00E3662A"/>
    <w:rsid w:val="00E36995"/>
    <w:rsid w:val="00E36A6A"/>
    <w:rsid w:val="00E40A9C"/>
    <w:rsid w:val="00E40B2E"/>
    <w:rsid w:val="00E41909"/>
    <w:rsid w:val="00E41A2E"/>
    <w:rsid w:val="00E4279B"/>
    <w:rsid w:val="00E43479"/>
    <w:rsid w:val="00E436CA"/>
    <w:rsid w:val="00E437B2"/>
    <w:rsid w:val="00E43DE2"/>
    <w:rsid w:val="00E43E11"/>
    <w:rsid w:val="00E44473"/>
    <w:rsid w:val="00E44A1E"/>
    <w:rsid w:val="00E44FD3"/>
    <w:rsid w:val="00E4538E"/>
    <w:rsid w:val="00E465FA"/>
    <w:rsid w:val="00E46DCD"/>
    <w:rsid w:val="00E470B5"/>
    <w:rsid w:val="00E47AA6"/>
    <w:rsid w:val="00E47F66"/>
    <w:rsid w:val="00E504B3"/>
    <w:rsid w:val="00E508B9"/>
    <w:rsid w:val="00E50A57"/>
    <w:rsid w:val="00E51035"/>
    <w:rsid w:val="00E518D9"/>
    <w:rsid w:val="00E51A57"/>
    <w:rsid w:val="00E51FB4"/>
    <w:rsid w:val="00E524D3"/>
    <w:rsid w:val="00E52956"/>
    <w:rsid w:val="00E546D7"/>
    <w:rsid w:val="00E547F2"/>
    <w:rsid w:val="00E558C2"/>
    <w:rsid w:val="00E559C4"/>
    <w:rsid w:val="00E56C25"/>
    <w:rsid w:val="00E573E3"/>
    <w:rsid w:val="00E57508"/>
    <w:rsid w:val="00E60050"/>
    <w:rsid w:val="00E60127"/>
    <w:rsid w:val="00E601A3"/>
    <w:rsid w:val="00E602D6"/>
    <w:rsid w:val="00E6043B"/>
    <w:rsid w:val="00E612F4"/>
    <w:rsid w:val="00E629E4"/>
    <w:rsid w:val="00E63001"/>
    <w:rsid w:val="00E63762"/>
    <w:rsid w:val="00E63BAB"/>
    <w:rsid w:val="00E6423E"/>
    <w:rsid w:val="00E6433B"/>
    <w:rsid w:val="00E64A58"/>
    <w:rsid w:val="00E65807"/>
    <w:rsid w:val="00E65B44"/>
    <w:rsid w:val="00E66B14"/>
    <w:rsid w:val="00E71DD7"/>
    <w:rsid w:val="00E71DEE"/>
    <w:rsid w:val="00E71F97"/>
    <w:rsid w:val="00E72136"/>
    <w:rsid w:val="00E72418"/>
    <w:rsid w:val="00E725AD"/>
    <w:rsid w:val="00E72645"/>
    <w:rsid w:val="00E73D0E"/>
    <w:rsid w:val="00E754F9"/>
    <w:rsid w:val="00E75544"/>
    <w:rsid w:val="00E75731"/>
    <w:rsid w:val="00E75BFB"/>
    <w:rsid w:val="00E75C10"/>
    <w:rsid w:val="00E75CD5"/>
    <w:rsid w:val="00E80AF7"/>
    <w:rsid w:val="00E80EF0"/>
    <w:rsid w:val="00E8151E"/>
    <w:rsid w:val="00E8180F"/>
    <w:rsid w:val="00E8230C"/>
    <w:rsid w:val="00E82A0C"/>
    <w:rsid w:val="00E82B22"/>
    <w:rsid w:val="00E82D49"/>
    <w:rsid w:val="00E832E4"/>
    <w:rsid w:val="00E84355"/>
    <w:rsid w:val="00E8574E"/>
    <w:rsid w:val="00E858CC"/>
    <w:rsid w:val="00E85B7D"/>
    <w:rsid w:val="00E85D2A"/>
    <w:rsid w:val="00E87675"/>
    <w:rsid w:val="00E90393"/>
    <w:rsid w:val="00E909B3"/>
    <w:rsid w:val="00E90B0E"/>
    <w:rsid w:val="00E90B79"/>
    <w:rsid w:val="00E90BBB"/>
    <w:rsid w:val="00E90E17"/>
    <w:rsid w:val="00E92337"/>
    <w:rsid w:val="00E92C56"/>
    <w:rsid w:val="00E9369B"/>
    <w:rsid w:val="00E9489A"/>
    <w:rsid w:val="00E94934"/>
    <w:rsid w:val="00E9513D"/>
    <w:rsid w:val="00E953BF"/>
    <w:rsid w:val="00E96215"/>
    <w:rsid w:val="00E96D50"/>
    <w:rsid w:val="00E9755F"/>
    <w:rsid w:val="00E97E1B"/>
    <w:rsid w:val="00E97EAC"/>
    <w:rsid w:val="00EA071F"/>
    <w:rsid w:val="00EA0AA8"/>
    <w:rsid w:val="00EA1DB3"/>
    <w:rsid w:val="00EA1F35"/>
    <w:rsid w:val="00EA2447"/>
    <w:rsid w:val="00EA244F"/>
    <w:rsid w:val="00EA2E23"/>
    <w:rsid w:val="00EA338D"/>
    <w:rsid w:val="00EA3900"/>
    <w:rsid w:val="00EA3CE6"/>
    <w:rsid w:val="00EA4C64"/>
    <w:rsid w:val="00EA536E"/>
    <w:rsid w:val="00EA5A0D"/>
    <w:rsid w:val="00EA5F6E"/>
    <w:rsid w:val="00EA6721"/>
    <w:rsid w:val="00EA6C92"/>
    <w:rsid w:val="00EA7414"/>
    <w:rsid w:val="00EA745B"/>
    <w:rsid w:val="00EB0661"/>
    <w:rsid w:val="00EB067D"/>
    <w:rsid w:val="00EB071C"/>
    <w:rsid w:val="00EB07A8"/>
    <w:rsid w:val="00EB0FB4"/>
    <w:rsid w:val="00EB1839"/>
    <w:rsid w:val="00EB1A2C"/>
    <w:rsid w:val="00EB1E33"/>
    <w:rsid w:val="00EB28DA"/>
    <w:rsid w:val="00EB30AF"/>
    <w:rsid w:val="00EB3B0D"/>
    <w:rsid w:val="00EB3C9A"/>
    <w:rsid w:val="00EB3D91"/>
    <w:rsid w:val="00EB4064"/>
    <w:rsid w:val="00EB45B4"/>
    <w:rsid w:val="00EB4BDE"/>
    <w:rsid w:val="00EB53AF"/>
    <w:rsid w:val="00EB5AEC"/>
    <w:rsid w:val="00EB65EC"/>
    <w:rsid w:val="00EB6C39"/>
    <w:rsid w:val="00EB7266"/>
    <w:rsid w:val="00EB789F"/>
    <w:rsid w:val="00EB7C02"/>
    <w:rsid w:val="00EC002C"/>
    <w:rsid w:val="00EC00ED"/>
    <w:rsid w:val="00EC07D3"/>
    <w:rsid w:val="00EC196E"/>
    <w:rsid w:val="00EC30D0"/>
    <w:rsid w:val="00EC3443"/>
    <w:rsid w:val="00EC3780"/>
    <w:rsid w:val="00EC3AD2"/>
    <w:rsid w:val="00EC3BEF"/>
    <w:rsid w:val="00EC46AA"/>
    <w:rsid w:val="00EC4A56"/>
    <w:rsid w:val="00EC50CF"/>
    <w:rsid w:val="00EC51EA"/>
    <w:rsid w:val="00EC540F"/>
    <w:rsid w:val="00EC5E1C"/>
    <w:rsid w:val="00EC5E37"/>
    <w:rsid w:val="00EC6272"/>
    <w:rsid w:val="00EC65EB"/>
    <w:rsid w:val="00EC6A27"/>
    <w:rsid w:val="00EC72A1"/>
    <w:rsid w:val="00EC752B"/>
    <w:rsid w:val="00EC7999"/>
    <w:rsid w:val="00ED0042"/>
    <w:rsid w:val="00ED4761"/>
    <w:rsid w:val="00ED4949"/>
    <w:rsid w:val="00ED5111"/>
    <w:rsid w:val="00ED5B15"/>
    <w:rsid w:val="00ED5F54"/>
    <w:rsid w:val="00ED639F"/>
    <w:rsid w:val="00ED69F4"/>
    <w:rsid w:val="00ED72DE"/>
    <w:rsid w:val="00ED732D"/>
    <w:rsid w:val="00ED781E"/>
    <w:rsid w:val="00EE173E"/>
    <w:rsid w:val="00EE1C0D"/>
    <w:rsid w:val="00EE2211"/>
    <w:rsid w:val="00EE2D6B"/>
    <w:rsid w:val="00EE35E7"/>
    <w:rsid w:val="00EE3C34"/>
    <w:rsid w:val="00EE4049"/>
    <w:rsid w:val="00EE49D9"/>
    <w:rsid w:val="00EE5B42"/>
    <w:rsid w:val="00EE5D84"/>
    <w:rsid w:val="00EE6A58"/>
    <w:rsid w:val="00EE6FE3"/>
    <w:rsid w:val="00EF032B"/>
    <w:rsid w:val="00EF0D63"/>
    <w:rsid w:val="00EF1B35"/>
    <w:rsid w:val="00EF2343"/>
    <w:rsid w:val="00EF2DF7"/>
    <w:rsid w:val="00EF3441"/>
    <w:rsid w:val="00EF3669"/>
    <w:rsid w:val="00EF3923"/>
    <w:rsid w:val="00EF3BF1"/>
    <w:rsid w:val="00EF50D7"/>
    <w:rsid w:val="00EF54A9"/>
    <w:rsid w:val="00EF5562"/>
    <w:rsid w:val="00EF5FA7"/>
    <w:rsid w:val="00EF64D1"/>
    <w:rsid w:val="00EF72A9"/>
    <w:rsid w:val="00EF7429"/>
    <w:rsid w:val="00EF76E5"/>
    <w:rsid w:val="00EF770F"/>
    <w:rsid w:val="00F0015C"/>
    <w:rsid w:val="00F006D9"/>
    <w:rsid w:val="00F00F00"/>
    <w:rsid w:val="00F01275"/>
    <w:rsid w:val="00F0501C"/>
    <w:rsid w:val="00F050DF"/>
    <w:rsid w:val="00F05171"/>
    <w:rsid w:val="00F05C93"/>
    <w:rsid w:val="00F05D76"/>
    <w:rsid w:val="00F07066"/>
    <w:rsid w:val="00F075E2"/>
    <w:rsid w:val="00F10E56"/>
    <w:rsid w:val="00F11627"/>
    <w:rsid w:val="00F11BE3"/>
    <w:rsid w:val="00F128EA"/>
    <w:rsid w:val="00F13615"/>
    <w:rsid w:val="00F13789"/>
    <w:rsid w:val="00F13A9C"/>
    <w:rsid w:val="00F13FC3"/>
    <w:rsid w:val="00F140C4"/>
    <w:rsid w:val="00F14502"/>
    <w:rsid w:val="00F15CE8"/>
    <w:rsid w:val="00F16712"/>
    <w:rsid w:val="00F16ABE"/>
    <w:rsid w:val="00F16D7F"/>
    <w:rsid w:val="00F17BB0"/>
    <w:rsid w:val="00F2023E"/>
    <w:rsid w:val="00F2125A"/>
    <w:rsid w:val="00F221F7"/>
    <w:rsid w:val="00F22925"/>
    <w:rsid w:val="00F22AEC"/>
    <w:rsid w:val="00F23DED"/>
    <w:rsid w:val="00F24641"/>
    <w:rsid w:val="00F25E93"/>
    <w:rsid w:val="00F2758B"/>
    <w:rsid w:val="00F27D0F"/>
    <w:rsid w:val="00F30925"/>
    <w:rsid w:val="00F30A84"/>
    <w:rsid w:val="00F31324"/>
    <w:rsid w:val="00F321F3"/>
    <w:rsid w:val="00F325DF"/>
    <w:rsid w:val="00F331F8"/>
    <w:rsid w:val="00F349F1"/>
    <w:rsid w:val="00F34AA8"/>
    <w:rsid w:val="00F34C4A"/>
    <w:rsid w:val="00F34CDA"/>
    <w:rsid w:val="00F34F9C"/>
    <w:rsid w:val="00F358E4"/>
    <w:rsid w:val="00F3654C"/>
    <w:rsid w:val="00F36713"/>
    <w:rsid w:val="00F40157"/>
    <w:rsid w:val="00F40898"/>
    <w:rsid w:val="00F41F48"/>
    <w:rsid w:val="00F4278F"/>
    <w:rsid w:val="00F433C6"/>
    <w:rsid w:val="00F4353F"/>
    <w:rsid w:val="00F43BC7"/>
    <w:rsid w:val="00F4406B"/>
    <w:rsid w:val="00F440F7"/>
    <w:rsid w:val="00F444FD"/>
    <w:rsid w:val="00F44FA5"/>
    <w:rsid w:val="00F45502"/>
    <w:rsid w:val="00F456DC"/>
    <w:rsid w:val="00F45730"/>
    <w:rsid w:val="00F46052"/>
    <w:rsid w:val="00F4607C"/>
    <w:rsid w:val="00F461D1"/>
    <w:rsid w:val="00F46B40"/>
    <w:rsid w:val="00F472C5"/>
    <w:rsid w:val="00F4797E"/>
    <w:rsid w:val="00F47B40"/>
    <w:rsid w:val="00F47C1E"/>
    <w:rsid w:val="00F50C99"/>
    <w:rsid w:val="00F51216"/>
    <w:rsid w:val="00F5149C"/>
    <w:rsid w:val="00F51DD0"/>
    <w:rsid w:val="00F523B6"/>
    <w:rsid w:val="00F524A6"/>
    <w:rsid w:val="00F5281C"/>
    <w:rsid w:val="00F52858"/>
    <w:rsid w:val="00F53647"/>
    <w:rsid w:val="00F53671"/>
    <w:rsid w:val="00F54B33"/>
    <w:rsid w:val="00F54BB5"/>
    <w:rsid w:val="00F54E26"/>
    <w:rsid w:val="00F54FC6"/>
    <w:rsid w:val="00F55193"/>
    <w:rsid w:val="00F563FB"/>
    <w:rsid w:val="00F56B6B"/>
    <w:rsid w:val="00F56EB3"/>
    <w:rsid w:val="00F6017C"/>
    <w:rsid w:val="00F60217"/>
    <w:rsid w:val="00F6071D"/>
    <w:rsid w:val="00F607B1"/>
    <w:rsid w:val="00F61770"/>
    <w:rsid w:val="00F61C79"/>
    <w:rsid w:val="00F62B72"/>
    <w:rsid w:val="00F62D17"/>
    <w:rsid w:val="00F6381D"/>
    <w:rsid w:val="00F63A7F"/>
    <w:rsid w:val="00F6461E"/>
    <w:rsid w:val="00F6462F"/>
    <w:rsid w:val="00F65599"/>
    <w:rsid w:val="00F663C2"/>
    <w:rsid w:val="00F66E7E"/>
    <w:rsid w:val="00F66FE0"/>
    <w:rsid w:val="00F676B8"/>
    <w:rsid w:val="00F676D0"/>
    <w:rsid w:val="00F67F6C"/>
    <w:rsid w:val="00F67FE0"/>
    <w:rsid w:val="00F70787"/>
    <w:rsid w:val="00F70947"/>
    <w:rsid w:val="00F70A02"/>
    <w:rsid w:val="00F70F2C"/>
    <w:rsid w:val="00F719DA"/>
    <w:rsid w:val="00F73867"/>
    <w:rsid w:val="00F7410D"/>
    <w:rsid w:val="00F74AC7"/>
    <w:rsid w:val="00F74FF6"/>
    <w:rsid w:val="00F75412"/>
    <w:rsid w:val="00F75929"/>
    <w:rsid w:val="00F761E7"/>
    <w:rsid w:val="00F76285"/>
    <w:rsid w:val="00F77F3D"/>
    <w:rsid w:val="00F82664"/>
    <w:rsid w:val="00F82CE1"/>
    <w:rsid w:val="00F83731"/>
    <w:rsid w:val="00F83BA8"/>
    <w:rsid w:val="00F848B5"/>
    <w:rsid w:val="00F84A15"/>
    <w:rsid w:val="00F856C2"/>
    <w:rsid w:val="00F86847"/>
    <w:rsid w:val="00F86F4A"/>
    <w:rsid w:val="00F87CCF"/>
    <w:rsid w:val="00F9028D"/>
    <w:rsid w:val="00F90EFC"/>
    <w:rsid w:val="00F913F6"/>
    <w:rsid w:val="00F915F6"/>
    <w:rsid w:val="00F935EE"/>
    <w:rsid w:val="00F94A5E"/>
    <w:rsid w:val="00F94C42"/>
    <w:rsid w:val="00F958B8"/>
    <w:rsid w:val="00F966C0"/>
    <w:rsid w:val="00F96834"/>
    <w:rsid w:val="00F9780B"/>
    <w:rsid w:val="00F97EB4"/>
    <w:rsid w:val="00FA0647"/>
    <w:rsid w:val="00FA1617"/>
    <w:rsid w:val="00FA1E20"/>
    <w:rsid w:val="00FA247C"/>
    <w:rsid w:val="00FA2BF3"/>
    <w:rsid w:val="00FA2C4B"/>
    <w:rsid w:val="00FA3046"/>
    <w:rsid w:val="00FA3157"/>
    <w:rsid w:val="00FA3460"/>
    <w:rsid w:val="00FA35CD"/>
    <w:rsid w:val="00FA424B"/>
    <w:rsid w:val="00FA4554"/>
    <w:rsid w:val="00FA47BB"/>
    <w:rsid w:val="00FA5321"/>
    <w:rsid w:val="00FA5682"/>
    <w:rsid w:val="00FA73B2"/>
    <w:rsid w:val="00FA7C25"/>
    <w:rsid w:val="00FA7C3D"/>
    <w:rsid w:val="00FB0205"/>
    <w:rsid w:val="00FB0D9C"/>
    <w:rsid w:val="00FB13AF"/>
    <w:rsid w:val="00FB1BA0"/>
    <w:rsid w:val="00FB299F"/>
    <w:rsid w:val="00FB34CF"/>
    <w:rsid w:val="00FB3B9B"/>
    <w:rsid w:val="00FB3D8E"/>
    <w:rsid w:val="00FB4DB1"/>
    <w:rsid w:val="00FB4EC4"/>
    <w:rsid w:val="00FB639C"/>
    <w:rsid w:val="00FB6529"/>
    <w:rsid w:val="00FB6556"/>
    <w:rsid w:val="00FB7971"/>
    <w:rsid w:val="00FC17CA"/>
    <w:rsid w:val="00FC186E"/>
    <w:rsid w:val="00FC21CC"/>
    <w:rsid w:val="00FC27FA"/>
    <w:rsid w:val="00FC2F21"/>
    <w:rsid w:val="00FC3972"/>
    <w:rsid w:val="00FC3CE6"/>
    <w:rsid w:val="00FC3FEB"/>
    <w:rsid w:val="00FC4A74"/>
    <w:rsid w:val="00FC54C2"/>
    <w:rsid w:val="00FC54E8"/>
    <w:rsid w:val="00FC6EAB"/>
    <w:rsid w:val="00FC7594"/>
    <w:rsid w:val="00FC7C3F"/>
    <w:rsid w:val="00FD0254"/>
    <w:rsid w:val="00FD1D66"/>
    <w:rsid w:val="00FD3215"/>
    <w:rsid w:val="00FD33BA"/>
    <w:rsid w:val="00FD3442"/>
    <w:rsid w:val="00FD392D"/>
    <w:rsid w:val="00FD3B0C"/>
    <w:rsid w:val="00FD4DFD"/>
    <w:rsid w:val="00FD588C"/>
    <w:rsid w:val="00FD58F2"/>
    <w:rsid w:val="00FD61A6"/>
    <w:rsid w:val="00FD69CA"/>
    <w:rsid w:val="00FE0F3E"/>
    <w:rsid w:val="00FE113E"/>
    <w:rsid w:val="00FE167F"/>
    <w:rsid w:val="00FE1920"/>
    <w:rsid w:val="00FE1CD6"/>
    <w:rsid w:val="00FE1CEC"/>
    <w:rsid w:val="00FE292A"/>
    <w:rsid w:val="00FE36EF"/>
    <w:rsid w:val="00FE3901"/>
    <w:rsid w:val="00FE4E79"/>
    <w:rsid w:val="00FE533E"/>
    <w:rsid w:val="00FE5A69"/>
    <w:rsid w:val="00FE64A4"/>
    <w:rsid w:val="00FE692E"/>
    <w:rsid w:val="00FE6DAD"/>
    <w:rsid w:val="00FE70F8"/>
    <w:rsid w:val="00FE714B"/>
    <w:rsid w:val="00FE7D76"/>
    <w:rsid w:val="00FF00F6"/>
    <w:rsid w:val="00FF0233"/>
    <w:rsid w:val="00FF0267"/>
    <w:rsid w:val="00FF1393"/>
    <w:rsid w:val="00FF1478"/>
    <w:rsid w:val="00FF2928"/>
    <w:rsid w:val="00FF2AA2"/>
    <w:rsid w:val="00FF2CA9"/>
    <w:rsid w:val="00FF2EF0"/>
    <w:rsid w:val="00FF30CE"/>
    <w:rsid w:val="00FF342F"/>
    <w:rsid w:val="00FF381A"/>
    <w:rsid w:val="00FF3F97"/>
    <w:rsid w:val="00FF4953"/>
    <w:rsid w:val="00FF4EE5"/>
    <w:rsid w:val="00FF4F34"/>
    <w:rsid w:val="00FF61AF"/>
    <w:rsid w:val="00FF74D9"/>
    <w:rsid w:val="00FF79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245FCD"/>
  <w15:docId w15:val="{135C4272-0F8E-4506-8E67-26885938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C0B1E"/>
    <w:pPr>
      <w:spacing w:after="120" w:line="480" w:lineRule="auto"/>
    </w:pPr>
    <w:rPr>
      <w:sz w:val="22"/>
      <w:szCs w:val="22"/>
    </w:rPr>
  </w:style>
  <w:style w:type="paragraph" w:styleId="Heading1">
    <w:name w:val="heading 1"/>
    <w:basedOn w:val="Normal"/>
    <w:next w:val="Normal"/>
    <w:link w:val="Heading1Char"/>
    <w:uiPriority w:val="9"/>
    <w:qFormat/>
    <w:rsid w:val="00203778"/>
    <w:pPr>
      <w:spacing w:before="300" w:after="40"/>
      <w:jc w:val="left"/>
      <w:outlineLvl w:val="0"/>
    </w:pPr>
    <w:rPr>
      <w:b/>
      <w:caps/>
      <w:spacing w:val="5"/>
      <w:sz w:val="32"/>
      <w:szCs w:val="32"/>
    </w:rPr>
  </w:style>
  <w:style w:type="paragraph" w:styleId="Heading2">
    <w:name w:val="heading 2"/>
    <w:basedOn w:val="Normal"/>
    <w:next w:val="Normal"/>
    <w:link w:val="Heading2Char"/>
    <w:uiPriority w:val="9"/>
    <w:unhideWhenUsed/>
    <w:qFormat/>
    <w:rsid w:val="00203778"/>
    <w:pPr>
      <w:spacing w:after="0"/>
      <w:jc w:val="left"/>
      <w:outlineLvl w:val="1"/>
    </w:pPr>
    <w:rPr>
      <w:b/>
      <w:spacing w:val="5"/>
      <w:sz w:val="24"/>
      <w:szCs w:val="28"/>
    </w:rPr>
  </w:style>
  <w:style w:type="paragraph" w:styleId="Heading3">
    <w:name w:val="heading 3"/>
    <w:basedOn w:val="Normal"/>
    <w:next w:val="Normal"/>
    <w:link w:val="Heading3Char"/>
    <w:uiPriority w:val="9"/>
    <w:unhideWhenUsed/>
    <w:qFormat/>
    <w:rsid w:val="00D24B1B"/>
    <w:pPr>
      <w:spacing w:after="240" w:line="240" w:lineRule="auto"/>
      <w:jc w:val="left"/>
      <w:outlineLvl w:val="2"/>
    </w:pPr>
    <w:rPr>
      <w:rFonts w:eastAsia="Times New Roman"/>
      <w:spacing w:val="5"/>
      <w:szCs w:val="24"/>
      <w:lang w:eastAsia="en-GB"/>
    </w:rPr>
  </w:style>
  <w:style w:type="paragraph" w:styleId="Heading4">
    <w:name w:val="heading 4"/>
    <w:basedOn w:val="Normal"/>
    <w:next w:val="Normal"/>
    <w:link w:val="Heading4Char"/>
    <w:uiPriority w:val="9"/>
    <w:unhideWhenUsed/>
    <w:qFormat/>
    <w:rsid w:val="001810B1"/>
    <w:pPr>
      <w:spacing w:after="0"/>
      <w:jc w:val="left"/>
      <w:outlineLvl w:val="3"/>
    </w:pPr>
    <w:rPr>
      <w:i/>
      <w:iCs/>
      <w:smallCaps/>
      <w:spacing w:val="10"/>
    </w:rPr>
  </w:style>
  <w:style w:type="paragraph" w:styleId="Heading5">
    <w:name w:val="heading 5"/>
    <w:basedOn w:val="Normal"/>
    <w:next w:val="Normal"/>
    <w:link w:val="Heading5Char"/>
    <w:uiPriority w:val="9"/>
    <w:semiHidden/>
    <w:unhideWhenUsed/>
    <w:qFormat/>
    <w:rsid w:val="001810B1"/>
    <w:pPr>
      <w:spacing w:after="0"/>
      <w:jc w:val="left"/>
      <w:outlineLvl w:val="4"/>
    </w:pPr>
    <w:rPr>
      <w:smallCaps/>
      <w:color w:val="393939" w:themeColor="accent6" w:themeShade="BF"/>
      <w:spacing w:val="10"/>
    </w:rPr>
  </w:style>
  <w:style w:type="paragraph" w:styleId="Heading6">
    <w:name w:val="heading 6"/>
    <w:basedOn w:val="Normal"/>
    <w:next w:val="Normal"/>
    <w:link w:val="Heading6Char"/>
    <w:uiPriority w:val="9"/>
    <w:semiHidden/>
    <w:unhideWhenUsed/>
    <w:qFormat/>
    <w:rsid w:val="001810B1"/>
    <w:pPr>
      <w:spacing w:after="0"/>
      <w:jc w:val="left"/>
      <w:outlineLvl w:val="5"/>
    </w:pPr>
    <w:rPr>
      <w:smallCaps/>
      <w:color w:val="4D4D4D" w:themeColor="accent6"/>
      <w:spacing w:val="5"/>
    </w:rPr>
  </w:style>
  <w:style w:type="paragraph" w:styleId="Heading7">
    <w:name w:val="heading 7"/>
    <w:basedOn w:val="Normal"/>
    <w:next w:val="Normal"/>
    <w:link w:val="Heading7Char"/>
    <w:uiPriority w:val="9"/>
    <w:semiHidden/>
    <w:unhideWhenUsed/>
    <w:qFormat/>
    <w:rsid w:val="001810B1"/>
    <w:pPr>
      <w:spacing w:after="0"/>
      <w:jc w:val="left"/>
      <w:outlineLvl w:val="6"/>
    </w:pPr>
    <w:rPr>
      <w:b/>
      <w:bCs/>
      <w:smallCaps/>
      <w:color w:val="4D4D4D" w:themeColor="accent6"/>
      <w:spacing w:val="10"/>
    </w:rPr>
  </w:style>
  <w:style w:type="paragraph" w:styleId="Heading8">
    <w:name w:val="heading 8"/>
    <w:basedOn w:val="Normal"/>
    <w:next w:val="Normal"/>
    <w:link w:val="Heading8Char"/>
    <w:uiPriority w:val="9"/>
    <w:semiHidden/>
    <w:unhideWhenUsed/>
    <w:qFormat/>
    <w:rsid w:val="001810B1"/>
    <w:pPr>
      <w:spacing w:after="0"/>
      <w:jc w:val="left"/>
      <w:outlineLvl w:val="7"/>
    </w:pPr>
    <w:rPr>
      <w:b/>
      <w:bCs/>
      <w:i/>
      <w:iCs/>
      <w:smallCaps/>
      <w:color w:val="393939" w:themeColor="accent6" w:themeShade="BF"/>
    </w:rPr>
  </w:style>
  <w:style w:type="paragraph" w:styleId="Heading9">
    <w:name w:val="heading 9"/>
    <w:basedOn w:val="Normal"/>
    <w:next w:val="Normal"/>
    <w:link w:val="Heading9Char"/>
    <w:uiPriority w:val="9"/>
    <w:semiHidden/>
    <w:unhideWhenUsed/>
    <w:qFormat/>
    <w:rsid w:val="001810B1"/>
    <w:pPr>
      <w:spacing w:after="0"/>
      <w:jc w:val="left"/>
      <w:outlineLvl w:val="8"/>
    </w:pPr>
    <w:rPr>
      <w:b/>
      <w:bCs/>
      <w:i/>
      <w:iCs/>
      <w:smallCaps/>
      <w:color w:val="26262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2162"/>
    <w:pPr>
      <w:spacing w:line="240" w:lineRule="auto"/>
      <w:jc w:val="center"/>
    </w:pPr>
    <w:rPr>
      <w:caps/>
      <w:color w:val="262626" w:themeColor="text1" w:themeTint="D9"/>
      <w:sz w:val="52"/>
      <w:szCs w:val="52"/>
    </w:rPr>
  </w:style>
  <w:style w:type="character" w:customStyle="1" w:styleId="TitleChar">
    <w:name w:val="Title Char"/>
    <w:basedOn w:val="DefaultParagraphFont"/>
    <w:link w:val="Title"/>
    <w:uiPriority w:val="10"/>
    <w:rsid w:val="00092162"/>
    <w:rPr>
      <w:caps/>
      <w:color w:val="262626" w:themeColor="text1" w:themeTint="D9"/>
      <w:sz w:val="52"/>
      <w:szCs w:val="52"/>
    </w:rPr>
  </w:style>
  <w:style w:type="character" w:customStyle="1" w:styleId="Heading1Char">
    <w:name w:val="Heading 1 Char"/>
    <w:basedOn w:val="DefaultParagraphFont"/>
    <w:link w:val="Heading1"/>
    <w:uiPriority w:val="9"/>
    <w:rsid w:val="00203778"/>
    <w:rPr>
      <w:b/>
      <w:caps/>
      <w:spacing w:val="5"/>
      <w:sz w:val="32"/>
      <w:szCs w:val="32"/>
    </w:rPr>
  </w:style>
  <w:style w:type="character" w:customStyle="1" w:styleId="Heading2Char">
    <w:name w:val="Heading 2 Char"/>
    <w:basedOn w:val="DefaultParagraphFont"/>
    <w:link w:val="Heading2"/>
    <w:uiPriority w:val="9"/>
    <w:rsid w:val="00203778"/>
    <w:rPr>
      <w:b/>
      <w:spacing w:val="5"/>
      <w:sz w:val="24"/>
      <w:szCs w:val="28"/>
    </w:rPr>
  </w:style>
  <w:style w:type="character" w:customStyle="1" w:styleId="Heading3Char">
    <w:name w:val="Heading 3 Char"/>
    <w:basedOn w:val="DefaultParagraphFont"/>
    <w:link w:val="Heading3"/>
    <w:uiPriority w:val="9"/>
    <w:rsid w:val="00D24B1B"/>
    <w:rPr>
      <w:rFonts w:eastAsia="Times New Roman"/>
      <w:spacing w:val="5"/>
      <w:sz w:val="22"/>
      <w:szCs w:val="24"/>
      <w:lang w:eastAsia="en-GB"/>
    </w:rPr>
  </w:style>
  <w:style w:type="character" w:customStyle="1" w:styleId="Heading4Char">
    <w:name w:val="Heading 4 Char"/>
    <w:basedOn w:val="DefaultParagraphFont"/>
    <w:link w:val="Heading4"/>
    <w:uiPriority w:val="9"/>
    <w:rsid w:val="001810B1"/>
    <w:rPr>
      <w:i/>
      <w:iCs/>
      <w:smallCaps/>
      <w:spacing w:val="10"/>
      <w:sz w:val="22"/>
      <w:szCs w:val="22"/>
    </w:rPr>
  </w:style>
  <w:style w:type="character" w:customStyle="1" w:styleId="Heading5Char">
    <w:name w:val="Heading 5 Char"/>
    <w:basedOn w:val="DefaultParagraphFont"/>
    <w:link w:val="Heading5"/>
    <w:uiPriority w:val="9"/>
    <w:semiHidden/>
    <w:rsid w:val="001810B1"/>
    <w:rPr>
      <w:smallCaps/>
      <w:color w:val="393939" w:themeColor="accent6" w:themeShade="BF"/>
      <w:spacing w:val="10"/>
      <w:sz w:val="22"/>
      <w:szCs w:val="22"/>
    </w:rPr>
  </w:style>
  <w:style w:type="character" w:customStyle="1" w:styleId="Heading6Char">
    <w:name w:val="Heading 6 Char"/>
    <w:basedOn w:val="DefaultParagraphFont"/>
    <w:link w:val="Heading6"/>
    <w:uiPriority w:val="9"/>
    <w:semiHidden/>
    <w:rsid w:val="001810B1"/>
    <w:rPr>
      <w:smallCaps/>
      <w:color w:val="4D4D4D" w:themeColor="accent6"/>
      <w:spacing w:val="5"/>
      <w:sz w:val="22"/>
      <w:szCs w:val="22"/>
    </w:rPr>
  </w:style>
  <w:style w:type="character" w:customStyle="1" w:styleId="Heading7Char">
    <w:name w:val="Heading 7 Char"/>
    <w:basedOn w:val="DefaultParagraphFont"/>
    <w:link w:val="Heading7"/>
    <w:uiPriority w:val="9"/>
    <w:semiHidden/>
    <w:rsid w:val="001810B1"/>
    <w:rPr>
      <w:b/>
      <w:bCs/>
      <w:smallCaps/>
      <w:color w:val="4D4D4D" w:themeColor="accent6"/>
      <w:spacing w:val="10"/>
    </w:rPr>
  </w:style>
  <w:style w:type="character" w:customStyle="1" w:styleId="Heading8Char">
    <w:name w:val="Heading 8 Char"/>
    <w:basedOn w:val="DefaultParagraphFont"/>
    <w:link w:val="Heading8"/>
    <w:uiPriority w:val="9"/>
    <w:semiHidden/>
    <w:rsid w:val="001810B1"/>
    <w:rPr>
      <w:b/>
      <w:bCs/>
      <w:i/>
      <w:iCs/>
      <w:smallCaps/>
      <w:color w:val="393939" w:themeColor="accent6" w:themeShade="BF"/>
    </w:rPr>
  </w:style>
  <w:style w:type="character" w:customStyle="1" w:styleId="Heading9Char">
    <w:name w:val="Heading 9 Char"/>
    <w:basedOn w:val="DefaultParagraphFont"/>
    <w:link w:val="Heading9"/>
    <w:uiPriority w:val="9"/>
    <w:semiHidden/>
    <w:rsid w:val="001810B1"/>
    <w:rPr>
      <w:b/>
      <w:bCs/>
      <w:i/>
      <w:iCs/>
      <w:smallCaps/>
      <w:color w:val="262626" w:themeColor="accent6" w:themeShade="80"/>
    </w:rPr>
  </w:style>
  <w:style w:type="paragraph" w:styleId="Caption">
    <w:name w:val="caption"/>
    <w:basedOn w:val="Normal"/>
    <w:next w:val="Normal"/>
    <w:autoRedefine/>
    <w:uiPriority w:val="35"/>
    <w:unhideWhenUsed/>
    <w:qFormat/>
    <w:rsid w:val="00D76E74"/>
    <w:rPr>
      <w:rFonts w:eastAsia="Times New Roman" w:cs="Times New Roman"/>
      <w:b/>
      <w:bCs/>
      <w:i/>
      <w:color w:val="000000"/>
      <w:sz w:val="20"/>
      <w:szCs w:val="18"/>
      <w:lang w:eastAsia="en-GB"/>
    </w:rPr>
  </w:style>
  <w:style w:type="paragraph" w:styleId="Subtitle">
    <w:name w:val="Subtitle"/>
    <w:basedOn w:val="Normal"/>
    <w:next w:val="Normal"/>
    <w:link w:val="SubtitleChar"/>
    <w:uiPriority w:val="11"/>
    <w:qFormat/>
    <w:rsid w:val="001810B1"/>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810B1"/>
    <w:rPr>
      <w:rFonts w:asciiTheme="majorHAnsi" w:eastAsiaTheme="majorEastAsia" w:hAnsiTheme="majorHAnsi" w:cstheme="majorBidi"/>
    </w:rPr>
  </w:style>
  <w:style w:type="character" w:styleId="Strong">
    <w:name w:val="Strong"/>
    <w:uiPriority w:val="22"/>
    <w:qFormat/>
    <w:rsid w:val="001810B1"/>
    <w:rPr>
      <w:b/>
      <w:bCs/>
      <w:color w:val="4D4D4D" w:themeColor="accent6"/>
    </w:rPr>
  </w:style>
  <w:style w:type="character" w:styleId="Emphasis">
    <w:name w:val="Emphasis"/>
    <w:uiPriority w:val="20"/>
    <w:qFormat/>
    <w:rsid w:val="001810B1"/>
    <w:rPr>
      <w:b/>
      <w:bCs/>
      <w:i/>
      <w:iCs/>
      <w:spacing w:val="10"/>
    </w:rPr>
  </w:style>
  <w:style w:type="paragraph" w:styleId="NoSpacing">
    <w:name w:val="No Spacing"/>
    <w:uiPriority w:val="1"/>
    <w:qFormat/>
    <w:rsid w:val="001810B1"/>
    <w:pPr>
      <w:spacing w:after="0" w:line="240" w:lineRule="auto"/>
    </w:pPr>
  </w:style>
  <w:style w:type="paragraph" w:styleId="Quote">
    <w:name w:val="Quote"/>
    <w:basedOn w:val="Normal"/>
    <w:next w:val="Normal"/>
    <w:link w:val="QuoteChar"/>
    <w:uiPriority w:val="29"/>
    <w:qFormat/>
    <w:rsid w:val="001810B1"/>
    <w:rPr>
      <w:i/>
      <w:iCs/>
    </w:rPr>
  </w:style>
  <w:style w:type="character" w:customStyle="1" w:styleId="QuoteChar">
    <w:name w:val="Quote Char"/>
    <w:basedOn w:val="DefaultParagraphFont"/>
    <w:link w:val="Quote"/>
    <w:uiPriority w:val="29"/>
    <w:rsid w:val="001810B1"/>
    <w:rPr>
      <w:i/>
      <w:iCs/>
    </w:rPr>
  </w:style>
  <w:style w:type="paragraph" w:styleId="IntenseQuote">
    <w:name w:val="Intense Quote"/>
    <w:basedOn w:val="Normal"/>
    <w:next w:val="Normal"/>
    <w:link w:val="IntenseQuoteChar"/>
    <w:uiPriority w:val="30"/>
    <w:qFormat/>
    <w:rsid w:val="001810B1"/>
    <w:pPr>
      <w:pBdr>
        <w:top w:val="single" w:sz="8" w:space="1" w:color="4D4D4D"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1810B1"/>
    <w:rPr>
      <w:b/>
      <w:bCs/>
      <w:i/>
      <w:iCs/>
    </w:rPr>
  </w:style>
  <w:style w:type="character" w:styleId="SubtleEmphasis">
    <w:name w:val="Subtle Emphasis"/>
    <w:uiPriority w:val="19"/>
    <w:qFormat/>
    <w:rsid w:val="001810B1"/>
    <w:rPr>
      <w:i/>
      <w:iCs/>
    </w:rPr>
  </w:style>
  <w:style w:type="character" w:styleId="IntenseEmphasis">
    <w:name w:val="Intense Emphasis"/>
    <w:uiPriority w:val="21"/>
    <w:qFormat/>
    <w:rsid w:val="001810B1"/>
    <w:rPr>
      <w:b/>
      <w:bCs/>
      <w:i/>
      <w:iCs/>
      <w:color w:val="4D4D4D" w:themeColor="accent6"/>
      <w:spacing w:val="10"/>
    </w:rPr>
  </w:style>
  <w:style w:type="character" w:styleId="SubtleReference">
    <w:name w:val="Subtle Reference"/>
    <w:uiPriority w:val="31"/>
    <w:qFormat/>
    <w:rsid w:val="001810B1"/>
    <w:rPr>
      <w:b/>
      <w:bCs/>
    </w:rPr>
  </w:style>
  <w:style w:type="character" w:styleId="IntenseReference">
    <w:name w:val="Intense Reference"/>
    <w:uiPriority w:val="32"/>
    <w:qFormat/>
    <w:rsid w:val="001810B1"/>
    <w:rPr>
      <w:b/>
      <w:bCs/>
      <w:smallCaps/>
      <w:spacing w:val="5"/>
      <w:sz w:val="22"/>
      <w:szCs w:val="22"/>
      <w:u w:val="single"/>
    </w:rPr>
  </w:style>
  <w:style w:type="character" w:styleId="BookTitle">
    <w:name w:val="Book Title"/>
    <w:uiPriority w:val="33"/>
    <w:qFormat/>
    <w:rsid w:val="001810B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810B1"/>
    <w:pPr>
      <w:outlineLvl w:val="9"/>
    </w:pPr>
  </w:style>
  <w:style w:type="paragraph" w:styleId="Bibliography">
    <w:name w:val="Bibliography"/>
    <w:basedOn w:val="Normal"/>
    <w:next w:val="Normal"/>
    <w:link w:val="BibliographyChar"/>
    <w:uiPriority w:val="37"/>
    <w:unhideWhenUsed/>
    <w:rsid w:val="00856EBF"/>
    <w:pPr>
      <w:tabs>
        <w:tab w:val="left" w:pos="384"/>
      </w:tabs>
      <w:spacing w:after="240" w:line="240" w:lineRule="auto"/>
      <w:ind w:left="384" w:hanging="384"/>
    </w:pPr>
  </w:style>
  <w:style w:type="character" w:styleId="PlaceholderText">
    <w:name w:val="Placeholder Text"/>
    <w:basedOn w:val="DefaultParagraphFont"/>
    <w:uiPriority w:val="99"/>
    <w:semiHidden/>
    <w:rsid w:val="00606B37"/>
    <w:rPr>
      <w:color w:val="808080"/>
    </w:rPr>
  </w:style>
  <w:style w:type="paragraph" w:styleId="BalloonText">
    <w:name w:val="Balloon Text"/>
    <w:basedOn w:val="Normal"/>
    <w:link w:val="BalloonTextChar"/>
    <w:uiPriority w:val="99"/>
    <w:semiHidden/>
    <w:unhideWhenUsed/>
    <w:rsid w:val="00606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B37"/>
    <w:rPr>
      <w:rFonts w:ascii="Tahoma" w:hAnsi="Tahoma" w:cs="Tahoma"/>
      <w:sz w:val="16"/>
      <w:szCs w:val="16"/>
    </w:rPr>
  </w:style>
  <w:style w:type="paragraph" w:styleId="ListParagraph">
    <w:name w:val="List Paragraph"/>
    <w:basedOn w:val="Normal"/>
    <w:uiPriority w:val="34"/>
    <w:qFormat/>
    <w:rsid w:val="007470EB"/>
    <w:pPr>
      <w:ind w:left="720"/>
      <w:contextualSpacing/>
    </w:pPr>
  </w:style>
  <w:style w:type="table" w:customStyle="1" w:styleId="PlainTable51">
    <w:name w:val="Plain Table 51"/>
    <w:basedOn w:val="TableNormal"/>
    <w:uiPriority w:val="45"/>
    <w:rsid w:val="004A3F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C11604"/>
    <w:rPr>
      <w:sz w:val="16"/>
      <w:szCs w:val="16"/>
    </w:rPr>
  </w:style>
  <w:style w:type="paragraph" w:styleId="CommentText">
    <w:name w:val="annotation text"/>
    <w:basedOn w:val="Normal"/>
    <w:link w:val="CommentTextChar"/>
    <w:uiPriority w:val="99"/>
    <w:unhideWhenUsed/>
    <w:rsid w:val="00C11604"/>
    <w:pPr>
      <w:spacing w:line="240" w:lineRule="auto"/>
    </w:pPr>
  </w:style>
  <w:style w:type="character" w:customStyle="1" w:styleId="CommentTextChar">
    <w:name w:val="Comment Text Char"/>
    <w:basedOn w:val="DefaultParagraphFont"/>
    <w:link w:val="CommentText"/>
    <w:uiPriority w:val="99"/>
    <w:rsid w:val="00C11604"/>
    <w:rPr>
      <w:sz w:val="20"/>
      <w:szCs w:val="20"/>
    </w:rPr>
  </w:style>
  <w:style w:type="paragraph" w:styleId="CommentSubject">
    <w:name w:val="annotation subject"/>
    <w:basedOn w:val="CommentText"/>
    <w:next w:val="CommentText"/>
    <w:link w:val="CommentSubjectChar"/>
    <w:uiPriority w:val="99"/>
    <w:semiHidden/>
    <w:unhideWhenUsed/>
    <w:rsid w:val="00C11604"/>
    <w:rPr>
      <w:b/>
      <w:bCs/>
    </w:rPr>
  </w:style>
  <w:style w:type="character" w:customStyle="1" w:styleId="CommentSubjectChar">
    <w:name w:val="Comment Subject Char"/>
    <w:basedOn w:val="CommentTextChar"/>
    <w:link w:val="CommentSubject"/>
    <w:uiPriority w:val="99"/>
    <w:semiHidden/>
    <w:rsid w:val="00C11604"/>
    <w:rPr>
      <w:b/>
      <w:bCs/>
      <w:sz w:val="20"/>
      <w:szCs w:val="20"/>
    </w:rPr>
  </w:style>
  <w:style w:type="table" w:styleId="TableGrid">
    <w:name w:val="Table Grid"/>
    <w:basedOn w:val="TableNormal"/>
    <w:uiPriority w:val="39"/>
    <w:rsid w:val="00504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A6960"/>
  </w:style>
  <w:style w:type="character" w:styleId="Hyperlink">
    <w:name w:val="Hyperlink"/>
    <w:basedOn w:val="DefaultParagraphFont"/>
    <w:uiPriority w:val="99"/>
    <w:unhideWhenUsed/>
    <w:rsid w:val="003A386A"/>
    <w:rPr>
      <w:color w:val="5F5F5F" w:themeColor="hyperlink"/>
      <w:u w:val="single"/>
    </w:rPr>
  </w:style>
  <w:style w:type="paragraph" w:styleId="Footer">
    <w:name w:val="footer"/>
    <w:basedOn w:val="Normal"/>
    <w:link w:val="FooterChar"/>
    <w:uiPriority w:val="99"/>
    <w:rsid w:val="00213A0E"/>
    <w:pPr>
      <w:tabs>
        <w:tab w:val="center" w:pos="4153"/>
        <w:tab w:val="right" w:pos="8306"/>
      </w:tabs>
      <w:spacing w:after="0" w:line="240" w:lineRule="auto"/>
      <w:jc w:val="left"/>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213A0E"/>
    <w:rPr>
      <w:rFonts w:ascii="Times New Roman" w:eastAsia="Times New Roman" w:hAnsi="Times New Roman" w:cs="Times New Roman"/>
      <w:sz w:val="24"/>
      <w:szCs w:val="24"/>
      <w:lang w:val="en-US"/>
    </w:rPr>
  </w:style>
  <w:style w:type="character" w:styleId="FootnoteReference">
    <w:name w:val="footnote reference"/>
    <w:basedOn w:val="DefaultParagraphFont"/>
    <w:rsid w:val="00213A0E"/>
    <w:rPr>
      <w:vertAlign w:val="superscript"/>
    </w:rPr>
  </w:style>
  <w:style w:type="paragraph" w:styleId="Header">
    <w:name w:val="header"/>
    <w:basedOn w:val="Normal"/>
    <w:link w:val="HeaderChar"/>
    <w:uiPriority w:val="99"/>
    <w:unhideWhenUsed/>
    <w:rsid w:val="00FE1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67F"/>
  </w:style>
  <w:style w:type="paragraph" w:styleId="Revision">
    <w:name w:val="Revision"/>
    <w:hidden/>
    <w:uiPriority w:val="99"/>
    <w:semiHidden/>
    <w:rsid w:val="00FE167F"/>
    <w:pPr>
      <w:spacing w:after="0" w:line="240" w:lineRule="auto"/>
      <w:jc w:val="left"/>
    </w:pPr>
  </w:style>
  <w:style w:type="paragraph" w:customStyle="1" w:styleId="Bibliographymine">
    <w:name w:val="Bibliography mine"/>
    <w:basedOn w:val="Bibliography"/>
    <w:link w:val="BibliographymineChar"/>
    <w:qFormat/>
    <w:rsid w:val="00D270E7"/>
    <w:pPr>
      <w:tabs>
        <w:tab w:val="left" w:pos="142"/>
      </w:tabs>
      <w:ind w:left="360" w:hanging="360"/>
      <w:jc w:val="left"/>
    </w:pPr>
  </w:style>
  <w:style w:type="character" w:customStyle="1" w:styleId="BibliographyChar">
    <w:name w:val="Bibliography Char"/>
    <w:basedOn w:val="DefaultParagraphFont"/>
    <w:link w:val="Bibliography"/>
    <w:uiPriority w:val="37"/>
    <w:rsid w:val="00C92555"/>
    <w:rPr>
      <w:sz w:val="22"/>
      <w:szCs w:val="22"/>
    </w:rPr>
  </w:style>
  <w:style w:type="character" w:customStyle="1" w:styleId="BibliographymineChar">
    <w:name w:val="Bibliography mine Char"/>
    <w:basedOn w:val="BibliographyChar"/>
    <w:link w:val="Bibliographymine"/>
    <w:rsid w:val="00D270E7"/>
    <w:rPr>
      <w:sz w:val="22"/>
      <w:szCs w:val="22"/>
    </w:rPr>
  </w:style>
  <w:style w:type="character" w:customStyle="1" w:styleId="MTEquationSection">
    <w:name w:val="MTEquationSection"/>
    <w:basedOn w:val="DefaultParagraphFont"/>
    <w:rsid w:val="007965A0"/>
    <w:rPr>
      <w:vanish/>
      <w:color w:val="FF0000"/>
    </w:rPr>
  </w:style>
  <w:style w:type="paragraph" w:customStyle="1" w:styleId="MTDisplayEquation">
    <w:name w:val="MTDisplayEquation"/>
    <w:basedOn w:val="Normal"/>
    <w:next w:val="Normal"/>
    <w:link w:val="MTDisplayEquationChar"/>
    <w:rsid w:val="007965A0"/>
    <w:pPr>
      <w:tabs>
        <w:tab w:val="center" w:pos="5000"/>
        <w:tab w:val="right" w:pos="9980"/>
      </w:tabs>
    </w:pPr>
  </w:style>
  <w:style w:type="character" w:customStyle="1" w:styleId="MTDisplayEquationChar">
    <w:name w:val="MTDisplayEquation Char"/>
    <w:basedOn w:val="DefaultParagraphFont"/>
    <w:link w:val="MTDisplayEquation"/>
    <w:rsid w:val="007965A0"/>
    <w:rPr>
      <w:sz w:val="22"/>
    </w:rPr>
  </w:style>
  <w:style w:type="character" w:customStyle="1" w:styleId="apple-style-span">
    <w:name w:val="apple-style-span"/>
    <w:basedOn w:val="DefaultParagraphFont"/>
    <w:rsid w:val="00A56C23"/>
  </w:style>
  <w:style w:type="character" w:customStyle="1" w:styleId="apple-converted-space">
    <w:name w:val="apple-converted-space"/>
    <w:basedOn w:val="DefaultParagraphFont"/>
    <w:rsid w:val="00A56C23"/>
  </w:style>
  <w:style w:type="character" w:styleId="FollowedHyperlink">
    <w:name w:val="FollowedHyperlink"/>
    <w:basedOn w:val="DefaultParagraphFont"/>
    <w:uiPriority w:val="99"/>
    <w:semiHidden/>
    <w:unhideWhenUsed/>
    <w:rsid w:val="00E23B36"/>
    <w:rPr>
      <w:color w:val="919191" w:themeColor="followedHyperlink"/>
      <w:u w:val="single"/>
    </w:rPr>
  </w:style>
  <w:style w:type="paragraph" w:styleId="HTMLPreformatted">
    <w:name w:val="HTML Preformatted"/>
    <w:basedOn w:val="Normal"/>
    <w:link w:val="HTMLPreformattedChar"/>
    <w:uiPriority w:val="99"/>
    <w:unhideWhenUsed/>
    <w:rsid w:val="00DE2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E2FB7"/>
    <w:rPr>
      <w:rFonts w:ascii="Courier New" w:eastAsia="Times New Roman" w:hAnsi="Courier New" w:cs="Courier New"/>
      <w:lang w:eastAsia="en-GB"/>
    </w:rPr>
  </w:style>
  <w:style w:type="paragraph" w:styleId="DocumentMap">
    <w:name w:val="Document Map"/>
    <w:basedOn w:val="Normal"/>
    <w:link w:val="DocumentMapChar"/>
    <w:uiPriority w:val="99"/>
    <w:semiHidden/>
    <w:unhideWhenUsed/>
    <w:rsid w:val="00474A2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74A24"/>
    <w:rPr>
      <w:rFonts w:ascii="Times New Roman" w:hAnsi="Times New Roman" w:cs="Times New Roman"/>
      <w:sz w:val="24"/>
      <w:szCs w:val="24"/>
    </w:rPr>
  </w:style>
  <w:style w:type="character" w:customStyle="1" w:styleId="naturaloffnodisplay">
    <w:name w:val="naturaloff nodisplay"/>
    <w:basedOn w:val="DefaultParagraphFont"/>
    <w:rsid w:val="00882F71"/>
  </w:style>
  <w:style w:type="character" w:styleId="LineNumber">
    <w:name w:val="line number"/>
    <w:basedOn w:val="DefaultParagraphFont"/>
    <w:uiPriority w:val="99"/>
    <w:semiHidden/>
    <w:unhideWhenUsed/>
    <w:rsid w:val="00724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48510">
      <w:bodyDiv w:val="1"/>
      <w:marLeft w:val="0"/>
      <w:marRight w:val="0"/>
      <w:marTop w:val="0"/>
      <w:marBottom w:val="0"/>
      <w:divBdr>
        <w:top w:val="none" w:sz="0" w:space="0" w:color="auto"/>
        <w:left w:val="none" w:sz="0" w:space="0" w:color="auto"/>
        <w:bottom w:val="none" w:sz="0" w:space="0" w:color="auto"/>
        <w:right w:val="none" w:sz="0" w:space="0" w:color="auto"/>
      </w:divBdr>
    </w:div>
    <w:div w:id="262803586">
      <w:bodyDiv w:val="1"/>
      <w:marLeft w:val="0"/>
      <w:marRight w:val="0"/>
      <w:marTop w:val="0"/>
      <w:marBottom w:val="0"/>
      <w:divBdr>
        <w:top w:val="none" w:sz="0" w:space="0" w:color="auto"/>
        <w:left w:val="none" w:sz="0" w:space="0" w:color="auto"/>
        <w:bottom w:val="none" w:sz="0" w:space="0" w:color="auto"/>
        <w:right w:val="none" w:sz="0" w:space="0" w:color="auto"/>
      </w:divBdr>
    </w:div>
    <w:div w:id="280962090">
      <w:bodyDiv w:val="1"/>
      <w:marLeft w:val="0"/>
      <w:marRight w:val="0"/>
      <w:marTop w:val="0"/>
      <w:marBottom w:val="0"/>
      <w:divBdr>
        <w:top w:val="none" w:sz="0" w:space="0" w:color="auto"/>
        <w:left w:val="none" w:sz="0" w:space="0" w:color="auto"/>
        <w:bottom w:val="none" w:sz="0" w:space="0" w:color="auto"/>
        <w:right w:val="none" w:sz="0" w:space="0" w:color="auto"/>
      </w:divBdr>
    </w:div>
    <w:div w:id="286856394">
      <w:bodyDiv w:val="1"/>
      <w:marLeft w:val="0"/>
      <w:marRight w:val="0"/>
      <w:marTop w:val="0"/>
      <w:marBottom w:val="0"/>
      <w:divBdr>
        <w:top w:val="none" w:sz="0" w:space="0" w:color="auto"/>
        <w:left w:val="none" w:sz="0" w:space="0" w:color="auto"/>
        <w:bottom w:val="none" w:sz="0" w:space="0" w:color="auto"/>
        <w:right w:val="none" w:sz="0" w:space="0" w:color="auto"/>
      </w:divBdr>
    </w:div>
    <w:div w:id="296565478">
      <w:bodyDiv w:val="1"/>
      <w:marLeft w:val="0"/>
      <w:marRight w:val="0"/>
      <w:marTop w:val="0"/>
      <w:marBottom w:val="0"/>
      <w:divBdr>
        <w:top w:val="none" w:sz="0" w:space="0" w:color="auto"/>
        <w:left w:val="none" w:sz="0" w:space="0" w:color="auto"/>
        <w:bottom w:val="none" w:sz="0" w:space="0" w:color="auto"/>
        <w:right w:val="none" w:sz="0" w:space="0" w:color="auto"/>
      </w:divBdr>
    </w:div>
    <w:div w:id="311952715">
      <w:bodyDiv w:val="1"/>
      <w:marLeft w:val="0"/>
      <w:marRight w:val="0"/>
      <w:marTop w:val="0"/>
      <w:marBottom w:val="0"/>
      <w:divBdr>
        <w:top w:val="none" w:sz="0" w:space="0" w:color="auto"/>
        <w:left w:val="none" w:sz="0" w:space="0" w:color="auto"/>
        <w:bottom w:val="none" w:sz="0" w:space="0" w:color="auto"/>
        <w:right w:val="none" w:sz="0" w:space="0" w:color="auto"/>
      </w:divBdr>
    </w:div>
    <w:div w:id="598951195">
      <w:bodyDiv w:val="1"/>
      <w:marLeft w:val="0"/>
      <w:marRight w:val="0"/>
      <w:marTop w:val="0"/>
      <w:marBottom w:val="0"/>
      <w:divBdr>
        <w:top w:val="none" w:sz="0" w:space="0" w:color="auto"/>
        <w:left w:val="none" w:sz="0" w:space="0" w:color="auto"/>
        <w:bottom w:val="none" w:sz="0" w:space="0" w:color="auto"/>
        <w:right w:val="none" w:sz="0" w:space="0" w:color="auto"/>
      </w:divBdr>
    </w:div>
    <w:div w:id="607395376">
      <w:bodyDiv w:val="1"/>
      <w:marLeft w:val="0"/>
      <w:marRight w:val="0"/>
      <w:marTop w:val="0"/>
      <w:marBottom w:val="0"/>
      <w:divBdr>
        <w:top w:val="none" w:sz="0" w:space="0" w:color="auto"/>
        <w:left w:val="none" w:sz="0" w:space="0" w:color="auto"/>
        <w:bottom w:val="none" w:sz="0" w:space="0" w:color="auto"/>
        <w:right w:val="none" w:sz="0" w:space="0" w:color="auto"/>
      </w:divBdr>
    </w:div>
    <w:div w:id="642274443">
      <w:bodyDiv w:val="1"/>
      <w:marLeft w:val="0"/>
      <w:marRight w:val="0"/>
      <w:marTop w:val="0"/>
      <w:marBottom w:val="0"/>
      <w:divBdr>
        <w:top w:val="none" w:sz="0" w:space="0" w:color="auto"/>
        <w:left w:val="none" w:sz="0" w:space="0" w:color="auto"/>
        <w:bottom w:val="none" w:sz="0" w:space="0" w:color="auto"/>
        <w:right w:val="none" w:sz="0" w:space="0" w:color="auto"/>
      </w:divBdr>
    </w:div>
    <w:div w:id="660936565">
      <w:bodyDiv w:val="1"/>
      <w:marLeft w:val="0"/>
      <w:marRight w:val="0"/>
      <w:marTop w:val="0"/>
      <w:marBottom w:val="0"/>
      <w:divBdr>
        <w:top w:val="none" w:sz="0" w:space="0" w:color="auto"/>
        <w:left w:val="none" w:sz="0" w:space="0" w:color="auto"/>
        <w:bottom w:val="none" w:sz="0" w:space="0" w:color="auto"/>
        <w:right w:val="none" w:sz="0" w:space="0" w:color="auto"/>
      </w:divBdr>
    </w:div>
    <w:div w:id="763645091">
      <w:bodyDiv w:val="1"/>
      <w:marLeft w:val="0"/>
      <w:marRight w:val="0"/>
      <w:marTop w:val="0"/>
      <w:marBottom w:val="0"/>
      <w:divBdr>
        <w:top w:val="none" w:sz="0" w:space="0" w:color="auto"/>
        <w:left w:val="none" w:sz="0" w:space="0" w:color="auto"/>
        <w:bottom w:val="none" w:sz="0" w:space="0" w:color="auto"/>
        <w:right w:val="none" w:sz="0" w:space="0" w:color="auto"/>
      </w:divBdr>
    </w:div>
    <w:div w:id="794518895">
      <w:bodyDiv w:val="1"/>
      <w:marLeft w:val="0"/>
      <w:marRight w:val="0"/>
      <w:marTop w:val="0"/>
      <w:marBottom w:val="0"/>
      <w:divBdr>
        <w:top w:val="none" w:sz="0" w:space="0" w:color="auto"/>
        <w:left w:val="none" w:sz="0" w:space="0" w:color="auto"/>
        <w:bottom w:val="none" w:sz="0" w:space="0" w:color="auto"/>
        <w:right w:val="none" w:sz="0" w:space="0" w:color="auto"/>
      </w:divBdr>
    </w:div>
    <w:div w:id="859662510">
      <w:bodyDiv w:val="1"/>
      <w:marLeft w:val="0"/>
      <w:marRight w:val="0"/>
      <w:marTop w:val="0"/>
      <w:marBottom w:val="0"/>
      <w:divBdr>
        <w:top w:val="none" w:sz="0" w:space="0" w:color="auto"/>
        <w:left w:val="none" w:sz="0" w:space="0" w:color="auto"/>
        <w:bottom w:val="none" w:sz="0" w:space="0" w:color="auto"/>
        <w:right w:val="none" w:sz="0" w:space="0" w:color="auto"/>
      </w:divBdr>
    </w:div>
    <w:div w:id="972713909">
      <w:bodyDiv w:val="1"/>
      <w:marLeft w:val="0"/>
      <w:marRight w:val="0"/>
      <w:marTop w:val="0"/>
      <w:marBottom w:val="0"/>
      <w:divBdr>
        <w:top w:val="none" w:sz="0" w:space="0" w:color="auto"/>
        <w:left w:val="none" w:sz="0" w:space="0" w:color="auto"/>
        <w:bottom w:val="none" w:sz="0" w:space="0" w:color="auto"/>
        <w:right w:val="none" w:sz="0" w:space="0" w:color="auto"/>
      </w:divBdr>
    </w:div>
    <w:div w:id="980186724">
      <w:bodyDiv w:val="1"/>
      <w:marLeft w:val="0"/>
      <w:marRight w:val="0"/>
      <w:marTop w:val="0"/>
      <w:marBottom w:val="0"/>
      <w:divBdr>
        <w:top w:val="none" w:sz="0" w:space="0" w:color="auto"/>
        <w:left w:val="none" w:sz="0" w:space="0" w:color="auto"/>
        <w:bottom w:val="none" w:sz="0" w:space="0" w:color="auto"/>
        <w:right w:val="none" w:sz="0" w:space="0" w:color="auto"/>
      </w:divBdr>
    </w:div>
    <w:div w:id="1160653077">
      <w:bodyDiv w:val="1"/>
      <w:marLeft w:val="0"/>
      <w:marRight w:val="0"/>
      <w:marTop w:val="0"/>
      <w:marBottom w:val="0"/>
      <w:divBdr>
        <w:top w:val="none" w:sz="0" w:space="0" w:color="auto"/>
        <w:left w:val="none" w:sz="0" w:space="0" w:color="auto"/>
        <w:bottom w:val="none" w:sz="0" w:space="0" w:color="auto"/>
        <w:right w:val="none" w:sz="0" w:space="0" w:color="auto"/>
      </w:divBdr>
      <w:divsChild>
        <w:div w:id="875195471">
          <w:marLeft w:val="60"/>
          <w:marRight w:val="0"/>
          <w:marTop w:val="15"/>
          <w:marBottom w:val="0"/>
          <w:divBdr>
            <w:top w:val="none" w:sz="0" w:space="0" w:color="auto"/>
            <w:left w:val="none" w:sz="0" w:space="0" w:color="auto"/>
            <w:bottom w:val="none" w:sz="0" w:space="0" w:color="auto"/>
            <w:right w:val="none" w:sz="0" w:space="0" w:color="auto"/>
          </w:divBdr>
        </w:div>
      </w:divsChild>
    </w:div>
    <w:div w:id="1219246026">
      <w:bodyDiv w:val="1"/>
      <w:marLeft w:val="0"/>
      <w:marRight w:val="0"/>
      <w:marTop w:val="0"/>
      <w:marBottom w:val="0"/>
      <w:divBdr>
        <w:top w:val="none" w:sz="0" w:space="0" w:color="auto"/>
        <w:left w:val="none" w:sz="0" w:space="0" w:color="auto"/>
        <w:bottom w:val="none" w:sz="0" w:space="0" w:color="auto"/>
        <w:right w:val="none" w:sz="0" w:space="0" w:color="auto"/>
      </w:divBdr>
    </w:div>
    <w:div w:id="1223835990">
      <w:bodyDiv w:val="1"/>
      <w:marLeft w:val="0"/>
      <w:marRight w:val="0"/>
      <w:marTop w:val="0"/>
      <w:marBottom w:val="0"/>
      <w:divBdr>
        <w:top w:val="none" w:sz="0" w:space="0" w:color="auto"/>
        <w:left w:val="none" w:sz="0" w:space="0" w:color="auto"/>
        <w:bottom w:val="none" w:sz="0" w:space="0" w:color="auto"/>
        <w:right w:val="none" w:sz="0" w:space="0" w:color="auto"/>
      </w:divBdr>
    </w:div>
    <w:div w:id="1383678940">
      <w:bodyDiv w:val="1"/>
      <w:marLeft w:val="0"/>
      <w:marRight w:val="0"/>
      <w:marTop w:val="0"/>
      <w:marBottom w:val="0"/>
      <w:divBdr>
        <w:top w:val="none" w:sz="0" w:space="0" w:color="auto"/>
        <w:left w:val="none" w:sz="0" w:space="0" w:color="auto"/>
        <w:bottom w:val="none" w:sz="0" w:space="0" w:color="auto"/>
        <w:right w:val="none" w:sz="0" w:space="0" w:color="auto"/>
      </w:divBdr>
    </w:div>
    <w:div w:id="1397390712">
      <w:bodyDiv w:val="1"/>
      <w:marLeft w:val="0"/>
      <w:marRight w:val="0"/>
      <w:marTop w:val="0"/>
      <w:marBottom w:val="0"/>
      <w:divBdr>
        <w:top w:val="none" w:sz="0" w:space="0" w:color="auto"/>
        <w:left w:val="none" w:sz="0" w:space="0" w:color="auto"/>
        <w:bottom w:val="none" w:sz="0" w:space="0" w:color="auto"/>
        <w:right w:val="none" w:sz="0" w:space="0" w:color="auto"/>
      </w:divBdr>
    </w:div>
    <w:div w:id="1520045362">
      <w:bodyDiv w:val="1"/>
      <w:marLeft w:val="0"/>
      <w:marRight w:val="0"/>
      <w:marTop w:val="0"/>
      <w:marBottom w:val="0"/>
      <w:divBdr>
        <w:top w:val="none" w:sz="0" w:space="0" w:color="auto"/>
        <w:left w:val="none" w:sz="0" w:space="0" w:color="auto"/>
        <w:bottom w:val="none" w:sz="0" w:space="0" w:color="auto"/>
        <w:right w:val="none" w:sz="0" w:space="0" w:color="auto"/>
      </w:divBdr>
    </w:div>
    <w:div w:id="1541700613">
      <w:bodyDiv w:val="1"/>
      <w:marLeft w:val="0"/>
      <w:marRight w:val="0"/>
      <w:marTop w:val="0"/>
      <w:marBottom w:val="0"/>
      <w:divBdr>
        <w:top w:val="none" w:sz="0" w:space="0" w:color="auto"/>
        <w:left w:val="none" w:sz="0" w:space="0" w:color="auto"/>
        <w:bottom w:val="none" w:sz="0" w:space="0" w:color="auto"/>
        <w:right w:val="none" w:sz="0" w:space="0" w:color="auto"/>
      </w:divBdr>
    </w:div>
    <w:div w:id="1698851639">
      <w:bodyDiv w:val="1"/>
      <w:marLeft w:val="0"/>
      <w:marRight w:val="0"/>
      <w:marTop w:val="0"/>
      <w:marBottom w:val="0"/>
      <w:divBdr>
        <w:top w:val="none" w:sz="0" w:space="0" w:color="auto"/>
        <w:left w:val="none" w:sz="0" w:space="0" w:color="auto"/>
        <w:bottom w:val="none" w:sz="0" w:space="0" w:color="auto"/>
        <w:right w:val="none" w:sz="0" w:space="0" w:color="auto"/>
      </w:divBdr>
    </w:div>
    <w:div w:id="1720124295">
      <w:bodyDiv w:val="1"/>
      <w:marLeft w:val="0"/>
      <w:marRight w:val="0"/>
      <w:marTop w:val="0"/>
      <w:marBottom w:val="0"/>
      <w:divBdr>
        <w:top w:val="none" w:sz="0" w:space="0" w:color="auto"/>
        <w:left w:val="none" w:sz="0" w:space="0" w:color="auto"/>
        <w:bottom w:val="none" w:sz="0" w:space="0" w:color="auto"/>
        <w:right w:val="none" w:sz="0" w:space="0" w:color="auto"/>
      </w:divBdr>
    </w:div>
    <w:div w:id="1751583618">
      <w:bodyDiv w:val="1"/>
      <w:marLeft w:val="0"/>
      <w:marRight w:val="0"/>
      <w:marTop w:val="0"/>
      <w:marBottom w:val="0"/>
      <w:divBdr>
        <w:top w:val="none" w:sz="0" w:space="0" w:color="auto"/>
        <w:left w:val="none" w:sz="0" w:space="0" w:color="auto"/>
        <w:bottom w:val="none" w:sz="0" w:space="0" w:color="auto"/>
        <w:right w:val="none" w:sz="0" w:space="0" w:color="auto"/>
      </w:divBdr>
      <w:divsChild>
        <w:div w:id="1381439245">
          <w:marLeft w:val="0"/>
          <w:marRight w:val="0"/>
          <w:marTop w:val="0"/>
          <w:marBottom w:val="0"/>
          <w:divBdr>
            <w:top w:val="none" w:sz="0" w:space="0" w:color="auto"/>
            <w:left w:val="none" w:sz="0" w:space="0" w:color="auto"/>
            <w:bottom w:val="none" w:sz="0" w:space="0" w:color="auto"/>
            <w:right w:val="none" w:sz="0" w:space="0" w:color="auto"/>
          </w:divBdr>
          <w:divsChild>
            <w:div w:id="1528562727">
              <w:marLeft w:val="0"/>
              <w:marRight w:val="0"/>
              <w:marTop w:val="0"/>
              <w:marBottom w:val="0"/>
              <w:divBdr>
                <w:top w:val="none" w:sz="0" w:space="0" w:color="auto"/>
                <w:left w:val="none" w:sz="0" w:space="0" w:color="auto"/>
                <w:bottom w:val="none" w:sz="0" w:space="0" w:color="auto"/>
                <w:right w:val="none" w:sz="0" w:space="0" w:color="auto"/>
              </w:divBdr>
              <w:divsChild>
                <w:div w:id="158822556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70004040">
      <w:bodyDiv w:val="1"/>
      <w:marLeft w:val="0"/>
      <w:marRight w:val="0"/>
      <w:marTop w:val="0"/>
      <w:marBottom w:val="0"/>
      <w:divBdr>
        <w:top w:val="none" w:sz="0" w:space="0" w:color="auto"/>
        <w:left w:val="none" w:sz="0" w:space="0" w:color="auto"/>
        <w:bottom w:val="none" w:sz="0" w:space="0" w:color="auto"/>
        <w:right w:val="none" w:sz="0" w:space="0" w:color="auto"/>
      </w:divBdr>
    </w:div>
    <w:div w:id="1806123180">
      <w:bodyDiv w:val="1"/>
      <w:marLeft w:val="0"/>
      <w:marRight w:val="0"/>
      <w:marTop w:val="0"/>
      <w:marBottom w:val="0"/>
      <w:divBdr>
        <w:top w:val="none" w:sz="0" w:space="0" w:color="auto"/>
        <w:left w:val="none" w:sz="0" w:space="0" w:color="auto"/>
        <w:bottom w:val="none" w:sz="0" w:space="0" w:color="auto"/>
        <w:right w:val="none" w:sz="0" w:space="0" w:color="auto"/>
      </w:divBdr>
    </w:div>
    <w:div w:id="1828208215">
      <w:bodyDiv w:val="1"/>
      <w:marLeft w:val="0"/>
      <w:marRight w:val="0"/>
      <w:marTop w:val="0"/>
      <w:marBottom w:val="0"/>
      <w:divBdr>
        <w:top w:val="none" w:sz="0" w:space="0" w:color="auto"/>
        <w:left w:val="none" w:sz="0" w:space="0" w:color="auto"/>
        <w:bottom w:val="none" w:sz="0" w:space="0" w:color="auto"/>
        <w:right w:val="none" w:sz="0" w:space="0" w:color="auto"/>
      </w:divBdr>
    </w:div>
    <w:div w:id="1926376305">
      <w:bodyDiv w:val="1"/>
      <w:marLeft w:val="0"/>
      <w:marRight w:val="0"/>
      <w:marTop w:val="0"/>
      <w:marBottom w:val="0"/>
      <w:divBdr>
        <w:top w:val="none" w:sz="0" w:space="0" w:color="auto"/>
        <w:left w:val="none" w:sz="0" w:space="0" w:color="auto"/>
        <w:bottom w:val="none" w:sz="0" w:space="0" w:color="auto"/>
        <w:right w:val="none" w:sz="0" w:space="0" w:color="auto"/>
      </w:divBdr>
    </w:div>
    <w:div w:id="1935239259">
      <w:bodyDiv w:val="1"/>
      <w:marLeft w:val="0"/>
      <w:marRight w:val="0"/>
      <w:marTop w:val="0"/>
      <w:marBottom w:val="0"/>
      <w:divBdr>
        <w:top w:val="none" w:sz="0" w:space="0" w:color="auto"/>
        <w:left w:val="none" w:sz="0" w:space="0" w:color="auto"/>
        <w:bottom w:val="none" w:sz="0" w:space="0" w:color="auto"/>
        <w:right w:val="none" w:sz="0" w:space="0" w:color="auto"/>
      </w:divBdr>
    </w:div>
    <w:div w:id="1948661238">
      <w:bodyDiv w:val="1"/>
      <w:marLeft w:val="0"/>
      <w:marRight w:val="0"/>
      <w:marTop w:val="0"/>
      <w:marBottom w:val="0"/>
      <w:divBdr>
        <w:top w:val="none" w:sz="0" w:space="0" w:color="auto"/>
        <w:left w:val="none" w:sz="0" w:space="0" w:color="auto"/>
        <w:bottom w:val="none" w:sz="0" w:space="0" w:color="auto"/>
        <w:right w:val="none" w:sz="0" w:space="0" w:color="auto"/>
      </w:divBdr>
    </w:div>
    <w:div w:id="2007200460">
      <w:bodyDiv w:val="1"/>
      <w:marLeft w:val="0"/>
      <w:marRight w:val="0"/>
      <w:marTop w:val="0"/>
      <w:marBottom w:val="0"/>
      <w:divBdr>
        <w:top w:val="none" w:sz="0" w:space="0" w:color="auto"/>
        <w:left w:val="none" w:sz="0" w:space="0" w:color="auto"/>
        <w:bottom w:val="none" w:sz="0" w:space="0" w:color="auto"/>
        <w:right w:val="none" w:sz="0" w:space="0" w:color="auto"/>
      </w:divBdr>
    </w:div>
    <w:div w:id="20921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yprid@liverpoo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3AB5F97-D966-4C6A-B1AC-0014F414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6875</Words>
  <Characters>39189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Kypridemos</dc:creator>
  <cp:lastModifiedBy>Chris Kypridemos</cp:lastModifiedBy>
  <cp:revision>8</cp:revision>
  <cp:lastPrinted>2016-11-13T04:53:00Z</cp:lastPrinted>
  <dcterms:created xsi:type="dcterms:W3CDTF">2016-11-14T14:53:00Z</dcterms:created>
  <dcterms:modified xsi:type="dcterms:W3CDTF">2016-11-17T09:34:00Z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id="Vvgcos99"/&gt;&lt;style id="http://www.zotero.org/styles/bmj-open" hasBibliography="1" bibliographyStyleHasBeenSet="1"/&gt;&lt;prefs&gt;&lt;pref name="fieldType" value="Field"/&gt;&lt;pref name="storeReferences" valu</vt:lpwstr>
  </property>
  <property fmtid="{D5CDD505-2E9C-101B-9397-08002B2CF9AE}" pid="3" name="ZOTERO_PREF_2">
    <vt:lpwstr>e="true"/&gt;&lt;pref name="automaticJournalAbbreviations" value="true"/&gt;&lt;pref name="noteType" value=""/&gt;&lt;/prefs&gt;&lt;/data&gt;</vt:lpwstr>
  </property>
</Properties>
</file>