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180D0" w14:textId="77777777" w:rsidR="005D5891" w:rsidRDefault="005D5891" w:rsidP="006010F8">
      <w:pPr>
        <w:spacing w:line="480" w:lineRule="auto"/>
        <w:ind w:firstLine="720"/>
        <w:jc w:val="center"/>
        <w:rPr>
          <w:lang w:eastAsia="zh-CN"/>
        </w:rPr>
      </w:pPr>
    </w:p>
    <w:p w14:paraId="52775DB0" w14:textId="3530BA9A" w:rsidR="005D5891" w:rsidRDefault="005D5891" w:rsidP="00EF5109">
      <w:pPr>
        <w:spacing w:line="480" w:lineRule="auto"/>
      </w:pPr>
      <w:r>
        <w:t>RUNNING HEAD:</w:t>
      </w:r>
      <w:r w:rsidR="00EE3DA1">
        <w:t xml:space="preserve"> </w:t>
      </w:r>
      <w:r>
        <w:t xml:space="preserve">Bidirectional Relations, Political Violence, </w:t>
      </w:r>
      <w:r w:rsidR="00712AA7">
        <w:t xml:space="preserve">Adolescent </w:t>
      </w:r>
      <w:r>
        <w:t xml:space="preserve">Adjustment </w:t>
      </w:r>
    </w:p>
    <w:p w14:paraId="485216A2" w14:textId="77777777" w:rsidR="00BD0CF7" w:rsidRDefault="00BD0CF7" w:rsidP="006010F8">
      <w:pPr>
        <w:spacing w:line="480" w:lineRule="auto"/>
        <w:ind w:firstLine="720"/>
        <w:jc w:val="center"/>
      </w:pPr>
    </w:p>
    <w:p w14:paraId="103B1BB2" w14:textId="167122B6" w:rsidR="006010F8" w:rsidRDefault="006010F8" w:rsidP="006010F8">
      <w:pPr>
        <w:spacing w:line="480" w:lineRule="auto"/>
        <w:ind w:firstLine="720"/>
        <w:jc w:val="center"/>
      </w:pPr>
      <w:bookmarkStart w:id="0" w:name="_GoBack"/>
      <w:r>
        <w:t xml:space="preserve">Examining Bidirectional Pathways between </w:t>
      </w:r>
      <w:r w:rsidR="00D80233">
        <w:t xml:space="preserve">Exposure to </w:t>
      </w:r>
      <w:r>
        <w:t xml:space="preserve">Political Violence and </w:t>
      </w:r>
      <w:r w:rsidR="00712AA7">
        <w:t>Adolescent</w:t>
      </w:r>
      <w:r>
        <w:t xml:space="preserve"> Adjustment in Northern Ireland</w:t>
      </w:r>
    </w:p>
    <w:bookmarkEnd w:id="0"/>
    <w:p w14:paraId="23383389" w14:textId="77777777" w:rsidR="00920075" w:rsidRDefault="00920075" w:rsidP="006010F8">
      <w:pPr>
        <w:spacing w:line="480" w:lineRule="auto"/>
        <w:ind w:firstLine="720"/>
        <w:jc w:val="center"/>
      </w:pPr>
    </w:p>
    <w:p w14:paraId="46A24325" w14:textId="53559700" w:rsidR="006010F8" w:rsidRDefault="00920075" w:rsidP="006010F8">
      <w:pPr>
        <w:spacing w:line="480" w:lineRule="auto"/>
        <w:ind w:firstLine="720"/>
        <w:jc w:val="center"/>
      </w:pPr>
      <w:r>
        <w:t>E. Mark Cummings</w:t>
      </w:r>
    </w:p>
    <w:p w14:paraId="158ECDB8" w14:textId="411D9862" w:rsidR="00920075" w:rsidRDefault="00920075" w:rsidP="006010F8">
      <w:pPr>
        <w:spacing w:line="480" w:lineRule="auto"/>
        <w:ind w:firstLine="720"/>
        <w:jc w:val="center"/>
      </w:pPr>
      <w:r>
        <w:t>University of Notre Dame</w:t>
      </w:r>
    </w:p>
    <w:p w14:paraId="2276C2D8" w14:textId="6B8FC1BB" w:rsidR="00920075" w:rsidRDefault="00920075" w:rsidP="006010F8">
      <w:pPr>
        <w:spacing w:line="480" w:lineRule="auto"/>
        <w:ind w:firstLine="720"/>
        <w:jc w:val="center"/>
      </w:pPr>
      <w:r>
        <w:t>Laura K. Taylor</w:t>
      </w:r>
    </w:p>
    <w:p w14:paraId="276BBF1F" w14:textId="4225C04D" w:rsidR="00920075" w:rsidRDefault="00920075" w:rsidP="006010F8">
      <w:pPr>
        <w:spacing w:line="480" w:lineRule="auto"/>
        <w:ind w:firstLine="720"/>
        <w:jc w:val="center"/>
      </w:pPr>
      <w:r>
        <w:t>Queens University, Belfast</w:t>
      </w:r>
    </w:p>
    <w:p w14:paraId="3D4F17E6" w14:textId="30DC7692" w:rsidR="00920075" w:rsidRDefault="00920075" w:rsidP="006010F8">
      <w:pPr>
        <w:spacing w:line="480" w:lineRule="auto"/>
        <w:ind w:firstLine="720"/>
        <w:jc w:val="center"/>
      </w:pPr>
      <w:r>
        <w:t>Han Du</w:t>
      </w:r>
    </w:p>
    <w:p w14:paraId="1E54A8CD" w14:textId="497377D7" w:rsidR="00920075" w:rsidRDefault="00920075" w:rsidP="006010F8">
      <w:pPr>
        <w:spacing w:line="480" w:lineRule="auto"/>
        <w:ind w:firstLine="720"/>
        <w:jc w:val="center"/>
      </w:pPr>
      <w:r>
        <w:t>University of Notre Dame</w:t>
      </w:r>
    </w:p>
    <w:p w14:paraId="14BD9E6D" w14:textId="5ED32EFF" w:rsidR="00920075" w:rsidRDefault="00920075" w:rsidP="006010F8">
      <w:pPr>
        <w:spacing w:line="480" w:lineRule="auto"/>
        <w:ind w:firstLine="720"/>
        <w:jc w:val="center"/>
      </w:pPr>
      <w:r>
        <w:t>Christine E. Merrilees</w:t>
      </w:r>
    </w:p>
    <w:p w14:paraId="6DC94E71" w14:textId="44AAD020" w:rsidR="00920075" w:rsidRDefault="00920075" w:rsidP="006010F8">
      <w:pPr>
        <w:spacing w:line="480" w:lineRule="auto"/>
        <w:ind w:firstLine="720"/>
        <w:jc w:val="center"/>
      </w:pPr>
      <w:r>
        <w:t>State University of New York, Geneseo</w:t>
      </w:r>
    </w:p>
    <w:p w14:paraId="66BEE6D8" w14:textId="424BC394" w:rsidR="00920075" w:rsidRDefault="00920075" w:rsidP="006010F8">
      <w:pPr>
        <w:spacing w:line="480" w:lineRule="auto"/>
        <w:ind w:firstLine="720"/>
        <w:jc w:val="center"/>
      </w:pPr>
      <w:r>
        <w:t>Peter Shirlow</w:t>
      </w:r>
    </w:p>
    <w:p w14:paraId="67FF256D" w14:textId="6F9ADDB4" w:rsidR="00920075" w:rsidRDefault="00920075" w:rsidP="006010F8">
      <w:pPr>
        <w:spacing w:line="480" w:lineRule="auto"/>
        <w:ind w:firstLine="720"/>
        <w:jc w:val="center"/>
      </w:pPr>
      <w:r>
        <w:t>University of Liverpool</w:t>
      </w:r>
    </w:p>
    <w:p w14:paraId="050808FD" w14:textId="77777777" w:rsidR="00920075" w:rsidRDefault="00920075" w:rsidP="008C03EF">
      <w:pPr>
        <w:spacing w:line="480" w:lineRule="auto"/>
        <w:ind w:firstLine="720"/>
      </w:pPr>
    </w:p>
    <w:p w14:paraId="284E6FB1" w14:textId="641F96AA" w:rsidR="00612C54" w:rsidRDefault="00612C54" w:rsidP="00612C54">
      <w:pPr>
        <w:spacing w:line="480" w:lineRule="auto"/>
        <w:ind w:firstLine="720"/>
        <w:jc w:val="center"/>
      </w:pPr>
      <w:r>
        <w:t>Author Note</w:t>
      </w:r>
    </w:p>
    <w:p w14:paraId="3E1DCD09" w14:textId="28F061EB" w:rsidR="00920075" w:rsidRDefault="00920075" w:rsidP="008C03EF">
      <w:pPr>
        <w:spacing w:line="480" w:lineRule="auto"/>
        <w:ind w:firstLine="720"/>
      </w:pPr>
      <w:r>
        <w:t xml:space="preserve">This research was supported by a grant from the National Institute of </w:t>
      </w:r>
      <w:r w:rsidR="00612C54">
        <w:t xml:space="preserve">Child </w:t>
      </w:r>
      <w:r>
        <w:t xml:space="preserve">Health </w:t>
      </w:r>
      <w:r w:rsidR="00612C54">
        <w:t xml:space="preserve">and Human Development </w:t>
      </w:r>
      <w:r>
        <w:t>(HD</w:t>
      </w:r>
      <w:r w:rsidR="00612C54" w:rsidRPr="00612C54">
        <w:t xml:space="preserve"> </w:t>
      </w:r>
      <w:r w:rsidR="00612C54">
        <w:t>HD046933)</w:t>
      </w:r>
      <w:r>
        <w:t xml:space="preserve"> </w:t>
      </w:r>
      <w:r w:rsidR="00612C54">
        <w:t>to E. Mark Cummings.</w:t>
      </w:r>
    </w:p>
    <w:p w14:paraId="7B453432" w14:textId="77558EA6" w:rsidR="00612C54" w:rsidRDefault="00612C54" w:rsidP="008C03EF">
      <w:pPr>
        <w:spacing w:line="480" w:lineRule="auto"/>
        <w:ind w:firstLine="720"/>
      </w:pPr>
      <w:r>
        <w:t xml:space="preserve">Address correspondence to E. Mark Cummings, Department of Psychology, University of Notre Dame, Notre Dame, IN 46530, </w:t>
      </w:r>
      <w:hyperlink r:id="rId9" w:history="1">
        <w:r w:rsidRPr="00AE6A6E">
          <w:rPr>
            <w:rStyle w:val="Hyperlink"/>
          </w:rPr>
          <w:t>cummings.10@nd.edu</w:t>
        </w:r>
      </w:hyperlink>
    </w:p>
    <w:p w14:paraId="28E942AC" w14:textId="77777777" w:rsidR="00612C54" w:rsidRDefault="00612C54" w:rsidP="008C03EF">
      <w:pPr>
        <w:spacing w:line="480" w:lineRule="auto"/>
        <w:ind w:firstLine="720"/>
      </w:pPr>
    </w:p>
    <w:p w14:paraId="34532B9E" w14:textId="77777777" w:rsidR="006010F8" w:rsidRDefault="006010F8" w:rsidP="00CC71B0">
      <w:pPr>
        <w:spacing w:line="480" w:lineRule="auto"/>
        <w:jc w:val="center"/>
      </w:pPr>
      <w:r>
        <w:lastRenderedPageBreak/>
        <w:t>Abstract</w:t>
      </w:r>
    </w:p>
    <w:p w14:paraId="75BD0D0F" w14:textId="75C29AA0" w:rsidR="006010F8" w:rsidRPr="00E91E81" w:rsidRDefault="00CA087A" w:rsidP="00CC71B0">
      <w:pPr>
        <w:spacing w:line="480" w:lineRule="auto"/>
      </w:pPr>
      <w:r>
        <w:rPr>
          <w:b/>
        </w:rPr>
        <w:t>Objective</w:t>
      </w:r>
      <w:r w:rsidR="00CC71B0" w:rsidRPr="00CC71B0">
        <w:rPr>
          <w:b/>
        </w:rPr>
        <w:t>.</w:t>
      </w:r>
      <w:r w:rsidR="00CC71B0">
        <w:t xml:space="preserve"> </w:t>
      </w:r>
      <w:r w:rsidR="004F1B87">
        <w:t>R</w:t>
      </w:r>
      <w:r w:rsidR="0005430A">
        <w:t xml:space="preserve">esearch on </w:t>
      </w:r>
      <w:r w:rsidR="004F1B87">
        <w:t xml:space="preserve">social ecologies of political violence </w:t>
      </w:r>
      <w:r w:rsidR="0005430A">
        <w:t xml:space="preserve">has </w:t>
      </w:r>
      <w:r w:rsidR="004F1B87">
        <w:t xml:space="preserve">been largely </w:t>
      </w:r>
      <w:r w:rsidR="0005430A">
        <w:t xml:space="preserve">confined to </w:t>
      </w:r>
      <w:r w:rsidR="00BE6021">
        <w:t xml:space="preserve">cross-sectional </w:t>
      </w:r>
      <w:r w:rsidR="0005430A">
        <w:t>test</w:t>
      </w:r>
      <w:r w:rsidR="00BE6021">
        <w:t xml:space="preserve">s of </w:t>
      </w:r>
      <w:r w:rsidR="0005430A">
        <w:t xml:space="preserve">the impact of political violence on child adjustment, </w:t>
      </w:r>
      <w:r w:rsidR="004F1B87">
        <w:t>l</w:t>
      </w:r>
      <w:r w:rsidR="0005430A">
        <w:t>imit</w:t>
      </w:r>
      <w:r w:rsidR="004F1B87">
        <w:t xml:space="preserve">ing </w:t>
      </w:r>
      <w:r w:rsidR="0005430A">
        <w:t>perspective</w:t>
      </w:r>
      <w:r w:rsidR="004F1B87">
        <w:t>s</w:t>
      </w:r>
      <w:r w:rsidR="0005430A">
        <w:t xml:space="preserve"> on </w:t>
      </w:r>
      <w:r w:rsidR="004F1B87">
        <w:t xml:space="preserve">more nuanced </w:t>
      </w:r>
      <w:r w:rsidR="0005430A">
        <w:t>caus</w:t>
      </w:r>
      <w:r w:rsidR="004F1B87">
        <w:t xml:space="preserve">al pathways, including </w:t>
      </w:r>
      <w:r w:rsidR="00725265">
        <w:t xml:space="preserve">tests of </w:t>
      </w:r>
      <w:r w:rsidR="004F1B87">
        <w:t xml:space="preserve">reciprocal relations between </w:t>
      </w:r>
      <w:r w:rsidR="007A2A84">
        <w:t xml:space="preserve">exposure to political violence and </w:t>
      </w:r>
      <w:r w:rsidR="004F1B87">
        <w:t>child adjustment</w:t>
      </w:r>
      <w:r w:rsidR="007A2A84">
        <w:t xml:space="preserve">. </w:t>
      </w:r>
      <w:r w:rsidR="00725265">
        <w:t xml:space="preserve">Based on </w:t>
      </w:r>
      <w:r w:rsidR="00302A6D">
        <w:t>a four-wave</w:t>
      </w:r>
      <w:r w:rsidR="007A2A84">
        <w:t>s of</w:t>
      </w:r>
      <w:r w:rsidR="00302A6D">
        <w:t xml:space="preserve"> longitudinal, this study breaks new ground in </w:t>
      </w:r>
      <w:r w:rsidR="00725265">
        <w:t xml:space="preserve">assessing </w:t>
      </w:r>
      <w:r w:rsidR="00302A6D">
        <w:t xml:space="preserve">bidirectional relations between </w:t>
      </w:r>
      <w:r w:rsidR="00D2452F">
        <w:t xml:space="preserve">exposure to </w:t>
      </w:r>
      <w:r w:rsidR="008E3285">
        <w:t xml:space="preserve">political violence in the form of </w:t>
      </w:r>
      <w:r w:rsidR="0071557E">
        <w:t xml:space="preserve">experience with </w:t>
      </w:r>
      <w:r w:rsidR="00302A6D">
        <w:t xml:space="preserve">sectarian </w:t>
      </w:r>
      <w:r w:rsidR="008E3285">
        <w:t xml:space="preserve">antisocial behavior </w:t>
      </w:r>
      <w:r w:rsidR="00302A6D">
        <w:t xml:space="preserve">and </w:t>
      </w:r>
      <w:r w:rsidR="00022F31">
        <w:t>adolescent</w:t>
      </w:r>
      <w:r w:rsidR="00302A6D">
        <w:t>s</w:t>
      </w:r>
      <w:r w:rsidR="007A2A84">
        <w:t>’</w:t>
      </w:r>
      <w:r w:rsidR="00302A6D">
        <w:t xml:space="preserve"> adjustment problems.</w:t>
      </w:r>
      <w:r w:rsidR="00CC680C">
        <w:t xml:space="preserve"> </w:t>
      </w:r>
      <w:r w:rsidR="00CC680C" w:rsidRPr="00CC680C">
        <w:rPr>
          <w:b/>
        </w:rPr>
        <w:t>Method.</w:t>
      </w:r>
      <w:r w:rsidR="00CC680C">
        <w:t xml:space="preserve"> </w:t>
      </w:r>
      <w:r w:rsidR="00F42EE0">
        <w:t>The study included 999 mother-</w:t>
      </w:r>
      <w:r w:rsidR="008545C0">
        <w:t>adolescent</w:t>
      </w:r>
      <w:r w:rsidR="00B32BB4">
        <w:t xml:space="preserve"> </w:t>
      </w:r>
      <w:r w:rsidR="00F42EE0">
        <w:t xml:space="preserve">dyads selected from </w:t>
      </w:r>
      <w:r w:rsidR="001C5932">
        <w:t>working</w:t>
      </w:r>
      <w:r w:rsidR="007A2A84">
        <w:t>-</w:t>
      </w:r>
      <w:r w:rsidR="001C5932">
        <w:t>class neighborhoods in Belfast ranked in the bottom quartile in terms of social deprivation in Northern Ireland, with approximately 35-40 families recruited to participate from each neighborhood</w:t>
      </w:r>
      <w:r w:rsidR="00F42EE0">
        <w:t xml:space="preserve">. </w:t>
      </w:r>
      <w:r w:rsidR="00B32BB4">
        <w:t xml:space="preserve">Across </w:t>
      </w:r>
      <w:r w:rsidR="00F42EE0">
        <w:t xml:space="preserve">the four </w:t>
      </w:r>
      <w:r w:rsidR="00233078">
        <w:t xml:space="preserve">annual </w:t>
      </w:r>
      <w:r w:rsidR="00F42EE0">
        <w:t>waves</w:t>
      </w:r>
      <w:r w:rsidR="001C5932">
        <w:t xml:space="preserve"> of data</w:t>
      </w:r>
      <w:r w:rsidR="00F42EE0">
        <w:t xml:space="preserve">, </w:t>
      </w:r>
      <w:r w:rsidR="008545C0">
        <w:t>adolescent</w:t>
      </w:r>
      <w:r w:rsidR="007A2A84">
        <w:t xml:space="preserve">s </w:t>
      </w:r>
      <w:r w:rsidR="00F42EE0">
        <w:t>(52% female) were 12.18 (</w:t>
      </w:r>
      <w:r w:rsidR="00F42EE0" w:rsidRPr="00A31B8F">
        <w:rPr>
          <w:i/>
        </w:rPr>
        <w:t>SD</w:t>
      </w:r>
      <w:r w:rsidR="00F42EE0">
        <w:t>=1.82), 13.24 (</w:t>
      </w:r>
      <w:r w:rsidR="00F42EE0" w:rsidRPr="00A31B8F">
        <w:rPr>
          <w:i/>
        </w:rPr>
        <w:t>SD</w:t>
      </w:r>
      <w:r w:rsidR="00F42EE0">
        <w:t>=1.83), 13.62 (</w:t>
      </w:r>
      <w:r w:rsidR="00F42EE0" w:rsidRPr="00A31B8F">
        <w:rPr>
          <w:i/>
        </w:rPr>
        <w:t>SD</w:t>
      </w:r>
      <w:r w:rsidR="00F42EE0">
        <w:t>=1.99), and 14.66 (</w:t>
      </w:r>
      <w:r w:rsidR="00F42EE0" w:rsidRPr="00A31B8F">
        <w:rPr>
          <w:i/>
        </w:rPr>
        <w:t>SD</w:t>
      </w:r>
      <w:r w:rsidR="00F42EE0">
        <w:t>=1.96) years old.</w:t>
      </w:r>
      <w:r w:rsidR="00B32BB4">
        <w:t xml:space="preserve"> </w:t>
      </w:r>
      <w:r w:rsidR="0072768F" w:rsidRPr="00D20E2C">
        <w:t>Cr</w:t>
      </w:r>
      <w:r w:rsidR="0072768F">
        <w:t xml:space="preserve">oss-lagged </w:t>
      </w:r>
      <w:r w:rsidR="000E2BC1">
        <w:t xml:space="preserve">path </w:t>
      </w:r>
      <w:r w:rsidR="0072768F">
        <w:t>model</w:t>
      </w:r>
      <w:r w:rsidR="000E2BC1">
        <w:t>s</w:t>
      </w:r>
      <w:r w:rsidR="0072768F">
        <w:t xml:space="preserve"> </w:t>
      </w:r>
      <w:r w:rsidR="00E91E81" w:rsidRPr="007C5EA5">
        <w:t xml:space="preserve">were </w:t>
      </w:r>
      <w:r w:rsidR="000E2BC1">
        <w:t xml:space="preserve">tested through </w:t>
      </w:r>
      <w:r w:rsidR="00E91E81" w:rsidRPr="007C5EA5">
        <w:t xml:space="preserve">R </w:t>
      </w:r>
      <w:r w:rsidR="000E409E">
        <w:t xml:space="preserve">package lavaan </w:t>
      </w:r>
      <w:r w:rsidR="00E91E81" w:rsidRPr="007C5EA5">
        <w:t>with full information maximum likelihood.</w:t>
      </w:r>
      <w:r w:rsidR="00E91E81">
        <w:t xml:space="preserve"> </w:t>
      </w:r>
      <w:r w:rsidR="00E91E81" w:rsidRPr="00E91E81">
        <w:rPr>
          <w:b/>
        </w:rPr>
        <w:t>Results.</w:t>
      </w:r>
      <w:r w:rsidR="007C261B">
        <w:t>.</w:t>
      </w:r>
      <w:r w:rsidR="00EE3DA1">
        <w:t xml:space="preserve"> </w:t>
      </w:r>
      <w:r w:rsidR="007C261B">
        <w:t>Reflecting a reciprocal pathway,</w:t>
      </w:r>
      <w:r w:rsidR="0022656A">
        <w:t xml:space="preserve"> </w:t>
      </w:r>
      <w:r w:rsidR="007C261B">
        <w:t xml:space="preserve">adjustment problems related to </w:t>
      </w:r>
      <w:r w:rsidR="008E3285">
        <w:t xml:space="preserve">higher </w:t>
      </w:r>
      <w:r w:rsidR="007C261B">
        <w:t>report</w:t>
      </w:r>
      <w:r w:rsidR="008E3285">
        <w:t>s</w:t>
      </w:r>
      <w:r w:rsidR="007C261B">
        <w:t xml:space="preserve"> of </w:t>
      </w:r>
      <w:r w:rsidR="0071557E">
        <w:t>experience with</w:t>
      </w:r>
      <w:r w:rsidR="00927A9E">
        <w:t xml:space="preserve"> </w:t>
      </w:r>
      <w:r w:rsidR="007C261B">
        <w:t xml:space="preserve">sectarian antisocial behavior </w:t>
      </w:r>
      <w:r w:rsidR="005C574C">
        <w:t>one year later</w:t>
      </w:r>
      <w:r w:rsidR="007C261B">
        <w:t xml:space="preserve">. </w:t>
      </w:r>
      <w:r w:rsidR="008E3285">
        <w:t xml:space="preserve">Boys’ </w:t>
      </w:r>
      <w:r w:rsidR="0071557E">
        <w:t>experience with</w:t>
      </w:r>
      <w:r w:rsidR="008E3285">
        <w:t xml:space="preserve"> sectarian antisocial behavior related to greater adjustment problems one year later; but this reciprocal path did hold for the girls.</w:t>
      </w:r>
      <w:r w:rsidR="00885F45">
        <w:t xml:space="preserve"> </w:t>
      </w:r>
      <w:r>
        <w:rPr>
          <w:b/>
        </w:rPr>
        <w:t>Conclusions</w:t>
      </w:r>
      <w:r w:rsidR="00885F45">
        <w:t xml:space="preserve">. </w:t>
      </w:r>
      <w:r w:rsidR="000E0D9E">
        <w:t xml:space="preserve">These findings offer promising directions towards better </w:t>
      </w:r>
      <w:r w:rsidR="008E3285">
        <w:t xml:space="preserve">modeling </w:t>
      </w:r>
      <w:r w:rsidR="000E0D9E">
        <w:t xml:space="preserve">of </w:t>
      </w:r>
      <w:r w:rsidR="00A2168A">
        <w:t xml:space="preserve">dynamic relations between </w:t>
      </w:r>
      <w:r w:rsidR="00D2452F">
        <w:t xml:space="preserve">exposure to </w:t>
      </w:r>
      <w:r w:rsidR="000E0D9E">
        <w:t xml:space="preserve">political violence and </w:t>
      </w:r>
      <w:r w:rsidR="00022F31">
        <w:t xml:space="preserve">adolescent </w:t>
      </w:r>
      <w:r w:rsidR="000E409E">
        <w:t>adjustment</w:t>
      </w:r>
      <w:r w:rsidR="00A2168A">
        <w:t xml:space="preserve"> over time</w:t>
      </w:r>
      <w:r w:rsidR="000E0D9E">
        <w:t>.</w:t>
      </w:r>
      <w:r w:rsidR="00741DD9">
        <w:t xml:space="preserve"> </w:t>
      </w:r>
      <w:r w:rsidR="00741DD9" w:rsidRPr="00741DD9">
        <w:rPr>
          <w:b/>
        </w:rPr>
        <w:t>Keywords:</w:t>
      </w:r>
      <w:r w:rsidR="00741DD9">
        <w:t xml:space="preserve"> </w:t>
      </w:r>
      <w:r w:rsidR="00D67067">
        <w:t xml:space="preserve">political violence, child and adolescent adjustment, bidirectional pathways, </w:t>
      </w:r>
      <w:r w:rsidR="00474E65">
        <w:t>community violence</w:t>
      </w:r>
      <w:r w:rsidR="00D67067">
        <w:t xml:space="preserve">, </w:t>
      </w:r>
      <w:r w:rsidR="00EF0915">
        <w:t>gender differences</w:t>
      </w:r>
      <w:r w:rsidR="00D67067">
        <w:t xml:space="preserve"> </w:t>
      </w:r>
    </w:p>
    <w:p w14:paraId="70AAEF48" w14:textId="77777777" w:rsidR="006010F8" w:rsidRDefault="006010F8">
      <w:r>
        <w:br w:type="page"/>
      </w:r>
    </w:p>
    <w:p w14:paraId="68AAA0A7" w14:textId="3A57B391" w:rsidR="003F2124" w:rsidRDefault="003F2124" w:rsidP="003F2124">
      <w:pPr>
        <w:spacing w:line="480" w:lineRule="auto"/>
        <w:ind w:firstLine="720"/>
        <w:jc w:val="center"/>
      </w:pPr>
      <w:r>
        <w:lastRenderedPageBreak/>
        <w:t xml:space="preserve">Examining Bidirectional Pathways between </w:t>
      </w:r>
      <w:r w:rsidR="0003450A">
        <w:t xml:space="preserve">Exposure to </w:t>
      </w:r>
      <w:r>
        <w:t xml:space="preserve">Political Violence and </w:t>
      </w:r>
      <w:r w:rsidR="00712AA7">
        <w:t>Adolescent</w:t>
      </w:r>
      <w:r>
        <w:t xml:space="preserve"> Adjustment over Time in Northern Ireland</w:t>
      </w:r>
    </w:p>
    <w:p w14:paraId="74E21E7A" w14:textId="45B2EDD3" w:rsidR="00D920F6" w:rsidRDefault="007F7236" w:rsidP="00D520E6">
      <w:pPr>
        <w:spacing w:line="480" w:lineRule="auto"/>
        <w:ind w:firstLine="720"/>
      </w:pPr>
      <w:r>
        <w:t xml:space="preserve">There is increasing concern </w:t>
      </w:r>
      <w:r w:rsidR="00D520E6">
        <w:t xml:space="preserve">worldwide </w:t>
      </w:r>
      <w:r>
        <w:t xml:space="preserve">with </w:t>
      </w:r>
      <w:r w:rsidR="00156784">
        <w:t xml:space="preserve">regard </w:t>
      </w:r>
      <w:r>
        <w:t>to the impact of political violence on children’s</w:t>
      </w:r>
      <w:r w:rsidR="00712AA7">
        <w:t xml:space="preserve"> </w:t>
      </w:r>
      <w:r>
        <w:t>adjustment and well-being</w:t>
      </w:r>
      <w:r w:rsidR="00A91969">
        <w:t xml:space="preserve"> (</w:t>
      </w:r>
      <w:r w:rsidR="00405888" w:rsidRPr="003B68C4">
        <w:t xml:space="preserve">Betancourt &amp; Khan, 2008; </w:t>
      </w:r>
      <w:r w:rsidR="00405888">
        <w:t xml:space="preserve">Boxer et al., 2013; </w:t>
      </w:r>
      <w:r w:rsidR="00405888" w:rsidRPr="003B68C4">
        <w:t>Ladd &amp; Cairns, 1996</w:t>
      </w:r>
      <w:r w:rsidR="00A91969">
        <w:t>)</w:t>
      </w:r>
      <w:r>
        <w:t>.</w:t>
      </w:r>
      <w:r w:rsidR="00EE3DA1">
        <w:t xml:space="preserve"> </w:t>
      </w:r>
      <w:r w:rsidR="008E3285">
        <w:t>R</w:t>
      </w:r>
      <w:r w:rsidR="00A91969">
        <w:t xml:space="preserve">esearch has </w:t>
      </w:r>
      <w:r w:rsidR="003E6F67">
        <w:t xml:space="preserve">repeatedly </w:t>
      </w:r>
      <w:r w:rsidR="00A91969">
        <w:t xml:space="preserve">documented </w:t>
      </w:r>
      <w:r w:rsidR="00DB6065">
        <w:t xml:space="preserve">there is an </w:t>
      </w:r>
      <w:r w:rsidR="00A91969">
        <w:t xml:space="preserve">elevated risk for adjustment problems </w:t>
      </w:r>
      <w:r w:rsidR="00DB6065">
        <w:t>among</w:t>
      </w:r>
      <w:r w:rsidR="00A91969">
        <w:t xml:space="preserve"> children</w:t>
      </w:r>
      <w:r w:rsidR="008545C0">
        <w:t xml:space="preserve"> and adolescents</w:t>
      </w:r>
      <w:r w:rsidR="00A91969">
        <w:t xml:space="preserve"> living in contexts of political violence (</w:t>
      </w:r>
      <w:r w:rsidR="00FA4E25">
        <w:t xml:space="preserve">Betancourt, Meyers-Ohki, Charrow, &amp; Tol, 2013; </w:t>
      </w:r>
      <w:r w:rsidR="00C41600">
        <w:t xml:space="preserve">Betancourt et al., 2014; </w:t>
      </w:r>
      <w:r w:rsidR="00BD7E0E">
        <w:t xml:space="preserve">Cummings, Goeke-Morey, Schermerhorn, Merrilees, &amp; Cairns, 2009; </w:t>
      </w:r>
      <w:r w:rsidR="00FA4E25" w:rsidRPr="003B68C4">
        <w:t>Dubow, Huesmann, and Boxer</w:t>
      </w:r>
      <w:r w:rsidR="00FA4E25">
        <w:t xml:space="preserve">, </w:t>
      </w:r>
      <w:r w:rsidR="00FA4E25" w:rsidRPr="003B68C4">
        <w:t>2009</w:t>
      </w:r>
      <w:r w:rsidR="00FA4E25">
        <w:t>;</w:t>
      </w:r>
      <w:r w:rsidR="00FA4E25" w:rsidRPr="003B68C4">
        <w:t xml:space="preserve"> </w:t>
      </w:r>
      <w:r w:rsidR="00FA4E25">
        <w:t>Jordans, Tol, Komproe, &amp; De Jong, 2009</w:t>
      </w:r>
      <w:r w:rsidR="00A91969">
        <w:t>).</w:t>
      </w:r>
      <w:r w:rsidR="00EE3DA1">
        <w:t xml:space="preserve"> </w:t>
      </w:r>
      <w:r w:rsidR="00D920F6">
        <w:t>These findings call attention to the significant challenges for children’s adjustment posed by political violence and the urgency for effective intervention</w:t>
      </w:r>
      <w:r w:rsidR="001E64F1">
        <w:t xml:space="preserve"> for child adjustment</w:t>
      </w:r>
      <w:r w:rsidR="00D20E2C">
        <w:t xml:space="preserve"> problems</w:t>
      </w:r>
      <w:r w:rsidR="00D920F6">
        <w:t>.</w:t>
      </w:r>
      <w:r w:rsidR="00EE3DA1">
        <w:t xml:space="preserve"> </w:t>
      </w:r>
      <w:r w:rsidR="001E64F1">
        <w:t>T</w:t>
      </w:r>
      <w:r w:rsidR="00D920F6">
        <w:t>he urgency for intervention is heightened if one considers that children’s adjustment problems may not only pose problems for children’s well-being but also contribute to the continuation or even escalation of political violence</w:t>
      </w:r>
      <w:r w:rsidR="001678D7">
        <w:t xml:space="preserve"> (Taylor, Merrilees, Goeke-Morey, Shirlow, &amp; Cummings, 2016)</w:t>
      </w:r>
      <w:r w:rsidR="00233078">
        <w:t xml:space="preserve">. </w:t>
      </w:r>
    </w:p>
    <w:p w14:paraId="21B8192C" w14:textId="7E9242D9" w:rsidR="00D520E6" w:rsidRDefault="008609F9" w:rsidP="00D520E6">
      <w:pPr>
        <w:spacing w:line="480" w:lineRule="auto"/>
        <w:ind w:firstLine="720"/>
      </w:pPr>
      <w:r>
        <w:t>S</w:t>
      </w:r>
      <w:r w:rsidR="003E6F67">
        <w:t xml:space="preserve">tudies </w:t>
      </w:r>
      <w:r w:rsidR="00DB6065">
        <w:t>on the</w:t>
      </w:r>
      <w:r>
        <w:t xml:space="preserve"> interrelations between youth adjustment and </w:t>
      </w:r>
      <w:r w:rsidR="00D2452F">
        <w:t xml:space="preserve">exposure to </w:t>
      </w:r>
      <w:r w:rsidR="008E3285">
        <w:t xml:space="preserve">political </w:t>
      </w:r>
      <w:r>
        <w:t xml:space="preserve">violence </w:t>
      </w:r>
      <w:r w:rsidR="003E6F67">
        <w:t>have</w:t>
      </w:r>
      <w:r w:rsidR="00C20182">
        <w:t xml:space="preserve"> </w:t>
      </w:r>
      <w:r w:rsidR="003E6F67">
        <w:t xml:space="preserve">typically </w:t>
      </w:r>
      <w:r>
        <w:t xml:space="preserve">made the implicit </w:t>
      </w:r>
      <w:r w:rsidR="00C20182">
        <w:t>assumption that the direction of causation flows in one direction</w:t>
      </w:r>
      <w:r>
        <w:t>.</w:t>
      </w:r>
      <w:r w:rsidR="00EE3DA1">
        <w:t xml:space="preserve"> </w:t>
      </w:r>
      <w:r>
        <w:t>T</w:t>
      </w:r>
      <w:r w:rsidR="00C20182">
        <w:t xml:space="preserve">hat is, </w:t>
      </w:r>
      <w:r>
        <w:t xml:space="preserve">the </w:t>
      </w:r>
      <w:r w:rsidR="0011137F">
        <w:t xml:space="preserve">conceptualization </w:t>
      </w:r>
      <w:r>
        <w:t xml:space="preserve">adopted in most research is that </w:t>
      </w:r>
      <w:r w:rsidR="00C20182">
        <w:t xml:space="preserve">contexts of political violence, for example, </w:t>
      </w:r>
      <w:r w:rsidR="004C4701">
        <w:t xml:space="preserve">experience with </w:t>
      </w:r>
      <w:r w:rsidR="008E3285">
        <w:t xml:space="preserve">such </w:t>
      </w:r>
      <w:r w:rsidR="003E6F67">
        <w:t>violence</w:t>
      </w:r>
      <w:r w:rsidR="00156784">
        <w:t xml:space="preserve"> </w:t>
      </w:r>
      <w:r w:rsidR="0011137F">
        <w:t>result</w:t>
      </w:r>
      <w:r w:rsidR="008E3285">
        <w:t>s</w:t>
      </w:r>
      <w:r w:rsidR="0011137F">
        <w:t xml:space="preserve"> in </w:t>
      </w:r>
      <w:r w:rsidR="003E6F67">
        <w:t xml:space="preserve">elevated </w:t>
      </w:r>
      <w:r w:rsidR="00C20182">
        <w:t>adjustment problems in children</w:t>
      </w:r>
      <w:r w:rsidR="003E6F67">
        <w:t>.</w:t>
      </w:r>
      <w:r w:rsidR="00EE3DA1">
        <w:t xml:space="preserve"> </w:t>
      </w:r>
      <w:r w:rsidR="00BD7E0E">
        <w:t>Moreover</w:t>
      </w:r>
      <w:r>
        <w:t>, the great majority of research studies in this area are cross-sectional (</w:t>
      </w:r>
      <w:r w:rsidR="00BD7E0E">
        <w:t xml:space="preserve">for </w:t>
      </w:r>
      <w:r w:rsidR="001678D7">
        <w:t>discussion</w:t>
      </w:r>
      <w:r w:rsidR="00BD7E0E">
        <w:t xml:space="preserve">, see </w:t>
      </w:r>
      <w:r w:rsidR="00405888" w:rsidRPr="00CD791D">
        <w:rPr>
          <w:iCs/>
        </w:rPr>
        <w:t>Cummings</w:t>
      </w:r>
      <w:r w:rsidR="00BD7E0E">
        <w:rPr>
          <w:iCs/>
        </w:rPr>
        <w:t xml:space="preserve"> et al., </w:t>
      </w:r>
      <w:r w:rsidR="00405888" w:rsidRPr="00CD791D">
        <w:rPr>
          <w:iCs/>
        </w:rPr>
        <w:t>2014</w:t>
      </w:r>
      <w:r>
        <w:t xml:space="preserve">), so that the direction of interrelations between </w:t>
      </w:r>
      <w:r w:rsidR="00D2452F">
        <w:t xml:space="preserve">exposure to </w:t>
      </w:r>
      <w:r>
        <w:t>political violence and child adjustment problems cannot be determined.</w:t>
      </w:r>
      <w:r w:rsidR="001E6FE6">
        <w:t xml:space="preserve"> Thus, </w:t>
      </w:r>
      <w:r w:rsidR="0011137F">
        <w:t xml:space="preserve">in the absence of longitudinal research, </w:t>
      </w:r>
      <w:r w:rsidR="001E6FE6">
        <w:t xml:space="preserve">three possibilities </w:t>
      </w:r>
      <w:r w:rsidR="0011137F">
        <w:t xml:space="preserve">for the directions of effect between political violence and child adjustment remain: </w:t>
      </w:r>
      <w:r w:rsidR="001E6FE6">
        <w:t xml:space="preserve">(a) </w:t>
      </w:r>
      <w:r w:rsidR="0003450A">
        <w:t xml:space="preserve">exposure to </w:t>
      </w:r>
      <w:r w:rsidR="001E6FE6">
        <w:t xml:space="preserve">political violence is </w:t>
      </w:r>
      <w:r w:rsidR="0011137F">
        <w:t xml:space="preserve">causally </w:t>
      </w:r>
      <w:r w:rsidR="00447E9E">
        <w:t xml:space="preserve">related to </w:t>
      </w:r>
      <w:r w:rsidR="001E6FE6">
        <w:t xml:space="preserve">child </w:t>
      </w:r>
      <w:r w:rsidR="001E6FE6">
        <w:lastRenderedPageBreak/>
        <w:t xml:space="preserve">adjustment problems, (b) child adjustment problems </w:t>
      </w:r>
      <w:r w:rsidR="00447E9E">
        <w:t xml:space="preserve">are </w:t>
      </w:r>
      <w:r w:rsidR="0011137F">
        <w:t xml:space="preserve">causally </w:t>
      </w:r>
      <w:r w:rsidR="00447E9E">
        <w:t xml:space="preserve">related to </w:t>
      </w:r>
      <w:r w:rsidR="0003450A">
        <w:t xml:space="preserve">exposure to </w:t>
      </w:r>
      <w:r w:rsidR="001E6FE6">
        <w:t>political</w:t>
      </w:r>
      <w:r w:rsidR="00447E9E">
        <w:t xml:space="preserve"> violence, and (c) the direction of </w:t>
      </w:r>
      <w:r w:rsidR="0011137F">
        <w:t xml:space="preserve">causal </w:t>
      </w:r>
      <w:r w:rsidR="00447E9E">
        <w:t>effects flow</w:t>
      </w:r>
      <w:r w:rsidR="0011137F">
        <w:t>s</w:t>
      </w:r>
      <w:r w:rsidR="00447E9E">
        <w:t xml:space="preserve"> both ways.</w:t>
      </w:r>
      <w:r w:rsidR="00EE3DA1">
        <w:t xml:space="preserve"> </w:t>
      </w:r>
    </w:p>
    <w:p w14:paraId="2EAA615C" w14:textId="54C34A49" w:rsidR="000A62FB" w:rsidRDefault="002A03F2" w:rsidP="00D520E6">
      <w:pPr>
        <w:spacing w:line="480" w:lineRule="auto"/>
        <w:ind w:firstLine="720"/>
      </w:pPr>
      <w:r>
        <w:t>Exposure to community violence has been associated with violence by adolescents (</w:t>
      </w:r>
      <w:r w:rsidR="0065452A">
        <w:t xml:space="preserve">see review in </w:t>
      </w:r>
      <w:r w:rsidR="007525C4">
        <w:t xml:space="preserve">Margolin &amp; Gordis, 2000). </w:t>
      </w:r>
      <w:r w:rsidR="002F6C4C">
        <w:t>With regard to political violence, t</w:t>
      </w:r>
      <w:r w:rsidR="00156784">
        <w:t>h</w:t>
      </w:r>
      <w:r w:rsidR="00447E9E">
        <w:t xml:space="preserve">e implicit model in many studies </w:t>
      </w:r>
      <w:r w:rsidR="00B62245">
        <w:t xml:space="preserve">is </w:t>
      </w:r>
      <w:r w:rsidR="00447E9E">
        <w:t xml:space="preserve">that </w:t>
      </w:r>
      <w:r w:rsidR="0003450A">
        <w:t xml:space="preserve">exposure to </w:t>
      </w:r>
      <w:r w:rsidR="001B48F3">
        <w:t xml:space="preserve">such </w:t>
      </w:r>
      <w:r w:rsidR="00447E9E">
        <w:t xml:space="preserve">violence </w:t>
      </w:r>
      <w:r w:rsidR="000A62FB">
        <w:t xml:space="preserve">unilaterally </w:t>
      </w:r>
      <w:r w:rsidR="00447E9E">
        <w:t>causes child adjustment problem</w:t>
      </w:r>
      <w:r w:rsidR="000A62FB">
        <w:t>s</w:t>
      </w:r>
      <w:r w:rsidR="00403B95">
        <w:t>; this approach</w:t>
      </w:r>
      <w:r w:rsidR="00447E9E">
        <w:t xml:space="preserve"> </w:t>
      </w:r>
      <w:r w:rsidR="00156784">
        <w:t>provide</w:t>
      </w:r>
      <w:r w:rsidR="000A62FB">
        <w:t>s</w:t>
      </w:r>
      <w:r w:rsidR="00156784">
        <w:t xml:space="preserve"> a limited perspective on the </w:t>
      </w:r>
      <w:r w:rsidR="00447E9E">
        <w:t xml:space="preserve">possible </w:t>
      </w:r>
      <w:r w:rsidR="00403B95">
        <w:t xml:space="preserve">risk factors that may lead to youth exposure to </w:t>
      </w:r>
      <w:r w:rsidR="00156784">
        <w:t>political</w:t>
      </w:r>
      <w:r w:rsidR="00D520E6">
        <w:t xml:space="preserve"> violence</w:t>
      </w:r>
      <w:r w:rsidR="00156784">
        <w:t xml:space="preserve">. </w:t>
      </w:r>
      <w:r w:rsidR="00403B95">
        <w:t xml:space="preserve"> For example, </w:t>
      </w:r>
      <w:r w:rsidR="00747230">
        <w:t>adjustment problems</w:t>
      </w:r>
      <w:r w:rsidR="00550DE7">
        <w:t xml:space="preserve"> in youth in contexts of political violence</w:t>
      </w:r>
      <w:r w:rsidR="00747230">
        <w:t xml:space="preserve"> (i.e., aggression), </w:t>
      </w:r>
      <w:r w:rsidR="00403B95">
        <w:t>has</w:t>
      </w:r>
      <w:r w:rsidR="006A0657">
        <w:t xml:space="preserve"> </w:t>
      </w:r>
      <w:r w:rsidR="00650056">
        <w:t xml:space="preserve">been linked to participation in </w:t>
      </w:r>
      <w:r w:rsidR="00747230">
        <w:t xml:space="preserve">sectarian antisocial behavior </w:t>
      </w:r>
      <w:r w:rsidR="00650056">
        <w:t>(Taylor et al., 2016)</w:t>
      </w:r>
      <w:r w:rsidR="00403B95">
        <w:t>, which is also linked with exposure to such violence</w:t>
      </w:r>
      <w:r w:rsidR="00650056">
        <w:t xml:space="preserve">. </w:t>
      </w:r>
      <w:r w:rsidR="00DB6065">
        <w:t xml:space="preserve">It follows that </w:t>
      </w:r>
      <w:r w:rsidR="00156784">
        <w:t>adjustment problems</w:t>
      </w:r>
      <w:r w:rsidR="00F37F15">
        <w:t xml:space="preserve">, especially </w:t>
      </w:r>
      <w:r w:rsidR="00156784">
        <w:t xml:space="preserve">in </w:t>
      </w:r>
      <w:r w:rsidR="00F37F15">
        <w:t xml:space="preserve">adolescence, </w:t>
      </w:r>
      <w:r w:rsidR="00156784">
        <w:t xml:space="preserve">may </w:t>
      </w:r>
      <w:r w:rsidR="004C1046">
        <w:t xml:space="preserve">potentially </w:t>
      </w:r>
      <w:r w:rsidR="00156784">
        <w:t xml:space="preserve">be a cause as well as a consequence of </w:t>
      </w:r>
      <w:r w:rsidR="00403B95">
        <w:t xml:space="preserve">exposure to </w:t>
      </w:r>
      <w:r w:rsidR="00D520E6">
        <w:t>political violence</w:t>
      </w:r>
      <w:r w:rsidR="003E6F67">
        <w:t xml:space="preserve">. Thus, in addition to being </w:t>
      </w:r>
      <w:r w:rsidR="00156784">
        <w:t xml:space="preserve">negatively </w:t>
      </w:r>
      <w:r w:rsidR="003E6F67">
        <w:t xml:space="preserve">affected by contexts </w:t>
      </w:r>
      <w:r w:rsidR="00156784">
        <w:t>of political violence</w:t>
      </w:r>
      <w:r w:rsidR="00A16BA1">
        <w:t>,</w:t>
      </w:r>
      <w:r w:rsidR="00156784">
        <w:t xml:space="preserve"> </w:t>
      </w:r>
      <w:r w:rsidR="003E6F67">
        <w:t xml:space="preserve">youth </w:t>
      </w:r>
      <w:r w:rsidR="00403B95">
        <w:t xml:space="preserve">behaviors </w:t>
      </w:r>
      <w:r w:rsidR="003E6F67">
        <w:t xml:space="preserve">may </w:t>
      </w:r>
      <w:r w:rsidR="00403B95">
        <w:t xml:space="preserve">put </w:t>
      </w:r>
      <w:r w:rsidR="00DB6065">
        <w:t xml:space="preserve">themselves </w:t>
      </w:r>
      <w:r w:rsidR="00403B95">
        <w:t>at risk for greater exposure to</w:t>
      </w:r>
      <w:r w:rsidR="003E6F67">
        <w:t xml:space="preserve"> political violence</w:t>
      </w:r>
      <w:r w:rsidR="00156784">
        <w:t>.</w:t>
      </w:r>
      <w:r w:rsidR="00EE3DA1">
        <w:t xml:space="preserve"> </w:t>
      </w:r>
      <w:r w:rsidR="00C23BEE">
        <w:t>Moreover, overall adjustment problems in youth</w:t>
      </w:r>
      <w:r w:rsidR="00B50B54">
        <w:t xml:space="preserve">, including both externalizing and internalizing problems, </w:t>
      </w:r>
      <w:r w:rsidR="00C23BEE">
        <w:t xml:space="preserve">may be associated with the greatest risk for exposure to political violence. </w:t>
      </w:r>
    </w:p>
    <w:p w14:paraId="5965DEFC" w14:textId="4AE5D063" w:rsidR="00A16BA1" w:rsidRDefault="000A62FB" w:rsidP="00D520E6">
      <w:pPr>
        <w:spacing w:line="480" w:lineRule="auto"/>
        <w:ind w:firstLine="720"/>
      </w:pPr>
      <w:r>
        <w:t xml:space="preserve">Exploring </w:t>
      </w:r>
      <w:r w:rsidR="009C1956">
        <w:t>th</w:t>
      </w:r>
      <w:r w:rsidR="006D1593">
        <w:t>ese</w:t>
      </w:r>
      <w:r w:rsidR="009C1956">
        <w:t xml:space="preserve"> possible pathways of the </w:t>
      </w:r>
      <w:r w:rsidR="004C1046">
        <w:t xml:space="preserve">impact </w:t>
      </w:r>
      <w:r w:rsidR="009C1956">
        <w:t xml:space="preserve">of </w:t>
      </w:r>
      <w:r w:rsidR="0003450A">
        <w:t xml:space="preserve">exposure to </w:t>
      </w:r>
      <w:r w:rsidR="009C1956">
        <w:t xml:space="preserve">political violence is essential for </w:t>
      </w:r>
      <w:r w:rsidR="00392BBD">
        <w:t xml:space="preserve">more </w:t>
      </w:r>
      <w:r w:rsidR="009C1956">
        <w:t xml:space="preserve">adequate conceptual models </w:t>
      </w:r>
      <w:r w:rsidR="00392BBD">
        <w:t xml:space="preserve">and to inform more robust </w:t>
      </w:r>
      <w:r w:rsidR="009C1956">
        <w:t>prevention and intervention</w:t>
      </w:r>
      <w:r>
        <w:t xml:space="preserve"> </w:t>
      </w:r>
      <w:r w:rsidR="00392BBD">
        <w:t>efforts</w:t>
      </w:r>
      <w:r w:rsidR="009C1956">
        <w:t>.</w:t>
      </w:r>
      <w:r w:rsidR="00EE3DA1">
        <w:t xml:space="preserve"> </w:t>
      </w:r>
      <w:r w:rsidR="006D1593">
        <w:t xml:space="preserve">For example, addressing the rates and extent of </w:t>
      </w:r>
      <w:r w:rsidR="00F37F15">
        <w:t xml:space="preserve">adolescent </w:t>
      </w:r>
      <w:r w:rsidR="004C4701">
        <w:t xml:space="preserve">exposure to </w:t>
      </w:r>
      <w:r w:rsidR="00392BBD">
        <w:t xml:space="preserve">political </w:t>
      </w:r>
      <w:r w:rsidR="006D1593">
        <w:t xml:space="preserve">violence may provide </w:t>
      </w:r>
      <w:r w:rsidR="004C1046">
        <w:t xml:space="preserve">an additional </w:t>
      </w:r>
      <w:r w:rsidR="006D1593">
        <w:t xml:space="preserve">avenue for immediate intervention </w:t>
      </w:r>
      <w:r w:rsidR="004C1046">
        <w:t xml:space="preserve">in on-going </w:t>
      </w:r>
      <w:r w:rsidR="00392BBD">
        <w:t xml:space="preserve">intergroup conflict </w:t>
      </w:r>
      <w:r>
        <w:t xml:space="preserve">as well as a means of ameliorating </w:t>
      </w:r>
      <w:r w:rsidR="00F37F15">
        <w:t xml:space="preserve">adolescent </w:t>
      </w:r>
      <w:r>
        <w:t>adjustment problems</w:t>
      </w:r>
      <w:r w:rsidR="004C1046">
        <w:t xml:space="preserve">. Another valuable contribution may be to </w:t>
      </w:r>
      <w:r w:rsidR="00392BBD">
        <w:t xml:space="preserve">shape </w:t>
      </w:r>
      <w:r w:rsidR="006D1593">
        <w:t>long-term prevention efforts</w:t>
      </w:r>
      <w:r w:rsidR="00FC5434">
        <w:t>. F</w:t>
      </w:r>
      <w:r w:rsidR="004C1046">
        <w:t xml:space="preserve">or example, reducing </w:t>
      </w:r>
      <w:r w:rsidR="00F67F09">
        <w:t xml:space="preserve">adjustment problems </w:t>
      </w:r>
      <w:r w:rsidR="00FE2883">
        <w:t xml:space="preserve">in youth in contexts of political violence </w:t>
      </w:r>
      <w:r w:rsidR="00403B95">
        <w:t>may have the effect of decreasing their future exposure to such violence</w:t>
      </w:r>
      <w:r w:rsidR="006D1593">
        <w:t xml:space="preserve">. </w:t>
      </w:r>
    </w:p>
    <w:p w14:paraId="34285E36" w14:textId="0B99A375" w:rsidR="003E6F67" w:rsidRDefault="00A16BA1" w:rsidP="00D520E6">
      <w:pPr>
        <w:spacing w:line="480" w:lineRule="auto"/>
        <w:ind w:firstLine="720"/>
      </w:pPr>
      <w:r>
        <w:lastRenderedPageBreak/>
        <w:t xml:space="preserve">However, </w:t>
      </w:r>
      <w:r w:rsidR="002F0160">
        <w:t xml:space="preserve">the </w:t>
      </w:r>
      <w:r>
        <w:t>study of the</w:t>
      </w:r>
      <w:r w:rsidR="00392BBD">
        <w:t xml:space="preserve"> possible direction of effects between </w:t>
      </w:r>
      <w:r w:rsidR="0003450A">
        <w:t xml:space="preserve">exposure to </w:t>
      </w:r>
      <w:r w:rsidR="00392BBD">
        <w:t xml:space="preserve">political violence and </w:t>
      </w:r>
      <w:r w:rsidR="00F37F15">
        <w:t xml:space="preserve">adolescent </w:t>
      </w:r>
      <w:r w:rsidR="00392BBD">
        <w:t xml:space="preserve">adjustment </w:t>
      </w:r>
      <w:r>
        <w:t>places significant demands on the type of research design needed to make adequate progress on these issues.</w:t>
      </w:r>
      <w:r w:rsidR="00EE3DA1">
        <w:t xml:space="preserve"> </w:t>
      </w:r>
      <w:r>
        <w:t xml:space="preserve">Minimally, the collection and analysis of longitudinal data is essential to be able to cogently address these questions. </w:t>
      </w:r>
      <w:r w:rsidR="00F452E4">
        <w:t>Longitudinal research on this topic</w:t>
      </w:r>
      <w:r w:rsidR="000050D8">
        <w:t xml:space="preserve"> is rare</w:t>
      </w:r>
      <w:r w:rsidR="00F452E4">
        <w:t xml:space="preserve">, with few studies prospectively examining changes in the social ecological environment (e.g., </w:t>
      </w:r>
      <w:r w:rsidR="000050D8">
        <w:t xml:space="preserve">political violence in the </w:t>
      </w:r>
      <w:r w:rsidR="00F452E4">
        <w:t xml:space="preserve">community) and </w:t>
      </w:r>
      <w:r w:rsidR="0038311F">
        <w:t>adolescents’</w:t>
      </w:r>
      <w:r w:rsidR="00F452E4">
        <w:t xml:space="preserve"> adjustment </w:t>
      </w:r>
      <w:r w:rsidR="002F0160">
        <w:t>over time</w:t>
      </w:r>
      <w:r w:rsidR="00F452E4">
        <w:t>.</w:t>
      </w:r>
      <w:r w:rsidR="00EE3DA1">
        <w:t xml:space="preserve"> </w:t>
      </w:r>
      <w:r w:rsidR="0003450A">
        <w:t xml:space="preserve">Exposure to political violence is operationalized as experience with sectarian antisocial behavior (SAB) in the community in the present study. </w:t>
      </w:r>
      <w:r w:rsidR="00267E62">
        <w:t xml:space="preserve">In </w:t>
      </w:r>
      <w:r w:rsidR="000050D8">
        <w:t xml:space="preserve">part, the relative dearth of longitudinal research may be due to the </w:t>
      </w:r>
      <w:r w:rsidR="00267E62" w:rsidRPr="00CD791D">
        <w:rPr>
          <w:iCs/>
        </w:rPr>
        <w:t xml:space="preserve">immense practical and methodological challenges </w:t>
      </w:r>
      <w:r w:rsidR="000050D8">
        <w:rPr>
          <w:iCs/>
        </w:rPr>
        <w:t xml:space="preserve">(e.g., funding, staffing, institutional support) </w:t>
      </w:r>
      <w:r w:rsidR="00267E62" w:rsidRPr="00CD791D">
        <w:rPr>
          <w:iCs/>
        </w:rPr>
        <w:t xml:space="preserve">for </w:t>
      </w:r>
      <w:r w:rsidR="000050D8">
        <w:rPr>
          <w:iCs/>
        </w:rPr>
        <w:t xml:space="preserve">working with </w:t>
      </w:r>
      <w:r w:rsidR="00267E62" w:rsidRPr="00CD791D">
        <w:rPr>
          <w:iCs/>
        </w:rPr>
        <w:t xml:space="preserve">affected youth </w:t>
      </w:r>
      <w:r w:rsidR="002F0160">
        <w:rPr>
          <w:iCs/>
        </w:rPr>
        <w:t>in these environments</w:t>
      </w:r>
      <w:r w:rsidR="00267E62" w:rsidRPr="00CD791D">
        <w:rPr>
          <w:iCs/>
        </w:rPr>
        <w:t>.</w:t>
      </w:r>
      <w:r w:rsidR="00FE4321">
        <w:rPr>
          <w:iCs/>
        </w:rPr>
        <w:t xml:space="preserve"> </w:t>
      </w:r>
      <w:r w:rsidR="000050D8">
        <w:rPr>
          <w:iCs/>
        </w:rPr>
        <w:t>Turbulent contexts of political violence create challenges for participant retention; minimizing los</w:t>
      </w:r>
      <w:r w:rsidR="004E5B0A">
        <w:rPr>
          <w:iCs/>
        </w:rPr>
        <w:t>s</w:t>
      </w:r>
      <w:r w:rsidR="000050D8">
        <w:rPr>
          <w:iCs/>
        </w:rPr>
        <w:t xml:space="preserve">es due to attrition is essential for the interpretation of results in longitudinal research. </w:t>
      </w:r>
      <w:r w:rsidR="004C22F1">
        <w:t>Moreover,</w:t>
      </w:r>
      <w:r w:rsidR="00B43F05" w:rsidRPr="00B43F05">
        <w:t xml:space="preserve"> </w:t>
      </w:r>
      <w:r w:rsidR="00A47C39">
        <w:t>compared to shorter term longitudinal analyses</w:t>
      </w:r>
      <w:r w:rsidR="00FC4001">
        <w:t xml:space="preserve"> (</w:t>
      </w:r>
      <w:r w:rsidR="009C71E9">
        <w:t xml:space="preserve">i.e., </w:t>
      </w:r>
      <w:r w:rsidR="00FC4001">
        <w:t>three or two waves)</w:t>
      </w:r>
      <w:r w:rsidR="00A47C39">
        <w:t xml:space="preserve">, basing these tests on </w:t>
      </w:r>
      <w:r w:rsidR="00B43F05">
        <w:t>four waves</w:t>
      </w:r>
      <w:r w:rsidR="00B43F05">
        <w:rPr>
          <w:rFonts w:hint="eastAsia"/>
          <w:lang w:eastAsia="zh-CN"/>
        </w:rPr>
        <w:t xml:space="preserve"> </w:t>
      </w:r>
      <w:r w:rsidR="00A47C39">
        <w:rPr>
          <w:lang w:eastAsia="zh-CN"/>
        </w:rPr>
        <w:t xml:space="preserve">of data </w:t>
      </w:r>
      <w:r w:rsidR="00602F71">
        <w:rPr>
          <w:lang w:eastAsia="zh-CN"/>
        </w:rPr>
        <w:t xml:space="preserve">collected yearly </w:t>
      </w:r>
      <w:r w:rsidR="00A47C39">
        <w:rPr>
          <w:lang w:eastAsia="zh-CN"/>
        </w:rPr>
        <w:t xml:space="preserve">strengthens the quality of the analyses by (a) </w:t>
      </w:r>
      <w:r w:rsidR="00B43F05">
        <w:rPr>
          <w:rFonts w:hint="eastAsia"/>
          <w:lang w:eastAsia="zh-CN"/>
        </w:rPr>
        <w:t>reflect</w:t>
      </w:r>
      <w:r w:rsidR="00A47C39">
        <w:rPr>
          <w:lang w:eastAsia="zh-CN"/>
        </w:rPr>
        <w:t>ing</w:t>
      </w:r>
      <w:r w:rsidR="00B43F05">
        <w:rPr>
          <w:rFonts w:hint="eastAsia"/>
          <w:lang w:eastAsia="zh-CN"/>
        </w:rPr>
        <w:t xml:space="preserve"> the relation</w:t>
      </w:r>
      <w:r w:rsidR="00A47C39">
        <w:rPr>
          <w:lang w:eastAsia="zh-CN"/>
        </w:rPr>
        <w:t>s</w:t>
      </w:r>
      <w:r w:rsidR="00B43F05">
        <w:rPr>
          <w:rFonts w:hint="eastAsia"/>
          <w:lang w:eastAsia="zh-CN"/>
        </w:rPr>
        <w:t xml:space="preserve"> </w:t>
      </w:r>
      <w:r w:rsidR="00B43F05">
        <w:t xml:space="preserve">between </w:t>
      </w:r>
      <w:r w:rsidR="00D2452F">
        <w:t xml:space="preserve">exposure to </w:t>
      </w:r>
      <w:r w:rsidR="00B43F05">
        <w:t xml:space="preserve">political violence and </w:t>
      </w:r>
      <w:r w:rsidR="008545C0">
        <w:t>adolescent</w:t>
      </w:r>
      <w:r w:rsidR="00B43F05">
        <w:t xml:space="preserve"> adjustment</w:t>
      </w:r>
      <w:r w:rsidR="00B43F05">
        <w:rPr>
          <w:rFonts w:hint="eastAsia"/>
          <w:lang w:eastAsia="zh-CN"/>
        </w:rPr>
        <w:t xml:space="preserve"> </w:t>
      </w:r>
      <w:r w:rsidR="00A47C39">
        <w:rPr>
          <w:lang w:eastAsia="zh-CN"/>
        </w:rPr>
        <w:t>over a long</w:t>
      </w:r>
      <w:r w:rsidR="00602F71">
        <w:rPr>
          <w:lang w:eastAsia="zh-CN"/>
        </w:rPr>
        <w:t>er</w:t>
      </w:r>
      <w:r w:rsidR="00A47C39">
        <w:rPr>
          <w:lang w:eastAsia="zh-CN"/>
        </w:rPr>
        <w:t xml:space="preserve"> </w:t>
      </w:r>
      <w:r w:rsidR="00B43F05">
        <w:rPr>
          <w:rFonts w:hint="eastAsia"/>
          <w:lang w:eastAsia="zh-CN"/>
        </w:rPr>
        <w:t>time span</w:t>
      </w:r>
      <w:r w:rsidR="00A47C39">
        <w:rPr>
          <w:lang w:eastAsia="zh-CN"/>
        </w:rPr>
        <w:t xml:space="preserve">, and (b) </w:t>
      </w:r>
      <w:r w:rsidR="00DB1874">
        <w:rPr>
          <w:lang w:eastAsia="zh-CN"/>
        </w:rPr>
        <w:t xml:space="preserve">further </w:t>
      </w:r>
      <w:r w:rsidR="00A47C39">
        <w:rPr>
          <w:lang w:eastAsia="zh-CN"/>
        </w:rPr>
        <w:t xml:space="preserve">helping to </w:t>
      </w:r>
      <w:r w:rsidR="00C57CA4">
        <w:rPr>
          <w:lang w:eastAsia="zh-CN"/>
        </w:rPr>
        <w:t xml:space="preserve">ensure </w:t>
      </w:r>
      <w:r w:rsidR="00B43F05" w:rsidRPr="00B43F05">
        <w:rPr>
          <w:lang w:eastAsia="zh-CN"/>
        </w:rPr>
        <w:t>model identification</w:t>
      </w:r>
      <w:r w:rsidR="00B43F05">
        <w:rPr>
          <w:rFonts w:hint="eastAsia"/>
          <w:lang w:eastAsia="zh-CN"/>
        </w:rPr>
        <w:t>.</w:t>
      </w:r>
      <w:r w:rsidR="00EE3DA1">
        <w:rPr>
          <w:rFonts w:hint="eastAsia"/>
          <w:lang w:eastAsia="zh-CN"/>
        </w:rPr>
        <w:t xml:space="preserve"> </w:t>
      </w:r>
      <w:r w:rsidR="006E4C76">
        <w:t>Thus, there is a need to broaden the concept</w:t>
      </w:r>
      <w:r w:rsidR="00DD0625">
        <w:t xml:space="preserve">ualization </w:t>
      </w:r>
      <w:r w:rsidR="006E4C76">
        <w:t xml:space="preserve">of political violence </w:t>
      </w:r>
      <w:r w:rsidR="00DD0625">
        <w:t xml:space="preserve">to include assessments of </w:t>
      </w:r>
      <w:r w:rsidR="0003450A">
        <w:t>experience with SAB</w:t>
      </w:r>
      <w:r w:rsidR="00DD0625">
        <w:t xml:space="preserve">, study </w:t>
      </w:r>
      <w:r w:rsidR="00403B95">
        <w:t>the</w:t>
      </w:r>
      <w:r w:rsidR="00DD0625">
        <w:t xml:space="preserve"> bidirectional </w:t>
      </w:r>
      <w:r w:rsidR="006E4C76">
        <w:t xml:space="preserve">relations with </w:t>
      </w:r>
      <w:r w:rsidR="00F37F15">
        <w:t xml:space="preserve">adolescent </w:t>
      </w:r>
      <w:r w:rsidR="006E4C76">
        <w:t xml:space="preserve">development, and </w:t>
      </w:r>
      <w:r w:rsidR="00403B95">
        <w:t xml:space="preserve">carry out </w:t>
      </w:r>
      <w:r w:rsidR="00DD0625">
        <w:t xml:space="preserve">multi-wave </w:t>
      </w:r>
      <w:r w:rsidR="006E4C76">
        <w:t>longitudinal research in these settings</w:t>
      </w:r>
      <w:r w:rsidR="00DD0625">
        <w:t>,</w:t>
      </w:r>
      <w:r w:rsidR="00DD0625" w:rsidRPr="00DD0625">
        <w:t xml:space="preserve"> </w:t>
      </w:r>
      <w:r w:rsidR="00DD0625">
        <w:t>which poses substantial methodological and practical challenges</w:t>
      </w:r>
      <w:r w:rsidR="001A4BEC">
        <w:t>.</w:t>
      </w:r>
      <w:r w:rsidR="00EE3DA1">
        <w:t xml:space="preserve"> </w:t>
      </w:r>
    </w:p>
    <w:p w14:paraId="0BB31057" w14:textId="728F7E35" w:rsidR="00B44003" w:rsidRDefault="00EE29A8" w:rsidP="00EE29A8">
      <w:pPr>
        <w:spacing w:line="480" w:lineRule="auto"/>
        <w:ind w:firstLine="720"/>
      </w:pPr>
      <w:r>
        <w:t xml:space="preserve">Another key issue </w:t>
      </w:r>
      <w:r w:rsidR="002F0160">
        <w:t xml:space="preserve">for this study </w:t>
      </w:r>
      <w:r>
        <w:t xml:space="preserve">is to explore gender differences in the relations between </w:t>
      </w:r>
      <w:r w:rsidR="00403B95">
        <w:t xml:space="preserve">exposure to </w:t>
      </w:r>
      <w:r>
        <w:t xml:space="preserve">political violence and </w:t>
      </w:r>
      <w:r w:rsidR="008545C0">
        <w:t>adolescent</w:t>
      </w:r>
      <w:r>
        <w:t xml:space="preserve"> adjustment.</w:t>
      </w:r>
      <w:r w:rsidR="00EE3DA1">
        <w:t xml:space="preserve"> </w:t>
      </w:r>
      <w:r w:rsidR="006E4C76">
        <w:t xml:space="preserve">For </w:t>
      </w:r>
      <w:r>
        <w:t>both boys and girls</w:t>
      </w:r>
      <w:r w:rsidR="006E4C76">
        <w:t xml:space="preserve">, adjustment problems </w:t>
      </w:r>
      <w:r>
        <w:t xml:space="preserve">have been found to be </w:t>
      </w:r>
      <w:r w:rsidR="002F0160">
        <w:t xml:space="preserve">negatively </w:t>
      </w:r>
      <w:r>
        <w:t xml:space="preserve">affected by </w:t>
      </w:r>
      <w:r w:rsidR="00403B95">
        <w:t>experience with</w:t>
      </w:r>
      <w:r>
        <w:t xml:space="preserve"> </w:t>
      </w:r>
      <w:r w:rsidR="00403B95">
        <w:t xml:space="preserve">SAB </w:t>
      </w:r>
      <w:r>
        <w:t>(</w:t>
      </w:r>
      <w:r w:rsidR="00DC534D">
        <w:t xml:space="preserve">Cummings et al., </w:t>
      </w:r>
      <w:r w:rsidR="00DC534D">
        <w:lastRenderedPageBreak/>
        <w:t>2011</w:t>
      </w:r>
      <w:r w:rsidR="006E4C76">
        <w:t xml:space="preserve">; Taylor et al., </w:t>
      </w:r>
      <w:r w:rsidR="008A780F">
        <w:t>201</w:t>
      </w:r>
      <w:r w:rsidR="00403B95">
        <w:t>6</w:t>
      </w:r>
      <w:r>
        <w:t>).</w:t>
      </w:r>
      <w:r w:rsidR="00EE3DA1">
        <w:t xml:space="preserve"> </w:t>
      </w:r>
      <w:r>
        <w:t xml:space="preserve">However, boys have been found to be more likely than girls </w:t>
      </w:r>
      <w:r w:rsidR="00962A46">
        <w:t xml:space="preserve">to engage in aggressive behavior or to </w:t>
      </w:r>
      <w:r w:rsidR="002F0160">
        <w:t xml:space="preserve">actively </w:t>
      </w:r>
      <w:r w:rsidR="00962A46">
        <w:t xml:space="preserve">participate in </w:t>
      </w:r>
      <w:r w:rsidR="0093246E">
        <w:t>interethnic conflict and violence</w:t>
      </w:r>
      <w:r w:rsidR="009062A9">
        <w:t xml:space="preserve"> in contexts of political violence</w:t>
      </w:r>
      <w:r w:rsidR="0093246E">
        <w:t xml:space="preserve"> </w:t>
      </w:r>
      <w:r w:rsidR="00C97BD3">
        <w:t>(</w:t>
      </w:r>
      <w:r w:rsidR="0093246E">
        <w:t>Ajdukovic &amp; Biruski, 2008; Barber, 2008; Dubow et al., 2010; Shirlow &amp; Muragh, 2006</w:t>
      </w:r>
      <w:r w:rsidR="006E4C76">
        <w:t xml:space="preserve">; Taylor et al., </w:t>
      </w:r>
      <w:r w:rsidR="008A780F">
        <w:t>201</w:t>
      </w:r>
      <w:r w:rsidR="00403B95">
        <w:t>6</w:t>
      </w:r>
      <w:r w:rsidR="00C97BD3">
        <w:t>)</w:t>
      </w:r>
      <w:r w:rsidR="00962A46">
        <w:t xml:space="preserve">. </w:t>
      </w:r>
      <w:r w:rsidR="001F65B5">
        <w:t>Accordingly, given the more disruptive nature of boys’ adjustment problems</w:t>
      </w:r>
      <w:r w:rsidR="0069556B">
        <w:t xml:space="preserve">, for example, reflected in higher levels of </w:t>
      </w:r>
      <w:r w:rsidR="00FE2883">
        <w:t>aggressive behavior</w:t>
      </w:r>
      <w:r w:rsidR="0069556B">
        <w:t xml:space="preserve"> or participation in </w:t>
      </w:r>
      <w:r w:rsidR="00FE2883">
        <w:t>sect</w:t>
      </w:r>
      <w:r w:rsidR="0069556B">
        <w:t>a</w:t>
      </w:r>
      <w:r w:rsidR="00FE2883">
        <w:t>r</w:t>
      </w:r>
      <w:r w:rsidR="0069556B">
        <w:t xml:space="preserve">ian antisocial behavior (Taylor et al., 2016), </w:t>
      </w:r>
      <w:r w:rsidR="001F65B5">
        <w:t xml:space="preserve">their </w:t>
      </w:r>
      <w:r w:rsidR="002F0160">
        <w:t xml:space="preserve">behavior </w:t>
      </w:r>
      <w:r w:rsidR="001F65B5">
        <w:t xml:space="preserve">might be expected to be more likely than girls’ </w:t>
      </w:r>
      <w:r w:rsidR="002F0160">
        <w:t xml:space="preserve">behavior </w:t>
      </w:r>
      <w:r w:rsidR="001F65B5">
        <w:t xml:space="preserve">to </w:t>
      </w:r>
      <w:r w:rsidR="00542AF5">
        <w:t xml:space="preserve">be </w:t>
      </w:r>
      <w:r w:rsidR="003B3E75">
        <w:t xml:space="preserve">related to experience with </w:t>
      </w:r>
      <w:r w:rsidR="002D7C3F">
        <w:t>SAB</w:t>
      </w:r>
      <w:r w:rsidR="001F65B5">
        <w:t xml:space="preserve"> over time. Although girls’ adjustment problems </w:t>
      </w:r>
      <w:r w:rsidR="005A30F7">
        <w:t xml:space="preserve">may </w:t>
      </w:r>
      <w:r w:rsidR="007C591D">
        <w:t>well</w:t>
      </w:r>
      <w:r w:rsidR="001F65B5">
        <w:t xml:space="preserve"> factor in </w:t>
      </w:r>
      <w:r w:rsidR="003B3E75">
        <w:t xml:space="preserve">experience with </w:t>
      </w:r>
      <w:r w:rsidR="002D7C3F">
        <w:t>SAB</w:t>
      </w:r>
      <w:r w:rsidR="001F65B5">
        <w:t xml:space="preserve">, </w:t>
      </w:r>
      <w:r w:rsidR="00DF5967">
        <w:t>for example, individuals with anxiety problems may be hypervigilant in seeking out indicators of threat</w:t>
      </w:r>
      <w:r w:rsidR="006F2DE8">
        <w:t xml:space="preserve"> (Davies, Harold, Goeke-Morey, &amp; Cummings, 2002)</w:t>
      </w:r>
      <w:r w:rsidR="00DF5967">
        <w:t xml:space="preserve">, </w:t>
      </w:r>
      <w:r w:rsidR="00C97BD3">
        <w:t xml:space="preserve">the less aggressive nature of </w:t>
      </w:r>
      <w:r w:rsidR="00B658A1">
        <w:t xml:space="preserve">girls’ </w:t>
      </w:r>
      <w:r w:rsidR="005338C3">
        <w:t xml:space="preserve">adjustment problems </w:t>
      </w:r>
      <w:r w:rsidR="00C97BD3">
        <w:t xml:space="preserve">in these contexts </w:t>
      </w:r>
      <w:r w:rsidR="00F74A52">
        <w:t>may</w:t>
      </w:r>
      <w:r w:rsidR="00C97BD3">
        <w:t xml:space="preserve"> reduce the likelihood of </w:t>
      </w:r>
      <w:r w:rsidR="006F2DE8">
        <w:t xml:space="preserve">the </w:t>
      </w:r>
      <w:r w:rsidR="00C97BD3">
        <w:t>direction of effects</w:t>
      </w:r>
      <w:r w:rsidR="00D97DE0">
        <w:t xml:space="preserve"> </w:t>
      </w:r>
      <w:r w:rsidR="00711404">
        <w:t xml:space="preserve">from </w:t>
      </w:r>
      <w:r w:rsidR="003B3E75">
        <w:t xml:space="preserve">experience with </w:t>
      </w:r>
      <w:r w:rsidR="002D7C3F">
        <w:t>SAB</w:t>
      </w:r>
      <w:r w:rsidR="00711404">
        <w:t xml:space="preserve"> to total adjustment problems </w:t>
      </w:r>
      <w:r w:rsidR="00F74A52">
        <w:t>for</w:t>
      </w:r>
      <w:r w:rsidR="00711404">
        <w:t xml:space="preserve"> girls</w:t>
      </w:r>
      <w:r w:rsidR="00C97BD3">
        <w:t>.</w:t>
      </w:r>
      <w:r w:rsidR="00EE3DA1">
        <w:t xml:space="preserve"> </w:t>
      </w:r>
      <w:r w:rsidR="00C97BD3">
        <w:t>Thus, bidirectional relations are hypothesized for boys</w:t>
      </w:r>
      <w:r w:rsidR="00C25F6C">
        <w:t>. H</w:t>
      </w:r>
      <w:r w:rsidR="005338C3">
        <w:t xml:space="preserve">owever, </w:t>
      </w:r>
      <w:r w:rsidR="00F67F09">
        <w:t xml:space="preserve">there is less </w:t>
      </w:r>
      <w:r w:rsidR="00C63916">
        <w:t xml:space="preserve">apparent </w:t>
      </w:r>
      <w:r w:rsidR="00F67F09">
        <w:t xml:space="preserve">basis for expecting bidirectional </w:t>
      </w:r>
      <w:r w:rsidR="00C97BD3">
        <w:t xml:space="preserve">relations </w:t>
      </w:r>
      <w:r w:rsidR="00EA4120">
        <w:t xml:space="preserve">for girls, especially prospective relations </w:t>
      </w:r>
      <w:r w:rsidR="00C97BD3">
        <w:t xml:space="preserve">between </w:t>
      </w:r>
      <w:r w:rsidR="005338C3">
        <w:t xml:space="preserve">experiencing </w:t>
      </w:r>
      <w:r w:rsidR="003B3E75">
        <w:t>SAB</w:t>
      </w:r>
      <w:r w:rsidR="00C97BD3">
        <w:t xml:space="preserve"> and </w:t>
      </w:r>
      <w:r w:rsidR="00F62A21">
        <w:t xml:space="preserve">total </w:t>
      </w:r>
      <w:r w:rsidR="00C97BD3">
        <w:t xml:space="preserve">adjustment problems </w:t>
      </w:r>
      <w:r w:rsidR="00F67F09">
        <w:t>in</w:t>
      </w:r>
      <w:r w:rsidR="00C97BD3">
        <w:t xml:space="preserve"> girls.</w:t>
      </w:r>
      <w:r w:rsidR="00EE3DA1">
        <w:t xml:space="preserve"> </w:t>
      </w:r>
      <w:r w:rsidR="00C97BD3">
        <w:t>Finally, from a developmental perspective, bidirectional relations are expected to</w:t>
      </w:r>
      <w:r w:rsidR="005A30F7">
        <w:t xml:space="preserve"> </w:t>
      </w:r>
      <w:r w:rsidR="00C97BD3">
        <w:t>emerge with the onset of adolescence</w:t>
      </w:r>
      <w:r w:rsidR="00C25F6C">
        <w:t>.  A</w:t>
      </w:r>
      <w:r w:rsidR="008545C0">
        <w:t>dolescents</w:t>
      </w:r>
      <w:r w:rsidR="00C97BD3">
        <w:t xml:space="preserve"> </w:t>
      </w:r>
      <w:r w:rsidR="005A30F7">
        <w:t xml:space="preserve">are more likely to </w:t>
      </w:r>
      <w:r w:rsidR="00DF5967">
        <w:t xml:space="preserve">become exposed or </w:t>
      </w:r>
      <w:r w:rsidR="00C97BD3">
        <w:t>actively involved in community conflict and violence.</w:t>
      </w:r>
      <w:r w:rsidR="00EE3DA1">
        <w:t xml:space="preserve"> </w:t>
      </w:r>
      <w:r w:rsidR="00C97BD3">
        <w:t xml:space="preserve">Accordingly, this study focuses on </w:t>
      </w:r>
      <w:r w:rsidR="0038311F">
        <w:t>adolescents</w:t>
      </w:r>
      <w:r w:rsidR="00C97BD3">
        <w:t xml:space="preserve"> between early and middle adolescence.</w:t>
      </w:r>
      <w:r w:rsidR="00EE3DA1">
        <w:t xml:space="preserve"> </w:t>
      </w:r>
    </w:p>
    <w:p w14:paraId="6F86A176" w14:textId="05E9AB66" w:rsidR="004C09EC" w:rsidRDefault="00EE3DA1" w:rsidP="00EE29A8">
      <w:pPr>
        <w:spacing w:line="480" w:lineRule="auto"/>
        <w:ind w:firstLine="720"/>
      </w:pPr>
      <w:r>
        <w:t xml:space="preserve"> </w:t>
      </w:r>
      <w:r w:rsidR="006D7481">
        <w:t>This study of bidirectional relations takes place in Northern Ireland</w:t>
      </w:r>
      <w:r w:rsidR="005338C3">
        <w:t xml:space="preserve">, an important </w:t>
      </w:r>
      <w:r w:rsidR="003553BF">
        <w:t>context for examining relations between political violence and child adjustment (Cairns &amp; Dawes, 1996).</w:t>
      </w:r>
      <w:r>
        <w:t xml:space="preserve"> </w:t>
      </w:r>
      <w:r w:rsidR="005338C3">
        <w:t xml:space="preserve">Contemporary research on </w:t>
      </w:r>
      <w:r w:rsidR="003B3E75">
        <w:t>SAB</w:t>
      </w:r>
      <w:r w:rsidR="005338C3">
        <w:t xml:space="preserve"> between Protestants and Catholics </w:t>
      </w:r>
      <w:r w:rsidR="00DD0625">
        <w:t xml:space="preserve">has </w:t>
      </w:r>
      <w:r w:rsidR="005338C3">
        <w:t>typically focuse</w:t>
      </w:r>
      <w:r w:rsidR="00DD0625">
        <w:t>d</w:t>
      </w:r>
      <w:r w:rsidR="005338C3">
        <w:t xml:space="preserve"> on the period between 1968 and 1998,</w:t>
      </w:r>
      <w:r w:rsidR="005338C3" w:rsidDel="005338C3">
        <w:t xml:space="preserve"> </w:t>
      </w:r>
      <w:r w:rsidR="003553BF">
        <w:t>known as the “Troubles”</w:t>
      </w:r>
      <w:r w:rsidR="00331EAC">
        <w:t xml:space="preserve"> (see Cairns &amp; Darby, 1998, for a brief history)</w:t>
      </w:r>
      <w:r w:rsidR="003553BF">
        <w:t>.</w:t>
      </w:r>
      <w:r>
        <w:t xml:space="preserve"> </w:t>
      </w:r>
      <w:r w:rsidR="00C63916">
        <w:t>However, d</w:t>
      </w:r>
      <w:r w:rsidR="00331EAC">
        <w:t xml:space="preserve">espite the 1998 Belfast agreement, substantial sectarian violence continues, </w:t>
      </w:r>
      <w:r w:rsidR="00331EAC">
        <w:lastRenderedPageBreak/>
        <w:t xml:space="preserve">especially in socially deprived communities in Belfast (e.g., see Police Service of Northern Ireland, Central Statistics Branch, Operational Support Department, 2006/2007). </w:t>
      </w:r>
    </w:p>
    <w:p w14:paraId="1AED0D20" w14:textId="168CF758" w:rsidR="005A30F7" w:rsidRDefault="005A30F7" w:rsidP="00EE29A8">
      <w:pPr>
        <w:spacing w:line="480" w:lineRule="auto"/>
        <w:ind w:firstLine="720"/>
      </w:pPr>
      <w:r>
        <w:t xml:space="preserve">The current study thus is concerned with prospectively exploring bidirectional relations between </w:t>
      </w:r>
      <w:r w:rsidR="00F61092">
        <w:t xml:space="preserve">experience with SAB </w:t>
      </w:r>
      <w:r>
        <w:t xml:space="preserve">and </w:t>
      </w:r>
      <w:r w:rsidR="00F37F15">
        <w:t xml:space="preserve">adolescent </w:t>
      </w:r>
      <w:r>
        <w:t xml:space="preserve">adjustment problems in </w:t>
      </w:r>
      <w:r w:rsidR="005338C3">
        <w:t xml:space="preserve">socially deprived areas in </w:t>
      </w:r>
      <w:r>
        <w:t>Belfast, Northern Ireland.</w:t>
      </w:r>
      <w:r w:rsidR="00EE3DA1">
        <w:t xml:space="preserve"> </w:t>
      </w:r>
      <w:r w:rsidR="00AB4BF1">
        <w:t xml:space="preserve">Tests were based on cross-lagged path models. </w:t>
      </w:r>
      <w:r w:rsidR="0075284D">
        <w:t>Cross-lagged path models employ the underlying time</w:t>
      </w:r>
      <w:r w:rsidR="004E5B0A">
        <w:t>-</w:t>
      </w:r>
      <w:r w:rsidR="0075284D">
        <w:t>ordered nature of panel data to examine the bi-directional relations between constructs</w:t>
      </w:r>
      <w:r w:rsidR="00BC1C52">
        <w:t xml:space="preserve"> (Newsom, 2015)</w:t>
      </w:r>
      <w:r w:rsidR="0075284D">
        <w:t>.</w:t>
      </w:r>
      <w:r>
        <w:t xml:space="preserve"> </w:t>
      </w:r>
      <w:r w:rsidR="007270DF">
        <w:t xml:space="preserve">The analyses incorporated both mother and youth reports to reduce possible inflation of relations due to the same reporter providing data on both constructs. </w:t>
      </w:r>
      <w:r w:rsidR="00790AD4">
        <w:t xml:space="preserve">Moreover, </w:t>
      </w:r>
      <w:r w:rsidR="00AA4566">
        <w:t xml:space="preserve">towards </w:t>
      </w:r>
      <w:r w:rsidR="00790AD4">
        <w:t xml:space="preserve">increasing the likelihood of detecting bidirectional relations, total adjustment problems in youth are included in analyses. </w:t>
      </w:r>
      <w:r>
        <w:t>The hypothesis is that bidirectional relations will be found in the sample studied.</w:t>
      </w:r>
      <w:r w:rsidR="00EE3DA1">
        <w:t xml:space="preserve"> </w:t>
      </w:r>
      <w:r>
        <w:t xml:space="preserve">In addition, </w:t>
      </w:r>
      <w:r w:rsidR="00A84C29">
        <w:t>multi-group analyses</w:t>
      </w:r>
      <w:r w:rsidR="00EE3DA1">
        <w:t xml:space="preserve"> </w:t>
      </w:r>
      <w:r w:rsidR="00A84C29">
        <w:t xml:space="preserve">for gender </w:t>
      </w:r>
      <w:r w:rsidR="00126D71">
        <w:t xml:space="preserve">will </w:t>
      </w:r>
      <w:r w:rsidR="00A84C29">
        <w:t xml:space="preserve">be conducted to </w:t>
      </w:r>
      <w:r w:rsidR="00126D71">
        <w:t xml:space="preserve">test these pathways separately </w:t>
      </w:r>
      <w:r>
        <w:t>for boys and girls</w:t>
      </w:r>
      <w:r w:rsidRPr="00D103DE">
        <w:t>.</w:t>
      </w:r>
      <w:r w:rsidR="00EE3DA1" w:rsidRPr="00D103DE">
        <w:t xml:space="preserve"> </w:t>
      </w:r>
      <w:r w:rsidRPr="00D103DE">
        <w:t>In the context of these analyses, the hypothesis is that bidirectional relations will be found for boys</w:t>
      </w:r>
      <w:r w:rsidR="00AB4BF1">
        <w:t xml:space="preserve">. The test of </w:t>
      </w:r>
      <w:r w:rsidR="00542AF5">
        <w:t xml:space="preserve">whether </w:t>
      </w:r>
      <w:r w:rsidR="00332974">
        <w:t xml:space="preserve">bidirectional relations will be found for </w:t>
      </w:r>
      <w:r w:rsidR="00542AF5">
        <w:t>girls</w:t>
      </w:r>
      <w:r w:rsidR="0021052A">
        <w:t xml:space="preserve"> is exploratory</w:t>
      </w:r>
      <w:r w:rsidR="00032C3A" w:rsidRPr="00D103DE">
        <w:t>.</w:t>
      </w:r>
      <w:r w:rsidR="00EE3DA1">
        <w:t xml:space="preserve"> </w:t>
      </w:r>
    </w:p>
    <w:p w14:paraId="131D55C7" w14:textId="77777777" w:rsidR="008946E9" w:rsidRPr="00C278BB" w:rsidRDefault="008946E9" w:rsidP="008946E9">
      <w:pPr>
        <w:spacing w:line="480" w:lineRule="auto"/>
        <w:jc w:val="center"/>
        <w:rPr>
          <w:b/>
        </w:rPr>
      </w:pPr>
      <w:r>
        <w:rPr>
          <w:b/>
        </w:rPr>
        <w:t>Method</w:t>
      </w:r>
    </w:p>
    <w:p w14:paraId="67705BE7" w14:textId="7FBC5DDB" w:rsidR="008946E9" w:rsidRPr="00C278BB" w:rsidRDefault="008946E9" w:rsidP="008946E9">
      <w:pPr>
        <w:spacing w:line="480" w:lineRule="auto"/>
        <w:rPr>
          <w:b/>
        </w:rPr>
      </w:pPr>
      <w:r w:rsidRPr="00C278BB">
        <w:rPr>
          <w:b/>
        </w:rPr>
        <w:t>Participants</w:t>
      </w:r>
    </w:p>
    <w:p w14:paraId="5C8297FD" w14:textId="370B3D1D" w:rsidR="008946E9" w:rsidRDefault="008946E9" w:rsidP="008946E9">
      <w:pPr>
        <w:spacing w:line="480" w:lineRule="auto"/>
      </w:pPr>
      <w:r>
        <w:tab/>
        <w:t xml:space="preserve">The analyses included 999 mother-adolescent pairs that participated in at least one of four waves of annual data collection </w:t>
      </w:r>
      <w:r w:rsidR="007A6BE9">
        <w:t xml:space="preserve">(2006-2010) </w:t>
      </w:r>
      <w:r>
        <w:t>as part of a larger project on the impact of political violence on children and families in Belfast, Northern Ireland. Over the course of the four waves, child participants (52% female) were 12.18 (</w:t>
      </w:r>
      <w:r w:rsidRPr="00A31B8F">
        <w:rPr>
          <w:i/>
        </w:rPr>
        <w:t>SD</w:t>
      </w:r>
      <w:r>
        <w:t>=1.82), 13.24 (</w:t>
      </w:r>
      <w:r w:rsidRPr="00A31B8F">
        <w:rPr>
          <w:i/>
        </w:rPr>
        <w:t>SD</w:t>
      </w:r>
      <w:r>
        <w:t>=1.83), 13.62 (</w:t>
      </w:r>
      <w:r w:rsidRPr="00A31B8F">
        <w:rPr>
          <w:i/>
        </w:rPr>
        <w:t>SD</w:t>
      </w:r>
      <w:r>
        <w:t>=1.99), and 14.66 (</w:t>
      </w:r>
      <w:r w:rsidRPr="00A31B8F">
        <w:rPr>
          <w:i/>
        </w:rPr>
        <w:t>SD</w:t>
      </w:r>
      <w:r>
        <w:t xml:space="preserve">=1.96) years old. </w:t>
      </w:r>
      <w:r w:rsidR="00EF5109">
        <w:t xml:space="preserve">Mothers were </w:t>
      </w:r>
      <w:r w:rsidR="00EF5109" w:rsidRPr="00EF5109">
        <w:t>recruited based on the high prevalence of female-headed households; in our sample, t</w:t>
      </w:r>
      <w:r w:rsidRPr="00EF5109">
        <w:t>wo-thirds came from single</w:t>
      </w:r>
      <w:r w:rsidR="00EF5109" w:rsidRPr="00EF5109">
        <w:t xml:space="preserve"> mothers (e.g., </w:t>
      </w:r>
      <w:r w:rsidR="00EF5109" w:rsidRPr="00EF5109">
        <w:rPr>
          <w:color w:val="231F20"/>
        </w:rPr>
        <w:t>separated, divorced, widowed, or having never married)</w:t>
      </w:r>
      <w:r w:rsidRPr="00EF5109">
        <w:t>,</w:t>
      </w:r>
      <w:r>
        <w:t xml:space="preserve"> and the remaining third lived in homes in which </w:t>
      </w:r>
      <w:r>
        <w:lastRenderedPageBreak/>
        <w:t xml:space="preserve">the parents were married or living as married. </w:t>
      </w:r>
      <w:r w:rsidR="00F80919">
        <w:t xml:space="preserve">Approximating </w:t>
      </w:r>
      <w:r>
        <w:t>the traditional demographics of Northern Ireland, all participants were White and 62% identified as coming from a Protestant background while 38% identified as Catholic.</w:t>
      </w:r>
      <w:r w:rsidR="00E5709F">
        <w:t xml:space="preserve"> Catholic youth reported more exp</w:t>
      </w:r>
      <w:r w:rsidR="00F61092">
        <w:t>erience with SAB</w:t>
      </w:r>
      <w:r w:rsidR="00E5709F">
        <w:t xml:space="preserve"> in wave 3; otherwise there was no difference</w:t>
      </w:r>
      <w:r w:rsidR="00B030D4">
        <w:t xml:space="preserve"> </w:t>
      </w:r>
      <w:r w:rsidR="00E5709F">
        <w:t>in rate</w:t>
      </w:r>
      <w:r w:rsidR="00B030D4">
        <w:t>s</w:t>
      </w:r>
      <w:r w:rsidR="00E5709F">
        <w:t xml:space="preserve"> of exposure between Catholic and Protestant youth. </w:t>
      </w:r>
    </w:p>
    <w:p w14:paraId="2207829B" w14:textId="7719F5ED" w:rsidR="007A6BE9" w:rsidRDefault="008946E9" w:rsidP="007A6BE9">
      <w:pPr>
        <w:autoSpaceDE w:val="0"/>
        <w:autoSpaceDN w:val="0"/>
        <w:adjustRightInd w:val="0"/>
        <w:spacing w:line="480" w:lineRule="auto"/>
      </w:pPr>
      <w:r>
        <w:tab/>
      </w:r>
      <w:r w:rsidR="00EF5109" w:rsidRPr="00EF5109">
        <w:t>Across time, there was relatively good retention</w:t>
      </w:r>
      <w:r w:rsidR="00AC022F">
        <w:t>,</w:t>
      </w:r>
      <w:r w:rsidR="00EF5109" w:rsidRPr="00EF5109">
        <w:t xml:space="preserve"> ranging from 82% from wave 1 to 2, to 76% from wave 2 to 3, and to 80% from wave 3 to 4. Retention was at the higher end of other longitudinal s</w:t>
      </w:r>
      <w:r w:rsidR="00EF5109" w:rsidRPr="007A6BE9">
        <w:t>tudies with a</w:t>
      </w:r>
      <w:r w:rsidR="00EF5109" w:rsidRPr="003F5D75">
        <w:t xml:space="preserve">t-risk populations in settings </w:t>
      </w:r>
      <w:r w:rsidR="00C25F6C">
        <w:t xml:space="preserve">of </w:t>
      </w:r>
      <w:r w:rsidR="00EF5109" w:rsidRPr="003F5D75">
        <w:t xml:space="preserve">community and political conflict, ranging from 50% to 86% (e.g., Betancourt et al., 2010; Browning, Burrington, Leventhal, &amp; Brooks-Gunn, 2008; Kronenberg et al., 2010). </w:t>
      </w:r>
      <w:r w:rsidR="00D52DDA" w:rsidRPr="003F5D75">
        <w:t>The relatively high r</w:t>
      </w:r>
      <w:r w:rsidR="00EF5109" w:rsidRPr="003F5D75">
        <w:t>etent</w:t>
      </w:r>
      <w:r w:rsidR="00EF5109">
        <w:t xml:space="preserve">ion rates </w:t>
      </w:r>
      <w:r w:rsidR="00D52DDA">
        <w:t>may have reflected</w:t>
      </w:r>
      <w:r w:rsidR="00EF5109">
        <w:t xml:space="preserve">, in part, our strategy of contacting families at least three times for each </w:t>
      </w:r>
      <w:r w:rsidR="00D52DDA">
        <w:t xml:space="preserve">yearly </w:t>
      </w:r>
      <w:r w:rsidR="00EF5109">
        <w:t>wave and</w:t>
      </w:r>
      <w:r w:rsidR="0087703B" w:rsidRPr="0087703B">
        <w:t xml:space="preserve"> </w:t>
      </w:r>
      <w:r w:rsidR="0087703B">
        <w:t>other measures, such as including annual letters reminding participants we would be calling again ahead of each wave.</w:t>
      </w:r>
      <w:r w:rsidR="00EE3DA1">
        <w:t xml:space="preserve"> </w:t>
      </w:r>
    </w:p>
    <w:p w14:paraId="58080292" w14:textId="09C99532" w:rsidR="00D52DDA" w:rsidRDefault="007A6BE9" w:rsidP="00D52DDA">
      <w:pPr>
        <w:autoSpaceDE w:val="0"/>
        <w:autoSpaceDN w:val="0"/>
        <w:adjustRightInd w:val="0"/>
        <w:spacing w:line="480" w:lineRule="auto"/>
        <w:ind w:firstLine="720"/>
      </w:pPr>
      <w:r>
        <w:t>For this paper, a</w:t>
      </w:r>
      <w:r w:rsidR="008946E9">
        <w:t>ttrition analyses were conducted to examine if there were any significant differences between those that returned a</w:t>
      </w:r>
      <w:r w:rsidR="00DE6A2E">
        <w:t>t</w:t>
      </w:r>
      <w:r w:rsidR="008946E9">
        <w:t xml:space="preserve"> a later wave and those that did not. From wave 1 to all later time points, the only significant difference was that children who reported more total problems at</w:t>
      </w:r>
      <w:r w:rsidR="00EE3DA1">
        <w:t xml:space="preserve"> </w:t>
      </w:r>
      <w:r w:rsidR="008946E9">
        <w:t>wave 1 were less likely to return at wave 4 (</w:t>
      </w:r>
      <w:r w:rsidR="008946E9" w:rsidRPr="00ED42D2">
        <w:rPr>
          <w:i/>
        </w:rPr>
        <w:t>t</w:t>
      </w:r>
      <w:r w:rsidR="008946E9">
        <w:t>(690) =</w:t>
      </w:r>
      <w:r w:rsidR="00EE3DA1">
        <w:t xml:space="preserve"> </w:t>
      </w:r>
      <w:r w:rsidR="008946E9">
        <w:t xml:space="preserve">-2.98, </w:t>
      </w:r>
      <w:r w:rsidR="008946E9" w:rsidRPr="00ED42D2">
        <w:rPr>
          <w:i/>
        </w:rPr>
        <w:t>p</w:t>
      </w:r>
      <w:r w:rsidR="008946E9">
        <w:t xml:space="preserve"> &lt; .01; M</w:t>
      </w:r>
      <w:r w:rsidR="008946E9" w:rsidRPr="00ED42D2">
        <w:rPr>
          <w:vertAlign w:val="subscript"/>
        </w:rPr>
        <w:t>attrited</w:t>
      </w:r>
      <w:r w:rsidR="008946E9">
        <w:t xml:space="preserve"> = 6.15 (</w:t>
      </w:r>
      <w:r w:rsidR="008946E9" w:rsidRPr="00ED42D2">
        <w:rPr>
          <w:i/>
        </w:rPr>
        <w:t>SD</w:t>
      </w:r>
      <w:r w:rsidR="008946E9">
        <w:t>=.37); M</w:t>
      </w:r>
      <w:r w:rsidR="008946E9" w:rsidRPr="00ED42D2">
        <w:rPr>
          <w:vertAlign w:val="subscript"/>
        </w:rPr>
        <w:t>returned</w:t>
      </w:r>
      <w:r w:rsidR="008946E9">
        <w:t xml:space="preserve"> = 5.55 (</w:t>
      </w:r>
      <w:r w:rsidR="008946E9" w:rsidRPr="00ED42D2">
        <w:rPr>
          <w:i/>
        </w:rPr>
        <w:t>SD</w:t>
      </w:r>
      <w:r w:rsidR="008946E9">
        <w:t xml:space="preserve">=.27)). Mothers who reported higher </w:t>
      </w:r>
      <w:r w:rsidR="003B3E75">
        <w:t xml:space="preserve">child experience with </w:t>
      </w:r>
      <w:r w:rsidR="008946E9">
        <w:t>SAB at wave 2 were less likely to return at both wave 3 (</w:t>
      </w:r>
      <w:r w:rsidR="008946E9" w:rsidRPr="00ED42D2">
        <w:rPr>
          <w:i/>
        </w:rPr>
        <w:t>t</w:t>
      </w:r>
      <w:r w:rsidR="008946E9">
        <w:t xml:space="preserve">(570) = 4.00, </w:t>
      </w:r>
      <w:r w:rsidR="008946E9" w:rsidRPr="00ED42D2">
        <w:rPr>
          <w:i/>
        </w:rPr>
        <w:t>p</w:t>
      </w:r>
      <w:r w:rsidR="008946E9">
        <w:t xml:space="preserve"> &lt; .001; M</w:t>
      </w:r>
      <w:r w:rsidR="008946E9" w:rsidRPr="00ED42D2">
        <w:rPr>
          <w:vertAlign w:val="subscript"/>
        </w:rPr>
        <w:t>attrited</w:t>
      </w:r>
      <w:r w:rsidR="008946E9">
        <w:t xml:space="preserve"> = 3.77 (</w:t>
      </w:r>
      <w:r w:rsidR="008946E9" w:rsidRPr="00ED42D2">
        <w:rPr>
          <w:i/>
        </w:rPr>
        <w:t>SD</w:t>
      </w:r>
      <w:r w:rsidR="008946E9">
        <w:t>=8.06); M</w:t>
      </w:r>
      <w:r w:rsidR="008946E9" w:rsidRPr="00ED42D2">
        <w:rPr>
          <w:vertAlign w:val="subscript"/>
        </w:rPr>
        <w:t>returned</w:t>
      </w:r>
      <w:r w:rsidR="008946E9">
        <w:t xml:space="preserve"> = 1.52 (</w:t>
      </w:r>
      <w:r w:rsidR="008946E9" w:rsidRPr="00ED42D2">
        <w:rPr>
          <w:i/>
        </w:rPr>
        <w:t>SD</w:t>
      </w:r>
      <w:r w:rsidR="008946E9">
        <w:t>=4.77)) and wave 4 (</w:t>
      </w:r>
      <w:r w:rsidR="008946E9" w:rsidRPr="00ED42D2">
        <w:rPr>
          <w:i/>
        </w:rPr>
        <w:t>t</w:t>
      </w:r>
      <w:r w:rsidR="008946E9">
        <w:t xml:space="preserve">(570) = 5.05, </w:t>
      </w:r>
      <w:r w:rsidR="008946E9" w:rsidRPr="00ED42D2">
        <w:rPr>
          <w:i/>
        </w:rPr>
        <w:t>p</w:t>
      </w:r>
      <w:r w:rsidR="008946E9">
        <w:t xml:space="preserve"> &lt; .01; M</w:t>
      </w:r>
      <w:r w:rsidR="008946E9" w:rsidRPr="00ED42D2">
        <w:rPr>
          <w:vertAlign w:val="subscript"/>
        </w:rPr>
        <w:t>attrited</w:t>
      </w:r>
      <w:r w:rsidR="008946E9">
        <w:t xml:space="preserve"> = 3.85 (</w:t>
      </w:r>
      <w:r w:rsidR="008946E9" w:rsidRPr="00ED42D2">
        <w:rPr>
          <w:i/>
        </w:rPr>
        <w:t>SD</w:t>
      </w:r>
      <w:r w:rsidR="008946E9">
        <w:t>=.8.35); M</w:t>
      </w:r>
      <w:r w:rsidR="008946E9" w:rsidRPr="00ED42D2">
        <w:rPr>
          <w:vertAlign w:val="subscript"/>
        </w:rPr>
        <w:t>returned</w:t>
      </w:r>
      <w:r w:rsidR="008946E9">
        <w:t xml:space="preserve"> = 1.26 (</w:t>
      </w:r>
      <w:r w:rsidR="008946E9" w:rsidRPr="00ED42D2">
        <w:rPr>
          <w:i/>
        </w:rPr>
        <w:t>SD</w:t>
      </w:r>
      <w:r w:rsidR="008946E9">
        <w:t xml:space="preserve">=3.94)). </w:t>
      </w:r>
      <w:r w:rsidR="00D47DF5">
        <w:t xml:space="preserve">However, higher risk dyads did not always have a higher chance of dropping out. That is, only one comparison between waves was significant for total </w:t>
      </w:r>
      <w:r w:rsidR="00D47DF5">
        <w:lastRenderedPageBreak/>
        <w:t xml:space="preserve">problems and all other comparisons between waves were not significant for mother report of SAB. </w:t>
      </w:r>
    </w:p>
    <w:p w14:paraId="236208D3" w14:textId="4657837D" w:rsidR="007A6BE9" w:rsidRDefault="007A6BE9" w:rsidP="00D52DDA">
      <w:pPr>
        <w:autoSpaceDE w:val="0"/>
        <w:autoSpaceDN w:val="0"/>
        <w:adjustRightInd w:val="0"/>
        <w:spacing w:line="480" w:lineRule="auto"/>
      </w:pPr>
      <w:r w:rsidRPr="00C278BB">
        <w:rPr>
          <w:b/>
        </w:rPr>
        <w:t>Procedure</w:t>
      </w:r>
    </w:p>
    <w:p w14:paraId="3DCEB80C" w14:textId="65DCF6F6" w:rsidR="008946E9" w:rsidRPr="007E7293" w:rsidRDefault="008946E9" w:rsidP="008946E9">
      <w:pPr>
        <w:autoSpaceDE w:val="0"/>
        <w:autoSpaceDN w:val="0"/>
        <w:adjustRightInd w:val="0"/>
        <w:spacing w:line="480" w:lineRule="auto"/>
        <w:rPr>
          <w:rFonts w:ascii="AdvOTf9433e2d" w:hAnsi="AdvOTf9433e2d" w:cs="AdvOTf9433e2d"/>
          <w:color w:val="231F20"/>
          <w:sz w:val="20"/>
          <w:szCs w:val="20"/>
        </w:rPr>
      </w:pPr>
      <w:r>
        <w:tab/>
      </w:r>
      <w:r w:rsidR="007A6BE9">
        <w:t>Prior to the initiation of the study, an expert demographer in Northern Ireland identified a series of Belfast neighborhoods that were targeted during recruitment. The neighborhoods all met the criteria of being (a) interface</w:t>
      </w:r>
      <w:r w:rsidR="00443F55">
        <w:t>d</w:t>
      </w:r>
      <w:r w:rsidR="007A6BE9">
        <w:t>, (b) low ranking on the multiple deprivation scale</w:t>
      </w:r>
      <w:r w:rsidR="00F57620">
        <w:t xml:space="preserve"> (indicating high levels of deprivation</w:t>
      </w:r>
      <w:r w:rsidR="00F77DE8">
        <w:t xml:space="preserve"> on a Deprivation Index</w:t>
      </w:r>
      <w:r w:rsidR="00B94593">
        <w:t>, including lower socio-economic status</w:t>
      </w:r>
      <w:r w:rsidR="008C03EF">
        <w:t xml:space="preserve"> (</w:t>
      </w:r>
      <w:r w:rsidR="00F77DE8">
        <w:t xml:space="preserve">see </w:t>
      </w:r>
      <w:r w:rsidR="007C55A8">
        <w:t>Cummings et al., 201</w:t>
      </w:r>
      <w:r w:rsidR="00E21D3B">
        <w:t>1</w:t>
      </w:r>
      <w:r w:rsidR="00F57620">
        <w:t>)</w:t>
      </w:r>
      <w:r w:rsidR="007A6BE9">
        <w:t>, and (c) have variation in history and recent level</w:t>
      </w:r>
      <w:r w:rsidR="00F57620">
        <w:t>s</w:t>
      </w:r>
      <w:r w:rsidR="007A6BE9">
        <w:t xml:space="preserve"> of sectarian violence. Interface</w:t>
      </w:r>
      <w:r w:rsidR="00443F55">
        <w:t>d</w:t>
      </w:r>
      <w:r w:rsidR="007A6BE9">
        <w:t xml:space="preserve"> neighborhoods are areas that are </w:t>
      </w:r>
      <w:r>
        <w:t xml:space="preserve">homogenous by Catholic/Protestant identity, </w:t>
      </w:r>
      <w:r w:rsidR="007A6BE9">
        <w:t xml:space="preserve">that are directly next to or </w:t>
      </w:r>
      <w:r>
        <w:t xml:space="preserve">alongside </w:t>
      </w:r>
      <w:r w:rsidR="007A6BE9">
        <w:t xml:space="preserve">of </w:t>
      </w:r>
      <w:r>
        <w:t xml:space="preserve">an area </w:t>
      </w:r>
      <w:r w:rsidR="00B32BB4">
        <w:t>that was</w:t>
      </w:r>
      <w:r>
        <w:t xml:space="preserve"> from the other group. </w:t>
      </w:r>
      <w:r w:rsidR="007A6BE9">
        <w:t>These interface</w:t>
      </w:r>
      <w:r w:rsidR="00443F55">
        <w:t>d</w:t>
      </w:r>
      <w:r w:rsidR="007A6BE9">
        <w:t xml:space="preserve"> areas are often physically divided by ‘peace’ walls and/or major roads that maintain relative isolation between the two communities. </w:t>
      </w:r>
      <w:r w:rsidR="00EB31AC">
        <w:t xml:space="preserve">The neighborhoods selected were relatively homogeneous on socioeconomic status as well as </w:t>
      </w:r>
      <w:r w:rsidR="007270DF">
        <w:t>Catholic/Protestant identification</w:t>
      </w:r>
      <w:r w:rsidR="00EB31AC">
        <w:t xml:space="preserve">. Thus, the families who participated were largely representative of their recruitment areas of background and socioeconomic status. </w:t>
      </w:r>
      <w:r w:rsidR="007A6BE9">
        <w:t xml:space="preserve">In Northern Ireland, neighborhood socio-economic status is tracked with a multiple deprivation ranking that considers factors such as employment status of residents, home ownership, and access to basic services for a geographic area. </w:t>
      </w:r>
      <w:r w:rsidR="00F34BD9">
        <w:t>A</w:t>
      </w:r>
      <w:r w:rsidR="007A6BE9">
        <w:t xml:space="preserve">ll study </w:t>
      </w:r>
      <w:r w:rsidR="0039649B">
        <w:t xml:space="preserve">neighborhoods </w:t>
      </w:r>
      <w:r>
        <w:t xml:space="preserve">ranked in the bottom quarter of social deprivation across all </w:t>
      </w:r>
      <w:r w:rsidR="004E5B0A">
        <w:t xml:space="preserve">582 </w:t>
      </w:r>
      <w:r w:rsidR="007A6BE9">
        <w:t xml:space="preserve">electoral </w:t>
      </w:r>
      <w:r>
        <w:t>wards in Northern Ireland (</w:t>
      </w:r>
      <w:r w:rsidR="00E42414">
        <w:t>NINIS, 2011; NISRA</w:t>
      </w:r>
      <w:r w:rsidR="00E42414" w:rsidRPr="00641D9C">
        <w:t>, 2011</w:t>
      </w:r>
      <w:r>
        <w:t xml:space="preserve">). </w:t>
      </w:r>
      <w:r w:rsidR="007A6BE9">
        <w:t xml:space="preserve">Finally, although all study areas were relatively similar in terms of interface and multiple-deprivation, there was </w:t>
      </w:r>
      <w:r>
        <w:t xml:space="preserve">variation in </w:t>
      </w:r>
      <w:r w:rsidR="007A6BE9">
        <w:t xml:space="preserve">sectarianism. For example, the rates of historical political deaths that occurred during the Troubles was used alongside the annual reports of sectarian incidents to the Police Service of Northern Ireland (PSNI) to generate variation across these two types of sectarian antisocial behavior </w:t>
      </w:r>
      <w:r>
        <w:t xml:space="preserve">across the areas. </w:t>
      </w:r>
    </w:p>
    <w:p w14:paraId="114637EC" w14:textId="25B0E623" w:rsidR="004E5B0A" w:rsidRDefault="008946E9" w:rsidP="008946E9">
      <w:pPr>
        <w:autoSpaceDE w:val="0"/>
        <w:autoSpaceDN w:val="0"/>
        <w:adjustRightInd w:val="0"/>
        <w:spacing w:line="480" w:lineRule="auto"/>
      </w:pPr>
      <w:r>
        <w:lastRenderedPageBreak/>
        <w:tab/>
      </w:r>
      <w:r w:rsidR="004E5B0A">
        <w:t xml:space="preserve">At the initiation of the study, community leaders in each area were identified and contacted to inform them of the upcoming research. A similar letter was then delivered to families in the areas and was followed-up by door-to-door recruitment, consistent with local practices, by trained staff of an established market research firm in Belfast. The research staff emphasized the voluntary nature of the study and the confidentiality of participant responses. When possible, the same staff revisited each area on subsequent years to maintain connections and rapport with the participating families. Due to the fact that no information was collected from families who declined to participate initially, it is not possible to calculate selection effects. </w:t>
      </w:r>
    </w:p>
    <w:p w14:paraId="3E777C07" w14:textId="213E6142" w:rsidR="008946E9" w:rsidRDefault="008946E9" w:rsidP="004E5B0A">
      <w:pPr>
        <w:autoSpaceDE w:val="0"/>
        <w:autoSpaceDN w:val="0"/>
        <w:adjustRightInd w:val="0"/>
        <w:spacing w:line="480" w:lineRule="auto"/>
        <w:ind w:firstLine="720"/>
      </w:pPr>
      <w:r>
        <w:t>In each study area, approximately 35-40 families were recruited to participate. Eligibility included having a child living at home in the target age range of 10 to 17 years old</w:t>
      </w:r>
      <w:r w:rsidR="004E5B0A">
        <w:t xml:space="preserve">. Exclusion criteria included that participating families had to be from one of the two communities in Northern Ireland (i.e., </w:t>
      </w:r>
      <w:r w:rsidR="0039649B">
        <w:t>Catholic or Protestant</w:t>
      </w:r>
      <w:r w:rsidR="004E5B0A">
        <w:t xml:space="preserve">) and that </w:t>
      </w:r>
      <w:r>
        <w:t>only one child from each household could participate</w:t>
      </w:r>
      <w:r w:rsidR="0039649B">
        <w:t>. When families had more than one child in the target age range</w:t>
      </w:r>
      <w:r w:rsidR="004E5B0A">
        <w:t xml:space="preserve">; </w:t>
      </w:r>
      <w:r>
        <w:t xml:space="preserve">the youngest child interested was selected. In this target age range, youth may </w:t>
      </w:r>
      <w:r w:rsidR="003B3E75">
        <w:t>have experience with</w:t>
      </w:r>
      <w:r>
        <w:t xml:space="preserve"> sectarianism and they can </w:t>
      </w:r>
      <w:r w:rsidRPr="008A5D0C">
        <w:t>reliabl</w:t>
      </w:r>
      <w:r>
        <w:t>y report on their own adjustment</w:t>
      </w:r>
      <w:r w:rsidRPr="008A5D0C">
        <w:t xml:space="preserve"> (Fowler, Tompsett, Braciszewski, Jacques-Tiura, &amp; Baltes, 2009; Lynch, 2003).</w:t>
      </w:r>
      <w:r>
        <w:t xml:space="preserve"> </w:t>
      </w:r>
    </w:p>
    <w:p w14:paraId="08DDDFF4" w14:textId="61AB71B9" w:rsidR="008946E9" w:rsidRPr="00C278BB" w:rsidRDefault="007A6BE9" w:rsidP="008946E9">
      <w:pPr>
        <w:autoSpaceDE w:val="0"/>
        <w:autoSpaceDN w:val="0"/>
        <w:adjustRightInd w:val="0"/>
        <w:spacing w:line="480" w:lineRule="auto"/>
        <w:ind w:firstLine="720"/>
      </w:pPr>
      <w:r>
        <w:t xml:space="preserve">After providing informed consent and assent, respectively, mothers and youth responded to </w:t>
      </w:r>
      <w:r w:rsidR="008946E9">
        <w:t xml:space="preserve">questionnaires </w:t>
      </w:r>
      <w:r>
        <w:t xml:space="preserve">that </w:t>
      </w:r>
      <w:r w:rsidR="008946E9">
        <w:t xml:space="preserve">were administered through face-to-face interviews in the participants’ homes by a trained member of a local market research firm. The interviews with mothers and children lasted approximately 60 and 30 minutes, respectively. Families were compensated </w:t>
      </w:r>
      <w:r w:rsidR="008946E9" w:rsidRPr="00A54F11">
        <w:t xml:space="preserve">£20 at </w:t>
      </w:r>
      <w:r w:rsidR="008946E9">
        <w:t>waves</w:t>
      </w:r>
      <w:r w:rsidR="008946E9" w:rsidRPr="00A54F11">
        <w:t xml:space="preserve"> 1 and 2 and £40 at </w:t>
      </w:r>
      <w:r w:rsidR="008946E9">
        <w:t>waves</w:t>
      </w:r>
      <w:r w:rsidR="008946E9" w:rsidRPr="00A54F11">
        <w:t xml:space="preserve"> 3 and 4</w:t>
      </w:r>
      <w:r w:rsidR="008946E9">
        <w:t xml:space="preserve"> for their time. All procedures were approved by institutional review boards at the participating universities. </w:t>
      </w:r>
    </w:p>
    <w:p w14:paraId="42E54B16" w14:textId="77777777" w:rsidR="008946E9" w:rsidRPr="00A54F11" w:rsidRDefault="008946E9" w:rsidP="008946E9">
      <w:pPr>
        <w:spacing w:line="480" w:lineRule="auto"/>
        <w:rPr>
          <w:b/>
        </w:rPr>
      </w:pPr>
      <w:r w:rsidRPr="00A54F11">
        <w:rPr>
          <w:b/>
        </w:rPr>
        <w:t>Measures</w:t>
      </w:r>
    </w:p>
    <w:p w14:paraId="717E74B7" w14:textId="68FB2C82" w:rsidR="008946E9" w:rsidRDefault="008946E9" w:rsidP="008946E9">
      <w:pPr>
        <w:spacing w:line="480" w:lineRule="auto"/>
      </w:pPr>
      <w:r>
        <w:rPr>
          <w:b/>
        </w:rPr>
        <w:lastRenderedPageBreak/>
        <w:tab/>
        <w:t xml:space="preserve">Sectarian </w:t>
      </w:r>
      <w:r w:rsidR="007A2A84">
        <w:rPr>
          <w:b/>
        </w:rPr>
        <w:t>a</w:t>
      </w:r>
      <w:r w:rsidRPr="00B753DB">
        <w:rPr>
          <w:b/>
        </w:rPr>
        <w:t xml:space="preserve">ntisocial </w:t>
      </w:r>
      <w:r w:rsidR="007A2A84">
        <w:rPr>
          <w:b/>
        </w:rPr>
        <w:t>b</w:t>
      </w:r>
      <w:r w:rsidRPr="00B753DB">
        <w:rPr>
          <w:b/>
        </w:rPr>
        <w:t>ehavior (SAB)</w:t>
      </w:r>
      <w:r>
        <w:t xml:space="preserve">. This scale was specifically developed in this context to assess the degree to which young people </w:t>
      </w:r>
      <w:r w:rsidR="004F0BFF">
        <w:t xml:space="preserve">were </w:t>
      </w:r>
      <w:r w:rsidR="00927A9E">
        <w:t>expos</w:t>
      </w:r>
      <w:r w:rsidR="004F0BFF">
        <w:t>ed</w:t>
      </w:r>
      <w:r>
        <w:t xml:space="preserve"> </w:t>
      </w:r>
      <w:r w:rsidR="004F0BFF">
        <w:t xml:space="preserve">to </w:t>
      </w:r>
      <w:r>
        <w:t xml:space="preserve">sectarianism (Goeke-Morey et al., 2009), or antisocial behaviors between the Catholics and Protestants (Taylor et al., 2011). For this scale, mothers reported on child </w:t>
      </w:r>
      <w:r w:rsidR="00927A9E" w:rsidRPr="00927A9E">
        <w:t>exposure</w:t>
      </w:r>
      <w:r w:rsidR="00927A9E">
        <w:t xml:space="preserve"> to </w:t>
      </w:r>
      <w:r>
        <w:t xml:space="preserve">12 sectarian events such as </w:t>
      </w:r>
      <w:r w:rsidRPr="00334C32">
        <w:rPr>
          <w:i/>
        </w:rPr>
        <w:t xml:space="preserve">stones or objects thrown over walls, name calling by people from the other community, </w:t>
      </w:r>
      <w:r w:rsidRPr="00334C32">
        <w:t>and</w:t>
      </w:r>
      <w:r w:rsidRPr="00334C32">
        <w:rPr>
          <w:i/>
        </w:rPr>
        <w:t xml:space="preserve"> deaths or serious injury caused by the other community</w:t>
      </w:r>
      <w:r>
        <w:t xml:space="preserve"> over the previous three months. </w:t>
      </w:r>
      <w:r w:rsidR="009978C0">
        <w:t>In the context of adolescent report of adjustment problems, use of mother report of</w:t>
      </w:r>
      <w:r w:rsidR="003B3E75">
        <w:t xml:space="preserve"> child experiences with</w:t>
      </w:r>
      <w:r w:rsidR="009978C0">
        <w:t xml:space="preserve"> SAB minimizes possible inflation of results due to common method variance if adolescent </w:t>
      </w:r>
      <w:r w:rsidR="003B3E75">
        <w:t>were the only respondents</w:t>
      </w:r>
      <w:r w:rsidR="009978C0">
        <w:t xml:space="preserve">.  </w:t>
      </w:r>
      <w:r>
        <w:t xml:space="preserve">Responses </w:t>
      </w:r>
      <w:r w:rsidR="00DE6A2E">
        <w:t xml:space="preserve">were </w:t>
      </w:r>
      <w:r>
        <w:t xml:space="preserve">rated on a </w:t>
      </w:r>
      <w:r w:rsidRPr="00334C32">
        <w:t xml:space="preserve">5-point </w:t>
      </w:r>
      <w:r>
        <w:t>Likert scale (0=not in the last 3 months to 4=</w:t>
      </w:r>
      <w:r w:rsidRPr="00334C32">
        <w:t>every day)</w:t>
      </w:r>
      <w:r>
        <w:t>. Higher scores indicate</w:t>
      </w:r>
      <w:r w:rsidR="00DE6A2E">
        <w:t>d</w:t>
      </w:r>
      <w:r>
        <w:t xml:space="preserve"> greater recent </w:t>
      </w:r>
      <w:r w:rsidR="003B3E75">
        <w:t xml:space="preserve">experience with SAB </w:t>
      </w:r>
      <w:r>
        <w:t>and the scale ha</w:t>
      </w:r>
      <w:r w:rsidR="00DE6A2E">
        <w:t>d</w:t>
      </w:r>
      <w:r>
        <w:t xml:space="preserve"> good internal consistency across waves (Cronbach’s α = .93, .96, .95, and .95, respectively). </w:t>
      </w:r>
      <w:r w:rsidR="00C9695A">
        <w:t>Although parents and youth may provide discrepant reports on the youth’s report of exposure to community violence</w:t>
      </w:r>
      <w:r w:rsidR="00735B69">
        <w:t xml:space="preserve"> (Goodman, De Los Reyes, &amp; Bradshaw, 2010)</w:t>
      </w:r>
      <w:r w:rsidR="00C9695A">
        <w:t>, m</w:t>
      </w:r>
      <w:r w:rsidR="002B1E80">
        <w:t xml:space="preserve">other and adolescent report on the SAB have been found to be moderately correlated (r=.46, </w:t>
      </w:r>
      <w:r w:rsidR="007C55A8">
        <w:t>Cummings et al., 2010</w:t>
      </w:r>
      <w:r w:rsidR="002B1E80">
        <w:t xml:space="preserve">). </w:t>
      </w:r>
    </w:p>
    <w:p w14:paraId="1B5075A3" w14:textId="45A0B111" w:rsidR="008946E9" w:rsidRPr="00A82C86" w:rsidRDefault="008946E9" w:rsidP="008946E9">
      <w:pPr>
        <w:spacing w:line="480" w:lineRule="auto"/>
      </w:pPr>
      <w:r>
        <w:tab/>
      </w:r>
      <w:r>
        <w:rPr>
          <w:b/>
        </w:rPr>
        <w:t xml:space="preserve">Adjustment </w:t>
      </w:r>
      <w:r w:rsidR="007A2A84">
        <w:rPr>
          <w:b/>
        </w:rPr>
        <w:t>p</w:t>
      </w:r>
      <w:r w:rsidRPr="00B753DB">
        <w:rPr>
          <w:b/>
        </w:rPr>
        <w:t>roblems (SDQ)</w:t>
      </w:r>
      <w:r w:rsidRPr="00B753DB">
        <w:t xml:space="preserve">. </w:t>
      </w:r>
      <w:r>
        <w:t xml:space="preserve">To assess overall adjustment, the total problems sum of the Strengths and Difficulties Questionnaire (SDQ; Goodmann, 1997) was used. This scale has been used previously in the UK with good psychometric properties and predictive validity for adjustment problems in </w:t>
      </w:r>
      <w:r w:rsidRPr="00A82C86">
        <w:t xml:space="preserve">community samples (Goodman &amp; Scott, 1999). Adolescents reported on 20 items that included subscales on emotion (e.g., </w:t>
      </w:r>
      <w:r w:rsidRPr="00A82C86">
        <w:rPr>
          <w:i/>
        </w:rPr>
        <w:t>unhappy, down-hearted or tearful</w:t>
      </w:r>
      <w:r w:rsidRPr="00A82C86">
        <w:t xml:space="preserve">), peer (e.g., </w:t>
      </w:r>
      <w:r w:rsidRPr="00A82C86">
        <w:rPr>
          <w:i/>
        </w:rPr>
        <w:t>being bullied or picked on</w:t>
      </w:r>
      <w:r w:rsidRPr="00A82C86">
        <w:t xml:space="preserve">), conduct problems (e.g., </w:t>
      </w:r>
      <w:r w:rsidRPr="00A82C86">
        <w:rPr>
          <w:i/>
        </w:rPr>
        <w:t>get angry, lose temper</w:t>
      </w:r>
      <w:r w:rsidRPr="00A82C86">
        <w:t xml:space="preserve">) and hyperactivity (e.g., </w:t>
      </w:r>
      <w:r w:rsidRPr="00A82C86">
        <w:rPr>
          <w:i/>
        </w:rPr>
        <w:t>restless, cannot sit still</w:t>
      </w:r>
      <w:r w:rsidRPr="00A82C86">
        <w:t>). Overall higher scores reflect</w:t>
      </w:r>
      <w:r w:rsidR="00DE6A2E">
        <w:t>ed</w:t>
      </w:r>
      <w:r w:rsidRPr="00A82C86">
        <w:t xml:space="preserve"> more adjustment problems with adequate internal consistency (Cronbach’s α = .77, .76, .73, and .73, respectively).</w:t>
      </w:r>
      <w:r w:rsidR="001C7262">
        <w:t xml:space="preserve"> </w:t>
      </w:r>
      <w:r w:rsidR="00C070BE">
        <w:t xml:space="preserve"> The measure </w:t>
      </w:r>
      <w:r w:rsidR="005E0760">
        <w:t xml:space="preserve">of overall adjustment </w:t>
      </w:r>
      <w:r w:rsidR="00C070BE">
        <w:t xml:space="preserve">was used, rather than </w:t>
      </w:r>
      <w:r w:rsidR="005B47D6">
        <w:t>sub</w:t>
      </w:r>
      <w:r w:rsidR="00C070BE">
        <w:t xml:space="preserve">scales separately for emotions, peer relations, </w:t>
      </w:r>
      <w:r w:rsidR="00C070BE">
        <w:lastRenderedPageBreak/>
        <w:t xml:space="preserve">conduct problems and hyperactivity, to best reflect youth’s overall potential </w:t>
      </w:r>
      <w:r w:rsidR="003B3E75">
        <w:t>to influence their own future risk</w:t>
      </w:r>
      <w:r w:rsidR="00C070BE">
        <w:t xml:space="preserve">.  </w:t>
      </w:r>
    </w:p>
    <w:p w14:paraId="78BDAA14" w14:textId="77777777" w:rsidR="008946E9" w:rsidRPr="0081769F" w:rsidRDefault="008946E9" w:rsidP="008946E9">
      <w:pPr>
        <w:tabs>
          <w:tab w:val="left" w:pos="4200"/>
          <w:tab w:val="center" w:pos="4680"/>
        </w:tabs>
        <w:spacing w:line="480" w:lineRule="auto"/>
        <w:rPr>
          <w:b/>
        </w:rPr>
      </w:pPr>
      <w:r w:rsidRPr="00A82C86">
        <w:rPr>
          <w:b/>
        </w:rPr>
        <w:tab/>
      </w:r>
      <w:r>
        <w:rPr>
          <w:b/>
        </w:rPr>
        <w:tab/>
      </w:r>
      <w:r w:rsidRPr="0081769F">
        <w:rPr>
          <w:b/>
        </w:rPr>
        <w:t>Results</w:t>
      </w:r>
    </w:p>
    <w:p w14:paraId="68BE9475" w14:textId="176C1573" w:rsidR="008946E9" w:rsidRPr="007C5EA5" w:rsidRDefault="00F80919" w:rsidP="00B62245">
      <w:pPr>
        <w:autoSpaceDE w:val="0"/>
        <w:autoSpaceDN w:val="0"/>
        <w:adjustRightInd w:val="0"/>
        <w:spacing w:line="480" w:lineRule="auto"/>
        <w:ind w:firstLine="720"/>
      </w:pPr>
      <w:r>
        <w:t>Table 1 reports t</w:t>
      </w:r>
      <w:r w:rsidR="008946E9" w:rsidRPr="007C5EA5">
        <w:t>he means, standard deviations, and</w:t>
      </w:r>
      <w:r w:rsidR="008946E9">
        <w:t xml:space="preserve"> bivariate correlations for all</w:t>
      </w:r>
      <w:r w:rsidR="008946E9" w:rsidRPr="007C5EA5">
        <w:t xml:space="preserve"> manifest variables for the constructs of interest</w:t>
      </w:r>
      <w:r>
        <w:t>, including mother</w:t>
      </w:r>
      <w:r w:rsidR="004E5B0A">
        <w:t>-</w:t>
      </w:r>
      <w:r>
        <w:t xml:space="preserve">report of child </w:t>
      </w:r>
      <w:r w:rsidR="003B3E75">
        <w:t xml:space="preserve">experience with SAB </w:t>
      </w:r>
      <w:r>
        <w:t>youth</w:t>
      </w:r>
      <w:r w:rsidR="00DE6A2E">
        <w:t>-</w:t>
      </w:r>
      <w:r>
        <w:t>report of adju</w:t>
      </w:r>
      <w:r w:rsidR="00BA5C46">
        <w:t>stment problems</w:t>
      </w:r>
      <w:r w:rsidR="008A780F">
        <w:t xml:space="preserve">. </w:t>
      </w:r>
      <w:r w:rsidR="008946E9" w:rsidRPr="007C5EA5">
        <w:t>Path analyses were conducted in R</w:t>
      </w:r>
      <w:r w:rsidR="000E409E">
        <w:t xml:space="preserve"> </w:t>
      </w:r>
      <w:r w:rsidR="000E409E" w:rsidRPr="00646F8E">
        <w:t>by using package lavaan</w:t>
      </w:r>
      <w:r w:rsidR="008946E9" w:rsidRPr="00646F8E">
        <w:t xml:space="preserve"> with full information maximum likelihood (FIML).</w:t>
      </w:r>
      <w:r w:rsidR="007A2A84">
        <w:t xml:space="preserve"> </w:t>
      </w:r>
      <w:r w:rsidR="008946E9" w:rsidRPr="00646F8E">
        <w:t>FIML is shown to produce unbiased and efficient estimates of the parameters of interest</w:t>
      </w:r>
      <w:r w:rsidR="00621DC3" w:rsidRPr="00646F8E">
        <w:t xml:space="preserve"> if</w:t>
      </w:r>
      <w:r w:rsidR="00DE2AA7" w:rsidRPr="00646F8E">
        <w:t xml:space="preserve"> data </w:t>
      </w:r>
      <w:r w:rsidR="00621DC3" w:rsidRPr="00646F8E">
        <w:t xml:space="preserve">are </w:t>
      </w:r>
      <w:r w:rsidR="008946E9" w:rsidRPr="00646F8E">
        <w:t>missing at random (MAR) (Enders &amp; Bandalos, 2001).</w:t>
      </w:r>
      <w:r w:rsidR="001D2A9A" w:rsidRPr="00646F8E">
        <w:rPr>
          <w:rFonts w:ascii="Arial" w:hAnsi="Arial" w:cs="Arial"/>
          <w:lang w:eastAsia="zh-CN"/>
        </w:rPr>
        <w:t xml:space="preserve"> </w:t>
      </w:r>
      <w:r w:rsidR="001D2A9A" w:rsidRPr="00646F8E">
        <w:rPr>
          <w:lang w:eastAsia="zh-CN"/>
        </w:rPr>
        <w:t>Although internal test</w:t>
      </w:r>
      <w:r w:rsidR="00056CF2" w:rsidRPr="00646F8E">
        <w:rPr>
          <w:lang w:eastAsia="zh-CN"/>
        </w:rPr>
        <w:t>s</w:t>
      </w:r>
      <w:r w:rsidR="001D2A9A" w:rsidRPr="00646F8E">
        <w:rPr>
          <w:lang w:eastAsia="zh-CN"/>
        </w:rPr>
        <w:t xml:space="preserve"> of </w:t>
      </w:r>
      <w:r w:rsidR="00056CF2" w:rsidRPr="00646F8E">
        <w:rPr>
          <w:lang w:eastAsia="zh-CN"/>
        </w:rPr>
        <w:t>MAR are not possible</w:t>
      </w:r>
      <w:r w:rsidR="001D2A9A" w:rsidRPr="00646F8E">
        <w:rPr>
          <w:lang w:eastAsia="zh-CN"/>
        </w:rPr>
        <w:t xml:space="preserve"> (</w:t>
      </w:r>
      <w:r w:rsidR="001D2A9A" w:rsidRPr="00646F8E">
        <w:rPr>
          <w:rFonts w:eastAsia="Times New Roman"/>
        </w:rPr>
        <w:t>Abayomi, Gelman, &amp; Levy, 2008</w:t>
      </w:r>
      <w:r w:rsidR="001B41D0" w:rsidRPr="00646F8E">
        <w:rPr>
          <w:rFonts w:eastAsia="Times New Roman"/>
        </w:rPr>
        <w:t xml:space="preserve">; </w:t>
      </w:r>
      <w:r w:rsidR="001D2A9A" w:rsidRPr="00646F8E">
        <w:rPr>
          <w:rFonts w:eastAsia="Times New Roman"/>
        </w:rPr>
        <w:t>Schafer &amp; Graham</w:t>
      </w:r>
      <w:r w:rsidR="001D2A9A" w:rsidRPr="00646F8E">
        <w:rPr>
          <w:rFonts w:eastAsia="Times New Roman"/>
          <w:lang w:eastAsia="zh-CN"/>
        </w:rPr>
        <w:t xml:space="preserve">, </w:t>
      </w:r>
      <w:r w:rsidR="001D2A9A" w:rsidRPr="00646F8E">
        <w:rPr>
          <w:rFonts w:eastAsia="Times New Roman"/>
        </w:rPr>
        <w:t>2002),</w:t>
      </w:r>
      <w:r w:rsidR="001D2A9A" w:rsidRPr="00646F8E">
        <w:rPr>
          <w:lang w:eastAsia="zh-CN"/>
        </w:rPr>
        <w:t xml:space="preserve"> missing data can be considered random conditional based on participant characteristics </w:t>
      </w:r>
      <w:r w:rsidR="001B41D0" w:rsidRPr="00646F8E">
        <w:rPr>
          <w:lang w:eastAsia="zh-CN"/>
        </w:rPr>
        <w:t xml:space="preserve">related to </w:t>
      </w:r>
      <w:r w:rsidR="001D2A9A" w:rsidRPr="00646F8E">
        <w:rPr>
          <w:lang w:eastAsia="zh-CN"/>
        </w:rPr>
        <w:t>their missingness</w:t>
      </w:r>
      <w:r w:rsidR="001B41D0" w:rsidRPr="00646F8E">
        <w:rPr>
          <w:lang w:eastAsia="zh-CN"/>
        </w:rPr>
        <w:t xml:space="preserve"> and </w:t>
      </w:r>
      <w:r w:rsidR="001D2A9A" w:rsidRPr="00646F8E">
        <w:rPr>
          <w:lang w:eastAsia="zh-CN"/>
        </w:rPr>
        <w:t xml:space="preserve">available </w:t>
      </w:r>
      <w:r w:rsidR="006A3FC9" w:rsidRPr="00646F8E">
        <w:rPr>
          <w:lang w:eastAsia="zh-CN"/>
        </w:rPr>
        <w:t xml:space="preserve">data in these characteristics </w:t>
      </w:r>
      <w:r w:rsidR="001D2A9A" w:rsidRPr="00646F8E">
        <w:rPr>
          <w:lang w:eastAsia="zh-CN"/>
        </w:rPr>
        <w:t>at the time of analysis (</w:t>
      </w:r>
      <w:r w:rsidR="00056CF2" w:rsidRPr="00646F8E">
        <w:rPr>
          <w:lang w:eastAsia="zh-CN"/>
        </w:rPr>
        <w:t xml:space="preserve">i.e., </w:t>
      </w:r>
      <w:r w:rsidR="00646F8E" w:rsidRPr="00646F8E">
        <w:rPr>
          <w:lang w:eastAsia="zh-CN"/>
        </w:rPr>
        <w:t xml:space="preserve">the observed </w:t>
      </w:r>
      <w:r w:rsidR="00056CF2" w:rsidRPr="00646F8E">
        <w:rPr>
          <w:lang w:eastAsia="zh-CN"/>
        </w:rPr>
        <w:t>SAB and total problem scores) (</w:t>
      </w:r>
      <w:r w:rsidR="001B41D0" w:rsidRPr="00646F8E">
        <w:rPr>
          <w:lang w:eastAsia="zh-CN"/>
        </w:rPr>
        <w:t>D</w:t>
      </w:r>
      <w:r w:rsidR="001D2A9A" w:rsidRPr="00646F8E">
        <w:rPr>
          <w:rFonts w:eastAsia="Times New Roman"/>
        </w:rPr>
        <w:t>onders, van der Heijden, Stijnen, &amp; Moons</w:t>
      </w:r>
      <w:r w:rsidR="001D2A9A" w:rsidRPr="00646F8E">
        <w:rPr>
          <w:rFonts w:eastAsia="Times New Roman"/>
          <w:lang w:eastAsia="zh-CN"/>
        </w:rPr>
        <w:t xml:space="preserve">; </w:t>
      </w:r>
      <w:r w:rsidR="001D2A9A" w:rsidRPr="00646F8E">
        <w:rPr>
          <w:rFonts w:eastAsia="Times New Roman"/>
        </w:rPr>
        <w:t>2006)</w:t>
      </w:r>
      <w:r w:rsidR="00056CF2" w:rsidRPr="00646F8E">
        <w:rPr>
          <w:rFonts w:eastAsia="Times New Roman"/>
        </w:rPr>
        <w:t xml:space="preserve">. </w:t>
      </w:r>
      <w:r w:rsidR="008946E9" w:rsidRPr="00646F8E">
        <w:t xml:space="preserve">For each set of analyses, model fit </w:t>
      </w:r>
      <w:r w:rsidR="008946E9" w:rsidRPr="00F423B4">
        <w:t>was evaluated using</w:t>
      </w:r>
      <w:r w:rsidR="00E91B87">
        <w:t xml:space="preserve"> the</w:t>
      </w:r>
      <w:r w:rsidR="008946E9" w:rsidRPr="00F423B4">
        <w:t xml:space="preserve"> </w:t>
      </w:r>
      <w:r w:rsidR="00E862CA" w:rsidRPr="00F423B4">
        <w:t>comparative fit index (CFI)</w:t>
      </w:r>
      <w:r w:rsidR="00C30C76">
        <w:t xml:space="preserve">, </w:t>
      </w:r>
      <w:r w:rsidR="00E91B87">
        <w:t xml:space="preserve">the </w:t>
      </w:r>
      <w:r w:rsidR="00E862CA" w:rsidRPr="00F423B4">
        <w:t>root mean square residual (RMSEA)</w:t>
      </w:r>
      <w:r w:rsidR="007F642A">
        <w:t>,</w:t>
      </w:r>
      <w:r w:rsidR="00C30C76">
        <w:t xml:space="preserve"> and </w:t>
      </w:r>
      <w:r w:rsidR="00E91B87">
        <w:t xml:space="preserve">the </w:t>
      </w:r>
      <w:r w:rsidR="004D57E6" w:rsidRPr="004D57E6">
        <w:t>Akaike Information Criterion</w:t>
      </w:r>
      <w:r w:rsidR="004D57E6">
        <w:t xml:space="preserve"> (</w:t>
      </w:r>
      <w:r w:rsidR="00C30C76">
        <w:t>AIC</w:t>
      </w:r>
      <w:r w:rsidR="004D57E6">
        <w:t>)</w:t>
      </w:r>
      <w:r w:rsidR="00E862CA">
        <w:t>.</w:t>
      </w:r>
      <w:r w:rsidR="00EE3DA1">
        <w:t xml:space="preserve"> </w:t>
      </w:r>
      <w:r w:rsidR="004E4130">
        <w:t>The c</w:t>
      </w:r>
      <w:r w:rsidR="00D531AA" w:rsidRPr="00B62245">
        <w:t xml:space="preserve">ut-off </w:t>
      </w:r>
      <w:r w:rsidR="007E0344">
        <w:t xml:space="preserve">criterion </w:t>
      </w:r>
      <w:r w:rsidR="004E4130">
        <w:t>for the C</w:t>
      </w:r>
      <w:r w:rsidR="007E0344">
        <w:t>FI was</w:t>
      </w:r>
      <w:r w:rsidR="00D531AA" w:rsidRPr="00B62245">
        <w:t xml:space="preserve"> ≥ 0.90 (</w:t>
      </w:r>
      <w:r w:rsidR="00D531AA">
        <w:t>Bentler, 1990</w:t>
      </w:r>
      <w:r w:rsidR="00D531AA" w:rsidRPr="00B62245">
        <w:t>)</w:t>
      </w:r>
      <w:r w:rsidR="00DE2AA7">
        <w:t>. T</w:t>
      </w:r>
      <w:r w:rsidR="00D531AA" w:rsidRPr="00B62245">
        <w:t xml:space="preserve">he </w:t>
      </w:r>
      <w:r w:rsidR="00D531AA">
        <w:t xml:space="preserve">cut-off criterion </w:t>
      </w:r>
      <w:r w:rsidR="00DE2AA7">
        <w:t xml:space="preserve">for </w:t>
      </w:r>
      <w:r w:rsidR="008946E9" w:rsidRPr="00F423B4">
        <w:t>RMSEA</w:t>
      </w:r>
      <w:r w:rsidR="00D531AA">
        <w:t xml:space="preserve"> </w:t>
      </w:r>
      <w:r w:rsidR="007E0344">
        <w:t>wa</w:t>
      </w:r>
      <w:r w:rsidR="00D531AA">
        <w:t>s</w:t>
      </w:r>
      <w:r w:rsidR="008946E9" w:rsidRPr="00F423B4">
        <w:t xml:space="preserve"> </w:t>
      </w:r>
      <w:r w:rsidR="00D531AA">
        <w:t>0</w:t>
      </w:r>
      <w:r w:rsidR="008946E9" w:rsidRPr="00F423B4">
        <w:t>.0</w:t>
      </w:r>
      <w:r w:rsidR="00D531AA">
        <w:t>6</w:t>
      </w:r>
      <w:r w:rsidR="008946E9" w:rsidRPr="007C5EA5">
        <w:t xml:space="preserve"> (Hu &amp; Bentler, 1999). </w:t>
      </w:r>
      <w:r w:rsidR="004D57E6">
        <w:t>A smaller AIC indicates better model fit.</w:t>
      </w:r>
      <w:r w:rsidR="006E3089">
        <w:t xml:space="preserve"> </w:t>
      </w:r>
    </w:p>
    <w:p w14:paraId="72524789" w14:textId="41C5142A" w:rsidR="008946E9" w:rsidRDefault="008946E9" w:rsidP="008946E9">
      <w:pPr>
        <w:autoSpaceDE w:val="0"/>
        <w:autoSpaceDN w:val="0"/>
        <w:adjustRightInd w:val="0"/>
        <w:spacing w:line="480" w:lineRule="auto"/>
        <w:ind w:firstLine="720"/>
        <w:rPr>
          <w:lang w:eastAsia="zh-CN"/>
        </w:rPr>
      </w:pPr>
      <w:r>
        <w:t xml:space="preserve">First, the bidirectional influences of the manifest variables of youth experience with </w:t>
      </w:r>
      <w:r w:rsidR="00DE2AFE">
        <w:t>SAB</w:t>
      </w:r>
      <w:r>
        <w:t xml:space="preserve"> and </w:t>
      </w:r>
      <w:r w:rsidR="00E84521">
        <w:t xml:space="preserve">SDQ </w:t>
      </w:r>
      <w:r>
        <w:t xml:space="preserve">total problems </w:t>
      </w:r>
      <w:r w:rsidR="00DE6A2E">
        <w:t xml:space="preserve">were </w:t>
      </w:r>
      <w:r>
        <w:t>tested over four time points (</w:t>
      </w:r>
      <w:r w:rsidR="00AC31EC">
        <w:rPr>
          <w:rFonts w:hint="eastAsia"/>
          <w:lang w:eastAsia="zh-CN"/>
        </w:rPr>
        <w:t xml:space="preserve">Model 1, </w:t>
      </w:r>
      <w:r>
        <w:t>Figure 1)</w:t>
      </w:r>
      <w:r w:rsidR="003B3E75">
        <w:t>.</w:t>
      </w:r>
      <w:r w:rsidR="003B05E5" w:rsidRPr="003B05E5">
        <w:rPr>
          <w:rFonts w:hint="eastAsia"/>
          <w:vertAlign w:val="superscript"/>
          <w:lang w:eastAsia="zh-CN"/>
        </w:rPr>
        <w:t>1</w:t>
      </w:r>
      <w:r>
        <w:t xml:space="preserve"> The model allowed for within</w:t>
      </w:r>
      <w:r w:rsidR="003B3E75">
        <w:t>-</w:t>
      </w:r>
      <w:r>
        <w:t>wave correlations between the two variables that were unconstrained across waves. It also included auto-regressive controls; three parameters were estimated for the paths of one year, two, and three years prior for each of the main variables</w:t>
      </w:r>
      <w:r w:rsidR="008C0665">
        <w:rPr>
          <w:rFonts w:hint="eastAsia"/>
          <w:lang w:eastAsia="zh-CN"/>
        </w:rPr>
        <w:t xml:space="preserve"> separately</w:t>
      </w:r>
      <w:r>
        <w:t xml:space="preserve">. Finally, the bidirectional paths with a one-year lag were modeled (i.e., </w:t>
      </w:r>
      <w:r w:rsidR="00DE6A2E">
        <w:t>w</w:t>
      </w:r>
      <w:r>
        <w:t xml:space="preserve">ave 1 SAB predicting </w:t>
      </w:r>
      <w:r w:rsidR="00DE6A2E">
        <w:t>w</w:t>
      </w:r>
      <w:r>
        <w:t xml:space="preserve">ave 2 SDQ </w:t>
      </w:r>
      <w:r>
        <w:lastRenderedPageBreak/>
        <w:t xml:space="preserve">total problems, and </w:t>
      </w:r>
      <w:r w:rsidR="00DE6A2E">
        <w:t>w</w:t>
      </w:r>
      <w:r>
        <w:t xml:space="preserve">ave 1 SDQ total problems predicting </w:t>
      </w:r>
      <w:r w:rsidR="00DE6A2E">
        <w:t>w</w:t>
      </w:r>
      <w:r>
        <w:t>ave 2 SAB, etc.). To ensure model identification, some constraints of the coefficients need</w:t>
      </w:r>
      <w:r w:rsidR="00DE6A2E">
        <w:t>ed</w:t>
      </w:r>
      <w:r>
        <w:t xml:space="preserve"> to </w:t>
      </w:r>
      <w:r w:rsidR="00DE6A2E">
        <w:t xml:space="preserve">be </w:t>
      </w:r>
      <w:r>
        <w:t>ma</w:t>
      </w:r>
      <w:r w:rsidR="00DE6A2E">
        <w:t>d</w:t>
      </w:r>
      <w:r>
        <w:t xml:space="preserve">e. A stationary auto-regressive model </w:t>
      </w:r>
      <w:r w:rsidR="00DE6A2E">
        <w:t>wa</w:t>
      </w:r>
      <w:r>
        <w:t>s specified. The lag-1 auto-regressive paths were constrained to be equal in SAB and SDQ re</w:t>
      </w:r>
      <w:r w:rsidR="007453E6">
        <w:t>s</w:t>
      </w:r>
      <w:r>
        <w:t>pectively, the lag-2 auto-regressive paths were constrained to be equal in SAB and SDQ re</w:t>
      </w:r>
      <w:r w:rsidR="007453E6">
        <w:t>s</w:t>
      </w:r>
      <w:r>
        <w:t>pectively, and the lag-1 bidirectional paths were constrained to be equal.</w:t>
      </w:r>
      <w:r w:rsidR="003B05E5" w:rsidRPr="003B05E5">
        <w:rPr>
          <w:rFonts w:hint="eastAsia"/>
          <w:vertAlign w:val="superscript"/>
          <w:lang w:eastAsia="zh-CN"/>
        </w:rPr>
        <w:t>2</w:t>
      </w:r>
    </w:p>
    <w:p w14:paraId="598F3659" w14:textId="045B0B72" w:rsidR="008946E9" w:rsidRPr="004D57E6" w:rsidRDefault="008946E9" w:rsidP="004D57E6">
      <w:pPr>
        <w:autoSpaceDE w:val="0"/>
        <w:autoSpaceDN w:val="0"/>
        <w:adjustRightInd w:val="0"/>
        <w:spacing w:line="480" w:lineRule="auto"/>
        <w:ind w:firstLine="720"/>
      </w:pPr>
      <w:r>
        <w:t xml:space="preserve">The overall fit for </w:t>
      </w:r>
      <w:r w:rsidR="00AA28ED">
        <w:t>the</w:t>
      </w:r>
      <w:r>
        <w:t xml:space="preserve"> </w:t>
      </w:r>
      <w:r w:rsidRPr="007C5EA5">
        <w:t>model was acceptable</w:t>
      </w:r>
      <w:r>
        <w:t xml:space="preserve"> (CFI = .93; RMSEA = .06;</w:t>
      </w:r>
      <w:r w:rsidR="004D57E6">
        <w:t xml:space="preserve"> </w:t>
      </w:r>
      <w:r w:rsidR="000050FD">
        <w:t>AIC=</w:t>
      </w:r>
      <w:r w:rsidR="004D57E6" w:rsidRPr="004D57E6">
        <w:t>32682.73</w:t>
      </w:r>
      <w:r w:rsidRPr="007C5EA5">
        <w:t xml:space="preserve">). Although </w:t>
      </w:r>
      <w:r>
        <w:t>the</w:t>
      </w:r>
      <w:r w:rsidRPr="007B09A6">
        <w:t xml:space="preserve"> χ2</w:t>
      </w:r>
      <w:r w:rsidRPr="007C5EA5">
        <w:t xml:space="preserve"> test indicates a poor fit (</w:t>
      </w:r>
      <w:r w:rsidRPr="007B09A6">
        <w:t>χ2</w:t>
      </w:r>
      <w:r>
        <w:t>(16) = 73.36</w:t>
      </w:r>
      <w:r w:rsidRPr="007C5EA5">
        <w:t xml:space="preserve">, </w:t>
      </w:r>
      <w:r w:rsidRPr="0083233B">
        <w:rPr>
          <w:i/>
        </w:rPr>
        <w:t>p</w:t>
      </w:r>
      <w:r w:rsidRPr="007C5EA5">
        <w:t xml:space="preserve"> &lt; .05)</w:t>
      </w:r>
      <w:r>
        <w:t xml:space="preserve">, it was not surprising given the sensitivity of </w:t>
      </w:r>
      <w:r w:rsidRPr="007B09A6">
        <w:t>χ2</w:t>
      </w:r>
      <w:r w:rsidRPr="007C5EA5">
        <w:t xml:space="preserve"> </w:t>
      </w:r>
      <w:r w:rsidR="00AC022F">
        <w:t>to</w:t>
      </w:r>
      <w:r>
        <w:t xml:space="preserve"> the large </w:t>
      </w:r>
      <w:r w:rsidR="00AC022F">
        <w:t xml:space="preserve">size of our </w:t>
      </w:r>
      <w:r>
        <w:t xml:space="preserve">sample </w:t>
      </w:r>
      <w:r w:rsidRPr="007C5EA5">
        <w:t>(Gerbing &amp; Anderson, 1985).</w:t>
      </w:r>
      <w:r w:rsidRPr="007B09A6">
        <w:t xml:space="preserve"> As depicted in Figure 1</w:t>
      </w:r>
      <w:r>
        <w:t xml:space="preserve"> and Table 2</w:t>
      </w:r>
      <w:r w:rsidRPr="007B09A6">
        <w:t xml:space="preserve">, </w:t>
      </w:r>
      <w:r w:rsidRPr="003B4F94">
        <w:t>the auto-regressive path</w:t>
      </w:r>
      <w:r>
        <w:t xml:space="preserve">s were </w:t>
      </w:r>
      <w:r w:rsidRPr="003B4F94">
        <w:t xml:space="preserve">significant for sectarian antisocial behavior (1 year: </w:t>
      </w:r>
      <w:r w:rsidRPr="001B406F">
        <w:t>β</w:t>
      </w:r>
      <w:r w:rsidRPr="003B4F94">
        <w:t xml:space="preserve"> = </w:t>
      </w:r>
      <w:r>
        <w:t>.25</w:t>
      </w:r>
      <w:r w:rsidRPr="003B4F94">
        <w:t xml:space="preserve">, </w:t>
      </w:r>
      <w:r w:rsidRPr="0083233B">
        <w:rPr>
          <w:i/>
        </w:rPr>
        <w:t>p</w:t>
      </w:r>
      <w:r>
        <w:t xml:space="preserve"> &lt; .001</w:t>
      </w:r>
      <w:r w:rsidRPr="003B4F94">
        <w:t>; 2 year:</w:t>
      </w:r>
      <w:r w:rsidRPr="001B406F">
        <w:t xml:space="preserve"> β</w:t>
      </w:r>
      <w:r>
        <w:t xml:space="preserve"> = .33</w:t>
      </w:r>
      <w:r w:rsidRPr="003B4F94">
        <w:t xml:space="preserve">, </w:t>
      </w:r>
      <w:r w:rsidRPr="0083233B">
        <w:rPr>
          <w:i/>
        </w:rPr>
        <w:t>p</w:t>
      </w:r>
      <w:r>
        <w:t xml:space="preserve"> &lt; .001</w:t>
      </w:r>
      <w:r w:rsidRPr="003B4F94">
        <w:t xml:space="preserve">; 3 year: </w:t>
      </w:r>
      <w:r w:rsidRPr="001B406F">
        <w:t>β</w:t>
      </w:r>
      <w:r>
        <w:t xml:space="preserve"> = .11</w:t>
      </w:r>
      <w:r w:rsidRPr="003B4F94">
        <w:t xml:space="preserve">, </w:t>
      </w:r>
      <w:r w:rsidRPr="0083233B">
        <w:rPr>
          <w:i/>
        </w:rPr>
        <w:t>p</w:t>
      </w:r>
      <w:r w:rsidRPr="003B4F94">
        <w:t xml:space="preserve"> &lt; .05</w:t>
      </w:r>
      <w:r>
        <w:t xml:space="preserve">) and </w:t>
      </w:r>
      <w:r w:rsidRPr="003B4F94">
        <w:t xml:space="preserve">total adjustment problems (1 year: </w:t>
      </w:r>
      <w:r w:rsidRPr="001B406F">
        <w:t>β</w:t>
      </w:r>
      <w:r w:rsidRPr="003B4F94">
        <w:t xml:space="preserve"> = </w:t>
      </w:r>
      <w:r>
        <w:t>.34</w:t>
      </w:r>
      <w:r w:rsidRPr="003B4F94">
        <w:t xml:space="preserve">, </w:t>
      </w:r>
      <w:r w:rsidRPr="0083233B">
        <w:rPr>
          <w:i/>
        </w:rPr>
        <w:t>p</w:t>
      </w:r>
      <w:r w:rsidRPr="003B4F94">
        <w:t xml:space="preserve"> &lt; .0</w:t>
      </w:r>
      <w:r>
        <w:t>01</w:t>
      </w:r>
      <w:r w:rsidRPr="003B4F94">
        <w:t>; 2 year:</w:t>
      </w:r>
      <w:r w:rsidRPr="001B406F">
        <w:t xml:space="preserve"> β</w:t>
      </w:r>
      <w:r>
        <w:t xml:space="preserve"> = .15</w:t>
      </w:r>
      <w:r w:rsidRPr="003B4F94">
        <w:t xml:space="preserve">, </w:t>
      </w:r>
      <w:r w:rsidRPr="0083233B">
        <w:rPr>
          <w:i/>
        </w:rPr>
        <w:t>p</w:t>
      </w:r>
      <w:r>
        <w:t xml:space="preserve"> &lt; .001</w:t>
      </w:r>
      <w:r w:rsidRPr="003B4F94">
        <w:t xml:space="preserve">; 3 year: </w:t>
      </w:r>
      <w:r w:rsidRPr="001B406F">
        <w:t>β</w:t>
      </w:r>
      <w:r>
        <w:t xml:space="preserve"> = .25</w:t>
      </w:r>
      <w:r w:rsidRPr="003B4F94">
        <w:t xml:space="preserve">, </w:t>
      </w:r>
      <w:r w:rsidRPr="0083233B">
        <w:rPr>
          <w:i/>
        </w:rPr>
        <w:t>p</w:t>
      </w:r>
      <w:r>
        <w:t xml:space="preserve"> &lt; .001</w:t>
      </w:r>
      <w:r w:rsidRPr="003B4F94">
        <w:t>).</w:t>
      </w:r>
      <w:r w:rsidR="009805B2">
        <w:t xml:space="preserve"> With regard to the </w:t>
      </w:r>
      <w:r>
        <w:t xml:space="preserve">primary paths of interest, greater </w:t>
      </w:r>
      <w:r w:rsidR="00E84521">
        <w:t>experience with SAB</w:t>
      </w:r>
      <w:r>
        <w:t xml:space="preserve"> predicted higher levels of </w:t>
      </w:r>
      <w:r w:rsidR="00E84521">
        <w:t xml:space="preserve">SDQ total </w:t>
      </w:r>
      <w:r>
        <w:t>problems at the next time point (</w:t>
      </w:r>
      <m:oMath>
        <m:r>
          <m:rPr>
            <m:sty m:val="p"/>
          </m:rPr>
          <w:rPr>
            <w:rFonts w:ascii="Cambria Math" w:hAnsi="Cambria Math"/>
          </w:rPr>
          <m:t>β</m:t>
        </m:r>
      </m:oMath>
      <w:r w:rsidR="003334A1">
        <w:t xml:space="preserve"> </w:t>
      </w:r>
      <w:r>
        <w:t>= .07</w:t>
      </w:r>
      <w:r w:rsidR="00546605">
        <w:t>,</w:t>
      </w:r>
      <w:r>
        <w:t xml:space="preserve"> </w:t>
      </w:r>
      <w:r w:rsidRPr="0083233B">
        <w:rPr>
          <w:i/>
        </w:rPr>
        <w:t>p</w:t>
      </w:r>
      <w:r>
        <w:t xml:space="preserve"> &lt; .001). Moreover, </w:t>
      </w:r>
      <w:r w:rsidR="00E84521">
        <w:t xml:space="preserve">SDQ </w:t>
      </w:r>
      <w:r>
        <w:t xml:space="preserve">total problems significantly predicted </w:t>
      </w:r>
      <w:r w:rsidR="003B3E75">
        <w:t xml:space="preserve">more </w:t>
      </w:r>
      <w:r w:rsidR="00E84521">
        <w:t xml:space="preserve">experience with SAB </w:t>
      </w:r>
      <w:r>
        <w:t>one year later across four waves (</w:t>
      </w:r>
      <m:oMath>
        <m:r>
          <m:rPr>
            <m:sty m:val="p"/>
          </m:rPr>
          <w:rPr>
            <w:rFonts w:ascii="Cambria Math" w:hAnsi="Cambria Math"/>
          </w:rPr>
          <m:t>β</m:t>
        </m:r>
      </m:oMath>
      <w:r w:rsidR="003334A1">
        <w:t xml:space="preserve"> </w:t>
      </w:r>
      <w:r>
        <w:t xml:space="preserve">= </w:t>
      </w:r>
      <w:r w:rsidRPr="006B2596">
        <w:t>.</w:t>
      </w:r>
      <w:r>
        <w:t xml:space="preserve">09, </w:t>
      </w:r>
      <w:r w:rsidRPr="0083233B">
        <w:rPr>
          <w:i/>
        </w:rPr>
        <w:t>p</w:t>
      </w:r>
      <w:r>
        <w:t xml:space="preserve"> &lt; .01). </w:t>
      </w:r>
      <w:r w:rsidR="00546605">
        <w:t xml:space="preserve">The standardized coefficients suggested that the bidirectional effect size of </w:t>
      </w:r>
      <w:r w:rsidR="00E84521">
        <w:t xml:space="preserve">experience with SAB </w:t>
      </w:r>
      <w:r w:rsidR="00546605">
        <w:t xml:space="preserve">and </w:t>
      </w:r>
      <w:r w:rsidR="00E84521">
        <w:t xml:space="preserve">SDQ </w:t>
      </w:r>
      <w:r w:rsidR="00546605" w:rsidRPr="003B4F94">
        <w:t>total problems</w:t>
      </w:r>
      <w:r w:rsidR="00546605">
        <w:t xml:space="preserve"> are relatively equal. </w:t>
      </w:r>
    </w:p>
    <w:p w14:paraId="206E1EE6" w14:textId="68ECB722" w:rsidR="008946E9" w:rsidRPr="00030506" w:rsidRDefault="008946E9" w:rsidP="00030506">
      <w:pPr>
        <w:autoSpaceDE w:val="0"/>
        <w:autoSpaceDN w:val="0"/>
        <w:adjustRightInd w:val="0"/>
        <w:spacing w:line="480" w:lineRule="auto"/>
        <w:ind w:firstLine="720"/>
        <w:rPr>
          <w:rFonts w:asciiTheme="minorHAnsi" w:eastAsia="Times New Roman" w:hAnsiTheme="minorHAnsi"/>
          <w:sz w:val="22"/>
          <w:szCs w:val="22"/>
          <w:lang w:eastAsia="zh-CN"/>
        </w:rPr>
      </w:pPr>
      <w:r>
        <w:t xml:space="preserve">Second, </w:t>
      </w:r>
      <w:r w:rsidR="009429D1">
        <w:t xml:space="preserve">given our interest in possible gender differences in these pathways, and </w:t>
      </w:r>
      <w:r>
        <w:t>based on the preliminary analyses which suggested that the relations among the variables of interest may vary by gender, a multiple group model was then fit to the data (</w:t>
      </w:r>
      <w:r w:rsidR="00AC31EC">
        <w:rPr>
          <w:rFonts w:hint="eastAsia"/>
        </w:rPr>
        <w:t xml:space="preserve">Model 2, </w:t>
      </w:r>
      <w:r>
        <w:t xml:space="preserve">Figure 2). This approach used the same overall structure as the previous model, but did not constrain the auto-regression or bidirectional paths to be the same across male and female adolescents. This multiple group model was also an </w:t>
      </w:r>
      <w:r w:rsidRPr="003B4F94">
        <w:t>acceptable fit to the data</w:t>
      </w:r>
      <w:r>
        <w:t>,</w:t>
      </w:r>
      <w:r w:rsidRPr="003B4F94">
        <w:rPr>
          <w:lang w:eastAsia="zh-CN"/>
        </w:rPr>
        <w:t xml:space="preserve"> except </w:t>
      </w:r>
      <w:r>
        <w:rPr>
          <w:lang w:eastAsia="zh-CN"/>
        </w:rPr>
        <w:t xml:space="preserve">for </w:t>
      </w:r>
      <w:r w:rsidRPr="003B4F94">
        <w:rPr>
          <w:lang w:eastAsia="zh-CN"/>
        </w:rPr>
        <w:t xml:space="preserve">the </w:t>
      </w:r>
      <w:r w:rsidRPr="003B4F94">
        <w:rPr>
          <w:i/>
          <w:lang w:eastAsia="zh-CN"/>
        </w:rPr>
        <w:t>χ</w:t>
      </w:r>
      <w:r w:rsidRPr="003B4F94">
        <w:rPr>
          <w:i/>
          <w:vertAlign w:val="superscript"/>
          <w:lang w:eastAsia="zh-CN"/>
        </w:rPr>
        <w:t>2</w:t>
      </w:r>
      <w:r w:rsidRPr="003B4F94">
        <w:rPr>
          <w:i/>
          <w:lang w:eastAsia="zh-CN"/>
        </w:rPr>
        <w:t xml:space="preserve"> </w:t>
      </w:r>
      <w:r w:rsidRPr="003B4F94">
        <w:rPr>
          <w:lang w:eastAsia="zh-CN"/>
        </w:rPr>
        <w:t>test</w:t>
      </w:r>
      <w:r w:rsidRPr="003B4F94">
        <w:t xml:space="preserve"> (</w:t>
      </w:r>
      <w:r w:rsidRPr="003B4F94">
        <w:rPr>
          <w:i/>
        </w:rPr>
        <w:t>χ</w:t>
      </w:r>
      <w:r w:rsidRPr="003B4F94">
        <w:rPr>
          <w:i/>
          <w:vertAlign w:val="superscript"/>
        </w:rPr>
        <w:t>2</w:t>
      </w:r>
      <w:r>
        <w:t>(32</w:t>
      </w:r>
      <w:r w:rsidRPr="003B4F94">
        <w:t xml:space="preserve">) = </w:t>
      </w:r>
      <w:r>
        <w:t>96.63</w:t>
      </w:r>
      <w:r w:rsidRPr="003B4F94">
        <w:t>,</w:t>
      </w:r>
      <w:r w:rsidRPr="003B4F94">
        <w:rPr>
          <w:i/>
        </w:rPr>
        <w:t xml:space="preserve"> p &lt; </w:t>
      </w:r>
      <w:r w:rsidRPr="003B4F94">
        <w:t>.05; CFI = .9</w:t>
      </w:r>
      <w:r>
        <w:t xml:space="preserve">3; RMSEA = .06; </w:t>
      </w:r>
      <w:r w:rsidR="001C5156">
        <w:t>AIC=32605.64</w:t>
      </w:r>
      <w:r w:rsidRPr="003B4F94">
        <w:t>).</w:t>
      </w:r>
      <w:r>
        <w:t xml:space="preserve"> </w:t>
      </w:r>
      <w:r w:rsidR="001C5156" w:rsidRPr="001C5156">
        <w:t xml:space="preserve">In comparing overall (Model 1) and </w:t>
      </w:r>
      <w:r w:rsidR="001C5156" w:rsidRPr="001C5156">
        <w:lastRenderedPageBreak/>
        <w:t>multiple-group (Model 2)</w:t>
      </w:r>
      <w:r w:rsidR="00291530">
        <w:t xml:space="preserve"> models</w:t>
      </w:r>
      <w:r w:rsidR="001C5156" w:rsidRPr="001C5156">
        <w:t xml:space="preserve">, </w:t>
      </w:r>
      <w:r w:rsidR="001C5156">
        <w:t xml:space="preserve">the </w:t>
      </w:r>
      <w:r w:rsidR="00986C21">
        <w:t>smaller</w:t>
      </w:r>
      <w:r w:rsidR="00EE3DA1">
        <w:t xml:space="preserve"> </w:t>
      </w:r>
      <w:r w:rsidR="00291530">
        <w:t>A</w:t>
      </w:r>
      <w:r w:rsidR="001C5156">
        <w:t>I</w:t>
      </w:r>
      <w:r w:rsidR="004D57E6">
        <w:t>C</w:t>
      </w:r>
      <w:r w:rsidR="00291530">
        <w:t xml:space="preserve"> index</w:t>
      </w:r>
      <w:r w:rsidR="005F0D82">
        <w:t xml:space="preserve"> </w:t>
      </w:r>
      <w:r w:rsidR="00291530">
        <w:t>indicated that multiple group model was a better model</w:t>
      </w:r>
      <w:r w:rsidR="00A4551D">
        <w:rPr>
          <w:rFonts w:hint="eastAsia"/>
          <w:lang w:eastAsia="zh-CN"/>
        </w:rPr>
        <w:t xml:space="preserve"> (</w:t>
      </w:r>
      <w:r w:rsidR="00A4551D">
        <w:rPr>
          <w:rFonts w:eastAsia="Times New Roman"/>
        </w:rPr>
        <w:t>Akaike, 1974, 1987</w:t>
      </w:r>
      <w:r w:rsidR="00A4551D">
        <w:rPr>
          <w:rFonts w:hint="eastAsia"/>
          <w:lang w:eastAsia="zh-CN"/>
        </w:rPr>
        <w:t>)</w:t>
      </w:r>
      <w:r w:rsidR="00291530" w:rsidRPr="001C5156">
        <w:t>.</w:t>
      </w:r>
      <w:r w:rsidR="00291530">
        <w:t xml:space="preserve"> </w:t>
      </w:r>
      <w:r>
        <w:t xml:space="preserve">An interesting pattern emerged when the bidirectional pathways </w:t>
      </w:r>
      <w:r w:rsidR="00DE6A2E">
        <w:t xml:space="preserve">were </w:t>
      </w:r>
      <w:r>
        <w:t xml:space="preserve">estimated separately by gender (see Table 2). For boys, the one-year lagged bidirectional paths were both significant; higher levels of </w:t>
      </w:r>
      <w:r w:rsidR="00E84521">
        <w:t xml:space="preserve">experience with SAB </w:t>
      </w:r>
      <w:r>
        <w:t xml:space="preserve">predicted more </w:t>
      </w:r>
      <w:r w:rsidR="00E84521">
        <w:t xml:space="preserve">SDQ </w:t>
      </w:r>
      <w:r>
        <w:t>total problems (</w:t>
      </w:r>
      <m:oMath>
        <m:sSub>
          <m:sSubPr>
            <m:ctrlPr>
              <w:rPr>
                <w:rFonts w:ascii="Cambria Math" w:hAnsi="Cambria Math"/>
                <w:i/>
              </w:rPr>
            </m:ctrlPr>
          </m:sSubPr>
          <m:e>
            <m:r>
              <w:rPr>
                <w:rFonts w:ascii="Cambria Math" w:hAnsi="Cambria Math"/>
              </w:rPr>
              <m:t>β</m:t>
            </m:r>
          </m:e>
          <m:sub>
            <m:r>
              <w:rPr>
                <w:rFonts w:ascii="Cambria Math" w:hAnsi="Cambria Math"/>
              </w:rPr>
              <m:t>boy</m:t>
            </m:r>
          </m:sub>
        </m:sSub>
      </m:oMath>
      <w:r>
        <w:t xml:space="preserve"> = .10</w:t>
      </w:r>
      <w:r w:rsidRPr="00E54229">
        <w:t xml:space="preserve">, </w:t>
      </w:r>
      <w:r>
        <w:rPr>
          <w:i/>
        </w:rPr>
        <w:t>p</w:t>
      </w:r>
      <w:r>
        <w:t xml:space="preserve"> &lt;.001), and higher </w:t>
      </w:r>
      <w:r w:rsidR="00E84521">
        <w:t xml:space="preserve">SDQ total </w:t>
      </w:r>
      <w:r>
        <w:t>problems</w:t>
      </w:r>
      <w:r w:rsidDel="009A72E7">
        <w:t xml:space="preserve"> </w:t>
      </w:r>
      <w:r>
        <w:t xml:space="preserve">related to more </w:t>
      </w:r>
      <w:r w:rsidR="0071557E">
        <w:t>experience with</w:t>
      </w:r>
      <w:r w:rsidR="00927A9E">
        <w:t xml:space="preserve"> </w:t>
      </w:r>
      <w:r w:rsidR="00E84521">
        <w:t>SAB</w:t>
      </w:r>
      <w:r>
        <w:t xml:space="preserve"> a year later (</w:t>
      </w:r>
      <m:oMath>
        <m:sSub>
          <m:sSubPr>
            <m:ctrlPr>
              <w:rPr>
                <w:rFonts w:ascii="Cambria Math" w:hAnsi="Cambria Math"/>
                <w:i/>
              </w:rPr>
            </m:ctrlPr>
          </m:sSubPr>
          <m:e>
            <m:r>
              <w:rPr>
                <w:rFonts w:ascii="Cambria Math" w:hAnsi="Cambria Math"/>
              </w:rPr>
              <m:t>β</m:t>
            </m:r>
          </m:e>
          <m:sub>
            <m:r>
              <w:rPr>
                <w:rFonts w:ascii="Cambria Math" w:hAnsi="Cambria Math"/>
              </w:rPr>
              <m:t>boy</m:t>
            </m:r>
          </m:sub>
        </m:sSub>
      </m:oMath>
      <w:r>
        <w:t xml:space="preserve"> = .09</w:t>
      </w:r>
      <w:r w:rsidRPr="00E54229">
        <w:t xml:space="preserve">, </w:t>
      </w:r>
      <w:r>
        <w:rPr>
          <w:i/>
        </w:rPr>
        <w:t>p</w:t>
      </w:r>
      <w:r>
        <w:t xml:space="preserve"> &lt;.05). For girls, </w:t>
      </w:r>
      <w:r w:rsidR="002A49F4">
        <w:t xml:space="preserve">however, </w:t>
      </w:r>
      <w:r>
        <w:t xml:space="preserve">the pattern of bidirectional effects was not found. That is, there was a non-significant link from </w:t>
      </w:r>
      <w:r w:rsidR="00E84521">
        <w:t xml:space="preserve">experience with SAB </w:t>
      </w:r>
      <w:r>
        <w:t xml:space="preserve">to </w:t>
      </w:r>
      <w:r w:rsidR="00E84521">
        <w:t xml:space="preserve">SDQ </w:t>
      </w:r>
      <w:r>
        <w:t>total problems one year later (</w:t>
      </w:r>
      <m:oMath>
        <m:sSub>
          <m:sSubPr>
            <m:ctrlPr>
              <w:rPr>
                <w:rFonts w:ascii="Cambria Math" w:hAnsi="Cambria Math"/>
                <w:i/>
              </w:rPr>
            </m:ctrlPr>
          </m:sSubPr>
          <m:e>
            <m:r>
              <w:rPr>
                <w:rFonts w:ascii="Cambria Math" w:hAnsi="Cambria Math"/>
              </w:rPr>
              <m:t>β</m:t>
            </m:r>
          </m:e>
          <m:sub>
            <m:r>
              <w:rPr>
                <w:rFonts w:ascii="Cambria Math" w:hAnsi="Cambria Math"/>
              </w:rPr>
              <m:t>girl</m:t>
            </m:r>
          </m:sub>
        </m:sSub>
      </m:oMath>
      <w:r w:rsidR="00EE3DA1">
        <w:t xml:space="preserve"> </w:t>
      </w:r>
      <w:r>
        <w:t>= .04</w:t>
      </w:r>
      <w:r w:rsidRPr="00E54229">
        <w:t xml:space="preserve">, </w:t>
      </w:r>
      <w:r>
        <w:rPr>
          <w:i/>
        </w:rPr>
        <w:t>ns</w:t>
      </w:r>
      <w:r>
        <w:t xml:space="preserve">); </w:t>
      </w:r>
      <w:r w:rsidR="002A49F4">
        <w:t>yet</w:t>
      </w:r>
      <w:r>
        <w:t xml:space="preserve">, the impact of adjustment problems was positively related to greater </w:t>
      </w:r>
      <w:r w:rsidR="00E84521">
        <w:t xml:space="preserve">experience with SAB </w:t>
      </w:r>
      <w:r>
        <w:t>at the next time point (</w:t>
      </w:r>
      <m:oMath>
        <m:sSub>
          <m:sSubPr>
            <m:ctrlPr>
              <w:rPr>
                <w:rFonts w:ascii="Cambria Math" w:hAnsi="Cambria Math"/>
                <w:i/>
              </w:rPr>
            </m:ctrlPr>
          </m:sSubPr>
          <m:e>
            <m:r>
              <w:rPr>
                <w:rFonts w:ascii="Cambria Math" w:hAnsi="Cambria Math"/>
              </w:rPr>
              <m:t>β</m:t>
            </m:r>
          </m:e>
          <m:sub>
            <m:r>
              <w:rPr>
                <w:rFonts w:ascii="Cambria Math" w:hAnsi="Cambria Math"/>
              </w:rPr>
              <m:t>girl</m:t>
            </m:r>
          </m:sub>
        </m:sSub>
      </m:oMath>
      <w:r w:rsidR="00EE3DA1">
        <w:t xml:space="preserve"> </w:t>
      </w:r>
      <w:r>
        <w:t>= .10</w:t>
      </w:r>
      <w:r w:rsidRPr="00E54229">
        <w:t xml:space="preserve">, </w:t>
      </w:r>
      <w:r w:rsidRPr="00E54229">
        <w:rPr>
          <w:i/>
        </w:rPr>
        <w:t>p</w:t>
      </w:r>
      <w:r w:rsidRPr="00E54229">
        <w:t xml:space="preserve"> &lt; .</w:t>
      </w:r>
      <w:r>
        <w:t>01</w:t>
      </w:r>
      <w:r w:rsidRPr="00E54229">
        <w:t>).</w:t>
      </w:r>
      <w:r>
        <w:t xml:space="preserve"> </w:t>
      </w:r>
      <w:r w:rsidR="00546605">
        <w:t xml:space="preserve">In terms of effect sizes, the standardized coefficients indicate that the relative influence of the crossed-lagged parameters are similar in </w:t>
      </w:r>
      <w:r w:rsidR="00D95518">
        <w:t xml:space="preserve">the link of </w:t>
      </w:r>
      <w:r w:rsidR="00E84521">
        <w:t xml:space="preserve">SDQ </w:t>
      </w:r>
      <w:r w:rsidR="00D95518">
        <w:t xml:space="preserve">total problems on experience with </w:t>
      </w:r>
      <w:r w:rsidR="00E84521">
        <w:t xml:space="preserve">SAB </w:t>
      </w:r>
      <w:r w:rsidR="00D95518">
        <w:t>a year later</w:t>
      </w:r>
      <w:r w:rsidR="00546605">
        <w:t xml:space="preserve"> for boys and girls, </w:t>
      </w:r>
      <w:r w:rsidR="00D95518">
        <w:rPr>
          <w:rFonts w:hint="eastAsia"/>
          <w:lang w:eastAsia="zh-CN"/>
        </w:rPr>
        <w:t>while</w:t>
      </w:r>
      <w:r w:rsidR="00546605">
        <w:t xml:space="preserve"> </w:t>
      </w:r>
      <w:r w:rsidR="00D95518">
        <w:rPr>
          <w:rFonts w:hint="eastAsia"/>
          <w:lang w:eastAsia="zh-CN"/>
        </w:rPr>
        <w:t>different in</w:t>
      </w:r>
      <w:r w:rsidR="00546605">
        <w:t xml:space="preserve"> the link of </w:t>
      </w:r>
      <w:r w:rsidR="00E84521">
        <w:t xml:space="preserve">experience with SAB </w:t>
      </w:r>
      <w:r w:rsidR="00546605">
        <w:t xml:space="preserve">with </w:t>
      </w:r>
      <w:r w:rsidR="00D95518">
        <w:t xml:space="preserve">total problems on experience </w:t>
      </w:r>
      <w:r w:rsidR="00546605">
        <w:t>a year later (</w:t>
      </w:r>
      <w:r w:rsidR="00D95518">
        <w:rPr>
          <w:rFonts w:hint="eastAsia"/>
          <w:lang w:eastAsia="zh-CN"/>
        </w:rPr>
        <w:t>Table</w:t>
      </w:r>
      <w:r w:rsidR="00546605">
        <w:t xml:space="preserve"> 2). </w:t>
      </w:r>
      <w:r>
        <w:t>This pattern of findings suggest</w:t>
      </w:r>
      <w:r w:rsidR="00DE6A2E">
        <w:t>ed</w:t>
      </w:r>
      <w:r>
        <w:t xml:space="preserve"> there are complex relations between the experiencing sectarian violence and adjustment problems for boys and girls growing up in Belfast.</w:t>
      </w:r>
    </w:p>
    <w:p w14:paraId="2441A2A3" w14:textId="77777777" w:rsidR="008946E9" w:rsidRPr="00621DC3" w:rsidRDefault="007D021B" w:rsidP="007D021B">
      <w:pPr>
        <w:spacing w:line="480" w:lineRule="auto"/>
        <w:jc w:val="center"/>
        <w:rPr>
          <w:b/>
          <w:lang w:eastAsia="zh-CN"/>
        </w:rPr>
      </w:pPr>
      <w:r w:rsidRPr="00621DC3">
        <w:rPr>
          <w:b/>
        </w:rPr>
        <w:t>Discussion</w:t>
      </w:r>
    </w:p>
    <w:p w14:paraId="0508FA78" w14:textId="5BEDA65A" w:rsidR="00BE00BD" w:rsidRDefault="00B84F08" w:rsidP="00B84F08">
      <w:pPr>
        <w:spacing w:line="480" w:lineRule="auto"/>
      </w:pPr>
      <w:r>
        <w:tab/>
      </w:r>
      <w:r w:rsidR="00DA4D99">
        <w:t xml:space="preserve">Based on </w:t>
      </w:r>
      <w:r>
        <w:t xml:space="preserve">a four-wave longitudinal </w:t>
      </w:r>
      <w:r w:rsidR="00912D33">
        <w:t>research design</w:t>
      </w:r>
      <w:r>
        <w:t>, th</w:t>
      </w:r>
      <w:r w:rsidR="00DA4D99">
        <w:t xml:space="preserve">ese findings </w:t>
      </w:r>
      <w:r>
        <w:t xml:space="preserve">supported bidirectional relations between </w:t>
      </w:r>
      <w:r w:rsidR="00DA4D99">
        <w:t>experienc</w:t>
      </w:r>
      <w:r w:rsidR="002A49F4">
        <w:t>e with</w:t>
      </w:r>
      <w:r w:rsidR="00DA4D99">
        <w:t xml:space="preserve"> </w:t>
      </w:r>
      <w:r w:rsidR="002122D7">
        <w:t xml:space="preserve">SAB </w:t>
      </w:r>
      <w:r>
        <w:t xml:space="preserve">and </w:t>
      </w:r>
      <w:r w:rsidR="0040122D">
        <w:t>boys</w:t>
      </w:r>
      <w:r w:rsidR="00712AA7">
        <w:t>’</w:t>
      </w:r>
      <w:r w:rsidR="0040122D">
        <w:t xml:space="preserve"> </w:t>
      </w:r>
      <w:r>
        <w:t>adjustment problems.</w:t>
      </w:r>
      <w:r w:rsidR="00EE3DA1">
        <w:t xml:space="preserve"> </w:t>
      </w:r>
      <w:r>
        <w:t xml:space="preserve">That is, </w:t>
      </w:r>
      <w:r w:rsidR="00DA4D99">
        <w:t xml:space="preserve">not only did </w:t>
      </w:r>
      <w:r w:rsidR="0038311F">
        <w:t>adolescent</w:t>
      </w:r>
      <w:r w:rsidR="000D6B03">
        <w:t>s</w:t>
      </w:r>
      <w:r w:rsidR="0038311F">
        <w:t>’</w:t>
      </w:r>
      <w:r w:rsidR="000D6B03">
        <w:t xml:space="preserve"> </w:t>
      </w:r>
      <w:r w:rsidR="0071557E">
        <w:t>experience with</w:t>
      </w:r>
      <w:r w:rsidR="00927A9E">
        <w:t xml:space="preserve"> </w:t>
      </w:r>
      <w:r w:rsidR="002122D7">
        <w:t xml:space="preserve">SAB </w:t>
      </w:r>
      <w:r w:rsidR="000D6B03">
        <w:t>relate to their greater adjustment problems one year later</w:t>
      </w:r>
      <w:r w:rsidR="00DA4D99">
        <w:t xml:space="preserve">, but </w:t>
      </w:r>
      <w:r w:rsidR="000D6B03">
        <w:t xml:space="preserve">adjustment problems </w:t>
      </w:r>
      <w:r w:rsidR="003376D0">
        <w:t xml:space="preserve">were </w:t>
      </w:r>
      <w:r w:rsidR="000D6B03">
        <w:t xml:space="preserve">also </w:t>
      </w:r>
      <w:r w:rsidR="003376D0">
        <w:t xml:space="preserve">associated with </w:t>
      </w:r>
      <w:r w:rsidR="001F230C">
        <w:t xml:space="preserve">higher levels of </w:t>
      </w:r>
      <w:r w:rsidR="002A49F4">
        <w:t>experience with</w:t>
      </w:r>
      <w:r w:rsidR="000D6B03">
        <w:t xml:space="preserve"> </w:t>
      </w:r>
      <w:r w:rsidR="002122D7">
        <w:t xml:space="preserve">SAB </w:t>
      </w:r>
      <w:r w:rsidR="001F230C">
        <w:t>over time.</w:t>
      </w:r>
      <w:r w:rsidR="00EE3DA1">
        <w:t xml:space="preserve"> </w:t>
      </w:r>
      <w:r w:rsidR="001F230C">
        <w:t xml:space="preserve">The latter finding </w:t>
      </w:r>
      <w:r w:rsidR="00912D33">
        <w:t xml:space="preserve">breaks new ground in the study of </w:t>
      </w:r>
      <w:r w:rsidR="001F230C">
        <w:t xml:space="preserve">dynamic </w:t>
      </w:r>
      <w:r w:rsidR="00912D33">
        <w:t xml:space="preserve">pathways related to </w:t>
      </w:r>
      <w:r w:rsidR="00712AA7">
        <w:t xml:space="preserve">adolescent </w:t>
      </w:r>
      <w:r w:rsidR="00912D33">
        <w:t xml:space="preserve">adjustment in the social ecology of the </w:t>
      </w:r>
      <w:r w:rsidR="001F230C">
        <w:t xml:space="preserve">conflict in </w:t>
      </w:r>
      <w:r w:rsidR="00912D33">
        <w:t>Northern Ireland</w:t>
      </w:r>
      <w:r w:rsidR="000D6B03">
        <w:t>.</w:t>
      </w:r>
      <w:r w:rsidR="00BC5811">
        <w:t xml:space="preserve"> Consistent with expectations, both </w:t>
      </w:r>
      <w:r w:rsidR="001F230C">
        <w:t xml:space="preserve">the bidirectional influences </w:t>
      </w:r>
      <w:r w:rsidR="00BC5811">
        <w:t xml:space="preserve">were found to hold true for boys. However, </w:t>
      </w:r>
      <w:r w:rsidR="00327DE0">
        <w:t>experienc</w:t>
      </w:r>
      <w:r w:rsidR="002A49F4">
        <w:t xml:space="preserve">e with </w:t>
      </w:r>
      <w:r w:rsidR="00327DE0">
        <w:t xml:space="preserve"> </w:t>
      </w:r>
      <w:r w:rsidR="002A49F4">
        <w:lastRenderedPageBreak/>
        <w:t>SAB</w:t>
      </w:r>
      <w:r w:rsidR="00327DE0">
        <w:t xml:space="preserve"> </w:t>
      </w:r>
      <w:r w:rsidR="00BC5811">
        <w:t xml:space="preserve">was not related to adjustment problems in girls. </w:t>
      </w:r>
      <w:r w:rsidR="0005595C">
        <w:t>Instead</w:t>
      </w:r>
      <w:r w:rsidR="00BC5811">
        <w:t>, girl</w:t>
      </w:r>
      <w:r w:rsidR="00BE00BD">
        <w:t>’</w:t>
      </w:r>
      <w:r w:rsidR="00BC5811">
        <w:t xml:space="preserve">s adjustment problems were related to their greater </w:t>
      </w:r>
      <w:r w:rsidR="00927A9E" w:rsidRPr="00927A9E">
        <w:t>exp</w:t>
      </w:r>
      <w:r w:rsidR="004601A5">
        <w:t xml:space="preserve">erience with SAB </w:t>
      </w:r>
      <w:r w:rsidR="001F230C">
        <w:t>a year later</w:t>
      </w:r>
      <w:r w:rsidR="00BC5811">
        <w:t>.</w:t>
      </w:r>
    </w:p>
    <w:p w14:paraId="062C88A1" w14:textId="05A7BC24" w:rsidR="004F497B" w:rsidRDefault="00BE00BD" w:rsidP="00B84F08">
      <w:pPr>
        <w:spacing w:line="480" w:lineRule="auto"/>
      </w:pPr>
      <w:r>
        <w:tab/>
      </w:r>
      <w:r w:rsidR="00701411">
        <w:t xml:space="preserve">The findings suggest </w:t>
      </w:r>
      <w:r>
        <w:t xml:space="preserve">that models that </w:t>
      </w:r>
      <w:r w:rsidR="00701411">
        <w:t xml:space="preserve">solely measure </w:t>
      </w:r>
      <w:r>
        <w:t xml:space="preserve">the pathway </w:t>
      </w:r>
      <w:r w:rsidR="00085111">
        <w:t xml:space="preserve">from </w:t>
      </w:r>
      <w:r w:rsidR="004601A5">
        <w:t xml:space="preserve">experience with SAB </w:t>
      </w:r>
      <w:r>
        <w:t xml:space="preserve">to </w:t>
      </w:r>
      <w:r w:rsidR="008D1BB2">
        <w:t xml:space="preserve">adolescent </w:t>
      </w:r>
      <w:r>
        <w:t xml:space="preserve">adjustment problems may </w:t>
      </w:r>
      <w:r w:rsidR="005F45F5">
        <w:t xml:space="preserve">not comprehensively reflect </w:t>
      </w:r>
      <w:r>
        <w:t>the direction</w:t>
      </w:r>
      <w:r w:rsidR="005F45F5">
        <w:t>s</w:t>
      </w:r>
      <w:r>
        <w:t xml:space="preserve"> of </w:t>
      </w:r>
      <w:r w:rsidR="00701411">
        <w:t>these relations in settings of intergroup conflict</w:t>
      </w:r>
      <w:r w:rsidR="00426AF4">
        <w:t>.</w:t>
      </w:r>
      <w:r w:rsidR="00701411">
        <w:t xml:space="preserve"> </w:t>
      </w:r>
      <w:r w:rsidR="00333B6D">
        <w:t>Among the limited longitudinal studies on this topic, t</w:t>
      </w:r>
      <w:r>
        <w:t xml:space="preserve">he evidence for the pathway from political violence to child </w:t>
      </w:r>
      <w:r w:rsidR="008D1BB2">
        <w:t xml:space="preserve">and adolescent </w:t>
      </w:r>
      <w:r>
        <w:t xml:space="preserve">adjustment problems </w:t>
      </w:r>
      <w:r w:rsidR="00333B6D">
        <w:t xml:space="preserve">has been reported </w:t>
      </w:r>
      <w:r w:rsidR="005F45F5">
        <w:t xml:space="preserve">across </w:t>
      </w:r>
      <w:r w:rsidR="00333B6D">
        <w:t xml:space="preserve">different </w:t>
      </w:r>
      <w:r>
        <w:t>contexts (</w:t>
      </w:r>
      <w:r w:rsidR="00110002">
        <w:t>Betancourt</w:t>
      </w:r>
      <w:r w:rsidR="00912D33">
        <w:t xml:space="preserve"> et al., </w:t>
      </w:r>
      <w:r w:rsidR="00110002">
        <w:t xml:space="preserve">2013; </w:t>
      </w:r>
      <w:r w:rsidR="00333B6D">
        <w:t xml:space="preserve">Dubow et al., 2009; </w:t>
      </w:r>
      <w:r w:rsidR="00110002">
        <w:t>Jordans, Tol, Komproe, &amp; De Jong, 2009</w:t>
      </w:r>
      <w:r>
        <w:t>).</w:t>
      </w:r>
      <w:r w:rsidR="00EE3DA1">
        <w:t xml:space="preserve"> </w:t>
      </w:r>
      <w:r>
        <w:t xml:space="preserve">However, the present results are not unique in suggesting the need for more nuanced causal models for </w:t>
      </w:r>
      <w:r w:rsidR="008D1BB2">
        <w:t xml:space="preserve">adolescent </w:t>
      </w:r>
      <w:r>
        <w:t>adjustment outcomes.</w:t>
      </w:r>
      <w:r w:rsidR="00EE3DA1">
        <w:t xml:space="preserve"> </w:t>
      </w:r>
      <w:r w:rsidR="00C07574">
        <w:t xml:space="preserve">The finding that </w:t>
      </w:r>
      <w:r w:rsidR="008D1BB2">
        <w:t xml:space="preserve">adolescent </w:t>
      </w:r>
      <w:r w:rsidR="00C07574">
        <w:t>adjustment problems relate</w:t>
      </w:r>
      <w:r w:rsidR="00C563FD">
        <w:t>d</w:t>
      </w:r>
      <w:r w:rsidR="00C07574">
        <w:t xml:space="preserve"> to later </w:t>
      </w:r>
      <w:r w:rsidR="002A49F4">
        <w:t xml:space="preserve">experience with SAB </w:t>
      </w:r>
      <w:r w:rsidR="00C07574">
        <w:t xml:space="preserve">is consistent with an often-reported speculation that behavior problems may contribute to later </w:t>
      </w:r>
      <w:r w:rsidR="00927A9E">
        <w:t>exposure</w:t>
      </w:r>
      <w:r w:rsidR="00333B6D">
        <w:t xml:space="preserve"> </w:t>
      </w:r>
      <w:r w:rsidR="00927A9E">
        <w:t>to</w:t>
      </w:r>
      <w:r w:rsidR="00C07574">
        <w:t xml:space="preserve"> political violence.</w:t>
      </w:r>
      <w:r w:rsidR="0005595C">
        <w:t xml:space="preserve"> </w:t>
      </w:r>
      <w:r w:rsidR="00F765D9">
        <w:t>This study provides empirical support for this notion.</w:t>
      </w:r>
      <w:r w:rsidR="00EE3DA1">
        <w:t xml:space="preserve"> </w:t>
      </w:r>
    </w:p>
    <w:p w14:paraId="55327873" w14:textId="6C2883CB" w:rsidR="00646E5D" w:rsidRDefault="004F497B" w:rsidP="00DD32CD">
      <w:pPr>
        <w:spacing w:line="480" w:lineRule="auto"/>
        <w:ind w:firstLine="720"/>
      </w:pPr>
      <w:r>
        <w:t xml:space="preserve">With regard to gender, the </w:t>
      </w:r>
      <w:r w:rsidR="0005595C">
        <w:t xml:space="preserve">reciprocal relations were </w:t>
      </w:r>
      <w:r w:rsidR="002A49F4">
        <w:t xml:space="preserve">found </w:t>
      </w:r>
      <w:r w:rsidR="0005595C">
        <w:t>for boys</w:t>
      </w:r>
      <w:r>
        <w:t xml:space="preserve">, whereas </w:t>
      </w:r>
      <w:r w:rsidR="006D0692">
        <w:t xml:space="preserve">for </w:t>
      </w:r>
      <w:r w:rsidR="0005595C">
        <w:t>girls</w:t>
      </w:r>
      <w:r w:rsidR="006D0692">
        <w:t xml:space="preserve"> only</w:t>
      </w:r>
      <w:r w:rsidR="0005595C">
        <w:t xml:space="preserve"> </w:t>
      </w:r>
      <w:r w:rsidR="006D0692">
        <w:t xml:space="preserve">the link between adjustment and later </w:t>
      </w:r>
      <w:r w:rsidR="004601A5">
        <w:t>experience with SAB</w:t>
      </w:r>
      <w:r w:rsidR="004601A5" w:rsidRPr="00927A9E">
        <w:t xml:space="preserve"> </w:t>
      </w:r>
      <w:r w:rsidR="006D0692">
        <w:t>was significant</w:t>
      </w:r>
      <w:r>
        <w:t>.</w:t>
      </w:r>
      <w:r w:rsidR="00EE3DA1">
        <w:t xml:space="preserve"> </w:t>
      </w:r>
      <w:r w:rsidR="00D94FEF">
        <w:t xml:space="preserve">That is, </w:t>
      </w:r>
      <w:r w:rsidR="00912D33">
        <w:t xml:space="preserve">contrary to </w:t>
      </w:r>
      <w:r w:rsidR="00EF1F35">
        <w:t xml:space="preserve">the findings of other studies, </w:t>
      </w:r>
      <w:r w:rsidR="002A49F4">
        <w:t>SAB</w:t>
      </w:r>
      <w:r w:rsidR="00912D33">
        <w:t xml:space="preserve"> was not linked with </w:t>
      </w:r>
      <w:r w:rsidR="002014BB">
        <w:t xml:space="preserve">total </w:t>
      </w:r>
      <w:r w:rsidR="00912D33">
        <w:t>adjustment problems in girls one year later.</w:t>
      </w:r>
      <w:r w:rsidR="00EE3DA1">
        <w:t xml:space="preserve"> </w:t>
      </w:r>
      <w:r w:rsidR="001B68AC">
        <w:t xml:space="preserve">A possible </w:t>
      </w:r>
      <w:r w:rsidR="005068C4">
        <w:t>“</w:t>
      </w:r>
      <w:r w:rsidR="001B68AC">
        <w:t>third variable</w:t>
      </w:r>
      <w:r w:rsidR="005068C4">
        <w:t>”</w:t>
      </w:r>
      <w:r w:rsidR="001B68AC">
        <w:t xml:space="preserve"> explanation </w:t>
      </w:r>
      <w:r w:rsidR="005068C4">
        <w:t xml:space="preserve">may be a </w:t>
      </w:r>
      <w:r w:rsidR="001B68AC">
        <w:t xml:space="preserve">different degree of </w:t>
      </w:r>
      <w:r w:rsidR="00643D11">
        <w:t xml:space="preserve">experience with </w:t>
      </w:r>
      <w:r w:rsidR="002A49F4">
        <w:t xml:space="preserve">SAB </w:t>
      </w:r>
      <w:r w:rsidR="001B68AC">
        <w:t>across gender</w:t>
      </w:r>
      <w:r w:rsidR="00C9183F">
        <w:t>. Thus</w:t>
      </w:r>
      <w:r w:rsidR="00643D11">
        <w:t xml:space="preserve">, the path from SAB to SDQ </w:t>
      </w:r>
      <w:r w:rsidR="00C9183F">
        <w:t>may be</w:t>
      </w:r>
      <w:r w:rsidR="00643D11">
        <w:t xml:space="preserve"> even stronger for </w:t>
      </w:r>
      <w:r w:rsidR="00C9183F">
        <w:t xml:space="preserve">youth </w:t>
      </w:r>
      <w:r w:rsidR="00643D11">
        <w:t xml:space="preserve">who have more personal experience </w:t>
      </w:r>
      <w:r w:rsidR="00C9183F">
        <w:t>of violence (i.e., boys)</w:t>
      </w:r>
      <w:r w:rsidR="00643D11">
        <w:t xml:space="preserve">, consistent with higher scores for </w:t>
      </w:r>
      <w:r w:rsidR="00C9183F">
        <w:t>externalizing problems</w:t>
      </w:r>
      <w:r w:rsidR="00643D11">
        <w:t xml:space="preserve"> among boys (Taylor et al., 2016)</w:t>
      </w:r>
      <w:r w:rsidR="001B68AC">
        <w:t xml:space="preserve">. </w:t>
      </w:r>
      <w:r w:rsidR="00C9183F">
        <w:t xml:space="preserve">We are unable to test this explanation in the present report; thus, this is a question for future research. </w:t>
      </w:r>
      <w:r w:rsidR="00AB5F1E">
        <w:t>T</w:t>
      </w:r>
      <w:r w:rsidR="0005595C">
        <w:t>he fact that only the pathway from girls’ behavior problems to</w:t>
      </w:r>
      <w:r w:rsidR="004601A5" w:rsidRPr="004601A5">
        <w:t xml:space="preserve"> </w:t>
      </w:r>
      <w:r w:rsidR="004601A5">
        <w:t>experience with SAB</w:t>
      </w:r>
      <w:r w:rsidR="0005595C">
        <w:t xml:space="preserve"> was significant </w:t>
      </w:r>
      <w:r w:rsidR="00AB5F1E">
        <w:t xml:space="preserve">requires reassessment of assumptions about the impact of girls’ adjustment problems </w:t>
      </w:r>
      <w:r w:rsidR="002A49F4">
        <w:t>i</w:t>
      </w:r>
      <w:r w:rsidR="00AB5F1E">
        <w:t xml:space="preserve">n </w:t>
      </w:r>
      <w:r w:rsidR="002A49F4">
        <w:t xml:space="preserve">a </w:t>
      </w:r>
      <w:r w:rsidR="00AB5F1E">
        <w:t xml:space="preserve">social ecology </w:t>
      </w:r>
      <w:r w:rsidR="00AB5F1E">
        <w:lastRenderedPageBreak/>
        <w:t>of political violence</w:t>
      </w:r>
      <w:r w:rsidR="0005595C">
        <w:t xml:space="preserve">. </w:t>
      </w:r>
      <w:r w:rsidR="002A49F4">
        <w:t xml:space="preserve">For both boys and girls, their own adjustment problems put them at greater risk for experiencing higher levels of SAB over time. </w:t>
      </w:r>
    </w:p>
    <w:p w14:paraId="4C81CB58" w14:textId="0F95B106" w:rsidR="00907812" w:rsidRDefault="00646E5D" w:rsidP="00646E5D">
      <w:pPr>
        <w:spacing w:line="480" w:lineRule="auto"/>
        <w:ind w:firstLine="720"/>
      </w:pPr>
      <w:r>
        <w:t xml:space="preserve">However, the explanations for reciprocal effects </w:t>
      </w:r>
      <w:r w:rsidR="00AB5F1E">
        <w:t xml:space="preserve">or effects regarding the impact of child adjustment on </w:t>
      </w:r>
      <w:r w:rsidR="004601A5">
        <w:t xml:space="preserve">experience with SAB </w:t>
      </w:r>
      <w:r>
        <w:t>are both speculative and lack the elucidation of specific</w:t>
      </w:r>
      <w:r w:rsidR="00AD6385">
        <w:t xml:space="preserve"> </w:t>
      </w:r>
      <w:r>
        <w:t>explanatory processes</w:t>
      </w:r>
      <w:r w:rsidR="00AB5F1E">
        <w:t>, including mechanisms</w:t>
      </w:r>
      <w:r>
        <w:t xml:space="preserve"> that may account for the </w:t>
      </w:r>
      <w:r w:rsidR="00AB5F1E">
        <w:t xml:space="preserve">possible </w:t>
      </w:r>
      <w:r>
        <w:t xml:space="preserve">differences in effects for girls and boys. For example, </w:t>
      </w:r>
      <w:r w:rsidR="00AB5F1E">
        <w:t xml:space="preserve"> </w:t>
      </w:r>
      <w:r>
        <w:t>emotional insecurity about the family (</w:t>
      </w:r>
      <w:r w:rsidR="00692AA3">
        <w:t>Cummings et al., 2012</w:t>
      </w:r>
      <w:r>
        <w:t>) or community (</w:t>
      </w:r>
      <w:r w:rsidR="00692AA3">
        <w:t>Cummings et al., 2011</w:t>
      </w:r>
      <w:r>
        <w:t xml:space="preserve">) have repeatedly been identified as mediating the effects of </w:t>
      </w:r>
      <w:r w:rsidR="00327DE0">
        <w:t>experienc</w:t>
      </w:r>
      <w:r w:rsidR="002A49F4">
        <w:t xml:space="preserve">e with SAB </w:t>
      </w:r>
      <w:r>
        <w:t xml:space="preserve">on child </w:t>
      </w:r>
      <w:r w:rsidR="0040536F">
        <w:t xml:space="preserve">and adolescent </w:t>
      </w:r>
      <w:r>
        <w:t>adjustment</w:t>
      </w:r>
      <w:r w:rsidR="00AB5F1E">
        <w:t xml:space="preserve"> (Cummings et al., 2014)</w:t>
      </w:r>
      <w:r>
        <w:t xml:space="preserve">. </w:t>
      </w:r>
      <w:r w:rsidR="00D94FEF">
        <w:t xml:space="preserve">Social identity has been demonstrated as a moderator of </w:t>
      </w:r>
      <w:r w:rsidR="0040536F">
        <w:t xml:space="preserve">adolescent </w:t>
      </w:r>
      <w:r w:rsidR="00D94FEF">
        <w:t>adjustment in contexts of political violence (Merrilees et al., 2013), and may also factor in these relations.</w:t>
      </w:r>
      <w:r w:rsidR="00EE3DA1">
        <w:t xml:space="preserve"> </w:t>
      </w:r>
      <w:r w:rsidR="00D94FEF">
        <w:t>However, q</w:t>
      </w:r>
      <w:r>
        <w:t xml:space="preserve">uestions remain about what mediating processes </w:t>
      </w:r>
      <w:r w:rsidR="00D94FEF">
        <w:t xml:space="preserve">may </w:t>
      </w:r>
      <w:r>
        <w:t xml:space="preserve">account for the </w:t>
      </w:r>
      <w:r w:rsidR="002A49F4">
        <w:t xml:space="preserve">influence </w:t>
      </w:r>
      <w:r>
        <w:t xml:space="preserve">of </w:t>
      </w:r>
      <w:r w:rsidR="0040536F">
        <w:t xml:space="preserve">adolescent </w:t>
      </w:r>
      <w:r>
        <w:t xml:space="preserve">adjustment problems on </w:t>
      </w:r>
      <w:r w:rsidR="002A49F4">
        <w:t xml:space="preserve">experience with SAB, </w:t>
      </w:r>
      <w:r>
        <w:t xml:space="preserve">and furthermore, the processes that account for such relations being found for </w:t>
      </w:r>
      <w:r w:rsidR="000B4263">
        <w:t xml:space="preserve">both </w:t>
      </w:r>
      <w:r>
        <w:t xml:space="preserve">boys </w:t>
      </w:r>
      <w:r w:rsidR="000B4263">
        <w:t xml:space="preserve">and </w:t>
      </w:r>
      <w:r>
        <w:t>girls.</w:t>
      </w:r>
      <w:r w:rsidR="00EE3DA1">
        <w:t xml:space="preserve"> </w:t>
      </w:r>
      <w:r w:rsidR="002550C9">
        <w:t xml:space="preserve"> </w:t>
      </w:r>
    </w:p>
    <w:p w14:paraId="1AE13E27" w14:textId="6141F0C2" w:rsidR="0004410E" w:rsidRDefault="00A328B7" w:rsidP="00646E5D">
      <w:pPr>
        <w:spacing w:line="480" w:lineRule="auto"/>
        <w:ind w:firstLine="720"/>
      </w:pPr>
      <w:r>
        <w:t>O</w:t>
      </w:r>
      <w:r w:rsidR="001E182E">
        <w:t xml:space="preserve">ne </w:t>
      </w:r>
      <w:r w:rsidR="0004410E">
        <w:t xml:space="preserve">possibility is </w:t>
      </w:r>
      <w:r w:rsidR="0040536F">
        <w:t>adolescent</w:t>
      </w:r>
      <w:r w:rsidR="0004410E">
        <w:t>’s adjustment problems relate to greater actual involvement in the perpetration of</w:t>
      </w:r>
      <w:r w:rsidR="0038311F">
        <w:t xml:space="preserve"> </w:t>
      </w:r>
      <w:r w:rsidR="0004410E">
        <w:t>sectarian community violence.</w:t>
      </w:r>
      <w:r w:rsidR="00EE3DA1">
        <w:t xml:space="preserve"> </w:t>
      </w:r>
      <w:r w:rsidR="00F765D9">
        <w:t xml:space="preserve">For example, </w:t>
      </w:r>
      <w:r w:rsidR="0038311F">
        <w:t>adolescents</w:t>
      </w:r>
      <w:r w:rsidR="00F765D9">
        <w:t xml:space="preserve"> with adjustment problems may be more likely to put themselves in situations where political violence is occurring, which may reflect with poorer decision making</w:t>
      </w:r>
      <w:r w:rsidR="00443F55">
        <w:t>,</w:t>
      </w:r>
      <w:r w:rsidR="00F765D9">
        <w:t xml:space="preserve"> and/or emotion or behavior regulation problems.</w:t>
      </w:r>
      <w:r w:rsidR="00EE3DA1">
        <w:t xml:space="preserve"> </w:t>
      </w:r>
      <w:r w:rsidR="00461608">
        <w:t xml:space="preserve">This may hold for youth with externalizing or internalizing </w:t>
      </w:r>
      <w:r w:rsidR="00EF17A5">
        <w:t xml:space="preserve">                                                                                                                                                                                                                                                                                                                                                                                                                                                                                                                                                                                                                                                                                                                                          </w:t>
      </w:r>
      <w:r w:rsidR="00461608">
        <w:t xml:space="preserve">symptoms. </w:t>
      </w:r>
      <w:r w:rsidR="00FC49E8">
        <w:t xml:space="preserve">Adolescents </w:t>
      </w:r>
      <w:r w:rsidR="00461608">
        <w:t xml:space="preserve">with externalizing problems may seek out contexts of conflict or may perceive social situations related to political violence as more hostile and threatening.  </w:t>
      </w:r>
      <w:r w:rsidR="00FC49E8">
        <w:t xml:space="preserve">Adolescents </w:t>
      </w:r>
      <w:r w:rsidR="00461608">
        <w:t xml:space="preserve">with internalizing symptoms and anxiety may be hypervigilant in seeking out indicators of threat thereby increasing their exposure. </w:t>
      </w:r>
      <w:r w:rsidR="003F691F">
        <w:t xml:space="preserve">To follow up on these issues, another </w:t>
      </w:r>
      <w:r w:rsidR="003F691F">
        <w:lastRenderedPageBreak/>
        <w:t xml:space="preserve">direction is specifically asking </w:t>
      </w:r>
      <w:r w:rsidR="0038311F">
        <w:t>adolescents</w:t>
      </w:r>
      <w:r w:rsidR="003F691F">
        <w:t xml:space="preserve"> about their role in sectarian community violence, including </w:t>
      </w:r>
      <w:r w:rsidR="00D94FEF">
        <w:t xml:space="preserve">as a </w:t>
      </w:r>
      <w:r w:rsidR="003F691F">
        <w:t>victim, witness</w:t>
      </w:r>
      <w:r w:rsidR="000B4263">
        <w:t>, or</w:t>
      </w:r>
      <w:r w:rsidR="003F691F">
        <w:t xml:space="preserve"> perpetrator.</w:t>
      </w:r>
      <w:r w:rsidR="00EE3DA1">
        <w:t xml:space="preserve"> </w:t>
      </w:r>
    </w:p>
    <w:p w14:paraId="6E84F14B" w14:textId="508A1BFB" w:rsidR="00541D02" w:rsidRDefault="0035094B" w:rsidP="001301C3">
      <w:pPr>
        <w:spacing w:line="480" w:lineRule="auto"/>
        <w:ind w:firstLine="720"/>
      </w:pPr>
      <w:r>
        <w:t xml:space="preserve">The clinical significance of the findings pertains </w:t>
      </w:r>
      <w:r w:rsidR="00461608">
        <w:t xml:space="preserve">to </w:t>
      </w:r>
      <w:r w:rsidR="006E33A2">
        <w:t xml:space="preserve">the provision of </w:t>
      </w:r>
      <w:r w:rsidR="001301C3">
        <w:t>more comprehensive and</w:t>
      </w:r>
      <w:r>
        <w:t xml:space="preserve"> complex causal models for the origins of </w:t>
      </w:r>
      <w:r w:rsidR="00FC49E8">
        <w:t>adolescent</w:t>
      </w:r>
      <w:r>
        <w:t>’s adjustment problems in contexts of political violence.</w:t>
      </w:r>
      <w:r w:rsidR="00EE3DA1">
        <w:t xml:space="preserve"> </w:t>
      </w:r>
      <w:r>
        <w:t xml:space="preserve">Specifically, </w:t>
      </w:r>
      <w:r w:rsidR="006E33A2">
        <w:t xml:space="preserve">one implication of these findings is that </w:t>
      </w:r>
      <w:r>
        <w:t xml:space="preserve">decreasing </w:t>
      </w:r>
      <w:r w:rsidR="00FC49E8">
        <w:t>adolescent</w:t>
      </w:r>
      <w:r>
        <w:t xml:space="preserve">’s exposure to political violence may serve to decrease the incidence of adjustment problems in </w:t>
      </w:r>
      <w:r w:rsidR="0038311F">
        <w:t>adolescents</w:t>
      </w:r>
      <w:r w:rsidR="006E33A2">
        <w:t>, especially for boys</w:t>
      </w:r>
      <w:r>
        <w:t xml:space="preserve">. Moreover, </w:t>
      </w:r>
      <w:r w:rsidR="006E33A2">
        <w:t xml:space="preserve">given the bidirectional relations found, another implication is that </w:t>
      </w:r>
      <w:r>
        <w:t xml:space="preserve">programs to reduce adjustment problems in </w:t>
      </w:r>
      <w:r w:rsidR="00FC49E8">
        <w:t xml:space="preserve">adolescents </w:t>
      </w:r>
      <w:r>
        <w:t xml:space="preserve">may also serve to </w:t>
      </w:r>
      <w:r w:rsidR="0071557E">
        <w:t>reduce their risk to future experience with SAB</w:t>
      </w:r>
      <w:r>
        <w:t>.</w:t>
      </w:r>
      <w:r w:rsidR="00EE3DA1">
        <w:t xml:space="preserve"> </w:t>
      </w:r>
      <w:r w:rsidR="006E33A2">
        <w:t>However, o</w:t>
      </w:r>
      <w:r w:rsidR="001301C3">
        <w:t>ptimal p</w:t>
      </w:r>
      <w:r>
        <w:t xml:space="preserve">rograms to ameliorate </w:t>
      </w:r>
      <w:r w:rsidR="00FC49E8">
        <w:t xml:space="preserve">adolescent </w:t>
      </w:r>
      <w:r>
        <w:t>adjustment problems are l</w:t>
      </w:r>
      <w:r w:rsidR="001301C3">
        <w:t xml:space="preserve">ikely to </w:t>
      </w:r>
      <w:r w:rsidR="006E33A2">
        <w:t xml:space="preserve">require </w:t>
      </w:r>
      <w:r w:rsidR="001301C3">
        <w:t xml:space="preserve">efforts </w:t>
      </w:r>
      <w:r w:rsidR="006E33A2">
        <w:t xml:space="preserve">beyond </w:t>
      </w:r>
      <w:r w:rsidR="001301C3">
        <w:t xml:space="preserve">reducing </w:t>
      </w:r>
      <w:r w:rsidR="006D39D4">
        <w:t>experience with SAB</w:t>
      </w:r>
      <w:r w:rsidR="0071557E">
        <w:t>,</w:t>
      </w:r>
      <w:r w:rsidR="006D39D4">
        <w:t xml:space="preserve"> </w:t>
      </w:r>
      <w:r w:rsidR="001301C3">
        <w:t xml:space="preserve">but also may </w:t>
      </w:r>
      <w:r w:rsidR="006E33A2">
        <w:t xml:space="preserve">require </w:t>
      </w:r>
      <w:r w:rsidR="001301C3">
        <w:t xml:space="preserve">efforts towards addressing a wide range of </w:t>
      </w:r>
      <w:r w:rsidR="006E33A2">
        <w:t xml:space="preserve">other problems </w:t>
      </w:r>
      <w:r w:rsidR="001301C3">
        <w:t>associated with adjustment problems in neighborhoods characterized by social deprivation</w:t>
      </w:r>
      <w:r w:rsidR="006E33A2">
        <w:t xml:space="preserve"> (e.g., educational opportunity)</w:t>
      </w:r>
      <w:r w:rsidR="00061C58">
        <w:t>, which have the highest incidences of political violence</w:t>
      </w:r>
      <w:r w:rsidR="002108D9">
        <w:t xml:space="preserve"> (Shirlow &amp;</w:t>
      </w:r>
      <w:r w:rsidR="002108D9" w:rsidRPr="002108D9">
        <w:rPr>
          <w:color w:val="222222"/>
          <w:shd w:val="clear" w:color="auto" w:fill="FFFFFF"/>
        </w:rPr>
        <w:t xml:space="preserve"> </w:t>
      </w:r>
      <w:r w:rsidR="002108D9" w:rsidRPr="007F7688">
        <w:rPr>
          <w:color w:val="222222"/>
          <w:shd w:val="clear" w:color="auto" w:fill="FFFFFF"/>
        </w:rPr>
        <w:t>Murtagh</w:t>
      </w:r>
      <w:r w:rsidR="002108D9">
        <w:rPr>
          <w:color w:val="222222"/>
          <w:shd w:val="clear" w:color="auto" w:fill="FFFFFF"/>
        </w:rPr>
        <w:t>, 2006)</w:t>
      </w:r>
      <w:r w:rsidR="001301C3">
        <w:t>.</w:t>
      </w:r>
      <w:r w:rsidR="00EE3DA1">
        <w:t xml:space="preserve"> </w:t>
      </w:r>
      <w:r w:rsidR="001301C3">
        <w:t xml:space="preserve">Thus, the clinical problems of </w:t>
      </w:r>
      <w:r w:rsidR="00FC49E8">
        <w:t xml:space="preserve">adolescents </w:t>
      </w:r>
      <w:r w:rsidR="001301C3">
        <w:t xml:space="preserve">and problems of political violence </w:t>
      </w:r>
      <w:r w:rsidR="00061C58">
        <w:t xml:space="preserve">may be intertwined in </w:t>
      </w:r>
      <w:r w:rsidR="002108D9">
        <w:t xml:space="preserve">their </w:t>
      </w:r>
      <w:r w:rsidR="00061C58">
        <w:t xml:space="preserve">causal pathways, with </w:t>
      </w:r>
      <w:r w:rsidR="001301C3">
        <w:t>both merit</w:t>
      </w:r>
      <w:r w:rsidR="00061C58">
        <w:t>ing</w:t>
      </w:r>
      <w:r w:rsidR="001301C3">
        <w:t xml:space="preserve"> attention towards mutually ameliorating the problems faced by </w:t>
      </w:r>
      <w:r w:rsidR="00061C58">
        <w:t>each, reflecting interventions that address multiple levels of the social ecology</w:t>
      </w:r>
      <w:r w:rsidR="001301C3">
        <w:t xml:space="preserve">. </w:t>
      </w:r>
    </w:p>
    <w:p w14:paraId="4E1A1311" w14:textId="5253FB60" w:rsidR="007D021B" w:rsidRDefault="0004410E" w:rsidP="00646E5D">
      <w:pPr>
        <w:spacing w:line="480" w:lineRule="auto"/>
        <w:ind w:firstLine="720"/>
      </w:pPr>
      <w:r>
        <w:t>Certain limitations should be acknowledged.</w:t>
      </w:r>
      <w:r w:rsidR="00EE3DA1">
        <w:t xml:space="preserve"> </w:t>
      </w:r>
      <w:r>
        <w:t>Most children ranged between 1</w:t>
      </w:r>
      <w:r w:rsidR="00FC49E8">
        <w:t>1</w:t>
      </w:r>
      <w:r>
        <w:t xml:space="preserve"> and 17 years of age, reflecting our interest in studying an age group at risk for becoming observers </w:t>
      </w:r>
      <w:r w:rsidR="00FC49E8">
        <w:t xml:space="preserve">and participants </w:t>
      </w:r>
      <w:r>
        <w:t>of sectarian conflict.</w:t>
      </w:r>
      <w:r w:rsidR="00EE3DA1">
        <w:t xml:space="preserve"> </w:t>
      </w:r>
      <w:r w:rsidR="001B7B3F">
        <w:t xml:space="preserve">Although evidence is limited on the relative vulnerability of </w:t>
      </w:r>
      <w:r w:rsidR="00FC49E8">
        <w:t xml:space="preserve">adolescents </w:t>
      </w:r>
      <w:r w:rsidR="001B7B3F">
        <w:t xml:space="preserve">as a function of age to </w:t>
      </w:r>
      <w:r w:rsidR="006D39D4">
        <w:t xml:space="preserve">experience with SAB </w:t>
      </w:r>
      <w:r w:rsidR="00FC49E8">
        <w:t>(e.g., Taylor et al., 2016)</w:t>
      </w:r>
      <w:r w:rsidR="001B7B3F">
        <w:t xml:space="preserve">, </w:t>
      </w:r>
      <w:r w:rsidR="00C563FD">
        <w:t>f</w:t>
      </w:r>
      <w:r w:rsidR="001B7B3F">
        <w:t xml:space="preserve">uture research should further </w:t>
      </w:r>
      <w:r w:rsidR="003F691F">
        <w:t xml:space="preserve">examine </w:t>
      </w:r>
      <w:r w:rsidR="00D94FEF">
        <w:t xml:space="preserve">a wider age range to understand </w:t>
      </w:r>
      <w:r w:rsidR="001B7B3F">
        <w:t xml:space="preserve">the relative vulnerability of </w:t>
      </w:r>
      <w:r w:rsidR="00FC49E8">
        <w:t xml:space="preserve">adolescents </w:t>
      </w:r>
      <w:r w:rsidR="001B7B3F">
        <w:t xml:space="preserve">in social ecological contexts </w:t>
      </w:r>
      <w:r w:rsidR="00D94FEF">
        <w:t xml:space="preserve">of </w:t>
      </w:r>
      <w:r w:rsidR="001B7B3F">
        <w:t>political violence.</w:t>
      </w:r>
      <w:r w:rsidR="00EE3DA1">
        <w:t xml:space="preserve"> </w:t>
      </w:r>
      <w:r w:rsidR="00CD7DFF">
        <w:t>Add</w:t>
      </w:r>
      <w:r w:rsidR="008A780F">
        <w:t>i</w:t>
      </w:r>
      <w:r w:rsidR="00CD7DFF">
        <w:t>tional</w:t>
      </w:r>
      <w:r w:rsidR="00D94FEF">
        <w:t>ly</w:t>
      </w:r>
      <w:r w:rsidR="00692AA3">
        <w:t xml:space="preserve">, distinct forms </w:t>
      </w:r>
      <w:r w:rsidR="000B4263">
        <w:t xml:space="preserve">and </w:t>
      </w:r>
      <w:r w:rsidR="000B4263">
        <w:lastRenderedPageBreak/>
        <w:t xml:space="preserve">expressions </w:t>
      </w:r>
      <w:r w:rsidR="00692AA3">
        <w:t>of sectarian community violence may vary widely across cultures</w:t>
      </w:r>
      <w:r w:rsidR="00D94FEF">
        <w:t xml:space="preserve"> (Cummings et al., 2009)</w:t>
      </w:r>
      <w:r w:rsidR="00692AA3">
        <w:t>, so that the generalizability of these assessments to other cultural contexts remains to be demonstrated.</w:t>
      </w:r>
      <w:r w:rsidR="001E182E" w:rsidRPr="001E182E">
        <w:t xml:space="preserve"> </w:t>
      </w:r>
      <w:r w:rsidR="001E182E">
        <w:t xml:space="preserve">Moreover, </w:t>
      </w:r>
      <w:r w:rsidR="00CD65AC">
        <w:t xml:space="preserve">as noted above, </w:t>
      </w:r>
      <w:r w:rsidR="001E182E">
        <w:t>“third variable effects” in the bidirectional relations between exposure to political violence and youth maladjustment merit attention.</w:t>
      </w:r>
      <w:r w:rsidR="00CD65AC">
        <w:t xml:space="preserve"> As another</w:t>
      </w:r>
      <w:r w:rsidR="001E182E">
        <w:t xml:space="preserve"> example, when antisocial behavior precedes exposure to political violence, a key feature could be accounted for by increased involvement in deviant peer associations. As </w:t>
      </w:r>
      <w:r w:rsidR="00CD65AC">
        <w:t xml:space="preserve">further </w:t>
      </w:r>
      <w:r w:rsidR="001E182E">
        <w:t xml:space="preserve">example, elements of the macro-system (e.g., political discord between Catholics and Protestants) may possibly contribute to both variables (Townsend et al., </w:t>
      </w:r>
      <w:r w:rsidR="007A2A84">
        <w:t>2016</w:t>
      </w:r>
      <w:r w:rsidR="001E182E">
        <w:t xml:space="preserve">).  </w:t>
      </w:r>
      <w:r w:rsidR="00467CDD">
        <w:t xml:space="preserve">Finally, </w:t>
      </w:r>
      <w:r w:rsidR="0002038F">
        <w:t xml:space="preserve">although notions of causal relations between </w:t>
      </w:r>
      <w:r w:rsidR="00467CDD">
        <w:t>“</w:t>
      </w:r>
      <w:r w:rsidR="00982E67">
        <w:t xml:space="preserve">adolescent </w:t>
      </w:r>
      <w:r w:rsidR="00467CDD">
        <w:t xml:space="preserve">adjustment effects” and “sectarian community violence effects” </w:t>
      </w:r>
      <w:r w:rsidR="0002038F">
        <w:t xml:space="preserve">cannot be tested in the current study, the directionality over time can be assessed within the longitudinal design. Thus, </w:t>
      </w:r>
      <w:r w:rsidR="00467CDD">
        <w:t>the present approach provides a possible approximation to testing bidirectional relations.</w:t>
      </w:r>
      <w:r w:rsidR="00EE3DA1">
        <w:t xml:space="preserve"> </w:t>
      </w:r>
    </w:p>
    <w:p w14:paraId="79A81458" w14:textId="7ADF76BA" w:rsidR="000B4263" w:rsidRDefault="00CD7DFF">
      <w:pPr>
        <w:spacing w:line="480" w:lineRule="auto"/>
      </w:pPr>
      <w:r>
        <w:tab/>
      </w:r>
      <w:r w:rsidR="00862350">
        <w:t xml:space="preserve">This more comprehensive approach, reflecting a </w:t>
      </w:r>
      <w:r w:rsidR="0002038F">
        <w:t xml:space="preserve">dynamic </w:t>
      </w:r>
      <w:r w:rsidR="00862350">
        <w:t xml:space="preserve">perspective on the impact of sectarian community violence, can open up more informed debate about the causes and </w:t>
      </w:r>
      <w:r w:rsidR="00862350" w:rsidRPr="003A65D5">
        <w:t>consequences of political violence.</w:t>
      </w:r>
      <w:r w:rsidR="00EE3DA1" w:rsidRPr="003A65D5">
        <w:t xml:space="preserve"> </w:t>
      </w:r>
      <w:r w:rsidR="00AD5539" w:rsidRPr="003A65D5">
        <w:t xml:space="preserve"> The areas selected were all interface</w:t>
      </w:r>
      <w:r w:rsidR="006D39D4" w:rsidRPr="003A65D5">
        <w:t>d</w:t>
      </w:r>
      <w:r w:rsidR="00AD5539" w:rsidRPr="003A65D5">
        <w:t xml:space="preserve"> and socially deprived, but with variation in past historic violence and current levels of sectarianism. The goal was to ensure variability in experience with SAB among youth in relatively similar other circumstances. </w:t>
      </w:r>
      <w:r w:rsidR="0071557E">
        <w:t>Experience with</w:t>
      </w:r>
      <w:r w:rsidR="000D1C31">
        <w:t xml:space="preserve"> </w:t>
      </w:r>
      <w:r w:rsidR="00AD5539" w:rsidRPr="003A65D5">
        <w:t>SAB does not change in any predictable way</w:t>
      </w:r>
      <w:r w:rsidR="000D1C31">
        <w:t xml:space="preserve"> over time</w:t>
      </w:r>
      <w:r w:rsidR="00AD5539" w:rsidRPr="003A65D5">
        <w:t xml:space="preserve">; there was not a consistent pattern of increasing or decreasing </w:t>
      </w:r>
      <w:r w:rsidR="000D1C31">
        <w:t xml:space="preserve">exposure </w:t>
      </w:r>
      <w:r w:rsidR="00AD5539" w:rsidRPr="003A65D5">
        <w:t>with time or age. This can be regarded as a</w:t>
      </w:r>
      <w:r w:rsidR="003A65D5">
        <w:t xml:space="preserve"> </w:t>
      </w:r>
      <w:r w:rsidR="00AD5539" w:rsidRPr="003A65D5">
        <w:t>strength of the approach. That is, whereas other studies of political violence have typically measured past political violence experiences, our study captured dynamic variation in intergroup violence</w:t>
      </w:r>
      <w:r w:rsidR="00286DA9" w:rsidRPr="003A65D5">
        <w:t xml:space="preserve"> based on four waves of data collection</w:t>
      </w:r>
      <w:r w:rsidR="00AD5539" w:rsidRPr="003A65D5">
        <w:t xml:space="preserve">.  </w:t>
      </w:r>
      <w:r w:rsidR="0002038F" w:rsidRPr="003A65D5">
        <w:t xml:space="preserve">The present results move the discussion beyond recognizing the need to intervene for </w:t>
      </w:r>
      <w:r w:rsidR="0002038F">
        <w:t>the sake of being sensitive to the consequences of youth</w:t>
      </w:r>
      <w:r w:rsidR="0037646F">
        <w:t>’</w:t>
      </w:r>
      <w:r w:rsidR="0002038F">
        <w:t xml:space="preserve">s </w:t>
      </w:r>
      <w:r w:rsidR="0002038F">
        <w:lastRenderedPageBreak/>
        <w:t xml:space="preserve">well-being, emphasizing the need to intervene early to prevent negative feedback loops involving increased risk (Cummings, Davies, &amp; Campbell, 2000). </w:t>
      </w:r>
      <w:r w:rsidR="00862350">
        <w:t xml:space="preserve">These findings offer promising directions towards </w:t>
      </w:r>
      <w:r w:rsidR="00823001">
        <w:t xml:space="preserve">better conceptualizations of causes and consequences of political violence, providing bases for viewing the welfare and wellbeing of the </w:t>
      </w:r>
      <w:r w:rsidR="008545C0">
        <w:t>adolescents</w:t>
      </w:r>
      <w:r w:rsidR="0002038F">
        <w:t xml:space="preserve"> in settings of protracted conflict</w:t>
      </w:r>
      <w:r w:rsidR="00823001">
        <w:t>.</w:t>
      </w:r>
      <w:r w:rsidR="00EE3DA1">
        <w:t xml:space="preserve"> </w:t>
      </w:r>
    </w:p>
    <w:p w14:paraId="40216FAD" w14:textId="77777777" w:rsidR="000B4263" w:rsidRDefault="000B4263">
      <w:r>
        <w:br w:type="page"/>
      </w:r>
    </w:p>
    <w:p w14:paraId="0E999B20" w14:textId="77777777" w:rsidR="000666A9" w:rsidRPr="00A0092C" w:rsidRDefault="000666A9" w:rsidP="000666A9">
      <w:pPr>
        <w:keepNext/>
        <w:keepLines/>
        <w:shd w:val="clear" w:color="auto" w:fill="FFFFFF"/>
        <w:spacing w:line="480" w:lineRule="auto"/>
        <w:ind w:left="720" w:hanging="720"/>
        <w:jc w:val="center"/>
        <w:rPr>
          <w:b/>
        </w:rPr>
      </w:pPr>
      <w:r w:rsidRPr="00A0092C">
        <w:rPr>
          <w:b/>
        </w:rPr>
        <w:lastRenderedPageBreak/>
        <w:t>References</w:t>
      </w:r>
    </w:p>
    <w:p w14:paraId="35E0DA64" w14:textId="77777777" w:rsidR="000666A9" w:rsidRPr="00CC1507" w:rsidRDefault="000666A9" w:rsidP="000666A9">
      <w:pPr>
        <w:keepNext/>
        <w:keepLines/>
        <w:shd w:val="clear" w:color="auto" w:fill="FFFFFF"/>
        <w:spacing w:line="480" w:lineRule="auto"/>
        <w:ind w:left="720" w:hanging="720"/>
        <w:rPr>
          <w:rFonts w:eastAsiaTheme="majorEastAsia"/>
          <w:color w:val="000000" w:themeColor="text1"/>
        </w:rPr>
      </w:pPr>
      <w:r w:rsidRPr="00CC1507">
        <w:rPr>
          <w:rFonts w:eastAsiaTheme="majorEastAsia"/>
          <w:shd w:val="clear" w:color="auto" w:fill="FFFFFF"/>
        </w:rPr>
        <w:t>Ajdukovic, D., &amp; Biruski, D. C. (2008). Caught between the ethnic sides: Children growing up in a divided post-war community. </w:t>
      </w:r>
      <w:r w:rsidRPr="00CC1507">
        <w:rPr>
          <w:rFonts w:eastAsiaTheme="majorEastAsia"/>
          <w:i/>
          <w:iCs/>
          <w:color w:val="000000" w:themeColor="text1"/>
        </w:rPr>
        <w:t>International Journal of Behavioral Development</w:t>
      </w:r>
      <w:r w:rsidRPr="00CC1507">
        <w:rPr>
          <w:rFonts w:eastAsiaTheme="majorEastAsia"/>
          <w:color w:val="000000" w:themeColor="text1"/>
        </w:rPr>
        <w:t>, </w:t>
      </w:r>
      <w:r w:rsidRPr="00CC1507">
        <w:rPr>
          <w:rFonts w:eastAsiaTheme="majorEastAsia"/>
          <w:i/>
          <w:iCs/>
          <w:color w:val="000000" w:themeColor="text1"/>
        </w:rPr>
        <w:t>32</w:t>
      </w:r>
      <w:r w:rsidRPr="00CC1507">
        <w:rPr>
          <w:rFonts w:eastAsiaTheme="majorEastAsia"/>
          <w:color w:val="000000" w:themeColor="text1"/>
        </w:rPr>
        <w:t>(4), 337-347.</w:t>
      </w:r>
      <w:r w:rsidRPr="00CC1507">
        <w:rPr>
          <w:b/>
          <w:bCs/>
          <w:i/>
          <w:iCs/>
          <w:color w:val="6A6A6A"/>
          <w:shd w:val="clear" w:color="auto" w:fill="FFFFFF"/>
        </w:rPr>
        <w:t xml:space="preserve"> </w:t>
      </w:r>
      <w:r w:rsidRPr="00CC1507">
        <w:rPr>
          <w:bCs/>
          <w:shd w:val="clear" w:color="auto" w:fill="FFFFFF"/>
        </w:rPr>
        <w:t>doi:</w:t>
      </w:r>
      <w:r w:rsidRPr="00CC1507">
        <w:rPr>
          <w:rStyle w:val="apple-converted-space"/>
          <w:bCs/>
          <w:shd w:val="clear" w:color="auto" w:fill="FFFFFF"/>
        </w:rPr>
        <w:t> </w:t>
      </w:r>
      <w:r w:rsidRPr="00CC1507">
        <w:rPr>
          <w:rStyle w:val="slug-doi"/>
          <w:bCs/>
          <w:bdr w:val="none" w:sz="0" w:space="0" w:color="auto" w:frame="1"/>
          <w:shd w:val="clear" w:color="auto" w:fill="FFFFFF"/>
        </w:rPr>
        <w:t>10.1177/0165025408090975</w:t>
      </w:r>
    </w:p>
    <w:p w14:paraId="0E26F7E9" w14:textId="77777777" w:rsidR="000666A9" w:rsidRPr="00A0092C" w:rsidRDefault="000666A9" w:rsidP="000666A9">
      <w:pPr>
        <w:keepNext/>
        <w:keepLines/>
        <w:shd w:val="clear" w:color="auto" w:fill="FFFFFF"/>
        <w:spacing w:line="480" w:lineRule="auto"/>
        <w:ind w:left="720" w:hanging="720"/>
        <w:rPr>
          <w:rFonts w:eastAsiaTheme="majorEastAsia"/>
          <w:color w:val="000000" w:themeColor="text1"/>
          <w:lang w:eastAsia="zh-CN"/>
        </w:rPr>
      </w:pPr>
      <w:r w:rsidRPr="00A0092C">
        <w:rPr>
          <w:rFonts w:eastAsiaTheme="majorEastAsia"/>
          <w:color w:val="000000" w:themeColor="text1"/>
        </w:rPr>
        <w:t xml:space="preserve">Akaike, H. (1974). A new look at the statistical model identification. </w:t>
      </w:r>
      <w:r w:rsidRPr="00A0092C">
        <w:rPr>
          <w:rFonts w:eastAsiaTheme="majorEastAsia"/>
          <w:i/>
          <w:color w:val="000000" w:themeColor="text1"/>
        </w:rPr>
        <w:t>Automatic Control, IEEE Transactions on</w:t>
      </w:r>
      <w:r w:rsidRPr="00A0092C">
        <w:rPr>
          <w:rFonts w:eastAsiaTheme="majorEastAsia"/>
          <w:color w:val="000000" w:themeColor="text1"/>
        </w:rPr>
        <w:t>, 19(6), 716-723.</w:t>
      </w:r>
      <w:r w:rsidRPr="00A0092C">
        <w:rPr>
          <w:bCs/>
          <w:i/>
          <w:iCs/>
          <w:color w:val="6A6A6A"/>
          <w:shd w:val="clear" w:color="auto" w:fill="FFFFFF"/>
        </w:rPr>
        <w:t xml:space="preserve"> </w:t>
      </w:r>
      <w:r w:rsidRPr="00CC1507">
        <w:rPr>
          <w:bCs/>
          <w:shd w:val="clear" w:color="auto" w:fill="FFFFFF"/>
        </w:rPr>
        <w:t>doi: </w:t>
      </w:r>
      <w:hyperlink r:id="rId10" w:tgtFrame="_blank" w:history="1">
        <w:r w:rsidRPr="00CC1507">
          <w:rPr>
            <w:shd w:val="clear" w:color="auto" w:fill="FFFFFF"/>
          </w:rPr>
          <w:t>10.1109/TAC.1974.1100705</w:t>
        </w:r>
      </w:hyperlink>
    </w:p>
    <w:p w14:paraId="0801675C" w14:textId="77777777" w:rsidR="000666A9" w:rsidRDefault="000666A9" w:rsidP="000666A9">
      <w:pPr>
        <w:keepNext/>
        <w:keepLines/>
        <w:shd w:val="clear" w:color="auto" w:fill="FFFFFF"/>
        <w:spacing w:line="480" w:lineRule="auto"/>
        <w:ind w:left="720" w:hanging="720"/>
        <w:rPr>
          <w:b/>
          <w:bCs/>
          <w:i/>
          <w:iCs/>
          <w:color w:val="6A6A6A"/>
          <w:shd w:val="clear" w:color="auto" w:fill="FFFFFF"/>
        </w:rPr>
      </w:pPr>
      <w:r w:rsidRPr="00A0092C">
        <w:rPr>
          <w:rFonts w:eastAsiaTheme="majorEastAsia"/>
          <w:color w:val="000000" w:themeColor="text1"/>
          <w:lang w:eastAsia="zh-CN"/>
        </w:rPr>
        <w:t xml:space="preserve">Akaike, H. (1987). Factor analysis and AIC. </w:t>
      </w:r>
      <w:r w:rsidRPr="00A0092C">
        <w:rPr>
          <w:rFonts w:eastAsiaTheme="majorEastAsia"/>
          <w:i/>
          <w:color w:val="000000" w:themeColor="text1"/>
          <w:lang w:eastAsia="zh-CN"/>
        </w:rPr>
        <w:t>Psychometrika</w:t>
      </w:r>
      <w:r w:rsidRPr="00A0092C">
        <w:rPr>
          <w:rFonts w:eastAsiaTheme="majorEastAsia"/>
          <w:color w:val="000000" w:themeColor="text1"/>
          <w:lang w:eastAsia="zh-CN"/>
        </w:rPr>
        <w:t xml:space="preserve">, </w:t>
      </w:r>
      <w:r w:rsidRPr="00A0092C">
        <w:rPr>
          <w:rFonts w:eastAsiaTheme="majorEastAsia"/>
          <w:i/>
          <w:color w:val="000000" w:themeColor="text1"/>
          <w:lang w:eastAsia="zh-CN"/>
        </w:rPr>
        <w:t>52</w:t>
      </w:r>
      <w:r w:rsidRPr="00A0092C">
        <w:rPr>
          <w:rFonts w:eastAsiaTheme="majorEastAsia"/>
          <w:color w:val="000000" w:themeColor="text1"/>
          <w:lang w:eastAsia="zh-CN"/>
        </w:rPr>
        <w:t>, 317-332.</w:t>
      </w:r>
      <w:r w:rsidRPr="00A0092C">
        <w:rPr>
          <w:b/>
          <w:bCs/>
          <w:i/>
          <w:iCs/>
          <w:color w:val="6A6A6A"/>
          <w:shd w:val="clear" w:color="auto" w:fill="FFFFFF"/>
        </w:rPr>
        <w:t xml:space="preserve"> </w:t>
      </w:r>
    </w:p>
    <w:p w14:paraId="38E6F35D" w14:textId="77777777" w:rsidR="000666A9" w:rsidRPr="00CC1507" w:rsidRDefault="000666A9" w:rsidP="000666A9">
      <w:pPr>
        <w:keepNext/>
        <w:keepLines/>
        <w:shd w:val="clear" w:color="auto" w:fill="FFFFFF"/>
        <w:spacing w:line="480" w:lineRule="auto"/>
        <w:ind w:left="720" w:hanging="720"/>
        <w:rPr>
          <w:rFonts w:eastAsiaTheme="majorEastAsia"/>
          <w:lang w:eastAsia="zh-CN"/>
        </w:rPr>
      </w:pPr>
      <w:r>
        <w:rPr>
          <w:rStyle w:val="Emphasis"/>
          <w:bCs/>
          <w:i w:val="0"/>
          <w:iCs w:val="0"/>
          <w:shd w:val="clear" w:color="auto" w:fill="FFFFFF"/>
        </w:rPr>
        <w:t xml:space="preserve">            </w:t>
      </w:r>
      <w:r w:rsidRPr="00CC1507">
        <w:rPr>
          <w:rStyle w:val="Emphasis"/>
          <w:bCs/>
          <w:i w:val="0"/>
          <w:iCs w:val="0"/>
          <w:shd w:val="clear" w:color="auto" w:fill="FFFFFF"/>
        </w:rPr>
        <w:t>doi</w:t>
      </w:r>
      <w:r w:rsidRPr="00CC1507">
        <w:rPr>
          <w:shd w:val="clear" w:color="auto" w:fill="FFFFFF"/>
        </w:rPr>
        <w:t>: 0.1007/BF02294359</w:t>
      </w:r>
    </w:p>
    <w:p w14:paraId="0F130071" w14:textId="77777777" w:rsidR="000666A9" w:rsidRPr="00A0092C" w:rsidRDefault="000666A9" w:rsidP="000666A9">
      <w:pPr>
        <w:spacing w:line="480" w:lineRule="auto"/>
        <w:ind w:left="720" w:hanging="720"/>
        <w:contextualSpacing/>
      </w:pPr>
      <w:r w:rsidRPr="00A0092C">
        <w:t xml:space="preserve">Abayomi, K., Gelman, A., &amp; Levy, M. (2008).  Diagnostics for multivariate imputations. </w:t>
      </w:r>
      <w:r w:rsidRPr="00A0092C">
        <w:rPr>
          <w:i/>
        </w:rPr>
        <w:t>Journal of the Royal Statistical Society: Series C (Applied Statistics)</w:t>
      </w:r>
      <w:r w:rsidRPr="00A0092C">
        <w:t xml:space="preserve">, </w:t>
      </w:r>
      <w:r w:rsidRPr="00A0092C">
        <w:rPr>
          <w:i/>
        </w:rPr>
        <w:t>57(3)</w:t>
      </w:r>
      <w:r w:rsidRPr="00A0092C">
        <w:t xml:space="preserve">, 273-291. </w:t>
      </w:r>
    </w:p>
    <w:p w14:paraId="6704B7BB" w14:textId="77777777" w:rsidR="000666A9" w:rsidRPr="00A0092C" w:rsidRDefault="000666A9" w:rsidP="000666A9">
      <w:pPr>
        <w:spacing w:line="480" w:lineRule="auto"/>
        <w:ind w:left="720" w:hanging="720"/>
        <w:contextualSpacing/>
      </w:pPr>
      <w:r w:rsidRPr="00A0092C">
        <w:t>Barber, B. K. (2013). Annual research review: The experience of youth with political conflict—Challenging notions of resilience and encouraging research refinement.</w:t>
      </w:r>
      <w:r w:rsidRPr="00A0092C">
        <w:rPr>
          <w:i/>
          <w:iCs/>
        </w:rPr>
        <w:t> Journal of Child Psychology and Psychiatry, 54</w:t>
      </w:r>
      <w:r w:rsidRPr="00A0092C">
        <w:t>, 461-473.</w:t>
      </w:r>
      <w:r w:rsidRPr="00A0092C">
        <w:rPr>
          <w:color w:val="000000"/>
          <w:shd w:val="clear" w:color="auto" w:fill="FFFFFF"/>
        </w:rPr>
        <w:t xml:space="preserve"> doi: 10.1111/jcpp.12056. </w:t>
      </w:r>
    </w:p>
    <w:p w14:paraId="3B09621E" w14:textId="77777777" w:rsidR="000666A9" w:rsidRPr="00A0092C" w:rsidRDefault="000666A9" w:rsidP="000666A9">
      <w:pPr>
        <w:spacing w:line="480" w:lineRule="auto"/>
        <w:ind w:left="720" w:hanging="720"/>
        <w:contextualSpacing/>
      </w:pPr>
      <w:r w:rsidRPr="00A0092C">
        <w:rPr>
          <w:shd w:val="clear" w:color="auto" w:fill="FFFFFF"/>
        </w:rPr>
        <w:t>Barber, B. K., &amp; Schluterman, J. M. (2008). An overview of the empirical literature on adolescents and political violence. </w:t>
      </w:r>
      <w:r w:rsidRPr="00A0092C">
        <w:rPr>
          <w:i/>
          <w:iCs/>
        </w:rPr>
        <w:t>Adolescents and War: How Youth Deal with Political Violence: How Youth Deal with Political Violence</w:t>
      </w:r>
      <w:r w:rsidRPr="00A0092C">
        <w:t>, 35.</w:t>
      </w:r>
    </w:p>
    <w:p w14:paraId="7205E2ED" w14:textId="77777777" w:rsidR="000666A9" w:rsidRPr="00A0092C" w:rsidRDefault="000666A9" w:rsidP="000666A9">
      <w:pPr>
        <w:spacing w:line="480" w:lineRule="auto"/>
        <w:ind w:left="720" w:hanging="720"/>
        <w:contextualSpacing/>
      </w:pPr>
      <w:r w:rsidRPr="00A0092C">
        <w:t xml:space="preserve">Bentler, P. M. (1990). Comparative fit indexes in structural models. </w:t>
      </w:r>
      <w:r w:rsidRPr="00A0092C">
        <w:rPr>
          <w:i/>
        </w:rPr>
        <w:t>Psychological bulletin</w:t>
      </w:r>
      <w:r w:rsidRPr="00A0092C">
        <w:t>, 107(2), 238.</w:t>
      </w:r>
      <w:r w:rsidRPr="00CC1507">
        <w:t xml:space="preserve"> </w:t>
      </w:r>
      <w:hyperlink r:id="rId11" w:tgtFrame="_blank" w:history="1">
        <w:r w:rsidRPr="00CC1507">
          <w:t>doi:</w:t>
        </w:r>
        <w:r>
          <w:t xml:space="preserve"> </w:t>
        </w:r>
        <w:r w:rsidRPr="00CC1507">
          <w:t>org/10.1037/0033-2909.107.2.238</w:t>
        </w:r>
      </w:hyperlink>
    </w:p>
    <w:p w14:paraId="66DF899E" w14:textId="77777777" w:rsidR="000666A9" w:rsidRDefault="000666A9" w:rsidP="000666A9">
      <w:pPr>
        <w:spacing w:beforeAutospacing="1" w:afterAutospacing="1"/>
      </w:pPr>
      <w:r w:rsidRPr="00A0092C">
        <w:t xml:space="preserve">Betancourt, T. S. &amp; Khan, K. T. (2008). The mental health of children affected by armed </w:t>
      </w:r>
    </w:p>
    <w:p w14:paraId="28AF656A" w14:textId="77777777" w:rsidR="000666A9" w:rsidRDefault="000666A9" w:rsidP="000666A9">
      <w:pPr>
        <w:spacing w:beforeAutospacing="1" w:afterAutospacing="1"/>
        <w:rPr>
          <w:i/>
        </w:rPr>
      </w:pPr>
      <w:r>
        <w:t xml:space="preserve">           </w:t>
      </w:r>
      <w:r w:rsidRPr="00A0092C">
        <w:t xml:space="preserve">conflict: Protective processes and pathways to resilience. </w:t>
      </w:r>
      <w:r w:rsidRPr="00A0092C">
        <w:rPr>
          <w:i/>
        </w:rPr>
        <w:t xml:space="preserve">International Review of </w:t>
      </w:r>
    </w:p>
    <w:p w14:paraId="6BD26660" w14:textId="77777777" w:rsidR="000666A9" w:rsidRPr="00CC1507" w:rsidRDefault="000666A9" w:rsidP="000666A9">
      <w:pPr>
        <w:spacing w:beforeAutospacing="1" w:afterAutospacing="1"/>
        <w:rPr>
          <w:rFonts w:ascii="Arial" w:eastAsia="Times New Roman" w:hAnsi="Arial" w:cs="Arial"/>
          <w:color w:val="333333"/>
          <w:sz w:val="20"/>
          <w:szCs w:val="20"/>
        </w:rPr>
      </w:pPr>
      <w:r>
        <w:rPr>
          <w:i/>
        </w:rPr>
        <w:t xml:space="preserve">           </w:t>
      </w:r>
      <w:r w:rsidRPr="00A0092C">
        <w:rPr>
          <w:i/>
        </w:rPr>
        <w:t>Psychiatry</w:t>
      </w:r>
      <w:r w:rsidRPr="00A0092C">
        <w:t xml:space="preserve">, </w:t>
      </w:r>
      <w:r w:rsidRPr="00A0092C">
        <w:rPr>
          <w:i/>
        </w:rPr>
        <w:t>20</w:t>
      </w:r>
      <w:r w:rsidRPr="00A0092C">
        <w:t>(3), 317-328</w:t>
      </w:r>
      <w:r w:rsidRPr="00CC1507">
        <w:t xml:space="preserve">. </w:t>
      </w:r>
      <w:hyperlink r:id="rId12" w:history="1">
        <w:r w:rsidRPr="00CC1507">
          <w:rPr>
            <w:rFonts w:ascii="Arial" w:eastAsia="Times New Roman" w:hAnsi="Arial" w:cs="Arial"/>
            <w:sz w:val="20"/>
            <w:szCs w:val="20"/>
          </w:rPr>
          <w:t>d</w:t>
        </w:r>
        <w:r w:rsidRPr="00CC1507">
          <w:rPr>
            <w:rFonts w:eastAsia="Times New Roman"/>
          </w:rPr>
          <w:t>oi: org/10.1080/09540260802090363</w:t>
        </w:r>
      </w:hyperlink>
    </w:p>
    <w:p w14:paraId="01AE6D09" w14:textId="77777777" w:rsidR="000666A9" w:rsidRDefault="000666A9" w:rsidP="000666A9">
      <w:pPr>
        <w:tabs>
          <w:tab w:val="left" w:pos="810"/>
        </w:tabs>
        <w:spacing w:line="480" w:lineRule="auto"/>
        <w:ind w:left="720" w:hanging="720"/>
        <w:contextualSpacing/>
      </w:pPr>
    </w:p>
    <w:p w14:paraId="1B99A500" w14:textId="77777777" w:rsidR="000666A9" w:rsidRPr="00A0092C" w:rsidRDefault="000666A9" w:rsidP="000666A9">
      <w:pPr>
        <w:tabs>
          <w:tab w:val="left" w:pos="810"/>
        </w:tabs>
        <w:spacing w:line="480" w:lineRule="auto"/>
        <w:ind w:left="720" w:hanging="720"/>
        <w:contextualSpacing/>
      </w:pPr>
      <w:r w:rsidRPr="00A0092C">
        <w:rPr>
          <w:color w:val="231F20"/>
        </w:rPr>
        <w:lastRenderedPageBreak/>
        <w:t xml:space="preserve">Betancourt, T. S., Borisova, I. I., Williams, T. P., Brennan, R. T., Whitfield, T. H., de la Soudiere, M., et al. (2010). Sierra Leone’s former child soldiers: A follow-up study of psychosocial adjustment and community reintegration. </w:t>
      </w:r>
      <w:r w:rsidRPr="00A0092C">
        <w:rPr>
          <w:i/>
          <w:color w:val="231F20"/>
        </w:rPr>
        <w:t>Child Development, 81</w:t>
      </w:r>
      <w:r w:rsidRPr="00A0092C">
        <w:rPr>
          <w:color w:val="231F20"/>
        </w:rPr>
        <w:t>, 1077–1095.</w:t>
      </w:r>
      <w:r w:rsidRPr="00677962">
        <w:rPr>
          <w:bCs/>
          <w:i/>
          <w:iCs/>
          <w:shd w:val="clear" w:color="auto" w:fill="FFFFFF"/>
        </w:rPr>
        <w:t xml:space="preserve"> </w:t>
      </w:r>
      <w:r w:rsidRPr="00677962">
        <w:rPr>
          <w:rStyle w:val="Emphasis"/>
          <w:bCs/>
          <w:i w:val="0"/>
          <w:iCs w:val="0"/>
          <w:shd w:val="clear" w:color="auto" w:fill="FFFFFF"/>
        </w:rPr>
        <w:t>doi</w:t>
      </w:r>
      <w:r w:rsidRPr="00677962">
        <w:rPr>
          <w:shd w:val="clear" w:color="auto" w:fill="FFFFFF"/>
        </w:rPr>
        <w:t>: 10.1080/09540260802090363</w:t>
      </w:r>
    </w:p>
    <w:p w14:paraId="705BA35A" w14:textId="77777777" w:rsidR="000666A9" w:rsidRPr="00A0092C" w:rsidRDefault="000666A9" w:rsidP="000666A9">
      <w:pPr>
        <w:tabs>
          <w:tab w:val="left" w:pos="810"/>
        </w:tabs>
        <w:spacing w:line="480" w:lineRule="auto"/>
        <w:ind w:left="720" w:hanging="720"/>
        <w:contextualSpacing/>
      </w:pPr>
      <w:r w:rsidRPr="00A0092C">
        <w:t xml:space="preserve">Betancourt, T. S., McBain, R., Newnham, E. A., &amp; Brennan, R. T. (2013). Trajectories of internalizing problems in war-affected Sierra Leonean youth: Examining conflict and postconflict factors. </w:t>
      </w:r>
      <w:r w:rsidRPr="00A0092C">
        <w:rPr>
          <w:i/>
        </w:rPr>
        <w:t>Child Development</w:t>
      </w:r>
      <w:r w:rsidRPr="00A0092C">
        <w:t xml:space="preserve">, </w:t>
      </w:r>
      <w:r w:rsidRPr="00A0092C">
        <w:rPr>
          <w:i/>
        </w:rPr>
        <w:t>84</w:t>
      </w:r>
      <w:r w:rsidRPr="00A0092C">
        <w:t xml:space="preserve">(2), 455-470. </w:t>
      </w:r>
      <w:r w:rsidRPr="00677962">
        <w:rPr>
          <w:rStyle w:val="Emphasis"/>
          <w:bCs/>
          <w:i w:val="0"/>
          <w:iCs w:val="0"/>
          <w:shd w:val="clear" w:color="auto" w:fill="FFFFFF"/>
        </w:rPr>
        <w:t>doi</w:t>
      </w:r>
      <w:r w:rsidRPr="00677962">
        <w:rPr>
          <w:shd w:val="clear" w:color="auto" w:fill="FFFFFF"/>
        </w:rPr>
        <w:t>:10.1016/j.ejogrb.2016.07.487</w:t>
      </w:r>
    </w:p>
    <w:p w14:paraId="0696A6F0" w14:textId="77777777" w:rsidR="000666A9" w:rsidRPr="00A0092C" w:rsidRDefault="000666A9" w:rsidP="000666A9">
      <w:pPr>
        <w:spacing w:line="480" w:lineRule="auto"/>
        <w:ind w:left="720" w:hanging="720"/>
        <w:contextualSpacing/>
      </w:pPr>
      <w:r w:rsidRPr="00A0092C">
        <w:t xml:space="preserve">Betancourt, T. S., McBain, R., Newnham, E. A., &amp; Brennan, R. T., Akinsulure-Smith, A. M., Brennan, R. T., Weisz, J. R., &amp; Hansen, N. B.et al. (2014). A behavioral intervention for war-afftected youth in Sierra Leone: A randomized control trial. </w:t>
      </w:r>
      <w:r w:rsidRPr="00A0092C">
        <w:rPr>
          <w:i/>
        </w:rPr>
        <w:t>Journal of the American Academy of Child &amp; Adolescent Psychiatry</w:t>
      </w:r>
      <w:r w:rsidRPr="00A0092C">
        <w:t xml:space="preserve">, </w:t>
      </w:r>
      <w:r w:rsidRPr="00A0092C">
        <w:rPr>
          <w:i/>
        </w:rPr>
        <w:t>53(12)</w:t>
      </w:r>
      <w:r w:rsidRPr="00A0092C">
        <w:t xml:space="preserve">, 1288-1297. </w:t>
      </w:r>
    </w:p>
    <w:p w14:paraId="5C8F06C0" w14:textId="77777777" w:rsidR="000666A9" w:rsidRDefault="000666A9" w:rsidP="000666A9">
      <w:pPr>
        <w:spacing w:line="480" w:lineRule="auto"/>
        <w:ind w:left="720" w:hanging="720"/>
        <w:contextualSpacing/>
      </w:pPr>
      <w:r w:rsidRPr="00A0092C">
        <w:t xml:space="preserve">Betancourt, T. S., Meyers-Ohki, S. E., Charrow, A. P., &amp; Tol, W. A. (2013). Interventions for children affected by war: an ecological perspective on psychosocial support and mental health care. </w:t>
      </w:r>
      <w:r w:rsidRPr="00A0092C">
        <w:rPr>
          <w:i/>
        </w:rPr>
        <w:t>Harvard Review of Pyschiatry</w:t>
      </w:r>
      <w:r w:rsidRPr="00A0092C">
        <w:t xml:space="preserve">, </w:t>
      </w:r>
      <w:r w:rsidRPr="00A0092C">
        <w:rPr>
          <w:i/>
        </w:rPr>
        <w:t>21</w:t>
      </w:r>
      <w:r w:rsidRPr="00A0092C">
        <w:t xml:space="preserve">(2), 70-91. </w:t>
      </w:r>
      <w:r w:rsidRPr="00D4071B">
        <w:rPr>
          <w:color w:val="000000"/>
          <w:shd w:val="clear" w:color="auto" w:fill="FFFFFF"/>
        </w:rPr>
        <w:t>doi: 10.1097/HRP.0b013e318283bf8f</w:t>
      </w:r>
    </w:p>
    <w:p w14:paraId="7602CB1D" w14:textId="77777777" w:rsidR="000666A9" w:rsidRPr="00A0092C" w:rsidRDefault="000666A9" w:rsidP="000666A9">
      <w:pPr>
        <w:spacing w:line="480" w:lineRule="auto"/>
        <w:ind w:left="720" w:hanging="720"/>
        <w:contextualSpacing/>
      </w:pPr>
      <w:r w:rsidRPr="00A0092C">
        <w:rPr>
          <w:color w:val="231F20"/>
        </w:rPr>
        <w:t xml:space="preserve">Browning, C. R., Burrington, L. A., Leventhal, T., &amp; Brooks-Gunn, J. (2008). Neighborhood structural inequality, collective efficacy, and sexual risk behavior among urban youth. </w:t>
      </w:r>
      <w:r w:rsidRPr="00A0092C">
        <w:rPr>
          <w:i/>
          <w:color w:val="231F20"/>
        </w:rPr>
        <w:t>Journal of Health and Social Behavior, 49</w:t>
      </w:r>
      <w:r w:rsidRPr="00A0092C">
        <w:rPr>
          <w:color w:val="231F20"/>
        </w:rPr>
        <w:t>, 269–285.</w:t>
      </w:r>
    </w:p>
    <w:p w14:paraId="64370FCB" w14:textId="77777777" w:rsidR="000666A9" w:rsidRPr="00A0092C" w:rsidRDefault="000666A9" w:rsidP="000666A9">
      <w:pPr>
        <w:spacing w:line="480" w:lineRule="auto"/>
        <w:ind w:left="720" w:hanging="720"/>
        <w:contextualSpacing/>
      </w:pPr>
      <w:r w:rsidRPr="00A0092C">
        <w:t xml:space="preserve">Boxer, P., Huesmann, L. R., Dubow, E. F., Landau, S. F., Gvirsman, S. D., Shikaki, K., &amp; Ginges, J. (2013). Exposure to violence across the social ecosystem and the development of aggression: A test of ecological theory in the Israeli-Palestinian conflict. </w:t>
      </w:r>
      <w:r w:rsidRPr="00A0092C">
        <w:rPr>
          <w:i/>
        </w:rPr>
        <w:t>Child Development</w:t>
      </w:r>
      <w:r w:rsidRPr="00A0092C">
        <w:t xml:space="preserve">, </w:t>
      </w:r>
      <w:r w:rsidRPr="00A0092C">
        <w:rPr>
          <w:i/>
        </w:rPr>
        <w:t>84</w:t>
      </w:r>
      <w:r w:rsidRPr="00A0092C">
        <w:t xml:space="preserve">(1), 163-177. </w:t>
      </w:r>
      <w:r w:rsidRPr="00A0092C">
        <w:rPr>
          <w:color w:val="000000"/>
          <w:shd w:val="clear" w:color="auto" w:fill="FFFFFF"/>
        </w:rPr>
        <w:t> </w:t>
      </w:r>
      <w:r w:rsidRPr="00A0092C">
        <w:rPr>
          <w:shd w:val="clear" w:color="auto" w:fill="FFFFFF"/>
        </w:rPr>
        <w:t>doi:  </w:t>
      </w:r>
      <w:hyperlink r:id="rId13" w:tgtFrame="pmc_ext" w:history="1">
        <w:r w:rsidRPr="00A0092C">
          <w:rPr>
            <w:shd w:val="clear" w:color="auto" w:fill="FFFFFF"/>
          </w:rPr>
          <w:t>10.1111/j.1467-8624.2012.01848.x</w:t>
        </w:r>
      </w:hyperlink>
    </w:p>
    <w:p w14:paraId="2F65CD1E" w14:textId="77777777" w:rsidR="000666A9" w:rsidRPr="00A0092C" w:rsidRDefault="000666A9" w:rsidP="000666A9">
      <w:pPr>
        <w:spacing w:line="480" w:lineRule="auto"/>
        <w:ind w:left="720" w:hanging="720"/>
        <w:contextualSpacing/>
      </w:pPr>
      <w:r w:rsidRPr="00A0092C">
        <w:lastRenderedPageBreak/>
        <w:t xml:space="preserve">Cairns, E., &amp; Darby, J. (1998). The conflict in Northern Ireland: Causes, consequences, and controls. </w:t>
      </w:r>
      <w:r w:rsidRPr="00A0092C">
        <w:rPr>
          <w:i/>
        </w:rPr>
        <w:t>American Psychologist, 53</w:t>
      </w:r>
      <w:r w:rsidRPr="00A0092C">
        <w:t xml:space="preserve">, 754-760. </w:t>
      </w:r>
      <w:hyperlink r:id="rId14" w:tgtFrame="_blank" w:history="1">
        <w:r w:rsidRPr="00A0092C">
          <w:t>doi.org/10.1037/0003-066X.53.7.754</w:t>
        </w:r>
      </w:hyperlink>
    </w:p>
    <w:p w14:paraId="6F7AC0BA" w14:textId="77777777" w:rsidR="000666A9" w:rsidRPr="00A0092C" w:rsidRDefault="000666A9" w:rsidP="000666A9">
      <w:pPr>
        <w:spacing w:line="480" w:lineRule="auto"/>
        <w:ind w:left="720" w:hanging="720"/>
        <w:contextualSpacing/>
        <w:rPr>
          <w:i/>
        </w:rPr>
      </w:pPr>
      <w:r w:rsidRPr="00A0092C">
        <w:t xml:space="preserve">Cairns, E., &amp; Dawes, A. (1996). Ethnic and political violence – A commentary. </w:t>
      </w:r>
      <w:r w:rsidRPr="00A0092C">
        <w:rPr>
          <w:i/>
        </w:rPr>
        <w:t>Child Development</w:t>
      </w:r>
      <w:r w:rsidRPr="00A0092C">
        <w:t xml:space="preserve">, </w:t>
      </w:r>
      <w:r w:rsidRPr="00A0092C">
        <w:rPr>
          <w:i/>
        </w:rPr>
        <w:t>67</w:t>
      </w:r>
      <w:r w:rsidRPr="00A0092C">
        <w:t xml:space="preserve">(1), 129-139. </w:t>
      </w:r>
      <w:r>
        <w:rPr>
          <w:rStyle w:val="article-headermeta-info-label"/>
          <w:bCs/>
          <w:color w:val="333333"/>
          <w:bdr w:val="none" w:sz="0" w:space="0" w:color="auto" w:frame="1"/>
          <w:shd w:val="clear" w:color="auto" w:fill="FFFFFF"/>
        </w:rPr>
        <w:t>doi</w:t>
      </w:r>
      <w:r w:rsidRPr="009F2D63">
        <w:rPr>
          <w:rStyle w:val="article-headermeta-info-label"/>
          <w:bCs/>
          <w:color w:val="333333"/>
          <w:bdr w:val="none" w:sz="0" w:space="0" w:color="auto" w:frame="1"/>
          <w:shd w:val="clear" w:color="auto" w:fill="FFFFFF"/>
        </w:rPr>
        <w:t>:</w:t>
      </w:r>
      <w:r>
        <w:rPr>
          <w:rStyle w:val="apple-converted-space"/>
          <w:bCs/>
          <w:color w:val="333333"/>
          <w:bdr w:val="none" w:sz="0" w:space="0" w:color="auto" w:frame="1"/>
          <w:shd w:val="clear" w:color="auto" w:fill="FFFFFF"/>
        </w:rPr>
        <w:t xml:space="preserve"> </w:t>
      </w:r>
      <w:r w:rsidRPr="009F2D63">
        <w:rPr>
          <w:rStyle w:val="article-headermeta-info-data"/>
          <w:color w:val="333333"/>
          <w:bdr w:val="none" w:sz="0" w:space="0" w:color="auto" w:frame="1"/>
          <w:shd w:val="clear" w:color="auto" w:fill="FFFFFF"/>
        </w:rPr>
        <w:t>10.1111/j.1467-8624.1996.tb01724.x</w:t>
      </w:r>
    </w:p>
    <w:p w14:paraId="53408EB0" w14:textId="77777777" w:rsidR="000666A9" w:rsidRPr="00A0092C" w:rsidRDefault="000666A9" w:rsidP="000666A9">
      <w:pPr>
        <w:spacing w:line="480" w:lineRule="auto"/>
        <w:ind w:left="720" w:hanging="720"/>
        <w:contextualSpacing/>
        <w:rPr>
          <w:i/>
        </w:rPr>
      </w:pPr>
      <w:r w:rsidRPr="00A0092C">
        <w:t xml:space="preserve">Cummings, E. M., Davies, P. T., &amp; Campbell, S. B. (2000). </w:t>
      </w:r>
      <w:r w:rsidRPr="00A0092C">
        <w:rPr>
          <w:i/>
        </w:rPr>
        <w:t>Developmental psychopathology and family process: Theory, research, and clinical implications</w:t>
      </w:r>
      <w:r w:rsidRPr="00A0092C">
        <w:t xml:space="preserve">. New York: Guilford Press. </w:t>
      </w:r>
    </w:p>
    <w:p w14:paraId="6EAEDE29" w14:textId="77777777" w:rsidR="000666A9" w:rsidRPr="00A0092C" w:rsidRDefault="000666A9" w:rsidP="000666A9">
      <w:pPr>
        <w:spacing w:line="480" w:lineRule="auto"/>
        <w:ind w:left="720" w:hanging="720"/>
        <w:contextualSpacing/>
      </w:pPr>
      <w:r w:rsidRPr="00A0092C">
        <w:t xml:space="preserve">Cummings, E. M., George, M. R. W., McCoy, K. P., &amp; Davies, P. T. (2012). Interparental conflict in kindergarten and adolescent adjustment: Prospective investigation of emotional security as an explanatory mechanism. </w:t>
      </w:r>
      <w:r w:rsidRPr="00A0092C">
        <w:rPr>
          <w:i/>
        </w:rPr>
        <w:t>Child Development</w:t>
      </w:r>
      <w:r w:rsidRPr="00A0092C">
        <w:t xml:space="preserve">, </w:t>
      </w:r>
      <w:r w:rsidRPr="00A0092C">
        <w:rPr>
          <w:i/>
        </w:rPr>
        <w:t>83</w:t>
      </w:r>
      <w:r w:rsidRPr="00A0092C">
        <w:t xml:space="preserve">(5), 1703-1715. </w:t>
      </w:r>
      <w:r>
        <w:rPr>
          <w:rStyle w:val="article-headermeta-info-label"/>
          <w:bCs/>
          <w:color w:val="333333"/>
          <w:bdr w:val="none" w:sz="0" w:space="0" w:color="auto" w:frame="1"/>
          <w:shd w:val="clear" w:color="auto" w:fill="FFFFFF"/>
        </w:rPr>
        <w:t>doi</w:t>
      </w:r>
      <w:r w:rsidRPr="009F2D63">
        <w:rPr>
          <w:rStyle w:val="article-headermeta-info-label"/>
          <w:bCs/>
          <w:color w:val="333333"/>
          <w:bdr w:val="none" w:sz="0" w:space="0" w:color="auto" w:frame="1"/>
          <w:shd w:val="clear" w:color="auto" w:fill="FFFFFF"/>
        </w:rPr>
        <w:t>:</w:t>
      </w:r>
      <w:r w:rsidRPr="009F2D63">
        <w:rPr>
          <w:rStyle w:val="apple-converted-space"/>
          <w:bCs/>
          <w:color w:val="333333"/>
          <w:bdr w:val="none" w:sz="0" w:space="0" w:color="auto" w:frame="1"/>
          <w:shd w:val="clear" w:color="auto" w:fill="FFFFFF"/>
        </w:rPr>
        <w:t> </w:t>
      </w:r>
      <w:r w:rsidRPr="009F2D63">
        <w:rPr>
          <w:rStyle w:val="article-headermeta-info-data"/>
          <w:color w:val="333333"/>
          <w:bdr w:val="none" w:sz="0" w:space="0" w:color="auto" w:frame="1"/>
          <w:shd w:val="clear" w:color="auto" w:fill="FFFFFF"/>
        </w:rPr>
        <w:t>10.1111/j.1467-8624.2012.01807.x</w:t>
      </w:r>
    </w:p>
    <w:p w14:paraId="458DBE22" w14:textId="77777777" w:rsidR="000666A9" w:rsidRPr="00A0092C" w:rsidRDefault="000666A9" w:rsidP="000666A9">
      <w:pPr>
        <w:spacing w:line="480" w:lineRule="auto"/>
        <w:ind w:left="720" w:hanging="720"/>
        <w:contextualSpacing/>
      </w:pPr>
      <w:r w:rsidRPr="00A0092C">
        <w:rPr>
          <w:shd w:val="clear" w:color="auto" w:fill="FFFFFF"/>
        </w:rPr>
        <w:t>Cummings, E. M., Goeke</w:t>
      </w:r>
      <w:r w:rsidRPr="00A0092C">
        <w:rPr>
          <w:rFonts w:ascii="Cambria Math" w:hAnsi="Cambria Math" w:cs="Cambria Math"/>
          <w:shd w:val="clear" w:color="auto" w:fill="FFFFFF"/>
        </w:rPr>
        <w:t>‐</w:t>
      </w:r>
      <w:r w:rsidRPr="00A0092C">
        <w:rPr>
          <w:shd w:val="clear" w:color="auto" w:fill="FFFFFF"/>
        </w:rPr>
        <w:t>Morey, M. C., Merrilees, C. E., Taylor, L. K., &amp; Shirlow, P. (2014). A Social–Ecological, Process</w:t>
      </w:r>
      <w:r w:rsidRPr="00A0092C">
        <w:rPr>
          <w:rFonts w:ascii="Cambria Math" w:hAnsi="Cambria Math" w:cs="Cambria Math"/>
          <w:shd w:val="clear" w:color="auto" w:fill="FFFFFF"/>
        </w:rPr>
        <w:t>‐</w:t>
      </w:r>
      <w:r w:rsidRPr="00A0092C">
        <w:rPr>
          <w:shd w:val="clear" w:color="auto" w:fill="FFFFFF"/>
        </w:rPr>
        <w:t>Oriented Perspective on Political Violence and Child Development. </w:t>
      </w:r>
      <w:r w:rsidRPr="00A0092C">
        <w:rPr>
          <w:i/>
          <w:iCs/>
        </w:rPr>
        <w:t>Child Development Perspectives</w:t>
      </w:r>
      <w:r w:rsidRPr="00A0092C">
        <w:t>,</w:t>
      </w:r>
      <w:r w:rsidRPr="00A0092C">
        <w:rPr>
          <w:i/>
          <w:iCs/>
        </w:rPr>
        <w:t>8</w:t>
      </w:r>
      <w:r w:rsidRPr="00A0092C">
        <w:t>(2), 82-89.</w:t>
      </w:r>
    </w:p>
    <w:p w14:paraId="69C40646" w14:textId="77777777" w:rsidR="000666A9" w:rsidRPr="00A0092C" w:rsidRDefault="000666A9" w:rsidP="000666A9">
      <w:pPr>
        <w:spacing w:line="480" w:lineRule="auto"/>
        <w:ind w:left="720" w:hanging="720"/>
        <w:contextualSpacing/>
        <w:rPr>
          <w:iCs/>
        </w:rPr>
      </w:pPr>
      <w:r w:rsidRPr="00A0092C">
        <w:rPr>
          <w:iCs/>
        </w:rPr>
        <w:t xml:space="preserve">Cummings, E. M., Goeke-Morey, M. C., Schermerhorn, A. C., Merrilees, C. E., &amp; Cairns, E. (2009). Children and political violence from a social ecological perspective: Implications for research on children and families in Northern Ireland. </w:t>
      </w:r>
      <w:r w:rsidRPr="00A0092C">
        <w:rPr>
          <w:i/>
          <w:iCs/>
        </w:rPr>
        <w:t>Clinical Child and Family Psychology Review</w:t>
      </w:r>
      <w:r w:rsidRPr="00A0092C">
        <w:rPr>
          <w:iCs/>
        </w:rPr>
        <w:t xml:space="preserve">, </w:t>
      </w:r>
      <w:r w:rsidRPr="00A0092C">
        <w:rPr>
          <w:i/>
          <w:iCs/>
        </w:rPr>
        <w:t>12</w:t>
      </w:r>
      <w:r w:rsidRPr="00A0092C">
        <w:rPr>
          <w:iCs/>
        </w:rPr>
        <w:t xml:space="preserve">(1), 16-38. </w:t>
      </w:r>
      <w:r w:rsidRPr="00A0092C">
        <w:rPr>
          <w:rStyle w:val="apple-converted-space"/>
          <w:color w:val="545454"/>
          <w:shd w:val="clear" w:color="auto" w:fill="FFFFFF"/>
        </w:rPr>
        <w:t> </w:t>
      </w:r>
      <w:r w:rsidRPr="009F2D63">
        <w:rPr>
          <w:shd w:val="clear" w:color="auto" w:fill="FFFFFF"/>
        </w:rPr>
        <w:t>doi:</w:t>
      </w:r>
      <w:r>
        <w:rPr>
          <w:shd w:val="clear" w:color="auto" w:fill="FFFFFF"/>
        </w:rPr>
        <w:t xml:space="preserve"> </w:t>
      </w:r>
      <w:r w:rsidRPr="009F2D63">
        <w:rPr>
          <w:shd w:val="clear" w:color="auto" w:fill="FFFFFF"/>
        </w:rPr>
        <w:t>10.1007/s10567-009-0041-8</w:t>
      </w:r>
    </w:p>
    <w:p w14:paraId="2031A929" w14:textId="77777777" w:rsidR="000666A9" w:rsidRPr="00A0092C" w:rsidRDefault="000666A9" w:rsidP="000666A9">
      <w:pPr>
        <w:spacing w:line="480" w:lineRule="auto"/>
        <w:ind w:left="720" w:hanging="720"/>
        <w:contextualSpacing/>
        <w:rPr>
          <w:iCs/>
        </w:rPr>
      </w:pPr>
      <w:r w:rsidRPr="00A0092C">
        <w:rPr>
          <w:iCs/>
        </w:rPr>
        <w:t xml:space="preserve">Cummings, E. M., Merrilees, C. E., Schermerhorn, A. C., Goeke-Morey, M. C., Shirlow, P., &amp; Cairns, E. (2011). Longitudinal pathways between political violence and child adjustment: The role of emotional security about the community in Northern Ireland. </w:t>
      </w:r>
      <w:r w:rsidRPr="00A0092C">
        <w:rPr>
          <w:i/>
          <w:iCs/>
        </w:rPr>
        <w:t>Journal of Abnormal Child Psychology</w:t>
      </w:r>
      <w:r w:rsidRPr="00A0092C">
        <w:rPr>
          <w:iCs/>
        </w:rPr>
        <w:t xml:space="preserve">, </w:t>
      </w:r>
      <w:r w:rsidRPr="00A0092C">
        <w:rPr>
          <w:i/>
          <w:iCs/>
        </w:rPr>
        <w:t>39</w:t>
      </w:r>
      <w:r w:rsidRPr="00A0092C">
        <w:rPr>
          <w:iCs/>
        </w:rPr>
        <w:t xml:space="preserve">, 213-224. </w:t>
      </w:r>
      <w:r w:rsidRPr="009F2D63">
        <w:rPr>
          <w:shd w:val="clear" w:color="auto" w:fill="FFFFFF"/>
        </w:rPr>
        <w:t>doi:</w:t>
      </w:r>
      <w:r>
        <w:rPr>
          <w:shd w:val="clear" w:color="auto" w:fill="FFFFFF"/>
        </w:rPr>
        <w:t xml:space="preserve"> </w:t>
      </w:r>
      <w:hyperlink r:id="rId15" w:tgtFrame="pmc_ext" w:history="1">
        <w:r w:rsidRPr="009F2D63">
          <w:rPr>
            <w:shd w:val="clear" w:color="auto" w:fill="FFFFFF"/>
          </w:rPr>
          <w:t>10.1007/s10802-010-9457-3</w:t>
        </w:r>
      </w:hyperlink>
    </w:p>
    <w:p w14:paraId="2C335BCB" w14:textId="77777777" w:rsidR="000666A9" w:rsidRPr="00A0092C" w:rsidRDefault="000666A9" w:rsidP="000666A9">
      <w:pPr>
        <w:widowControl w:val="0"/>
        <w:autoSpaceDE w:val="0"/>
        <w:autoSpaceDN w:val="0"/>
        <w:adjustRightInd w:val="0"/>
        <w:spacing w:line="480" w:lineRule="auto"/>
        <w:ind w:left="720" w:hanging="720"/>
        <w:rPr>
          <w:rFonts w:eastAsia="Times New Roman"/>
          <w:bCs/>
        </w:rPr>
      </w:pPr>
      <w:r w:rsidRPr="00A0092C">
        <w:rPr>
          <w:rFonts w:eastAsia="Times New Roman"/>
          <w:bCs/>
        </w:rPr>
        <w:t xml:space="preserve">Cummings. E. M., Merrilees, C. M., Schermerhorn, A. C., Goeke-Morey, M. C., Shirlow, P., &amp; Cairns, E.  (2010). Testing a social ecological model for relations between political </w:t>
      </w:r>
      <w:r w:rsidRPr="00A0092C">
        <w:rPr>
          <w:rFonts w:eastAsia="Times New Roman"/>
          <w:bCs/>
        </w:rPr>
        <w:lastRenderedPageBreak/>
        <w:t xml:space="preserve">violence and child adjustment in Northern Ireland. </w:t>
      </w:r>
      <w:r w:rsidRPr="00A0092C">
        <w:rPr>
          <w:rFonts w:eastAsia="Times New Roman"/>
          <w:bCs/>
          <w:i/>
        </w:rPr>
        <w:t xml:space="preserve">Development and Psychopathology, 22, </w:t>
      </w:r>
      <w:r w:rsidRPr="00A0092C">
        <w:rPr>
          <w:rFonts w:eastAsia="Times New Roman"/>
          <w:bCs/>
        </w:rPr>
        <w:t xml:space="preserve">405-418. </w:t>
      </w:r>
    </w:p>
    <w:p w14:paraId="495542AD" w14:textId="77777777" w:rsidR="000666A9" w:rsidRDefault="000666A9" w:rsidP="000666A9">
      <w:pPr>
        <w:shd w:val="clear" w:color="auto" w:fill="FFFFFF"/>
      </w:pPr>
      <w:r w:rsidRPr="00A0092C">
        <w:t xml:space="preserve">Donders, A. R. T., van der Heijden, G. J., Stijnen, T., &amp; Moons, K. G. (2006). Review: a gentle </w:t>
      </w:r>
    </w:p>
    <w:p w14:paraId="66EBCF12" w14:textId="77777777" w:rsidR="000666A9" w:rsidRDefault="000666A9" w:rsidP="000666A9">
      <w:pPr>
        <w:shd w:val="clear" w:color="auto" w:fill="FFFFFF"/>
      </w:pPr>
    </w:p>
    <w:p w14:paraId="7F73D8C6" w14:textId="77777777" w:rsidR="000666A9" w:rsidRDefault="000666A9" w:rsidP="000666A9">
      <w:pPr>
        <w:shd w:val="clear" w:color="auto" w:fill="FFFFFF"/>
      </w:pPr>
      <w:r>
        <w:t xml:space="preserve">          </w:t>
      </w:r>
      <w:r w:rsidRPr="00A0092C">
        <w:t xml:space="preserve">introduction to imputation of missing values. Journal of Clinical Epidemiology, </w:t>
      </w:r>
      <w:r w:rsidRPr="00A0092C">
        <w:rPr>
          <w:i/>
        </w:rPr>
        <w:t>59(10)</w:t>
      </w:r>
      <w:r w:rsidRPr="00A0092C">
        <w:t xml:space="preserve">, </w:t>
      </w:r>
    </w:p>
    <w:p w14:paraId="1A503212" w14:textId="77777777" w:rsidR="000666A9" w:rsidRDefault="000666A9" w:rsidP="000666A9">
      <w:pPr>
        <w:shd w:val="clear" w:color="auto" w:fill="FFFFFF"/>
      </w:pPr>
      <w:r>
        <w:t xml:space="preserve">   </w:t>
      </w:r>
    </w:p>
    <w:p w14:paraId="119DA60C" w14:textId="77777777" w:rsidR="000666A9" w:rsidRDefault="000666A9" w:rsidP="000666A9">
      <w:pPr>
        <w:shd w:val="clear" w:color="auto" w:fill="FFFFFF"/>
        <w:rPr>
          <w:rFonts w:eastAsia="Times New Roman"/>
          <w:color w:val="575757"/>
        </w:rPr>
      </w:pPr>
      <w:r>
        <w:t xml:space="preserve">          </w:t>
      </w:r>
      <w:r w:rsidRPr="00A0092C">
        <w:t xml:space="preserve">1087-1091. </w:t>
      </w:r>
      <w:r w:rsidRPr="00677962">
        <w:rPr>
          <w:rFonts w:eastAsia="Times New Roman"/>
        </w:rPr>
        <w:t>doi:</w:t>
      </w:r>
      <w:hyperlink r:id="rId16" w:history="1">
        <w:r w:rsidRPr="00DE5B3D">
          <w:rPr>
            <w:rFonts w:eastAsia="Times New Roman"/>
          </w:rPr>
          <w:t>10.1016/j.jclinepi.2006.01.014</w:t>
        </w:r>
      </w:hyperlink>
    </w:p>
    <w:p w14:paraId="67F7D51A" w14:textId="77777777" w:rsidR="000666A9" w:rsidRPr="00C61CAD" w:rsidRDefault="000666A9" w:rsidP="000666A9">
      <w:pPr>
        <w:shd w:val="clear" w:color="auto" w:fill="FFFFFF"/>
        <w:rPr>
          <w:rFonts w:eastAsia="Times New Roman"/>
          <w:color w:val="575757"/>
        </w:rPr>
      </w:pPr>
    </w:p>
    <w:p w14:paraId="29B72FDF" w14:textId="77777777" w:rsidR="000666A9" w:rsidRPr="00A0092C" w:rsidRDefault="000666A9" w:rsidP="000666A9">
      <w:pPr>
        <w:spacing w:line="480" w:lineRule="auto"/>
        <w:ind w:left="720" w:hanging="720"/>
        <w:contextualSpacing/>
        <w:rPr>
          <w:iCs/>
        </w:rPr>
      </w:pPr>
      <w:r w:rsidRPr="00A0092C">
        <w:t xml:space="preserve">Dubow E. F., Boxer, P., Huesmann, L. R., Shikaki, K., Landau, S., Gvirsman, S. D., &amp; Ginges, J. (2010). Exposure to conflict and violence across contexts: Relations to adjustment across Palestinian children. </w:t>
      </w:r>
      <w:r w:rsidRPr="00A0092C">
        <w:rPr>
          <w:i/>
        </w:rPr>
        <w:t>Journal of Clinical Child and Adolescent Psychology</w:t>
      </w:r>
      <w:r w:rsidRPr="00A0092C">
        <w:t xml:space="preserve">, </w:t>
      </w:r>
      <w:r w:rsidRPr="00A0092C">
        <w:rPr>
          <w:i/>
        </w:rPr>
        <w:t>39</w:t>
      </w:r>
      <w:r w:rsidRPr="00A0092C">
        <w:t xml:space="preserve">(1), 103-116. </w:t>
      </w:r>
      <w:r w:rsidRPr="00677962">
        <w:rPr>
          <w:shd w:val="clear" w:color="auto" w:fill="FFFFFF"/>
        </w:rPr>
        <w:t>doi: 10.1080/15374410903401153</w:t>
      </w:r>
    </w:p>
    <w:p w14:paraId="73B4474A" w14:textId="77777777" w:rsidR="000666A9" w:rsidRPr="00A0092C" w:rsidRDefault="000666A9" w:rsidP="000666A9">
      <w:pPr>
        <w:spacing w:line="480" w:lineRule="auto"/>
        <w:ind w:left="720" w:hanging="720"/>
        <w:contextualSpacing/>
        <w:rPr>
          <w:iCs/>
        </w:rPr>
      </w:pPr>
      <w:r w:rsidRPr="00A0092C">
        <w:t xml:space="preserve">Dubow, E. F., Huesmann, L. R., &amp; Boxer, P. (2009) A social-cognitive-ecological framework for understanding the impact of exposure to persistent ethnic-political violence on children’s psychosocial adjustment. </w:t>
      </w:r>
      <w:r w:rsidRPr="00A0092C">
        <w:rPr>
          <w:i/>
        </w:rPr>
        <w:t>Clinical Child and Family Psychology Review</w:t>
      </w:r>
      <w:r w:rsidRPr="00A0092C">
        <w:t xml:space="preserve">, </w:t>
      </w:r>
      <w:r w:rsidRPr="00A0092C">
        <w:rPr>
          <w:i/>
        </w:rPr>
        <w:t>12</w:t>
      </w:r>
      <w:r w:rsidRPr="00A0092C">
        <w:t xml:space="preserve">(2), 113-126. </w:t>
      </w:r>
      <w:r w:rsidRPr="00677962">
        <w:rPr>
          <w:shd w:val="clear" w:color="auto" w:fill="FFFFFF"/>
        </w:rPr>
        <w:t>doi: 10.1007/s10567-009-0050-7</w:t>
      </w:r>
    </w:p>
    <w:p w14:paraId="661FD472" w14:textId="77777777" w:rsidR="000666A9" w:rsidRPr="00A0092C" w:rsidRDefault="000666A9" w:rsidP="000666A9">
      <w:pPr>
        <w:spacing w:line="480" w:lineRule="auto"/>
        <w:ind w:left="720" w:hanging="720"/>
        <w:contextualSpacing/>
        <w:rPr>
          <w:iCs/>
        </w:rPr>
      </w:pPr>
      <w:r w:rsidRPr="00A0092C">
        <w:rPr>
          <w:shd w:val="clear" w:color="auto" w:fill="FFFFFF"/>
        </w:rPr>
        <w:t>Enders, C. K., &amp; Bandalos, D. L. (2001). The relative performance of full information maximum likelihood estimation for missing data in structural equation models. </w:t>
      </w:r>
      <w:r w:rsidRPr="00A0092C">
        <w:rPr>
          <w:i/>
          <w:iCs/>
        </w:rPr>
        <w:t>Structural Equation Modeling</w:t>
      </w:r>
      <w:r w:rsidRPr="00A0092C">
        <w:t>, </w:t>
      </w:r>
      <w:r w:rsidRPr="00A0092C">
        <w:rPr>
          <w:i/>
          <w:iCs/>
        </w:rPr>
        <w:t>8</w:t>
      </w:r>
      <w:r w:rsidRPr="00A0092C">
        <w:t>(3), 430-457.</w:t>
      </w:r>
    </w:p>
    <w:p w14:paraId="6E260F46" w14:textId="77777777" w:rsidR="000666A9" w:rsidRPr="00A0092C" w:rsidRDefault="000666A9" w:rsidP="000666A9">
      <w:pPr>
        <w:spacing w:line="480" w:lineRule="auto"/>
        <w:ind w:left="720" w:hanging="720"/>
        <w:contextualSpacing/>
        <w:rPr>
          <w:iCs/>
        </w:rPr>
      </w:pPr>
      <w:r w:rsidRPr="00A0092C">
        <w:rPr>
          <w:shd w:val="clear" w:color="auto" w:fill="FFFFFF"/>
        </w:rPr>
        <w:t xml:space="preserve">Fowler, P. J., Tompsett, C. J., Braciszewski, J. M., Jacques-Tiura, A. J., &amp; Baltes, B. B. (2009). Community violence: A meta-analysis on the effect of exposure and mental health outcomes of children and adolescents. </w:t>
      </w:r>
      <w:r w:rsidRPr="00A0092C">
        <w:rPr>
          <w:i/>
          <w:iCs/>
        </w:rPr>
        <w:t>Development and psychopathology</w:t>
      </w:r>
      <w:r w:rsidRPr="00A0092C">
        <w:t>, </w:t>
      </w:r>
      <w:r w:rsidRPr="00A0092C">
        <w:rPr>
          <w:i/>
          <w:iCs/>
        </w:rPr>
        <w:t>21</w:t>
      </w:r>
      <w:r w:rsidRPr="00A0092C">
        <w:t>(01), 227-259.</w:t>
      </w:r>
      <w:r w:rsidRPr="00A0092C">
        <w:rPr>
          <w:color w:val="545454"/>
          <w:shd w:val="clear" w:color="auto" w:fill="FFFFFF"/>
        </w:rPr>
        <w:t xml:space="preserve"> </w:t>
      </w:r>
      <w:r w:rsidRPr="00677962">
        <w:rPr>
          <w:shd w:val="clear" w:color="auto" w:fill="FFFFFF"/>
        </w:rPr>
        <w:t>doi: 10.1017/S0954579409000145</w:t>
      </w:r>
    </w:p>
    <w:p w14:paraId="4524E5EB" w14:textId="77777777" w:rsidR="000666A9" w:rsidRDefault="000666A9" w:rsidP="000666A9">
      <w:pPr>
        <w:ind w:left="-360"/>
        <w:rPr>
          <w:shd w:val="clear" w:color="auto" w:fill="FFFFFF"/>
        </w:rPr>
      </w:pPr>
      <w:r w:rsidRPr="00A0092C">
        <w:rPr>
          <w:shd w:val="clear" w:color="auto" w:fill="FFFFFF"/>
        </w:rPr>
        <w:t xml:space="preserve">Gerbing, D. W., &amp; Anderson, J. C. (1985). The effects of sampling error and model characteristics </w:t>
      </w:r>
    </w:p>
    <w:p w14:paraId="33953B05" w14:textId="77777777" w:rsidR="000666A9" w:rsidRDefault="000666A9" w:rsidP="000666A9">
      <w:pPr>
        <w:ind w:left="-360"/>
        <w:rPr>
          <w:shd w:val="clear" w:color="auto" w:fill="FFFFFF"/>
        </w:rPr>
      </w:pPr>
    </w:p>
    <w:p w14:paraId="7F05EFB3" w14:textId="77777777" w:rsidR="000666A9" w:rsidRDefault="000666A9" w:rsidP="000666A9">
      <w:pPr>
        <w:ind w:left="-360"/>
        <w:rPr>
          <w:shd w:val="clear" w:color="auto" w:fill="FFFFFF"/>
        </w:rPr>
      </w:pPr>
      <w:r>
        <w:rPr>
          <w:shd w:val="clear" w:color="auto" w:fill="FFFFFF"/>
        </w:rPr>
        <w:t xml:space="preserve">                </w:t>
      </w:r>
      <w:r w:rsidRPr="00A0092C">
        <w:rPr>
          <w:shd w:val="clear" w:color="auto" w:fill="FFFFFF"/>
        </w:rPr>
        <w:t>on parameter estimation for maximum</w:t>
      </w:r>
      <w:r>
        <w:rPr>
          <w:shd w:val="clear" w:color="auto" w:fill="FFFFFF"/>
        </w:rPr>
        <w:t xml:space="preserve"> likelihood confirmatory factor </w:t>
      </w:r>
    </w:p>
    <w:p w14:paraId="21C9B1C5" w14:textId="77777777" w:rsidR="000666A9" w:rsidRPr="00677962" w:rsidRDefault="000666A9" w:rsidP="000666A9">
      <w:pPr>
        <w:spacing w:beforeAutospacing="1" w:afterAutospacing="1"/>
        <w:ind w:left="-360"/>
        <w:rPr>
          <w:shd w:val="clear" w:color="auto" w:fill="FFFFFF"/>
        </w:rPr>
      </w:pPr>
      <w:r>
        <w:rPr>
          <w:shd w:val="clear" w:color="auto" w:fill="FFFFFF"/>
        </w:rPr>
        <w:t xml:space="preserve">      </w:t>
      </w:r>
      <w:r w:rsidRPr="00677962">
        <w:rPr>
          <w:shd w:val="clear" w:color="auto" w:fill="FFFFFF"/>
        </w:rPr>
        <w:t xml:space="preserve">          analysis. </w:t>
      </w:r>
      <w:r w:rsidRPr="00677962">
        <w:rPr>
          <w:i/>
          <w:iCs/>
        </w:rPr>
        <w:t>Multivariate Behavioral Research</w:t>
      </w:r>
      <w:r w:rsidRPr="00677962">
        <w:t>, </w:t>
      </w:r>
      <w:r w:rsidRPr="00677962">
        <w:rPr>
          <w:i/>
          <w:iCs/>
        </w:rPr>
        <w:t>20</w:t>
      </w:r>
      <w:r w:rsidRPr="00677962">
        <w:t>(3), 255-271.</w:t>
      </w:r>
      <w:r w:rsidRPr="00677962">
        <w:rPr>
          <w:shd w:val="clear" w:color="auto" w:fill="FFFFFF"/>
        </w:rPr>
        <w:t xml:space="preserve"> </w:t>
      </w:r>
    </w:p>
    <w:p w14:paraId="51B5A343" w14:textId="77777777" w:rsidR="000666A9" w:rsidRPr="00677962" w:rsidRDefault="000666A9" w:rsidP="000666A9">
      <w:pPr>
        <w:spacing w:beforeAutospacing="1" w:afterAutospacing="1"/>
        <w:ind w:left="-360"/>
        <w:rPr>
          <w:rFonts w:eastAsia="Times New Roman"/>
        </w:rPr>
      </w:pPr>
      <w:r w:rsidRPr="00677962">
        <w:rPr>
          <w:shd w:val="clear" w:color="auto" w:fill="FFFFFF"/>
        </w:rPr>
        <w:lastRenderedPageBreak/>
        <w:t xml:space="preserve">                </w:t>
      </w:r>
      <w:hyperlink r:id="rId17" w:history="1">
        <w:r w:rsidRPr="00677962">
          <w:rPr>
            <w:rFonts w:eastAsia="Times New Roman"/>
          </w:rPr>
          <w:t>http://dx.doi.org/10.1207/s15327906mbr2003_2</w:t>
        </w:r>
      </w:hyperlink>
    </w:p>
    <w:p w14:paraId="4045333B" w14:textId="77777777" w:rsidR="000666A9" w:rsidRDefault="000666A9" w:rsidP="000666A9">
      <w:pPr>
        <w:spacing w:line="480" w:lineRule="auto"/>
        <w:ind w:left="720" w:hanging="720"/>
        <w:contextualSpacing/>
      </w:pPr>
      <w:r w:rsidRPr="00A0092C">
        <w:t>Goeke-Morey, M. C., Cummings, E., Ellis, K., Merrilees, C., Schermerhorn, A., Shirlow, P., &amp; Cairns, E. (2009). The differential impact on children of inter- and intra-community violence in Northern Ireland. </w:t>
      </w:r>
      <w:r w:rsidRPr="00A0092C">
        <w:rPr>
          <w:i/>
          <w:iCs/>
        </w:rPr>
        <w:t>Journal of Peace Psychology, </w:t>
      </w:r>
      <w:r w:rsidRPr="00A0092C">
        <w:t>15, 367-383.</w:t>
      </w:r>
    </w:p>
    <w:p w14:paraId="39CB3BDF" w14:textId="77777777" w:rsidR="000666A9" w:rsidRDefault="000666A9" w:rsidP="000666A9">
      <w:pPr>
        <w:ind w:left="-360"/>
        <w:rPr>
          <w:rFonts w:eastAsia="Times New Roman"/>
          <w:color w:val="333333"/>
        </w:rPr>
      </w:pPr>
      <w:r>
        <w:t xml:space="preserve">      </w:t>
      </w:r>
      <w:r w:rsidRPr="00677962">
        <w:t xml:space="preserve">            </w:t>
      </w:r>
      <w:hyperlink r:id="rId18" w:history="1">
        <w:r w:rsidRPr="00677962">
          <w:rPr>
            <w:rFonts w:eastAsia="Times New Roman"/>
          </w:rPr>
          <w:t>http://dx.doi.org/10.1080/10781910903088932</w:t>
        </w:r>
      </w:hyperlink>
    </w:p>
    <w:p w14:paraId="44C4A0E5" w14:textId="77777777" w:rsidR="000666A9" w:rsidRPr="00677962" w:rsidRDefault="000666A9" w:rsidP="000666A9">
      <w:pPr>
        <w:ind w:left="-360"/>
        <w:rPr>
          <w:rFonts w:eastAsia="Times New Roman"/>
          <w:color w:val="333333"/>
        </w:rPr>
      </w:pPr>
    </w:p>
    <w:p w14:paraId="465D4496" w14:textId="77777777" w:rsidR="000666A9" w:rsidRPr="00A0092C" w:rsidRDefault="000666A9" w:rsidP="000666A9">
      <w:pPr>
        <w:spacing w:before="240" w:line="480" w:lineRule="auto"/>
        <w:ind w:left="720" w:hanging="720"/>
        <w:contextualSpacing/>
      </w:pPr>
      <w:r w:rsidRPr="00A0092C">
        <w:t xml:space="preserve">Goodman, K. L., De Los Reyes, A., &amp; Bradshaw, C. P. (2010). Understanding and using informants’ reporting discrepancies of youth victimization: A conceptual model and recommendations for research. </w:t>
      </w:r>
      <w:r w:rsidRPr="00A0092C">
        <w:rPr>
          <w:i/>
        </w:rPr>
        <w:t>Clinical Child and Family Psychology Review</w:t>
      </w:r>
      <w:r w:rsidRPr="00A0092C">
        <w:t xml:space="preserve">, </w:t>
      </w:r>
      <w:r w:rsidRPr="00A0092C">
        <w:rPr>
          <w:i/>
        </w:rPr>
        <w:t>13</w:t>
      </w:r>
      <w:r w:rsidRPr="00A0092C">
        <w:t>, 366-383.</w:t>
      </w:r>
      <w:r>
        <w:t xml:space="preserve"> </w:t>
      </w:r>
      <w:r w:rsidRPr="00677962">
        <w:t>doi</w:t>
      </w:r>
      <w:r w:rsidRPr="00677962">
        <w:rPr>
          <w:spacing w:val="4"/>
          <w:shd w:val="clear" w:color="auto" w:fill="FCFCFC"/>
        </w:rPr>
        <w:t>: 10.1007/s10567-010-0076-x</w:t>
      </w:r>
    </w:p>
    <w:p w14:paraId="031D0EB4" w14:textId="77777777" w:rsidR="000666A9" w:rsidRPr="00A0092C" w:rsidRDefault="000666A9" w:rsidP="000666A9">
      <w:pPr>
        <w:spacing w:line="480" w:lineRule="auto"/>
        <w:ind w:left="720" w:hanging="720"/>
        <w:contextualSpacing/>
        <w:rPr>
          <w:iCs/>
        </w:rPr>
      </w:pPr>
      <w:r w:rsidRPr="00A0092C">
        <w:t>Goodman, R. (1997). The strengths and difficulties questionnaire: A research note.</w:t>
      </w:r>
      <w:r w:rsidRPr="00A0092C">
        <w:rPr>
          <w:i/>
          <w:iCs/>
        </w:rPr>
        <w:t> Child Psychology &amp; Psychiatry &amp; Allied Disciplines, 38</w:t>
      </w:r>
      <w:r w:rsidRPr="00A0092C">
        <w:t>, 581-586.</w:t>
      </w:r>
      <w:r w:rsidRPr="00CF796D">
        <w:rPr>
          <w:rFonts w:ascii="Arial" w:hAnsi="Arial" w:cs="Arial"/>
          <w:b/>
          <w:bCs/>
          <w:color w:val="333333"/>
          <w:sz w:val="34"/>
          <w:szCs w:val="34"/>
          <w:bdr w:val="none" w:sz="0" w:space="0" w:color="auto" w:frame="1"/>
          <w:shd w:val="clear" w:color="auto" w:fill="FFFFFF"/>
        </w:rPr>
        <w:t xml:space="preserve"> </w:t>
      </w:r>
      <w:r w:rsidRPr="00CF796D">
        <w:rPr>
          <w:rStyle w:val="article-headermeta-info-label"/>
          <w:bCs/>
          <w:bdr w:val="none" w:sz="0" w:space="0" w:color="auto" w:frame="1"/>
          <w:shd w:val="clear" w:color="auto" w:fill="FFFFFF"/>
        </w:rPr>
        <w:t>doi:</w:t>
      </w:r>
      <w:r w:rsidRPr="00CF796D">
        <w:rPr>
          <w:rStyle w:val="apple-converted-space"/>
          <w:b/>
          <w:bCs/>
          <w:bdr w:val="none" w:sz="0" w:space="0" w:color="auto" w:frame="1"/>
          <w:shd w:val="clear" w:color="auto" w:fill="FFFFFF"/>
        </w:rPr>
        <w:t> </w:t>
      </w:r>
      <w:r w:rsidRPr="00CF796D">
        <w:rPr>
          <w:rStyle w:val="article-headermeta-info-data"/>
          <w:bdr w:val="none" w:sz="0" w:space="0" w:color="auto" w:frame="1"/>
          <w:shd w:val="clear" w:color="auto" w:fill="FFFFFF"/>
        </w:rPr>
        <w:t>10.1111/j.1469-7610.1997.tb01545.x</w:t>
      </w:r>
    </w:p>
    <w:p w14:paraId="0CC9CB90" w14:textId="77777777" w:rsidR="000666A9" w:rsidRPr="00A0092C" w:rsidRDefault="000666A9" w:rsidP="000666A9">
      <w:pPr>
        <w:spacing w:line="480" w:lineRule="auto"/>
        <w:ind w:left="720" w:hanging="720"/>
        <w:contextualSpacing/>
        <w:rPr>
          <w:iCs/>
        </w:rPr>
      </w:pPr>
      <w:r w:rsidRPr="00A0092C">
        <w:rPr>
          <w:shd w:val="clear" w:color="auto" w:fill="FFFFFF"/>
        </w:rPr>
        <w:t>Goodman, R., &amp; Scott, S. (1999). Comparing the Strengths and Difficulties Questionnaire and the Child Behavior Checklist: is small beautiful? </w:t>
      </w:r>
      <w:r w:rsidRPr="00A0092C">
        <w:rPr>
          <w:i/>
          <w:iCs/>
        </w:rPr>
        <w:t>Journal of abnormal child psychology</w:t>
      </w:r>
      <w:r w:rsidRPr="00A0092C">
        <w:t>, </w:t>
      </w:r>
      <w:r w:rsidRPr="00A0092C">
        <w:rPr>
          <w:i/>
          <w:iCs/>
        </w:rPr>
        <w:t>27</w:t>
      </w:r>
      <w:r w:rsidRPr="00A0092C">
        <w:t>(1), 17-24.</w:t>
      </w:r>
      <w:r>
        <w:t xml:space="preserve">  doi</w:t>
      </w:r>
      <w:r w:rsidRPr="00CF796D">
        <w:rPr>
          <w:spacing w:val="4"/>
          <w:shd w:val="clear" w:color="auto" w:fill="FCFCFC"/>
        </w:rPr>
        <w:t>: 10.1023/A:1022658222914</w:t>
      </w:r>
    </w:p>
    <w:p w14:paraId="34930152" w14:textId="77777777" w:rsidR="000666A9" w:rsidRPr="00A0092C" w:rsidRDefault="000666A9" w:rsidP="000666A9">
      <w:pPr>
        <w:spacing w:line="480" w:lineRule="auto"/>
        <w:ind w:left="720" w:hanging="720"/>
        <w:contextualSpacing/>
        <w:rPr>
          <w:iCs/>
        </w:rPr>
      </w:pPr>
      <w:r w:rsidRPr="00A0092C">
        <w:t>Hu, L., &amp; Bentler, P. M. (1999). Cutoff criteria for fit indexes in covariance structure analysis: Conventional criteria versus new alternatives.</w:t>
      </w:r>
      <w:r w:rsidRPr="00A0092C">
        <w:rPr>
          <w:i/>
          <w:iCs/>
        </w:rPr>
        <w:t xml:space="preserve"> Structural Equation Modeling, 6</w:t>
      </w:r>
      <w:r w:rsidRPr="00A0092C">
        <w:t xml:space="preserve">, 1-55. </w:t>
      </w:r>
    </w:p>
    <w:p w14:paraId="06A6857E" w14:textId="77777777" w:rsidR="000666A9" w:rsidRPr="00A0092C" w:rsidRDefault="000666A9" w:rsidP="000666A9">
      <w:pPr>
        <w:spacing w:line="480" w:lineRule="auto"/>
        <w:ind w:left="720" w:hanging="720"/>
        <w:contextualSpacing/>
        <w:rPr>
          <w:iCs/>
        </w:rPr>
      </w:pPr>
      <w:r w:rsidRPr="00A0092C">
        <w:t xml:space="preserve">Jordans, M. J. D., Tol, W. A., Komproe, I. H., &amp; de Jong, J. V. T. M. (2009). Systematic review of evidence and treatment approaches: Psychosocial and mental health care for children in war. </w:t>
      </w:r>
      <w:r w:rsidRPr="00A0092C">
        <w:rPr>
          <w:i/>
        </w:rPr>
        <w:t>Child and Adolescent Mental Health</w:t>
      </w:r>
      <w:r w:rsidRPr="00A0092C">
        <w:t xml:space="preserve">, </w:t>
      </w:r>
      <w:r w:rsidRPr="00A0092C">
        <w:rPr>
          <w:i/>
        </w:rPr>
        <w:t>14</w:t>
      </w:r>
      <w:r w:rsidRPr="00A0092C">
        <w:t xml:space="preserve">(1), 2-14. </w:t>
      </w:r>
      <w:r>
        <w:rPr>
          <w:rStyle w:val="article-headermeta-info-label"/>
          <w:bCs/>
          <w:bdr w:val="none" w:sz="0" w:space="0" w:color="auto" w:frame="1"/>
          <w:shd w:val="clear" w:color="auto" w:fill="FFFFFF"/>
        </w:rPr>
        <w:t>doi</w:t>
      </w:r>
      <w:r w:rsidRPr="00CF796D">
        <w:rPr>
          <w:rStyle w:val="article-headermeta-info-label"/>
          <w:bCs/>
          <w:bdr w:val="none" w:sz="0" w:space="0" w:color="auto" w:frame="1"/>
          <w:shd w:val="clear" w:color="auto" w:fill="FFFFFF"/>
        </w:rPr>
        <w:t>:</w:t>
      </w:r>
      <w:r w:rsidRPr="00CF796D">
        <w:rPr>
          <w:rStyle w:val="apple-converted-space"/>
          <w:bCs/>
          <w:bdr w:val="none" w:sz="0" w:space="0" w:color="auto" w:frame="1"/>
          <w:shd w:val="clear" w:color="auto" w:fill="FFFFFF"/>
        </w:rPr>
        <w:t> </w:t>
      </w:r>
      <w:r w:rsidRPr="00CF796D">
        <w:rPr>
          <w:rStyle w:val="article-headermeta-info-data"/>
          <w:bdr w:val="none" w:sz="0" w:space="0" w:color="auto" w:frame="1"/>
          <w:shd w:val="clear" w:color="auto" w:fill="FFFFFF"/>
        </w:rPr>
        <w:t>10.1111/j.1475-3588.2008.00515.x</w:t>
      </w:r>
    </w:p>
    <w:p w14:paraId="3D5BEDC8" w14:textId="77777777" w:rsidR="000666A9" w:rsidRPr="00A0092C" w:rsidRDefault="000666A9" w:rsidP="000666A9">
      <w:pPr>
        <w:spacing w:line="480" w:lineRule="auto"/>
        <w:ind w:left="720" w:hanging="720"/>
        <w:contextualSpacing/>
        <w:rPr>
          <w:color w:val="222222"/>
          <w:shd w:val="clear" w:color="auto" w:fill="FFFFFF"/>
        </w:rPr>
      </w:pPr>
      <w:r w:rsidRPr="00A0092C">
        <w:lastRenderedPageBreak/>
        <w:t xml:space="preserve">Kashy, D. A., &amp; Donnellan, M. B. (2008). </w:t>
      </w:r>
      <w:r w:rsidRPr="00A0092C">
        <w:rPr>
          <w:color w:val="222222"/>
          <w:shd w:val="clear" w:color="auto" w:fill="FFFFFF"/>
        </w:rPr>
        <w:t>Comparing MLM and SEM approaches to analyzing developmental dyadic data: Growth curve models of hostility in families.</w:t>
      </w:r>
      <w:r w:rsidRPr="00A0092C">
        <w:rPr>
          <w:rStyle w:val="apple-converted-space"/>
          <w:color w:val="222222"/>
          <w:shd w:val="clear" w:color="auto" w:fill="FFFFFF"/>
        </w:rPr>
        <w:t> </w:t>
      </w:r>
      <w:r w:rsidRPr="00A0092C">
        <w:rPr>
          <w:i/>
          <w:iCs/>
          <w:color w:val="222222"/>
          <w:shd w:val="clear" w:color="auto" w:fill="FFFFFF"/>
        </w:rPr>
        <w:t>Modeling dyadic and interdependent data in the developmental and behavioral sciences</w:t>
      </w:r>
      <w:r w:rsidRPr="00A0092C">
        <w:rPr>
          <w:color w:val="222222"/>
          <w:shd w:val="clear" w:color="auto" w:fill="FFFFFF"/>
        </w:rPr>
        <w:t>, 165-190.</w:t>
      </w:r>
    </w:p>
    <w:p w14:paraId="0ABDD9EE" w14:textId="77777777" w:rsidR="000666A9" w:rsidRPr="00202F2B" w:rsidRDefault="000666A9" w:rsidP="000666A9">
      <w:pPr>
        <w:spacing w:line="480" w:lineRule="auto"/>
        <w:ind w:left="720" w:hanging="720"/>
        <w:contextualSpacing/>
      </w:pPr>
      <w:r w:rsidRPr="00A0092C">
        <w:rPr>
          <w:color w:val="231F20"/>
        </w:rPr>
        <w:t xml:space="preserve">Kronenberg, M. E., Hansel, T. C., Brennan, A. M., Osofsky, H. J., Osofsky, J. D., &amp; Lawrason, B. (2010). Children of Katrina: Lessons learned about postdisaster symptoms and recovery patterns. </w:t>
      </w:r>
      <w:r w:rsidRPr="00A0092C">
        <w:rPr>
          <w:i/>
          <w:color w:val="231F20"/>
        </w:rPr>
        <w:t>Child Development</w:t>
      </w:r>
      <w:r w:rsidRPr="00A0092C">
        <w:rPr>
          <w:color w:val="231F20"/>
        </w:rPr>
        <w:t xml:space="preserve">, </w:t>
      </w:r>
      <w:r w:rsidRPr="00A0092C">
        <w:rPr>
          <w:i/>
          <w:color w:val="231F20"/>
        </w:rPr>
        <w:t>81</w:t>
      </w:r>
      <w:r w:rsidRPr="00A0092C">
        <w:rPr>
          <w:color w:val="231F20"/>
        </w:rPr>
        <w:t>, 1241–1259.</w:t>
      </w:r>
      <w:r w:rsidRPr="00202F2B">
        <w:rPr>
          <w:rFonts w:ascii="Arial" w:hAnsi="Arial" w:cs="Arial"/>
          <w:b/>
          <w:bCs/>
          <w:color w:val="333333"/>
          <w:sz w:val="34"/>
          <w:szCs w:val="34"/>
          <w:bdr w:val="none" w:sz="0" w:space="0" w:color="auto" w:frame="1"/>
          <w:shd w:val="clear" w:color="auto" w:fill="FFFFFF"/>
        </w:rPr>
        <w:t xml:space="preserve"> </w:t>
      </w:r>
      <w:r>
        <w:rPr>
          <w:rStyle w:val="article-headermeta-info-label"/>
          <w:bCs/>
          <w:bdr w:val="none" w:sz="0" w:space="0" w:color="auto" w:frame="1"/>
          <w:shd w:val="clear" w:color="auto" w:fill="FFFFFF"/>
        </w:rPr>
        <w:t>doi</w:t>
      </w:r>
      <w:r w:rsidRPr="00202F2B">
        <w:rPr>
          <w:rStyle w:val="article-headermeta-info-label"/>
          <w:bCs/>
          <w:bdr w:val="none" w:sz="0" w:space="0" w:color="auto" w:frame="1"/>
          <w:shd w:val="clear" w:color="auto" w:fill="FFFFFF"/>
        </w:rPr>
        <w:t>:</w:t>
      </w:r>
      <w:r w:rsidRPr="00202F2B">
        <w:rPr>
          <w:rStyle w:val="apple-converted-space"/>
          <w:bCs/>
          <w:bdr w:val="none" w:sz="0" w:space="0" w:color="auto" w:frame="1"/>
          <w:shd w:val="clear" w:color="auto" w:fill="FFFFFF"/>
        </w:rPr>
        <w:t> </w:t>
      </w:r>
      <w:r w:rsidRPr="00202F2B">
        <w:rPr>
          <w:rStyle w:val="article-headermeta-info-data"/>
          <w:bdr w:val="none" w:sz="0" w:space="0" w:color="auto" w:frame="1"/>
          <w:shd w:val="clear" w:color="auto" w:fill="FFFFFF"/>
        </w:rPr>
        <w:t>10.1111/j.1467-8624.2010.01465.x</w:t>
      </w:r>
    </w:p>
    <w:p w14:paraId="305E272D" w14:textId="77777777" w:rsidR="000666A9" w:rsidRPr="00A0092C" w:rsidRDefault="000666A9" w:rsidP="000666A9">
      <w:pPr>
        <w:spacing w:line="480" w:lineRule="auto"/>
        <w:ind w:left="720" w:hanging="720"/>
        <w:contextualSpacing/>
        <w:rPr>
          <w:iCs/>
        </w:rPr>
      </w:pPr>
      <w:r w:rsidRPr="00A0092C">
        <w:t xml:space="preserve">Ladd, G. W., &amp; Cairns, E. (1996). Children: ethnic and political violence. </w:t>
      </w:r>
      <w:r w:rsidRPr="00A0092C">
        <w:rPr>
          <w:i/>
        </w:rPr>
        <w:t>Child Development</w:t>
      </w:r>
      <w:r w:rsidRPr="00A0092C">
        <w:t xml:space="preserve">, </w:t>
      </w:r>
      <w:r w:rsidRPr="00A0092C">
        <w:rPr>
          <w:i/>
        </w:rPr>
        <w:t>67</w:t>
      </w:r>
      <w:r w:rsidRPr="00A0092C">
        <w:t xml:space="preserve">(1), 14-18. </w:t>
      </w:r>
      <w:r>
        <w:rPr>
          <w:rStyle w:val="article-headermeta-info-label"/>
          <w:bCs/>
          <w:bdr w:val="none" w:sz="0" w:space="0" w:color="auto" w:frame="1"/>
          <w:shd w:val="clear" w:color="auto" w:fill="FFFFFF"/>
        </w:rPr>
        <w:t>doi</w:t>
      </w:r>
      <w:r w:rsidRPr="00202F2B">
        <w:rPr>
          <w:rStyle w:val="article-headermeta-info-label"/>
          <w:bCs/>
          <w:bdr w:val="none" w:sz="0" w:space="0" w:color="auto" w:frame="1"/>
          <w:shd w:val="clear" w:color="auto" w:fill="FFFFFF"/>
        </w:rPr>
        <w:t>:</w:t>
      </w:r>
      <w:r w:rsidRPr="00202F2B">
        <w:rPr>
          <w:rStyle w:val="apple-converted-space"/>
          <w:bCs/>
          <w:bdr w:val="none" w:sz="0" w:space="0" w:color="auto" w:frame="1"/>
          <w:shd w:val="clear" w:color="auto" w:fill="FFFFFF"/>
        </w:rPr>
        <w:t> </w:t>
      </w:r>
      <w:r w:rsidRPr="00202F2B">
        <w:rPr>
          <w:rStyle w:val="article-headermeta-info-data"/>
          <w:bdr w:val="none" w:sz="0" w:space="0" w:color="auto" w:frame="1"/>
          <w:shd w:val="clear" w:color="auto" w:fill="FFFFFF"/>
        </w:rPr>
        <w:t>10.1111/j.1467-8624.1996.tb01715.x</w:t>
      </w:r>
    </w:p>
    <w:p w14:paraId="2711A72A" w14:textId="77777777" w:rsidR="000666A9" w:rsidRPr="00C07AFA" w:rsidRDefault="000666A9" w:rsidP="000666A9">
      <w:pPr>
        <w:spacing w:line="480" w:lineRule="auto"/>
        <w:ind w:left="720" w:hanging="720"/>
        <w:contextualSpacing/>
      </w:pPr>
      <w:r w:rsidRPr="00A0092C">
        <w:t xml:space="preserve">Lynch, M. (2003). Consequences of children’s exposure to community violence. </w:t>
      </w:r>
      <w:r w:rsidRPr="00A0092C">
        <w:rPr>
          <w:i/>
        </w:rPr>
        <w:t>Clinical Child and Family Psychology Review</w:t>
      </w:r>
      <w:r w:rsidRPr="00A0092C">
        <w:t xml:space="preserve">, </w:t>
      </w:r>
      <w:r w:rsidRPr="00A0092C">
        <w:rPr>
          <w:i/>
        </w:rPr>
        <w:t>6</w:t>
      </w:r>
      <w:r>
        <w:t xml:space="preserve">(4), 265-274. </w:t>
      </w:r>
      <w:r w:rsidRPr="00202F2B">
        <w:rPr>
          <w:spacing w:val="4"/>
          <w:shd w:val="clear" w:color="auto" w:fill="FCFCFC"/>
        </w:rPr>
        <w:t>doi:10.1023/B:CCFP.0000006293.77143</w:t>
      </w:r>
    </w:p>
    <w:p w14:paraId="6B46CA7A" w14:textId="77777777" w:rsidR="000666A9" w:rsidRPr="00A0092C" w:rsidRDefault="000666A9" w:rsidP="000666A9">
      <w:pPr>
        <w:spacing w:line="480" w:lineRule="auto"/>
        <w:ind w:left="720" w:hanging="720"/>
        <w:contextualSpacing/>
      </w:pPr>
      <w:r w:rsidRPr="00A0092C">
        <w:t xml:space="preserve">Margolin, G., &amp; Gordis, E. B. (2000). Effects of family and community violence on children.  Annual Review of Psychology, </w:t>
      </w:r>
      <w:r w:rsidRPr="00A0092C">
        <w:rPr>
          <w:i/>
        </w:rPr>
        <w:t>51</w:t>
      </w:r>
      <w:r w:rsidRPr="00A0092C">
        <w:t xml:space="preserve">, 445-479. </w:t>
      </w:r>
      <w:r w:rsidRPr="00A0092C">
        <w:rPr>
          <w:color w:val="000000"/>
          <w:shd w:val="clear" w:color="auto" w:fill="FFFFFF"/>
        </w:rPr>
        <w:t>DOI:</w:t>
      </w:r>
      <w:r w:rsidRPr="00A0092C">
        <w:rPr>
          <w:rStyle w:val="apple-converted-space"/>
          <w:color w:val="000000"/>
          <w:shd w:val="clear" w:color="auto" w:fill="FFFFFF"/>
        </w:rPr>
        <w:t> </w:t>
      </w:r>
      <w:r w:rsidRPr="00A0092C">
        <w:rPr>
          <w:rStyle w:val="hlfld-doi"/>
          <w:color w:val="000000"/>
          <w:shd w:val="clear" w:color="auto" w:fill="FFFFFF"/>
        </w:rPr>
        <w:t>10.1146/annurev.psych.51.1.445</w:t>
      </w:r>
    </w:p>
    <w:p w14:paraId="15D28A75" w14:textId="77777777" w:rsidR="000666A9" w:rsidRPr="00A0092C" w:rsidRDefault="000666A9" w:rsidP="000666A9">
      <w:pPr>
        <w:spacing w:line="480" w:lineRule="auto"/>
        <w:ind w:left="720" w:hanging="720"/>
        <w:contextualSpacing/>
        <w:rPr>
          <w:iCs/>
        </w:rPr>
      </w:pPr>
      <w:r w:rsidRPr="00A0092C">
        <w:t xml:space="preserve">Masten, A. S. (2014). Global perspectives on resilience in children and youth. </w:t>
      </w:r>
      <w:r w:rsidRPr="00A0092C">
        <w:rPr>
          <w:i/>
        </w:rPr>
        <w:t>Child Development</w:t>
      </w:r>
      <w:r w:rsidRPr="00A0092C">
        <w:t xml:space="preserve">, </w:t>
      </w:r>
      <w:r w:rsidRPr="00A0092C">
        <w:rPr>
          <w:i/>
        </w:rPr>
        <w:t>85</w:t>
      </w:r>
      <w:r w:rsidRPr="00A0092C">
        <w:t xml:space="preserve">(1), 6-20. </w:t>
      </w:r>
      <w:r>
        <w:t xml:space="preserve"> </w:t>
      </w:r>
      <w:r w:rsidRPr="00202F2B">
        <w:t>doi</w:t>
      </w:r>
      <w:r w:rsidRPr="00202F2B">
        <w:rPr>
          <w:rStyle w:val="article-headermeta-info-label"/>
          <w:b/>
          <w:bCs/>
          <w:bdr w:val="none" w:sz="0" w:space="0" w:color="auto" w:frame="1"/>
          <w:shd w:val="clear" w:color="auto" w:fill="FFFFFF"/>
        </w:rPr>
        <w:t>:</w:t>
      </w:r>
      <w:r w:rsidRPr="00202F2B">
        <w:rPr>
          <w:rStyle w:val="apple-converted-space"/>
          <w:b/>
          <w:bCs/>
          <w:bdr w:val="none" w:sz="0" w:space="0" w:color="auto" w:frame="1"/>
          <w:shd w:val="clear" w:color="auto" w:fill="FFFFFF"/>
        </w:rPr>
        <w:t> </w:t>
      </w:r>
      <w:r w:rsidRPr="00202F2B">
        <w:rPr>
          <w:rStyle w:val="article-headermeta-info-data"/>
          <w:bdr w:val="none" w:sz="0" w:space="0" w:color="auto" w:frame="1"/>
          <w:shd w:val="clear" w:color="auto" w:fill="FFFFFF"/>
        </w:rPr>
        <w:t>10.1111/cdev.12205</w:t>
      </w:r>
    </w:p>
    <w:p w14:paraId="49165FC7" w14:textId="77777777" w:rsidR="000666A9" w:rsidRPr="00A0092C" w:rsidRDefault="000666A9" w:rsidP="000666A9">
      <w:pPr>
        <w:spacing w:line="480" w:lineRule="auto"/>
        <w:ind w:left="720" w:hanging="720"/>
        <w:contextualSpacing/>
        <w:rPr>
          <w:iCs/>
        </w:rPr>
      </w:pPr>
      <w:r w:rsidRPr="00A0092C">
        <w:rPr>
          <w:rFonts w:eastAsia="Times New Roman"/>
          <w:shd w:val="clear" w:color="auto" w:fill="FFFFFF"/>
        </w:rPr>
        <w:t>Masten, A., &amp; Narayan, A. J. (2012). Child development in the context of disaster, war, and terrorism: Pathways of risk and resilience. </w:t>
      </w:r>
      <w:r w:rsidRPr="00A0092C">
        <w:rPr>
          <w:rFonts w:eastAsia="Times New Roman"/>
          <w:i/>
          <w:iCs/>
          <w:shd w:val="clear" w:color="auto" w:fill="FFFFFF"/>
        </w:rPr>
        <w:t>Annual Review of Psychology</w:t>
      </w:r>
      <w:r w:rsidRPr="00A0092C">
        <w:rPr>
          <w:rFonts w:eastAsia="Times New Roman"/>
          <w:shd w:val="clear" w:color="auto" w:fill="FFFFFF"/>
        </w:rPr>
        <w:t>, </w:t>
      </w:r>
      <w:r w:rsidRPr="00A0092C">
        <w:rPr>
          <w:rFonts w:eastAsia="Times New Roman"/>
          <w:i/>
          <w:iCs/>
          <w:shd w:val="clear" w:color="auto" w:fill="FFFFFF"/>
        </w:rPr>
        <w:t>63</w:t>
      </w:r>
      <w:r w:rsidRPr="00A0092C">
        <w:rPr>
          <w:rFonts w:eastAsia="Times New Roman"/>
          <w:shd w:val="clear" w:color="auto" w:fill="FFFFFF"/>
        </w:rPr>
        <w:t xml:space="preserve">, 227–257. </w:t>
      </w:r>
      <w:r w:rsidRPr="00202F2B">
        <w:rPr>
          <w:rFonts w:eastAsia="Times New Roman"/>
          <w:shd w:val="clear" w:color="auto" w:fill="FFFFFF"/>
        </w:rPr>
        <w:t>d</w:t>
      </w:r>
      <w:r w:rsidRPr="00202F2B">
        <w:rPr>
          <w:shd w:val="clear" w:color="auto" w:fill="FFFFFF"/>
        </w:rPr>
        <w:t>oi: 10.1146/annurev-psych-120710-100356</w:t>
      </w:r>
    </w:p>
    <w:p w14:paraId="7A6534C0" w14:textId="77777777" w:rsidR="000666A9" w:rsidRPr="00A0092C" w:rsidRDefault="000666A9" w:rsidP="000666A9">
      <w:pPr>
        <w:spacing w:line="480" w:lineRule="auto"/>
        <w:ind w:left="720" w:hanging="720"/>
        <w:contextualSpacing/>
        <w:rPr>
          <w:iCs/>
        </w:rPr>
      </w:pPr>
      <w:r w:rsidRPr="00A0092C">
        <w:rPr>
          <w:rFonts w:eastAsia="Times New Roman"/>
        </w:rPr>
        <w:t xml:space="preserve">Merrilees, C.E., Cairns, E., Taylor, L. K., Goeke-Morey, M. C., Shirlow, P., &amp; Cummings, E. M. (2013). Social identity and youth aggressive and delinquent behaviors in a context of political violence. </w:t>
      </w:r>
      <w:r w:rsidRPr="00A0092C">
        <w:rPr>
          <w:rFonts w:eastAsia="Times New Roman"/>
          <w:i/>
        </w:rPr>
        <w:t>Political Psychology</w:t>
      </w:r>
      <w:r w:rsidRPr="00A0092C">
        <w:rPr>
          <w:rFonts w:eastAsia="Times New Roman"/>
        </w:rPr>
        <w:t xml:space="preserve">, 34 (5), 695-711. </w:t>
      </w:r>
      <w:r w:rsidRPr="00202F2B">
        <w:rPr>
          <w:rStyle w:val="article-headermeta-info-label"/>
          <w:bCs/>
          <w:bdr w:val="none" w:sz="0" w:space="0" w:color="auto" w:frame="1"/>
          <w:shd w:val="clear" w:color="auto" w:fill="FFFFFF"/>
        </w:rPr>
        <w:t>doi:</w:t>
      </w:r>
      <w:r w:rsidRPr="00202F2B">
        <w:rPr>
          <w:rStyle w:val="apple-converted-space"/>
          <w:b/>
          <w:bCs/>
          <w:bdr w:val="none" w:sz="0" w:space="0" w:color="auto" w:frame="1"/>
          <w:shd w:val="clear" w:color="auto" w:fill="FFFFFF"/>
        </w:rPr>
        <w:t> </w:t>
      </w:r>
      <w:r w:rsidRPr="00202F2B">
        <w:rPr>
          <w:rStyle w:val="article-headermeta-info-data"/>
          <w:bdr w:val="none" w:sz="0" w:space="0" w:color="auto" w:frame="1"/>
          <w:shd w:val="clear" w:color="auto" w:fill="FFFFFF"/>
        </w:rPr>
        <w:t>10.1111/pops.12030</w:t>
      </w:r>
    </w:p>
    <w:p w14:paraId="17A59354" w14:textId="77777777" w:rsidR="000666A9" w:rsidRPr="00A0092C" w:rsidRDefault="000666A9" w:rsidP="000666A9">
      <w:pPr>
        <w:spacing w:line="480" w:lineRule="auto"/>
        <w:ind w:left="720" w:hanging="720"/>
        <w:contextualSpacing/>
        <w:rPr>
          <w:iCs/>
        </w:rPr>
      </w:pPr>
      <w:r w:rsidRPr="00A0092C">
        <w:rPr>
          <w:shd w:val="clear" w:color="auto" w:fill="FFFFFF"/>
        </w:rPr>
        <w:t>Mulcahy, A. (2008). The police service of Northern Ireland. </w:t>
      </w:r>
      <w:r w:rsidRPr="00A0092C">
        <w:rPr>
          <w:i/>
          <w:iCs/>
        </w:rPr>
        <w:t>Handbook of Policing</w:t>
      </w:r>
      <w:r w:rsidRPr="00A0092C">
        <w:t>, </w:t>
      </w:r>
      <w:r w:rsidRPr="00A0092C">
        <w:rPr>
          <w:i/>
          <w:iCs/>
        </w:rPr>
        <w:t>2</w:t>
      </w:r>
      <w:r w:rsidRPr="00A0092C">
        <w:t>, 204-220.</w:t>
      </w:r>
    </w:p>
    <w:p w14:paraId="4611AE72" w14:textId="77777777" w:rsidR="000666A9" w:rsidRPr="00A0092C" w:rsidRDefault="000666A9" w:rsidP="000666A9">
      <w:pPr>
        <w:spacing w:line="480" w:lineRule="auto"/>
        <w:ind w:left="720" w:hanging="720"/>
        <w:contextualSpacing/>
        <w:rPr>
          <w:color w:val="222222"/>
          <w:shd w:val="clear" w:color="auto" w:fill="FFFFFF"/>
        </w:rPr>
      </w:pPr>
      <w:r w:rsidRPr="00A0092C">
        <w:rPr>
          <w:color w:val="222222"/>
          <w:shd w:val="clear" w:color="auto" w:fill="FFFFFF"/>
        </w:rPr>
        <w:lastRenderedPageBreak/>
        <w:t xml:space="preserve">Newsom, J. T. (2015). </w:t>
      </w:r>
      <w:r w:rsidRPr="00A0092C">
        <w:rPr>
          <w:i/>
          <w:color w:val="222222"/>
          <w:shd w:val="clear" w:color="auto" w:fill="FFFFFF"/>
        </w:rPr>
        <w:t>Longitudinal structural equation modeling: A comprehensive introduction.</w:t>
      </w:r>
      <w:r w:rsidRPr="00A0092C">
        <w:rPr>
          <w:color w:val="222222"/>
          <w:shd w:val="clear" w:color="auto" w:fill="FFFFFF"/>
        </w:rPr>
        <w:t xml:space="preserve"> London: Routledge. </w:t>
      </w:r>
    </w:p>
    <w:p w14:paraId="2F5E1658" w14:textId="77777777" w:rsidR="000666A9" w:rsidRPr="00A0092C" w:rsidRDefault="000666A9" w:rsidP="000666A9">
      <w:pPr>
        <w:spacing w:line="480" w:lineRule="auto"/>
        <w:ind w:left="720" w:hanging="720"/>
        <w:contextualSpacing/>
        <w:rPr>
          <w:color w:val="222222"/>
          <w:shd w:val="clear" w:color="auto" w:fill="FFFFFF"/>
        </w:rPr>
      </w:pPr>
      <w:r w:rsidRPr="00A0092C">
        <w:rPr>
          <w:color w:val="222222"/>
          <w:shd w:val="clear" w:color="auto" w:fill="FFFFFF"/>
        </w:rPr>
        <w:t xml:space="preserve">Northern Ireland Neighborhood Information Service (NINIS) (2011). Multiple deprivation ratings by ward, retrieved from </w:t>
      </w:r>
      <w:hyperlink r:id="rId19" w:history="1">
        <w:r w:rsidRPr="00A0092C">
          <w:rPr>
            <w:rStyle w:val="Hyperlink"/>
            <w:shd w:val="clear" w:color="auto" w:fill="FFFFFF"/>
          </w:rPr>
          <w:t>http://www.ninis.nisra.gov.uk/</w:t>
        </w:r>
      </w:hyperlink>
    </w:p>
    <w:p w14:paraId="478BFA05" w14:textId="77777777" w:rsidR="000666A9" w:rsidRPr="00A0092C" w:rsidRDefault="000666A9" w:rsidP="000666A9">
      <w:pPr>
        <w:spacing w:line="480" w:lineRule="auto"/>
        <w:ind w:left="720" w:hanging="720"/>
        <w:contextualSpacing/>
        <w:rPr>
          <w:color w:val="222222"/>
          <w:shd w:val="clear" w:color="auto" w:fill="FFFFFF"/>
        </w:rPr>
      </w:pPr>
      <w:r w:rsidRPr="00A0092C">
        <w:rPr>
          <w:color w:val="222222"/>
          <w:shd w:val="clear" w:color="auto" w:fill="FFFFFF"/>
        </w:rPr>
        <w:t xml:space="preserve">NISRA (2011). The Northern Ireland Census 2011. Belfast:NISRA. </w:t>
      </w:r>
    </w:p>
    <w:p w14:paraId="600379AA" w14:textId="77777777" w:rsidR="000666A9" w:rsidRPr="00A0092C" w:rsidRDefault="000666A9" w:rsidP="000666A9">
      <w:pPr>
        <w:spacing w:line="480" w:lineRule="auto"/>
        <w:ind w:left="720" w:hanging="720"/>
        <w:contextualSpacing/>
        <w:rPr>
          <w:color w:val="222222"/>
          <w:shd w:val="clear" w:color="auto" w:fill="FFFFFF"/>
        </w:rPr>
      </w:pPr>
      <w:r w:rsidRPr="00A0092C">
        <w:rPr>
          <w:color w:val="222222"/>
          <w:shd w:val="clear" w:color="auto" w:fill="FFFFFF"/>
        </w:rPr>
        <w:t xml:space="preserve">Shafer, J. L., &amp; Graham, J. W. (2002).  Missing data: our view of the state of the art. </w:t>
      </w:r>
      <w:r w:rsidRPr="00A0092C">
        <w:rPr>
          <w:i/>
          <w:color w:val="222222"/>
          <w:shd w:val="clear" w:color="auto" w:fill="FFFFFF"/>
        </w:rPr>
        <w:t>Psychological Methods</w:t>
      </w:r>
      <w:r w:rsidRPr="00A0092C">
        <w:rPr>
          <w:color w:val="222222"/>
          <w:shd w:val="clear" w:color="auto" w:fill="FFFFFF"/>
        </w:rPr>
        <w:t xml:space="preserve">, </w:t>
      </w:r>
      <w:r w:rsidRPr="00A0092C">
        <w:rPr>
          <w:i/>
          <w:color w:val="222222"/>
          <w:shd w:val="clear" w:color="auto" w:fill="FFFFFF"/>
        </w:rPr>
        <w:t>7(2)</w:t>
      </w:r>
      <w:r w:rsidRPr="00A0092C">
        <w:rPr>
          <w:color w:val="222222"/>
          <w:shd w:val="clear" w:color="auto" w:fill="FFFFFF"/>
        </w:rPr>
        <w:t xml:space="preserve">. 147. </w:t>
      </w:r>
      <w:hyperlink r:id="rId20" w:tgtFrame="_blank" w:history="1">
        <w:r w:rsidRPr="00202F2B">
          <w:t>http://dx.doi.org/10.1037/1082-989X.7.2.147</w:t>
        </w:r>
      </w:hyperlink>
    </w:p>
    <w:p w14:paraId="005F6586" w14:textId="77777777" w:rsidR="000666A9" w:rsidRPr="00A0092C" w:rsidRDefault="000666A9" w:rsidP="000666A9">
      <w:pPr>
        <w:spacing w:line="480" w:lineRule="auto"/>
        <w:ind w:left="720" w:hanging="720"/>
        <w:contextualSpacing/>
        <w:rPr>
          <w:iCs/>
        </w:rPr>
      </w:pPr>
      <w:r w:rsidRPr="00A0092C">
        <w:rPr>
          <w:color w:val="222222"/>
          <w:shd w:val="clear" w:color="auto" w:fill="FFFFFF"/>
        </w:rPr>
        <w:t>Shirlow, P., &amp; Murtagh, B. (2006). </w:t>
      </w:r>
      <w:r w:rsidRPr="00A0092C">
        <w:rPr>
          <w:i/>
          <w:iCs/>
          <w:color w:val="222222"/>
          <w:shd w:val="clear" w:color="auto" w:fill="FFFFFF"/>
        </w:rPr>
        <w:t>Belfast: Segregation, violence and the city</w:t>
      </w:r>
      <w:r w:rsidRPr="00A0092C">
        <w:rPr>
          <w:color w:val="222222"/>
          <w:shd w:val="clear" w:color="auto" w:fill="FFFFFF"/>
        </w:rPr>
        <w:t>. Pluto Press.</w:t>
      </w:r>
    </w:p>
    <w:p w14:paraId="66C67555" w14:textId="77777777" w:rsidR="000666A9" w:rsidRDefault="000666A9" w:rsidP="000666A9">
      <w:pPr>
        <w:spacing w:line="480" w:lineRule="auto"/>
        <w:ind w:left="-360"/>
      </w:pPr>
      <w:r>
        <w:t xml:space="preserve">      </w:t>
      </w:r>
      <w:r w:rsidRPr="00A0092C">
        <w:t xml:space="preserve">Taylor, L. K., Merrilees, C. E., Campbell, A., Shirlow, P., Cairns, E., Goeke-Morey, M. C., </w:t>
      </w:r>
    </w:p>
    <w:p w14:paraId="66902BCC" w14:textId="77777777" w:rsidR="000666A9" w:rsidRDefault="000666A9" w:rsidP="000666A9">
      <w:pPr>
        <w:spacing w:line="480" w:lineRule="auto"/>
        <w:ind w:left="-360"/>
      </w:pPr>
      <w:r>
        <w:t xml:space="preserve">                 </w:t>
      </w:r>
      <w:r w:rsidRPr="00A0092C">
        <w:t xml:space="preserve">Schermerhorn, A. C., &amp; Cummings, E. M. (2011). Sectarian and nonsectarian violence: </w:t>
      </w:r>
    </w:p>
    <w:p w14:paraId="43ED2B3E" w14:textId="77777777" w:rsidR="000666A9" w:rsidRDefault="000666A9" w:rsidP="000666A9">
      <w:pPr>
        <w:spacing w:line="480" w:lineRule="auto"/>
        <w:ind w:left="-360"/>
        <w:rPr>
          <w:i/>
          <w:iCs/>
        </w:rPr>
      </w:pPr>
      <w:r>
        <w:t xml:space="preserve">                 </w:t>
      </w:r>
      <w:r w:rsidRPr="00A0092C">
        <w:t>Mothers' appraisals of political conflict in Northern Ireland. </w:t>
      </w:r>
      <w:r w:rsidRPr="00A0092C">
        <w:rPr>
          <w:i/>
          <w:iCs/>
        </w:rPr>
        <w:t xml:space="preserve">Peace and Conflict: Journal </w:t>
      </w:r>
    </w:p>
    <w:p w14:paraId="7CA0C635" w14:textId="77777777" w:rsidR="000666A9" w:rsidRPr="00202F2B" w:rsidRDefault="000666A9" w:rsidP="000666A9">
      <w:pPr>
        <w:spacing w:line="480" w:lineRule="auto"/>
        <w:ind w:left="-360"/>
        <w:rPr>
          <w:rFonts w:eastAsia="Times New Roman"/>
        </w:rPr>
      </w:pPr>
      <w:r>
        <w:rPr>
          <w:i/>
          <w:iCs/>
        </w:rPr>
        <w:t xml:space="preserve">                 </w:t>
      </w:r>
      <w:r w:rsidRPr="00A0092C">
        <w:rPr>
          <w:i/>
          <w:iCs/>
        </w:rPr>
        <w:t>of Peace Psychology, 17, </w:t>
      </w:r>
      <w:r w:rsidRPr="00A0092C">
        <w:t xml:space="preserve">343-366.  </w:t>
      </w:r>
      <w:hyperlink r:id="rId21" w:history="1">
        <w:r w:rsidRPr="00202F2B">
          <w:rPr>
            <w:rFonts w:eastAsia="Times New Roman"/>
          </w:rPr>
          <w:t>doi.org/10.1080/10781919.2011.610199</w:t>
        </w:r>
      </w:hyperlink>
    </w:p>
    <w:p w14:paraId="3EE0D38B" w14:textId="77777777" w:rsidR="000666A9" w:rsidRDefault="000666A9" w:rsidP="000666A9">
      <w:pPr>
        <w:spacing w:beforeAutospacing="1" w:afterAutospacing="1"/>
      </w:pPr>
      <w:r w:rsidRPr="00A0092C">
        <w:t xml:space="preserve">Taylor, L. K., Merrilees, C. E., Goeke-Morey, M. C., Shirlow, P., &amp; Cummings, E. M. (2016). </w:t>
      </w:r>
    </w:p>
    <w:p w14:paraId="522051BD" w14:textId="77777777" w:rsidR="000666A9" w:rsidRDefault="000666A9" w:rsidP="000666A9">
      <w:pPr>
        <w:spacing w:before="240" w:afterAutospacing="1"/>
      </w:pPr>
      <w:r>
        <w:t xml:space="preserve">           </w:t>
      </w:r>
      <w:r w:rsidRPr="00A0092C">
        <w:t xml:space="preserve">Trajectories of adolescent aggression and family cohesion: The potential to perpetuate or </w:t>
      </w:r>
    </w:p>
    <w:p w14:paraId="3CEC9C1F" w14:textId="77777777" w:rsidR="000666A9" w:rsidRDefault="000666A9" w:rsidP="000666A9">
      <w:pPr>
        <w:spacing w:before="240" w:afterAutospacing="1"/>
      </w:pPr>
      <w:r>
        <w:t xml:space="preserve">           </w:t>
      </w:r>
      <w:r w:rsidRPr="00A0092C">
        <w:t xml:space="preserve">ameliorate political conflict. </w:t>
      </w:r>
      <w:r w:rsidRPr="00A0092C">
        <w:rPr>
          <w:i/>
        </w:rPr>
        <w:t>Journal of Clinical Child and Adolescent Psychology</w:t>
      </w:r>
      <w:r w:rsidRPr="00A0092C">
        <w:t xml:space="preserve">, 45(2), </w:t>
      </w:r>
    </w:p>
    <w:p w14:paraId="5C2E30A5" w14:textId="77777777" w:rsidR="000666A9" w:rsidRPr="00C07AFA" w:rsidRDefault="000666A9" w:rsidP="000666A9">
      <w:pPr>
        <w:spacing w:before="240" w:afterAutospacing="1"/>
        <w:rPr>
          <w:rFonts w:eastAsia="Times New Roman"/>
          <w:color w:val="333333"/>
        </w:rPr>
      </w:pPr>
      <w:r>
        <w:t xml:space="preserve">           </w:t>
      </w:r>
      <w:r w:rsidRPr="00A0092C">
        <w:t>114-12</w:t>
      </w:r>
      <w:r w:rsidRPr="00C07AFA">
        <w:t xml:space="preserve">8. </w:t>
      </w:r>
      <w:hyperlink r:id="rId22" w:history="1">
        <w:r w:rsidRPr="00C07AFA">
          <w:rPr>
            <w:rFonts w:eastAsia="Times New Roman"/>
          </w:rPr>
          <w:t>doi.org/10.1080/15374416.2014.945213</w:t>
        </w:r>
      </w:hyperlink>
    </w:p>
    <w:p w14:paraId="730D0C8B" w14:textId="77777777" w:rsidR="000666A9" w:rsidRPr="00A0092C" w:rsidRDefault="000666A9" w:rsidP="000666A9">
      <w:pPr>
        <w:spacing w:line="480" w:lineRule="auto"/>
        <w:ind w:left="720" w:hanging="720"/>
        <w:contextualSpacing/>
        <w:rPr>
          <w:lang w:eastAsia="zh-CN"/>
        </w:rPr>
      </w:pPr>
      <w:r w:rsidRPr="00A0092C">
        <w:rPr>
          <w:shd w:val="clear" w:color="auto" w:fill="FFFFFF"/>
        </w:rPr>
        <w:t>Townsend, D.L.,</w:t>
      </w:r>
      <w:r w:rsidRPr="00A0092C">
        <w:rPr>
          <w:rStyle w:val="apple-converted-space"/>
          <w:shd w:val="clear" w:color="auto" w:fill="FFFFFF"/>
        </w:rPr>
        <w:t> </w:t>
      </w:r>
      <w:r w:rsidRPr="00A0092C">
        <w:rPr>
          <w:rStyle w:val="Strong"/>
          <w:b w:val="0"/>
          <w:shd w:val="clear" w:color="auto" w:fill="FFFFFF"/>
        </w:rPr>
        <w:t>Taylor, L.K.</w:t>
      </w:r>
      <w:r w:rsidRPr="00A0092C">
        <w:rPr>
          <w:shd w:val="clear" w:color="auto" w:fill="FFFFFF"/>
        </w:rPr>
        <w:t>, Furey, A., Merrilees, C E., Goeke-Morey, M C., Shirlow, P., &amp; Cummings, E.M. (2016).</w:t>
      </w:r>
      <w:r w:rsidRPr="00A0092C">
        <w:rPr>
          <w:rStyle w:val="apple-converted-space"/>
          <w:shd w:val="clear" w:color="auto" w:fill="FFFFFF"/>
        </w:rPr>
        <w:t> </w:t>
      </w:r>
      <w:r w:rsidRPr="00C07AFA">
        <w:rPr>
          <w:rStyle w:val="apple-converted-space"/>
          <w:u w:val="single"/>
          <w:shd w:val="clear" w:color="auto" w:fill="FFFFFF"/>
        </w:rPr>
        <w:t>Measuring the macrosystem in post-accord Northern Ireland: A social-ecological approach</w:t>
      </w:r>
      <w:r>
        <w:rPr>
          <w:rStyle w:val="apple-converted-space"/>
          <w:shd w:val="clear" w:color="auto" w:fill="FFFFFF"/>
        </w:rPr>
        <w:t xml:space="preserve">. </w:t>
      </w:r>
      <w:r w:rsidRPr="00A0092C">
        <w:rPr>
          <w:rStyle w:val="Emphasis"/>
          <w:shd w:val="clear" w:color="auto" w:fill="FFFFFF"/>
        </w:rPr>
        <w:t>Peace and Conflict: Journal of Peace Psychology, 22</w:t>
      </w:r>
      <w:r w:rsidRPr="00A0092C">
        <w:rPr>
          <w:shd w:val="clear" w:color="auto" w:fill="FFFFFF"/>
        </w:rPr>
        <w:t>(3), 282-286.</w:t>
      </w:r>
      <w:r w:rsidRPr="00A0092C">
        <w:t xml:space="preserve"> </w:t>
      </w:r>
      <w:hyperlink r:id="rId23" w:tgtFrame="_blank" w:history="1">
        <w:r w:rsidRPr="00C07AFA">
          <w:t>doi.org/10.1037/pac0000185</w:t>
        </w:r>
      </w:hyperlink>
    </w:p>
    <w:p w14:paraId="79E4622B" w14:textId="77777777" w:rsidR="003B05E5" w:rsidRDefault="003B05E5" w:rsidP="00B27CD7">
      <w:pPr>
        <w:spacing w:line="480" w:lineRule="auto"/>
        <w:ind w:left="720" w:hanging="720"/>
        <w:contextualSpacing/>
        <w:rPr>
          <w:lang w:eastAsia="zh-CN"/>
        </w:rPr>
      </w:pPr>
    </w:p>
    <w:p w14:paraId="499717BD" w14:textId="77777777" w:rsidR="003B05E5" w:rsidRDefault="003B05E5" w:rsidP="00B27CD7">
      <w:pPr>
        <w:spacing w:line="480" w:lineRule="auto"/>
        <w:ind w:left="720" w:hanging="720"/>
        <w:contextualSpacing/>
        <w:rPr>
          <w:lang w:eastAsia="zh-CN"/>
        </w:rPr>
      </w:pPr>
    </w:p>
    <w:p w14:paraId="44767AE9" w14:textId="77777777" w:rsidR="003B05E5" w:rsidRDefault="003B05E5" w:rsidP="00B27CD7">
      <w:pPr>
        <w:spacing w:line="480" w:lineRule="auto"/>
        <w:ind w:left="720" w:hanging="720"/>
        <w:contextualSpacing/>
        <w:rPr>
          <w:lang w:eastAsia="zh-CN"/>
        </w:rPr>
      </w:pPr>
    </w:p>
    <w:p w14:paraId="1B55B1FD" w14:textId="0516BB53" w:rsidR="003B05E5" w:rsidRPr="00356096" w:rsidRDefault="003B05E5" w:rsidP="003B05E5">
      <w:pPr>
        <w:spacing w:line="480" w:lineRule="auto"/>
        <w:jc w:val="center"/>
        <w:rPr>
          <w:b/>
          <w:lang w:eastAsia="zh-CN"/>
        </w:rPr>
      </w:pPr>
      <w:r w:rsidRPr="00356096">
        <w:rPr>
          <w:b/>
          <w:lang w:eastAsia="zh-CN"/>
        </w:rPr>
        <w:lastRenderedPageBreak/>
        <w:t>Footnote</w:t>
      </w:r>
      <w:r w:rsidR="00621DC3" w:rsidRPr="00356096">
        <w:rPr>
          <w:b/>
          <w:lang w:eastAsia="zh-CN"/>
        </w:rPr>
        <w:t>s</w:t>
      </w:r>
    </w:p>
    <w:p w14:paraId="4199EE48" w14:textId="55E44408" w:rsidR="003B05E5" w:rsidRPr="00BD53F4" w:rsidRDefault="00EE3DA1" w:rsidP="003A65D5">
      <w:pPr>
        <w:spacing w:line="480" w:lineRule="auto"/>
        <w:rPr>
          <w:lang w:eastAsia="zh-CN"/>
        </w:rPr>
      </w:pPr>
      <w:r>
        <w:rPr>
          <w:lang w:eastAsia="zh-CN"/>
        </w:rPr>
        <w:t xml:space="preserve"> </w:t>
      </w:r>
      <w:r w:rsidR="00BD53F4">
        <w:rPr>
          <w:lang w:eastAsia="zh-CN"/>
        </w:rPr>
        <w:tab/>
      </w:r>
      <w:r w:rsidR="003B05E5" w:rsidRPr="00BD53F4">
        <w:rPr>
          <w:vertAlign w:val="superscript"/>
          <w:lang w:eastAsia="zh-CN"/>
        </w:rPr>
        <w:t>1</w:t>
      </w:r>
      <w:r w:rsidR="003B05E5" w:rsidRPr="00BD53F4">
        <w:rPr>
          <w:lang w:eastAsia="zh-CN"/>
        </w:rPr>
        <w:t xml:space="preserve">We </w:t>
      </w:r>
      <w:r w:rsidR="00F770F1" w:rsidRPr="00BD53F4">
        <w:rPr>
          <w:lang w:eastAsia="zh-CN"/>
        </w:rPr>
        <w:t xml:space="preserve">also conducted a </w:t>
      </w:r>
      <w:r w:rsidR="003B05E5" w:rsidRPr="00BD53F4">
        <w:rPr>
          <w:lang w:eastAsia="zh-CN"/>
        </w:rPr>
        <w:t xml:space="preserve">latent factor model. </w:t>
      </w:r>
      <w:r w:rsidR="00BD53F4" w:rsidRPr="00BD53F4">
        <w:rPr>
          <w:lang w:eastAsia="zh-CN"/>
        </w:rPr>
        <w:t xml:space="preserve">For the </w:t>
      </w:r>
      <w:r w:rsidR="00BD53F4" w:rsidRPr="003A65D5">
        <w:rPr>
          <w:rFonts w:eastAsia="Times New Roman"/>
          <w:lang w:eastAsia="zh-CN"/>
        </w:rPr>
        <w:t xml:space="preserve">latent factor analysis, the manifest variables for the latent variable SAB were mother’s report of SAB and child’s report of SAB, and the manifest variables for the latent variable SDQ were mother’s report of the total problem score and child’s report of the total problem score. </w:t>
      </w:r>
      <w:r w:rsidR="00BD53F4" w:rsidRPr="00BD53F4">
        <w:t xml:space="preserve"> </w:t>
      </w:r>
      <w:r w:rsidR="00F770F1" w:rsidRPr="00BD53F4">
        <w:rPr>
          <w:lang w:eastAsia="zh-CN"/>
        </w:rPr>
        <w:t>However, b</w:t>
      </w:r>
      <w:r w:rsidR="003B05E5" w:rsidRPr="00BD53F4">
        <w:rPr>
          <w:lang w:eastAsia="zh-CN"/>
        </w:rPr>
        <w:t xml:space="preserve">ecause the model fit was </w:t>
      </w:r>
      <w:r w:rsidR="00F770F1" w:rsidRPr="00BD53F4">
        <w:rPr>
          <w:lang w:eastAsia="zh-CN"/>
        </w:rPr>
        <w:t xml:space="preserve">not adequate </w:t>
      </w:r>
      <w:r w:rsidR="003B05E5" w:rsidRPr="00BD53F4">
        <w:rPr>
          <w:lang w:eastAsia="zh-CN"/>
        </w:rPr>
        <w:t xml:space="preserve">for </w:t>
      </w:r>
      <w:r w:rsidR="00F770F1" w:rsidRPr="00BD53F4">
        <w:rPr>
          <w:lang w:eastAsia="zh-CN"/>
        </w:rPr>
        <w:t xml:space="preserve">a </w:t>
      </w:r>
      <w:r w:rsidR="003B05E5" w:rsidRPr="00EF55AA">
        <w:rPr>
          <w:lang w:eastAsia="zh-CN"/>
        </w:rPr>
        <w:t xml:space="preserve">latent </w:t>
      </w:r>
      <w:r w:rsidR="003B05E5" w:rsidRPr="0003450A">
        <w:rPr>
          <w:lang w:eastAsia="zh-CN"/>
        </w:rPr>
        <w:t>factor model, we used path analysis with manifest variables</w:t>
      </w:r>
      <w:r w:rsidR="00BD53F4" w:rsidRPr="0003450A">
        <w:rPr>
          <w:lang w:eastAsia="zh-CN"/>
        </w:rPr>
        <w:t xml:space="preserve">, based on </w:t>
      </w:r>
      <w:r w:rsidR="00BD53F4" w:rsidRPr="003A65D5">
        <w:rPr>
          <w:rFonts w:eastAsia="Times New Roman"/>
          <w:lang w:eastAsia="zh-CN"/>
        </w:rPr>
        <w:t>mother's report of SAB and child's report of SDQ.</w:t>
      </w:r>
    </w:p>
    <w:p w14:paraId="2EE32DEC" w14:textId="04F4E3EE" w:rsidR="003B05E5" w:rsidRDefault="00EE3DA1" w:rsidP="003B05E5">
      <w:pPr>
        <w:spacing w:line="480" w:lineRule="auto"/>
        <w:ind w:firstLineChars="177" w:firstLine="425"/>
        <w:rPr>
          <w:lang w:eastAsia="zh-CN"/>
        </w:rPr>
      </w:pPr>
      <w:r>
        <w:rPr>
          <w:lang w:eastAsia="zh-CN"/>
        </w:rPr>
        <w:t xml:space="preserve"> </w:t>
      </w:r>
      <w:r w:rsidR="003B05E5" w:rsidRPr="009E7C93">
        <w:rPr>
          <w:rFonts w:hint="eastAsia"/>
          <w:vertAlign w:val="superscript"/>
          <w:lang w:eastAsia="zh-CN"/>
        </w:rPr>
        <w:t>2</w:t>
      </w:r>
      <w:r w:rsidR="003B05E5" w:rsidRPr="009E7C93">
        <w:rPr>
          <w:lang w:eastAsia="zh-CN"/>
        </w:rPr>
        <w:t xml:space="preserve">We also considered age as a control variable, but all the regression coefficients </w:t>
      </w:r>
      <w:r w:rsidR="00F770F1">
        <w:rPr>
          <w:lang w:eastAsia="zh-CN"/>
        </w:rPr>
        <w:t xml:space="preserve">for </w:t>
      </w:r>
      <w:r w:rsidR="003B05E5" w:rsidRPr="009E7C93">
        <w:rPr>
          <w:lang w:eastAsia="zh-CN"/>
        </w:rPr>
        <w:t>age were not significant, therefore we used the model without age variable.</w:t>
      </w:r>
    </w:p>
    <w:p w14:paraId="3D3452B5" w14:textId="77777777" w:rsidR="003B05E5" w:rsidRPr="00B27CD7" w:rsidRDefault="003B05E5" w:rsidP="00B27CD7">
      <w:pPr>
        <w:spacing w:line="480" w:lineRule="auto"/>
        <w:ind w:left="720" w:hanging="720"/>
        <w:contextualSpacing/>
        <w:rPr>
          <w:iCs/>
          <w:lang w:eastAsia="zh-CN"/>
        </w:rPr>
      </w:pPr>
    </w:p>
    <w:p w14:paraId="13334DDB" w14:textId="77777777" w:rsidR="00DA2A25" w:rsidRDefault="00DA2A25" w:rsidP="007D021B">
      <w:pPr>
        <w:spacing w:line="480" w:lineRule="auto"/>
        <w:jc w:val="center"/>
      </w:pPr>
    </w:p>
    <w:p w14:paraId="323E7E2F" w14:textId="77777777" w:rsidR="00DA2A25" w:rsidRDefault="00DA2A25" w:rsidP="007D021B">
      <w:pPr>
        <w:spacing w:line="480" w:lineRule="auto"/>
        <w:jc w:val="center"/>
      </w:pPr>
    </w:p>
    <w:p w14:paraId="26062337" w14:textId="17B714F5" w:rsidR="00B70BBA" w:rsidRDefault="00B70BBA">
      <w:r>
        <w:br w:type="page"/>
      </w:r>
    </w:p>
    <w:p w14:paraId="685F6E41" w14:textId="77777777" w:rsidR="00621DC3" w:rsidRDefault="00DA2A25" w:rsidP="00B27CD7">
      <w:r w:rsidRPr="000158CE">
        <w:lastRenderedPageBreak/>
        <w:t>Ta</w:t>
      </w:r>
      <w:r>
        <w:t xml:space="preserve">ble 1 </w:t>
      </w:r>
    </w:p>
    <w:p w14:paraId="53BADB29" w14:textId="3015AB93" w:rsidR="00DA2A25" w:rsidRPr="00356096" w:rsidRDefault="00DA2A25" w:rsidP="00B27CD7">
      <w:pPr>
        <w:rPr>
          <w:i/>
        </w:rPr>
      </w:pPr>
      <w:r w:rsidRPr="00356096">
        <w:rPr>
          <w:i/>
        </w:rPr>
        <w:t>Descriptive Statistics of Sectarian Antisocial Behavior</w:t>
      </w:r>
      <w:r w:rsidRPr="00356096">
        <w:rPr>
          <w:i/>
          <w:lang w:eastAsia="zh-CN"/>
        </w:rPr>
        <w:t xml:space="preserve"> and </w:t>
      </w:r>
      <w:r w:rsidRPr="00356096">
        <w:rPr>
          <w:i/>
        </w:rPr>
        <w:t>Adjustment Problem.</w:t>
      </w:r>
    </w:p>
    <w:tbl>
      <w:tblPr>
        <w:tblStyle w:val="TableGrid"/>
        <w:tblW w:w="11140" w:type="dxa"/>
        <w:tblInd w:w="-1062" w:type="dxa"/>
        <w:tblBorders>
          <w:insideV w:val="none" w:sz="0" w:space="0" w:color="auto"/>
        </w:tblBorders>
        <w:tblLayout w:type="fixed"/>
        <w:tblLook w:val="04A0" w:firstRow="1" w:lastRow="0" w:firstColumn="1" w:lastColumn="0" w:noHBand="0" w:noVBand="1"/>
      </w:tblPr>
      <w:tblGrid>
        <w:gridCol w:w="1710"/>
        <w:gridCol w:w="1178"/>
        <w:gridCol w:w="1179"/>
        <w:gridCol w:w="1179"/>
        <w:gridCol w:w="1179"/>
        <w:gridCol w:w="1178"/>
        <w:gridCol w:w="1179"/>
        <w:gridCol w:w="1179"/>
        <w:gridCol w:w="1179"/>
      </w:tblGrid>
      <w:tr w:rsidR="00DA2A25" w:rsidRPr="00AD2848" w14:paraId="6F8D56A7" w14:textId="77777777" w:rsidTr="00B44003">
        <w:trPr>
          <w:trHeight w:val="300"/>
        </w:trPr>
        <w:tc>
          <w:tcPr>
            <w:tcW w:w="1710" w:type="dxa"/>
            <w:tcBorders>
              <w:left w:val="nil"/>
              <w:bottom w:val="single" w:sz="4" w:space="0" w:color="auto"/>
            </w:tcBorders>
            <w:noWrap/>
            <w:vAlign w:val="center"/>
            <w:hideMark/>
          </w:tcPr>
          <w:p w14:paraId="42768F28" w14:textId="77777777" w:rsidR="00DA2A25" w:rsidRPr="00AD2848" w:rsidRDefault="00DA2A25" w:rsidP="00B44003">
            <w:pPr>
              <w:jc w:val="center"/>
              <w:rPr>
                <w:rFonts w:eastAsia="Times New Roman"/>
                <w:color w:val="000000"/>
              </w:rPr>
            </w:pPr>
            <w:r>
              <w:rPr>
                <w:rFonts w:eastAsia="Times New Roman"/>
                <w:color w:val="000000"/>
              </w:rPr>
              <w:t>Variables</w:t>
            </w:r>
          </w:p>
        </w:tc>
        <w:tc>
          <w:tcPr>
            <w:tcW w:w="1178" w:type="dxa"/>
            <w:tcBorders>
              <w:bottom w:val="single" w:sz="4" w:space="0" w:color="auto"/>
            </w:tcBorders>
            <w:noWrap/>
            <w:vAlign w:val="center"/>
            <w:hideMark/>
          </w:tcPr>
          <w:p w14:paraId="595ED483" w14:textId="77777777" w:rsidR="00DA2A25" w:rsidRPr="00AD2848" w:rsidRDefault="00DA2A25" w:rsidP="00B44003">
            <w:pPr>
              <w:rPr>
                <w:rFonts w:eastAsia="Times New Roman"/>
                <w:color w:val="000000"/>
              </w:rPr>
            </w:pPr>
            <w:r w:rsidRPr="00AD2848">
              <w:rPr>
                <w:rFonts w:eastAsia="Times New Roman"/>
                <w:color w:val="000000"/>
              </w:rPr>
              <w:t>1</w:t>
            </w:r>
          </w:p>
        </w:tc>
        <w:tc>
          <w:tcPr>
            <w:tcW w:w="1179" w:type="dxa"/>
            <w:tcBorders>
              <w:bottom w:val="single" w:sz="4" w:space="0" w:color="auto"/>
            </w:tcBorders>
            <w:noWrap/>
            <w:vAlign w:val="center"/>
            <w:hideMark/>
          </w:tcPr>
          <w:p w14:paraId="260B7D68" w14:textId="77777777" w:rsidR="00DA2A25" w:rsidRPr="00AD2848" w:rsidRDefault="00DA2A25" w:rsidP="00B44003">
            <w:pPr>
              <w:rPr>
                <w:rFonts w:eastAsia="Times New Roman"/>
                <w:color w:val="000000"/>
              </w:rPr>
            </w:pPr>
            <w:r w:rsidRPr="00AD2848">
              <w:rPr>
                <w:rFonts w:eastAsia="Times New Roman"/>
                <w:color w:val="000000"/>
              </w:rPr>
              <w:t>2</w:t>
            </w:r>
          </w:p>
        </w:tc>
        <w:tc>
          <w:tcPr>
            <w:tcW w:w="1179" w:type="dxa"/>
            <w:tcBorders>
              <w:bottom w:val="single" w:sz="4" w:space="0" w:color="auto"/>
            </w:tcBorders>
            <w:noWrap/>
            <w:vAlign w:val="center"/>
            <w:hideMark/>
          </w:tcPr>
          <w:p w14:paraId="21D6D420" w14:textId="77777777" w:rsidR="00DA2A25" w:rsidRPr="00AD2848" w:rsidRDefault="00DA2A25" w:rsidP="00B44003">
            <w:pPr>
              <w:rPr>
                <w:rFonts w:eastAsia="Times New Roman"/>
                <w:color w:val="000000"/>
              </w:rPr>
            </w:pPr>
            <w:r w:rsidRPr="00AD2848">
              <w:rPr>
                <w:rFonts w:eastAsia="Times New Roman"/>
                <w:color w:val="000000"/>
              </w:rPr>
              <w:t>3</w:t>
            </w:r>
          </w:p>
        </w:tc>
        <w:tc>
          <w:tcPr>
            <w:tcW w:w="1179" w:type="dxa"/>
            <w:tcBorders>
              <w:bottom w:val="single" w:sz="4" w:space="0" w:color="auto"/>
            </w:tcBorders>
            <w:noWrap/>
            <w:vAlign w:val="center"/>
            <w:hideMark/>
          </w:tcPr>
          <w:p w14:paraId="4994A531" w14:textId="77777777" w:rsidR="00DA2A25" w:rsidRPr="00AD2848" w:rsidRDefault="00DA2A25" w:rsidP="00B44003">
            <w:pPr>
              <w:rPr>
                <w:rFonts w:eastAsia="Times New Roman"/>
                <w:color w:val="000000"/>
              </w:rPr>
            </w:pPr>
            <w:r w:rsidRPr="00AD2848">
              <w:rPr>
                <w:rFonts w:eastAsia="Times New Roman"/>
                <w:color w:val="000000"/>
              </w:rPr>
              <w:t>4</w:t>
            </w:r>
          </w:p>
        </w:tc>
        <w:tc>
          <w:tcPr>
            <w:tcW w:w="1178" w:type="dxa"/>
            <w:tcBorders>
              <w:bottom w:val="single" w:sz="4" w:space="0" w:color="auto"/>
            </w:tcBorders>
            <w:noWrap/>
            <w:vAlign w:val="center"/>
            <w:hideMark/>
          </w:tcPr>
          <w:p w14:paraId="66923346" w14:textId="77777777" w:rsidR="00DA2A25" w:rsidRPr="00AD2848" w:rsidRDefault="00DA2A25" w:rsidP="00B44003">
            <w:pPr>
              <w:rPr>
                <w:rFonts w:eastAsia="Times New Roman"/>
                <w:color w:val="000000"/>
              </w:rPr>
            </w:pPr>
            <w:r w:rsidRPr="00AD2848">
              <w:rPr>
                <w:rFonts w:eastAsia="Times New Roman"/>
                <w:color w:val="000000"/>
              </w:rPr>
              <w:t>5</w:t>
            </w:r>
          </w:p>
        </w:tc>
        <w:tc>
          <w:tcPr>
            <w:tcW w:w="1179" w:type="dxa"/>
            <w:tcBorders>
              <w:bottom w:val="single" w:sz="4" w:space="0" w:color="auto"/>
            </w:tcBorders>
            <w:noWrap/>
            <w:vAlign w:val="center"/>
            <w:hideMark/>
          </w:tcPr>
          <w:p w14:paraId="11C5E28B" w14:textId="77777777" w:rsidR="00DA2A25" w:rsidRPr="00AD2848" w:rsidRDefault="00DA2A25" w:rsidP="00B44003">
            <w:pPr>
              <w:rPr>
                <w:rFonts w:eastAsia="Times New Roman"/>
                <w:color w:val="000000"/>
              </w:rPr>
            </w:pPr>
            <w:r w:rsidRPr="00AD2848">
              <w:rPr>
                <w:rFonts w:eastAsia="Times New Roman"/>
                <w:color w:val="000000"/>
              </w:rPr>
              <w:t>6</w:t>
            </w:r>
          </w:p>
        </w:tc>
        <w:tc>
          <w:tcPr>
            <w:tcW w:w="1179" w:type="dxa"/>
            <w:tcBorders>
              <w:bottom w:val="single" w:sz="4" w:space="0" w:color="auto"/>
            </w:tcBorders>
            <w:noWrap/>
            <w:vAlign w:val="center"/>
            <w:hideMark/>
          </w:tcPr>
          <w:p w14:paraId="6F90A75D" w14:textId="77777777" w:rsidR="00DA2A25" w:rsidRPr="00AD2848" w:rsidRDefault="00DA2A25" w:rsidP="00B44003">
            <w:pPr>
              <w:rPr>
                <w:rFonts w:eastAsia="Times New Roman"/>
                <w:color w:val="000000"/>
              </w:rPr>
            </w:pPr>
            <w:r w:rsidRPr="00AD2848">
              <w:rPr>
                <w:rFonts w:eastAsia="Times New Roman"/>
                <w:color w:val="000000"/>
              </w:rPr>
              <w:t>7</w:t>
            </w:r>
          </w:p>
        </w:tc>
        <w:tc>
          <w:tcPr>
            <w:tcW w:w="1179" w:type="dxa"/>
            <w:tcBorders>
              <w:bottom w:val="single" w:sz="4" w:space="0" w:color="auto"/>
              <w:right w:val="nil"/>
            </w:tcBorders>
            <w:noWrap/>
            <w:vAlign w:val="center"/>
            <w:hideMark/>
          </w:tcPr>
          <w:p w14:paraId="1B7195D2" w14:textId="77777777" w:rsidR="00DA2A25" w:rsidRPr="00AD2848" w:rsidRDefault="00DA2A25" w:rsidP="00B44003">
            <w:pPr>
              <w:rPr>
                <w:rFonts w:eastAsia="Times New Roman"/>
                <w:color w:val="000000"/>
              </w:rPr>
            </w:pPr>
            <w:r w:rsidRPr="00AD2848">
              <w:rPr>
                <w:rFonts w:eastAsia="Times New Roman"/>
                <w:color w:val="000000"/>
              </w:rPr>
              <w:t>8</w:t>
            </w:r>
          </w:p>
        </w:tc>
      </w:tr>
      <w:tr w:rsidR="00DA2A25" w:rsidRPr="00AD2848" w14:paraId="3196576B" w14:textId="77777777" w:rsidTr="00B44003">
        <w:trPr>
          <w:trHeight w:val="300"/>
        </w:trPr>
        <w:tc>
          <w:tcPr>
            <w:tcW w:w="1710" w:type="dxa"/>
            <w:tcBorders>
              <w:left w:val="nil"/>
              <w:bottom w:val="nil"/>
            </w:tcBorders>
            <w:noWrap/>
            <w:vAlign w:val="center"/>
          </w:tcPr>
          <w:p w14:paraId="1C423BCE" w14:textId="10BB761B" w:rsidR="00DA2A25" w:rsidRPr="00AD2848" w:rsidRDefault="00621DC3" w:rsidP="00621DC3">
            <w:pPr>
              <w:jc w:val="center"/>
              <w:rPr>
                <w:rFonts w:eastAsia="Times New Roman"/>
                <w:color w:val="000000"/>
                <w:lang w:eastAsia="zh-CN"/>
              </w:rPr>
            </w:pPr>
            <w:r>
              <w:rPr>
                <w:rFonts w:eastAsia="Times New Roman"/>
                <w:color w:val="000000"/>
                <w:lang w:eastAsia="zh-CN"/>
              </w:rPr>
              <w:t>All</w:t>
            </w:r>
            <w:r>
              <w:rPr>
                <w:rFonts w:eastAsia="Times New Roman" w:hint="eastAsia"/>
                <w:color w:val="000000"/>
                <w:lang w:eastAsia="zh-CN"/>
              </w:rPr>
              <w:t xml:space="preserve"> </w:t>
            </w:r>
            <w:r>
              <w:rPr>
                <w:rFonts w:eastAsia="Times New Roman"/>
                <w:color w:val="000000"/>
                <w:lang w:eastAsia="zh-CN"/>
              </w:rPr>
              <w:t>youth</w:t>
            </w:r>
          </w:p>
        </w:tc>
        <w:tc>
          <w:tcPr>
            <w:tcW w:w="1178" w:type="dxa"/>
            <w:tcBorders>
              <w:bottom w:val="nil"/>
            </w:tcBorders>
            <w:noWrap/>
            <w:vAlign w:val="center"/>
          </w:tcPr>
          <w:p w14:paraId="33FD207C" w14:textId="77777777" w:rsidR="00DA2A25" w:rsidRPr="00AD2848" w:rsidRDefault="00DA2A25" w:rsidP="00B44003">
            <w:pPr>
              <w:rPr>
                <w:rFonts w:eastAsia="Times New Roman"/>
                <w:color w:val="000000"/>
              </w:rPr>
            </w:pPr>
          </w:p>
        </w:tc>
        <w:tc>
          <w:tcPr>
            <w:tcW w:w="1179" w:type="dxa"/>
            <w:tcBorders>
              <w:bottom w:val="nil"/>
            </w:tcBorders>
            <w:noWrap/>
            <w:vAlign w:val="center"/>
          </w:tcPr>
          <w:p w14:paraId="10D3F5F0" w14:textId="77777777" w:rsidR="00DA2A25" w:rsidRPr="00AD2848" w:rsidRDefault="00DA2A25" w:rsidP="00B44003">
            <w:pPr>
              <w:rPr>
                <w:rFonts w:eastAsia="Times New Roman"/>
                <w:color w:val="000000"/>
              </w:rPr>
            </w:pPr>
          </w:p>
        </w:tc>
        <w:tc>
          <w:tcPr>
            <w:tcW w:w="1179" w:type="dxa"/>
            <w:tcBorders>
              <w:bottom w:val="nil"/>
            </w:tcBorders>
            <w:noWrap/>
            <w:vAlign w:val="center"/>
          </w:tcPr>
          <w:p w14:paraId="2E8EB734" w14:textId="77777777" w:rsidR="00DA2A25" w:rsidRPr="00AD2848" w:rsidRDefault="00DA2A25" w:rsidP="00B44003">
            <w:pPr>
              <w:rPr>
                <w:rFonts w:eastAsia="Times New Roman"/>
                <w:color w:val="000000"/>
              </w:rPr>
            </w:pPr>
          </w:p>
        </w:tc>
        <w:tc>
          <w:tcPr>
            <w:tcW w:w="1179" w:type="dxa"/>
            <w:tcBorders>
              <w:bottom w:val="nil"/>
            </w:tcBorders>
            <w:noWrap/>
            <w:vAlign w:val="center"/>
          </w:tcPr>
          <w:p w14:paraId="34171684" w14:textId="77777777" w:rsidR="00DA2A25" w:rsidRPr="00AD2848" w:rsidRDefault="00DA2A25" w:rsidP="00B44003">
            <w:pPr>
              <w:rPr>
                <w:rFonts w:eastAsia="Times New Roman"/>
                <w:color w:val="000000"/>
              </w:rPr>
            </w:pPr>
          </w:p>
        </w:tc>
        <w:tc>
          <w:tcPr>
            <w:tcW w:w="1178" w:type="dxa"/>
            <w:tcBorders>
              <w:bottom w:val="nil"/>
            </w:tcBorders>
            <w:noWrap/>
            <w:vAlign w:val="center"/>
          </w:tcPr>
          <w:p w14:paraId="74C78A82" w14:textId="77777777" w:rsidR="00DA2A25" w:rsidRPr="00AD2848" w:rsidRDefault="00DA2A25" w:rsidP="00B44003">
            <w:pPr>
              <w:rPr>
                <w:rFonts w:eastAsia="Times New Roman"/>
                <w:color w:val="000000"/>
              </w:rPr>
            </w:pPr>
          </w:p>
        </w:tc>
        <w:tc>
          <w:tcPr>
            <w:tcW w:w="1179" w:type="dxa"/>
            <w:tcBorders>
              <w:bottom w:val="nil"/>
            </w:tcBorders>
            <w:noWrap/>
            <w:vAlign w:val="center"/>
          </w:tcPr>
          <w:p w14:paraId="2619A526" w14:textId="77777777" w:rsidR="00DA2A25" w:rsidRPr="00AD2848" w:rsidRDefault="00DA2A25" w:rsidP="00B44003">
            <w:pPr>
              <w:rPr>
                <w:rFonts w:eastAsia="Times New Roman"/>
                <w:color w:val="000000"/>
              </w:rPr>
            </w:pPr>
          </w:p>
        </w:tc>
        <w:tc>
          <w:tcPr>
            <w:tcW w:w="1179" w:type="dxa"/>
            <w:tcBorders>
              <w:bottom w:val="nil"/>
            </w:tcBorders>
            <w:noWrap/>
            <w:vAlign w:val="center"/>
          </w:tcPr>
          <w:p w14:paraId="40E16976" w14:textId="77777777" w:rsidR="00DA2A25" w:rsidRPr="00AD2848" w:rsidRDefault="00DA2A25" w:rsidP="00B44003">
            <w:pPr>
              <w:rPr>
                <w:rFonts w:eastAsia="Times New Roman"/>
                <w:color w:val="000000"/>
              </w:rPr>
            </w:pPr>
          </w:p>
        </w:tc>
        <w:tc>
          <w:tcPr>
            <w:tcW w:w="1179" w:type="dxa"/>
            <w:tcBorders>
              <w:bottom w:val="nil"/>
              <w:right w:val="nil"/>
            </w:tcBorders>
            <w:noWrap/>
            <w:vAlign w:val="center"/>
          </w:tcPr>
          <w:p w14:paraId="2297B8B9" w14:textId="77777777" w:rsidR="00DA2A25" w:rsidRPr="00AD2848" w:rsidRDefault="00DA2A25" w:rsidP="00B44003">
            <w:pPr>
              <w:rPr>
                <w:rFonts w:eastAsia="Times New Roman"/>
                <w:color w:val="000000"/>
              </w:rPr>
            </w:pPr>
          </w:p>
        </w:tc>
      </w:tr>
      <w:tr w:rsidR="00DA2A25" w:rsidRPr="00AD2848" w14:paraId="38DD75D6" w14:textId="77777777" w:rsidTr="00B44003">
        <w:trPr>
          <w:trHeight w:val="300"/>
        </w:trPr>
        <w:tc>
          <w:tcPr>
            <w:tcW w:w="1710" w:type="dxa"/>
            <w:tcBorders>
              <w:top w:val="nil"/>
              <w:left w:val="nil"/>
              <w:bottom w:val="nil"/>
            </w:tcBorders>
            <w:noWrap/>
            <w:vAlign w:val="center"/>
            <w:hideMark/>
          </w:tcPr>
          <w:p w14:paraId="6FA45EE9" w14:textId="77777777" w:rsidR="00DA2A25" w:rsidRPr="00AD2848" w:rsidRDefault="00DA2A25" w:rsidP="00B44003">
            <w:pPr>
              <w:jc w:val="center"/>
              <w:rPr>
                <w:rFonts w:eastAsia="Times New Roman"/>
                <w:color w:val="000000"/>
              </w:rPr>
            </w:pPr>
            <w:r w:rsidRPr="00AD2848">
              <w:rPr>
                <w:rFonts w:eastAsia="Times New Roman"/>
                <w:color w:val="000000"/>
              </w:rPr>
              <w:t xml:space="preserve">1. </w:t>
            </w:r>
            <w:r w:rsidRPr="006421DC">
              <w:rPr>
                <w:rFonts w:eastAsia="Times New Roman"/>
                <w:color w:val="000000"/>
              </w:rPr>
              <w:t>SAB_T1</w:t>
            </w:r>
            <w:r w:rsidRPr="006421DC">
              <w:rPr>
                <w:rFonts w:eastAsia="Times New Roman"/>
                <w:color w:val="000000"/>
                <w:vertAlign w:val="superscript"/>
              </w:rPr>
              <w:t>m</w:t>
            </w:r>
          </w:p>
        </w:tc>
        <w:tc>
          <w:tcPr>
            <w:tcW w:w="1178" w:type="dxa"/>
            <w:tcBorders>
              <w:top w:val="nil"/>
              <w:bottom w:val="nil"/>
            </w:tcBorders>
            <w:noWrap/>
            <w:vAlign w:val="center"/>
            <w:hideMark/>
          </w:tcPr>
          <w:p w14:paraId="0FDA15F2"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3C889DC9"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6019FCB0"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5FFFCF84"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73C8E426"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7CE586E7"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0C754AED"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0AC81515" w14:textId="77777777" w:rsidR="00DA2A25" w:rsidRPr="00AD2848" w:rsidRDefault="00DA2A25" w:rsidP="00B44003">
            <w:pPr>
              <w:rPr>
                <w:rFonts w:eastAsia="Times New Roman"/>
                <w:color w:val="000000"/>
              </w:rPr>
            </w:pPr>
          </w:p>
        </w:tc>
      </w:tr>
      <w:tr w:rsidR="00DA2A25" w:rsidRPr="00AD2848" w14:paraId="7CFB2F8F" w14:textId="77777777" w:rsidTr="00B44003">
        <w:trPr>
          <w:trHeight w:val="300"/>
        </w:trPr>
        <w:tc>
          <w:tcPr>
            <w:tcW w:w="1710" w:type="dxa"/>
            <w:tcBorders>
              <w:top w:val="nil"/>
              <w:left w:val="nil"/>
              <w:bottom w:val="nil"/>
            </w:tcBorders>
            <w:noWrap/>
            <w:vAlign w:val="center"/>
            <w:hideMark/>
          </w:tcPr>
          <w:p w14:paraId="22FE56DB" w14:textId="77777777" w:rsidR="00DA2A25" w:rsidRPr="00AD2848" w:rsidRDefault="00DA2A25" w:rsidP="00B44003">
            <w:pPr>
              <w:jc w:val="center"/>
              <w:rPr>
                <w:rFonts w:eastAsia="Times New Roman"/>
                <w:color w:val="000000"/>
              </w:rPr>
            </w:pPr>
            <w:r w:rsidRPr="00AD2848">
              <w:rPr>
                <w:rFonts w:eastAsia="Times New Roman"/>
                <w:color w:val="000000"/>
              </w:rPr>
              <w:t>2. SAB_T2</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1256C74F" w14:textId="77777777" w:rsidR="00DA2A25" w:rsidRPr="00024A63" w:rsidRDefault="00DA2A25" w:rsidP="00B44003">
            <w:pPr>
              <w:rPr>
                <w:rFonts w:eastAsia="Times New Roman"/>
                <w:color w:val="000000"/>
                <w:vertAlign w:val="superscript"/>
                <w:lang w:eastAsia="zh-CN"/>
              </w:rPr>
            </w:pPr>
            <w:r w:rsidRPr="00AD2848">
              <w:rPr>
                <w:rFonts w:eastAsia="Times New Roman"/>
                <w:color w:val="000000"/>
              </w:rPr>
              <w:t>0.15</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2628DA92"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0855E7B6"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62A6EE55"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39121C14"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06CC0602"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5C0F2CED"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4D3B74C3" w14:textId="77777777" w:rsidR="00DA2A25" w:rsidRPr="00AD2848" w:rsidRDefault="00DA2A25" w:rsidP="00B44003">
            <w:pPr>
              <w:rPr>
                <w:rFonts w:eastAsia="Times New Roman"/>
                <w:color w:val="000000"/>
              </w:rPr>
            </w:pPr>
          </w:p>
        </w:tc>
      </w:tr>
      <w:tr w:rsidR="00DA2A25" w:rsidRPr="00AD2848" w14:paraId="7A32C06B" w14:textId="77777777" w:rsidTr="00B44003">
        <w:trPr>
          <w:trHeight w:val="300"/>
        </w:trPr>
        <w:tc>
          <w:tcPr>
            <w:tcW w:w="1710" w:type="dxa"/>
            <w:tcBorders>
              <w:top w:val="nil"/>
              <w:left w:val="nil"/>
              <w:bottom w:val="nil"/>
            </w:tcBorders>
            <w:noWrap/>
            <w:vAlign w:val="center"/>
            <w:hideMark/>
          </w:tcPr>
          <w:p w14:paraId="4B5C6F2B" w14:textId="77777777" w:rsidR="00DA2A25" w:rsidRPr="00AD2848" w:rsidRDefault="00DA2A25" w:rsidP="00B44003">
            <w:pPr>
              <w:jc w:val="center"/>
              <w:rPr>
                <w:rFonts w:eastAsia="Times New Roman"/>
                <w:color w:val="000000"/>
              </w:rPr>
            </w:pPr>
            <w:r w:rsidRPr="00AD2848">
              <w:rPr>
                <w:rFonts w:eastAsia="Times New Roman"/>
                <w:color w:val="000000"/>
              </w:rPr>
              <w:t>3. SAB_T3</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3421A5F4" w14:textId="77777777" w:rsidR="00DA2A25" w:rsidRPr="00AD2848" w:rsidRDefault="00DA2A25" w:rsidP="00B44003">
            <w:pPr>
              <w:rPr>
                <w:rFonts w:eastAsia="Times New Roman"/>
                <w:color w:val="000000"/>
              </w:rPr>
            </w:pPr>
            <w:r w:rsidRPr="00AD2848">
              <w:rPr>
                <w:rFonts w:eastAsia="Times New Roman"/>
                <w:color w:val="000000"/>
              </w:rPr>
              <w:t>0.32</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09E8599C" w14:textId="77777777" w:rsidR="00DA2A25" w:rsidRPr="00AD2848" w:rsidRDefault="00DA2A25" w:rsidP="00B44003">
            <w:pPr>
              <w:rPr>
                <w:rFonts w:eastAsia="Times New Roman"/>
                <w:color w:val="000000"/>
              </w:rPr>
            </w:pPr>
            <w:r w:rsidRPr="00AD2848">
              <w:rPr>
                <w:rFonts w:eastAsia="Times New Roman"/>
                <w:color w:val="000000"/>
              </w:rPr>
              <w:t>0.19</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31C27297"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0BB2D82F"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671C47EE"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430072E4"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03447138"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73B82365" w14:textId="77777777" w:rsidR="00DA2A25" w:rsidRPr="00AD2848" w:rsidRDefault="00DA2A25" w:rsidP="00B44003">
            <w:pPr>
              <w:rPr>
                <w:rFonts w:eastAsia="Times New Roman"/>
                <w:color w:val="000000"/>
              </w:rPr>
            </w:pPr>
          </w:p>
        </w:tc>
      </w:tr>
      <w:tr w:rsidR="00DA2A25" w:rsidRPr="00AD2848" w14:paraId="5C0BEE6C" w14:textId="77777777" w:rsidTr="00B44003">
        <w:trPr>
          <w:trHeight w:val="300"/>
        </w:trPr>
        <w:tc>
          <w:tcPr>
            <w:tcW w:w="1710" w:type="dxa"/>
            <w:tcBorders>
              <w:top w:val="nil"/>
              <w:left w:val="nil"/>
              <w:bottom w:val="nil"/>
            </w:tcBorders>
            <w:noWrap/>
            <w:vAlign w:val="center"/>
            <w:hideMark/>
          </w:tcPr>
          <w:p w14:paraId="080CBAD7" w14:textId="77777777" w:rsidR="00DA2A25" w:rsidRPr="00AD2848" w:rsidRDefault="00DA2A25" w:rsidP="00B44003">
            <w:pPr>
              <w:jc w:val="center"/>
              <w:rPr>
                <w:rFonts w:eastAsia="Times New Roman"/>
                <w:color w:val="000000"/>
              </w:rPr>
            </w:pPr>
            <w:r w:rsidRPr="00AD2848">
              <w:rPr>
                <w:rFonts w:eastAsia="Times New Roman"/>
                <w:color w:val="000000"/>
              </w:rPr>
              <w:t>4. SAB_T4</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6B688838" w14:textId="77777777" w:rsidR="00DA2A25" w:rsidRPr="00AD2848" w:rsidRDefault="00DA2A25" w:rsidP="00B44003">
            <w:pPr>
              <w:rPr>
                <w:rFonts w:eastAsia="Times New Roman"/>
                <w:color w:val="000000"/>
              </w:rPr>
            </w:pPr>
            <w:r w:rsidRPr="00AD2848">
              <w:rPr>
                <w:rFonts w:eastAsia="Times New Roman"/>
                <w:color w:val="000000"/>
              </w:rPr>
              <w:t>0.18</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243EBC70" w14:textId="77777777" w:rsidR="00DA2A25" w:rsidRPr="00AD2848" w:rsidRDefault="00DA2A25" w:rsidP="00B44003">
            <w:pPr>
              <w:rPr>
                <w:rFonts w:eastAsia="Times New Roman"/>
                <w:color w:val="000000"/>
              </w:rPr>
            </w:pPr>
            <w:r w:rsidRPr="00AD2848">
              <w:rPr>
                <w:rFonts w:eastAsia="Times New Roman"/>
                <w:color w:val="000000"/>
              </w:rPr>
              <w:t>0.01</w:t>
            </w:r>
          </w:p>
        </w:tc>
        <w:tc>
          <w:tcPr>
            <w:tcW w:w="1179" w:type="dxa"/>
            <w:tcBorders>
              <w:top w:val="nil"/>
              <w:bottom w:val="nil"/>
            </w:tcBorders>
            <w:noWrap/>
            <w:vAlign w:val="center"/>
            <w:hideMark/>
          </w:tcPr>
          <w:p w14:paraId="15CFE457" w14:textId="77777777" w:rsidR="00DA2A25" w:rsidRPr="00AD2848" w:rsidRDefault="00DA2A25" w:rsidP="00B44003">
            <w:pPr>
              <w:rPr>
                <w:rFonts w:eastAsia="Times New Roman"/>
                <w:color w:val="000000"/>
              </w:rPr>
            </w:pPr>
            <w:r w:rsidRPr="00AD2848">
              <w:rPr>
                <w:rFonts w:eastAsia="Times New Roman"/>
                <w:color w:val="000000"/>
              </w:rPr>
              <w:t>0.52</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6377944D" w14:textId="77777777" w:rsidR="00DA2A25" w:rsidRPr="00AD2848" w:rsidRDefault="00DA2A25" w:rsidP="00B44003">
            <w:pPr>
              <w:rPr>
                <w:rFonts w:eastAsia="Times New Roman"/>
                <w:color w:val="000000"/>
              </w:rPr>
            </w:pPr>
            <w:r w:rsidRPr="00AD2848">
              <w:rPr>
                <w:rFonts w:eastAsia="Times New Roman"/>
                <w:color w:val="000000"/>
              </w:rPr>
              <w:t>1.00</w:t>
            </w:r>
          </w:p>
        </w:tc>
        <w:tc>
          <w:tcPr>
            <w:tcW w:w="1178" w:type="dxa"/>
            <w:tcBorders>
              <w:top w:val="nil"/>
              <w:bottom w:val="nil"/>
            </w:tcBorders>
            <w:noWrap/>
            <w:vAlign w:val="center"/>
            <w:hideMark/>
          </w:tcPr>
          <w:p w14:paraId="7D813EBC"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6250C0A9"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4EFBF1BB"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327560B6" w14:textId="77777777" w:rsidR="00DA2A25" w:rsidRPr="00AD2848" w:rsidRDefault="00DA2A25" w:rsidP="00B44003">
            <w:pPr>
              <w:rPr>
                <w:rFonts w:eastAsia="Times New Roman"/>
                <w:color w:val="000000"/>
              </w:rPr>
            </w:pPr>
          </w:p>
        </w:tc>
      </w:tr>
      <w:tr w:rsidR="00DA2A25" w:rsidRPr="00AD2848" w14:paraId="6ACAE840" w14:textId="77777777" w:rsidTr="00B44003">
        <w:trPr>
          <w:trHeight w:val="300"/>
        </w:trPr>
        <w:tc>
          <w:tcPr>
            <w:tcW w:w="1710" w:type="dxa"/>
            <w:tcBorders>
              <w:top w:val="nil"/>
              <w:left w:val="nil"/>
              <w:bottom w:val="nil"/>
            </w:tcBorders>
            <w:noWrap/>
            <w:vAlign w:val="center"/>
            <w:hideMark/>
          </w:tcPr>
          <w:p w14:paraId="50C689F0" w14:textId="77777777" w:rsidR="00DA2A25" w:rsidRPr="00AD2848" w:rsidRDefault="00DA2A25" w:rsidP="00B44003">
            <w:pPr>
              <w:jc w:val="center"/>
              <w:rPr>
                <w:rFonts w:eastAsia="Times New Roman"/>
                <w:color w:val="000000"/>
                <w:lang w:eastAsia="zh-CN"/>
              </w:rPr>
            </w:pPr>
            <w:r w:rsidRPr="00AD2848">
              <w:rPr>
                <w:rFonts w:eastAsia="Times New Roman"/>
                <w:color w:val="000000"/>
              </w:rPr>
              <w:t>5. SDQ_T1</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6BA69AD2" w14:textId="77777777" w:rsidR="00DA2A25" w:rsidRPr="00AD2848" w:rsidRDefault="00DA2A25" w:rsidP="00B44003">
            <w:pPr>
              <w:rPr>
                <w:rFonts w:eastAsia="Times New Roman"/>
                <w:color w:val="000000"/>
              </w:rPr>
            </w:pPr>
            <w:r w:rsidRPr="00AD2848">
              <w:rPr>
                <w:rFonts w:eastAsia="Times New Roman"/>
                <w:color w:val="000000"/>
              </w:rPr>
              <w:t>0.01</w:t>
            </w:r>
          </w:p>
        </w:tc>
        <w:tc>
          <w:tcPr>
            <w:tcW w:w="1179" w:type="dxa"/>
            <w:tcBorders>
              <w:top w:val="nil"/>
              <w:bottom w:val="nil"/>
            </w:tcBorders>
            <w:noWrap/>
            <w:vAlign w:val="center"/>
            <w:hideMark/>
          </w:tcPr>
          <w:p w14:paraId="718E53EF" w14:textId="77777777" w:rsidR="00DA2A25" w:rsidRPr="00AD2848" w:rsidRDefault="00DA2A25" w:rsidP="00B44003">
            <w:pPr>
              <w:rPr>
                <w:rFonts w:eastAsia="Times New Roman"/>
                <w:color w:val="000000"/>
              </w:rPr>
            </w:pPr>
            <w:r w:rsidRPr="00AD2848">
              <w:rPr>
                <w:rFonts w:eastAsia="Times New Roman"/>
                <w:color w:val="000000"/>
              </w:rPr>
              <w:t>0.04</w:t>
            </w:r>
          </w:p>
        </w:tc>
        <w:tc>
          <w:tcPr>
            <w:tcW w:w="1179" w:type="dxa"/>
            <w:tcBorders>
              <w:top w:val="nil"/>
              <w:bottom w:val="nil"/>
            </w:tcBorders>
            <w:noWrap/>
            <w:vAlign w:val="center"/>
            <w:hideMark/>
          </w:tcPr>
          <w:p w14:paraId="7C36FC85" w14:textId="77777777" w:rsidR="00DA2A25" w:rsidRPr="00AD2848" w:rsidRDefault="00DA2A25" w:rsidP="00B44003">
            <w:pPr>
              <w:rPr>
                <w:rFonts w:eastAsia="Times New Roman"/>
                <w:color w:val="000000"/>
              </w:rPr>
            </w:pPr>
            <w:r w:rsidRPr="00AD2848">
              <w:rPr>
                <w:rFonts w:eastAsia="Times New Roman"/>
                <w:color w:val="000000"/>
              </w:rPr>
              <w:t>0.08</w:t>
            </w:r>
          </w:p>
        </w:tc>
        <w:tc>
          <w:tcPr>
            <w:tcW w:w="1179" w:type="dxa"/>
            <w:tcBorders>
              <w:top w:val="nil"/>
              <w:bottom w:val="nil"/>
            </w:tcBorders>
            <w:noWrap/>
            <w:vAlign w:val="center"/>
            <w:hideMark/>
          </w:tcPr>
          <w:p w14:paraId="64826E87" w14:textId="77777777" w:rsidR="00DA2A25" w:rsidRPr="00AD2848" w:rsidRDefault="00DA2A25" w:rsidP="00B44003">
            <w:pPr>
              <w:rPr>
                <w:rFonts w:eastAsia="Times New Roman"/>
                <w:color w:val="000000"/>
              </w:rPr>
            </w:pPr>
            <w:r w:rsidRPr="00AD2848">
              <w:rPr>
                <w:rFonts w:eastAsia="Times New Roman"/>
                <w:color w:val="000000"/>
              </w:rPr>
              <w:t>0.11</w:t>
            </w:r>
            <w:r>
              <w:rPr>
                <w:rFonts w:eastAsia="Times New Roman" w:hint="eastAsia"/>
                <w:color w:val="000000"/>
                <w:vertAlign w:val="superscript"/>
                <w:lang w:eastAsia="zh-CN"/>
              </w:rPr>
              <w:t>**</w:t>
            </w:r>
          </w:p>
        </w:tc>
        <w:tc>
          <w:tcPr>
            <w:tcW w:w="1178" w:type="dxa"/>
            <w:tcBorders>
              <w:top w:val="nil"/>
              <w:bottom w:val="nil"/>
            </w:tcBorders>
            <w:noWrap/>
            <w:vAlign w:val="center"/>
            <w:hideMark/>
          </w:tcPr>
          <w:p w14:paraId="7AD726C1"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2AF6A1AA"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52A4D1CB"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18114D30" w14:textId="77777777" w:rsidR="00DA2A25" w:rsidRPr="00AD2848" w:rsidRDefault="00DA2A25" w:rsidP="00B44003">
            <w:pPr>
              <w:rPr>
                <w:rFonts w:eastAsia="Times New Roman"/>
                <w:color w:val="000000"/>
              </w:rPr>
            </w:pPr>
          </w:p>
        </w:tc>
      </w:tr>
      <w:tr w:rsidR="00DA2A25" w:rsidRPr="00AD2848" w14:paraId="6867B8DC" w14:textId="77777777" w:rsidTr="00B44003">
        <w:trPr>
          <w:trHeight w:val="300"/>
        </w:trPr>
        <w:tc>
          <w:tcPr>
            <w:tcW w:w="1710" w:type="dxa"/>
            <w:tcBorders>
              <w:top w:val="nil"/>
              <w:left w:val="nil"/>
              <w:bottom w:val="nil"/>
            </w:tcBorders>
            <w:noWrap/>
            <w:vAlign w:val="center"/>
            <w:hideMark/>
          </w:tcPr>
          <w:p w14:paraId="053CD9D6" w14:textId="77777777" w:rsidR="00DA2A25" w:rsidRPr="00AD2848" w:rsidRDefault="00DA2A25" w:rsidP="00B44003">
            <w:pPr>
              <w:jc w:val="center"/>
              <w:rPr>
                <w:rFonts w:eastAsia="Times New Roman"/>
                <w:color w:val="000000"/>
              </w:rPr>
            </w:pPr>
            <w:r w:rsidRPr="00AD2848">
              <w:rPr>
                <w:rFonts w:eastAsia="Times New Roman"/>
                <w:color w:val="000000"/>
              </w:rPr>
              <w:t>6. SDQ_T2</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0A7DA084" w14:textId="77777777" w:rsidR="00DA2A25" w:rsidRPr="00AD2848" w:rsidRDefault="00DA2A25" w:rsidP="00B44003">
            <w:pPr>
              <w:rPr>
                <w:rFonts w:eastAsia="Times New Roman"/>
                <w:color w:val="000000"/>
              </w:rPr>
            </w:pPr>
            <w:r w:rsidRPr="00AD2848">
              <w:rPr>
                <w:rFonts w:eastAsia="Times New Roman"/>
                <w:color w:val="000000"/>
              </w:rPr>
              <w:t>0.08</w:t>
            </w:r>
          </w:p>
        </w:tc>
        <w:tc>
          <w:tcPr>
            <w:tcW w:w="1179" w:type="dxa"/>
            <w:tcBorders>
              <w:top w:val="nil"/>
              <w:bottom w:val="nil"/>
            </w:tcBorders>
            <w:noWrap/>
            <w:vAlign w:val="center"/>
            <w:hideMark/>
          </w:tcPr>
          <w:p w14:paraId="10839D28" w14:textId="77777777" w:rsidR="00DA2A25" w:rsidRPr="00AD2848" w:rsidRDefault="00DA2A25" w:rsidP="00B44003">
            <w:pPr>
              <w:rPr>
                <w:rFonts w:eastAsia="Times New Roman"/>
                <w:color w:val="000000"/>
              </w:rPr>
            </w:pPr>
            <w:r w:rsidRPr="00AD2848">
              <w:rPr>
                <w:rFonts w:eastAsia="Times New Roman"/>
                <w:color w:val="000000"/>
              </w:rPr>
              <w:t>0.37</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2430B9A9" w14:textId="77777777" w:rsidR="00DA2A25" w:rsidRPr="00AD2848" w:rsidRDefault="00DA2A25" w:rsidP="00B44003">
            <w:pPr>
              <w:rPr>
                <w:rFonts w:eastAsia="Times New Roman"/>
                <w:color w:val="000000"/>
              </w:rPr>
            </w:pPr>
            <w:r w:rsidRPr="00AD2848">
              <w:rPr>
                <w:rFonts w:eastAsia="Times New Roman"/>
                <w:color w:val="000000"/>
              </w:rPr>
              <w:t>0.03</w:t>
            </w:r>
          </w:p>
        </w:tc>
        <w:tc>
          <w:tcPr>
            <w:tcW w:w="1179" w:type="dxa"/>
            <w:tcBorders>
              <w:top w:val="nil"/>
              <w:bottom w:val="nil"/>
            </w:tcBorders>
            <w:noWrap/>
            <w:vAlign w:val="center"/>
            <w:hideMark/>
          </w:tcPr>
          <w:p w14:paraId="7C4F4FB9" w14:textId="77777777" w:rsidR="00DA2A25" w:rsidRPr="00AD2848" w:rsidRDefault="00DA2A25" w:rsidP="00B44003">
            <w:pPr>
              <w:rPr>
                <w:rFonts w:eastAsia="Times New Roman"/>
                <w:color w:val="000000"/>
              </w:rPr>
            </w:pPr>
            <w:r>
              <w:rPr>
                <w:rFonts w:eastAsia="Times New Roman"/>
                <w:color w:val="000000"/>
              </w:rPr>
              <w:t>-0.01</w:t>
            </w:r>
          </w:p>
        </w:tc>
        <w:tc>
          <w:tcPr>
            <w:tcW w:w="1178" w:type="dxa"/>
            <w:tcBorders>
              <w:top w:val="nil"/>
              <w:bottom w:val="nil"/>
            </w:tcBorders>
            <w:noWrap/>
            <w:vAlign w:val="center"/>
            <w:hideMark/>
          </w:tcPr>
          <w:p w14:paraId="09B2696A" w14:textId="77777777" w:rsidR="00DA2A25" w:rsidRPr="00AD2848" w:rsidRDefault="00DA2A25" w:rsidP="00B44003">
            <w:pPr>
              <w:rPr>
                <w:rFonts w:eastAsia="Times New Roman"/>
                <w:color w:val="000000"/>
              </w:rPr>
            </w:pPr>
            <w:r w:rsidRPr="00AD2848">
              <w:rPr>
                <w:rFonts w:eastAsia="Times New Roman"/>
                <w:color w:val="000000"/>
              </w:rPr>
              <w:t>0.21</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1C82CF11"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614E848F"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1C40436F" w14:textId="77777777" w:rsidR="00DA2A25" w:rsidRPr="00AD2848" w:rsidRDefault="00DA2A25" w:rsidP="00B44003">
            <w:pPr>
              <w:rPr>
                <w:rFonts w:eastAsia="Times New Roman"/>
                <w:color w:val="000000"/>
              </w:rPr>
            </w:pPr>
          </w:p>
        </w:tc>
      </w:tr>
      <w:tr w:rsidR="00DA2A25" w:rsidRPr="00AD2848" w14:paraId="11BF72F0" w14:textId="77777777" w:rsidTr="00B44003">
        <w:trPr>
          <w:trHeight w:val="300"/>
        </w:trPr>
        <w:tc>
          <w:tcPr>
            <w:tcW w:w="1710" w:type="dxa"/>
            <w:tcBorders>
              <w:top w:val="nil"/>
              <w:left w:val="nil"/>
              <w:bottom w:val="nil"/>
            </w:tcBorders>
            <w:noWrap/>
            <w:vAlign w:val="center"/>
            <w:hideMark/>
          </w:tcPr>
          <w:p w14:paraId="6E2BD152" w14:textId="77777777" w:rsidR="00DA2A25" w:rsidRPr="00AD2848" w:rsidRDefault="00DA2A25" w:rsidP="00B44003">
            <w:pPr>
              <w:jc w:val="center"/>
              <w:rPr>
                <w:rFonts w:eastAsia="Times New Roman"/>
                <w:color w:val="000000"/>
              </w:rPr>
            </w:pPr>
            <w:r w:rsidRPr="00AD2848">
              <w:rPr>
                <w:rFonts w:eastAsia="Times New Roman"/>
                <w:color w:val="000000"/>
              </w:rPr>
              <w:t>7. SDQ_T3</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220A2B3B" w14:textId="77777777" w:rsidR="00DA2A25" w:rsidRPr="00AD2848" w:rsidRDefault="00DA2A25" w:rsidP="00B44003">
            <w:pPr>
              <w:rPr>
                <w:rFonts w:eastAsia="Times New Roman"/>
                <w:color w:val="000000"/>
              </w:rPr>
            </w:pPr>
            <w:r w:rsidRPr="00AD2848">
              <w:rPr>
                <w:rFonts w:eastAsia="Times New Roman"/>
                <w:color w:val="000000"/>
              </w:rPr>
              <w:t>0.01</w:t>
            </w:r>
          </w:p>
        </w:tc>
        <w:tc>
          <w:tcPr>
            <w:tcW w:w="1179" w:type="dxa"/>
            <w:tcBorders>
              <w:top w:val="nil"/>
              <w:bottom w:val="nil"/>
            </w:tcBorders>
            <w:noWrap/>
            <w:vAlign w:val="center"/>
            <w:hideMark/>
          </w:tcPr>
          <w:p w14:paraId="7B293465" w14:textId="77777777" w:rsidR="00DA2A25" w:rsidRPr="00AD2848" w:rsidRDefault="00DA2A25" w:rsidP="00B44003">
            <w:pPr>
              <w:rPr>
                <w:rFonts w:eastAsia="Times New Roman"/>
                <w:color w:val="000000"/>
              </w:rPr>
            </w:pPr>
            <w:r w:rsidRPr="00AD2848">
              <w:rPr>
                <w:rFonts w:eastAsia="Times New Roman"/>
                <w:color w:val="000000"/>
              </w:rPr>
              <w:t>0.04</w:t>
            </w:r>
          </w:p>
        </w:tc>
        <w:tc>
          <w:tcPr>
            <w:tcW w:w="1179" w:type="dxa"/>
            <w:tcBorders>
              <w:top w:val="nil"/>
              <w:bottom w:val="nil"/>
            </w:tcBorders>
            <w:noWrap/>
            <w:vAlign w:val="center"/>
            <w:hideMark/>
          </w:tcPr>
          <w:p w14:paraId="76CC0F35" w14:textId="77777777" w:rsidR="00DA2A25" w:rsidRPr="00AD2848" w:rsidRDefault="00DA2A25" w:rsidP="00B44003">
            <w:pPr>
              <w:rPr>
                <w:rFonts w:eastAsia="Times New Roman"/>
                <w:color w:val="000000"/>
              </w:rPr>
            </w:pPr>
            <w:r w:rsidRPr="00AD2848">
              <w:rPr>
                <w:rFonts w:eastAsia="Times New Roman"/>
                <w:color w:val="000000"/>
              </w:rPr>
              <w:t>0.25</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0D7062A9" w14:textId="77777777" w:rsidR="00DA2A25" w:rsidRPr="00AD2848" w:rsidRDefault="00DA2A25" w:rsidP="00B44003">
            <w:pPr>
              <w:rPr>
                <w:rFonts w:eastAsia="Times New Roman"/>
                <w:color w:val="000000"/>
              </w:rPr>
            </w:pPr>
            <w:r w:rsidRPr="00AD2848">
              <w:rPr>
                <w:rFonts w:eastAsia="Times New Roman"/>
                <w:color w:val="000000"/>
              </w:rPr>
              <w:t>0.23</w:t>
            </w:r>
            <w:r>
              <w:rPr>
                <w:rFonts w:eastAsia="Times New Roman" w:hint="eastAsia"/>
                <w:color w:val="000000"/>
                <w:vertAlign w:val="superscript"/>
                <w:lang w:eastAsia="zh-CN"/>
              </w:rPr>
              <w:t>**</w:t>
            </w:r>
          </w:p>
        </w:tc>
        <w:tc>
          <w:tcPr>
            <w:tcW w:w="1178" w:type="dxa"/>
            <w:tcBorders>
              <w:top w:val="nil"/>
              <w:bottom w:val="nil"/>
            </w:tcBorders>
            <w:noWrap/>
            <w:vAlign w:val="center"/>
            <w:hideMark/>
          </w:tcPr>
          <w:p w14:paraId="2B85B15B" w14:textId="77777777" w:rsidR="00DA2A25" w:rsidRPr="00AD2848" w:rsidRDefault="00DA2A25" w:rsidP="00B44003">
            <w:pPr>
              <w:rPr>
                <w:rFonts w:eastAsia="Times New Roman"/>
                <w:color w:val="000000"/>
              </w:rPr>
            </w:pPr>
            <w:r w:rsidRPr="00AD2848">
              <w:rPr>
                <w:rFonts w:eastAsia="Times New Roman"/>
                <w:color w:val="000000"/>
              </w:rPr>
              <w:t>0.26</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42F1C03B" w14:textId="77777777" w:rsidR="00DA2A25" w:rsidRPr="00AD2848" w:rsidRDefault="00DA2A25" w:rsidP="00B44003">
            <w:pPr>
              <w:rPr>
                <w:rFonts w:eastAsia="Times New Roman"/>
                <w:color w:val="000000"/>
              </w:rPr>
            </w:pPr>
            <w:r w:rsidRPr="00AD2848">
              <w:rPr>
                <w:rFonts w:eastAsia="Times New Roman"/>
                <w:color w:val="000000"/>
              </w:rPr>
              <w:t>0.27</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4F687EE9"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right w:val="nil"/>
            </w:tcBorders>
            <w:noWrap/>
            <w:vAlign w:val="center"/>
            <w:hideMark/>
          </w:tcPr>
          <w:p w14:paraId="76D98490" w14:textId="77777777" w:rsidR="00DA2A25" w:rsidRPr="00AD2848" w:rsidRDefault="00DA2A25" w:rsidP="00B44003">
            <w:pPr>
              <w:rPr>
                <w:rFonts w:eastAsia="Times New Roman"/>
                <w:color w:val="000000"/>
              </w:rPr>
            </w:pPr>
          </w:p>
        </w:tc>
      </w:tr>
      <w:tr w:rsidR="00DA2A25" w:rsidRPr="00AD2848" w14:paraId="03FF70E7" w14:textId="77777777" w:rsidTr="00B44003">
        <w:trPr>
          <w:trHeight w:val="300"/>
        </w:trPr>
        <w:tc>
          <w:tcPr>
            <w:tcW w:w="1710" w:type="dxa"/>
            <w:tcBorders>
              <w:top w:val="nil"/>
              <w:left w:val="nil"/>
              <w:bottom w:val="nil"/>
            </w:tcBorders>
            <w:noWrap/>
            <w:vAlign w:val="center"/>
            <w:hideMark/>
          </w:tcPr>
          <w:p w14:paraId="78A926F1" w14:textId="77777777" w:rsidR="00DA2A25" w:rsidRPr="00AD2848" w:rsidRDefault="00DA2A25" w:rsidP="00B44003">
            <w:pPr>
              <w:jc w:val="center"/>
              <w:rPr>
                <w:rFonts w:eastAsia="Times New Roman"/>
                <w:color w:val="000000"/>
              </w:rPr>
            </w:pPr>
            <w:r w:rsidRPr="00AD2848">
              <w:rPr>
                <w:rFonts w:eastAsia="Times New Roman"/>
                <w:color w:val="000000"/>
              </w:rPr>
              <w:t>8. SDQ_T4</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0C47EFE1" w14:textId="77777777" w:rsidR="00DA2A25" w:rsidRPr="00AD2848" w:rsidRDefault="00DA2A25" w:rsidP="00B44003">
            <w:pPr>
              <w:rPr>
                <w:rFonts w:eastAsia="Times New Roman"/>
                <w:color w:val="000000"/>
              </w:rPr>
            </w:pPr>
            <w:r w:rsidRPr="00AD2848">
              <w:rPr>
                <w:rFonts w:eastAsia="Times New Roman"/>
                <w:color w:val="000000"/>
              </w:rPr>
              <w:t>0.11</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3ECA35D3" w14:textId="77777777" w:rsidR="00DA2A25" w:rsidRPr="00AD2848" w:rsidRDefault="00DA2A25" w:rsidP="00B44003">
            <w:pPr>
              <w:rPr>
                <w:rFonts w:eastAsia="Times New Roman"/>
                <w:color w:val="000000"/>
              </w:rPr>
            </w:pPr>
            <w:r w:rsidRPr="00AD2848">
              <w:rPr>
                <w:rFonts w:eastAsia="Times New Roman"/>
                <w:color w:val="000000"/>
              </w:rPr>
              <w:t>0.03</w:t>
            </w:r>
          </w:p>
        </w:tc>
        <w:tc>
          <w:tcPr>
            <w:tcW w:w="1179" w:type="dxa"/>
            <w:tcBorders>
              <w:top w:val="nil"/>
              <w:bottom w:val="nil"/>
            </w:tcBorders>
            <w:noWrap/>
            <w:vAlign w:val="center"/>
            <w:hideMark/>
          </w:tcPr>
          <w:p w14:paraId="6E7FA422" w14:textId="77777777" w:rsidR="00DA2A25" w:rsidRPr="00AD2848" w:rsidRDefault="00DA2A25" w:rsidP="00B44003">
            <w:pPr>
              <w:rPr>
                <w:rFonts w:eastAsia="Times New Roman"/>
                <w:color w:val="000000"/>
              </w:rPr>
            </w:pPr>
            <w:r w:rsidRPr="00AD2848">
              <w:rPr>
                <w:rFonts w:eastAsia="Times New Roman"/>
                <w:color w:val="000000"/>
              </w:rPr>
              <w:t>0.26</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31C8AD4E" w14:textId="77777777" w:rsidR="00DA2A25" w:rsidRPr="00AD2848" w:rsidRDefault="00DA2A25" w:rsidP="00B44003">
            <w:pPr>
              <w:rPr>
                <w:rFonts w:eastAsia="Times New Roman"/>
                <w:color w:val="000000"/>
              </w:rPr>
            </w:pPr>
            <w:r w:rsidRPr="00AD2848">
              <w:rPr>
                <w:rFonts w:eastAsia="Times New Roman"/>
                <w:color w:val="000000"/>
              </w:rPr>
              <w:t>0.30</w:t>
            </w:r>
            <w:r>
              <w:rPr>
                <w:rFonts w:eastAsia="Times New Roman" w:hint="eastAsia"/>
                <w:color w:val="000000"/>
                <w:vertAlign w:val="superscript"/>
                <w:lang w:eastAsia="zh-CN"/>
              </w:rPr>
              <w:t>**</w:t>
            </w:r>
          </w:p>
        </w:tc>
        <w:tc>
          <w:tcPr>
            <w:tcW w:w="1178" w:type="dxa"/>
            <w:tcBorders>
              <w:top w:val="nil"/>
              <w:bottom w:val="nil"/>
            </w:tcBorders>
            <w:noWrap/>
            <w:vAlign w:val="center"/>
            <w:hideMark/>
          </w:tcPr>
          <w:p w14:paraId="7AAD5409" w14:textId="77777777" w:rsidR="00DA2A25" w:rsidRPr="00AD2848" w:rsidRDefault="00DA2A25" w:rsidP="00B44003">
            <w:pPr>
              <w:rPr>
                <w:rFonts w:eastAsia="Times New Roman"/>
                <w:color w:val="000000"/>
              </w:rPr>
            </w:pPr>
            <w:r w:rsidRPr="00AD2848">
              <w:rPr>
                <w:rFonts w:eastAsia="Times New Roman"/>
                <w:color w:val="000000"/>
              </w:rPr>
              <w:t>0.41</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667DE124" w14:textId="77777777" w:rsidR="00DA2A25" w:rsidRPr="00AD2848" w:rsidRDefault="00DA2A25" w:rsidP="00B44003">
            <w:pPr>
              <w:rPr>
                <w:rFonts w:eastAsia="Times New Roman"/>
                <w:color w:val="000000"/>
              </w:rPr>
            </w:pPr>
            <w:r w:rsidRPr="00AD2848">
              <w:rPr>
                <w:rFonts w:eastAsia="Times New Roman"/>
                <w:color w:val="000000"/>
              </w:rPr>
              <w:t>0.18</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0633164C" w14:textId="77777777" w:rsidR="00DA2A25" w:rsidRPr="00AD2848" w:rsidRDefault="00DA2A25" w:rsidP="00B44003">
            <w:pPr>
              <w:rPr>
                <w:rFonts w:eastAsia="Times New Roman"/>
                <w:color w:val="000000"/>
              </w:rPr>
            </w:pPr>
            <w:r w:rsidRPr="00AD2848">
              <w:rPr>
                <w:rFonts w:eastAsia="Times New Roman"/>
                <w:color w:val="000000"/>
              </w:rPr>
              <w:t>0.62</w:t>
            </w:r>
            <w:r>
              <w:rPr>
                <w:rFonts w:eastAsia="Times New Roman" w:hint="eastAsia"/>
                <w:color w:val="000000"/>
                <w:vertAlign w:val="superscript"/>
                <w:lang w:eastAsia="zh-CN"/>
              </w:rPr>
              <w:t>**</w:t>
            </w:r>
          </w:p>
        </w:tc>
        <w:tc>
          <w:tcPr>
            <w:tcW w:w="1179" w:type="dxa"/>
            <w:tcBorders>
              <w:top w:val="nil"/>
              <w:bottom w:val="nil"/>
              <w:right w:val="nil"/>
            </w:tcBorders>
            <w:noWrap/>
            <w:vAlign w:val="center"/>
            <w:hideMark/>
          </w:tcPr>
          <w:p w14:paraId="70EB0A84" w14:textId="77777777" w:rsidR="00DA2A25" w:rsidRPr="00AD2848" w:rsidRDefault="00DA2A25" w:rsidP="00B44003">
            <w:pPr>
              <w:rPr>
                <w:rFonts w:eastAsia="Times New Roman"/>
                <w:color w:val="000000"/>
              </w:rPr>
            </w:pPr>
            <w:r w:rsidRPr="00AD2848">
              <w:rPr>
                <w:rFonts w:eastAsia="Times New Roman"/>
                <w:color w:val="000000"/>
              </w:rPr>
              <w:t>1.00</w:t>
            </w:r>
          </w:p>
        </w:tc>
      </w:tr>
      <w:tr w:rsidR="00DA2A25" w:rsidRPr="00AD2848" w14:paraId="15380A7E" w14:textId="77777777" w:rsidTr="00B44003">
        <w:trPr>
          <w:trHeight w:val="300"/>
        </w:trPr>
        <w:tc>
          <w:tcPr>
            <w:tcW w:w="1710" w:type="dxa"/>
            <w:tcBorders>
              <w:top w:val="nil"/>
              <w:left w:val="nil"/>
              <w:bottom w:val="nil"/>
            </w:tcBorders>
            <w:noWrap/>
            <w:vAlign w:val="center"/>
            <w:hideMark/>
          </w:tcPr>
          <w:p w14:paraId="799B06A3" w14:textId="77777777" w:rsidR="00DA2A25" w:rsidRPr="00AD2848" w:rsidRDefault="00DA2A25" w:rsidP="00B44003">
            <w:pPr>
              <w:jc w:val="center"/>
              <w:rPr>
                <w:rFonts w:eastAsia="Times New Roman"/>
                <w:i/>
                <w:iCs/>
                <w:color w:val="000000"/>
              </w:rPr>
            </w:pPr>
            <w:r w:rsidRPr="00AD2848">
              <w:rPr>
                <w:rFonts w:eastAsia="Times New Roman"/>
                <w:i/>
                <w:iCs/>
                <w:color w:val="000000"/>
              </w:rPr>
              <w:t>M</w:t>
            </w:r>
          </w:p>
        </w:tc>
        <w:tc>
          <w:tcPr>
            <w:tcW w:w="1178" w:type="dxa"/>
            <w:tcBorders>
              <w:top w:val="nil"/>
              <w:bottom w:val="nil"/>
            </w:tcBorders>
            <w:noWrap/>
            <w:vAlign w:val="center"/>
            <w:hideMark/>
          </w:tcPr>
          <w:p w14:paraId="4B5A884F" w14:textId="77777777" w:rsidR="00DA2A25" w:rsidRPr="00AD2848" w:rsidRDefault="00DA2A25" w:rsidP="00B44003">
            <w:pPr>
              <w:rPr>
                <w:rFonts w:eastAsia="Times New Roman"/>
                <w:color w:val="000000"/>
              </w:rPr>
            </w:pPr>
            <w:r w:rsidRPr="00AD2848">
              <w:rPr>
                <w:rFonts w:eastAsia="Times New Roman"/>
                <w:color w:val="000000"/>
              </w:rPr>
              <w:t>2.61</w:t>
            </w:r>
          </w:p>
        </w:tc>
        <w:tc>
          <w:tcPr>
            <w:tcW w:w="1179" w:type="dxa"/>
            <w:tcBorders>
              <w:top w:val="nil"/>
              <w:bottom w:val="nil"/>
            </w:tcBorders>
            <w:noWrap/>
            <w:vAlign w:val="center"/>
            <w:hideMark/>
          </w:tcPr>
          <w:p w14:paraId="6B2C2A85" w14:textId="77777777" w:rsidR="00DA2A25" w:rsidRPr="00AD2848" w:rsidRDefault="00DA2A25" w:rsidP="00B44003">
            <w:pPr>
              <w:rPr>
                <w:rFonts w:eastAsia="Times New Roman"/>
                <w:color w:val="000000"/>
              </w:rPr>
            </w:pPr>
            <w:r w:rsidRPr="00AD2848">
              <w:rPr>
                <w:rFonts w:eastAsia="Times New Roman"/>
                <w:color w:val="000000"/>
              </w:rPr>
              <w:t>2.07</w:t>
            </w:r>
          </w:p>
        </w:tc>
        <w:tc>
          <w:tcPr>
            <w:tcW w:w="1179" w:type="dxa"/>
            <w:tcBorders>
              <w:top w:val="nil"/>
              <w:bottom w:val="nil"/>
            </w:tcBorders>
            <w:noWrap/>
            <w:vAlign w:val="center"/>
            <w:hideMark/>
          </w:tcPr>
          <w:p w14:paraId="186818C5" w14:textId="77777777" w:rsidR="00DA2A25" w:rsidRPr="00AD2848" w:rsidRDefault="00DA2A25" w:rsidP="00B44003">
            <w:pPr>
              <w:rPr>
                <w:rFonts w:eastAsia="Times New Roman"/>
                <w:color w:val="000000"/>
              </w:rPr>
            </w:pPr>
            <w:r w:rsidRPr="00AD2848">
              <w:rPr>
                <w:rFonts w:eastAsia="Times New Roman"/>
                <w:color w:val="000000"/>
              </w:rPr>
              <w:t>3.82</w:t>
            </w:r>
          </w:p>
        </w:tc>
        <w:tc>
          <w:tcPr>
            <w:tcW w:w="1179" w:type="dxa"/>
            <w:tcBorders>
              <w:top w:val="nil"/>
              <w:bottom w:val="nil"/>
            </w:tcBorders>
            <w:noWrap/>
            <w:vAlign w:val="center"/>
            <w:hideMark/>
          </w:tcPr>
          <w:p w14:paraId="6C8AF922" w14:textId="77777777" w:rsidR="00DA2A25" w:rsidRPr="00AD2848" w:rsidRDefault="00DA2A25" w:rsidP="00B44003">
            <w:pPr>
              <w:rPr>
                <w:rFonts w:eastAsia="Times New Roman"/>
                <w:color w:val="000000"/>
              </w:rPr>
            </w:pPr>
            <w:r w:rsidRPr="00AD2848">
              <w:rPr>
                <w:rFonts w:eastAsia="Times New Roman"/>
                <w:color w:val="000000"/>
              </w:rPr>
              <w:t>1.64</w:t>
            </w:r>
          </w:p>
        </w:tc>
        <w:tc>
          <w:tcPr>
            <w:tcW w:w="1178" w:type="dxa"/>
            <w:tcBorders>
              <w:top w:val="nil"/>
              <w:bottom w:val="nil"/>
            </w:tcBorders>
            <w:noWrap/>
            <w:vAlign w:val="center"/>
            <w:hideMark/>
          </w:tcPr>
          <w:p w14:paraId="2A8476B4" w14:textId="77777777" w:rsidR="00DA2A25" w:rsidRPr="00AD2848" w:rsidRDefault="00DA2A25" w:rsidP="00B44003">
            <w:pPr>
              <w:rPr>
                <w:rFonts w:eastAsia="Times New Roman"/>
                <w:color w:val="000000"/>
              </w:rPr>
            </w:pPr>
            <w:r w:rsidRPr="00AD2848">
              <w:rPr>
                <w:rFonts w:eastAsia="Times New Roman"/>
                <w:color w:val="000000"/>
              </w:rPr>
              <w:t>11.13</w:t>
            </w:r>
          </w:p>
        </w:tc>
        <w:tc>
          <w:tcPr>
            <w:tcW w:w="1179" w:type="dxa"/>
            <w:tcBorders>
              <w:top w:val="nil"/>
              <w:bottom w:val="nil"/>
            </w:tcBorders>
            <w:noWrap/>
            <w:vAlign w:val="center"/>
            <w:hideMark/>
          </w:tcPr>
          <w:p w14:paraId="36CA99DA" w14:textId="77777777" w:rsidR="00DA2A25" w:rsidRPr="00AD2848" w:rsidRDefault="00DA2A25" w:rsidP="00B44003">
            <w:pPr>
              <w:rPr>
                <w:rFonts w:eastAsia="Times New Roman"/>
                <w:color w:val="000000"/>
              </w:rPr>
            </w:pPr>
            <w:r w:rsidRPr="00AD2848">
              <w:rPr>
                <w:rFonts w:eastAsia="Times New Roman"/>
                <w:color w:val="000000"/>
              </w:rPr>
              <w:t>9.08</w:t>
            </w:r>
          </w:p>
        </w:tc>
        <w:tc>
          <w:tcPr>
            <w:tcW w:w="1179" w:type="dxa"/>
            <w:tcBorders>
              <w:top w:val="nil"/>
              <w:bottom w:val="nil"/>
            </w:tcBorders>
            <w:noWrap/>
            <w:vAlign w:val="center"/>
            <w:hideMark/>
          </w:tcPr>
          <w:p w14:paraId="157D1E75" w14:textId="77777777" w:rsidR="00DA2A25" w:rsidRPr="00AD2848" w:rsidRDefault="00DA2A25" w:rsidP="00B44003">
            <w:pPr>
              <w:rPr>
                <w:rFonts w:eastAsia="Times New Roman"/>
                <w:color w:val="000000"/>
              </w:rPr>
            </w:pPr>
            <w:r w:rsidRPr="00AD2848">
              <w:rPr>
                <w:rFonts w:eastAsia="Times New Roman"/>
                <w:color w:val="000000"/>
              </w:rPr>
              <w:t>9.93</w:t>
            </w:r>
          </w:p>
        </w:tc>
        <w:tc>
          <w:tcPr>
            <w:tcW w:w="1179" w:type="dxa"/>
            <w:tcBorders>
              <w:top w:val="nil"/>
              <w:bottom w:val="nil"/>
              <w:right w:val="nil"/>
            </w:tcBorders>
            <w:noWrap/>
            <w:vAlign w:val="center"/>
            <w:hideMark/>
          </w:tcPr>
          <w:p w14:paraId="7C06354F" w14:textId="77777777" w:rsidR="00DA2A25" w:rsidRPr="00AD2848" w:rsidRDefault="00DA2A25" w:rsidP="00B44003">
            <w:pPr>
              <w:rPr>
                <w:rFonts w:eastAsia="Times New Roman"/>
                <w:color w:val="000000"/>
              </w:rPr>
            </w:pPr>
            <w:r w:rsidRPr="00AD2848">
              <w:rPr>
                <w:rFonts w:eastAsia="Times New Roman"/>
                <w:color w:val="000000"/>
              </w:rPr>
              <w:t>10.13</w:t>
            </w:r>
          </w:p>
        </w:tc>
      </w:tr>
      <w:tr w:rsidR="00DA2A25" w:rsidRPr="00AD2848" w14:paraId="4283490E" w14:textId="77777777" w:rsidTr="00B44003">
        <w:trPr>
          <w:trHeight w:val="300"/>
        </w:trPr>
        <w:tc>
          <w:tcPr>
            <w:tcW w:w="1710" w:type="dxa"/>
            <w:tcBorders>
              <w:top w:val="nil"/>
              <w:left w:val="nil"/>
              <w:bottom w:val="nil"/>
            </w:tcBorders>
            <w:noWrap/>
            <w:vAlign w:val="center"/>
            <w:hideMark/>
          </w:tcPr>
          <w:p w14:paraId="21F741BE" w14:textId="77777777" w:rsidR="00DA2A25" w:rsidRPr="00AD2848" w:rsidRDefault="00DA2A25" w:rsidP="00B44003">
            <w:pPr>
              <w:jc w:val="center"/>
              <w:rPr>
                <w:rFonts w:eastAsia="Times New Roman"/>
                <w:i/>
                <w:iCs/>
                <w:color w:val="000000"/>
              </w:rPr>
            </w:pPr>
            <w:r w:rsidRPr="00AD2848">
              <w:rPr>
                <w:rFonts w:eastAsia="Times New Roman"/>
                <w:i/>
                <w:iCs/>
                <w:color w:val="000000"/>
              </w:rPr>
              <w:t>SD</w:t>
            </w:r>
          </w:p>
        </w:tc>
        <w:tc>
          <w:tcPr>
            <w:tcW w:w="1178" w:type="dxa"/>
            <w:tcBorders>
              <w:top w:val="nil"/>
              <w:bottom w:val="nil"/>
            </w:tcBorders>
            <w:noWrap/>
            <w:vAlign w:val="center"/>
            <w:hideMark/>
          </w:tcPr>
          <w:p w14:paraId="25A1D1D1" w14:textId="77777777" w:rsidR="00DA2A25" w:rsidRPr="00AD2848" w:rsidRDefault="00DA2A25" w:rsidP="00B44003">
            <w:pPr>
              <w:rPr>
                <w:rFonts w:eastAsia="Times New Roman"/>
                <w:color w:val="000000"/>
              </w:rPr>
            </w:pPr>
            <w:r w:rsidRPr="00AD2848">
              <w:rPr>
                <w:rFonts w:eastAsia="Times New Roman"/>
                <w:color w:val="000000"/>
              </w:rPr>
              <w:t>6.04</w:t>
            </w:r>
          </w:p>
        </w:tc>
        <w:tc>
          <w:tcPr>
            <w:tcW w:w="1179" w:type="dxa"/>
            <w:tcBorders>
              <w:top w:val="nil"/>
              <w:bottom w:val="nil"/>
            </w:tcBorders>
            <w:noWrap/>
            <w:vAlign w:val="center"/>
            <w:hideMark/>
          </w:tcPr>
          <w:p w14:paraId="4BFB16D1" w14:textId="77777777" w:rsidR="00DA2A25" w:rsidRPr="00AD2848" w:rsidRDefault="00DA2A25" w:rsidP="00B44003">
            <w:pPr>
              <w:rPr>
                <w:rFonts w:eastAsia="Times New Roman"/>
                <w:color w:val="000000"/>
              </w:rPr>
            </w:pPr>
            <w:r w:rsidRPr="00AD2848">
              <w:rPr>
                <w:rFonts w:eastAsia="Times New Roman"/>
                <w:color w:val="000000"/>
              </w:rPr>
              <w:t>5.82</w:t>
            </w:r>
          </w:p>
        </w:tc>
        <w:tc>
          <w:tcPr>
            <w:tcW w:w="1179" w:type="dxa"/>
            <w:tcBorders>
              <w:top w:val="nil"/>
              <w:bottom w:val="nil"/>
            </w:tcBorders>
            <w:noWrap/>
            <w:vAlign w:val="center"/>
            <w:hideMark/>
          </w:tcPr>
          <w:p w14:paraId="7AA72C3C" w14:textId="77777777" w:rsidR="00DA2A25" w:rsidRPr="00AD2848" w:rsidRDefault="00DA2A25" w:rsidP="00B44003">
            <w:pPr>
              <w:rPr>
                <w:rFonts w:eastAsia="Times New Roman"/>
                <w:color w:val="000000"/>
              </w:rPr>
            </w:pPr>
            <w:r w:rsidRPr="00AD2848">
              <w:rPr>
                <w:rFonts w:eastAsia="Times New Roman"/>
                <w:color w:val="000000"/>
              </w:rPr>
              <w:t>8.02</w:t>
            </w:r>
          </w:p>
        </w:tc>
        <w:tc>
          <w:tcPr>
            <w:tcW w:w="1179" w:type="dxa"/>
            <w:tcBorders>
              <w:top w:val="nil"/>
              <w:bottom w:val="nil"/>
            </w:tcBorders>
            <w:noWrap/>
            <w:vAlign w:val="center"/>
            <w:hideMark/>
          </w:tcPr>
          <w:p w14:paraId="7A58F19B" w14:textId="77777777" w:rsidR="00DA2A25" w:rsidRPr="00AD2848" w:rsidRDefault="00DA2A25" w:rsidP="00B44003">
            <w:pPr>
              <w:rPr>
                <w:rFonts w:eastAsia="Times New Roman"/>
                <w:color w:val="000000"/>
              </w:rPr>
            </w:pPr>
            <w:r w:rsidRPr="00AD2848">
              <w:rPr>
                <w:rFonts w:eastAsia="Times New Roman"/>
                <w:color w:val="000000"/>
              </w:rPr>
              <w:t>5.51</w:t>
            </w:r>
          </w:p>
        </w:tc>
        <w:tc>
          <w:tcPr>
            <w:tcW w:w="1178" w:type="dxa"/>
            <w:tcBorders>
              <w:top w:val="nil"/>
              <w:bottom w:val="nil"/>
            </w:tcBorders>
            <w:noWrap/>
            <w:vAlign w:val="center"/>
            <w:hideMark/>
          </w:tcPr>
          <w:p w14:paraId="4139B23B" w14:textId="77777777" w:rsidR="00DA2A25" w:rsidRPr="00AD2848" w:rsidRDefault="00DA2A25" w:rsidP="00B44003">
            <w:pPr>
              <w:rPr>
                <w:rFonts w:eastAsia="Times New Roman"/>
                <w:color w:val="000000"/>
              </w:rPr>
            </w:pPr>
            <w:r w:rsidRPr="00AD2848">
              <w:rPr>
                <w:rFonts w:eastAsia="Times New Roman"/>
                <w:color w:val="000000"/>
              </w:rPr>
              <w:t>5.83</w:t>
            </w:r>
          </w:p>
        </w:tc>
        <w:tc>
          <w:tcPr>
            <w:tcW w:w="1179" w:type="dxa"/>
            <w:tcBorders>
              <w:top w:val="nil"/>
              <w:bottom w:val="nil"/>
            </w:tcBorders>
            <w:noWrap/>
            <w:vAlign w:val="center"/>
            <w:hideMark/>
          </w:tcPr>
          <w:p w14:paraId="5D776310" w14:textId="77777777" w:rsidR="00DA2A25" w:rsidRPr="00AD2848" w:rsidRDefault="00DA2A25" w:rsidP="00B44003">
            <w:pPr>
              <w:rPr>
                <w:rFonts w:eastAsia="Times New Roman"/>
                <w:color w:val="000000"/>
              </w:rPr>
            </w:pPr>
            <w:r w:rsidRPr="00AD2848">
              <w:rPr>
                <w:rFonts w:eastAsia="Times New Roman"/>
                <w:color w:val="000000"/>
              </w:rPr>
              <w:t>5.41</w:t>
            </w:r>
          </w:p>
        </w:tc>
        <w:tc>
          <w:tcPr>
            <w:tcW w:w="1179" w:type="dxa"/>
            <w:tcBorders>
              <w:top w:val="nil"/>
              <w:bottom w:val="nil"/>
            </w:tcBorders>
            <w:noWrap/>
            <w:vAlign w:val="center"/>
            <w:hideMark/>
          </w:tcPr>
          <w:p w14:paraId="482050A7" w14:textId="77777777" w:rsidR="00DA2A25" w:rsidRPr="00AD2848" w:rsidRDefault="00DA2A25" w:rsidP="00B44003">
            <w:pPr>
              <w:rPr>
                <w:rFonts w:eastAsia="Times New Roman"/>
                <w:color w:val="000000"/>
              </w:rPr>
            </w:pPr>
            <w:r w:rsidRPr="00AD2848">
              <w:rPr>
                <w:rFonts w:eastAsia="Times New Roman"/>
                <w:color w:val="000000"/>
              </w:rPr>
              <w:t>5.02</w:t>
            </w:r>
          </w:p>
        </w:tc>
        <w:tc>
          <w:tcPr>
            <w:tcW w:w="1179" w:type="dxa"/>
            <w:tcBorders>
              <w:top w:val="nil"/>
              <w:bottom w:val="nil"/>
              <w:right w:val="nil"/>
            </w:tcBorders>
            <w:noWrap/>
            <w:vAlign w:val="center"/>
            <w:hideMark/>
          </w:tcPr>
          <w:p w14:paraId="1AC2E977" w14:textId="77777777" w:rsidR="00DA2A25" w:rsidRPr="00AD2848" w:rsidRDefault="00DA2A25" w:rsidP="00B44003">
            <w:pPr>
              <w:rPr>
                <w:rFonts w:eastAsia="Times New Roman"/>
                <w:color w:val="000000"/>
              </w:rPr>
            </w:pPr>
            <w:r w:rsidRPr="00AD2848">
              <w:rPr>
                <w:rFonts w:eastAsia="Times New Roman"/>
                <w:color w:val="000000"/>
              </w:rPr>
              <w:t>5.16</w:t>
            </w:r>
          </w:p>
        </w:tc>
      </w:tr>
      <w:tr w:rsidR="00DA2A25" w:rsidRPr="00AD2848" w14:paraId="45020B14" w14:textId="77777777" w:rsidTr="00B44003">
        <w:trPr>
          <w:trHeight w:val="300"/>
        </w:trPr>
        <w:tc>
          <w:tcPr>
            <w:tcW w:w="11140" w:type="dxa"/>
            <w:gridSpan w:val="9"/>
            <w:tcBorders>
              <w:top w:val="nil"/>
              <w:left w:val="nil"/>
              <w:bottom w:val="nil"/>
              <w:right w:val="nil"/>
            </w:tcBorders>
            <w:noWrap/>
            <w:vAlign w:val="center"/>
            <w:hideMark/>
          </w:tcPr>
          <w:p w14:paraId="41967B39" w14:textId="77777777" w:rsidR="00DA2A25" w:rsidRPr="00AD2848" w:rsidRDefault="00DA2A25" w:rsidP="00B44003">
            <w:pPr>
              <w:rPr>
                <w:rFonts w:eastAsia="Times New Roman"/>
                <w:color w:val="000000"/>
              </w:rPr>
            </w:pPr>
            <w:r>
              <w:rPr>
                <w:rFonts w:eastAsia="Times New Roman"/>
                <w:color w:val="000000"/>
              </w:rPr>
              <w:t>Boy group</w:t>
            </w:r>
          </w:p>
        </w:tc>
      </w:tr>
      <w:tr w:rsidR="00DA2A25" w:rsidRPr="00AD2848" w14:paraId="72C75374" w14:textId="77777777" w:rsidTr="00B44003">
        <w:trPr>
          <w:trHeight w:val="300"/>
        </w:trPr>
        <w:tc>
          <w:tcPr>
            <w:tcW w:w="1710" w:type="dxa"/>
            <w:tcBorders>
              <w:top w:val="nil"/>
              <w:left w:val="nil"/>
              <w:bottom w:val="nil"/>
            </w:tcBorders>
            <w:noWrap/>
            <w:vAlign w:val="center"/>
            <w:hideMark/>
          </w:tcPr>
          <w:p w14:paraId="7A6FE224" w14:textId="77777777" w:rsidR="00DA2A25" w:rsidRPr="00AD2848" w:rsidRDefault="00DA2A25" w:rsidP="00B44003">
            <w:pPr>
              <w:jc w:val="center"/>
              <w:rPr>
                <w:rFonts w:eastAsia="Times New Roman"/>
                <w:color w:val="000000"/>
              </w:rPr>
            </w:pPr>
            <w:r w:rsidRPr="00AD2848">
              <w:rPr>
                <w:rFonts w:eastAsia="Times New Roman"/>
                <w:color w:val="000000"/>
              </w:rPr>
              <w:t xml:space="preserve">1. </w:t>
            </w:r>
            <w:r w:rsidRPr="006421DC">
              <w:rPr>
                <w:rFonts w:eastAsia="Times New Roman"/>
                <w:color w:val="000000"/>
              </w:rPr>
              <w:t>SAB_T1</w:t>
            </w:r>
            <w:r w:rsidRPr="006421DC">
              <w:rPr>
                <w:rFonts w:eastAsia="Times New Roman"/>
                <w:color w:val="000000"/>
                <w:vertAlign w:val="superscript"/>
              </w:rPr>
              <w:t>m</w:t>
            </w:r>
          </w:p>
        </w:tc>
        <w:tc>
          <w:tcPr>
            <w:tcW w:w="1178" w:type="dxa"/>
            <w:tcBorders>
              <w:top w:val="nil"/>
              <w:bottom w:val="nil"/>
            </w:tcBorders>
            <w:noWrap/>
            <w:vAlign w:val="center"/>
            <w:hideMark/>
          </w:tcPr>
          <w:p w14:paraId="31438427"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0631966D"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3764874D"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26A75530"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7C7BDF76"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3738A795"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1381C065"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73BE9E2F" w14:textId="77777777" w:rsidR="00DA2A25" w:rsidRPr="00AD2848" w:rsidRDefault="00DA2A25" w:rsidP="00B44003">
            <w:pPr>
              <w:rPr>
                <w:rFonts w:eastAsia="Times New Roman"/>
                <w:color w:val="000000"/>
              </w:rPr>
            </w:pPr>
          </w:p>
        </w:tc>
      </w:tr>
      <w:tr w:rsidR="00DA2A25" w:rsidRPr="00AD2848" w14:paraId="0E8377CA" w14:textId="77777777" w:rsidTr="00B44003">
        <w:trPr>
          <w:trHeight w:val="300"/>
        </w:trPr>
        <w:tc>
          <w:tcPr>
            <w:tcW w:w="1710" w:type="dxa"/>
            <w:tcBorders>
              <w:top w:val="nil"/>
              <w:left w:val="nil"/>
              <w:bottom w:val="nil"/>
            </w:tcBorders>
            <w:noWrap/>
            <w:vAlign w:val="center"/>
            <w:hideMark/>
          </w:tcPr>
          <w:p w14:paraId="63D97602" w14:textId="77777777" w:rsidR="00DA2A25" w:rsidRPr="00AD2848" w:rsidRDefault="00DA2A25" w:rsidP="00B44003">
            <w:pPr>
              <w:jc w:val="center"/>
              <w:rPr>
                <w:rFonts w:eastAsia="Times New Roman"/>
                <w:color w:val="000000"/>
              </w:rPr>
            </w:pPr>
            <w:r w:rsidRPr="00AD2848">
              <w:rPr>
                <w:rFonts w:eastAsia="Times New Roman"/>
                <w:color w:val="000000"/>
              </w:rPr>
              <w:t>2. SAB_T2</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28912815" w14:textId="77777777" w:rsidR="00DA2A25" w:rsidRPr="00AD2848" w:rsidRDefault="00DA2A25" w:rsidP="00B44003">
            <w:pPr>
              <w:rPr>
                <w:rFonts w:eastAsia="Times New Roman"/>
                <w:color w:val="000000"/>
              </w:rPr>
            </w:pPr>
            <w:r w:rsidRPr="00AD2848">
              <w:rPr>
                <w:rFonts w:eastAsia="Times New Roman"/>
                <w:color w:val="000000"/>
              </w:rPr>
              <w:t>0.21</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63BB830C"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2B9F3FE6"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17631A8C"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4FFE24FB"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63DD8CE5"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4573139E"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6AC479D9" w14:textId="77777777" w:rsidR="00DA2A25" w:rsidRPr="00AD2848" w:rsidRDefault="00DA2A25" w:rsidP="00B44003">
            <w:pPr>
              <w:rPr>
                <w:rFonts w:eastAsia="Times New Roman"/>
                <w:color w:val="000000"/>
              </w:rPr>
            </w:pPr>
          </w:p>
        </w:tc>
      </w:tr>
      <w:tr w:rsidR="00DA2A25" w:rsidRPr="00AD2848" w14:paraId="0D9641E6" w14:textId="77777777" w:rsidTr="00B44003">
        <w:trPr>
          <w:trHeight w:val="300"/>
        </w:trPr>
        <w:tc>
          <w:tcPr>
            <w:tcW w:w="1710" w:type="dxa"/>
            <w:tcBorders>
              <w:top w:val="nil"/>
              <w:left w:val="nil"/>
              <w:bottom w:val="nil"/>
            </w:tcBorders>
            <w:noWrap/>
            <w:vAlign w:val="center"/>
            <w:hideMark/>
          </w:tcPr>
          <w:p w14:paraId="649740E5" w14:textId="77777777" w:rsidR="00DA2A25" w:rsidRPr="00AD2848" w:rsidRDefault="00DA2A25" w:rsidP="00B44003">
            <w:pPr>
              <w:jc w:val="center"/>
              <w:rPr>
                <w:rFonts w:eastAsia="Times New Roman"/>
                <w:color w:val="000000"/>
              </w:rPr>
            </w:pPr>
            <w:r w:rsidRPr="00AD2848">
              <w:rPr>
                <w:rFonts w:eastAsia="Times New Roman"/>
                <w:color w:val="000000"/>
              </w:rPr>
              <w:t>3. SAB_T3</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19A17A18" w14:textId="77777777" w:rsidR="00DA2A25" w:rsidRPr="00AD2848" w:rsidRDefault="00DA2A25" w:rsidP="00B44003">
            <w:pPr>
              <w:rPr>
                <w:rFonts w:eastAsia="Times New Roman"/>
                <w:color w:val="000000"/>
              </w:rPr>
            </w:pPr>
            <w:r w:rsidRPr="00AD2848">
              <w:rPr>
                <w:rFonts w:eastAsia="Times New Roman"/>
                <w:color w:val="000000"/>
              </w:rPr>
              <w:t>0.36</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62D5A995" w14:textId="77777777" w:rsidR="00DA2A25" w:rsidRPr="00AD2848" w:rsidRDefault="00DA2A25" w:rsidP="00B44003">
            <w:pPr>
              <w:rPr>
                <w:rFonts w:eastAsia="Times New Roman"/>
                <w:color w:val="000000"/>
              </w:rPr>
            </w:pPr>
            <w:r>
              <w:rPr>
                <w:rFonts w:eastAsia="Times New Roman"/>
                <w:color w:val="000000"/>
              </w:rPr>
              <w:t>0.20</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39D7A22E"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20758B84"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58760165"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4220739B"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71FFDB12"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7F84329A" w14:textId="77777777" w:rsidR="00DA2A25" w:rsidRPr="00AD2848" w:rsidRDefault="00DA2A25" w:rsidP="00B44003">
            <w:pPr>
              <w:rPr>
                <w:rFonts w:eastAsia="Times New Roman"/>
                <w:color w:val="000000"/>
              </w:rPr>
            </w:pPr>
          </w:p>
        </w:tc>
      </w:tr>
      <w:tr w:rsidR="00DA2A25" w:rsidRPr="00AD2848" w14:paraId="56FA7319" w14:textId="77777777" w:rsidTr="00B44003">
        <w:trPr>
          <w:trHeight w:val="300"/>
        </w:trPr>
        <w:tc>
          <w:tcPr>
            <w:tcW w:w="1710" w:type="dxa"/>
            <w:tcBorders>
              <w:top w:val="nil"/>
              <w:left w:val="nil"/>
              <w:bottom w:val="nil"/>
            </w:tcBorders>
            <w:noWrap/>
            <w:vAlign w:val="center"/>
            <w:hideMark/>
          </w:tcPr>
          <w:p w14:paraId="586AC316" w14:textId="77777777" w:rsidR="00DA2A25" w:rsidRPr="00AD2848" w:rsidRDefault="00DA2A25" w:rsidP="00B44003">
            <w:pPr>
              <w:jc w:val="center"/>
              <w:rPr>
                <w:rFonts w:eastAsia="Times New Roman"/>
                <w:color w:val="000000"/>
              </w:rPr>
            </w:pPr>
            <w:r w:rsidRPr="00AD2848">
              <w:rPr>
                <w:rFonts w:eastAsia="Times New Roman"/>
                <w:color w:val="000000"/>
              </w:rPr>
              <w:t>4. SAB_T4</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12CAF51E" w14:textId="77777777" w:rsidR="00DA2A25" w:rsidRPr="00AD2848" w:rsidRDefault="00DA2A25" w:rsidP="00B44003">
            <w:pPr>
              <w:rPr>
                <w:rFonts w:eastAsia="Times New Roman"/>
                <w:color w:val="000000"/>
              </w:rPr>
            </w:pPr>
            <w:r w:rsidRPr="00AD2848">
              <w:rPr>
                <w:rFonts w:eastAsia="Times New Roman"/>
                <w:color w:val="000000"/>
              </w:rPr>
              <w:t>0.21</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0F2A3660" w14:textId="77777777" w:rsidR="00DA2A25" w:rsidRPr="00AD2848" w:rsidRDefault="00DA2A25" w:rsidP="00B44003">
            <w:pPr>
              <w:rPr>
                <w:rFonts w:eastAsia="Times New Roman"/>
                <w:color w:val="000000"/>
              </w:rPr>
            </w:pPr>
            <w:r w:rsidRPr="00AD2848">
              <w:rPr>
                <w:rFonts w:eastAsia="Times New Roman"/>
                <w:color w:val="000000"/>
              </w:rPr>
              <w:t>-0.03</w:t>
            </w:r>
          </w:p>
        </w:tc>
        <w:tc>
          <w:tcPr>
            <w:tcW w:w="1179" w:type="dxa"/>
            <w:tcBorders>
              <w:top w:val="nil"/>
              <w:bottom w:val="nil"/>
            </w:tcBorders>
            <w:noWrap/>
            <w:vAlign w:val="center"/>
            <w:hideMark/>
          </w:tcPr>
          <w:p w14:paraId="6174B65F" w14:textId="77777777" w:rsidR="00DA2A25" w:rsidRPr="00AD2848" w:rsidRDefault="00DA2A25" w:rsidP="00B44003">
            <w:pPr>
              <w:rPr>
                <w:rFonts w:eastAsia="Times New Roman"/>
                <w:color w:val="000000"/>
                <w:lang w:eastAsia="zh-CN"/>
              </w:rPr>
            </w:pPr>
            <w:r>
              <w:rPr>
                <w:rFonts w:eastAsia="Times New Roman"/>
                <w:color w:val="000000"/>
              </w:rPr>
              <w:t>0.39</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55854EE0" w14:textId="77777777" w:rsidR="00DA2A25" w:rsidRPr="00AD2848" w:rsidRDefault="00DA2A25" w:rsidP="00B44003">
            <w:pPr>
              <w:rPr>
                <w:rFonts w:eastAsia="Times New Roman"/>
                <w:color w:val="000000"/>
              </w:rPr>
            </w:pPr>
            <w:r w:rsidRPr="00AD2848">
              <w:rPr>
                <w:rFonts w:eastAsia="Times New Roman"/>
                <w:color w:val="000000"/>
              </w:rPr>
              <w:t>1.00</w:t>
            </w:r>
          </w:p>
        </w:tc>
        <w:tc>
          <w:tcPr>
            <w:tcW w:w="1178" w:type="dxa"/>
            <w:tcBorders>
              <w:top w:val="nil"/>
              <w:bottom w:val="nil"/>
            </w:tcBorders>
            <w:noWrap/>
            <w:vAlign w:val="center"/>
            <w:hideMark/>
          </w:tcPr>
          <w:p w14:paraId="762FC495"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219586D6"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00627937"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5CD0F2AB" w14:textId="77777777" w:rsidR="00DA2A25" w:rsidRPr="00AD2848" w:rsidRDefault="00DA2A25" w:rsidP="00B44003">
            <w:pPr>
              <w:rPr>
                <w:rFonts w:eastAsia="Times New Roman"/>
                <w:color w:val="000000"/>
              </w:rPr>
            </w:pPr>
          </w:p>
        </w:tc>
      </w:tr>
      <w:tr w:rsidR="00DA2A25" w:rsidRPr="00AD2848" w14:paraId="1A333730" w14:textId="77777777" w:rsidTr="00B44003">
        <w:trPr>
          <w:trHeight w:val="300"/>
        </w:trPr>
        <w:tc>
          <w:tcPr>
            <w:tcW w:w="1710" w:type="dxa"/>
            <w:tcBorders>
              <w:top w:val="nil"/>
              <w:left w:val="nil"/>
              <w:bottom w:val="nil"/>
            </w:tcBorders>
            <w:noWrap/>
            <w:vAlign w:val="center"/>
            <w:hideMark/>
          </w:tcPr>
          <w:p w14:paraId="611E5A4D" w14:textId="77777777" w:rsidR="00DA2A25" w:rsidRPr="00AD2848" w:rsidRDefault="00DA2A25" w:rsidP="00B44003">
            <w:pPr>
              <w:jc w:val="center"/>
              <w:rPr>
                <w:rFonts w:eastAsia="Times New Roman"/>
                <w:color w:val="000000"/>
              </w:rPr>
            </w:pPr>
            <w:r w:rsidRPr="00AD2848">
              <w:rPr>
                <w:rFonts w:eastAsia="Times New Roman"/>
                <w:color w:val="000000"/>
              </w:rPr>
              <w:t>5. SDQ_T1</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647B1C1B" w14:textId="77777777" w:rsidR="00DA2A25" w:rsidRPr="00AD2848" w:rsidRDefault="00DA2A25" w:rsidP="00B44003">
            <w:pPr>
              <w:rPr>
                <w:rFonts w:eastAsia="Times New Roman"/>
                <w:color w:val="000000"/>
              </w:rPr>
            </w:pPr>
            <w:r w:rsidRPr="00AD2848">
              <w:rPr>
                <w:rFonts w:eastAsia="Times New Roman"/>
                <w:color w:val="000000"/>
              </w:rPr>
              <w:t>-0.04</w:t>
            </w:r>
          </w:p>
        </w:tc>
        <w:tc>
          <w:tcPr>
            <w:tcW w:w="1179" w:type="dxa"/>
            <w:tcBorders>
              <w:top w:val="nil"/>
              <w:bottom w:val="nil"/>
            </w:tcBorders>
            <w:noWrap/>
            <w:vAlign w:val="center"/>
            <w:hideMark/>
          </w:tcPr>
          <w:p w14:paraId="61F2135F" w14:textId="77777777" w:rsidR="00DA2A25" w:rsidRPr="00AD2848" w:rsidRDefault="00DA2A25" w:rsidP="00B44003">
            <w:pPr>
              <w:rPr>
                <w:rFonts w:eastAsia="Times New Roman"/>
                <w:color w:val="000000"/>
              </w:rPr>
            </w:pPr>
            <w:r w:rsidRPr="00AD2848">
              <w:rPr>
                <w:rFonts w:eastAsia="Times New Roman"/>
                <w:color w:val="000000"/>
              </w:rPr>
              <w:t>0.06</w:t>
            </w:r>
          </w:p>
        </w:tc>
        <w:tc>
          <w:tcPr>
            <w:tcW w:w="1179" w:type="dxa"/>
            <w:tcBorders>
              <w:top w:val="nil"/>
              <w:bottom w:val="nil"/>
            </w:tcBorders>
            <w:noWrap/>
            <w:vAlign w:val="center"/>
            <w:hideMark/>
          </w:tcPr>
          <w:p w14:paraId="1EDDFC01" w14:textId="77777777" w:rsidR="00DA2A25" w:rsidRPr="00AD2848" w:rsidRDefault="00DA2A25" w:rsidP="00B44003">
            <w:pPr>
              <w:rPr>
                <w:rFonts w:eastAsia="Times New Roman"/>
                <w:color w:val="000000"/>
              </w:rPr>
            </w:pPr>
            <w:r w:rsidRPr="00AD2848">
              <w:rPr>
                <w:rFonts w:eastAsia="Times New Roman"/>
                <w:color w:val="000000"/>
              </w:rPr>
              <w:t>-0.03</w:t>
            </w:r>
          </w:p>
        </w:tc>
        <w:tc>
          <w:tcPr>
            <w:tcW w:w="1179" w:type="dxa"/>
            <w:tcBorders>
              <w:top w:val="nil"/>
              <w:bottom w:val="nil"/>
            </w:tcBorders>
            <w:noWrap/>
            <w:vAlign w:val="center"/>
            <w:hideMark/>
          </w:tcPr>
          <w:p w14:paraId="451979B2" w14:textId="77777777" w:rsidR="00DA2A25" w:rsidRPr="00AD2848" w:rsidRDefault="00DA2A25" w:rsidP="00B44003">
            <w:pPr>
              <w:rPr>
                <w:rFonts w:eastAsia="Times New Roman"/>
                <w:color w:val="000000"/>
              </w:rPr>
            </w:pPr>
            <w:r w:rsidRPr="00AD2848">
              <w:rPr>
                <w:rFonts w:eastAsia="Times New Roman"/>
                <w:color w:val="000000"/>
              </w:rPr>
              <w:t>0.09</w:t>
            </w:r>
          </w:p>
        </w:tc>
        <w:tc>
          <w:tcPr>
            <w:tcW w:w="1178" w:type="dxa"/>
            <w:tcBorders>
              <w:top w:val="nil"/>
              <w:bottom w:val="nil"/>
            </w:tcBorders>
            <w:noWrap/>
            <w:vAlign w:val="center"/>
            <w:hideMark/>
          </w:tcPr>
          <w:p w14:paraId="7D5E7881"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2C41DAB6"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757036AE"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6CEEA4BF" w14:textId="77777777" w:rsidR="00DA2A25" w:rsidRPr="00AD2848" w:rsidRDefault="00DA2A25" w:rsidP="00B44003">
            <w:pPr>
              <w:rPr>
                <w:rFonts w:eastAsia="Times New Roman"/>
                <w:color w:val="000000"/>
              </w:rPr>
            </w:pPr>
          </w:p>
        </w:tc>
      </w:tr>
      <w:tr w:rsidR="00DA2A25" w:rsidRPr="00AD2848" w14:paraId="45C0458A" w14:textId="77777777" w:rsidTr="00B44003">
        <w:trPr>
          <w:trHeight w:val="300"/>
        </w:trPr>
        <w:tc>
          <w:tcPr>
            <w:tcW w:w="1710" w:type="dxa"/>
            <w:tcBorders>
              <w:top w:val="nil"/>
              <w:left w:val="nil"/>
              <w:bottom w:val="nil"/>
            </w:tcBorders>
            <w:noWrap/>
            <w:vAlign w:val="center"/>
            <w:hideMark/>
          </w:tcPr>
          <w:p w14:paraId="39D8F365" w14:textId="77777777" w:rsidR="00DA2A25" w:rsidRPr="00AD2848" w:rsidRDefault="00DA2A25" w:rsidP="00B44003">
            <w:pPr>
              <w:jc w:val="center"/>
              <w:rPr>
                <w:rFonts w:eastAsia="Times New Roman"/>
                <w:color w:val="000000"/>
              </w:rPr>
            </w:pPr>
            <w:r w:rsidRPr="00AD2848">
              <w:rPr>
                <w:rFonts w:eastAsia="Times New Roman"/>
                <w:color w:val="000000"/>
              </w:rPr>
              <w:t>6. SDQ_T2</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52FE440E" w14:textId="77777777" w:rsidR="00DA2A25" w:rsidRPr="00AD2848" w:rsidRDefault="00DA2A25" w:rsidP="00B44003">
            <w:pPr>
              <w:rPr>
                <w:rFonts w:eastAsia="Times New Roman"/>
                <w:color w:val="000000"/>
              </w:rPr>
            </w:pPr>
            <w:r w:rsidRPr="00AD2848">
              <w:rPr>
                <w:rFonts w:eastAsia="Times New Roman"/>
                <w:color w:val="000000"/>
              </w:rPr>
              <w:t>0.12</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7F85A92B" w14:textId="77777777" w:rsidR="00DA2A25" w:rsidRPr="00AD2848" w:rsidRDefault="00DA2A25" w:rsidP="00B44003">
            <w:pPr>
              <w:rPr>
                <w:rFonts w:eastAsia="Times New Roman"/>
                <w:color w:val="000000"/>
              </w:rPr>
            </w:pPr>
            <w:r w:rsidRPr="00AD2848">
              <w:rPr>
                <w:rFonts w:eastAsia="Times New Roman"/>
                <w:color w:val="000000"/>
              </w:rPr>
              <w:t>0.28</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45B7DFE4" w14:textId="77777777" w:rsidR="00DA2A25" w:rsidRPr="00AD2848" w:rsidRDefault="00DA2A25" w:rsidP="00B44003">
            <w:pPr>
              <w:rPr>
                <w:rFonts w:eastAsia="Times New Roman"/>
                <w:color w:val="000000"/>
              </w:rPr>
            </w:pPr>
            <w:r w:rsidRPr="00AD2848">
              <w:rPr>
                <w:rFonts w:eastAsia="Times New Roman"/>
                <w:color w:val="000000"/>
              </w:rPr>
              <w:t>0.03</w:t>
            </w:r>
          </w:p>
        </w:tc>
        <w:tc>
          <w:tcPr>
            <w:tcW w:w="1179" w:type="dxa"/>
            <w:tcBorders>
              <w:top w:val="nil"/>
              <w:bottom w:val="nil"/>
            </w:tcBorders>
            <w:noWrap/>
            <w:vAlign w:val="center"/>
            <w:hideMark/>
          </w:tcPr>
          <w:p w14:paraId="3A14FEAD" w14:textId="77777777" w:rsidR="00DA2A25" w:rsidRPr="00AD2848" w:rsidRDefault="00DA2A25" w:rsidP="00B44003">
            <w:pPr>
              <w:rPr>
                <w:rFonts w:eastAsia="Times New Roman"/>
                <w:color w:val="000000"/>
              </w:rPr>
            </w:pPr>
            <w:r w:rsidRPr="00AD2848">
              <w:rPr>
                <w:rFonts w:eastAsia="Times New Roman"/>
                <w:color w:val="000000"/>
              </w:rPr>
              <w:t>0.01</w:t>
            </w:r>
          </w:p>
        </w:tc>
        <w:tc>
          <w:tcPr>
            <w:tcW w:w="1178" w:type="dxa"/>
            <w:tcBorders>
              <w:top w:val="nil"/>
              <w:bottom w:val="nil"/>
            </w:tcBorders>
            <w:noWrap/>
            <w:vAlign w:val="center"/>
            <w:hideMark/>
          </w:tcPr>
          <w:p w14:paraId="527B0C50" w14:textId="77777777" w:rsidR="00DA2A25" w:rsidRPr="00AD2848" w:rsidRDefault="00DA2A25" w:rsidP="00B44003">
            <w:pPr>
              <w:rPr>
                <w:rFonts w:eastAsia="Times New Roman"/>
                <w:color w:val="000000"/>
              </w:rPr>
            </w:pPr>
            <w:r w:rsidRPr="00AD2848">
              <w:rPr>
                <w:rFonts w:eastAsia="Times New Roman"/>
                <w:color w:val="000000"/>
              </w:rPr>
              <w:t>0.18</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55942E41"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30BF619C"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39106A06" w14:textId="77777777" w:rsidR="00DA2A25" w:rsidRPr="00AD2848" w:rsidRDefault="00DA2A25" w:rsidP="00B44003">
            <w:pPr>
              <w:rPr>
                <w:rFonts w:eastAsia="Times New Roman"/>
                <w:color w:val="000000"/>
              </w:rPr>
            </w:pPr>
          </w:p>
        </w:tc>
      </w:tr>
      <w:tr w:rsidR="00DA2A25" w:rsidRPr="00AD2848" w14:paraId="6F9434EA" w14:textId="77777777" w:rsidTr="00B44003">
        <w:trPr>
          <w:trHeight w:val="300"/>
        </w:trPr>
        <w:tc>
          <w:tcPr>
            <w:tcW w:w="1710" w:type="dxa"/>
            <w:tcBorders>
              <w:top w:val="nil"/>
              <w:left w:val="nil"/>
              <w:bottom w:val="nil"/>
            </w:tcBorders>
            <w:noWrap/>
            <w:vAlign w:val="center"/>
            <w:hideMark/>
          </w:tcPr>
          <w:p w14:paraId="7C38A568" w14:textId="77777777" w:rsidR="00DA2A25" w:rsidRPr="00AD2848" w:rsidRDefault="00DA2A25" w:rsidP="00B44003">
            <w:pPr>
              <w:jc w:val="center"/>
              <w:rPr>
                <w:rFonts w:eastAsia="Times New Roman"/>
                <w:color w:val="000000"/>
              </w:rPr>
            </w:pPr>
            <w:r w:rsidRPr="00AD2848">
              <w:rPr>
                <w:rFonts w:eastAsia="Times New Roman"/>
                <w:color w:val="000000"/>
              </w:rPr>
              <w:t>7. SDQ_T3</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242E84AA" w14:textId="77777777" w:rsidR="00DA2A25" w:rsidRPr="00AD2848" w:rsidRDefault="00DA2A25" w:rsidP="00B44003">
            <w:pPr>
              <w:rPr>
                <w:rFonts w:eastAsia="Times New Roman"/>
                <w:color w:val="000000"/>
                <w:lang w:eastAsia="zh-CN"/>
              </w:rPr>
            </w:pPr>
            <w:r>
              <w:rPr>
                <w:rFonts w:eastAsia="Times New Roman"/>
                <w:color w:val="000000"/>
              </w:rPr>
              <w:t>0.06</w:t>
            </w:r>
          </w:p>
        </w:tc>
        <w:tc>
          <w:tcPr>
            <w:tcW w:w="1179" w:type="dxa"/>
            <w:tcBorders>
              <w:top w:val="nil"/>
              <w:bottom w:val="nil"/>
            </w:tcBorders>
            <w:noWrap/>
            <w:vAlign w:val="center"/>
            <w:hideMark/>
          </w:tcPr>
          <w:p w14:paraId="27A4273B" w14:textId="77777777" w:rsidR="00DA2A25" w:rsidRPr="00AD2848" w:rsidRDefault="00DA2A25" w:rsidP="00B44003">
            <w:pPr>
              <w:rPr>
                <w:rFonts w:eastAsia="Times New Roman"/>
                <w:color w:val="000000"/>
              </w:rPr>
            </w:pPr>
            <w:r w:rsidRPr="00AD2848">
              <w:rPr>
                <w:rFonts w:eastAsia="Times New Roman"/>
                <w:color w:val="000000"/>
              </w:rPr>
              <w:t>0.12</w:t>
            </w:r>
          </w:p>
        </w:tc>
        <w:tc>
          <w:tcPr>
            <w:tcW w:w="1179" w:type="dxa"/>
            <w:tcBorders>
              <w:top w:val="nil"/>
              <w:bottom w:val="nil"/>
            </w:tcBorders>
            <w:noWrap/>
            <w:vAlign w:val="center"/>
            <w:hideMark/>
          </w:tcPr>
          <w:p w14:paraId="5F81C21F" w14:textId="77777777" w:rsidR="00DA2A25" w:rsidRPr="00AD2848" w:rsidRDefault="00DA2A25" w:rsidP="00B44003">
            <w:pPr>
              <w:rPr>
                <w:rFonts w:eastAsia="Times New Roman"/>
                <w:color w:val="000000"/>
                <w:lang w:eastAsia="zh-CN"/>
              </w:rPr>
            </w:pPr>
            <w:r>
              <w:rPr>
                <w:rFonts w:eastAsia="Times New Roman"/>
                <w:color w:val="000000"/>
              </w:rPr>
              <w:t>0.18</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1001083D" w14:textId="77777777" w:rsidR="00DA2A25" w:rsidRPr="00AD2848" w:rsidRDefault="00DA2A25" w:rsidP="00B44003">
            <w:pPr>
              <w:rPr>
                <w:rFonts w:eastAsia="Times New Roman"/>
                <w:color w:val="000000"/>
                <w:lang w:eastAsia="zh-CN"/>
              </w:rPr>
            </w:pPr>
            <w:r>
              <w:rPr>
                <w:rFonts w:eastAsia="Times New Roman"/>
                <w:color w:val="000000"/>
              </w:rPr>
              <w:t>0.14</w:t>
            </w:r>
          </w:p>
        </w:tc>
        <w:tc>
          <w:tcPr>
            <w:tcW w:w="1178" w:type="dxa"/>
            <w:tcBorders>
              <w:top w:val="nil"/>
              <w:bottom w:val="nil"/>
            </w:tcBorders>
            <w:noWrap/>
            <w:vAlign w:val="center"/>
            <w:hideMark/>
          </w:tcPr>
          <w:p w14:paraId="12A5D1FF" w14:textId="77777777" w:rsidR="00DA2A25" w:rsidRPr="00AD2848" w:rsidRDefault="00DA2A25" w:rsidP="00B44003">
            <w:pPr>
              <w:rPr>
                <w:rFonts w:eastAsia="Times New Roman"/>
                <w:color w:val="000000"/>
                <w:lang w:eastAsia="zh-CN"/>
              </w:rPr>
            </w:pPr>
            <w:r>
              <w:rPr>
                <w:rFonts w:eastAsia="Times New Roman"/>
                <w:color w:val="000000"/>
              </w:rPr>
              <w:t>0.11</w:t>
            </w:r>
          </w:p>
        </w:tc>
        <w:tc>
          <w:tcPr>
            <w:tcW w:w="1179" w:type="dxa"/>
            <w:tcBorders>
              <w:top w:val="nil"/>
              <w:bottom w:val="nil"/>
            </w:tcBorders>
            <w:noWrap/>
            <w:vAlign w:val="center"/>
            <w:hideMark/>
          </w:tcPr>
          <w:p w14:paraId="7E75E233" w14:textId="77777777" w:rsidR="00DA2A25" w:rsidRPr="00AD2848" w:rsidRDefault="00DA2A25" w:rsidP="00B44003">
            <w:pPr>
              <w:rPr>
                <w:rFonts w:eastAsia="Times New Roman"/>
                <w:color w:val="000000"/>
              </w:rPr>
            </w:pPr>
            <w:r w:rsidRPr="00AD2848">
              <w:rPr>
                <w:rFonts w:eastAsia="Times New Roman"/>
                <w:color w:val="000000"/>
              </w:rPr>
              <w:t>0.26</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0B73B212"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right w:val="nil"/>
            </w:tcBorders>
            <w:noWrap/>
            <w:vAlign w:val="center"/>
            <w:hideMark/>
          </w:tcPr>
          <w:p w14:paraId="7083139C" w14:textId="77777777" w:rsidR="00DA2A25" w:rsidRPr="00AD2848" w:rsidRDefault="00DA2A25" w:rsidP="00B44003">
            <w:pPr>
              <w:rPr>
                <w:rFonts w:eastAsia="Times New Roman"/>
                <w:color w:val="000000"/>
              </w:rPr>
            </w:pPr>
          </w:p>
        </w:tc>
      </w:tr>
      <w:tr w:rsidR="00DA2A25" w:rsidRPr="00AD2848" w14:paraId="462D6E37" w14:textId="77777777" w:rsidTr="00B44003">
        <w:trPr>
          <w:trHeight w:val="300"/>
        </w:trPr>
        <w:tc>
          <w:tcPr>
            <w:tcW w:w="1710" w:type="dxa"/>
            <w:tcBorders>
              <w:top w:val="nil"/>
              <w:left w:val="nil"/>
              <w:bottom w:val="nil"/>
            </w:tcBorders>
            <w:noWrap/>
            <w:vAlign w:val="center"/>
            <w:hideMark/>
          </w:tcPr>
          <w:p w14:paraId="23BEEEEB" w14:textId="77777777" w:rsidR="00DA2A25" w:rsidRPr="00AD2848" w:rsidRDefault="00DA2A25" w:rsidP="00B44003">
            <w:pPr>
              <w:jc w:val="center"/>
              <w:rPr>
                <w:rFonts w:eastAsia="Times New Roman"/>
                <w:color w:val="000000"/>
              </w:rPr>
            </w:pPr>
            <w:r w:rsidRPr="00AD2848">
              <w:rPr>
                <w:rFonts w:eastAsia="Times New Roman"/>
                <w:color w:val="000000"/>
              </w:rPr>
              <w:t>8. SDQ_T4</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6EE0753A" w14:textId="77777777" w:rsidR="00DA2A25" w:rsidRPr="00AD2848" w:rsidRDefault="00DA2A25" w:rsidP="00B44003">
            <w:pPr>
              <w:rPr>
                <w:rFonts w:eastAsia="Times New Roman"/>
                <w:color w:val="000000"/>
              </w:rPr>
            </w:pPr>
            <w:r w:rsidRPr="00AD2848">
              <w:rPr>
                <w:rFonts w:eastAsia="Times New Roman"/>
                <w:color w:val="000000"/>
              </w:rPr>
              <w:t>0.14</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33FE1354" w14:textId="77777777" w:rsidR="00DA2A25" w:rsidRPr="00AD2848" w:rsidRDefault="00DA2A25" w:rsidP="00B44003">
            <w:pPr>
              <w:rPr>
                <w:rFonts w:eastAsia="Times New Roman"/>
                <w:color w:val="000000"/>
              </w:rPr>
            </w:pPr>
            <w:r w:rsidRPr="00AD2848">
              <w:rPr>
                <w:rFonts w:eastAsia="Times New Roman"/>
                <w:color w:val="000000"/>
              </w:rPr>
              <w:t>0.08</w:t>
            </w:r>
          </w:p>
        </w:tc>
        <w:tc>
          <w:tcPr>
            <w:tcW w:w="1179" w:type="dxa"/>
            <w:tcBorders>
              <w:top w:val="nil"/>
              <w:bottom w:val="nil"/>
            </w:tcBorders>
            <w:noWrap/>
            <w:vAlign w:val="center"/>
            <w:hideMark/>
          </w:tcPr>
          <w:p w14:paraId="35384EAA" w14:textId="77777777" w:rsidR="00DA2A25" w:rsidRPr="00AD2848" w:rsidRDefault="00DA2A25" w:rsidP="00B44003">
            <w:pPr>
              <w:rPr>
                <w:rFonts w:eastAsia="Times New Roman"/>
                <w:color w:val="000000"/>
                <w:lang w:eastAsia="zh-CN"/>
              </w:rPr>
            </w:pPr>
            <w:r>
              <w:rPr>
                <w:rFonts w:eastAsia="Times New Roman"/>
                <w:color w:val="000000"/>
              </w:rPr>
              <w:t>0.23</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4C2E9EBB" w14:textId="77777777" w:rsidR="00DA2A25" w:rsidRPr="00AD2848" w:rsidRDefault="00DA2A25" w:rsidP="00B44003">
            <w:pPr>
              <w:rPr>
                <w:rFonts w:eastAsia="Times New Roman"/>
                <w:color w:val="000000"/>
                <w:lang w:eastAsia="zh-CN"/>
              </w:rPr>
            </w:pPr>
            <w:r>
              <w:rPr>
                <w:rFonts w:eastAsia="Times New Roman"/>
                <w:color w:val="000000"/>
              </w:rPr>
              <w:t>0.21</w:t>
            </w:r>
            <w:r>
              <w:rPr>
                <w:rFonts w:eastAsia="Times New Roman" w:hint="eastAsia"/>
                <w:color w:val="000000"/>
                <w:vertAlign w:val="superscript"/>
                <w:lang w:eastAsia="zh-CN"/>
              </w:rPr>
              <w:t>**</w:t>
            </w:r>
          </w:p>
        </w:tc>
        <w:tc>
          <w:tcPr>
            <w:tcW w:w="1178" w:type="dxa"/>
            <w:tcBorders>
              <w:top w:val="nil"/>
              <w:bottom w:val="nil"/>
            </w:tcBorders>
            <w:noWrap/>
            <w:vAlign w:val="center"/>
            <w:hideMark/>
          </w:tcPr>
          <w:p w14:paraId="338C5702" w14:textId="77777777" w:rsidR="00DA2A25" w:rsidRPr="00AD2848" w:rsidRDefault="00DA2A25" w:rsidP="00B44003">
            <w:pPr>
              <w:rPr>
                <w:rFonts w:eastAsia="Times New Roman"/>
                <w:color w:val="000000"/>
              </w:rPr>
            </w:pPr>
            <w:r w:rsidRPr="00AD2848">
              <w:rPr>
                <w:rFonts w:eastAsia="Times New Roman"/>
                <w:color w:val="000000"/>
              </w:rPr>
              <w:t>0.35</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29F2B0DC" w14:textId="77777777" w:rsidR="00DA2A25" w:rsidRPr="00AD2848" w:rsidRDefault="00DA2A25" w:rsidP="00B44003">
            <w:pPr>
              <w:rPr>
                <w:rFonts w:eastAsia="Times New Roman"/>
                <w:color w:val="000000"/>
              </w:rPr>
            </w:pPr>
            <w:r w:rsidRPr="00AD2848">
              <w:rPr>
                <w:rFonts w:eastAsia="Times New Roman"/>
                <w:color w:val="000000"/>
              </w:rPr>
              <w:t>0.14</w:t>
            </w:r>
          </w:p>
        </w:tc>
        <w:tc>
          <w:tcPr>
            <w:tcW w:w="1179" w:type="dxa"/>
            <w:tcBorders>
              <w:top w:val="nil"/>
              <w:bottom w:val="nil"/>
            </w:tcBorders>
            <w:noWrap/>
            <w:vAlign w:val="center"/>
            <w:hideMark/>
          </w:tcPr>
          <w:p w14:paraId="5E77A630" w14:textId="77777777" w:rsidR="00DA2A25" w:rsidRPr="00AD2848" w:rsidRDefault="00DA2A25" w:rsidP="00B44003">
            <w:pPr>
              <w:rPr>
                <w:rFonts w:eastAsia="Times New Roman"/>
                <w:color w:val="000000"/>
                <w:lang w:eastAsia="zh-CN"/>
              </w:rPr>
            </w:pPr>
            <w:r>
              <w:rPr>
                <w:rFonts w:eastAsia="Times New Roman"/>
                <w:color w:val="000000"/>
              </w:rPr>
              <w:t>0.46</w:t>
            </w:r>
            <w:r>
              <w:rPr>
                <w:rFonts w:eastAsia="Times New Roman" w:hint="eastAsia"/>
                <w:color w:val="000000"/>
                <w:vertAlign w:val="superscript"/>
                <w:lang w:eastAsia="zh-CN"/>
              </w:rPr>
              <w:t>**</w:t>
            </w:r>
          </w:p>
        </w:tc>
        <w:tc>
          <w:tcPr>
            <w:tcW w:w="1179" w:type="dxa"/>
            <w:tcBorders>
              <w:top w:val="nil"/>
              <w:bottom w:val="nil"/>
              <w:right w:val="nil"/>
            </w:tcBorders>
            <w:noWrap/>
            <w:vAlign w:val="center"/>
            <w:hideMark/>
          </w:tcPr>
          <w:p w14:paraId="2F2F571B" w14:textId="77777777" w:rsidR="00DA2A25" w:rsidRPr="00AD2848" w:rsidRDefault="00DA2A25" w:rsidP="00B44003">
            <w:pPr>
              <w:rPr>
                <w:rFonts w:eastAsia="Times New Roman"/>
                <w:color w:val="000000"/>
              </w:rPr>
            </w:pPr>
            <w:r w:rsidRPr="00AD2848">
              <w:rPr>
                <w:rFonts w:eastAsia="Times New Roman"/>
                <w:color w:val="000000"/>
              </w:rPr>
              <w:t>1.00</w:t>
            </w:r>
          </w:p>
        </w:tc>
      </w:tr>
      <w:tr w:rsidR="00DA2A25" w:rsidRPr="00AD2848" w14:paraId="37A5F948" w14:textId="77777777" w:rsidTr="00B44003">
        <w:trPr>
          <w:trHeight w:val="300"/>
        </w:trPr>
        <w:tc>
          <w:tcPr>
            <w:tcW w:w="1710" w:type="dxa"/>
            <w:tcBorders>
              <w:top w:val="nil"/>
              <w:left w:val="nil"/>
              <w:bottom w:val="nil"/>
            </w:tcBorders>
            <w:noWrap/>
            <w:vAlign w:val="center"/>
            <w:hideMark/>
          </w:tcPr>
          <w:p w14:paraId="57EA11CA" w14:textId="77777777" w:rsidR="00DA2A25" w:rsidRPr="00AD2848" w:rsidRDefault="00DA2A25" w:rsidP="00B44003">
            <w:pPr>
              <w:jc w:val="center"/>
              <w:rPr>
                <w:rFonts w:eastAsia="Times New Roman"/>
                <w:i/>
                <w:iCs/>
                <w:color w:val="000000"/>
              </w:rPr>
            </w:pPr>
            <w:r w:rsidRPr="00AD2848">
              <w:rPr>
                <w:rFonts w:eastAsia="Times New Roman"/>
                <w:i/>
                <w:iCs/>
                <w:color w:val="000000"/>
              </w:rPr>
              <w:t>M</w:t>
            </w:r>
          </w:p>
        </w:tc>
        <w:tc>
          <w:tcPr>
            <w:tcW w:w="1178" w:type="dxa"/>
            <w:tcBorders>
              <w:top w:val="nil"/>
              <w:bottom w:val="nil"/>
            </w:tcBorders>
            <w:noWrap/>
            <w:vAlign w:val="center"/>
            <w:hideMark/>
          </w:tcPr>
          <w:p w14:paraId="49B95C1B" w14:textId="77777777" w:rsidR="00DA2A25" w:rsidRPr="00AD2848" w:rsidRDefault="00DA2A25" w:rsidP="00B44003">
            <w:pPr>
              <w:rPr>
                <w:rFonts w:eastAsia="Times New Roman"/>
                <w:color w:val="000000"/>
              </w:rPr>
            </w:pPr>
            <w:r w:rsidRPr="00AD2848">
              <w:rPr>
                <w:rFonts w:eastAsia="Times New Roman"/>
                <w:color w:val="000000"/>
              </w:rPr>
              <w:t>2.76</w:t>
            </w:r>
          </w:p>
        </w:tc>
        <w:tc>
          <w:tcPr>
            <w:tcW w:w="1179" w:type="dxa"/>
            <w:tcBorders>
              <w:top w:val="nil"/>
              <w:bottom w:val="nil"/>
            </w:tcBorders>
            <w:noWrap/>
            <w:vAlign w:val="center"/>
            <w:hideMark/>
          </w:tcPr>
          <w:p w14:paraId="670F5CF6" w14:textId="77777777" w:rsidR="00DA2A25" w:rsidRPr="00AD2848" w:rsidRDefault="00DA2A25" w:rsidP="00B44003">
            <w:pPr>
              <w:rPr>
                <w:rFonts w:eastAsia="Times New Roman"/>
                <w:color w:val="000000"/>
              </w:rPr>
            </w:pPr>
            <w:r w:rsidRPr="00AD2848">
              <w:rPr>
                <w:rFonts w:eastAsia="Times New Roman"/>
                <w:color w:val="000000"/>
              </w:rPr>
              <w:t>1.46</w:t>
            </w:r>
          </w:p>
        </w:tc>
        <w:tc>
          <w:tcPr>
            <w:tcW w:w="1179" w:type="dxa"/>
            <w:tcBorders>
              <w:top w:val="nil"/>
              <w:bottom w:val="nil"/>
            </w:tcBorders>
            <w:noWrap/>
            <w:vAlign w:val="center"/>
            <w:hideMark/>
          </w:tcPr>
          <w:p w14:paraId="536E2B73" w14:textId="77777777" w:rsidR="00DA2A25" w:rsidRPr="00AD2848" w:rsidRDefault="00DA2A25" w:rsidP="00B44003">
            <w:pPr>
              <w:rPr>
                <w:rFonts w:eastAsia="Times New Roman"/>
                <w:color w:val="000000"/>
                <w:lang w:eastAsia="zh-CN"/>
              </w:rPr>
            </w:pPr>
            <w:r>
              <w:rPr>
                <w:rFonts w:eastAsia="Times New Roman"/>
                <w:color w:val="000000"/>
              </w:rPr>
              <w:t>3.71</w:t>
            </w:r>
          </w:p>
        </w:tc>
        <w:tc>
          <w:tcPr>
            <w:tcW w:w="1179" w:type="dxa"/>
            <w:tcBorders>
              <w:top w:val="nil"/>
              <w:bottom w:val="nil"/>
            </w:tcBorders>
            <w:noWrap/>
            <w:vAlign w:val="center"/>
            <w:hideMark/>
          </w:tcPr>
          <w:p w14:paraId="4485ABB3" w14:textId="77777777" w:rsidR="00DA2A25" w:rsidRPr="00AD2848" w:rsidRDefault="00DA2A25" w:rsidP="00B44003">
            <w:pPr>
              <w:rPr>
                <w:rFonts w:eastAsia="Times New Roman"/>
                <w:color w:val="000000"/>
                <w:lang w:eastAsia="zh-CN"/>
              </w:rPr>
            </w:pPr>
            <w:r>
              <w:rPr>
                <w:rFonts w:eastAsia="Times New Roman" w:hint="eastAsia"/>
                <w:color w:val="000000"/>
                <w:lang w:eastAsia="zh-CN"/>
              </w:rPr>
              <w:t>1.34</w:t>
            </w:r>
          </w:p>
        </w:tc>
        <w:tc>
          <w:tcPr>
            <w:tcW w:w="1178" w:type="dxa"/>
            <w:tcBorders>
              <w:top w:val="nil"/>
              <w:bottom w:val="nil"/>
            </w:tcBorders>
            <w:noWrap/>
            <w:vAlign w:val="center"/>
            <w:hideMark/>
          </w:tcPr>
          <w:p w14:paraId="5718D275" w14:textId="77777777" w:rsidR="00DA2A25" w:rsidRPr="00AD2848" w:rsidRDefault="00DA2A25" w:rsidP="00B44003">
            <w:pPr>
              <w:rPr>
                <w:rFonts w:eastAsia="Times New Roman"/>
                <w:color w:val="000000"/>
              </w:rPr>
            </w:pPr>
            <w:r w:rsidRPr="00AD2848">
              <w:rPr>
                <w:rFonts w:eastAsia="Times New Roman"/>
                <w:color w:val="000000"/>
              </w:rPr>
              <w:t>11.83</w:t>
            </w:r>
          </w:p>
        </w:tc>
        <w:tc>
          <w:tcPr>
            <w:tcW w:w="1179" w:type="dxa"/>
            <w:tcBorders>
              <w:top w:val="nil"/>
              <w:bottom w:val="nil"/>
            </w:tcBorders>
            <w:noWrap/>
            <w:vAlign w:val="center"/>
            <w:hideMark/>
          </w:tcPr>
          <w:p w14:paraId="6E4EC9F0" w14:textId="77777777" w:rsidR="00DA2A25" w:rsidRPr="00AD2848" w:rsidRDefault="00DA2A25" w:rsidP="00B44003">
            <w:pPr>
              <w:rPr>
                <w:rFonts w:eastAsia="Times New Roman"/>
                <w:color w:val="000000"/>
              </w:rPr>
            </w:pPr>
            <w:r w:rsidRPr="00AD2848">
              <w:rPr>
                <w:rFonts w:eastAsia="Times New Roman"/>
                <w:color w:val="000000"/>
              </w:rPr>
              <w:t>9.15</w:t>
            </w:r>
          </w:p>
        </w:tc>
        <w:tc>
          <w:tcPr>
            <w:tcW w:w="1179" w:type="dxa"/>
            <w:tcBorders>
              <w:top w:val="nil"/>
              <w:bottom w:val="nil"/>
            </w:tcBorders>
            <w:noWrap/>
            <w:vAlign w:val="center"/>
            <w:hideMark/>
          </w:tcPr>
          <w:p w14:paraId="5FA5EA8E" w14:textId="77777777" w:rsidR="00DA2A25" w:rsidRPr="00AD2848" w:rsidRDefault="00DA2A25" w:rsidP="00B44003">
            <w:pPr>
              <w:rPr>
                <w:rFonts w:eastAsia="Times New Roman"/>
                <w:color w:val="000000"/>
                <w:lang w:eastAsia="zh-CN"/>
              </w:rPr>
            </w:pPr>
            <w:r>
              <w:rPr>
                <w:rFonts w:eastAsia="Times New Roman"/>
                <w:color w:val="000000"/>
              </w:rPr>
              <w:t>10.20</w:t>
            </w:r>
          </w:p>
        </w:tc>
        <w:tc>
          <w:tcPr>
            <w:tcW w:w="1179" w:type="dxa"/>
            <w:tcBorders>
              <w:top w:val="nil"/>
              <w:bottom w:val="nil"/>
              <w:right w:val="nil"/>
            </w:tcBorders>
            <w:noWrap/>
            <w:vAlign w:val="center"/>
            <w:hideMark/>
          </w:tcPr>
          <w:p w14:paraId="7B2438DA" w14:textId="77777777" w:rsidR="00DA2A25" w:rsidRPr="00AD2848" w:rsidRDefault="00DA2A25" w:rsidP="00B44003">
            <w:pPr>
              <w:rPr>
                <w:rFonts w:eastAsia="Times New Roman"/>
                <w:color w:val="000000"/>
                <w:lang w:eastAsia="zh-CN"/>
              </w:rPr>
            </w:pPr>
            <w:r>
              <w:rPr>
                <w:rFonts w:eastAsia="Times New Roman"/>
                <w:color w:val="000000"/>
              </w:rPr>
              <w:t>9.73</w:t>
            </w:r>
          </w:p>
        </w:tc>
      </w:tr>
      <w:tr w:rsidR="00DA2A25" w:rsidRPr="00AD2848" w14:paraId="610AEEC0" w14:textId="77777777" w:rsidTr="00B44003">
        <w:trPr>
          <w:trHeight w:val="300"/>
        </w:trPr>
        <w:tc>
          <w:tcPr>
            <w:tcW w:w="1710" w:type="dxa"/>
            <w:tcBorders>
              <w:top w:val="nil"/>
              <w:left w:val="nil"/>
              <w:bottom w:val="nil"/>
            </w:tcBorders>
            <w:noWrap/>
            <w:vAlign w:val="center"/>
            <w:hideMark/>
          </w:tcPr>
          <w:p w14:paraId="7559232F" w14:textId="77777777" w:rsidR="00DA2A25" w:rsidRPr="00AD2848" w:rsidRDefault="00DA2A25" w:rsidP="00B44003">
            <w:pPr>
              <w:jc w:val="center"/>
              <w:rPr>
                <w:rFonts w:eastAsia="Times New Roman"/>
                <w:i/>
                <w:iCs/>
                <w:color w:val="000000"/>
              </w:rPr>
            </w:pPr>
            <w:r w:rsidRPr="00AD2848">
              <w:rPr>
                <w:rFonts w:eastAsia="Times New Roman"/>
                <w:i/>
                <w:iCs/>
                <w:color w:val="000000"/>
              </w:rPr>
              <w:t>SD</w:t>
            </w:r>
          </w:p>
        </w:tc>
        <w:tc>
          <w:tcPr>
            <w:tcW w:w="1178" w:type="dxa"/>
            <w:tcBorders>
              <w:top w:val="nil"/>
              <w:bottom w:val="nil"/>
            </w:tcBorders>
            <w:noWrap/>
            <w:vAlign w:val="center"/>
            <w:hideMark/>
          </w:tcPr>
          <w:p w14:paraId="77A7AEB8" w14:textId="77777777" w:rsidR="00DA2A25" w:rsidRPr="00AD2848" w:rsidRDefault="00DA2A25" w:rsidP="00B44003">
            <w:pPr>
              <w:rPr>
                <w:rFonts w:eastAsia="Times New Roman"/>
                <w:color w:val="000000"/>
              </w:rPr>
            </w:pPr>
            <w:r w:rsidRPr="00AD2848">
              <w:rPr>
                <w:rFonts w:eastAsia="Times New Roman"/>
                <w:color w:val="000000"/>
              </w:rPr>
              <w:t>6.20</w:t>
            </w:r>
          </w:p>
        </w:tc>
        <w:tc>
          <w:tcPr>
            <w:tcW w:w="1179" w:type="dxa"/>
            <w:tcBorders>
              <w:top w:val="nil"/>
              <w:bottom w:val="nil"/>
            </w:tcBorders>
            <w:noWrap/>
            <w:vAlign w:val="center"/>
            <w:hideMark/>
          </w:tcPr>
          <w:p w14:paraId="76E6B15E" w14:textId="77777777" w:rsidR="00DA2A25" w:rsidRPr="00AD2848" w:rsidRDefault="00DA2A25" w:rsidP="00B44003">
            <w:pPr>
              <w:rPr>
                <w:rFonts w:eastAsia="Times New Roman"/>
                <w:color w:val="000000"/>
              </w:rPr>
            </w:pPr>
            <w:r w:rsidRPr="00AD2848">
              <w:rPr>
                <w:rFonts w:eastAsia="Times New Roman"/>
                <w:color w:val="000000"/>
              </w:rPr>
              <w:t>4.78</w:t>
            </w:r>
          </w:p>
        </w:tc>
        <w:tc>
          <w:tcPr>
            <w:tcW w:w="1179" w:type="dxa"/>
            <w:tcBorders>
              <w:top w:val="nil"/>
              <w:bottom w:val="nil"/>
            </w:tcBorders>
            <w:noWrap/>
            <w:vAlign w:val="center"/>
            <w:hideMark/>
          </w:tcPr>
          <w:p w14:paraId="0B2F4BFA" w14:textId="77777777" w:rsidR="00DA2A25" w:rsidRPr="00AD2848" w:rsidRDefault="00DA2A25" w:rsidP="00B44003">
            <w:pPr>
              <w:rPr>
                <w:rFonts w:eastAsia="Times New Roman"/>
                <w:color w:val="000000"/>
                <w:lang w:eastAsia="zh-CN"/>
              </w:rPr>
            </w:pPr>
            <w:r>
              <w:rPr>
                <w:rFonts w:eastAsia="Times New Roman"/>
                <w:color w:val="000000"/>
              </w:rPr>
              <w:t>8.11</w:t>
            </w:r>
          </w:p>
        </w:tc>
        <w:tc>
          <w:tcPr>
            <w:tcW w:w="1179" w:type="dxa"/>
            <w:tcBorders>
              <w:top w:val="nil"/>
              <w:bottom w:val="nil"/>
            </w:tcBorders>
            <w:noWrap/>
            <w:vAlign w:val="center"/>
            <w:hideMark/>
          </w:tcPr>
          <w:p w14:paraId="30826DCB" w14:textId="77777777" w:rsidR="00DA2A25" w:rsidRPr="00AD2848" w:rsidRDefault="00DA2A25" w:rsidP="00B44003">
            <w:pPr>
              <w:rPr>
                <w:rFonts w:eastAsia="Times New Roman"/>
                <w:color w:val="000000"/>
                <w:lang w:eastAsia="zh-CN"/>
              </w:rPr>
            </w:pPr>
            <w:r>
              <w:rPr>
                <w:rFonts w:eastAsia="Times New Roman"/>
                <w:color w:val="000000"/>
              </w:rPr>
              <w:t>5.20</w:t>
            </w:r>
          </w:p>
        </w:tc>
        <w:tc>
          <w:tcPr>
            <w:tcW w:w="1178" w:type="dxa"/>
            <w:tcBorders>
              <w:top w:val="nil"/>
              <w:bottom w:val="nil"/>
            </w:tcBorders>
            <w:noWrap/>
            <w:vAlign w:val="center"/>
            <w:hideMark/>
          </w:tcPr>
          <w:p w14:paraId="16BAD286" w14:textId="77777777" w:rsidR="00DA2A25" w:rsidRPr="00AD2848" w:rsidRDefault="00DA2A25" w:rsidP="00B44003">
            <w:pPr>
              <w:rPr>
                <w:rFonts w:eastAsia="Times New Roman"/>
                <w:color w:val="000000"/>
              </w:rPr>
            </w:pPr>
            <w:r w:rsidRPr="00AD2848">
              <w:rPr>
                <w:rFonts w:eastAsia="Times New Roman"/>
                <w:color w:val="000000"/>
              </w:rPr>
              <w:t>5.54</w:t>
            </w:r>
          </w:p>
        </w:tc>
        <w:tc>
          <w:tcPr>
            <w:tcW w:w="1179" w:type="dxa"/>
            <w:tcBorders>
              <w:top w:val="nil"/>
              <w:bottom w:val="nil"/>
            </w:tcBorders>
            <w:noWrap/>
            <w:vAlign w:val="center"/>
            <w:hideMark/>
          </w:tcPr>
          <w:p w14:paraId="182B26FD" w14:textId="77777777" w:rsidR="00DA2A25" w:rsidRPr="00AD2848" w:rsidRDefault="00DA2A25" w:rsidP="00B44003">
            <w:pPr>
              <w:rPr>
                <w:rFonts w:eastAsia="Times New Roman"/>
                <w:color w:val="000000"/>
              </w:rPr>
            </w:pPr>
            <w:r w:rsidRPr="00AD2848">
              <w:rPr>
                <w:rFonts w:eastAsia="Times New Roman"/>
                <w:color w:val="000000"/>
              </w:rPr>
              <w:t>4.95</w:t>
            </w:r>
          </w:p>
        </w:tc>
        <w:tc>
          <w:tcPr>
            <w:tcW w:w="1179" w:type="dxa"/>
            <w:tcBorders>
              <w:top w:val="nil"/>
              <w:bottom w:val="nil"/>
            </w:tcBorders>
            <w:noWrap/>
            <w:vAlign w:val="center"/>
            <w:hideMark/>
          </w:tcPr>
          <w:p w14:paraId="4A837640" w14:textId="77777777" w:rsidR="00DA2A25" w:rsidRPr="00AD2848" w:rsidRDefault="00DA2A25" w:rsidP="00B44003">
            <w:pPr>
              <w:rPr>
                <w:rFonts w:eastAsia="Times New Roman"/>
                <w:color w:val="000000"/>
                <w:lang w:eastAsia="zh-CN"/>
              </w:rPr>
            </w:pPr>
            <w:r>
              <w:rPr>
                <w:rFonts w:eastAsia="Times New Roman"/>
                <w:color w:val="000000"/>
              </w:rPr>
              <w:t>4.41</w:t>
            </w:r>
          </w:p>
        </w:tc>
        <w:tc>
          <w:tcPr>
            <w:tcW w:w="1179" w:type="dxa"/>
            <w:tcBorders>
              <w:top w:val="nil"/>
              <w:bottom w:val="nil"/>
              <w:right w:val="nil"/>
            </w:tcBorders>
            <w:noWrap/>
            <w:vAlign w:val="center"/>
            <w:hideMark/>
          </w:tcPr>
          <w:p w14:paraId="305C53E3" w14:textId="77777777" w:rsidR="00DA2A25" w:rsidRPr="00AD2848" w:rsidRDefault="00DA2A25" w:rsidP="00B44003">
            <w:pPr>
              <w:rPr>
                <w:rFonts w:eastAsia="Times New Roman"/>
                <w:color w:val="000000"/>
                <w:lang w:eastAsia="zh-CN"/>
              </w:rPr>
            </w:pPr>
            <w:r>
              <w:rPr>
                <w:rFonts w:eastAsia="Times New Roman"/>
                <w:color w:val="000000"/>
              </w:rPr>
              <w:t>4.49</w:t>
            </w:r>
          </w:p>
        </w:tc>
      </w:tr>
      <w:tr w:rsidR="00DA2A25" w:rsidRPr="00AD2848" w14:paraId="7CCDCC06" w14:textId="77777777" w:rsidTr="00B44003">
        <w:trPr>
          <w:trHeight w:val="300"/>
        </w:trPr>
        <w:tc>
          <w:tcPr>
            <w:tcW w:w="11140" w:type="dxa"/>
            <w:gridSpan w:val="9"/>
            <w:tcBorders>
              <w:top w:val="nil"/>
              <w:left w:val="nil"/>
              <w:bottom w:val="nil"/>
              <w:right w:val="nil"/>
            </w:tcBorders>
            <w:noWrap/>
            <w:vAlign w:val="center"/>
            <w:hideMark/>
          </w:tcPr>
          <w:p w14:paraId="7B7619EE" w14:textId="77777777" w:rsidR="00DA2A25" w:rsidRPr="00AD2848" w:rsidRDefault="00DA2A25" w:rsidP="00B44003">
            <w:pPr>
              <w:rPr>
                <w:rFonts w:eastAsia="Times New Roman"/>
                <w:color w:val="000000"/>
              </w:rPr>
            </w:pPr>
            <w:r>
              <w:rPr>
                <w:rFonts w:eastAsia="Times New Roman"/>
                <w:color w:val="000000"/>
              </w:rPr>
              <w:t>Girl group</w:t>
            </w:r>
          </w:p>
        </w:tc>
      </w:tr>
      <w:tr w:rsidR="00DA2A25" w:rsidRPr="00AD2848" w14:paraId="42B0A030" w14:textId="77777777" w:rsidTr="00B44003">
        <w:trPr>
          <w:trHeight w:val="300"/>
        </w:trPr>
        <w:tc>
          <w:tcPr>
            <w:tcW w:w="1710" w:type="dxa"/>
            <w:tcBorders>
              <w:top w:val="nil"/>
              <w:left w:val="nil"/>
              <w:bottom w:val="nil"/>
            </w:tcBorders>
            <w:noWrap/>
            <w:vAlign w:val="center"/>
            <w:hideMark/>
          </w:tcPr>
          <w:p w14:paraId="7E18F916" w14:textId="77777777" w:rsidR="00DA2A25" w:rsidRPr="00AD2848" w:rsidRDefault="00DA2A25" w:rsidP="00B44003">
            <w:pPr>
              <w:jc w:val="center"/>
              <w:rPr>
                <w:rFonts w:eastAsia="Times New Roman"/>
                <w:color w:val="000000"/>
              </w:rPr>
            </w:pPr>
            <w:r w:rsidRPr="00AD2848">
              <w:rPr>
                <w:rFonts w:eastAsia="Times New Roman"/>
                <w:color w:val="000000"/>
              </w:rPr>
              <w:t xml:space="preserve">1. </w:t>
            </w:r>
            <w:r w:rsidRPr="006421DC">
              <w:rPr>
                <w:rFonts w:eastAsia="Times New Roman"/>
                <w:color w:val="000000"/>
              </w:rPr>
              <w:t>SAB_T1</w:t>
            </w:r>
            <w:r w:rsidRPr="006421DC">
              <w:rPr>
                <w:rFonts w:eastAsia="Times New Roman"/>
                <w:color w:val="000000"/>
                <w:vertAlign w:val="superscript"/>
              </w:rPr>
              <w:t>m</w:t>
            </w:r>
          </w:p>
        </w:tc>
        <w:tc>
          <w:tcPr>
            <w:tcW w:w="1178" w:type="dxa"/>
            <w:tcBorders>
              <w:top w:val="nil"/>
              <w:bottom w:val="nil"/>
            </w:tcBorders>
            <w:noWrap/>
            <w:vAlign w:val="center"/>
            <w:hideMark/>
          </w:tcPr>
          <w:p w14:paraId="1F18CB63"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153F5B53"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3A9F4822"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0B9F170C"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7143E0E7"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5417EAF0"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349CDE1E"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0101F214" w14:textId="77777777" w:rsidR="00DA2A25" w:rsidRPr="00AD2848" w:rsidRDefault="00DA2A25" w:rsidP="00B44003">
            <w:pPr>
              <w:rPr>
                <w:rFonts w:eastAsia="Times New Roman"/>
                <w:color w:val="000000"/>
              </w:rPr>
            </w:pPr>
          </w:p>
        </w:tc>
      </w:tr>
      <w:tr w:rsidR="00DA2A25" w:rsidRPr="00AD2848" w14:paraId="13ABEB4F" w14:textId="77777777" w:rsidTr="00B44003">
        <w:trPr>
          <w:trHeight w:val="300"/>
        </w:trPr>
        <w:tc>
          <w:tcPr>
            <w:tcW w:w="1710" w:type="dxa"/>
            <w:tcBorders>
              <w:top w:val="nil"/>
              <w:left w:val="nil"/>
              <w:bottom w:val="nil"/>
            </w:tcBorders>
            <w:noWrap/>
            <w:vAlign w:val="center"/>
            <w:hideMark/>
          </w:tcPr>
          <w:p w14:paraId="0CFE30C0" w14:textId="77777777" w:rsidR="00DA2A25" w:rsidRPr="00AD2848" w:rsidRDefault="00DA2A25" w:rsidP="00B44003">
            <w:pPr>
              <w:jc w:val="center"/>
              <w:rPr>
                <w:rFonts w:eastAsia="Times New Roman"/>
                <w:color w:val="000000"/>
              </w:rPr>
            </w:pPr>
            <w:r w:rsidRPr="00AD2848">
              <w:rPr>
                <w:rFonts w:eastAsia="Times New Roman"/>
                <w:color w:val="000000"/>
              </w:rPr>
              <w:t>2. SAB_T2</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0EA0F67E" w14:textId="77777777" w:rsidR="00DA2A25" w:rsidRPr="00AD2848" w:rsidRDefault="00DA2A25" w:rsidP="00B44003">
            <w:pPr>
              <w:rPr>
                <w:rFonts w:eastAsia="Times New Roman"/>
                <w:color w:val="000000"/>
              </w:rPr>
            </w:pPr>
            <w:r w:rsidRPr="00AD2848">
              <w:rPr>
                <w:rFonts w:eastAsia="Times New Roman"/>
                <w:color w:val="000000"/>
              </w:rPr>
              <w:t>0.12</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501CF0DA"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0150B410"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10188DA0"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18FDF55E"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61BAC5A4"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553D0665"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212B42BC" w14:textId="77777777" w:rsidR="00DA2A25" w:rsidRPr="00AD2848" w:rsidRDefault="00DA2A25" w:rsidP="00B44003">
            <w:pPr>
              <w:rPr>
                <w:rFonts w:eastAsia="Times New Roman"/>
                <w:color w:val="000000"/>
              </w:rPr>
            </w:pPr>
          </w:p>
        </w:tc>
      </w:tr>
      <w:tr w:rsidR="00DA2A25" w:rsidRPr="00AD2848" w14:paraId="3A55EA7C" w14:textId="77777777" w:rsidTr="00B44003">
        <w:trPr>
          <w:trHeight w:val="300"/>
        </w:trPr>
        <w:tc>
          <w:tcPr>
            <w:tcW w:w="1710" w:type="dxa"/>
            <w:tcBorders>
              <w:top w:val="nil"/>
              <w:left w:val="nil"/>
              <w:bottom w:val="nil"/>
            </w:tcBorders>
            <w:noWrap/>
            <w:vAlign w:val="center"/>
            <w:hideMark/>
          </w:tcPr>
          <w:p w14:paraId="456EF457" w14:textId="77777777" w:rsidR="00DA2A25" w:rsidRPr="00AD2848" w:rsidRDefault="00DA2A25" w:rsidP="00B44003">
            <w:pPr>
              <w:jc w:val="center"/>
              <w:rPr>
                <w:rFonts w:eastAsia="Times New Roman"/>
                <w:color w:val="000000"/>
              </w:rPr>
            </w:pPr>
            <w:r w:rsidRPr="00AD2848">
              <w:rPr>
                <w:rFonts w:eastAsia="Times New Roman"/>
                <w:color w:val="000000"/>
              </w:rPr>
              <w:t>3. SAB_T3</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4CA081C0" w14:textId="77777777" w:rsidR="00DA2A25" w:rsidRPr="00AD2848" w:rsidRDefault="00DA2A25" w:rsidP="00B44003">
            <w:pPr>
              <w:rPr>
                <w:rFonts w:eastAsia="Times New Roman"/>
                <w:color w:val="000000"/>
              </w:rPr>
            </w:pPr>
            <w:r w:rsidRPr="00AD2848">
              <w:rPr>
                <w:rFonts w:eastAsia="Times New Roman"/>
                <w:color w:val="000000"/>
              </w:rPr>
              <w:t>0.26</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449E7BEA" w14:textId="77777777" w:rsidR="00DA2A25" w:rsidRPr="00AD2848" w:rsidRDefault="00DA2A25" w:rsidP="00B44003">
            <w:pPr>
              <w:rPr>
                <w:rFonts w:eastAsia="Times New Roman"/>
                <w:color w:val="000000"/>
              </w:rPr>
            </w:pPr>
            <w:r w:rsidRPr="00AD2848">
              <w:rPr>
                <w:rFonts w:eastAsia="Times New Roman"/>
                <w:color w:val="000000"/>
              </w:rPr>
              <w:t>0.21</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0F049FB2"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3F6F216B" w14:textId="77777777" w:rsidR="00DA2A25" w:rsidRPr="00AD2848" w:rsidRDefault="00DA2A25" w:rsidP="00B44003">
            <w:pPr>
              <w:rPr>
                <w:rFonts w:eastAsia="Times New Roman"/>
                <w:color w:val="000000"/>
              </w:rPr>
            </w:pPr>
          </w:p>
        </w:tc>
        <w:tc>
          <w:tcPr>
            <w:tcW w:w="1178" w:type="dxa"/>
            <w:tcBorders>
              <w:top w:val="nil"/>
              <w:bottom w:val="nil"/>
            </w:tcBorders>
            <w:noWrap/>
            <w:vAlign w:val="center"/>
            <w:hideMark/>
          </w:tcPr>
          <w:p w14:paraId="2561D0BA"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349134A8"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419DD6A4"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5F40219A" w14:textId="77777777" w:rsidR="00DA2A25" w:rsidRPr="00AD2848" w:rsidRDefault="00DA2A25" w:rsidP="00B44003">
            <w:pPr>
              <w:rPr>
                <w:rFonts w:eastAsia="Times New Roman"/>
                <w:color w:val="000000"/>
              </w:rPr>
            </w:pPr>
          </w:p>
        </w:tc>
      </w:tr>
      <w:tr w:rsidR="00DA2A25" w:rsidRPr="00AD2848" w14:paraId="204CA14F" w14:textId="77777777" w:rsidTr="00B44003">
        <w:trPr>
          <w:trHeight w:val="300"/>
        </w:trPr>
        <w:tc>
          <w:tcPr>
            <w:tcW w:w="1710" w:type="dxa"/>
            <w:tcBorders>
              <w:top w:val="nil"/>
              <w:left w:val="nil"/>
              <w:bottom w:val="nil"/>
            </w:tcBorders>
            <w:noWrap/>
            <w:vAlign w:val="center"/>
            <w:hideMark/>
          </w:tcPr>
          <w:p w14:paraId="0D117336" w14:textId="77777777" w:rsidR="00DA2A25" w:rsidRPr="00AD2848" w:rsidRDefault="00DA2A25" w:rsidP="00B44003">
            <w:pPr>
              <w:jc w:val="center"/>
              <w:rPr>
                <w:rFonts w:eastAsia="Times New Roman"/>
                <w:color w:val="000000"/>
              </w:rPr>
            </w:pPr>
            <w:r w:rsidRPr="00AD2848">
              <w:rPr>
                <w:rFonts w:eastAsia="Times New Roman"/>
                <w:color w:val="000000"/>
              </w:rPr>
              <w:t>4. SAB_T4</w:t>
            </w:r>
            <w:r w:rsidRPr="006421DC">
              <w:rPr>
                <w:rFonts w:eastAsia="Times New Roman"/>
                <w:color w:val="000000"/>
                <w:vertAlign w:val="superscript"/>
              </w:rPr>
              <w:t xml:space="preserve"> m</w:t>
            </w:r>
          </w:p>
        </w:tc>
        <w:tc>
          <w:tcPr>
            <w:tcW w:w="1178" w:type="dxa"/>
            <w:tcBorders>
              <w:top w:val="nil"/>
              <w:bottom w:val="nil"/>
            </w:tcBorders>
            <w:noWrap/>
            <w:vAlign w:val="center"/>
            <w:hideMark/>
          </w:tcPr>
          <w:p w14:paraId="717DA220" w14:textId="77777777" w:rsidR="00DA2A25" w:rsidRPr="00AD2848" w:rsidRDefault="00DA2A25" w:rsidP="00B44003">
            <w:pPr>
              <w:rPr>
                <w:rFonts w:eastAsia="Times New Roman"/>
                <w:color w:val="000000"/>
              </w:rPr>
            </w:pPr>
            <w:r w:rsidRPr="00AD2848">
              <w:rPr>
                <w:rFonts w:eastAsia="Times New Roman"/>
                <w:color w:val="000000"/>
              </w:rPr>
              <w:t>0.18</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7BC198B6" w14:textId="77777777" w:rsidR="00DA2A25" w:rsidRPr="00AD2848" w:rsidRDefault="00DA2A25" w:rsidP="00B44003">
            <w:pPr>
              <w:rPr>
                <w:rFonts w:eastAsia="Times New Roman"/>
                <w:color w:val="000000"/>
              </w:rPr>
            </w:pPr>
            <w:r w:rsidRPr="00AD2848">
              <w:rPr>
                <w:rFonts w:eastAsia="Times New Roman"/>
                <w:color w:val="000000"/>
              </w:rPr>
              <w:t>0.09</w:t>
            </w:r>
          </w:p>
        </w:tc>
        <w:tc>
          <w:tcPr>
            <w:tcW w:w="1179" w:type="dxa"/>
            <w:tcBorders>
              <w:top w:val="nil"/>
              <w:bottom w:val="nil"/>
            </w:tcBorders>
            <w:noWrap/>
            <w:vAlign w:val="center"/>
            <w:hideMark/>
          </w:tcPr>
          <w:p w14:paraId="4D0C7E52" w14:textId="77777777" w:rsidR="00DA2A25" w:rsidRPr="00AD2848" w:rsidRDefault="00DA2A25" w:rsidP="00B44003">
            <w:pPr>
              <w:rPr>
                <w:rFonts w:eastAsia="Times New Roman"/>
                <w:color w:val="000000"/>
                <w:lang w:eastAsia="zh-CN"/>
              </w:rPr>
            </w:pPr>
            <w:r>
              <w:rPr>
                <w:rFonts w:eastAsia="Times New Roman"/>
                <w:color w:val="000000"/>
              </w:rPr>
              <w:t>0.33</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7356E188" w14:textId="77777777" w:rsidR="00DA2A25" w:rsidRPr="00AD2848" w:rsidRDefault="00DA2A25" w:rsidP="00B44003">
            <w:pPr>
              <w:rPr>
                <w:rFonts w:eastAsia="Times New Roman"/>
                <w:color w:val="000000"/>
              </w:rPr>
            </w:pPr>
            <w:r w:rsidRPr="00AD2848">
              <w:rPr>
                <w:rFonts w:eastAsia="Times New Roman"/>
                <w:color w:val="000000"/>
              </w:rPr>
              <w:t>1.00</w:t>
            </w:r>
          </w:p>
        </w:tc>
        <w:tc>
          <w:tcPr>
            <w:tcW w:w="1178" w:type="dxa"/>
            <w:tcBorders>
              <w:top w:val="nil"/>
              <w:bottom w:val="nil"/>
            </w:tcBorders>
            <w:noWrap/>
            <w:vAlign w:val="center"/>
            <w:hideMark/>
          </w:tcPr>
          <w:p w14:paraId="67172520"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7DF82D3D"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34EC7D97"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6F9ACA37" w14:textId="77777777" w:rsidR="00DA2A25" w:rsidRPr="00AD2848" w:rsidRDefault="00DA2A25" w:rsidP="00B44003">
            <w:pPr>
              <w:rPr>
                <w:rFonts w:eastAsia="Times New Roman"/>
                <w:color w:val="000000"/>
              </w:rPr>
            </w:pPr>
          </w:p>
        </w:tc>
      </w:tr>
      <w:tr w:rsidR="00DA2A25" w:rsidRPr="00AD2848" w14:paraId="20BF6B29" w14:textId="77777777" w:rsidTr="00B44003">
        <w:trPr>
          <w:trHeight w:val="300"/>
        </w:trPr>
        <w:tc>
          <w:tcPr>
            <w:tcW w:w="1710" w:type="dxa"/>
            <w:tcBorders>
              <w:top w:val="nil"/>
              <w:left w:val="nil"/>
              <w:bottom w:val="nil"/>
            </w:tcBorders>
            <w:noWrap/>
            <w:vAlign w:val="center"/>
            <w:hideMark/>
          </w:tcPr>
          <w:p w14:paraId="36D51AF5" w14:textId="77777777" w:rsidR="00DA2A25" w:rsidRPr="00AD2848" w:rsidRDefault="00DA2A25" w:rsidP="00B44003">
            <w:pPr>
              <w:jc w:val="center"/>
              <w:rPr>
                <w:rFonts w:eastAsia="Times New Roman"/>
                <w:color w:val="000000"/>
              </w:rPr>
            </w:pPr>
            <w:r w:rsidRPr="00AD2848">
              <w:rPr>
                <w:rFonts w:eastAsia="Times New Roman"/>
                <w:color w:val="000000"/>
              </w:rPr>
              <w:t>5. SDQ_T1</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2877F8E1" w14:textId="77777777" w:rsidR="00DA2A25" w:rsidRPr="00AD2848" w:rsidRDefault="00DA2A25" w:rsidP="00B44003">
            <w:pPr>
              <w:rPr>
                <w:rFonts w:eastAsia="Times New Roman"/>
                <w:color w:val="000000"/>
              </w:rPr>
            </w:pPr>
            <w:r w:rsidRPr="00AD2848">
              <w:rPr>
                <w:rFonts w:eastAsia="Times New Roman"/>
                <w:color w:val="000000"/>
              </w:rPr>
              <w:t>0.05</w:t>
            </w:r>
          </w:p>
        </w:tc>
        <w:tc>
          <w:tcPr>
            <w:tcW w:w="1179" w:type="dxa"/>
            <w:tcBorders>
              <w:top w:val="nil"/>
              <w:bottom w:val="nil"/>
            </w:tcBorders>
            <w:noWrap/>
            <w:vAlign w:val="center"/>
            <w:hideMark/>
          </w:tcPr>
          <w:p w14:paraId="1D939B58" w14:textId="77777777" w:rsidR="00DA2A25" w:rsidRPr="00AD2848" w:rsidRDefault="00DA2A25" w:rsidP="00B44003">
            <w:pPr>
              <w:rPr>
                <w:rFonts w:eastAsia="Times New Roman"/>
                <w:color w:val="000000"/>
              </w:rPr>
            </w:pPr>
            <w:r w:rsidRPr="00AD2848">
              <w:rPr>
                <w:rFonts w:eastAsia="Times New Roman"/>
                <w:color w:val="000000"/>
              </w:rPr>
              <w:t>0.05</w:t>
            </w:r>
          </w:p>
        </w:tc>
        <w:tc>
          <w:tcPr>
            <w:tcW w:w="1179" w:type="dxa"/>
            <w:tcBorders>
              <w:top w:val="nil"/>
              <w:bottom w:val="nil"/>
            </w:tcBorders>
            <w:noWrap/>
            <w:vAlign w:val="center"/>
            <w:hideMark/>
          </w:tcPr>
          <w:p w14:paraId="42BB3D02" w14:textId="77777777" w:rsidR="00DA2A25" w:rsidRPr="00AD2848" w:rsidRDefault="00DA2A25" w:rsidP="00B44003">
            <w:pPr>
              <w:rPr>
                <w:rFonts w:eastAsia="Times New Roman"/>
                <w:color w:val="000000"/>
              </w:rPr>
            </w:pPr>
            <w:r w:rsidRPr="00AD2848">
              <w:rPr>
                <w:rFonts w:eastAsia="Times New Roman"/>
                <w:color w:val="000000"/>
              </w:rPr>
              <w:t>0.18</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24205EDA" w14:textId="77777777" w:rsidR="00DA2A25" w:rsidRPr="00AD2848" w:rsidRDefault="00DA2A25" w:rsidP="00B44003">
            <w:pPr>
              <w:rPr>
                <w:rFonts w:eastAsia="Times New Roman"/>
                <w:color w:val="000000"/>
              </w:rPr>
            </w:pPr>
            <w:r w:rsidRPr="00AD2848">
              <w:rPr>
                <w:rFonts w:eastAsia="Times New Roman"/>
                <w:color w:val="000000"/>
              </w:rPr>
              <w:t>0.17</w:t>
            </w:r>
            <w:r>
              <w:rPr>
                <w:rFonts w:eastAsia="Times New Roman" w:hint="eastAsia"/>
                <w:color w:val="000000"/>
                <w:vertAlign w:val="superscript"/>
                <w:lang w:eastAsia="zh-CN"/>
              </w:rPr>
              <w:t>*</w:t>
            </w:r>
          </w:p>
        </w:tc>
        <w:tc>
          <w:tcPr>
            <w:tcW w:w="1178" w:type="dxa"/>
            <w:tcBorders>
              <w:top w:val="nil"/>
              <w:bottom w:val="nil"/>
            </w:tcBorders>
            <w:noWrap/>
            <w:vAlign w:val="center"/>
            <w:hideMark/>
          </w:tcPr>
          <w:p w14:paraId="08E3A4F8"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203C746B" w14:textId="77777777" w:rsidR="00DA2A25" w:rsidRPr="00AD2848" w:rsidRDefault="00DA2A25" w:rsidP="00B44003">
            <w:pPr>
              <w:rPr>
                <w:rFonts w:eastAsia="Times New Roman"/>
                <w:color w:val="000000"/>
              </w:rPr>
            </w:pPr>
          </w:p>
        </w:tc>
        <w:tc>
          <w:tcPr>
            <w:tcW w:w="1179" w:type="dxa"/>
            <w:tcBorders>
              <w:top w:val="nil"/>
              <w:bottom w:val="nil"/>
            </w:tcBorders>
            <w:noWrap/>
            <w:vAlign w:val="center"/>
            <w:hideMark/>
          </w:tcPr>
          <w:p w14:paraId="4A4AFACC"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39843A5A" w14:textId="77777777" w:rsidR="00DA2A25" w:rsidRPr="00AD2848" w:rsidRDefault="00DA2A25" w:rsidP="00B44003">
            <w:pPr>
              <w:rPr>
                <w:rFonts w:eastAsia="Times New Roman"/>
                <w:color w:val="000000"/>
              </w:rPr>
            </w:pPr>
          </w:p>
        </w:tc>
      </w:tr>
      <w:tr w:rsidR="00DA2A25" w:rsidRPr="00AD2848" w14:paraId="61A988D0" w14:textId="77777777" w:rsidTr="00B44003">
        <w:trPr>
          <w:trHeight w:val="300"/>
        </w:trPr>
        <w:tc>
          <w:tcPr>
            <w:tcW w:w="1710" w:type="dxa"/>
            <w:tcBorders>
              <w:top w:val="nil"/>
              <w:left w:val="nil"/>
              <w:bottom w:val="nil"/>
            </w:tcBorders>
            <w:noWrap/>
            <w:vAlign w:val="center"/>
            <w:hideMark/>
          </w:tcPr>
          <w:p w14:paraId="6A7EBCEA" w14:textId="77777777" w:rsidR="00DA2A25" w:rsidRPr="00AD2848" w:rsidRDefault="00DA2A25" w:rsidP="00B44003">
            <w:pPr>
              <w:jc w:val="center"/>
              <w:rPr>
                <w:rFonts w:eastAsia="Times New Roman"/>
                <w:color w:val="000000"/>
              </w:rPr>
            </w:pPr>
            <w:r w:rsidRPr="00AD2848">
              <w:rPr>
                <w:rFonts w:eastAsia="Times New Roman"/>
                <w:color w:val="000000"/>
              </w:rPr>
              <w:t>6. SDQ_T2</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1B223F9E" w14:textId="77777777" w:rsidR="00DA2A25" w:rsidRPr="00AD2848" w:rsidRDefault="00DA2A25" w:rsidP="00B44003">
            <w:pPr>
              <w:rPr>
                <w:rFonts w:eastAsia="Times New Roman"/>
                <w:color w:val="000000"/>
              </w:rPr>
            </w:pPr>
            <w:r w:rsidRPr="00AD2848">
              <w:rPr>
                <w:rFonts w:eastAsia="Times New Roman"/>
                <w:color w:val="000000"/>
              </w:rPr>
              <w:t>0.04</w:t>
            </w:r>
          </w:p>
        </w:tc>
        <w:tc>
          <w:tcPr>
            <w:tcW w:w="1179" w:type="dxa"/>
            <w:tcBorders>
              <w:top w:val="nil"/>
              <w:bottom w:val="nil"/>
            </w:tcBorders>
            <w:noWrap/>
            <w:vAlign w:val="center"/>
            <w:hideMark/>
          </w:tcPr>
          <w:p w14:paraId="0BEF4560" w14:textId="77777777" w:rsidR="00DA2A25" w:rsidRPr="00AD2848" w:rsidRDefault="00DA2A25" w:rsidP="00B44003">
            <w:pPr>
              <w:rPr>
                <w:rFonts w:eastAsia="Times New Roman"/>
                <w:color w:val="000000"/>
              </w:rPr>
            </w:pPr>
            <w:r w:rsidRPr="00AD2848">
              <w:rPr>
                <w:rFonts w:eastAsia="Times New Roman"/>
                <w:color w:val="000000"/>
              </w:rPr>
              <w:t>0.43</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75453775" w14:textId="77777777" w:rsidR="00DA2A25" w:rsidRPr="00AD2848" w:rsidRDefault="00DA2A25" w:rsidP="00B44003">
            <w:pPr>
              <w:rPr>
                <w:rFonts w:eastAsia="Times New Roman"/>
                <w:color w:val="000000"/>
                <w:lang w:eastAsia="zh-CN"/>
              </w:rPr>
            </w:pPr>
            <w:r>
              <w:rPr>
                <w:rFonts w:eastAsia="Times New Roman"/>
                <w:color w:val="000000"/>
              </w:rPr>
              <w:t>0.03</w:t>
            </w:r>
          </w:p>
        </w:tc>
        <w:tc>
          <w:tcPr>
            <w:tcW w:w="1179" w:type="dxa"/>
            <w:tcBorders>
              <w:top w:val="nil"/>
              <w:bottom w:val="nil"/>
            </w:tcBorders>
            <w:noWrap/>
            <w:vAlign w:val="center"/>
            <w:hideMark/>
          </w:tcPr>
          <w:p w14:paraId="7B6D7D8F" w14:textId="77777777" w:rsidR="00DA2A25" w:rsidRPr="00AD2848" w:rsidRDefault="00DA2A25" w:rsidP="00B44003">
            <w:pPr>
              <w:rPr>
                <w:rFonts w:eastAsia="Times New Roman"/>
                <w:color w:val="000000"/>
              </w:rPr>
            </w:pPr>
            <w:r w:rsidRPr="00AD2848">
              <w:rPr>
                <w:rFonts w:eastAsia="Times New Roman"/>
                <w:color w:val="000000"/>
              </w:rPr>
              <w:t>-0.05</w:t>
            </w:r>
          </w:p>
        </w:tc>
        <w:tc>
          <w:tcPr>
            <w:tcW w:w="1178" w:type="dxa"/>
            <w:tcBorders>
              <w:top w:val="nil"/>
              <w:bottom w:val="nil"/>
            </w:tcBorders>
            <w:noWrap/>
            <w:vAlign w:val="center"/>
            <w:hideMark/>
          </w:tcPr>
          <w:p w14:paraId="3276D31B" w14:textId="77777777" w:rsidR="00DA2A25" w:rsidRPr="00AD2848" w:rsidRDefault="00DA2A25" w:rsidP="00B44003">
            <w:pPr>
              <w:rPr>
                <w:rFonts w:eastAsia="Times New Roman"/>
                <w:color w:val="000000"/>
              </w:rPr>
            </w:pPr>
            <w:r w:rsidRPr="00AD2848">
              <w:rPr>
                <w:rFonts w:eastAsia="Times New Roman"/>
                <w:color w:val="000000"/>
              </w:rPr>
              <w:t>0.24</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138D8BE7"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tcBorders>
            <w:noWrap/>
            <w:vAlign w:val="center"/>
            <w:hideMark/>
          </w:tcPr>
          <w:p w14:paraId="383CCF45" w14:textId="77777777" w:rsidR="00DA2A25" w:rsidRPr="00AD2848" w:rsidRDefault="00DA2A25" w:rsidP="00B44003">
            <w:pPr>
              <w:rPr>
                <w:rFonts w:eastAsia="Times New Roman"/>
                <w:color w:val="000000"/>
              </w:rPr>
            </w:pPr>
          </w:p>
        </w:tc>
        <w:tc>
          <w:tcPr>
            <w:tcW w:w="1179" w:type="dxa"/>
            <w:tcBorders>
              <w:top w:val="nil"/>
              <w:bottom w:val="nil"/>
              <w:right w:val="nil"/>
            </w:tcBorders>
            <w:noWrap/>
            <w:vAlign w:val="center"/>
            <w:hideMark/>
          </w:tcPr>
          <w:p w14:paraId="0FE8664E" w14:textId="77777777" w:rsidR="00DA2A25" w:rsidRPr="00AD2848" w:rsidRDefault="00DA2A25" w:rsidP="00B44003">
            <w:pPr>
              <w:rPr>
                <w:rFonts w:eastAsia="Times New Roman"/>
                <w:color w:val="000000"/>
              </w:rPr>
            </w:pPr>
          </w:p>
        </w:tc>
      </w:tr>
      <w:tr w:rsidR="00DA2A25" w:rsidRPr="00AD2848" w14:paraId="083F260A" w14:textId="77777777" w:rsidTr="00B44003">
        <w:trPr>
          <w:trHeight w:val="300"/>
        </w:trPr>
        <w:tc>
          <w:tcPr>
            <w:tcW w:w="1710" w:type="dxa"/>
            <w:tcBorders>
              <w:top w:val="nil"/>
              <w:left w:val="nil"/>
              <w:bottom w:val="nil"/>
            </w:tcBorders>
            <w:noWrap/>
            <w:vAlign w:val="center"/>
            <w:hideMark/>
          </w:tcPr>
          <w:p w14:paraId="3FF28288" w14:textId="77777777" w:rsidR="00DA2A25" w:rsidRPr="00AD2848" w:rsidRDefault="00DA2A25" w:rsidP="00B44003">
            <w:pPr>
              <w:jc w:val="center"/>
              <w:rPr>
                <w:rFonts w:eastAsia="Times New Roman"/>
                <w:color w:val="000000"/>
              </w:rPr>
            </w:pPr>
            <w:r w:rsidRPr="00AD2848">
              <w:rPr>
                <w:rFonts w:eastAsia="Times New Roman"/>
                <w:color w:val="000000"/>
              </w:rPr>
              <w:t>7. SDQ_T3</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5586759E" w14:textId="77777777" w:rsidR="00DA2A25" w:rsidRPr="00AD2848" w:rsidRDefault="00DA2A25" w:rsidP="00B44003">
            <w:pPr>
              <w:rPr>
                <w:rFonts w:eastAsia="Times New Roman"/>
                <w:color w:val="000000"/>
                <w:lang w:eastAsia="zh-CN"/>
              </w:rPr>
            </w:pPr>
            <w:r w:rsidRPr="00AD2848">
              <w:rPr>
                <w:rFonts w:eastAsia="Times New Roman"/>
                <w:color w:val="000000"/>
              </w:rPr>
              <w:t>-0.0</w:t>
            </w:r>
            <w:r>
              <w:rPr>
                <w:rFonts w:eastAsia="Times New Roman"/>
                <w:color w:val="000000"/>
              </w:rPr>
              <w:t>5</w:t>
            </w:r>
          </w:p>
        </w:tc>
        <w:tc>
          <w:tcPr>
            <w:tcW w:w="1179" w:type="dxa"/>
            <w:tcBorders>
              <w:top w:val="nil"/>
              <w:bottom w:val="nil"/>
            </w:tcBorders>
            <w:noWrap/>
            <w:vAlign w:val="center"/>
            <w:hideMark/>
          </w:tcPr>
          <w:p w14:paraId="225B22EA" w14:textId="77777777" w:rsidR="00DA2A25" w:rsidRPr="00AD2848" w:rsidRDefault="00DA2A25" w:rsidP="00B44003">
            <w:pPr>
              <w:rPr>
                <w:rFonts w:eastAsia="Times New Roman"/>
                <w:color w:val="000000"/>
              </w:rPr>
            </w:pPr>
            <w:r w:rsidRPr="00AD2848">
              <w:rPr>
                <w:rFonts w:eastAsia="Times New Roman"/>
                <w:color w:val="000000"/>
              </w:rPr>
              <w:t>0.03</w:t>
            </w:r>
          </w:p>
        </w:tc>
        <w:tc>
          <w:tcPr>
            <w:tcW w:w="1179" w:type="dxa"/>
            <w:tcBorders>
              <w:top w:val="nil"/>
              <w:bottom w:val="nil"/>
            </w:tcBorders>
            <w:noWrap/>
            <w:vAlign w:val="center"/>
            <w:hideMark/>
          </w:tcPr>
          <w:p w14:paraId="1D572FCB" w14:textId="77777777" w:rsidR="00DA2A25" w:rsidRPr="00AD2848" w:rsidRDefault="00DA2A25" w:rsidP="00B44003">
            <w:pPr>
              <w:rPr>
                <w:rFonts w:eastAsia="Times New Roman"/>
                <w:color w:val="000000"/>
                <w:lang w:eastAsia="zh-CN"/>
              </w:rPr>
            </w:pPr>
            <w:r>
              <w:rPr>
                <w:rFonts w:eastAsia="Times New Roman"/>
                <w:color w:val="000000"/>
              </w:rPr>
              <w:t>0.12</w:t>
            </w:r>
          </w:p>
        </w:tc>
        <w:tc>
          <w:tcPr>
            <w:tcW w:w="1179" w:type="dxa"/>
            <w:tcBorders>
              <w:top w:val="nil"/>
              <w:bottom w:val="nil"/>
            </w:tcBorders>
            <w:noWrap/>
            <w:vAlign w:val="center"/>
            <w:hideMark/>
          </w:tcPr>
          <w:p w14:paraId="34D14ED8" w14:textId="77777777" w:rsidR="00DA2A25" w:rsidRPr="00AD2848" w:rsidRDefault="00DA2A25" w:rsidP="00B44003">
            <w:pPr>
              <w:rPr>
                <w:rFonts w:eastAsia="Times New Roman"/>
                <w:color w:val="000000"/>
                <w:lang w:eastAsia="zh-CN"/>
              </w:rPr>
            </w:pPr>
            <w:r>
              <w:rPr>
                <w:rFonts w:eastAsia="Times New Roman"/>
                <w:color w:val="000000"/>
              </w:rPr>
              <w:t>0.27</w:t>
            </w:r>
            <w:r>
              <w:rPr>
                <w:rFonts w:eastAsia="Times New Roman" w:hint="eastAsia"/>
                <w:color w:val="000000"/>
                <w:vertAlign w:val="superscript"/>
                <w:lang w:eastAsia="zh-CN"/>
              </w:rPr>
              <w:t>**</w:t>
            </w:r>
          </w:p>
        </w:tc>
        <w:tc>
          <w:tcPr>
            <w:tcW w:w="1178" w:type="dxa"/>
            <w:tcBorders>
              <w:top w:val="nil"/>
              <w:bottom w:val="nil"/>
            </w:tcBorders>
            <w:noWrap/>
            <w:vAlign w:val="center"/>
            <w:hideMark/>
          </w:tcPr>
          <w:p w14:paraId="5CCA94FA" w14:textId="77777777" w:rsidR="00DA2A25" w:rsidRPr="00AD2848" w:rsidRDefault="00DA2A25" w:rsidP="00B44003">
            <w:pPr>
              <w:rPr>
                <w:rFonts w:eastAsia="Times New Roman"/>
                <w:color w:val="000000"/>
              </w:rPr>
            </w:pPr>
            <w:r w:rsidRPr="00AD2848">
              <w:rPr>
                <w:rFonts w:eastAsia="Times New Roman"/>
                <w:color w:val="000000"/>
              </w:rPr>
              <w:t>0.35</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62C212DC" w14:textId="77777777" w:rsidR="00DA2A25" w:rsidRPr="00AD2848" w:rsidRDefault="00DA2A25" w:rsidP="00B44003">
            <w:pPr>
              <w:rPr>
                <w:rFonts w:eastAsia="Times New Roman"/>
                <w:color w:val="000000"/>
              </w:rPr>
            </w:pPr>
            <w:r w:rsidRPr="00AD2848">
              <w:rPr>
                <w:rFonts w:eastAsia="Times New Roman"/>
                <w:color w:val="000000"/>
              </w:rPr>
              <w:t>0.28</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4A5A6C2B" w14:textId="77777777" w:rsidR="00DA2A25" w:rsidRPr="00AD2848" w:rsidRDefault="00DA2A25" w:rsidP="00B44003">
            <w:pPr>
              <w:rPr>
                <w:rFonts w:eastAsia="Times New Roman"/>
                <w:color w:val="000000"/>
              </w:rPr>
            </w:pPr>
            <w:r w:rsidRPr="00AD2848">
              <w:rPr>
                <w:rFonts w:eastAsia="Times New Roman"/>
                <w:color w:val="000000"/>
              </w:rPr>
              <w:t>1.00</w:t>
            </w:r>
          </w:p>
        </w:tc>
        <w:tc>
          <w:tcPr>
            <w:tcW w:w="1179" w:type="dxa"/>
            <w:tcBorders>
              <w:top w:val="nil"/>
              <w:bottom w:val="nil"/>
              <w:right w:val="nil"/>
            </w:tcBorders>
            <w:noWrap/>
            <w:vAlign w:val="center"/>
            <w:hideMark/>
          </w:tcPr>
          <w:p w14:paraId="09F49D31" w14:textId="77777777" w:rsidR="00DA2A25" w:rsidRPr="00AD2848" w:rsidRDefault="00DA2A25" w:rsidP="00B44003">
            <w:pPr>
              <w:rPr>
                <w:rFonts w:eastAsia="Times New Roman"/>
                <w:color w:val="000000"/>
              </w:rPr>
            </w:pPr>
          </w:p>
        </w:tc>
      </w:tr>
      <w:tr w:rsidR="00DA2A25" w:rsidRPr="00AD2848" w14:paraId="45A7816A" w14:textId="77777777" w:rsidTr="00B44003">
        <w:trPr>
          <w:trHeight w:val="300"/>
        </w:trPr>
        <w:tc>
          <w:tcPr>
            <w:tcW w:w="1710" w:type="dxa"/>
            <w:tcBorders>
              <w:top w:val="nil"/>
              <w:left w:val="nil"/>
              <w:bottom w:val="nil"/>
            </w:tcBorders>
            <w:noWrap/>
            <w:vAlign w:val="center"/>
            <w:hideMark/>
          </w:tcPr>
          <w:p w14:paraId="79A2FAD0" w14:textId="77777777" w:rsidR="00DA2A25" w:rsidRPr="00AD2848" w:rsidRDefault="00DA2A25" w:rsidP="00B44003">
            <w:pPr>
              <w:jc w:val="center"/>
              <w:rPr>
                <w:rFonts w:eastAsia="Times New Roman"/>
                <w:color w:val="000000"/>
              </w:rPr>
            </w:pPr>
            <w:r w:rsidRPr="00AD2848">
              <w:rPr>
                <w:rFonts w:eastAsia="Times New Roman"/>
                <w:color w:val="000000"/>
              </w:rPr>
              <w:t>8. SDQ_T4</w:t>
            </w:r>
            <w:r w:rsidRPr="006421DC">
              <w:rPr>
                <w:rFonts w:eastAsia="Times New Roman"/>
                <w:color w:val="000000"/>
                <w:vertAlign w:val="superscript"/>
              </w:rPr>
              <w:t xml:space="preserve"> </w:t>
            </w:r>
            <w:r>
              <w:rPr>
                <w:rFonts w:eastAsia="Times New Roman"/>
                <w:color w:val="000000"/>
                <w:vertAlign w:val="superscript"/>
              </w:rPr>
              <w:t>c</w:t>
            </w:r>
          </w:p>
        </w:tc>
        <w:tc>
          <w:tcPr>
            <w:tcW w:w="1178" w:type="dxa"/>
            <w:tcBorders>
              <w:top w:val="nil"/>
              <w:bottom w:val="nil"/>
            </w:tcBorders>
            <w:noWrap/>
            <w:vAlign w:val="center"/>
            <w:hideMark/>
          </w:tcPr>
          <w:p w14:paraId="7C7CEBB4" w14:textId="77777777" w:rsidR="00DA2A25" w:rsidRPr="00AD2848" w:rsidRDefault="00DA2A25" w:rsidP="00B44003">
            <w:pPr>
              <w:rPr>
                <w:rFonts w:eastAsia="Times New Roman"/>
                <w:color w:val="000000"/>
              </w:rPr>
            </w:pPr>
            <w:r w:rsidRPr="00AD2848">
              <w:rPr>
                <w:rFonts w:eastAsia="Times New Roman"/>
                <w:color w:val="000000"/>
              </w:rPr>
              <w:t>0.07</w:t>
            </w:r>
          </w:p>
        </w:tc>
        <w:tc>
          <w:tcPr>
            <w:tcW w:w="1179" w:type="dxa"/>
            <w:tcBorders>
              <w:top w:val="nil"/>
              <w:bottom w:val="nil"/>
            </w:tcBorders>
            <w:noWrap/>
            <w:vAlign w:val="center"/>
            <w:hideMark/>
          </w:tcPr>
          <w:p w14:paraId="5F6B5931" w14:textId="77777777" w:rsidR="00DA2A25" w:rsidRPr="00AD2848" w:rsidRDefault="00DA2A25" w:rsidP="00B44003">
            <w:pPr>
              <w:rPr>
                <w:rFonts w:eastAsia="Times New Roman"/>
                <w:color w:val="000000"/>
              </w:rPr>
            </w:pPr>
            <w:r w:rsidRPr="00AD2848">
              <w:rPr>
                <w:rFonts w:eastAsia="Times New Roman"/>
                <w:color w:val="000000"/>
              </w:rPr>
              <w:t>0.02</w:t>
            </w:r>
          </w:p>
        </w:tc>
        <w:tc>
          <w:tcPr>
            <w:tcW w:w="1179" w:type="dxa"/>
            <w:tcBorders>
              <w:top w:val="nil"/>
              <w:bottom w:val="nil"/>
            </w:tcBorders>
            <w:noWrap/>
            <w:vAlign w:val="center"/>
            <w:hideMark/>
          </w:tcPr>
          <w:p w14:paraId="34498FEF" w14:textId="77777777" w:rsidR="00DA2A25" w:rsidRPr="00AD2848" w:rsidRDefault="00DA2A25" w:rsidP="00B44003">
            <w:pPr>
              <w:rPr>
                <w:rFonts w:eastAsia="Times New Roman"/>
                <w:color w:val="000000"/>
                <w:lang w:eastAsia="zh-CN"/>
              </w:rPr>
            </w:pPr>
            <w:r>
              <w:rPr>
                <w:rFonts w:eastAsia="Times New Roman"/>
                <w:color w:val="000000"/>
              </w:rPr>
              <w:t>0.22</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05238338" w14:textId="77777777" w:rsidR="00DA2A25" w:rsidRPr="00AD2848" w:rsidRDefault="00DA2A25" w:rsidP="00B44003">
            <w:pPr>
              <w:rPr>
                <w:rFonts w:eastAsia="Times New Roman"/>
                <w:color w:val="000000"/>
                <w:lang w:eastAsia="zh-CN"/>
              </w:rPr>
            </w:pPr>
            <w:r>
              <w:rPr>
                <w:rFonts w:eastAsia="Times New Roman"/>
                <w:color w:val="000000"/>
              </w:rPr>
              <w:t>0.22</w:t>
            </w:r>
            <w:r>
              <w:rPr>
                <w:rFonts w:eastAsia="Times New Roman" w:hint="eastAsia"/>
                <w:color w:val="000000"/>
                <w:vertAlign w:val="superscript"/>
                <w:lang w:eastAsia="zh-CN"/>
              </w:rPr>
              <w:t>**</w:t>
            </w:r>
          </w:p>
        </w:tc>
        <w:tc>
          <w:tcPr>
            <w:tcW w:w="1178" w:type="dxa"/>
            <w:tcBorders>
              <w:top w:val="nil"/>
              <w:bottom w:val="nil"/>
            </w:tcBorders>
            <w:noWrap/>
            <w:vAlign w:val="center"/>
            <w:hideMark/>
          </w:tcPr>
          <w:p w14:paraId="3E6DA215" w14:textId="77777777" w:rsidR="00DA2A25" w:rsidRPr="00AD2848" w:rsidRDefault="00DA2A25" w:rsidP="00B44003">
            <w:pPr>
              <w:rPr>
                <w:rFonts w:eastAsia="Times New Roman"/>
                <w:color w:val="000000"/>
              </w:rPr>
            </w:pPr>
            <w:r w:rsidRPr="00AD2848">
              <w:rPr>
                <w:rFonts w:eastAsia="Times New Roman"/>
                <w:color w:val="000000"/>
              </w:rPr>
              <w:t>0.46</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0EEFD5F3" w14:textId="77777777" w:rsidR="00DA2A25" w:rsidRPr="00AD2848" w:rsidRDefault="00DA2A25" w:rsidP="00B44003">
            <w:pPr>
              <w:rPr>
                <w:rFonts w:eastAsia="Times New Roman"/>
                <w:color w:val="000000"/>
              </w:rPr>
            </w:pPr>
            <w:r w:rsidRPr="00AD2848">
              <w:rPr>
                <w:rFonts w:eastAsia="Times New Roman"/>
                <w:color w:val="000000"/>
              </w:rPr>
              <w:t>0.21</w:t>
            </w:r>
            <w:r>
              <w:rPr>
                <w:rFonts w:eastAsia="Times New Roman" w:hint="eastAsia"/>
                <w:color w:val="000000"/>
                <w:vertAlign w:val="superscript"/>
                <w:lang w:eastAsia="zh-CN"/>
              </w:rPr>
              <w:t>**</w:t>
            </w:r>
          </w:p>
        </w:tc>
        <w:tc>
          <w:tcPr>
            <w:tcW w:w="1179" w:type="dxa"/>
            <w:tcBorders>
              <w:top w:val="nil"/>
              <w:bottom w:val="nil"/>
            </w:tcBorders>
            <w:noWrap/>
            <w:vAlign w:val="center"/>
            <w:hideMark/>
          </w:tcPr>
          <w:p w14:paraId="21EF8859" w14:textId="77777777" w:rsidR="00DA2A25" w:rsidRPr="00AD2848" w:rsidRDefault="00DA2A25" w:rsidP="00B44003">
            <w:pPr>
              <w:rPr>
                <w:rFonts w:eastAsia="Times New Roman"/>
                <w:color w:val="000000"/>
                <w:lang w:eastAsia="zh-CN"/>
              </w:rPr>
            </w:pPr>
            <w:r>
              <w:rPr>
                <w:rFonts w:eastAsia="Times New Roman"/>
                <w:color w:val="000000"/>
              </w:rPr>
              <w:t>0.45</w:t>
            </w:r>
            <w:r>
              <w:rPr>
                <w:rFonts w:eastAsia="Times New Roman" w:hint="eastAsia"/>
                <w:color w:val="000000"/>
                <w:vertAlign w:val="superscript"/>
                <w:lang w:eastAsia="zh-CN"/>
              </w:rPr>
              <w:t>**</w:t>
            </w:r>
          </w:p>
        </w:tc>
        <w:tc>
          <w:tcPr>
            <w:tcW w:w="1179" w:type="dxa"/>
            <w:tcBorders>
              <w:top w:val="nil"/>
              <w:bottom w:val="nil"/>
              <w:right w:val="nil"/>
            </w:tcBorders>
            <w:noWrap/>
            <w:vAlign w:val="center"/>
            <w:hideMark/>
          </w:tcPr>
          <w:p w14:paraId="7D4E733A" w14:textId="77777777" w:rsidR="00DA2A25" w:rsidRPr="00AD2848" w:rsidRDefault="00DA2A25" w:rsidP="00B44003">
            <w:pPr>
              <w:rPr>
                <w:rFonts w:eastAsia="Times New Roman"/>
                <w:color w:val="000000"/>
              </w:rPr>
            </w:pPr>
            <w:r w:rsidRPr="00AD2848">
              <w:rPr>
                <w:rFonts w:eastAsia="Times New Roman"/>
                <w:color w:val="000000"/>
              </w:rPr>
              <w:t>1.00</w:t>
            </w:r>
          </w:p>
        </w:tc>
      </w:tr>
      <w:tr w:rsidR="00DA2A25" w:rsidRPr="00AD2848" w14:paraId="3C2ECE96" w14:textId="77777777" w:rsidTr="00B44003">
        <w:trPr>
          <w:trHeight w:val="300"/>
        </w:trPr>
        <w:tc>
          <w:tcPr>
            <w:tcW w:w="1710" w:type="dxa"/>
            <w:tcBorders>
              <w:top w:val="nil"/>
              <w:left w:val="nil"/>
              <w:bottom w:val="nil"/>
            </w:tcBorders>
            <w:noWrap/>
            <w:vAlign w:val="center"/>
            <w:hideMark/>
          </w:tcPr>
          <w:p w14:paraId="461C9766" w14:textId="77777777" w:rsidR="00DA2A25" w:rsidRPr="00AD2848" w:rsidRDefault="00DA2A25" w:rsidP="00B44003">
            <w:pPr>
              <w:jc w:val="center"/>
              <w:rPr>
                <w:rFonts w:eastAsia="Times New Roman"/>
                <w:i/>
                <w:iCs/>
                <w:color w:val="000000"/>
              </w:rPr>
            </w:pPr>
            <w:r w:rsidRPr="00AD2848">
              <w:rPr>
                <w:rFonts w:eastAsia="Times New Roman"/>
                <w:i/>
                <w:iCs/>
                <w:color w:val="000000"/>
              </w:rPr>
              <w:t>M</w:t>
            </w:r>
          </w:p>
        </w:tc>
        <w:tc>
          <w:tcPr>
            <w:tcW w:w="1178" w:type="dxa"/>
            <w:tcBorders>
              <w:top w:val="nil"/>
              <w:bottom w:val="nil"/>
            </w:tcBorders>
            <w:noWrap/>
            <w:vAlign w:val="center"/>
            <w:hideMark/>
          </w:tcPr>
          <w:p w14:paraId="51E9005E" w14:textId="77777777" w:rsidR="00DA2A25" w:rsidRPr="00AD2848" w:rsidRDefault="00DA2A25" w:rsidP="00B44003">
            <w:pPr>
              <w:rPr>
                <w:rFonts w:eastAsia="Times New Roman"/>
                <w:color w:val="000000"/>
              </w:rPr>
            </w:pPr>
            <w:r w:rsidRPr="00AD2848">
              <w:rPr>
                <w:rFonts w:eastAsia="Times New Roman"/>
                <w:color w:val="000000"/>
              </w:rPr>
              <w:t>2.47</w:t>
            </w:r>
          </w:p>
        </w:tc>
        <w:tc>
          <w:tcPr>
            <w:tcW w:w="1179" w:type="dxa"/>
            <w:tcBorders>
              <w:top w:val="nil"/>
              <w:bottom w:val="nil"/>
            </w:tcBorders>
            <w:noWrap/>
            <w:vAlign w:val="center"/>
            <w:hideMark/>
          </w:tcPr>
          <w:p w14:paraId="72BFE798" w14:textId="77777777" w:rsidR="00DA2A25" w:rsidRPr="00AD2848" w:rsidRDefault="00DA2A25" w:rsidP="00B44003">
            <w:pPr>
              <w:rPr>
                <w:rFonts w:eastAsia="Times New Roman"/>
                <w:color w:val="000000"/>
              </w:rPr>
            </w:pPr>
            <w:r w:rsidRPr="00AD2848">
              <w:rPr>
                <w:rFonts w:eastAsia="Times New Roman"/>
                <w:color w:val="000000"/>
              </w:rPr>
              <w:t>2.64</w:t>
            </w:r>
          </w:p>
        </w:tc>
        <w:tc>
          <w:tcPr>
            <w:tcW w:w="1179" w:type="dxa"/>
            <w:tcBorders>
              <w:top w:val="nil"/>
              <w:bottom w:val="nil"/>
            </w:tcBorders>
            <w:noWrap/>
            <w:vAlign w:val="center"/>
            <w:hideMark/>
          </w:tcPr>
          <w:p w14:paraId="47249D11" w14:textId="77777777" w:rsidR="00DA2A25" w:rsidRPr="00AD2848" w:rsidRDefault="00DA2A25" w:rsidP="00B44003">
            <w:pPr>
              <w:rPr>
                <w:rFonts w:eastAsia="Times New Roman"/>
                <w:color w:val="000000"/>
              </w:rPr>
            </w:pPr>
            <w:r>
              <w:rPr>
                <w:rFonts w:eastAsia="Times New Roman"/>
                <w:color w:val="000000"/>
              </w:rPr>
              <w:t>2.</w:t>
            </w:r>
            <w:r w:rsidRPr="00AD2848">
              <w:rPr>
                <w:rFonts w:eastAsia="Times New Roman"/>
                <w:color w:val="000000"/>
              </w:rPr>
              <w:t>52</w:t>
            </w:r>
          </w:p>
        </w:tc>
        <w:tc>
          <w:tcPr>
            <w:tcW w:w="1179" w:type="dxa"/>
            <w:tcBorders>
              <w:top w:val="nil"/>
              <w:bottom w:val="nil"/>
            </w:tcBorders>
            <w:noWrap/>
            <w:vAlign w:val="center"/>
            <w:hideMark/>
          </w:tcPr>
          <w:p w14:paraId="62AA6FEA" w14:textId="77777777" w:rsidR="00DA2A25" w:rsidRPr="00AD2848" w:rsidRDefault="00DA2A25" w:rsidP="00B44003">
            <w:pPr>
              <w:rPr>
                <w:rFonts w:eastAsia="Times New Roman"/>
                <w:color w:val="000000"/>
                <w:lang w:eastAsia="zh-CN"/>
              </w:rPr>
            </w:pPr>
            <w:r>
              <w:rPr>
                <w:rFonts w:eastAsia="Times New Roman"/>
                <w:color w:val="000000"/>
              </w:rPr>
              <w:t>0.39</w:t>
            </w:r>
          </w:p>
        </w:tc>
        <w:tc>
          <w:tcPr>
            <w:tcW w:w="1178" w:type="dxa"/>
            <w:tcBorders>
              <w:top w:val="nil"/>
              <w:bottom w:val="nil"/>
            </w:tcBorders>
            <w:noWrap/>
            <w:vAlign w:val="center"/>
            <w:hideMark/>
          </w:tcPr>
          <w:p w14:paraId="3F943C93" w14:textId="77777777" w:rsidR="00DA2A25" w:rsidRPr="00AD2848" w:rsidRDefault="00DA2A25" w:rsidP="00B44003">
            <w:pPr>
              <w:rPr>
                <w:rFonts w:eastAsia="Times New Roman"/>
                <w:color w:val="000000"/>
              </w:rPr>
            </w:pPr>
            <w:r w:rsidRPr="00AD2848">
              <w:rPr>
                <w:rFonts w:eastAsia="Times New Roman"/>
                <w:color w:val="000000"/>
              </w:rPr>
              <w:t>10.47</w:t>
            </w:r>
          </w:p>
        </w:tc>
        <w:tc>
          <w:tcPr>
            <w:tcW w:w="1179" w:type="dxa"/>
            <w:tcBorders>
              <w:top w:val="nil"/>
              <w:bottom w:val="nil"/>
            </w:tcBorders>
            <w:noWrap/>
            <w:vAlign w:val="center"/>
            <w:hideMark/>
          </w:tcPr>
          <w:p w14:paraId="34E4A1B4" w14:textId="77777777" w:rsidR="00DA2A25" w:rsidRPr="00AD2848" w:rsidRDefault="00DA2A25" w:rsidP="00B44003">
            <w:pPr>
              <w:rPr>
                <w:rFonts w:eastAsia="Times New Roman"/>
                <w:color w:val="000000"/>
              </w:rPr>
            </w:pPr>
            <w:r w:rsidRPr="00AD2848">
              <w:rPr>
                <w:rFonts w:eastAsia="Times New Roman"/>
                <w:color w:val="000000"/>
              </w:rPr>
              <w:t>9.03</w:t>
            </w:r>
          </w:p>
        </w:tc>
        <w:tc>
          <w:tcPr>
            <w:tcW w:w="1179" w:type="dxa"/>
            <w:tcBorders>
              <w:top w:val="nil"/>
              <w:bottom w:val="nil"/>
            </w:tcBorders>
            <w:noWrap/>
            <w:vAlign w:val="center"/>
            <w:hideMark/>
          </w:tcPr>
          <w:p w14:paraId="421C491D" w14:textId="77777777" w:rsidR="00DA2A25" w:rsidRPr="00AD2848" w:rsidRDefault="00DA2A25" w:rsidP="00B44003">
            <w:pPr>
              <w:rPr>
                <w:rFonts w:eastAsia="Times New Roman"/>
                <w:color w:val="000000"/>
                <w:lang w:eastAsia="zh-CN"/>
              </w:rPr>
            </w:pPr>
            <w:r>
              <w:rPr>
                <w:rFonts w:eastAsia="Times New Roman" w:hint="eastAsia"/>
                <w:color w:val="000000"/>
                <w:lang w:eastAsia="zh-CN"/>
              </w:rPr>
              <w:t>8.71</w:t>
            </w:r>
          </w:p>
        </w:tc>
        <w:tc>
          <w:tcPr>
            <w:tcW w:w="1179" w:type="dxa"/>
            <w:tcBorders>
              <w:top w:val="nil"/>
              <w:bottom w:val="nil"/>
              <w:right w:val="nil"/>
            </w:tcBorders>
            <w:noWrap/>
            <w:vAlign w:val="center"/>
            <w:hideMark/>
          </w:tcPr>
          <w:p w14:paraId="522DA564" w14:textId="77777777" w:rsidR="00DA2A25" w:rsidRPr="00AD2848" w:rsidRDefault="00DA2A25" w:rsidP="00B44003">
            <w:pPr>
              <w:rPr>
                <w:rFonts w:eastAsia="Times New Roman"/>
                <w:color w:val="000000"/>
                <w:lang w:eastAsia="zh-CN"/>
              </w:rPr>
            </w:pPr>
            <w:r>
              <w:rPr>
                <w:rFonts w:eastAsia="Times New Roman"/>
                <w:color w:val="000000"/>
              </w:rPr>
              <w:t>9.20</w:t>
            </w:r>
          </w:p>
        </w:tc>
      </w:tr>
      <w:tr w:rsidR="00DA2A25" w:rsidRPr="00AD2848" w14:paraId="520F331F" w14:textId="77777777" w:rsidTr="00B44003">
        <w:trPr>
          <w:trHeight w:val="300"/>
        </w:trPr>
        <w:tc>
          <w:tcPr>
            <w:tcW w:w="1710" w:type="dxa"/>
            <w:tcBorders>
              <w:top w:val="nil"/>
              <w:left w:val="nil"/>
            </w:tcBorders>
            <w:noWrap/>
            <w:vAlign w:val="center"/>
            <w:hideMark/>
          </w:tcPr>
          <w:p w14:paraId="6AB8217D" w14:textId="77777777" w:rsidR="00DA2A25" w:rsidRPr="00AD2848" w:rsidRDefault="00DA2A25" w:rsidP="00B44003">
            <w:pPr>
              <w:jc w:val="center"/>
              <w:rPr>
                <w:rFonts w:eastAsia="Times New Roman"/>
                <w:i/>
                <w:iCs/>
                <w:color w:val="000000"/>
              </w:rPr>
            </w:pPr>
            <w:r w:rsidRPr="00AD2848">
              <w:rPr>
                <w:rFonts w:eastAsia="Times New Roman"/>
                <w:i/>
                <w:iCs/>
                <w:color w:val="000000"/>
              </w:rPr>
              <w:t>SD</w:t>
            </w:r>
          </w:p>
        </w:tc>
        <w:tc>
          <w:tcPr>
            <w:tcW w:w="1178" w:type="dxa"/>
            <w:tcBorders>
              <w:top w:val="nil"/>
            </w:tcBorders>
            <w:noWrap/>
            <w:vAlign w:val="center"/>
            <w:hideMark/>
          </w:tcPr>
          <w:p w14:paraId="34E99FD0" w14:textId="77777777" w:rsidR="00DA2A25" w:rsidRPr="00AD2848" w:rsidRDefault="00DA2A25" w:rsidP="00B44003">
            <w:pPr>
              <w:rPr>
                <w:rFonts w:eastAsia="Times New Roman"/>
                <w:color w:val="000000"/>
              </w:rPr>
            </w:pPr>
            <w:r w:rsidRPr="00AD2848">
              <w:rPr>
                <w:rFonts w:eastAsia="Times New Roman"/>
                <w:color w:val="000000"/>
              </w:rPr>
              <w:t>5.88</w:t>
            </w:r>
          </w:p>
        </w:tc>
        <w:tc>
          <w:tcPr>
            <w:tcW w:w="1179" w:type="dxa"/>
            <w:tcBorders>
              <w:top w:val="nil"/>
            </w:tcBorders>
            <w:noWrap/>
            <w:vAlign w:val="center"/>
            <w:hideMark/>
          </w:tcPr>
          <w:p w14:paraId="01A4BB85" w14:textId="77777777" w:rsidR="00DA2A25" w:rsidRPr="00AD2848" w:rsidRDefault="00DA2A25" w:rsidP="00B44003">
            <w:pPr>
              <w:rPr>
                <w:rFonts w:eastAsia="Times New Roman"/>
                <w:color w:val="000000"/>
              </w:rPr>
            </w:pPr>
            <w:r w:rsidRPr="00AD2848">
              <w:rPr>
                <w:rFonts w:eastAsia="Times New Roman"/>
                <w:color w:val="000000"/>
              </w:rPr>
              <w:t>6.61</w:t>
            </w:r>
          </w:p>
        </w:tc>
        <w:tc>
          <w:tcPr>
            <w:tcW w:w="1179" w:type="dxa"/>
            <w:tcBorders>
              <w:top w:val="nil"/>
            </w:tcBorders>
            <w:noWrap/>
            <w:vAlign w:val="center"/>
            <w:hideMark/>
          </w:tcPr>
          <w:p w14:paraId="27BA7F56" w14:textId="77777777" w:rsidR="00DA2A25" w:rsidRPr="00AD2848" w:rsidRDefault="00DA2A25" w:rsidP="00B44003">
            <w:pPr>
              <w:rPr>
                <w:rFonts w:eastAsia="Times New Roman"/>
                <w:color w:val="000000"/>
                <w:lang w:eastAsia="zh-CN"/>
              </w:rPr>
            </w:pPr>
            <w:r>
              <w:rPr>
                <w:rFonts w:eastAsia="Times New Roman"/>
                <w:color w:val="000000"/>
              </w:rPr>
              <w:t>6.81</w:t>
            </w:r>
          </w:p>
        </w:tc>
        <w:tc>
          <w:tcPr>
            <w:tcW w:w="1179" w:type="dxa"/>
            <w:tcBorders>
              <w:top w:val="nil"/>
            </w:tcBorders>
            <w:noWrap/>
            <w:vAlign w:val="center"/>
            <w:hideMark/>
          </w:tcPr>
          <w:p w14:paraId="38B3CB8E" w14:textId="77777777" w:rsidR="00DA2A25" w:rsidRPr="00AD2848" w:rsidRDefault="00DA2A25" w:rsidP="00B44003">
            <w:pPr>
              <w:rPr>
                <w:rFonts w:eastAsia="Times New Roman"/>
                <w:color w:val="000000"/>
                <w:lang w:eastAsia="zh-CN"/>
              </w:rPr>
            </w:pPr>
            <w:r>
              <w:rPr>
                <w:rFonts w:eastAsia="Times New Roman"/>
                <w:color w:val="000000"/>
              </w:rPr>
              <w:t>1.76</w:t>
            </w:r>
          </w:p>
        </w:tc>
        <w:tc>
          <w:tcPr>
            <w:tcW w:w="1178" w:type="dxa"/>
            <w:tcBorders>
              <w:top w:val="nil"/>
            </w:tcBorders>
            <w:noWrap/>
            <w:vAlign w:val="center"/>
            <w:hideMark/>
          </w:tcPr>
          <w:p w14:paraId="6494C63C" w14:textId="77777777" w:rsidR="00DA2A25" w:rsidRPr="00AD2848" w:rsidRDefault="00DA2A25" w:rsidP="00B44003">
            <w:pPr>
              <w:rPr>
                <w:rFonts w:eastAsia="Times New Roman"/>
                <w:color w:val="000000"/>
              </w:rPr>
            </w:pPr>
            <w:r w:rsidRPr="00AD2848">
              <w:rPr>
                <w:rFonts w:eastAsia="Times New Roman"/>
                <w:color w:val="000000"/>
              </w:rPr>
              <w:t>6.01</w:t>
            </w:r>
          </w:p>
        </w:tc>
        <w:tc>
          <w:tcPr>
            <w:tcW w:w="1179" w:type="dxa"/>
            <w:tcBorders>
              <w:top w:val="nil"/>
            </w:tcBorders>
            <w:noWrap/>
            <w:vAlign w:val="center"/>
            <w:hideMark/>
          </w:tcPr>
          <w:p w14:paraId="3A85E46F" w14:textId="77777777" w:rsidR="00DA2A25" w:rsidRPr="00AD2848" w:rsidRDefault="00DA2A25" w:rsidP="00B44003">
            <w:pPr>
              <w:rPr>
                <w:rFonts w:eastAsia="Times New Roman"/>
                <w:color w:val="000000"/>
              </w:rPr>
            </w:pPr>
            <w:r w:rsidRPr="00AD2848">
              <w:rPr>
                <w:rFonts w:eastAsia="Times New Roman"/>
                <w:color w:val="000000"/>
              </w:rPr>
              <w:t>5.81</w:t>
            </w:r>
          </w:p>
        </w:tc>
        <w:tc>
          <w:tcPr>
            <w:tcW w:w="1179" w:type="dxa"/>
            <w:tcBorders>
              <w:top w:val="nil"/>
            </w:tcBorders>
            <w:noWrap/>
            <w:vAlign w:val="center"/>
            <w:hideMark/>
          </w:tcPr>
          <w:p w14:paraId="3D993ABC" w14:textId="77777777" w:rsidR="00DA2A25" w:rsidRPr="00AD2848" w:rsidRDefault="00DA2A25" w:rsidP="00B44003">
            <w:pPr>
              <w:rPr>
                <w:rFonts w:eastAsia="Times New Roman"/>
                <w:color w:val="000000"/>
                <w:lang w:eastAsia="zh-CN"/>
              </w:rPr>
            </w:pPr>
            <w:r>
              <w:rPr>
                <w:rFonts w:eastAsia="Times New Roman" w:hint="eastAsia"/>
                <w:color w:val="000000"/>
                <w:lang w:eastAsia="zh-CN"/>
              </w:rPr>
              <w:t>4.37</w:t>
            </w:r>
          </w:p>
        </w:tc>
        <w:tc>
          <w:tcPr>
            <w:tcW w:w="1179" w:type="dxa"/>
            <w:tcBorders>
              <w:top w:val="nil"/>
              <w:right w:val="nil"/>
            </w:tcBorders>
            <w:noWrap/>
            <w:vAlign w:val="center"/>
            <w:hideMark/>
          </w:tcPr>
          <w:p w14:paraId="3A6F11EB" w14:textId="77777777" w:rsidR="00DA2A25" w:rsidRPr="00AD2848" w:rsidRDefault="00DA2A25" w:rsidP="00B44003">
            <w:pPr>
              <w:rPr>
                <w:rFonts w:eastAsia="Times New Roman"/>
                <w:color w:val="000000"/>
                <w:lang w:eastAsia="zh-CN"/>
              </w:rPr>
            </w:pPr>
            <w:r>
              <w:rPr>
                <w:rFonts w:eastAsia="Times New Roman"/>
                <w:color w:val="000000"/>
              </w:rPr>
              <w:t>4.76</w:t>
            </w:r>
          </w:p>
        </w:tc>
      </w:tr>
    </w:tbl>
    <w:p w14:paraId="2C29026E" w14:textId="02614DD7" w:rsidR="00DA2A25" w:rsidRPr="00B11895" w:rsidRDefault="00DA2A25" w:rsidP="00DA2A25">
      <w:pPr>
        <w:rPr>
          <w:lang w:eastAsia="zh-CN"/>
        </w:rPr>
      </w:pPr>
      <w:r w:rsidRPr="00356096">
        <w:rPr>
          <w:i/>
        </w:rPr>
        <w:t>Note</w:t>
      </w:r>
      <w:r w:rsidRPr="00B11895">
        <w:t xml:space="preserve">: </w:t>
      </w:r>
      <w:r w:rsidRPr="00B11895">
        <w:rPr>
          <w:rFonts w:hint="eastAsia"/>
          <w:lang w:eastAsia="zh-CN"/>
        </w:rPr>
        <w:t>SAB</w:t>
      </w:r>
      <w:r w:rsidR="00621DC3">
        <w:rPr>
          <w:lang w:eastAsia="zh-CN"/>
        </w:rPr>
        <w:t xml:space="preserve"> =</w:t>
      </w:r>
      <w:r w:rsidRPr="00B11895">
        <w:t xml:space="preserve"> Sectarian Antisocial Behavior; SDQ</w:t>
      </w:r>
      <w:r w:rsidR="00621DC3">
        <w:t xml:space="preserve"> =</w:t>
      </w:r>
      <w:r w:rsidRPr="00B11895">
        <w:t xml:space="preserve"> Adjustment Problem.</w:t>
      </w:r>
      <w:r w:rsidR="00621DC3">
        <w:t xml:space="preserve"> </w:t>
      </w:r>
      <w:r w:rsidR="00621DC3" w:rsidRPr="00356096">
        <w:rPr>
          <w:vertAlign w:val="superscript"/>
        </w:rPr>
        <w:t>c</w:t>
      </w:r>
      <w:r w:rsidR="00621DC3">
        <w:t xml:space="preserve"> = child report; </w:t>
      </w:r>
      <w:r w:rsidR="00621DC3" w:rsidRPr="00356096">
        <w:rPr>
          <w:vertAlign w:val="superscript"/>
        </w:rPr>
        <w:t>m</w:t>
      </w:r>
      <w:r w:rsidR="00621DC3">
        <w:t xml:space="preserve"> = mother report.</w:t>
      </w:r>
    </w:p>
    <w:p w14:paraId="3C4F0B74" w14:textId="598B29B4" w:rsidR="00DA2A25" w:rsidRPr="00B11895" w:rsidRDefault="00DA2A25" w:rsidP="00DA2A25">
      <w:pPr>
        <w:spacing w:line="480" w:lineRule="auto"/>
        <w:rPr>
          <w:rFonts w:ascii="&lt;0.05" w:hAnsi="&lt;0.05" w:hint="eastAsia"/>
          <w:i/>
          <w:lang w:eastAsia="zh-CN"/>
        </w:rPr>
      </w:pPr>
      <w:r w:rsidRPr="00B11895">
        <w:rPr>
          <w:rFonts w:eastAsia="Times New Roman" w:hint="eastAsia"/>
          <w:color w:val="000000"/>
          <w:vertAlign w:val="superscript"/>
          <w:lang w:eastAsia="zh-CN"/>
        </w:rPr>
        <w:t>*</w:t>
      </w:r>
      <w:r w:rsidRPr="00B11895">
        <w:rPr>
          <w:rFonts w:eastAsia="Times New Roman" w:hint="eastAsia"/>
          <w:i/>
          <w:color w:val="000000"/>
          <w:lang w:eastAsia="zh-CN"/>
        </w:rPr>
        <w:t>p</w:t>
      </w:r>
      <w:r>
        <w:rPr>
          <w:rFonts w:eastAsia="Times New Roman" w:hint="eastAsia"/>
          <w:i/>
          <w:color w:val="000000"/>
          <w:lang w:eastAsia="zh-CN"/>
        </w:rPr>
        <w:t xml:space="preserve"> </w:t>
      </w:r>
      <w:r w:rsidRPr="00B11895">
        <w:rPr>
          <w:rFonts w:eastAsia="Times New Roman" w:hint="eastAsia"/>
          <w:color w:val="000000"/>
          <w:lang w:eastAsia="zh-CN"/>
        </w:rPr>
        <w:t>&lt;</w:t>
      </w:r>
      <w:r>
        <w:rPr>
          <w:rFonts w:eastAsia="Times New Roman" w:hint="eastAsia"/>
          <w:color w:val="000000"/>
          <w:lang w:eastAsia="zh-CN"/>
        </w:rPr>
        <w:t xml:space="preserve"> </w:t>
      </w:r>
      <w:r w:rsidRPr="00B11895">
        <w:rPr>
          <w:rFonts w:eastAsia="Times New Roman" w:hint="eastAsia"/>
          <w:color w:val="000000"/>
          <w:lang w:eastAsia="zh-CN"/>
        </w:rPr>
        <w:t>0.05</w:t>
      </w:r>
      <w:r w:rsidR="002B611D">
        <w:rPr>
          <w:rFonts w:eastAsia="Times New Roman"/>
          <w:color w:val="000000"/>
          <w:lang w:eastAsia="zh-CN"/>
        </w:rPr>
        <w:t>;</w:t>
      </w:r>
      <w:r w:rsidR="00EE3DA1">
        <w:rPr>
          <w:rFonts w:eastAsia="Times New Roman" w:hint="eastAsia"/>
          <w:color w:val="000000"/>
          <w:lang w:eastAsia="zh-CN"/>
        </w:rPr>
        <w:t xml:space="preserve"> </w:t>
      </w:r>
      <w:r w:rsidRPr="00B11895">
        <w:rPr>
          <w:rFonts w:eastAsia="Times New Roman" w:hint="eastAsia"/>
          <w:color w:val="000000"/>
          <w:vertAlign w:val="superscript"/>
          <w:lang w:eastAsia="zh-CN"/>
        </w:rPr>
        <w:t>**</w:t>
      </w:r>
      <w:r w:rsidRPr="00B11895">
        <w:rPr>
          <w:rFonts w:eastAsia="Times New Roman" w:hint="eastAsia"/>
          <w:i/>
          <w:color w:val="000000"/>
          <w:lang w:eastAsia="zh-CN"/>
        </w:rPr>
        <w:t>p</w:t>
      </w:r>
      <w:r>
        <w:rPr>
          <w:rFonts w:eastAsia="Times New Roman" w:hint="eastAsia"/>
          <w:i/>
          <w:color w:val="000000"/>
          <w:lang w:eastAsia="zh-CN"/>
        </w:rPr>
        <w:t xml:space="preserve"> </w:t>
      </w:r>
      <w:r w:rsidRPr="00B11895">
        <w:rPr>
          <w:rFonts w:eastAsia="Times New Roman" w:hint="eastAsia"/>
          <w:color w:val="000000"/>
          <w:lang w:eastAsia="zh-CN"/>
        </w:rPr>
        <w:t>&lt;</w:t>
      </w:r>
      <w:r>
        <w:rPr>
          <w:rFonts w:eastAsia="Times New Roman" w:hint="eastAsia"/>
          <w:color w:val="000000"/>
          <w:lang w:eastAsia="zh-CN"/>
        </w:rPr>
        <w:t xml:space="preserve"> 0.01</w:t>
      </w:r>
      <w:r w:rsidR="00EE3DA1">
        <w:rPr>
          <w:rFonts w:eastAsia="Times New Roman" w:hint="eastAsia"/>
          <w:color w:val="000000"/>
          <w:lang w:eastAsia="zh-CN"/>
        </w:rPr>
        <w:t xml:space="preserve"> </w:t>
      </w:r>
    </w:p>
    <w:p w14:paraId="3F7744A5" w14:textId="77777777" w:rsidR="00DA2A25" w:rsidRDefault="00DA2A25" w:rsidP="00DA2A25">
      <w:pPr>
        <w:spacing w:line="480" w:lineRule="auto"/>
        <w:ind w:left="360"/>
        <w:rPr>
          <w:rFonts w:ascii="&lt;0.05" w:hAnsi="&lt;0.05" w:hint="eastAsia"/>
          <w:i/>
          <w:lang w:eastAsia="zh-CN"/>
        </w:rPr>
      </w:pPr>
    </w:p>
    <w:p w14:paraId="5D91502C" w14:textId="77777777" w:rsidR="00DA2A25" w:rsidRDefault="00DA2A25" w:rsidP="00DA2A25">
      <w:pPr>
        <w:spacing w:line="480" w:lineRule="auto"/>
        <w:ind w:left="360"/>
        <w:rPr>
          <w:rFonts w:ascii="&lt;0.05" w:hAnsi="&lt;0.05" w:hint="eastAsia"/>
          <w:i/>
          <w:lang w:eastAsia="zh-CN"/>
        </w:rPr>
      </w:pPr>
    </w:p>
    <w:p w14:paraId="4A63F8D3" w14:textId="1BDC595A" w:rsidR="00621DC3" w:rsidRDefault="00DA2A25" w:rsidP="00DA2A25">
      <w:pPr>
        <w:spacing w:line="480" w:lineRule="auto"/>
      </w:pPr>
      <w:r w:rsidRPr="000158CE">
        <w:lastRenderedPageBreak/>
        <w:t>Ta</w:t>
      </w:r>
      <w:r>
        <w:t xml:space="preserve">ble </w:t>
      </w:r>
      <w:r w:rsidR="00621DC3">
        <w:t>2</w:t>
      </w:r>
      <w:r>
        <w:t xml:space="preserve"> </w:t>
      </w:r>
    </w:p>
    <w:p w14:paraId="2ABD86D8" w14:textId="5BC60A45" w:rsidR="00DA2A25" w:rsidRPr="00356096" w:rsidRDefault="00DA2A25" w:rsidP="00DA2A25">
      <w:pPr>
        <w:spacing w:line="480" w:lineRule="auto"/>
        <w:rPr>
          <w:i/>
          <w:lang w:eastAsia="zh-CN"/>
        </w:rPr>
      </w:pPr>
      <w:r w:rsidRPr="00356096">
        <w:rPr>
          <w:i/>
          <w:lang w:eastAsia="zh-CN"/>
        </w:rPr>
        <w:t xml:space="preserve">Unstandardized </w:t>
      </w:r>
      <w:r w:rsidR="00546605" w:rsidRPr="00546605">
        <w:rPr>
          <w:i/>
          <w:lang w:eastAsia="zh-CN"/>
        </w:rPr>
        <w:t xml:space="preserve">Coefficients </w:t>
      </w:r>
      <w:r w:rsidRPr="00356096">
        <w:rPr>
          <w:i/>
          <w:lang w:eastAsia="zh-CN"/>
        </w:rPr>
        <w:t>(</w:t>
      </w:r>
      <w:r w:rsidR="00546605" w:rsidRPr="00546605">
        <w:rPr>
          <w:i/>
          <w:lang w:eastAsia="zh-CN"/>
        </w:rPr>
        <w:t>Standard Error</w:t>
      </w:r>
      <w:r w:rsidRPr="00356096">
        <w:rPr>
          <w:i/>
          <w:lang w:eastAsia="zh-CN"/>
        </w:rPr>
        <w:t xml:space="preserve">) and Significant Levels for the </w:t>
      </w:r>
      <w:r w:rsidRPr="00356096">
        <w:rPr>
          <w:i/>
        </w:rPr>
        <w:t>Overall Bidirectional Model</w:t>
      </w:r>
      <w:r w:rsidRPr="00356096">
        <w:rPr>
          <w:i/>
          <w:lang w:eastAsia="zh-CN"/>
        </w:rPr>
        <w:t xml:space="preserve"> and </w:t>
      </w:r>
      <w:r w:rsidRPr="00356096">
        <w:rPr>
          <w:i/>
        </w:rPr>
        <w:t>Multiple Group Bidirectional Model</w:t>
      </w:r>
    </w:p>
    <w:tbl>
      <w:tblPr>
        <w:tblStyle w:val="TableGrid"/>
        <w:tblW w:w="5000" w:type="pct"/>
        <w:tblBorders>
          <w:left w:val="none" w:sz="0" w:space="0" w:color="auto"/>
          <w:right w:val="none" w:sz="0" w:space="0" w:color="auto"/>
        </w:tblBorders>
        <w:tblLayout w:type="fixed"/>
        <w:tblLook w:val="04A0" w:firstRow="1" w:lastRow="0" w:firstColumn="1" w:lastColumn="0" w:noHBand="0" w:noVBand="1"/>
      </w:tblPr>
      <w:tblGrid>
        <w:gridCol w:w="5353"/>
        <w:gridCol w:w="1844"/>
        <w:gridCol w:w="1557"/>
        <w:gridCol w:w="822"/>
      </w:tblGrid>
      <w:tr w:rsidR="00FA4903" w:rsidRPr="00AD2848" w14:paraId="6C3F8EAE" w14:textId="77777777" w:rsidTr="00FA4903">
        <w:trPr>
          <w:trHeight w:val="322"/>
        </w:trPr>
        <w:tc>
          <w:tcPr>
            <w:tcW w:w="2795" w:type="pct"/>
            <w:noWrap/>
            <w:vAlign w:val="center"/>
            <w:hideMark/>
          </w:tcPr>
          <w:p w14:paraId="43EAE4A9" w14:textId="77777777" w:rsidR="008E3AB9" w:rsidRPr="00AD2848" w:rsidRDefault="008E3AB9" w:rsidP="00B44003">
            <w:pPr>
              <w:jc w:val="center"/>
              <w:rPr>
                <w:rFonts w:eastAsia="Times New Roman"/>
                <w:color w:val="000000"/>
              </w:rPr>
            </w:pPr>
            <w:r>
              <w:rPr>
                <w:rFonts w:eastAsia="Times New Roman"/>
                <w:color w:val="000000"/>
              </w:rPr>
              <w:t>Variables</w:t>
            </w:r>
          </w:p>
        </w:tc>
        <w:tc>
          <w:tcPr>
            <w:tcW w:w="963" w:type="pct"/>
            <w:noWrap/>
            <w:hideMark/>
          </w:tcPr>
          <w:p w14:paraId="671AA2FC" w14:textId="77777777" w:rsidR="008E3AB9" w:rsidRDefault="008E3AB9" w:rsidP="00B44003">
            <w:pPr>
              <w:rPr>
                <w:lang w:eastAsia="zh-CN"/>
              </w:rPr>
            </w:pPr>
            <w:r>
              <w:rPr>
                <w:lang w:eastAsia="zh-CN"/>
              </w:rPr>
              <w:t>Unstandardized</w:t>
            </w:r>
          </w:p>
          <w:p w14:paraId="2552F938" w14:textId="03EB8FD1" w:rsidR="00E7673C" w:rsidRPr="00AD2848" w:rsidRDefault="00E7673C" w:rsidP="00B44003">
            <w:pPr>
              <w:rPr>
                <w:rFonts w:eastAsia="Times New Roman"/>
                <w:color w:val="000000"/>
              </w:rPr>
            </w:pPr>
            <w:r>
              <w:rPr>
                <w:rFonts w:hint="eastAsia"/>
                <w:lang w:eastAsia="zh-CN"/>
              </w:rPr>
              <w:t>(standard error)</w:t>
            </w:r>
          </w:p>
        </w:tc>
        <w:tc>
          <w:tcPr>
            <w:tcW w:w="813" w:type="pct"/>
          </w:tcPr>
          <w:p w14:paraId="35B6C5CC" w14:textId="11923D79" w:rsidR="008E3AB9" w:rsidRPr="00B547E5" w:rsidRDefault="008E3AB9" w:rsidP="00B44003">
            <w:pPr>
              <w:rPr>
                <w:i/>
                <w:lang w:eastAsia="zh-CN"/>
              </w:rPr>
            </w:pPr>
            <w:r>
              <w:rPr>
                <w:lang w:eastAsia="zh-CN"/>
              </w:rPr>
              <w:t>Standardized</w:t>
            </w:r>
          </w:p>
        </w:tc>
        <w:tc>
          <w:tcPr>
            <w:tcW w:w="429" w:type="pct"/>
            <w:noWrap/>
            <w:hideMark/>
          </w:tcPr>
          <w:p w14:paraId="7B2F9A4E" w14:textId="098B07CC" w:rsidR="008E3AB9" w:rsidRPr="00B547E5" w:rsidRDefault="008E3AB9" w:rsidP="00664BF0">
            <w:pPr>
              <w:jc w:val="center"/>
              <w:rPr>
                <w:rFonts w:eastAsia="Times New Roman"/>
                <w:i/>
                <w:color w:val="000000"/>
              </w:rPr>
            </w:pPr>
            <w:r w:rsidRPr="00B547E5">
              <w:rPr>
                <w:i/>
                <w:lang w:eastAsia="zh-CN"/>
              </w:rPr>
              <w:t>P</w:t>
            </w:r>
          </w:p>
        </w:tc>
      </w:tr>
      <w:tr w:rsidR="00FA4903" w:rsidRPr="00AD2848" w14:paraId="394DA0E0" w14:textId="77777777" w:rsidTr="00FA4903">
        <w:trPr>
          <w:trHeight w:val="322"/>
        </w:trPr>
        <w:tc>
          <w:tcPr>
            <w:tcW w:w="2795" w:type="pct"/>
            <w:noWrap/>
            <w:vAlign w:val="center"/>
          </w:tcPr>
          <w:p w14:paraId="5D519C39" w14:textId="77777777" w:rsidR="008E3AB9" w:rsidRPr="00AD2848" w:rsidRDefault="008E3AB9" w:rsidP="00B44003">
            <w:pPr>
              <w:jc w:val="center"/>
              <w:rPr>
                <w:rFonts w:eastAsia="Times New Roman"/>
                <w:color w:val="000000"/>
                <w:lang w:eastAsia="zh-CN"/>
              </w:rPr>
            </w:pPr>
            <w:r>
              <w:t>Overall Bidirectional Model</w:t>
            </w:r>
          </w:p>
        </w:tc>
        <w:tc>
          <w:tcPr>
            <w:tcW w:w="963" w:type="pct"/>
            <w:noWrap/>
          </w:tcPr>
          <w:p w14:paraId="1EE33005" w14:textId="77777777" w:rsidR="008E3AB9" w:rsidRPr="00AD2848" w:rsidRDefault="008E3AB9" w:rsidP="00B44003">
            <w:pPr>
              <w:rPr>
                <w:rFonts w:eastAsia="Times New Roman"/>
                <w:color w:val="000000"/>
              </w:rPr>
            </w:pPr>
          </w:p>
        </w:tc>
        <w:tc>
          <w:tcPr>
            <w:tcW w:w="813" w:type="pct"/>
          </w:tcPr>
          <w:p w14:paraId="00AB8065" w14:textId="77777777" w:rsidR="008E3AB9" w:rsidRPr="00AD2848" w:rsidRDefault="008E3AB9" w:rsidP="00B44003">
            <w:pPr>
              <w:rPr>
                <w:rFonts w:eastAsia="Times New Roman"/>
                <w:color w:val="000000"/>
              </w:rPr>
            </w:pPr>
          </w:p>
        </w:tc>
        <w:tc>
          <w:tcPr>
            <w:tcW w:w="429" w:type="pct"/>
            <w:noWrap/>
          </w:tcPr>
          <w:p w14:paraId="0CB5E638" w14:textId="3FCEEECA" w:rsidR="008E3AB9" w:rsidRPr="00AD2848" w:rsidRDefault="008E3AB9" w:rsidP="00B44003">
            <w:pPr>
              <w:rPr>
                <w:rFonts w:eastAsia="Times New Roman"/>
                <w:color w:val="000000"/>
              </w:rPr>
            </w:pPr>
          </w:p>
        </w:tc>
      </w:tr>
      <w:tr w:rsidR="00FA4903" w:rsidRPr="00AD2848" w14:paraId="443B86A9" w14:textId="77777777" w:rsidTr="00FA4903">
        <w:trPr>
          <w:trHeight w:val="322"/>
        </w:trPr>
        <w:tc>
          <w:tcPr>
            <w:tcW w:w="2795" w:type="pct"/>
            <w:noWrap/>
            <w:vAlign w:val="center"/>
            <w:hideMark/>
          </w:tcPr>
          <w:p w14:paraId="3CBC0432" w14:textId="77777777" w:rsidR="00FA4903" w:rsidRDefault="008E3AB9" w:rsidP="00B44003">
            <w:pPr>
              <w:jc w:val="center"/>
              <w:rPr>
                <w:rFonts w:eastAsia="Times New Roman"/>
                <w:color w:val="000000"/>
                <w:lang w:eastAsia="zh-CN"/>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w:t>
            </w:r>
            <w:r w:rsidRPr="006421DC">
              <w:rPr>
                <w:rFonts w:eastAsia="Times New Roman"/>
                <w:color w:val="000000"/>
              </w:rPr>
              <w:t xml:space="preserve"> </w:t>
            </w:r>
          </w:p>
          <w:p w14:paraId="7221837E" w14:textId="13F9C184" w:rsidR="008E3AB9" w:rsidRPr="00B547E5" w:rsidRDefault="008E3AB9" w:rsidP="00B44003">
            <w:pPr>
              <w:jc w:val="center"/>
              <w:rPr>
                <w:rFonts w:eastAsia="Times New Roman"/>
                <w:color w:val="000000"/>
                <w:lang w:eastAsia="zh-CN"/>
              </w:rPr>
            </w:pP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0ABE7BFA"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0.25 (0.02)</w:t>
            </w:r>
          </w:p>
        </w:tc>
        <w:tc>
          <w:tcPr>
            <w:tcW w:w="813" w:type="pct"/>
          </w:tcPr>
          <w:p w14:paraId="3BC7CE06" w14:textId="23A16CC7" w:rsidR="008E3AB9" w:rsidRDefault="001102E0" w:rsidP="00FA4903">
            <w:pPr>
              <w:jc w:val="center"/>
              <w:rPr>
                <w:rFonts w:eastAsia="Times New Roman"/>
                <w:color w:val="000000"/>
                <w:lang w:eastAsia="zh-CN"/>
              </w:rPr>
            </w:pPr>
            <w:r>
              <w:rPr>
                <w:rFonts w:eastAsia="Times New Roman" w:hint="eastAsia"/>
                <w:color w:val="000000"/>
                <w:lang w:eastAsia="zh-CN"/>
              </w:rPr>
              <w:t>0.28</w:t>
            </w:r>
          </w:p>
        </w:tc>
        <w:tc>
          <w:tcPr>
            <w:tcW w:w="429" w:type="pct"/>
            <w:noWrap/>
            <w:hideMark/>
          </w:tcPr>
          <w:p w14:paraId="48A6DB65" w14:textId="4E696155" w:rsidR="008E3AB9" w:rsidRPr="00AD2848" w:rsidRDefault="008E3AB9" w:rsidP="00FA4903">
            <w:pPr>
              <w:jc w:val="center"/>
              <w:rPr>
                <w:rFonts w:eastAsia="Times New Roman"/>
                <w:color w:val="000000"/>
                <w:lang w:eastAsia="zh-CN"/>
              </w:rPr>
            </w:pPr>
            <w:r>
              <w:rPr>
                <w:rFonts w:eastAsia="Times New Roman" w:hint="eastAsia"/>
                <w:color w:val="000000"/>
                <w:lang w:eastAsia="zh-CN"/>
              </w:rPr>
              <w:t>0.00</w:t>
            </w:r>
          </w:p>
        </w:tc>
      </w:tr>
      <w:tr w:rsidR="00FA4903" w:rsidRPr="00AD2848" w14:paraId="103E41BF" w14:textId="77777777" w:rsidTr="00FA4903">
        <w:trPr>
          <w:trHeight w:val="322"/>
        </w:trPr>
        <w:tc>
          <w:tcPr>
            <w:tcW w:w="2795" w:type="pct"/>
            <w:noWrap/>
            <w:vAlign w:val="center"/>
            <w:hideMark/>
          </w:tcPr>
          <w:p w14:paraId="3AA9DA7C" w14:textId="77777777" w:rsidR="008E3AB9" w:rsidRPr="00AD2848" w:rsidRDefault="008E3AB9"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212F9FC4" w14:textId="77777777" w:rsidR="008E3AB9" w:rsidRPr="00024A63" w:rsidRDefault="008E3AB9" w:rsidP="00FA4903">
            <w:pPr>
              <w:jc w:val="center"/>
              <w:rPr>
                <w:rFonts w:eastAsia="Times New Roman"/>
                <w:color w:val="000000"/>
                <w:vertAlign w:val="superscript"/>
                <w:lang w:eastAsia="zh-CN"/>
              </w:rPr>
            </w:pPr>
            <w:r>
              <w:rPr>
                <w:rFonts w:eastAsia="Times New Roman"/>
                <w:color w:val="000000"/>
              </w:rPr>
              <w:t>0.33</w:t>
            </w:r>
            <w:r>
              <w:rPr>
                <w:rFonts w:eastAsia="Times New Roman" w:hint="eastAsia"/>
                <w:color w:val="000000"/>
                <w:lang w:eastAsia="zh-CN"/>
              </w:rPr>
              <w:t xml:space="preserve"> (0.04)</w:t>
            </w:r>
          </w:p>
        </w:tc>
        <w:tc>
          <w:tcPr>
            <w:tcW w:w="813" w:type="pct"/>
          </w:tcPr>
          <w:p w14:paraId="2020FCDE" w14:textId="6F560799" w:rsidR="008E3AB9" w:rsidRDefault="001102E0" w:rsidP="00FA4903">
            <w:pPr>
              <w:jc w:val="center"/>
              <w:rPr>
                <w:rFonts w:eastAsia="Times New Roman"/>
                <w:color w:val="000000"/>
                <w:lang w:eastAsia="zh-CN"/>
              </w:rPr>
            </w:pPr>
            <w:r>
              <w:rPr>
                <w:rFonts w:eastAsia="Times New Roman" w:hint="eastAsia"/>
                <w:color w:val="000000"/>
                <w:lang w:eastAsia="zh-CN"/>
              </w:rPr>
              <w:t>0.30</w:t>
            </w:r>
          </w:p>
        </w:tc>
        <w:tc>
          <w:tcPr>
            <w:tcW w:w="429" w:type="pct"/>
            <w:noWrap/>
            <w:hideMark/>
          </w:tcPr>
          <w:p w14:paraId="3B10D814" w14:textId="7B37A0CE" w:rsidR="008E3AB9" w:rsidRPr="00AD2848" w:rsidRDefault="008E3AB9" w:rsidP="00FA4903">
            <w:pPr>
              <w:jc w:val="center"/>
              <w:rPr>
                <w:rFonts w:eastAsia="Times New Roman"/>
                <w:color w:val="000000"/>
                <w:lang w:eastAsia="zh-CN"/>
              </w:rPr>
            </w:pPr>
            <w:r>
              <w:rPr>
                <w:rFonts w:eastAsia="Times New Roman" w:hint="eastAsia"/>
                <w:color w:val="000000"/>
                <w:lang w:eastAsia="zh-CN"/>
              </w:rPr>
              <w:t>0.00</w:t>
            </w:r>
          </w:p>
        </w:tc>
      </w:tr>
      <w:tr w:rsidR="00FA4903" w:rsidRPr="00AD2848" w14:paraId="5FE9EC18" w14:textId="77777777" w:rsidTr="00FA4903">
        <w:trPr>
          <w:trHeight w:val="322"/>
        </w:trPr>
        <w:tc>
          <w:tcPr>
            <w:tcW w:w="2795" w:type="pct"/>
            <w:noWrap/>
            <w:vAlign w:val="center"/>
          </w:tcPr>
          <w:p w14:paraId="3F6D04FE" w14:textId="77777777" w:rsidR="008E3AB9" w:rsidRPr="007B2F7A" w:rsidRDefault="008E3AB9" w:rsidP="00B44003">
            <w:pPr>
              <w:jc w:val="center"/>
              <w:rPr>
                <w:rFonts w:eastAsia="Times New Roman"/>
                <w:color w:val="000000"/>
                <w:lang w:eastAsia="zh-CN"/>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tcPr>
          <w:p w14:paraId="54655E7C"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0.11 (0.05)</w:t>
            </w:r>
          </w:p>
        </w:tc>
        <w:tc>
          <w:tcPr>
            <w:tcW w:w="813" w:type="pct"/>
          </w:tcPr>
          <w:p w14:paraId="6888EEA3" w14:textId="02D6CBAA" w:rsidR="008E3AB9" w:rsidRDefault="001102E0" w:rsidP="00FA4903">
            <w:pPr>
              <w:jc w:val="center"/>
              <w:rPr>
                <w:rFonts w:eastAsia="Times New Roman"/>
                <w:color w:val="000000"/>
                <w:lang w:eastAsia="zh-CN"/>
              </w:rPr>
            </w:pPr>
            <w:r>
              <w:rPr>
                <w:rFonts w:eastAsia="Times New Roman" w:hint="eastAsia"/>
                <w:color w:val="000000"/>
                <w:lang w:eastAsia="zh-CN"/>
              </w:rPr>
              <w:t>0.18</w:t>
            </w:r>
          </w:p>
        </w:tc>
        <w:tc>
          <w:tcPr>
            <w:tcW w:w="429" w:type="pct"/>
            <w:noWrap/>
          </w:tcPr>
          <w:p w14:paraId="4FE6AF8F" w14:textId="2C919835" w:rsidR="008E3AB9" w:rsidRPr="00AD2848" w:rsidRDefault="008E3AB9" w:rsidP="00FA4903">
            <w:pPr>
              <w:jc w:val="center"/>
              <w:rPr>
                <w:rFonts w:eastAsia="Times New Roman"/>
                <w:color w:val="000000"/>
                <w:lang w:eastAsia="zh-CN"/>
              </w:rPr>
            </w:pPr>
            <w:r>
              <w:rPr>
                <w:rFonts w:eastAsia="Times New Roman" w:hint="eastAsia"/>
                <w:color w:val="000000"/>
                <w:lang w:eastAsia="zh-CN"/>
              </w:rPr>
              <w:t>0.02</w:t>
            </w:r>
          </w:p>
        </w:tc>
      </w:tr>
      <w:tr w:rsidR="00FA4903" w:rsidRPr="00AD2848" w14:paraId="2EA989ED" w14:textId="77777777" w:rsidTr="00FA4903">
        <w:trPr>
          <w:trHeight w:val="322"/>
        </w:trPr>
        <w:tc>
          <w:tcPr>
            <w:tcW w:w="2795" w:type="pct"/>
            <w:noWrap/>
            <w:vAlign w:val="center"/>
          </w:tcPr>
          <w:p w14:paraId="6F81A623" w14:textId="77777777" w:rsidR="00FA4903" w:rsidRDefault="008E3AB9" w:rsidP="00B44003">
            <w:pPr>
              <w:jc w:val="center"/>
              <w:rPr>
                <w:rFonts w:eastAsia="Times New Roman"/>
                <w:color w:val="000000"/>
                <w:lang w:eastAsia="zh-CN"/>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p>
          <w:p w14:paraId="2C134B2F" w14:textId="5BCF8DF7" w:rsidR="008E3AB9" w:rsidRPr="00AD2848" w:rsidRDefault="008E3AB9" w:rsidP="00B44003">
            <w:pPr>
              <w:jc w:val="center"/>
              <w:rPr>
                <w:rFonts w:eastAsia="Times New Roman"/>
                <w:color w:val="000000"/>
                <w:lang w:eastAsia="zh-CN"/>
              </w:rPr>
            </w:pP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7B380437" w14:textId="77777777" w:rsidR="008E3AB9" w:rsidRPr="00AD2848" w:rsidRDefault="008E3AB9" w:rsidP="00FA4903">
            <w:pPr>
              <w:jc w:val="center"/>
              <w:rPr>
                <w:rFonts w:eastAsia="Times New Roman"/>
                <w:color w:val="000000"/>
              </w:rPr>
            </w:pPr>
            <w:r w:rsidRPr="00AD2848">
              <w:rPr>
                <w:rFonts w:eastAsia="Times New Roman"/>
                <w:color w:val="000000"/>
              </w:rPr>
              <w:t>0.</w:t>
            </w:r>
            <w:r>
              <w:rPr>
                <w:rFonts w:eastAsia="Times New Roman"/>
                <w:color w:val="000000"/>
              </w:rPr>
              <w:t>34 (</w:t>
            </w:r>
            <w:r>
              <w:rPr>
                <w:rFonts w:eastAsia="Times New Roman" w:hint="eastAsia"/>
                <w:color w:val="000000"/>
                <w:lang w:eastAsia="zh-CN"/>
              </w:rPr>
              <w:t>0.02</w:t>
            </w:r>
            <w:r>
              <w:rPr>
                <w:rFonts w:eastAsia="Times New Roman"/>
                <w:color w:val="000000"/>
              </w:rPr>
              <w:t>)</w:t>
            </w:r>
          </w:p>
        </w:tc>
        <w:tc>
          <w:tcPr>
            <w:tcW w:w="813" w:type="pct"/>
          </w:tcPr>
          <w:p w14:paraId="3E81C691" w14:textId="1B3A927A" w:rsidR="008E3AB9" w:rsidRDefault="001102E0" w:rsidP="00FA4903">
            <w:pPr>
              <w:jc w:val="center"/>
              <w:rPr>
                <w:rFonts w:eastAsia="Times New Roman"/>
                <w:color w:val="000000"/>
                <w:lang w:eastAsia="zh-CN"/>
              </w:rPr>
            </w:pPr>
            <w:r>
              <w:rPr>
                <w:rFonts w:eastAsia="Times New Roman" w:hint="eastAsia"/>
                <w:color w:val="000000"/>
                <w:lang w:eastAsia="zh-CN"/>
              </w:rPr>
              <w:t>0.36</w:t>
            </w:r>
          </w:p>
        </w:tc>
        <w:tc>
          <w:tcPr>
            <w:tcW w:w="429" w:type="pct"/>
            <w:noWrap/>
          </w:tcPr>
          <w:p w14:paraId="2F06B063" w14:textId="6837C4B2" w:rsidR="008E3AB9" w:rsidRPr="00AD2848" w:rsidRDefault="008E3AB9" w:rsidP="00FA4903">
            <w:pPr>
              <w:jc w:val="center"/>
              <w:rPr>
                <w:rFonts w:eastAsia="Times New Roman"/>
                <w:color w:val="000000"/>
              </w:rPr>
            </w:pPr>
            <w:r>
              <w:rPr>
                <w:rFonts w:eastAsia="Times New Roman" w:hint="eastAsia"/>
                <w:color w:val="000000"/>
                <w:lang w:eastAsia="zh-CN"/>
              </w:rPr>
              <w:t>0.00</w:t>
            </w:r>
          </w:p>
        </w:tc>
      </w:tr>
      <w:tr w:rsidR="00FA4903" w:rsidRPr="00AD2848" w14:paraId="19660022" w14:textId="77777777" w:rsidTr="00FA4903">
        <w:trPr>
          <w:trHeight w:val="322"/>
        </w:trPr>
        <w:tc>
          <w:tcPr>
            <w:tcW w:w="2795" w:type="pct"/>
            <w:noWrap/>
            <w:vAlign w:val="center"/>
            <w:hideMark/>
          </w:tcPr>
          <w:p w14:paraId="391D1946" w14:textId="77777777" w:rsidR="008E3AB9" w:rsidRPr="00AD2848" w:rsidRDefault="008E3AB9" w:rsidP="00B44003">
            <w:pPr>
              <w:jc w:val="center"/>
              <w:rPr>
                <w:rFonts w:eastAsia="Times New Roman"/>
                <w:color w:val="000000"/>
                <w:lang w:eastAsia="zh-CN"/>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2C5F538B" w14:textId="77777777" w:rsidR="008E3AB9" w:rsidRPr="00AD2848" w:rsidRDefault="008E3AB9" w:rsidP="00FA4903">
            <w:pPr>
              <w:jc w:val="center"/>
              <w:rPr>
                <w:rFonts w:eastAsia="Times New Roman"/>
                <w:color w:val="000000"/>
              </w:rPr>
            </w:pPr>
            <w:r w:rsidRPr="00AD2848">
              <w:rPr>
                <w:rFonts w:eastAsia="Times New Roman"/>
                <w:color w:val="000000"/>
              </w:rPr>
              <w:t>0.1</w:t>
            </w:r>
            <w:r>
              <w:rPr>
                <w:rFonts w:eastAsia="Times New Roman"/>
                <w:color w:val="000000"/>
              </w:rPr>
              <w:t>5 (</w:t>
            </w:r>
            <w:r>
              <w:rPr>
                <w:rFonts w:eastAsia="Times New Roman" w:hint="eastAsia"/>
                <w:color w:val="000000"/>
                <w:lang w:eastAsia="zh-CN"/>
              </w:rPr>
              <w:t>0.03</w:t>
            </w:r>
            <w:r>
              <w:rPr>
                <w:rFonts w:eastAsia="Times New Roman"/>
                <w:color w:val="000000"/>
              </w:rPr>
              <w:t>)</w:t>
            </w:r>
          </w:p>
        </w:tc>
        <w:tc>
          <w:tcPr>
            <w:tcW w:w="813" w:type="pct"/>
          </w:tcPr>
          <w:p w14:paraId="35E8D18F" w14:textId="5B1FEC85" w:rsidR="008E3AB9" w:rsidRPr="00AD2848" w:rsidRDefault="001102E0" w:rsidP="00FA4903">
            <w:pPr>
              <w:jc w:val="center"/>
              <w:rPr>
                <w:rFonts w:eastAsia="Times New Roman"/>
                <w:color w:val="000000"/>
                <w:lang w:eastAsia="zh-CN"/>
              </w:rPr>
            </w:pPr>
            <w:r>
              <w:rPr>
                <w:rFonts w:eastAsia="Times New Roman" w:hint="eastAsia"/>
                <w:color w:val="000000"/>
                <w:lang w:eastAsia="zh-CN"/>
              </w:rPr>
              <w:t>0.15</w:t>
            </w:r>
          </w:p>
        </w:tc>
        <w:tc>
          <w:tcPr>
            <w:tcW w:w="429" w:type="pct"/>
            <w:noWrap/>
            <w:hideMark/>
          </w:tcPr>
          <w:p w14:paraId="6014CF6A" w14:textId="13AB83B7" w:rsidR="008E3AB9" w:rsidRPr="00AD2848" w:rsidRDefault="008E3AB9" w:rsidP="00FA4903">
            <w:pPr>
              <w:jc w:val="center"/>
              <w:rPr>
                <w:rFonts w:eastAsia="Times New Roman"/>
                <w:color w:val="000000"/>
              </w:rPr>
            </w:pPr>
            <w:r w:rsidRPr="00AD2848">
              <w:rPr>
                <w:rFonts w:eastAsia="Times New Roman"/>
                <w:color w:val="000000"/>
              </w:rPr>
              <w:t>0.</w:t>
            </w:r>
            <w:r>
              <w:rPr>
                <w:rFonts w:eastAsia="Times New Roman"/>
                <w:color w:val="000000"/>
              </w:rPr>
              <w:t>00</w:t>
            </w:r>
          </w:p>
        </w:tc>
      </w:tr>
      <w:tr w:rsidR="00FA4903" w:rsidRPr="00AD2848" w14:paraId="1C38D7E3" w14:textId="77777777" w:rsidTr="00FA4903">
        <w:trPr>
          <w:trHeight w:val="322"/>
        </w:trPr>
        <w:tc>
          <w:tcPr>
            <w:tcW w:w="2795" w:type="pct"/>
            <w:noWrap/>
            <w:vAlign w:val="center"/>
            <w:hideMark/>
          </w:tcPr>
          <w:p w14:paraId="791FDE08" w14:textId="77777777" w:rsidR="008E3AB9" w:rsidRPr="00AD2848" w:rsidRDefault="008E3AB9" w:rsidP="00B44003">
            <w:pPr>
              <w:jc w:val="center"/>
              <w:rPr>
                <w:rFonts w:eastAsia="Times New Roman"/>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5695D643"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0.25 (0.03)</w:t>
            </w:r>
          </w:p>
        </w:tc>
        <w:tc>
          <w:tcPr>
            <w:tcW w:w="813" w:type="pct"/>
          </w:tcPr>
          <w:p w14:paraId="2E0EEB6D" w14:textId="3A1579C9" w:rsidR="008E3AB9" w:rsidRDefault="001102E0" w:rsidP="00FA4903">
            <w:pPr>
              <w:jc w:val="center"/>
              <w:rPr>
                <w:rFonts w:eastAsia="Times New Roman"/>
                <w:color w:val="000000"/>
                <w:lang w:eastAsia="zh-CN"/>
              </w:rPr>
            </w:pPr>
            <w:r>
              <w:rPr>
                <w:rFonts w:eastAsia="Times New Roman" w:hint="eastAsia"/>
                <w:color w:val="000000"/>
                <w:lang w:eastAsia="zh-CN"/>
              </w:rPr>
              <w:t>0.27</w:t>
            </w:r>
          </w:p>
        </w:tc>
        <w:tc>
          <w:tcPr>
            <w:tcW w:w="429" w:type="pct"/>
            <w:noWrap/>
            <w:hideMark/>
          </w:tcPr>
          <w:p w14:paraId="4D499DD5" w14:textId="3FBC18C4" w:rsidR="008E3AB9" w:rsidRPr="00AD2848" w:rsidRDefault="008E3AB9" w:rsidP="00FA4903">
            <w:pPr>
              <w:jc w:val="center"/>
              <w:rPr>
                <w:rFonts w:eastAsia="Times New Roman"/>
                <w:color w:val="000000"/>
                <w:lang w:eastAsia="zh-CN"/>
              </w:rPr>
            </w:pPr>
            <w:r>
              <w:rPr>
                <w:rFonts w:eastAsia="Times New Roman"/>
                <w:color w:val="000000"/>
              </w:rPr>
              <w:t>0.00</w:t>
            </w:r>
          </w:p>
        </w:tc>
      </w:tr>
      <w:tr w:rsidR="00FA4903" w:rsidRPr="00AD2848" w14:paraId="7FB9B917" w14:textId="77777777" w:rsidTr="00FA4903">
        <w:trPr>
          <w:trHeight w:val="322"/>
        </w:trPr>
        <w:tc>
          <w:tcPr>
            <w:tcW w:w="2795" w:type="pct"/>
            <w:noWrap/>
            <w:vAlign w:val="center"/>
            <w:hideMark/>
          </w:tcPr>
          <w:p w14:paraId="4486234F" w14:textId="77777777" w:rsidR="00FA4903" w:rsidRDefault="008E3AB9" w:rsidP="00B44003">
            <w:pPr>
              <w:jc w:val="center"/>
              <w:rPr>
                <w:rFonts w:eastAsia="Times New Roman"/>
                <w:color w:val="000000"/>
                <w:lang w:eastAsia="zh-CN"/>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 </w:t>
            </w:r>
          </w:p>
          <w:p w14:paraId="4BBEDB55" w14:textId="69055AB9" w:rsidR="008E3AB9" w:rsidRPr="00AD2848" w:rsidRDefault="008E3AB9" w:rsidP="00B44003">
            <w:pPr>
              <w:jc w:val="center"/>
              <w:rPr>
                <w:rFonts w:eastAsia="Times New Roman"/>
                <w:color w:val="000000"/>
              </w:rPr>
            </w:pP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73F12ABC" w14:textId="77777777" w:rsidR="008E3AB9" w:rsidRPr="00AD2848" w:rsidRDefault="008E3AB9" w:rsidP="00FA4903">
            <w:pPr>
              <w:jc w:val="center"/>
              <w:rPr>
                <w:rFonts w:eastAsia="Times New Roman"/>
                <w:color w:val="000000"/>
                <w:lang w:eastAsia="zh-CN"/>
              </w:rPr>
            </w:pPr>
            <w:r w:rsidRPr="00AD2848">
              <w:rPr>
                <w:rFonts w:eastAsia="Times New Roman"/>
                <w:color w:val="000000"/>
              </w:rPr>
              <w:t>0.0</w:t>
            </w:r>
            <w:r>
              <w:rPr>
                <w:rFonts w:eastAsia="Times New Roman"/>
                <w:color w:val="000000"/>
              </w:rPr>
              <w:t>9 (</w:t>
            </w:r>
            <w:r>
              <w:rPr>
                <w:rFonts w:eastAsia="Times New Roman" w:hint="eastAsia"/>
                <w:color w:val="000000"/>
                <w:lang w:eastAsia="zh-CN"/>
              </w:rPr>
              <w:t>0.03</w:t>
            </w:r>
            <w:r>
              <w:rPr>
                <w:rFonts w:eastAsia="Times New Roman"/>
                <w:color w:val="000000"/>
              </w:rPr>
              <w:t>)</w:t>
            </w:r>
          </w:p>
        </w:tc>
        <w:tc>
          <w:tcPr>
            <w:tcW w:w="813" w:type="pct"/>
          </w:tcPr>
          <w:p w14:paraId="4718E7B6" w14:textId="1C180FC2" w:rsidR="008E3AB9" w:rsidRPr="00AD2848" w:rsidRDefault="001102E0" w:rsidP="00FA4903">
            <w:pPr>
              <w:jc w:val="center"/>
              <w:rPr>
                <w:rFonts w:eastAsia="Times New Roman"/>
                <w:color w:val="000000"/>
                <w:lang w:eastAsia="zh-CN"/>
              </w:rPr>
            </w:pPr>
            <w:r>
              <w:rPr>
                <w:rFonts w:eastAsia="Times New Roman" w:hint="eastAsia"/>
                <w:color w:val="000000"/>
                <w:lang w:eastAsia="zh-CN"/>
              </w:rPr>
              <w:t>0.09</w:t>
            </w:r>
          </w:p>
        </w:tc>
        <w:tc>
          <w:tcPr>
            <w:tcW w:w="429" w:type="pct"/>
            <w:noWrap/>
            <w:hideMark/>
          </w:tcPr>
          <w:p w14:paraId="06016CDB" w14:textId="0D6A6E5F" w:rsidR="008E3AB9" w:rsidRPr="00AD2848" w:rsidRDefault="008E3AB9" w:rsidP="00FA4903">
            <w:pPr>
              <w:jc w:val="center"/>
              <w:rPr>
                <w:rFonts w:eastAsia="Times New Roman"/>
                <w:color w:val="000000"/>
                <w:lang w:eastAsia="zh-CN"/>
              </w:rPr>
            </w:pPr>
            <w:r w:rsidRPr="00AD2848">
              <w:rPr>
                <w:rFonts w:eastAsia="Times New Roman"/>
                <w:color w:val="000000"/>
              </w:rPr>
              <w:t>0.</w:t>
            </w:r>
            <w:r>
              <w:rPr>
                <w:rFonts w:eastAsia="Times New Roman" w:hint="eastAsia"/>
                <w:color w:val="000000"/>
                <w:lang w:eastAsia="zh-CN"/>
              </w:rPr>
              <w:t>00</w:t>
            </w:r>
          </w:p>
        </w:tc>
      </w:tr>
      <w:tr w:rsidR="00FA4903" w:rsidRPr="00AD2848" w14:paraId="62AC58EE" w14:textId="77777777" w:rsidTr="00FA4903">
        <w:trPr>
          <w:trHeight w:val="322"/>
        </w:trPr>
        <w:tc>
          <w:tcPr>
            <w:tcW w:w="2795" w:type="pct"/>
            <w:noWrap/>
            <w:vAlign w:val="center"/>
            <w:hideMark/>
          </w:tcPr>
          <w:p w14:paraId="0D7660EC" w14:textId="77777777" w:rsidR="00FA4903" w:rsidRDefault="008E3AB9" w:rsidP="00B44003">
            <w:pPr>
              <w:jc w:val="center"/>
              <w:rPr>
                <w:rFonts w:eastAsia="Times New Roman"/>
                <w:color w:val="000000"/>
                <w:lang w:eastAsia="zh-CN"/>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p>
          <w:p w14:paraId="12FE95A7" w14:textId="1170FEED" w:rsidR="008E3AB9" w:rsidRPr="00AD2848" w:rsidRDefault="008E3AB9" w:rsidP="00B44003">
            <w:pPr>
              <w:jc w:val="center"/>
              <w:rPr>
                <w:rFonts w:eastAsia="Times New Roman"/>
                <w:color w:val="000000"/>
              </w:rPr>
            </w:pP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4BBFE988"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0.07 (0.02)</w:t>
            </w:r>
          </w:p>
        </w:tc>
        <w:tc>
          <w:tcPr>
            <w:tcW w:w="813" w:type="pct"/>
          </w:tcPr>
          <w:p w14:paraId="7B436D00" w14:textId="3F2939FF" w:rsidR="008E3AB9" w:rsidRDefault="001102E0" w:rsidP="00FA4903">
            <w:pPr>
              <w:jc w:val="center"/>
              <w:rPr>
                <w:rFonts w:eastAsia="Times New Roman"/>
                <w:color w:val="000000"/>
                <w:lang w:eastAsia="zh-CN"/>
              </w:rPr>
            </w:pPr>
            <w:r>
              <w:rPr>
                <w:rFonts w:eastAsia="Times New Roman" w:hint="eastAsia"/>
                <w:color w:val="000000"/>
                <w:lang w:eastAsia="zh-CN"/>
              </w:rPr>
              <w:t>0.08</w:t>
            </w:r>
          </w:p>
        </w:tc>
        <w:tc>
          <w:tcPr>
            <w:tcW w:w="429" w:type="pct"/>
            <w:noWrap/>
            <w:hideMark/>
          </w:tcPr>
          <w:p w14:paraId="1C6ED349" w14:textId="217E099C" w:rsidR="008E3AB9" w:rsidRPr="00AD2848" w:rsidRDefault="008E3AB9" w:rsidP="00FA4903">
            <w:pPr>
              <w:jc w:val="center"/>
              <w:rPr>
                <w:rFonts w:eastAsia="Times New Roman"/>
                <w:color w:val="000000"/>
                <w:lang w:eastAsia="zh-CN"/>
              </w:rPr>
            </w:pPr>
            <w:r>
              <w:rPr>
                <w:rFonts w:eastAsia="Times New Roman" w:hint="eastAsia"/>
                <w:color w:val="000000"/>
                <w:lang w:eastAsia="zh-CN"/>
              </w:rPr>
              <w:t>0.00</w:t>
            </w:r>
          </w:p>
        </w:tc>
      </w:tr>
      <w:tr w:rsidR="00FA4903" w:rsidRPr="00AD2848" w14:paraId="19669C84" w14:textId="77777777" w:rsidTr="00FA4903">
        <w:trPr>
          <w:trHeight w:val="322"/>
        </w:trPr>
        <w:tc>
          <w:tcPr>
            <w:tcW w:w="2795" w:type="pct"/>
            <w:noWrap/>
            <w:vAlign w:val="center"/>
            <w:hideMark/>
          </w:tcPr>
          <w:p w14:paraId="08DC9242" w14:textId="77777777" w:rsidR="008E3AB9" w:rsidRPr="00AD2848" w:rsidRDefault="008E3AB9" w:rsidP="00B44003">
            <w:pPr>
              <w:jc w:val="center"/>
              <w:rPr>
                <w:rFonts w:eastAsia="Times New Roman"/>
                <w:i/>
                <w:iCs/>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10E3A1C1"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0.59 (1.42)</w:t>
            </w:r>
          </w:p>
        </w:tc>
        <w:tc>
          <w:tcPr>
            <w:tcW w:w="813" w:type="pct"/>
          </w:tcPr>
          <w:p w14:paraId="3EC436D0" w14:textId="6B8DE5BA" w:rsidR="008E3AB9" w:rsidRDefault="001102E0" w:rsidP="00FA4903">
            <w:pPr>
              <w:jc w:val="center"/>
              <w:rPr>
                <w:rFonts w:eastAsia="Times New Roman"/>
                <w:color w:val="000000"/>
                <w:lang w:eastAsia="zh-CN"/>
              </w:rPr>
            </w:pPr>
            <w:r>
              <w:rPr>
                <w:rFonts w:eastAsia="Times New Roman" w:hint="eastAsia"/>
                <w:color w:val="000000"/>
                <w:lang w:eastAsia="zh-CN"/>
              </w:rPr>
              <w:t>0.02</w:t>
            </w:r>
          </w:p>
        </w:tc>
        <w:tc>
          <w:tcPr>
            <w:tcW w:w="429" w:type="pct"/>
            <w:noWrap/>
            <w:hideMark/>
          </w:tcPr>
          <w:p w14:paraId="07C1304D" w14:textId="64B99634" w:rsidR="008E3AB9" w:rsidRPr="00AD2848" w:rsidRDefault="008E3AB9" w:rsidP="00FA4903">
            <w:pPr>
              <w:jc w:val="center"/>
              <w:rPr>
                <w:rFonts w:eastAsia="Times New Roman"/>
                <w:color w:val="000000"/>
                <w:lang w:eastAsia="zh-CN"/>
              </w:rPr>
            </w:pPr>
            <w:r>
              <w:rPr>
                <w:rFonts w:eastAsia="Times New Roman" w:hint="eastAsia"/>
                <w:color w:val="000000"/>
                <w:lang w:eastAsia="zh-CN"/>
              </w:rPr>
              <w:t>0.68</w:t>
            </w:r>
          </w:p>
        </w:tc>
      </w:tr>
      <w:tr w:rsidR="00FA4903" w:rsidRPr="00AD2848" w14:paraId="02D30D32" w14:textId="77777777" w:rsidTr="00FA4903">
        <w:trPr>
          <w:trHeight w:val="322"/>
        </w:trPr>
        <w:tc>
          <w:tcPr>
            <w:tcW w:w="2795" w:type="pct"/>
            <w:noWrap/>
            <w:vAlign w:val="center"/>
            <w:hideMark/>
          </w:tcPr>
          <w:p w14:paraId="108F43AE" w14:textId="77777777" w:rsidR="008E3AB9" w:rsidRPr="00AD2848" w:rsidRDefault="008E3AB9" w:rsidP="00B44003">
            <w:pPr>
              <w:jc w:val="center"/>
              <w:rPr>
                <w:rFonts w:eastAsia="Times New Roman"/>
                <w:i/>
                <w:iCs/>
                <w:color w:val="000000"/>
              </w:rPr>
            </w:pP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632427E0" w14:textId="77777777" w:rsidR="008E3AB9" w:rsidRPr="00AD2848" w:rsidRDefault="008E3AB9" w:rsidP="00FA4903">
            <w:pPr>
              <w:jc w:val="center"/>
              <w:rPr>
                <w:rFonts w:eastAsia="Times New Roman"/>
                <w:color w:val="000000"/>
              </w:rPr>
            </w:pPr>
            <w:r>
              <w:rPr>
                <w:rFonts w:eastAsia="Times New Roman" w:hint="eastAsia"/>
                <w:color w:val="000000"/>
                <w:lang w:eastAsia="zh-CN"/>
              </w:rPr>
              <w:t>12.32 (1.50)</w:t>
            </w:r>
          </w:p>
        </w:tc>
        <w:tc>
          <w:tcPr>
            <w:tcW w:w="813" w:type="pct"/>
          </w:tcPr>
          <w:p w14:paraId="6DB3BB65" w14:textId="3E78D6DD" w:rsidR="008E3AB9" w:rsidRDefault="001102E0" w:rsidP="00FA4903">
            <w:pPr>
              <w:jc w:val="center"/>
              <w:rPr>
                <w:rFonts w:eastAsia="Times New Roman"/>
                <w:color w:val="000000"/>
                <w:lang w:eastAsia="zh-CN"/>
              </w:rPr>
            </w:pPr>
            <w:r>
              <w:rPr>
                <w:rFonts w:eastAsia="Times New Roman" w:hint="eastAsia"/>
                <w:color w:val="000000"/>
                <w:lang w:eastAsia="zh-CN"/>
              </w:rPr>
              <w:t>0.39</w:t>
            </w:r>
          </w:p>
        </w:tc>
        <w:tc>
          <w:tcPr>
            <w:tcW w:w="429" w:type="pct"/>
            <w:noWrap/>
            <w:hideMark/>
          </w:tcPr>
          <w:p w14:paraId="7D1AA905" w14:textId="08778EF3" w:rsidR="008E3AB9" w:rsidRPr="00AD2848" w:rsidRDefault="008E3AB9" w:rsidP="00FA4903">
            <w:pPr>
              <w:jc w:val="center"/>
              <w:rPr>
                <w:rFonts w:eastAsia="Times New Roman"/>
                <w:color w:val="000000"/>
                <w:lang w:eastAsia="zh-CN"/>
              </w:rPr>
            </w:pPr>
            <w:r>
              <w:rPr>
                <w:rFonts w:eastAsia="Times New Roman"/>
                <w:color w:val="000000"/>
              </w:rPr>
              <w:t>0.00</w:t>
            </w:r>
          </w:p>
        </w:tc>
      </w:tr>
      <w:tr w:rsidR="00FA4903" w:rsidRPr="00AD2848" w14:paraId="48B0ABCF" w14:textId="77777777" w:rsidTr="00FA4903">
        <w:trPr>
          <w:trHeight w:val="322"/>
        </w:trPr>
        <w:tc>
          <w:tcPr>
            <w:tcW w:w="2795" w:type="pct"/>
            <w:noWrap/>
            <w:vAlign w:val="center"/>
            <w:hideMark/>
          </w:tcPr>
          <w:p w14:paraId="75ADEBB0" w14:textId="77777777" w:rsidR="008E3AB9" w:rsidRPr="00AD2848" w:rsidRDefault="008E3AB9" w:rsidP="00B44003">
            <w:pPr>
              <w:jc w:val="center"/>
              <w:rPr>
                <w:rFonts w:eastAsia="Times New Roman"/>
                <w:color w:val="000000"/>
              </w:rPr>
            </w:pP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2C37A571"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7.03 (1.33)</w:t>
            </w:r>
          </w:p>
        </w:tc>
        <w:tc>
          <w:tcPr>
            <w:tcW w:w="813" w:type="pct"/>
          </w:tcPr>
          <w:p w14:paraId="75AF5D41" w14:textId="2EA48E22" w:rsidR="008E3AB9" w:rsidRDefault="001102E0" w:rsidP="00FA4903">
            <w:pPr>
              <w:jc w:val="center"/>
              <w:rPr>
                <w:rFonts w:eastAsia="Times New Roman"/>
                <w:color w:val="000000"/>
                <w:lang w:eastAsia="zh-CN"/>
              </w:rPr>
            </w:pPr>
            <w:r>
              <w:rPr>
                <w:rFonts w:eastAsia="Times New Roman" w:hint="eastAsia"/>
                <w:color w:val="000000"/>
                <w:lang w:eastAsia="zh-CN"/>
              </w:rPr>
              <w:t>0.17</w:t>
            </w:r>
          </w:p>
        </w:tc>
        <w:tc>
          <w:tcPr>
            <w:tcW w:w="429" w:type="pct"/>
            <w:noWrap/>
            <w:hideMark/>
          </w:tcPr>
          <w:p w14:paraId="6DD2BD2F" w14:textId="2328F799" w:rsidR="008E3AB9" w:rsidRPr="00AD2848" w:rsidRDefault="008E3AB9" w:rsidP="00FA4903">
            <w:pPr>
              <w:jc w:val="center"/>
              <w:rPr>
                <w:rFonts w:eastAsia="Times New Roman"/>
                <w:color w:val="000000"/>
                <w:lang w:eastAsia="zh-CN"/>
              </w:rPr>
            </w:pPr>
            <w:r>
              <w:rPr>
                <w:rFonts w:eastAsia="Times New Roman" w:hint="eastAsia"/>
                <w:color w:val="000000"/>
                <w:lang w:eastAsia="zh-CN"/>
              </w:rPr>
              <w:t>0.00</w:t>
            </w:r>
          </w:p>
        </w:tc>
      </w:tr>
      <w:tr w:rsidR="00FA4903" w:rsidRPr="00AD2848" w14:paraId="7F199D5E" w14:textId="77777777" w:rsidTr="00FA4903">
        <w:trPr>
          <w:trHeight w:val="322"/>
        </w:trPr>
        <w:tc>
          <w:tcPr>
            <w:tcW w:w="2795" w:type="pct"/>
            <w:noWrap/>
            <w:vAlign w:val="center"/>
            <w:hideMark/>
          </w:tcPr>
          <w:p w14:paraId="3CBC083B" w14:textId="77777777" w:rsidR="008E3AB9" w:rsidRPr="00AD2848" w:rsidRDefault="008E3AB9" w:rsidP="00B44003">
            <w:pPr>
              <w:jc w:val="center"/>
              <w:rPr>
                <w:rFonts w:eastAsia="Times New Roman"/>
                <w:color w:val="000000"/>
              </w:rPr>
            </w:pP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149485B8"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1.96 (0.77)</w:t>
            </w:r>
          </w:p>
        </w:tc>
        <w:tc>
          <w:tcPr>
            <w:tcW w:w="813" w:type="pct"/>
          </w:tcPr>
          <w:p w14:paraId="1212860E" w14:textId="4CE3547B" w:rsidR="008E3AB9" w:rsidRDefault="001102E0" w:rsidP="00FA4903">
            <w:pPr>
              <w:jc w:val="center"/>
              <w:rPr>
                <w:rFonts w:eastAsia="Times New Roman"/>
                <w:color w:val="000000"/>
                <w:lang w:eastAsia="zh-CN"/>
              </w:rPr>
            </w:pPr>
            <w:r>
              <w:rPr>
                <w:rFonts w:eastAsia="Times New Roman" w:hint="eastAsia"/>
                <w:color w:val="000000"/>
                <w:lang w:eastAsia="zh-CN"/>
              </w:rPr>
              <w:t>0.07</w:t>
            </w:r>
          </w:p>
        </w:tc>
        <w:tc>
          <w:tcPr>
            <w:tcW w:w="429" w:type="pct"/>
            <w:noWrap/>
            <w:hideMark/>
          </w:tcPr>
          <w:p w14:paraId="20DAA5DC" w14:textId="376E11FE" w:rsidR="008E3AB9" w:rsidRPr="00AD2848" w:rsidRDefault="008E3AB9" w:rsidP="00FA4903">
            <w:pPr>
              <w:jc w:val="center"/>
              <w:rPr>
                <w:rFonts w:eastAsia="Times New Roman"/>
                <w:color w:val="000000"/>
                <w:lang w:eastAsia="zh-CN"/>
              </w:rPr>
            </w:pPr>
            <w:r>
              <w:rPr>
                <w:rFonts w:eastAsia="Times New Roman" w:hint="eastAsia"/>
                <w:color w:val="000000"/>
                <w:lang w:eastAsia="zh-CN"/>
              </w:rPr>
              <w:t>0.0</w:t>
            </w:r>
            <w:r w:rsidR="001125A7">
              <w:rPr>
                <w:rFonts w:eastAsia="Times New Roman" w:hint="eastAsia"/>
                <w:color w:val="000000"/>
                <w:lang w:eastAsia="zh-CN"/>
              </w:rPr>
              <w:t>1</w:t>
            </w:r>
          </w:p>
        </w:tc>
      </w:tr>
      <w:tr w:rsidR="00FA4903" w:rsidRPr="00AD2848" w14:paraId="465B61A9" w14:textId="77777777" w:rsidTr="00FA4903">
        <w:trPr>
          <w:trHeight w:val="322"/>
        </w:trPr>
        <w:tc>
          <w:tcPr>
            <w:tcW w:w="2795" w:type="pct"/>
            <w:noWrap/>
            <w:vAlign w:val="center"/>
            <w:hideMark/>
          </w:tcPr>
          <w:p w14:paraId="14B7250C" w14:textId="77777777" w:rsidR="008E3AB9" w:rsidRPr="00AD2848" w:rsidRDefault="008E3AB9" w:rsidP="00B44003">
            <w:pPr>
              <w:jc w:val="center"/>
              <w:rPr>
                <w:rFonts w:eastAsia="Times New Roman"/>
                <w:color w:val="000000"/>
              </w:rPr>
            </w:pPr>
            <w:r>
              <w:t>Multiple Group Bidirectional Model</w:t>
            </w:r>
          </w:p>
        </w:tc>
        <w:tc>
          <w:tcPr>
            <w:tcW w:w="963" w:type="pct"/>
            <w:noWrap/>
            <w:hideMark/>
          </w:tcPr>
          <w:p w14:paraId="5115079D" w14:textId="2C9461BA" w:rsidR="008E3AB9" w:rsidRPr="00AD2848" w:rsidRDefault="008E3AB9" w:rsidP="00FA4903">
            <w:pPr>
              <w:jc w:val="center"/>
              <w:rPr>
                <w:rFonts w:eastAsia="Times New Roman"/>
                <w:color w:val="000000"/>
                <w:lang w:eastAsia="zh-CN"/>
              </w:rPr>
            </w:pPr>
          </w:p>
        </w:tc>
        <w:tc>
          <w:tcPr>
            <w:tcW w:w="813" w:type="pct"/>
          </w:tcPr>
          <w:p w14:paraId="7A82C9A0" w14:textId="77777777" w:rsidR="008E3AB9" w:rsidRDefault="008E3AB9" w:rsidP="00FA4903">
            <w:pPr>
              <w:jc w:val="center"/>
              <w:rPr>
                <w:rFonts w:eastAsia="Times New Roman"/>
                <w:color w:val="000000"/>
                <w:lang w:eastAsia="zh-CN"/>
              </w:rPr>
            </w:pPr>
          </w:p>
        </w:tc>
        <w:tc>
          <w:tcPr>
            <w:tcW w:w="429" w:type="pct"/>
            <w:noWrap/>
            <w:hideMark/>
          </w:tcPr>
          <w:p w14:paraId="2ED1EC1A" w14:textId="5375E5C6" w:rsidR="008E3AB9" w:rsidRPr="00AD2848" w:rsidRDefault="008E3AB9" w:rsidP="00FA4903">
            <w:pPr>
              <w:jc w:val="center"/>
              <w:rPr>
                <w:rFonts w:eastAsia="Times New Roman"/>
                <w:color w:val="000000"/>
                <w:lang w:eastAsia="zh-CN"/>
              </w:rPr>
            </w:pPr>
          </w:p>
        </w:tc>
      </w:tr>
      <w:tr w:rsidR="00FA4903" w:rsidRPr="00AD2848" w14:paraId="6A5E9C19" w14:textId="77777777" w:rsidTr="00FA4903">
        <w:trPr>
          <w:trHeight w:val="322"/>
        </w:trPr>
        <w:tc>
          <w:tcPr>
            <w:tcW w:w="2795" w:type="pct"/>
            <w:noWrap/>
            <w:vAlign w:val="center"/>
            <w:hideMark/>
          </w:tcPr>
          <w:p w14:paraId="3ABE5D6C" w14:textId="77777777" w:rsidR="008E3AB9" w:rsidRPr="00AD2848" w:rsidRDefault="008E3AB9" w:rsidP="00B44003">
            <w:pPr>
              <w:jc w:val="center"/>
              <w:rPr>
                <w:rFonts w:eastAsia="Times New Roman"/>
                <w:color w:val="000000"/>
                <w:lang w:eastAsia="zh-CN"/>
              </w:rPr>
            </w:pPr>
            <w:r>
              <w:rPr>
                <w:rFonts w:eastAsia="Times New Roman"/>
                <w:color w:val="000000"/>
              </w:rPr>
              <w:t>Boy group</w:t>
            </w:r>
          </w:p>
        </w:tc>
        <w:tc>
          <w:tcPr>
            <w:tcW w:w="963" w:type="pct"/>
            <w:noWrap/>
            <w:hideMark/>
          </w:tcPr>
          <w:p w14:paraId="3412C796" w14:textId="6CFCC886" w:rsidR="008E3AB9" w:rsidRPr="00AD2848" w:rsidRDefault="008E3AB9" w:rsidP="00FA4903">
            <w:pPr>
              <w:jc w:val="center"/>
              <w:rPr>
                <w:rFonts w:eastAsia="Times New Roman"/>
                <w:color w:val="000000"/>
                <w:lang w:eastAsia="zh-CN"/>
              </w:rPr>
            </w:pPr>
          </w:p>
        </w:tc>
        <w:tc>
          <w:tcPr>
            <w:tcW w:w="813" w:type="pct"/>
          </w:tcPr>
          <w:p w14:paraId="2B1AC6DE" w14:textId="77777777" w:rsidR="008E3AB9" w:rsidRDefault="008E3AB9" w:rsidP="00FA4903">
            <w:pPr>
              <w:jc w:val="center"/>
              <w:rPr>
                <w:rFonts w:eastAsia="Times New Roman"/>
                <w:color w:val="000000"/>
                <w:lang w:eastAsia="zh-CN"/>
              </w:rPr>
            </w:pPr>
          </w:p>
        </w:tc>
        <w:tc>
          <w:tcPr>
            <w:tcW w:w="429" w:type="pct"/>
            <w:noWrap/>
            <w:hideMark/>
          </w:tcPr>
          <w:p w14:paraId="4F7F86AE" w14:textId="38A5B697" w:rsidR="008E3AB9" w:rsidRPr="00AD2848" w:rsidRDefault="008E3AB9" w:rsidP="00FA4903">
            <w:pPr>
              <w:jc w:val="center"/>
              <w:rPr>
                <w:rFonts w:eastAsia="Times New Roman"/>
                <w:color w:val="000000"/>
                <w:lang w:eastAsia="zh-CN"/>
              </w:rPr>
            </w:pPr>
          </w:p>
        </w:tc>
      </w:tr>
      <w:tr w:rsidR="00FA4903" w:rsidRPr="00AD2848" w14:paraId="04DEE67B" w14:textId="77777777" w:rsidTr="00FA4903">
        <w:trPr>
          <w:trHeight w:val="322"/>
        </w:trPr>
        <w:tc>
          <w:tcPr>
            <w:tcW w:w="2795" w:type="pct"/>
            <w:noWrap/>
            <w:vAlign w:val="center"/>
            <w:hideMark/>
          </w:tcPr>
          <w:p w14:paraId="4A975195" w14:textId="77777777" w:rsidR="008E3AB9" w:rsidRPr="00AD2848" w:rsidRDefault="008E3AB9"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w:t>
            </w:r>
            <w:r w:rsidRPr="006421DC">
              <w:rPr>
                <w:rFonts w:eastAsia="Times New Roman"/>
                <w:color w:val="000000"/>
              </w:rPr>
              <w:t xml:space="preserve"> 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2A21AD8D" w14:textId="7E12912E" w:rsidR="008E3AB9" w:rsidRPr="00AD2848" w:rsidRDefault="00A86C79" w:rsidP="00FA4903">
            <w:pPr>
              <w:jc w:val="center"/>
              <w:rPr>
                <w:rFonts w:eastAsia="Times New Roman"/>
                <w:color w:val="000000"/>
                <w:lang w:eastAsia="zh-CN"/>
              </w:rPr>
            </w:pPr>
            <w:r>
              <w:rPr>
                <w:rFonts w:eastAsia="Times New Roman" w:hint="eastAsia"/>
                <w:color w:val="000000"/>
                <w:lang w:eastAsia="zh-CN"/>
              </w:rPr>
              <w:t>0.26</w:t>
            </w:r>
            <w:r w:rsidR="008E3AB9">
              <w:rPr>
                <w:rFonts w:eastAsia="Times New Roman" w:hint="eastAsia"/>
                <w:color w:val="000000"/>
                <w:lang w:eastAsia="zh-CN"/>
              </w:rPr>
              <w:t xml:space="preserve"> (0.03)</w:t>
            </w:r>
          </w:p>
        </w:tc>
        <w:tc>
          <w:tcPr>
            <w:tcW w:w="813" w:type="pct"/>
          </w:tcPr>
          <w:p w14:paraId="26C1E907" w14:textId="79A998E4" w:rsidR="008E3AB9" w:rsidRDefault="001D5186" w:rsidP="00FA4903">
            <w:pPr>
              <w:jc w:val="center"/>
              <w:rPr>
                <w:rFonts w:eastAsia="Times New Roman"/>
                <w:color w:val="000000"/>
                <w:lang w:eastAsia="zh-CN"/>
              </w:rPr>
            </w:pPr>
            <w:r>
              <w:rPr>
                <w:rFonts w:eastAsia="Times New Roman" w:hint="eastAsia"/>
                <w:color w:val="000000"/>
                <w:lang w:eastAsia="zh-CN"/>
              </w:rPr>
              <w:t>0.29</w:t>
            </w:r>
          </w:p>
        </w:tc>
        <w:tc>
          <w:tcPr>
            <w:tcW w:w="429" w:type="pct"/>
            <w:noWrap/>
            <w:hideMark/>
          </w:tcPr>
          <w:p w14:paraId="690BCDB1" w14:textId="432DCEFF" w:rsidR="008E3AB9" w:rsidRPr="00AD2848" w:rsidRDefault="008E3AB9" w:rsidP="00FA4903">
            <w:pPr>
              <w:jc w:val="center"/>
              <w:rPr>
                <w:rFonts w:eastAsia="Times New Roman"/>
                <w:color w:val="000000"/>
                <w:lang w:eastAsia="zh-CN"/>
              </w:rPr>
            </w:pPr>
            <w:r>
              <w:rPr>
                <w:rFonts w:eastAsia="Times New Roman"/>
                <w:color w:val="000000"/>
              </w:rPr>
              <w:t>0.0</w:t>
            </w:r>
            <w:r w:rsidR="00A86C79">
              <w:rPr>
                <w:rFonts w:eastAsia="Times New Roman" w:hint="eastAsia"/>
                <w:color w:val="000000"/>
                <w:lang w:eastAsia="zh-CN"/>
              </w:rPr>
              <w:t>0</w:t>
            </w:r>
          </w:p>
        </w:tc>
      </w:tr>
      <w:tr w:rsidR="00FA4903" w:rsidRPr="00AD2848" w14:paraId="75F9B0A3" w14:textId="77777777" w:rsidTr="00FA4903">
        <w:trPr>
          <w:trHeight w:val="322"/>
        </w:trPr>
        <w:tc>
          <w:tcPr>
            <w:tcW w:w="2795" w:type="pct"/>
            <w:noWrap/>
            <w:vAlign w:val="center"/>
            <w:hideMark/>
          </w:tcPr>
          <w:p w14:paraId="763CB4BA" w14:textId="77777777" w:rsidR="008E3AB9" w:rsidRPr="00AD2848" w:rsidRDefault="008E3AB9"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11EE3EAE"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0.37 (0.06)</w:t>
            </w:r>
          </w:p>
        </w:tc>
        <w:tc>
          <w:tcPr>
            <w:tcW w:w="813" w:type="pct"/>
          </w:tcPr>
          <w:p w14:paraId="6AD0BFF5" w14:textId="7B02B471" w:rsidR="008E3AB9" w:rsidRDefault="001D5186" w:rsidP="00FA4903">
            <w:pPr>
              <w:jc w:val="center"/>
              <w:rPr>
                <w:rFonts w:eastAsia="Times New Roman"/>
                <w:color w:val="000000"/>
                <w:lang w:eastAsia="zh-CN"/>
              </w:rPr>
            </w:pPr>
            <w:r>
              <w:rPr>
                <w:rFonts w:eastAsia="Times New Roman" w:hint="eastAsia"/>
                <w:color w:val="000000"/>
                <w:lang w:eastAsia="zh-CN"/>
              </w:rPr>
              <w:t>0.31</w:t>
            </w:r>
          </w:p>
        </w:tc>
        <w:tc>
          <w:tcPr>
            <w:tcW w:w="429" w:type="pct"/>
            <w:noWrap/>
            <w:hideMark/>
          </w:tcPr>
          <w:p w14:paraId="7BE75D78" w14:textId="78157905" w:rsidR="008E3AB9" w:rsidRPr="00AD2848" w:rsidRDefault="008E3AB9" w:rsidP="00FA4903">
            <w:pPr>
              <w:jc w:val="center"/>
              <w:rPr>
                <w:rFonts w:eastAsia="Times New Roman"/>
                <w:color w:val="000000"/>
                <w:lang w:eastAsia="zh-CN"/>
              </w:rPr>
            </w:pPr>
            <w:r>
              <w:rPr>
                <w:rFonts w:eastAsia="Times New Roman"/>
                <w:color w:val="000000"/>
              </w:rPr>
              <w:t>0.00</w:t>
            </w:r>
          </w:p>
        </w:tc>
      </w:tr>
      <w:tr w:rsidR="00FA4903" w:rsidRPr="00AD2848" w14:paraId="0CC8C949" w14:textId="77777777" w:rsidTr="00FA4903">
        <w:trPr>
          <w:trHeight w:val="322"/>
        </w:trPr>
        <w:tc>
          <w:tcPr>
            <w:tcW w:w="2795" w:type="pct"/>
            <w:noWrap/>
            <w:vAlign w:val="center"/>
            <w:hideMark/>
          </w:tcPr>
          <w:p w14:paraId="06FA5AB9" w14:textId="77777777" w:rsidR="008E3AB9" w:rsidRPr="00AD2848" w:rsidRDefault="008E3AB9"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4D772846" w14:textId="77777777" w:rsidR="008E3AB9" w:rsidRPr="00AD2848" w:rsidRDefault="008E3AB9" w:rsidP="00FA4903">
            <w:pPr>
              <w:jc w:val="center"/>
              <w:rPr>
                <w:rFonts w:eastAsia="Times New Roman"/>
                <w:color w:val="000000"/>
                <w:lang w:eastAsia="zh-CN"/>
              </w:rPr>
            </w:pPr>
            <w:r>
              <w:rPr>
                <w:rFonts w:eastAsia="Times New Roman"/>
                <w:color w:val="000000"/>
              </w:rPr>
              <w:t>0.14 (</w:t>
            </w:r>
            <w:r>
              <w:rPr>
                <w:rFonts w:eastAsia="Times New Roman" w:hint="eastAsia"/>
                <w:color w:val="000000"/>
                <w:lang w:eastAsia="zh-CN"/>
              </w:rPr>
              <w:t>0.07</w:t>
            </w:r>
            <w:r>
              <w:rPr>
                <w:rFonts w:eastAsia="Times New Roman"/>
                <w:color w:val="000000"/>
              </w:rPr>
              <w:t>)</w:t>
            </w:r>
          </w:p>
        </w:tc>
        <w:tc>
          <w:tcPr>
            <w:tcW w:w="813" w:type="pct"/>
          </w:tcPr>
          <w:p w14:paraId="553DA2C8" w14:textId="6D66BE4F" w:rsidR="008E3AB9" w:rsidRDefault="001D5186" w:rsidP="00FA4903">
            <w:pPr>
              <w:jc w:val="center"/>
              <w:rPr>
                <w:rFonts w:eastAsia="Times New Roman"/>
                <w:color w:val="000000"/>
                <w:lang w:eastAsia="zh-CN"/>
              </w:rPr>
            </w:pPr>
            <w:r>
              <w:rPr>
                <w:rFonts w:eastAsia="Times New Roman" w:hint="eastAsia"/>
                <w:color w:val="000000"/>
                <w:lang w:eastAsia="zh-CN"/>
              </w:rPr>
              <w:t>0.21</w:t>
            </w:r>
          </w:p>
        </w:tc>
        <w:tc>
          <w:tcPr>
            <w:tcW w:w="429" w:type="pct"/>
            <w:noWrap/>
            <w:hideMark/>
          </w:tcPr>
          <w:p w14:paraId="6F50E0B1" w14:textId="547A3816" w:rsidR="008E3AB9" w:rsidRPr="00AD2848" w:rsidRDefault="008E3AB9" w:rsidP="00FA4903">
            <w:pPr>
              <w:jc w:val="center"/>
              <w:rPr>
                <w:rFonts w:eastAsia="Times New Roman"/>
                <w:color w:val="000000"/>
                <w:lang w:eastAsia="zh-CN"/>
              </w:rPr>
            </w:pPr>
            <w:r>
              <w:rPr>
                <w:rFonts w:eastAsia="Times New Roman"/>
                <w:color w:val="000000"/>
              </w:rPr>
              <w:t>0.0</w:t>
            </w:r>
            <w:r w:rsidR="00A86C79">
              <w:rPr>
                <w:rFonts w:eastAsia="Times New Roman" w:hint="eastAsia"/>
                <w:color w:val="000000"/>
                <w:lang w:eastAsia="zh-CN"/>
              </w:rPr>
              <w:t>6</w:t>
            </w:r>
          </w:p>
        </w:tc>
      </w:tr>
      <w:tr w:rsidR="00FA4903" w:rsidRPr="00AD2848" w14:paraId="77FA9B4E" w14:textId="77777777" w:rsidTr="00FA4903">
        <w:trPr>
          <w:trHeight w:val="322"/>
        </w:trPr>
        <w:tc>
          <w:tcPr>
            <w:tcW w:w="2795" w:type="pct"/>
            <w:noWrap/>
            <w:vAlign w:val="center"/>
            <w:hideMark/>
          </w:tcPr>
          <w:p w14:paraId="0DDEA70D" w14:textId="77777777" w:rsidR="008E3AB9" w:rsidRPr="00AD2848" w:rsidRDefault="008E3AB9" w:rsidP="00B44003">
            <w:pPr>
              <w:jc w:val="center"/>
              <w:rPr>
                <w:rFonts w:eastAsia="Times New Roman"/>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31BB53AC" w14:textId="77777777" w:rsidR="008E3AB9" w:rsidRPr="00AD2848" w:rsidRDefault="008E3AB9" w:rsidP="00FA4903">
            <w:pPr>
              <w:jc w:val="center"/>
              <w:rPr>
                <w:rFonts w:eastAsia="Times New Roman"/>
                <w:color w:val="000000"/>
                <w:lang w:eastAsia="zh-CN"/>
              </w:rPr>
            </w:pPr>
            <w:r w:rsidRPr="00AD2848">
              <w:rPr>
                <w:rFonts w:eastAsia="Times New Roman"/>
                <w:color w:val="000000"/>
              </w:rPr>
              <w:t>0.</w:t>
            </w:r>
            <w:r>
              <w:rPr>
                <w:rFonts w:eastAsia="Times New Roman" w:hint="eastAsia"/>
                <w:color w:val="000000"/>
                <w:lang w:eastAsia="zh-CN"/>
              </w:rPr>
              <w:t>32 (0.03)</w:t>
            </w:r>
          </w:p>
        </w:tc>
        <w:tc>
          <w:tcPr>
            <w:tcW w:w="813" w:type="pct"/>
          </w:tcPr>
          <w:p w14:paraId="21FAA8C0" w14:textId="2E09F406" w:rsidR="008E3AB9" w:rsidRDefault="001D5186" w:rsidP="00FA4903">
            <w:pPr>
              <w:jc w:val="center"/>
              <w:rPr>
                <w:rFonts w:eastAsia="Times New Roman"/>
                <w:color w:val="000000"/>
                <w:lang w:eastAsia="zh-CN"/>
              </w:rPr>
            </w:pPr>
            <w:r>
              <w:rPr>
                <w:rFonts w:eastAsia="Times New Roman" w:hint="eastAsia"/>
                <w:color w:val="000000"/>
                <w:lang w:eastAsia="zh-CN"/>
              </w:rPr>
              <w:t>0.34</w:t>
            </w:r>
          </w:p>
        </w:tc>
        <w:tc>
          <w:tcPr>
            <w:tcW w:w="429" w:type="pct"/>
            <w:noWrap/>
            <w:hideMark/>
          </w:tcPr>
          <w:p w14:paraId="7A85BEEE" w14:textId="389AB410" w:rsidR="008E3AB9" w:rsidRPr="00AD2848" w:rsidRDefault="008E3AB9" w:rsidP="00FA4903">
            <w:pPr>
              <w:jc w:val="center"/>
              <w:rPr>
                <w:rFonts w:eastAsia="Times New Roman"/>
                <w:color w:val="000000"/>
                <w:lang w:eastAsia="zh-CN"/>
              </w:rPr>
            </w:pPr>
            <w:r>
              <w:rPr>
                <w:rFonts w:eastAsia="Times New Roman"/>
                <w:color w:val="000000"/>
              </w:rPr>
              <w:t>0.</w:t>
            </w:r>
            <w:r>
              <w:rPr>
                <w:rFonts w:eastAsia="Times New Roman" w:hint="eastAsia"/>
                <w:color w:val="000000"/>
                <w:lang w:eastAsia="zh-CN"/>
              </w:rPr>
              <w:t>00</w:t>
            </w:r>
          </w:p>
        </w:tc>
      </w:tr>
      <w:tr w:rsidR="00FA4903" w:rsidRPr="00AD2848" w14:paraId="5F2235C5" w14:textId="77777777" w:rsidTr="00FA4903">
        <w:trPr>
          <w:trHeight w:val="322"/>
        </w:trPr>
        <w:tc>
          <w:tcPr>
            <w:tcW w:w="2795" w:type="pct"/>
            <w:noWrap/>
            <w:vAlign w:val="center"/>
            <w:hideMark/>
          </w:tcPr>
          <w:p w14:paraId="6425006F" w14:textId="77777777" w:rsidR="008E3AB9" w:rsidRPr="00AD2848" w:rsidRDefault="008E3AB9" w:rsidP="00B44003">
            <w:pPr>
              <w:jc w:val="center"/>
              <w:rPr>
                <w:rFonts w:eastAsia="Times New Roman"/>
                <w:i/>
                <w:iCs/>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7A8EA153"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0.09 (0.04)</w:t>
            </w:r>
          </w:p>
        </w:tc>
        <w:tc>
          <w:tcPr>
            <w:tcW w:w="813" w:type="pct"/>
          </w:tcPr>
          <w:p w14:paraId="35BE7690" w14:textId="29C797AA" w:rsidR="008E3AB9" w:rsidRDefault="001D5186" w:rsidP="00FA4903">
            <w:pPr>
              <w:jc w:val="center"/>
              <w:rPr>
                <w:rFonts w:eastAsia="Times New Roman"/>
                <w:color w:val="000000"/>
                <w:lang w:eastAsia="zh-CN"/>
              </w:rPr>
            </w:pPr>
            <w:r>
              <w:rPr>
                <w:rFonts w:eastAsia="Times New Roman" w:hint="eastAsia"/>
                <w:color w:val="000000"/>
                <w:lang w:eastAsia="zh-CN"/>
              </w:rPr>
              <w:t>0.08</w:t>
            </w:r>
          </w:p>
        </w:tc>
        <w:tc>
          <w:tcPr>
            <w:tcW w:w="429" w:type="pct"/>
            <w:noWrap/>
            <w:hideMark/>
          </w:tcPr>
          <w:p w14:paraId="4CCFE8C9" w14:textId="2828868C" w:rsidR="008E3AB9" w:rsidRPr="00AD2848" w:rsidRDefault="008E3AB9" w:rsidP="00FA4903">
            <w:pPr>
              <w:jc w:val="center"/>
              <w:rPr>
                <w:rFonts w:eastAsia="Times New Roman"/>
                <w:color w:val="000000"/>
                <w:lang w:eastAsia="zh-CN"/>
              </w:rPr>
            </w:pPr>
            <w:r>
              <w:rPr>
                <w:rFonts w:eastAsia="Times New Roman" w:hint="eastAsia"/>
                <w:color w:val="000000"/>
                <w:lang w:eastAsia="zh-CN"/>
              </w:rPr>
              <w:t>0.04</w:t>
            </w:r>
          </w:p>
        </w:tc>
      </w:tr>
      <w:tr w:rsidR="00FA4903" w:rsidRPr="00AD2848" w14:paraId="67E743B2" w14:textId="77777777" w:rsidTr="00FA4903">
        <w:trPr>
          <w:trHeight w:val="322"/>
        </w:trPr>
        <w:tc>
          <w:tcPr>
            <w:tcW w:w="2795" w:type="pct"/>
            <w:noWrap/>
            <w:vAlign w:val="center"/>
            <w:hideMark/>
          </w:tcPr>
          <w:p w14:paraId="3E759CBC" w14:textId="77777777" w:rsidR="008E3AB9" w:rsidRPr="00AD2848" w:rsidRDefault="008E3AB9" w:rsidP="00B44003">
            <w:pPr>
              <w:jc w:val="center"/>
              <w:rPr>
                <w:rFonts w:eastAsia="Times New Roman"/>
                <w:i/>
                <w:iCs/>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410AADCA"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0.28 (0.05)</w:t>
            </w:r>
          </w:p>
        </w:tc>
        <w:tc>
          <w:tcPr>
            <w:tcW w:w="813" w:type="pct"/>
          </w:tcPr>
          <w:p w14:paraId="68E55021" w14:textId="6ECC615D" w:rsidR="008E3AB9" w:rsidRDefault="001D5186" w:rsidP="00FA4903">
            <w:pPr>
              <w:jc w:val="center"/>
              <w:rPr>
                <w:rFonts w:eastAsia="Times New Roman"/>
                <w:color w:val="000000"/>
                <w:lang w:eastAsia="zh-CN"/>
              </w:rPr>
            </w:pPr>
            <w:r>
              <w:rPr>
                <w:rFonts w:eastAsia="Times New Roman" w:hint="eastAsia"/>
                <w:color w:val="000000"/>
                <w:lang w:eastAsia="zh-CN"/>
              </w:rPr>
              <w:t>0.31</w:t>
            </w:r>
          </w:p>
        </w:tc>
        <w:tc>
          <w:tcPr>
            <w:tcW w:w="429" w:type="pct"/>
            <w:noWrap/>
            <w:hideMark/>
          </w:tcPr>
          <w:p w14:paraId="51BA01E3" w14:textId="66D733A6" w:rsidR="008E3AB9" w:rsidRPr="00AD2848" w:rsidRDefault="008E3AB9" w:rsidP="00FA4903">
            <w:pPr>
              <w:jc w:val="center"/>
              <w:rPr>
                <w:rFonts w:eastAsia="Times New Roman"/>
                <w:color w:val="000000"/>
                <w:lang w:eastAsia="zh-CN"/>
              </w:rPr>
            </w:pPr>
            <w:r>
              <w:rPr>
                <w:rFonts w:eastAsia="Times New Roman"/>
                <w:color w:val="000000"/>
              </w:rPr>
              <w:t>0.00</w:t>
            </w:r>
          </w:p>
        </w:tc>
      </w:tr>
      <w:tr w:rsidR="00FA4903" w:rsidRPr="00AD2848" w14:paraId="441654B5" w14:textId="77777777" w:rsidTr="00FA4903">
        <w:trPr>
          <w:trHeight w:val="322"/>
        </w:trPr>
        <w:tc>
          <w:tcPr>
            <w:tcW w:w="2795" w:type="pct"/>
            <w:noWrap/>
            <w:vAlign w:val="center"/>
            <w:hideMark/>
          </w:tcPr>
          <w:p w14:paraId="2E1CE286" w14:textId="77777777" w:rsidR="008E3AB9" w:rsidRPr="00AD2848" w:rsidRDefault="008E3AB9" w:rsidP="00B44003">
            <w:pPr>
              <w:jc w:val="center"/>
              <w:rPr>
                <w:rFonts w:eastAsia="Times New Roman"/>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252B06DF" w14:textId="4F27670C" w:rsidR="008E3AB9" w:rsidRPr="00AD2848" w:rsidRDefault="00C52B8B" w:rsidP="00FA4903">
            <w:pPr>
              <w:jc w:val="center"/>
              <w:rPr>
                <w:rFonts w:eastAsia="Times New Roman"/>
                <w:color w:val="000000"/>
              </w:rPr>
            </w:pPr>
            <w:r>
              <w:rPr>
                <w:rFonts w:eastAsia="Times New Roman" w:hint="eastAsia"/>
                <w:color w:val="000000"/>
                <w:lang w:eastAsia="zh-CN"/>
              </w:rPr>
              <w:t>0.09 (0.04</w:t>
            </w:r>
            <w:r w:rsidR="008E3AB9">
              <w:rPr>
                <w:rFonts w:eastAsia="Times New Roman" w:hint="eastAsia"/>
                <w:color w:val="000000"/>
                <w:lang w:eastAsia="zh-CN"/>
              </w:rPr>
              <w:t>)</w:t>
            </w:r>
          </w:p>
        </w:tc>
        <w:tc>
          <w:tcPr>
            <w:tcW w:w="813" w:type="pct"/>
          </w:tcPr>
          <w:p w14:paraId="6D8ABE0E" w14:textId="4D9A94AB" w:rsidR="008E3AB9" w:rsidRDefault="001D5186" w:rsidP="00FA4903">
            <w:pPr>
              <w:jc w:val="center"/>
              <w:rPr>
                <w:rFonts w:eastAsia="Times New Roman"/>
                <w:color w:val="000000"/>
                <w:lang w:eastAsia="zh-CN"/>
              </w:rPr>
            </w:pPr>
            <w:r>
              <w:rPr>
                <w:rFonts w:eastAsia="Times New Roman" w:hint="eastAsia"/>
                <w:color w:val="000000"/>
                <w:lang w:eastAsia="zh-CN"/>
              </w:rPr>
              <w:t>0.09</w:t>
            </w:r>
          </w:p>
        </w:tc>
        <w:tc>
          <w:tcPr>
            <w:tcW w:w="429" w:type="pct"/>
            <w:noWrap/>
            <w:hideMark/>
          </w:tcPr>
          <w:p w14:paraId="7EB36AD4" w14:textId="477224C9" w:rsidR="008E3AB9" w:rsidRPr="00AD2848" w:rsidRDefault="008E3AB9" w:rsidP="00FA4903">
            <w:pPr>
              <w:jc w:val="center"/>
              <w:rPr>
                <w:rFonts w:eastAsia="Times New Roman"/>
                <w:color w:val="000000"/>
                <w:lang w:eastAsia="zh-CN"/>
              </w:rPr>
            </w:pPr>
            <w:r>
              <w:rPr>
                <w:rFonts w:eastAsia="Times New Roman"/>
                <w:color w:val="000000"/>
              </w:rPr>
              <w:t>0.0</w:t>
            </w:r>
            <w:r w:rsidR="00C52B8B">
              <w:rPr>
                <w:rFonts w:eastAsia="Times New Roman" w:hint="eastAsia"/>
                <w:color w:val="000000"/>
                <w:lang w:eastAsia="zh-CN"/>
              </w:rPr>
              <w:t>2</w:t>
            </w:r>
          </w:p>
        </w:tc>
      </w:tr>
      <w:tr w:rsidR="00FA4903" w:rsidRPr="00AD2848" w14:paraId="1C8FBA0B" w14:textId="77777777" w:rsidTr="00FA4903">
        <w:trPr>
          <w:trHeight w:val="322"/>
        </w:trPr>
        <w:tc>
          <w:tcPr>
            <w:tcW w:w="2795" w:type="pct"/>
            <w:noWrap/>
            <w:vAlign w:val="center"/>
            <w:hideMark/>
          </w:tcPr>
          <w:p w14:paraId="27BC69D0" w14:textId="77777777" w:rsidR="008E3AB9" w:rsidRPr="00AD2848" w:rsidRDefault="008E3AB9"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02342409"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0.10 (0.02)</w:t>
            </w:r>
          </w:p>
        </w:tc>
        <w:tc>
          <w:tcPr>
            <w:tcW w:w="813" w:type="pct"/>
          </w:tcPr>
          <w:p w14:paraId="5D7CA2B4" w14:textId="36D988DC" w:rsidR="008E3AB9" w:rsidRDefault="001D5186" w:rsidP="00FA4903">
            <w:pPr>
              <w:jc w:val="center"/>
              <w:rPr>
                <w:rFonts w:eastAsia="Times New Roman"/>
                <w:color w:val="000000"/>
                <w:lang w:eastAsia="zh-CN"/>
              </w:rPr>
            </w:pPr>
            <w:r>
              <w:rPr>
                <w:rFonts w:eastAsia="Times New Roman" w:hint="eastAsia"/>
                <w:color w:val="000000"/>
                <w:lang w:eastAsia="zh-CN"/>
              </w:rPr>
              <w:t>0.13</w:t>
            </w:r>
          </w:p>
        </w:tc>
        <w:tc>
          <w:tcPr>
            <w:tcW w:w="429" w:type="pct"/>
            <w:noWrap/>
            <w:hideMark/>
          </w:tcPr>
          <w:p w14:paraId="25572E16" w14:textId="7EAA11DF" w:rsidR="008E3AB9" w:rsidRPr="00AD2848" w:rsidRDefault="008E3AB9" w:rsidP="00FA4903">
            <w:pPr>
              <w:jc w:val="center"/>
              <w:rPr>
                <w:rFonts w:eastAsia="Times New Roman"/>
                <w:color w:val="000000"/>
                <w:lang w:eastAsia="zh-CN"/>
              </w:rPr>
            </w:pPr>
            <w:r>
              <w:rPr>
                <w:rFonts w:eastAsia="Times New Roman" w:hint="eastAsia"/>
                <w:color w:val="000000"/>
                <w:lang w:eastAsia="zh-CN"/>
              </w:rPr>
              <w:t>0.00</w:t>
            </w:r>
          </w:p>
        </w:tc>
      </w:tr>
      <w:tr w:rsidR="00FA4903" w:rsidRPr="00AD2848" w14:paraId="77823D6C" w14:textId="77777777" w:rsidTr="00FA4903">
        <w:trPr>
          <w:trHeight w:val="322"/>
        </w:trPr>
        <w:tc>
          <w:tcPr>
            <w:tcW w:w="2795" w:type="pct"/>
            <w:noWrap/>
            <w:vAlign w:val="center"/>
            <w:hideMark/>
          </w:tcPr>
          <w:p w14:paraId="50E0FD61" w14:textId="77777777" w:rsidR="008E3AB9" w:rsidRPr="00AD2848" w:rsidRDefault="008E3AB9"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626553B8"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-1.13 (1.94)</w:t>
            </w:r>
          </w:p>
        </w:tc>
        <w:tc>
          <w:tcPr>
            <w:tcW w:w="813" w:type="pct"/>
          </w:tcPr>
          <w:p w14:paraId="2B96739F" w14:textId="36AC91FC" w:rsidR="008E3AB9" w:rsidRDefault="001D5186" w:rsidP="00FA4903">
            <w:pPr>
              <w:jc w:val="center"/>
              <w:rPr>
                <w:rFonts w:eastAsia="Times New Roman"/>
                <w:color w:val="000000"/>
                <w:lang w:eastAsia="zh-CN"/>
              </w:rPr>
            </w:pPr>
            <w:r>
              <w:rPr>
                <w:rFonts w:eastAsia="Times New Roman" w:hint="eastAsia"/>
                <w:color w:val="000000"/>
                <w:lang w:eastAsia="zh-CN"/>
              </w:rPr>
              <w:t>-0.032</w:t>
            </w:r>
          </w:p>
        </w:tc>
        <w:tc>
          <w:tcPr>
            <w:tcW w:w="429" w:type="pct"/>
            <w:noWrap/>
            <w:hideMark/>
          </w:tcPr>
          <w:p w14:paraId="64499FBF" w14:textId="117AB5A0" w:rsidR="008E3AB9" w:rsidRPr="00AD2848" w:rsidRDefault="008E3AB9" w:rsidP="00FA4903">
            <w:pPr>
              <w:jc w:val="center"/>
              <w:rPr>
                <w:rFonts w:eastAsia="Times New Roman"/>
                <w:color w:val="000000"/>
                <w:lang w:eastAsia="zh-CN"/>
              </w:rPr>
            </w:pPr>
            <w:r>
              <w:rPr>
                <w:rFonts w:eastAsia="Times New Roman" w:hint="eastAsia"/>
                <w:color w:val="000000"/>
                <w:lang w:eastAsia="zh-CN"/>
              </w:rPr>
              <w:t>0.56</w:t>
            </w:r>
          </w:p>
        </w:tc>
      </w:tr>
      <w:tr w:rsidR="00FA4903" w:rsidRPr="00AD2848" w14:paraId="72BD19BB" w14:textId="77777777" w:rsidTr="00FA4903">
        <w:trPr>
          <w:trHeight w:val="322"/>
        </w:trPr>
        <w:tc>
          <w:tcPr>
            <w:tcW w:w="2795" w:type="pct"/>
            <w:noWrap/>
            <w:vAlign w:val="center"/>
            <w:hideMark/>
          </w:tcPr>
          <w:p w14:paraId="5A7B4CAC" w14:textId="77777777" w:rsidR="008E3AB9" w:rsidRPr="00AD2848" w:rsidRDefault="008E3AB9" w:rsidP="00B44003">
            <w:pPr>
              <w:jc w:val="center"/>
              <w:rPr>
                <w:rFonts w:eastAsia="Times New Roman"/>
                <w:color w:val="000000"/>
              </w:rPr>
            </w:pP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473946D0"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5.97 (1.47)</w:t>
            </w:r>
          </w:p>
        </w:tc>
        <w:tc>
          <w:tcPr>
            <w:tcW w:w="813" w:type="pct"/>
          </w:tcPr>
          <w:p w14:paraId="01ECCC77" w14:textId="324FAB2F" w:rsidR="008E3AB9" w:rsidRDefault="001D5186" w:rsidP="00FA4903">
            <w:pPr>
              <w:jc w:val="center"/>
              <w:rPr>
                <w:rFonts w:eastAsia="Times New Roman"/>
                <w:color w:val="000000"/>
                <w:lang w:eastAsia="zh-CN"/>
              </w:rPr>
            </w:pPr>
            <w:r>
              <w:rPr>
                <w:rFonts w:eastAsia="Times New Roman" w:hint="eastAsia"/>
                <w:color w:val="000000"/>
                <w:lang w:eastAsia="zh-CN"/>
              </w:rPr>
              <w:t>0.19</w:t>
            </w:r>
          </w:p>
        </w:tc>
        <w:tc>
          <w:tcPr>
            <w:tcW w:w="429" w:type="pct"/>
            <w:noWrap/>
            <w:hideMark/>
          </w:tcPr>
          <w:p w14:paraId="7B5E7BB7" w14:textId="45DE72F4" w:rsidR="008E3AB9" w:rsidRPr="00AD2848" w:rsidRDefault="008E3AB9" w:rsidP="00FA4903">
            <w:pPr>
              <w:jc w:val="center"/>
              <w:rPr>
                <w:rFonts w:eastAsia="Times New Roman"/>
                <w:color w:val="000000"/>
                <w:lang w:eastAsia="zh-CN"/>
              </w:rPr>
            </w:pPr>
            <w:r>
              <w:rPr>
                <w:rFonts w:eastAsia="Times New Roman"/>
                <w:color w:val="000000"/>
              </w:rPr>
              <w:t>0.</w:t>
            </w:r>
            <w:r>
              <w:rPr>
                <w:rFonts w:eastAsia="Times New Roman" w:hint="eastAsia"/>
                <w:color w:val="000000"/>
                <w:lang w:eastAsia="zh-CN"/>
              </w:rPr>
              <w:t>00</w:t>
            </w:r>
          </w:p>
        </w:tc>
      </w:tr>
      <w:tr w:rsidR="00FA4903" w:rsidRPr="00AD2848" w14:paraId="5D782C11" w14:textId="77777777" w:rsidTr="00FA4903">
        <w:trPr>
          <w:trHeight w:val="322"/>
        </w:trPr>
        <w:tc>
          <w:tcPr>
            <w:tcW w:w="2795" w:type="pct"/>
            <w:noWrap/>
            <w:vAlign w:val="center"/>
            <w:hideMark/>
          </w:tcPr>
          <w:p w14:paraId="5B911DAF" w14:textId="77777777" w:rsidR="008E3AB9" w:rsidRPr="00AD2848" w:rsidRDefault="008E3AB9" w:rsidP="00B44003">
            <w:pPr>
              <w:jc w:val="center"/>
              <w:rPr>
                <w:rFonts w:eastAsia="Times New Roman"/>
                <w:color w:val="000000"/>
              </w:rPr>
            </w:pP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692C9B10"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8.32 (1.85)</w:t>
            </w:r>
          </w:p>
        </w:tc>
        <w:tc>
          <w:tcPr>
            <w:tcW w:w="813" w:type="pct"/>
          </w:tcPr>
          <w:p w14:paraId="08FCEE27" w14:textId="33A7DB30" w:rsidR="008E3AB9" w:rsidRPr="00AD2848" w:rsidRDefault="00664BF0" w:rsidP="00FA4903">
            <w:pPr>
              <w:jc w:val="center"/>
              <w:rPr>
                <w:rFonts w:eastAsia="Times New Roman"/>
                <w:color w:val="000000"/>
                <w:lang w:eastAsia="zh-CN"/>
              </w:rPr>
            </w:pPr>
            <w:r>
              <w:rPr>
                <w:rFonts w:eastAsia="Times New Roman" w:hint="eastAsia"/>
                <w:color w:val="000000"/>
                <w:lang w:eastAsia="zh-CN"/>
              </w:rPr>
              <w:t>0.19</w:t>
            </w:r>
          </w:p>
        </w:tc>
        <w:tc>
          <w:tcPr>
            <w:tcW w:w="429" w:type="pct"/>
            <w:noWrap/>
            <w:hideMark/>
          </w:tcPr>
          <w:p w14:paraId="6F45A281" w14:textId="746CB231" w:rsidR="008E3AB9" w:rsidRPr="00AD2848" w:rsidRDefault="008E3AB9" w:rsidP="00FA4903">
            <w:pPr>
              <w:jc w:val="center"/>
              <w:rPr>
                <w:rFonts w:eastAsia="Times New Roman"/>
                <w:color w:val="000000"/>
                <w:lang w:eastAsia="zh-CN"/>
              </w:rPr>
            </w:pPr>
            <w:r w:rsidRPr="00AD2848">
              <w:rPr>
                <w:rFonts w:eastAsia="Times New Roman"/>
                <w:color w:val="000000"/>
              </w:rPr>
              <w:t>0.</w:t>
            </w:r>
            <w:r>
              <w:rPr>
                <w:rFonts w:eastAsia="Times New Roman" w:hint="eastAsia"/>
                <w:color w:val="000000"/>
                <w:lang w:eastAsia="zh-CN"/>
              </w:rPr>
              <w:t>00</w:t>
            </w:r>
          </w:p>
        </w:tc>
      </w:tr>
      <w:tr w:rsidR="00FA4903" w:rsidRPr="00AD2848" w14:paraId="472D3C05" w14:textId="77777777" w:rsidTr="00FA4903">
        <w:trPr>
          <w:trHeight w:val="322"/>
        </w:trPr>
        <w:tc>
          <w:tcPr>
            <w:tcW w:w="2795" w:type="pct"/>
            <w:noWrap/>
            <w:vAlign w:val="center"/>
            <w:hideMark/>
          </w:tcPr>
          <w:p w14:paraId="663F7618" w14:textId="77777777" w:rsidR="008E3AB9" w:rsidRPr="00AD2848" w:rsidRDefault="008E3AB9" w:rsidP="00B44003">
            <w:pPr>
              <w:jc w:val="center"/>
              <w:rPr>
                <w:rFonts w:eastAsia="Times New Roman"/>
                <w:color w:val="000000"/>
              </w:rPr>
            </w:pPr>
            <w:r w:rsidRPr="006421DC">
              <w:rPr>
                <w:rFonts w:eastAsia="Times New Roman"/>
                <w:color w:val="000000"/>
              </w:rPr>
              <w:lastRenderedPageBreak/>
              <w:t>SAB_T</w:t>
            </w:r>
            <w:r>
              <w:rPr>
                <w:rFonts w:eastAsia="Times New Roman"/>
                <w:color w:val="000000"/>
              </w:rPr>
              <w:t>4</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hideMark/>
          </w:tcPr>
          <w:p w14:paraId="2BA26278" w14:textId="77777777" w:rsidR="008E3AB9" w:rsidRPr="00AD2848" w:rsidRDefault="008E3AB9" w:rsidP="00FA4903">
            <w:pPr>
              <w:jc w:val="center"/>
              <w:rPr>
                <w:rFonts w:eastAsia="Times New Roman"/>
                <w:color w:val="000000"/>
                <w:lang w:eastAsia="zh-CN"/>
              </w:rPr>
            </w:pPr>
            <w:r>
              <w:rPr>
                <w:rFonts w:eastAsia="Times New Roman" w:hint="eastAsia"/>
                <w:color w:val="000000"/>
                <w:lang w:eastAsia="zh-CN"/>
              </w:rPr>
              <w:t>3.40 (1.32)</w:t>
            </w:r>
          </w:p>
        </w:tc>
        <w:tc>
          <w:tcPr>
            <w:tcW w:w="813" w:type="pct"/>
          </w:tcPr>
          <w:p w14:paraId="0F4697CE" w14:textId="3D189760" w:rsidR="008E3AB9" w:rsidRDefault="00664BF0" w:rsidP="00FA4903">
            <w:pPr>
              <w:jc w:val="center"/>
              <w:rPr>
                <w:rFonts w:eastAsia="Times New Roman"/>
                <w:color w:val="000000"/>
                <w:lang w:eastAsia="zh-CN"/>
              </w:rPr>
            </w:pPr>
            <w:r>
              <w:rPr>
                <w:rFonts w:eastAsia="Times New Roman" w:hint="eastAsia"/>
                <w:color w:val="000000"/>
                <w:lang w:eastAsia="zh-CN"/>
              </w:rPr>
              <w:t>0.12</w:t>
            </w:r>
          </w:p>
        </w:tc>
        <w:tc>
          <w:tcPr>
            <w:tcW w:w="429" w:type="pct"/>
            <w:noWrap/>
            <w:hideMark/>
          </w:tcPr>
          <w:p w14:paraId="0FA850B7" w14:textId="6A490B62" w:rsidR="008E3AB9" w:rsidRPr="00AD2848" w:rsidRDefault="008E3AB9" w:rsidP="00FA4903">
            <w:pPr>
              <w:jc w:val="center"/>
              <w:rPr>
                <w:rFonts w:eastAsia="Times New Roman"/>
                <w:color w:val="000000"/>
                <w:lang w:eastAsia="zh-CN"/>
              </w:rPr>
            </w:pPr>
            <w:r>
              <w:rPr>
                <w:rFonts w:eastAsia="Times New Roman"/>
                <w:color w:val="000000"/>
              </w:rPr>
              <w:t>0.01</w:t>
            </w:r>
          </w:p>
        </w:tc>
      </w:tr>
      <w:tr w:rsidR="00FA4903" w:rsidRPr="00AD2848" w14:paraId="06CB7B34" w14:textId="77777777" w:rsidTr="00FA4903">
        <w:trPr>
          <w:trHeight w:val="322"/>
        </w:trPr>
        <w:tc>
          <w:tcPr>
            <w:tcW w:w="2795" w:type="pct"/>
            <w:noWrap/>
            <w:vAlign w:val="center"/>
            <w:hideMark/>
          </w:tcPr>
          <w:p w14:paraId="2D6466DB" w14:textId="77777777" w:rsidR="008E3AB9" w:rsidRPr="00AD2848" w:rsidRDefault="008E3AB9" w:rsidP="00B44003">
            <w:pPr>
              <w:jc w:val="center"/>
              <w:rPr>
                <w:rFonts w:eastAsia="Times New Roman"/>
                <w:color w:val="000000"/>
              </w:rPr>
            </w:pPr>
            <w:r>
              <w:rPr>
                <w:rFonts w:eastAsia="Times New Roman" w:hint="eastAsia"/>
                <w:color w:val="000000"/>
                <w:lang w:eastAsia="zh-CN"/>
              </w:rPr>
              <w:t>Girl</w:t>
            </w:r>
            <w:r>
              <w:rPr>
                <w:rFonts w:eastAsia="Times New Roman"/>
                <w:color w:val="000000"/>
              </w:rPr>
              <w:t xml:space="preserve"> group</w:t>
            </w:r>
          </w:p>
        </w:tc>
        <w:tc>
          <w:tcPr>
            <w:tcW w:w="963" w:type="pct"/>
            <w:noWrap/>
            <w:hideMark/>
          </w:tcPr>
          <w:p w14:paraId="7FCAADA1" w14:textId="485A86B6" w:rsidR="008E3AB9" w:rsidRPr="00AD2848" w:rsidRDefault="008E3AB9" w:rsidP="00FA4903">
            <w:pPr>
              <w:jc w:val="center"/>
              <w:rPr>
                <w:rFonts w:eastAsia="Times New Roman"/>
                <w:color w:val="000000"/>
                <w:lang w:eastAsia="zh-CN"/>
              </w:rPr>
            </w:pPr>
          </w:p>
        </w:tc>
        <w:tc>
          <w:tcPr>
            <w:tcW w:w="813" w:type="pct"/>
          </w:tcPr>
          <w:p w14:paraId="36A2E62F" w14:textId="77777777" w:rsidR="008E3AB9" w:rsidRDefault="008E3AB9" w:rsidP="00FA4903">
            <w:pPr>
              <w:jc w:val="center"/>
              <w:rPr>
                <w:rFonts w:eastAsia="Times New Roman"/>
                <w:color w:val="000000"/>
                <w:lang w:eastAsia="zh-CN"/>
              </w:rPr>
            </w:pPr>
          </w:p>
        </w:tc>
        <w:tc>
          <w:tcPr>
            <w:tcW w:w="429" w:type="pct"/>
            <w:noWrap/>
            <w:hideMark/>
          </w:tcPr>
          <w:p w14:paraId="1D740408" w14:textId="53EED560" w:rsidR="008E3AB9" w:rsidRPr="00AD2848" w:rsidRDefault="008E3AB9" w:rsidP="00FA4903">
            <w:pPr>
              <w:jc w:val="center"/>
              <w:rPr>
                <w:rFonts w:eastAsia="Times New Roman"/>
                <w:color w:val="000000"/>
                <w:lang w:eastAsia="zh-CN"/>
              </w:rPr>
            </w:pPr>
          </w:p>
        </w:tc>
      </w:tr>
      <w:tr w:rsidR="001D5186" w:rsidRPr="00AD2848" w14:paraId="02270254" w14:textId="77777777" w:rsidTr="00FA4903">
        <w:trPr>
          <w:trHeight w:val="322"/>
        </w:trPr>
        <w:tc>
          <w:tcPr>
            <w:tcW w:w="2795" w:type="pct"/>
            <w:noWrap/>
            <w:vAlign w:val="center"/>
            <w:hideMark/>
          </w:tcPr>
          <w:p w14:paraId="47423AA1" w14:textId="77777777" w:rsidR="001D5186" w:rsidRPr="00AD2848" w:rsidRDefault="001D5186"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w:t>
            </w:r>
            <w:r w:rsidRPr="006421DC">
              <w:rPr>
                <w:rFonts w:eastAsia="Times New Roman"/>
                <w:color w:val="000000"/>
              </w:rPr>
              <w:t xml:space="preserve"> 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52D009EE" w14:textId="761C10C0" w:rsidR="001D5186" w:rsidRPr="00AD2848" w:rsidRDefault="001D5186" w:rsidP="00F678DB">
            <w:pPr>
              <w:jc w:val="center"/>
              <w:rPr>
                <w:rFonts w:eastAsia="Times New Roman"/>
                <w:color w:val="000000"/>
              </w:rPr>
            </w:pPr>
            <w:r>
              <w:rPr>
                <w:rFonts w:eastAsia="Times New Roman" w:hint="eastAsia"/>
                <w:color w:val="000000"/>
                <w:lang w:eastAsia="zh-CN"/>
              </w:rPr>
              <w:t>0.21 (0.03)</w:t>
            </w:r>
          </w:p>
        </w:tc>
        <w:tc>
          <w:tcPr>
            <w:tcW w:w="813" w:type="pct"/>
          </w:tcPr>
          <w:p w14:paraId="273BA099" w14:textId="76FBCFB6" w:rsidR="001D5186" w:rsidRDefault="001D5186" w:rsidP="00FA4903">
            <w:pPr>
              <w:jc w:val="center"/>
              <w:rPr>
                <w:rFonts w:eastAsia="Times New Roman"/>
                <w:color w:val="000000"/>
              </w:rPr>
            </w:pPr>
            <w:r>
              <w:rPr>
                <w:rFonts w:eastAsia="Times New Roman" w:hint="eastAsia"/>
                <w:color w:val="000000"/>
                <w:lang w:eastAsia="zh-CN"/>
              </w:rPr>
              <w:t>0.24</w:t>
            </w:r>
          </w:p>
        </w:tc>
        <w:tc>
          <w:tcPr>
            <w:tcW w:w="429" w:type="pct"/>
            <w:noWrap/>
            <w:hideMark/>
          </w:tcPr>
          <w:p w14:paraId="1219C854" w14:textId="100A2840" w:rsidR="001D5186" w:rsidRPr="00AD2848" w:rsidRDefault="001D5186" w:rsidP="00FA4903">
            <w:pPr>
              <w:jc w:val="center"/>
              <w:rPr>
                <w:rFonts w:eastAsia="Times New Roman"/>
                <w:color w:val="000000"/>
                <w:lang w:eastAsia="zh-CN"/>
              </w:rPr>
            </w:pPr>
            <w:r>
              <w:rPr>
                <w:rFonts w:eastAsia="Times New Roman"/>
                <w:color w:val="000000"/>
              </w:rPr>
              <w:t>0.0</w:t>
            </w:r>
            <w:r>
              <w:rPr>
                <w:rFonts w:eastAsia="Times New Roman" w:hint="eastAsia"/>
                <w:color w:val="000000"/>
                <w:lang w:eastAsia="zh-CN"/>
              </w:rPr>
              <w:t>0</w:t>
            </w:r>
          </w:p>
        </w:tc>
      </w:tr>
      <w:tr w:rsidR="001D5186" w:rsidRPr="00AD2848" w14:paraId="44A6EFCE" w14:textId="77777777" w:rsidTr="00FA4903">
        <w:trPr>
          <w:trHeight w:val="83"/>
        </w:trPr>
        <w:tc>
          <w:tcPr>
            <w:tcW w:w="2795" w:type="pct"/>
            <w:noWrap/>
            <w:vAlign w:val="center"/>
            <w:hideMark/>
          </w:tcPr>
          <w:p w14:paraId="2D9112C1" w14:textId="77777777" w:rsidR="001D5186" w:rsidRPr="00AD2848" w:rsidRDefault="001D5186" w:rsidP="00B44003">
            <w:pPr>
              <w:jc w:val="center"/>
              <w:rPr>
                <w:rFonts w:eastAsia="Times New Roman"/>
                <w:i/>
                <w:iCs/>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31893F79" w14:textId="77777777" w:rsidR="001D5186" w:rsidRPr="00AD2848" w:rsidRDefault="001D5186" w:rsidP="00FA4903">
            <w:pPr>
              <w:jc w:val="center"/>
              <w:rPr>
                <w:rFonts w:eastAsia="Times New Roman"/>
                <w:color w:val="000000"/>
              </w:rPr>
            </w:pPr>
            <w:r>
              <w:rPr>
                <w:rFonts w:eastAsia="Times New Roman" w:hint="eastAsia"/>
                <w:color w:val="000000"/>
                <w:lang w:eastAsia="zh-CN"/>
              </w:rPr>
              <w:t>0.33 (0.04)</w:t>
            </w:r>
          </w:p>
        </w:tc>
        <w:tc>
          <w:tcPr>
            <w:tcW w:w="813" w:type="pct"/>
          </w:tcPr>
          <w:p w14:paraId="76E50AF1" w14:textId="355C75A6" w:rsidR="001D5186" w:rsidRDefault="001D5186" w:rsidP="00FA4903">
            <w:pPr>
              <w:jc w:val="center"/>
              <w:rPr>
                <w:rFonts w:eastAsia="Times New Roman"/>
                <w:color w:val="000000"/>
              </w:rPr>
            </w:pPr>
            <w:r>
              <w:rPr>
                <w:rFonts w:eastAsia="Times New Roman" w:hint="eastAsia"/>
                <w:color w:val="000000"/>
                <w:lang w:eastAsia="zh-CN"/>
              </w:rPr>
              <w:t>0.32</w:t>
            </w:r>
          </w:p>
        </w:tc>
        <w:tc>
          <w:tcPr>
            <w:tcW w:w="429" w:type="pct"/>
            <w:noWrap/>
            <w:hideMark/>
          </w:tcPr>
          <w:p w14:paraId="7954C8C4" w14:textId="358CD570" w:rsidR="001D5186" w:rsidRPr="00AD2848" w:rsidRDefault="001D5186" w:rsidP="00FA4903">
            <w:pPr>
              <w:jc w:val="center"/>
              <w:rPr>
                <w:rFonts w:eastAsia="Times New Roman"/>
                <w:color w:val="000000"/>
              </w:rPr>
            </w:pPr>
            <w:r>
              <w:rPr>
                <w:rFonts w:eastAsia="Times New Roman"/>
                <w:color w:val="000000"/>
              </w:rPr>
              <w:t>0.00</w:t>
            </w:r>
          </w:p>
        </w:tc>
      </w:tr>
      <w:tr w:rsidR="001D5186" w:rsidRPr="00AD2848" w14:paraId="19C33173" w14:textId="77777777" w:rsidTr="00FA4903">
        <w:trPr>
          <w:trHeight w:val="322"/>
        </w:trPr>
        <w:tc>
          <w:tcPr>
            <w:tcW w:w="2795" w:type="pct"/>
            <w:noWrap/>
            <w:vAlign w:val="center"/>
            <w:hideMark/>
          </w:tcPr>
          <w:p w14:paraId="534A7B31" w14:textId="77777777" w:rsidR="001D5186" w:rsidRPr="00AD2848" w:rsidRDefault="001D5186" w:rsidP="00B44003">
            <w:pPr>
              <w:jc w:val="center"/>
              <w:rPr>
                <w:rFonts w:eastAsia="Times New Roman"/>
                <w:i/>
                <w:iCs/>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hideMark/>
          </w:tcPr>
          <w:p w14:paraId="6B64D9F8" w14:textId="77777777" w:rsidR="001D5186" w:rsidRPr="00AD2848" w:rsidRDefault="001D5186" w:rsidP="00FA4903">
            <w:pPr>
              <w:jc w:val="center"/>
              <w:rPr>
                <w:rFonts w:eastAsia="Times New Roman"/>
                <w:color w:val="000000"/>
              </w:rPr>
            </w:pPr>
            <w:r>
              <w:rPr>
                <w:rFonts w:eastAsia="Times New Roman" w:hint="eastAsia"/>
                <w:color w:val="000000"/>
                <w:lang w:eastAsia="zh-CN"/>
              </w:rPr>
              <w:t>0.12 (0.06)</w:t>
            </w:r>
          </w:p>
        </w:tc>
        <w:tc>
          <w:tcPr>
            <w:tcW w:w="813" w:type="pct"/>
          </w:tcPr>
          <w:p w14:paraId="2D32F01F" w14:textId="371A36F3" w:rsidR="001D5186" w:rsidRDefault="001D5186" w:rsidP="00FA4903">
            <w:pPr>
              <w:jc w:val="center"/>
              <w:rPr>
                <w:rFonts w:eastAsia="Times New Roman"/>
                <w:color w:val="000000"/>
              </w:rPr>
            </w:pPr>
            <w:r>
              <w:rPr>
                <w:rFonts w:eastAsia="Times New Roman" w:hint="eastAsia"/>
                <w:color w:val="000000"/>
                <w:lang w:eastAsia="zh-CN"/>
              </w:rPr>
              <w:t>0.17</w:t>
            </w:r>
          </w:p>
        </w:tc>
        <w:tc>
          <w:tcPr>
            <w:tcW w:w="429" w:type="pct"/>
            <w:noWrap/>
            <w:hideMark/>
          </w:tcPr>
          <w:p w14:paraId="170AF0C3" w14:textId="4BE1B6E9" w:rsidR="001D5186" w:rsidRPr="00AD2848" w:rsidRDefault="001D5186" w:rsidP="00FA4903">
            <w:pPr>
              <w:jc w:val="center"/>
              <w:rPr>
                <w:rFonts w:eastAsia="Times New Roman"/>
                <w:color w:val="000000"/>
                <w:lang w:eastAsia="zh-CN"/>
              </w:rPr>
            </w:pPr>
            <w:r>
              <w:rPr>
                <w:rFonts w:eastAsia="Times New Roman"/>
                <w:color w:val="000000"/>
              </w:rPr>
              <w:t>0.03</w:t>
            </w:r>
          </w:p>
        </w:tc>
      </w:tr>
      <w:tr w:rsidR="001D5186" w:rsidRPr="00AD2848" w14:paraId="40D321C1" w14:textId="77777777" w:rsidTr="00FA4903">
        <w:trPr>
          <w:trHeight w:val="322"/>
        </w:trPr>
        <w:tc>
          <w:tcPr>
            <w:tcW w:w="2795" w:type="pct"/>
            <w:noWrap/>
            <w:vAlign w:val="center"/>
          </w:tcPr>
          <w:p w14:paraId="704CBCA0" w14:textId="77777777" w:rsidR="001D5186" w:rsidRPr="006421DC" w:rsidRDefault="001D5186" w:rsidP="00B44003">
            <w:pPr>
              <w:jc w:val="center"/>
              <w:rPr>
                <w:rFonts w:eastAsia="Times New Roman"/>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4AED3AA3" w14:textId="77777777" w:rsidR="001D5186" w:rsidRPr="00AD2848" w:rsidRDefault="001D5186" w:rsidP="00FA4903">
            <w:pPr>
              <w:jc w:val="center"/>
              <w:rPr>
                <w:rFonts w:eastAsia="Times New Roman"/>
                <w:color w:val="000000"/>
              </w:rPr>
            </w:pPr>
            <w:r>
              <w:rPr>
                <w:rFonts w:eastAsia="Times New Roman" w:hint="eastAsia"/>
                <w:color w:val="000000"/>
                <w:lang w:eastAsia="zh-CN"/>
              </w:rPr>
              <w:t>0.36 (0.03)</w:t>
            </w:r>
          </w:p>
        </w:tc>
        <w:tc>
          <w:tcPr>
            <w:tcW w:w="813" w:type="pct"/>
          </w:tcPr>
          <w:p w14:paraId="30913456" w14:textId="03BAD35C" w:rsidR="001D5186" w:rsidRDefault="001D5186" w:rsidP="00FA4903">
            <w:pPr>
              <w:jc w:val="center"/>
              <w:rPr>
                <w:rFonts w:eastAsia="Times New Roman"/>
                <w:color w:val="000000"/>
              </w:rPr>
            </w:pPr>
            <w:r>
              <w:rPr>
                <w:rFonts w:eastAsia="Times New Roman" w:hint="eastAsia"/>
                <w:color w:val="000000"/>
                <w:lang w:eastAsia="zh-CN"/>
              </w:rPr>
              <w:t>0.39</w:t>
            </w:r>
          </w:p>
        </w:tc>
        <w:tc>
          <w:tcPr>
            <w:tcW w:w="429" w:type="pct"/>
            <w:noWrap/>
          </w:tcPr>
          <w:p w14:paraId="09EF6A71" w14:textId="1632A92F" w:rsidR="001D5186" w:rsidRDefault="001D5186" w:rsidP="00FA4903">
            <w:pPr>
              <w:jc w:val="center"/>
              <w:rPr>
                <w:rFonts w:eastAsia="Times New Roman"/>
                <w:color w:val="000000"/>
              </w:rPr>
            </w:pPr>
            <w:r>
              <w:rPr>
                <w:rFonts w:eastAsia="Times New Roman"/>
                <w:color w:val="000000"/>
              </w:rPr>
              <w:t>0.00</w:t>
            </w:r>
          </w:p>
        </w:tc>
      </w:tr>
      <w:tr w:rsidR="001D5186" w:rsidRPr="00AD2848" w14:paraId="07885143" w14:textId="77777777" w:rsidTr="00FA4903">
        <w:trPr>
          <w:trHeight w:val="322"/>
        </w:trPr>
        <w:tc>
          <w:tcPr>
            <w:tcW w:w="2795" w:type="pct"/>
            <w:noWrap/>
            <w:vAlign w:val="center"/>
          </w:tcPr>
          <w:p w14:paraId="7EC2C57F" w14:textId="77777777" w:rsidR="001D5186" w:rsidRPr="00AD2848" w:rsidRDefault="001D5186" w:rsidP="00B44003">
            <w:pPr>
              <w:jc w:val="center"/>
              <w:rPr>
                <w:rFonts w:eastAsia="Times New Roman"/>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111F97EB" w14:textId="77777777" w:rsidR="001D5186" w:rsidRPr="00AD2848" w:rsidRDefault="001D5186" w:rsidP="00FA4903">
            <w:pPr>
              <w:jc w:val="center"/>
              <w:rPr>
                <w:rFonts w:eastAsia="Times New Roman"/>
                <w:color w:val="000000"/>
              </w:rPr>
            </w:pPr>
            <w:r>
              <w:rPr>
                <w:rFonts w:eastAsia="Times New Roman" w:hint="eastAsia"/>
                <w:color w:val="000000"/>
                <w:lang w:eastAsia="zh-CN"/>
              </w:rPr>
              <w:t>0.18 (0.03)</w:t>
            </w:r>
          </w:p>
        </w:tc>
        <w:tc>
          <w:tcPr>
            <w:tcW w:w="813" w:type="pct"/>
          </w:tcPr>
          <w:p w14:paraId="63D83716" w14:textId="314B240C" w:rsidR="001D5186" w:rsidRDefault="001D5186" w:rsidP="00FA4903">
            <w:pPr>
              <w:jc w:val="center"/>
              <w:rPr>
                <w:rFonts w:eastAsia="Times New Roman"/>
                <w:color w:val="000000"/>
              </w:rPr>
            </w:pPr>
            <w:r>
              <w:rPr>
                <w:rFonts w:eastAsia="Times New Roman" w:hint="eastAsia"/>
                <w:color w:val="000000"/>
                <w:lang w:eastAsia="zh-CN"/>
              </w:rPr>
              <w:t>0.18</w:t>
            </w:r>
          </w:p>
        </w:tc>
        <w:tc>
          <w:tcPr>
            <w:tcW w:w="429" w:type="pct"/>
            <w:noWrap/>
          </w:tcPr>
          <w:p w14:paraId="0413D2BD" w14:textId="4D918CED" w:rsidR="001D5186" w:rsidRDefault="001D5186" w:rsidP="00FA4903">
            <w:pPr>
              <w:jc w:val="center"/>
              <w:rPr>
                <w:rFonts w:eastAsia="Times New Roman"/>
                <w:color w:val="000000"/>
              </w:rPr>
            </w:pPr>
            <w:r>
              <w:rPr>
                <w:rFonts w:eastAsia="Times New Roman"/>
                <w:color w:val="000000"/>
              </w:rPr>
              <w:t>0.00</w:t>
            </w:r>
          </w:p>
        </w:tc>
      </w:tr>
      <w:tr w:rsidR="001D5186" w:rsidRPr="00AD2848" w14:paraId="60286ECE" w14:textId="77777777" w:rsidTr="00FA4903">
        <w:trPr>
          <w:trHeight w:val="322"/>
        </w:trPr>
        <w:tc>
          <w:tcPr>
            <w:tcW w:w="2795" w:type="pct"/>
            <w:noWrap/>
            <w:vAlign w:val="center"/>
          </w:tcPr>
          <w:p w14:paraId="13A23E73" w14:textId="77777777" w:rsidR="001D5186" w:rsidRPr="00AD2848" w:rsidRDefault="001D5186" w:rsidP="00B44003">
            <w:pPr>
              <w:jc w:val="center"/>
              <w:rPr>
                <w:rFonts w:eastAsia="Times New Roman"/>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524283B7" w14:textId="77777777" w:rsidR="001D5186" w:rsidRPr="00AD2848" w:rsidRDefault="001D5186" w:rsidP="00FA4903">
            <w:pPr>
              <w:jc w:val="center"/>
              <w:rPr>
                <w:rFonts w:eastAsia="Times New Roman"/>
                <w:color w:val="000000"/>
              </w:rPr>
            </w:pPr>
            <w:r>
              <w:rPr>
                <w:rFonts w:eastAsia="Times New Roman" w:hint="eastAsia"/>
                <w:color w:val="000000"/>
                <w:lang w:eastAsia="zh-CN"/>
              </w:rPr>
              <w:t>0.23 (0.04)</w:t>
            </w:r>
          </w:p>
        </w:tc>
        <w:tc>
          <w:tcPr>
            <w:tcW w:w="813" w:type="pct"/>
          </w:tcPr>
          <w:p w14:paraId="68FC8277" w14:textId="2AB2BFF8" w:rsidR="001D5186" w:rsidRDefault="001D5186" w:rsidP="00FA4903">
            <w:pPr>
              <w:jc w:val="center"/>
              <w:rPr>
                <w:rFonts w:eastAsia="Times New Roman"/>
                <w:color w:val="000000"/>
              </w:rPr>
            </w:pPr>
            <w:r>
              <w:rPr>
                <w:rFonts w:eastAsia="Times New Roman" w:hint="eastAsia"/>
                <w:color w:val="000000"/>
                <w:lang w:eastAsia="zh-CN"/>
              </w:rPr>
              <w:t>0.24</w:t>
            </w:r>
          </w:p>
        </w:tc>
        <w:tc>
          <w:tcPr>
            <w:tcW w:w="429" w:type="pct"/>
            <w:noWrap/>
          </w:tcPr>
          <w:p w14:paraId="5CC3D753" w14:textId="78C642C5" w:rsidR="001D5186" w:rsidRDefault="001D5186" w:rsidP="00FA4903">
            <w:pPr>
              <w:jc w:val="center"/>
              <w:rPr>
                <w:rFonts w:eastAsia="Times New Roman"/>
                <w:color w:val="000000"/>
              </w:rPr>
            </w:pPr>
            <w:r>
              <w:rPr>
                <w:rFonts w:eastAsia="Times New Roman"/>
                <w:color w:val="000000"/>
              </w:rPr>
              <w:t>0.00</w:t>
            </w:r>
          </w:p>
        </w:tc>
      </w:tr>
      <w:tr w:rsidR="001D5186" w:rsidRPr="00AD2848" w14:paraId="34FF2968" w14:textId="77777777" w:rsidTr="00FA4903">
        <w:trPr>
          <w:trHeight w:val="322"/>
        </w:trPr>
        <w:tc>
          <w:tcPr>
            <w:tcW w:w="2795" w:type="pct"/>
            <w:noWrap/>
            <w:vAlign w:val="center"/>
          </w:tcPr>
          <w:p w14:paraId="0A2FC502" w14:textId="77777777" w:rsidR="001D5186" w:rsidRPr="00AD2848" w:rsidRDefault="001D5186" w:rsidP="00B44003">
            <w:pPr>
              <w:jc w:val="center"/>
              <w:rPr>
                <w:rFonts w:eastAsia="Times New Roman"/>
                <w:color w:val="000000"/>
              </w:rPr>
            </w:pP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lang w:eastAsia="zh-CN"/>
              </w:rPr>
              <w:t xml:space="preserve"> /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p>
        </w:tc>
        <w:tc>
          <w:tcPr>
            <w:tcW w:w="963" w:type="pct"/>
            <w:noWrap/>
          </w:tcPr>
          <w:p w14:paraId="65A58DFA" w14:textId="77777777" w:rsidR="001D5186" w:rsidRPr="00AD2848" w:rsidRDefault="001D5186" w:rsidP="00FA4903">
            <w:pPr>
              <w:jc w:val="center"/>
              <w:rPr>
                <w:rFonts w:eastAsia="Times New Roman"/>
                <w:color w:val="000000"/>
              </w:rPr>
            </w:pPr>
            <w:r>
              <w:rPr>
                <w:rFonts w:eastAsia="Times New Roman" w:hint="eastAsia"/>
                <w:color w:val="000000"/>
                <w:lang w:eastAsia="zh-CN"/>
              </w:rPr>
              <w:t>0.10 (0.03)</w:t>
            </w:r>
          </w:p>
        </w:tc>
        <w:tc>
          <w:tcPr>
            <w:tcW w:w="813" w:type="pct"/>
          </w:tcPr>
          <w:p w14:paraId="5D4E137C" w14:textId="6DFBEA03" w:rsidR="001D5186" w:rsidRDefault="001D5186" w:rsidP="00FA4903">
            <w:pPr>
              <w:jc w:val="center"/>
              <w:rPr>
                <w:rFonts w:eastAsia="Times New Roman"/>
                <w:color w:val="000000"/>
                <w:lang w:eastAsia="zh-CN"/>
              </w:rPr>
            </w:pPr>
            <w:r>
              <w:rPr>
                <w:rFonts w:eastAsia="Times New Roman" w:hint="eastAsia"/>
                <w:color w:val="000000"/>
                <w:lang w:eastAsia="zh-CN"/>
              </w:rPr>
              <w:t>0.08</w:t>
            </w:r>
          </w:p>
        </w:tc>
        <w:tc>
          <w:tcPr>
            <w:tcW w:w="429" w:type="pct"/>
            <w:noWrap/>
          </w:tcPr>
          <w:p w14:paraId="1B44AF20" w14:textId="3A25F5A8" w:rsidR="001D5186" w:rsidRDefault="001D5186" w:rsidP="00FA4903">
            <w:pPr>
              <w:jc w:val="center"/>
              <w:rPr>
                <w:rFonts w:eastAsia="Times New Roman"/>
                <w:color w:val="000000"/>
                <w:lang w:eastAsia="zh-CN"/>
              </w:rPr>
            </w:pPr>
            <w:r>
              <w:rPr>
                <w:rFonts w:eastAsia="Times New Roman"/>
                <w:color w:val="000000"/>
              </w:rPr>
              <w:t>0.00</w:t>
            </w:r>
          </w:p>
        </w:tc>
      </w:tr>
      <w:tr w:rsidR="001D5186" w:rsidRPr="00AD2848" w14:paraId="52802FAE" w14:textId="77777777" w:rsidTr="00FA4903">
        <w:trPr>
          <w:trHeight w:val="322"/>
        </w:trPr>
        <w:tc>
          <w:tcPr>
            <w:tcW w:w="2795" w:type="pct"/>
            <w:noWrap/>
            <w:vAlign w:val="center"/>
          </w:tcPr>
          <w:p w14:paraId="3BE438E6" w14:textId="77777777" w:rsidR="001D5186" w:rsidRPr="00AD2848" w:rsidRDefault="001D5186"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r>
              <w:rPr>
                <w:rFonts w:eastAsia="Times New Roman" w:hint="eastAsia"/>
                <w:color w:val="000000"/>
                <w:lang w:eastAsia="zh-CN"/>
              </w:rPr>
              <w:t xml:space="preserve"> / </w:t>
            </w: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w:r w:rsidRPr="00B547E5">
              <w:rPr>
                <w:rFonts w:eastAsia="Times New Roman"/>
                <w:color w:val="000000"/>
                <w:lang w:eastAsia="zh-CN"/>
              </w:rPr>
              <w:sym w:font="Wingdings" w:char="F0E0"/>
            </w:r>
            <w:r>
              <w:rPr>
                <w:rFonts w:eastAsia="Times New Roman"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3D679949" w14:textId="77777777" w:rsidR="001D5186" w:rsidRPr="00AD2848" w:rsidRDefault="001D5186" w:rsidP="00FA4903">
            <w:pPr>
              <w:jc w:val="center"/>
              <w:rPr>
                <w:rFonts w:eastAsia="Times New Roman"/>
                <w:color w:val="000000"/>
              </w:rPr>
            </w:pPr>
            <w:r>
              <w:rPr>
                <w:rFonts w:eastAsia="Times New Roman" w:hint="eastAsia"/>
                <w:color w:val="000000"/>
                <w:lang w:eastAsia="zh-CN"/>
              </w:rPr>
              <w:t>0.04 (0.02)</w:t>
            </w:r>
          </w:p>
        </w:tc>
        <w:tc>
          <w:tcPr>
            <w:tcW w:w="813" w:type="pct"/>
          </w:tcPr>
          <w:p w14:paraId="32EB7B05" w14:textId="267B5E3E" w:rsidR="001D5186" w:rsidRDefault="001D5186" w:rsidP="00FA4903">
            <w:pPr>
              <w:jc w:val="center"/>
              <w:rPr>
                <w:rFonts w:eastAsia="Times New Roman"/>
                <w:color w:val="000000"/>
              </w:rPr>
            </w:pPr>
            <w:r>
              <w:rPr>
                <w:rFonts w:eastAsia="Times New Roman" w:hint="eastAsia"/>
                <w:color w:val="000000"/>
                <w:lang w:eastAsia="zh-CN"/>
              </w:rPr>
              <w:t>0.05</w:t>
            </w:r>
          </w:p>
        </w:tc>
        <w:tc>
          <w:tcPr>
            <w:tcW w:w="429" w:type="pct"/>
            <w:noWrap/>
          </w:tcPr>
          <w:p w14:paraId="4A70552B" w14:textId="2707D6D9" w:rsidR="001D5186" w:rsidRDefault="001D5186" w:rsidP="00FA4903">
            <w:pPr>
              <w:jc w:val="center"/>
              <w:rPr>
                <w:rFonts w:eastAsia="Times New Roman"/>
                <w:color w:val="000000"/>
              </w:rPr>
            </w:pPr>
            <w:r>
              <w:rPr>
                <w:rFonts w:eastAsia="Times New Roman"/>
                <w:color w:val="000000"/>
              </w:rPr>
              <w:t>0.</w:t>
            </w:r>
            <w:r>
              <w:rPr>
                <w:rFonts w:eastAsia="Times New Roman" w:hint="eastAsia"/>
                <w:color w:val="000000"/>
                <w:lang w:eastAsia="zh-CN"/>
              </w:rPr>
              <w:t>1</w:t>
            </w:r>
            <w:r>
              <w:rPr>
                <w:rFonts w:eastAsia="Times New Roman"/>
                <w:color w:val="000000"/>
              </w:rPr>
              <w:t>0</w:t>
            </w:r>
          </w:p>
        </w:tc>
      </w:tr>
      <w:tr w:rsidR="001D5186" w:rsidRPr="00AD2848" w14:paraId="03A041E8" w14:textId="77777777" w:rsidTr="00FA4903">
        <w:trPr>
          <w:trHeight w:val="322"/>
        </w:trPr>
        <w:tc>
          <w:tcPr>
            <w:tcW w:w="2795" w:type="pct"/>
            <w:noWrap/>
            <w:vAlign w:val="center"/>
          </w:tcPr>
          <w:p w14:paraId="1AB216FB" w14:textId="77777777" w:rsidR="001D5186" w:rsidRPr="006421DC" w:rsidRDefault="001D5186" w:rsidP="00B44003">
            <w:pPr>
              <w:jc w:val="center"/>
              <w:rPr>
                <w:rFonts w:eastAsia="Times New Roman"/>
                <w:color w:val="000000"/>
              </w:rPr>
            </w:pPr>
            <w:r w:rsidRPr="006421DC">
              <w:rPr>
                <w:rFonts w:eastAsia="Times New Roman"/>
                <w:color w:val="000000"/>
              </w:rPr>
              <w:t>SAB_T1</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SDQ_T1</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3D285CD2" w14:textId="77777777" w:rsidR="001D5186" w:rsidRPr="00AD2848" w:rsidRDefault="001D5186" w:rsidP="00FA4903">
            <w:pPr>
              <w:jc w:val="center"/>
              <w:rPr>
                <w:rFonts w:eastAsia="Times New Roman"/>
                <w:color w:val="000000"/>
              </w:rPr>
            </w:pPr>
            <w:r>
              <w:rPr>
                <w:rFonts w:eastAsia="Times New Roman" w:hint="eastAsia"/>
                <w:color w:val="000000"/>
                <w:lang w:eastAsia="zh-CN"/>
              </w:rPr>
              <w:t>2.08 (2.06)</w:t>
            </w:r>
          </w:p>
        </w:tc>
        <w:tc>
          <w:tcPr>
            <w:tcW w:w="813" w:type="pct"/>
          </w:tcPr>
          <w:p w14:paraId="08F5DAF4" w14:textId="4D0EBBD6" w:rsidR="001D5186" w:rsidRDefault="001D5186" w:rsidP="00FA4903">
            <w:pPr>
              <w:jc w:val="center"/>
              <w:rPr>
                <w:rFonts w:eastAsia="Times New Roman"/>
                <w:color w:val="000000"/>
                <w:lang w:eastAsia="zh-CN"/>
              </w:rPr>
            </w:pPr>
            <w:r>
              <w:rPr>
                <w:rFonts w:eastAsia="Times New Roman" w:hint="eastAsia"/>
                <w:color w:val="000000"/>
                <w:lang w:eastAsia="zh-CN"/>
              </w:rPr>
              <w:t>0.06</w:t>
            </w:r>
          </w:p>
        </w:tc>
        <w:tc>
          <w:tcPr>
            <w:tcW w:w="429" w:type="pct"/>
            <w:noWrap/>
          </w:tcPr>
          <w:p w14:paraId="507DC2A0" w14:textId="0EDB2A63" w:rsidR="001D5186" w:rsidRDefault="001D5186" w:rsidP="00FA4903">
            <w:pPr>
              <w:jc w:val="center"/>
              <w:rPr>
                <w:rFonts w:eastAsia="Times New Roman"/>
                <w:color w:val="000000"/>
              </w:rPr>
            </w:pPr>
            <w:r>
              <w:rPr>
                <w:rFonts w:eastAsia="Times New Roman" w:hint="eastAsia"/>
                <w:color w:val="000000"/>
                <w:lang w:eastAsia="zh-CN"/>
              </w:rPr>
              <w:t>0.31</w:t>
            </w:r>
          </w:p>
        </w:tc>
      </w:tr>
      <w:tr w:rsidR="001D5186" w:rsidRPr="00AD2848" w14:paraId="4CCAE3F1" w14:textId="77777777" w:rsidTr="00FA4903">
        <w:trPr>
          <w:trHeight w:val="322"/>
        </w:trPr>
        <w:tc>
          <w:tcPr>
            <w:tcW w:w="2795" w:type="pct"/>
            <w:noWrap/>
            <w:vAlign w:val="center"/>
          </w:tcPr>
          <w:p w14:paraId="360D033A" w14:textId="77777777" w:rsidR="001D5186" w:rsidRPr="006421DC" w:rsidRDefault="001D5186" w:rsidP="00B44003">
            <w:pPr>
              <w:jc w:val="center"/>
              <w:rPr>
                <w:rFonts w:eastAsia="Times New Roman"/>
                <w:color w:val="000000"/>
              </w:rPr>
            </w:pPr>
            <w:r w:rsidRPr="006421DC">
              <w:rPr>
                <w:rFonts w:eastAsia="Times New Roman"/>
                <w:color w:val="000000"/>
              </w:rPr>
              <w:t>SAB_T</w:t>
            </w:r>
            <w:r>
              <w:rPr>
                <w:rFonts w:eastAsia="Times New Roman"/>
                <w:color w:val="000000"/>
              </w:rPr>
              <w:t>2</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2</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2C41866A" w14:textId="77777777" w:rsidR="001D5186" w:rsidRPr="00AD2848" w:rsidRDefault="001D5186" w:rsidP="00FA4903">
            <w:pPr>
              <w:jc w:val="center"/>
              <w:rPr>
                <w:rFonts w:eastAsia="Times New Roman"/>
                <w:color w:val="000000"/>
              </w:rPr>
            </w:pPr>
            <w:r>
              <w:rPr>
                <w:rFonts w:eastAsia="Times New Roman" w:hint="eastAsia"/>
                <w:color w:val="000000"/>
                <w:lang w:eastAsia="zh-CN"/>
              </w:rPr>
              <w:t>20.00 (3.03)</w:t>
            </w:r>
          </w:p>
        </w:tc>
        <w:tc>
          <w:tcPr>
            <w:tcW w:w="813" w:type="pct"/>
          </w:tcPr>
          <w:p w14:paraId="7F4254F6" w14:textId="31C61E01" w:rsidR="001D5186" w:rsidRDefault="001D5186" w:rsidP="00FA4903">
            <w:pPr>
              <w:jc w:val="center"/>
              <w:rPr>
                <w:rFonts w:eastAsia="Times New Roman"/>
                <w:color w:val="000000"/>
                <w:lang w:eastAsia="zh-CN"/>
              </w:rPr>
            </w:pPr>
            <w:r>
              <w:rPr>
                <w:rFonts w:eastAsia="Times New Roman" w:hint="eastAsia"/>
                <w:color w:val="000000"/>
                <w:lang w:eastAsia="zh-CN"/>
              </w:rPr>
              <w:t>0.64</w:t>
            </w:r>
          </w:p>
        </w:tc>
        <w:tc>
          <w:tcPr>
            <w:tcW w:w="429" w:type="pct"/>
            <w:noWrap/>
          </w:tcPr>
          <w:p w14:paraId="68CE48C7" w14:textId="5ADD84F3" w:rsidR="001D5186" w:rsidRDefault="001D5186" w:rsidP="00FA4903">
            <w:pPr>
              <w:jc w:val="center"/>
              <w:rPr>
                <w:rFonts w:eastAsia="Times New Roman"/>
                <w:color w:val="000000"/>
              </w:rPr>
            </w:pPr>
            <w:r>
              <w:rPr>
                <w:rFonts w:eastAsia="Times New Roman"/>
                <w:color w:val="000000"/>
              </w:rPr>
              <w:t>0.</w:t>
            </w:r>
            <w:r>
              <w:rPr>
                <w:rFonts w:eastAsia="Times New Roman" w:hint="eastAsia"/>
                <w:color w:val="000000"/>
                <w:lang w:eastAsia="zh-CN"/>
              </w:rPr>
              <w:t>00</w:t>
            </w:r>
          </w:p>
        </w:tc>
      </w:tr>
      <w:tr w:rsidR="001D5186" w:rsidRPr="00AD2848" w14:paraId="2916AF51" w14:textId="77777777" w:rsidTr="00FA4903">
        <w:trPr>
          <w:trHeight w:val="322"/>
        </w:trPr>
        <w:tc>
          <w:tcPr>
            <w:tcW w:w="2795" w:type="pct"/>
            <w:noWrap/>
            <w:vAlign w:val="center"/>
          </w:tcPr>
          <w:p w14:paraId="1E9772BD" w14:textId="77777777" w:rsidR="001D5186" w:rsidRPr="006421DC" w:rsidRDefault="001D5186" w:rsidP="00B44003">
            <w:pPr>
              <w:jc w:val="center"/>
              <w:rPr>
                <w:rFonts w:eastAsia="Times New Roman"/>
                <w:color w:val="000000"/>
              </w:rPr>
            </w:pPr>
            <w:r w:rsidRPr="006421DC">
              <w:rPr>
                <w:rFonts w:eastAsia="Times New Roman"/>
                <w:color w:val="000000"/>
              </w:rPr>
              <w:t>SAB_T</w:t>
            </w:r>
            <w:r>
              <w:rPr>
                <w:rFonts w:eastAsia="Times New Roman"/>
                <w:color w:val="000000"/>
              </w:rPr>
              <w:t>3</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3</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33197C80" w14:textId="77777777" w:rsidR="001D5186" w:rsidRPr="00AD2848" w:rsidRDefault="001D5186" w:rsidP="00FA4903">
            <w:pPr>
              <w:jc w:val="center"/>
              <w:rPr>
                <w:rFonts w:eastAsia="Times New Roman"/>
                <w:color w:val="000000"/>
              </w:rPr>
            </w:pPr>
            <w:r>
              <w:rPr>
                <w:rFonts w:eastAsia="Times New Roman" w:hint="eastAsia"/>
                <w:color w:val="000000"/>
                <w:lang w:eastAsia="zh-CN"/>
              </w:rPr>
              <w:t>4.86 (1.85)</w:t>
            </w:r>
          </w:p>
        </w:tc>
        <w:tc>
          <w:tcPr>
            <w:tcW w:w="813" w:type="pct"/>
          </w:tcPr>
          <w:p w14:paraId="70880268" w14:textId="12A331D4" w:rsidR="001D5186" w:rsidRPr="00AD2848" w:rsidRDefault="001D5186" w:rsidP="00FA4903">
            <w:pPr>
              <w:jc w:val="center"/>
              <w:rPr>
                <w:rFonts w:eastAsia="Times New Roman"/>
                <w:color w:val="000000"/>
                <w:lang w:eastAsia="zh-CN"/>
              </w:rPr>
            </w:pPr>
            <w:r>
              <w:rPr>
                <w:rFonts w:eastAsia="Times New Roman" w:hint="eastAsia"/>
                <w:color w:val="000000"/>
                <w:lang w:eastAsia="zh-CN"/>
              </w:rPr>
              <w:t>0.12</w:t>
            </w:r>
          </w:p>
        </w:tc>
        <w:tc>
          <w:tcPr>
            <w:tcW w:w="429" w:type="pct"/>
            <w:noWrap/>
          </w:tcPr>
          <w:p w14:paraId="73CA0B0C" w14:textId="2EC256C8" w:rsidR="001D5186" w:rsidRDefault="001D5186" w:rsidP="00FA4903">
            <w:pPr>
              <w:jc w:val="center"/>
              <w:rPr>
                <w:rFonts w:eastAsia="Times New Roman"/>
                <w:color w:val="000000"/>
              </w:rPr>
            </w:pPr>
            <w:r w:rsidRPr="00AD2848">
              <w:rPr>
                <w:rFonts w:eastAsia="Times New Roman"/>
                <w:color w:val="000000"/>
              </w:rPr>
              <w:t>0.</w:t>
            </w:r>
            <w:r>
              <w:rPr>
                <w:rFonts w:eastAsia="Times New Roman" w:hint="eastAsia"/>
                <w:color w:val="000000"/>
                <w:lang w:eastAsia="zh-CN"/>
              </w:rPr>
              <w:t>01</w:t>
            </w:r>
          </w:p>
        </w:tc>
      </w:tr>
      <w:tr w:rsidR="001D5186" w:rsidRPr="00AD2848" w14:paraId="5592E58E" w14:textId="77777777" w:rsidTr="00FA4903">
        <w:trPr>
          <w:trHeight w:val="322"/>
        </w:trPr>
        <w:tc>
          <w:tcPr>
            <w:tcW w:w="2795" w:type="pct"/>
            <w:noWrap/>
            <w:vAlign w:val="center"/>
          </w:tcPr>
          <w:p w14:paraId="665075E3" w14:textId="77777777" w:rsidR="001D5186" w:rsidRPr="006421DC" w:rsidRDefault="001D5186" w:rsidP="00B44003">
            <w:pPr>
              <w:jc w:val="center"/>
              <w:rPr>
                <w:rFonts w:eastAsia="Times New Roman"/>
                <w:color w:val="000000"/>
              </w:rPr>
            </w:pPr>
            <w:r w:rsidRPr="006421DC">
              <w:rPr>
                <w:rFonts w:eastAsia="Times New Roman"/>
                <w:color w:val="000000"/>
              </w:rPr>
              <w:t>SAB_T</w:t>
            </w:r>
            <w:r>
              <w:rPr>
                <w:rFonts w:eastAsia="Times New Roman"/>
                <w:color w:val="000000"/>
              </w:rPr>
              <w:t>4</w:t>
            </w:r>
            <w:r w:rsidRPr="006421DC">
              <w:rPr>
                <w:rFonts w:eastAsia="Times New Roman"/>
                <w:color w:val="000000"/>
                <w:vertAlign w:val="superscript"/>
              </w:rPr>
              <w:t>m</w:t>
            </w:r>
            <w:r>
              <w:rPr>
                <w:rFonts w:eastAsia="Times New Roman" w:hint="eastAsia"/>
                <w:color w:val="000000"/>
                <w:vertAlign w:val="superscript"/>
                <w:lang w:eastAsia="zh-CN"/>
              </w:rPr>
              <w:t xml:space="preserve"> </w:t>
            </w:r>
            <m:oMath>
              <m:r>
                <w:rPr>
                  <w:rFonts w:ascii="Cambria Math" w:eastAsia="Times New Roman" w:hAnsi="Cambria Math" w:cs="Microsoft Himalaya"/>
                  <w:color w:val="000000"/>
                  <w:lang w:eastAsia="zh-CN"/>
                </w:rPr>
                <m:t>⟷</m:t>
              </m:r>
            </m:oMath>
            <w:r>
              <w:rPr>
                <w:rFonts w:ascii="Microsoft Himalaya" w:eastAsia="Times New Roman" w:hAnsi="Microsoft Himalaya" w:cs="Microsoft Himalaya" w:hint="eastAsia"/>
                <w:color w:val="000000"/>
                <w:lang w:eastAsia="zh-CN"/>
              </w:rPr>
              <w:t xml:space="preserve"> </w:t>
            </w:r>
            <w:r w:rsidRPr="00AD2848">
              <w:rPr>
                <w:rFonts w:eastAsia="Times New Roman"/>
                <w:color w:val="000000"/>
              </w:rPr>
              <w:t>SDQ_T</w:t>
            </w:r>
            <w:r>
              <w:rPr>
                <w:rFonts w:eastAsia="Times New Roman"/>
                <w:color w:val="000000"/>
              </w:rPr>
              <w:t>4</w:t>
            </w:r>
            <w:r w:rsidRPr="006421DC">
              <w:rPr>
                <w:rFonts w:eastAsia="Times New Roman"/>
                <w:color w:val="000000"/>
                <w:vertAlign w:val="superscript"/>
              </w:rPr>
              <w:t xml:space="preserve"> </w:t>
            </w:r>
            <w:r>
              <w:rPr>
                <w:rFonts w:eastAsia="Times New Roman"/>
                <w:color w:val="000000"/>
                <w:vertAlign w:val="superscript"/>
              </w:rPr>
              <w:t>c</w:t>
            </w:r>
          </w:p>
        </w:tc>
        <w:tc>
          <w:tcPr>
            <w:tcW w:w="963" w:type="pct"/>
            <w:noWrap/>
          </w:tcPr>
          <w:p w14:paraId="37C77FE6" w14:textId="77777777" w:rsidR="001D5186" w:rsidRPr="00AD2848" w:rsidRDefault="001D5186" w:rsidP="00FA4903">
            <w:pPr>
              <w:jc w:val="center"/>
              <w:rPr>
                <w:rFonts w:eastAsia="Times New Roman"/>
                <w:color w:val="000000"/>
              </w:rPr>
            </w:pPr>
            <w:r>
              <w:rPr>
                <w:rFonts w:eastAsia="Times New Roman" w:hint="eastAsia"/>
                <w:color w:val="000000"/>
                <w:lang w:eastAsia="zh-CN"/>
              </w:rPr>
              <w:t>0.39 (0.77)</w:t>
            </w:r>
          </w:p>
        </w:tc>
        <w:tc>
          <w:tcPr>
            <w:tcW w:w="813" w:type="pct"/>
          </w:tcPr>
          <w:p w14:paraId="72E2804B" w14:textId="20A0AC4C" w:rsidR="001D5186" w:rsidRDefault="001D5186" w:rsidP="00FA4903">
            <w:pPr>
              <w:jc w:val="center"/>
              <w:rPr>
                <w:rFonts w:eastAsia="Times New Roman"/>
                <w:color w:val="000000"/>
                <w:lang w:eastAsia="zh-CN"/>
              </w:rPr>
            </w:pPr>
            <w:r>
              <w:rPr>
                <w:rFonts w:eastAsia="Times New Roman" w:hint="eastAsia"/>
                <w:color w:val="000000"/>
                <w:lang w:eastAsia="zh-CN"/>
              </w:rPr>
              <w:t>0.02</w:t>
            </w:r>
          </w:p>
        </w:tc>
        <w:tc>
          <w:tcPr>
            <w:tcW w:w="429" w:type="pct"/>
            <w:noWrap/>
          </w:tcPr>
          <w:p w14:paraId="7B826CBF" w14:textId="2CD14220" w:rsidR="001D5186" w:rsidRDefault="001D5186" w:rsidP="00FA4903">
            <w:pPr>
              <w:jc w:val="center"/>
              <w:rPr>
                <w:rFonts w:eastAsia="Times New Roman"/>
                <w:color w:val="000000"/>
                <w:lang w:eastAsia="zh-CN"/>
              </w:rPr>
            </w:pPr>
            <w:r>
              <w:rPr>
                <w:rFonts w:eastAsia="Times New Roman"/>
                <w:color w:val="000000"/>
              </w:rPr>
              <w:t>0.61</w:t>
            </w:r>
          </w:p>
        </w:tc>
      </w:tr>
    </w:tbl>
    <w:p w14:paraId="1812B38E" w14:textId="5DC1D601" w:rsidR="00E7673C" w:rsidRPr="00621DC3" w:rsidRDefault="00DA2A25" w:rsidP="00E7673C">
      <w:pPr>
        <w:rPr>
          <w:lang w:eastAsia="zh-CN"/>
        </w:rPr>
      </w:pPr>
      <w:r w:rsidRPr="00356096">
        <w:rPr>
          <w:i/>
        </w:rPr>
        <w:t>Note</w:t>
      </w:r>
      <w:r w:rsidRPr="00B11895">
        <w:t xml:space="preserve">: </w:t>
      </w:r>
      <w:r w:rsidRPr="00B11895">
        <w:rPr>
          <w:rFonts w:hint="eastAsia"/>
          <w:lang w:eastAsia="zh-CN"/>
        </w:rPr>
        <w:t>SAB</w:t>
      </w:r>
      <w:r w:rsidR="00621DC3">
        <w:rPr>
          <w:lang w:eastAsia="zh-CN"/>
        </w:rPr>
        <w:t xml:space="preserve"> =</w:t>
      </w:r>
      <w:r w:rsidRPr="00B11895">
        <w:t xml:space="preserve"> Sectarian Antisocial Behavior; SDQ</w:t>
      </w:r>
      <w:r w:rsidR="00621DC3">
        <w:t xml:space="preserve"> =</w:t>
      </w:r>
      <w:r w:rsidRPr="00B11895">
        <w:t xml:space="preserve"> Adjustment Problem.</w:t>
      </w:r>
      <w:r w:rsidR="00621DC3">
        <w:t xml:space="preserve"> </w:t>
      </w:r>
      <w:r w:rsidR="00621DC3" w:rsidRPr="00B11895">
        <w:t>.</w:t>
      </w:r>
      <w:r w:rsidR="00621DC3">
        <w:t xml:space="preserve"> </w:t>
      </w:r>
      <w:r w:rsidR="00621DC3" w:rsidRPr="004418EF">
        <w:rPr>
          <w:vertAlign w:val="superscript"/>
        </w:rPr>
        <w:t>c</w:t>
      </w:r>
      <w:r w:rsidR="00621DC3">
        <w:t xml:space="preserve"> = child report; </w:t>
      </w:r>
      <w:r w:rsidR="00621DC3" w:rsidRPr="004418EF">
        <w:rPr>
          <w:vertAlign w:val="superscript"/>
        </w:rPr>
        <w:t>m</w:t>
      </w:r>
      <w:r w:rsidR="00621DC3">
        <w:t xml:space="preserve"> = mother report.</w:t>
      </w:r>
      <w:r w:rsidR="00356096">
        <w:rPr>
          <w:rFonts w:hint="eastAsia"/>
          <w:lang w:eastAsia="zh-CN"/>
        </w:rPr>
        <w:t xml:space="preserve"> </w:t>
      </w:r>
      <w:r w:rsidR="00E7673C">
        <w:t>Confi</w:t>
      </w:r>
      <w:r w:rsidR="00E7673C">
        <w:rPr>
          <w:rFonts w:hint="eastAsia"/>
          <w:lang w:eastAsia="zh-CN"/>
        </w:rPr>
        <w:t xml:space="preserve">dence </w:t>
      </w:r>
      <w:r w:rsidR="00E7673C" w:rsidRPr="00621DC3">
        <w:rPr>
          <w:lang w:eastAsia="zh-CN"/>
        </w:rPr>
        <w:t>interval can be calculated as (unstandardized coefficients</w:t>
      </w:r>
      <m:oMath>
        <m:r>
          <w:rPr>
            <w:rFonts w:ascii="Cambria Math" w:hAnsi="Cambria Math"/>
            <w:lang w:eastAsia="zh-CN"/>
          </w:rPr>
          <m:t>)±1.96×</m:t>
        </m:r>
      </m:oMath>
      <w:r w:rsidR="00E7673C" w:rsidRPr="00621DC3">
        <w:rPr>
          <w:lang w:eastAsia="zh-CN"/>
        </w:rPr>
        <w:t>(standard error).</w:t>
      </w:r>
    </w:p>
    <w:p w14:paraId="057F74E5" w14:textId="537229FE" w:rsidR="00DA2A25" w:rsidRPr="00356096" w:rsidRDefault="00DA2A25" w:rsidP="00DA2A25">
      <w:pPr>
        <w:spacing w:line="480" w:lineRule="auto"/>
        <w:rPr>
          <w:i/>
          <w:lang w:eastAsia="zh-CN"/>
        </w:rPr>
      </w:pPr>
      <w:r w:rsidRPr="00621DC3">
        <w:rPr>
          <w:rFonts w:eastAsia="Times New Roman"/>
          <w:color w:val="000000"/>
          <w:vertAlign w:val="superscript"/>
          <w:lang w:eastAsia="zh-CN"/>
        </w:rPr>
        <w:t>*</w:t>
      </w:r>
      <w:r w:rsidRPr="00621DC3">
        <w:rPr>
          <w:rFonts w:eastAsia="Times New Roman"/>
          <w:i/>
          <w:color w:val="000000"/>
          <w:lang w:eastAsia="zh-CN"/>
        </w:rPr>
        <w:t xml:space="preserve">p </w:t>
      </w:r>
      <w:r w:rsidRPr="00621DC3">
        <w:rPr>
          <w:rFonts w:eastAsia="Times New Roman"/>
          <w:color w:val="000000"/>
          <w:lang w:eastAsia="zh-CN"/>
        </w:rPr>
        <w:t>&lt; 0.05.</w:t>
      </w:r>
      <w:r w:rsidR="00EE3DA1">
        <w:rPr>
          <w:rFonts w:eastAsia="Times New Roman"/>
          <w:color w:val="000000"/>
          <w:lang w:eastAsia="zh-CN"/>
        </w:rPr>
        <w:t xml:space="preserve"> </w:t>
      </w:r>
      <w:r w:rsidRPr="00621DC3">
        <w:rPr>
          <w:rFonts w:eastAsia="Times New Roman"/>
          <w:color w:val="000000"/>
          <w:vertAlign w:val="superscript"/>
          <w:lang w:eastAsia="zh-CN"/>
        </w:rPr>
        <w:t>**</w:t>
      </w:r>
      <w:r w:rsidRPr="00621DC3">
        <w:rPr>
          <w:rFonts w:eastAsia="Times New Roman"/>
          <w:i/>
          <w:color w:val="000000"/>
          <w:lang w:eastAsia="zh-CN"/>
        </w:rPr>
        <w:t xml:space="preserve">p </w:t>
      </w:r>
      <w:r w:rsidRPr="00621DC3">
        <w:rPr>
          <w:rFonts w:eastAsia="Times New Roman"/>
          <w:color w:val="000000"/>
          <w:lang w:eastAsia="zh-CN"/>
        </w:rPr>
        <w:t>&lt; 0.01.</w:t>
      </w:r>
      <w:r w:rsidR="00EE3DA1">
        <w:rPr>
          <w:rFonts w:eastAsia="Times New Roman"/>
          <w:color w:val="000000"/>
          <w:lang w:eastAsia="zh-CN"/>
        </w:rPr>
        <w:t xml:space="preserve"> </w:t>
      </w:r>
    </w:p>
    <w:p w14:paraId="05B428AC" w14:textId="45B68C3E" w:rsidR="00DA2A25" w:rsidRDefault="00EE3DA1" w:rsidP="00DA2A25">
      <w:pPr>
        <w:spacing w:line="480" w:lineRule="auto"/>
        <w:rPr>
          <w:rFonts w:ascii="&lt;0.05" w:hAnsi="&lt;0.05" w:hint="eastAsia"/>
          <w:i/>
          <w:lang w:eastAsia="zh-CN"/>
        </w:rPr>
      </w:pPr>
      <w:r>
        <w:rPr>
          <w:rFonts w:ascii="&lt;0.05" w:hAnsi="&lt;0.05" w:hint="eastAsia"/>
          <w:i/>
          <w:lang w:eastAsia="zh-CN"/>
        </w:rPr>
        <w:t xml:space="preserve"> </w:t>
      </w:r>
    </w:p>
    <w:p w14:paraId="6B88F9CA" w14:textId="77777777" w:rsidR="00DA2A25" w:rsidRDefault="00DA2A25" w:rsidP="00DA2A25">
      <w:pPr>
        <w:spacing w:line="480" w:lineRule="auto"/>
        <w:rPr>
          <w:rFonts w:ascii="&lt;0.05" w:hAnsi="&lt;0.05" w:hint="eastAsia"/>
          <w:i/>
          <w:lang w:eastAsia="zh-CN"/>
        </w:rPr>
      </w:pPr>
    </w:p>
    <w:p w14:paraId="30AE8860" w14:textId="77777777" w:rsidR="00DA2A25" w:rsidRDefault="00DA2A25" w:rsidP="00DA2A25">
      <w:pPr>
        <w:spacing w:line="480" w:lineRule="auto"/>
        <w:rPr>
          <w:rFonts w:ascii="&lt;0.05" w:hAnsi="&lt;0.05" w:hint="eastAsia"/>
          <w:i/>
          <w:lang w:eastAsia="zh-CN"/>
        </w:rPr>
      </w:pPr>
    </w:p>
    <w:p w14:paraId="5EB1BC45" w14:textId="77777777" w:rsidR="00621DC3" w:rsidRDefault="00621DC3">
      <w:pPr>
        <w:spacing w:after="200" w:line="276" w:lineRule="auto"/>
        <w:rPr>
          <w:b/>
          <w:lang w:eastAsia="zh-CN"/>
        </w:rPr>
      </w:pPr>
      <w:r>
        <w:rPr>
          <w:b/>
          <w:lang w:eastAsia="zh-CN"/>
        </w:rPr>
        <w:br w:type="page"/>
      </w:r>
    </w:p>
    <w:p w14:paraId="32B2949B" w14:textId="703BD14E" w:rsidR="00DA2A25" w:rsidRPr="00356096" w:rsidRDefault="00DA2A25" w:rsidP="00DA2A25">
      <w:pPr>
        <w:spacing w:line="480" w:lineRule="auto"/>
        <w:jc w:val="center"/>
        <w:rPr>
          <w:b/>
          <w:lang w:eastAsia="zh-CN"/>
        </w:rPr>
      </w:pPr>
      <w:r w:rsidRPr="00356096">
        <w:rPr>
          <w:b/>
          <w:lang w:eastAsia="zh-CN"/>
        </w:rPr>
        <w:lastRenderedPageBreak/>
        <w:t>Figure</w:t>
      </w:r>
      <w:r w:rsidR="00621DC3">
        <w:rPr>
          <w:b/>
          <w:lang w:eastAsia="zh-CN"/>
        </w:rPr>
        <w:t>s</w:t>
      </w:r>
    </w:p>
    <w:p w14:paraId="07FBCDF6" w14:textId="17665F1E" w:rsidR="00DA2A25" w:rsidRDefault="00DA2A25" w:rsidP="00DA2A25">
      <w:pPr>
        <w:spacing w:line="480" w:lineRule="auto"/>
        <w:rPr>
          <w:lang w:eastAsia="zh-CN"/>
        </w:rPr>
      </w:pPr>
      <w:r w:rsidRPr="00C0178A">
        <w:rPr>
          <w:i/>
          <w:lang w:eastAsia="zh-CN"/>
        </w:rPr>
        <w:t>Figure 1</w:t>
      </w:r>
      <w:r w:rsidRPr="00C0178A">
        <w:rPr>
          <w:lang w:eastAsia="zh-CN"/>
        </w:rPr>
        <w:t xml:space="preserve">. </w:t>
      </w:r>
      <w:r>
        <w:rPr>
          <w:lang w:eastAsia="zh-CN"/>
        </w:rPr>
        <w:t>Overall Bidirectional Model of the One-year Lagged Effects of Sectarian Antisocial Behavior (SAB) and Total Adjustment Problems (SDQ) Over Four Years</w:t>
      </w:r>
      <w:r>
        <w:rPr>
          <w:rFonts w:hint="eastAsia"/>
          <w:lang w:eastAsia="zh-CN"/>
        </w:rPr>
        <w:t>.</w:t>
      </w:r>
      <w:r w:rsidRPr="00714201">
        <w:rPr>
          <w:lang w:eastAsia="zh-CN"/>
        </w:rPr>
        <w:t xml:space="preserve"> </w:t>
      </w:r>
      <w:r w:rsidRPr="00C0178A">
        <w:rPr>
          <w:lang w:eastAsia="zh-CN"/>
        </w:rPr>
        <w:t>*</w:t>
      </w:r>
      <w:r w:rsidRPr="00621DC3">
        <w:rPr>
          <w:i/>
          <w:lang w:eastAsia="zh-CN"/>
        </w:rPr>
        <w:t>p</w:t>
      </w:r>
      <w:r w:rsidRPr="00714201">
        <w:rPr>
          <w:lang w:eastAsia="zh-CN"/>
        </w:rPr>
        <w:t xml:space="preserve"> &lt; .0</w:t>
      </w:r>
      <w:r>
        <w:rPr>
          <w:lang w:eastAsia="zh-CN"/>
        </w:rPr>
        <w:t xml:space="preserve">5; </w:t>
      </w:r>
      <w:r w:rsidRPr="00C0178A">
        <w:rPr>
          <w:lang w:eastAsia="zh-CN"/>
        </w:rPr>
        <w:t>**</w:t>
      </w:r>
      <w:r w:rsidRPr="00621DC3">
        <w:rPr>
          <w:i/>
          <w:lang w:eastAsia="zh-CN"/>
        </w:rPr>
        <w:t>p</w:t>
      </w:r>
      <w:r w:rsidRPr="00714201">
        <w:rPr>
          <w:lang w:eastAsia="zh-CN"/>
        </w:rPr>
        <w:t xml:space="preserve"> &lt; .01</w:t>
      </w:r>
      <w:r>
        <w:rPr>
          <w:rFonts w:hint="eastAsia"/>
          <w:lang w:eastAsia="zh-CN"/>
        </w:rPr>
        <w:t>.</w:t>
      </w:r>
    </w:p>
    <w:p w14:paraId="62190D10" w14:textId="54E4A7DC" w:rsidR="00DA2A25" w:rsidRDefault="00DA2A25" w:rsidP="00DA2A25">
      <w:pPr>
        <w:spacing w:line="480" w:lineRule="auto"/>
      </w:pPr>
      <w:r w:rsidRPr="00C0178A">
        <w:rPr>
          <w:i/>
          <w:lang w:eastAsia="zh-CN"/>
        </w:rPr>
        <w:t xml:space="preserve">Figure </w:t>
      </w:r>
      <w:r>
        <w:rPr>
          <w:i/>
          <w:lang w:eastAsia="zh-CN"/>
        </w:rPr>
        <w:t>2</w:t>
      </w:r>
      <w:r w:rsidRPr="00C0178A">
        <w:rPr>
          <w:lang w:eastAsia="zh-CN"/>
        </w:rPr>
        <w:t xml:space="preserve">. </w:t>
      </w:r>
      <w:r>
        <w:t xml:space="preserve">Multiple Group Bidirectional Model Fit Separately for Girls (in </w:t>
      </w:r>
      <w:r w:rsidRPr="003C6B7D">
        <w:rPr>
          <w:b/>
        </w:rPr>
        <w:t>bold</w:t>
      </w:r>
      <w:r>
        <w:t>) and Boys (</w:t>
      </w:r>
      <w:r w:rsidR="006D0692">
        <w:t>unbolded</w:t>
      </w:r>
      <w:r>
        <w:t>) of the One-year Lagged Effects of Sectarian Antisocial Behavior (SAB) and Total Adjustment Problems (SDQ) Over Four Years. Within-wave correlations between Study Variables along with Two- and Three-year Auto-regressive paths within Each Construct are omitted for Readability.</w:t>
      </w:r>
      <w:r w:rsidRPr="00EC19C9">
        <w:t xml:space="preserve"> </w:t>
      </w:r>
      <w:r w:rsidRPr="00D91B14">
        <w:rPr>
          <w:vertAlign w:val="superscript"/>
        </w:rPr>
        <w:t>*</w:t>
      </w:r>
      <w:r w:rsidRPr="00714201">
        <w:rPr>
          <w:i/>
        </w:rPr>
        <w:t>p</w:t>
      </w:r>
      <w:r w:rsidRPr="00714201">
        <w:t xml:space="preserve"> &lt; .0</w:t>
      </w:r>
      <w:r>
        <w:t xml:space="preserve">5; </w:t>
      </w:r>
      <w:r w:rsidRPr="00D91B14">
        <w:rPr>
          <w:vertAlign w:val="superscript"/>
        </w:rPr>
        <w:t>**</w:t>
      </w:r>
      <w:r w:rsidRPr="00714201">
        <w:rPr>
          <w:i/>
        </w:rPr>
        <w:t>p</w:t>
      </w:r>
      <w:r w:rsidRPr="00714201">
        <w:t xml:space="preserve"> &lt; .01</w:t>
      </w:r>
      <w:r>
        <w:t xml:space="preserve"> (these values are provided in the table)</w:t>
      </w:r>
      <w:r w:rsidRPr="00714201">
        <w:t>.</w:t>
      </w:r>
    </w:p>
    <w:p w14:paraId="76170F94" w14:textId="77777777" w:rsidR="00DA2A25" w:rsidRDefault="00DA2A25" w:rsidP="00DA2A25">
      <w:pPr>
        <w:spacing w:line="480" w:lineRule="auto"/>
        <w:rPr>
          <w:rFonts w:ascii="&lt;0.05" w:hAnsi="&lt;0.05" w:hint="eastAsia"/>
          <w:i/>
          <w:lang w:eastAsia="zh-CN"/>
        </w:rPr>
      </w:pPr>
    </w:p>
    <w:p w14:paraId="6DBD88C3" w14:textId="77777777" w:rsidR="00DA2A25" w:rsidRDefault="00DA2A25" w:rsidP="00DA2A25">
      <w:pPr>
        <w:spacing w:line="480" w:lineRule="auto"/>
        <w:rPr>
          <w:rFonts w:ascii="&lt;0.05" w:hAnsi="&lt;0.05" w:hint="eastAsia"/>
          <w:i/>
          <w:lang w:eastAsia="zh-CN"/>
        </w:rPr>
      </w:pPr>
    </w:p>
    <w:p w14:paraId="1B34A58A" w14:textId="77777777" w:rsidR="00DA2A25" w:rsidRDefault="00DA2A25" w:rsidP="00DA2A25">
      <w:pPr>
        <w:spacing w:line="480" w:lineRule="auto"/>
        <w:rPr>
          <w:rFonts w:ascii="&lt;0.05" w:hAnsi="&lt;0.05" w:hint="eastAsia"/>
          <w:i/>
          <w:lang w:eastAsia="zh-CN"/>
        </w:rPr>
      </w:pPr>
    </w:p>
    <w:p w14:paraId="4DBF6CFC" w14:textId="77777777" w:rsidR="00DA2A25" w:rsidRDefault="00DA2A25" w:rsidP="00DA2A25">
      <w:pPr>
        <w:spacing w:line="480" w:lineRule="auto"/>
        <w:rPr>
          <w:rFonts w:ascii="&lt;0.05" w:hAnsi="&lt;0.05" w:hint="eastAsia"/>
          <w:i/>
          <w:lang w:eastAsia="zh-CN"/>
        </w:rPr>
      </w:pPr>
    </w:p>
    <w:p w14:paraId="43C4CED2" w14:textId="77777777" w:rsidR="00DA2A25" w:rsidRDefault="00DA2A25" w:rsidP="00DA2A25">
      <w:pPr>
        <w:spacing w:line="480" w:lineRule="auto"/>
        <w:rPr>
          <w:rFonts w:ascii="&lt;0.05" w:hAnsi="&lt;0.05" w:hint="eastAsia"/>
          <w:i/>
          <w:lang w:eastAsia="zh-CN"/>
        </w:rPr>
      </w:pPr>
    </w:p>
    <w:p w14:paraId="703F2EDE" w14:textId="77777777" w:rsidR="00DA2A25" w:rsidRDefault="00DA2A25" w:rsidP="00DA2A25">
      <w:pPr>
        <w:spacing w:line="480" w:lineRule="auto"/>
        <w:rPr>
          <w:rFonts w:ascii="&lt;0.05" w:hAnsi="&lt;0.05" w:hint="eastAsia"/>
          <w:i/>
          <w:lang w:eastAsia="zh-CN"/>
        </w:rPr>
      </w:pPr>
    </w:p>
    <w:p w14:paraId="42F60005" w14:textId="77777777" w:rsidR="00DA2A25" w:rsidRDefault="00DA2A25" w:rsidP="00DA2A25">
      <w:pPr>
        <w:spacing w:line="480" w:lineRule="auto"/>
        <w:rPr>
          <w:rFonts w:ascii="&lt;0.05" w:hAnsi="&lt;0.05" w:hint="eastAsia"/>
          <w:i/>
          <w:lang w:eastAsia="zh-CN"/>
        </w:rPr>
      </w:pPr>
    </w:p>
    <w:p w14:paraId="726BA5F1" w14:textId="77777777" w:rsidR="00DA2A25" w:rsidRDefault="00DA2A25" w:rsidP="007D021B">
      <w:pPr>
        <w:spacing w:line="480" w:lineRule="auto"/>
        <w:jc w:val="center"/>
      </w:pPr>
    </w:p>
    <w:p w14:paraId="26C9FE7F" w14:textId="77777777" w:rsidR="00DA2A25" w:rsidRDefault="00DA2A25" w:rsidP="007D021B">
      <w:pPr>
        <w:spacing w:line="480" w:lineRule="auto"/>
        <w:jc w:val="center"/>
      </w:pPr>
    </w:p>
    <w:p w14:paraId="2E351000" w14:textId="77777777" w:rsidR="00DA2A25" w:rsidRDefault="00DA2A25" w:rsidP="007D021B">
      <w:pPr>
        <w:spacing w:line="480" w:lineRule="auto"/>
        <w:jc w:val="center"/>
      </w:pPr>
    </w:p>
    <w:p w14:paraId="44B39CE0" w14:textId="77777777" w:rsidR="00DA2A25" w:rsidRDefault="00DA2A25" w:rsidP="007D021B">
      <w:pPr>
        <w:spacing w:line="480" w:lineRule="auto"/>
        <w:jc w:val="center"/>
      </w:pPr>
    </w:p>
    <w:p w14:paraId="39962527" w14:textId="77777777" w:rsidR="00DA2A25" w:rsidRDefault="00DA2A25" w:rsidP="007D021B">
      <w:pPr>
        <w:spacing w:line="480" w:lineRule="auto"/>
        <w:jc w:val="center"/>
      </w:pPr>
    </w:p>
    <w:p w14:paraId="501C1299" w14:textId="77777777" w:rsidR="00DA2A25" w:rsidRDefault="00DA2A25" w:rsidP="007D021B">
      <w:pPr>
        <w:spacing w:line="480" w:lineRule="auto"/>
        <w:jc w:val="center"/>
      </w:pPr>
    </w:p>
    <w:p w14:paraId="600251B8" w14:textId="77777777" w:rsidR="00DA2A25" w:rsidRDefault="00DA2A25" w:rsidP="007D021B">
      <w:pPr>
        <w:spacing w:line="480" w:lineRule="auto"/>
        <w:jc w:val="center"/>
      </w:pPr>
    </w:p>
    <w:p w14:paraId="5405ED63" w14:textId="77777777" w:rsidR="00DA2A25" w:rsidRDefault="00DA2A25" w:rsidP="007D021B">
      <w:pPr>
        <w:spacing w:line="480" w:lineRule="auto"/>
        <w:jc w:val="center"/>
      </w:pPr>
    </w:p>
    <w:p w14:paraId="0270DE3D" w14:textId="77777777" w:rsidR="00DA2A25" w:rsidRDefault="00DA2A25" w:rsidP="007D021B">
      <w:pPr>
        <w:spacing w:line="480" w:lineRule="auto"/>
        <w:jc w:val="center"/>
      </w:pPr>
    </w:p>
    <w:p w14:paraId="3F0A7385" w14:textId="77777777" w:rsidR="00DA2A25" w:rsidRDefault="00997487" w:rsidP="007D021B">
      <w:pPr>
        <w:spacing w:line="480" w:lineRule="auto"/>
        <w:jc w:val="center"/>
      </w:pPr>
      <w:r>
        <w:rPr>
          <w:noProof/>
          <w:lang w:val="en-GB" w:eastAsia="en-GB"/>
        </w:rPr>
        <w:drawing>
          <wp:inline distT="0" distB="0" distL="0" distR="0" wp14:anchorId="584DC89E" wp14:editId="3B1634B5">
            <wp:extent cx="5943600" cy="445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EFE995A" w14:textId="77777777" w:rsidR="00DA2A25" w:rsidRPr="00F21862" w:rsidRDefault="00997487" w:rsidP="007D021B">
      <w:pPr>
        <w:spacing w:line="480" w:lineRule="auto"/>
        <w:jc w:val="center"/>
      </w:pPr>
      <w:r>
        <w:rPr>
          <w:noProof/>
          <w:lang w:val="en-GB" w:eastAsia="en-GB"/>
        </w:rPr>
        <w:lastRenderedPageBreak/>
        <w:drawing>
          <wp:inline distT="0" distB="0" distL="0" distR="0" wp14:anchorId="5DF0DF64" wp14:editId="7CB6DEC9">
            <wp:extent cx="5943600" cy="4457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sectPr w:rsidR="00DA2A25" w:rsidRPr="00F21862">
      <w:headerReference w:type="default" r:id="rId2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EF101" w15:done="0"/>
  <w15:commentEx w15:paraId="205B2A3C" w15:done="0"/>
  <w15:commentEx w15:paraId="5F7B8D1E" w15:done="0"/>
  <w15:commentEx w15:paraId="0C2BF86F" w15:done="0"/>
  <w15:commentEx w15:paraId="5DEFE965" w15:done="0"/>
  <w15:commentEx w15:paraId="093CBB1D" w15:done="0"/>
  <w15:commentEx w15:paraId="2CE720BE" w15:done="0"/>
  <w15:commentEx w15:paraId="28DAE524" w15:done="0"/>
  <w15:commentEx w15:paraId="72DFDDD2" w15:done="0"/>
  <w15:commentEx w15:paraId="5D7F6181" w15:done="0"/>
  <w15:commentEx w15:paraId="33D2DA19" w15:done="0"/>
  <w15:commentEx w15:paraId="6813DA6E" w15:done="0"/>
  <w15:commentEx w15:paraId="2B859825" w15:done="0"/>
  <w15:commentEx w15:paraId="48975884" w15:done="0"/>
  <w15:commentEx w15:paraId="0DFE2D15" w15:done="0"/>
  <w15:commentEx w15:paraId="224C3DF5" w15:done="0"/>
  <w15:commentEx w15:paraId="4E29AD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C05AE" w14:textId="77777777" w:rsidR="00E173B8" w:rsidRDefault="00E173B8" w:rsidP="00BD0CF7">
      <w:r>
        <w:separator/>
      </w:r>
    </w:p>
  </w:endnote>
  <w:endnote w:type="continuationSeparator" w:id="0">
    <w:p w14:paraId="54B4384A" w14:textId="77777777" w:rsidR="00E173B8" w:rsidRDefault="00E173B8" w:rsidP="00BD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f9433e2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t;0.05">
    <w:altName w:val="Times New Roman"/>
    <w:panose1 w:val="00000000000000000000"/>
    <w:charset w:val="00"/>
    <w:family w:val="roman"/>
    <w:notTrueType/>
    <w:pitch w:val="default"/>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0C15" w14:textId="77777777" w:rsidR="00E173B8" w:rsidRDefault="00E173B8" w:rsidP="00BD0CF7">
      <w:r>
        <w:separator/>
      </w:r>
    </w:p>
  </w:footnote>
  <w:footnote w:type="continuationSeparator" w:id="0">
    <w:p w14:paraId="16DA049E" w14:textId="77777777" w:rsidR="00E173B8" w:rsidRDefault="00E173B8" w:rsidP="00BD0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6923" w14:textId="78C6A858" w:rsidR="00612C54" w:rsidRPr="00BD0CF7" w:rsidRDefault="00612C54" w:rsidP="00C23BEE">
    <w:pPr>
      <w:pStyle w:val="Header"/>
      <w:jc w:val="right"/>
      <w:rPr>
        <w:rFonts w:ascii="Times New Roman" w:hAnsi="Times New Roman" w:cs="Times New Roman"/>
        <w:sz w:val="24"/>
        <w:szCs w:val="24"/>
      </w:rPr>
    </w:pPr>
    <w:r w:rsidRPr="00BD0CF7">
      <w:rPr>
        <w:rFonts w:ascii="Times New Roman" w:hAnsi="Times New Roman" w:cs="Times New Roman"/>
        <w:sz w:val="24"/>
        <w:szCs w:val="24"/>
      </w:rPr>
      <w:t xml:space="preserve">Bidirectional Relations, Political Violence and </w:t>
    </w:r>
    <w:r>
      <w:rPr>
        <w:rFonts w:ascii="Times New Roman" w:hAnsi="Times New Roman" w:cs="Times New Roman"/>
        <w:sz w:val="24"/>
        <w:szCs w:val="24"/>
      </w:rPr>
      <w:t xml:space="preserve">Adolescent </w:t>
    </w:r>
    <w:r w:rsidRPr="00BD0CF7">
      <w:rPr>
        <w:rFonts w:ascii="Times New Roman" w:hAnsi="Times New Roman" w:cs="Times New Roman"/>
        <w:sz w:val="24"/>
        <w:szCs w:val="24"/>
      </w:rPr>
      <w:t xml:space="preserve">Adjustment </w:t>
    </w:r>
    <w:r w:rsidRPr="00BD0CF7">
      <w:rPr>
        <w:rFonts w:ascii="Times New Roman" w:hAnsi="Times New Roman" w:cs="Times New Roman"/>
        <w:sz w:val="24"/>
        <w:szCs w:val="24"/>
      </w:rPr>
      <w:fldChar w:fldCharType="begin"/>
    </w:r>
    <w:r w:rsidRPr="00BD0CF7">
      <w:rPr>
        <w:rFonts w:ascii="Times New Roman" w:hAnsi="Times New Roman" w:cs="Times New Roman"/>
        <w:sz w:val="24"/>
        <w:szCs w:val="24"/>
      </w:rPr>
      <w:instrText xml:space="preserve"> PAGE   \* MERGEFORMAT </w:instrText>
    </w:r>
    <w:r w:rsidRPr="00BD0CF7">
      <w:rPr>
        <w:rFonts w:ascii="Times New Roman" w:hAnsi="Times New Roman" w:cs="Times New Roman"/>
        <w:sz w:val="24"/>
        <w:szCs w:val="24"/>
      </w:rPr>
      <w:fldChar w:fldCharType="separate"/>
    </w:r>
    <w:r w:rsidR="007F46CD">
      <w:rPr>
        <w:rFonts w:ascii="Times New Roman" w:hAnsi="Times New Roman" w:cs="Times New Roman"/>
        <w:noProof/>
        <w:sz w:val="24"/>
        <w:szCs w:val="24"/>
      </w:rPr>
      <w:t>2</w:t>
    </w:r>
    <w:r w:rsidRPr="00BD0CF7">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D6878"/>
    <w:multiLevelType w:val="hybridMultilevel"/>
    <w:tmpl w:val="FED4DA2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65CFF"/>
    <w:multiLevelType w:val="hybridMultilevel"/>
    <w:tmpl w:val="E03E599E"/>
    <w:lvl w:ilvl="0" w:tplc="D5443822">
      <w:numFmt w:val="bullet"/>
      <w:lvlText w:val=""/>
      <w:lvlJc w:val="left"/>
      <w:pPr>
        <w:ind w:left="720" w:hanging="360"/>
      </w:pPr>
      <w:rPr>
        <w:rFonts w:ascii="Wingdings" w:eastAsia="SimSun" w:hAnsi="Wingdings"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649F8"/>
    <w:multiLevelType w:val="hybridMultilevel"/>
    <w:tmpl w:val="18A4C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Taylor">
    <w15:presenceInfo w15:providerId="None" w15:userId="Laura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62"/>
    <w:rsid w:val="00004446"/>
    <w:rsid w:val="000050D8"/>
    <w:rsid w:val="000050FD"/>
    <w:rsid w:val="00013FBE"/>
    <w:rsid w:val="0002038F"/>
    <w:rsid w:val="00022F31"/>
    <w:rsid w:val="000233E2"/>
    <w:rsid w:val="000302AF"/>
    <w:rsid w:val="00030506"/>
    <w:rsid w:val="00032C3A"/>
    <w:rsid w:val="0003450A"/>
    <w:rsid w:val="00035F03"/>
    <w:rsid w:val="0004410E"/>
    <w:rsid w:val="00047648"/>
    <w:rsid w:val="000534D7"/>
    <w:rsid w:val="0005430A"/>
    <w:rsid w:val="0005595C"/>
    <w:rsid w:val="00056CF2"/>
    <w:rsid w:val="00061C58"/>
    <w:rsid w:val="000666A9"/>
    <w:rsid w:val="000667D2"/>
    <w:rsid w:val="0006748F"/>
    <w:rsid w:val="00072142"/>
    <w:rsid w:val="00073627"/>
    <w:rsid w:val="00075E23"/>
    <w:rsid w:val="00085111"/>
    <w:rsid w:val="00086AF6"/>
    <w:rsid w:val="00093FBF"/>
    <w:rsid w:val="0009617E"/>
    <w:rsid w:val="00097030"/>
    <w:rsid w:val="000A3D5C"/>
    <w:rsid w:val="000A62FB"/>
    <w:rsid w:val="000A787D"/>
    <w:rsid w:val="000B4263"/>
    <w:rsid w:val="000C07D8"/>
    <w:rsid w:val="000D1C31"/>
    <w:rsid w:val="000D2AA4"/>
    <w:rsid w:val="000D63B6"/>
    <w:rsid w:val="000D6B03"/>
    <w:rsid w:val="000E0D9E"/>
    <w:rsid w:val="000E11BC"/>
    <w:rsid w:val="000E2BC1"/>
    <w:rsid w:val="000E409E"/>
    <w:rsid w:val="000E4AEC"/>
    <w:rsid w:val="000F573D"/>
    <w:rsid w:val="000F667C"/>
    <w:rsid w:val="000F7F6D"/>
    <w:rsid w:val="0010005B"/>
    <w:rsid w:val="00101965"/>
    <w:rsid w:val="00104EF9"/>
    <w:rsid w:val="00110002"/>
    <w:rsid w:val="001102E0"/>
    <w:rsid w:val="0011137F"/>
    <w:rsid w:val="001125A7"/>
    <w:rsid w:val="00122225"/>
    <w:rsid w:val="00126A9A"/>
    <w:rsid w:val="00126D71"/>
    <w:rsid w:val="001301C3"/>
    <w:rsid w:val="00140846"/>
    <w:rsid w:val="00140F28"/>
    <w:rsid w:val="0014777B"/>
    <w:rsid w:val="0015148E"/>
    <w:rsid w:val="00152BA5"/>
    <w:rsid w:val="00156784"/>
    <w:rsid w:val="00156B83"/>
    <w:rsid w:val="0016074D"/>
    <w:rsid w:val="00162035"/>
    <w:rsid w:val="00167266"/>
    <w:rsid w:val="001678D7"/>
    <w:rsid w:val="001A4BEC"/>
    <w:rsid w:val="001B406F"/>
    <w:rsid w:val="001B41D0"/>
    <w:rsid w:val="001B48F3"/>
    <w:rsid w:val="001B68AC"/>
    <w:rsid w:val="001B7B3F"/>
    <w:rsid w:val="001C0CCE"/>
    <w:rsid w:val="001C5156"/>
    <w:rsid w:val="001C5932"/>
    <w:rsid w:val="001C69E4"/>
    <w:rsid w:val="001C7262"/>
    <w:rsid w:val="001D2A9A"/>
    <w:rsid w:val="001D5186"/>
    <w:rsid w:val="001D6095"/>
    <w:rsid w:val="001E0FE8"/>
    <w:rsid w:val="001E182E"/>
    <w:rsid w:val="001E1F7E"/>
    <w:rsid w:val="001E64F1"/>
    <w:rsid w:val="001E6FE6"/>
    <w:rsid w:val="001E7B0C"/>
    <w:rsid w:val="001F230C"/>
    <w:rsid w:val="001F65B5"/>
    <w:rsid w:val="002014BB"/>
    <w:rsid w:val="0021052A"/>
    <w:rsid w:val="002108D9"/>
    <w:rsid w:val="002122D7"/>
    <w:rsid w:val="00220E03"/>
    <w:rsid w:val="0022656A"/>
    <w:rsid w:val="00233078"/>
    <w:rsid w:val="00237DA4"/>
    <w:rsid w:val="00240043"/>
    <w:rsid w:val="002465E4"/>
    <w:rsid w:val="0025100C"/>
    <w:rsid w:val="002550C9"/>
    <w:rsid w:val="002556A7"/>
    <w:rsid w:val="002644C9"/>
    <w:rsid w:val="00264560"/>
    <w:rsid w:val="00267E62"/>
    <w:rsid w:val="00286DA9"/>
    <w:rsid w:val="00291530"/>
    <w:rsid w:val="00293EB6"/>
    <w:rsid w:val="002A03F2"/>
    <w:rsid w:val="002A49F4"/>
    <w:rsid w:val="002A6C96"/>
    <w:rsid w:val="002B0695"/>
    <w:rsid w:val="002B1E80"/>
    <w:rsid w:val="002B611D"/>
    <w:rsid w:val="002B6C21"/>
    <w:rsid w:val="002C35B3"/>
    <w:rsid w:val="002C6575"/>
    <w:rsid w:val="002D4E63"/>
    <w:rsid w:val="002D5B2E"/>
    <w:rsid w:val="002D7C3F"/>
    <w:rsid w:val="002F0160"/>
    <w:rsid w:val="002F27ED"/>
    <w:rsid w:val="002F6C13"/>
    <w:rsid w:val="002F6C4C"/>
    <w:rsid w:val="00302A6D"/>
    <w:rsid w:val="00317D09"/>
    <w:rsid w:val="00327DE0"/>
    <w:rsid w:val="00331EAC"/>
    <w:rsid w:val="00332974"/>
    <w:rsid w:val="003330E2"/>
    <w:rsid w:val="003334A1"/>
    <w:rsid w:val="00333B6D"/>
    <w:rsid w:val="00336125"/>
    <w:rsid w:val="003376D0"/>
    <w:rsid w:val="00350451"/>
    <w:rsid w:val="0035094B"/>
    <w:rsid w:val="003553BF"/>
    <w:rsid w:val="00356096"/>
    <w:rsid w:val="00362540"/>
    <w:rsid w:val="003629BC"/>
    <w:rsid w:val="003660DF"/>
    <w:rsid w:val="00372D81"/>
    <w:rsid w:val="0037646F"/>
    <w:rsid w:val="0038311F"/>
    <w:rsid w:val="00383E51"/>
    <w:rsid w:val="00384D7D"/>
    <w:rsid w:val="00392BBD"/>
    <w:rsid w:val="0039649B"/>
    <w:rsid w:val="00397C61"/>
    <w:rsid w:val="003A22C8"/>
    <w:rsid w:val="003A65D5"/>
    <w:rsid w:val="003A7FBB"/>
    <w:rsid w:val="003B05E5"/>
    <w:rsid w:val="003B396E"/>
    <w:rsid w:val="003B3E75"/>
    <w:rsid w:val="003C07E3"/>
    <w:rsid w:val="003C11F1"/>
    <w:rsid w:val="003C6115"/>
    <w:rsid w:val="003D28F1"/>
    <w:rsid w:val="003D3205"/>
    <w:rsid w:val="003E011C"/>
    <w:rsid w:val="003E42EF"/>
    <w:rsid w:val="003E57DF"/>
    <w:rsid w:val="003E6BE8"/>
    <w:rsid w:val="003E6F67"/>
    <w:rsid w:val="003F062A"/>
    <w:rsid w:val="003F2124"/>
    <w:rsid w:val="003F5D75"/>
    <w:rsid w:val="003F6516"/>
    <w:rsid w:val="003F691F"/>
    <w:rsid w:val="0040122D"/>
    <w:rsid w:val="00401831"/>
    <w:rsid w:val="00403B95"/>
    <w:rsid w:val="0040536F"/>
    <w:rsid w:val="00405888"/>
    <w:rsid w:val="00410A7B"/>
    <w:rsid w:val="0042592F"/>
    <w:rsid w:val="00426AF4"/>
    <w:rsid w:val="004273F1"/>
    <w:rsid w:val="0042749A"/>
    <w:rsid w:val="00430946"/>
    <w:rsid w:val="00435448"/>
    <w:rsid w:val="004374BE"/>
    <w:rsid w:val="00437C05"/>
    <w:rsid w:val="00443F55"/>
    <w:rsid w:val="00447E9E"/>
    <w:rsid w:val="00450368"/>
    <w:rsid w:val="004511B7"/>
    <w:rsid w:val="00455E5C"/>
    <w:rsid w:val="004601A5"/>
    <w:rsid w:val="00461608"/>
    <w:rsid w:val="004627AB"/>
    <w:rsid w:val="00467CDD"/>
    <w:rsid w:val="0047396D"/>
    <w:rsid w:val="0047442A"/>
    <w:rsid w:val="00474E65"/>
    <w:rsid w:val="0047727A"/>
    <w:rsid w:val="0049445F"/>
    <w:rsid w:val="004A69E6"/>
    <w:rsid w:val="004A6E74"/>
    <w:rsid w:val="004B0599"/>
    <w:rsid w:val="004B20A1"/>
    <w:rsid w:val="004B22A8"/>
    <w:rsid w:val="004B46AC"/>
    <w:rsid w:val="004B5FDB"/>
    <w:rsid w:val="004C09EC"/>
    <w:rsid w:val="004C1046"/>
    <w:rsid w:val="004C22F1"/>
    <w:rsid w:val="004C4701"/>
    <w:rsid w:val="004D1ADD"/>
    <w:rsid w:val="004D57E6"/>
    <w:rsid w:val="004E4130"/>
    <w:rsid w:val="004E5B0A"/>
    <w:rsid w:val="004F0BFF"/>
    <w:rsid w:val="004F1B87"/>
    <w:rsid w:val="004F2203"/>
    <w:rsid w:val="004F497B"/>
    <w:rsid w:val="00500024"/>
    <w:rsid w:val="005068C4"/>
    <w:rsid w:val="00517121"/>
    <w:rsid w:val="00524CA5"/>
    <w:rsid w:val="00531ED2"/>
    <w:rsid w:val="005338C3"/>
    <w:rsid w:val="00536EB8"/>
    <w:rsid w:val="00541760"/>
    <w:rsid w:val="00541D02"/>
    <w:rsid w:val="00542AF5"/>
    <w:rsid w:val="0054515A"/>
    <w:rsid w:val="00546605"/>
    <w:rsid w:val="00550DE7"/>
    <w:rsid w:val="005532C5"/>
    <w:rsid w:val="005706DB"/>
    <w:rsid w:val="00581104"/>
    <w:rsid w:val="00587C7A"/>
    <w:rsid w:val="005906C7"/>
    <w:rsid w:val="005A30F7"/>
    <w:rsid w:val="005B47D6"/>
    <w:rsid w:val="005B743E"/>
    <w:rsid w:val="005C1518"/>
    <w:rsid w:val="005C574C"/>
    <w:rsid w:val="005D292E"/>
    <w:rsid w:val="005D5891"/>
    <w:rsid w:val="005E0760"/>
    <w:rsid w:val="005F0D82"/>
    <w:rsid w:val="005F45F5"/>
    <w:rsid w:val="006010F8"/>
    <w:rsid w:val="00602F71"/>
    <w:rsid w:val="006042B0"/>
    <w:rsid w:val="006111CF"/>
    <w:rsid w:val="006112F2"/>
    <w:rsid w:val="00612C54"/>
    <w:rsid w:val="00620018"/>
    <w:rsid w:val="00621DC3"/>
    <w:rsid w:val="0063307D"/>
    <w:rsid w:val="006359E5"/>
    <w:rsid w:val="00640A30"/>
    <w:rsid w:val="00641D9C"/>
    <w:rsid w:val="00643D11"/>
    <w:rsid w:val="0064442D"/>
    <w:rsid w:val="00646E5D"/>
    <w:rsid w:val="00646F8E"/>
    <w:rsid w:val="00650056"/>
    <w:rsid w:val="0065070D"/>
    <w:rsid w:val="0065452A"/>
    <w:rsid w:val="00664BF0"/>
    <w:rsid w:val="00667D0B"/>
    <w:rsid w:val="00672FA2"/>
    <w:rsid w:val="0067312A"/>
    <w:rsid w:val="00676E6C"/>
    <w:rsid w:val="006853B8"/>
    <w:rsid w:val="00687333"/>
    <w:rsid w:val="00692AA3"/>
    <w:rsid w:val="0069556B"/>
    <w:rsid w:val="00697382"/>
    <w:rsid w:val="006A0657"/>
    <w:rsid w:val="006A3FC9"/>
    <w:rsid w:val="006B6230"/>
    <w:rsid w:val="006C1A71"/>
    <w:rsid w:val="006D0692"/>
    <w:rsid w:val="006D1593"/>
    <w:rsid w:val="006D39D4"/>
    <w:rsid w:val="006D7481"/>
    <w:rsid w:val="006E3089"/>
    <w:rsid w:val="006E33A2"/>
    <w:rsid w:val="006E4C76"/>
    <w:rsid w:val="006F2DE8"/>
    <w:rsid w:val="00701411"/>
    <w:rsid w:val="00711404"/>
    <w:rsid w:val="00712AA7"/>
    <w:rsid w:val="0071557E"/>
    <w:rsid w:val="00725265"/>
    <w:rsid w:val="007270DF"/>
    <w:rsid w:val="0072768F"/>
    <w:rsid w:val="00735B69"/>
    <w:rsid w:val="007411FC"/>
    <w:rsid w:val="00741DD9"/>
    <w:rsid w:val="00743D91"/>
    <w:rsid w:val="007453E6"/>
    <w:rsid w:val="00745435"/>
    <w:rsid w:val="00747230"/>
    <w:rsid w:val="007525C4"/>
    <w:rsid w:val="0075284D"/>
    <w:rsid w:val="0076572D"/>
    <w:rsid w:val="007708E0"/>
    <w:rsid w:val="007758E2"/>
    <w:rsid w:val="00790AD4"/>
    <w:rsid w:val="007A1203"/>
    <w:rsid w:val="007A2A84"/>
    <w:rsid w:val="007A6BE9"/>
    <w:rsid w:val="007C261B"/>
    <w:rsid w:val="007C55A8"/>
    <w:rsid w:val="007C591D"/>
    <w:rsid w:val="007D021B"/>
    <w:rsid w:val="007D7285"/>
    <w:rsid w:val="007E0189"/>
    <w:rsid w:val="007E0344"/>
    <w:rsid w:val="007E745B"/>
    <w:rsid w:val="007F46CD"/>
    <w:rsid w:val="007F61BE"/>
    <w:rsid w:val="007F642A"/>
    <w:rsid w:val="007F7236"/>
    <w:rsid w:val="007F7688"/>
    <w:rsid w:val="00823001"/>
    <w:rsid w:val="0083233B"/>
    <w:rsid w:val="008328D1"/>
    <w:rsid w:val="0083425C"/>
    <w:rsid w:val="00853736"/>
    <w:rsid w:val="008545C0"/>
    <w:rsid w:val="008609F9"/>
    <w:rsid w:val="00862350"/>
    <w:rsid w:val="00864FED"/>
    <w:rsid w:val="008710AD"/>
    <w:rsid w:val="0087703B"/>
    <w:rsid w:val="00885F45"/>
    <w:rsid w:val="008869C6"/>
    <w:rsid w:val="008944C5"/>
    <w:rsid w:val="008946E9"/>
    <w:rsid w:val="008950DF"/>
    <w:rsid w:val="00895F76"/>
    <w:rsid w:val="008960E7"/>
    <w:rsid w:val="008A3BF6"/>
    <w:rsid w:val="008A4D7C"/>
    <w:rsid w:val="008A780F"/>
    <w:rsid w:val="008B318C"/>
    <w:rsid w:val="008B487A"/>
    <w:rsid w:val="008C03EF"/>
    <w:rsid w:val="008C0665"/>
    <w:rsid w:val="008C23A5"/>
    <w:rsid w:val="008C24AE"/>
    <w:rsid w:val="008C60DD"/>
    <w:rsid w:val="008C7B25"/>
    <w:rsid w:val="008D1BB2"/>
    <w:rsid w:val="008D4699"/>
    <w:rsid w:val="008E1923"/>
    <w:rsid w:val="008E3285"/>
    <w:rsid w:val="008E3AB9"/>
    <w:rsid w:val="008F494D"/>
    <w:rsid w:val="008F7C25"/>
    <w:rsid w:val="00905A74"/>
    <w:rsid w:val="009062A9"/>
    <w:rsid w:val="009072EB"/>
    <w:rsid w:val="00907812"/>
    <w:rsid w:val="009078E2"/>
    <w:rsid w:val="00912D33"/>
    <w:rsid w:val="00920075"/>
    <w:rsid w:val="00921DFE"/>
    <w:rsid w:val="00927A9E"/>
    <w:rsid w:val="0093246E"/>
    <w:rsid w:val="009429D1"/>
    <w:rsid w:val="0096232D"/>
    <w:rsid w:val="00962A46"/>
    <w:rsid w:val="0097164B"/>
    <w:rsid w:val="009761C3"/>
    <w:rsid w:val="009805B2"/>
    <w:rsid w:val="00982E67"/>
    <w:rsid w:val="009845AC"/>
    <w:rsid w:val="00986C21"/>
    <w:rsid w:val="009911A0"/>
    <w:rsid w:val="0099184B"/>
    <w:rsid w:val="00991EBA"/>
    <w:rsid w:val="009953E4"/>
    <w:rsid w:val="00997487"/>
    <w:rsid w:val="009978C0"/>
    <w:rsid w:val="009A0BBC"/>
    <w:rsid w:val="009B62A7"/>
    <w:rsid w:val="009C0526"/>
    <w:rsid w:val="009C06A3"/>
    <w:rsid w:val="009C1956"/>
    <w:rsid w:val="009C19F4"/>
    <w:rsid w:val="009C1C80"/>
    <w:rsid w:val="009C3C5E"/>
    <w:rsid w:val="009C71E9"/>
    <w:rsid w:val="009C7FE9"/>
    <w:rsid w:val="009D0D54"/>
    <w:rsid w:val="009D255E"/>
    <w:rsid w:val="009D7F3C"/>
    <w:rsid w:val="009F2E4F"/>
    <w:rsid w:val="00A12860"/>
    <w:rsid w:val="00A158BC"/>
    <w:rsid w:val="00A16BA1"/>
    <w:rsid w:val="00A2168A"/>
    <w:rsid w:val="00A22D55"/>
    <w:rsid w:val="00A26A61"/>
    <w:rsid w:val="00A328B7"/>
    <w:rsid w:val="00A36AA8"/>
    <w:rsid w:val="00A4311E"/>
    <w:rsid w:val="00A4551D"/>
    <w:rsid w:val="00A474F6"/>
    <w:rsid w:val="00A47C39"/>
    <w:rsid w:val="00A47DCB"/>
    <w:rsid w:val="00A50A8E"/>
    <w:rsid w:val="00A55D0F"/>
    <w:rsid w:val="00A640CD"/>
    <w:rsid w:val="00A805C0"/>
    <w:rsid w:val="00A84C29"/>
    <w:rsid w:val="00A86C79"/>
    <w:rsid w:val="00A872C8"/>
    <w:rsid w:val="00A87A9D"/>
    <w:rsid w:val="00A91969"/>
    <w:rsid w:val="00A94082"/>
    <w:rsid w:val="00A96AD3"/>
    <w:rsid w:val="00AA28ED"/>
    <w:rsid w:val="00AA2A74"/>
    <w:rsid w:val="00AA2F04"/>
    <w:rsid w:val="00AA4566"/>
    <w:rsid w:val="00AB0207"/>
    <w:rsid w:val="00AB055F"/>
    <w:rsid w:val="00AB4BF1"/>
    <w:rsid w:val="00AB5F1E"/>
    <w:rsid w:val="00AC022F"/>
    <w:rsid w:val="00AC31EC"/>
    <w:rsid w:val="00AD4C04"/>
    <w:rsid w:val="00AD5539"/>
    <w:rsid w:val="00AD6385"/>
    <w:rsid w:val="00AD760B"/>
    <w:rsid w:val="00AD79E2"/>
    <w:rsid w:val="00AF245B"/>
    <w:rsid w:val="00B030D4"/>
    <w:rsid w:val="00B23C3B"/>
    <w:rsid w:val="00B25839"/>
    <w:rsid w:val="00B268A5"/>
    <w:rsid w:val="00B27CD7"/>
    <w:rsid w:val="00B32BB4"/>
    <w:rsid w:val="00B3401A"/>
    <w:rsid w:val="00B40FD2"/>
    <w:rsid w:val="00B43F05"/>
    <w:rsid w:val="00B44003"/>
    <w:rsid w:val="00B50B54"/>
    <w:rsid w:val="00B62245"/>
    <w:rsid w:val="00B63CE1"/>
    <w:rsid w:val="00B658A1"/>
    <w:rsid w:val="00B670D3"/>
    <w:rsid w:val="00B70BBA"/>
    <w:rsid w:val="00B71D8F"/>
    <w:rsid w:val="00B73015"/>
    <w:rsid w:val="00B84F08"/>
    <w:rsid w:val="00B85807"/>
    <w:rsid w:val="00B94593"/>
    <w:rsid w:val="00BA5C46"/>
    <w:rsid w:val="00BB49C2"/>
    <w:rsid w:val="00BC1C52"/>
    <w:rsid w:val="00BC5811"/>
    <w:rsid w:val="00BC6026"/>
    <w:rsid w:val="00BD0CF7"/>
    <w:rsid w:val="00BD4B8F"/>
    <w:rsid w:val="00BD53F4"/>
    <w:rsid w:val="00BD761B"/>
    <w:rsid w:val="00BD7E0E"/>
    <w:rsid w:val="00BE00BD"/>
    <w:rsid w:val="00BE6021"/>
    <w:rsid w:val="00BF3F89"/>
    <w:rsid w:val="00C070BE"/>
    <w:rsid w:val="00C07574"/>
    <w:rsid w:val="00C1057B"/>
    <w:rsid w:val="00C135B6"/>
    <w:rsid w:val="00C20182"/>
    <w:rsid w:val="00C201EB"/>
    <w:rsid w:val="00C23BEE"/>
    <w:rsid w:val="00C25F6C"/>
    <w:rsid w:val="00C30C76"/>
    <w:rsid w:val="00C41600"/>
    <w:rsid w:val="00C4243F"/>
    <w:rsid w:val="00C43367"/>
    <w:rsid w:val="00C52979"/>
    <w:rsid w:val="00C52B8B"/>
    <w:rsid w:val="00C563FD"/>
    <w:rsid w:val="00C57CA4"/>
    <w:rsid w:val="00C63916"/>
    <w:rsid w:val="00C63AEF"/>
    <w:rsid w:val="00C67C62"/>
    <w:rsid w:val="00C73A17"/>
    <w:rsid w:val="00C74FCC"/>
    <w:rsid w:val="00C9183F"/>
    <w:rsid w:val="00C94326"/>
    <w:rsid w:val="00C9695A"/>
    <w:rsid w:val="00C97BD3"/>
    <w:rsid w:val="00CA087A"/>
    <w:rsid w:val="00CA4A15"/>
    <w:rsid w:val="00CA68E8"/>
    <w:rsid w:val="00CB03FD"/>
    <w:rsid w:val="00CB167F"/>
    <w:rsid w:val="00CB3D4D"/>
    <w:rsid w:val="00CC680C"/>
    <w:rsid w:val="00CC69F8"/>
    <w:rsid w:val="00CC71B0"/>
    <w:rsid w:val="00CD1272"/>
    <w:rsid w:val="00CD2DF4"/>
    <w:rsid w:val="00CD65AC"/>
    <w:rsid w:val="00CD7DFF"/>
    <w:rsid w:val="00CE342F"/>
    <w:rsid w:val="00CF1F46"/>
    <w:rsid w:val="00D103DE"/>
    <w:rsid w:val="00D16CB8"/>
    <w:rsid w:val="00D20E2C"/>
    <w:rsid w:val="00D2452F"/>
    <w:rsid w:val="00D24743"/>
    <w:rsid w:val="00D24D1E"/>
    <w:rsid w:val="00D27530"/>
    <w:rsid w:val="00D37DB4"/>
    <w:rsid w:val="00D43598"/>
    <w:rsid w:val="00D47DF5"/>
    <w:rsid w:val="00D520E6"/>
    <w:rsid w:val="00D52DDA"/>
    <w:rsid w:val="00D531AA"/>
    <w:rsid w:val="00D67067"/>
    <w:rsid w:val="00D80233"/>
    <w:rsid w:val="00D817BE"/>
    <w:rsid w:val="00D834FC"/>
    <w:rsid w:val="00D920F6"/>
    <w:rsid w:val="00D94FEF"/>
    <w:rsid w:val="00D95518"/>
    <w:rsid w:val="00D97DE0"/>
    <w:rsid w:val="00DA1E0A"/>
    <w:rsid w:val="00DA2A25"/>
    <w:rsid w:val="00DA4D99"/>
    <w:rsid w:val="00DB1874"/>
    <w:rsid w:val="00DB6065"/>
    <w:rsid w:val="00DC534D"/>
    <w:rsid w:val="00DD0625"/>
    <w:rsid w:val="00DD32CD"/>
    <w:rsid w:val="00DD3D7D"/>
    <w:rsid w:val="00DE2AA7"/>
    <w:rsid w:val="00DE2AFE"/>
    <w:rsid w:val="00DE5D90"/>
    <w:rsid w:val="00DE6A2E"/>
    <w:rsid w:val="00DF2D5E"/>
    <w:rsid w:val="00DF5967"/>
    <w:rsid w:val="00E04BF7"/>
    <w:rsid w:val="00E1429E"/>
    <w:rsid w:val="00E16F4D"/>
    <w:rsid w:val="00E173B8"/>
    <w:rsid w:val="00E21D3B"/>
    <w:rsid w:val="00E23EE4"/>
    <w:rsid w:val="00E24663"/>
    <w:rsid w:val="00E27A83"/>
    <w:rsid w:val="00E33009"/>
    <w:rsid w:val="00E35942"/>
    <w:rsid w:val="00E42414"/>
    <w:rsid w:val="00E432DE"/>
    <w:rsid w:val="00E46247"/>
    <w:rsid w:val="00E5709F"/>
    <w:rsid w:val="00E61FA1"/>
    <w:rsid w:val="00E70FED"/>
    <w:rsid w:val="00E7673C"/>
    <w:rsid w:val="00E84521"/>
    <w:rsid w:val="00E862CA"/>
    <w:rsid w:val="00E90836"/>
    <w:rsid w:val="00E91B87"/>
    <w:rsid w:val="00E91E81"/>
    <w:rsid w:val="00E959B0"/>
    <w:rsid w:val="00EA3DF0"/>
    <w:rsid w:val="00EA4120"/>
    <w:rsid w:val="00EA7BE8"/>
    <w:rsid w:val="00EB31AC"/>
    <w:rsid w:val="00EE29A8"/>
    <w:rsid w:val="00EE3DA1"/>
    <w:rsid w:val="00EF0915"/>
    <w:rsid w:val="00EF17A5"/>
    <w:rsid w:val="00EF1F35"/>
    <w:rsid w:val="00EF32F3"/>
    <w:rsid w:val="00EF5109"/>
    <w:rsid w:val="00EF55AA"/>
    <w:rsid w:val="00F02254"/>
    <w:rsid w:val="00F0288F"/>
    <w:rsid w:val="00F0478C"/>
    <w:rsid w:val="00F066DF"/>
    <w:rsid w:val="00F14516"/>
    <w:rsid w:val="00F21862"/>
    <w:rsid w:val="00F26121"/>
    <w:rsid w:val="00F34BD9"/>
    <w:rsid w:val="00F34E4A"/>
    <w:rsid w:val="00F37F15"/>
    <w:rsid w:val="00F426ED"/>
    <w:rsid w:val="00F42EE0"/>
    <w:rsid w:val="00F447DF"/>
    <w:rsid w:val="00F452E4"/>
    <w:rsid w:val="00F53338"/>
    <w:rsid w:val="00F53804"/>
    <w:rsid w:val="00F57620"/>
    <w:rsid w:val="00F61092"/>
    <w:rsid w:val="00F62A21"/>
    <w:rsid w:val="00F678DB"/>
    <w:rsid w:val="00F67F09"/>
    <w:rsid w:val="00F74A52"/>
    <w:rsid w:val="00F765D9"/>
    <w:rsid w:val="00F770F1"/>
    <w:rsid w:val="00F77DE8"/>
    <w:rsid w:val="00F80919"/>
    <w:rsid w:val="00F83196"/>
    <w:rsid w:val="00F90D5B"/>
    <w:rsid w:val="00F967EA"/>
    <w:rsid w:val="00F96E4B"/>
    <w:rsid w:val="00FA4903"/>
    <w:rsid w:val="00FA4E25"/>
    <w:rsid w:val="00FC31C0"/>
    <w:rsid w:val="00FC4001"/>
    <w:rsid w:val="00FC49E8"/>
    <w:rsid w:val="00FC5434"/>
    <w:rsid w:val="00FC645E"/>
    <w:rsid w:val="00FD03E8"/>
    <w:rsid w:val="00FD447F"/>
    <w:rsid w:val="00FD5AEF"/>
    <w:rsid w:val="00FE2883"/>
    <w:rsid w:val="00FE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6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CF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D0CF7"/>
  </w:style>
  <w:style w:type="paragraph" w:styleId="Footer">
    <w:name w:val="footer"/>
    <w:basedOn w:val="Normal"/>
    <w:link w:val="FooterChar"/>
    <w:uiPriority w:val="99"/>
    <w:unhideWhenUsed/>
    <w:rsid w:val="00BD0CF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D0CF7"/>
  </w:style>
  <w:style w:type="paragraph" w:styleId="BalloonText">
    <w:name w:val="Balloon Text"/>
    <w:basedOn w:val="Normal"/>
    <w:link w:val="BalloonTextChar"/>
    <w:uiPriority w:val="99"/>
    <w:semiHidden/>
    <w:unhideWhenUsed/>
    <w:rsid w:val="008946E9"/>
    <w:rPr>
      <w:rFonts w:ascii="Tahoma" w:hAnsi="Tahoma" w:cs="Tahoma"/>
      <w:sz w:val="16"/>
      <w:szCs w:val="16"/>
    </w:rPr>
  </w:style>
  <w:style w:type="character" w:customStyle="1" w:styleId="BalloonTextChar">
    <w:name w:val="Balloon Text Char"/>
    <w:basedOn w:val="DefaultParagraphFont"/>
    <w:link w:val="BalloonText"/>
    <w:uiPriority w:val="99"/>
    <w:semiHidden/>
    <w:rsid w:val="008946E9"/>
    <w:rPr>
      <w:rFonts w:ascii="Tahoma" w:hAnsi="Tahoma" w:cs="Tahoma"/>
      <w:sz w:val="16"/>
      <w:szCs w:val="16"/>
    </w:rPr>
  </w:style>
  <w:style w:type="character" w:styleId="CommentReference">
    <w:name w:val="annotation reference"/>
    <w:basedOn w:val="DefaultParagraphFont"/>
    <w:uiPriority w:val="99"/>
    <w:semiHidden/>
    <w:unhideWhenUsed/>
    <w:rsid w:val="007453E6"/>
    <w:rPr>
      <w:sz w:val="16"/>
      <w:szCs w:val="16"/>
    </w:rPr>
  </w:style>
  <w:style w:type="paragraph" w:styleId="CommentText">
    <w:name w:val="annotation text"/>
    <w:basedOn w:val="Normal"/>
    <w:link w:val="CommentTextChar"/>
    <w:uiPriority w:val="99"/>
    <w:unhideWhenUsed/>
    <w:rsid w:val="007453E6"/>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453E6"/>
    <w:rPr>
      <w:sz w:val="20"/>
      <w:szCs w:val="20"/>
    </w:rPr>
  </w:style>
  <w:style w:type="paragraph" w:styleId="CommentSubject">
    <w:name w:val="annotation subject"/>
    <w:basedOn w:val="CommentText"/>
    <w:next w:val="CommentText"/>
    <w:link w:val="CommentSubjectChar"/>
    <w:uiPriority w:val="99"/>
    <w:semiHidden/>
    <w:unhideWhenUsed/>
    <w:rsid w:val="007453E6"/>
    <w:rPr>
      <w:b/>
      <w:bCs/>
    </w:rPr>
  </w:style>
  <w:style w:type="character" w:customStyle="1" w:styleId="CommentSubjectChar">
    <w:name w:val="Comment Subject Char"/>
    <w:basedOn w:val="CommentTextChar"/>
    <w:link w:val="CommentSubject"/>
    <w:uiPriority w:val="99"/>
    <w:semiHidden/>
    <w:rsid w:val="007453E6"/>
    <w:rPr>
      <w:b/>
      <w:bCs/>
      <w:sz w:val="20"/>
      <w:szCs w:val="20"/>
    </w:rPr>
  </w:style>
  <w:style w:type="character" w:customStyle="1" w:styleId="apple-converted-space">
    <w:name w:val="apple-converted-space"/>
    <w:basedOn w:val="DefaultParagraphFont"/>
    <w:rsid w:val="00DA2A25"/>
  </w:style>
  <w:style w:type="character" w:styleId="PlaceholderText">
    <w:name w:val="Placeholder Text"/>
    <w:basedOn w:val="DefaultParagraphFont"/>
    <w:uiPriority w:val="99"/>
    <w:semiHidden/>
    <w:rsid w:val="00DA2A25"/>
    <w:rPr>
      <w:color w:val="808080"/>
    </w:rPr>
  </w:style>
  <w:style w:type="character" w:styleId="HTMLCode">
    <w:name w:val="HTML Code"/>
    <w:basedOn w:val="DefaultParagraphFont"/>
    <w:uiPriority w:val="99"/>
    <w:semiHidden/>
    <w:unhideWhenUsed/>
    <w:rsid w:val="00DA2A25"/>
    <w:rPr>
      <w:rFonts w:ascii="Courier New" w:eastAsia="Times New Roman" w:hAnsi="Courier New" w:cs="Courier New"/>
      <w:sz w:val="20"/>
      <w:szCs w:val="20"/>
    </w:rPr>
  </w:style>
  <w:style w:type="character" w:styleId="Hyperlink">
    <w:name w:val="Hyperlink"/>
    <w:basedOn w:val="DefaultParagraphFont"/>
    <w:uiPriority w:val="99"/>
    <w:unhideWhenUsed/>
    <w:rsid w:val="00DA2A25"/>
    <w:rPr>
      <w:color w:val="0000FF"/>
      <w:u w:val="single"/>
    </w:rPr>
  </w:style>
  <w:style w:type="table" w:styleId="TableGrid">
    <w:name w:val="Table Grid"/>
    <w:basedOn w:val="TableNormal"/>
    <w:uiPriority w:val="59"/>
    <w:rsid w:val="00DA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25"/>
    <w:pPr>
      <w:spacing w:after="160" w:line="259" w:lineRule="auto"/>
      <w:ind w:left="720"/>
      <w:contextualSpacing/>
    </w:pPr>
    <w:rPr>
      <w:rFonts w:asciiTheme="minorHAnsi" w:eastAsia="SimSun" w:hAnsiTheme="minorHAnsi" w:cstheme="minorBidi"/>
      <w:sz w:val="22"/>
      <w:szCs w:val="22"/>
    </w:rPr>
  </w:style>
  <w:style w:type="paragraph" w:styleId="Revision">
    <w:name w:val="Revision"/>
    <w:hidden/>
    <w:uiPriority w:val="99"/>
    <w:semiHidden/>
    <w:rsid w:val="003F6516"/>
    <w:pPr>
      <w:spacing w:after="0" w:line="240" w:lineRule="auto"/>
    </w:pPr>
  </w:style>
  <w:style w:type="paragraph" w:styleId="FootnoteText">
    <w:name w:val="footnote text"/>
    <w:basedOn w:val="Normal"/>
    <w:link w:val="FootnoteTextChar"/>
    <w:uiPriority w:val="99"/>
    <w:unhideWhenUsed/>
    <w:rsid w:val="00B25839"/>
  </w:style>
  <w:style w:type="character" w:customStyle="1" w:styleId="FootnoteTextChar">
    <w:name w:val="Footnote Text Char"/>
    <w:basedOn w:val="DefaultParagraphFont"/>
    <w:link w:val="FootnoteText"/>
    <w:uiPriority w:val="99"/>
    <w:rsid w:val="00B25839"/>
    <w:rPr>
      <w:rFonts w:ascii="Times New Roman" w:hAnsi="Times New Roman" w:cs="Times New Roman"/>
      <w:sz w:val="24"/>
      <w:szCs w:val="24"/>
    </w:rPr>
  </w:style>
  <w:style w:type="character" w:styleId="FootnoteReference">
    <w:name w:val="footnote reference"/>
    <w:basedOn w:val="DefaultParagraphFont"/>
    <w:uiPriority w:val="99"/>
    <w:unhideWhenUsed/>
    <w:rsid w:val="00B25839"/>
    <w:rPr>
      <w:vertAlign w:val="superscript"/>
    </w:rPr>
  </w:style>
  <w:style w:type="character" w:styleId="Strong">
    <w:name w:val="Strong"/>
    <w:basedOn w:val="DefaultParagraphFont"/>
    <w:uiPriority w:val="22"/>
    <w:qFormat/>
    <w:rsid w:val="007A2A84"/>
    <w:rPr>
      <w:b/>
      <w:bCs/>
    </w:rPr>
  </w:style>
  <w:style w:type="character" w:styleId="Emphasis">
    <w:name w:val="Emphasis"/>
    <w:basedOn w:val="DefaultParagraphFont"/>
    <w:uiPriority w:val="20"/>
    <w:qFormat/>
    <w:rsid w:val="007A2A84"/>
    <w:rPr>
      <w:i/>
      <w:iCs/>
    </w:rPr>
  </w:style>
  <w:style w:type="character" w:customStyle="1" w:styleId="article-headermeta-info-label">
    <w:name w:val="article-header__meta-info-label"/>
    <w:basedOn w:val="DefaultParagraphFont"/>
    <w:rsid w:val="000666A9"/>
  </w:style>
  <w:style w:type="character" w:customStyle="1" w:styleId="article-headermeta-info-data">
    <w:name w:val="article-header__meta-info-data"/>
    <w:basedOn w:val="DefaultParagraphFont"/>
    <w:rsid w:val="000666A9"/>
  </w:style>
  <w:style w:type="character" w:customStyle="1" w:styleId="hlfld-doi">
    <w:name w:val="hlfld-doi"/>
    <w:basedOn w:val="DefaultParagraphFont"/>
    <w:rsid w:val="000666A9"/>
  </w:style>
  <w:style w:type="character" w:customStyle="1" w:styleId="slug-doi">
    <w:name w:val="slug-doi"/>
    <w:basedOn w:val="DefaultParagraphFont"/>
    <w:rsid w:val="00066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1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CF7"/>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BD0CF7"/>
  </w:style>
  <w:style w:type="paragraph" w:styleId="Footer">
    <w:name w:val="footer"/>
    <w:basedOn w:val="Normal"/>
    <w:link w:val="FooterChar"/>
    <w:uiPriority w:val="99"/>
    <w:unhideWhenUsed/>
    <w:rsid w:val="00BD0CF7"/>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BD0CF7"/>
  </w:style>
  <w:style w:type="paragraph" w:styleId="BalloonText">
    <w:name w:val="Balloon Text"/>
    <w:basedOn w:val="Normal"/>
    <w:link w:val="BalloonTextChar"/>
    <w:uiPriority w:val="99"/>
    <w:semiHidden/>
    <w:unhideWhenUsed/>
    <w:rsid w:val="008946E9"/>
    <w:rPr>
      <w:rFonts w:ascii="Tahoma" w:hAnsi="Tahoma" w:cs="Tahoma"/>
      <w:sz w:val="16"/>
      <w:szCs w:val="16"/>
    </w:rPr>
  </w:style>
  <w:style w:type="character" w:customStyle="1" w:styleId="BalloonTextChar">
    <w:name w:val="Balloon Text Char"/>
    <w:basedOn w:val="DefaultParagraphFont"/>
    <w:link w:val="BalloonText"/>
    <w:uiPriority w:val="99"/>
    <w:semiHidden/>
    <w:rsid w:val="008946E9"/>
    <w:rPr>
      <w:rFonts w:ascii="Tahoma" w:hAnsi="Tahoma" w:cs="Tahoma"/>
      <w:sz w:val="16"/>
      <w:szCs w:val="16"/>
    </w:rPr>
  </w:style>
  <w:style w:type="character" w:styleId="CommentReference">
    <w:name w:val="annotation reference"/>
    <w:basedOn w:val="DefaultParagraphFont"/>
    <w:uiPriority w:val="99"/>
    <w:semiHidden/>
    <w:unhideWhenUsed/>
    <w:rsid w:val="007453E6"/>
    <w:rPr>
      <w:sz w:val="16"/>
      <w:szCs w:val="16"/>
    </w:rPr>
  </w:style>
  <w:style w:type="paragraph" w:styleId="CommentText">
    <w:name w:val="annotation text"/>
    <w:basedOn w:val="Normal"/>
    <w:link w:val="CommentTextChar"/>
    <w:uiPriority w:val="99"/>
    <w:unhideWhenUsed/>
    <w:rsid w:val="007453E6"/>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453E6"/>
    <w:rPr>
      <w:sz w:val="20"/>
      <w:szCs w:val="20"/>
    </w:rPr>
  </w:style>
  <w:style w:type="paragraph" w:styleId="CommentSubject">
    <w:name w:val="annotation subject"/>
    <w:basedOn w:val="CommentText"/>
    <w:next w:val="CommentText"/>
    <w:link w:val="CommentSubjectChar"/>
    <w:uiPriority w:val="99"/>
    <w:semiHidden/>
    <w:unhideWhenUsed/>
    <w:rsid w:val="007453E6"/>
    <w:rPr>
      <w:b/>
      <w:bCs/>
    </w:rPr>
  </w:style>
  <w:style w:type="character" w:customStyle="1" w:styleId="CommentSubjectChar">
    <w:name w:val="Comment Subject Char"/>
    <w:basedOn w:val="CommentTextChar"/>
    <w:link w:val="CommentSubject"/>
    <w:uiPriority w:val="99"/>
    <w:semiHidden/>
    <w:rsid w:val="007453E6"/>
    <w:rPr>
      <w:b/>
      <w:bCs/>
      <w:sz w:val="20"/>
      <w:szCs w:val="20"/>
    </w:rPr>
  </w:style>
  <w:style w:type="character" w:customStyle="1" w:styleId="apple-converted-space">
    <w:name w:val="apple-converted-space"/>
    <w:basedOn w:val="DefaultParagraphFont"/>
    <w:rsid w:val="00DA2A25"/>
  </w:style>
  <w:style w:type="character" w:styleId="PlaceholderText">
    <w:name w:val="Placeholder Text"/>
    <w:basedOn w:val="DefaultParagraphFont"/>
    <w:uiPriority w:val="99"/>
    <w:semiHidden/>
    <w:rsid w:val="00DA2A25"/>
    <w:rPr>
      <w:color w:val="808080"/>
    </w:rPr>
  </w:style>
  <w:style w:type="character" w:styleId="HTMLCode">
    <w:name w:val="HTML Code"/>
    <w:basedOn w:val="DefaultParagraphFont"/>
    <w:uiPriority w:val="99"/>
    <w:semiHidden/>
    <w:unhideWhenUsed/>
    <w:rsid w:val="00DA2A25"/>
    <w:rPr>
      <w:rFonts w:ascii="Courier New" w:eastAsia="Times New Roman" w:hAnsi="Courier New" w:cs="Courier New"/>
      <w:sz w:val="20"/>
      <w:szCs w:val="20"/>
    </w:rPr>
  </w:style>
  <w:style w:type="character" w:styleId="Hyperlink">
    <w:name w:val="Hyperlink"/>
    <w:basedOn w:val="DefaultParagraphFont"/>
    <w:uiPriority w:val="99"/>
    <w:unhideWhenUsed/>
    <w:rsid w:val="00DA2A25"/>
    <w:rPr>
      <w:color w:val="0000FF"/>
      <w:u w:val="single"/>
    </w:rPr>
  </w:style>
  <w:style w:type="table" w:styleId="TableGrid">
    <w:name w:val="Table Grid"/>
    <w:basedOn w:val="TableNormal"/>
    <w:uiPriority w:val="59"/>
    <w:rsid w:val="00DA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25"/>
    <w:pPr>
      <w:spacing w:after="160" w:line="259" w:lineRule="auto"/>
      <w:ind w:left="720"/>
      <w:contextualSpacing/>
    </w:pPr>
    <w:rPr>
      <w:rFonts w:asciiTheme="minorHAnsi" w:eastAsia="SimSun" w:hAnsiTheme="minorHAnsi" w:cstheme="minorBidi"/>
      <w:sz w:val="22"/>
      <w:szCs w:val="22"/>
    </w:rPr>
  </w:style>
  <w:style w:type="paragraph" w:styleId="Revision">
    <w:name w:val="Revision"/>
    <w:hidden/>
    <w:uiPriority w:val="99"/>
    <w:semiHidden/>
    <w:rsid w:val="003F6516"/>
    <w:pPr>
      <w:spacing w:after="0" w:line="240" w:lineRule="auto"/>
    </w:pPr>
  </w:style>
  <w:style w:type="paragraph" w:styleId="FootnoteText">
    <w:name w:val="footnote text"/>
    <w:basedOn w:val="Normal"/>
    <w:link w:val="FootnoteTextChar"/>
    <w:uiPriority w:val="99"/>
    <w:unhideWhenUsed/>
    <w:rsid w:val="00B25839"/>
  </w:style>
  <w:style w:type="character" w:customStyle="1" w:styleId="FootnoteTextChar">
    <w:name w:val="Footnote Text Char"/>
    <w:basedOn w:val="DefaultParagraphFont"/>
    <w:link w:val="FootnoteText"/>
    <w:uiPriority w:val="99"/>
    <w:rsid w:val="00B25839"/>
    <w:rPr>
      <w:rFonts w:ascii="Times New Roman" w:hAnsi="Times New Roman" w:cs="Times New Roman"/>
      <w:sz w:val="24"/>
      <w:szCs w:val="24"/>
    </w:rPr>
  </w:style>
  <w:style w:type="character" w:styleId="FootnoteReference">
    <w:name w:val="footnote reference"/>
    <w:basedOn w:val="DefaultParagraphFont"/>
    <w:uiPriority w:val="99"/>
    <w:unhideWhenUsed/>
    <w:rsid w:val="00B25839"/>
    <w:rPr>
      <w:vertAlign w:val="superscript"/>
    </w:rPr>
  </w:style>
  <w:style w:type="character" w:styleId="Strong">
    <w:name w:val="Strong"/>
    <w:basedOn w:val="DefaultParagraphFont"/>
    <w:uiPriority w:val="22"/>
    <w:qFormat/>
    <w:rsid w:val="007A2A84"/>
    <w:rPr>
      <w:b/>
      <w:bCs/>
    </w:rPr>
  </w:style>
  <w:style w:type="character" w:styleId="Emphasis">
    <w:name w:val="Emphasis"/>
    <w:basedOn w:val="DefaultParagraphFont"/>
    <w:uiPriority w:val="20"/>
    <w:qFormat/>
    <w:rsid w:val="007A2A84"/>
    <w:rPr>
      <w:i/>
      <w:iCs/>
    </w:rPr>
  </w:style>
  <w:style w:type="character" w:customStyle="1" w:styleId="article-headermeta-info-label">
    <w:name w:val="article-header__meta-info-label"/>
    <w:basedOn w:val="DefaultParagraphFont"/>
    <w:rsid w:val="000666A9"/>
  </w:style>
  <w:style w:type="character" w:customStyle="1" w:styleId="article-headermeta-info-data">
    <w:name w:val="article-header__meta-info-data"/>
    <w:basedOn w:val="DefaultParagraphFont"/>
    <w:rsid w:val="000666A9"/>
  </w:style>
  <w:style w:type="character" w:customStyle="1" w:styleId="hlfld-doi">
    <w:name w:val="hlfld-doi"/>
    <w:basedOn w:val="DefaultParagraphFont"/>
    <w:rsid w:val="000666A9"/>
  </w:style>
  <w:style w:type="character" w:customStyle="1" w:styleId="slug-doi">
    <w:name w:val="slug-doi"/>
    <w:basedOn w:val="DefaultParagraphFont"/>
    <w:rsid w:val="0006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1248">
      <w:bodyDiv w:val="1"/>
      <w:marLeft w:val="0"/>
      <w:marRight w:val="0"/>
      <w:marTop w:val="0"/>
      <w:marBottom w:val="0"/>
      <w:divBdr>
        <w:top w:val="none" w:sz="0" w:space="0" w:color="auto"/>
        <w:left w:val="none" w:sz="0" w:space="0" w:color="auto"/>
        <w:bottom w:val="none" w:sz="0" w:space="0" w:color="auto"/>
        <w:right w:val="none" w:sz="0" w:space="0" w:color="auto"/>
      </w:divBdr>
    </w:div>
    <w:div w:id="156924705">
      <w:bodyDiv w:val="1"/>
      <w:marLeft w:val="0"/>
      <w:marRight w:val="0"/>
      <w:marTop w:val="0"/>
      <w:marBottom w:val="0"/>
      <w:divBdr>
        <w:top w:val="none" w:sz="0" w:space="0" w:color="auto"/>
        <w:left w:val="none" w:sz="0" w:space="0" w:color="auto"/>
        <w:bottom w:val="none" w:sz="0" w:space="0" w:color="auto"/>
        <w:right w:val="none" w:sz="0" w:space="0" w:color="auto"/>
      </w:divBdr>
    </w:div>
    <w:div w:id="336467237">
      <w:bodyDiv w:val="1"/>
      <w:marLeft w:val="0"/>
      <w:marRight w:val="0"/>
      <w:marTop w:val="0"/>
      <w:marBottom w:val="0"/>
      <w:divBdr>
        <w:top w:val="none" w:sz="0" w:space="0" w:color="auto"/>
        <w:left w:val="none" w:sz="0" w:space="0" w:color="auto"/>
        <w:bottom w:val="none" w:sz="0" w:space="0" w:color="auto"/>
        <w:right w:val="none" w:sz="0" w:space="0" w:color="auto"/>
      </w:divBdr>
    </w:div>
    <w:div w:id="604385039">
      <w:bodyDiv w:val="1"/>
      <w:marLeft w:val="0"/>
      <w:marRight w:val="0"/>
      <w:marTop w:val="0"/>
      <w:marBottom w:val="0"/>
      <w:divBdr>
        <w:top w:val="none" w:sz="0" w:space="0" w:color="auto"/>
        <w:left w:val="none" w:sz="0" w:space="0" w:color="auto"/>
        <w:bottom w:val="none" w:sz="0" w:space="0" w:color="auto"/>
        <w:right w:val="none" w:sz="0" w:space="0" w:color="auto"/>
      </w:divBdr>
    </w:div>
    <w:div w:id="772632920">
      <w:bodyDiv w:val="1"/>
      <w:marLeft w:val="0"/>
      <w:marRight w:val="0"/>
      <w:marTop w:val="0"/>
      <w:marBottom w:val="0"/>
      <w:divBdr>
        <w:top w:val="none" w:sz="0" w:space="0" w:color="auto"/>
        <w:left w:val="none" w:sz="0" w:space="0" w:color="auto"/>
        <w:bottom w:val="none" w:sz="0" w:space="0" w:color="auto"/>
        <w:right w:val="none" w:sz="0" w:space="0" w:color="auto"/>
      </w:divBdr>
      <w:divsChild>
        <w:div w:id="1224832844">
          <w:marLeft w:val="0"/>
          <w:marRight w:val="0"/>
          <w:marTop w:val="0"/>
          <w:marBottom w:val="0"/>
          <w:divBdr>
            <w:top w:val="none" w:sz="0" w:space="0" w:color="auto"/>
            <w:left w:val="none" w:sz="0" w:space="0" w:color="auto"/>
            <w:bottom w:val="none" w:sz="0" w:space="0" w:color="auto"/>
            <w:right w:val="none" w:sz="0" w:space="0" w:color="auto"/>
          </w:divBdr>
        </w:div>
        <w:div w:id="954168036">
          <w:marLeft w:val="0"/>
          <w:marRight w:val="0"/>
          <w:marTop w:val="0"/>
          <w:marBottom w:val="0"/>
          <w:divBdr>
            <w:top w:val="none" w:sz="0" w:space="0" w:color="auto"/>
            <w:left w:val="none" w:sz="0" w:space="0" w:color="auto"/>
            <w:bottom w:val="none" w:sz="0" w:space="0" w:color="auto"/>
            <w:right w:val="none" w:sz="0" w:space="0" w:color="auto"/>
          </w:divBdr>
        </w:div>
      </w:divsChild>
    </w:div>
    <w:div w:id="846020398">
      <w:bodyDiv w:val="1"/>
      <w:marLeft w:val="0"/>
      <w:marRight w:val="0"/>
      <w:marTop w:val="0"/>
      <w:marBottom w:val="0"/>
      <w:divBdr>
        <w:top w:val="none" w:sz="0" w:space="0" w:color="auto"/>
        <w:left w:val="none" w:sz="0" w:space="0" w:color="auto"/>
        <w:bottom w:val="none" w:sz="0" w:space="0" w:color="auto"/>
        <w:right w:val="none" w:sz="0" w:space="0" w:color="auto"/>
      </w:divBdr>
    </w:div>
    <w:div w:id="1303660203">
      <w:bodyDiv w:val="1"/>
      <w:marLeft w:val="0"/>
      <w:marRight w:val="0"/>
      <w:marTop w:val="0"/>
      <w:marBottom w:val="0"/>
      <w:divBdr>
        <w:top w:val="none" w:sz="0" w:space="0" w:color="auto"/>
        <w:left w:val="none" w:sz="0" w:space="0" w:color="auto"/>
        <w:bottom w:val="none" w:sz="0" w:space="0" w:color="auto"/>
        <w:right w:val="none" w:sz="0" w:space="0" w:color="auto"/>
      </w:divBdr>
    </w:div>
    <w:div w:id="1357392502">
      <w:bodyDiv w:val="1"/>
      <w:marLeft w:val="0"/>
      <w:marRight w:val="0"/>
      <w:marTop w:val="0"/>
      <w:marBottom w:val="0"/>
      <w:divBdr>
        <w:top w:val="none" w:sz="0" w:space="0" w:color="auto"/>
        <w:left w:val="none" w:sz="0" w:space="0" w:color="auto"/>
        <w:bottom w:val="none" w:sz="0" w:space="0" w:color="auto"/>
        <w:right w:val="none" w:sz="0" w:space="0" w:color="auto"/>
      </w:divBdr>
      <w:divsChild>
        <w:div w:id="450128880">
          <w:marLeft w:val="0"/>
          <w:marRight w:val="0"/>
          <w:marTop w:val="0"/>
          <w:marBottom w:val="0"/>
          <w:divBdr>
            <w:top w:val="none" w:sz="0" w:space="0" w:color="auto"/>
            <w:left w:val="none" w:sz="0" w:space="0" w:color="auto"/>
            <w:bottom w:val="none" w:sz="0" w:space="0" w:color="auto"/>
            <w:right w:val="none" w:sz="0" w:space="0" w:color="auto"/>
          </w:divBdr>
        </w:div>
      </w:divsChild>
    </w:div>
    <w:div w:id="1400055296">
      <w:bodyDiv w:val="1"/>
      <w:marLeft w:val="0"/>
      <w:marRight w:val="0"/>
      <w:marTop w:val="0"/>
      <w:marBottom w:val="0"/>
      <w:divBdr>
        <w:top w:val="none" w:sz="0" w:space="0" w:color="auto"/>
        <w:left w:val="none" w:sz="0" w:space="0" w:color="auto"/>
        <w:bottom w:val="none" w:sz="0" w:space="0" w:color="auto"/>
        <w:right w:val="none" w:sz="0" w:space="0" w:color="auto"/>
      </w:divBdr>
    </w:div>
    <w:div w:id="1494297143">
      <w:bodyDiv w:val="1"/>
      <w:marLeft w:val="0"/>
      <w:marRight w:val="0"/>
      <w:marTop w:val="0"/>
      <w:marBottom w:val="0"/>
      <w:divBdr>
        <w:top w:val="none" w:sz="0" w:space="0" w:color="auto"/>
        <w:left w:val="none" w:sz="0" w:space="0" w:color="auto"/>
        <w:bottom w:val="none" w:sz="0" w:space="0" w:color="auto"/>
        <w:right w:val="none" w:sz="0" w:space="0" w:color="auto"/>
      </w:divBdr>
    </w:div>
    <w:div w:id="1796369682">
      <w:bodyDiv w:val="1"/>
      <w:marLeft w:val="0"/>
      <w:marRight w:val="0"/>
      <w:marTop w:val="0"/>
      <w:marBottom w:val="0"/>
      <w:divBdr>
        <w:top w:val="none" w:sz="0" w:space="0" w:color="auto"/>
        <w:left w:val="none" w:sz="0" w:space="0" w:color="auto"/>
        <w:bottom w:val="none" w:sz="0" w:space="0" w:color="auto"/>
        <w:right w:val="none" w:sz="0" w:space="0" w:color="auto"/>
      </w:divBdr>
      <w:divsChild>
        <w:div w:id="93595988">
          <w:marLeft w:val="0"/>
          <w:marRight w:val="0"/>
          <w:marTop w:val="0"/>
          <w:marBottom w:val="0"/>
          <w:divBdr>
            <w:top w:val="none" w:sz="0" w:space="0" w:color="auto"/>
            <w:left w:val="none" w:sz="0" w:space="0" w:color="auto"/>
            <w:bottom w:val="none" w:sz="0" w:space="0" w:color="auto"/>
            <w:right w:val="none" w:sz="0" w:space="0" w:color="auto"/>
          </w:divBdr>
        </w:div>
        <w:div w:id="177157033">
          <w:marLeft w:val="0"/>
          <w:marRight w:val="0"/>
          <w:marTop w:val="0"/>
          <w:marBottom w:val="0"/>
          <w:divBdr>
            <w:top w:val="none" w:sz="0" w:space="0" w:color="auto"/>
            <w:left w:val="none" w:sz="0" w:space="0" w:color="auto"/>
            <w:bottom w:val="none" w:sz="0" w:space="0" w:color="auto"/>
            <w:right w:val="none" w:sz="0" w:space="0" w:color="auto"/>
          </w:divBdr>
        </w:div>
        <w:div w:id="1685789414">
          <w:marLeft w:val="0"/>
          <w:marRight w:val="0"/>
          <w:marTop w:val="0"/>
          <w:marBottom w:val="0"/>
          <w:divBdr>
            <w:top w:val="none" w:sz="0" w:space="0" w:color="auto"/>
            <w:left w:val="none" w:sz="0" w:space="0" w:color="auto"/>
            <w:bottom w:val="none" w:sz="0" w:space="0" w:color="auto"/>
            <w:right w:val="none" w:sz="0" w:space="0" w:color="auto"/>
          </w:divBdr>
        </w:div>
        <w:div w:id="1731542113">
          <w:marLeft w:val="0"/>
          <w:marRight w:val="0"/>
          <w:marTop w:val="0"/>
          <w:marBottom w:val="0"/>
          <w:divBdr>
            <w:top w:val="none" w:sz="0" w:space="0" w:color="auto"/>
            <w:left w:val="none" w:sz="0" w:space="0" w:color="auto"/>
            <w:bottom w:val="none" w:sz="0" w:space="0" w:color="auto"/>
            <w:right w:val="none" w:sz="0" w:space="0" w:color="auto"/>
          </w:divBdr>
        </w:div>
        <w:div w:id="39476300">
          <w:marLeft w:val="0"/>
          <w:marRight w:val="0"/>
          <w:marTop w:val="0"/>
          <w:marBottom w:val="0"/>
          <w:divBdr>
            <w:top w:val="none" w:sz="0" w:space="0" w:color="auto"/>
            <w:left w:val="none" w:sz="0" w:space="0" w:color="auto"/>
            <w:bottom w:val="none" w:sz="0" w:space="0" w:color="auto"/>
            <w:right w:val="none" w:sz="0" w:space="0" w:color="auto"/>
          </w:divBdr>
        </w:div>
      </w:divsChild>
    </w:div>
    <w:div w:id="1956323591">
      <w:bodyDiv w:val="1"/>
      <w:marLeft w:val="0"/>
      <w:marRight w:val="0"/>
      <w:marTop w:val="0"/>
      <w:marBottom w:val="0"/>
      <w:divBdr>
        <w:top w:val="none" w:sz="0" w:space="0" w:color="auto"/>
        <w:left w:val="none" w:sz="0" w:space="0" w:color="auto"/>
        <w:bottom w:val="none" w:sz="0" w:space="0" w:color="auto"/>
        <w:right w:val="none" w:sz="0" w:space="0" w:color="auto"/>
      </w:divBdr>
    </w:div>
    <w:div w:id="1994291333">
      <w:bodyDiv w:val="1"/>
      <w:marLeft w:val="0"/>
      <w:marRight w:val="0"/>
      <w:marTop w:val="0"/>
      <w:marBottom w:val="0"/>
      <w:divBdr>
        <w:top w:val="none" w:sz="0" w:space="0" w:color="auto"/>
        <w:left w:val="none" w:sz="0" w:space="0" w:color="auto"/>
        <w:bottom w:val="none" w:sz="0" w:space="0" w:color="auto"/>
        <w:right w:val="none" w:sz="0" w:space="0" w:color="auto"/>
      </w:divBdr>
      <w:divsChild>
        <w:div w:id="1376003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251566">
              <w:marLeft w:val="0"/>
              <w:marRight w:val="0"/>
              <w:marTop w:val="0"/>
              <w:marBottom w:val="0"/>
              <w:divBdr>
                <w:top w:val="none" w:sz="0" w:space="0" w:color="auto"/>
                <w:left w:val="none" w:sz="0" w:space="0" w:color="auto"/>
                <w:bottom w:val="none" w:sz="0" w:space="0" w:color="auto"/>
                <w:right w:val="none" w:sz="0" w:space="0" w:color="auto"/>
              </w:divBdr>
              <w:divsChild>
                <w:div w:id="1883982578">
                  <w:marLeft w:val="0"/>
                  <w:marRight w:val="0"/>
                  <w:marTop w:val="0"/>
                  <w:marBottom w:val="0"/>
                  <w:divBdr>
                    <w:top w:val="none" w:sz="0" w:space="0" w:color="auto"/>
                    <w:left w:val="none" w:sz="0" w:space="0" w:color="auto"/>
                    <w:bottom w:val="none" w:sz="0" w:space="0" w:color="auto"/>
                    <w:right w:val="none" w:sz="0" w:space="0" w:color="auto"/>
                  </w:divBdr>
                  <w:divsChild>
                    <w:div w:id="857430309">
                      <w:marLeft w:val="0"/>
                      <w:marRight w:val="0"/>
                      <w:marTop w:val="0"/>
                      <w:marBottom w:val="0"/>
                      <w:divBdr>
                        <w:top w:val="none" w:sz="0" w:space="0" w:color="auto"/>
                        <w:left w:val="none" w:sz="0" w:space="0" w:color="auto"/>
                        <w:bottom w:val="none" w:sz="0" w:space="0" w:color="auto"/>
                        <w:right w:val="none" w:sz="0" w:space="0" w:color="auto"/>
                      </w:divBdr>
                      <w:divsChild>
                        <w:div w:id="689456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8281226">
                              <w:marLeft w:val="0"/>
                              <w:marRight w:val="0"/>
                              <w:marTop w:val="0"/>
                              <w:marBottom w:val="0"/>
                              <w:divBdr>
                                <w:top w:val="none" w:sz="0" w:space="0" w:color="auto"/>
                                <w:left w:val="none" w:sz="0" w:space="0" w:color="auto"/>
                                <w:bottom w:val="none" w:sz="0" w:space="0" w:color="auto"/>
                                <w:right w:val="none" w:sz="0" w:space="0" w:color="auto"/>
                              </w:divBdr>
                              <w:divsChild>
                                <w:div w:id="1210337411">
                                  <w:marLeft w:val="0"/>
                                  <w:marRight w:val="0"/>
                                  <w:marTop w:val="0"/>
                                  <w:marBottom w:val="0"/>
                                  <w:divBdr>
                                    <w:top w:val="none" w:sz="0" w:space="0" w:color="auto"/>
                                    <w:left w:val="none" w:sz="0" w:space="0" w:color="auto"/>
                                    <w:bottom w:val="none" w:sz="0" w:space="0" w:color="auto"/>
                                    <w:right w:val="none" w:sz="0" w:space="0" w:color="auto"/>
                                  </w:divBdr>
                                  <w:divsChild>
                                    <w:div w:id="20723836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8521983">
                                          <w:marLeft w:val="0"/>
                                          <w:marRight w:val="0"/>
                                          <w:marTop w:val="0"/>
                                          <w:marBottom w:val="0"/>
                                          <w:divBdr>
                                            <w:top w:val="none" w:sz="0" w:space="0" w:color="auto"/>
                                            <w:left w:val="none" w:sz="0" w:space="0" w:color="auto"/>
                                            <w:bottom w:val="none" w:sz="0" w:space="0" w:color="auto"/>
                                            <w:right w:val="none" w:sz="0" w:space="0" w:color="auto"/>
                                          </w:divBdr>
                                          <w:divsChild>
                                            <w:div w:id="1874921212">
                                              <w:marLeft w:val="0"/>
                                              <w:marRight w:val="0"/>
                                              <w:marTop w:val="0"/>
                                              <w:marBottom w:val="0"/>
                                              <w:divBdr>
                                                <w:top w:val="none" w:sz="0" w:space="0" w:color="auto"/>
                                                <w:left w:val="none" w:sz="0" w:space="0" w:color="auto"/>
                                                <w:bottom w:val="none" w:sz="0" w:space="0" w:color="auto"/>
                                                <w:right w:val="none" w:sz="0" w:space="0" w:color="auto"/>
                                              </w:divBdr>
                                              <w:divsChild>
                                                <w:div w:id="1753579362">
                                                  <w:marLeft w:val="0"/>
                                                  <w:marRight w:val="0"/>
                                                  <w:marTop w:val="0"/>
                                                  <w:marBottom w:val="0"/>
                                                  <w:divBdr>
                                                    <w:top w:val="none" w:sz="0" w:space="0" w:color="auto"/>
                                                    <w:left w:val="none" w:sz="0" w:space="0" w:color="auto"/>
                                                    <w:bottom w:val="none" w:sz="0" w:space="0" w:color="auto"/>
                                                    <w:right w:val="none" w:sz="0" w:space="0" w:color="auto"/>
                                                  </w:divBdr>
                                                  <w:divsChild>
                                                    <w:div w:id="1525361983">
                                                      <w:marLeft w:val="0"/>
                                                      <w:marRight w:val="0"/>
                                                      <w:marTop w:val="0"/>
                                                      <w:marBottom w:val="0"/>
                                                      <w:divBdr>
                                                        <w:top w:val="none" w:sz="0" w:space="0" w:color="auto"/>
                                                        <w:left w:val="none" w:sz="0" w:space="0" w:color="auto"/>
                                                        <w:bottom w:val="none" w:sz="0" w:space="0" w:color="auto"/>
                                                        <w:right w:val="none" w:sz="0" w:space="0" w:color="auto"/>
                                                      </w:divBdr>
                                                      <w:divsChild>
                                                        <w:div w:id="20156462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8775649">
                                                              <w:marLeft w:val="0"/>
                                                              <w:marRight w:val="0"/>
                                                              <w:marTop w:val="0"/>
                                                              <w:marBottom w:val="0"/>
                                                              <w:divBdr>
                                                                <w:top w:val="none" w:sz="0" w:space="0" w:color="auto"/>
                                                                <w:left w:val="none" w:sz="0" w:space="0" w:color="auto"/>
                                                                <w:bottom w:val="none" w:sz="0" w:space="0" w:color="auto"/>
                                                                <w:right w:val="none" w:sz="0" w:space="0" w:color="auto"/>
                                                              </w:divBdr>
                                                              <w:divsChild>
                                                                <w:div w:id="16458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4496855">
      <w:bodyDiv w:val="1"/>
      <w:marLeft w:val="0"/>
      <w:marRight w:val="0"/>
      <w:marTop w:val="0"/>
      <w:marBottom w:val="0"/>
      <w:divBdr>
        <w:top w:val="none" w:sz="0" w:space="0" w:color="auto"/>
        <w:left w:val="none" w:sz="0" w:space="0" w:color="auto"/>
        <w:bottom w:val="none" w:sz="0" w:space="0" w:color="auto"/>
        <w:right w:val="none" w:sz="0" w:space="0" w:color="auto"/>
      </w:divBdr>
    </w:div>
    <w:div w:id="20552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x.doi.org/10.1111%2Fj.1467-8624.2012.01848.x" TargetMode="External"/><Relationship Id="rId18" Type="http://schemas.openxmlformats.org/officeDocument/2006/relationships/hyperlink" Target="http://dx.doi.org/10.1080/1078191090308893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x.doi.org/10.1080/10781919.2011.610199" TargetMode="External"/><Relationship Id="rId7" Type="http://schemas.openxmlformats.org/officeDocument/2006/relationships/footnotes" Target="footnotes.xml"/><Relationship Id="rId12" Type="http://schemas.openxmlformats.org/officeDocument/2006/relationships/hyperlink" Target="http://dx.doi.org/10.1080/09540260802090363" TargetMode="External"/><Relationship Id="rId17" Type="http://schemas.openxmlformats.org/officeDocument/2006/relationships/hyperlink" Target="http://dx.doi.org/10.1207/s15327906mbr2003_2"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dx.doi.org/10.1016/j.jclinepi.2006.01.014" TargetMode="External"/><Relationship Id="rId20" Type="http://schemas.openxmlformats.org/officeDocument/2006/relationships/hyperlink" Target="http://psycnet.apa.org/doi/10.1037/1082-989X.7.2.147"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cnet.apa.org/doi/10.1037/0033-2909.107.2.238" TargetMode="External"/><Relationship Id="rId24"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s://dx.doi.org/10.1007%2Fs10802-010-9457-3" TargetMode="External"/><Relationship Id="rId23" Type="http://schemas.openxmlformats.org/officeDocument/2006/relationships/hyperlink" Target="http://psycnet.apa.org/doi/10.1037/pac0000185" TargetMode="External"/><Relationship Id="rId28" Type="http://schemas.openxmlformats.org/officeDocument/2006/relationships/theme" Target="theme/theme1.xml"/><Relationship Id="rId10" Type="http://schemas.openxmlformats.org/officeDocument/2006/relationships/hyperlink" Target="http://dx.doi.org/10.1109/TAC.1974.1100705" TargetMode="External"/><Relationship Id="rId19" Type="http://schemas.openxmlformats.org/officeDocument/2006/relationships/hyperlink" Target="http://www.ninis.nisra.gov.uk/" TargetMode="External"/><Relationship Id="rId4" Type="http://schemas.microsoft.com/office/2007/relationships/stylesWithEffects" Target="stylesWithEffects.xml"/><Relationship Id="rId9" Type="http://schemas.openxmlformats.org/officeDocument/2006/relationships/hyperlink" Target="mailto:cummings.10@nd.edu" TargetMode="External"/><Relationship Id="rId14" Type="http://schemas.openxmlformats.org/officeDocument/2006/relationships/hyperlink" Target="http://psycnet.apa.org/doi/10.1037/0003-066X.53.7.754" TargetMode="External"/><Relationship Id="rId22" Type="http://schemas.openxmlformats.org/officeDocument/2006/relationships/hyperlink" Target="http://dx.doi.org/10.1080/15374416.2014.945213" TargetMode="Externa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7B4E-0540-45B2-81B5-BC7332B2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8097</Words>
  <Characters>46155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54144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Mark Cummings</dc:creator>
  <cp:lastModifiedBy>Shirlow, Peter</cp:lastModifiedBy>
  <cp:revision>2</cp:revision>
  <cp:lastPrinted>2016-10-01T15:27:00Z</cp:lastPrinted>
  <dcterms:created xsi:type="dcterms:W3CDTF">2017-01-27T16:47:00Z</dcterms:created>
  <dcterms:modified xsi:type="dcterms:W3CDTF">2017-01-27T16:47:00Z</dcterms:modified>
</cp:coreProperties>
</file>