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0575B" w14:textId="0BAD06BF" w:rsidR="00AB7BC3" w:rsidRPr="00E36489" w:rsidRDefault="00AB7BC3" w:rsidP="00AB7BC3">
      <w:pPr>
        <w:spacing w:line="480" w:lineRule="auto"/>
        <w:rPr>
          <w:b/>
          <w:sz w:val="28"/>
          <w:szCs w:val="28"/>
        </w:rPr>
      </w:pPr>
      <w:r w:rsidRPr="00E36489">
        <w:rPr>
          <w:b/>
          <w:sz w:val="28"/>
          <w:szCs w:val="28"/>
        </w:rPr>
        <w:t>Title page: letter to the editor</w:t>
      </w:r>
    </w:p>
    <w:p w14:paraId="3B05B77C" w14:textId="77777777" w:rsidR="00F1447C" w:rsidRPr="00E36489" w:rsidRDefault="004A0988" w:rsidP="00AB7BC3">
      <w:pPr>
        <w:spacing w:line="480" w:lineRule="auto"/>
        <w:rPr>
          <w:b/>
          <w:sz w:val="28"/>
          <w:szCs w:val="28"/>
        </w:rPr>
      </w:pPr>
      <w:r w:rsidRPr="00E36489">
        <w:rPr>
          <w:b/>
          <w:sz w:val="28"/>
          <w:szCs w:val="28"/>
        </w:rPr>
        <w:t>Identification of drug- and drug-metabolite immune responses</w:t>
      </w:r>
      <w:r w:rsidR="00F1447C" w:rsidRPr="00E36489">
        <w:rPr>
          <w:b/>
          <w:sz w:val="28"/>
          <w:szCs w:val="28"/>
        </w:rPr>
        <w:t xml:space="preserve"> </w:t>
      </w:r>
      <w:r w:rsidRPr="00E36489">
        <w:rPr>
          <w:b/>
          <w:sz w:val="28"/>
          <w:szCs w:val="28"/>
        </w:rPr>
        <w:t>originating from both naïve and memory T-cells.</w:t>
      </w:r>
    </w:p>
    <w:p w14:paraId="39C4222F" w14:textId="03F40850" w:rsidR="00AB7BC3" w:rsidRPr="00E36489" w:rsidRDefault="00AB7BC3" w:rsidP="00AB7BC3">
      <w:pPr>
        <w:spacing w:line="480" w:lineRule="auto"/>
        <w:jc w:val="both"/>
        <w:rPr>
          <w:sz w:val="24"/>
          <w:szCs w:val="18"/>
        </w:rPr>
      </w:pPr>
      <w:r w:rsidRPr="00E36489">
        <w:rPr>
          <w:sz w:val="24"/>
          <w:szCs w:val="18"/>
        </w:rPr>
        <w:t xml:space="preserve">Andrew Gibson, </w:t>
      </w:r>
      <w:proofErr w:type="spellStart"/>
      <w:r w:rsidRPr="00E36489">
        <w:rPr>
          <w:sz w:val="24"/>
          <w:szCs w:val="18"/>
        </w:rPr>
        <w:t>MRes</w:t>
      </w:r>
      <w:proofErr w:type="spellEnd"/>
      <w:r w:rsidRPr="00E36489">
        <w:rPr>
          <w:sz w:val="24"/>
          <w:szCs w:val="18"/>
        </w:rPr>
        <w:t>; Lee Faulkner, PhD; Sally Wood, BSc; B. Kevin P</w:t>
      </w:r>
      <w:r w:rsidR="00A92279" w:rsidRPr="00E36489">
        <w:rPr>
          <w:sz w:val="24"/>
          <w:szCs w:val="18"/>
        </w:rPr>
        <w:t>ark, PhD; Dean J. Naisbitt, PhD</w:t>
      </w:r>
    </w:p>
    <w:p w14:paraId="0AB98EEE" w14:textId="1952BE9B" w:rsidR="00AB7BC3" w:rsidRPr="00E36489" w:rsidRDefault="00AB7BC3" w:rsidP="00AB7BC3">
      <w:pPr>
        <w:spacing w:line="480" w:lineRule="auto"/>
        <w:rPr>
          <w:iCs/>
          <w:sz w:val="24"/>
        </w:rPr>
      </w:pPr>
      <w:r w:rsidRPr="00E36489">
        <w:rPr>
          <w:iCs/>
          <w:sz w:val="24"/>
        </w:rPr>
        <w:t xml:space="preserve">MRC Centre for Drug Safety Science, Department of Clinical and Molecular Pharmacology, Sherrington Building, Ashton Street, </w:t>
      </w:r>
      <w:proofErr w:type="gramStart"/>
      <w:r w:rsidRPr="00E36489">
        <w:rPr>
          <w:iCs/>
          <w:sz w:val="24"/>
        </w:rPr>
        <w:t>The</w:t>
      </w:r>
      <w:proofErr w:type="gramEnd"/>
      <w:r w:rsidRPr="00E36489">
        <w:rPr>
          <w:iCs/>
          <w:sz w:val="24"/>
        </w:rPr>
        <w:t xml:space="preserve"> University of Liverpool, Liverpool, L69 3GE, England</w:t>
      </w:r>
    </w:p>
    <w:p w14:paraId="63898B0D" w14:textId="77777777" w:rsidR="00AB7BC3" w:rsidRPr="00E36489" w:rsidRDefault="00AB7BC3" w:rsidP="00AB7BC3">
      <w:pPr>
        <w:pStyle w:val="BodyText"/>
        <w:spacing w:line="480" w:lineRule="auto"/>
        <w:jc w:val="both"/>
        <w:rPr>
          <w:rFonts w:asciiTheme="minorHAnsi" w:hAnsiTheme="minorHAnsi"/>
          <w:bCs/>
        </w:rPr>
      </w:pPr>
      <w:r w:rsidRPr="00E36489">
        <w:rPr>
          <w:rFonts w:asciiTheme="minorHAnsi" w:hAnsiTheme="minorHAnsi"/>
          <w:b/>
          <w:bCs/>
        </w:rPr>
        <w:t>Corresponding author:</w:t>
      </w:r>
      <w:r w:rsidRPr="00E36489">
        <w:rPr>
          <w:rFonts w:asciiTheme="minorHAnsi" w:hAnsiTheme="minorHAnsi"/>
          <w:bCs/>
        </w:rPr>
        <w:t xml:space="preserve"> Dr Dean J. Naisbitt, MRC </w:t>
      </w:r>
      <w:r w:rsidRPr="00E36489">
        <w:rPr>
          <w:rFonts w:asciiTheme="minorHAnsi" w:hAnsiTheme="minorHAnsi"/>
        </w:rPr>
        <w:t>Centre for Drug Safety Science,</w:t>
      </w:r>
      <w:r w:rsidRPr="00E36489">
        <w:rPr>
          <w:rFonts w:asciiTheme="minorHAnsi" w:hAnsiTheme="minorHAnsi"/>
          <w:bCs/>
        </w:rPr>
        <w:t xml:space="preserve"> Department of Pharmacology, Sherrington Building, Ashton Street, The University of Liverpool, Liverpool, L69 3GE, England</w:t>
      </w:r>
    </w:p>
    <w:p w14:paraId="0CD18923" w14:textId="1BECF261" w:rsidR="00AB7BC3" w:rsidRPr="00E36489" w:rsidRDefault="00AB7BC3" w:rsidP="00AB7BC3">
      <w:pPr>
        <w:pStyle w:val="BodyText"/>
        <w:spacing w:line="480" w:lineRule="auto"/>
        <w:jc w:val="both"/>
        <w:rPr>
          <w:rFonts w:asciiTheme="minorHAnsi" w:hAnsiTheme="minorHAnsi"/>
          <w:bCs/>
        </w:rPr>
      </w:pPr>
      <w:r w:rsidRPr="00E36489">
        <w:rPr>
          <w:rFonts w:asciiTheme="minorHAnsi" w:hAnsiTheme="minorHAnsi"/>
          <w:b/>
          <w:bCs/>
        </w:rPr>
        <w:t>Telephone:</w:t>
      </w:r>
      <w:r w:rsidRPr="00E36489">
        <w:rPr>
          <w:rFonts w:asciiTheme="minorHAnsi" w:hAnsiTheme="minorHAnsi"/>
          <w:bCs/>
        </w:rPr>
        <w:t xml:space="preserve"> 0044 151 7945346; </w:t>
      </w:r>
      <w:r w:rsidRPr="00E36489">
        <w:rPr>
          <w:rFonts w:asciiTheme="minorHAnsi" w:hAnsiTheme="minorHAnsi"/>
          <w:b/>
          <w:bCs/>
        </w:rPr>
        <w:t>Fax:</w:t>
      </w:r>
      <w:r w:rsidRPr="00E36489">
        <w:rPr>
          <w:rFonts w:asciiTheme="minorHAnsi" w:hAnsiTheme="minorHAnsi"/>
          <w:bCs/>
        </w:rPr>
        <w:t xml:space="preserve"> 0044 151 7945540; </w:t>
      </w:r>
      <w:r w:rsidRPr="00E36489">
        <w:rPr>
          <w:rFonts w:asciiTheme="minorHAnsi" w:hAnsiTheme="minorHAnsi"/>
          <w:b/>
          <w:bCs/>
        </w:rPr>
        <w:t>e-mail:</w:t>
      </w:r>
      <w:r w:rsidRPr="00E36489">
        <w:rPr>
          <w:rFonts w:asciiTheme="minorHAnsi" w:hAnsiTheme="minorHAnsi"/>
          <w:bCs/>
        </w:rPr>
        <w:t xml:space="preserve"> dnes@liv.ac.uk</w:t>
      </w:r>
    </w:p>
    <w:p w14:paraId="2D3A3910" w14:textId="77777777" w:rsidR="00A92279" w:rsidRPr="00E36489" w:rsidRDefault="00AB7BC3" w:rsidP="00A92279">
      <w:pPr>
        <w:pStyle w:val="StyleFACorrespondingAuthorFootnote7pt"/>
        <w:rPr>
          <w:b w:val="0"/>
          <w:color w:val="000000"/>
        </w:rPr>
      </w:pPr>
      <w:r w:rsidRPr="00E36489">
        <w:t>Declaration of funding sources:</w:t>
      </w:r>
      <w:r w:rsidRPr="00E36489">
        <w:rPr>
          <w:i/>
          <w:sz w:val="18"/>
          <w:szCs w:val="18"/>
        </w:rPr>
        <w:t xml:space="preserve"> </w:t>
      </w:r>
      <w:r w:rsidRPr="00E36489">
        <w:rPr>
          <w:b w:val="0"/>
          <w:szCs w:val="18"/>
        </w:rPr>
        <w:t>A.G is a PhD student funded by the BBSRC</w:t>
      </w:r>
      <w:r w:rsidR="00A92279" w:rsidRPr="00E36489">
        <w:rPr>
          <w:b w:val="0"/>
          <w:szCs w:val="18"/>
        </w:rPr>
        <w:t xml:space="preserve">. </w:t>
      </w:r>
      <w:r w:rsidR="00A92279" w:rsidRPr="00E36489">
        <w:rPr>
          <w:b w:val="0"/>
        </w:rPr>
        <w:t xml:space="preserve">The project received core funding from the MRC Centre for Drug Safety Science (Grant Number G0700654) and also the MIP-DILI project (supported by the European Community under the Innovative Medicines Initiative </w:t>
      </w:r>
      <w:proofErr w:type="spellStart"/>
      <w:r w:rsidR="00A92279" w:rsidRPr="00E36489">
        <w:rPr>
          <w:b w:val="0"/>
        </w:rPr>
        <w:t>Programme</w:t>
      </w:r>
      <w:proofErr w:type="spellEnd"/>
      <w:r w:rsidR="00A92279" w:rsidRPr="00E36489">
        <w:rPr>
          <w:b w:val="0"/>
        </w:rPr>
        <w:t xml:space="preserve"> through Grant Agreement number 115336).</w:t>
      </w:r>
    </w:p>
    <w:p w14:paraId="166700AD" w14:textId="5BD248A8" w:rsidR="00AB7BC3" w:rsidRPr="00E36489" w:rsidRDefault="00AB7BC3" w:rsidP="00AB7BC3">
      <w:pPr>
        <w:spacing w:line="480" w:lineRule="auto"/>
        <w:rPr>
          <w:sz w:val="24"/>
        </w:rPr>
      </w:pPr>
    </w:p>
    <w:p w14:paraId="57C3CE27" w14:textId="278FC07F" w:rsidR="00AB7BC3" w:rsidRPr="00E36489" w:rsidRDefault="00AB7BC3" w:rsidP="00AB7BC3">
      <w:pPr>
        <w:spacing w:line="480" w:lineRule="auto"/>
        <w:rPr>
          <w:sz w:val="24"/>
          <w:szCs w:val="28"/>
        </w:rPr>
      </w:pPr>
      <w:r w:rsidRPr="00E36489">
        <w:rPr>
          <w:b/>
          <w:sz w:val="24"/>
          <w:szCs w:val="28"/>
        </w:rPr>
        <w:t>Word count:</w:t>
      </w:r>
      <w:r w:rsidRPr="00E36489">
        <w:rPr>
          <w:sz w:val="24"/>
          <w:szCs w:val="28"/>
        </w:rPr>
        <w:t xml:space="preserve"> 9</w:t>
      </w:r>
      <w:r w:rsidR="00A92279" w:rsidRPr="00E36489">
        <w:rPr>
          <w:sz w:val="24"/>
          <w:szCs w:val="28"/>
        </w:rPr>
        <w:t>93</w:t>
      </w:r>
    </w:p>
    <w:p w14:paraId="3CCE21FF" w14:textId="77777777" w:rsidR="00A92279" w:rsidRPr="00E36489" w:rsidRDefault="00A92279">
      <w:pPr>
        <w:rPr>
          <w:b/>
          <w:sz w:val="24"/>
          <w:szCs w:val="28"/>
        </w:rPr>
      </w:pPr>
      <w:r w:rsidRPr="00E36489">
        <w:rPr>
          <w:b/>
          <w:sz w:val="24"/>
          <w:szCs w:val="28"/>
        </w:rPr>
        <w:br w:type="page"/>
      </w:r>
    </w:p>
    <w:p w14:paraId="4183BD19" w14:textId="628AB2D1" w:rsidR="00AB7BC3" w:rsidRPr="00E36489" w:rsidRDefault="00AB7BC3" w:rsidP="00AB7BC3">
      <w:pPr>
        <w:spacing w:line="480" w:lineRule="auto"/>
        <w:rPr>
          <w:b/>
          <w:sz w:val="24"/>
          <w:szCs w:val="28"/>
        </w:rPr>
      </w:pPr>
      <w:r w:rsidRPr="00E36489">
        <w:rPr>
          <w:b/>
          <w:sz w:val="24"/>
          <w:szCs w:val="28"/>
        </w:rPr>
        <w:lastRenderedPageBreak/>
        <w:t xml:space="preserve">Summary: </w:t>
      </w:r>
      <w:r w:rsidR="00EC1658" w:rsidRPr="00E36489">
        <w:rPr>
          <w:sz w:val="24"/>
          <w:szCs w:val="28"/>
        </w:rPr>
        <w:t>Both n</w:t>
      </w:r>
      <w:r w:rsidR="00AA39DA" w:rsidRPr="00E36489">
        <w:rPr>
          <w:sz w:val="24"/>
          <w:szCs w:val="28"/>
        </w:rPr>
        <w:t>aïve</w:t>
      </w:r>
      <w:r w:rsidR="00EC1658" w:rsidRPr="00E36489">
        <w:rPr>
          <w:sz w:val="24"/>
          <w:szCs w:val="28"/>
        </w:rPr>
        <w:t xml:space="preserve"> and </w:t>
      </w:r>
      <w:r w:rsidR="00AA39DA" w:rsidRPr="00E36489">
        <w:rPr>
          <w:sz w:val="24"/>
          <w:szCs w:val="28"/>
        </w:rPr>
        <w:t xml:space="preserve">memory T-cells from drug-naive donors can be stimulated by </w:t>
      </w:r>
      <w:r w:rsidR="00AA0F77" w:rsidRPr="00E36489">
        <w:rPr>
          <w:sz w:val="24"/>
          <w:szCs w:val="28"/>
        </w:rPr>
        <w:t>parent drug and drug haptens. Thus, drug-derived antigens</w:t>
      </w:r>
      <w:r w:rsidR="00AA39DA" w:rsidRPr="00E36489">
        <w:rPr>
          <w:sz w:val="24"/>
          <w:szCs w:val="28"/>
        </w:rPr>
        <w:t xml:space="preserve"> can </w:t>
      </w:r>
      <w:r w:rsidR="00EC1658" w:rsidRPr="00E36489">
        <w:rPr>
          <w:sz w:val="24"/>
          <w:szCs w:val="28"/>
        </w:rPr>
        <w:t>stimulate</w:t>
      </w:r>
      <w:r w:rsidR="00AA39DA" w:rsidRPr="00E36489">
        <w:rPr>
          <w:sz w:val="24"/>
          <w:szCs w:val="28"/>
        </w:rPr>
        <w:t xml:space="preserve"> </w:t>
      </w:r>
      <w:r w:rsidR="00AA0F77" w:rsidRPr="00E36489">
        <w:rPr>
          <w:sz w:val="24"/>
          <w:szCs w:val="28"/>
        </w:rPr>
        <w:t xml:space="preserve">naïve T-cells alongside </w:t>
      </w:r>
      <w:r w:rsidR="00AA39DA" w:rsidRPr="00E36489">
        <w:rPr>
          <w:sz w:val="24"/>
          <w:szCs w:val="28"/>
        </w:rPr>
        <w:t xml:space="preserve">pre-existing </w:t>
      </w:r>
      <w:r w:rsidR="00EC1658" w:rsidRPr="00E36489">
        <w:rPr>
          <w:sz w:val="24"/>
          <w:szCs w:val="28"/>
        </w:rPr>
        <w:t xml:space="preserve">memory </w:t>
      </w:r>
      <w:r w:rsidR="00AA39DA" w:rsidRPr="00E36489">
        <w:rPr>
          <w:sz w:val="24"/>
          <w:szCs w:val="28"/>
        </w:rPr>
        <w:t xml:space="preserve">T-cells </w:t>
      </w:r>
      <w:r w:rsidR="00EC1658" w:rsidRPr="00E36489">
        <w:rPr>
          <w:sz w:val="24"/>
          <w:szCs w:val="28"/>
        </w:rPr>
        <w:t>through proposed heterologous immunity</w:t>
      </w:r>
      <w:r w:rsidR="00AA39DA" w:rsidRPr="00E36489">
        <w:rPr>
          <w:sz w:val="24"/>
          <w:szCs w:val="28"/>
        </w:rPr>
        <w:t xml:space="preserve"> with an as yet undetermined</w:t>
      </w:r>
      <w:r w:rsidR="00EC1658" w:rsidRPr="00E36489">
        <w:rPr>
          <w:sz w:val="24"/>
          <w:szCs w:val="28"/>
        </w:rPr>
        <w:t xml:space="preserve"> </w:t>
      </w:r>
      <w:r w:rsidR="00AA39DA" w:rsidRPr="00E36489">
        <w:rPr>
          <w:sz w:val="24"/>
          <w:szCs w:val="28"/>
        </w:rPr>
        <w:t>peptide antigen.</w:t>
      </w:r>
    </w:p>
    <w:p w14:paraId="7113B9D3" w14:textId="330C2C90" w:rsidR="00AB7BC3" w:rsidRPr="00E36489" w:rsidRDefault="00AB7BC3" w:rsidP="00AB7BC3">
      <w:pPr>
        <w:spacing w:line="480" w:lineRule="auto"/>
        <w:rPr>
          <w:i/>
          <w:sz w:val="24"/>
          <w:szCs w:val="28"/>
        </w:rPr>
      </w:pPr>
      <w:r w:rsidRPr="00E36489">
        <w:rPr>
          <w:b/>
          <w:sz w:val="24"/>
          <w:szCs w:val="28"/>
        </w:rPr>
        <w:t xml:space="preserve">Keywords: </w:t>
      </w:r>
      <w:r w:rsidRPr="00E36489">
        <w:rPr>
          <w:sz w:val="24"/>
          <w:szCs w:val="28"/>
        </w:rPr>
        <w:t xml:space="preserve">T-cells, drug hypersensitivity, </w:t>
      </w:r>
      <w:r w:rsidR="00D25F4C" w:rsidRPr="00E36489">
        <w:rPr>
          <w:sz w:val="24"/>
          <w:szCs w:val="28"/>
        </w:rPr>
        <w:t>human</w:t>
      </w:r>
    </w:p>
    <w:p w14:paraId="5937F442" w14:textId="77777777" w:rsidR="00AB7BC3" w:rsidRPr="00E36489" w:rsidRDefault="00AB7BC3" w:rsidP="00AB7BC3">
      <w:pPr>
        <w:spacing w:line="480" w:lineRule="auto"/>
        <w:rPr>
          <w:b/>
          <w:i/>
          <w:sz w:val="24"/>
          <w:szCs w:val="28"/>
        </w:rPr>
      </w:pPr>
    </w:p>
    <w:p w14:paraId="52A269D5" w14:textId="77777777" w:rsidR="00AB7BC3" w:rsidRPr="00E36489" w:rsidRDefault="00AB7BC3" w:rsidP="00AB7BC3">
      <w:pPr>
        <w:spacing w:line="480" w:lineRule="auto"/>
        <w:rPr>
          <w:b/>
          <w:i/>
          <w:sz w:val="24"/>
          <w:szCs w:val="28"/>
        </w:rPr>
      </w:pPr>
    </w:p>
    <w:p w14:paraId="3BC2F2C3" w14:textId="77777777" w:rsidR="00AB7BC3" w:rsidRPr="00E36489" w:rsidRDefault="00AB7BC3" w:rsidP="00AB7BC3">
      <w:pPr>
        <w:spacing w:line="480" w:lineRule="auto"/>
        <w:rPr>
          <w:b/>
          <w:i/>
          <w:sz w:val="24"/>
          <w:szCs w:val="28"/>
        </w:rPr>
      </w:pPr>
    </w:p>
    <w:p w14:paraId="7A9E521C" w14:textId="77777777" w:rsidR="00A92279" w:rsidRPr="00E36489" w:rsidRDefault="00A92279">
      <w:pPr>
        <w:rPr>
          <w:sz w:val="24"/>
          <w:szCs w:val="24"/>
        </w:rPr>
      </w:pPr>
      <w:r w:rsidRPr="00E36489">
        <w:rPr>
          <w:sz w:val="24"/>
          <w:szCs w:val="24"/>
        </w:rPr>
        <w:br w:type="page"/>
      </w:r>
    </w:p>
    <w:p w14:paraId="34E504E9" w14:textId="45712A35" w:rsidR="00111AFF" w:rsidRPr="00E36489" w:rsidRDefault="00F1447C" w:rsidP="00C63995">
      <w:pPr>
        <w:spacing w:line="480" w:lineRule="auto"/>
        <w:jc w:val="both"/>
        <w:rPr>
          <w:b/>
          <w:i/>
          <w:sz w:val="24"/>
          <w:szCs w:val="24"/>
        </w:rPr>
      </w:pPr>
      <w:r w:rsidRPr="00E36489">
        <w:rPr>
          <w:b/>
          <w:i/>
          <w:sz w:val="24"/>
          <w:szCs w:val="24"/>
        </w:rPr>
        <w:lastRenderedPageBreak/>
        <w:t>To the Editor</w:t>
      </w:r>
      <w:r w:rsidR="00A92279" w:rsidRPr="00E36489">
        <w:rPr>
          <w:b/>
          <w:i/>
          <w:sz w:val="24"/>
          <w:szCs w:val="24"/>
        </w:rPr>
        <w:t>:</w:t>
      </w:r>
      <w:r w:rsidRPr="00E36489">
        <w:rPr>
          <w:b/>
          <w:i/>
          <w:sz w:val="24"/>
          <w:szCs w:val="24"/>
        </w:rPr>
        <w:t xml:space="preserve"> </w:t>
      </w:r>
      <w:r w:rsidR="00D14E2E" w:rsidRPr="00E36489">
        <w:rPr>
          <w:sz w:val="24"/>
          <w:szCs w:val="24"/>
        </w:rPr>
        <w:t>T-cell-mediated d</w:t>
      </w:r>
      <w:r w:rsidR="004A0988" w:rsidRPr="00E36489">
        <w:rPr>
          <w:sz w:val="24"/>
          <w:szCs w:val="24"/>
        </w:rPr>
        <w:t xml:space="preserve">rug hypersensitivity </w:t>
      </w:r>
      <w:r w:rsidR="003F78FD" w:rsidRPr="00E36489">
        <w:rPr>
          <w:sz w:val="24"/>
          <w:szCs w:val="24"/>
        </w:rPr>
        <w:t>remains</w:t>
      </w:r>
      <w:r w:rsidR="004A0988" w:rsidRPr="00E36489">
        <w:rPr>
          <w:sz w:val="24"/>
          <w:szCs w:val="24"/>
        </w:rPr>
        <w:t xml:space="preserve"> a clinical problem as reactions are difficult to predict and diagnose. This is partly because mechanisms of T-cell activation </w:t>
      </w:r>
      <w:r w:rsidR="003F78FD" w:rsidRPr="00E36489">
        <w:rPr>
          <w:sz w:val="24"/>
          <w:szCs w:val="24"/>
        </w:rPr>
        <w:t xml:space="preserve">involving drug-derived antigens </w:t>
      </w:r>
      <w:r w:rsidR="004A0988" w:rsidRPr="00E36489">
        <w:rPr>
          <w:sz w:val="24"/>
          <w:szCs w:val="24"/>
        </w:rPr>
        <w:t>have not been fully defined. Here, we focus on sulfamethoxazole (</w:t>
      </w:r>
      <w:r w:rsidRPr="00E36489">
        <w:rPr>
          <w:sz w:val="24"/>
          <w:szCs w:val="24"/>
        </w:rPr>
        <w:t>SMX</w:t>
      </w:r>
      <w:r w:rsidR="004A0988" w:rsidRPr="00E36489">
        <w:rPr>
          <w:sz w:val="24"/>
          <w:szCs w:val="24"/>
        </w:rPr>
        <w:t>), a</w:t>
      </w:r>
      <w:r w:rsidRPr="00E36489">
        <w:rPr>
          <w:sz w:val="24"/>
          <w:szCs w:val="24"/>
        </w:rPr>
        <w:t xml:space="preserve"> sulphonamide antibiotic used for the treatm</w:t>
      </w:r>
      <w:r w:rsidR="00E0096C" w:rsidRPr="00E36489">
        <w:rPr>
          <w:sz w:val="24"/>
          <w:szCs w:val="24"/>
        </w:rPr>
        <w:t xml:space="preserve">ent of opportunistic infections, </w:t>
      </w:r>
      <w:r w:rsidR="004A0988" w:rsidRPr="00E36489">
        <w:rPr>
          <w:sz w:val="24"/>
          <w:szCs w:val="24"/>
        </w:rPr>
        <w:t xml:space="preserve">to investigate the origin of drug and drug metabolite-specific </w:t>
      </w:r>
      <w:r w:rsidRPr="00E36489">
        <w:rPr>
          <w:sz w:val="24"/>
          <w:szCs w:val="24"/>
        </w:rPr>
        <w:t>T-cells</w:t>
      </w:r>
      <w:r w:rsidR="004A0988" w:rsidRPr="00E36489">
        <w:rPr>
          <w:sz w:val="24"/>
          <w:szCs w:val="24"/>
        </w:rPr>
        <w:t xml:space="preserve">. </w:t>
      </w:r>
    </w:p>
    <w:p w14:paraId="50FA2C6B" w14:textId="11B1E775" w:rsidR="00C1652F" w:rsidRPr="00E36489" w:rsidRDefault="004A0988" w:rsidP="00C63995">
      <w:pPr>
        <w:spacing w:line="480" w:lineRule="auto"/>
        <w:jc w:val="both"/>
        <w:rPr>
          <w:sz w:val="24"/>
          <w:szCs w:val="24"/>
        </w:rPr>
      </w:pPr>
      <w:r w:rsidRPr="00E36489">
        <w:rPr>
          <w:sz w:val="24"/>
          <w:szCs w:val="24"/>
        </w:rPr>
        <w:t>T-cells</w:t>
      </w:r>
      <w:r w:rsidR="00F1447C" w:rsidRPr="00E36489">
        <w:rPr>
          <w:sz w:val="24"/>
          <w:szCs w:val="24"/>
        </w:rPr>
        <w:t xml:space="preserve"> isolated from </w:t>
      </w:r>
      <w:r w:rsidR="004428C6" w:rsidRPr="00E36489">
        <w:rPr>
          <w:sz w:val="24"/>
          <w:szCs w:val="24"/>
        </w:rPr>
        <w:t xml:space="preserve">blood of patients with SMX-hypersensitivity are generally CD4+ and </w:t>
      </w:r>
      <w:r w:rsidR="00BD32A8" w:rsidRPr="00E36489">
        <w:rPr>
          <w:sz w:val="24"/>
          <w:szCs w:val="24"/>
        </w:rPr>
        <w:t xml:space="preserve">secrete Th1 and Th2 cytokines in response </w:t>
      </w:r>
      <w:r w:rsidR="004428C6" w:rsidRPr="00E36489">
        <w:rPr>
          <w:sz w:val="24"/>
          <w:szCs w:val="24"/>
        </w:rPr>
        <w:t xml:space="preserve">to both SMX and the downstream metabolite </w:t>
      </w:r>
      <w:proofErr w:type="spellStart"/>
      <w:r w:rsidR="004428C6" w:rsidRPr="00E36489">
        <w:rPr>
          <w:sz w:val="24"/>
          <w:szCs w:val="24"/>
        </w:rPr>
        <w:t>nitroso</w:t>
      </w:r>
      <w:proofErr w:type="spellEnd"/>
      <w:r w:rsidR="004428C6" w:rsidRPr="00E36489">
        <w:rPr>
          <w:sz w:val="24"/>
          <w:szCs w:val="24"/>
        </w:rPr>
        <w:t xml:space="preserve"> </w:t>
      </w:r>
      <w:proofErr w:type="spellStart"/>
      <w:r w:rsidR="004428C6" w:rsidRPr="00E36489">
        <w:rPr>
          <w:sz w:val="24"/>
          <w:szCs w:val="24"/>
        </w:rPr>
        <w:t>sulfamethoxazole</w:t>
      </w:r>
      <w:proofErr w:type="spellEnd"/>
      <w:r w:rsidR="004428C6" w:rsidRPr="00E36489">
        <w:rPr>
          <w:sz w:val="24"/>
          <w:szCs w:val="24"/>
        </w:rPr>
        <w:t xml:space="preserve"> (SMX-NO). </w:t>
      </w:r>
      <w:r w:rsidR="00BD32A8" w:rsidRPr="00E36489">
        <w:rPr>
          <w:sz w:val="24"/>
          <w:szCs w:val="24"/>
        </w:rPr>
        <w:t>CD8+ T-cells that display cytotoxicity are detected in lower numbers.</w:t>
      </w:r>
      <w:r w:rsidR="002F6E14" w:rsidRPr="00E36489">
        <w:rPr>
          <w:sz w:val="24"/>
          <w:szCs w:val="24"/>
          <w:vertAlign w:val="superscript"/>
        </w:rPr>
        <w:t>1</w:t>
      </w:r>
      <w:proofErr w:type="gramStart"/>
      <w:r w:rsidR="002F6E14" w:rsidRPr="00E36489">
        <w:rPr>
          <w:sz w:val="24"/>
          <w:szCs w:val="24"/>
          <w:vertAlign w:val="superscript"/>
        </w:rPr>
        <w:t>,2</w:t>
      </w:r>
      <w:proofErr w:type="gramEnd"/>
      <w:r w:rsidR="00BD32A8" w:rsidRPr="00E36489">
        <w:rPr>
          <w:sz w:val="24"/>
          <w:szCs w:val="24"/>
        </w:rPr>
        <w:t xml:space="preserve"> </w:t>
      </w:r>
      <w:r w:rsidR="004428C6" w:rsidRPr="00E36489">
        <w:rPr>
          <w:sz w:val="24"/>
          <w:szCs w:val="24"/>
        </w:rPr>
        <w:t>SMX also generates non-toxic acetylated metabolites which have been reported to stimulate a proportion of patient T-cell clones</w:t>
      </w:r>
      <w:r w:rsidR="004428C6" w:rsidRPr="00E36489">
        <w:rPr>
          <w:sz w:val="24"/>
          <w:szCs w:val="24"/>
        </w:rPr>
        <w:t>.</w:t>
      </w:r>
      <w:r w:rsidR="00BC53AB" w:rsidRPr="00E36489">
        <w:rPr>
          <w:noProof/>
          <w:sz w:val="24"/>
          <w:szCs w:val="24"/>
          <w:vertAlign w:val="superscript"/>
        </w:rPr>
        <w:t>3</w:t>
      </w:r>
      <w:r w:rsidR="004428C6" w:rsidRPr="00E36489">
        <w:rPr>
          <w:sz w:val="24"/>
          <w:szCs w:val="24"/>
        </w:rPr>
        <w:t xml:space="preserve"> While such stimulation likely stems from cross-reactivity to the core sulphonamide structure, acetylated SMX antigens represent a possible source for immune activation during cell culture with SMX. </w:t>
      </w:r>
      <w:r w:rsidR="00E0096C" w:rsidRPr="00E36489">
        <w:rPr>
          <w:sz w:val="24"/>
          <w:szCs w:val="24"/>
        </w:rPr>
        <w:t xml:space="preserve">SMX </w:t>
      </w:r>
      <w:r w:rsidR="00454021" w:rsidRPr="00E36489">
        <w:rPr>
          <w:sz w:val="24"/>
          <w:szCs w:val="24"/>
        </w:rPr>
        <w:t>is</w:t>
      </w:r>
      <w:r w:rsidR="00E0096C" w:rsidRPr="00E36489">
        <w:rPr>
          <w:sz w:val="24"/>
          <w:szCs w:val="24"/>
        </w:rPr>
        <w:t xml:space="preserve"> chemically stable and able to s</w:t>
      </w:r>
      <w:r w:rsidR="00595BE0" w:rsidRPr="00E36489">
        <w:rPr>
          <w:sz w:val="24"/>
          <w:szCs w:val="24"/>
        </w:rPr>
        <w:t>timulate T-</w:t>
      </w:r>
      <w:r w:rsidR="00E0096C" w:rsidRPr="00E36489">
        <w:rPr>
          <w:sz w:val="24"/>
          <w:szCs w:val="24"/>
        </w:rPr>
        <w:t xml:space="preserve">cells via </w:t>
      </w:r>
      <w:r w:rsidR="003F78FD" w:rsidRPr="00E36489">
        <w:rPr>
          <w:sz w:val="24"/>
          <w:szCs w:val="24"/>
        </w:rPr>
        <w:t xml:space="preserve">(1) a </w:t>
      </w:r>
      <w:r w:rsidR="00E0096C" w:rsidRPr="00E36489">
        <w:rPr>
          <w:sz w:val="24"/>
          <w:szCs w:val="24"/>
        </w:rPr>
        <w:t xml:space="preserve">processing-independent </w:t>
      </w:r>
      <w:r w:rsidR="008E62AF" w:rsidRPr="00E36489">
        <w:rPr>
          <w:sz w:val="24"/>
          <w:szCs w:val="24"/>
        </w:rPr>
        <w:t xml:space="preserve">direct </w:t>
      </w:r>
      <w:r w:rsidR="009D4926" w:rsidRPr="00E36489">
        <w:rPr>
          <w:sz w:val="24"/>
          <w:szCs w:val="24"/>
        </w:rPr>
        <w:t>MHC-</w:t>
      </w:r>
      <w:r w:rsidR="00E0096C" w:rsidRPr="00E36489">
        <w:rPr>
          <w:sz w:val="24"/>
          <w:szCs w:val="24"/>
        </w:rPr>
        <w:t>TCR interaction</w:t>
      </w:r>
      <w:r w:rsidR="003F78FD" w:rsidRPr="00E36489">
        <w:rPr>
          <w:sz w:val="24"/>
          <w:szCs w:val="24"/>
        </w:rPr>
        <w:t xml:space="preserve"> and (2) a processing-dependent pathway involving metabolism in antigen presenting cells (APCs)</w:t>
      </w:r>
      <w:r w:rsidR="00E0096C" w:rsidRPr="00E36489">
        <w:rPr>
          <w:sz w:val="24"/>
          <w:szCs w:val="24"/>
        </w:rPr>
        <w:t xml:space="preserve">. Meanwhile, SMX-NO binds </w:t>
      </w:r>
      <w:r w:rsidR="00650FB1" w:rsidRPr="00E36489">
        <w:rPr>
          <w:sz w:val="24"/>
          <w:szCs w:val="24"/>
        </w:rPr>
        <w:t xml:space="preserve">directly </w:t>
      </w:r>
      <w:r w:rsidR="00E0096C" w:rsidRPr="00E36489">
        <w:rPr>
          <w:sz w:val="24"/>
          <w:szCs w:val="24"/>
        </w:rPr>
        <w:t>to the</w:t>
      </w:r>
      <w:r w:rsidR="00C1652F" w:rsidRPr="00E36489">
        <w:rPr>
          <w:sz w:val="24"/>
          <w:szCs w:val="24"/>
        </w:rPr>
        <w:t xml:space="preserve"> cysteine residues of proteins </w:t>
      </w:r>
      <w:r w:rsidR="00E0096C" w:rsidRPr="00E36489">
        <w:rPr>
          <w:sz w:val="24"/>
          <w:szCs w:val="24"/>
        </w:rPr>
        <w:t>to generate a number of potentially immune-activating neo</w:t>
      </w:r>
      <w:r w:rsidR="00C1652F" w:rsidRPr="00E36489">
        <w:rPr>
          <w:sz w:val="24"/>
          <w:szCs w:val="24"/>
        </w:rPr>
        <w:t>-</w:t>
      </w:r>
      <w:r w:rsidR="00E0096C" w:rsidRPr="00E36489">
        <w:rPr>
          <w:sz w:val="24"/>
          <w:szCs w:val="24"/>
        </w:rPr>
        <w:t>antigens</w:t>
      </w:r>
      <w:r w:rsidR="007D7851" w:rsidRPr="00E36489">
        <w:rPr>
          <w:sz w:val="24"/>
          <w:szCs w:val="24"/>
        </w:rPr>
        <w:t>.</w:t>
      </w:r>
      <w:r w:rsidR="00BC53AB" w:rsidRPr="00E36489">
        <w:rPr>
          <w:noProof/>
          <w:sz w:val="24"/>
          <w:szCs w:val="24"/>
          <w:vertAlign w:val="superscript"/>
        </w:rPr>
        <w:t>4</w:t>
      </w:r>
      <w:r w:rsidR="00E0096C" w:rsidRPr="00E36489">
        <w:rPr>
          <w:sz w:val="24"/>
          <w:szCs w:val="24"/>
        </w:rPr>
        <w:t xml:space="preserve"> Animal models poorly reflect the human response as administr</w:t>
      </w:r>
      <w:r w:rsidR="008E62AF" w:rsidRPr="00E36489">
        <w:rPr>
          <w:sz w:val="24"/>
          <w:szCs w:val="24"/>
        </w:rPr>
        <w:t>ation of SMX-NO to rats results</w:t>
      </w:r>
      <w:r w:rsidR="00E0096C" w:rsidRPr="00E36489">
        <w:rPr>
          <w:sz w:val="24"/>
          <w:szCs w:val="24"/>
        </w:rPr>
        <w:t xml:space="preserve"> in the formation of anti-SMX</w:t>
      </w:r>
      <w:r w:rsidR="007F6F9D" w:rsidRPr="00E36489">
        <w:rPr>
          <w:sz w:val="24"/>
          <w:szCs w:val="24"/>
        </w:rPr>
        <w:t>-hapten</w:t>
      </w:r>
      <w:r w:rsidR="00E0096C" w:rsidRPr="00E36489">
        <w:rPr>
          <w:sz w:val="24"/>
          <w:szCs w:val="24"/>
        </w:rPr>
        <w:t xml:space="preserve"> </w:t>
      </w:r>
      <w:r w:rsidR="008E62AF" w:rsidRPr="00E36489">
        <w:rPr>
          <w:sz w:val="24"/>
          <w:szCs w:val="24"/>
        </w:rPr>
        <w:t xml:space="preserve">IgG </w:t>
      </w:r>
      <w:r w:rsidR="00E0096C" w:rsidRPr="00E36489">
        <w:rPr>
          <w:sz w:val="24"/>
          <w:szCs w:val="24"/>
        </w:rPr>
        <w:t>antibodies</w:t>
      </w:r>
      <w:r w:rsidR="007F6F9D" w:rsidRPr="00E36489">
        <w:rPr>
          <w:sz w:val="24"/>
          <w:szCs w:val="24"/>
        </w:rPr>
        <w:t xml:space="preserve"> and SMX-NO-specific T-cells</w:t>
      </w:r>
      <w:r w:rsidR="00E0096C" w:rsidRPr="00E36489">
        <w:rPr>
          <w:sz w:val="24"/>
          <w:szCs w:val="24"/>
        </w:rPr>
        <w:t xml:space="preserve">, whilst no such </w:t>
      </w:r>
      <w:r w:rsidR="007F6F9D" w:rsidRPr="00E36489">
        <w:rPr>
          <w:sz w:val="24"/>
          <w:szCs w:val="24"/>
        </w:rPr>
        <w:t>effect</w:t>
      </w:r>
      <w:r w:rsidR="00E0096C" w:rsidRPr="00E36489">
        <w:rPr>
          <w:sz w:val="24"/>
          <w:szCs w:val="24"/>
        </w:rPr>
        <w:t xml:space="preserve"> was identified for SMX</w:t>
      </w:r>
      <w:r w:rsidR="007D7851" w:rsidRPr="00E36489">
        <w:rPr>
          <w:sz w:val="24"/>
          <w:szCs w:val="24"/>
        </w:rPr>
        <w:t>.</w:t>
      </w:r>
      <w:r w:rsidR="00BC53AB" w:rsidRPr="00E36489">
        <w:rPr>
          <w:noProof/>
          <w:sz w:val="24"/>
          <w:szCs w:val="24"/>
          <w:vertAlign w:val="superscript"/>
        </w:rPr>
        <w:t>5</w:t>
      </w:r>
      <w:r w:rsidR="00E0096C" w:rsidRPr="00E36489">
        <w:rPr>
          <w:sz w:val="24"/>
          <w:szCs w:val="24"/>
        </w:rPr>
        <w:t xml:space="preserve"> </w:t>
      </w:r>
      <w:r w:rsidR="007F6F9D" w:rsidRPr="00E36489">
        <w:rPr>
          <w:sz w:val="24"/>
          <w:szCs w:val="24"/>
        </w:rPr>
        <w:t>P</w:t>
      </w:r>
      <w:r w:rsidR="0043419E" w:rsidRPr="00E36489">
        <w:rPr>
          <w:sz w:val="24"/>
          <w:szCs w:val="24"/>
        </w:rPr>
        <w:t>revious studies</w:t>
      </w:r>
      <w:r w:rsidR="00E21787" w:rsidRPr="00E36489">
        <w:rPr>
          <w:sz w:val="24"/>
          <w:szCs w:val="24"/>
        </w:rPr>
        <w:t xml:space="preserve"> </w:t>
      </w:r>
      <w:r w:rsidR="0043419E" w:rsidRPr="00E36489">
        <w:rPr>
          <w:sz w:val="24"/>
          <w:szCs w:val="24"/>
        </w:rPr>
        <w:t>using PBMC or whole T-cell populations</w:t>
      </w:r>
      <w:r w:rsidR="007F6F9D" w:rsidRPr="00E36489">
        <w:rPr>
          <w:sz w:val="24"/>
          <w:szCs w:val="24"/>
        </w:rPr>
        <w:t xml:space="preserve"> from healthy human donors</w:t>
      </w:r>
      <w:r w:rsidR="0043419E" w:rsidRPr="00E36489">
        <w:rPr>
          <w:sz w:val="24"/>
          <w:szCs w:val="24"/>
        </w:rPr>
        <w:t xml:space="preserve"> </w:t>
      </w:r>
      <w:r w:rsidR="00C1652F" w:rsidRPr="00E36489">
        <w:rPr>
          <w:sz w:val="24"/>
          <w:szCs w:val="24"/>
        </w:rPr>
        <w:t xml:space="preserve">have shown </w:t>
      </w:r>
      <w:r w:rsidR="007F6F9D" w:rsidRPr="00E36489">
        <w:rPr>
          <w:sz w:val="24"/>
          <w:szCs w:val="24"/>
        </w:rPr>
        <w:t>that</w:t>
      </w:r>
      <w:r w:rsidR="00C1652F" w:rsidRPr="00E36489">
        <w:rPr>
          <w:sz w:val="24"/>
          <w:szCs w:val="24"/>
        </w:rPr>
        <w:t xml:space="preserve"> SMX-NO</w:t>
      </w:r>
      <w:r w:rsidR="007F6F9D" w:rsidRPr="00E36489">
        <w:rPr>
          <w:sz w:val="24"/>
          <w:szCs w:val="24"/>
        </w:rPr>
        <w:t xml:space="preserve"> activates T-cells from all individuals</w:t>
      </w:r>
      <w:r w:rsidR="00C1652F" w:rsidRPr="00E36489">
        <w:rPr>
          <w:sz w:val="24"/>
          <w:szCs w:val="24"/>
        </w:rPr>
        <w:t xml:space="preserve">, </w:t>
      </w:r>
      <w:r w:rsidR="007F6F9D" w:rsidRPr="00E36489">
        <w:rPr>
          <w:sz w:val="24"/>
          <w:szCs w:val="24"/>
        </w:rPr>
        <w:t xml:space="preserve">while SMX stimulates T-cells in approximately </w:t>
      </w:r>
      <w:r w:rsidR="00487C5C" w:rsidRPr="00E36489">
        <w:rPr>
          <w:sz w:val="24"/>
          <w:szCs w:val="24"/>
        </w:rPr>
        <w:t>30</w:t>
      </w:r>
      <w:r w:rsidR="007F6F9D" w:rsidRPr="00E36489">
        <w:rPr>
          <w:sz w:val="24"/>
          <w:szCs w:val="24"/>
        </w:rPr>
        <w:t>% of individuals</w:t>
      </w:r>
      <w:r w:rsidR="007D7851" w:rsidRPr="00E36489">
        <w:rPr>
          <w:sz w:val="24"/>
          <w:szCs w:val="24"/>
        </w:rPr>
        <w:t>.</w:t>
      </w:r>
      <w:r w:rsidR="00BC53AB" w:rsidRPr="00E36489">
        <w:rPr>
          <w:noProof/>
          <w:sz w:val="24"/>
          <w:szCs w:val="24"/>
          <w:vertAlign w:val="superscript"/>
        </w:rPr>
        <w:t>6</w:t>
      </w:r>
      <w:r w:rsidR="00C1652F" w:rsidRPr="00E36489">
        <w:rPr>
          <w:sz w:val="24"/>
          <w:szCs w:val="24"/>
        </w:rPr>
        <w:t xml:space="preserve"> </w:t>
      </w:r>
      <w:r w:rsidR="00487C5C" w:rsidRPr="00E36489">
        <w:rPr>
          <w:sz w:val="24"/>
          <w:szCs w:val="24"/>
        </w:rPr>
        <w:t>In contrast,  b</w:t>
      </w:r>
      <w:r w:rsidR="00E21787" w:rsidRPr="00E36489">
        <w:rPr>
          <w:sz w:val="24"/>
          <w:szCs w:val="24"/>
        </w:rPr>
        <w:t>oth drug and metabolite are able to promote the maturation of healthy donor-derived dendritic cells</w:t>
      </w:r>
      <w:r w:rsidR="009D4926" w:rsidRPr="00E36489">
        <w:rPr>
          <w:sz w:val="24"/>
          <w:szCs w:val="24"/>
        </w:rPr>
        <w:t xml:space="preserve"> (DCs)</w:t>
      </w:r>
      <w:r w:rsidR="00E21787" w:rsidRPr="00E36489">
        <w:rPr>
          <w:sz w:val="24"/>
          <w:szCs w:val="24"/>
        </w:rPr>
        <w:t>, a critical step in the efficient presentation of drug-</w:t>
      </w:r>
      <w:r w:rsidR="00487C5C" w:rsidRPr="00E36489">
        <w:rPr>
          <w:sz w:val="24"/>
          <w:szCs w:val="24"/>
        </w:rPr>
        <w:t>antigens</w:t>
      </w:r>
      <w:r w:rsidR="00E21787" w:rsidRPr="00E36489">
        <w:rPr>
          <w:sz w:val="24"/>
          <w:szCs w:val="24"/>
        </w:rPr>
        <w:t xml:space="preserve"> on </w:t>
      </w:r>
      <w:r w:rsidR="00487C5C" w:rsidRPr="00E36489">
        <w:rPr>
          <w:sz w:val="24"/>
          <w:szCs w:val="24"/>
        </w:rPr>
        <w:t>APCs</w:t>
      </w:r>
      <w:r w:rsidR="00E21787" w:rsidRPr="00E36489">
        <w:rPr>
          <w:sz w:val="24"/>
          <w:szCs w:val="24"/>
        </w:rPr>
        <w:t xml:space="preserve"> to </w:t>
      </w:r>
      <w:r w:rsidR="007D7851" w:rsidRPr="00E36489">
        <w:rPr>
          <w:sz w:val="24"/>
          <w:szCs w:val="24"/>
        </w:rPr>
        <w:t xml:space="preserve">naive </w:t>
      </w:r>
      <w:r w:rsidR="00E21787" w:rsidRPr="00E36489">
        <w:rPr>
          <w:sz w:val="24"/>
          <w:szCs w:val="24"/>
        </w:rPr>
        <w:t>T-cells</w:t>
      </w:r>
      <w:r w:rsidR="00454021" w:rsidRPr="00E36489">
        <w:rPr>
          <w:sz w:val="24"/>
          <w:szCs w:val="24"/>
        </w:rPr>
        <w:t>.</w:t>
      </w:r>
      <w:r w:rsidR="00BC53AB" w:rsidRPr="00E36489">
        <w:rPr>
          <w:noProof/>
          <w:sz w:val="24"/>
          <w:szCs w:val="24"/>
          <w:vertAlign w:val="superscript"/>
        </w:rPr>
        <w:t>7</w:t>
      </w:r>
      <w:r w:rsidR="00E21787" w:rsidRPr="00E36489">
        <w:rPr>
          <w:sz w:val="24"/>
          <w:szCs w:val="24"/>
        </w:rPr>
        <w:t xml:space="preserve"> </w:t>
      </w:r>
      <w:r w:rsidR="00487C5C" w:rsidRPr="00E36489">
        <w:rPr>
          <w:sz w:val="24"/>
          <w:szCs w:val="24"/>
        </w:rPr>
        <w:t xml:space="preserve">Despite intensive research, the origin of </w:t>
      </w:r>
      <w:r w:rsidR="007D7851" w:rsidRPr="00E36489">
        <w:rPr>
          <w:sz w:val="24"/>
          <w:szCs w:val="24"/>
        </w:rPr>
        <w:t>drug and drug metabolite</w:t>
      </w:r>
      <w:r w:rsidR="00487C5C" w:rsidRPr="00E36489">
        <w:rPr>
          <w:sz w:val="24"/>
          <w:szCs w:val="24"/>
        </w:rPr>
        <w:t xml:space="preserve">-responsive T-cells has not </w:t>
      </w:r>
      <w:r w:rsidR="00487C5C" w:rsidRPr="00E36489">
        <w:rPr>
          <w:sz w:val="24"/>
          <w:szCs w:val="24"/>
        </w:rPr>
        <w:lastRenderedPageBreak/>
        <w:t xml:space="preserve">been defined. Moreover, it is not known whether previously identified </w:t>
      </w:r>
      <w:r w:rsidR="00C1652F" w:rsidRPr="00E36489">
        <w:rPr>
          <w:sz w:val="24"/>
          <w:szCs w:val="24"/>
        </w:rPr>
        <w:t>SMX-</w:t>
      </w:r>
      <w:r w:rsidR="00E21787" w:rsidRPr="00E36489">
        <w:rPr>
          <w:sz w:val="24"/>
          <w:szCs w:val="24"/>
        </w:rPr>
        <w:t>NO</w:t>
      </w:r>
      <w:r w:rsidR="009D4926" w:rsidRPr="00E36489">
        <w:rPr>
          <w:sz w:val="24"/>
          <w:szCs w:val="24"/>
        </w:rPr>
        <w:t>-</w:t>
      </w:r>
      <w:r w:rsidR="00C1652F" w:rsidRPr="00E36489">
        <w:rPr>
          <w:sz w:val="24"/>
          <w:szCs w:val="24"/>
        </w:rPr>
        <w:t>responsive T-cells in healthy donors originate from the naïv</w:t>
      </w:r>
      <w:r w:rsidR="00E21787" w:rsidRPr="00E36489">
        <w:rPr>
          <w:sz w:val="24"/>
          <w:szCs w:val="24"/>
        </w:rPr>
        <w:t xml:space="preserve">e or memory T-cell compartment. </w:t>
      </w:r>
      <w:r w:rsidR="004428C6" w:rsidRPr="00E36489">
        <w:rPr>
          <w:sz w:val="24"/>
          <w:szCs w:val="24"/>
        </w:rPr>
        <w:t xml:space="preserve">Determining the presence of memory T-cells in drug-naïve donors that respond to SMX-derived antigens is crucial for understanding whether hypersensitivity is partially mediated by heterologous immunity, where drug-antigens cross-react with T-cells initially primed to non SMX-derived peptides. </w:t>
      </w:r>
      <w:r w:rsidR="000C0643" w:rsidRPr="00E36489">
        <w:rPr>
          <w:sz w:val="24"/>
          <w:szCs w:val="24"/>
        </w:rPr>
        <w:t>Thus</w:t>
      </w:r>
      <w:r w:rsidR="00487C5C" w:rsidRPr="00E36489">
        <w:rPr>
          <w:sz w:val="24"/>
          <w:szCs w:val="24"/>
        </w:rPr>
        <w:t>,</w:t>
      </w:r>
      <w:r w:rsidR="00E21787" w:rsidRPr="00E36489">
        <w:rPr>
          <w:sz w:val="24"/>
          <w:szCs w:val="24"/>
        </w:rPr>
        <w:t xml:space="preserve"> we sought to investigate the activation of naïve and memory T-cells from </w:t>
      </w:r>
      <w:r w:rsidR="00487C5C" w:rsidRPr="00E36489">
        <w:rPr>
          <w:sz w:val="24"/>
          <w:szCs w:val="24"/>
        </w:rPr>
        <w:t>healthy</w:t>
      </w:r>
      <w:r w:rsidR="00E21787" w:rsidRPr="00E36489">
        <w:rPr>
          <w:sz w:val="24"/>
          <w:szCs w:val="24"/>
        </w:rPr>
        <w:t xml:space="preserve"> donors to both SMX and SMX-NO. </w:t>
      </w:r>
      <w:r w:rsidR="004428C6" w:rsidRPr="00E36489">
        <w:rPr>
          <w:sz w:val="24"/>
          <w:szCs w:val="24"/>
        </w:rPr>
        <w:t>Furthermore, both SMX- and SMX-NO-specific T-cells were cloned to assess cross-reactivity to SMX-NO and SMX, respectively.</w:t>
      </w:r>
    </w:p>
    <w:p w14:paraId="2886F38B" w14:textId="1A7002E5" w:rsidR="00F3091F" w:rsidRPr="00E36489" w:rsidRDefault="000E6151" w:rsidP="00C63995">
      <w:pPr>
        <w:spacing w:line="480" w:lineRule="auto"/>
        <w:jc w:val="both"/>
        <w:rPr>
          <w:sz w:val="24"/>
          <w:szCs w:val="24"/>
        </w:rPr>
      </w:pPr>
      <w:r w:rsidRPr="00E36489">
        <w:rPr>
          <w:sz w:val="24"/>
          <w:szCs w:val="24"/>
        </w:rPr>
        <w:t>We utilised</w:t>
      </w:r>
      <w:r w:rsidR="0043419E" w:rsidRPr="00E36489">
        <w:rPr>
          <w:sz w:val="24"/>
          <w:szCs w:val="24"/>
        </w:rPr>
        <w:t xml:space="preserve"> an </w:t>
      </w:r>
      <w:r w:rsidR="00E21787" w:rsidRPr="00E36489">
        <w:rPr>
          <w:sz w:val="24"/>
          <w:szCs w:val="24"/>
        </w:rPr>
        <w:t>established</w:t>
      </w:r>
      <w:r w:rsidR="00F1447C" w:rsidRPr="00E36489">
        <w:rPr>
          <w:sz w:val="24"/>
          <w:szCs w:val="24"/>
        </w:rPr>
        <w:t xml:space="preserve"> </w:t>
      </w:r>
      <w:r w:rsidR="00F1447C" w:rsidRPr="00E36489">
        <w:rPr>
          <w:i/>
          <w:sz w:val="24"/>
          <w:szCs w:val="24"/>
        </w:rPr>
        <w:t>in vitro</w:t>
      </w:r>
      <w:r w:rsidR="00E21787" w:rsidRPr="00E36489">
        <w:rPr>
          <w:sz w:val="24"/>
          <w:szCs w:val="24"/>
        </w:rPr>
        <w:t xml:space="preserve"> T-cell priming assay</w:t>
      </w:r>
      <w:r w:rsidR="00BC53AB" w:rsidRPr="00E36489">
        <w:rPr>
          <w:noProof/>
          <w:sz w:val="24"/>
          <w:szCs w:val="24"/>
          <w:vertAlign w:val="superscript"/>
        </w:rPr>
        <w:t>8</w:t>
      </w:r>
      <w:r w:rsidR="00F3091F" w:rsidRPr="00E36489">
        <w:rPr>
          <w:sz w:val="24"/>
          <w:szCs w:val="24"/>
        </w:rPr>
        <w:t xml:space="preserve"> </w:t>
      </w:r>
      <w:r w:rsidR="004428C6" w:rsidRPr="00E36489">
        <w:rPr>
          <w:sz w:val="24"/>
          <w:szCs w:val="24"/>
        </w:rPr>
        <w:t>(study de</w:t>
      </w:r>
      <w:r w:rsidR="00205758" w:rsidRPr="00E36489">
        <w:rPr>
          <w:sz w:val="24"/>
          <w:szCs w:val="24"/>
        </w:rPr>
        <w:t xml:space="preserve">sign and results summarised in </w:t>
      </w:r>
      <w:r w:rsidR="004428C6" w:rsidRPr="00E36489">
        <w:rPr>
          <w:sz w:val="24"/>
          <w:szCs w:val="24"/>
        </w:rPr>
        <w:t xml:space="preserve">figure </w:t>
      </w:r>
      <w:r w:rsidR="00205758" w:rsidRPr="00E36489">
        <w:rPr>
          <w:sz w:val="24"/>
          <w:szCs w:val="24"/>
        </w:rPr>
        <w:t>E</w:t>
      </w:r>
      <w:r w:rsidR="004428C6" w:rsidRPr="00E36489">
        <w:rPr>
          <w:sz w:val="24"/>
          <w:szCs w:val="24"/>
        </w:rPr>
        <w:t xml:space="preserve">1) </w:t>
      </w:r>
      <w:r w:rsidR="00F3091F" w:rsidRPr="00E36489">
        <w:rPr>
          <w:sz w:val="24"/>
          <w:szCs w:val="24"/>
        </w:rPr>
        <w:t xml:space="preserve">where </w:t>
      </w:r>
      <w:r w:rsidR="00487C5C" w:rsidRPr="00E36489">
        <w:rPr>
          <w:sz w:val="24"/>
          <w:szCs w:val="24"/>
        </w:rPr>
        <w:t xml:space="preserve">PBMC were isolated from peripheral blood, before </w:t>
      </w:r>
      <w:r w:rsidR="00F3091F" w:rsidRPr="00E36489">
        <w:rPr>
          <w:sz w:val="24"/>
          <w:szCs w:val="24"/>
        </w:rPr>
        <w:t>further isolation of</w:t>
      </w:r>
      <w:r w:rsidR="00487C5C" w:rsidRPr="00E36489">
        <w:rPr>
          <w:sz w:val="24"/>
          <w:szCs w:val="24"/>
        </w:rPr>
        <w:t xml:space="preserve"> </w:t>
      </w:r>
      <w:r w:rsidR="003F78FD" w:rsidRPr="00E36489">
        <w:rPr>
          <w:sz w:val="24"/>
          <w:szCs w:val="24"/>
        </w:rPr>
        <w:t xml:space="preserve">CD14+ cells and </w:t>
      </w:r>
      <w:r w:rsidR="00487C5C" w:rsidRPr="00E36489">
        <w:rPr>
          <w:sz w:val="24"/>
          <w:szCs w:val="24"/>
        </w:rPr>
        <w:t>naïve and memory T-cells</w:t>
      </w:r>
      <w:r w:rsidR="004428C6" w:rsidRPr="00E36489">
        <w:rPr>
          <w:sz w:val="24"/>
          <w:szCs w:val="24"/>
        </w:rPr>
        <w:t xml:space="preserve"> </w:t>
      </w:r>
      <w:r w:rsidR="004428C6" w:rsidRPr="00E36489">
        <w:rPr>
          <w:sz w:val="24"/>
          <w:szCs w:val="24"/>
        </w:rPr>
        <w:t>by magnetic bead sorting</w:t>
      </w:r>
      <w:r w:rsidR="00487C5C" w:rsidRPr="00E36489">
        <w:rPr>
          <w:sz w:val="24"/>
          <w:szCs w:val="24"/>
        </w:rPr>
        <w:t xml:space="preserve">. </w:t>
      </w:r>
      <w:r w:rsidR="00F3091F" w:rsidRPr="00E36489">
        <w:rPr>
          <w:sz w:val="24"/>
          <w:szCs w:val="24"/>
        </w:rPr>
        <w:t xml:space="preserve">T-cells were then combined with autologous, fully matured monocyte-derived </w:t>
      </w:r>
      <w:r w:rsidR="009D4926" w:rsidRPr="00E36489">
        <w:rPr>
          <w:sz w:val="24"/>
          <w:szCs w:val="24"/>
        </w:rPr>
        <w:t>DCs</w:t>
      </w:r>
      <w:r w:rsidR="00F3091F" w:rsidRPr="00E36489">
        <w:rPr>
          <w:sz w:val="24"/>
          <w:szCs w:val="24"/>
        </w:rPr>
        <w:t>, and drug or metabolite for one week</w:t>
      </w:r>
      <w:r w:rsidR="00454021" w:rsidRPr="00E36489">
        <w:rPr>
          <w:sz w:val="24"/>
          <w:szCs w:val="24"/>
        </w:rPr>
        <w:t xml:space="preserve">. </w:t>
      </w:r>
      <w:r w:rsidR="00F3091F" w:rsidRPr="00E36489">
        <w:rPr>
          <w:sz w:val="24"/>
          <w:szCs w:val="24"/>
        </w:rPr>
        <w:t>T-cells were harvested and cultured with a fresh batch of mature DCs and tested for antigen-specificity using [</w:t>
      </w:r>
      <w:r w:rsidR="00F3091F" w:rsidRPr="00E36489">
        <w:rPr>
          <w:sz w:val="24"/>
          <w:szCs w:val="24"/>
          <w:vertAlign w:val="superscript"/>
        </w:rPr>
        <w:t>3</w:t>
      </w:r>
      <w:r w:rsidR="00F3091F" w:rsidRPr="00E36489">
        <w:rPr>
          <w:sz w:val="24"/>
          <w:szCs w:val="24"/>
        </w:rPr>
        <w:t>H] thymidine incorporation and ELISpot to analyse proliferation and cytokine secretion</w:t>
      </w:r>
      <w:r w:rsidR="009D4926" w:rsidRPr="00E36489">
        <w:rPr>
          <w:sz w:val="24"/>
          <w:szCs w:val="24"/>
        </w:rPr>
        <w:t>,</w:t>
      </w:r>
      <w:r w:rsidR="00F3091F" w:rsidRPr="00E36489">
        <w:rPr>
          <w:sz w:val="24"/>
          <w:szCs w:val="24"/>
        </w:rPr>
        <w:t xml:space="preserve"> respectively.</w:t>
      </w:r>
      <w:r w:rsidR="004428C6" w:rsidRPr="00E36489">
        <w:rPr>
          <w:sz w:val="24"/>
          <w:szCs w:val="24"/>
        </w:rPr>
        <w:t xml:space="preserve"> </w:t>
      </w:r>
      <w:r w:rsidR="004428C6" w:rsidRPr="00E36489">
        <w:rPr>
          <w:sz w:val="24"/>
          <w:szCs w:val="24"/>
        </w:rPr>
        <w:t xml:space="preserve">IL-13 was used as previous studies using drug-specific </w:t>
      </w:r>
      <w:r w:rsidR="00454021" w:rsidRPr="00E36489">
        <w:rPr>
          <w:sz w:val="24"/>
          <w:szCs w:val="24"/>
        </w:rPr>
        <w:t>T-cells</w:t>
      </w:r>
      <w:r w:rsidR="004428C6" w:rsidRPr="00E36489">
        <w:rPr>
          <w:sz w:val="24"/>
          <w:szCs w:val="24"/>
        </w:rPr>
        <w:t xml:space="preserve"> from hypersensitive patients </w:t>
      </w:r>
      <w:r w:rsidR="00454021" w:rsidRPr="00E36489">
        <w:rPr>
          <w:sz w:val="24"/>
          <w:szCs w:val="24"/>
        </w:rPr>
        <w:t>shown</w:t>
      </w:r>
      <w:r w:rsidR="004428C6" w:rsidRPr="00E36489">
        <w:rPr>
          <w:sz w:val="24"/>
          <w:szCs w:val="24"/>
        </w:rPr>
        <w:t xml:space="preserve"> that the cytokine </w:t>
      </w:r>
      <w:r w:rsidR="00454021" w:rsidRPr="00E36489">
        <w:rPr>
          <w:sz w:val="24"/>
          <w:szCs w:val="24"/>
        </w:rPr>
        <w:t>is</w:t>
      </w:r>
      <w:r w:rsidR="004428C6" w:rsidRPr="00E36489">
        <w:rPr>
          <w:sz w:val="24"/>
          <w:szCs w:val="24"/>
        </w:rPr>
        <w:t xml:space="preserve"> secreted in high levels.</w:t>
      </w:r>
      <w:r w:rsidR="00454021" w:rsidRPr="00E36489">
        <w:rPr>
          <w:sz w:val="24"/>
          <w:szCs w:val="24"/>
        </w:rPr>
        <w:t xml:space="preserve"> </w:t>
      </w:r>
      <w:r w:rsidR="004D3BF4" w:rsidRPr="00E36489">
        <w:rPr>
          <w:sz w:val="24"/>
          <w:szCs w:val="24"/>
        </w:rPr>
        <w:t xml:space="preserve">T-cell cloning was performed </w:t>
      </w:r>
      <w:r w:rsidR="004D3BF4" w:rsidRPr="00E36489">
        <w:rPr>
          <w:sz w:val="24"/>
          <w:szCs w:val="24"/>
        </w:rPr>
        <w:t xml:space="preserve">to generate SMX and SMX-NO-responsive clones and to explore cross-reactivity, cytokine release and MHC restriction. </w:t>
      </w:r>
      <w:r w:rsidR="00454021" w:rsidRPr="00E36489">
        <w:rPr>
          <w:sz w:val="24"/>
          <w:szCs w:val="24"/>
        </w:rPr>
        <w:t>D</w:t>
      </w:r>
      <w:r w:rsidR="00454021" w:rsidRPr="00E36489">
        <w:rPr>
          <w:sz w:val="24"/>
          <w:szCs w:val="24"/>
        </w:rPr>
        <w:t xml:space="preserve">etailed methods are available in the </w:t>
      </w:r>
      <w:r w:rsidR="00454021" w:rsidRPr="00E36489">
        <w:rPr>
          <w:sz w:val="24"/>
          <w:szCs w:val="24"/>
        </w:rPr>
        <w:t xml:space="preserve">journals </w:t>
      </w:r>
      <w:r w:rsidR="00454021" w:rsidRPr="00E36489">
        <w:rPr>
          <w:sz w:val="24"/>
          <w:szCs w:val="24"/>
        </w:rPr>
        <w:t>on-line repository.</w:t>
      </w:r>
    </w:p>
    <w:p w14:paraId="5C39D9D6" w14:textId="0647D16C" w:rsidR="00991BA1" w:rsidRPr="00E36489" w:rsidRDefault="000E6151" w:rsidP="00C63995">
      <w:pPr>
        <w:spacing w:line="480" w:lineRule="auto"/>
        <w:jc w:val="both"/>
      </w:pPr>
      <w:r w:rsidRPr="00E36489">
        <w:rPr>
          <w:sz w:val="24"/>
          <w:szCs w:val="24"/>
        </w:rPr>
        <w:t>B</w:t>
      </w:r>
      <w:r w:rsidR="00657BC8" w:rsidRPr="00E36489">
        <w:rPr>
          <w:sz w:val="24"/>
          <w:szCs w:val="24"/>
        </w:rPr>
        <w:t>oth SMX-NO-primed naïve T-cells and SMX-NO-exposed memory T-cells proliferate</w:t>
      </w:r>
      <w:r w:rsidR="0054087B" w:rsidRPr="00E36489">
        <w:rPr>
          <w:sz w:val="24"/>
          <w:szCs w:val="24"/>
        </w:rPr>
        <w:t xml:space="preserve">d </w:t>
      </w:r>
      <w:r w:rsidR="00F1447C" w:rsidRPr="00E36489">
        <w:rPr>
          <w:sz w:val="24"/>
          <w:szCs w:val="24"/>
        </w:rPr>
        <w:t>when re</w:t>
      </w:r>
      <w:r w:rsidR="00E0096C" w:rsidRPr="00E36489">
        <w:rPr>
          <w:sz w:val="24"/>
          <w:szCs w:val="24"/>
        </w:rPr>
        <w:t>-</w:t>
      </w:r>
      <w:r w:rsidR="00F1447C" w:rsidRPr="00E36489">
        <w:rPr>
          <w:sz w:val="24"/>
          <w:szCs w:val="24"/>
        </w:rPr>
        <w:t>stimulated with S</w:t>
      </w:r>
      <w:r w:rsidR="009974A1" w:rsidRPr="00E36489">
        <w:rPr>
          <w:sz w:val="24"/>
          <w:szCs w:val="24"/>
        </w:rPr>
        <w:t xml:space="preserve">MX-NO in all drug-naïve donors </w:t>
      </w:r>
      <w:r w:rsidR="00657BC8" w:rsidRPr="00E36489">
        <w:rPr>
          <w:sz w:val="24"/>
          <w:szCs w:val="24"/>
        </w:rPr>
        <w:t>(</w:t>
      </w:r>
      <w:r w:rsidR="007D7851" w:rsidRPr="00E36489">
        <w:rPr>
          <w:sz w:val="24"/>
          <w:szCs w:val="24"/>
        </w:rPr>
        <w:t xml:space="preserve">n=11; </w:t>
      </w:r>
      <w:r w:rsidR="00657BC8" w:rsidRPr="00E36489">
        <w:rPr>
          <w:sz w:val="24"/>
          <w:szCs w:val="24"/>
        </w:rPr>
        <w:t>Figure 1a)</w:t>
      </w:r>
      <w:r w:rsidR="00F1447C" w:rsidRPr="00E36489">
        <w:rPr>
          <w:sz w:val="24"/>
          <w:szCs w:val="24"/>
        </w:rPr>
        <w:t xml:space="preserve">. </w:t>
      </w:r>
      <w:r w:rsidR="004E3ECE" w:rsidRPr="00E36489">
        <w:rPr>
          <w:sz w:val="24"/>
          <w:szCs w:val="24"/>
        </w:rPr>
        <w:t>In contrast, t</w:t>
      </w:r>
      <w:r w:rsidR="00657BC8" w:rsidRPr="00E36489">
        <w:rPr>
          <w:sz w:val="24"/>
          <w:szCs w:val="24"/>
        </w:rPr>
        <w:t>he priming</w:t>
      </w:r>
      <w:r w:rsidR="00F1447C" w:rsidRPr="00E36489">
        <w:rPr>
          <w:sz w:val="24"/>
          <w:szCs w:val="24"/>
        </w:rPr>
        <w:t xml:space="preserve"> of naïve T-cells</w:t>
      </w:r>
      <w:r w:rsidR="00E81084" w:rsidRPr="00E36489">
        <w:rPr>
          <w:sz w:val="24"/>
          <w:szCs w:val="24"/>
        </w:rPr>
        <w:t xml:space="preserve"> or the </w:t>
      </w:r>
      <w:r w:rsidR="007D7851" w:rsidRPr="00E36489">
        <w:rPr>
          <w:sz w:val="24"/>
          <w:szCs w:val="24"/>
        </w:rPr>
        <w:t xml:space="preserve">culture </w:t>
      </w:r>
      <w:r w:rsidR="00E81084" w:rsidRPr="00E36489">
        <w:rPr>
          <w:sz w:val="24"/>
          <w:szCs w:val="24"/>
        </w:rPr>
        <w:t>of memory T-cell</w:t>
      </w:r>
      <w:r w:rsidR="007D7851" w:rsidRPr="00E36489">
        <w:rPr>
          <w:sz w:val="24"/>
          <w:szCs w:val="24"/>
        </w:rPr>
        <w:t>s</w:t>
      </w:r>
      <w:r w:rsidR="00E81084" w:rsidRPr="00E36489">
        <w:rPr>
          <w:sz w:val="24"/>
          <w:szCs w:val="24"/>
        </w:rPr>
        <w:t xml:space="preserve"> </w:t>
      </w:r>
      <w:r w:rsidR="007D7851" w:rsidRPr="00E36489">
        <w:rPr>
          <w:sz w:val="24"/>
          <w:szCs w:val="24"/>
        </w:rPr>
        <w:t>with</w:t>
      </w:r>
      <w:r w:rsidR="00F1447C" w:rsidRPr="00E36489">
        <w:rPr>
          <w:sz w:val="24"/>
          <w:szCs w:val="24"/>
        </w:rPr>
        <w:t xml:space="preserve"> SMX </w:t>
      </w:r>
      <w:r w:rsidR="00D650CC" w:rsidRPr="00E36489">
        <w:rPr>
          <w:sz w:val="24"/>
          <w:szCs w:val="24"/>
        </w:rPr>
        <w:t>failed to induce a</w:t>
      </w:r>
      <w:r w:rsidR="007D7851" w:rsidRPr="00E36489">
        <w:rPr>
          <w:sz w:val="24"/>
          <w:szCs w:val="24"/>
        </w:rPr>
        <w:t xml:space="preserve">n </w:t>
      </w:r>
      <w:r w:rsidR="007D7851" w:rsidRPr="00E36489">
        <w:rPr>
          <w:sz w:val="24"/>
          <w:szCs w:val="24"/>
        </w:rPr>
        <w:lastRenderedPageBreak/>
        <w:t>antigen-specific</w:t>
      </w:r>
      <w:r w:rsidR="00D650CC" w:rsidRPr="00E36489">
        <w:rPr>
          <w:sz w:val="24"/>
          <w:szCs w:val="24"/>
        </w:rPr>
        <w:t xml:space="preserve"> proliferative response in all 11</w:t>
      </w:r>
      <w:r w:rsidR="00F3091F" w:rsidRPr="00E36489">
        <w:rPr>
          <w:sz w:val="24"/>
          <w:szCs w:val="24"/>
        </w:rPr>
        <w:t xml:space="preserve"> donors</w:t>
      </w:r>
      <w:r w:rsidR="00E81084" w:rsidRPr="00E36489">
        <w:rPr>
          <w:color w:val="FF0000"/>
          <w:sz w:val="24"/>
          <w:szCs w:val="24"/>
        </w:rPr>
        <w:t xml:space="preserve"> </w:t>
      </w:r>
      <w:r w:rsidR="00E81084" w:rsidRPr="00E36489">
        <w:rPr>
          <w:sz w:val="24"/>
          <w:szCs w:val="24"/>
        </w:rPr>
        <w:t xml:space="preserve">(Figure 1b). </w:t>
      </w:r>
      <w:r w:rsidR="00D650CC" w:rsidRPr="00E36489">
        <w:rPr>
          <w:sz w:val="24"/>
          <w:szCs w:val="24"/>
        </w:rPr>
        <w:t>However</w:t>
      </w:r>
      <w:r w:rsidR="004E3ECE" w:rsidRPr="00E36489">
        <w:rPr>
          <w:sz w:val="24"/>
          <w:szCs w:val="24"/>
        </w:rPr>
        <w:t>,</w:t>
      </w:r>
      <w:r w:rsidR="00D650CC" w:rsidRPr="00E36489">
        <w:rPr>
          <w:sz w:val="24"/>
          <w:szCs w:val="24"/>
        </w:rPr>
        <w:t xml:space="preserve"> upon analysis of </w:t>
      </w:r>
      <w:r w:rsidR="00C0687C" w:rsidRPr="00E36489">
        <w:rPr>
          <w:sz w:val="24"/>
          <w:szCs w:val="24"/>
        </w:rPr>
        <w:t>IL-13</w:t>
      </w:r>
      <w:r w:rsidR="00D650CC" w:rsidRPr="00E36489">
        <w:rPr>
          <w:sz w:val="24"/>
          <w:szCs w:val="24"/>
        </w:rPr>
        <w:t xml:space="preserve"> secretion, </w:t>
      </w:r>
      <w:r w:rsidR="00C0687C" w:rsidRPr="00E36489">
        <w:rPr>
          <w:sz w:val="24"/>
          <w:szCs w:val="24"/>
        </w:rPr>
        <w:t xml:space="preserve">both SMX-NO- and </w:t>
      </w:r>
      <w:r w:rsidR="007D7851" w:rsidRPr="00E36489">
        <w:rPr>
          <w:sz w:val="24"/>
          <w:szCs w:val="24"/>
        </w:rPr>
        <w:t>SMX-responsive T-cells were detected</w:t>
      </w:r>
      <w:r w:rsidR="0027747E" w:rsidRPr="00E36489">
        <w:rPr>
          <w:sz w:val="24"/>
          <w:szCs w:val="24"/>
        </w:rPr>
        <w:t xml:space="preserve"> in 2/3 donors (Figures 1c and 1d</w:t>
      </w:r>
      <w:r w:rsidR="00C0687C" w:rsidRPr="00E36489">
        <w:rPr>
          <w:sz w:val="24"/>
          <w:szCs w:val="24"/>
        </w:rPr>
        <w:t>, respectively</w:t>
      </w:r>
      <w:r w:rsidR="0027747E" w:rsidRPr="00E36489">
        <w:rPr>
          <w:sz w:val="24"/>
          <w:szCs w:val="24"/>
        </w:rPr>
        <w:t>). From one donor, we obtained SMX-responsive cells derived from both the</w:t>
      </w:r>
      <w:r w:rsidR="007D7851" w:rsidRPr="00E36489">
        <w:rPr>
          <w:sz w:val="24"/>
          <w:szCs w:val="24"/>
        </w:rPr>
        <w:t xml:space="preserve"> naïve and memory </w:t>
      </w:r>
      <w:r w:rsidR="0027747E" w:rsidRPr="00E36489">
        <w:rPr>
          <w:sz w:val="24"/>
          <w:szCs w:val="24"/>
        </w:rPr>
        <w:t>T-cell cultures (Figure 1d)</w:t>
      </w:r>
      <w:r w:rsidR="00E81084" w:rsidRPr="00E36489">
        <w:rPr>
          <w:sz w:val="24"/>
          <w:szCs w:val="24"/>
        </w:rPr>
        <w:t xml:space="preserve">, while another donor showed a marginal SMX-specific response after naïve T-cell priming.  </w:t>
      </w:r>
      <w:r w:rsidR="00657BC8" w:rsidRPr="00E36489">
        <w:rPr>
          <w:sz w:val="24"/>
          <w:szCs w:val="24"/>
        </w:rPr>
        <w:t xml:space="preserve">Both </w:t>
      </w:r>
      <w:r w:rsidR="00454021" w:rsidRPr="00E36489">
        <w:rPr>
          <w:sz w:val="24"/>
          <w:szCs w:val="24"/>
        </w:rPr>
        <w:t xml:space="preserve">SMX and </w:t>
      </w:r>
      <w:r w:rsidR="00650FB1" w:rsidRPr="00E36489">
        <w:rPr>
          <w:sz w:val="24"/>
          <w:szCs w:val="24"/>
        </w:rPr>
        <w:t>SMX-NO</w:t>
      </w:r>
      <w:r w:rsidR="00F3091F" w:rsidRPr="00E36489">
        <w:rPr>
          <w:sz w:val="24"/>
          <w:szCs w:val="24"/>
        </w:rPr>
        <w:t>-primed</w:t>
      </w:r>
      <w:r w:rsidR="00657BC8" w:rsidRPr="00E36489">
        <w:rPr>
          <w:sz w:val="24"/>
          <w:szCs w:val="24"/>
        </w:rPr>
        <w:t xml:space="preserve"> cultures </w:t>
      </w:r>
      <w:r w:rsidR="006F7988" w:rsidRPr="00E36489">
        <w:rPr>
          <w:sz w:val="24"/>
          <w:szCs w:val="24"/>
        </w:rPr>
        <w:t xml:space="preserve">did </w:t>
      </w:r>
      <w:r w:rsidR="00657BC8" w:rsidRPr="00E36489">
        <w:rPr>
          <w:sz w:val="24"/>
          <w:szCs w:val="24"/>
        </w:rPr>
        <w:t xml:space="preserve">not </w:t>
      </w:r>
      <w:r w:rsidR="006F7988" w:rsidRPr="00E36489">
        <w:rPr>
          <w:sz w:val="24"/>
          <w:szCs w:val="24"/>
        </w:rPr>
        <w:t xml:space="preserve">cross-react </w:t>
      </w:r>
      <w:r w:rsidR="00657BC8" w:rsidRPr="00E36489">
        <w:rPr>
          <w:sz w:val="24"/>
          <w:szCs w:val="24"/>
        </w:rPr>
        <w:t xml:space="preserve">with </w:t>
      </w:r>
      <w:r w:rsidR="00F3091F" w:rsidRPr="00E36489">
        <w:rPr>
          <w:sz w:val="24"/>
          <w:szCs w:val="24"/>
        </w:rPr>
        <w:t>the alternative antigen</w:t>
      </w:r>
      <w:r w:rsidR="00657BC8" w:rsidRPr="00E36489">
        <w:rPr>
          <w:sz w:val="24"/>
          <w:szCs w:val="24"/>
        </w:rPr>
        <w:t xml:space="preserve"> </w:t>
      </w:r>
      <w:r w:rsidR="00E81084" w:rsidRPr="00E36489">
        <w:rPr>
          <w:sz w:val="24"/>
          <w:szCs w:val="24"/>
        </w:rPr>
        <w:t>(supplementary figure 1)</w:t>
      </w:r>
      <w:r w:rsidR="00657BC8" w:rsidRPr="00E36489">
        <w:rPr>
          <w:sz w:val="24"/>
          <w:szCs w:val="24"/>
        </w:rPr>
        <w:t xml:space="preserve">. </w:t>
      </w:r>
      <w:r w:rsidR="00454021" w:rsidRPr="00E36489">
        <w:rPr>
          <w:sz w:val="24"/>
          <w:szCs w:val="24"/>
        </w:rPr>
        <w:t xml:space="preserve">While it is difficult to determine the nature of the </w:t>
      </w:r>
      <w:r w:rsidR="00454021" w:rsidRPr="00E36489">
        <w:rPr>
          <w:sz w:val="24"/>
          <w:szCs w:val="24"/>
        </w:rPr>
        <w:t>antigen presenting cell</w:t>
      </w:r>
      <w:r w:rsidR="00454021" w:rsidRPr="00E36489">
        <w:rPr>
          <w:sz w:val="24"/>
          <w:szCs w:val="24"/>
        </w:rPr>
        <w:t xml:space="preserve"> utilised during </w:t>
      </w:r>
      <w:r w:rsidR="00454021" w:rsidRPr="00E36489">
        <w:rPr>
          <w:sz w:val="24"/>
          <w:szCs w:val="24"/>
        </w:rPr>
        <w:t>hypersensitivity reactions in patients</w:t>
      </w:r>
      <w:r w:rsidR="00454021" w:rsidRPr="00E36489">
        <w:rPr>
          <w:sz w:val="24"/>
          <w:szCs w:val="24"/>
        </w:rPr>
        <w:t xml:space="preserve">, it is likely that DCs are responsible for naïve T-cell priming as they are the only APC capable of doing so </w:t>
      </w:r>
      <w:r w:rsidR="00454021" w:rsidRPr="00E36489">
        <w:rPr>
          <w:i/>
          <w:sz w:val="24"/>
          <w:szCs w:val="24"/>
        </w:rPr>
        <w:t>in vitro</w:t>
      </w:r>
      <w:r w:rsidR="00454021" w:rsidRPr="00E36489">
        <w:rPr>
          <w:sz w:val="24"/>
          <w:szCs w:val="24"/>
        </w:rPr>
        <w:t xml:space="preserve"> (figure E2).</w:t>
      </w:r>
    </w:p>
    <w:p w14:paraId="2BAEDD87" w14:textId="2269A8FC" w:rsidR="00EE1996" w:rsidRPr="00E36489" w:rsidRDefault="006F7988" w:rsidP="00C63995">
      <w:pPr>
        <w:spacing w:line="480" w:lineRule="auto"/>
        <w:jc w:val="both"/>
        <w:rPr>
          <w:sz w:val="24"/>
          <w:szCs w:val="24"/>
        </w:rPr>
      </w:pPr>
      <w:r w:rsidRPr="00E36489">
        <w:rPr>
          <w:sz w:val="24"/>
          <w:szCs w:val="24"/>
        </w:rPr>
        <w:t>SMX-NO</w:t>
      </w:r>
      <w:r w:rsidR="002D47AE" w:rsidRPr="00E36489">
        <w:rPr>
          <w:sz w:val="24"/>
          <w:szCs w:val="24"/>
        </w:rPr>
        <w:t>-</w:t>
      </w:r>
      <w:r w:rsidRPr="00E36489">
        <w:rPr>
          <w:sz w:val="24"/>
          <w:szCs w:val="24"/>
        </w:rPr>
        <w:t xml:space="preserve"> and SMX-specific T-cell clones were </w:t>
      </w:r>
      <w:r w:rsidR="004D3BF4" w:rsidRPr="00E36489">
        <w:rPr>
          <w:sz w:val="24"/>
          <w:szCs w:val="24"/>
        </w:rPr>
        <w:t>generated</w:t>
      </w:r>
      <w:r w:rsidRPr="00E36489">
        <w:rPr>
          <w:sz w:val="24"/>
          <w:szCs w:val="24"/>
        </w:rPr>
        <w:t xml:space="preserve"> from both the naïve and memory compartments </w:t>
      </w:r>
      <w:r w:rsidR="004D3BF4" w:rsidRPr="00E36489">
        <w:rPr>
          <w:sz w:val="24"/>
          <w:szCs w:val="24"/>
        </w:rPr>
        <w:t xml:space="preserve">of </w:t>
      </w:r>
      <w:r w:rsidR="004D3BF4" w:rsidRPr="00E36489">
        <w:rPr>
          <w:sz w:val="24"/>
          <w:szCs w:val="24"/>
        </w:rPr>
        <w:t>SMX-responsive donors</w:t>
      </w:r>
      <w:r w:rsidR="004D3BF4" w:rsidRPr="00E36489">
        <w:rPr>
          <w:sz w:val="24"/>
          <w:szCs w:val="24"/>
        </w:rPr>
        <w:t xml:space="preserve"> </w:t>
      </w:r>
      <w:r w:rsidRPr="00E36489">
        <w:rPr>
          <w:sz w:val="24"/>
          <w:szCs w:val="24"/>
        </w:rPr>
        <w:t>(</w:t>
      </w:r>
      <w:r w:rsidR="00D650CC" w:rsidRPr="00E36489">
        <w:rPr>
          <w:sz w:val="24"/>
          <w:szCs w:val="24"/>
        </w:rPr>
        <w:t>Figure 2a</w:t>
      </w:r>
      <w:r w:rsidR="0054087B" w:rsidRPr="00E36489">
        <w:rPr>
          <w:sz w:val="24"/>
          <w:szCs w:val="24"/>
        </w:rPr>
        <w:t xml:space="preserve">). </w:t>
      </w:r>
      <w:r w:rsidRPr="00E36489">
        <w:rPr>
          <w:sz w:val="24"/>
          <w:szCs w:val="24"/>
        </w:rPr>
        <w:t xml:space="preserve">Both SMX- and SMX-NO-responsive </w:t>
      </w:r>
      <w:r w:rsidR="00650FB1" w:rsidRPr="00E36489">
        <w:rPr>
          <w:sz w:val="24"/>
          <w:szCs w:val="24"/>
        </w:rPr>
        <w:t xml:space="preserve">CD4+ and CD8+ </w:t>
      </w:r>
      <w:r w:rsidRPr="00E36489">
        <w:rPr>
          <w:sz w:val="24"/>
          <w:szCs w:val="24"/>
        </w:rPr>
        <w:t xml:space="preserve">clones generated from naïve T-cell priming were found to be highly specific and </w:t>
      </w:r>
      <w:r w:rsidR="0054087B" w:rsidRPr="00E36489">
        <w:rPr>
          <w:sz w:val="24"/>
          <w:szCs w:val="24"/>
        </w:rPr>
        <w:t xml:space="preserve">did </w:t>
      </w:r>
      <w:r w:rsidR="00616048" w:rsidRPr="00E36489">
        <w:rPr>
          <w:sz w:val="24"/>
          <w:szCs w:val="24"/>
        </w:rPr>
        <w:t>not cross-react</w:t>
      </w:r>
      <w:r w:rsidRPr="00E36489">
        <w:rPr>
          <w:sz w:val="24"/>
          <w:szCs w:val="24"/>
        </w:rPr>
        <w:t xml:space="preserve"> with SMX-NO </w:t>
      </w:r>
      <w:r w:rsidR="0054087B" w:rsidRPr="00E36489">
        <w:rPr>
          <w:sz w:val="24"/>
          <w:szCs w:val="24"/>
        </w:rPr>
        <w:t>or</w:t>
      </w:r>
      <w:r w:rsidR="00D650CC" w:rsidRPr="00E36489">
        <w:rPr>
          <w:sz w:val="24"/>
          <w:szCs w:val="24"/>
        </w:rPr>
        <w:t xml:space="preserve"> SMX</w:t>
      </w:r>
      <w:r w:rsidR="009552F2" w:rsidRPr="00E36489">
        <w:rPr>
          <w:sz w:val="24"/>
          <w:szCs w:val="24"/>
        </w:rPr>
        <w:t>,</w:t>
      </w:r>
      <w:r w:rsidR="00D650CC" w:rsidRPr="00E36489">
        <w:rPr>
          <w:sz w:val="24"/>
          <w:szCs w:val="24"/>
        </w:rPr>
        <w:t xml:space="preserve"> respectively (Figure 2b and 2c</w:t>
      </w:r>
      <w:r w:rsidR="004428C6" w:rsidRPr="00E36489">
        <w:rPr>
          <w:sz w:val="24"/>
          <w:szCs w:val="24"/>
        </w:rPr>
        <w:t xml:space="preserve">), mirroring the majority of T-cell clones isolated from hypersensitive patients (figure </w:t>
      </w:r>
      <w:r w:rsidR="00205758" w:rsidRPr="00E36489">
        <w:rPr>
          <w:sz w:val="24"/>
          <w:szCs w:val="24"/>
        </w:rPr>
        <w:t>E</w:t>
      </w:r>
      <w:r w:rsidR="004428C6" w:rsidRPr="00E36489">
        <w:rPr>
          <w:sz w:val="24"/>
          <w:szCs w:val="24"/>
        </w:rPr>
        <w:t>3)</w:t>
      </w:r>
      <w:r w:rsidRPr="00E36489">
        <w:rPr>
          <w:sz w:val="24"/>
          <w:szCs w:val="24"/>
        </w:rPr>
        <w:t xml:space="preserve">. </w:t>
      </w:r>
      <w:r w:rsidR="00650FB1" w:rsidRPr="00E36489">
        <w:rPr>
          <w:sz w:val="24"/>
          <w:szCs w:val="24"/>
        </w:rPr>
        <w:t xml:space="preserve">Over 95% of SMX and SMX-NO-responsive clones from the memory T-cell compartment were CD4+, possibly because most memory CD8+ T-cells are tissue resident. </w:t>
      </w:r>
      <w:r w:rsidR="007B6179" w:rsidRPr="00E36489">
        <w:rPr>
          <w:sz w:val="24"/>
          <w:szCs w:val="24"/>
        </w:rPr>
        <w:t>3</w:t>
      </w:r>
      <w:r w:rsidR="009974A1" w:rsidRPr="00E36489">
        <w:rPr>
          <w:sz w:val="24"/>
          <w:szCs w:val="24"/>
        </w:rPr>
        <w:t>/5</w:t>
      </w:r>
      <w:r w:rsidRPr="00E36489">
        <w:rPr>
          <w:sz w:val="24"/>
          <w:szCs w:val="24"/>
        </w:rPr>
        <w:t xml:space="preserve"> SMX-responsive T-cell clones from the memory </w:t>
      </w:r>
      <w:bookmarkStart w:id="0" w:name="_GoBack"/>
      <w:r w:rsidRPr="00E36489">
        <w:rPr>
          <w:sz w:val="24"/>
          <w:szCs w:val="24"/>
        </w:rPr>
        <w:t>compartment proliferated in</w:t>
      </w:r>
      <w:r w:rsidR="008A4863" w:rsidRPr="00E36489">
        <w:rPr>
          <w:sz w:val="24"/>
          <w:szCs w:val="24"/>
        </w:rPr>
        <w:t xml:space="preserve"> </w:t>
      </w:r>
      <w:bookmarkEnd w:id="0"/>
      <w:r w:rsidR="008A4863" w:rsidRPr="00E36489">
        <w:rPr>
          <w:sz w:val="24"/>
          <w:szCs w:val="24"/>
        </w:rPr>
        <w:t>the presence of SMX-NO</w:t>
      </w:r>
      <w:r w:rsidRPr="00E36489">
        <w:rPr>
          <w:sz w:val="24"/>
          <w:szCs w:val="24"/>
        </w:rPr>
        <w:t xml:space="preserve">, though these responses were much </w:t>
      </w:r>
      <w:r w:rsidR="008A4863" w:rsidRPr="00E36489">
        <w:rPr>
          <w:sz w:val="24"/>
          <w:szCs w:val="24"/>
        </w:rPr>
        <w:t xml:space="preserve">weaker </w:t>
      </w:r>
      <w:r w:rsidRPr="00E36489">
        <w:rPr>
          <w:sz w:val="24"/>
          <w:szCs w:val="24"/>
        </w:rPr>
        <w:t xml:space="preserve">than </w:t>
      </w:r>
      <w:r w:rsidR="008A4863" w:rsidRPr="00E36489">
        <w:rPr>
          <w:sz w:val="24"/>
          <w:szCs w:val="24"/>
        </w:rPr>
        <w:t xml:space="preserve">in the presence of </w:t>
      </w:r>
      <w:r w:rsidRPr="00E36489">
        <w:rPr>
          <w:sz w:val="24"/>
          <w:szCs w:val="24"/>
        </w:rPr>
        <w:t xml:space="preserve">SMX. </w:t>
      </w:r>
      <w:r w:rsidR="007B6179" w:rsidRPr="00E36489">
        <w:rPr>
          <w:sz w:val="24"/>
          <w:szCs w:val="24"/>
        </w:rPr>
        <w:t>Furthermore, 1</w:t>
      </w:r>
      <w:r w:rsidRPr="00E36489">
        <w:rPr>
          <w:sz w:val="24"/>
          <w:szCs w:val="24"/>
        </w:rPr>
        <w:t xml:space="preserve"> SMX-NO-responsive memory T-cell clone responded strongl</w:t>
      </w:r>
      <w:r w:rsidR="008A4863" w:rsidRPr="00E36489">
        <w:rPr>
          <w:sz w:val="24"/>
          <w:szCs w:val="24"/>
        </w:rPr>
        <w:t>y to both SMX and SMX-NO. SMX and SMX-NO-specific T-cell clones secrete</w:t>
      </w:r>
      <w:r w:rsidR="009974A1" w:rsidRPr="00E36489">
        <w:rPr>
          <w:sz w:val="24"/>
          <w:szCs w:val="24"/>
        </w:rPr>
        <w:t>d</w:t>
      </w:r>
      <w:r w:rsidR="008A4863" w:rsidRPr="00E36489">
        <w:rPr>
          <w:sz w:val="24"/>
          <w:szCs w:val="24"/>
        </w:rPr>
        <w:t xml:space="preserve"> a similar </w:t>
      </w:r>
      <w:r w:rsidR="00616048" w:rsidRPr="00E36489">
        <w:rPr>
          <w:sz w:val="24"/>
          <w:szCs w:val="24"/>
        </w:rPr>
        <w:t>panel</w:t>
      </w:r>
      <w:r w:rsidR="008A4863" w:rsidRPr="00E36489">
        <w:rPr>
          <w:sz w:val="24"/>
          <w:szCs w:val="24"/>
        </w:rPr>
        <w:t xml:space="preserve"> of cytokin</w:t>
      </w:r>
      <w:r w:rsidR="004428C6" w:rsidRPr="00E36489">
        <w:rPr>
          <w:sz w:val="24"/>
          <w:szCs w:val="24"/>
        </w:rPr>
        <w:t xml:space="preserve">es including IFN-γ, IL-13, IL-5. </w:t>
      </w:r>
      <w:r w:rsidR="004428C6" w:rsidRPr="00E36489">
        <w:rPr>
          <w:sz w:val="24"/>
          <w:szCs w:val="24"/>
        </w:rPr>
        <w:t xml:space="preserve">Interestingly, the cytolytic molecules granzyme B and perforin were also released (Figure 2d and 2e) thus reflecting the predominant cytotoxic phenotype of T-cells isolated from the blister fluid of SMX-hypersensitive patients. </w:t>
      </w:r>
      <w:r w:rsidR="008A4863" w:rsidRPr="00E36489">
        <w:rPr>
          <w:sz w:val="24"/>
          <w:szCs w:val="24"/>
        </w:rPr>
        <w:t xml:space="preserve"> </w:t>
      </w:r>
      <w:r w:rsidR="004428C6" w:rsidRPr="00E36489">
        <w:rPr>
          <w:sz w:val="24"/>
          <w:szCs w:val="24"/>
        </w:rPr>
        <w:t xml:space="preserve">The </w:t>
      </w:r>
      <w:r w:rsidR="008A4863" w:rsidRPr="00E36489">
        <w:rPr>
          <w:sz w:val="24"/>
          <w:szCs w:val="24"/>
        </w:rPr>
        <w:t xml:space="preserve">secretion of IL-17 was not detected from </w:t>
      </w:r>
      <w:r w:rsidR="008A4863" w:rsidRPr="00E36489">
        <w:rPr>
          <w:sz w:val="24"/>
          <w:szCs w:val="24"/>
        </w:rPr>
        <w:lastRenderedPageBreak/>
        <w:t xml:space="preserve">either </w:t>
      </w:r>
      <w:r w:rsidR="006F3194" w:rsidRPr="00E36489">
        <w:rPr>
          <w:sz w:val="24"/>
          <w:szCs w:val="24"/>
        </w:rPr>
        <w:t>drug- or metabolite</w:t>
      </w:r>
      <w:r w:rsidR="008A4863" w:rsidRPr="00E36489">
        <w:rPr>
          <w:sz w:val="24"/>
          <w:szCs w:val="24"/>
        </w:rPr>
        <w:t xml:space="preserve">-responsive clones. </w:t>
      </w:r>
      <w:r w:rsidR="00ED5BEA" w:rsidRPr="00E36489">
        <w:rPr>
          <w:sz w:val="24"/>
          <w:szCs w:val="24"/>
        </w:rPr>
        <w:t>As expected, CD8</w:t>
      </w:r>
      <w:r w:rsidR="00ED5BEA" w:rsidRPr="00E36489">
        <w:rPr>
          <w:sz w:val="24"/>
          <w:szCs w:val="24"/>
          <w:vertAlign w:val="superscript"/>
        </w:rPr>
        <w:t>+</w:t>
      </w:r>
      <w:r w:rsidR="00ED5BEA" w:rsidRPr="00E36489">
        <w:rPr>
          <w:sz w:val="24"/>
          <w:szCs w:val="24"/>
        </w:rPr>
        <w:t xml:space="preserve"> </w:t>
      </w:r>
      <w:r w:rsidR="0062354B" w:rsidRPr="00E36489">
        <w:rPr>
          <w:sz w:val="24"/>
          <w:szCs w:val="24"/>
        </w:rPr>
        <w:t>and CD4</w:t>
      </w:r>
      <w:r w:rsidR="0062354B" w:rsidRPr="00E36489">
        <w:rPr>
          <w:sz w:val="24"/>
          <w:szCs w:val="24"/>
          <w:vertAlign w:val="superscript"/>
        </w:rPr>
        <w:t>+</w:t>
      </w:r>
      <w:r w:rsidR="0062354B" w:rsidRPr="00E36489">
        <w:rPr>
          <w:sz w:val="24"/>
          <w:szCs w:val="24"/>
        </w:rPr>
        <w:t xml:space="preserve"> </w:t>
      </w:r>
      <w:r w:rsidR="006F3194" w:rsidRPr="00E36489">
        <w:rPr>
          <w:sz w:val="24"/>
          <w:szCs w:val="24"/>
        </w:rPr>
        <w:t>SMX-responsive clones were MHC class I</w:t>
      </w:r>
      <w:r w:rsidR="0062354B" w:rsidRPr="00E36489">
        <w:rPr>
          <w:sz w:val="24"/>
          <w:szCs w:val="24"/>
        </w:rPr>
        <w:t>- and II</w:t>
      </w:r>
      <w:r w:rsidR="006F3194" w:rsidRPr="00E36489">
        <w:rPr>
          <w:sz w:val="24"/>
          <w:szCs w:val="24"/>
        </w:rPr>
        <w:t>-restricted</w:t>
      </w:r>
      <w:r w:rsidR="0062354B" w:rsidRPr="00E36489">
        <w:rPr>
          <w:sz w:val="24"/>
          <w:szCs w:val="24"/>
        </w:rPr>
        <w:t>, respectively</w:t>
      </w:r>
      <w:r w:rsidR="004D3BF4" w:rsidRPr="00E36489">
        <w:rPr>
          <w:sz w:val="24"/>
          <w:szCs w:val="24"/>
        </w:rPr>
        <w:t xml:space="preserve"> (figure E4)</w:t>
      </w:r>
      <w:r w:rsidR="006F3194" w:rsidRPr="00E36489">
        <w:rPr>
          <w:sz w:val="24"/>
          <w:szCs w:val="24"/>
        </w:rPr>
        <w:t xml:space="preserve">. </w:t>
      </w:r>
    </w:p>
    <w:p w14:paraId="1C57CEDC" w14:textId="2DBBD261" w:rsidR="004428C6" w:rsidRPr="00E36489" w:rsidRDefault="00642D14" w:rsidP="00604B69">
      <w:pPr>
        <w:spacing w:line="480" w:lineRule="auto"/>
        <w:jc w:val="both"/>
        <w:rPr>
          <w:sz w:val="24"/>
          <w:szCs w:val="24"/>
        </w:rPr>
      </w:pPr>
      <w:r w:rsidRPr="00E36489">
        <w:rPr>
          <w:sz w:val="24"/>
          <w:szCs w:val="24"/>
        </w:rPr>
        <w:t xml:space="preserve">In </w:t>
      </w:r>
      <w:r w:rsidR="000348D2" w:rsidRPr="00E36489">
        <w:rPr>
          <w:sz w:val="24"/>
          <w:szCs w:val="24"/>
        </w:rPr>
        <w:t>summary</w:t>
      </w:r>
      <w:r w:rsidRPr="00E36489">
        <w:rPr>
          <w:sz w:val="24"/>
          <w:szCs w:val="24"/>
        </w:rPr>
        <w:t xml:space="preserve">, </w:t>
      </w:r>
      <w:r w:rsidR="004E3ECE" w:rsidRPr="00E36489">
        <w:rPr>
          <w:sz w:val="24"/>
          <w:szCs w:val="24"/>
        </w:rPr>
        <w:t xml:space="preserve">we have </w:t>
      </w:r>
      <w:r w:rsidR="00293A55" w:rsidRPr="00E36489">
        <w:rPr>
          <w:sz w:val="24"/>
          <w:szCs w:val="24"/>
        </w:rPr>
        <w:t>uncovered</w:t>
      </w:r>
      <w:r w:rsidR="004E3ECE" w:rsidRPr="00E36489">
        <w:rPr>
          <w:sz w:val="24"/>
          <w:szCs w:val="24"/>
        </w:rPr>
        <w:t xml:space="preserve"> the origins of </w:t>
      </w:r>
      <w:r w:rsidR="00293A55" w:rsidRPr="00E36489">
        <w:rPr>
          <w:sz w:val="24"/>
          <w:szCs w:val="24"/>
        </w:rPr>
        <w:t>drug antigen-responsive T-cells</w:t>
      </w:r>
      <w:r w:rsidR="003F78FD" w:rsidRPr="00E36489">
        <w:rPr>
          <w:sz w:val="24"/>
          <w:szCs w:val="24"/>
        </w:rPr>
        <w:t>. W</w:t>
      </w:r>
      <w:r w:rsidR="004E3ECE" w:rsidRPr="00E36489">
        <w:rPr>
          <w:sz w:val="24"/>
          <w:szCs w:val="24"/>
        </w:rPr>
        <w:t xml:space="preserve">e </w:t>
      </w:r>
      <w:r w:rsidR="00293A55" w:rsidRPr="00E36489">
        <w:rPr>
          <w:sz w:val="24"/>
          <w:szCs w:val="24"/>
        </w:rPr>
        <w:t>have shown</w:t>
      </w:r>
      <w:r w:rsidR="004E3ECE" w:rsidRPr="00E36489">
        <w:rPr>
          <w:sz w:val="24"/>
          <w:szCs w:val="24"/>
        </w:rPr>
        <w:t xml:space="preserve"> that </w:t>
      </w:r>
      <w:r w:rsidR="00293A55" w:rsidRPr="00E36489">
        <w:rPr>
          <w:sz w:val="24"/>
          <w:szCs w:val="24"/>
        </w:rPr>
        <w:t>SMX</w:t>
      </w:r>
      <w:r w:rsidR="004E3ECE" w:rsidRPr="00E36489">
        <w:rPr>
          <w:sz w:val="24"/>
          <w:szCs w:val="24"/>
        </w:rPr>
        <w:t xml:space="preserve"> and </w:t>
      </w:r>
      <w:r w:rsidR="00293A55" w:rsidRPr="00E36489">
        <w:rPr>
          <w:sz w:val="24"/>
          <w:szCs w:val="24"/>
        </w:rPr>
        <w:t>SMX-NO</w:t>
      </w:r>
      <w:r w:rsidR="004E3ECE" w:rsidRPr="00E36489">
        <w:rPr>
          <w:sz w:val="24"/>
          <w:szCs w:val="24"/>
        </w:rPr>
        <w:t xml:space="preserve"> activate both naïve and memory T-cells. </w:t>
      </w:r>
      <w:r w:rsidR="00E54E8A" w:rsidRPr="00E36489">
        <w:rPr>
          <w:sz w:val="24"/>
          <w:szCs w:val="24"/>
        </w:rPr>
        <w:t xml:space="preserve">While all donors responded to SMX-NO, SMX activated naïve and memory T-cells </w:t>
      </w:r>
      <w:r w:rsidR="00A42BEE" w:rsidRPr="00E36489">
        <w:rPr>
          <w:sz w:val="24"/>
          <w:szCs w:val="24"/>
        </w:rPr>
        <w:t xml:space="preserve">were detected in </w:t>
      </w:r>
      <w:r w:rsidR="003F78FD" w:rsidRPr="00E36489">
        <w:rPr>
          <w:sz w:val="24"/>
          <w:szCs w:val="24"/>
        </w:rPr>
        <w:t xml:space="preserve">only </w:t>
      </w:r>
      <w:r w:rsidR="00E54E8A" w:rsidRPr="00E36489">
        <w:rPr>
          <w:sz w:val="24"/>
          <w:szCs w:val="24"/>
        </w:rPr>
        <w:t xml:space="preserve">two donors. </w:t>
      </w:r>
      <w:r w:rsidR="00205758" w:rsidRPr="00E36489">
        <w:rPr>
          <w:sz w:val="24"/>
          <w:szCs w:val="24"/>
        </w:rPr>
        <w:t xml:space="preserve">The low levels of cross reactivity with naïve T-cells suggests that clones are activated with the parent drug and </w:t>
      </w:r>
      <w:proofErr w:type="spellStart"/>
      <w:r w:rsidR="00205758" w:rsidRPr="00E36489">
        <w:rPr>
          <w:sz w:val="24"/>
          <w:szCs w:val="24"/>
        </w:rPr>
        <w:t>nitroso</w:t>
      </w:r>
      <w:proofErr w:type="spellEnd"/>
      <w:r w:rsidR="00205758" w:rsidRPr="00E36489">
        <w:rPr>
          <w:sz w:val="24"/>
          <w:szCs w:val="24"/>
        </w:rPr>
        <w:t xml:space="preserve"> metabolite via different mechanisms; however, it is also possible that intracellular metabolism of the parent drug generates novel drug metabolite antigens. </w:t>
      </w:r>
      <w:r w:rsidR="004428C6" w:rsidRPr="00E36489">
        <w:rPr>
          <w:sz w:val="24"/>
          <w:szCs w:val="24"/>
        </w:rPr>
        <w:t xml:space="preserve">The inability of the thymidine proliferation assay to detect SMX-responsive cells from the initial priming cultures highlights a known lack of sensitivity in comparison to the </w:t>
      </w:r>
      <w:proofErr w:type="spellStart"/>
      <w:r w:rsidR="004428C6" w:rsidRPr="00E36489">
        <w:rPr>
          <w:sz w:val="24"/>
          <w:szCs w:val="24"/>
        </w:rPr>
        <w:t>ELISpot</w:t>
      </w:r>
      <w:proofErr w:type="spellEnd"/>
      <w:r w:rsidR="004428C6" w:rsidRPr="00E36489">
        <w:rPr>
          <w:sz w:val="24"/>
          <w:szCs w:val="24"/>
        </w:rPr>
        <w:t xml:space="preserve">, but also that SMX is a less potent </w:t>
      </w:r>
      <w:proofErr w:type="spellStart"/>
      <w:r w:rsidR="004428C6" w:rsidRPr="00E36489">
        <w:rPr>
          <w:sz w:val="24"/>
          <w:szCs w:val="24"/>
        </w:rPr>
        <w:t>immunogen</w:t>
      </w:r>
      <w:proofErr w:type="spellEnd"/>
      <w:r w:rsidR="004428C6" w:rsidRPr="00E36489">
        <w:rPr>
          <w:sz w:val="24"/>
          <w:szCs w:val="24"/>
        </w:rPr>
        <w:t xml:space="preserve"> than SMX-NO in drug-naïve donors. It is likely that in </w:t>
      </w:r>
      <w:proofErr w:type="gramStart"/>
      <w:r w:rsidR="004428C6" w:rsidRPr="00E36489">
        <w:rPr>
          <w:sz w:val="24"/>
          <w:szCs w:val="24"/>
        </w:rPr>
        <w:t>individuals</w:t>
      </w:r>
      <w:proofErr w:type="gramEnd"/>
      <w:r w:rsidR="004428C6" w:rsidRPr="00E36489">
        <w:rPr>
          <w:sz w:val="24"/>
          <w:szCs w:val="24"/>
        </w:rPr>
        <w:t xml:space="preserve"> with specific but as yet undetermined predisposing genetic factors the frequency of T-cells responsive to SMX-derived antigens is enhanced, rising above a threshold for overwhelming immune activation and hypersensitivity. </w:t>
      </w:r>
      <w:r w:rsidR="00205758" w:rsidRPr="00E36489">
        <w:rPr>
          <w:sz w:val="24"/>
          <w:szCs w:val="24"/>
        </w:rPr>
        <w:t>Similar to patients, SMX-responsive cells derived from drug-naïve donors were a mixture of CD4</w:t>
      </w:r>
      <w:r w:rsidR="00205758" w:rsidRPr="00E36489">
        <w:rPr>
          <w:sz w:val="24"/>
          <w:szCs w:val="24"/>
          <w:vertAlign w:val="superscript"/>
        </w:rPr>
        <w:t>+</w:t>
      </w:r>
      <w:r w:rsidR="00205758" w:rsidRPr="00E36489">
        <w:rPr>
          <w:sz w:val="24"/>
          <w:szCs w:val="24"/>
        </w:rPr>
        <w:t xml:space="preserve"> and CD8</w:t>
      </w:r>
      <w:r w:rsidR="00205758" w:rsidRPr="00E36489">
        <w:rPr>
          <w:sz w:val="24"/>
          <w:szCs w:val="24"/>
          <w:vertAlign w:val="superscript"/>
        </w:rPr>
        <w:t>+</w:t>
      </w:r>
      <w:r w:rsidR="00205758" w:rsidRPr="00E36489">
        <w:rPr>
          <w:sz w:val="24"/>
          <w:szCs w:val="24"/>
        </w:rPr>
        <w:t xml:space="preserve"> T-cells</w:t>
      </w:r>
      <w:r w:rsidR="004D3BF4" w:rsidRPr="00E36489">
        <w:rPr>
          <w:sz w:val="24"/>
          <w:szCs w:val="24"/>
        </w:rPr>
        <w:t>.</w:t>
      </w:r>
      <w:r w:rsidR="00BC53AB" w:rsidRPr="00E36489">
        <w:rPr>
          <w:noProof/>
          <w:sz w:val="24"/>
          <w:szCs w:val="24"/>
          <w:vertAlign w:val="superscript"/>
        </w:rPr>
        <w:t>1-3</w:t>
      </w:r>
    </w:p>
    <w:p w14:paraId="2394BE76" w14:textId="1C8D4AD2" w:rsidR="00C63995" w:rsidRPr="00E36489" w:rsidRDefault="00BB6F31" w:rsidP="00604B69">
      <w:pPr>
        <w:spacing w:line="480" w:lineRule="auto"/>
        <w:jc w:val="both"/>
      </w:pPr>
      <w:r w:rsidRPr="00E36489">
        <w:rPr>
          <w:sz w:val="24"/>
          <w:szCs w:val="24"/>
        </w:rPr>
        <w:t>As</w:t>
      </w:r>
      <w:r w:rsidR="00A73F72" w:rsidRPr="00E36489">
        <w:rPr>
          <w:sz w:val="24"/>
          <w:szCs w:val="24"/>
        </w:rPr>
        <w:t xml:space="preserve"> SMX-</w:t>
      </w:r>
      <w:r w:rsidR="00A42BEE" w:rsidRPr="00E36489">
        <w:rPr>
          <w:sz w:val="24"/>
          <w:szCs w:val="24"/>
        </w:rPr>
        <w:t xml:space="preserve"> </w:t>
      </w:r>
      <w:r w:rsidR="00293A55" w:rsidRPr="00E36489">
        <w:rPr>
          <w:sz w:val="24"/>
          <w:szCs w:val="24"/>
        </w:rPr>
        <w:t>and SMX-NO-</w:t>
      </w:r>
      <w:r w:rsidR="00A73F72" w:rsidRPr="00E36489">
        <w:rPr>
          <w:sz w:val="24"/>
          <w:szCs w:val="24"/>
        </w:rPr>
        <w:t>responsive</w:t>
      </w:r>
      <w:r w:rsidR="004E3ECE" w:rsidRPr="00E36489">
        <w:rPr>
          <w:sz w:val="24"/>
          <w:szCs w:val="24"/>
        </w:rPr>
        <w:t xml:space="preserve"> </w:t>
      </w:r>
      <w:r w:rsidR="007B6179" w:rsidRPr="00E36489">
        <w:rPr>
          <w:sz w:val="24"/>
          <w:szCs w:val="24"/>
        </w:rPr>
        <w:t xml:space="preserve">CD4+ </w:t>
      </w:r>
      <w:r w:rsidR="00293A55" w:rsidRPr="00E36489">
        <w:rPr>
          <w:sz w:val="24"/>
          <w:szCs w:val="24"/>
        </w:rPr>
        <w:t>T-cells deriving from the memory</w:t>
      </w:r>
      <w:r w:rsidRPr="00E36489">
        <w:rPr>
          <w:sz w:val="24"/>
          <w:szCs w:val="24"/>
        </w:rPr>
        <w:t xml:space="preserve"> </w:t>
      </w:r>
      <w:r w:rsidR="00293A55" w:rsidRPr="00E36489">
        <w:rPr>
          <w:sz w:val="24"/>
          <w:szCs w:val="24"/>
        </w:rPr>
        <w:t>pool</w:t>
      </w:r>
      <w:r w:rsidR="004E3ECE" w:rsidRPr="00E36489">
        <w:rPr>
          <w:sz w:val="24"/>
          <w:szCs w:val="24"/>
        </w:rPr>
        <w:t xml:space="preserve"> were detected in </w:t>
      </w:r>
      <w:r w:rsidR="00293A55" w:rsidRPr="00E36489">
        <w:rPr>
          <w:sz w:val="24"/>
          <w:szCs w:val="24"/>
        </w:rPr>
        <w:t xml:space="preserve">healthy </w:t>
      </w:r>
      <w:r w:rsidR="004E3ECE" w:rsidRPr="00E36489">
        <w:rPr>
          <w:sz w:val="24"/>
          <w:szCs w:val="24"/>
        </w:rPr>
        <w:t xml:space="preserve">donors, the data raise the possibility </w:t>
      </w:r>
      <w:r w:rsidR="00AF11CE" w:rsidRPr="00E36489">
        <w:rPr>
          <w:sz w:val="24"/>
          <w:szCs w:val="24"/>
        </w:rPr>
        <w:t>that</w:t>
      </w:r>
      <w:r w:rsidR="004E3ECE" w:rsidRPr="00E36489">
        <w:rPr>
          <w:sz w:val="24"/>
          <w:szCs w:val="24"/>
        </w:rPr>
        <w:t xml:space="preserve"> peptide-specific T-cells</w:t>
      </w:r>
      <w:r w:rsidR="00AF11CE" w:rsidRPr="00E36489">
        <w:rPr>
          <w:sz w:val="24"/>
          <w:szCs w:val="24"/>
        </w:rPr>
        <w:t xml:space="preserve"> are present within the general population,</w:t>
      </w:r>
      <w:r w:rsidR="004E3ECE" w:rsidRPr="00E36489">
        <w:rPr>
          <w:sz w:val="24"/>
          <w:szCs w:val="24"/>
        </w:rPr>
        <w:t xml:space="preserve"> which are reactive against </w:t>
      </w:r>
      <w:r w:rsidR="00293A55" w:rsidRPr="00E36489">
        <w:rPr>
          <w:sz w:val="24"/>
          <w:szCs w:val="24"/>
        </w:rPr>
        <w:t>drug-associated</w:t>
      </w:r>
      <w:r w:rsidR="004E3ECE" w:rsidRPr="00E36489">
        <w:rPr>
          <w:sz w:val="24"/>
          <w:szCs w:val="24"/>
        </w:rPr>
        <w:t xml:space="preserve"> peptides through some form of molecular mimicry within the MHC antigen-binding cleft. </w:t>
      </w:r>
      <w:r w:rsidR="00E54E8A" w:rsidRPr="00E36489">
        <w:rPr>
          <w:sz w:val="24"/>
          <w:szCs w:val="24"/>
        </w:rPr>
        <w:t xml:space="preserve">Indeed, </w:t>
      </w:r>
      <w:r w:rsidR="004E3ECE" w:rsidRPr="00E36489">
        <w:rPr>
          <w:sz w:val="24"/>
          <w:szCs w:val="24"/>
        </w:rPr>
        <w:t xml:space="preserve">heterologous </w:t>
      </w:r>
      <w:r w:rsidR="00E54E8A" w:rsidRPr="00E36489">
        <w:rPr>
          <w:sz w:val="24"/>
          <w:szCs w:val="24"/>
        </w:rPr>
        <w:t>immunity</w:t>
      </w:r>
      <w:r w:rsidR="004E3ECE" w:rsidRPr="00E36489">
        <w:rPr>
          <w:sz w:val="24"/>
          <w:szCs w:val="24"/>
        </w:rPr>
        <w:t xml:space="preserve"> has </w:t>
      </w:r>
      <w:r w:rsidR="00E54E8A" w:rsidRPr="00E36489">
        <w:rPr>
          <w:sz w:val="24"/>
          <w:szCs w:val="24"/>
        </w:rPr>
        <w:t xml:space="preserve">been previously proposed to be the result </w:t>
      </w:r>
      <w:r w:rsidR="00A73F72" w:rsidRPr="00E36489">
        <w:rPr>
          <w:sz w:val="24"/>
          <w:szCs w:val="24"/>
        </w:rPr>
        <w:t xml:space="preserve">of pathogen-primed T-cells as </w:t>
      </w:r>
      <w:r w:rsidR="004E3ECE" w:rsidRPr="00E36489">
        <w:rPr>
          <w:sz w:val="24"/>
          <w:szCs w:val="24"/>
        </w:rPr>
        <w:t>viral-specific T-cells have the propensity to cross-react with MHC-restricted drug-antigen</w:t>
      </w:r>
      <w:r w:rsidR="00293A55" w:rsidRPr="00E36489">
        <w:rPr>
          <w:sz w:val="24"/>
          <w:szCs w:val="24"/>
        </w:rPr>
        <w:t>.</w:t>
      </w:r>
      <w:r w:rsidR="00AC19DB" w:rsidRPr="00E36489">
        <w:rPr>
          <w:noProof/>
          <w:sz w:val="24"/>
          <w:szCs w:val="24"/>
          <w:vertAlign w:val="superscript"/>
        </w:rPr>
        <w:t>9</w:t>
      </w:r>
      <w:r w:rsidR="004E3ECE" w:rsidRPr="00E36489">
        <w:rPr>
          <w:sz w:val="24"/>
          <w:szCs w:val="24"/>
        </w:rPr>
        <w:t xml:space="preserve"> </w:t>
      </w:r>
      <w:r w:rsidR="00C63995" w:rsidRPr="00E36489">
        <w:rPr>
          <w:sz w:val="24"/>
          <w:szCs w:val="24"/>
        </w:rPr>
        <w:t xml:space="preserve">Furthermore, in comparison to T-cell clones derived from naïve T-cell priming </w:t>
      </w:r>
      <w:r w:rsidR="00C63995" w:rsidRPr="00E36489">
        <w:rPr>
          <w:sz w:val="24"/>
          <w:szCs w:val="24"/>
        </w:rPr>
        <w:lastRenderedPageBreak/>
        <w:t>which were highly antigen</w:t>
      </w:r>
      <w:r w:rsidR="004D3BF4" w:rsidRPr="00E36489">
        <w:rPr>
          <w:sz w:val="24"/>
          <w:szCs w:val="24"/>
        </w:rPr>
        <w:t>-specific, those generated from</w:t>
      </w:r>
      <w:r w:rsidR="00C63995" w:rsidRPr="00E36489">
        <w:rPr>
          <w:sz w:val="24"/>
          <w:szCs w:val="24"/>
        </w:rPr>
        <w:t xml:space="preserve"> SMX- and SMX-NO-exposed memory cultures displayed the ability to cross-react with SMX-NO and SMX, respectively. Thus</w:t>
      </w:r>
      <w:r w:rsidR="00D14E2E" w:rsidRPr="00E36489">
        <w:rPr>
          <w:sz w:val="24"/>
          <w:szCs w:val="24"/>
        </w:rPr>
        <w:t>,</w:t>
      </w:r>
      <w:r w:rsidR="00C63995" w:rsidRPr="00E36489">
        <w:t xml:space="preserve"> </w:t>
      </w:r>
      <w:r w:rsidR="00C63995" w:rsidRPr="00E36489">
        <w:rPr>
          <w:sz w:val="24"/>
          <w:szCs w:val="24"/>
        </w:rPr>
        <w:t xml:space="preserve">our data indicate that </w:t>
      </w:r>
      <w:r w:rsidR="00C57E23" w:rsidRPr="00E36489">
        <w:rPr>
          <w:sz w:val="24"/>
          <w:szCs w:val="24"/>
        </w:rPr>
        <w:t xml:space="preserve">the </w:t>
      </w:r>
      <w:r w:rsidR="00C63995" w:rsidRPr="00E36489">
        <w:rPr>
          <w:sz w:val="24"/>
          <w:szCs w:val="24"/>
        </w:rPr>
        <w:t>cross-reactive T-cells observed in hypersensitive patients are likely derived from pre-existing memory T-cells.</w:t>
      </w:r>
    </w:p>
    <w:p w14:paraId="6E753BDD" w14:textId="135A049F" w:rsidR="004E3ECE" w:rsidRPr="00E36489" w:rsidRDefault="00205758" w:rsidP="00604B69">
      <w:pPr>
        <w:spacing w:line="480" w:lineRule="auto"/>
        <w:jc w:val="both"/>
        <w:rPr>
          <w:sz w:val="24"/>
          <w:szCs w:val="24"/>
        </w:rPr>
      </w:pPr>
      <w:r w:rsidRPr="00E36489">
        <w:rPr>
          <w:sz w:val="24"/>
          <w:szCs w:val="24"/>
        </w:rPr>
        <w:t xml:space="preserve">While ongoing studies are </w:t>
      </w:r>
      <w:r w:rsidRPr="00E36489">
        <w:rPr>
          <w:sz w:val="24"/>
          <w:szCs w:val="24"/>
        </w:rPr>
        <w:t xml:space="preserve">required </w:t>
      </w:r>
      <w:r w:rsidRPr="00E36489">
        <w:rPr>
          <w:sz w:val="24"/>
          <w:szCs w:val="24"/>
        </w:rPr>
        <w:t xml:space="preserve">to </w:t>
      </w:r>
      <w:r w:rsidRPr="00E36489">
        <w:rPr>
          <w:sz w:val="24"/>
          <w:szCs w:val="24"/>
        </w:rPr>
        <w:t>provide data more re</w:t>
      </w:r>
      <w:r w:rsidRPr="00E36489">
        <w:rPr>
          <w:sz w:val="24"/>
          <w:szCs w:val="24"/>
        </w:rPr>
        <w:t>present</w:t>
      </w:r>
      <w:r w:rsidRPr="00E36489">
        <w:rPr>
          <w:sz w:val="24"/>
          <w:szCs w:val="24"/>
        </w:rPr>
        <w:t>ative of the</w:t>
      </w:r>
      <w:r w:rsidRPr="00E36489">
        <w:rPr>
          <w:sz w:val="24"/>
          <w:szCs w:val="24"/>
        </w:rPr>
        <w:t xml:space="preserve"> generalised population, using an initial small cohort of donors </w:t>
      </w:r>
      <w:r w:rsidRPr="00E36489">
        <w:rPr>
          <w:sz w:val="24"/>
          <w:szCs w:val="24"/>
        </w:rPr>
        <w:t>w</w:t>
      </w:r>
      <w:r w:rsidR="000348D2" w:rsidRPr="00E36489">
        <w:rPr>
          <w:sz w:val="24"/>
          <w:szCs w:val="24"/>
        </w:rPr>
        <w:t>e conclude that both the priming of naïve T-cells, but also the activation of pre-existing memory T-cells by SMX-derived antigens, may play a role in the onset of SMX-hypersensitivity. Therefore, determining</w:t>
      </w:r>
      <w:r w:rsidR="00A73F72" w:rsidRPr="00E36489">
        <w:rPr>
          <w:sz w:val="24"/>
          <w:szCs w:val="24"/>
        </w:rPr>
        <w:t xml:space="preserve"> the precise nature of the peptides responsible for the initial priming of naïve T-cells </w:t>
      </w:r>
      <w:r w:rsidR="000348D2" w:rsidRPr="00E36489">
        <w:rPr>
          <w:sz w:val="24"/>
          <w:szCs w:val="24"/>
        </w:rPr>
        <w:t>is crucial to understanding drug-ind</w:t>
      </w:r>
      <w:r w:rsidRPr="00E36489">
        <w:rPr>
          <w:sz w:val="24"/>
          <w:szCs w:val="24"/>
        </w:rPr>
        <w:t xml:space="preserve">uced hypersensitivity reactions </w:t>
      </w:r>
      <w:r w:rsidRPr="00E36489">
        <w:rPr>
          <w:sz w:val="24"/>
          <w:szCs w:val="24"/>
        </w:rPr>
        <w:t xml:space="preserve">and is thus </w:t>
      </w:r>
      <w:proofErr w:type="gramStart"/>
      <w:r w:rsidRPr="00E36489">
        <w:rPr>
          <w:sz w:val="24"/>
          <w:szCs w:val="24"/>
        </w:rPr>
        <w:t>key</w:t>
      </w:r>
      <w:proofErr w:type="gramEnd"/>
      <w:r w:rsidRPr="00E36489">
        <w:rPr>
          <w:sz w:val="24"/>
          <w:szCs w:val="24"/>
        </w:rPr>
        <w:t xml:space="preserve"> to the future safe development of </w:t>
      </w:r>
      <w:r w:rsidRPr="00E36489">
        <w:rPr>
          <w:sz w:val="24"/>
          <w:szCs w:val="24"/>
        </w:rPr>
        <w:t>d</w:t>
      </w:r>
      <w:r w:rsidRPr="00E36489">
        <w:rPr>
          <w:sz w:val="24"/>
          <w:szCs w:val="24"/>
        </w:rPr>
        <w:t>rugs. More work will be needed to determine whether a detailed analysis of a patient’s memory T-cell response could be utilised at a clinical level to evaluate allergic risk.</w:t>
      </w:r>
    </w:p>
    <w:p w14:paraId="5B2CFAFA" w14:textId="77777777" w:rsidR="00A92279" w:rsidRPr="00E36489" w:rsidRDefault="00A92279" w:rsidP="00A92279">
      <w:pPr>
        <w:spacing w:line="480" w:lineRule="auto"/>
        <w:jc w:val="both"/>
        <w:rPr>
          <w:sz w:val="24"/>
          <w:szCs w:val="18"/>
        </w:rPr>
      </w:pPr>
      <w:r w:rsidRPr="00E36489">
        <w:rPr>
          <w:sz w:val="24"/>
          <w:szCs w:val="18"/>
        </w:rPr>
        <w:t xml:space="preserve">Andrew Gibson, </w:t>
      </w:r>
      <w:proofErr w:type="spellStart"/>
      <w:r w:rsidRPr="00E36489">
        <w:rPr>
          <w:sz w:val="24"/>
          <w:szCs w:val="18"/>
        </w:rPr>
        <w:t>MRes</w:t>
      </w:r>
      <w:proofErr w:type="spellEnd"/>
    </w:p>
    <w:p w14:paraId="0BFE7628" w14:textId="77777777" w:rsidR="00A92279" w:rsidRPr="00E36489" w:rsidRDefault="00A92279" w:rsidP="00A92279">
      <w:pPr>
        <w:spacing w:line="480" w:lineRule="auto"/>
        <w:jc w:val="both"/>
        <w:rPr>
          <w:sz w:val="24"/>
          <w:szCs w:val="18"/>
        </w:rPr>
      </w:pPr>
      <w:r w:rsidRPr="00E36489">
        <w:rPr>
          <w:sz w:val="24"/>
          <w:szCs w:val="18"/>
        </w:rPr>
        <w:t xml:space="preserve"> Lee Faulkner, PhD</w:t>
      </w:r>
    </w:p>
    <w:p w14:paraId="43374CC0" w14:textId="77777777" w:rsidR="00A92279" w:rsidRPr="00E36489" w:rsidRDefault="00A92279" w:rsidP="00A92279">
      <w:pPr>
        <w:spacing w:line="480" w:lineRule="auto"/>
        <w:jc w:val="both"/>
        <w:rPr>
          <w:sz w:val="24"/>
          <w:szCs w:val="18"/>
        </w:rPr>
      </w:pPr>
      <w:r w:rsidRPr="00E36489">
        <w:rPr>
          <w:sz w:val="24"/>
          <w:szCs w:val="18"/>
        </w:rPr>
        <w:t xml:space="preserve"> Sally Wood, BSc</w:t>
      </w:r>
    </w:p>
    <w:p w14:paraId="5666385E" w14:textId="77777777" w:rsidR="00A92279" w:rsidRPr="00E36489" w:rsidRDefault="00A92279" w:rsidP="00A92279">
      <w:pPr>
        <w:spacing w:line="480" w:lineRule="auto"/>
        <w:jc w:val="both"/>
        <w:rPr>
          <w:sz w:val="24"/>
          <w:szCs w:val="18"/>
        </w:rPr>
      </w:pPr>
      <w:r w:rsidRPr="00E36489">
        <w:rPr>
          <w:sz w:val="24"/>
          <w:szCs w:val="18"/>
        </w:rPr>
        <w:t>B. Kevin Park, PhD</w:t>
      </w:r>
    </w:p>
    <w:p w14:paraId="43EFA02E" w14:textId="0CF7D994" w:rsidR="00A92279" w:rsidRPr="00E36489" w:rsidRDefault="00A92279" w:rsidP="00A92279">
      <w:pPr>
        <w:spacing w:line="480" w:lineRule="auto"/>
        <w:jc w:val="both"/>
        <w:rPr>
          <w:sz w:val="24"/>
          <w:szCs w:val="18"/>
        </w:rPr>
      </w:pPr>
      <w:r w:rsidRPr="00E36489">
        <w:rPr>
          <w:sz w:val="24"/>
          <w:szCs w:val="18"/>
        </w:rPr>
        <w:t>Dean J. Naisbitt, PhD</w:t>
      </w:r>
    </w:p>
    <w:p w14:paraId="4FDFE268" w14:textId="77777777" w:rsidR="00A92279" w:rsidRPr="00E36489" w:rsidRDefault="00A92279" w:rsidP="00A92279">
      <w:pPr>
        <w:spacing w:line="480" w:lineRule="auto"/>
        <w:rPr>
          <w:iCs/>
          <w:sz w:val="24"/>
        </w:rPr>
      </w:pPr>
      <w:r w:rsidRPr="00E36489">
        <w:rPr>
          <w:iCs/>
          <w:sz w:val="24"/>
        </w:rPr>
        <w:t xml:space="preserve">MRC Centre for Drug Safety Science, Department of Clinical and Molecular Pharmacology, Sherrington Building, Ashton Street, </w:t>
      </w:r>
      <w:proofErr w:type="gramStart"/>
      <w:r w:rsidRPr="00E36489">
        <w:rPr>
          <w:iCs/>
          <w:sz w:val="24"/>
        </w:rPr>
        <w:t>The</w:t>
      </w:r>
      <w:proofErr w:type="gramEnd"/>
      <w:r w:rsidRPr="00E36489">
        <w:rPr>
          <w:iCs/>
          <w:sz w:val="24"/>
        </w:rPr>
        <w:t xml:space="preserve"> University of Liverpool, Liverpool, L69 3GE, England</w:t>
      </w:r>
    </w:p>
    <w:p w14:paraId="5FCE7EFC" w14:textId="2AA8655C" w:rsidR="00A92279" w:rsidRPr="00E36489" w:rsidRDefault="002A1F69" w:rsidP="00A92279">
      <w:pPr>
        <w:spacing w:line="480" w:lineRule="auto"/>
        <w:jc w:val="both"/>
        <w:rPr>
          <w:sz w:val="24"/>
          <w:szCs w:val="18"/>
        </w:rPr>
      </w:pPr>
      <w:r w:rsidRPr="00E36489">
        <w:rPr>
          <w:i/>
          <w:iCs/>
        </w:rPr>
        <w:t>E-mail: dnes@liv.ac.uk.</w:t>
      </w:r>
    </w:p>
    <w:p w14:paraId="0FEA85DB" w14:textId="331DE326" w:rsidR="00A92279" w:rsidRPr="00E36489" w:rsidRDefault="00A92279" w:rsidP="00A92279">
      <w:pPr>
        <w:spacing w:line="480" w:lineRule="auto"/>
        <w:jc w:val="both"/>
        <w:rPr>
          <w:sz w:val="28"/>
          <w:szCs w:val="18"/>
        </w:rPr>
      </w:pPr>
      <w:r w:rsidRPr="00E36489">
        <w:rPr>
          <w:b/>
          <w:sz w:val="24"/>
        </w:rPr>
        <w:lastRenderedPageBreak/>
        <w:t xml:space="preserve">Acknowledgements: </w:t>
      </w:r>
      <w:r w:rsidRPr="00E36489">
        <w:rPr>
          <w:sz w:val="24"/>
        </w:rPr>
        <w:t>The authors would like to thank the CDSS nurses who helped to collect samples, as well as the patients who participated in the project.</w:t>
      </w:r>
    </w:p>
    <w:p w14:paraId="6352700D" w14:textId="08323EE0" w:rsidR="009552F2" w:rsidRPr="00E36489" w:rsidRDefault="00EC1658" w:rsidP="00604B69">
      <w:pPr>
        <w:spacing w:line="480" w:lineRule="auto"/>
        <w:jc w:val="both"/>
        <w:rPr>
          <w:b/>
          <w:sz w:val="24"/>
          <w:szCs w:val="24"/>
        </w:rPr>
      </w:pPr>
      <w:r w:rsidRPr="00E36489">
        <w:rPr>
          <w:b/>
          <w:sz w:val="24"/>
          <w:szCs w:val="24"/>
        </w:rPr>
        <w:t>Figure Legends</w:t>
      </w:r>
    </w:p>
    <w:p w14:paraId="597A6D77" w14:textId="6BC89966" w:rsidR="009552F2" w:rsidRPr="00E36489" w:rsidRDefault="009552F2" w:rsidP="00C93BF9">
      <w:pPr>
        <w:spacing w:line="480" w:lineRule="auto"/>
        <w:jc w:val="both"/>
        <w:rPr>
          <w:sz w:val="24"/>
          <w:szCs w:val="24"/>
        </w:rPr>
      </w:pPr>
      <w:r w:rsidRPr="00E36489">
        <w:rPr>
          <w:b/>
          <w:bCs/>
          <w:sz w:val="24"/>
          <w:szCs w:val="24"/>
        </w:rPr>
        <w:t>Figure 1</w:t>
      </w:r>
      <w:r w:rsidRPr="00E36489">
        <w:rPr>
          <w:sz w:val="24"/>
          <w:szCs w:val="24"/>
        </w:rPr>
        <w:t xml:space="preserve">. Naïve and memory T-cells were exposed to SMX-NO and SMX for 8 days and then recall responses tested. Proliferative responses to </w:t>
      </w:r>
      <w:r w:rsidR="002D47AE" w:rsidRPr="00E36489">
        <w:rPr>
          <w:b/>
          <w:sz w:val="24"/>
          <w:szCs w:val="24"/>
        </w:rPr>
        <w:t>(</w:t>
      </w:r>
      <w:r w:rsidR="00AA0F77" w:rsidRPr="00E36489">
        <w:rPr>
          <w:b/>
          <w:sz w:val="24"/>
          <w:szCs w:val="24"/>
        </w:rPr>
        <w:t>a</w:t>
      </w:r>
      <w:r w:rsidR="002D47AE" w:rsidRPr="00E36489">
        <w:rPr>
          <w:b/>
          <w:sz w:val="24"/>
          <w:szCs w:val="24"/>
        </w:rPr>
        <w:t>)</w:t>
      </w:r>
      <w:r w:rsidR="002D47AE" w:rsidRPr="00E36489">
        <w:rPr>
          <w:sz w:val="24"/>
          <w:szCs w:val="24"/>
        </w:rPr>
        <w:t xml:space="preserve"> </w:t>
      </w:r>
      <w:r w:rsidRPr="00E36489">
        <w:rPr>
          <w:sz w:val="24"/>
          <w:szCs w:val="24"/>
        </w:rPr>
        <w:t xml:space="preserve">SMX-NO and </w:t>
      </w:r>
      <w:r w:rsidR="002D47AE" w:rsidRPr="00E36489">
        <w:rPr>
          <w:b/>
          <w:sz w:val="24"/>
          <w:szCs w:val="24"/>
        </w:rPr>
        <w:t>(</w:t>
      </w:r>
      <w:r w:rsidR="00AA0F77" w:rsidRPr="00E36489">
        <w:rPr>
          <w:b/>
          <w:sz w:val="24"/>
          <w:szCs w:val="24"/>
        </w:rPr>
        <w:t>b</w:t>
      </w:r>
      <w:r w:rsidR="002D47AE" w:rsidRPr="00E36489">
        <w:rPr>
          <w:b/>
          <w:sz w:val="24"/>
          <w:szCs w:val="24"/>
        </w:rPr>
        <w:t>)</w:t>
      </w:r>
      <w:r w:rsidR="002D47AE" w:rsidRPr="00E36489">
        <w:rPr>
          <w:sz w:val="24"/>
          <w:szCs w:val="24"/>
        </w:rPr>
        <w:t xml:space="preserve"> </w:t>
      </w:r>
      <w:r w:rsidRPr="00E36489">
        <w:rPr>
          <w:sz w:val="24"/>
          <w:szCs w:val="24"/>
        </w:rPr>
        <w:t xml:space="preserve">SMX were measured by </w:t>
      </w:r>
      <w:r w:rsidRPr="00E36489">
        <w:rPr>
          <w:position w:val="7"/>
          <w:sz w:val="24"/>
          <w:szCs w:val="24"/>
          <w:vertAlign w:val="superscript"/>
        </w:rPr>
        <w:t>3</w:t>
      </w:r>
      <w:r w:rsidR="002D47AE" w:rsidRPr="00E36489">
        <w:rPr>
          <w:sz w:val="24"/>
          <w:szCs w:val="24"/>
        </w:rPr>
        <w:t>H-thymidine incorporation (</w:t>
      </w:r>
      <w:r w:rsidRPr="00E36489">
        <w:rPr>
          <w:sz w:val="24"/>
          <w:szCs w:val="24"/>
        </w:rPr>
        <w:t>n=3</w:t>
      </w:r>
      <w:r w:rsidR="002D47AE" w:rsidRPr="00E36489">
        <w:rPr>
          <w:sz w:val="24"/>
          <w:szCs w:val="24"/>
        </w:rPr>
        <w:t>)</w:t>
      </w:r>
      <w:r w:rsidRPr="00E36489">
        <w:rPr>
          <w:sz w:val="24"/>
          <w:szCs w:val="24"/>
        </w:rPr>
        <w:t xml:space="preserve">. </w:t>
      </w:r>
      <w:r w:rsidR="00D14E2E" w:rsidRPr="00E36489">
        <w:rPr>
          <w:sz w:val="24"/>
          <w:szCs w:val="24"/>
        </w:rPr>
        <w:t xml:space="preserve">Error bars indicate standard deviation of triplicate wells (*p ≤0.05, **p ≤0.005, ***p &lt;0.001). </w:t>
      </w:r>
      <w:r w:rsidR="00C0687C" w:rsidRPr="00E36489">
        <w:rPr>
          <w:sz w:val="24"/>
          <w:szCs w:val="24"/>
        </w:rPr>
        <w:t>IL-13</w:t>
      </w:r>
      <w:r w:rsidRPr="00E36489">
        <w:rPr>
          <w:sz w:val="24"/>
          <w:szCs w:val="24"/>
        </w:rPr>
        <w:t xml:space="preserve"> secretion to </w:t>
      </w:r>
      <w:r w:rsidR="00AA0F77" w:rsidRPr="00E36489">
        <w:rPr>
          <w:b/>
          <w:sz w:val="24"/>
          <w:szCs w:val="24"/>
        </w:rPr>
        <w:t>(c</w:t>
      </w:r>
      <w:r w:rsidR="002D47AE" w:rsidRPr="00E36489">
        <w:rPr>
          <w:b/>
          <w:sz w:val="24"/>
          <w:szCs w:val="24"/>
        </w:rPr>
        <w:t>)</w:t>
      </w:r>
      <w:r w:rsidR="002D47AE" w:rsidRPr="00E36489">
        <w:rPr>
          <w:sz w:val="24"/>
          <w:szCs w:val="24"/>
        </w:rPr>
        <w:t xml:space="preserve"> </w:t>
      </w:r>
      <w:r w:rsidRPr="00E36489">
        <w:rPr>
          <w:sz w:val="24"/>
          <w:szCs w:val="24"/>
        </w:rPr>
        <w:t xml:space="preserve">SMX-NO and </w:t>
      </w:r>
      <w:r w:rsidR="002D47AE" w:rsidRPr="00E36489">
        <w:rPr>
          <w:b/>
          <w:sz w:val="24"/>
          <w:szCs w:val="24"/>
        </w:rPr>
        <w:t>(</w:t>
      </w:r>
      <w:r w:rsidR="00AA0F77" w:rsidRPr="00E36489">
        <w:rPr>
          <w:b/>
          <w:sz w:val="24"/>
          <w:szCs w:val="24"/>
        </w:rPr>
        <w:t>d</w:t>
      </w:r>
      <w:r w:rsidR="002D47AE" w:rsidRPr="00E36489">
        <w:rPr>
          <w:b/>
          <w:sz w:val="24"/>
          <w:szCs w:val="24"/>
        </w:rPr>
        <w:t>)</w:t>
      </w:r>
      <w:r w:rsidR="002D47AE" w:rsidRPr="00E36489">
        <w:rPr>
          <w:sz w:val="24"/>
          <w:szCs w:val="24"/>
        </w:rPr>
        <w:t xml:space="preserve"> </w:t>
      </w:r>
      <w:r w:rsidRPr="00E36489">
        <w:rPr>
          <w:sz w:val="24"/>
          <w:szCs w:val="24"/>
        </w:rPr>
        <w:t xml:space="preserve">SMX </w:t>
      </w:r>
      <w:r w:rsidR="002D47AE" w:rsidRPr="00E36489">
        <w:rPr>
          <w:sz w:val="24"/>
          <w:szCs w:val="24"/>
        </w:rPr>
        <w:t>were measured by ELISpot (</w:t>
      </w:r>
      <w:r w:rsidRPr="00E36489">
        <w:rPr>
          <w:sz w:val="24"/>
          <w:szCs w:val="24"/>
        </w:rPr>
        <w:t>n=3</w:t>
      </w:r>
      <w:r w:rsidR="002D47AE" w:rsidRPr="00E36489">
        <w:rPr>
          <w:sz w:val="24"/>
          <w:szCs w:val="24"/>
        </w:rPr>
        <w:t>)</w:t>
      </w:r>
      <w:r w:rsidRPr="00E36489">
        <w:rPr>
          <w:sz w:val="24"/>
          <w:szCs w:val="24"/>
        </w:rPr>
        <w:t xml:space="preserve">. </w:t>
      </w:r>
    </w:p>
    <w:p w14:paraId="22858F70" w14:textId="1D8876C2" w:rsidR="002D47AE" w:rsidRPr="00E36489" w:rsidRDefault="009552F2" w:rsidP="009552F2">
      <w:pPr>
        <w:spacing w:line="480" w:lineRule="auto"/>
        <w:jc w:val="both"/>
        <w:rPr>
          <w:sz w:val="24"/>
          <w:szCs w:val="24"/>
        </w:rPr>
      </w:pPr>
      <w:r w:rsidRPr="00E36489">
        <w:rPr>
          <w:b/>
          <w:bCs/>
          <w:sz w:val="24"/>
          <w:szCs w:val="24"/>
        </w:rPr>
        <w:t>Figure 2</w:t>
      </w:r>
      <w:r w:rsidRPr="00E36489">
        <w:rPr>
          <w:sz w:val="24"/>
          <w:szCs w:val="24"/>
        </w:rPr>
        <w:t xml:space="preserve">. T-cell clones were isolated </w:t>
      </w:r>
      <w:r w:rsidR="003F78FD" w:rsidRPr="00E36489">
        <w:rPr>
          <w:sz w:val="24"/>
          <w:szCs w:val="24"/>
        </w:rPr>
        <w:t xml:space="preserve">from 2 donors </w:t>
      </w:r>
      <w:r w:rsidRPr="00E36489">
        <w:rPr>
          <w:sz w:val="24"/>
          <w:szCs w:val="24"/>
        </w:rPr>
        <w:t>following exposure of naïve and me</w:t>
      </w:r>
      <w:r w:rsidR="003F78FD" w:rsidRPr="00E36489">
        <w:rPr>
          <w:sz w:val="24"/>
          <w:szCs w:val="24"/>
        </w:rPr>
        <w:t>mory T-cells to SMX-NO and SMX</w:t>
      </w:r>
      <w:r w:rsidRPr="00E36489">
        <w:rPr>
          <w:sz w:val="24"/>
          <w:szCs w:val="24"/>
        </w:rPr>
        <w:t xml:space="preserve">. </w:t>
      </w:r>
      <w:r w:rsidR="002D47AE" w:rsidRPr="00E36489">
        <w:rPr>
          <w:b/>
          <w:sz w:val="24"/>
          <w:szCs w:val="24"/>
        </w:rPr>
        <w:t>(</w:t>
      </w:r>
      <w:r w:rsidR="00AA0F77" w:rsidRPr="00E36489">
        <w:rPr>
          <w:b/>
          <w:sz w:val="24"/>
          <w:szCs w:val="24"/>
        </w:rPr>
        <w:t>a</w:t>
      </w:r>
      <w:r w:rsidR="002D47AE" w:rsidRPr="00E36489">
        <w:rPr>
          <w:b/>
          <w:sz w:val="24"/>
          <w:szCs w:val="24"/>
        </w:rPr>
        <w:t xml:space="preserve">) </w:t>
      </w:r>
      <w:r w:rsidRPr="00E36489">
        <w:rPr>
          <w:sz w:val="24"/>
          <w:szCs w:val="24"/>
        </w:rPr>
        <w:t xml:space="preserve">Generation and phenotype of T-cell clones. </w:t>
      </w:r>
      <w:r w:rsidR="002D47AE" w:rsidRPr="00E36489">
        <w:rPr>
          <w:b/>
          <w:sz w:val="24"/>
          <w:szCs w:val="24"/>
        </w:rPr>
        <w:t>(</w:t>
      </w:r>
      <w:proofErr w:type="gramStart"/>
      <w:r w:rsidR="00AA0F77" w:rsidRPr="00E36489">
        <w:rPr>
          <w:b/>
          <w:sz w:val="24"/>
          <w:szCs w:val="24"/>
        </w:rPr>
        <w:t>b</w:t>
      </w:r>
      <w:proofErr w:type="gramEnd"/>
      <w:r w:rsidR="002D47AE" w:rsidRPr="00E36489">
        <w:rPr>
          <w:b/>
          <w:sz w:val="24"/>
          <w:szCs w:val="24"/>
        </w:rPr>
        <w:t xml:space="preserve">, </w:t>
      </w:r>
      <w:r w:rsidR="00AA0F77" w:rsidRPr="00E36489">
        <w:rPr>
          <w:b/>
          <w:sz w:val="24"/>
          <w:szCs w:val="24"/>
        </w:rPr>
        <w:t>c</w:t>
      </w:r>
      <w:r w:rsidR="002D47AE" w:rsidRPr="00E36489">
        <w:rPr>
          <w:b/>
          <w:sz w:val="24"/>
          <w:szCs w:val="24"/>
        </w:rPr>
        <w:t>)</w:t>
      </w:r>
      <w:r w:rsidR="002D47AE" w:rsidRPr="00E36489">
        <w:rPr>
          <w:sz w:val="24"/>
          <w:szCs w:val="24"/>
        </w:rPr>
        <w:t xml:space="preserve"> </w:t>
      </w:r>
      <w:r w:rsidRPr="00E36489">
        <w:rPr>
          <w:sz w:val="24"/>
          <w:szCs w:val="24"/>
        </w:rPr>
        <w:t xml:space="preserve">Proliferation </w:t>
      </w:r>
      <w:r w:rsidR="000913EB" w:rsidRPr="00E36489">
        <w:rPr>
          <w:sz w:val="24"/>
          <w:szCs w:val="24"/>
        </w:rPr>
        <w:t xml:space="preserve">(SMX: 2 from naïve and 5 from memory precursors; SMX-NO: 5 </w:t>
      </w:r>
      <w:r w:rsidR="000913EB" w:rsidRPr="00E36489">
        <w:rPr>
          <w:sz w:val="24"/>
          <w:szCs w:val="24"/>
        </w:rPr>
        <w:t xml:space="preserve">from naïve and </w:t>
      </w:r>
      <w:r w:rsidR="000913EB" w:rsidRPr="00E36489">
        <w:rPr>
          <w:sz w:val="24"/>
          <w:szCs w:val="24"/>
        </w:rPr>
        <w:t>2</w:t>
      </w:r>
      <w:r w:rsidR="000913EB" w:rsidRPr="00E36489">
        <w:rPr>
          <w:sz w:val="24"/>
          <w:szCs w:val="24"/>
        </w:rPr>
        <w:t xml:space="preserve"> from memory precursors</w:t>
      </w:r>
      <w:r w:rsidR="000913EB" w:rsidRPr="00E36489">
        <w:rPr>
          <w:sz w:val="24"/>
          <w:szCs w:val="24"/>
        </w:rPr>
        <w:t>) and</w:t>
      </w:r>
      <w:r w:rsidRPr="00E36489">
        <w:rPr>
          <w:sz w:val="24"/>
          <w:szCs w:val="24"/>
        </w:rPr>
        <w:t xml:space="preserve"> </w:t>
      </w:r>
      <w:r w:rsidR="002D47AE" w:rsidRPr="00E36489">
        <w:rPr>
          <w:b/>
          <w:sz w:val="24"/>
          <w:szCs w:val="24"/>
        </w:rPr>
        <w:t>(</w:t>
      </w:r>
      <w:r w:rsidR="00AA0F77" w:rsidRPr="00E36489">
        <w:rPr>
          <w:b/>
          <w:sz w:val="24"/>
          <w:szCs w:val="24"/>
        </w:rPr>
        <w:t>d</w:t>
      </w:r>
      <w:r w:rsidR="002D47AE" w:rsidRPr="00E36489">
        <w:rPr>
          <w:b/>
          <w:sz w:val="24"/>
          <w:szCs w:val="24"/>
        </w:rPr>
        <w:t xml:space="preserve">, </w:t>
      </w:r>
      <w:r w:rsidR="00AA0F77" w:rsidRPr="00E36489">
        <w:rPr>
          <w:b/>
          <w:sz w:val="24"/>
          <w:szCs w:val="24"/>
        </w:rPr>
        <w:t>e</w:t>
      </w:r>
      <w:r w:rsidR="002D47AE" w:rsidRPr="00E36489">
        <w:rPr>
          <w:b/>
          <w:sz w:val="24"/>
          <w:szCs w:val="24"/>
        </w:rPr>
        <w:t>)</w:t>
      </w:r>
      <w:r w:rsidR="002D47AE" w:rsidRPr="00E36489">
        <w:rPr>
          <w:sz w:val="24"/>
          <w:szCs w:val="24"/>
        </w:rPr>
        <w:t xml:space="preserve"> </w:t>
      </w:r>
      <w:r w:rsidRPr="00E36489">
        <w:rPr>
          <w:sz w:val="24"/>
          <w:szCs w:val="24"/>
        </w:rPr>
        <w:t>secretion of cytokines/cytolytic molecules by T-cell clones isolated following SMX</w:t>
      </w:r>
      <w:r w:rsidR="002D47AE" w:rsidRPr="00E36489">
        <w:rPr>
          <w:sz w:val="24"/>
          <w:szCs w:val="24"/>
        </w:rPr>
        <w:t xml:space="preserve"> </w:t>
      </w:r>
      <w:r w:rsidRPr="00E36489">
        <w:rPr>
          <w:sz w:val="24"/>
          <w:szCs w:val="24"/>
        </w:rPr>
        <w:t>and SMX-NO</w:t>
      </w:r>
      <w:r w:rsidR="002D47AE" w:rsidRPr="00E36489">
        <w:rPr>
          <w:sz w:val="24"/>
          <w:szCs w:val="24"/>
        </w:rPr>
        <w:t xml:space="preserve"> </w:t>
      </w:r>
      <w:r w:rsidRPr="00E36489">
        <w:rPr>
          <w:sz w:val="24"/>
          <w:szCs w:val="24"/>
        </w:rPr>
        <w:t>exposure. Error bars indicate standard deviation of triplicate wells (*p ≤0.05, **p ≤0.005, ***p &lt;0.001).</w:t>
      </w:r>
    </w:p>
    <w:p w14:paraId="658B9A24" w14:textId="294089A0" w:rsidR="00205758" w:rsidRPr="00E36489" w:rsidRDefault="00205758" w:rsidP="00205758">
      <w:pPr>
        <w:spacing w:line="480" w:lineRule="auto"/>
        <w:jc w:val="both"/>
        <w:rPr>
          <w:sz w:val="24"/>
        </w:rPr>
      </w:pPr>
      <w:r w:rsidRPr="00E36489">
        <w:rPr>
          <w:b/>
          <w:sz w:val="24"/>
        </w:rPr>
        <w:t>F</w:t>
      </w:r>
      <w:r w:rsidRPr="00E36489">
        <w:rPr>
          <w:b/>
          <w:sz w:val="24"/>
        </w:rPr>
        <w:t xml:space="preserve">igure </w:t>
      </w:r>
      <w:r w:rsidRPr="00E36489">
        <w:rPr>
          <w:b/>
          <w:sz w:val="24"/>
        </w:rPr>
        <w:t>E</w:t>
      </w:r>
      <w:r w:rsidRPr="00E36489">
        <w:rPr>
          <w:b/>
          <w:sz w:val="24"/>
        </w:rPr>
        <w:t xml:space="preserve">1. </w:t>
      </w:r>
      <w:proofErr w:type="gramStart"/>
      <w:r w:rsidRPr="00E36489">
        <w:rPr>
          <w:sz w:val="24"/>
        </w:rPr>
        <w:t>Overview of study design and results.</w:t>
      </w:r>
      <w:proofErr w:type="gramEnd"/>
      <w:r w:rsidRPr="00E36489">
        <w:rPr>
          <w:sz w:val="24"/>
        </w:rPr>
        <w:t xml:space="preserve"> </w:t>
      </w:r>
      <w:proofErr w:type="gramStart"/>
      <w:r w:rsidRPr="00E36489">
        <w:rPr>
          <w:sz w:val="24"/>
        </w:rPr>
        <w:t>Delineation of naïve and memory T-cell responses to SMX-derived antigens in drug-naïve donors.</w:t>
      </w:r>
      <w:proofErr w:type="gramEnd"/>
      <w:r w:rsidRPr="00E36489">
        <w:rPr>
          <w:sz w:val="24"/>
        </w:rPr>
        <w:t xml:space="preserve"> </w:t>
      </w:r>
    </w:p>
    <w:p w14:paraId="62618825" w14:textId="7EDC7252" w:rsidR="00205758" w:rsidRPr="00E36489" w:rsidRDefault="00205758" w:rsidP="00205758">
      <w:pPr>
        <w:spacing w:line="480" w:lineRule="auto"/>
        <w:jc w:val="both"/>
        <w:rPr>
          <w:sz w:val="24"/>
        </w:rPr>
      </w:pPr>
      <w:r w:rsidRPr="00E36489">
        <w:rPr>
          <w:b/>
          <w:sz w:val="24"/>
        </w:rPr>
        <w:t>F</w:t>
      </w:r>
      <w:r w:rsidRPr="00E36489">
        <w:rPr>
          <w:b/>
          <w:sz w:val="24"/>
        </w:rPr>
        <w:t xml:space="preserve">igure </w:t>
      </w:r>
      <w:r w:rsidRPr="00E36489">
        <w:rPr>
          <w:b/>
          <w:sz w:val="24"/>
        </w:rPr>
        <w:t>E</w:t>
      </w:r>
      <w:r w:rsidRPr="00E36489">
        <w:rPr>
          <w:b/>
          <w:sz w:val="24"/>
        </w:rPr>
        <w:t xml:space="preserve">2. </w:t>
      </w:r>
      <w:proofErr w:type="gramStart"/>
      <w:r w:rsidRPr="00E36489">
        <w:rPr>
          <w:sz w:val="24"/>
        </w:rPr>
        <w:t>Comparative ability of</w:t>
      </w:r>
      <w:r w:rsidRPr="00E36489">
        <w:rPr>
          <w:b/>
          <w:sz w:val="24"/>
        </w:rPr>
        <w:t xml:space="preserve"> </w:t>
      </w:r>
      <w:r w:rsidRPr="00E36489">
        <w:rPr>
          <w:sz w:val="24"/>
        </w:rPr>
        <w:t xml:space="preserve">dendritic cells and B-cells to induce naïve and memory T-cell responses to drug-antigen </w:t>
      </w:r>
      <w:r w:rsidRPr="00E36489">
        <w:rPr>
          <w:i/>
          <w:sz w:val="24"/>
        </w:rPr>
        <w:t>in vitro</w:t>
      </w:r>
      <w:r w:rsidRPr="00E36489">
        <w:rPr>
          <w:sz w:val="24"/>
        </w:rPr>
        <w:t>.</w:t>
      </w:r>
      <w:proofErr w:type="gramEnd"/>
      <w:r w:rsidRPr="00E36489">
        <w:rPr>
          <w:sz w:val="24"/>
        </w:rPr>
        <w:t xml:space="preserve"> Naïve and memory T-cells from drug-naïve donors</w:t>
      </w:r>
      <w:r w:rsidRPr="00E36489">
        <w:t xml:space="preserve"> </w:t>
      </w:r>
      <w:r w:rsidRPr="00E36489">
        <w:rPr>
          <w:sz w:val="24"/>
        </w:rPr>
        <w:t>were exposed to SMX-NO and SMX for 8 days in the presence of EB</w:t>
      </w:r>
      <w:r w:rsidR="00BD32A8" w:rsidRPr="00E36489">
        <w:rPr>
          <w:sz w:val="24"/>
        </w:rPr>
        <w:t xml:space="preserve">V-transformed B-cells </w:t>
      </w:r>
      <w:r w:rsidR="00BD32A8" w:rsidRPr="00E36489">
        <w:rPr>
          <w:b/>
          <w:sz w:val="24"/>
        </w:rPr>
        <w:t>(a</w:t>
      </w:r>
      <w:r w:rsidRPr="00E36489">
        <w:rPr>
          <w:b/>
          <w:sz w:val="24"/>
        </w:rPr>
        <w:t>)</w:t>
      </w:r>
      <w:r w:rsidRPr="00E36489">
        <w:rPr>
          <w:sz w:val="24"/>
        </w:rPr>
        <w:t xml:space="preserve"> or dendritic cells </w:t>
      </w:r>
      <w:r w:rsidRPr="00E36489">
        <w:rPr>
          <w:b/>
          <w:sz w:val="24"/>
        </w:rPr>
        <w:t>(</w:t>
      </w:r>
      <w:r w:rsidR="00BD32A8" w:rsidRPr="00E36489">
        <w:rPr>
          <w:b/>
          <w:sz w:val="24"/>
        </w:rPr>
        <w:t>b</w:t>
      </w:r>
      <w:r w:rsidRPr="00E36489">
        <w:rPr>
          <w:b/>
          <w:sz w:val="24"/>
        </w:rPr>
        <w:t>)</w:t>
      </w:r>
      <w:r w:rsidRPr="00E36489">
        <w:rPr>
          <w:sz w:val="24"/>
        </w:rPr>
        <w:t xml:space="preserve">, and then recall responses tested by </w:t>
      </w:r>
      <w:r w:rsidRPr="00E36489">
        <w:rPr>
          <w:position w:val="7"/>
          <w:sz w:val="24"/>
          <w:vertAlign w:val="superscript"/>
        </w:rPr>
        <w:t>3</w:t>
      </w:r>
      <w:r w:rsidRPr="00E36489">
        <w:rPr>
          <w:sz w:val="24"/>
        </w:rPr>
        <w:t>H-thymidine incorporation. Error bars indicate standar</w:t>
      </w:r>
      <w:r w:rsidR="00BD32A8" w:rsidRPr="00E36489">
        <w:rPr>
          <w:sz w:val="24"/>
        </w:rPr>
        <w:t>d deviation of triplicate wells</w:t>
      </w:r>
      <w:r w:rsidRPr="00E36489">
        <w:rPr>
          <w:sz w:val="24"/>
        </w:rPr>
        <w:t>.</w:t>
      </w:r>
    </w:p>
    <w:p w14:paraId="2286737D" w14:textId="5EE45443" w:rsidR="00AF11CE" w:rsidRPr="00E36489" w:rsidRDefault="009552F2" w:rsidP="00604B69">
      <w:pPr>
        <w:spacing w:line="480" w:lineRule="auto"/>
        <w:jc w:val="both"/>
        <w:rPr>
          <w:sz w:val="24"/>
        </w:rPr>
      </w:pPr>
      <w:r w:rsidRPr="00E36489">
        <w:rPr>
          <w:b/>
          <w:bCs/>
          <w:sz w:val="24"/>
        </w:rPr>
        <w:lastRenderedPageBreak/>
        <w:t xml:space="preserve">Figure </w:t>
      </w:r>
      <w:r w:rsidR="00A92279" w:rsidRPr="00E36489">
        <w:rPr>
          <w:b/>
          <w:bCs/>
          <w:sz w:val="24"/>
        </w:rPr>
        <w:t>E</w:t>
      </w:r>
      <w:r w:rsidR="00BD32A8" w:rsidRPr="00E36489">
        <w:rPr>
          <w:b/>
          <w:bCs/>
          <w:sz w:val="24"/>
        </w:rPr>
        <w:t>3</w:t>
      </w:r>
      <w:r w:rsidRPr="00E36489">
        <w:rPr>
          <w:sz w:val="24"/>
        </w:rPr>
        <w:t xml:space="preserve">. </w:t>
      </w:r>
      <w:r w:rsidR="00BD32A8" w:rsidRPr="00E36489">
        <w:rPr>
          <w:sz w:val="24"/>
        </w:rPr>
        <w:t>Antigen cross-reactivity of T-cell clones derived from prim</w:t>
      </w:r>
      <w:r w:rsidR="00BD32A8" w:rsidRPr="00E36489">
        <w:rPr>
          <w:sz w:val="24"/>
        </w:rPr>
        <w:t xml:space="preserve">ing in drug-naïve donors and </w:t>
      </w:r>
      <w:r w:rsidR="00BD32A8" w:rsidRPr="00E36489">
        <w:rPr>
          <w:sz w:val="24"/>
        </w:rPr>
        <w:t xml:space="preserve">hypersensitive patients.  </w:t>
      </w:r>
      <w:r w:rsidRPr="00E36489">
        <w:rPr>
          <w:sz w:val="24"/>
        </w:rPr>
        <w:t xml:space="preserve">Naïve and memory </w:t>
      </w:r>
      <w:r w:rsidR="003F78FD" w:rsidRPr="00E36489">
        <w:rPr>
          <w:sz w:val="24"/>
        </w:rPr>
        <w:t>T-cells</w:t>
      </w:r>
      <w:r w:rsidR="00BD32A8" w:rsidRPr="00E36489">
        <w:rPr>
          <w:sz w:val="24"/>
        </w:rPr>
        <w:t xml:space="preserve"> from drug naïve donors</w:t>
      </w:r>
      <w:r w:rsidR="003F78FD" w:rsidRPr="00E36489">
        <w:rPr>
          <w:sz w:val="24"/>
        </w:rPr>
        <w:t xml:space="preserve"> were exposed to </w:t>
      </w:r>
      <w:r w:rsidR="00BD32A8" w:rsidRPr="00E36489">
        <w:rPr>
          <w:sz w:val="24"/>
        </w:rPr>
        <w:t xml:space="preserve">SMX and </w:t>
      </w:r>
      <w:r w:rsidR="003F78FD" w:rsidRPr="00E36489">
        <w:rPr>
          <w:sz w:val="24"/>
        </w:rPr>
        <w:t xml:space="preserve">SMX-NO </w:t>
      </w:r>
      <w:r w:rsidRPr="00E36489">
        <w:rPr>
          <w:sz w:val="24"/>
        </w:rPr>
        <w:t xml:space="preserve">for 8 days and then recall responses tested. Cross-reactivity to SMX-NO and SMX was measured by </w:t>
      </w:r>
      <w:r w:rsidRPr="00E36489">
        <w:rPr>
          <w:position w:val="7"/>
          <w:sz w:val="24"/>
          <w:vertAlign w:val="superscript"/>
        </w:rPr>
        <w:t>3</w:t>
      </w:r>
      <w:r w:rsidRPr="00E36489">
        <w:rPr>
          <w:sz w:val="24"/>
        </w:rPr>
        <w:t xml:space="preserve">H-thymidine incorporation </w:t>
      </w:r>
      <w:r w:rsidR="00BD32A8" w:rsidRPr="00E36489">
        <w:rPr>
          <w:sz w:val="24"/>
        </w:rPr>
        <w:t xml:space="preserve">and/or </w:t>
      </w:r>
      <w:proofErr w:type="spellStart"/>
      <w:r w:rsidR="00BD32A8" w:rsidRPr="00E36489">
        <w:rPr>
          <w:sz w:val="24"/>
        </w:rPr>
        <w:t>ELISpot</w:t>
      </w:r>
      <w:proofErr w:type="spellEnd"/>
      <w:r w:rsidR="00BD32A8" w:rsidRPr="00E36489">
        <w:rPr>
          <w:sz w:val="24"/>
        </w:rPr>
        <w:t xml:space="preserve"> </w:t>
      </w:r>
      <w:r w:rsidRPr="00E36489">
        <w:rPr>
          <w:sz w:val="24"/>
        </w:rPr>
        <w:t xml:space="preserve">after exposure of naïve and memory T-cells to SMX-NO </w:t>
      </w:r>
      <w:r w:rsidR="00B87BBF" w:rsidRPr="00E36489">
        <w:rPr>
          <w:sz w:val="24"/>
        </w:rPr>
        <w:t>(</w:t>
      </w:r>
      <w:r w:rsidR="00BD32A8" w:rsidRPr="00E36489">
        <w:rPr>
          <w:b/>
          <w:sz w:val="24"/>
        </w:rPr>
        <w:t>a</w:t>
      </w:r>
      <w:r w:rsidR="00BD32A8" w:rsidRPr="00E36489">
        <w:rPr>
          <w:sz w:val="24"/>
        </w:rPr>
        <w:t xml:space="preserve">, </w:t>
      </w:r>
      <w:r w:rsidRPr="00E36489">
        <w:rPr>
          <w:sz w:val="24"/>
        </w:rPr>
        <w:t>n=3</w:t>
      </w:r>
      <w:r w:rsidR="00B87BBF" w:rsidRPr="00E36489">
        <w:rPr>
          <w:sz w:val="24"/>
        </w:rPr>
        <w:t>)</w:t>
      </w:r>
      <w:r w:rsidR="00BD32A8" w:rsidRPr="00E36489">
        <w:rPr>
          <w:sz w:val="24"/>
        </w:rPr>
        <w:t xml:space="preserve"> and </w:t>
      </w:r>
      <w:r w:rsidR="00BD32A8" w:rsidRPr="00E36489">
        <w:rPr>
          <w:sz w:val="24"/>
        </w:rPr>
        <w:t>SMX (</w:t>
      </w:r>
      <w:r w:rsidR="00BD32A8" w:rsidRPr="00E36489">
        <w:rPr>
          <w:b/>
          <w:sz w:val="24"/>
        </w:rPr>
        <w:t>b</w:t>
      </w:r>
      <w:r w:rsidR="00BD32A8" w:rsidRPr="00E36489">
        <w:rPr>
          <w:sz w:val="24"/>
        </w:rPr>
        <w:t>, n=3</w:t>
      </w:r>
      <w:r w:rsidR="00BD32A8" w:rsidRPr="00E36489">
        <w:rPr>
          <w:sz w:val="24"/>
        </w:rPr>
        <w:t xml:space="preserve">), </w:t>
      </w:r>
      <w:r w:rsidR="00BD32A8" w:rsidRPr="00E36489">
        <w:rPr>
          <w:sz w:val="24"/>
        </w:rPr>
        <w:t>or exposure of representative SMX-NO- (</w:t>
      </w:r>
      <w:r w:rsidR="00BD32A8" w:rsidRPr="00E36489">
        <w:rPr>
          <w:b/>
          <w:sz w:val="24"/>
        </w:rPr>
        <w:t>c</w:t>
      </w:r>
      <w:r w:rsidR="00BD32A8" w:rsidRPr="00E36489">
        <w:rPr>
          <w:sz w:val="24"/>
        </w:rPr>
        <w:t>) and SMX-responsive (</w:t>
      </w:r>
      <w:r w:rsidR="00BD32A8" w:rsidRPr="00E36489">
        <w:rPr>
          <w:b/>
          <w:sz w:val="24"/>
        </w:rPr>
        <w:t>d</w:t>
      </w:r>
      <w:r w:rsidR="00BD32A8" w:rsidRPr="00E36489">
        <w:rPr>
          <w:sz w:val="24"/>
        </w:rPr>
        <w:t>) T-cell clones from hypersensitive patients</w:t>
      </w:r>
      <w:r w:rsidRPr="00E36489">
        <w:rPr>
          <w:sz w:val="24"/>
        </w:rPr>
        <w:t>. Error bars indicate standard deviation of triplicate wells (*p ≤0.05, **p ≤0.005, ***p &lt;0.001).</w:t>
      </w:r>
    </w:p>
    <w:p w14:paraId="7638A138" w14:textId="61087818" w:rsidR="00BD32A8" w:rsidRPr="00E36489" w:rsidRDefault="00BD32A8" w:rsidP="00BD32A8">
      <w:pPr>
        <w:spacing w:line="480" w:lineRule="auto"/>
        <w:jc w:val="both"/>
        <w:rPr>
          <w:sz w:val="24"/>
        </w:rPr>
      </w:pPr>
      <w:r w:rsidRPr="00E36489">
        <w:rPr>
          <w:b/>
          <w:sz w:val="24"/>
        </w:rPr>
        <w:t>F</w:t>
      </w:r>
      <w:r w:rsidRPr="00E36489">
        <w:rPr>
          <w:b/>
          <w:sz w:val="24"/>
        </w:rPr>
        <w:t xml:space="preserve">igure </w:t>
      </w:r>
      <w:r w:rsidRPr="00E36489">
        <w:rPr>
          <w:b/>
          <w:sz w:val="24"/>
        </w:rPr>
        <w:t>E</w:t>
      </w:r>
      <w:r w:rsidRPr="00E36489">
        <w:rPr>
          <w:b/>
          <w:sz w:val="24"/>
        </w:rPr>
        <w:t>4.</w:t>
      </w:r>
      <w:r w:rsidRPr="00E36489">
        <w:rPr>
          <w:sz w:val="24"/>
        </w:rPr>
        <w:t xml:space="preserve"> MHC I and II restriction of SMX-responsive T-cell clones derived from drug-naïve donors. Naïve or memory-derived SMX-responsive T-cell clones from drug-naïve donors were cultured with autologous EBV-transformed B-cells and SMX, with or without MHC I or II blocking antibodies for 48 hr. Proliferative responses were measured by </w:t>
      </w:r>
      <w:r w:rsidRPr="00E36489">
        <w:rPr>
          <w:position w:val="7"/>
          <w:sz w:val="24"/>
          <w:vertAlign w:val="superscript"/>
        </w:rPr>
        <w:t>3</w:t>
      </w:r>
      <w:r w:rsidRPr="00E36489">
        <w:rPr>
          <w:sz w:val="24"/>
        </w:rPr>
        <w:t>H-thymidine incorporation for a further 16 hr. Error bars indicate standard deviation of triplicate wells (*p ≤0.05, **p ≤0.005, ***p &lt;0.001).</w:t>
      </w:r>
    </w:p>
    <w:p w14:paraId="79C23409" w14:textId="77777777" w:rsidR="00BD32A8" w:rsidRPr="00E36489" w:rsidRDefault="00BD32A8" w:rsidP="00604B69">
      <w:pPr>
        <w:spacing w:line="480" w:lineRule="auto"/>
        <w:jc w:val="both"/>
        <w:rPr>
          <w:i/>
          <w:szCs w:val="18"/>
        </w:rPr>
      </w:pPr>
    </w:p>
    <w:p w14:paraId="06E9EA46" w14:textId="541A92D7" w:rsidR="00C93BF9" w:rsidRPr="00E36489" w:rsidRDefault="00791DDE" w:rsidP="00604B69">
      <w:pPr>
        <w:spacing w:line="480" w:lineRule="auto"/>
        <w:jc w:val="both"/>
        <w:rPr>
          <w:i/>
          <w:szCs w:val="18"/>
        </w:rPr>
      </w:pPr>
      <w:r w:rsidRPr="00E36489">
        <w:rPr>
          <w:i/>
          <w:szCs w:val="18"/>
        </w:rPr>
        <w:t>The authors declare that they have no relevant conflicts of interest.</w:t>
      </w:r>
    </w:p>
    <w:p w14:paraId="56CD250B" w14:textId="77777777" w:rsidR="00C93BF9" w:rsidRPr="00E36489" w:rsidRDefault="00C93BF9" w:rsidP="00604B69">
      <w:pPr>
        <w:spacing w:line="480" w:lineRule="auto"/>
        <w:jc w:val="both"/>
        <w:rPr>
          <w:i/>
          <w:sz w:val="18"/>
          <w:szCs w:val="18"/>
        </w:rPr>
      </w:pPr>
    </w:p>
    <w:p w14:paraId="2BD7EB99" w14:textId="77777777" w:rsidR="00EC1658" w:rsidRPr="00E36489" w:rsidRDefault="00EC1658" w:rsidP="00604B69">
      <w:pPr>
        <w:spacing w:line="480" w:lineRule="auto"/>
        <w:jc w:val="both"/>
        <w:rPr>
          <w:i/>
          <w:sz w:val="18"/>
          <w:szCs w:val="18"/>
        </w:rPr>
      </w:pPr>
    </w:p>
    <w:p w14:paraId="157606A8" w14:textId="77777777" w:rsidR="00EC1658" w:rsidRPr="00E36489" w:rsidRDefault="00EC1658" w:rsidP="00604B69">
      <w:pPr>
        <w:spacing w:line="480" w:lineRule="auto"/>
        <w:jc w:val="both"/>
        <w:rPr>
          <w:i/>
          <w:sz w:val="18"/>
          <w:szCs w:val="18"/>
        </w:rPr>
      </w:pPr>
    </w:p>
    <w:p w14:paraId="465E4E7C" w14:textId="77777777" w:rsidR="00D14E2E" w:rsidRPr="00E36489" w:rsidRDefault="00D14E2E">
      <w:pPr>
        <w:rPr>
          <w:b/>
          <w:sz w:val="24"/>
          <w:szCs w:val="24"/>
        </w:rPr>
      </w:pPr>
      <w:r w:rsidRPr="00E36489">
        <w:rPr>
          <w:b/>
          <w:sz w:val="24"/>
          <w:szCs w:val="24"/>
        </w:rPr>
        <w:br w:type="page"/>
      </w:r>
    </w:p>
    <w:p w14:paraId="7994BC30" w14:textId="5A09D5DC" w:rsidR="00642D14" w:rsidRPr="00E36489" w:rsidRDefault="00791DDE" w:rsidP="00604B69">
      <w:pPr>
        <w:spacing w:line="480" w:lineRule="auto"/>
        <w:jc w:val="both"/>
        <w:rPr>
          <w:b/>
          <w:sz w:val="24"/>
          <w:szCs w:val="24"/>
        </w:rPr>
      </w:pPr>
      <w:r w:rsidRPr="00E36489">
        <w:rPr>
          <w:b/>
          <w:sz w:val="24"/>
          <w:szCs w:val="24"/>
        </w:rPr>
        <w:lastRenderedPageBreak/>
        <w:t>References</w:t>
      </w:r>
    </w:p>
    <w:p w14:paraId="60CFE82A" w14:textId="77777777" w:rsidR="00BC53AB" w:rsidRPr="00E36489" w:rsidRDefault="00BC53AB" w:rsidP="00BC53AB">
      <w:pPr>
        <w:pStyle w:val="EndNoteBibliography"/>
        <w:spacing w:line="480" w:lineRule="auto"/>
        <w:ind w:left="720" w:hanging="720"/>
        <w:jc w:val="both"/>
        <w:rPr>
          <w:sz w:val="20"/>
        </w:rPr>
      </w:pPr>
      <w:r w:rsidRPr="00E36489">
        <w:t>1.</w:t>
      </w:r>
      <w:r w:rsidRPr="00E36489">
        <w:tab/>
        <w:t>Nassif A, Bensussan A, Boumsell L, Deniaud A, Moslehi H, Wolkenstein P, et al. Toxic epidermal necrolysis: effector cells are drug-specific cytotoxic T cells. J Allergy Clin Immunol 2004; 114:1209-15.</w:t>
      </w:r>
    </w:p>
    <w:p w14:paraId="085548CF" w14:textId="64D392D4" w:rsidR="00BC53AB" w:rsidRPr="00E36489" w:rsidRDefault="00A91367" w:rsidP="00BC53AB">
      <w:pPr>
        <w:pStyle w:val="EndNoteBibliography"/>
        <w:spacing w:line="480" w:lineRule="auto"/>
        <w:ind w:left="720" w:hanging="720"/>
        <w:jc w:val="both"/>
        <w:rPr>
          <w:sz w:val="24"/>
        </w:rPr>
      </w:pPr>
      <w:r w:rsidRPr="00E36489">
        <w:rPr>
          <w:sz w:val="24"/>
          <w:szCs w:val="24"/>
        </w:rPr>
        <w:t>2.</w:t>
      </w:r>
      <w:r w:rsidRPr="00E36489">
        <w:rPr>
          <w:sz w:val="24"/>
          <w:szCs w:val="24"/>
        </w:rPr>
        <w:tab/>
      </w:r>
      <w:r w:rsidR="00BC53AB" w:rsidRPr="00E36489">
        <w:rPr>
          <w:sz w:val="24"/>
        </w:rPr>
        <w:t>Castrejon JL, Berry N, El-Ghaiesh S, Gerber B, Pichler WJ, Park BK, et al. Stimulation of human T cells with sulfonamides and sulfonamide metabolites. J Allergy Clin Immunol 2010; 125:411-8.</w:t>
      </w:r>
    </w:p>
    <w:p w14:paraId="5838A231" w14:textId="4C5F8A9B" w:rsidR="00BC53AB" w:rsidRPr="00E36489" w:rsidRDefault="00BC53AB" w:rsidP="00BC53AB">
      <w:pPr>
        <w:pStyle w:val="EndNoteBibliography"/>
        <w:spacing w:after="0" w:line="480" w:lineRule="auto"/>
        <w:ind w:left="720" w:hanging="720"/>
        <w:jc w:val="both"/>
        <w:rPr>
          <w:sz w:val="24"/>
          <w:szCs w:val="24"/>
        </w:rPr>
      </w:pPr>
      <w:r w:rsidRPr="00E36489">
        <w:rPr>
          <w:sz w:val="24"/>
          <w:szCs w:val="24"/>
        </w:rPr>
        <w:t xml:space="preserve">3. </w:t>
      </w:r>
      <w:r w:rsidRPr="00E36489">
        <w:rPr>
          <w:sz w:val="24"/>
          <w:szCs w:val="24"/>
        </w:rPr>
        <w:tab/>
      </w:r>
      <w:r w:rsidR="002F6E14" w:rsidRPr="00E36489">
        <w:rPr>
          <w:sz w:val="24"/>
          <w:szCs w:val="24"/>
        </w:rPr>
        <w:t xml:space="preserve">Schnyder B, Burkhart C, Schnyder-Frutig K, von Greyerz S, Naisbitt DJ, Pirmohamed M, et al. Recognition of Sulfamethoxazole and Its Reactive Metabolites by Drug-Specific CD4+ T Cells from Allergic Individuals. </w:t>
      </w:r>
      <w:r w:rsidRPr="00E36489">
        <w:rPr>
          <w:sz w:val="24"/>
          <w:szCs w:val="24"/>
        </w:rPr>
        <w:t>J Immunol</w:t>
      </w:r>
      <w:r w:rsidR="002F6E14" w:rsidRPr="00E36489">
        <w:rPr>
          <w:sz w:val="24"/>
          <w:szCs w:val="24"/>
        </w:rPr>
        <w:t xml:space="preserve"> 2000; 164:6647-54.</w:t>
      </w:r>
    </w:p>
    <w:p w14:paraId="6182739A" w14:textId="71FE6292" w:rsidR="00A91367" w:rsidRPr="00E36489" w:rsidRDefault="00BC53AB" w:rsidP="00BC53AB">
      <w:pPr>
        <w:pStyle w:val="EndNoteBibliography"/>
        <w:spacing w:after="0" w:line="480" w:lineRule="auto"/>
        <w:ind w:left="720" w:hanging="720"/>
        <w:jc w:val="both"/>
        <w:rPr>
          <w:sz w:val="24"/>
          <w:szCs w:val="24"/>
        </w:rPr>
      </w:pPr>
      <w:r w:rsidRPr="00E36489">
        <w:rPr>
          <w:sz w:val="24"/>
          <w:szCs w:val="24"/>
        </w:rPr>
        <w:t>4.</w:t>
      </w:r>
      <w:r w:rsidRPr="00E36489">
        <w:rPr>
          <w:sz w:val="24"/>
          <w:szCs w:val="24"/>
        </w:rPr>
        <w:tab/>
      </w:r>
      <w:r w:rsidR="00A91367" w:rsidRPr="00E36489">
        <w:rPr>
          <w:sz w:val="24"/>
        </w:rPr>
        <w:t xml:space="preserve">Callan HE, Jenkins RE, Maggs JL, Lavergne SN, Clarke SE, Naisbitt DJ, et al. Multiple Adduction Reactions of Nitroso Sulfamethoxazole with Cysteinyl Residues of Peptides and Proteins: Implications for Hapten Formation. </w:t>
      </w:r>
      <w:r w:rsidRPr="00E36489">
        <w:rPr>
          <w:sz w:val="24"/>
        </w:rPr>
        <w:t>Chem Res Toxicol</w:t>
      </w:r>
      <w:r w:rsidR="00A91367" w:rsidRPr="00E36489">
        <w:rPr>
          <w:sz w:val="24"/>
        </w:rPr>
        <w:t xml:space="preserve"> 2009; 22:937-48.</w:t>
      </w:r>
    </w:p>
    <w:p w14:paraId="64248EA8" w14:textId="712D77BC" w:rsidR="00A91367" w:rsidRPr="00E36489" w:rsidRDefault="00BC53AB" w:rsidP="00BC53AB">
      <w:pPr>
        <w:pStyle w:val="EndNoteBibliography"/>
        <w:spacing w:after="0" w:line="480" w:lineRule="auto"/>
        <w:ind w:left="720" w:hanging="720"/>
        <w:jc w:val="both"/>
        <w:rPr>
          <w:sz w:val="24"/>
        </w:rPr>
      </w:pPr>
      <w:r w:rsidRPr="00E36489">
        <w:rPr>
          <w:sz w:val="24"/>
        </w:rPr>
        <w:t>5</w:t>
      </w:r>
      <w:r w:rsidR="00A91367" w:rsidRPr="00E36489">
        <w:rPr>
          <w:sz w:val="24"/>
        </w:rPr>
        <w:t>.</w:t>
      </w:r>
      <w:r w:rsidR="00A91367" w:rsidRPr="00E36489">
        <w:rPr>
          <w:sz w:val="24"/>
        </w:rPr>
        <w:tab/>
        <w:t xml:space="preserve">Gill HJ, Hough SJ, Naisbitt DJ, Maggs JL, Kitteringham NR, Pirmohamed M, et al. The Relationship Between the Disposition and Immunogenicity of Sulfamethoxazole in the Rat. </w:t>
      </w:r>
      <w:r w:rsidRPr="00E36489">
        <w:rPr>
          <w:rFonts w:asciiTheme="minorHAnsi" w:hAnsiTheme="minorHAnsi" w:cs="Arial"/>
          <w:bCs/>
          <w:color w:val="222222"/>
          <w:sz w:val="24"/>
          <w:szCs w:val="24"/>
          <w:shd w:val="clear" w:color="auto" w:fill="FFFFFF"/>
        </w:rPr>
        <w:t>J Pharmacol Exp Ther</w:t>
      </w:r>
      <w:r w:rsidR="00A91367" w:rsidRPr="00E36489">
        <w:rPr>
          <w:sz w:val="24"/>
        </w:rPr>
        <w:t xml:space="preserve"> 1997; 282:795-801.</w:t>
      </w:r>
    </w:p>
    <w:p w14:paraId="1D321078" w14:textId="112EA0D6" w:rsidR="00A91367" w:rsidRPr="00E36489" w:rsidRDefault="00BC53AB" w:rsidP="00BC53AB">
      <w:pPr>
        <w:pStyle w:val="EndNoteBibliography"/>
        <w:spacing w:after="0" w:line="480" w:lineRule="auto"/>
        <w:ind w:left="720" w:hanging="720"/>
        <w:jc w:val="both"/>
        <w:rPr>
          <w:sz w:val="24"/>
        </w:rPr>
      </w:pPr>
      <w:r w:rsidRPr="00E36489">
        <w:rPr>
          <w:sz w:val="24"/>
        </w:rPr>
        <w:t>6</w:t>
      </w:r>
      <w:r w:rsidR="00A91367" w:rsidRPr="00E36489">
        <w:rPr>
          <w:sz w:val="24"/>
        </w:rPr>
        <w:t>.</w:t>
      </w:r>
      <w:r w:rsidR="00A91367" w:rsidRPr="00E36489">
        <w:rPr>
          <w:sz w:val="24"/>
        </w:rPr>
        <w:tab/>
        <w:t>Engler OB, Strasser I, Naisbitt DJ, Cerny A, Pichler WJ. A chemically inert drug can stimulate T cells in vitro by their T cell receptor in non-sensitised individuals. Toxicology 2004; 197:47-56.</w:t>
      </w:r>
    </w:p>
    <w:p w14:paraId="1E790A79" w14:textId="5523AEBF" w:rsidR="00A91367" w:rsidRPr="00E36489" w:rsidRDefault="00BC53AB" w:rsidP="00BC53AB">
      <w:pPr>
        <w:pStyle w:val="EndNoteBibliography"/>
        <w:spacing w:after="0" w:line="480" w:lineRule="auto"/>
        <w:ind w:left="720" w:hanging="720"/>
        <w:jc w:val="both"/>
        <w:rPr>
          <w:sz w:val="24"/>
        </w:rPr>
      </w:pPr>
      <w:r w:rsidRPr="00E36489">
        <w:rPr>
          <w:sz w:val="24"/>
        </w:rPr>
        <w:t>7</w:t>
      </w:r>
      <w:r w:rsidR="00A91367" w:rsidRPr="00E36489">
        <w:rPr>
          <w:sz w:val="24"/>
        </w:rPr>
        <w:t>.</w:t>
      </w:r>
      <w:r w:rsidR="00A91367" w:rsidRPr="00E36489">
        <w:rPr>
          <w:sz w:val="24"/>
        </w:rPr>
        <w:tab/>
        <w:t xml:space="preserve">Sanderson JP, Naisbitt DJ, Farrell J, Ashby CA, Tucker MJ, Rieder MJ, et al. Sulfamethoxazole and Its Metabolite Nitroso Sulfamethoxazole Stimulate Dendritic Cell Costimulatory Signaling. </w:t>
      </w:r>
      <w:r w:rsidRPr="00E36489">
        <w:rPr>
          <w:sz w:val="24"/>
        </w:rPr>
        <w:t>J Immunol</w:t>
      </w:r>
      <w:r w:rsidR="00A91367" w:rsidRPr="00E36489">
        <w:rPr>
          <w:sz w:val="24"/>
        </w:rPr>
        <w:t xml:space="preserve"> 2007; 178:5533-42.</w:t>
      </w:r>
    </w:p>
    <w:p w14:paraId="5247C143" w14:textId="002B6FA9" w:rsidR="00A91367" w:rsidRPr="00E36489" w:rsidRDefault="00BC53AB" w:rsidP="00BC53AB">
      <w:pPr>
        <w:pStyle w:val="EndNoteBibliography"/>
        <w:spacing w:after="0" w:line="480" w:lineRule="auto"/>
        <w:ind w:left="720" w:hanging="720"/>
        <w:jc w:val="both"/>
        <w:rPr>
          <w:sz w:val="24"/>
        </w:rPr>
      </w:pPr>
      <w:r w:rsidRPr="00E36489">
        <w:rPr>
          <w:sz w:val="24"/>
        </w:rPr>
        <w:lastRenderedPageBreak/>
        <w:t>8</w:t>
      </w:r>
      <w:r w:rsidR="00A91367" w:rsidRPr="00E36489">
        <w:rPr>
          <w:sz w:val="24"/>
        </w:rPr>
        <w:t>.</w:t>
      </w:r>
      <w:r w:rsidR="00A91367" w:rsidRPr="00E36489">
        <w:rPr>
          <w:sz w:val="24"/>
        </w:rPr>
        <w:tab/>
        <w:t>Faulkner L, Martinsson K, Santoyo-Castelazo A, Cederbrant K, Schuppe-Koistinen I, Powell H, et al. The Development of In Vitro Culture Methods to Characterize Primary T-Cell Responses to Drugs. Toxicol Sci 2012; 127:150-8.</w:t>
      </w:r>
    </w:p>
    <w:p w14:paraId="2B4E4858" w14:textId="7D7CCE40" w:rsidR="00F1447C" w:rsidRPr="00AC19DB" w:rsidRDefault="00BC53AB" w:rsidP="00AC19DB">
      <w:pPr>
        <w:pStyle w:val="EndNoteBibliography"/>
        <w:spacing w:after="0" w:line="480" w:lineRule="auto"/>
        <w:ind w:left="720" w:hanging="720"/>
        <w:jc w:val="both"/>
        <w:rPr>
          <w:sz w:val="24"/>
        </w:rPr>
      </w:pPr>
      <w:r w:rsidRPr="00E36489">
        <w:rPr>
          <w:sz w:val="24"/>
        </w:rPr>
        <w:t>9</w:t>
      </w:r>
      <w:r w:rsidR="00A91367" w:rsidRPr="00E36489">
        <w:rPr>
          <w:sz w:val="24"/>
        </w:rPr>
        <w:t>.</w:t>
      </w:r>
      <w:r w:rsidR="00A91367" w:rsidRPr="00E36489">
        <w:rPr>
          <w:sz w:val="24"/>
        </w:rPr>
        <w:tab/>
        <w:t>Lucas A, Lucas M, Strhyn A, Keane NM, McKinnon E, Pavlos R, et al. Abacavir-reactive memory T cells are present in drug naïve individuals. PLoS ONE 2015; 10.</w:t>
      </w:r>
    </w:p>
    <w:sectPr w:rsidR="00F1447C" w:rsidRPr="00AC19DB" w:rsidSect="00A92279">
      <w:headerReference w:type="default" r:id="rId8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70921" w14:textId="77777777" w:rsidR="005433FA" w:rsidRDefault="005433FA" w:rsidP="00A92279">
      <w:pPr>
        <w:spacing w:after="0" w:line="240" w:lineRule="auto"/>
      </w:pPr>
      <w:r>
        <w:separator/>
      </w:r>
    </w:p>
  </w:endnote>
  <w:endnote w:type="continuationSeparator" w:id="0">
    <w:p w14:paraId="493EB189" w14:textId="77777777" w:rsidR="005433FA" w:rsidRDefault="005433FA" w:rsidP="00A9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63E56" w14:textId="77777777" w:rsidR="005433FA" w:rsidRDefault="005433FA" w:rsidP="00A92279">
      <w:pPr>
        <w:spacing w:after="0" w:line="240" w:lineRule="auto"/>
      </w:pPr>
      <w:r>
        <w:separator/>
      </w:r>
    </w:p>
  </w:footnote>
  <w:footnote w:type="continuationSeparator" w:id="0">
    <w:p w14:paraId="5C173EB9" w14:textId="77777777" w:rsidR="005433FA" w:rsidRDefault="005433FA" w:rsidP="00A9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7487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FE9A45" w14:textId="236E20C0" w:rsidR="00A92279" w:rsidRDefault="00A9227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7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B6F0E6" w14:textId="77777777" w:rsidR="00A92279" w:rsidRDefault="00A92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llergy Clin Immun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txvzx0fsxx93ererovt2wjazzzzzxdtraa&quot;&gt;naisbitt active Copy&lt;record-ids&gt;&lt;item&gt;4095&lt;/item&gt;&lt;/record-ids&gt;&lt;/item&gt;&lt;/Libraries&gt;"/>
  </w:docVars>
  <w:rsids>
    <w:rsidRoot w:val="00F1447C"/>
    <w:rsid w:val="000348D2"/>
    <w:rsid w:val="0005754B"/>
    <w:rsid w:val="000913EB"/>
    <w:rsid w:val="000C0643"/>
    <w:rsid w:val="000E6151"/>
    <w:rsid w:val="00101CDD"/>
    <w:rsid w:val="00111AFF"/>
    <w:rsid w:val="00162D32"/>
    <w:rsid w:val="00173258"/>
    <w:rsid w:val="001864F2"/>
    <w:rsid w:val="002048A1"/>
    <w:rsid w:val="00205758"/>
    <w:rsid w:val="00205D9F"/>
    <w:rsid w:val="00254B55"/>
    <w:rsid w:val="0027747E"/>
    <w:rsid w:val="00293A55"/>
    <w:rsid w:val="002A1F69"/>
    <w:rsid w:val="002D47AE"/>
    <w:rsid w:val="002E7844"/>
    <w:rsid w:val="002F6E14"/>
    <w:rsid w:val="003F78FD"/>
    <w:rsid w:val="0043419E"/>
    <w:rsid w:val="004428C6"/>
    <w:rsid w:val="00454021"/>
    <w:rsid w:val="00487C5C"/>
    <w:rsid w:val="004A0988"/>
    <w:rsid w:val="004C54C8"/>
    <w:rsid w:val="004D3BF4"/>
    <w:rsid w:val="004E3ECE"/>
    <w:rsid w:val="004E6BAD"/>
    <w:rsid w:val="004F59A3"/>
    <w:rsid w:val="0054087B"/>
    <w:rsid w:val="005433FA"/>
    <w:rsid w:val="00595BE0"/>
    <w:rsid w:val="00604B69"/>
    <w:rsid w:val="00616048"/>
    <w:rsid w:val="0062354B"/>
    <w:rsid w:val="00632777"/>
    <w:rsid w:val="00642D14"/>
    <w:rsid w:val="00650FB1"/>
    <w:rsid w:val="00657BC8"/>
    <w:rsid w:val="006F3194"/>
    <w:rsid w:val="006F7988"/>
    <w:rsid w:val="00791DDE"/>
    <w:rsid w:val="007B6179"/>
    <w:rsid w:val="007D7851"/>
    <w:rsid w:val="007E5E6B"/>
    <w:rsid w:val="007F6F9D"/>
    <w:rsid w:val="00812F90"/>
    <w:rsid w:val="00815686"/>
    <w:rsid w:val="008309C3"/>
    <w:rsid w:val="008324B2"/>
    <w:rsid w:val="0086328A"/>
    <w:rsid w:val="008765FF"/>
    <w:rsid w:val="008A4863"/>
    <w:rsid w:val="008E1C76"/>
    <w:rsid w:val="008E62AF"/>
    <w:rsid w:val="009552F2"/>
    <w:rsid w:val="00991BA1"/>
    <w:rsid w:val="009974A1"/>
    <w:rsid w:val="009D159D"/>
    <w:rsid w:val="009D4926"/>
    <w:rsid w:val="00A42BEE"/>
    <w:rsid w:val="00A73F72"/>
    <w:rsid w:val="00A91367"/>
    <w:rsid w:val="00A92279"/>
    <w:rsid w:val="00A92EB4"/>
    <w:rsid w:val="00AA0F77"/>
    <w:rsid w:val="00AA39DA"/>
    <w:rsid w:val="00AB7BC3"/>
    <w:rsid w:val="00AC19DB"/>
    <w:rsid w:val="00AF11CE"/>
    <w:rsid w:val="00B001AE"/>
    <w:rsid w:val="00B34EEA"/>
    <w:rsid w:val="00B36E61"/>
    <w:rsid w:val="00B81706"/>
    <w:rsid w:val="00B87BBF"/>
    <w:rsid w:val="00BB6F31"/>
    <w:rsid w:val="00BC53AB"/>
    <w:rsid w:val="00BD32A8"/>
    <w:rsid w:val="00C0687C"/>
    <w:rsid w:val="00C1652F"/>
    <w:rsid w:val="00C57E23"/>
    <w:rsid w:val="00C63995"/>
    <w:rsid w:val="00C93BF9"/>
    <w:rsid w:val="00CF6DEE"/>
    <w:rsid w:val="00D14E2E"/>
    <w:rsid w:val="00D25F4C"/>
    <w:rsid w:val="00D650CC"/>
    <w:rsid w:val="00DF7BCA"/>
    <w:rsid w:val="00E0096C"/>
    <w:rsid w:val="00E21787"/>
    <w:rsid w:val="00E36489"/>
    <w:rsid w:val="00E54E8A"/>
    <w:rsid w:val="00E81084"/>
    <w:rsid w:val="00EC1658"/>
    <w:rsid w:val="00ED5BEA"/>
    <w:rsid w:val="00EE1996"/>
    <w:rsid w:val="00F1447C"/>
    <w:rsid w:val="00F2705D"/>
    <w:rsid w:val="00F3091F"/>
    <w:rsid w:val="00FB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78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47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1447C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1447C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1447C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1447C"/>
    <w:rPr>
      <w:rFonts w:ascii="Calibri" w:hAnsi="Calibri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5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B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B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AB7B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B7B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FACorrespondingAuthorFootnote7pt">
    <w:name w:val="Style FA_Corresponding_Author_Footnote + 7 pt"/>
    <w:basedOn w:val="Normal"/>
    <w:next w:val="Normal"/>
    <w:link w:val="StyleFACorrespondingAuthorFootnote7ptChar"/>
    <w:autoRedefine/>
    <w:rsid w:val="00A92279"/>
    <w:pPr>
      <w:spacing w:after="0" w:line="480" w:lineRule="auto"/>
      <w:jc w:val="both"/>
    </w:pPr>
    <w:rPr>
      <w:rFonts w:eastAsia="Times New Roman" w:cs="Times New Roman"/>
      <w:b/>
      <w:bCs/>
      <w:kern w:val="20"/>
      <w:sz w:val="24"/>
      <w:szCs w:val="24"/>
      <w:lang w:val="en-US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A92279"/>
    <w:rPr>
      <w:rFonts w:eastAsia="Times New Roman" w:cs="Times New Roman"/>
      <w:b/>
      <w:bCs/>
      <w:kern w:val="2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2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79"/>
  </w:style>
  <w:style w:type="paragraph" w:styleId="Footer">
    <w:name w:val="footer"/>
    <w:basedOn w:val="Normal"/>
    <w:link w:val="FooterChar"/>
    <w:uiPriority w:val="99"/>
    <w:unhideWhenUsed/>
    <w:rsid w:val="00A92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79"/>
  </w:style>
  <w:style w:type="character" w:styleId="LineNumber">
    <w:name w:val="line number"/>
    <w:basedOn w:val="DefaultParagraphFont"/>
    <w:uiPriority w:val="99"/>
    <w:semiHidden/>
    <w:unhideWhenUsed/>
    <w:rsid w:val="00A92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47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1447C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1447C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1447C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1447C"/>
    <w:rPr>
      <w:rFonts w:ascii="Calibri" w:hAnsi="Calibri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5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B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B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AB7B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B7B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FACorrespondingAuthorFootnote7pt">
    <w:name w:val="Style FA_Corresponding_Author_Footnote + 7 pt"/>
    <w:basedOn w:val="Normal"/>
    <w:next w:val="Normal"/>
    <w:link w:val="StyleFACorrespondingAuthorFootnote7ptChar"/>
    <w:autoRedefine/>
    <w:rsid w:val="00A92279"/>
    <w:pPr>
      <w:spacing w:after="0" w:line="480" w:lineRule="auto"/>
      <w:jc w:val="both"/>
    </w:pPr>
    <w:rPr>
      <w:rFonts w:eastAsia="Times New Roman" w:cs="Times New Roman"/>
      <w:b/>
      <w:bCs/>
      <w:kern w:val="20"/>
      <w:sz w:val="24"/>
      <w:szCs w:val="24"/>
      <w:lang w:val="en-US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A92279"/>
    <w:rPr>
      <w:rFonts w:eastAsia="Times New Roman" w:cs="Times New Roman"/>
      <w:b/>
      <w:bCs/>
      <w:kern w:val="2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2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79"/>
  </w:style>
  <w:style w:type="paragraph" w:styleId="Footer">
    <w:name w:val="footer"/>
    <w:basedOn w:val="Normal"/>
    <w:link w:val="FooterChar"/>
    <w:uiPriority w:val="99"/>
    <w:unhideWhenUsed/>
    <w:rsid w:val="00A92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79"/>
  </w:style>
  <w:style w:type="character" w:styleId="LineNumber">
    <w:name w:val="line number"/>
    <w:basedOn w:val="DefaultParagraphFont"/>
    <w:uiPriority w:val="99"/>
    <w:semiHidden/>
    <w:unhideWhenUsed/>
    <w:rsid w:val="00A9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2036-DF88-448C-9C96-7DB38808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Gibson, Andrew</dc:creator>
  <cp:lastModifiedBy>Naisbitt, Dean</cp:lastModifiedBy>
  <cp:revision>3</cp:revision>
  <cp:lastPrinted>2016-05-26T13:14:00Z</cp:lastPrinted>
  <dcterms:created xsi:type="dcterms:W3CDTF">2016-09-19T12:53:00Z</dcterms:created>
  <dcterms:modified xsi:type="dcterms:W3CDTF">2016-09-19T13:15:00Z</dcterms:modified>
</cp:coreProperties>
</file>