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34D64" w14:textId="6ED7392E" w:rsidR="0010781E" w:rsidRDefault="00C70E77" w:rsidP="007515F8">
      <w:pPr>
        <w:spacing w:line="480" w:lineRule="auto"/>
        <w:jc w:val="center"/>
        <w:rPr>
          <w:rFonts w:ascii="Arial" w:hAnsi="Arial" w:cs="Arial"/>
          <w:b/>
          <w:sz w:val="22"/>
          <w:szCs w:val="22"/>
        </w:rPr>
      </w:pPr>
      <w:r w:rsidRPr="00307A16">
        <w:rPr>
          <w:rFonts w:ascii="Arial" w:hAnsi="Arial" w:cs="Arial"/>
          <w:b/>
          <w:sz w:val="22"/>
          <w:szCs w:val="22"/>
        </w:rPr>
        <w:t xml:space="preserve">NIHR </w:t>
      </w:r>
      <w:r w:rsidR="00C9172B" w:rsidRPr="00307A16">
        <w:rPr>
          <w:rFonts w:ascii="Arial" w:hAnsi="Arial" w:cs="Arial"/>
          <w:b/>
          <w:sz w:val="22"/>
          <w:szCs w:val="22"/>
        </w:rPr>
        <w:t>CLINICAL RESEARCH NETWORKS: WHAT THEY DO AND HOW THEY HELP PAEDIATRIC RESEARCH</w:t>
      </w:r>
    </w:p>
    <w:p w14:paraId="6872F2A1" w14:textId="77777777" w:rsidR="00BF2BED" w:rsidRPr="00307A16" w:rsidRDefault="00BF2BED" w:rsidP="007515F8">
      <w:pPr>
        <w:spacing w:line="480" w:lineRule="auto"/>
        <w:jc w:val="center"/>
        <w:rPr>
          <w:rFonts w:ascii="Arial" w:hAnsi="Arial" w:cs="Arial"/>
          <w:b/>
          <w:sz w:val="22"/>
          <w:szCs w:val="22"/>
        </w:rPr>
      </w:pPr>
    </w:p>
    <w:p w14:paraId="412CF348" w14:textId="33288063" w:rsidR="009B4EE2" w:rsidRPr="00307A16" w:rsidRDefault="009655C1" w:rsidP="007515F8">
      <w:pPr>
        <w:spacing w:line="480" w:lineRule="auto"/>
        <w:rPr>
          <w:rFonts w:ascii="Arial" w:hAnsi="Arial" w:cs="Arial"/>
          <w:sz w:val="22"/>
          <w:szCs w:val="22"/>
          <w:vertAlign w:val="superscript"/>
        </w:rPr>
      </w:pPr>
      <w:r w:rsidRPr="00307A16">
        <w:rPr>
          <w:rFonts w:ascii="Arial" w:hAnsi="Arial" w:cs="Arial"/>
          <w:sz w:val="22"/>
          <w:szCs w:val="22"/>
        </w:rPr>
        <w:t>*</w:t>
      </w:r>
      <w:r w:rsidR="009B4EE2" w:rsidRPr="00307A16">
        <w:rPr>
          <w:rFonts w:ascii="Arial" w:hAnsi="Arial" w:cs="Arial"/>
          <w:sz w:val="22"/>
          <w:szCs w:val="22"/>
        </w:rPr>
        <w:t>Hanna Lythgoe</w:t>
      </w:r>
      <w:r w:rsidR="009B4EE2" w:rsidRPr="00307A16">
        <w:rPr>
          <w:rFonts w:ascii="Arial" w:hAnsi="Arial" w:cs="Arial"/>
          <w:sz w:val="22"/>
          <w:szCs w:val="22"/>
          <w:vertAlign w:val="superscript"/>
        </w:rPr>
        <w:t>1,2</w:t>
      </w:r>
      <w:r w:rsidR="009B4EE2" w:rsidRPr="00307A16">
        <w:rPr>
          <w:rFonts w:ascii="Arial" w:hAnsi="Arial" w:cs="Arial"/>
          <w:sz w:val="22"/>
          <w:szCs w:val="22"/>
        </w:rPr>
        <w:t xml:space="preserve">, </w:t>
      </w:r>
      <w:r w:rsidRPr="00307A16">
        <w:rPr>
          <w:rFonts w:ascii="Arial" w:hAnsi="Arial" w:cs="Arial"/>
          <w:sz w:val="22"/>
          <w:szCs w:val="22"/>
        </w:rPr>
        <w:t>*</w:t>
      </w:r>
      <w:r w:rsidR="009B4EE2" w:rsidRPr="00307A16">
        <w:rPr>
          <w:rFonts w:ascii="Arial" w:hAnsi="Arial" w:cs="Arial"/>
          <w:sz w:val="22"/>
          <w:szCs w:val="22"/>
        </w:rPr>
        <w:t>Victoria Price</w:t>
      </w:r>
      <w:r w:rsidR="009B4EE2" w:rsidRPr="00307A16">
        <w:rPr>
          <w:rFonts w:ascii="Arial" w:hAnsi="Arial" w:cs="Arial"/>
          <w:sz w:val="22"/>
          <w:szCs w:val="22"/>
          <w:vertAlign w:val="superscript"/>
        </w:rPr>
        <w:t>1,2</w:t>
      </w:r>
      <w:r w:rsidR="009B4EE2" w:rsidRPr="00307A16">
        <w:rPr>
          <w:rFonts w:ascii="Arial" w:hAnsi="Arial" w:cs="Arial"/>
          <w:sz w:val="22"/>
          <w:szCs w:val="22"/>
        </w:rPr>
        <w:t>, Vanessa Poustie</w:t>
      </w:r>
      <w:r w:rsidR="009B4EE2" w:rsidRPr="00307A16">
        <w:rPr>
          <w:rFonts w:ascii="Arial" w:hAnsi="Arial" w:cs="Arial"/>
          <w:sz w:val="22"/>
          <w:szCs w:val="22"/>
          <w:vertAlign w:val="superscript"/>
        </w:rPr>
        <w:t>3</w:t>
      </w:r>
      <w:r w:rsidR="009B4EE2" w:rsidRPr="00307A16">
        <w:rPr>
          <w:rFonts w:ascii="Arial" w:hAnsi="Arial" w:cs="Arial"/>
          <w:sz w:val="22"/>
          <w:szCs w:val="22"/>
        </w:rPr>
        <w:t>, Sabah Attar</w:t>
      </w:r>
      <w:r w:rsidR="009B4EE2" w:rsidRPr="00307A16">
        <w:rPr>
          <w:rFonts w:ascii="Arial" w:hAnsi="Arial" w:cs="Arial"/>
          <w:sz w:val="22"/>
          <w:szCs w:val="22"/>
          <w:vertAlign w:val="superscript"/>
        </w:rPr>
        <w:t>3</w:t>
      </w:r>
      <w:r w:rsidR="009B4EE2" w:rsidRPr="00307A16">
        <w:rPr>
          <w:rFonts w:ascii="Arial" w:hAnsi="Arial" w:cs="Arial"/>
          <w:sz w:val="22"/>
          <w:szCs w:val="22"/>
        </w:rPr>
        <w:t>, Daniel Hawcutt</w:t>
      </w:r>
      <w:r w:rsidR="009B4EE2" w:rsidRPr="00307A16">
        <w:rPr>
          <w:rFonts w:ascii="Arial" w:hAnsi="Arial" w:cs="Arial"/>
          <w:sz w:val="22"/>
          <w:szCs w:val="22"/>
          <w:vertAlign w:val="superscript"/>
        </w:rPr>
        <w:t>1,2</w:t>
      </w:r>
      <w:r w:rsidR="004D7E27" w:rsidRPr="00307A16">
        <w:rPr>
          <w:rFonts w:ascii="Arial" w:hAnsi="Arial" w:cs="Arial"/>
          <w:sz w:val="22"/>
          <w:szCs w:val="22"/>
        </w:rPr>
        <w:t xml:space="preserve">, </w:t>
      </w:r>
      <w:r w:rsidR="00364EF9" w:rsidRPr="00307A16">
        <w:rPr>
          <w:rFonts w:ascii="Arial" w:hAnsi="Arial" w:cs="Arial"/>
          <w:sz w:val="22"/>
          <w:szCs w:val="22"/>
        </w:rPr>
        <w:t>Jennifer Preston</w:t>
      </w:r>
      <w:r w:rsidR="00364EF9" w:rsidRPr="00307A16">
        <w:rPr>
          <w:rFonts w:ascii="Arial" w:hAnsi="Arial" w:cs="Arial"/>
          <w:sz w:val="22"/>
          <w:szCs w:val="22"/>
          <w:vertAlign w:val="superscript"/>
        </w:rPr>
        <w:t>2</w:t>
      </w:r>
      <w:r w:rsidR="00364EF9" w:rsidRPr="00307A16">
        <w:rPr>
          <w:rFonts w:ascii="Arial" w:hAnsi="Arial" w:cs="Arial"/>
          <w:sz w:val="22"/>
          <w:szCs w:val="22"/>
        </w:rPr>
        <w:t xml:space="preserve">, </w:t>
      </w:r>
      <w:r w:rsidR="009B4EE2" w:rsidRPr="00307A16">
        <w:rPr>
          <w:rFonts w:ascii="Arial" w:hAnsi="Arial" w:cs="Arial"/>
          <w:sz w:val="22"/>
          <w:szCs w:val="22"/>
        </w:rPr>
        <w:t>Michael W Beresford</w:t>
      </w:r>
      <w:r w:rsidR="009B4EE2" w:rsidRPr="00307A16">
        <w:rPr>
          <w:rFonts w:ascii="Arial" w:hAnsi="Arial" w:cs="Arial"/>
          <w:sz w:val="22"/>
          <w:szCs w:val="22"/>
          <w:vertAlign w:val="superscript"/>
        </w:rPr>
        <w:t>1,2</w:t>
      </w:r>
      <w:r w:rsidR="00D904EC" w:rsidRPr="00307A16">
        <w:rPr>
          <w:rFonts w:ascii="Arial" w:hAnsi="Arial" w:cs="Arial"/>
          <w:sz w:val="22"/>
          <w:szCs w:val="22"/>
          <w:vertAlign w:val="superscript"/>
        </w:rPr>
        <w:t>,3</w:t>
      </w:r>
    </w:p>
    <w:p w14:paraId="5F30282D" w14:textId="77777777" w:rsidR="00BA3D7D" w:rsidRPr="00307A16" w:rsidRDefault="00BA3D7D" w:rsidP="007515F8">
      <w:pPr>
        <w:spacing w:line="480" w:lineRule="auto"/>
        <w:jc w:val="both"/>
        <w:rPr>
          <w:rFonts w:ascii="Arial" w:hAnsi="Arial" w:cs="Arial"/>
          <w:sz w:val="22"/>
          <w:szCs w:val="22"/>
        </w:rPr>
      </w:pPr>
    </w:p>
    <w:p w14:paraId="1FA133CF" w14:textId="3A51C96D" w:rsidR="009B4EE2" w:rsidRPr="00307A16" w:rsidRDefault="009B4EE2" w:rsidP="007515F8">
      <w:pPr>
        <w:spacing w:line="480" w:lineRule="auto"/>
        <w:jc w:val="both"/>
        <w:rPr>
          <w:rFonts w:ascii="Arial" w:hAnsi="Arial" w:cs="Arial"/>
          <w:sz w:val="22"/>
          <w:szCs w:val="22"/>
        </w:rPr>
      </w:pPr>
      <w:r w:rsidRPr="00307A16">
        <w:rPr>
          <w:rFonts w:ascii="Arial" w:hAnsi="Arial" w:cs="Arial"/>
          <w:sz w:val="22"/>
          <w:szCs w:val="22"/>
        </w:rPr>
        <w:t>1: Department of Women’s and Children’s Health, Institute of Translational Medicine, University of Liverpool</w:t>
      </w:r>
      <w:r w:rsidR="00332259" w:rsidRPr="00307A16">
        <w:rPr>
          <w:rFonts w:ascii="Arial" w:hAnsi="Arial" w:cs="Arial"/>
          <w:sz w:val="22"/>
          <w:szCs w:val="22"/>
        </w:rPr>
        <w:t>, UK</w:t>
      </w:r>
    </w:p>
    <w:p w14:paraId="064D4B11" w14:textId="77777777" w:rsidR="009B4EE2" w:rsidRPr="00307A16" w:rsidRDefault="009B4EE2" w:rsidP="007515F8">
      <w:pPr>
        <w:spacing w:line="480" w:lineRule="auto"/>
        <w:jc w:val="both"/>
        <w:rPr>
          <w:rFonts w:ascii="Arial" w:hAnsi="Arial" w:cs="Arial"/>
          <w:sz w:val="22"/>
          <w:szCs w:val="22"/>
        </w:rPr>
      </w:pPr>
      <w:r w:rsidRPr="00307A16">
        <w:rPr>
          <w:rFonts w:ascii="Arial" w:hAnsi="Arial" w:cs="Arial"/>
          <w:sz w:val="22"/>
          <w:szCs w:val="22"/>
        </w:rPr>
        <w:t>2: NIHR Alder Hey Clinical Research Facility, Alder Hey Children’s NHS Foundation Trust, Liverpool, UK</w:t>
      </w:r>
    </w:p>
    <w:p w14:paraId="2D602417" w14:textId="2CE8DEBE" w:rsidR="009B4EE2" w:rsidRPr="00307A16" w:rsidRDefault="009B4EE2" w:rsidP="007515F8">
      <w:pPr>
        <w:spacing w:line="480" w:lineRule="auto"/>
        <w:jc w:val="both"/>
        <w:rPr>
          <w:rFonts w:ascii="Arial" w:hAnsi="Arial" w:cs="Arial"/>
          <w:sz w:val="22"/>
          <w:szCs w:val="22"/>
        </w:rPr>
      </w:pPr>
      <w:r w:rsidRPr="00307A16">
        <w:rPr>
          <w:rFonts w:ascii="Arial" w:hAnsi="Arial" w:cs="Arial"/>
          <w:sz w:val="22"/>
          <w:szCs w:val="22"/>
        </w:rPr>
        <w:t>3: NIHR CRN: Children, Institute of Translational Medicine, University of Liverpool</w:t>
      </w:r>
      <w:r w:rsidR="004654DA" w:rsidRPr="00307A16">
        <w:rPr>
          <w:rFonts w:ascii="Arial" w:hAnsi="Arial" w:cs="Arial"/>
          <w:sz w:val="22"/>
          <w:szCs w:val="22"/>
        </w:rPr>
        <w:t>, Liverpool, UK</w:t>
      </w:r>
    </w:p>
    <w:p w14:paraId="4DA3C606" w14:textId="18C08632" w:rsidR="004D3F61" w:rsidRPr="00307A16" w:rsidRDefault="009B4EE2" w:rsidP="007515F8">
      <w:pPr>
        <w:spacing w:line="480" w:lineRule="auto"/>
        <w:jc w:val="both"/>
        <w:rPr>
          <w:rFonts w:ascii="Arial" w:hAnsi="Arial" w:cs="Arial"/>
          <w:sz w:val="22"/>
          <w:szCs w:val="22"/>
        </w:rPr>
      </w:pPr>
      <w:r w:rsidRPr="00307A16">
        <w:rPr>
          <w:rFonts w:ascii="Arial" w:hAnsi="Arial" w:cs="Arial"/>
          <w:sz w:val="22"/>
          <w:szCs w:val="22"/>
        </w:rPr>
        <w:t>*These authors contributed equally to the manuscript</w:t>
      </w:r>
    </w:p>
    <w:p w14:paraId="4D686E06" w14:textId="77777777" w:rsidR="00332259" w:rsidRPr="00307A16" w:rsidRDefault="00332259" w:rsidP="007515F8">
      <w:pPr>
        <w:spacing w:line="480" w:lineRule="auto"/>
        <w:jc w:val="both"/>
        <w:rPr>
          <w:rFonts w:ascii="Arial" w:hAnsi="Arial" w:cs="Arial"/>
          <w:sz w:val="22"/>
          <w:szCs w:val="22"/>
        </w:rPr>
      </w:pPr>
    </w:p>
    <w:p w14:paraId="124DE79F" w14:textId="1CD2E65A" w:rsidR="00594DBC" w:rsidRPr="00307A16" w:rsidRDefault="004D3F61" w:rsidP="007515F8">
      <w:pPr>
        <w:spacing w:line="480" w:lineRule="auto"/>
        <w:jc w:val="both"/>
        <w:rPr>
          <w:rFonts w:ascii="Arial" w:hAnsi="Arial" w:cs="Arial"/>
          <w:sz w:val="22"/>
          <w:szCs w:val="22"/>
        </w:rPr>
      </w:pPr>
      <w:r w:rsidRPr="00307A16">
        <w:rPr>
          <w:rFonts w:ascii="Arial" w:hAnsi="Arial" w:cs="Arial"/>
          <w:b/>
          <w:sz w:val="22"/>
          <w:szCs w:val="22"/>
        </w:rPr>
        <w:t>Corresponding author:</w:t>
      </w:r>
      <w:r w:rsidRPr="00307A16">
        <w:rPr>
          <w:rFonts w:ascii="Arial" w:hAnsi="Arial" w:cs="Arial"/>
          <w:sz w:val="22"/>
          <w:szCs w:val="22"/>
        </w:rPr>
        <w:t xml:space="preserve"> </w:t>
      </w:r>
      <w:r w:rsidR="00332259" w:rsidRPr="00307A16">
        <w:rPr>
          <w:rFonts w:ascii="Arial" w:hAnsi="Arial" w:cs="Arial"/>
          <w:sz w:val="22"/>
          <w:szCs w:val="22"/>
        </w:rPr>
        <w:t xml:space="preserve">Professor Michael </w:t>
      </w:r>
      <w:r w:rsidR="009655C1" w:rsidRPr="00307A16">
        <w:rPr>
          <w:rFonts w:ascii="Arial" w:hAnsi="Arial" w:cs="Arial"/>
          <w:sz w:val="22"/>
          <w:szCs w:val="22"/>
        </w:rPr>
        <w:t xml:space="preserve">W </w:t>
      </w:r>
      <w:r w:rsidR="00332259" w:rsidRPr="00307A16">
        <w:rPr>
          <w:rFonts w:ascii="Arial" w:hAnsi="Arial" w:cs="Arial"/>
          <w:sz w:val="22"/>
          <w:szCs w:val="22"/>
        </w:rPr>
        <w:t>Beresford, Institute in the Park, Alder Hey Children’s Hospital, Eaton Road, Liverpool, L12</w:t>
      </w:r>
      <w:r w:rsidR="00BF2BED">
        <w:rPr>
          <w:rFonts w:ascii="Arial" w:hAnsi="Arial" w:cs="Arial"/>
          <w:sz w:val="22"/>
          <w:szCs w:val="22"/>
        </w:rPr>
        <w:t xml:space="preserve"> </w:t>
      </w:r>
      <w:r w:rsidR="00332259" w:rsidRPr="00307A16">
        <w:rPr>
          <w:rFonts w:ascii="Arial" w:hAnsi="Arial" w:cs="Arial"/>
          <w:sz w:val="22"/>
          <w:szCs w:val="22"/>
        </w:rPr>
        <w:t xml:space="preserve">2AP. </w:t>
      </w:r>
      <w:hyperlink r:id="rId8" w:history="1">
        <w:r w:rsidR="00332259" w:rsidRPr="00307A16">
          <w:rPr>
            <w:rStyle w:val="Hyperlink"/>
            <w:rFonts w:ascii="Arial" w:hAnsi="Arial" w:cs="Arial"/>
            <w:color w:val="auto"/>
            <w:sz w:val="22"/>
            <w:szCs w:val="22"/>
            <w:u w:val="none"/>
          </w:rPr>
          <w:t>M.w.beresford@liverpool.ac.uk</w:t>
        </w:r>
      </w:hyperlink>
      <w:r w:rsidR="00332259" w:rsidRPr="00307A16">
        <w:rPr>
          <w:rFonts w:ascii="Arial" w:hAnsi="Arial" w:cs="Arial"/>
          <w:sz w:val="22"/>
          <w:szCs w:val="22"/>
        </w:rPr>
        <w:t>. 01512284811.</w:t>
      </w:r>
    </w:p>
    <w:p w14:paraId="521F6E2C" w14:textId="77777777" w:rsidR="0055684D" w:rsidRPr="00307A16" w:rsidRDefault="0055684D" w:rsidP="007515F8">
      <w:pPr>
        <w:spacing w:line="480" w:lineRule="auto"/>
        <w:jc w:val="both"/>
        <w:rPr>
          <w:rFonts w:ascii="Arial" w:hAnsi="Arial" w:cs="Arial"/>
          <w:sz w:val="22"/>
          <w:szCs w:val="22"/>
        </w:rPr>
      </w:pPr>
    </w:p>
    <w:p w14:paraId="7CB5E9CC" w14:textId="7571CFC4" w:rsidR="00BA3D7D" w:rsidRPr="00307A16" w:rsidRDefault="0055684D" w:rsidP="007515F8">
      <w:pPr>
        <w:spacing w:line="480" w:lineRule="auto"/>
        <w:jc w:val="both"/>
        <w:rPr>
          <w:rFonts w:ascii="Arial" w:hAnsi="Arial" w:cs="Arial"/>
          <w:sz w:val="22"/>
          <w:szCs w:val="22"/>
        </w:rPr>
      </w:pPr>
      <w:r w:rsidRPr="00307A16">
        <w:rPr>
          <w:rFonts w:ascii="Arial" w:hAnsi="Arial" w:cs="Arial"/>
          <w:b/>
          <w:sz w:val="22"/>
          <w:szCs w:val="22"/>
        </w:rPr>
        <w:t>Key words:</w:t>
      </w:r>
      <w:r w:rsidRPr="00307A16">
        <w:rPr>
          <w:rFonts w:ascii="Arial" w:hAnsi="Arial" w:cs="Arial"/>
          <w:sz w:val="22"/>
          <w:szCs w:val="22"/>
        </w:rPr>
        <w:t xml:space="preserve"> National Institute </w:t>
      </w:r>
      <w:r w:rsidR="009F21A1" w:rsidRPr="00307A16">
        <w:rPr>
          <w:rFonts w:ascii="Arial" w:hAnsi="Arial" w:cs="Arial"/>
          <w:sz w:val="22"/>
          <w:szCs w:val="22"/>
        </w:rPr>
        <w:t>for</w:t>
      </w:r>
      <w:r w:rsidRPr="00307A16">
        <w:rPr>
          <w:rFonts w:ascii="Arial" w:hAnsi="Arial" w:cs="Arial"/>
          <w:sz w:val="22"/>
          <w:szCs w:val="22"/>
        </w:rPr>
        <w:t xml:space="preserve"> Health Research, Clinical Research Networks, </w:t>
      </w:r>
      <w:r w:rsidR="009655C1" w:rsidRPr="00307A16">
        <w:rPr>
          <w:rFonts w:ascii="Arial" w:hAnsi="Arial" w:cs="Arial"/>
          <w:sz w:val="22"/>
          <w:szCs w:val="22"/>
        </w:rPr>
        <w:t xml:space="preserve">Child Health, </w:t>
      </w:r>
      <w:r w:rsidRPr="00307A16">
        <w:rPr>
          <w:rFonts w:ascii="Arial" w:hAnsi="Arial" w:cs="Arial"/>
          <w:sz w:val="22"/>
          <w:szCs w:val="22"/>
        </w:rPr>
        <w:t>Paediatrics</w:t>
      </w:r>
      <w:r w:rsidR="009655C1" w:rsidRPr="00307A16">
        <w:rPr>
          <w:rFonts w:ascii="Arial" w:hAnsi="Arial" w:cs="Arial"/>
          <w:sz w:val="22"/>
          <w:szCs w:val="22"/>
        </w:rPr>
        <w:t xml:space="preserve">, </w:t>
      </w:r>
      <w:r w:rsidR="003A2BD0" w:rsidRPr="00307A16">
        <w:rPr>
          <w:rFonts w:ascii="Arial" w:hAnsi="Arial" w:cs="Arial"/>
          <w:sz w:val="22"/>
          <w:szCs w:val="22"/>
        </w:rPr>
        <w:t>Clinical Trials</w:t>
      </w:r>
    </w:p>
    <w:p w14:paraId="0D1FD06E" w14:textId="77777777" w:rsidR="0055684D" w:rsidRPr="00307A16" w:rsidRDefault="0055684D" w:rsidP="007515F8">
      <w:pPr>
        <w:spacing w:line="480" w:lineRule="auto"/>
        <w:jc w:val="both"/>
        <w:rPr>
          <w:rFonts w:ascii="Arial" w:hAnsi="Arial" w:cs="Arial"/>
          <w:sz w:val="22"/>
          <w:szCs w:val="22"/>
        </w:rPr>
      </w:pPr>
    </w:p>
    <w:p w14:paraId="1AD27085" w14:textId="19DB561D" w:rsidR="0055684D" w:rsidRPr="00307A16" w:rsidRDefault="0055684D" w:rsidP="007515F8">
      <w:pPr>
        <w:spacing w:line="480" w:lineRule="auto"/>
        <w:jc w:val="both"/>
        <w:rPr>
          <w:rFonts w:ascii="Arial" w:hAnsi="Arial" w:cs="Arial"/>
          <w:sz w:val="22"/>
          <w:szCs w:val="22"/>
        </w:rPr>
      </w:pPr>
      <w:r w:rsidRPr="00307A16">
        <w:rPr>
          <w:rFonts w:ascii="Arial" w:hAnsi="Arial" w:cs="Arial"/>
          <w:b/>
          <w:sz w:val="22"/>
          <w:szCs w:val="22"/>
        </w:rPr>
        <w:t>Article w</w:t>
      </w:r>
      <w:r w:rsidR="007E1D24" w:rsidRPr="00307A16">
        <w:rPr>
          <w:rFonts w:ascii="Arial" w:hAnsi="Arial" w:cs="Arial"/>
          <w:b/>
          <w:sz w:val="22"/>
          <w:szCs w:val="22"/>
        </w:rPr>
        <w:t xml:space="preserve">ord count: </w:t>
      </w:r>
      <w:r w:rsidR="001F23FB">
        <w:rPr>
          <w:rFonts w:ascii="Arial" w:hAnsi="Arial" w:cs="Arial"/>
          <w:sz w:val="22"/>
          <w:szCs w:val="22"/>
        </w:rPr>
        <w:t>2926</w:t>
      </w:r>
      <w:r w:rsidR="00BA3D7D" w:rsidRPr="00307A16">
        <w:rPr>
          <w:rFonts w:ascii="Arial" w:hAnsi="Arial" w:cs="Arial"/>
          <w:sz w:val="22"/>
          <w:szCs w:val="22"/>
        </w:rPr>
        <w:t xml:space="preserve"> </w:t>
      </w:r>
      <w:r w:rsidRPr="00307A16">
        <w:rPr>
          <w:rFonts w:ascii="Arial" w:hAnsi="Arial" w:cs="Arial"/>
          <w:sz w:val="22"/>
          <w:szCs w:val="22"/>
        </w:rPr>
        <w:t>words</w:t>
      </w:r>
    </w:p>
    <w:p w14:paraId="5C08CC8D" w14:textId="49D53A3D" w:rsidR="00053556" w:rsidRPr="00307A16" w:rsidRDefault="0055684D" w:rsidP="007515F8">
      <w:pPr>
        <w:spacing w:line="480" w:lineRule="auto"/>
        <w:jc w:val="both"/>
        <w:rPr>
          <w:rFonts w:ascii="Arial" w:hAnsi="Arial" w:cs="Arial"/>
          <w:sz w:val="22"/>
          <w:szCs w:val="22"/>
        </w:rPr>
      </w:pPr>
      <w:r w:rsidRPr="00307A16">
        <w:rPr>
          <w:rFonts w:ascii="Arial" w:hAnsi="Arial" w:cs="Arial"/>
          <w:sz w:val="22"/>
          <w:szCs w:val="22"/>
        </w:rPr>
        <w:t>A</w:t>
      </w:r>
      <w:r w:rsidR="00BA3D7D" w:rsidRPr="00307A16">
        <w:rPr>
          <w:rFonts w:ascii="Arial" w:hAnsi="Arial" w:cs="Arial"/>
          <w:sz w:val="22"/>
          <w:szCs w:val="22"/>
        </w:rPr>
        <w:t xml:space="preserve">bstract </w:t>
      </w:r>
      <w:r w:rsidRPr="00307A16">
        <w:rPr>
          <w:rFonts w:ascii="Arial" w:hAnsi="Arial" w:cs="Arial"/>
          <w:sz w:val="22"/>
          <w:szCs w:val="22"/>
        </w:rPr>
        <w:t>word count: 1</w:t>
      </w:r>
      <w:r w:rsidR="00BF2BED">
        <w:rPr>
          <w:rFonts w:ascii="Arial" w:hAnsi="Arial" w:cs="Arial"/>
          <w:sz w:val="22"/>
          <w:szCs w:val="22"/>
        </w:rPr>
        <w:t>72</w:t>
      </w:r>
      <w:r w:rsidRPr="00307A16">
        <w:rPr>
          <w:rFonts w:ascii="Arial" w:hAnsi="Arial" w:cs="Arial"/>
          <w:sz w:val="22"/>
          <w:szCs w:val="22"/>
        </w:rPr>
        <w:t xml:space="preserve"> words</w:t>
      </w:r>
    </w:p>
    <w:p w14:paraId="69D741F3" w14:textId="558237A3" w:rsidR="00BA3D7D" w:rsidRPr="00307A16" w:rsidRDefault="00BA3D7D" w:rsidP="007515F8">
      <w:pPr>
        <w:spacing w:line="480" w:lineRule="auto"/>
        <w:rPr>
          <w:rFonts w:ascii="Arial" w:hAnsi="Arial" w:cs="Arial"/>
          <w:sz w:val="22"/>
          <w:szCs w:val="22"/>
        </w:rPr>
      </w:pPr>
      <w:r w:rsidRPr="00307A16">
        <w:rPr>
          <w:rFonts w:ascii="Arial" w:hAnsi="Arial" w:cs="Arial"/>
          <w:sz w:val="22"/>
          <w:szCs w:val="22"/>
        </w:rPr>
        <w:br w:type="page"/>
      </w:r>
    </w:p>
    <w:p w14:paraId="1FA7397F" w14:textId="49ACBC8B" w:rsidR="00C772C9" w:rsidRPr="00307A16" w:rsidRDefault="00FB01EE" w:rsidP="007515F8">
      <w:pPr>
        <w:spacing w:line="480" w:lineRule="auto"/>
        <w:rPr>
          <w:rFonts w:ascii="Arial" w:hAnsi="Arial" w:cs="Arial"/>
          <w:b/>
          <w:sz w:val="22"/>
          <w:szCs w:val="22"/>
        </w:rPr>
      </w:pPr>
      <w:r w:rsidRPr="00307A16">
        <w:rPr>
          <w:rFonts w:ascii="Arial" w:hAnsi="Arial" w:cs="Arial"/>
          <w:b/>
          <w:sz w:val="22"/>
          <w:szCs w:val="22"/>
        </w:rPr>
        <w:lastRenderedPageBreak/>
        <w:t>ABSTRACT</w:t>
      </w:r>
    </w:p>
    <w:p w14:paraId="48792B4A" w14:textId="7AEDDC96" w:rsidR="00584A3E" w:rsidRDefault="0000576E" w:rsidP="007515F8">
      <w:pPr>
        <w:spacing w:line="480" w:lineRule="auto"/>
        <w:jc w:val="both"/>
        <w:rPr>
          <w:rFonts w:ascii="Arial" w:hAnsi="Arial" w:cs="Arial"/>
          <w:sz w:val="22"/>
          <w:szCs w:val="22"/>
        </w:rPr>
      </w:pPr>
      <w:r w:rsidRPr="00307A16">
        <w:rPr>
          <w:rFonts w:ascii="Arial" w:hAnsi="Arial" w:cs="Arial"/>
          <w:sz w:val="22"/>
          <w:szCs w:val="22"/>
        </w:rPr>
        <w:t xml:space="preserve">This review provides paediatricians with an update on the new structure of the </w:t>
      </w:r>
      <w:r w:rsidR="00736551" w:rsidRPr="00307A16">
        <w:rPr>
          <w:rFonts w:ascii="Arial" w:hAnsi="Arial" w:cs="Arial"/>
          <w:sz w:val="22"/>
          <w:szCs w:val="22"/>
        </w:rPr>
        <w:t xml:space="preserve">National Institute for Health Research’s (NIHR) </w:t>
      </w:r>
      <w:r w:rsidRPr="00307A16">
        <w:rPr>
          <w:rFonts w:ascii="Arial" w:hAnsi="Arial" w:cs="Arial"/>
          <w:sz w:val="22"/>
          <w:szCs w:val="22"/>
        </w:rPr>
        <w:t xml:space="preserve">Clinical Research Network (CRN): Children and its role within the </w:t>
      </w:r>
      <w:r w:rsidR="00736551" w:rsidRPr="00307A16">
        <w:rPr>
          <w:rFonts w:ascii="Arial" w:hAnsi="Arial" w:cs="Arial"/>
          <w:sz w:val="22"/>
          <w:szCs w:val="22"/>
        </w:rPr>
        <w:t xml:space="preserve">wider </w:t>
      </w:r>
      <w:r w:rsidRPr="00307A16">
        <w:rPr>
          <w:rFonts w:ascii="Arial" w:hAnsi="Arial" w:cs="Arial"/>
          <w:sz w:val="22"/>
          <w:szCs w:val="22"/>
        </w:rPr>
        <w:t>NIHR</w:t>
      </w:r>
      <w:r w:rsidR="00736551" w:rsidRPr="00307A16">
        <w:rPr>
          <w:rFonts w:ascii="Arial" w:hAnsi="Arial" w:cs="Arial"/>
          <w:sz w:val="22"/>
          <w:szCs w:val="22"/>
        </w:rPr>
        <w:t xml:space="preserve"> infrastructure</w:t>
      </w:r>
      <w:r w:rsidRPr="00307A16">
        <w:rPr>
          <w:rFonts w:ascii="Arial" w:hAnsi="Arial" w:cs="Arial"/>
          <w:sz w:val="22"/>
          <w:szCs w:val="22"/>
        </w:rPr>
        <w:t xml:space="preserve">. </w:t>
      </w:r>
    </w:p>
    <w:p w14:paraId="3402939C" w14:textId="57A053E6" w:rsidR="00584A3E" w:rsidRDefault="006F4988" w:rsidP="007515F8">
      <w:pPr>
        <w:spacing w:line="480" w:lineRule="auto"/>
        <w:jc w:val="both"/>
        <w:rPr>
          <w:rFonts w:ascii="Arial" w:hAnsi="Arial" w:cs="Arial"/>
          <w:sz w:val="22"/>
          <w:szCs w:val="22"/>
        </w:rPr>
      </w:pPr>
      <w:r w:rsidRPr="00307A16">
        <w:rPr>
          <w:rFonts w:ascii="Arial" w:hAnsi="Arial" w:cs="Arial"/>
          <w:sz w:val="22"/>
          <w:szCs w:val="22"/>
        </w:rPr>
        <w:t>T</w:t>
      </w:r>
      <w:r w:rsidR="005F18F2" w:rsidRPr="00307A16">
        <w:rPr>
          <w:rFonts w:ascii="Arial" w:hAnsi="Arial" w:cs="Arial"/>
          <w:sz w:val="22"/>
          <w:szCs w:val="22"/>
        </w:rPr>
        <w:t>he N</w:t>
      </w:r>
      <w:r w:rsidR="0000576E" w:rsidRPr="00307A16">
        <w:rPr>
          <w:rFonts w:ascii="Arial" w:hAnsi="Arial" w:cs="Arial"/>
          <w:sz w:val="22"/>
          <w:szCs w:val="22"/>
        </w:rPr>
        <w:t xml:space="preserve">etwork supports </w:t>
      </w:r>
      <w:r w:rsidRPr="00307A16">
        <w:rPr>
          <w:rFonts w:ascii="Arial" w:hAnsi="Arial" w:cs="Arial"/>
          <w:sz w:val="22"/>
          <w:szCs w:val="22"/>
        </w:rPr>
        <w:t xml:space="preserve">delivery of high quality research within the NHS </w:t>
      </w:r>
      <w:r w:rsidR="003040A7" w:rsidRPr="00307A16">
        <w:rPr>
          <w:rFonts w:ascii="Arial" w:hAnsi="Arial" w:cs="Arial"/>
          <w:sz w:val="22"/>
          <w:szCs w:val="22"/>
        </w:rPr>
        <w:t xml:space="preserve">in England </w:t>
      </w:r>
      <w:r w:rsidRPr="00307A16">
        <w:rPr>
          <w:rFonts w:ascii="Arial" w:hAnsi="Arial" w:cs="Arial"/>
          <w:sz w:val="22"/>
          <w:szCs w:val="22"/>
        </w:rPr>
        <w:t xml:space="preserve">and supports </w:t>
      </w:r>
      <w:r w:rsidR="0000576E" w:rsidRPr="00307A16">
        <w:rPr>
          <w:rFonts w:ascii="Arial" w:hAnsi="Arial" w:cs="Arial"/>
          <w:sz w:val="22"/>
          <w:szCs w:val="22"/>
        </w:rPr>
        <w:t>researchers</w:t>
      </w:r>
      <w:r w:rsidR="000A4A2E">
        <w:rPr>
          <w:rFonts w:ascii="Arial" w:hAnsi="Arial" w:cs="Arial"/>
          <w:sz w:val="22"/>
          <w:szCs w:val="22"/>
        </w:rPr>
        <w:t>,</w:t>
      </w:r>
      <w:r w:rsidR="0000576E" w:rsidRPr="00307A16">
        <w:rPr>
          <w:rFonts w:ascii="Arial" w:hAnsi="Arial" w:cs="Arial"/>
          <w:sz w:val="22"/>
          <w:szCs w:val="22"/>
        </w:rPr>
        <w:t xml:space="preserve"> </w:t>
      </w:r>
      <w:r w:rsidR="0030289E" w:rsidRPr="00307A16">
        <w:rPr>
          <w:rFonts w:ascii="Arial" w:hAnsi="Arial" w:cs="Arial"/>
          <w:sz w:val="22"/>
          <w:szCs w:val="22"/>
        </w:rPr>
        <w:t>through provision of staff and resources</w:t>
      </w:r>
      <w:r w:rsidR="000A4A2E">
        <w:rPr>
          <w:rFonts w:ascii="Arial" w:hAnsi="Arial" w:cs="Arial"/>
          <w:sz w:val="22"/>
          <w:szCs w:val="22"/>
        </w:rPr>
        <w:t>,</w:t>
      </w:r>
      <w:r w:rsidR="0030289E" w:rsidRPr="00307A16">
        <w:rPr>
          <w:rFonts w:ascii="Arial" w:hAnsi="Arial" w:cs="Arial"/>
          <w:sz w:val="22"/>
          <w:szCs w:val="22"/>
        </w:rPr>
        <w:t xml:space="preserve"> </w:t>
      </w:r>
      <w:r w:rsidR="0000576E" w:rsidRPr="00307A16">
        <w:rPr>
          <w:rFonts w:ascii="Arial" w:hAnsi="Arial" w:cs="Arial"/>
          <w:sz w:val="22"/>
          <w:szCs w:val="22"/>
        </w:rPr>
        <w:t>with feasibility, site set-up, patient re</w:t>
      </w:r>
      <w:r w:rsidR="00BA3D7D" w:rsidRPr="00307A16">
        <w:rPr>
          <w:rFonts w:ascii="Arial" w:hAnsi="Arial" w:cs="Arial"/>
          <w:sz w:val="22"/>
          <w:szCs w:val="22"/>
        </w:rPr>
        <w:t xml:space="preserve">cruitment and study management. </w:t>
      </w:r>
      <w:r w:rsidR="00FD08E2" w:rsidRPr="00307A16">
        <w:rPr>
          <w:rFonts w:ascii="Arial" w:hAnsi="Arial" w:cs="Arial"/>
          <w:sz w:val="22"/>
          <w:szCs w:val="22"/>
        </w:rPr>
        <w:t xml:space="preserve">Since 2013, over 80% of commercial contract studies running within the UK sat within the UKCRN </w:t>
      </w:r>
      <w:r w:rsidR="00FD08E2">
        <w:rPr>
          <w:rFonts w:ascii="Arial" w:hAnsi="Arial" w:cs="Arial"/>
          <w:sz w:val="22"/>
          <w:szCs w:val="22"/>
        </w:rPr>
        <w:t>P</w:t>
      </w:r>
      <w:r w:rsidR="00FD08E2" w:rsidRPr="00307A16">
        <w:rPr>
          <w:rFonts w:ascii="Arial" w:hAnsi="Arial" w:cs="Arial"/>
          <w:sz w:val="22"/>
          <w:szCs w:val="22"/>
        </w:rPr>
        <w:t>ortfolio</w:t>
      </w:r>
      <w:r w:rsidR="00FD08E2">
        <w:rPr>
          <w:rFonts w:ascii="Arial" w:hAnsi="Arial" w:cs="Arial"/>
          <w:sz w:val="22"/>
          <w:szCs w:val="22"/>
        </w:rPr>
        <w:t>. Of the diverse, increasing P</w:t>
      </w:r>
      <w:r w:rsidR="00FD08E2" w:rsidRPr="00307A16">
        <w:rPr>
          <w:rFonts w:ascii="Arial" w:hAnsi="Arial" w:cs="Arial"/>
          <w:sz w:val="22"/>
          <w:szCs w:val="22"/>
        </w:rPr>
        <w:t>ortfolio of st</w:t>
      </w:r>
      <w:r w:rsidR="00FD08E2">
        <w:rPr>
          <w:rFonts w:ascii="Arial" w:hAnsi="Arial" w:cs="Arial"/>
          <w:sz w:val="22"/>
          <w:szCs w:val="22"/>
        </w:rPr>
        <w:t>udies supported by the Network, m</w:t>
      </w:r>
      <w:r w:rsidR="00FD08E2" w:rsidRPr="007E7ADE">
        <w:rPr>
          <w:rFonts w:ascii="Arial" w:hAnsi="Arial" w:cs="Arial"/>
          <w:sz w:val="22"/>
          <w:szCs w:val="22"/>
        </w:rPr>
        <w:t xml:space="preserve">any studies are interventional, with 33% being </w:t>
      </w:r>
      <w:r w:rsidR="00FD08E2">
        <w:rPr>
          <w:rFonts w:ascii="Arial" w:hAnsi="Arial" w:cs="Arial"/>
          <w:sz w:val="22"/>
          <w:szCs w:val="22"/>
        </w:rPr>
        <w:t>randomized-controlled studies.</w:t>
      </w:r>
      <w:r w:rsidR="00FD08E2" w:rsidRPr="00307A16">
        <w:rPr>
          <w:rFonts w:ascii="Arial" w:hAnsi="Arial" w:cs="Arial"/>
          <w:sz w:val="22"/>
          <w:szCs w:val="22"/>
        </w:rPr>
        <w:t xml:space="preserve"> </w:t>
      </w:r>
      <w:r w:rsidR="00C41405" w:rsidRPr="00307A16">
        <w:rPr>
          <w:rFonts w:ascii="Arial" w:hAnsi="Arial" w:cs="Arial"/>
          <w:sz w:val="22"/>
          <w:szCs w:val="22"/>
        </w:rPr>
        <w:t xml:space="preserve">Recruitment to studies supported by the Network through the Children’s </w:t>
      </w:r>
      <w:r w:rsidR="00C41405">
        <w:rPr>
          <w:rFonts w:ascii="Arial" w:hAnsi="Arial" w:cs="Arial"/>
          <w:sz w:val="22"/>
          <w:szCs w:val="22"/>
        </w:rPr>
        <w:t>P</w:t>
      </w:r>
      <w:r w:rsidR="00C41405" w:rsidRPr="00307A16">
        <w:rPr>
          <w:rFonts w:ascii="Arial" w:hAnsi="Arial" w:cs="Arial"/>
          <w:sz w:val="22"/>
          <w:szCs w:val="22"/>
        </w:rPr>
        <w:t xml:space="preserve">ortfolio has consistently improved. </w:t>
      </w:r>
      <w:r w:rsidR="00BA3D7D" w:rsidRPr="00307A16">
        <w:rPr>
          <w:rFonts w:ascii="Arial" w:hAnsi="Arial" w:cs="Arial"/>
          <w:sz w:val="22"/>
          <w:szCs w:val="22"/>
        </w:rPr>
        <w:t>O</w:t>
      </w:r>
      <w:r w:rsidR="0000576E" w:rsidRPr="00307A16">
        <w:rPr>
          <w:rFonts w:ascii="Arial" w:hAnsi="Arial" w:cs="Arial"/>
          <w:sz w:val="22"/>
          <w:szCs w:val="22"/>
        </w:rPr>
        <w:t xml:space="preserve">ver </w:t>
      </w:r>
      <w:r w:rsidR="007567BA" w:rsidRPr="00307A16">
        <w:rPr>
          <w:rFonts w:ascii="Arial" w:hAnsi="Arial" w:cs="Arial"/>
          <w:sz w:val="22"/>
          <w:szCs w:val="22"/>
        </w:rPr>
        <w:t>200,000</w:t>
      </w:r>
      <w:r w:rsidR="0000576E" w:rsidRPr="00307A16">
        <w:rPr>
          <w:rFonts w:ascii="Arial" w:hAnsi="Arial" w:cs="Arial"/>
          <w:sz w:val="22"/>
          <w:szCs w:val="22"/>
        </w:rPr>
        <w:t xml:space="preserve"> participants have be</w:t>
      </w:r>
      <w:r w:rsidR="000A4A2E">
        <w:rPr>
          <w:rFonts w:ascii="Arial" w:hAnsi="Arial" w:cs="Arial"/>
          <w:sz w:val="22"/>
          <w:szCs w:val="22"/>
        </w:rPr>
        <w:t>en recruited to the Children’s P</w:t>
      </w:r>
      <w:r w:rsidR="0000576E" w:rsidRPr="00307A16">
        <w:rPr>
          <w:rFonts w:ascii="Arial" w:hAnsi="Arial" w:cs="Arial"/>
          <w:sz w:val="22"/>
          <w:szCs w:val="22"/>
        </w:rPr>
        <w:t xml:space="preserve">ortfolio studies to date and there are currently </w:t>
      </w:r>
      <w:r w:rsidR="00861093" w:rsidRPr="00307A16">
        <w:rPr>
          <w:rFonts w:ascii="Arial" w:hAnsi="Arial" w:cs="Arial"/>
          <w:sz w:val="22"/>
          <w:szCs w:val="22"/>
        </w:rPr>
        <w:t>approximately</w:t>
      </w:r>
      <w:r w:rsidR="0000576E" w:rsidRPr="00307A16">
        <w:rPr>
          <w:rFonts w:ascii="Arial" w:hAnsi="Arial" w:cs="Arial"/>
          <w:sz w:val="22"/>
          <w:szCs w:val="22"/>
        </w:rPr>
        <w:t xml:space="preserve"> </w:t>
      </w:r>
      <w:r w:rsidR="009E105A" w:rsidRPr="00307A16">
        <w:rPr>
          <w:rFonts w:ascii="Arial" w:hAnsi="Arial" w:cs="Arial"/>
          <w:sz w:val="22"/>
          <w:szCs w:val="22"/>
        </w:rPr>
        <w:t>5</w:t>
      </w:r>
      <w:r w:rsidR="0000576E" w:rsidRPr="00307A16">
        <w:rPr>
          <w:rFonts w:ascii="Arial" w:hAnsi="Arial" w:cs="Arial"/>
          <w:sz w:val="22"/>
          <w:szCs w:val="22"/>
        </w:rPr>
        <w:t xml:space="preserve">00 studies open to recruitment. The </w:t>
      </w:r>
      <w:r w:rsidR="0000576E" w:rsidRPr="00B323C6">
        <w:rPr>
          <w:rFonts w:ascii="Arial" w:hAnsi="Arial" w:cs="Arial"/>
          <w:sz w:val="22"/>
          <w:szCs w:val="22"/>
        </w:rPr>
        <w:t xml:space="preserve">CRN: Children </w:t>
      </w:r>
      <w:r w:rsidR="0000576E" w:rsidRPr="00307A16">
        <w:rPr>
          <w:rFonts w:ascii="Arial" w:hAnsi="Arial" w:cs="Arial"/>
          <w:sz w:val="22"/>
          <w:szCs w:val="22"/>
        </w:rPr>
        <w:t xml:space="preserve">has </w:t>
      </w:r>
      <w:r w:rsidR="00302BB7" w:rsidRPr="00307A16">
        <w:rPr>
          <w:rFonts w:ascii="Arial" w:hAnsi="Arial" w:cs="Arial"/>
          <w:sz w:val="22"/>
          <w:szCs w:val="22"/>
        </w:rPr>
        <w:t xml:space="preserve">successfully </w:t>
      </w:r>
      <w:r w:rsidRPr="00307A16">
        <w:rPr>
          <w:rFonts w:ascii="Arial" w:hAnsi="Arial" w:cs="Arial"/>
          <w:sz w:val="22"/>
          <w:szCs w:val="22"/>
        </w:rPr>
        <w:t>involv</w:t>
      </w:r>
      <w:r w:rsidR="0032130A">
        <w:rPr>
          <w:rFonts w:ascii="Arial" w:hAnsi="Arial" w:cs="Arial"/>
          <w:sz w:val="22"/>
          <w:szCs w:val="22"/>
        </w:rPr>
        <w:t>ed</w:t>
      </w:r>
      <w:r w:rsidRPr="00307A16">
        <w:rPr>
          <w:rFonts w:ascii="Arial" w:hAnsi="Arial" w:cs="Arial"/>
          <w:sz w:val="22"/>
          <w:szCs w:val="22"/>
        </w:rPr>
        <w:t xml:space="preserve"> patients and the public in all aspects of study design and delivery</w:t>
      </w:r>
      <w:r w:rsidR="0032130A">
        <w:rPr>
          <w:rFonts w:ascii="Arial" w:hAnsi="Arial" w:cs="Arial"/>
          <w:sz w:val="22"/>
          <w:szCs w:val="22"/>
        </w:rPr>
        <w:t>, including through the work of Generation R</w:t>
      </w:r>
      <w:r w:rsidRPr="00307A16">
        <w:rPr>
          <w:rFonts w:ascii="Arial" w:hAnsi="Arial" w:cs="Arial"/>
          <w:sz w:val="22"/>
          <w:szCs w:val="22"/>
        </w:rPr>
        <w:t xml:space="preserve">. </w:t>
      </w:r>
    </w:p>
    <w:p w14:paraId="6D558C69" w14:textId="61E59C0A" w:rsidR="0029591B" w:rsidRPr="00307A16" w:rsidRDefault="006F4988" w:rsidP="007515F8">
      <w:pPr>
        <w:spacing w:line="480" w:lineRule="auto"/>
        <w:jc w:val="both"/>
        <w:rPr>
          <w:rFonts w:ascii="Arial" w:hAnsi="Arial" w:cs="Arial"/>
          <w:sz w:val="22"/>
          <w:szCs w:val="22"/>
        </w:rPr>
      </w:pPr>
      <w:r w:rsidRPr="00307A16">
        <w:rPr>
          <w:rFonts w:ascii="Arial" w:hAnsi="Arial" w:cs="Arial"/>
          <w:sz w:val="22"/>
          <w:szCs w:val="22"/>
        </w:rPr>
        <w:t xml:space="preserve">Challenges remain in conducting paediatric </w:t>
      </w:r>
      <w:r w:rsidR="00302BB7" w:rsidRPr="00307A16">
        <w:rPr>
          <w:rFonts w:ascii="Arial" w:hAnsi="Arial" w:cs="Arial"/>
          <w:sz w:val="22"/>
          <w:szCs w:val="22"/>
        </w:rPr>
        <w:t>research</w:t>
      </w:r>
      <w:r w:rsidR="005F18F2" w:rsidRPr="00307A16">
        <w:rPr>
          <w:rFonts w:ascii="Arial" w:hAnsi="Arial" w:cs="Arial"/>
          <w:sz w:val="22"/>
          <w:szCs w:val="22"/>
        </w:rPr>
        <w:t xml:space="preserve"> and the N</w:t>
      </w:r>
      <w:r w:rsidR="00302BB7" w:rsidRPr="00307A16">
        <w:rPr>
          <w:rFonts w:ascii="Arial" w:hAnsi="Arial" w:cs="Arial"/>
          <w:sz w:val="22"/>
          <w:szCs w:val="22"/>
        </w:rPr>
        <w:t xml:space="preserve">etwork </w:t>
      </w:r>
      <w:r w:rsidR="004D7E27" w:rsidRPr="00307A16">
        <w:rPr>
          <w:rFonts w:ascii="Arial" w:hAnsi="Arial" w:cs="Arial"/>
          <w:sz w:val="22"/>
          <w:szCs w:val="22"/>
        </w:rPr>
        <w:t>is</w:t>
      </w:r>
      <w:r w:rsidR="00302BB7" w:rsidRPr="00307A16">
        <w:rPr>
          <w:rFonts w:ascii="Arial" w:hAnsi="Arial" w:cs="Arial"/>
          <w:sz w:val="22"/>
          <w:szCs w:val="22"/>
        </w:rPr>
        <w:t xml:space="preserve"> committed to </w:t>
      </w:r>
      <w:r w:rsidRPr="00307A16">
        <w:rPr>
          <w:rFonts w:ascii="Arial" w:hAnsi="Arial" w:cs="Arial"/>
          <w:sz w:val="22"/>
          <w:szCs w:val="22"/>
        </w:rPr>
        <w:t xml:space="preserve">supporting </w:t>
      </w:r>
      <w:r w:rsidR="00861093" w:rsidRPr="00307A16">
        <w:rPr>
          <w:rFonts w:ascii="Arial" w:hAnsi="Arial" w:cs="Arial"/>
          <w:sz w:val="22"/>
          <w:szCs w:val="22"/>
        </w:rPr>
        <w:t>Children’s</w:t>
      </w:r>
      <w:r w:rsidRPr="00307A16">
        <w:rPr>
          <w:rFonts w:ascii="Arial" w:hAnsi="Arial" w:cs="Arial"/>
          <w:sz w:val="22"/>
          <w:szCs w:val="22"/>
        </w:rPr>
        <w:t xml:space="preserve"> research and further building on its achievements to date. Education and engagemen</w:t>
      </w:r>
      <w:r w:rsidR="005F18F2" w:rsidRPr="00307A16">
        <w:rPr>
          <w:rFonts w:ascii="Arial" w:hAnsi="Arial" w:cs="Arial"/>
          <w:sz w:val="22"/>
          <w:szCs w:val="22"/>
        </w:rPr>
        <w:t>t of paediatricians within the N</w:t>
      </w:r>
      <w:r w:rsidRPr="00307A16">
        <w:rPr>
          <w:rFonts w:ascii="Arial" w:hAnsi="Arial" w:cs="Arial"/>
          <w:sz w:val="22"/>
          <w:szCs w:val="22"/>
        </w:rPr>
        <w:t>etwork and research is important to further improving quality and delivery of paediatric research.</w:t>
      </w:r>
    </w:p>
    <w:p w14:paraId="164E577A" w14:textId="52AABA57" w:rsidR="00BA3D7D" w:rsidRPr="00307A16" w:rsidRDefault="00BA3D7D" w:rsidP="007515F8">
      <w:pPr>
        <w:spacing w:line="480" w:lineRule="auto"/>
        <w:rPr>
          <w:rFonts w:ascii="Arial" w:hAnsi="Arial" w:cs="Arial"/>
          <w:sz w:val="22"/>
          <w:szCs w:val="22"/>
        </w:rPr>
      </w:pPr>
      <w:r w:rsidRPr="00307A16">
        <w:rPr>
          <w:rFonts w:ascii="Arial" w:hAnsi="Arial" w:cs="Arial"/>
          <w:sz w:val="22"/>
          <w:szCs w:val="22"/>
        </w:rPr>
        <w:br w:type="page"/>
      </w:r>
    </w:p>
    <w:p w14:paraId="53714A80" w14:textId="695DC32F" w:rsidR="00C772C9" w:rsidRPr="00307A16" w:rsidRDefault="0055684D" w:rsidP="007515F8">
      <w:pPr>
        <w:spacing w:line="480" w:lineRule="auto"/>
        <w:rPr>
          <w:rFonts w:ascii="Arial" w:hAnsi="Arial" w:cs="Arial"/>
          <w:b/>
          <w:sz w:val="22"/>
          <w:szCs w:val="22"/>
        </w:rPr>
      </w:pPr>
      <w:r w:rsidRPr="00307A16">
        <w:rPr>
          <w:rFonts w:ascii="Arial" w:hAnsi="Arial" w:cs="Arial"/>
          <w:b/>
          <w:sz w:val="22"/>
          <w:szCs w:val="22"/>
        </w:rPr>
        <w:lastRenderedPageBreak/>
        <w:t>AIMS OF REVIEW</w:t>
      </w:r>
    </w:p>
    <w:p w14:paraId="1841F216" w14:textId="19A522E7" w:rsidR="0010781E" w:rsidRPr="00307A16" w:rsidRDefault="00DB2A05" w:rsidP="007515F8">
      <w:pPr>
        <w:spacing w:line="480" w:lineRule="auto"/>
        <w:jc w:val="both"/>
        <w:rPr>
          <w:rFonts w:ascii="Arial" w:hAnsi="Arial" w:cs="Arial"/>
          <w:sz w:val="22"/>
          <w:szCs w:val="22"/>
        </w:rPr>
      </w:pPr>
      <w:r w:rsidRPr="00307A16">
        <w:rPr>
          <w:rFonts w:ascii="Arial" w:hAnsi="Arial" w:cs="Arial"/>
          <w:sz w:val="22"/>
          <w:szCs w:val="22"/>
        </w:rPr>
        <w:t xml:space="preserve">This article </w:t>
      </w:r>
      <w:r w:rsidR="00C55CBA" w:rsidRPr="00307A16">
        <w:rPr>
          <w:rFonts w:ascii="Arial" w:hAnsi="Arial" w:cs="Arial"/>
          <w:sz w:val="22"/>
          <w:szCs w:val="22"/>
        </w:rPr>
        <w:t>offers</w:t>
      </w:r>
      <w:r w:rsidRPr="00307A16">
        <w:rPr>
          <w:rFonts w:ascii="Arial" w:hAnsi="Arial" w:cs="Arial"/>
          <w:sz w:val="22"/>
          <w:szCs w:val="22"/>
        </w:rPr>
        <w:t xml:space="preserve"> paediatricians an </w:t>
      </w:r>
      <w:r w:rsidR="00400185" w:rsidRPr="00307A16">
        <w:rPr>
          <w:rFonts w:ascii="Arial" w:hAnsi="Arial" w:cs="Arial"/>
          <w:sz w:val="22"/>
          <w:szCs w:val="22"/>
        </w:rPr>
        <w:t xml:space="preserve">update on the new structure of the </w:t>
      </w:r>
      <w:r w:rsidR="002901EA" w:rsidRPr="00307A16">
        <w:rPr>
          <w:rFonts w:ascii="Arial" w:hAnsi="Arial" w:cs="Arial"/>
          <w:sz w:val="22"/>
          <w:szCs w:val="22"/>
        </w:rPr>
        <w:t xml:space="preserve">National Institute for Health Research’s (NIHR) Clinical Research Network (CRN): </w:t>
      </w:r>
      <w:r w:rsidR="004D7E27" w:rsidRPr="00307A16">
        <w:rPr>
          <w:rFonts w:ascii="Arial" w:hAnsi="Arial" w:cs="Arial"/>
          <w:sz w:val="22"/>
          <w:szCs w:val="22"/>
        </w:rPr>
        <w:t xml:space="preserve">Children </w:t>
      </w:r>
      <w:r w:rsidR="002105B5" w:rsidRPr="00307A16">
        <w:rPr>
          <w:rFonts w:ascii="Arial" w:hAnsi="Arial" w:cs="Arial"/>
          <w:sz w:val="22"/>
          <w:szCs w:val="22"/>
        </w:rPr>
        <w:t>and</w:t>
      </w:r>
      <w:r w:rsidR="00400185" w:rsidRPr="00307A16">
        <w:rPr>
          <w:rFonts w:ascii="Arial" w:hAnsi="Arial" w:cs="Arial"/>
          <w:sz w:val="22"/>
          <w:szCs w:val="22"/>
        </w:rPr>
        <w:t xml:space="preserve"> </w:t>
      </w:r>
      <w:r w:rsidR="00D14D37" w:rsidRPr="00307A16">
        <w:rPr>
          <w:rFonts w:ascii="Arial" w:hAnsi="Arial" w:cs="Arial"/>
          <w:sz w:val="22"/>
          <w:szCs w:val="22"/>
        </w:rPr>
        <w:t xml:space="preserve">its role </w:t>
      </w:r>
      <w:r w:rsidR="00400185" w:rsidRPr="00307A16">
        <w:rPr>
          <w:rFonts w:ascii="Arial" w:hAnsi="Arial" w:cs="Arial"/>
          <w:sz w:val="22"/>
          <w:szCs w:val="22"/>
        </w:rPr>
        <w:t xml:space="preserve">within the </w:t>
      </w:r>
      <w:r w:rsidR="00736551" w:rsidRPr="00307A16">
        <w:rPr>
          <w:rFonts w:ascii="Arial" w:hAnsi="Arial" w:cs="Arial"/>
          <w:sz w:val="22"/>
          <w:szCs w:val="22"/>
        </w:rPr>
        <w:t xml:space="preserve">wider </w:t>
      </w:r>
      <w:r w:rsidR="009E4351" w:rsidRPr="00307A16">
        <w:rPr>
          <w:rFonts w:ascii="Arial" w:hAnsi="Arial" w:cs="Arial"/>
          <w:sz w:val="22"/>
          <w:szCs w:val="22"/>
        </w:rPr>
        <w:t>NIHR.</w:t>
      </w:r>
      <w:r w:rsidR="00400185" w:rsidRPr="00307A16">
        <w:rPr>
          <w:rFonts w:ascii="Arial" w:hAnsi="Arial" w:cs="Arial"/>
          <w:sz w:val="22"/>
          <w:szCs w:val="22"/>
        </w:rPr>
        <w:t xml:space="preserve"> </w:t>
      </w:r>
      <w:r w:rsidR="00D14D37" w:rsidRPr="00307A16">
        <w:rPr>
          <w:rFonts w:ascii="Arial" w:hAnsi="Arial" w:cs="Arial"/>
          <w:sz w:val="22"/>
          <w:szCs w:val="22"/>
        </w:rPr>
        <w:t>We</w:t>
      </w:r>
      <w:r w:rsidR="000616DE" w:rsidRPr="00307A16">
        <w:rPr>
          <w:rFonts w:ascii="Arial" w:hAnsi="Arial" w:cs="Arial"/>
          <w:sz w:val="22"/>
          <w:szCs w:val="22"/>
        </w:rPr>
        <w:t xml:space="preserve"> </w:t>
      </w:r>
      <w:r w:rsidR="00D14D37" w:rsidRPr="00307A16">
        <w:rPr>
          <w:rFonts w:ascii="Arial" w:hAnsi="Arial" w:cs="Arial"/>
          <w:sz w:val="22"/>
          <w:szCs w:val="22"/>
        </w:rPr>
        <w:t>consider</w:t>
      </w:r>
      <w:r w:rsidR="00400185" w:rsidRPr="00307A16">
        <w:rPr>
          <w:rFonts w:ascii="Arial" w:hAnsi="Arial" w:cs="Arial"/>
          <w:sz w:val="22"/>
          <w:szCs w:val="22"/>
        </w:rPr>
        <w:t xml:space="preserve"> </w:t>
      </w:r>
      <w:r w:rsidR="00CF72B5" w:rsidRPr="00307A16">
        <w:rPr>
          <w:rFonts w:ascii="Arial" w:hAnsi="Arial" w:cs="Arial"/>
          <w:sz w:val="22"/>
          <w:szCs w:val="22"/>
        </w:rPr>
        <w:t xml:space="preserve">specifically </w:t>
      </w:r>
      <w:r w:rsidR="00400185" w:rsidRPr="00307A16">
        <w:rPr>
          <w:rFonts w:ascii="Arial" w:hAnsi="Arial" w:cs="Arial"/>
          <w:sz w:val="22"/>
          <w:szCs w:val="22"/>
        </w:rPr>
        <w:t xml:space="preserve">how the </w:t>
      </w:r>
      <w:r w:rsidR="00736551" w:rsidRPr="00307A16">
        <w:rPr>
          <w:rFonts w:ascii="Arial" w:hAnsi="Arial" w:cs="Arial"/>
          <w:sz w:val="22"/>
          <w:szCs w:val="22"/>
        </w:rPr>
        <w:t xml:space="preserve">NIHR </w:t>
      </w:r>
      <w:r w:rsidR="00400185" w:rsidRPr="00307A16">
        <w:rPr>
          <w:rFonts w:ascii="Arial" w:hAnsi="Arial" w:cs="Arial"/>
          <w:sz w:val="22"/>
          <w:szCs w:val="22"/>
        </w:rPr>
        <w:t>CRN</w:t>
      </w:r>
      <w:r w:rsidR="000616DE" w:rsidRPr="00307A16">
        <w:rPr>
          <w:rFonts w:ascii="Arial" w:hAnsi="Arial" w:cs="Arial"/>
          <w:sz w:val="22"/>
          <w:szCs w:val="22"/>
        </w:rPr>
        <w:t xml:space="preserve"> has improved delivery of high quality </w:t>
      </w:r>
      <w:r w:rsidR="008F2CC4">
        <w:rPr>
          <w:rFonts w:ascii="Arial" w:hAnsi="Arial" w:cs="Arial"/>
          <w:sz w:val="22"/>
          <w:szCs w:val="22"/>
        </w:rPr>
        <w:t>child health</w:t>
      </w:r>
      <w:r w:rsidR="008F2CC4" w:rsidRPr="00307A16">
        <w:rPr>
          <w:rFonts w:ascii="Arial" w:hAnsi="Arial" w:cs="Arial"/>
          <w:sz w:val="22"/>
          <w:szCs w:val="22"/>
        </w:rPr>
        <w:t xml:space="preserve"> </w:t>
      </w:r>
      <w:r w:rsidR="000616DE" w:rsidRPr="00307A16">
        <w:rPr>
          <w:rFonts w:ascii="Arial" w:hAnsi="Arial" w:cs="Arial"/>
          <w:sz w:val="22"/>
          <w:szCs w:val="22"/>
        </w:rPr>
        <w:t xml:space="preserve">research </w:t>
      </w:r>
      <w:r w:rsidR="00CF72B5" w:rsidRPr="00307A16">
        <w:rPr>
          <w:rFonts w:ascii="Arial" w:hAnsi="Arial" w:cs="Arial"/>
          <w:sz w:val="22"/>
          <w:szCs w:val="22"/>
        </w:rPr>
        <w:t xml:space="preserve">across </w:t>
      </w:r>
      <w:r w:rsidR="000616DE" w:rsidRPr="00307A16">
        <w:rPr>
          <w:rFonts w:ascii="Arial" w:hAnsi="Arial" w:cs="Arial"/>
          <w:sz w:val="22"/>
          <w:szCs w:val="22"/>
        </w:rPr>
        <w:t xml:space="preserve">the NHS </w:t>
      </w:r>
      <w:r w:rsidR="00140DDF" w:rsidRPr="00307A16">
        <w:rPr>
          <w:rFonts w:ascii="Arial" w:hAnsi="Arial" w:cs="Arial"/>
          <w:sz w:val="22"/>
          <w:szCs w:val="22"/>
        </w:rPr>
        <w:t xml:space="preserve">in England </w:t>
      </w:r>
      <w:r w:rsidR="000616DE" w:rsidRPr="00307A16">
        <w:rPr>
          <w:rFonts w:ascii="Arial" w:hAnsi="Arial" w:cs="Arial"/>
          <w:sz w:val="22"/>
          <w:szCs w:val="22"/>
        </w:rPr>
        <w:t xml:space="preserve">and </w:t>
      </w:r>
      <w:r w:rsidR="00CF72B5" w:rsidRPr="00307A16">
        <w:rPr>
          <w:rFonts w:ascii="Arial" w:hAnsi="Arial" w:cs="Arial"/>
          <w:sz w:val="22"/>
          <w:szCs w:val="22"/>
        </w:rPr>
        <w:t xml:space="preserve">collaboratively </w:t>
      </w:r>
      <w:r w:rsidR="000616DE" w:rsidRPr="00307A16">
        <w:rPr>
          <w:rFonts w:ascii="Arial" w:hAnsi="Arial" w:cs="Arial"/>
          <w:sz w:val="22"/>
          <w:szCs w:val="22"/>
        </w:rPr>
        <w:t>as part of international studies.</w:t>
      </w:r>
    </w:p>
    <w:p w14:paraId="73A3D748" w14:textId="77777777" w:rsidR="003008AB" w:rsidRPr="00307A16" w:rsidRDefault="003008AB" w:rsidP="007515F8">
      <w:pPr>
        <w:spacing w:line="480" w:lineRule="auto"/>
        <w:jc w:val="both"/>
        <w:rPr>
          <w:rFonts w:ascii="Arial" w:hAnsi="Arial" w:cs="Arial"/>
          <w:sz w:val="22"/>
          <w:szCs w:val="22"/>
        </w:rPr>
      </w:pPr>
    </w:p>
    <w:p w14:paraId="19DA6B07" w14:textId="46F96561" w:rsidR="00C772C9" w:rsidRPr="00307A16" w:rsidRDefault="0055684D" w:rsidP="007515F8">
      <w:pPr>
        <w:spacing w:line="480" w:lineRule="auto"/>
        <w:rPr>
          <w:rFonts w:ascii="Arial" w:hAnsi="Arial" w:cs="Arial"/>
          <w:b/>
          <w:sz w:val="22"/>
          <w:szCs w:val="22"/>
        </w:rPr>
      </w:pPr>
      <w:r w:rsidRPr="00307A16">
        <w:rPr>
          <w:rFonts w:ascii="Arial" w:hAnsi="Arial" w:cs="Arial"/>
          <w:b/>
          <w:sz w:val="22"/>
          <w:szCs w:val="22"/>
        </w:rPr>
        <w:t xml:space="preserve">THE NATIONAL INSTITUTE </w:t>
      </w:r>
      <w:r w:rsidR="00075196" w:rsidRPr="00307A16">
        <w:rPr>
          <w:rFonts w:ascii="Arial" w:hAnsi="Arial" w:cs="Arial"/>
          <w:b/>
          <w:sz w:val="22"/>
          <w:szCs w:val="22"/>
        </w:rPr>
        <w:t xml:space="preserve">OF HEALTH RESEARCH </w:t>
      </w:r>
    </w:p>
    <w:p w14:paraId="5BE1164C" w14:textId="1F88D183" w:rsidR="00891AF5" w:rsidRPr="00307A16" w:rsidRDefault="00861093" w:rsidP="007515F8">
      <w:pPr>
        <w:spacing w:line="480" w:lineRule="auto"/>
        <w:jc w:val="both"/>
        <w:rPr>
          <w:rFonts w:ascii="Arial" w:hAnsi="Arial" w:cs="Arial"/>
          <w:sz w:val="22"/>
          <w:szCs w:val="22"/>
        </w:rPr>
      </w:pPr>
      <w:r w:rsidRPr="00307A16">
        <w:rPr>
          <w:rFonts w:ascii="Arial" w:hAnsi="Arial" w:cs="Arial"/>
          <w:sz w:val="22"/>
          <w:szCs w:val="22"/>
        </w:rPr>
        <w:t xml:space="preserve">The </w:t>
      </w:r>
      <w:r w:rsidR="00B92A69" w:rsidRPr="00307A16">
        <w:rPr>
          <w:rFonts w:ascii="Arial" w:hAnsi="Arial" w:cs="Arial"/>
          <w:sz w:val="22"/>
          <w:szCs w:val="22"/>
        </w:rPr>
        <w:t>CRN</w:t>
      </w:r>
      <w:r w:rsidRPr="00307A16">
        <w:rPr>
          <w:rFonts w:ascii="Arial" w:hAnsi="Arial" w:cs="Arial"/>
          <w:sz w:val="22"/>
          <w:szCs w:val="22"/>
        </w:rPr>
        <w:t xml:space="preserve"> is</w:t>
      </w:r>
      <w:r w:rsidR="00FE277D" w:rsidRPr="00307A16">
        <w:rPr>
          <w:rFonts w:ascii="Arial" w:hAnsi="Arial" w:cs="Arial"/>
          <w:sz w:val="22"/>
          <w:szCs w:val="22"/>
        </w:rPr>
        <w:t xml:space="preserve"> an important part of the NIHR. </w:t>
      </w:r>
      <w:r w:rsidR="00675695" w:rsidRPr="00307A16">
        <w:rPr>
          <w:rFonts w:ascii="Arial" w:hAnsi="Arial" w:cs="Arial"/>
          <w:sz w:val="22"/>
          <w:szCs w:val="22"/>
        </w:rPr>
        <w:t xml:space="preserve">The </w:t>
      </w:r>
      <w:r w:rsidR="008B2F71" w:rsidRPr="00307A16">
        <w:rPr>
          <w:rFonts w:ascii="Arial" w:hAnsi="Arial" w:cs="Arial"/>
          <w:sz w:val="22"/>
          <w:szCs w:val="22"/>
        </w:rPr>
        <w:t xml:space="preserve">NIHR </w:t>
      </w:r>
      <w:r w:rsidR="009E4351" w:rsidRPr="00307A16">
        <w:rPr>
          <w:rFonts w:ascii="Arial" w:hAnsi="Arial" w:cs="Arial"/>
          <w:sz w:val="22"/>
          <w:szCs w:val="22"/>
        </w:rPr>
        <w:t>–</w:t>
      </w:r>
      <w:r w:rsidR="00675695" w:rsidRPr="00307A16">
        <w:rPr>
          <w:rFonts w:ascii="Arial" w:hAnsi="Arial" w:cs="Arial"/>
          <w:sz w:val="22"/>
          <w:szCs w:val="22"/>
        </w:rPr>
        <w:t xml:space="preserve"> </w:t>
      </w:r>
      <w:r w:rsidR="009E4351" w:rsidRPr="00307A16">
        <w:rPr>
          <w:rFonts w:ascii="Arial" w:hAnsi="Arial" w:cs="Arial"/>
          <w:sz w:val="22"/>
          <w:szCs w:val="22"/>
        </w:rPr>
        <w:t>‘</w:t>
      </w:r>
      <w:r w:rsidR="00675695" w:rsidRPr="00307A16">
        <w:rPr>
          <w:rFonts w:ascii="Arial" w:hAnsi="Arial" w:cs="Arial"/>
          <w:sz w:val="22"/>
          <w:szCs w:val="22"/>
        </w:rPr>
        <w:t>the research arm of the NHS’</w:t>
      </w:r>
      <w:r w:rsidR="008F2CC4">
        <w:rPr>
          <w:rFonts w:ascii="Arial" w:hAnsi="Arial" w:cs="Arial"/>
          <w:sz w:val="22"/>
          <w:szCs w:val="22"/>
        </w:rPr>
        <w:t xml:space="preserve"> </w:t>
      </w:r>
      <w:r w:rsidR="00440119" w:rsidRPr="00307A16">
        <w:rPr>
          <w:rFonts w:ascii="Arial" w:hAnsi="Arial" w:cs="Arial"/>
          <w:sz w:val="22"/>
          <w:szCs w:val="22"/>
        </w:rPr>
        <w:t>-</w:t>
      </w:r>
      <w:r w:rsidR="00675695" w:rsidRPr="00307A16">
        <w:rPr>
          <w:rFonts w:ascii="Arial" w:hAnsi="Arial" w:cs="Arial"/>
          <w:sz w:val="22"/>
          <w:szCs w:val="22"/>
        </w:rPr>
        <w:t xml:space="preserve"> is funded </w:t>
      </w:r>
      <w:r w:rsidRPr="00307A16">
        <w:rPr>
          <w:rFonts w:ascii="Arial" w:hAnsi="Arial" w:cs="Arial"/>
          <w:sz w:val="22"/>
          <w:szCs w:val="22"/>
        </w:rPr>
        <w:t>by</w:t>
      </w:r>
      <w:r w:rsidR="00675695" w:rsidRPr="00307A16">
        <w:rPr>
          <w:rFonts w:ascii="Arial" w:hAnsi="Arial" w:cs="Arial"/>
          <w:sz w:val="22"/>
          <w:szCs w:val="22"/>
        </w:rPr>
        <w:t xml:space="preserve"> the </w:t>
      </w:r>
      <w:r w:rsidR="002F3BEC" w:rsidRPr="00307A16">
        <w:rPr>
          <w:rFonts w:ascii="Arial" w:hAnsi="Arial" w:cs="Arial"/>
          <w:sz w:val="22"/>
          <w:szCs w:val="22"/>
        </w:rPr>
        <w:t>Department of Health (</w:t>
      </w:r>
      <w:r w:rsidR="008B2F71" w:rsidRPr="00307A16">
        <w:rPr>
          <w:rFonts w:ascii="Arial" w:hAnsi="Arial" w:cs="Arial"/>
          <w:sz w:val="22"/>
          <w:szCs w:val="22"/>
        </w:rPr>
        <w:t>DoH</w:t>
      </w:r>
      <w:r w:rsidR="002F3BEC" w:rsidRPr="00307A16">
        <w:rPr>
          <w:rFonts w:ascii="Arial" w:hAnsi="Arial" w:cs="Arial"/>
          <w:sz w:val="22"/>
          <w:szCs w:val="22"/>
        </w:rPr>
        <w:t>) for England</w:t>
      </w:r>
      <w:r w:rsidR="00675695" w:rsidRPr="00307A16">
        <w:rPr>
          <w:rFonts w:ascii="Arial" w:hAnsi="Arial" w:cs="Arial"/>
          <w:sz w:val="22"/>
          <w:szCs w:val="22"/>
        </w:rPr>
        <w:t xml:space="preserve"> to improve the health of the nation through </w:t>
      </w:r>
      <w:r w:rsidR="00CF72B5" w:rsidRPr="00307A16">
        <w:rPr>
          <w:rFonts w:ascii="Arial" w:hAnsi="Arial" w:cs="Arial"/>
          <w:sz w:val="22"/>
          <w:szCs w:val="22"/>
        </w:rPr>
        <w:t xml:space="preserve">clinical </w:t>
      </w:r>
      <w:r w:rsidR="00675695" w:rsidRPr="00307A16">
        <w:rPr>
          <w:rFonts w:ascii="Arial" w:hAnsi="Arial" w:cs="Arial"/>
          <w:sz w:val="22"/>
          <w:szCs w:val="22"/>
        </w:rPr>
        <w:t xml:space="preserve">research. It was established in 2006 </w:t>
      </w:r>
      <w:r w:rsidR="002F3BEC" w:rsidRPr="00307A16">
        <w:rPr>
          <w:rFonts w:ascii="Arial" w:hAnsi="Arial" w:cs="Arial"/>
          <w:sz w:val="22"/>
          <w:szCs w:val="22"/>
        </w:rPr>
        <w:t>to</w:t>
      </w:r>
      <w:r w:rsidR="00675695" w:rsidRPr="00307A16">
        <w:rPr>
          <w:rFonts w:ascii="Arial" w:hAnsi="Arial" w:cs="Arial"/>
          <w:sz w:val="22"/>
          <w:szCs w:val="22"/>
        </w:rPr>
        <w:t xml:space="preserve"> </w:t>
      </w:r>
      <w:r w:rsidR="002F3BEC" w:rsidRPr="00307A16">
        <w:rPr>
          <w:rFonts w:ascii="Arial" w:hAnsi="Arial" w:cs="Arial"/>
          <w:sz w:val="22"/>
          <w:szCs w:val="22"/>
        </w:rPr>
        <w:t>help facilitate</w:t>
      </w:r>
      <w:r w:rsidR="00675695" w:rsidRPr="00307A16">
        <w:rPr>
          <w:rFonts w:ascii="Arial" w:hAnsi="Arial" w:cs="Arial"/>
          <w:sz w:val="22"/>
          <w:szCs w:val="22"/>
        </w:rPr>
        <w:t xml:space="preserve"> research to reach its full potential in the health system.</w:t>
      </w:r>
      <w:r w:rsidR="00693E8F">
        <w:rPr>
          <w:rFonts w:ascii="Arial" w:hAnsi="Arial" w:cs="Arial"/>
          <w:sz w:val="22"/>
          <w:szCs w:val="22"/>
        </w:rPr>
        <w:t>[1]</w:t>
      </w:r>
    </w:p>
    <w:p w14:paraId="04F3142A" w14:textId="7D25FBA3" w:rsidR="0046288F" w:rsidRPr="00307A16" w:rsidRDefault="00675695" w:rsidP="007515F8">
      <w:pPr>
        <w:spacing w:line="480" w:lineRule="auto"/>
        <w:jc w:val="both"/>
        <w:rPr>
          <w:rFonts w:ascii="Arial" w:hAnsi="Arial" w:cs="Arial"/>
          <w:sz w:val="22"/>
          <w:szCs w:val="22"/>
        </w:rPr>
      </w:pPr>
      <w:r w:rsidRPr="00307A16">
        <w:rPr>
          <w:rFonts w:ascii="Arial" w:hAnsi="Arial" w:cs="Arial"/>
          <w:sz w:val="22"/>
          <w:szCs w:val="22"/>
        </w:rPr>
        <w:t>There are four main work strands in the NIHR</w:t>
      </w:r>
      <w:r w:rsidR="005F18F2" w:rsidRPr="00307A16">
        <w:rPr>
          <w:rFonts w:ascii="Arial" w:hAnsi="Arial" w:cs="Arial"/>
          <w:sz w:val="22"/>
          <w:szCs w:val="22"/>
        </w:rPr>
        <w:t xml:space="preserve"> </w:t>
      </w:r>
      <w:r w:rsidR="00436E43">
        <w:rPr>
          <w:rFonts w:ascii="Arial" w:hAnsi="Arial" w:cs="Arial"/>
          <w:sz w:val="22"/>
          <w:szCs w:val="22"/>
        </w:rPr>
        <w:t>with</w:t>
      </w:r>
      <w:r w:rsidR="00513D57" w:rsidRPr="00307A16">
        <w:rPr>
          <w:rFonts w:ascii="Arial" w:hAnsi="Arial" w:cs="Arial"/>
          <w:sz w:val="22"/>
          <w:szCs w:val="22"/>
        </w:rPr>
        <w:t xml:space="preserve"> patient</w:t>
      </w:r>
      <w:r w:rsidR="00861093" w:rsidRPr="00307A16">
        <w:rPr>
          <w:rFonts w:ascii="Arial" w:hAnsi="Arial" w:cs="Arial"/>
          <w:sz w:val="22"/>
          <w:szCs w:val="22"/>
        </w:rPr>
        <w:t>s</w:t>
      </w:r>
      <w:r w:rsidR="00513D57" w:rsidRPr="00307A16">
        <w:rPr>
          <w:rFonts w:ascii="Arial" w:hAnsi="Arial" w:cs="Arial"/>
          <w:sz w:val="22"/>
          <w:szCs w:val="22"/>
        </w:rPr>
        <w:t xml:space="preserve"> and public</w:t>
      </w:r>
      <w:r w:rsidR="00E64CB1" w:rsidRPr="00307A16">
        <w:rPr>
          <w:rFonts w:ascii="Arial" w:hAnsi="Arial" w:cs="Arial"/>
          <w:sz w:val="22"/>
          <w:szCs w:val="22"/>
        </w:rPr>
        <w:t xml:space="preserve"> at its heart</w:t>
      </w:r>
      <w:r w:rsidR="00513D57" w:rsidRPr="00307A16">
        <w:rPr>
          <w:rFonts w:ascii="Arial" w:hAnsi="Arial" w:cs="Arial"/>
          <w:sz w:val="22"/>
          <w:szCs w:val="22"/>
        </w:rPr>
        <w:t>, which is particularly important for considering the needs of children and young people.</w:t>
      </w:r>
      <w:r w:rsidR="00E64CB1" w:rsidRPr="00307A16">
        <w:rPr>
          <w:rFonts w:ascii="Arial" w:hAnsi="Arial" w:cs="Arial"/>
          <w:sz w:val="22"/>
          <w:szCs w:val="22"/>
        </w:rPr>
        <w:t xml:space="preserve"> </w:t>
      </w:r>
      <w:r w:rsidR="00861093" w:rsidRPr="00307A16">
        <w:rPr>
          <w:rFonts w:ascii="Arial" w:hAnsi="Arial" w:cs="Arial"/>
          <w:sz w:val="22"/>
          <w:szCs w:val="22"/>
        </w:rPr>
        <w:t>Research</w:t>
      </w:r>
      <w:r w:rsidR="00E64CB1" w:rsidRPr="00307A16">
        <w:rPr>
          <w:rFonts w:ascii="Arial" w:hAnsi="Arial" w:cs="Arial"/>
          <w:sz w:val="22"/>
          <w:szCs w:val="22"/>
        </w:rPr>
        <w:t xml:space="preserve"> infrastructure </w:t>
      </w:r>
      <w:r w:rsidR="00861093" w:rsidRPr="00307A16">
        <w:rPr>
          <w:rFonts w:ascii="Arial" w:hAnsi="Arial" w:cs="Arial"/>
          <w:sz w:val="22"/>
          <w:szCs w:val="22"/>
        </w:rPr>
        <w:t>is</w:t>
      </w:r>
      <w:r w:rsidR="00E64CB1" w:rsidRPr="00307A16">
        <w:rPr>
          <w:rFonts w:ascii="Arial" w:hAnsi="Arial" w:cs="Arial"/>
          <w:sz w:val="22"/>
          <w:szCs w:val="22"/>
        </w:rPr>
        <w:t xml:space="preserve"> one of the work strands and includes a range of facilities such as </w:t>
      </w:r>
      <w:r w:rsidR="008F2CC4">
        <w:rPr>
          <w:rFonts w:ascii="Arial" w:hAnsi="Arial" w:cs="Arial"/>
          <w:sz w:val="22"/>
          <w:szCs w:val="22"/>
        </w:rPr>
        <w:t>C</w:t>
      </w:r>
      <w:r w:rsidR="00E64CB1" w:rsidRPr="00307A16">
        <w:rPr>
          <w:rFonts w:ascii="Arial" w:hAnsi="Arial" w:cs="Arial"/>
          <w:sz w:val="22"/>
          <w:szCs w:val="22"/>
        </w:rPr>
        <w:t xml:space="preserve">linical </w:t>
      </w:r>
      <w:r w:rsidR="008F2CC4">
        <w:rPr>
          <w:rFonts w:ascii="Arial" w:hAnsi="Arial" w:cs="Arial"/>
          <w:sz w:val="22"/>
          <w:szCs w:val="22"/>
        </w:rPr>
        <w:t>R</w:t>
      </w:r>
      <w:r w:rsidR="00E64CB1" w:rsidRPr="00307A16">
        <w:rPr>
          <w:rFonts w:ascii="Arial" w:hAnsi="Arial" w:cs="Arial"/>
          <w:sz w:val="22"/>
          <w:szCs w:val="22"/>
        </w:rPr>
        <w:t xml:space="preserve">esearch </w:t>
      </w:r>
      <w:r w:rsidR="008F2CC4">
        <w:rPr>
          <w:rFonts w:ascii="Arial" w:hAnsi="Arial" w:cs="Arial"/>
          <w:sz w:val="22"/>
          <w:szCs w:val="22"/>
        </w:rPr>
        <w:t>F</w:t>
      </w:r>
      <w:r w:rsidR="00E64CB1" w:rsidRPr="00307A16">
        <w:rPr>
          <w:rFonts w:ascii="Arial" w:hAnsi="Arial" w:cs="Arial"/>
          <w:sz w:val="22"/>
          <w:szCs w:val="22"/>
        </w:rPr>
        <w:t xml:space="preserve">acilities (CRFs) and </w:t>
      </w:r>
      <w:r w:rsidR="008F2CC4">
        <w:rPr>
          <w:rFonts w:ascii="Arial" w:hAnsi="Arial" w:cs="Arial"/>
          <w:sz w:val="22"/>
          <w:szCs w:val="22"/>
        </w:rPr>
        <w:t>B</w:t>
      </w:r>
      <w:r w:rsidR="00E64CB1" w:rsidRPr="00307A16">
        <w:rPr>
          <w:rFonts w:ascii="Arial" w:hAnsi="Arial" w:cs="Arial"/>
          <w:sz w:val="22"/>
          <w:szCs w:val="22"/>
        </w:rPr>
        <w:t xml:space="preserve">iomedical </w:t>
      </w:r>
      <w:r w:rsidR="008F2CC4">
        <w:rPr>
          <w:rFonts w:ascii="Arial" w:hAnsi="Arial" w:cs="Arial"/>
          <w:sz w:val="22"/>
          <w:szCs w:val="22"/>
        </w:rPr>
        <w:t>R</w:t>
      </w:r>
      <w:r w:rsidR="00E64CB1" w:rsidRPr="00307A16">
        <w:rPr>
          <w:rFonts w:ascii="Arial" w:hAnsi="Arial" w:cs="Arial"/>
          <w:sz w:val="22"/>
          <w:szCs w:val="22"/>
        </w:rPr>
        <w:t xml:space="preserve">esearch </w:t>
      </w:r>
      <w:r w:rsidR="008F2CC4">
        <w:rPr>
          <w:rFonts w:ascii="Arial" w:hAnsi="Arial" w:cs="Arial"/>
          <w:sz w:val="22"/>
          <w:szCs w:val="22"/>
        </w:rPr>
        <w:t>C</w:t>
      </w:r>
      <w:r w:rsidR="00E64CB1" w:rsidRPr="00307A16">
        <w:rPr>
          <w:rFonts w:ascii="Arial" w:hAnsi="Arial" w:cs="Arial"/>
          <w:sz w:val="22"/>
          <w:szCs w:val="22"/>
        </w:rPr>
        <w:t>entres,</w:t>
      </w:r>
      <w:r w:rsidR="008F2CC4">
        <w:rPr>
          <w:rFonts w:ascii="Arial" w:hAnsi="Arial" w:cs="Arial"/>
          <w:sz w:val="22"/>
          <w:szCs w:val="22"/>
        </w:rPr>
        <w:t xml:space="preserve"> working collaboratively with</w:t>
      </w:r>
      <w:r w:rsidR="00693E8F">
        <w:rPr>
          <w:rFonts w:ascii="Arial" w:hAnsi="Arial" w:cs="Arial"/>
          <w:sz w:val="22"/>
          <w:szCs w:val="22"/>
        </w:rPr>
        <w:t>,</w:t>
      </w:r>
      <w:r w:rsidR="008F2CC4">
        <w:rPr>
          <w:rFonts w:ascii="Arial" w:hAnsi="Arial" w:cs="Arial"/>
          <w:sz w:val="22"/>
          <w:szCs w:val="22"/>
        </w:rPr>
        <w:t xml:space="preserve"> and</w:t>
      </w:r>
      <w:r w:rsidR="00E64CB1" w:rsidRPr="00307A16">
        <w:rPr>
          <w:rFonts w:ascii="Arial" w:hAnsi="Arial" w:cs="Arial"/>
          <w:sz w:val="22"/>
          <w:szCs w:val="22"/>
        </w:rPr>
        <w:t xml:space="preserve"> alongside the CRN.</w:t>
      </w:r>
    </w:p>
    <w:p w14:paraId="12B5B1AC" w14:textId="75B26846" w:rsidR="008B4876" w:rsidRDefault="008B4876" w:rsidP="007515F8">
      <w:pPr>
        <w:spacing w:line="480" w:lineRule="auto"/>
        <w:rPr>
          <w:rFonts w:ascii="Arial" w:hAnsi="Arial" w:cs="Arial"/>
          <w:i/>
          <w:sz w:val="22"/>
          <w:szCs w:val="22"/>
        </w:rPr>
      </w:pPr>
    </w:p>
    <w:p w14:paraId="449C4EE5" w14:textId="445A9B3F" w:rsidR="00EF4D51" w:rsidRPr="00307A16" w:rsidRDefault="00B2250F" w:rsidP="007515F8">
      <w:pPr>
        <w:spacing w:line="480" w:lineRule="auto"/>
        <w:jc w:val="both"/>
        <w:rPr>
          <w:rFonts w:ascii="Arial" w:hAnsi="Arial" w:cs="Arial"/>
          <w:b/>
          <w:sz w:val="22"/>
          <w:szCs w:val="22"/>
        </w:rPr>
      </w:pPr>
      <w:r w:rsidRPr="00307A16">
        <w:rPr>
          <w:rFonts w:ascii="Arial" w:hAnsi="Arial" w:cs="Arial"/>
          <w:b/>
          <w:sz w:val="22"/>
          <w:szCs w:val="22"/>
        </w:rPr>
        <w:t xml:space="preserve">INTRODUCTION: </w:t>
      </w:r>
      <w:r w:rsidR="00075196" w:rsidRPr="00307A16">
        <w:rPr>
          <w:rFonts w:ascii="Arial" w:hAnsi="Arial" w:cs="Arial"/>
          <w:b/>
          <w:sz w:val="22"/>
          <w:szCs w:val="22"/>
        </w:rPr>
        <w:t>THE CRN</w:t>
      </w:r>
    </w:p>
    <w:p w14:paraId="3B8B6D66" w14:textId="77777777" w:rsidR="000551C5" w:rsidRPr="00307A16" w:rsidRDefault="000551C5" w:rsidP="007515F8">
      <w:pPr>
        <w:spacing w:line="480" w:lineRule="auto"/>
        <w:rPr>
          <w:rFonts w:ascii="Arial" w:hAnsi="Arial" w:cs="Arial"/>
          <w:b/>
          <w:sz w:val="22"/>
          <w:szCs w:val="22"/>
        </w:rPr>
      </w:pPr>
      <w:r w:rsidRPr="00307A16">
        <w:rPr>
          <w:rFonts w:ascii="Arial" w:hAnsi="Arial" w:cs="Arial"/>
          <w:b/>
          <w:sz w:val="22"/>
          <w:szCs w:val="22"/>
        </w:rPr>
        <w:t>Aims of the CRN</w:t>
      </w:r>
    </w:p>
    <w:p w14:paraId="3EB50AAB" w14:textId="6E22F600" w:rsidR="00C35556" w:rsidRPr="00307A16" w:rsidRDefault="000551C5" w:rsidP="007515F8">
      <w:pPr>
        <w:spacing w:line="480" w:lineRule="auto"/>
        <w:jc w:val="both"/>
        <w:rPr>
          <w:rFonts w:ascii="Arial" w:hAnsi="Arial" w:cs="Arial"/>
          <w:sz w:val="22"/>
          <w:szCs w:val="22"/>
        </w:rPr>
      </w:pPr>
      <w:r w:rsidRPr="00307A16">
        <w:rPr>
          <w:rFonts w:ascii="Arial" w:hAnsi="Arial" w:cs="Arial"/>
          <w:sz w:val="22"/>
          <w:szCs w:val="22"/>
        </w:rPr>
        <w:t xml:space="preserve">The </w:t>
      </w:r>
      <w:r w:rsidR="00FE277D" w:rsidRPr="00307A16">
        <w:rPr>
          <w:rFonts w:ascii="Arial" w:hAnsi="Arial" w:cs="Arial"/>
          <w:sz w:val="22"/>
          <w:szCs w:val="22"/>
        </w:rPr>
        <w:t xml:space="preserve">CRN </w:t>
      </w:r>
      <w:r w:rsidR="00441918" w:rsidRPr="00307A16">
        <w:rPr>
          <w:rFonts w:ascii="Arial" w:hAnsi="Arial" w:cs="Arial"/>
          <w:sz w:val="22"/>
          <w:szCs w:val="22"/>
        </w:rPr>
        <w:t>(</w:t>
      </w:r>
      <w:hyperlink r:id="rId9" w:history="1">
        <w:r w:rsidR="00441918" w:rsidRPr="00307A16">
          <w:rPr>
            <w:rStyle w:val="Hyperlink"/>
            <w:rFonts w:ascii="Arial" w:hAnsi="Arial" w:cs="Arial"/>
            <w:color w:val="auto"/>
            <w:sz w:val="22"/>
            <w:szCs w:val="22"/>
            <w:u w:val="none"/>
          </w:rPr>
          <w:t>https://www.crn.nihr.ac.uk</w:t>
        </w:r>
      </w:hyperlink>
      <w:r w:rsidR="00441918" w:rsidRPr="00307A16">
        <w:rPr>
          <w:rFonts w:ascii="Arial" w:hAnsi="Arial" w:cs="Arial"/>
          <w:sz w:val="22"/>
          <w:szCs w:val="22"/>
        </w:rPr>
        <w:t xml:space="preserve">) </w:t>
      </w:r>
      <w:r w:rsidRPr="00307A16">
        <w:rPr>
          <w:rFonts w:ascii="Arial" w:hAnsi="Arial" w:cs="Arial"/>
          <w:sz w:val="22"/>
          <w:szCs w:val="22"/>
        </w:rPr>
        <w:t>supports high quality research within the NHS</w:t>
      </w:r>
      <w:r w:rsidR="007132A1" w:rsidRPr="00307A16">
        <w:rPr>
          <w:rFonts w:ascii="Arial" w:hAnsi="Arial" w:cs="Arial"/>
          <w:sz w:val="22"/>
          <w:szCs w:val="22"/>
        </w:rPr>
        <w:t xml:space="preserve"> </w:t>
      </w:r>
      <w:r w:rsidR="003040A7" w:rsidRPr="00307A16">
        <w:rPr>
          <w:rFonts w:ascii="Arial" w:hAnsi="Arial" w:cs="Arial"/>
          <w:sz w:val="22"/>
          <w:szCs w:val="22"/>
        </w:rPr>
        <w:t>in England</w:t>
      </w:r>
      <w:r w:rsidR="00861093" w:rsidRPr="00307A16">
        <w:rPr>
          <w:rFonts w:ascii="Arial" w:hAnsi="Arial" w:cs="Arial"/>
          <w:sz w:val="22"/>
          <w:szCs w:val="22"/>
        </w:rPr>
        <w:t xml:space="preserve"> </w:t>
      </w:r>
      <w:r w:rsidR="007132A1" w:rsidRPr="00307A16">
        <w:rPr>
          <w:rFonts w:ascii="Arial" w:hAnsi="Arial" w:cs="Arial"/>
          <w:sz w:val="22"/>
          <w:szCs w:val="22"/>
        </w:rPr>
        <w:t>(see Table 1)</w:t>
      </w:r>
      <w:r w:rsidRPr="00307A16">
        <w:rPr>
          <w:rFonts w:ascii="Arial" w:hAnsi="Arial" w:cs="Arial"/>
          <w:sz w:val="22"/>
          <w:szCs w:val="22"/>
        </w:rPr>
        <w:t>.</w:t>
      </w:r>
      <w:r w:rsidR="00E81603">
        <w:rPr>
          <w:rFonts w:ascii="Arial" w:hAnsi="Arial" w:cs="Arial"/>
          <w:sz w:val="22"/>
          <w:szCs w:val="22"/>
        </w:rPr>
        <w:t>[2]</w:t>
      </w:r>
      <w:r w:rsidRPr="00307A16">
        <w:rPr>
          <w:rFonts w:ascii="Arial" w:hAnsi="Arial" w:cs="Arial"/>
          <w:sz w:val="22"/>
          <w:szCs w:val="22"/>
        </w:rPr>
        <w:t xml:space="preserve"> Trained research staff advise and support on aspects of study design and delivery including feasibility, site set-up, patient rec</w:t>
      </w:r>
      <w:r w:rsidR="00693E8F">
        <w:rPr>
          <w:rFonts w:ascii="Arial" w:hAnsi="Arial" w:cs="Arial"/>
          <w:sz w:val="22"/>
          <w:szCs w:val="22"/>
        </w:rPr>
        <w:t xml:space="preserve">ruitment and study management. </w:t>
      </w:r>
      <w:r w:rsidR="003040A7" w:rsidRPr="00307A16">
        <w:rPr>
          <w:rFonts w:ascii="Arial" w:hAnsi="Arial" w:cs="Arial"/>
          <w:sz w:val="22"/>
          <w:szCs w:val="22"/>
        </w:rPr>
        <w:t>T</w:t>
      </w:r>
      <w:r w:rsidRPr="00307A16">
        <w:rPr>
          <w:rFonts w:ascii="Arial" w:hAnsi="Arial" w:cs="Arial"/>
          <w:sz w:val="22"/>
          <w:szCs w:val="22"/>
        </w:rPr>
        <w:t xml:space="preserve">he CRN is focused in England </w:t>
      </w:r>
      <w:r w:rsidR="003040A7" w:rsidRPr="00307A16">
        <w:rPr>
          <w:rFonts w:ascii="Arial" w:hAnsi="Arial" w:cs="Arial"/>
          <w:sz w:val="22"/>
          <w:szCs w:val="22"/>
        </w:rPr>
        <w:t>and</w:t>
      </w:r>
      <w:r w:rsidR="0023174E" w:rsidRPr="00307A16">
        <w:rPr>
          <w:rFonts w:ascii="Arial" w:hAnsi="Arial" w:cs="Arial"/>
          <w:sz w:val="22"/>
          <w:szCs w:val="22"/>
        </w:rPr>
        <w:t xml:space="preserve"> </w:t>
      </w:r>
      <w:r w:rsidR="003040A7" w:rsidRPr="00307A16">
        <w:rPr>
          <w:rFonts w:ascii="Arial" w:hAnsi="Arial" w:cs="Arial"/>
          <w:sz w:val="22"/>
          <w:szCs w:val="22"/>
        </w:rPr>
        <w:t>works closely</w:t>
      </w:r>
      <w:r w:rsidR="00AF4B55">
        <w:rPr>
          <w:rFonts w:ascii="Arial" w:hAnsi="Arial" w:cs="Arial"/>
          <w:sz w:val="22"/>
          <w:szCs w:val="22"/>
        </w:rPr>
        <w:t xml:space="preserve"> and collaboratively</w:t>
      </w:r>
      <w:r w:rsidR="003040A7" w:rsidRPr="00307A16">
        <w:rPr>
          <w:rFonts w:ascii="Arial" w:hAnsi="Arial" w:cs="Arial"/>
          <w:sz w:val="22"/>
          <w:szCs w:val="22"/>
        </w:rPr>
        <w:t xml:space="preserve"> with</w:t>
      </w:r>
      <w:r w:rsidR="005F18F2" w:rsidRPr="00307A16">
        <w:rPr>
          <w:rFonts w:ascii="Arial" w:hAnsi="Arial" w:cs="Arial"/>
          <w:sz w:val="22"/>
          <w:szCs w:val="22"/>
        </w:rPr>
        <w:t xml:space="preserve"> the corresponding N</w:t>
      </w:r>
      <w:r w:rsidRPr="00307A16">
        <w:rPr>
          <w:rFonts w:ascii="Arial" w:hAnsi="Arial" w:cs="Arial"/>
          <w:sz w:val="22"/>
          <w:szCs w:val="22"/>
        </w:rPr>
        <w:t xml:space="preserve">etworks </w:t>
      </w:r>
      <w:r w:rsidR="00FA4410" w:rsidRPr="00307A16">
        <w:rPr>
          <w:rFonts w:ascii="Arial" w:hAnsi="Arial" w:cs="Arial"/>
          <w:sz w:val="22"/>
          <w:szCs w:val="22"/>
        </w:rPr>
        <w:t xml:space="preserve">across </w:t>
      </w:r>
      <w:r w:rsidRPr="00307A16">
        <w:rPr>
          <w:rFonts w:ascii="Arial" w:hAnsi="Arial" w:cs="Arial"/>
          <w:sz w:val="22"/>
          <w:szCs w:val="22"/>
        </w:rPr>
        <w:t>the rest of the UK</w:t>
      </w:r>
      <w:r w:rsidR="008637E3" w:rsidRPr="00307A16">
        <w:rPr>
          <w:rFonts w:ascii="Arial" w:hAnsi="Arial" w:cs="Arial"/>
          <w:sz w:val="22"/>
          <w:szCs w:val="22"/>
        </w:rPr>
        <w:t>: Health and Care Research Wales (</w:t>
      </w:r>
      <w:hyperlink r:id="rId10" w:history="1">
        <w:r w:rsidR="00693E8F" w:rsidRPr="00693E8F">
          <w:rPr>
            <w:rStyle w:val="Hyperlink"/>
            <w:rFonts w:ascii="Arial" w:hAnsi="Arial" w:cs="Arial"/>
            <w:color w:val="auto"/>
            <w:sz w:val="22"/>
            <w:szCs w:val="22"/>
            <w:u w:val="none"/>
          </w:rPr>
          <w:t>www.healthandcareresearch.gov.wales/</w:t>
        </w:r>
      </w:hyperlink>
      <w:r w:rsidR="00205B24" w:rsidRPr="00693E8F">
        <w:rPr>
          <w:rFonts w:ascii="Arial" w:hAnsi="Arial" w:cs="Arial"/>
          <w:sz w:val="22"/>
          <w:szCs w:val="22"/>
        </w:rPr>
        <w:t xml:space="preserve">); </w:t>
      </w:r>
      <w:r w:rsidR="008637E3" w:rsidRPr="00693E8F">
        <w:rPr>
          <w:rFonts w:ascii="Arial" w:hAnsi="Arial" w:cs="Arial"/>
          <w:sz w:val="22"/>
          <w:szCs w:val="22"/>
        </w:rPr>
        <w:t>NHS Research Scotland (</w:t>
      </w:r>
      <w:hyperlink r:id="rId11" w:history="1">
        <w:r w:rsidR="00693E8F" w:rsidRPr="00693E8F">
          <w:rPr>
            <w:rStyle w:val="Hyperlink"/>
            <w:rFonts w:ascii="Arial" w:hAnsi="Arial" w:cs="Arial"/>
            <w:color w:val="auto"/>
            <w:sz w:val="22"/>
            <w:szCs w:val="22"/>
            <w:u w:val="none"/>
          </w:rPr>
          <w:t>www.nhsresearchscotland.org.uk/</w:t>
        </w:r>
      </w:hyperlink>
      <w:r w:rsidR="008637E3" w:rsidRPr="00693E8F">
        <w:rPr>
          <w:rFonts w:ascii="Arial" w:hAnsi="Arial" w:cs="Arial"/>
          <w:sz w:val="22"/>
          <w:szCs w:val="22"/>
        </w:rPr>
        <w:t>); Northern Ireland</w:t>
      </w:r>
      <w:r w:rsidR="00940844" w:rsidRPr="00693E8F">
        <w:rPr>
          <w:rFonts w:ascii="Arial" w:hAnsi="Arial" w:cs="Arial"/>
          <w:sz w:val="22"/>
          <w:szCs w:val="22"/>
        </w:rPr>
        <w:t xml:space="preserve"> Clinical Research Network (</w:t>
      </w:r>
      <w:hyperlink r:id="rId12" w:history="1">
        <w:r w:rsidR="00693E8F" w:rsidRPr="00693E8F">
          <w:rPr>
            <w:rStyle w:val="Hyperlink"/>
            <w:rFonts w:ascii="Arial" w:hAnsi="Arial" w:cs="Arial"/>
            <w:color w:val="auto"/>
            <w:sz w:val="22"/>
            <w:szCs w:val="22"/>
            <w:u w:val="none"/>
          </w:rPr>
          <w:t>www.nicrn.hscni.net</w:t>
        </w:r>
      </w:hyperlink>
      <w:r w:rsidR="00940844" w:rsidRPr="00693E8F">
        <w:rPr>
          <w:rFonts w:ascii="Arial" w:hAnsi="Arial" w:cs="Arial"/>
          <w:sz w:val="22"/>
          <w:szCs w:val="22"/>
        </w:rPr>
        <w:t>).</w:t>
      </w:r>
      <w:r w:rsidR="003040A7" w:rsidRPr="00693E8F">
        <w:rPr>
          <w:rFonts w:ascii="Arial" w:hAnsi="Arial" w:cs="Arial"/>
          <w:sz w:val="22"/>
          <w:szCs w:val="22"/>
        </w:rPr>
        <w:t xml:space="preserve"> The </w:t>
      </w:r>
      <w:r w:rsidR="003040A7" w:rsidRPr="00307A16">
        <w:rPr>
          <w:rFonts w:ascii="Arial" w:hAnsi="Arial" w:cs="Arial"/>
          <w:sz w:val="22"/>
          <w:szCs w:val="22"/>
        </w:rPr>
        <w:t xml:space="preserve">systems in these Networks vary from those within </w:t>
      </w:r>
      <w:r w:rsidR="003040A7" w:rsidRPr="00307A16">
        <w:rPr>
          <w:rFonts w:ascii="Arial" w:hAnsi="Arial" w:cs="Arial"/>
          <w:sz w:val="22"/>
          <w:szCs w:val="22"/>
        </w:rPr>
        <w:lastRenderedPageBreak/>
        <w:t>the CRN</w:t>
      </w:r>
      <w:r w:rsidR="00D51986" w:rsidRPr="00307A16">
        <w:rPr>
          <w:rFonts w:ascii="Arial" w:hAnsi="Arial" w:cs="Arial"/>
          <w:sz w:val="22"/>
          <w:szCs w:val="22"/>
        </w:rPr>
        <w:t xml:space="preserve"> </w:t>
      </w:r>
      <w:r w:rsidR="00AF4B55">
        <w:rPr>
          <w:rFonts w:ascii="Arial" w:hAnsi="Arial" w:cs="Arial"/>
          <w:sz w:val="22"/>
          <w:szCs w:val="22"/>
        </w:rPr>
        <w:t xml:space="preserve">in England </w:t>
      </w:r>
      <w:r w:rsidR="00D51986" w:rsidRPr="00307A16">
        <w:rPr>
          <w:rFonts w:ascii="Arial" w:hAnsi="Arial" w:cs="Arial"/>
          <w:sz w:val="22"/>
          <w:szCs w:val="22"/>
        </w:rPr>
        <w:t>but many processes are shared to aide researchers and provide consistency across the UK</w:t>
      </w:r>
      <w:r w:rsidR="003040A7" w:rsidRPr="00307A16">
        <w:rPr>
          <w:rFonts w:ascii="Arial" w:hAnsi="Arial" w:cs="Arial"/>
          <w:sz w:val="22"/>
          <w:szCs w:val="22"/>
        </w:rPr>
        <w:t>.</w:t>
      </w:r>
    </w:p>
    <w:p w14:paraId="33AC7032" w14:textId="28FB0A5E" w:rsidR="00072558" w:rsidRPr="00307A16" w:rsidRDefault="00E5402D" w:rsidP="007515F8">
      <w:pPr>
        <w:spacing w:line="480" w:lineRule="auto"/>
        <w:rPr>
          <w:rFonts w:ascii="Arial" w:hAnsi="Arial" w:cs="Arial"/>
          <w:i/>
          <w:sz w:val="22"/>
          <w:szCs w:val="22"/>
          <w:vertAlign w:val="superscript"/>
        </w:rPr>
      </w:pPr>
      <w:r w:rsidRPr="00307A16">
        <w:rPr>
          <w:rFonts w:ascii="Arial" w:hAnsi="Arial" w:cs="Arial"/>
          <w:i/>
          <w:sz w:val="22"/>
          <w:szCs w:val="22"/>
        </w:rPr>
        <w:t>Table</w:t>
      </w:r>
      <w:r w:rsidR="0011407A" w:rsidRPr="00307A16">
        <w:rPr>
          <w:rFonts w:ascii="Arial" w:hAnsi="Arial" w:cs="Arial"/>
          <w:i/>
          <w:sz w:val="22"/>
          <w:szCs w:val="22"/>
        </w:rPr>
        <w:t xml:space="preserve"> 1</w:t>
      </w:r>
      <w:r w:rsidR="000551C5" w:rsidRPr="00307A16">
        <w:rPr>
          <w:rFonts w:ascii="Arial" w:hAnsi="Arial" w:cs="Arial"/>
          <w:i/>
          <w:sz w:val="22"/>
          <w:szCs w:val="22"/>
        </w:rPr>
        <w:t>: CRN aims</w:t>
      </w:r>
      <w:r w:rsidR="00C60E15">
        <w:rPr>
          <w:rFonts w:ascii="Arial" w:hAnsi="Arial" w:cs="Arial"/>
          <w:i/>
          <w:sz w:val="22"/>
          <w:szCs w:val="22"/>
        </w:rPr>
        <w:t xml:space="preserve"> [2]</w:t>
      </w:r>
    </w:p>
    <w:tbl>
      <w:tblPr>
        <w:tblStyle w:val="TableGrid"/>
        <w:tblW w:w="8749" w:type="dxa"/>
        <w:tblLook w:val="04A0" w:firstRow="1" w:lastRow="0" w:firstColumn="1" w:lastColumn="0" w:noHBand="0" w:noVBand="1"/>
      </w:tblPr>
      <w:tblGrid>
        <w:gridCol w:w="8749"/>
      </w:tblGrid>
      <w:tr w:rsidR="000551C5" w:rsidRPr="00307A16" w14:paraId="015239D1" w14:textId="77777777" w:rsidTr="00450E6E">
        <w:trPr>
          <w:trHeight w:val="454"/>
        </w:trPr>
        <w:tc>
          <w:tcPr>
            <w:tcW w:w="8749" w:type="dxa"/>
            <w:shd w:val="clear" w:color="auto" w:fill="EEECE1" w:themeFill="background2"/>
            <w:vAlign w:val="center"/>
          </w:tcPr>
          <w:p w14:paraId="7A89536B" w14:textId="77777777" w:rsidR="000551C5" w:rsidRPr="00307A16" w:rsidRDefault="000551C5" w:rsidP="007515F8">
            <w:pPr>
              <w:spacing w:line="480" w:lineRule="auto"/>
              <w:jc w:val="both"/>
              <w:rPr>
                <w:rFonts w:ascii="Arial" w:hAnsi="Arial" w:cs="Arial"/>
                <w:sz w:val="22"/>
                <w:szCs w:val="22"/>
              </w:rPr>
            </w:pPr>
            <w:r w:rsidRPr="00307A16">
              <w:rPr>
                <w:rFonts w:ascii="Arial" w:hAnsi="Arial" w:cs="Arial"/>
                <w:sz w:val="22"/>
                <w:szCs w:val="22"/>
              </w:rPr>
              <w:t>CRN Aims</w:t>
            </w:r>
          </w:p>
        </w:tc>
      </w:tr>
      <w:tr w:rsidR="000551C5" w:rsidRPr="00307A16" w14:paraId="6ACD37A1" w14:textId="77777777" w:rsidTr="00450E6E">
        <w:tc>
          <w:tcPr>
            <w:tcW w:w="8749" w:type="dxa"/>
          </w:tcPr>
          <w:p w14:paraId="67D1D4DB" w14:textId="77777777" w:rsidR="003040A7" w:rsidRPr="00307A16" w:rsidRDefault="000551C5" w:rsidP="007515F8">
            <w:pPr>
              <w:pStyle w:val="ListParagraph"/>
              <w:numPr>
                <w:ilvl w:val="0"/>
                <w:numId w:val="3"/>
              </w:numPr>
              <w:spacing w:line="480" w:lineRule="auto"/>
              <w:jc w:val="both"/>
              <w:rPr>
                <w:rFonts w:ascii="Arial" w:hAnsi="Arial" w:cs="Arial"/>
                <w:sz w:val="22"/>
                <w:szCs w:val="22"/>
              </w:rPr>
            </w:pPr>
            <w:r w:rsidRPr="00307A16">
              <w:rPr>
                <w:rFonts w:ascii="Arial" w:hAnsi="Arial" w:cs="Arial"/>
                <w:color w:val="262626"/>
                <w:sz w:val="22"/>
                <w:szCs w:val="22"/>
              </w:rPr>
              <w:t>Promote equality of access, ensuring that wherever possible, patients have parity of opportunity to participate in research</w:t>
            </w:r>
          </w:p>
          <w:p w14:paraId="3B5EAA74" w14:textId="77777777" w:rsidR="003040A7" w:rsidRPr="00307A16" w:rsidRDefault="000551C5" w:rsidP="007515F8">
            <w:pPr>
              <w:pStyle w:val="ListParagraph"/>
              <w:numPr>
                <w:ilvl w:val="0"/>
                <w:numId w:val="3"/>
              </w:numPr>
              <w:spacing w:line="480" w:lineRule="auto"/>
              <w:jc w:val="both"/>
              <w:rPr>
                <w:rFonts w:ascii="Arial" w:hAnsi="Arial" w:cs="Arial"/>
                <w:sz w:val="22"/>
                <w:szCs w:val="22"/>
              </w:rPr>
            </w:pPr>
            <w:r w:rsidRPr="00307A16">
              <w:rPr>
                <w:rFonts w:ascii="Arial" w:hAnsi="Arial" w:cs="Arial"/>
                <w:color w:val="262626"/>
                <w:sz w:val="22"/>
                <w:szCs w:val="22"/>
              </w:rPr>
              <w:t>Improve the quality, speed and co-ordination of clinical research by removing the ba</w:t>
            </w:r>
            <w:r w:rsidR="003040A7" w:rsidRPr="00307A16">
              <w:rPr>
                <w:rFonts w:ascii="Arial" w:hAnsi="Arial" w:cs="Arial"/>
                <w:color w:val="262626"/>
                <w:sz w:val="22"/>
                <w:szCs w:val="22"/>
              </w:rPr>
              <w:t>rriers to research in the NHS</w:t>
            </w:r>
          </w:p>
          <w:p w14:paraId="2A1CFD16" w14:textId="77777777" w:rsidR="003040A7" w:rsidRPr="00307A16" w:rsidRDefault="000551C5" w:rsidP="007515F8">
            <w:pPr>
              <w:pStyle w:val="ListParagraph"/>
              <w:numPr>
                <w:ilvl w:val="0"/>
                <w:numId w:val="3"/>
              </w:numPr>
              <w:spacing w:line="480" w:lineRule="auto"/>
              <w:jc w:val="both"/>
              <w:rPr>
                <w:rFonts w:ascii="Arial" w:hAnsi="Arial" w:cs="Arial"/>
                <w:sz w:val="22"/>
                <w:szCs w:val="22"/>
              </w:rPr>
            </w:pPr>
            <w:r w:rsidRPr="00307A16">
              <w:rPr>
                <w:rFonts w:ascii="Arial" w:hAnsi="Arial" w:cs="Arial"/>
                <w:color w:val="262626"/>
                <w:sz w:val="22"/>
                <w:szCs w:val="22"/>
              </w:rPr>
              <w:t xml:space="preserve">Streamline and performance manage NHS Support for eligible studies to ensure that the NHS Service Support Costs of these studies are met in </w:t>
            </w:r>
            <w:r w:rsidR="003040A7" w:rsidRPr="00307A16">
              <w:rPr>
                <w:rFonts w:ascii="Arial" w:hAnsi="Arial" w:cs="Arial"/>
                <w:color w:val="262626"/>
                <w:sz w:val="22"/>
                <w:szCs w:val="22"/>
              </w:rPr>
              <w:t>a timely and efficient manner</w:t>
            </w:r>
          </w:p>
          <w:p w14:paraId="2228D4D2" w14:textId="77777777" w:rsidR="003040A7" w:rsidRPr="00307A16" w:rsidRDefault="000551C5" w:rsidP="007515F8">
            <w:pPr>
              <w:pStyle w:val="ListParagraph"/>
              <w:numPr>
                <w:ilvl w:val="0"/>
                <w:numId w:val="3"/>
              </w:numPr>
              <w:spacing w:line="480" w:lineRule="auto"/>
              <w:jc w:val="both"/>
              <w:rPr>
                <w:rFonts w:ascii="Arial" w:hAnsi="Arial" w:cs="Arial"/>
                <w:sz w:val="22"/>
                <w:szCs w:val="22"/>
              </w:rPr>
            </w:pPr>
            <w:r w:rsidRPr="00307A16">
              <w:rPr>
                <w:rFonts w:ascii="Arial" w:hAnsi="Arial" w:cs="Arial"/>
                <w:color w:val="262626"/>
                <w:sz w:val="22"/>
                <w:szCs w:val="22"/>
              </w:rPr>
              <w:t>Work in partnership to unify and streamline administrative procedures associated with regulation, govern</w:t>
            </w:r>
            <w:r w:rsidR="003040A7" w:rsidRPr="00307A16">
              <w:rPr>
                <w:rFonts w:ascii="Arial" w:hAnsi="Arial" w:cs="Arial"/>
                <w:color w:val="262626"/>
                <w:sz w:val="22"/>
                <w:szCs w:val="22"/>
              </w:rPr>
              <w:t>ance, reporting, and approvals</w:t>
            </w:r>
          </w:p>
          <w:p w14:paraId="594E3F09" w14:textId="77777777" w:rsidR="003040A7" w:rsidRPr="00307A16" w:rsidRDefault="000551C5" w:rsidP="007515F8">
            <w:pPr>
              <w:pStyle w:val="ListParagraph"/>
              <w:numPr>
                <w:ilvl w:val="0"/>
                <w:numId w:val="3"/>
              </w:numPr>
              <w:spacing w:line="480" w:lineRule="auto"/>
              <w:jc w:val="both"/>
              <w:rPr>
                <w:rFonts w:ascii="Arial" w:hAnsi="Arial" w:cs="Arial"/>
                <w:sz w:val="22"/>
                <w:szCs w:val="22"/>
              </w:rPr>
            </w:pPr>
            <w:r w:rsidRPr="00307A16">
              <w:rPr>
                <w:rFonts w:ascii="Arial" w:hAnsi="Arial" w:cs="Arial"/>
                <w:color w:val="262626"/>
                <w:sz w:val="22"/>
                <w:szCs w:val="22"/>
              </w:rPr>
              <w:t>Meet the research delivery needs of the life sciences industry including; pharmaceutical; biotechnology; diagnostic; medical technology; and contract</w:t>
            </w:r>
            <w:r w:rsidR="003040A7" w:rsidRPr="00307A16">
              <w:rPr>
                <w:rFonts w:ascii="Arial" w:hAnsi="Arial" w:cs="Arial"/>
                <w:color w:val="262626"/>
                <w:sz w:val="22"/>
                <w:szCs w:val="22"/>
              </w:rPr>
              <w:t xml:space="preserve"> research organisations (CROs)</w:t>
            </w:r>
          </w:p>
          <w:p w14:paraId="3858F254" w14:textId="7D24A29D" w:rsidR="003040A7" w:rsidRPr="00307A16" w:rsidRDefault="000551C5" w:rsidP="007515F8">
            <w:pPr>
              <w:pStyle w:val="ListParagraph"/>
              <w:numPr>
                <w:ilvl w:val="0"/>
                <w:numId w:val="3"/>
              </w:numPr>
              <w:spacing w:line="480" w:lineRule="auto"/>
              <w:jc w:val="both"/>
              <w:rPr>
                <w:rFonts w:ascii="Arial" w:hAnsi="Arial" w:cs="Arial"/>
                <w:sz w:val="22"/>
                <w:szCs w:val="22"/>
              </w:rPr>
            </w:pPr>
            <w:r w:rsidRPr="00307A16">
              <w:rPr>
                <w:rFonts w:ascii="Arial" w:hAnsi="Arial" w:cs="Arial"/>
                <w:color w:val="262626"/>
                <w:sz w:val="22"/>
                <w:szCs w:val="22"/>
              </w:rPr>
              <w:t>Further integrate health resear</w:t>
            </w:r>
            <w:r w:rsidR="003040A7" w:rsidRPr="00307A16">
              <w:rPr>
                <w:rFonts w:ascii="Arial" w:hAnsi="Arial" w:cs="Arial"/>
                <w:color w:val="262626"/>
                <w:sz w:val="22"/>
                <w:szCs w:val="22"/>
              </w:rPr>
              <w:t>ch and patient care</w:t>
            </w:r>
          </w:p>
          <w:p w14:paraId="76350351" w14:textId="77777777" w:rsidR="000551C5" w:rsidRPr="00307A16" w:rsidRDefault="000551C5" w:rsidP="007515F8">
            <w:pPr>
              <w:pStyle w:val="ListParagraph"/>
              <w:numPr>
                <w:ilvl w:val="0"/>
                <w:numId w:val="3"/>
              </w:numPr>
              <w:spacing w:line="480" w:lineRule="auto"/>
              <w:jc w:val="both"/>
              <w:rPr>
                <w:rFonts w:ascii="Arial" w:hAnsi="Arial" w:cs="Arial"/>
                <w:sz w:val="22"/>
                <w:szCs w:val="22"/>
              </w:rPr>
            </w:pPr>
            <w:r w:rsidRPr="00307A16">
              <w:rPr>
                <w:rFonts w:ascii="Arial" w:hAnsi="Arial" w:cs="Arial"/>
                <w:color w:val="262626"/>
                <w:sz w:val="22"/>
                <w:szCs w:val="22"/>
              </w:rPr>
              <w:t>Engage the NHS in research in line with the NHS Constitution to promote research participation and a research culture</w:t>
            </w:r>
          </w:p>
        </w:tc>
      </w:tr>
    </w:tbl>
    <w:p w14:paraId="5DDC0968" w14:textId="77777777" w:rsidR="005C5CBC" w:rsidRPr="00307A16" w:rsidRDefault="005C5CBC" w:rsidP="007515F8">
      <w:pPr>
        <w:spacing w:line="480" w:lineRule="auto"/>
        <w:jc w:val="both"/>
        <w:rPr>
          <w:rFonts w:ascii="Arial" w:hAnsi="Arial" w:cs="Arial"/>
          <w:sz w:val="22"/>
          <w:szCs w:val="22"/>
        </w:rPr>
      </w:pPr>
    </w:p>
    <w:p w14:paraId="5D61C69A" w14:textId="707520EC" w:rsidR="00211700" w:rsidRPr="00307A16" w:rsidRDefault="00B2250F" w:rsidP="007515F8">
      <w:pPr>
        <w:spacing w:line="480" w:lineRule="auto"/>
        <w:rPr>
          <w:rFonts w:ascii="Arial" w:hAnsi="Arial" w:cs="Arial"/>
          <w:b/>
          <w:sz w:val="22"/>
          <w:szCs w:val="22"/>
        </w:rPr>
      </w:pPr>
      <w:r w:rsidRPr="00307A16">
        <w:rPr>
          <w:rFonts w:ascii="Arial" w:hAnsi="Arial" w:cs="Arial"/>
          <w:b/>
          <w:sz w:val="22"/>
          <w:szCs w:val="22"/>
        </w:rPr>
        <w:t xml:space="preserve">New </w:t>
      </w:r>
      <w:r w:rsidR="002901EA">
        <w:rPr>
          <w:rFonts w:ascii="Arial" w:hAnsi="Arial" w:cs="Arial"/>
          <w:b/>
          <w:sz w:val="22"/>
          <w:szCs w:val="22"/>
        </w:rPr>
        <w:t>s</w:t>
      </w:r>
      <w:r w:rsidR="006701B6" w:rsidRPr="00307A16">
        <w:rPr>
          <w:rFonts w:ascii="Arial" w:hAnsi="Arial" w:cs="Arial"/>
          <w:b/>
          <w:sz w:val="22"/>
          <w:szCs w:val="22"/>
        </w:rPr>
        <w:t>tructure of the CRN</w:t>
      </w:r>
    </w:p>
    <w:p w14:paraId="0989067A" w14:textId="4EB0ABBA" w:rsidR="006B5D22" w:rsidRPr="00307A16" w:rsidRDefault="006B5D22" w:rsidP="007515F8">
      <w:pPr>
        <w:spacing w:line="480" w:lineRule="auto"/>
        <w:jc w:val="both"/>
        <w:rPr>
          <w:rFonts w:ascii="Arial" w:hAnsi="Arial" w:cs="Arial"/>
          <w:sz w:val="22"/>
          <w:szCs w:val="22"/>
        </w:rPr>
      </w:pPr>
      <w:r w:rsidRPr="00307A16">
        <w:rPr>
          <w:rFonts w:ascii="Arial" w:hAnsi="Arial" w:cs="Arial"/>
          <w:sz w:val="22"/>
          <w:szCs w:val="22"/>
        </w:rPr>
        <w:t xml:space="preserve">The </w:t>
      </w:r>
      <w:r w:rsidR="00C60E15">
        <w:rPr>
          <w:rFonts w:ascii="Arial" w:hAnsi="Arial" w:cs="Arial"/>
          <w:sz w:val="22"/>
          <w:szCs w:val="22"/>
        </w:rPr>
        <w:t xml:space="preserve">new </w:t>
      </w:r>
      <w:r w:rsidRPr="00307A16">
        <w:rPr>
          <w:rFonts w:ascii="Arial" w:hAnsi="Arial" w:cs="Arial"/>
          <w:sz w:val="22"/>
          <w:szCs w:val="22"/>
        </w:rPr>
        <w:t>CRN structure</w:t>
      </w:r>
      <w:r w:rsidR="00C60E15">
        <w:rPr>
          <w:rFonts w:ascii="Arial" w:hAnsi="Arial" w:cs="Arial"/>
          <w:sz w:val="22"/>
          <w:szCs w:val="22"/>
        </w:rPr>
        <w:t xml:space="preserve"> (from April 201</w:t>
      </w:r>
      <w:r w:rsidR="00C97E81">
        <w:rPr>
          <w:rFonts w:ascii="Arial" w:hAnsi="Arial" w:cs="Arial"/>
          <w:sz w:val="22"/>
          <w:szCs w:val="22"/>
        </w:rPr>
        <w:t>5</w:t>
      </w:r>
      <w:r w:rsidR="00C60E15">
        <w:rPr>
          <w:rFonts w:ascii="Arial" w:hAnsi="Arial" w:cs="Arial"/>
          <w:sz w:val="22"/>
          <w:szCs w:val="22"/>
        </w:rPr>
        <w:t>)</w:t>
      </w:r>
      <w:r w:rsidRPr="00307A16">
        <w:rPr>
          <w:rFonts w:ascii="Arial" w:hAnsi="Arial" w:cs="Arial"/>
          <w:sz w:val="22"/>
          <w:szCs w:val="22"/>
        </w:rPr>
        <w:t xml:space="preserve"> includes </w:t>
      </w:r>
      <w:r w:rsidR="002975F3" w:rsidRPr="00307A16">
        <w:rPr>
          <w:rFonts w:ascii="Arial" w:hAnsi="Arial" w:cs="Arial"/>
          <w:sz w:val="22"/>
          <w:szCs w:val="22"/>
        </w:rPr>
        <w:t>fifteen</w:t>
      </w:r>
      <w:r w:rsidRPr="00307A16">
        <w:rPr>
          <w:rFonts w:ascii="Arial" w:hAnsi="Arial" w:cs="Arial"/>
          <w:sz w:val="22"/>
          <w:szCs w:val="22"/>
        </w:rPr>
        <w:t xml:space="preserve"> </w:t>
      </w:r>
      <w:r w:rsidR="00EC2471" w:rsidRPr="00307A16">
        <w:rPr>
          <w:rFonts w:ascii="Arial" w:hAnsi="Arial" w:cs="Arial"/>
          <w:sz w:val="22"/>
          <w:szCs w:val="22"/>
        </w:rPr>
        <w:t>L</w:t>
      </w:r>
      <w:r w:rsidRPr="00307A16">
        <w:rPr>
          <w:rFonts w:ascii="Arial" w:hAnsi="Arial" w:cs="Arial"/>
          <w:sz w:val="22"/>
          <w:szCs w:val="22"/>
        </w:rPr>
        <w:t xml:space="preserve">ocal </w:t>
      </w:r>
      <w:r w:rsidR="00EC2471" w:rsidRPr="00307A16">
        <w:rPr>
          <w:rFonts w:ascii="Arial" w:hAnsi="Arial" w:cs="Arial"/>
          <w:sz w:val="22"/>
          <w:szCs w:val="22"/>
        </w:rPr>
        <w:t>C</w:t>
      </w:r>
      <w:r w:rsidRPr="00307A16">
        <w:rPr>
          <w:rFonts w:ascii="Arial" w:hAnsi="Arial" w:cs="Arial"/>
          <w:sz w:val="22"/>
          <w:szCs w:val="22"/>
        </w:rPr>
        <w:t xml:space="preserve">linical </w:t>
      </w:r>
      <w:r w:rsidR="00EC2471" w:rsidRPr="00307A16">
        <w:rPr>
          <w:rFonts w:ascii="Arial" w:hAnsi="Arial" w:cs="Arial"/>
          <w:sz w:val="22"/>
          <w:szCs w:val="22"/>
        </w:rPr>
        <w:t>R</w:t>
      </w:r>
      <w:r w:rsidRPr="00307A16">
        <w:rPr>
          <w:rFonts w:ascii="Arial" w:hAnsi="Arial" w:cs="Arial"/>
          <w:sz w:val="22"/>
          <w:szCs w:val="22"/>
        </w:rPr>
        <w:t xml:space="preserve">esearch </w:t>
      </w:r>
      <w:r w:rsidR="00441918" w:rsidRPr="00307A16">
        <w:rPr>
          <w:rFonts w:ascii="Arial" w:hAnsi="Arial" w:cs="Arial"/>
          <w:sz w:val="22"/>
          <w:szCs w:val="22"/>
        </w:rPr>
        <w:t>N</w:t>
      </w:r>
      <w:r w:rsidRPr="00307A16">
        <w:rPr>
          <w:rFonts w:ascii="Arial" w:hAnsi="Arial" w:cs="Arial"/>
          <w:sz w:val="22"/>
          <w:szCs w:val="22"/>
        </w:rPr>
        <w:t xml:space="preserve">etworks (LCRNs) </w:t>
      </w:r>
      <w:r w:rsidR="00357645" w:rsidRPr="00307A16">
        <w:rPr>
          <w:rFonts w:ascii="Arial" w:hAnsi="Arial" w:cs="Arial"/>
          <w:sz w:val="22"/>
          <w:szCs w:val="22"/>
        </w:rPr>
        <w:t xml:space="preserve">across England </w:t>
      </w:r>
      <w:r w:rsidR="00430142" w:rsidRPr="00307A16">
        <w:rPr>
          <w:rFonts w:ascii="Arial" w:hAnsi="Arial" w:cs="Arial"/>
          <w:sz w:val="22"/>
          <w:szCs w:val="22"/>
        </w:rPr>
        <w:t>a</w:t>
      </w:r>
      <w:r w:rsidR="00CC4F94" w:rsidRPr="00307A16">
        <w:rPr>
          <w:rFonts w:ascii="Arial" w:hAnsi="Arial" w:cs="Arial"/>
          <w:sz w:val="22"/>
          <w:szCs w:val="22"/>
        </w:rPr>
        <w:t xml:space="preserve">long with </w:t>
      </w:r>
      <w:r w:rsidR="00357645" w:rsidRPr="00307A16">
        <w:rPr>
          <w:rFonts w:ascii="Arial" w:hAnsi="Arial" w:cs="Arial"/>
          <w:sz w:val="22"/>
          <w:szCs w:val="22"/>
        </w:rPr>
        <w:t xml:space="preserve">a </w:t>
      </w:r>
      <w:r w:rsidR="00C60E15">
        <w:rPr>
          <w:rFonts w:ascii="Arial" w:hAnsi="Arial" w:cs="Arial"/>
          <w:sz w:val="22"/>
          <w:szCs w:val="22"/>
        </w:rPr>
        <w:t xml:space="preserve">single </w:t>
      </w:r>
      <w:r w:rsidR="00441918" w:rsidRPr="00307A16">
        <w:rPr>
          <w:rFonts w:ascii="Arial" w:hAnsi="Arial" w:cs="Arial"/>
          <w:sz w:val="22"/>
          <w:szCs w:val="22"/>
        </w:rPr>
        <w:t>N</w:t>
      </w:r>
      <w:r w:rsidR="00357645" w:rsidRPr="00307A16">
        <w:rPr>
          <w:rFonts w:ascii="Arial" w:hAnsi="Arial" w:cs="Arial"/>
          <w:sz w:val="22"/>
          <w:szCs w:val="22"/>
        </w:rPr>
        <w:t>ational</w:t>
      </w:r>
      <w:r w:rsidRPr="00307A16">
        <w:rPr>
          <w:rFonts w:ascii="Arial" w:hAnsi="Arial" w:cs="Arial"/>
          <w:sz w:val="22"/>
          <w:szCs w:val="22"/>
        </w:rPr>
        <w:t xml:space="preserve"> </w:t>
      </w:r>
      <w:r w:rsidR="00441918" w:rsidRPr="00307A16">
        <w:rPr>
          <w:rFonts w:ascii="Arial" w:hAnsi="Arial" w:cs="Arial"/>
          <w:sz w:val="22"/>
          <w:szCs w:val="22"/>
        </w:rPr>
        <w:t>C</w:t>
      </w:r>
      <w:r w:rsidRPr="00307A16">
        <w:rPr>
          <w:rFonts w:ascii="Arial" w:hAnsi="Arial" w:cs="Arial"/>
          <w:sz w:val="22"/>
          <w:szCs w:val="22"/>
        </w:rPr>
        <w:t xml:space="preserve">o-ordinating </w:t>
      </w:r>
      <w:r w:rsidR="00441918" w:rsidRPr="00307A16">
        <w:rPr>
          <w:rFonts w:ascii="Arial" w:hAnsi="Arial" w:cs="Arial"/>
          <w:sz w:val="22"/>
          <w:szCs w:val="22"/>
        </w:rPr>
        <w:t>C</w:t>
      </w:r>
      <w:r w:rsidRPr="00307A16">
        <w:rPr>
          <w:rFonts w:ascii="Arial" w:hAnsi="Arial" w:cs="Arial"/>
          <w:sz w:val="22"/>
          <w:szCs w:val="22"/>
        </w:rPr>
        <w:t>entre. The core aims of the LCRNs are to support recruitment of participants into eligible studies and ensure all studies are conducted to the highest standard. They promote research within their region and aim to increase inv</w:t>
      </w:r>
      <w:r w:rsidR="00357645" w:rsidRPr="00307A16">
        <w:rPr>
          <w:rFonts w:ascii="Arial" w:hAnsi="Arial" w:cs="Arial"/>
          <w:sz w:val="22"/>
          <w:szCs w:val="22"/>
        </w:rPr>
        <w:t>olvement of district hospitals and other healthcare settings.</w:t>
      </w:r>
    </w:p>
    <w:p w14:paraId="2EEEA611" w14:textId="6AB8D8EE" w:rsidR="006701B6" w:rsidRPr="00307A16" w:rsidRDefault="004803D1" w:rsidP="007515F8">
      <w:pPr>
        <w:spacing w:line="480" w:lineRule="auto"/>
        <w:jc w:val="both"/>
        <w:rPr>
          <w:rFonts w:ascii="Arial" w:hAnsi="Arial" w:cs="Arial"/>
          <w:sz w:val="22"/>
          <w:szCs w:val="22"/>
        </w:rPr>
      </w:pPr>
      <w:r w:rsidRPr="00307A16">
        <w:rPr>
          <w:rFonts w:ascii="Arial" w:hAnsi="Arial" w:cs="Arial"/>
          <w:sz w:val="22"/>
          <w:szCs w:val="22"/>
        </w:rPr>
        <w:lastRenderedPageBreak/>
        <w:t xml:space="preserve">Each LCRN has a host </w:t>
      </w:r>
      <w:r w:rsidR="00441918" w:rsidRPr="00307A16">
        <w:rPr>
          <w:rFonts w:ascii="Arial" w:hAnsi="Arial" w:cs="Arial"/>
          <w:sz w:val="22"/>
          <w:szCs w:val="22"/>
        </w:rPr>
        <w:t xml:space="preserve">NHS Trust / hospital </w:t>
      </w:r>
      <w:r w:rsidR="0023174E" w:rsidRPr="00307A16">
        <w:rPr>
          <w:rFonts w:ascii="Arial" w:hAnsi="Arial" w:cs="Arial"/>
          <w:sz w:val="22"/>
          <w:szCs w:val="22"/>
        </w:rPr>
        <w:t>that</w:t>
      </w:r>
      <w:r w:rsidR="00090DEA" w:rsidRPr="00307A16">
        <w:rPr>
          <w:rFonts w:ascii="Arial" w:hAnsi="Arial" w:cs="Arial"/>
          <w:sz w:val="22"/>
          <w:szCs w:val="22"/>
        </w:rPr>
        <w:t xml:space="preserve"> ha</w:t>
      </w:r>
      <w:r w:rsidR="0023174E" w:rsidRPr="00307A16">
        <w:rPr>
          <w:rFonts w:ascii="Arial" w:hAnsi="Arial" w:cs="Arial"/>
          <w:sz w:val="22"/>
          <w:szCs w:val="22"/>
        </w:rPr>
        <w:t>s</w:t>
      </w:r>
      <w:r w:rsidR="006B5D22" w:rsidRPr="00307A16">
        <w:rPr>
          <w:rFonts w:ascii="Arial" w:hAnsi="Arial" w:cs="Arial"/>
          <w:sz w:val="22"/>
          <w:szCs w:val="22"/>
        </w:rPr>
        <w:t xml:space="preserve"> a contract</w:t>
      </w:r>
      <w:r w:rsidR="00C55CBA" w:rsidRPr="00307A16">
        <w:rPr>
          <w:rFonts w:ascii="Arial" w:hAnsi="Arial" w:cs="Arial"/>
          <w:sz w:val="22"/>
          <w:szCs w:val="22"/>
        </w:rPr>
        <w:t xml:space="preserve"> with the DoH</w:t>
      </w:r>
      <w:r w:rsidR="006B5D22" w:rsidRPr="00307A16">
        <w:rPr>
          <w:rFonts w:ascii="Arial" w:hAnsi="Arial" w:cs="Arial"/>
          <w:sz w:val="22"/>
          <w:szCs w:val="22"/>
        </w:rPr>
        <w:t xml:space="preserve"> to deliver the</w:t>
      </w:r>
      <w:r w:rsidR="00E93B9F" w:rsidRPr="00307A16">
        <w:rPr>
          <w:rFonts w:ascii="Arial" w:hAnsi="Arial" w:cs="Arial"/>
          <w:sz w:val="22"/>
          <w:szCs w:val="22"/>
        </w:rPr>
        <w:t xml:space="preserve"> CRN </w:t>
      </w:r>
      <w:r w:rsidR="000A4A2E">
        <w:rPr>
          <w:rFonts w:ascii="Arial" w:hAnsi="Arial" w:cs="Arial"/>
          <w:sz w:val="22"/>
          <w:szCs w:val="22"/>
        </w:rPr>
        <w:t>P</w:t>
      </w:r>
      <w:r w:rsidR="00E93B9F" w:rsidRPr="00307A16">
        <w:rPr>
          <w:rFonts w:ascii="Arial" w:hAnsi="Arial" w:cs="Arial"/>
          <w:sz w:val="22"/>
          <w:szCs w:val="22"/>
        </w:rPr>
        <w:t>ortfolio</w:t>
      </w:r>
      <w:r w:rsidR="00C60E15">
        <w:rPr>
          <w:rFonts w:ascii="Arial" w:hAnsi="Arial" w:cs="Arial"/>
          <w:sz w:val="22"/>
          <w:szCs w:val="22"/>
        </w:rPr>
        <w:t xml:space="preserve"> across the corresponding geographical area</w:t>
      </w:r>
      <w:r w:rsidR="006B5D22" w:rsidRPr="00307A16">
        <w:rPr>
          <w:rFonts w:ascii="Arial" w:hAnsi="Arial" w:cs="Arial"/>
          <w:sz w:val="22"/>
          <w:szCs w:val="22"/>
        </w:rPr>
        <w:t xml:space="preserve">. Funding is provided to support delivery of </w:t>
      </w:r>
      <w:r w:rsidR="000257D6" w:rsidRPr="00307A16">
        <w:rPr>
          <w:rFonts w:ascii="Arial" w:hAnsi="Arial" w:cs="Arial"/>
          <w:sz w:val="22"/>
          <w:szCs w:val="22"/>
        </w:rPr>
        <w:t>studies</w:t>
      </w:r>
      <w:r w:rsidR="006B5D22" w:rsidRPr="00307A16">
        <w:rPr>
          <w:rFonts w:ascii="Arial" w:hAnsi="Arial" w:cs="Arial"/>
          <w:sz w:val="22"/>
          <w:szCs w:val="22"/>
        </w:rPr>
        <w:t xml:space="preserve"> in an effective and efficient manner. The LCRNs work closely with </w:t>
      </w:r>
      <w:r w:rsidR="00C60E15">
        <w:rPr>
          <w:rFonts w:ascii="Arial" w:hAnsi="Arial" w:cs="Arial"/>
          <w:sz w:val="22"/>
          <w:szCs w:val="22"/>
        </w:rPr>
        <w:t>NIHR</w:t>
      </w:r>
      <w:r w:rsidR="00C60E15" w:rsidRPr="00307A16">
        <w:rPr>
          <w:rFonts w:ascii="Arial" w:hAnsi="Arial" w:cs="Arial"/>
          <w:sz w:val="22"/>
          <w:szCs w:val="22"/>
        </w:rPr>
        <w:t xml:space="preserve"> </w:t>
      </w:r>
      <w:r w:rsidR="00E64CB1" w:rsidRPr="00307A16">
        <w:rPr>
          <w:rFonts w:ascii="Arial" w:hAnsi="Arial" w:cs="Arial"/>
          <w:sz w:val="22"/>
          <w:szCs w:val="22"/>
        </w:rPr>
        <w:t>CRFs</w:t>
      </w:r>
      <w:r w:rsidR="006B5D22" w:rsidRPr="00307A16">
        <w:rPr>
          <w:rFonts w:ascii="Arial" w:hAnsi="Arial" w:cs="Arial"/>
          <w:sz w:val="22"/>
          <w:szCs w:val="22"/>
        </w:rPr>
        <w:t xml:space="preserve"> for Experimental Medicine</w:t>
      </w:r>
      <w:r w:rsidR="00441918" w:rsidRPr="00307A16">
        <w:rPr>
          <w:rFonts w:ascii="Arial" w:hAnsi="Arial" w:cs="Arial"/>
          <w:sz w:val="22"/>
          <w:szCs w:val="22"/>
        </w:rPr>
        <w:t>,</w:t>
      </w:r>
      <w:r w:rsidR="006B5D22" w:rsidRPr="00307A16">
        <w:rPr>
          <w:rFonts w:ascii="Arial" w:hAnsi="Arial" w:cs="Arial"/>
          <w:sz w:val="22"/>
          <w:szCs w:val="22"/>
        </w:rPr>
        <w:t xml:space="preserve"> </w:t>
      </w:r>
      <w:r w:rsidR="0023174E" w:rsidRPr="00307A16">
        <w:rPr>
          <w:rFonts w:ascii="Arial" w:hAnsi="Arial" w:cs="Arial"/>
          <w:sz w:val="22"/>
          <w:szCs w:val="22"/>
        </w:rPr>
        <w:t>and other NIHR infrastructure, to</w:t>
      </w:r>
      <w:r w:rsidR="006B5D22" w:rsidRPr="00307A16">
        <w:rPr>
          <w:rFonts w:ascii="Arial" w:hAnsi="Arial" w:cs="Arial"/>
          <w:sz w:val="22"/>
          <w:szCs w:val="22"/>
        </w:rPr>
        <w:t xml:space="preserve"> support </w:t>
      </w:r>
      <w:r w:rsidR="00441918" w:rsidRPr="00307A16">
        <w:rPr>
          <w:rFonts w:ascii="Arial" w:hAnsi="Arial" w:cs="Arial"/>
          <w:sz w:val="22"/>
          <w:szCs w:val="22"/>
        </w:rPr>
        <w:t xml:space="preserve">early phase and </w:t>
      </w:r>
      <w:r w:rsidR="006B5D22" w:rsidRPr="00307A16">
        <w:rPr>
          <w:rFonts w:ascii="Arial" w:hAnsi="Arial" w:cs="Arial"/>
          <w:sz w:val="22"/>
          <w:szCs w:val="22"/>
        </w:rPr>
        <w:t xml:space="preserve">high-intensity studies. This </w:t>
      </w:r>
      <w:r w:rsidR="0011407A" w:rsidRPr="00307A16">
        <w:rPr>
          <w:rFonts w:ascii="Arial" w:hAnsi="Arial" w:cs="Arial"/>
          <w:sz w:val="22"/>
          <w:szCs w:val="22"/>
        </w:rPr>
        <w:t xml:space="preserve">includes </w:t>
      </w:r>
      <w:r w:rsidR="007567BA" w:rsidRPr="00307A16">
        <w:rPr>
          <w:rFonts w:ascii="Arial" w:hAnsi="Arial" w:cs="Arial"/>
          <w:sz w:val="22"/>
          <w:szCs w:val="22"/>
        </w:rPr>
        <w:t xml:space="preserve">approximately twenty </w:t>
      </w:r>
      <w:r w:rsidR="00C60E15">
        <w:rPr>
          <w:rFonts w:ascii="Arial" w:hAnsi="Arial" w:cs="Arial"/>
          <w:sz w:val="22"/>
          <w:szCs w:val="22"/>
        </w:rPr>
        <w:t xml:space="preserve">UK-wide </w:t>
      </w:r>
      <w:r w:rsidR="007567BA" w:rsidRPr="00307A16">
        <w:rPr>
          <w:rFonts w:ascii="Arial" w:hAnsi="Arial" w:cs="Arial"/>
          <w:sz w:val="22"/>
          <w:szCs w:val="22"/>
        </w:rPr>
        <w:t>CRFs</w:t>
      </w:r>
      <w:r w:rsidR="00BA6C3A">
        <w:rPr>
          <w:rFonts w:ascii="Arial" w:hAnsi="Arial" w:cs="Arial"/>
          <w:sz w:val="22"/>
          <w:szCs w:val="22"/>
        </w:rPr>
        <w:t xml:space="preserve">, </w:t>
      </w:r>
      <w:r w:rsidR="006B5D22" w:rsidRPr="00307A16">
        <w:rPr>
          <w:rFonts w:ascii="Arial" w:hAnsi="Arial" w:cs="Arial"/>
          <w:sz w:val="22"/>
          <w:szCs w:val="22"/>
        </w:rPr>
        <w:t>w</w:t>
      </w:r>
      <w:r w:rsidR="002E3435" w:rsidRPr="00307A16">
        <w:rPr>
          <w:rFonts w:ascii="Arial" w:hAnsi="Arial" w:cs="Arial"/>
          <w:sz w:val="22"/>
          <w:szCs w:val="22"/>
        </w:rPr>
        <w:t>hich support paediatric studies</w:t>
      </w:r>
      <w:r w:rsidR="00AB0507" w:rsidRPr="00307A16">
        <w:rPr>
          <w:rFonts w:ascii="Arial" w:hAnsi="Arial" w:cs="Arial"/>
          <w:sz w:val="22"/>
          <w:szCs w:val="22"/>
        </w:rPr>
        <w:t xml:space="preserve"> (http://www.ukcrfnetwork.co.uk)</w:t>
      </w:r>
      <w:r w:rsidR="006B5D22" w:rsidRPr="00307A16">
        <w:rPr>
          <w:rFonts w:ascii="Arial" w:hAnsi="Arial" w:cs="Arial"/>
          <w:sz w:val="22"/>
          <w:szCs w:val="22"/>
        </w:rPr>
        <w:t>.</w:t>
      </w:r>
    </w:p>
    <w:p w14:paraId="1B2E00D8" w14:textId="5870F8BC" w:rsidR="00FD7609" w:rsidRPr="00307A16" w:rsidRDefault="00072558" w:rsidP="007515F8">
      <w:pPr>
        <w:spacing w:line="480" w:lineRule="auto"/>
        <w:jc w:val="both"/>
        <w:rPr>
          <w:rFonts w:ascii="Arial" w:hAnsi="Arial" w:cs="Arial"/>
          <w:sz w:val="22"/>
          <w:szCs w:val="22"/>
        </w:rPr>
      </w:pPr>
      <w:r w:rsidRPr="00307A16">
        <w:rPr>
          <w:rFonts w:ascii="Arial" w:hAnsi="Arial" w:cs="Arial"/>
          <w:sz w:val="22"/>
          <w:szCs w:val="22"/>
        </w:rPr>
        <w:t xml:space="preserve">Paediatrics is one of thirty specialties supported by the CRN. </w:t>
      </w:r>
      <w:r w:rsidR="006B5D22" w:rsidRPr="00307A16">
        <w:rPr>
          <w:rFonts w:ascii="Arial" w:hAnsi="Arial" w:cs="Arial"/>
          <w:sz w:val="22"/>
          <w:szCs w:val="22"/>
        </w:rPr>
        <w:t xml:space="preserve">There is a National </w:t>
      </w:r>
      <w:r w:rsidR="0094412B" w:rsidRPr="00307A16">
        <w:rPr>
          <w:rFonts w:ascii="Arial" w:hAnsi="Arial" w:cs="Arial"/>
          <w:sz w:val="22"/>
          <w:szCs w:val="22"/>
        </w:rPr>
        <w:t>Specialty</w:t>
      </w:r>
      <w:r w:rsidR="006B5D22" w:rsidRPr="00307A16">
        <w:rPr>
          <w:rFonts w:ascii="Arial" w:hAnsi="Arial" w:cs="Arial"/>
          <w:sz w:val="22"/>
          <w:szCs w:val="22"/>
        </w:rPr>
        <w:t xml:space="preserve"> Lead for each of the </w:t>
      </w:r>
      <w:r w:rsidR="0094412B" w:rsidRPr="00307A16">
        <w:rPr>
          <w:rFonts w:ascii="Arial" w:hAnsi="Arial" w:cs="Arial"/>
          <w:sz w:val="22"/>
          <w:szCs w:val="22"/>
        </w:rPr>
        <w:t>specialties including Children</w:t>
      </w:r>
      <w:r w:rsidR="006B5D22" w:rsidRPr="00307A16">
        <w:rPr>
          <w:rFonts w:ascii="Arial" w:hAnsi="Arial" w:cs="Arial"/>
          <w:sz w:val="22"/>
          <w:szCs w:val="22"/>
        </w:rPr>
        <w:t xml:space="preserve">. </w:t>
      </w:r>
      <w:r w:rsidR="000257D6" w:rsidRPr="00307A16">
        <w:rPr>
          <w:rFonts w:ascii="Arial" w:hAnsi="Arial" w:cs="Arial"/>
          <w:sz w:val="22"/>
          <w:szCs w:val="22"/>
        </w:rPr>
        <w:t>Within</w:t>
      </w:r>
      <w:r w:rsidR="00090DEA" w:rsidRPr="00307A16">
        <w:rPr>
          <w:rFonts w:ascii="Arial" w:hAnsi="Arial" w:cs="Arial"/>
          <w:sz w:val="22"/>
          <w:szCs w:val="22"/>
        </w:rPr>
        <w:t xml:space="preserve"> each LCRN, a Local Children’s L</w:t>
      </w:r>
      <w:r w:rsidR="000257D6" w:rsidRPr="00307A16">
        <w:rPr>
          <w:rFonts w:ascii="Arial" w:hAnsi="Arial" w:cs="Arial"/>
          <w:sz w:val="22"/>
          <w:szCs w:val="22"/>
        </w:rPr>
        <w:t>ead has been identified to work with the local paediatric community to support delivery</w:t>
      </w:r>
      <w:r w:rsidR="000A4A2E">
        <w:rPr>
          <w:rFonts w:ascii="Arial" w:hAnsi="Arial" w:cs="Arial"/>
          <w:sz w:val="22"/>
          <w:szCs w:val="22"/>
        </w:rPr>
        <w:t xml:space="preserve"> of the study P</w:t>
      </w:r>
      <w:r w:rsidR="00090DEA" w:rsidRPr="00307A16">
        <w:rPr>
          <w:rFonts w:ascii="Arial" w:hAnsi="Arial" w:cs="Arial"/>
          <w:sz w:val="22"/>
          <w:szCs w:val="22"/>
        </w:rPr>
        <w:t xml:space="preserve">ortfolio. These </w:t>
      </w:r>
      <w:r w:rsidR="00AB0507" w:rsidRPr="00307A16">
        <w:rPr>
          <w:rFonts w:ascii="Arial" w:hAnsi="Arial" w:cs="Arial"/>
          <w:sz w:val="22"/>
          <w:szCs w:val="22"/>
        </w:rPr>
        <w:t>local l</w:t>
      </w:r>
      <w:r w:rsidR="000257D6" w:rsidRPr="00307A16">
        <w:rPr>
          <w:rFonts w:ascii="Arial" w:hAnsi="Arial" w:cs="Arial"/>
          <w:sz w:val="22"/>
          <w:szCs w:val="22"/>
        </w:rPr>
        <w:t>eads work with the LCRNs and are responsible for maintaining</w:t>
      </w:r>
      <w:r w:rsidR="00AB0507" w:rsidRPr="00307A16">
        <w:rPr>
          <w:rFonts w:ascii="Arial" w:hAnsi="Arial" w:cs="Arial"/>
          <w:sz w:val="22"/>
          <w:szCs w:val="22"/>
        </w:rPr>
        <w:t xml:space="preserve"> </w:t>
      </w:r>
      <w:r w:rsidR="000257D6" w:rsidRPr="00307A16">
        <w:rPr>
          <w:rFonts w:ascii="Arial" w:hAnsi="Arial" w:cs="Arial"/>
          <w:sz w:val="22"/>
          <w:szCs w:val="22"/>
        </w:rPr>
        <w:t>a</w:t>
      </w:r>
      <w:r w:rsidR="0023174E" w:rsidRPr="00307A16">
        <w:rPr>
          <w:rFonts w:ascii="Arial" w:hAnsi="Arial" w:cs="Arial"/>
          <w:sz w:val="22"/>
          <w:szCs w:val="22"/>
        </w:rPr>
        <w:t xml:space="preserve"> regional</w:t>
      </w:r>
      <w:r w:rsidR="000257D6" w:rsidRPr="00307A16">
        <w:rPr>
          <w:rFonts w:ascii="Arial" w:hAnsi="Arial" w:cs="Arial"/>
          <w:sz w:val="22"/>
          <w:szCs w:val="22"/>
        </w:rPr>
        <w:t xml:space="preserve"> overview of Portfolio studies in their specialty,</w:t>
      </w:r>
      <w:r w:rsidR="00515227" w:rsidRPr="00307A16">
        <w:rPr>
          <w:rFonts w:ascii="Arial" w:hAnsi="Arial" w:cs="Arial"/>
          <w:sz w:val="22"/>
          <w:szCs w:val="22"/>
        </w:rPr>
        <w:t xml:space="preserve"> and facilitating delivery of </w:t>
      </w:r>
      <w:r w:rsidR="000A4A2E">
        <w:rPr>
          <w:rFonts w:ascii="Arial" w:hAnsi="Arial" w:cs="Arial"/>
          <w:sz w:val="22"/>
          <w:szCs w:val="22"/>
        </w:rPr>
        <w:t>P</w:t>
      </w:r>
      <w:r w:rsidR="00515227" w:rsidRPr="00307A16">
        <w:rPr>
          <w:rFonts w:ascii="Arial" w:hAnsi="Arial" w:cs="Arial"/>
          <w:sz w:val="22"/>
          <w:szCs w:val="22"/>
        </w:rPr>
        <w:t>ortfolio studies within local sites</w:t>
      </w:r>
      <w:r w:rsidR="000257D6" w:rsidRPr="00307A16">
        <w:rPr>
          <w:rFonts w:ascii="Arial" w:hAnsi="Arial" w:cs="Arial"/>
          <w:sz w:val="22"/>
          <w:szCs w:val="22"/>
        </w:rPr>
        <w:t>.</w:t>
      </w:r>
      <w:r w:rsidR="0011407A" w:rsidRPr="00307A16">
        <w:rPr>
          <w:rFonts w:ascii="Arial" w:hAnsi="Arial" w:cs="Arial"/>
          <w:sz w:val="22"/>
          <w:szCs w:val="22"/>
        </w:rPr>
        <w:t xml:space="preserve"> </w:t>
      </w:r>
      <w:r w:rsidR="00090DEA" w:rsidRPr="00307A16">
        <w:rPr>
          <w:rFonts w:ascii="Arial" w:hAnsi="Arial" w:cs="Arial"/>
          <w:sz w:val="22"/>
          <w:szCs w:val="22"/>
        </w:rPr>
        <w:t>The</w:t>
      </w:r>
      <w:r w:rsidR="000257D6" w:rsidRPr="00307A16">
        <w:rPr>
          <w:rFonts w:ascii="Arial" w:hAnsi="Arial" w:cs="Arial"/>
          <w:sz w:val="22"/>
          <w:szCs w:val="22"/>
        </w:rPr>
        <w:t xml:space="preserve"> National Children’s Specialty group, chaired </w:t>
      </w:r>
      <w:r w:rsidR="00693E8F">
        <w:rPr>
          <w:rFonts w:ascii="Arial" w:hAnsi="Arial" w:cs="Arial"/>
          <w:sz w:val="22"/>
          <w:szCs w:val="22"/>
        </w:rPr>
        <w:t>by</w:t>
      </w:r>
      <w:r w:rsidR="000257D6" w:rsidRPr="00307A16">
        <w:rPr>
          <w:rFonts w:ascii="Arial" w:hAnsi="Arial" w:cs="Arial"/>
          <w:sz w:val="22"/>
          <w:szCs w:val="22"/>
        </w:rPr>
        <w:t xml:space="preserve"> the National </w:t>
      </w:r>
      <w:r w:rsidR="00AB0507" w:rsidRPr="00307A16">
        <w:rPr>
          <w:rFonts w:ascii="Arial" w:hAnsi="Arial" w:cs="Arial"/>
          <w:sz w:val="22"/>
          <w:szCs w:val="22"/>
        </w:rPr>
        <w:t xml:space="preserve">Specialty </w:t>
      </w:r>
      <w:r w:rsidR="000257D6" w:rsidRPr="00307A16">
        <w:rPr>
          <w:rFonts w:ascii="Arial" w:hAnsi="Arial" w:cs="Arial"/>
          <w:sz w:val="22"/>
          <w:szCs w:val="22"/>
        </w:rPr>
        <w:t xml:space="preserve">Lead, brings the </w:t>
      </w:r>
      <w:r w:rsidR="002975F3" w:rsidRPr="00307A16">
        <w:rPr>
          <w:rFonts w:ascii="Arial" w:hAnsi="Arial" w:cs="Arial"/>
          <w:sz w:val="22"/>
          <w:szCs w:val="22"/>
        </w:rPr>
        <w:t>fifteen</w:t>
      </w:r>
      <w:r w:rsidR="000257D6" w:rsidRPr="00307A16">
        <w:rPr>
          <w:rFonts w:ascii="Arial" w:hAnsi="Arial" w:cs="Arial"/>
          <w:sz w:val="22"/>
          <w:szCs w:val="22"/>
        </w:rPr>
        <w:t xml:space="preserve"> local leads together on a regular basis</w:t>
      </w:r>
      <w:r w:rsidR="00515227" w:rsidRPr="00307A16">
        <w:rPr>
          <w:rFonts w:ascii="Arial" w:hAnsi="Arial" w:cs="Arial"/>
          <w:sz w:val="22"/>
          <w:szCs w:val="22"/>
        </w:rPr>
        <w:t xml:space="preserve"> and is responsible for linking the CRN with external specialty-specific stakeholders such as charity funders and the life sciences industry and supporting collaboration of their specialty with other parts of the CRN</w:t>
      </w:r>
      <w:r w:rsidR="000257D6" w:rsidRPr="00307A16">
        <w:rPr>
          <w:rFonts w:ascii="Arial" w:hAnsi="Arial" w:cs="Arial"/>
          <w:sz w:val="22"/>
          <w:szCs w:val="22"/>
        </w:rPr>
        <w:t>.</w:t>
      </w:r>
    </w:p>
    <w:p w14:paraId="7CC4C84D" w14:textId="77777777" w:rsidR="007515F8" w:rsidRDefault="007515F8" w:rsidP="007515F8">
      <w:pPr>
        <w:spacing w:line="480" w:lineRule="auto"/>
        <w:rPr>
          <w:rFonts w:ascii="Arial" w:hAnsi="Arial" w:cs="Arial"/>
          <w:sz w:val="22"/>
          <w:szCs w:val="22"/>
        </w:rPr>
      </w:pPr>
    </w:p>
    <w:p w14:paraId="4EE32CFE" w14:textId="1CC22B18" w:rsidR="000551C5" w:rsidRPr="00307A16" w:rsidRDefault="00AB0507" w:rsidP="007515F8">
      <w:pPr>
        <w:spacing w:line="480" w:lineRule="auto"/>
        <w:rPr>
          <w:rFonts w:ascii="Arial" w:hAnsi="Arial" w:cs="Arial"/>
          <w:b/>
          <w:sz w:val="22"/>
          <w:szCs w:val="22"/>
        </w:rPr>
      </w:pPr>
      <w:r w:rsidRPr="00307A16">
        <w:rPr>
          <w:rFonts w:ascii="Arial" w:hAnsi="Arial" w:cs="Arial"/>
          <w:b/>
          <w:sz w:val="22"/>
          <w:szCs w:val="22"/>
        </w:rPr>
        <w:t xml:space="preserve">CRN </w:t>
      </w:r>
      <w:r w:rsidR="000551C5" w:rsidRPr="00307A16">
        <w:rPr>
          <w:rFonts w:ascii="Arial" w:hAnsi="Arial" w:cs="Arial"/>
          <w:b/>
          <w:sz w:val="22"/>
          <w:szCs w:val="22"/>
        </w:rPr>
        <w:t>Portfolio</w:t>
      </w:r>
    </w:p>
    <w:p w14:paraId="0936A06A" w14:textId="01032136" w:rsidR="000551C5" w:rsidRPr="00307A16" w:rsidRDefault="000551C5" w:rsidP="007515F8">
      <w:pPr>
        <w:spacing w:line="480" w:lineRule="auto"/>
        <w:jc w:val="both"/>
        <w:rPr>
          <w:rFonts w:ascii="Arial" w:hAnsi="Arial" w:cs="Arial"/>
          <w:sz w:val="22"/>
          <w:szCs w:val="22"/>
        </w:rPr>
      </w:pPr>
      <w:r w:rsidRPr="00307A16">
        <w:rPr>
          <w:rFonts w:ascii="Arial" w:hAnsi="Arial" w:cs="Arial"/>
          <w:sz w:val="22"/>
          <w:szCs w:val="22"/>
        </w:rPr>
        <w:t xml:space="preserve">The NIHR </w:t>
      </w:r>
      <w:r w:rsidR="00515227" w:rsidRPr="00307A16">
        <w:rPr>
          <w:rFonts w:ascii="Arial" w:hAnsi="Arial" w:cs="Arial"/>
          <w:sz w:val="22"/>
          <w:szCs w:val="22"/>
        </w:rPr>
        <w:t xml:space="preserve">CRN </w:t>
      </w:r>
      <w:r w:rsidRPr="00307A16">
        <w:rPr>
          <w:rFonts w:ascii="Arial" w:hAnsi="Arial" w:cs="Arial"/>
          <w:sz w:val="22"/>
          <w:szCs w:val="22"/>
        </w:rPr>
        <w:t xml:space="preserve">Portfolio is part of the UK Clinical Research Network </w:t>
      </w:r>
      <w:r w:rsidR="00A01545" w:rsidRPr="00307A16">
        <w:rPr>
          <w:rFonts w:ascii="Arial" w:hAnsi="Arial" w:cs="Arial"/>
          <w:sz w:val="22"/>
          <w:szCs w:val="22"/>
        </w:rPr>
        <w:t xml:space="preserve">(UKCRN) </w:t>
      </w:r>
      <w:r w:rsidRPr="00307A16">
        <w:rPr>
          <w:rFonts w:ascii="Arial" w:hAnsi="Arial" w:cs="Arial"/>
          <w:sz w:val="22"/>
          <w:szCs w:val="22"/>
        </w:rPr>
        <w:t>Po</w:t>
      </w:r>
      <w:r w:rsidR="005F18F2" w:rsidRPr="00307A16">
        <w:rPr>
          <w:rFonts w:ascii="Arial" w:hAnsi="Arial" w:cs="Arial"/>
          <w:sz w:val="22"/>
          <w:szCs w:val="22"/>
        </w:rPr>
        <w:t>rtfolio, which consists of the N</w:t>
      </w:r>
      <w:r w:rsidRPr="00307A16">
        <w:rPr>
          <w:rFonts w:ascii="Arial" w:hAnsi="Arial" w:cs="Arial"/>
          <w:sz w:val="22"/>
          <w:szCs w:val="22"/>
        </w:rPr>
        <w:t xml:space="preserve">etwork Portfolios for England, Northern Ireland, Scotland and Wales. All </w:t>
      </w:r>
      <w:r w:rsidR="00983A83" w:rsidRPr="00307A16">
        <w:rPr>
          <w:rFonts w:ascii="Arial" w:hAnsi="Arial" w:cs="Arial"/>
          <w:sz w:val="22"/>
          <w:szCs w:val="22"/>
        </w:rPr>
        <w:t xml:space="preserve">UKCRN </w:t>
      </w:r>
      <w:r w:rsidRPr="00307A16">
        <w:rPr>
          <w:rFonts w:ascii="Arial" w:hAnsi="Arial" w:cs="Arial"/>
          <w:sz w:val="22"/>
          <w:szCs w:val="22"/>
        </w:rPr>
        <w:t xml:space="preserve">Portfolio studies are held on the UKCRN Portfolio database. The Portfolio </w:t>
      </w:r>
      <w:r w:rsidR="00DA6EB8" w:rsidRPr="00307A16">
        <w:rPr>
          <w:rFonts w:ascii="Arial" w:hAnsi="Arial" w:cs="Arial"/>
          <w:sz w:val="22"/>
          <w:szCs w:val="22"/>
        </w:rPr>
        <w:t>contains</w:t>
      </w:r>
      <w:r w:rsidRPr="00307A16">
        <w:rPr>
          <w:rFonts w:ascii="Arial" w:hAnsi="Arial" w:cs="Arial"/>
          <w:sz w:val="22"/>
          <w:szCs w:val="22"/>
        </w:rPr>
        <w:t xml:space="preserve"> high quality research studies </w:t>
      </w:r>
      <w:r w:rsidR="00983A83" w:rsidRPr="00307A16">
        <w:rPr>
          <w:rFonts w:ascii="Arial" w:hAnsi="Arial" w:cs="Arial"/>
          <w:sz w:val="22"/>
          <w:szCs w:val="22"/>
        </w:rPr>
        <w:t>that</w:t>
      </w:r>
      <w:r w:rsidR="00515227" w:rsidRPr="00307A16">
        <w:rPr>
          <w:rFonts w:ascii="Arial" w:hAnsi="Arial" w:cs="Arial"/>
          <w:sz w:val="22"/>
          <w:szCs w:val="22"/>
        </w:rPr>
        <w:t>, within England,</w:t>
      </w:r>
      <w:r w:rsidR="00983A83" w:rsidRPr="00307A16">
        <w:rPr>
          <w:rFonts w:ascii="Arial" w:hAnsi="Arial" w:cs="Arial"/>
          <w:sz w:val="22"/>
          <w:szCs w:val="22"/>
        </w:rPr>
        <w:t xml:space="preserve"> </w:t>
      </w:r>
      <w:r w:rsidRPr="00307A16">
        <w:rPr>
          <w:rFonts w:ascii="Arial" w:hAnsi="Arial" w:cs="Arial"/>
          <w:sz w:val="22"/>
          <w:szCs w:val="22"/>
        </w:rPr>
        <w:t xml:space="preserve">have access to CRN support. </w:t>
      </w:r>
    </w:p>
    <w:p w14:paraId="2403C738" w14:textId="4CDA0E23" w:rsidR="00430142" w:rsidRPr="00307A16" w:rsidRDefault="000551C5" w:rsidP="007515F8">
      <w:pPr>
        <w:spacing w:line="480" w:lineRule="auto"/>
        <w:jc w:val="both"/>
        <w:rPr>
          <w:rFonts w:ascii="Arial" w:hAnsi="Arial" w:cs="Arial"/>
          <w:sz w:val="22"/>
          <w:szCs w:val="22"/>
        </w:rPr>
      </w:pPr>
      <w:r w:rsidRPr="00307A16">
        <w:rPr>
          <w:rFonts w:ascii="Arial" w:hAnsi="Arial" w:cs="Arial"/>
          <w:sz w:val="22"/>
          <w:szCs w:val="22"/>
        </w:rPr>
        <w:t xml:space="preserve">The </w:t>
      </w:r>
      <w:r w:rsidR="004803D1" w:rsidRPr="00307A16">
        <w:rPr>
          <w:rFonts w:ascii="Arial" w:hAnsi="Arial" w:cs="Arial"/>
          <w:sz w:val="22"/>
          <w:szCs w:val="22"/>
        </w:rPr>
        <w:t>DoH</w:t>
      </w:r>
      <w:r w:rsidRPr="00307A16">
        <w:rPr>
          <w:rFonts w:ascii="Arial" w:hAnsi="Arial" w:cs="Arial"/>
          <w:sz w:val="22"/>
          <w:szCs w:val="22"/>
        </w:rPr>
        <w:t xml:space="preserve"> have determined the eligibility criteria for Portfolio studies. All studies must be a “research study” (i.e. attempt to derive generalisable new knowledge by addressing clearly defined questions with systematic and rigorous methods) and have acquired funding prior to </w:t>
      </w:r>
      <w:r w:rsidR="00515227" w:rsidRPr="00307A16">
        <w:rPr>
          <w:rFonts w:ascii="Arial" w:hAnsi="Arial" w:cs="Arial"/>
          <w:sz w:val="22"/>
          <w:szCs w:val="22"/>
        </w:rPr>
        <w:t>inclusion within</w:t>
      </w:r>
      <w:r w:rsidRPr="00307A16">
        <w:rPr>
          <w:rFonts w:ascii="Arial" w:hAnsi="Arial" w:cs="Arial"/>
          <w:sz w:val="22"/>
          <w:szCs w:val="22"/>
        </w:rPr>
        <w:t xml:space="preserve"> the </w:t>
      </w:r>
      <w:r w:rsidR="000A4A2E">
        <w:rPr>
          <w:rFonts w:ascii="Arial" w:hAnsi="Arial" w:cs="Arial"/>
          <w:sz w:val="22"/>
          <w:szCs w:val="22"/>
        </w:rPr>
        <w:t>P</w:t>
      </w:r>
      <w:r w:rsidRPr="00307A16">
        <w:rPr>
          <w:rFonts w:ascii="Arial" w:hAnsi="Arial" w:cs="Arial"/>
          <w:sz w:val="22"/>
          <w:szCs w:val="22"/>
        </w:rPr>
        <w:t xml:space="preserve">ortfolio. All non-commercial studies must </w:t>
      </w:r>
      <w:r w:rsidR="00515227" w:rsidRPr="00307A16">
        <w:rPr>
          <w:rFonts w:ascii="Arial" w:hAnsi="Arial" w:cs="Arial"/>
          <w:sz w:val="22"/>
          <w:szCs w:val="22"/>
        </w:rPr>
        <w:t xml:space="preserve">have </w:t>
      </w:r>
      <w:r w:rsidRPr="00307A16">
        <w:rPr>
          <w:rFonts w:ascii="Arial" w:hAnsi="Arial" w:cs="Arial"/>
          <w:sz w:val="22"/>
          <w:szCs w:val="22"/>
        </w:rPr>
        <w:t>obtain</w:t>
      </w:r>
      <w:r w:rsidR="00515227" w:rsidRPr="00307A16">
        <w:rPr>
          <w:rFonts w:ascii="Arial" w:hAnsi="Arial" w:cs="Arial"/>
          <w:sz w:val="22"/>
          <w:szCs w:val="22"/>
        </w:rPr>
        <w:t>ed</w:t>
      </w:r>
      <w:r w:rsidRPr="00307A16">
        <w:rPr>
          <w:rFonts w:ascii="Arial" w:hAnsi="Arial" w:cs="Arial"/>
          <w:sz w:val="22"/>
          <w:szCs w:val="22"/>
        </w:rPr>
        <w:t xml:space="preserve"> funding through a nationally competitive, peer-reviewed process. </w:t>
      </w:r>
      <w:r w:rsidR="00EC104D" w:rsidRPr="00307A16">
        <w:rPr>
          <w:rFonts w:ascii="Arial" w:hAnsi="Arial" w:cs="Arial"/>
          <w:sz w:val="22"/>
          <w:szCs w:val="22"/>
        </w:rPr>
        <w:lastRenderedPageBreak/>
        <w:t xml:space="preserve">Studies which have some of their research funded by the NIHR, other areas of central Government and NIHR non-commercial Partners are automatically eligible for inclusion on the Portfolio. Studies which are not automatically eligible must undergo a formal adoption process to be considered for inclusion. More details regarding eligibility criteria can be found at: </w:t>
      </w:r>
      <w:r w:rsidR="00B2250F" w:rsidRPr="00307A16">
        <w:rPr>
          <w:rFonts w:ascii="Arial" w:hAnsi="Arial" w:cs="Arial"/>
          <w:sz w:val="22"/>
          <w:szCs w:val="22"/>
        </w:rPr>
        <w:t>https://www.crn.nihr.ac.uk/can-help/funders-academics/nihrcrn-portfolio/which-studies-are-eligible-for-clinical-research-network-support/</w:t>
      </w:r>
      <w:r w:rsidR="00EC104D" w:rsidRPr="00307A16">
        <w:rPr>
          <w:rFonts w:ascii="Arial" w:hAnsi="Arial" w:cs="Arial"/>
          <w:sz w:val="22"/>
          <w:szCs w:val="22"/>
        </w:rPr>
        <w:t>.</w:t>
      </w:r>
      <w:r w:rsidR="00B2250F" w:rsidRPr="00307A16">
        <w:rPr>
          <w:rFonts w:ascii="Arial" w:hAnsi="Arial" w:cs="Arial"/>
          <w:sz w:val="22"/>
          <w:szCs w:val="22"/>
        </w:rPr>
        <w:t xml:space="preserve"> </w:t>
      </w:r>
      <w:r w:rsidRPr="00307A16">
        <w:rPr>
          <w:rFonts w:ascii="Arial" w:hAnsi="Arial" w:cs="Arial"/>
          <w:sz w:val="22"/>
          <w:szCs w:val="22"/>
        </w:rPr>
        <w:t xml:space="preserve">The researcher submits a Portfolio Adoption Form through </w:t>
      </w:r>
      <w:r w:rsidR="005E7AC4" w:rsidRPr="00307A16">
        <w:rPr>
          <w:rFonts w:ascii="Arial" w:hAnsi="Arial" w:cs="Arial"/>
          <w:sz w:val="22"/>
          <w:szCs w:val="22"/>
        </w:rPr>
        <w:t>the Integrated Research Application System (</w:t>
      </w:r>
      <w:r w:rsidRPr="00307A16">
        <w:rPr>
          <w:rFonts w:ascii="Arial" w:hAnsi="Arial" w:cs="Arial"/>
          <w:sz w:val="22"/>
          <w:szCs w:val="22"/>
        </w:rPr>
        <w:t>IRAS</w:t>
      </w:r>
      <w:r w:rsidR="005E7AC4" w:rsidRPr="00307A16">
        <w:rPr>
          <w:rFonts w:ascii="Arial" w:hAnsi="Arial" w:cs="Arial"/>
          <w:sz w:val="22"/>
          <w:szCs w:val="22"/>
        </w:rPr>
        <w:t>)</w:t>
      </w:r>
      <w:r w:rsidRPr="00307A16">
        <w:rPr>
          <w:rFonts w:ascii="Arial" w:hAnsi="Arial" w:cs="Arial"/>
          <w:sz w:val="22"/>
          <w:szCs w:val="22"/>
        </w:rPr>
        <w:t xml:space="preserve">. </w:t>
      </w:r>
      <w:r w:rsidR="00515227" w:rsidRPr="00307A16">
        <w:rPr>
          <w:rFonts w:ascii="Arial" w:hAnsi="Arial" w:cs="Arial"/>
          <w:sz w:val="22"/>
          <w:szCs w:val="22"/>
        </w:rPr>
        <w:t>Studies sponsored by the life sciences industry are also eligible for inclusion in the UKCRN Portfolio</w:t>
      </w:r>
      <w:r w:rsidR="00ED0CAB" w:rsidRPr="00307A16">
        <w:rPr>
          <w:rFonts w:ascii="Arial" w:hAnsi="Arial" w:cs="Arial"/>
          <w:sz w:val="22"/>
          <w:szCs w:val="22"/>
        </w:rPr>
        <w:t xml:space="preserve"> and are considered based on quality, relevance and feasibility.</w:t>
      </w:r>
      <w:r w:rsidR="00D415A4" w:rsidRPr="00307A16">
        <w:rPr>
          <w:rFonts w:ascii="Arial" w:hAnsi="Arial" w:cs="Arial"/>
          <w:sz w:val="22"/>
          <w:szCs w:val="22"/>
        </w:rPr>
        <w:t xml:space="preserve"> Commercial research is eligible for NHS service support and this is provided on a cost recovery basis.</w:t>
      </w:r>
      <w:r w:rsidR="00515227" w:rsidRPr="00307A16">
        <w:rPr>
          <w:rFonts w:ascii="Arial" w:hAnsi="Arial" w:cs="Arial"/>
          <w:sz w:val="22"/>
          <w:szCs w:val="22"/>
        </w:rPr>
        <w:t xml:space="preserve"> </w:t>
      </w:r>
      <w:r w:rsidRPr="00307A16">
        <w:rPr>
          <w:rFonts w:ascii="Arial" w:hAnsi="Arial" w:cs="Arial"/>
          <w:sz w:val="22"/>
          <w:szCs w:val="22"/>
        </w:rPr>
        <w:t xml:space="preserve"> </w:t>
      </w:r>
    </w:p>
    <w:p w14:paraId="3FFE770D" w14:textId="64E6F9BB" w:rsidR="00D55D96" w:rsidRPr="00307A16" w:rsidRDefault="003F779A" w:rsidP="007515F8">
      <w:pPr>
        <w:spacing w:line="480" w:lineRule="auto"/>
        <w:jc w:val="both"/>
        <w:rPr>
          <w:rFonts w:ascii="Arial" w:hAnsi="Arial" w:cs="Arial"/>
          <w:sz w:val="22"/>
          <w:szCs w:val="22"/>
        </w:rPr>
      </w:pPr>
      <w:r w:rsidRPr="00307A16">
        <w:rPr>
          <w:rFonts w:ascii="Arial" w:hAnsi="Arial" w:cs="Arial"/>
          <w:sz w:val="22"/>
          <w:szCs w:val="22"/>
        </w:rPr>
        <w:t>S</w:t>
      </w:r>
      <w:r w:rsidR="008520D8" w:rsidRPr="00307A16">
        <w:rPr>
          <w:rFonts w:ascii="Arial" w:hAnsi="Arial" w:cs="Arial"/>
          <w:sz w:val="22"/>
          <w:szCs w:val="22"/>
        </w:rPr>
        <w:t>upport is provided for eligible</w:t>
      </w:r>
      <w:r w:rsidR="00BA638A" w:rsidRPr="00307A16">
        <w:rPr>
          <w:rFonts w:ascii="Arial" w:hAnsi="Arial" w:cs="Arial"/>
          <w:sz w:val="22"/>
          <w:szCs w:val="22"/>
        </w:rPr>
        <w:t xml:space="preserve"> </w:t>
      </w:r>
      <w:r w:rsidR="00ED0CAB" w:rsidRPr="00307A16">
        <w:rPr>
          <w:rFonts w:ascii="Arial" w:hAnsi="Arial" w:cs="Arial"/>
          <w:sz w:val="22"/>
          <w:szCs w:val="22"/>
        </w:rPr>
        <w:t xml:space="preserve">studies </w:t>
      </w:r>
      <w:r w:rsidR="00ED068D" w:rsidRPr="00307A16">
        <w:rPr>
          <w:rFonts w:ascii="Arial" w:hAnsi="Arial" w:cs="Arial"/>
          <w:sz w:val="22"/>
          <w:szCs w:val="22"/>
        </w:rPr>
        <w:t>at sites</w:t>
      </w:r>
      <w:r w:rsidR="00430142" w:rsidRPr="00307A16">
        <w:rPr>
          <w:rFonts w:ascii="Arial" w:hAnsi="Arial" w:cs="Arial"/>
          <w:sz w:val="22"/>
          <w:szCs w:val="22"/>
        </w:rPr>
        <w:t>,</w:t>
      </w:r>
      <w:r w:rsidR="008520D8" w:rsidRPr="00307A16">
        <w:rPr>
          <w:rFonts w:ascii="Arial" w:hAnsi="Arial" w:cs="Arial"/>
          <w:sz w:val="22"/>
          <w:szCs w:val="22"/>
        </w:rPr>
        <w:t xml:space="preserve"> </w:t>
      </w:r>
      <w:r w:rsidRPr="00307A16">
        <w:rPr>
          <w:rFonts w:ascii="Arial" w:hAnsi="Arial" w:cs="Arial"/>
          <w:sz w:val="22"/>
          <w:szCs w:val="22"/>
        </w:rPr>
        <w:t xml:space="preserve">and </w:t>
      </w:r>
      <w:r w:rsidR="008520D8" w:rsidRPr="00307A16">
        <w:rPr>
          <w:rFonts w:ascii="Arial" w:hAnsi="Arial" w:cs="Arial"/>
          <w:sz w:val="22"/>
          <w:szCs w:val="22"/>
        </w:rPr>
        <w:t>may include support from CRN staff such as LCRN man</w:t>
      </w:r>
      <w:r w:rsidR="00DA6EB8" w:rsidRPr="00307A16">
        <w:rPr>
          <w:rFonts w:ascii="Arial" w:hAnsi="Arial" w:cs="Arial"/>
          <w:sz w:val="22"/>
          <w:szCs w:val="22"/>
        </w:rPr>
        <w:t>a</w:t>
      </w:r>
      <w:r w:rsidR="008520D8" w:rsidRPr="00307A16">
        <w:rPr>
          <w:rFonts w:ascii="Arial" w:hAnsi="Arial" w:cs="Arial"/>
          <w:sz w:val="22"/>
          <w:szCs w:val="22"/>
        </w:rPr>
        <w:t>gers, research nurses, data managers, secretarial suppor</w:t>
      </w:r>
      <w:r w:rsidR="00DA6EB8" w:rsidRPr="00307A16">
        <w:rPr>
          <w:rFonts w:ascii="Arial" w:hAnsi="Arial" w:cs="Arial"/>
          <w:sz w:val="22"/>
          <w:szCs w:val="22"/>
        </w:rPr>
        <w:t>t and medical staff sessions</w:t>
      </w:r>
      <w:r w:rsidR="008520D8" w:rsidRPr="00307A16">
        <w:rPr>
          <w:rFonts w:ascii="Arial" w:hAnsi="Arial" w:cs="Arial"/>
          <w:sz w:val="22"/>
          <w:szCs w:val="22"/>
        </w:rPr>
        <w:t>. It may also include appropriate clinical service supp</w:t>
      </w:r>
      <w:r w:rsidR="00A37465" w:rsidRPr="00307A16">
        <w:rPr>
          <w:rFonts w:ascii="Arial" w:hAnsi="Arial" w:cs="Arial"/>
          <w:sz w:val="22"/>
          <w:szCs w:val="22"/>
        </w:rPr>
        <w:t>ort such as pharmacy, radiology and</w:t>
      </w:r>
      <w:r w:rsidR="008520D8" w:rsidRPr="00307A16">
        <w:rPr>
          <w:rFonts w:ascii="Arial" w:hAnsi="Arial" w:cs="Arial"/>
          <w:sz w:val="22"/>
          <w:szCs w:val="22"/>
        </w:rPr>
        <w:t xml:space="preserve"> pathology.</w:t>
      </w:r>
    </w:p>
    <w:p w14:paraId="202A010C" w14:textId="77777777" w:rsidR="0010781E" w:rsidRPr="00307A16" w:rsidRDefault="0010781E" w:rsidP="007515F8">
      <w:pPr>
        <w:spacing w:line="480" w:lineRule="auto"/>
        <w:jc w:val="both"/>
        <w:rPr>
          <w:rFonts w:ascii="Arial" w:hAnsi="Arial" w:cs="Arial"/>
          <w:sz w:val="22"/>
          <w:szCs w:val="22"/>
        </w:rPr>
      </w:pPr>
    </w:p>
    <w:p w14:paraId="18EBD074" w14:textId="0EE88375" w:rsidR="00EF4D51" w:rsidRPr="00307A16" w:rsidRDefault="000551C5" w:rsidP="007515F8">
      <w:pPr>
        <w:spacing w:line="480" w:lineRule="auto"/>
        <w:rPr>
          <w:rFonts w:ascii="Arial" w:hAnsi="Arial" w:cs="Arial"/>
          <w:b/>
          <w:sz w:val="22"/>
          <w:szCs w:val="22"/>
        </w:rPr>
      </w:pPr>
      <w:r w:rsidRPr="00307A16">
        <w:rPr>
          <w:rFonts w:ascii="Arial" w:hAnsi="Arial" w:cs="Arial"/>
          <w:b/>
          <w:sz w:val="22"/>
          <w:szCs w:val="22"/>
        </w:rPr>
        <w:t>CRN: C</w:t>
      </w:r>
      <w:r w:rsidR="00075196" w:rsidRPr="00307A16">
        <w:rPr>
          <w:rFonts w:ascii="Arial" w:hAnsi="Arial" w:cs="Arial"/>
          <w:b/>
          <w:sz w:val="22"/>
          <w:szCs w:val="22"/>
        </w:rPr>
        <w:t>HILDREN</w:t>
      </w:r>
    </w:p>
    <w:p w14:paraId="29A89FC6" w14:textId="14F5279B" w:rsidR="000551C5" w:rsidRDefault="000551C5" w:rsidP="007515F8">
      <w:pPr>
        <w:spacing w:line="480" w:lineRule="auto"/>
        <w:jc w:val="both"/>
        <w:rPr>
          <w:rFonts w:ascii="Arial" w:hAnsi="Arial" w:cs="Arial"/>
          <w:sz w:val="22"/>
          <w:szCs w:val="22"/>
        </w:rPr>
      </w:pPr>
      <w:r w:rsidRPr="00307A16">
        <w:rPr>
          <w:rFonts w:ascii="Arial" w:hAnsi="Arial" w:cs="Arial"/>
          <w:sz w:val="22"/>
          <w:szCs w:val="22"/>
        </w:rPr>
        <w:t xml:space="preserve">CRN: Children supports therapeutic </w:t>
      </w:r>
      <w:r w:rsidR="00983A83" w:rsidRPr="00307A16">
        <w:rPr>
          <w:rFonts w:ascii="Arial" w:hAnsi="Arial" w:cs="Arial"/>
          <w:sz w:val="22"/>
          <w:szCs w:val="22"/>
        </w:rPr>
        <w:t xml:space="preserve">early and late phase </w:t>
      </w:r>
      <w:r w:rsidRPr="00307A16">
        <w:rPr>
          <w:rFonts w:ascii="Arial" w:hAnsi="Arial" w:cs="Arial"/>
          <w:sz w:val="22"/>
          <w:szCs w:val="22"/>
        </w:rPr>
        <w:t>clinical trials</w:t>
      </w:r>
      <w:r w:rsidR="00983A83" w:rsidRPr="00307A16">
        <w:rPr>
          <w:rFonts w:ascii="Arial" w:hAnsi="Arial" w:cs="Arial"/>
          <w:sz w:val="22"/>
          <w:szCs w:val="22"/>
        </w:rPr>
        <w:t>,</w:t>
      </w:r>
      <w:r w:rsidRPr="00307A16">
        <w:rPr>
          <w:rFonts w:ascii="Arial" w:hAnsi="Arial" w:cs="Arial"/>
          <w:sz w:val="22"/>
          <w:szCs w:val="22"/>
        </w:rPr>
        <w:t xml:space="preserve"> pharmacokinetic, pharmacodynamic, pharmacovigilance and other high quality studies in all therapeutic areas except children’s oncology</w:t>
      </w:r>
      <w:r w:rsidR="00F33EC3" w:rsidRPr="00307A16">
        <w:rPr>
          <w:rFonts w:ascii="Arial" w:hAnsi="Arial" w:cs="Arial"/>
          <w:sz w:val="22"/>
          <w:szCs w:val="22"/>
        </w:rPr>
        <w:t xml:space="preserve"> and child mental health, </w:t>
      </w:r>
      <w:r w:rsidR="00242542">
        <w:rPr>
          <w:rFonts w:ascii="Arial" w:hAnsi="Arial" w:cs="Arial"/>
          <w:sz w:val="22"/>
          <w:szCs w:val="22"/>
        </w:rPr>
        <w:t>which</w:t>
      </w:r>
      <w:r w:rsidR="00F33EC3" w:rsidRPr="00307A16">
        <w:rPr>
          <w:rFonts w:ascii="Arial" w:hAnsi="Arial" w:cs="Arial"/>
          <w:sz w:val="22"/>
          <w:szCs w:val="22"/>
        </w:rPr>
        <w:t xml:space="preserve"> are supported by </w:t>
      </w:r>
      <w:r w:rsidRPr="00307A16">
        <w:rPr>
          <w:rFonts w:ascii="Arial" w:hAnsi="Arial" w:cs="Arial"/>
          <w:sz w:val="22"/>
          <w:szCs w:val="22"/>
        </w:rPr>
        <w:t xml:space="preserve">CRN: Cancer </w:t>
      </w:r>
      <w:r w:rsidR="00F33EC3" w:rsidRPr="00307A16">
        <w:rPr>
          <w:rFonts w:ascii="Arial" w:hAnsi="Arial" w:cs="Arial"/>
          <w:sz w:val="22"/>
          <w:szCs w:val="22"/>
        </w:rPr>
        <w:t xml:space="preserve">and CRN: Mental health </w:t>
      </w:r>
      <w:r w:rsidRPr="00307A16">
        <w:rPr>
          <w:rFonts w:ascii="Arial" w:hAnsi="Arial" w:cs="Arial"/>
          <w:sz w:val="22"/>
          <w:szCs w:val="22"/>
        </w:rPr>
        <w:t>specialt</w:t>
      </w:r>
      <w:r w:rsidR="00F33EC3" w:rsidRPr="00307A16">
        <w:rPr>
          <w:rFonts w:ascii="Arial" w:hAnsi="Arial" w:cs="Arial"/>
          <w:sz w:val="22"/>
          <w:szCs w:val="22"/>
        </w:rPr>
        <w:t>ies respectively</w:t>
      </w:r>
      <w:r w:rsidR="0000576E" w:rsidRPr="00307A16">
        <w:rPr>
          <w:rFonts w:ascii="Arial" w:hAnsi="Arial" w:cs="Arial"/>
          <w:sz w:val="22"/>
          <w:szCs w:val="22"/>
        </w:rPr>
        <w:t>.</w:t>
      </w:r>
      <w:r w:rsidR="00545F83" w:rsidRPr="00307A16">
        <w:rPr>
          <w:rFonts w:ascii="Arial" w:hAnsi="Arial" w:cs="Arial"/>
          <w:sz w:val="22"/>
          <w:szCs w:val="22"/>
        </w:rPr>
        <w:t xml:space="preserve"> </w:t>
      </w:r>
      <w:r w:rsidR="00C60E15" w:rsidRPr="00307A16">
        <w:rPr>
          <w:rFonts w:ascii="Arial" w:hAnsi="Arial" w:cs="Arial"/>
          <w:sz w:val="22"/>
          <w:szCs w:val="22"/>
        </w:rPr>
        <w:t xml:space="preserve">A total of over </w:t>
      </w:r>
      <w:r w:rsidR="00C60E15">
        <w:rPr>
          <w:rFonts w:ascii="Arial" w:hAnsi="Arial" w:cs="Arial"/>
          <w:sz w:val="22"/>
          <w:szCs w:val="22"/>
        </w:rPr>
        <w:t>200</w:t>
      </w:r>
      <w:r w:rsidR="00C60E15" w:rsidRPr="00307A16">
        <w:rPr>
          <w:rFonts w:ascii="Arial" w:hAnsi="Arial" w:cs="Arial"/>
          <w:sz w:val="22"/>
          <w:szCs w:val="22"/>
        </w:rPr>
        <w:t>,000 participants have be</w:t>
      </w:r>
      <w:r w:rsidR="000A4A2E">
        <w:rPr>
          <w:rFonts w:ascii="Arial" w:hAnsi="Arial" w:cs="Arial"/>
          <w:sz w:val="22"/>
          <w:szCs w:val="22"/>
        </w:rPr>
        <w:t>en recruited to the Children’s P</w:t>
      </w:r>
      <w:r w:rsidR="00C60E15" w:rsidRPr="00307A16">
        <w:rPr>
          <w:rFonts w:ascii="Arial" w:hAnsi="Arial" w:cs="Arial"/>
          <w:sz w:val="22"/>
          <w:szCs w:val="22"/>
        </w:rPr>
        <w:t>ortfolio studies to date.</w:t>
      </w:r>
      <w:r w:rsidR="00242542">
        <w:rPr>
          <w:rFonts w:ascii="Arial" w:hAnsi="Arial" w:cs="Arial"/>
          <w:sz w:val="22"/>
          <w:szCs w:val="22"/>
        </w:rPr>
        <w:t xml:space="preserve">[3] </w:t>
      </w:r>
      <w:r w:rsidR="00545F83" w:rsidRPr="00307A16">
        <w:rPr>
          <w:rFonts w:ascii="Arial" w:hAnsi="Arial" w:cs="Arial"/>
          <w:sz w:val="22"/>
          <w:szCs w:val="22"/>
        </w:rPr>
        <w:t xml:space="preserve">The SYCAMORE trial </w:t>
      </w:r>
      <w:r w:rsidR="00C60E15">
        <w:rPr>
          <w:rFonts w:ascii="Arial" w:hAnsi="Arial" w:cs="Arial"/>
          <w:sz w:val="22"/>
          <w:szCs w:val="22"/>
        </w:rPr>
        <w:t xml:space="preserve">[4] </w:t>
      </w:r>
      <w:r w:rsidR="00545F83" w:rsidRPr="00307A16">
        <w:rPr>
          <w:rFonts w:ascii="Arial" w:hAnsi="Arial" w:cs="Arial"/>
          <w:sz w:val="22"/>
          <w:szCs w:val="22"/>
        </w:rPr>
        <w:t>provides a good example of the many ways in which the CRN: Children can support clinical trials (</w:t>
      </w:r>
      <w:r w:rsidR="00242542">
        <w:rPr>
          <w:rFonts w:ascii="Arial" w:hAnsi="Arial" w:cs="Arial"/>
          <w:sz w:val="22"/>
          <w:szCs w:val="22"/>
        </w:rPr>
        <w:t>see T</w:t>
      </w:r>
      <w:r w:rsidR="00545F83" w:rsidRPr="00307A16">
        <w:rPr>
          <w:rFonts w:ascii="Arial" w:hAnsi="Arial" w:cs="Arial"/>
          <w:sz w:val="22"/>
          <w:szCs w:val="22"/>
        </w:rPr>
        <w:t>able 2).</w:t>
      </w:r>
      <w:r w:rsidR="0000576E" w:rsidRPr="00307A16">
        <w:rPr>
          <w:rFonts w:ascii="Arial" w:hAnsi="Arial" w:cs="Arial"/>
          <w:sz w:val="22"/>
          <w:szCs w:val="22"/>
        </w:rPr>
        <w:t xml:space="preserve"> </w:t>
      </w:r>
    </w:p>
    <w:p w14:paraId="57A28205" w14:textId="61B407C4" w:rsidR="00545F83" w:rsidRDefault="00545F83" w:rsidP="007515F8">
      <w:pPr>
        <w:spacing w:line="480" w:lineRule="auto"/>
        <w:jc w:val="both"/>
        <w:rPr>
          <w:rFonts w:ascii="Arial" w:hAnsi="Arial" w:cs="Arial"/>
          <w:sz w:val="22"/>
          <w:szCs w:val="22"/>
        </w:rPr>
      </w:pPr>
    </w:p>
    <w:p w14:paraId="1FF4C38F" w14:textId="77777777" w:rsidR="00EA21BA" w:rsidRDefault="00EA21BA" w:rsidP="007515F8">
      <w:pPr>
        <w:spacing w:line="480" w:lineRule="auto"/>
        <w:jc w:val="both"/>
        <w:rPr>
          <w:rFonts w:ascii="Arial" w:hAnsi="Arial" w:cs="Arial"/>
          <w:sz w:val="22"/>
          <w:szCs w:val="22"/>
        </w:rPr>
      </w:pPr>
    </w:p>
    <w:p w14:paraId="0BFF07CA" w14:textId="77777777" w:rsidR="00EA21BA" w:rsidRDefault="00EA21BA" w:rsidP="007515F8">
      <w:pPr>
        <w:spacing w:line="480" w:lineRule="auto"/>
        <w:jc w:val="both"/>
        <w:rPr>
          <w:rFonts w:ascii="Arial" w:hAnsi="Arial" w:cs="Arial"/>
          <w:sz w:val="22"/>
          <w:szCs w:val="22"/>
        </w:rPr>
      </w:pPr>
    </w:p>
    <w:p w14:paraId="51DA84C2" w14:textId="77777777" w:rsidR="00EA21BA" w:rsidRPr="00307A16" w:rsidRDefault="00EA21BA" w:rsidP="007515F8">
      <w:pPr>
        <w:spacing w:line="480" w:lineRule="auto"/>
        <w:jc w:val="both"/>
        <w:rPr>
          <w:rFonts w:ascii="Arial" w:hAnsi="Arial" w:cs="Arial"/>
          <w:sz w:val="22"/>
          <w:szCs w:val="22"/>
        </w:rPr>
      </w:pPr>
    </w:p>
    <w:p w14:paraId="3A926360" w14:textId="0C948641" w:rsidR="00545F83" w:rsidRPr="00307A16" w:rsidRDefault="00545F83" w:rsidP="007515F8">
      <w:pPr>
        <w:spacing w:line="480" w:lineRule="auto"/>
        <w:rPr>
          <w:rFonts w:ascii="Arial" w:hAnsi="Arial" w:cs="Arial"/>
          <w:i/>
          <w:sz w:val="22"/>
          <w:szCs w:val="22"/>
          <w:vertAlign w:val="superscript"/>
        </w:rPr>
      </w:pPr>
      <w:r w:rsidRPr="00307A16">
        <w:rPr>
          <w:rFonts w:ascii="Arial" w:hAnsi="Arial" w:cs="Arial"/>
          <w:i/>
          <w:sz w:val="22"/>
          <w:szCs w:val="22"/>
        </w:rPr>
        <w:lastRenderedPageBreak/>
        <w:t>Table 2: Case Study – The SYCAMORE Trial</w:t>
      </w:r>
      <w:r w:rsidR="00C60E15">
        <w:rPr>
          <w:rFonts w:ascii="Arial" w:hAnsi="Arial" w:cs="Arial"/>
          <w:i/>
          <w:sz w:val="22"/>
          <w:szCs w:val="22"/>
        </w:rPr>
        <w:t xml:space="preserve"> [4]</w:t>
      </w:r>
    </w:p>
    <w:tbl>
      <w:tblPr>
        <w:tblStyle w:val="TableGrid"/>
        <w:tblW w:w="0" w:type="auto"/>
        <w:tblInd w:w="-34" w:type="dxa"/>
        <w:tblLook w:val="04A0" w:firstRow="1" w:lastRow="0" w:firstColumn="1" w:lastColumn="0" w:noHBand="0" w:noVBand="1"/>
      </w:tblPr>
      <w:tblGrid>
        <w:gridCol w:w="8324"/>
      </w:tblGrid>
      <w:tr w:rsidR="00545F83" w:rsidRPr="00307A16" w14:paraId="6C4C4187" w14:textId="77777777" w:rsidTr="001A1C3E">
        <w:trPr>
          <w:trHeight w:val="454"/>
        </w:trPr>
        <w:tc>
          <w:tcPr>
            <w:tcW w:w="8324" w:type="dxa"/>
            <w:shd w:val="clear" w:color="auto" w:fill="EEECE1" w:themeFill="background2"/>
            <w:vAlign w:val="center"/>
          </w:tcPr>
          <w:p w14:paraId="1CFB35D1" w14:textId="77777777" w:rsidR="00545F83" w:rsidRPr="00307A16" w:rsidRDefault="00545F83" w:rsidP="007515F8">
            <w:pPr>
              <w:spacing w:line="480" w:lineRule="auto"/>
              <w:jc w:val="both"/>
              <w:rPr>
                <w:rFonts w:ascii="Arial" w:hAnsi="Arial" w:cs="Arial"/>
                <w:sz w:val="22"/>
                <w:szCs w:val="22"/>
                <w:vertAlign w:val="superscript"/>
              </w:rPr>
            </w:pPr>
            <w:r w:rsidRPr="00307A16">
              <w:rPr>
                <w:rFonts w:ascii="Arial" w:hAnsi="Arial" w:cs="Arial"/>
                <w:sz w:val="22"/>
                <w:szCs w:val="22"/>
              </w:rPr>
              <w:t>The SYCAMORE Trial: A randomised controlled trial (RCT) supported by CRN: Children with study design, set up and delivery</w:t>
            </w:r>
          </w:p>
        </w:tc>
      </w:tr>
      <w:tr w:rsidR="00545F83" w:rsidRPr="00307A16" w14:paraId="521E7D4A" w14:textId="77777777" w:rsidTr="001A1C3E">
        <w:tc>
          <w:tcPr>
            <w:tcW w:w="8324" w:type="dxa"/>
          </w:tcPr>
          <w:p w14:paraId="447AD77F" w14:textId="1FFFE18D" w:rsidR="00545F83" w:rsidRPr="00307A16" w:rsidRDefault="00545F83" w:rsidP="007515F8">
            <w:pPr>
              <w:pStyle w:val="ListParagraph"/>
              <w:numPr>
                <w:ilvl w:val="0"/>
                <w:numId w:val="3"/>
              </w:numPr>
              <w:tabs>
                <w:tab w:val="left" w:pos="2080"/>
              </w:tabs>
              <w:spacing w:line="480" w:lineRule="auto"/>
              <w:jc w:val="both"/>
              <w:rPr>
                <w:rFonts w:ascii="Arial" w:hAnsi="Arial" w:cs="Arial"/>
                <w:sz w:val="22"/>
                <w:szCs w:val="22"/>
              </w:rPr>
            </w:pPr>
            <w:r w:rsidRPr="00307A16">
              <w:rPr>
                <w:rFonts w:ascii="Arial" w:hAnsi="Arial" w:cs="Arial"/>
                <w:sz w:val="22"/>
                <w:szCs w:val="22"/>
              </w:rPr>
              <w:t xml:space="preserve">Participants: Patients aged ≥2 to &lt;18 years with persistently active </w:t>
            </w:r>
            <w:r w:rsidR="00B56532">
              <w:rPr>
                <w:rFonts w:ascii="Arial" w:hAnsi="Arial" w:cs="Arial"/>
                <w:sz w:val="22"/>
                <w:szCs w:val="22"/>
              </w:rPr>
              <w:t>juvenile idiopathic arthritis</w:t>
            </w:r>
            <w:r w:rsidR="00AC69EB">
              <w:rPr>
                <w:rFonts w:ascii="Arial" w:hAnsi="Arial" w:cs="Arial"/>
                <w:sz w:val="22"/>
                <w:szCs w:val="22"/>
              </w:rPr>
              <w:t xml:space="preserve"> </w:t>
            </w:r>
            <w:r w:rsidRPr="00307A16">
              <w:rPr>
                <w:rFonts w:ascii="Arial" w:hAnsi="Arial" w:cs="Arial"/>
                <w:sz w:val="22"/>
                <w:szCs w:val="22"/>
              </w:rPr>
              <w:t>associated uveitis despite optimized methotrexate treatment.</w:t>
            </w:r>
          </w:p>
          <w:p w14:paraId="37A9FBED" w14:textId="77777777" w:rsidR="00545F83" w:rsidRPr="00307A16" w:rsidRDefault="00545F83" w:rsidP="007515F8">
            <w:pPr>
              <w:pStyle w:val="ListParagraph"/>
              <w:numPr>
                <w:ilvl w:val="0"/>
                <w:numId w:val="3"/>
              </w:numPr>
              <w:tabs>
                <w:tab w:val="left" w:pos="2080"/>
              </w:tabs>
              <w:spacing w:line="480" w:lineRule="auto"/>
              <w:jc w:val="both"/>
              <w:rPr>
                <w:rFonts w:ascii="Arial" w:hAnsi="Arial" w:cs="Arial"/>
                <w:sz w:val="22"/>
                <w:szCs w:val="22"/>
              </w:rPr>
            </w:pPr>
            <w:r w:rsidRPr="00307A16">
              <w:rPr>
                <w:rFonts w:ascii="Arial" w:hAnsi="Arial" w:cs="Arial"/>
                <w:sz w:val="22"/>
                <w:szCs w:val="22"/>
              </w:rPr>
              <w:t>Intervention: Subcutaneous adalimumab every 2 weeks</w:t>
            </w:r>
          </w:p>
          <w:p w14:paraId="0F32964E" w14:textId="77777777" w:rsidR="00545F83" w:rsidRPr="00307A16" w:rsidRDefault="00545F83" w:rsidP="007515F8">
            <w:pPr>
              <w:pStyle w:val="ListParagraph"/>
              <w:numPr>
                <w:ilvl w:val="0"/>
                <w:numId w:val="3"/>
              </w:numPr>
              <w:tabs>
                <w:tab w:val="left" w:pos="2080"/>
              </w:tabs>
              <w:spacing w:line="480" w:lineRule="auto"/>
              <w:jc w:val="both"/>
              <w:rPr>
                <w:rFonts w:ascii="Arial" w:hAnsi="Arial" w:cs="Arial"/>
                <w:sz w:val="22"/>
                <w:szCs w:val="22"/>
              </w:rPr>
            </w:pPr>
            <w:r w:rsidRPr="00307A16">
              <w:rPr>
                <w:rFonts w:ascii="Arial" w:hAnsi="Arial" w:cs="Arial"/>
                <w:sz w:val="22"/>
                <w:szCs w:val="22"/>
              </w:rPr>
              <w:t>Comparator: Subcutaneous placebo injection every 2 weeks</w:t>
            </w:r>
          </w:p>
          <w:p w14:paraId="22BCF4B2" w14:textId="77777777" w:rsidR="00545F83" w:rsidRPr="00307A16" w:rsidRDefault="00545F83" w:rsidP="007515F8">
            <w:pPr>
              <w:pStyle w:val="ListParagraph"/>
              <w:numPr>
                <w:ilvl w:val="0"/>
                <w:numId w:val="3"/>
              </w:numPr>
              <w:tabs>
                <w:tab w:val="left" w:pos="2080"/>
              </w:tabs>
              <w:spacing w:line="480" w:lineRule="auto"/>
              <w:jc w:val="both"/>
              <w:rPr>
                <w:rFonts w:ascii="Arial" w:hAnsi="Arial" w:cs="Arial"/>
                <w:sz w:val="22"/>
                <w:szCs w:val="22"/>
              </w:rPr>
            </w:pPr>
            <w:r w:rsidRPr="00307A16">
              <w:rPr>
                <w:rFonts w:ascii="Arial" w:hAnsi="Arial" w:cs="Arial"/>
                <w:sz w:val="22"/>
                <w:szCs w:val="22"/>
              </w:rPr>
              <w:t>Outcome: Time to treatment failure</w:t>
            </w:r>
          </w:p>
          <w:p w14:paraId="460419A5" w14:textId="367CAF12" w:rsidR="00545F83" w:rsidRPr="00307A16" w:rsidRDefault="00545F83" w:rsidP="007515F8">
            <w:pPr>
              <w:pStyle w:val="ListParagraph"/>
              <w:numPr>
                <w:ilvl w:val="0"/>
                <w:numId w:val="3"/>
              </w:numPr>
              <w:tabs>
                <w:tab w:val="left" w:pos="2080"/>
              </w:tabs>
              <w:spacing w:line="480" w:lineRule="auto"/>
              <w:jc w:val="both"/>
              <w:rPr>
                <w:rFonts w:ascii="Arial" w:hAnsi="Arial" w:cs="Arial"/>
                <w:sz w:val="22"/>
                <w:szCs w:val="22"/>
              </w:rPr>
            </w:pPr>
            <w:r w:rsidRPr="00307A16">
              <w:rPr>
                <w:rFonts w:ascii="Arial" w:hAnsi="Arial" w:cs="Arial"/>
                <w:sz w:val="22"/>
                <w:szCs w:val="22"/>
              </w:rPr>
              <w:t>Treatment of uveitis not responsive to methotrexate identified as a research priority by the Paediatric Rheumatology CSG</w:t>
            </w:r>
          </w:p>
          <w:p w14:paraId="2658A5A3" w14:textId="68551F00" w:rsidR="00545F83" w:rsidRPr="00307A16" w:rsidRDefault="00545F83" w:rsidP="007515F8">
            <w:pPr>
              <w:pStyle w:val="ListParagraph"/>
              <w:numPr>
                <w:ilvl w:val="0"/>
                <w:numId w:val="3"/>
              </w:numPr>
              <w:tabs>
                <w:tab w:val="left" w:pos="2080"/>
              </w:tabs>
              <w:spacing w:line="480" w:lineRule="auto"/>
              <w:jc w:val="both"/>
              <w:rPr>
                <w:rFonts w:ascii="Arial" w:hAnsi="Arial" w:cs="Arial"/>
                <w:sz w:val="22"/>
                <w:szCs w:val="22"/>
              </w:rPr>
            </w:pPr>
            <w:r w:rsidRPr="00307A16">
              <w:rPr>
                <w:rFonts w:ascii="Arial" w:hAnsi="Arial" w:cs="Arial"/>
                <w:sz w:val="22"/>
                <w:szCs w:val="22"/>
              </w:rPr>
              <w:t>Recruitment across multiple NHS sites involv</w:t>
            </w:r>
            <w:r w:rsidR="0021596D">
              <w:rPr>
                <w:rFonts w:ascii="Arial" w:hAnsi="Arial" w:cs="Arial"/>
                <w:sz w:val="22"/>
                <w:szCs w:val="22"/>
              </w:rPr>
              <w:t>ed</w:t>
            </w:r>
            <w:r w:rsidRPr="00307A16">
              <w:rPr>
                <w:rFonts w:ascii="Arial" w:hAnsi="Arial" w:cs="Arial"/>
                <w:sz w:val="22"/>
                <w:szCs w:val="22"/>
              </w:rPr>
              <w:t xml:space="preserve"> 10 LCRNs as well as Scotland and Northern Ireland</w:t>
            </w:r>
          </w:p>
          <w:p w14:paraId="31D717C3" w14:textId="77777777" w:rsidR="00545F83" w:rsidRPr="00307A16" w:rsidRDefault="00545F83" w:rsidP="007515F8">
            <w:pPr>
              <w:pStyle w:val="ListParagraph"/>
              <w:numPr>
                <w:ilvl w:val="0"/>
                <w:numId w:val="3"/>
              </w:numPr>
              <w:tabs>
                <w:tab w:val="left" w:pos="2080"/>
              </w:tabs>
              <w:spacing w:line="480" w:lineRule="auto"/>
              <w:jc w:val="both"/>
              <w:rPr>
                <w:rFonts w:ascii="Arial" w:hAnsi="Arial" w:cs="Arial"/>
                <w:sz w:val="22"/>
                <w:szCs w:val="22"/>
              </w:rPr>
            </w:pPr>
            <w:r w:rsidRPr="00307A16">
              <w:rPr>
                <w:rFonts w:ascii="Arial" w:hAnsi="Arial" w:cs="Arial"/>
                <w:sz w:val="22"/>
                <w:szCs w:val="22"/>
              </w:rPr>
              <w:t xml:space="preserve">Patient and public involvement was proactively part of every part of the study prioritisation, design (including championing for use of a placebo), conduct, delivery overcoming hurdles and final implementation of the preliminary data </w:t>
            </w:r>
          </w:p>
          <w:p w14:paraId="23B75A80" w14:textId="3027508A" w:rsidR="00545F83" w:rsidRPr="00307A16" w:rsidRDefault="00545F83" w:rsidP="007515F8">
            <w:pPr>
              <w:pStyle w:val="ListParagraph"/>
              <w:numPr>
                <w:ilvl w:val="0"/>
                <w:numId w:val="3"/>
              </w:numPr>
              <w:tabs>
                <w:tab w:val="left" w:pos="2080"/>
              </w:tabs>
              <w:spacing w:line="480" w:lineRule="auto"/>
              <w:jc w:val="both"/>
              <w:rPr>
                <w:rFonts w:ascii="Arial" w:hAnsi="Arial" w:cs="Arial"/>
                <w:sz w:val="22"/>
                <w:szCs w:val="22"/>
              </w:rPr>
            </w:pPr>
            <w:r w:rsidRPr="00307A16">
              <w:rPr>
                <w:rFonts w:ascii="Arial" w:hAnsi="Arial" w:cs="Arial"/>
                <w:sz w:val="22"/>
                <w:szCs w:val="22"/>
              </w:rPr>
              <w:t>CRN funded research nurses supported study set-up and deliver</w:t>
            </w:r>
            <w:r w:rsidR="00ED0CAB" w:rsidRPr="00307A16">
              <w:rPr>
                <w:rFonts w:ascii="Arial" w:hAnsi="Arial" w:cs="Arial"/>
                <w:sz w:val="22"/>
                <w:szCs w:val="22"/>
              </w:rPr>
              <w:t>ed the</w:t>
            </w:r>
            <w:r w:rsidRPr="00307A16">
              <w:rPr>
                <w:rFonts w:ascii="Arial" w:hAnsi="Arial" w:cs="Arial"/>
                <w:sz w:val="22"/>
                <w:szCs w:val="22"/>
              </w:rPr>
              <w:t xml:space="preserve"> study across multiple sites</w:t>
            </w:r>
          </w:p>
          <w:p w14:paraId="4C179EFD" w14:textId="77777777" w:rsidR="00545F83" w:rsidRPr="00307A16" w:rsidRDefault="00545F83" w:rsidP="007515F8">
            <w:pPr>
              <w:pStyle w:val="ListParagraph"/>
              <w:numPr>
                <w:ilvl w:val="0"/>
                <w:numId w:val="3"/>
              </w:numPr>
              <w:tabs>
                <w:tab w:val="left" w:pos="2080"/>
              </w:tabs>
              <w:spacing w:line="480" w:lineRule="auto"/>
              <w:jc w:val="both"/>
              <w:rPr>
                <w:rFonts w:ascii="Arial" w:hAnsi="Arial" w:cs="Arial"/>
                <w:sz w:val="22"/>
                <w:szCs w:val="22"/>
              </w:rPr>
            </w:pPr>
            <w:r w:rsidRPr="00307A16">
              <w:rPr>
                <w:rFonts w:ascii="Arial" w:hAnsi="Arial" w:cs="Arial"/>
                <w:sz w:val="22"/>
                <w:szCs w:val="22"/>
              </w:rPr>
              <w:t>CRN national co-ordinating centre organised teleconferences between local Network managers to share successful recruitment strategies e.g. identifying sites with combined ophthalmology and rheumatology clinics had better recruitment</w:t>
            </w:r>
          </w:p>
          <w:p w14:paraId="413B3C7B" w14:textId="24933E8F" w:rsidR="00545F83" w:rsidRPr="00307A16" w:rsidRDefault="00545F83" w:rsidP="007515F8">
            <w:pPr>
              <w:pStyle w:val="ListParagraph"/>
              <w:numPr>
                <w:ilvl w:val="0"/>
                <w:numId w:val="3"/>
              </w:numPr>
              <w:tabs>
                <w:tab w:val="left" w:pos="2080"/>
              </w:tabs>
              <w:spacing w:line="480" w:lineRule="auto"/>
              <w:jc w:val="both"/>
              <w:rPr>
                <w:rFonts w:ascii="Arial" w:hAnsi="Arial" w:cs="Arial"/>
                <w:sz w:val="22"/>
                <w:szCs w:val="22"/>
              </w:rPr>
            </w:pPr>
            <w:r w:rsidRPr="00307A16">
              <w:rPr>
                <w:rFonts w:ascii="Arial" w:hAnsi="Arial" w:cs="Arial"/>
                <w:sz w:val="22"/>
                <w:szCs w:val="22"/>
              </w:rPr>
              <w:t>LCRN manager facilitate</w:t>
            </w:r>
            <w:r w:rsidR="0021596D">
              <w:rPr>
                <w:rFonts w:ascii="Arial" w:hAnsi="Arial" w:cs="Arial"/>
                <w:sz w:val="22"/>
                <w:szCs w:val="22"/>
              </w:rPr>
              <w:t>d</w:t>
            </w:r>
            <w:r w:rsidRPr="00307A16">
              <w:rPr>
                <w:rFonts w:ascii="Arial" w:hAnsi="Arial" w:cs="Arial"/>
                <w:sz w:val="22"/>
                <w:szCs w:val="22"/>
              </w:rPr>
              <w:t xml:space="preserve"> meetings with local Sycamore team to review recruitment strategies and share successful strategies from other sites</w:t>
            </w:r>
          </w:p>
          <w:p w14:paraId="188C1C18" w14:textId="77777777" w:rsidR="00545F83" w:rsidRPr="00307A16" w:rsidRDefault="00545F83" w:rsidP="007515F8">
            <w:pPr>
              <w:pStyle w:val="ListParagraph"/>
              <w:numPr>
                <w:ilvl w:val="0"/>
                <w:numId w:val="3"/>
              </w:numPr>
              <w:tabs>
                <w:tab w:val="left" w:pos="2080"/>
              </w:tabs>
              <w:spacing w:line="480" w:lineRule="auto"/>
              <w:jc w:val="both"/>
              <w:rPr>
                <w:rFonts w:ascii="Arial" w:hAnsi="Arial" w:cs="Arial"/>
                <w:sz w:val="22"/>
                <w:szCs w:val="22"/>
              </w:rPr>
            </w:pPr>
            <w:r w:rsidRPr="00307A16">
              <w:rPr>
                <w:rFonts w:ascii="Arial" w:hAnsi="Arial" w:cs="Arial"/>
                <w:sz w:val="22"/>
                <w:szCs w:val="22"/>
              </w:rPr>
              <w:t>CRN national co-ordinating centre collated information on national recruitment</w:t>
            </w:r>
          </w:p>
        </w:tc>
      </w:tr>
    </w:tbl>
    <w:p w14:paraId="45063A28" w14:textId="77777777" w:rsidR="0010781E" w:rsidRPr="00307A16" w:rsidRDefault="0010781E" w:rsidP="007515F8">
      <w:pPr>
        <w:spacing w:line="480" w:lineRule="auto"/>
        <w:jc w:val="both"/>
        <w:rPr>
          <w:rFonts w:ascii="Arial" w:hAnsi="Arial" w:cs="Arial"/>
          <w:sz w:val="22"/>
          <w:szCs w:val="22"/>
        </w:rPr>
      </w:pPr>
    </w:p>
    <w:p w14:paraId="38EF295B" w14:textId="77777777" w:rsidR="007515F8" w:rsidRDefault="007515F8" w:rsidP="007515F8">
      <w:pPr>
        <w:spacing w:line="480" w:lineRule="auto"/>
        <w:rPr>
          <w:rFonts w:ascii="Arial" w:hAnsi="Arial" w:cs="Arial"/>
          <w:b/>
          <w:sz w:val="22"/>
          <w:szCs w:val="22"/>
        </w:rPr>
      </w:pPr>
    </w:p>
    <w:p w14:paraId="4A12554F" w14:textId="77777777" w:rsidR="007515F8" w:rsidRDefault="007515F8" w:rsidP="007515F8">
      <w:pPr>
        <w:spacing w:line="480" w:lineRule="auto"/>
        <w:rPr>
          <w:rFonts w:ascii="Arial" w:hAnsi="Arial" w:cs="Arial"/>
          <w:b/>
          <w:sz w:val="22"/>
          <w:szCs w:val="22"/>
        </w:rPr>
      </w:pPr>
    </w:p>
    <w:p w14:paraId="1AF1F876" w14:textId="77777777" w:rsidR="00D55D96" w:rsidRPr="00307A16" w:rsidRDefault="00D55D96" w:rsidP="007515F8">
      <w:pPr>
        <w:spacing w:line="480" w:lineRule="auto"/>
        <w:rPr>
          <w:rFonts w:ascii="Arial" w:hAnsi="Arial" w:cs="Arial"/>
          <w:b/>
          <w:sz w:val="22"/>
          <w:szCs w:val="22"/>
        </w:rPr>
      </w:pPr>
      <w:r w:rsidRPr="00307A16">
        <w:rPr>
          <w:rFonts w:ascii="Arial" w:hAnsi="Arial" w:cs="Arial"/>
          <w:b/>
          <w:sz w:val="22"/>
          <w:szCs w:val="22"/>
        </w:rPr>
        <w:lastRenderedPageBreak/>
        <w:t>History of the CRN: Children</w:t>
      </w:r>
    </w:p>
    <w:p w14:paraId="6B17890B" w14:textId="363AECF4" w:rsidR="00121FCE" w:rsidRPr="00307A16" w:rsidRDefault="00D55D96" w:rsidP="007515F8">
      <w:pPr>
        <w:spacing w:line="480" w:lineRule="auto"/>
        <w:jc w:val="both"/>
        <w:rPr>
          <w:rFonts w:ascii="Arial" w:hAnsi="Arial" w:cs="Arial"/>
          <w:sz w:val="22"/>
          <w:szCs w:val="22"/>
        </w:rPr>
      </w:pPr>
      <w:r w:rsidRPr="00307A16">
        <w:rPr>
          <w:rFonts w:ascii="Arial" w:hAnsi="Arial" w:cs="Arial"/>
          <w:sz w:val="22"/>
          <w:szCs w:val="22"/>
        </w:rPr>
        <w:t>P</w:t>
      </w:r>
      <w:r w:rsidR="00307BB7" w:rsidRPr="00307A16">
        <w:rPr>
          <w:rFonts w:ascii="Arial" w:hAnsi="Arial" w:cs="Arial"/>
          <w:sz w:val="22"/>
          <w:szCs w:val="22"/>
        </w:rPr>
        <w:t>aediatric research was prioritis</w:t>
      </w:r>
      <w:r w:rsidRPr="00307A16">
        <w:rPr>
          <w:rFonts w:ascii="Arial" w:hAnsi="Arial" w:cs="Arial"/>
          <w:sz w:val="22"/>
          <w:szCs w:val="22"/>
        </w:rPr>
        <w:t xml:space="preserve">ed by the UK government for substantial investment as part of the strategy on Medicines for Children (2004). A key component of this was the establishment of the </w:t>
      </w:r>
      <w:r w:rsidR="005D1BBA" w:rsidRPr="00307A16">
        <w:rPr>
          <w:rFonts w:ascii="Arial" w:hAnsi="Arial" w:cs="Arial"/>
          <w:sz w:val="22"/>
          <w:szCs w:val="22"/>
        </w:rPr>
        <w:t xml:space="preserve">NIHR </w:t>
      </w:r>
      <w:r w:rsidRPr="00307A16">
        <w:rPr>
          <w:rFonts w:ascii="Arial" w:hAnsi="Arial" w:cs="Arial"/>
          <w:sz w:val="22"/>
          <w:szCs w:val="22"/>
        </w:rPr>
        <w:t xml:space="preserve">Medicines for Children Research Network (MCRN), part of the response to the introduction of the </w:t>
      </w:r>
      <w:r w:rsidR="00AC69EB">
        <w:rPr>
          <w:rFonts w:ascii="Arial" w:hAnsi="Arial" w:cs="Arial"/>
          <w:sz w:val="22"/>
          <w:szCs w:val="22"/>
        </w:rPr>
        <w:t>European Union (</w:t>
      </w:r>
      <w:r w:rsidRPr="00307A16">
        <w:rPr>
          <w:rFonts w:ascii="Arial" w:hAnsi="Arial" w:cs="Arial"/>
          <w:sz w:val="22"/>
          <w:szCs w:val="22"/>
        </w:rPr>
        <w:t>EU</w:t>
      </w:r>
      <w:r w:rsidR="00AC69EB">
        <w:rPr>
          <w:rFonts w:ascii="Arial" w:hAnsi="Arial" w:cs="Arial"/>
          <w:sz w:val="22"/>
          <w:szCs w:val="22"/>
        </w:rPr>
        <w:t>)</w:t>
      </w:r>
      <w:r w:rsidRPr="00307A16">
        <w:rPr>
          <w:rFonts w:ascii="Arial" w:hAnsi="Arial" w:cs="Arial"/>
          <w:sz w:val="22"/>
          <w:szCs w:val="22"/>
        </w:rPr>
        <w:t xml:space="preserve"> Regulation </w:t>
      </w:r>
      <w:r w:rsidR="00ED0CAB" w:rsidRPr="00307A16">
        <w:rPr>
          <w:rFonts w:ascii="Arial" w:hAnsi="Arial" w:cs="Arial"/>
          <w:sz w:val="22"/>
          <w:szCs w:val="22"/>
        </w:rPr>
        <w:t xml:space="preserve">on Medicinal Products for Pediatric Use </w:t>
      </w:r>
      <w:r w:rsidRPr="00307A16">
        <w:rPr>
          <w:rFonts w:ascii="Arial" w:hAnsi="Arial" w:cs="Arial"/>
          <w:sz w:val="22"/>
          <w:szCs w:val="22"/>
        </w:rPr>
        <w:t xml:space="preserve">which came into force in 2007. </w:t>
      </w:r>
      <w:r w:rsidR="003F0CD8" w:rsidRPr="00307A16">
        <w:rPr>
          <w:rFonts w:ascii="Arial" w:hAnsi="Arial" w:cs="Arial"/>
          <w:sz w:val="22"/>
          <w:szCs w:val="22"/>
        </w:rPr>
        <w:t xml:space="preserve">The EU Regulation included a requirement for all new licensing applications to include a Paediatric Investigation Plan </w:t>
      </w:r>
      <w:r w:rsidR="00121FCE" w:rsidRPr="00307A16">
        <w:rPr>
          <w:rFonts w:ascii="Arial" w:hAnsi="Arial" w:cs="Arial"/>
          <w:sz w:val="22"/>
          <w:szCs w:val="22"/>
        </w:rPr>
        <w:t>to establish safety and efficacy in the paediatric age group, as well as adaptations for age-appropriate formulations; if the studies are completed the company can apply for a 6-month patent extension (regardless of whether a marketing authori</w:t>
      </w:r>
      <w:r w:rsidR="001A1C3E" w:rsidRPr="00307A16">
        <w:rPr>
          <w:rFonts w:ascii="Arial" w:hAnsi="Arial" w:cs="Arial"/>
          <w:sz w:val="22"/>
          <w:szCs w:val="22"/>
        </w:rPr>
        <w:t>s</w:t>
      </w:r>
      <w:r w:rsidR="00121FCE" w:rsidRPr="00307A16">
        <w:rPr>
          <w:rFonts w:ascii="Arial" w:hAnsi="Arial" w:cs="Arial"/>
          <w:sz w:val="22"/>
          <w:szCs w:val="22"/>
        </w:rPr>
        <w:t>ation is granted in the paediatric age group). For studies of safety and efficacy of older medicines in children companies can apply for a Paediatric Use Marketing Authorisation</w:t>
      </w:r>
      <w:r w:rsidR="00C60E15">
        <w:rPr>
          <w:rFonts w:ascii="Arial" w:hAnsi="Arial" w:cs="Arial"/>
          <w:sz w:val="22"/>
          <w:szCs w:val="22"/>
        </w:rPr>
        <w:t xml:space="preserve"> (PUMA)</w:t>
      </w:r>
      <w:r w:rsidR="00121FCE" w:rsidRPr="00307A16">
        <w:rPr>
          <w:rFonts w:ascii="Arial" w:hAnsi="Arial" w:cs="Arial"/>
          <w:sz w:val="22"/>
          <w:szCs w:val="22"/>
        </w:rPr>
        <w:t xml:space="preserve"> which will allow 10 years of data protection for use of that drug in children.</w:t>
      </w:r>
      <w:r w:rsidR="00876031">
        <w:rPr>
          <w:rFonts w:ascii="Arial" w:hAnsi="Arial" w:cs="Arial"/>
          <w:sz w:val="22"/>
          <w:szCs w:val="22"/>
        </w:rPr>
        <w:t>[5]</w:t>
      </w:r>
      <w:r w:rsidR="00121FCE" w:rsidRPr="00307A16">
        <w:rPr>
          <w:rFonts w:ascii="Arial" w:hAnsi="Arial" w:cs="Arial"/>
          <w:sz w:val="22"/>
          <w:szCs w:val="22"/>
        </w:rPr>
        <w:t xml:space="preserve"> </w:t>
      </w:r>
    </w:p>
    <w:p w14:paraId="4B6477E8" w14:textId="0880B887" w:rsidR="00D55D96" w:rsidRPr="00307A16" w:rsidRDefault="003F0CD8" w:rsidP="007515F8">
      <w:pPr>
        <w:spacing w:line="480" w:lineRule="auto"/>
        <w:jc w:val="both"/>
        <w:rPr>
          <w:rFonts w:ascii="Arial" w:hAnsi="Arial" w:cs="Arial"/>
          <w:sz w:val="22"/>
          <w:szCs w:val="22"/>
        </w:rPr>
      </w:pPr>
      <w:r w:rsidRPr="00307A16">
        <w:rPr>
          <w:rFonts w:ascii="Arial" w:hAnsi="Arial" w:cs="Arial"/>
          <w:sz w:val="22"/>
          <w:szCs w:val="22"/>
        </w:rPr>
        <w:t xml:space="preserve">The </w:t>
      </w:r>
      <w:r w:rsidR="00D55D96" w:rsidRPr="00307A16">
        <w:rPr>
          <w:rFonts w:ascii="Arial" w:hAnsi="Arial" w:cs="Arial"/>
          <w:sz w:val="22"/>
          <w:szCs w:val="22"/>
        </w:rPr>
        <w:t>aim</w:t>
      </w:r>
      <w:r w:rsidRPr="00307A16">
        <w:rPr>
          <w:rFonts w:ascii="Arial" w:hAnsi="Arial" w:cs="Arial"/>
          <w:sz w:val="22"/>
          <w:szCs w:val="22"/>
        </w:rPr>
        <w:t xml:space="preserve"> of the MCRN</w:t>
      </w:r>
      <w:r w:rsidR="00D55D96" w:rsidRPr="00307A16">
        <w:rPr>
          <w:rFonts w:ascii="Arial" w:hAnsi="Arial" w:cs="Arial"/>
          <w:sz w:val="22"/>
          <w:szCs w:val="22"/>
        </w:rPr>
        <w:t xml:space="preserve"> was to improve children’s health and alleviate suffering through the provision of better and safer medicines. The </w:t>
      </w:r>
      <w:r w:rsidR="005D1BBA" w:rsidRPr="00307A16">
        <w:rPr>
          <w:rFonts w:ascii="Arial" w:hAnsi="Arial" w:cs="Arial"/>
          <w:sz w:val="22"/>
          <w:szCs w:val="22"/>
        </w:rPr>
        <w:t xml:space="preserve">NIHR </w:t>
      </w:r>
      <w:r w:rsidR="00D55D96" w:rsidRPr="00307A16">
        <w:rPr>
          <w:rFonts w:ascii="Arial" w:hAnsi="Arial" w:cs="Arial"/>
          <w:sz w:val="22"/>
          <w:szCs w:val="22"/>
        </w:rPr>
        <w:t>MCRN provided an organised netw</w:t>
      </w:r>
      <w:r w:rsidR="00876031">
        <w:rPr>
          <w:rFonts w:ascii="Arial" w:hAnsi="Arial" w:cs="Arial"/>
          <w:sz w:val="22"/>
          <w:szCs w:val="22"/>
        </w:rPr>
        <w:t>ork for the delivery of studies,</w:t>
      </w:r>
      <w:r w:rsidR="006C31A5">
        <w:rPr>
          <w:rFonts w:ascii="Arial" w:hAnsi="Arial" w:cs="Arial"/>
          <w:sz w:val="22"/>
          <w:szCs w:val="22"/>
        </w:rPr>
        <w:t>[6]</w:t>
      </w:r>
      <w:r w:rsidR="00D55D96" w:rsidRPr="00307A16">
        <w:rPr>
          <w:rFonts w:ascii="Arial" w:hAnsi="Arial" w:cs="Arial"/>
          <w:sz w:val="22"/>
          <w:szCs w:val="22"/>
        </w:rPr>
        <w:t xml:space="preserve"> in addition to providing an infrastructure to support the development of new studies.</w:t>
      </w:r>
    </w:p>
    <w:p w14:paraId="369F08A1" w14:textId="1473CEE0" w:rsidR="00D55D96" w:rsidRPr="00307A16" w:rsidRDefault="00D55D96" w:rsidP="007515F8">
      <w:pPr>
        <w:spacing w:line="480" w:lineRule="auto"/>
        <w:jc w:val="both"/>
        <w:rPr>
          <w:rFonts w:ascii="Arial" w:hAnsi="Arial" w:cs="Arial"/>
          <w:sz w:val="22"/>
          <w:szCs w:val="22"/>
        </w:rPr>
      </w:pPr>
      <w:r w:rsidRPr="00307A16">
        <w:rPr>
          <w:rFonts w:ascii="Arial" w:hAnsi="Arial" w:cs="Arial"/>
          <w:sz w:val="22"/>
          <w:szCs w:val="22"/>
        </w:rPr>
        <w:t>As part of the NIHR Comprehensive Cli</w:t>
      </w:r>
      <w:r w:rsidR="00235801" w:rsidRPr="00307A16">
        <w:rPr>
          <w:rFonts w:ascii="Arial" w:hAnsi="Arial" w:cs="Arial"/>
          <w:sz w:val="22"/>
          <w:szCs w:val="22"/>
        </w:rPr>
        <w:t>nical Research Network</w:t>
      </w:r>
      <w:r w:rsidRPr="00307A16">
        <w:rPr>
          <w:rFonts w:ascii="Arial" w:hAnsi="Arial" w:cs="Arial"/>
          <w:sz w:val="22"/>
          <w:szCs w:val="22"/>
        </w:rPr>
        <w:t xml:space="preserve">, the Paediatric (non-medicines) Specialty Group (PSG) was set up in 2009 and supported a national </w:t>
      </w:r>
      <w:r w:rsidR="000A4A2E">
        <w:rPr>
          <w:rFonts w:ascii="Arial" w:hAnsi="Arial" w:cs="Arial"/>
          <w:sz w:val="22"/>
          <w:szCs w:val="22"/>
        </w:rPr>
        <w:t>P</w:t>
      </w:r>
      <w:r w:rsidRPr="00307A16">
        <w:rPr>
          <w:rFonts w:ascii="Arial" w:hAnsi="Arial" w:cs="Arial"/>
          <w:sz w:val="22"/>
          <w:szCs w:val="22"/>
        </w:rPr>
        <w:t xml:space="preserve">ortfolio of paediatric research studies </w:t>
      </w:r>
      <w:r w:rsidR="00F33EC3" w:rsidRPr="00307A16">
        <w:rPr>
          <w:rFonts w:ascii="Arial" w:hAnsi="Arial" w:cs="Arial"/>
          <w:sz w:val="22"/>
          <w:szCs w:val="22"/>
        </w:rPr>
        <w:t xml:space="preserve">that </w:t>
      </w:r>
      <w:r w:rsidRPr="00307A16">
        <w:rPr>
          <w:rFonts w:ascii="Arial" w:hAnsi="Arial" w:cs="Arial"/>
          <w:sz w:val="22"/>
          <w:szCs w:val="22"/>
        </w:rPr>
        <w:t xml:space="preserve">did not involve medicines. </w:t>
      </w:r>
    </w:p>
    <w:p w14:paraId="36783890" w14:textId="7AC7555A" w:rsidR="00D55D96" w:rsidRPr="00307A16" w:rsidRDefault="00D55D96" w:rsidP="007515F8">
      <w:pPr>
        <w:spacing w:line="480" w:lineRule="auto"/>
        <w:jc w:val="both"/>
        <w:rPr>
          <w:rFonts w:ascii="Arial" w:hAnsi="Arial" w:cs="Arial"/>
          <w:sz w:val="22"/>
          <w:szCs w:val="22"/>
        </w:rPr>
      </w:pPr>
      <w:r w:rsidRPr="00307A16">
        <w:rPr>
          <w:rFonts w:ascii="Arial" w:hAnsi="Arial" w:cs="Arial"/>
          <w:sz w:val="22"/>
          <w:szCs w:val="22"/>
        </w:rPr>
        <w:t>Since April 2014, the NIHR CRN as a whole has undergon</w:t>
      </w:r>
      <w:r w:rsidR="0000576E" w:rsidRPr="00307A16">
        <w:rPr>
          <w:rFonts w:ascii="Arial" w:hAnsi="Arial" w:cs="Arial"/>
          <w:sz w:val="22"/>
          <w:szCs w:val="22"/>
        </w:rPr>
        <w:t>e significant reorganisation to</w:t>
      </w:r>
      <w:r w:rsidRPr="00307A16">
        <w:rPr>
          <w:rFonts w:ascii="Arial" w:hAnsi="Arial" w:cs="Arial"/>
          <w:sz w:val="22"/>
          <w:szCs w:val="22"/>
        </w:rPr>
        <w:t xml:space="preserve"> improve access for researchers, customers and patients and to streamline and </w:t>
      </w:r>
      <w:r w:rsidR="004840E5">
        <w:rPr>
          <w:rFonts w:ascii="Arial" w:hAnsi="Arial" w:cs="Arial"/>
          <w:sz w:val="22"/>
          <w:szCs w:val="22"/>
        </w:rPr>
        <w:t>simplify processes that support</w:t>
      </w:r>
      <w:r w:rsidRPr="00307A16">
        <w:rPr>
          <w:rFonts w:ascii="Arial" w:hAnsi="Arial" w:cs="Arial"/>
          <w:sz w:val="22"/>
          <w:szCs w:val="22"/>
        </w:rPr>
        <w:t xml:space="preserve"> research </w:t>
      </w:r>
      <w:r w:rsidRPr="004840E5">
        <w:rPr>
          <w:rFonts w:ascii="Arial" w:hAnsi="Arial" w:cs="Arial"/>
          <w:sz w:val="22"/>
          <w:szCs w:val="22"/>
        </w:rPr>
        <w:t>delivery.</w:t>
      </w:r>
      <w:r w:rsidR="00876031" w:rsidRPr="004840E5">
        <w:rPr>
          <w:rFonts w:ascii="Arial" w:hAnsi="Arial" w:cs="Arial"/>
          <w:sz w:val="22"/>
          <w:szCs w:val="22"/>
        </w:rPr>
        <w:t>[2]</w:t>
      </w:r>
      <w:r w:rsidRPr="004840E5">
        <w:rPr>
          <w:rFonts w:ascii="Arial" w:hAnsi="Arial" w:cs="Arial"/>
          <w:sz w:val="22"/>
          <w:szCs w:val="22"/>
        </w:rPr>
        <w:t xml:space="preserve"> </w:t>
      </w:r>
      <w:r w:rsidRPr="004840E5">
        <w:rPr>
          <w:rFonts w:ascii="Arial" w:hAnsi="Arial" w:cs="Arial"/>
          <w:sz w:val="22"/>
          <w:szCs w:val="22"/>
          <w:bdr w:val="none" w:sz="0" w:space="0" w:color="auto" w:frame="1"/>
        </w:rPr>
        <w:t xml:space="preserve"> </w:t>
      </w:r>
      <w:r w:rsidRPr="00307A16">
        <w:rPr>
          <w:rFonts w:ascii="Arial" w:hAnsi="Arial" w:cs="Arial"/>
          <w:sz w:val="22"/>
          <w:szCs w:val="22"/>
          <w:bdr w:val="none" w:sz="0" w:space="0" w:color="auto" w:frame="1"/>
        </w:rPr>
        <w:t xml:space="preserve">At this point the two </w:t>
      </w:r>
      <w:r w:rsidR="000A4A2E">
        <w:rPr>
          <w:rFonts w:ascii="Arial" w:hAnsi="Arial" w:cs="Arial"/>
          <w:sz w:val="22"/>
          <w:szCs w:val="22"/>
          <w:bdr w:val="none" w:sz="0" w:space="0" w:color="auto" w:frame="1"/>
        </w:rPr>
        <w:t>P</w:t>
      </w:r>
      <w:r w:rsidRPr="00307A16">
        <w:rPr>
          <w:rFonts w:ascii="Arial" w:hAnsi="Arial" w:cs="Arial"/>
          <w:sz w:val="22"/>
          <w:szCs w:val="22"/>
          <w:bdr w:val="none" w:sz="0" w:space="0" w:color="auto" w:frame="1"/>
        </w:rPr>
        <w:t>ortfolios, of MCRN and PSG, came under combined management of the NIHR Clinical Research Netwo</w:t>
      </w:r>
      <w:r w:rsidR="00C02237" w:rsidRPr="00307A16">
        <w:rPr>
          <w:rFonts w:ascii="Arial" w:hAnsi="Arial" w:cs="Arial"/>
          <w:sz w:val="22"/>
          <w:szCs w:val="22"/>
          <w:bdr w:val="none" w:sz="0" w:space="0" w:color="auto" w:frame="1"/>
        </w:rPr>
        <w:t xml:space="preserve">rk: Children’s Specialty </w:t>
      </w:r>
      <w:r w:rsidRPr="00307A16">
        <w:rPr>
          <w:rFonts w:ascii="Arial" w:hAnsi="Arial" w:cs="Arial"/>
          <w:sz w:val="22"/>
          <w:szCs w:val="22"/>
        </w:rPr>
        <w:t xml:space="preserve">to support </w:t>
      </w:r>
      <w:r w:rsidR="005D1BBA" w:rsidRPr="00307A16">
        <w:rPr>
          <w:rFonts w:ascii="Arial" w:hAnsi="Arial" w:cs="Arial"/>
          <w:sz w:val="22"/>
          <w:szCs w:val="22"/>
        </w:rPr>
        <w:t xml:space="preserve">delivery of all </w:t>
      </w:r>
      <w:r w:rsidRPr="00307A16">
        <w:rPr>
          <w:rFonts w:ascii="Arial" w:hAnsi="Arial" w:cs="Arial"/>
          <w:sz w:val="22"/>
          <w:szCs w:val="22"/>
        </w:rPr>
        <w:t>paediatric studies</w:t>
      </w:r>
      <w:r w:rsidR="00143F7D" w:rsidRPr="00307A16">
        <w:rPr>
          <w:rFonts w:ascii="Arial" w:hAnsi="Arial" w:cs="Arial"/>
          <w:sz w:val="22"/>
          <w:szCs w:val="22"/>
        </w:rPr>
        <w:t>.</w:t>
      </w:r>
      <w:r w:rsidR="00876031">
        <w:rPr>
          <w:rFonts w:ascii="Arial" w:hAnsi="Arial" w:cs="Arial"/>
          <w:sz w:val="22"/>
          <w:szCs w:val="22"/>
        </w:rPr>
        <w:t>[7]</w:t>
      </w:r>
    </w:p>
    <w:p w14:paraId="2E789203" w14:textId="77777777" w:rsidR="00143F7D" w:rsidRDefault="00143F7D" w:rsidP="007515F8">
      <w:pPr>
        <w:spacing w:line="480" w:lineRule="auto"/>
        <w:jc w:val="both"/>
        <w:rPr>
          <w:rFonts w:ascii="Arial" w:hAnsi="Arial" w:cs="Arial"/>
          <w:sz w:val="22"/>
          <w:szCs w:val="22"/>
        </w:rPr>
      </w:pPr>
    </w:p>
    <w:p w14:paraId="2E9F1F4C" w14:textId="77777777" w:rsidR="00333446" w:rsidRPr="00307A16" w:rsidRDefault="00333446" w:rsidP="007515F8">
      <w:pPr>
        <w:spacing w:line="480" w:lineRule="auto"/>
        <w:jc w:val="both"/>
        <w:rPr>
          <w:rFonts w:ascii="Arial" w:hAnsi="Arial" w:cs="Arial"/>
          <w:sz w:val="22"/>
          <w:szCs w:val="22"/>
        </w:rPr>
      </w:pPr>
    </w:p>
    <w:p w14:paraId="3D1EB5BE" w14:textId="3FD3BB95" w:rsidR="00F72408" w:rsidRPr="00307A16" w:rsidRDefault="00FA5525" w:rsidP="007515F8">
      <w:pPr>
        <w:spacing w:line="480" w:lineRule="auto"/>
        <w:rPr>
          <w:rFonts w:ascii="Arial" w:hAnsi="Arial" w:cs="Arial"/>
          <w:b/>
          <w:sz w:val="22"/>
          <w:szCs w:val="22"/>
        </w:rPr>
      </w:pPr>
      <w:r w:rsidRPr="00307A16">
        <w:rPr>
          <w:rFonts w:ascii="Arial" w:hAnsi="Arial" w:cs="Arial"/>
          <w:b/>
          <w:sz w:val="22"/>
          <w:szCs w:val="22"/>
        </w:rPr>
        <w:lastRenderedPageBreak/>
        <w:t xml:space="preserve">CRN: Children and </w:t>
      </w:r>
      <w:r w:rsidR="002901EA">
        <w:rPr>
          <w:rFonts w:ascii="Arial" w:hAnsi="Arial" w:cs="Arial"/>
          <w:b/>
          <w:sz w:val="22"/>
          <w:szCs w:val="22"/>
        </w:rPr>
        <w:t>i</w:t>
      </w:r>
      <w:r w:rsidRPr="00307A16">
        <w:rPr>
          <w:rFonts w:ascii="Arial" w:hAnsi="Arial" w:cs="Arial"/>
          <w:b/>
          <w:sz w:val="22"/>
          <w:szCs w:val="22"/>
        </w:rPr>
        <w:t>ndustry</w:t>
      </w:r>
    </w:p>
    <w:p w14:paraId="5E2F1429" w14:textId="03B20D92" w:rsidR="00F72408" w:rsidRPr="00307A16" w:rsidRDefault="00136E28" w:rsidP="007515F8">
      <w:pPr>
        <w:spacing w:line="480" w:lineRule="auto"/>
        <w:jc w:val="both"/>
        <w:rPr>
          <w:rFonts w:ascii="Arial" w:hAnsi="Arial" w:cs="Arial"/>
          <w:sz w:val="22"/>
          <w:szCs w:val="22"/>
        </w:rPr>
      </w:pPr>
      <w:r w:rsidRPr="00307A16">
        <w:rPr>
          <w:rFonts w:ascii="Arial" w:hAnsi="Arial" w:cs="Arial"/>
          <w:sz w:val="22"/>
          <w:szCs w:val="22"/>
        </w:rPr>
        <w:t>The CRN</w:t>
      </w:r>
      <w:r w:rsidR="00FA5525" w:rsidRPr="00307A16">
        <w:rPr>
          <w:rFonts w:ascii="Arial" w:hAnsi="Arial" w:cs="Arial"/>
          <w:sz w:val="22"/>
          <w:szCs w:val="22"/>
        </w:rPr>
        <w:t>: Children</w:t>
      </w:r>
      <w:r w:rsidRPr="00307A16">
        <w:rPr>
          <w:rFonts w:ascii="Arial" w:hAnsi="Arial" w:cs="Arial"/>
          <w:sz w:val="22"/>
          <w:szCs w:val="22"/>
        </w:rPr>
        <w:t xml:space="preserve"> has developed a </w:t>
      </w:r>
      <w:r w:rsidR="005D1BBA" w:rsidRPr="00307A16">
        <w:rPr>
          <w:rFonts w:ascii="Arial" w:hAnsi="Arial" w:cs="Arial"/>
          <w:sz w:val="22"/>
          <w:szCs w:val="22"/>
        </w:rPr>
        <w:t xml:space="preserve">very </w:t>
      </w:r>
      <w:r w:rsidRPr="00307A16">
        <w:rPr>
          <w:rFonts w:ascii="Arial" w:hAnsi="Arial" w:cs="Arial"/>
          <w:sz w:val="22"/>
          <w:szCs w:val="22"/>
        </w:rPr>
        <w:t>successful working relati</w:t>
      </w:r>
      <w:r w:rsidR="00AD51FA" w:rsidRPr="00307A16">
        <w:rPr>
          <w:rFonts w:ascii="Arial" w:hAnsi="Arial" w:cs="Arial"/>
          <w:sz w:val="22"/>
          <w:szCs w:val="22"/>
        </w:rPr>
        <w:t xml:space="preserve">onship with </w:t>
      </w:r>
      <w:r w:rsidR="00ED0CAB" w:rsidRPr="00307A16">
        <w:rPr>
          <w:rFonts w:ascii="Arial" w:hAnsi="Arial" w:cs="Arial"/>
          <w:sz w:val="22"/>
          <w:szCs w:val="22"/>
        </w:rPr>
        <w:t xml:space="preserve">the life sciences </w:t>
      </w:r>
      <w:r w:rsidR="00AD51FA" w:rsidRPr="00307A16">
        <w:rPr>
          <w:rFonts w:ascii="Arial" w:hAnsi="Arial" w:cs="Arial"/>
          <w:sz w:val="22"/>
          <w:szCs w:val="22"/>
        </w:rPr>
        <w:t>industry,</w:t>
      </w:r>
      <w:r w:rsidRPr="00307A16">
        <w:rPr>
          <w:rFonts w:ascii="Arial" w:hAnsi="Arial" w:cs="Arial"/>
          <w:sz w:val="22"/>
          <w:szCs w:val="22"/>
        </w:rPr>
        <w:t xml:space="preserve"> demonstrated by the growth of the </w:t>
      </w:r>
      <w:r w:rsidR="00BF48DF" w:rsidRPr="00307A16">
        <w:rPr>
          <w:rFonts w:ascii="Arial" w:hAnsi="Arial" w:cs="Arial"/>
          <w:sz w:val="22"/>
          <w:szCs w:val="22"/>
        </w:rPr>
        <w:t>commercial</w:t>
      </w:r>
      <w:r w:rsidRPr="00307A16">
        <w:rPr>
          <w:rFonts w:ascii="Arial" w:hAnsi="Arial" w:cs="Arial"/>
          <w:sz w:val="22"/>
          <w:szCs w:val="22"/>
        </w:rPr>
        <w:t xml:space="preserve"> </w:t>
      </w:r>
      <w:r w:rsidR="000A4A2E">
        <w:rPr>
          <w:rFonts w:ascii="Arial" w:hAnsi="Arial" w:cs="Arial"/>
          <w:sz w:val="22"/>
          <w:szCs w:val="22"/>
        </w:rPr>
        <w:t>P</w:t>
      </w:r>
      <w:r w:rsidRPr="00307A16">
        <w:rPr>
          <w:rFonts w:ascii="Arial" w:hAnsi="Arial" w:cs="Arial"/>
          <w:sz w:val="22"/>
          <w:szCs w:val="22"/>
        </w:rPr>
        <w:t xml:space="preserve">ortfolio below </w:t>
      </w:r>
      <w:r w:rsidRPr="007E7ADE">
        <w:rPr>
          <w:rFonts w:ascii="Arial" w:hAnsi="Arial" w:cs="Arial"/>
          <w:sz w:val="22"/>
          <w:szCs w:val="22"/>
        </w:rPr>
        <w:t>(</w:t>
      </w:r>
      <w:r w:rsidR="003607FC" w:rsidRPr="007E7ADE">
        <w:rPr>
          <w:rFonts w:ascii="Arial" w:hAnsi="Arial" w:cs="Arial"/>
          <w:sz w:val="22"/>
          <w:szCs w:val="22"/>
        </w:rPr>
        <w:t>see F</w:t>
      </w:r>
      <w:r w:rsidRPr="007E7ADE">
        <w:rPr>
          <w:rFonts w:ascii="Arial" w:hAnsi="Arial" w:cs="Arial"/>
          <w:sz w:val="22"/>
          <w:szCs w:val="22"/>
        </w:rPr>
        <w:t xml:space="preserve">igure </w:t>
      </w:r>
      <w:r w:rsidR="007E7ADE" w:rsidRPr="007E7ADE">
        <w:rPr>
          <w:rFonts w:ascii="Arial" w:hAnsi="Arial" w:cs="Arial"/>
          <w:sz w:val="22"/>
          <w:szCs w:val="22"/>
        </w:rPr>
        <w:t>1</w:t>
      </w:r>
      <w:r w:rsidRPr="007E7ADE">
        <w:rPr>
          <w:rFonts w:ascii="Arial" w:hAnsi="Arial" w:cs="Arial"/>
          <w:sz w:val="22"/>
          <w:szCs w:val="22"/>
        </w:rPr>
        <w:t xml:space="preserve">). </w:t>
      </w:r>
      <w:r w:rsidR="00CC5928" w:rsidRPr="00307A16">
        <w:rPr>
          <w:rFonts w:ascii="Arial" w:hAnsi="Arial" w:cs="Arial"/>
          <w:sz w:val="22"/>
          <w:szCs w:val="22"/>
        </w:rPr>
        <w:t>This</w:t>
      </w:r>
      <w:r w:rsidR="00FA5525" w:rsidRPr="00307A16">
        <w:rPr>
          <w:rFonts w:ascii="Arial" w:hAnsi="Arial" w:cs="Arial"/>
          <w:sz w:val="22"/>
          <w:szCs w:val="22"/>
        </w:rPr>
        <w:t xml:space="preserve"> </w:t>
      </w:r>
      <w:r w:rsidR="003607FC">
        <w:rPr>
          <w:rFonts w:ascii="Arial" w:hAnsi="Arial" w:cs="Arial"/>
          <w:sz w:val="22"/>
          <w:szCs w:val="22"/>
        </w:rPr>
        <w:t>partnership</w:t>
      </w:r>
      <w:r w:rsidR="00FA5525" w:rsidRPr="00307A16">
        <w:rPr>
          <w:rFonts w:ascii="Arial" w:hAnsi="Arial" w:cs="Arial"/>
          <w:sz w:val="22"/>
          <w:szCs w:val="22"/>
        </w:rPr>
        <w:t xml:space="preserve"> is important to ensure industry studies </w:t>
      </w:r>
      <w:r w:rsidR="005D1BBA" w:rsidRPr="00307A16">
        <w:rPr>
          <w:rFonts w:ascii="Arial" w:hAnsi="Arial" w:cs="Arial"/>
          <w:sz w:val="22"/>
          <w:szCs w:val="22"/>
        </w:rPr>
        <w:t xml:space="preserve">of the very latest new drugs and formulations </w:t>
      </w:r>
      <w:r w:rsidR="00FA5525" w:rsidRPr="00307A16">
        <w:rPr>
          <w:rFonts w:ascii="Arial" w:hAnsi="Arial" w:cs="Arial"/>
          <w:sz w:val="22"/>
          <w:szCs w:val="22"/>
        </w:rPr>
        <w:t xml:space="preserve">are </w:t>
      </w:r>
      <w:r w:rsidR="00336BE4" w:rsidRPr="00307A16">
        <w:rPr>
          <w:rFonts w:ascii="Arial" w:hAnsi="Arial" w:cs="Arial"/>
          <w:sz w:val="22"/>
          <w:szCs w:val="22"/>
        </w:rPr>
        <w:t xml:space="preserve">available to children and young people, and that the studies are </w:t>
      </w:r>
      <w:r w:rsidR="00FA5525" w:rsidRPr="00307A16">
        <w:rPr>
          <w:rFonts w:ascii="Arial" w:hAnsi="Arial" w:cs="Arial"/>
          <w:sz w:val="22"/>
          <w:szCs w:val="22"/>
        </w:rPr>
        <w:t>feasible and applicable to clinical practice</w:t>
      </w:r>
      <w:r w:rsidR="00336BE4" w:rsidRPr="00307A16">
        <w:rPr>
          <w:rFonts w:ascii="Arial" w:hAnsi="Arial" w:cs="Arial"/>
          <w:sz w:val="22"/>
          <w:szCs w:val="22"/>
        </w:rPr>
        <w:t xml:space="preserve"> in the UK</w:t>
      </w:r>
      <w:r w:rsidR="00FA5525" w:rsidRPr="00307A16">
        <w:rPr>
          <w:rFonts w:ascii="Arial" w:hAnsi="Arial" w:cs="Arial"/>
          <w:sz w:val="22"/>
          <w:szCs w:val="22"/>
        </w:rPr>
        <w:t xml:space="preserve">.  </w:t>
      </w:r>
      <w:r w:rsidR="0030289E" w:rsidRPr="00307A16">
        <w:rPr>
          <w:rFonts w:ascii="Arial" w:hAnsi="Arial" w:cs="Arial"/>
          <w:sz w:val="22"/>
          <w:szCs w:val="22"/>
        </w:rPr>
        <w:t>There was an increasing need to engage with global pharmaceutical industry in order to influence programme and protocol development. In response to this t</w:t>
      </w:r>
      <w:r w:rsidR="00FA5525" w:rsidRPr="00307A16">
        <w:rPr>
          <w:rFonts w:ascii="Arial" w:hAnsi="Arial" w:cs="Arial"/>
          <w:sz w:val="22"/>
          <w:szCs w:val="22"/>
        </w:rPr>
        <w:t>he Chil</w:t>
      </w:r>
      <w:r w:rsidR="00AD51FA" w:rsidRPr="00307A16">
        <w:rPr>
          <w:rFonts w:ascii="Arial" w:hAnsi="Arial" w:cs="Arial"/>
          <w:sz w:val="22"/>
          <w:szCs w:val="22"/>
        </w:rPr>
        <w:t>dren’s Research Industry Group</w:t>
      </w:r>
      <w:r w:rsidR="00FA5525" w:rsidRPr="00307A16">
        <w:rPr>
          <w:rFonts w:ascii="Arial" w:hAnsi="Arial" w:cs="Arial"/>
          <w:sz w:val="22"/>
          <w:szCs w:val="22"/>
        </w:rPr>
        <w:t xml:space="preserve"> </w:t>
      </w:r>
      <w:r w:rsidR="00FC6921" w:rsidRPr="00307A16">
        <w:rPr>
          <w:rFonts w:ascii="Arial" w:hAnsi="Arial" w:cs="Arial"/>
          <w:sz w:val="22"/>
          <w:szCs w:val="22"/>
        </w:rPr>
        <w:t xml:space="preserve">(CRIG) </w:t>
      </w:r>
      <w:r w:rsidR="00FA5525" w:rsidRPr="00307A16">
        <w:rPr>
          <w:rFonts w:ascii="Arial" w:hAnsi="Arial" w:cs="Arial"/>
          <w:sz w:val="22"/>
          <w:szCs w:val="22"/>
        </w:rPr>
        <w:t>was esta</w:t>
      </w:r>
      <w:r w:rsidR="005F18F2" w:rsidRPr="00307A16">
        <w:rPr>
          <w:rFonts w:ascii="Arial" w:hAnsi="Arial" w:cs="Arial"/>
          <w:sz w:val="22"/>
          <w:szCs w:val="22"/>
        </w:rPr>
        <w:t>blished in 2013 to improve the N</w:t>
      </w:r>
      <w:r w:rsidR="00FA5525" w:rsidRPr="00307A16">
        <w:rPr>
          <w:rFonts w:ascii="Arial" w:hAnsi="Arial" w:cs="Arial"/>
          <w:sz w:val="22"/>
          <w:szCs w:val="22"/>
        </w:rPr>
        <w:t xml:space="preserve">etwork collaboration with industry; improve the support </w:t>
      </w:r>
      <w:r w:rsidR="005F18F2" w:rsidRPr="00307A16">
        <w:rPr>
          <w:rFonts w:ascii="Arial" w:hAnsi="Arial" w:cs="Arial"/>
          <w:sz w:val="22"/>
          <w:szCs w:val="22"/>
        </w:rPr>
        <w:t>offered to industry; allow the N</w:t>
      </w:r>
      <w:r w:rsidR="00FA5525" w:rsidRPr="00307A16">
        <w:rPr>
          <w:rFonts w:ascii="Arial" w:hAnsi="Arial" w:cs="Arial"/>
          <w:sz w:val="22"/>
          <w:szCs w:val="22"/>
        </w:rPr>
        <w:t>etwork to obtain advice on industry networks; provide a forum for discussion issues in paediatric research and to attract additional studies to the UK</w:t>
      </w:r>
      <w:r w:rsidR="000521E1" w:rsidRPr="00307A16">
        <w:rPr>
          <w:rFonts w:ascii="Arial" w:hAnsi="Arial" w:cs="Arial"/>
          <w:sz w:val="22"/>
          <w:szCs w:val="22"/>
        </w:rPr>
        <w:t>.</w:t>
      </w:r>
      <w:r w:rsidR="006C0C3B">
        <w:rPr>
          <w:rFonts w:ascii="Arial" w:hAnsi="Arial" w:cs="Arial"/>
          <w:sz w:val="22"/>
          <w:szCs w:val="22"/>
        </w:rPr>
        <w:t>[8]</w:t>
      </w:r>
      <w:r w:rsidR="000521E1" w:rsidRPr="00307A16">
        <w:rPr>
          <w:rFonts w:ascii="Arial" w:hAnsi="Arial" w:cs="Arial"/>
          <w:sz w:val="22"/>
          <w:szCs w:val="22"/>
        </w:rPr>
        <w:t xml:space="preserve"> </w:t>
      </w:r>
      <w:r w:rsidR="00FC6921" w:rsidRPr="00307A16">
        <w:rPr>
          <w:rFonts w:ascii="Arial" w:hAnsi="Arial" w:cs="Arial"/>
          <w:sz w:val="22"/>
          <w:szCs w:val="22"/>
        </w:rPr>
        <w:t>The membership of CRIG incorporates representation from large and small pharmace</w:t>
      </w:r>
      <w:r w:rsidR="00D009B5" w:rsidRPr="00307A16">
        <w:rPr>
          <w:rFonts w:ascii="Arial" w:hAnsi="Arial" w:cs="Arial"/>
          <w:sz w:val="22"/>
          <w:szCs w:val="22"/>
        </w:rPr>
        <w:t>u</w:t>
      </w:r>
      <w:r w:rsidR="00FC6921" w:rsidRPr="00307A16">
        <w:rPr>
          <w:rFonts w:ascii="Arial" w:hAnsi="Arial" w:cs="Arial"/>
          <w:sz w:val="22"/>
          <w:szCs w:val="22"/>
        </w:rPr>
        <w:t xml:space="preserve">tical companies, </w:t>
      </w:r>
      <w:r w:rsidR="00D009B5" w:rsidRPr="00307A16">
        <w:rPr>
          <w:rFonts w:ascii="Arial" w:hAnsi="Arial" w:cs="Arial"/>
          <w:sz w:val="22"/>
          <w:szCs w:val="22"/>
        </w:rPr>
        <w:t>s</w:t>
      </w:r>
      <w:r w:rsidR="00FC6921" w:rsidRPr="00307A16">
        <w:rPr>
          <w:rFonts w:ascii="Arial" w:hAnsi="Arial" w:cs="Arial"/>
          <w:sz w:val="22"/>
          <w:szCs w:val="22"/>
        </w:rPr>
        <w:t>mall and medium ent</w:t>
      </w:r>
      <w:r w:rsidR="003607FC">
        <w:rPr>
          <w:rFonts w:ascii="Arial" w:hAnsi="Arial" w:cs="Arial"/>
          <w:sz w:val="22"/>
          <w:szCs w:val="22"/>
        </w:rPr>
        <w:t>er</w:t>
      </w:r>
      <w:r w:rsidR="00FC6921" w:rsidRPr="00307A16">
        <w:rPr>
          <w:rFonts w:ascii="Arial" w:hAnsi="Arial" w:cs="Arial"/>
          <w:sz w:val="22"/>
          <w:szCs w:val="22"/>
        </w:rPr>
        <w:t>prises and c</w:t>
      </w:r>
      <w:r w:rsidR="00BF48DF" w:rsidRPr="00307A16">
        <w:rPr>
          <w:rFonts w:ascii="Arial" w:hAnsi="Arial" w:cs="Arial"/>
          <w:sz w:val="22"/>
          <w:szCs w:val="22"/>
        </w:rPr>
        <w:t>ontract</w:t>
      </w:r>
      <w:r w:rsidR="00FC6921" w:rsidRPr="00307A16">
        <w:rPr>
          <w:rFonts w:ascii="Arial" w:hAnsi="Arial" w:cs="Arial"/>
          <w:sz w:val="22"/>
          <w:szCs w:val="22"/>
        </w:rPr>
        <w:t xml:space="preserve"> research organisations who </w:t>
      </w:r>
      <w:r w:rsidR="00D009B5" w:rsidRPr="00307A16">
        <w:rPr>
          <w:rFonts w:ascii="Arial" w:hAnsi="Arial" w:cs="Arial"/>
          <w:sz w:val="22"/>
          <w:szCs w:val="22"/>
        </w:rPr>
        <w:t xml:space="preserve">work together to inform </w:t>
      </w:r>
      <w:r w:rsidR="00BF48DF" w:rsidRPr="00307A16">
        <w:rPr>
          <w:rFonts w:ascii="Arial" w:hAnsi="Arial" w:cs="Arial"/>
          <w:sz w:val="22"/>
          <w:szCs w:val="22"/>
        </w:rPr>
        <w:t>network</w:t>
      </w:r>
      <w:r w:rsidR="00D009B5" w:rsidRPr="00307A16">
        <w:rPr>
          <w:rFonts w:ascii="Arial" w:hAnsi="Arial" w:cs="Arial"/>
          <w:sz w:val="22"/>
          <w:szCs w:val="22"/>
        </w:rPr>
        <w:t xml:space="preserve"> engagement with the pharmaceutical industry. Examples of how CRIG has worked to support CRN: Children include </w:t>
      </w:r>
      <w:r w:rsidR="00D415A4" w:rsidRPr="00307A16">
        <w:rPr>
          <w:rFonts w:ascii="Arial" w:hAnsi="Arial" w:cs="Arial"/>
          <w:sz w:val="22"/>
          <w:szCs w:val="22"/>
        </w:rPr>
        <w:t xml:space="preserve">championing the need for appropriate formulations for children, and highlighting the benefits </w:t>
      </w:r>
      <w:r w:rsidR="00E26277">
        <w:rPr>
          <w:rFonts w:ascii="Arial" w:hAnsi="Arial" w:cs="Arial"/>
          <w:sz w:val="22"/>
          <w:szCs w:val="22"/>
        </w:rPr>
        <w:t xml:space="preserve">of </w:t>
      </w:r>
      <w:r w:rsidR="00D415A4" w:rsidRPr="00307A16">
        <w:rPr>
          <w:rFonts w:ascii="Arial" w:hAnsi="Arial" w:cs="Arial"/>
          <w:sz w:val="22"/>
          <w:szCs w:val="22"/>
        </w:rPr>
        <w:t>incorporating the views of children and families in study design to the life sciences industry.</w:t>
      </w:r>
    </w:p>
    <w:p w14:paraId="4F255670" w14:textId="77777777" w:rsidR="0010781E" w:rsidRPr="00307A16" w:rsidRDefault="0010781E" w:rsidP="007515F8">
      <w:pPr>
        <w:spacing w:line="480" w:lineRule="auto"/>
        <w:rPr>
          <w:rFonts w:ascii="Arial" w:hAnsi="Arial" w:cs="Arial"/>
          <w:b/>
          <w:sz w:val="22"/>
          <w:szCs w:val="22"/>
        </w:rPr>
      </w:pPr>
    </w:p>
    <w:p w14:paraId="6671F5F4" w14:textId="71517A77" w:rsidR="000551C5" w:rsidRPr="00307A16" w:rsidRDefault="00EB5668" w:rsidP="007515F8">
      <w:pPr>
        <w:spacing w:line="480" w:lineRule="auto"/>
        <w:rPr>
          <w:rFonts w:ascii="Arial" w:hAnsi="Arial" w:cs="Arial"/>
          <w:b/>
          <w:sz w:val="22"/>
          <w:szCs w:val="22"/>
        </w:rPr>
      </w:pPr>
      <w:r>
        <w:rPr>
          <w:rFonts w:ascii="Arial" w:hAnsi="Arial" w:cs="Arial"/>
          <w:b/>
          <w:sz w:val="22"/>
          <w:szCs w:val="22"/>
        </w:rPr>
        <w:t>Children’s</w:t>
      </w:r>
      <w:r w:rsidRPr="00307A16">
        <w:rPr>
          <w:rFonts w:ascii="Arial" w:hAnsi="Arial" w:cs="Arial"/>
          <w:b/>
          <w:sz w:val="22"/>
          <w:szCs w:val="22"/>
        </w:rPr>
        <w:t xml:space="preserve"> </w:t>
      </w:r>
      <w:r w:rsidR="000551C5" w:rsidRPr="00307A16">
        <w:rPr>
          <w:rFonts w:ascii="Arial" w:hAnsi="Arial" w:cs="Arial"/>
          <w:b/>
          <w:sz w:val="22"/>
          <w:szCs w:val="22"/>
        </w:rPr>
        <w:t>Portfolio</w:t>
      </w:r>
    </w:p>
    <w:p w14:paraId="3264CE9A" w14:textId="07620D35" w:rsidR="00DE23BD" w:rsidRPr="00307A16" w:rsidRDefault="00355756" w:rsidP="007515F8">
      <w:pPr>
        <w:spacing w:line="480" w:lineRule="auto"/>
        <w:jc w:val="both"/>
        <w:rPr>
          <w:rFonts w:ascii="Arial" w:hAnsi="Arial" w:cs="Arial"/>
          <w:sz w:val="22"/>
          <w:szCs w:val="22"/>
        </w:rPr>
      </w:pPr>
      <w:r w:rsidRPr="00307A16">
        <w:rPr>
          <w:rFonts w:ascii="Arial" w:hAnsi="Arial" w:cs="Arial"/>
          <w:sz w:val="22"/>
          <w:szCs w:val="22"/>
        </w:rPr>
        <w:t xml:space="preserve">There are a wide range of studies in the </w:t>
      </w:r>
      <w:r w:rsidR="00EB5668">
        <w:rPr>
          <w:rFonts w:ascii="Arial" w:hAnsi="Arial" w:cs="Arial"/>
          <w:sz w:val="22"/>
          <w:szCs w:val="22"/>
        </w:rPr>
        <w:t>P</w:t>
      </w:r>
      <w:r w:rsidR="00EB5668" w:rsidRPr="00307A16">
        <w:rPr>
          <w:rFonts w:ascii="Arial" w:hAnsi="Arial" w:cs="Arial"/>
          <w:sz w:val="22"/>
          <w:szCs w:val="22"/>
        </w:rPr>
        <w:t>ortfolio</w:t>
      </w:r>
      <w:r w:rsidRPr="00307A16">
        <w:rPr>
          <w:rFonts w:ascii="Arial" w:hAnsi="Arial" w:cs="Arial"/>
          <w:sz w:val="22"/>
          <w:szCs w:val="22"/>
        </w:rPr>
        <w:t>, all supported by the CRN: Children</w:t>
      </w:r>
      <w:r w:rsidR="00545F83" w:rsidRPr="00307A16">
        <w:rPr>
          <w:rFonts w:ascii="Arial" w:hAnsi="Arial" w:cs="Arial"/>
          <w:sz w:val="22"/>
          <w:szCs w:val="22"/>
        </w:rPr>
        <w:t>.</w:t>
      </w:r>
      <w:r w:rsidRPr="00307A16">
        <w:rPr>
          <w:rFonts w:ascii="Arial" w:hAnsi="Arial" w:cs="Arial"/>
          <w:sz w:val="22"/>
          <w:szCs w:val="22"/>
        </w:rPr>
        <w:t xml:space="preserve"> At the time of </w:t>
      </w:r>
      <w:r w:rsidR="00336BE4" w:rsidRPr="00307A16">
        <w:rPr>
          <w:rFonts w:ascii="Arial" w:hAnsi="Arial" w:cs="Arial"/>
          <w:sz w:val="22"/>
          <w:szCs w:val="22"/>
        </w:rPr>
        <w:t>writing (</w:t>
      </w:r>
      <w:r w:rsidR="00BF48DF" w:rsidRPr="00307A16">
        <w:rPr>
          <w:rFonts w:ascii="Arial" w:hAnsi="Arial" w:cs="Arial"/>
          <w:sz w:val="22"/>
          <w:szCs w:val="22"/>
        </w:rPr>
        <w:t>1</w:t>
      </w:r>
      <w:r w:rsidR="00BF48DF" w:rsidRPr="00CE7DBB">
        <w:rPr>
          <w:rFonts w:ascii="Arial" w:hAnsi="Arial" w:cs="Arial"/>
          <w:sz w:val="22"/>
          <w:szCs w:val="22"/>
          <w:vertAlign w:val="superscript"/>
        </w:rPr>
        <w:t>st</w:t>
      </w:r>
      <w:r w:rsidR="00BF48DF" w:rsidRPr="00307A16">
        <w:rPr>
          <w:rFonts w:ascii="Arial" w:hAnsi="Arial" w:cs="Arial"/>
          <w:sz w:val="22"/>
          <w:szCs w:val="22"/>
        </w:rPr>
        <w:t xml:space="preserve"> August</w:t>
      </w:r>
      <w:r w:rsidR="00CB4EC2" w:rsidRPr="00307A16">
        <w:rPr>
          <w:rFonts w:ascii="Arial" w:hAnsi="Arial" w:cs="Arial"/>
          <w:sz w:val="22"/>
          <w:szCs w:val="22"/>
        </w:rPr>
        <w:t xml:space="preserve"> 2016</w:t>
      </w:r>
      <w:r w:rsidR="00336BE4" w:rsidRPr="00307A16">
        <w:rPr>
          <w:rFonts w:ascii="Arial" w:hAnsi="Arial" w:cs="Arial"/>
          <w:sz w:val="22"/>
          <w:szCs w:val="22"/>
        </w:rPr>
        <w:t xml:space="preserve">) </w:t>
      </w:r>
      <w:r w:rsidRPr="00307A16">
        <w:rPr>
          <w:rFonts w:ascii="Arial" w:hAnsi="Arial" w:cs="Arial"/>
          <w:sz w:val="22"/>
          <w:szCs w:val="22"/>
        </w:rPr>
        <w:t xml:space="preserve">there were </w:t>
      </w:r>
      <w:r w:rsidR="009E105A" w:rsidRPr="00307A16">
        <w:rPr>
          <w:rFonts w:ascii="Arial" w:hAnsi="Arial" w:cs="Arial"/>
          <w:sz w:val="22"/>
          <w:szCs w:val="22"/>
        </w:rPr>
        <w:t>472</w:t>
      </w:r>
      <w:r w:rsidR="00BF48DF" w:rsidRPr="00307A16">
        <w:rPr>
          <w:rFonts w:ascii="Arial" w:hAnsi="Arial" w:cs="Arial"/>
          <w:sz w:val="22"/>
          <w:szCs w:val="22"/>
        </w:rPr>
        <w:t xml:space="preserve"> </w:t>
      </w:r>
      <w:r w:rsidR="00EB5668">
        <w:rPr>
          <w:rFonts w:ascii="Arial" w:hAnsi="Arial" w:cs="Arial"/>
          <w:sz w:val="22"/>
          <w:szCs w:val="22"/>
        </w:rPr>
        <w:t>children’s</w:t>
      </w:r>
      <w:r w:rsidR="00EB5668" w:rsidRPr="00307A16">
        <w:rPr>
          <w:rFonts w:ascii="Arial" w:hAnsi="Arial" w:cs="Arial"/>
          <w:sz w:val="22"/>
          <w:szCs w:val="22"/>
        </w:rPr>
        <w:t xml:space="preserve"> </w:t>
      </w:r>
      <w:r w:rsidRPr="00307A16">
        <w:rPr>
          <w:rFonts w:ascii="Arial" w:hAnsi="Arial" w:cs="Arial"/>
          <w:sz w:val="22"/>
          <w:szCs w:val="22"/>
        </w:rPr>
        <w:t xml:space="preserve">studies </w:t>
      </w:r>
      <w:r w:rsidR="00CE4C1F" w:rsidRPr="00307A16">
        <w:rPr>
          <w:rFonts w:ascii="Arial" w:hAnsi="Arial" w:cs="Arial"/>
          <w:sz w:val="22"/>
          <w:szCs w:val="22"/>
        </w:rPr>
        <w:t xml:space="preserve">open to recruitment or in set-up </w:t>
      </w:r>
      <w:r w:rsidRPr="00307A16">
        <w:rPr>
          <w:rFonts w:ascii="Arial" w:hAnsi="Arial" w:cs="Arial"/>
          <w:sz w:val="22"/>
          <w:szCs w:val="22"/>
        </w:rPr>
        <w:t>being supported by the CRN: Children</w:t>
      </w:r>
      <w:r w:rsidR="00CE4C1F" w:rsidRPr="00307A16">
        <w:rPr>
          <w:rFonts w:ascii="Arial" w:hAnsi="Arial" w:cs="Arial"/>
          <w:sz w:val="22"/>
          <w:szCs w:val="22"/>
        </w:rPr>
        <w:t>.</w:t>
      </w:r>
      <w:r w:rsidR="00CB4EC2" w:rsidRPr="00307A16">
        <w:rPr>
          <w:rFonts w:ascii="Arial" w:hAnsi="Arial" w:cs="Arial"/>
          <w:sz w:val="22"/>
          <w:szCs w:val="22"/>
        </w:rPr>
        <w:t xml:space="preserve"> Since the CRN has been established</w:t>
      </w:r>
      <w:r w:rsidR="009E105A" w:rsidRPr="00307A16">
        <w:rPr>
          <w:rFonts w:ascii="Arial" w:hAnsi="Arial" w:cs="Arial"/>
          <w:sz w:val="22"/>
          <w:szCs w:val="22"/>
        </w:rPr>
        <w:t xml:space="preserve"> approximately</w:t>
      </w:r>
      <w:r w:rsidR="00CB4EC2" w:rsidRPr="00307A16">
        <w:rPr>
          <w:rFonts w:ascii="Arial" w:hAnsi="Arial" w:cs="Arial"/>
          <w:sz w:val="22"/>
          <w:szCs w:val="22"/>
        </w:rPr>
        <w:t xml:space="preserve"> </w:t>
      </w:r>
      <w:r w:rsidR="008B2C45" w:rsidRPr="00307A16">
        <w:rPr>
          <w:rFonts w:ascii="Arial" w:hAnsi="Arial" w:cs="Arial"/>
          <w:sz w:val="22"/>
          <w:szCs w:val="22"/>
        </w:rPr>
        <w:t>150</w:t>
      </w:r>
      <w:r w:rsidR="00CE4C1F" w:rsidRPr="00307A16">
        <w:rPr>
          <w:rFonts w:ascii="Arial" w:hAnsi="Arial" w:cs="Arial"/>
          <w:sz w:val="22"/>
          <w:szCs w:val="22"/>
        </w:rPr>
        <w:t>0</w:t>
      </w:r>
      <w:r w:rsidR="00CB4EC2" w:rsidRPr="00307A16">
        <w:rPr>
          <w:rFonts w:ascii="Arial" w:hAnsi="Arial" w:cs="Arial"/>
          <w:sz w:val="22"/>
          <w:szCs w:val="22"/>
        </w:rPr>
        <w:t xml:space="preserve"> studies</w:t>
      </w:r>
      <w:r w:rsidR="009E105A" w:rsidRPr="00307A16">
        <w:rPr>
          <w:rFonts w:ascii="Arial" w:hAnsi="Arial" w:cs="Arial"/>
          <w:sz w:val="22"/>
          <w:szCs w:val="22"/>
        </w:rPr>
        <w:t xml:space="preserve"> have been supported by the Children’s Specialty</w:t>
      </w:r>
      <w:r w:rsidR="00CB4EC2" w:rsidRPr="00307A16">
        <w:rPr>
          <w:rFonts w:ascii="Arial" w:hAnsi="Arial" w:cs="Arial"/>
          <w:sz w:val="22"/>
          <w:szCs w:val="22"/>
        </w:rPr>
        <w:t>.</w:t>
      </w:r>
    </w:p>
    <w:p w14:paraId="15886BA0" w14:textId="77777777" w:rsidR="00DE23BD" w:rsidRDefault="00DE23BD" w:rsidP="007515F8">
      <w:pPr>
        <w:spacing w:line="480" w:lineRule="auto"/>
        <w:jc w:val="both"/>
        <w:rPr>
          <w:rFonts w:ascii="Arial" w:hAnsi="Arial" w:cs="Arial"/>
          <w:sz w:val="22"/>
          <w:szCs w:val="22"/>
        </w:rPr>
      </w:pPr>
    </w:p>
    <w:p w14:paraId="2D95A567" w14:textId="77777777" w:rsidR="00FB72E0" w:rsidRPr="00307A16" w:rsidRDefault="00EF548B" w:rsidP="007515F8">
      <w:pPr>
        <w:spacing w:line="480" w:lineRule="auto"/>
        <w:rPr>
          <w:rFonts w:ascii="Arial" w:hAnsi="Arial" w:cs="Arial"/>
          <w:b/>
          <w:sz w:val="22"/>
          <w:szCs w:val="22"/>
        </w:rPr>
      </w:pPr>
      <w:r w:rsidRPr="00307A16">
        <w:rPr>
          <w:rFonts w:ascii="Arial" w:hAnsi="Arial" w:cs="Arial"/>
          <w:b/>
          <w:sz w:val="22"/>
          <w:szCs w:val="22"/>
        </w:rPr>
        <w:t xml:space="preserve">Clinical Studies Groups </w:t>
      </w:r>
    </w:p>
    <w:p w14:paraId="06FE8D9A" w14:textId="765B8557" w:rsidR="00FE277D" w:rsidRPr="00307A16" w:rsidRDefault="00EF548B" w:rsidP="007515F8">
      <w:pPr>
        <w:spacing w:line="480" w:lineRule="auto"/>
        <w:jc w:val="both"/>
        <w:rPr>
          <w:rFonts w:ascii="Arial" w:hAnsi="Arial" w:cs="Arial"/>
          <w:sz w:val="22"/>
          <w:szCs w:val="22"/>
        </w:rPr>
      </w:pPr>
      <w:r w:rsidRPr="00307A16">
        <w:rPr>
          <w:rFonts w:ascii="Arial" w:hAnsi="Arial" w:cs="Arial"/>
          <w:sz w:val="22"/>
          <w:szCs w:val="22"/>
        </w:rPr>
        <w:lastRenderedPageBreak/>
        <w:t>Clinical Studies Groups (</w:t>
      </w:r>
      <w:r w:rsidR="00FB72E0" w:rsidRPr="00307A16">
        <w:rPr>
          <w:rFonts w:ascii="Arial" w:hAnsi="Arial" w:cs="Arial"/>
          <w:sz w:val="22"/>
          <w:szCs w:val="22"/>
        </w:rPr>
        <w:t>CSGs</w:t>
      </w:r>
      <w:r w:rsidRPr="00307A16">
        <w:rPr>
          <w:rFonts w:ascii="Arial" w:hAnsi="Arial" w:cs="Arial"/>
          <w:sz w:val="22"/>
          <w:szCs w:val="22"/>
        </w:rPr>
        <w:t>)</w:t>
      </w:r>
      <w:r w:rsidR="00FB72E0" w:rsidRPr="00307A16">
        <w:rPr>
          <w:rFonts w:ascii="Arial" w:hAnsi="Arial" w:cs="Arial"/>
          <w:sz w:val="22"/>
          <w:szCs w:val="22"/>
        </w:rPr>
        <w:t xml:space="preserve"> </w:t>
      </w:r>
      <w:r w:rsidR="0094412B" w:rsidRPr="00307A16">
        <w:rPr>
          <w:rFonts w:ascii="Arial" w:hAnsi="Arial" w:cs="Arial"/>
          <w:sz w:val="22"/>
          <w:szCs w:val="22"/>
        </w:rPr>
        <w:t>work closely with the CRN and therefore will be described as part of this review</w:t>
      </w:r>
      <w:r w:rsidR="009E105A" w:rsidRPr="00307A16">
        <w:rPr>
          <w:rFonts w:ascii="Arial" w:hAnsi="Arial" w:cs="Arial"/>
          <w:sz w:val="22"/>
          <w:szCs w:val="22"/>
        </w:rPr>
        <w:t xml:space="preserve">. </w:t>
      </w:r>
      <w:r w:rsidR="0094412B" w:rsidRPr="00307A16">
        <w:rPr>
          <w:rFonts w:ascii="Arial" w:hAnsi="Arial" w:cs="Arial"/>
          <w:sz w:val="22"/>
          <w:szCs w:val="22"/>
        </w:rPr>
        <w:t xml:space="preserve">CSGs are </w:t>
      </w:r>
      <w:r w:rsidR="008E7C03" w:rsidRPr="00307A16">
        <w:rPr>
          <w:rFonts w:ascii="Arial" w:hAnsi="Arial" w:cs="Arial"/>
          <w:sz w:val="22"/>
          <w:szCs w:val="22"/>
        </w:rPr>
        <w:t xml:space="preserve">multi-disciplinary, </w:t>
      </w:r>
      <w:r w:rsidR="00FB72E0" w:rsidRPr="00307A16">
        <w:rPr>
          <w:rFonts w:ascii="Arial" w:hAnsi="Arial" w:cs="Arial"/>
          <w:sz w:val="22"/>
          <w:szCs w:val="22"/>
        </w:rPr>
        <w:t xml:space="preserve">sub-specialty based </w:t>
      </w:r>
      <w:r w:rsidR="009E105A" w:rsidRPr="00307A16">
        <w:rPr>
          <w:rFonts w:ascii="Arial" w:hAnsi="Arial" w:cs="Arial"/>
          <w:sz w:val="22"/>
          <w:szCs w:val="22"/>
        </w:rPr>
        <w:t xml:space="preserve">multidisciplinary </w:t>
      </w:r>
      <w:r w:rsidR="008E7C03" w:rsidRPr="00307A16">
        <w:rPr>
          <w:rFonts w:ascii="Arial" w:hAnsi="Arial" w:cs="Arial"/>
          <w:sz w:val="22"/>
          <w:szCs w:val="22"/>
        </w:rPr>
        <w:t xml:space="preserve">expert </w:t>
      </w:r>
      <w:r w:rsidR="00FB72E0" w:rsidRPr="00307A16">
        <w:rPr>
          <w:rFonts w:ascii="Arial" w:hAnsi="Arial" w:cs="Arial"/>
          <w:sz w:val="22"/>
          <w:szCs w:val="22"/>
        </w:rPr>
        <w:t xml:space="preserve">groups </w:t>
      </w:r>
      <w:r w:rsidR="008E7C03" w:rsidRPr="00307A16">
        <w:rPr>
          <w:rFonts w:ascii="Arial" w:hAnsi="Arial" w:cs="Arial"/>
          <w:sz w:val="22"/>
          <w:szCs w:val="22"/>
        </w:rPr>
        <w:t xml:space="preserve">including patient/parent representatives </w:t>
      </w:r>
      <w:r w:rsidR="00FB72E0" w:rsidRPr="00307A16">
        <w:rPr>
          <w:rFonts w:ascii="Arial" w:hAnsi="Arial" w:cs="Arial"/>
          <w:sz w:val="22"/>
          <w:szCs w:val="22"/>
        </w:rPr>
        <w:t>which provide unique, joined-up access to paediatric academic and clinical expertise.</w:t>
      </w:r>
      <w:r w:rsidR="0094412B" w:rsidRPr="00307A16">
        <w:rPr>
          <w:rFonts w:ascii="Arial" w:hAnsi="Arial" w:cs="Arial"/>
          <w:sz w:val="22"/>
          <w:szCs w:val="22"/>
        </w:rPr>
        <w:t xml:space="preserve"> </w:t>
      </w:r>
      <w:r w:rsidR="00606F51" w:rsidRPr="00307A16">
        <w:rPr>
          <w:rFonts w:ascii="Arial" w:hAnsi="Arial" w:cs="Arial"/>
          <w:sz w:val="22"/>
          <w:szCs w:val="22"/>
        </w:rPr>
        <w:t>CSGs are no</w:t>
      </w:r>
      <w:r w:rsidR="009E105A" w:rsidRPr="00307A16">
        <w:rPr>
          <w:rFonts w:ascii="Arial" w:hAnsi="Arial" w:cs="Arial"/>
          <w:sz w:val="22"/>
          <w:szCs w:val="22"/>
        </w:rPr>
        <w:t>t</w:t>
      </w:r>
      <w:r w:rsidR="00606F51" w:rsidRPr="00307A16">
        <w:rPr>
          <w:rFonts w:ascii="Arial" w:hAnsi="Arial" w:cs="Arial"/>
          <w:sz w:val="22"/>
          <w:szCs w:val="22"/>
        </w:rPr>
        <w:t xml:space="preserve"> directly funded by the DoH</w:t>
      </w:r>
      <w:r w:rsidR="00EB5668">
        <w:rPr>
          <w:rFonts w:ascii="Arial" w:hAnsi="Arial" w:cs="Arial"/>
          <w:sz w:val="22"/>
          <w:szCs w:val="22"/>
        </w:rPr>
        <w:t>.</w:t>
      </w:r>
      <w:r w:rsidR="00606F51" w:rsidRPr="00307A16">
        <w:rPr>
          <w:rFonts w:ascii="Arial" w:hAnsi="Arial" w:cs="Arial"/>
          <w:sz w:val="22"/>
          <w:szCs w:val="22"/>
        </w:rPr>
        <w:t xml:space="preserve"> </w:t>
      </w:r>
      <w:r w:rsidR="00EB5668">
        <w:rPr>
          <w:rFonts w:ascii="Arial" w:hAnsi="Arial" w:cs="Arial"/>
          <w:sz w:val="22"/>
          <w:szCs w:val="22"/>
        </w:rPr>
        <w:t>M</w:t>
      </w:r>
      <w:r w:rsidR="00606F51" w:rsidRPr="00307A16">
        <w:rPr>
          <w:rFonts w:ascii="Arial" w:hAnsi="Arial" w:cs="Arial"/>
          <w:sz w:val="22"/>
          <w:szCs w:val="22"/>
        </w:rPr>
        <w:t>any of the</w:t>
      </w:r>
      <w:r w:rsidR="00FB72E0" w:rsidRPr="00307A16">
        <w:rPr>
          <w:rFonts w:ascii="Arial" w:hAnsi="Arial" w:cs="Arial"/>
          <w:sz w:val="22"/>
          <w:szCs w:val="22"/>
        </w:rPr>
        <w:t xml:space="preserve"> </w:t>
      </w:r>
      <w:r w:rsidR="002975F3" w:rsidRPr="00307A16">
        <w:rPr>
          <w:rFonts w:ascii="Arial" w:hAnsi="Arial" w:cs="Arial"/>
          <w:sz w:val="22"/>
          <w:szCs w:val="22"/>
        </w:rPr>
        <w:t>fourteen</w:t>
      </w:r>
      <w:r w:rsidR="00FB72E0" w:rsidRPr="00307A16">
        <w:rPr>
          <w:rFonts w:ascii="Arial" w:hAnsi="Arial" w:cs="Arial"/>
          <w:sz w:val="22"/>
          <w:szCs w:val="22"/>
        </w:rPr>
        <w:t xml:space="preserve"> CSGs </w:t>
      </w:r>
      <w:r w:rsidR="004656C5" w:rsidRPr="00307A16">
        <w:rPr>
          <w:rFonts w:ascii="Arial" w:hAnsi="Arial" w:cs="Arial"/>
          <w:sz w:val="22"/>
          <w:szCs w:val="22"/>
        </w:rPr>
        <w:t xml:space="preserve">linked to CRN: Children are in receipt of </w:t>
      </w:r>
      <w:r w:rsidR="00FB72E0" w:rsidRPr="00307A16">
        <w:rPr>
          <w:rFonts w:ascii="Arial" w:hAnsi="Arial" w:cs="Arial"/>
          <w:sz w:val="22"/>
          <w:szCs w:val="22"/>
        </w:rPr>
        <w:t>funding fro</w:t>
      </w:r>
      <w:r w:rsidR="00FE277D" w:rsidRPr="00307A16">
        <w:rPr>
          <w:rFonts w:ascii="Arial" w:hAnsi="Arial" w:cs="Arial"/>
          <w:sz w:val="22"/>
          <w:szCs w:val="22"/>
        </w:rPr>
        <w:t>m relevant UK medical charities.</w:t>
      </w:r>
      <w:r w:rsidR="00E26277">
        <w:rPr>
          <w:rFonts w:ascii="Arial" w:hAnsi="Arial" w:cs="Arial"/>
          <w:sz w:val="22"/>
          <w:szCs w:val="22"/>
        </w:rPr>
        <w:t>[9]</w:t>
      </w:r>
      <w:r w:rsidR="00ED7283" w:rsidRPr="00307A16">
        <w:rPr>
          <w:rFonts w:ascii="Arial" w:hAnsi="Arial" w:cs="Arial"/>
          <w:sz w:val="22"/>
          <w:szCs w:val="22"/>
        </w:rPr>
        <w:t xml:space="preserve"> There are </w:t>
      </w:r>
      <w:r w:rsidR="00EB5668">
        <w:rPr>
          <w:rFonts w:ascii="Arial" w:hAnsi="Arial" w:cs="Arial"/>
          <w:sz w:val="22"/>
          <w:szCs w:val="22"/>
        </w:rPr>
        <w:t xml:space="preserve">many </w:t>
      </w:r>
      <w:r w:rsidR="00ED7283" w:rsidRPr="00307A16">
        <w:rPr>
          <w:rFonts w:ascii="Arial" w:hAnsi="Arial" w:cs="Arial"/>
          <w:sz w:val="22"/>
          <w:szCs w:val="22"/>
        </w:rPr>
        <w:t xml:space="preserve">UK wide strategies </w:t>
      </w:r>
      <w:r w:rsidR="00EB5668">
        <w:rPr>
          <w:rFonts w:ascii="Arial" w:hAnsi="Arial" w:cs="Arial"/>
          <w:sz w:val="22"/>
          <w:szCs w:val="22"/>
        </w:rPr>
        <w:t>to continue to foster close</w:t>
      </w:r>
      <w:r w:rsidR="00ED7283" w:rsidRPr="00307A16">
        <w:rPr>
          <w:rFonts w:ascii="Arial" w:hAnsi="Arial" w:cs="Arial"/>
          <w:sz w:val="22"/>
          <w:szCs w:val="22"/>
        </w:rPr>
        <w:t xml:space="preserve"> collaborative working with a number of charities that support and </w:t>
      </w:r>
      <w:r w:rsidR="009E105A" w:rsidRPr="00307A16">
        <w:rPr>
          <w:rFonts w:ascii="Arial" w:hAnsi="Arial" w:cs="Arial"/>
          <w:sz w:val="22"/>
          <w:szCs w:val="22"/>
        </w:rPr>
        <w:t xml:space="preserve">fund </w:t>
      </w:r>
      <w:r w:rsidR="00ED7283" w:rsidRPr="00307A16">
        <w:rPr>
          <w:rFonts w:ascii="Arial" w:hAnsi="Arial" w:cs="Arial"/>
          <w:sz w:val="22"/>
          <w:szCs w:val="22"/>
        </w:rPr>
        <w:t>paediatric research.</w:t>
      </w:r>
    </w:p>
    <w:p w14:paraId="6534858F" w14:textId="0223EF47" w:rsidR="00FB72E0" w:rsidRPr="00307A16" w:rsidRDefault="00FB72E0" w:rsidP="007515F8">
      <w:pPr>
        <w:spacing w:line="480" w:lineRule="auto"/>
        <w:jc w:val="both"/>
        <w:rPr>
          <w:rFonts w:ascii="Arial" w:hAnsi="Arial" w:cs="Arial"/>
          <w:sz w:val="22"/>
          <w:szCs w:val="22"/>
        </w:rPr>
      </w:pPr>
      <w:r w:rsidRPr="00307A16">
        <w:rPr>
          <w:rFonts w:ascii="Arial" w:hAnsi="Arial" w:cs="Arial"/>
          <w:sz w:val="22"/>
          <w:szCs w:val="22"/>
        </w:rPr>
        <w:t xml:space="preserve">The CSGs work </w:t>
      </w:r>
      <w:r w:rsidR="002E55E9">
        <w:rPr>
          <w:rFonts w:ascii="Arial" w:hAnsi="Arial" w:cs="Arial"/>
          <w:sz w:val="22"/>
          <w:szCs w:val="22"/>
        </w:rPr>
        <w:t xml:space="preserve">in </w:t>
      </w:r>
      <w:r w:rsidRPr="00307A16">
        <w:rPr>
          <w:rFonts w:ascii="Arial" w:hAnsi="Arial" w:cs="Arial"/>
          <w:sz w:val="22"/>
          <w:szCs w:val="22"/>
        </w:rPr>
        <w:t xml:space="preserve">both </w:t>
      </w:r>
      <w:r w:rsidR="002E55E9">
        <w:rPr>
          <w:rFonts w:ascii="Arial" w:hAnsi="Arial" w:cs="Arial"/>
          <w:sz w:val="22"/>
          <w:szCs w:val="22"/>
        </w:rPr>
        <w:t xml:space="preserve">a </w:t>
      </w:r>
      <w:r w:rsidRPr="00307A16">
        <w:rPr>
          <w:rFonts w:ascii="Arial" w:hAnsi="Arial" w:cs="Arial"/>
          <w:sz w:val="22"/>
          <w:szCs w:val="22"/>
        </w:rPr>
        <w:t>reactive and proactive</w:t>
      </w:r>
      <w:r w:rsidR="002E55E9">
        <w:rPr>
          <w:rFonts w:ascii="Arial" w:hAnsi="Arial" w:cs="Arial"/>
          <w:sz w:val="22"/>
          <w:szCs w:val="22"/>
        </w:rPr>
        <w:t xml:space="preserve"> manner</w:t>
      </w:r>
      <w:r w:rsidRPr="00307A16">
        <w:rPr>
          <w:rFonts w:ascii="Arial" w:hAnsi="Arial" w:cs="Arial"/>
          <w:sz w:val="22"/>
          <w:szCs w:val="22"/>
        </w:rPr>
        <w:t xml:space="preserve">. They work reactively providing free of charge, expert advice to help researchers and the pharmaceutical industry develop high quality research proposals. They also work proactively through identifying priority areas for future research and supporting development of appropriate proposals. CSGs are designed to be the first contact for investigators with a research question in order </w:t>
      </w:r>
      <w:r w:rsidR="00E26277">
        <w:rPr>
          <w:rFonts w:ascii="Arial" w:hAnsi="Arial" w:cs="Arial"/>
          <w:sz w:val="22"/>
          <w:szCs w:val="22"/>
        </w:rPr>
        <w:t>to ensure</w:t>
      </w:r>
      <w:r w:rsidRPr="00307A16">
        <w:rPr>
          <w:rFonts w:ascii="Arial" w:hAnsi="Arial" w:cs="Arial"/>
          <w:sz w:val="22"/>
          <w:szCs w:val="22"/>
        </w:rPr>
        <w:t xml:space="preserve"> the </w:t>
      </w:r>
      <w:r w:rsidR="005F18F2" w:rsidRPr="00307A16">
        <w:rPr>
          <w:rFonts w:ascii="Arial" w:hAnsi="Arial" w:cs="Arial"/>
          <w:sz w:val="22"/>
          <w:szCs w:val="22"/>
        </w:rPr>
        <w:t>N</w:t>
      </w:r>
      <w:r w:rsidRPr="00307A16">
        <w:rPr>
          <w:rFonts w:ascii="Arial" w:hAnsi="Arial" w:cs="Arial"/>
          <w:sz w:val="22"/>
          <w:szCs w:val="22"/>
        </w:rPr>
        <w:t xml:space="preserve">etwork </w:t>
      </w:r>
      <w:r w:rsidR="003D3912">
        <w:rPr>
          <w:rFonts w:ascii="Arial" w:hAnsi="Arial" w:cs="Arial"/>
          <w:sz w:val="22"/>
          <w:szCs w:val="22"/>
        </w:rPr>
        <w:t xml:space="preserve">is </w:t>
      </w:r>
      <w:r w:rsidRPr="00307A16">
        <w:rPr>
          <w:rFonts w:ascii="Arial" w:hAnsi="Arial" w:cs="Arial"/>
          <w:sz w:val="22"/>
          <w:szCs w:val="22"/>
        </w:rPr>
        <w:t>able to have early input into the development of proposals to ensure feasibility and development of appropriate protocols.</w:t>
      </w:r>
    </w:p>
    <w:p w14:paraId="2AF4B9C2" w14:textId="77777777" w:rsidR="0094412B" w:rsidRPr="00307A16" w:rsidRDefault="00FB72E0" w:rsidP="007515F8">
      <w:pPr>
        <w:spacing w:line="480" w:lineRule="auto"/>
        <w:jc w:val="both"/>
        <w:rPr>
          <w:rFonts w:ascii="Arial" w:hAnsi="Arial" w:cs="Arial"/>
          <w:sz w:val="22"/>
          <w:szCs w:val="22"/>
        </w:rPr>
      </w:pPr>
      <w:r w:rsidRPr="00307A16">
        <w:rPr>
          <w:rFonts w:ascii="Arial" w:hAnsi="Arial" w:cs="Arial"/>
          <w:sz w:val="22"/>
          <w:szCs w:val="22"/>
        </w:rPr>
        <w:t xml:space="preserve">CSGs include active researchers (clinical and other professionals such as nurses, pharmacists and physiotherapists), parents, charity representatives and paediatric drug formulation experts. </w:t>
      </w:r>
      <w:bookmarkStart w:id="0" w:name="_GoBack"/>
      <w:bookmarkEnd w:id="0"/>
    </w:p>
    <w:p w14:paraId="09871628" w14:textId="77777777" w:rsidR="0010781E" w:rsidRPr="00307A16" w:rsidRDefault="0010781E" w:rsidP="007515F8">
      <w:pPr>
        <w:spacing w:line="480" w:lineRule="auto"/>
        <w:jc w:val="both"/>
        <w:rPr>
          <w:rFonts w:ascii="Arial" w:hAnsi="Arial" w:cs="Arial"/>
          <w:sz w:val="22"/>
          <w:szCs w:val="22"/>
        </w:rPr>
      </w:pPr>
    </w:p>
    <w:p w14:paraId="1E69A55F" w14:textId="472958E5" w:rsidR="00A524F0" w:rsidRPr="00307A16" w:rsidRDefault="00A524F0" w:rsidP="007515F8">
      <w:pPr>
        <w:spacing w:line="480" w:lineRule="auto"/>
        <w:rPr>
          <w:rFonts w:ascii="Arial" w:hAnsi="Arial" w:cs="Arial"/>
          <w:b/>
          <w:sz w:val="22"/>
          <w:szCs w:val="22"/>
        </w:rPr>
      </w:pPr>
      <w:r w:rsidRPr="00307A16">
        <w:rPr>
          <w:rFonts w:ascii="Arial" w:hAnsi="Arial" w:cs="Arial"/>
          <w:b/>
          <w:sz w:val="22"/>
          <w:szCs w:val="22"/>
        </w:rPr>
        <w:t>Patient and Public Involvement</w:t>
      </w:r>
      <w:r w:rsidR="009E105A" w:rsidRPr="00307A16">
        <w:rPr>
          <w:rFonts w:ascii="Arial" w:hAnsi="Arial" w:cs="Arial"/>
          <w:b/>
          <w:sz w:val="22"/>
          <w:szCs w:val="22"/>
        </w:rPr>
        <w:t xml:space="preserve"> and Engagement</w:t>
      </w:r>
      <w:r w:rsidR="0094412B" w:rsidRPr="00307A16">
        <w:rPr>
          <w:rFonts w:ascii="Arial" w:hAnsi="Arial" w:cs="Arial"/>
          <w:b/>
          <w:sz w:val="22"/>
          <w:szCs w:val="22"/>
        </w:rPr>
        <w:t xml:space="preserve"> (PPI</w:t>
      </w:r>
      <w:r w:rsidR="009E105A" w:rsidRPr="00307A16">
        <w:rPr>
          <w:rFonts w:ascii="Arial" w:hAnsi="Arial" w:cs="Arial"/>
          <w:b/>
          <w:sz w:val="22"/>
          <w:szCs w:val="22"/>
        </w:rPr>
        <w:t>E</w:t>
      </w:r>
      <w:r w:rsidR="0094412B" w:rsidRPr="00307A16">
        <w:rPr>
          <w:rFonts w:ascii="Arial" w:hAnsi="Arial" w:cs="Arial"/>
          <w:b/>
          <w:sz w:val="22"/>
          <w:szCs w:val="22"/>
        </w:rPr>
        <w:t>)</w:t>
      </w:r>
    </w:p>
    <w:p w14:paraId="5510BED8" w14:textId="60EC2D1F" w:rsidR="006B3A78" w:rsidRPr="00307A16" w:rsidRDefault="00A00C24" w:rsidP="004A5AF9">
      <w:pPr>
        <w:spacing w:line="480" w:lineRule="auto"/>
        <w:jc w:val="both"/>
        <w:rPr>
          <w:rFonts w:ascii="Arial" w:hAnsi="Arial" w:cs="Arial"/>
          <w:sz w:val="22"/>
          <w:szCs w:val="22"/>
        </w:rPr>
      </w:pPr>
      <w:r>
        <w:rPr>
          <w:rFonts w:ascii="Arial" w:hAnsi="Arial" w:cs="Arial"/>
          <w:sz w:val="22"/>
          <w:szCs w:val="22"/>
        </w:rPr>
        <w:t>The</w:t>
      </w:r>
      <w:r w:rsidR="00515A88" w:rsidRPr="00307A16">
        <w:rPr>
          <w:rFonts w:ascii="Arial" w:hAnsi="Arial" w:cs="Arial"/>
          <w:sz w:val="22"/>
          <w:szCs w:val="22"/>
        </w:rPr>
        <w:t xml:space="preserve"> active involvement</w:t>
      </w:r>
      <w:r w:rsidR="009E105A" w:rsidRPr="00307A16">
        <w:rPr>
          <w:rFonts w:ascii="Arial" w:hAnsi="Arial" w:cs="Arial"/>
          <w:sz w:val="22"/>
          <w:szCs w:val="22"/>
        </w:rPr>
        <w:t xml:space="preserve"> and engagement</w:t>
      </w:r>
      <w:r w:rsidR="00515A88" w:rsidRPr="00307A16">
        <w:rPr>
          <w:rFonts w:ascii="Arial" w:hAnsi="Arial" w:cs="Arial"/>
          <w:sz w:val="22"/>
          <w:szCs w:val="22"/>
        </w:rPr>
        <w:t xml:space="preserve"> of patients and the public in the deliverability of research</w:t>
      </w:r>
      <w:r w:rsidR="00FE277D" w:rsidRPr="00307A16">
        <w:rPr>
          <w:rFonts w:ascii="Arial" w:hAnsi="Arial" w:cs="Arial"/>
          <w:sz w:val="22"/>
          <w:szCs w:val="22"/>
        </w:rPr>
        <w:t>,</w:t>
      </w:r>
      <w:r w:rsidR="00515A88" w:rsidRPr="00307A16">
        <w:rPr>
          <w:rFonts w:ascii="Arial" w:hAnsi="Arial" w:cs="Arial"/>
          <w:sz w:val="22"/>
          <w:szCs w:val="22"/>
        </w:rPr>
        <w:t xml:space="preserve"> is at the centre of CRN activities. </w:t>
      </w:r>
      <w:r w:rsidR="005E1320">
        <w:rPr>
          <w:rFonts w:ascii="Arial" w:hAnsi="Arial" w:cs="Arial"/>
          <w:sz w:val="22"/>
          <w:szCs w:val="22"/>
        </w:rPr>
        <w:t xml:space="preserve"> </w:t>
      </w:r>
      <w:r w:rsidR="00515A88" w:rsidRPr="00307A16">
        <w:rPr>
          <w:rFonts w:ascii="Arial" w:hAnsi="Arial" w:cs="Arial"/>
          <w:sz w:val="22"/>
          <w:szCs w:val="22"/>
        </w:rPr>
        <w:t>CRN:</w:t>
      </w:r>
      <w:r w:rsidR="00FC5428" w:rsidRPr="00307A16">
        <w:rPr>
          <w:rFonts w:ascii="Arial" w:hAnsi="Arial" w:cs="Arial"/>
          <w:sz w:val="22"/>
          <w:szCs w:val="22"/>
        </w:rPr>
        <w:t xml:space="preserve"> </w:t>
      </w:r>
      <w:r w:rsidR="00515A88" w:rsidRPr="00307A16">
        <w:rPr>
          <w:rFonts w:ascii="Arial" w:hAnsi="Arial" w:cs="Arial"/>
          <w:sz w:val="22"/>
          <w:szCs w:val="22"/>
        </w:rPr>
        <w:t xml:space="preserve">Children has been at the forefront of </w:t>
      </w:r>
      <w:r w:rsidR="0097158D" w:rsidRPr="00307A16">
        <w:rPr>
          <w:rFonts w:ascii="Arial" w:hAnsi="Arial" w:cs="Arial"/>
          <w:sz w:val="22"/>
          <w:szCs w:val="22"/>
        </w:rPr>
        <w:t>PPI</w:t>
      </w:r>
      <w:r w:rsidR="009E105A" w:rsidRPr="00307A16">
        <w:rPr>
          <w:rFonts w:ascii="Arial" w:hAnsi="Arial" w:cs="Arial"/>
          <w:sz w:val="22"/>
          <w:szCs w:val="22"/>
        </w:rPr>
        <w:t>E</w:t>
      </w:r>
      <w:r w:rsidR="00515A88" w:rsidRPr="00307A16">
        <w:rPr>
          <w:rFonts w:ascii="Arial" w:hAnsi="Arial" w:cs="Arial"/>
          <w:sz w:val="22"/>
          <w:szCs w:val="22"/>
        </w:rPr>
        <w:t xml:space="preserve"> in research</w:t>
      </w:r>
      <w:r w:rsidR="005E1320">
        <w:rPr>
          <w:rFonts w:ascii="Arial" w:hAnsi="Arial" w:cs="Arial"/>
          <w:sz w:val="22"/>
          <w:szCs w:val="22"/>
        </w:rPr>
        <w:t xml:space="preserve"> design and delivery</w:t>
      </w:r>
      <w:r w:rsidR="00515A88" w:rsidRPr="00307A16">
        <w:rPr>
          <w:rFonts w:ascii="Arial" w:hAnsi="Arial" w:cs="Arial"/>
          <w:sz w:val="22"/>
          <w:szCs w:val="22"/>
        </w:rPr>
        <w:t xml:space="preserve"> for some time</w:t>
      </w:r>
      <w:r w:rsidR="005E1320">
        <w:rPr>
          <w:rFonts w:ascii="Arial" w:hAnsi="Arial" w:cs="Arial"/>
          <w:sz w:val="22"/>
          <w:szCs w:val="22"/>
        </w:rPr>
        <w:t xml:space="preserve">, especially in regards to the involvement and engagement of children and families. </w:t>
      </w:r>
      <w:r w:rsidR="00515A88" w:rsidRPr="00307A16">
        <w:rPr>
          <w:rFonts w:ascii="Arial" w:hAnsi="Arial" w:cs="Arial"/>
          <w:sz w:val="22"/>
          <w:szCs w:val="22"/>
        </w:rPr>
        <w:t xml:space="preserve">In 2006, the </w:t>
      </w:r>
      <w:r w:rsidR="003D3912">
        <w:rPr>
          <w:rFonts w:ascii="Arial" w:hAnsi="Arial" w:cs="Arial"/>
          <w:sz w:val="22"/>
          <w:szCs w:val="22"/>
        </w:rPr>
        <w:t>MCRN</w:t>
      </w:r>
      <w:r w:rsidR="00515A88" w:rsidRPr="00307A16">
        <w:rPr>
          <w:rFonts w:ascii="Arial" w:hAnsi="Arial" w:cs="Arial"/>
          <w:sz w:val="22"/>
          <w:szCs w:val="22"/>
        </w:rPr>
        <w:t xml:space="preserve"> started its first Young Person</w:t>
      </w:r>
      <w:r w:rsidR="005F18F2" w:rsidRPr="00307A16">
        <w:rPr>
          <w:rFonts w:ascii="Arial" w:hAnsi="Arial" w:cs="Arial"/>
          <w:sz w:val="22"/>
          <w:szCs w:val="22"/>
        </w:rPr>
        <w:t xml:space="preserve">s’ Advisory Group </w:t>
      </w:r>
      <w:r w:rsidR="005E1320">
        <w:rPr>
          <w:rFonts w:ascii="Arial" w:hAnsi="Arial" w:cs="Arial"/>
          <w:sz w:val="22"/>
          <w:szCs w:val="22"/>
        </w:rPr>
        <w:t xml:space="preserve">(YPAG) </w:t>
      </w:r>
      <w:r w:rsidR="005F18F2" w:rsidRPr="00307A16">
        <w:rPr>
          <w:rFonts w:ascii="Arial" w:hAnsi="Arial" w:cs="Arial"/>
          <w:sz w:val="22"/>
          <w:szCs w:val="22"/>
        </w:rPr>
        <w:t>based at the N</w:t>
      </w:r>
      <w:r w:rsidR="00515A88" w:rsidRPr="00307A16">
        <w:rPr>
          <w:rFonts w:ascii="Arial" w:hAnsi="Arial" w:cs="Arial"/>
          <w:sz w:val="22"/>
          <w:szCs w:val="22"/>
        </w:rPr>
        <w:t>etwork’s co</w:t>
      </w:r>
      <w:r w:rsidR="00E26277">
        <w:rPr>
          <w:rFonts w:ascii="Arial" w:hAnsi="Arial" w:cs="Arial"/>
          <w:sz w:val="22"/>
          <w:szCs w:val="22"/>
        </w:rPr>
        <w:t>-</w:t>
      </w:r>
      <w:r w:rsidR="00515A88" w:rsidRPr="00307A16">
        <w:rPr>
          <w:rFonts w:ascii="Arial" w:hAnsi="Arial" w:cs="Arial"/>
          <w:sz w:val="22"/>
          <w:szCs w:val="22"/>
        </w:rPr>
        <w:t xml:space="preserve">ordinating centre in Liverpool. Since then the group has expanded nationally and </w:t>
      </w:r>
      <w:r w:rsidR="009E105A" w:rsidRPr="00307A16">
        <w:rPr>
          <w:rFonts w:ascii="Arial" w:hAnsi="Arial" w:cs="Arial"/>
          <w:sz w:val="22"/>
          <w:szCs w:val="22"/>
        </w:rPr>
        <w:t xml:space="preserve">been </w:t>
      </w:r>
      <w:r w:rsidR="00515A88" w:rsidRPr="00307A16">
        <w:rPr>
          <w:rFonts w:ascii="Arial" w:hAnsi="Arial" w:cs="Arial"/>
          <w:sz w:val="22"/>
          <w:szCs w:val="22"/>
        </w:rPr>
        <w:t xml:space="preserve">renamed as GenerationR (R for research), and includes five more groups in London, Nottingham, Birmingham and Bristol. </w:t>
      </w:r>
      <w:r w:rsidR="006B3A78" w:rsidRPr="00307A16">
        <w:rPr>
          <w:rFonts w:ascii="Arial" w:hAnsi="Arial" w:cs="Arial"/>
          <w:sz w:val="22"/>
          <w:szCs w:val="22"/>
        </w:rPr>
        <w:t xml:space="preserve">Each group consists of approximately 10-15 </w:t>
      </w:r>
      <w:r w:rsidR="006B3A78" w:rsidRPr="00307A16">
        <w:rPr>
          <w:rFonts w:ascii="Arial" w:hAnsi="Arial" w:cs="Arial"/>
          <w:sz w:val="22"/>
          <w:szCs w:val="22"/>
        </w:rPr>
        <w:lastRenderedPageBreak/>
        <w:t xml:space="preserve">young people </w:t>
      </w:r>
      <w:r w:rsidR="0097158D" w:rsidRPr="00307A16">
        <w:rPr>
          <w:rFonts w:ascii="Arial" w:hAnsi="Arial" w:cs="Arial"/>
          <w:sz w:val="22"/>
          <w:szCs w:val="22"/>
        </w:rPr>
        <w:t>aged</w:t>
      </w:r>
      <w:r w:rsidR="006B3A78" w:rsidRPr="00307A16">
        <w:rPr>
          <w:rFonts w:ascii="Arial" w:hAnsi="Arial" w:cs="Arial"/>
          <w:sz w:val="22"/>
          <w:szCs w:val="22"/>
        </w:rPr>
        <w:t xml:space="preserve"> 8-19</w:t>
      </w:r>
      <w:r w:rsidR="00544A2F" w:rsidRPr="00307A16">
        <w:rPr>
          <w:rFonts w:ascii="Arial" w:hAnsi="Arial" w:cs="Arial"/>
          <w:sz w:val="22"/>
          <w:szCs w:val="22"/>
        </w:rPr>
        <w:t xml:space="preserve"> </w:t>
      </w:r>
      <w:r w:rsidR="006B3A78" w:rsidRPr="00307A16">
        <w:rPr>
          <w:rFonts w:ascii="Arial" w:hAnsi="Arial" w:cs="Arial"/>
          <w:sz w:val="22"/>
          <w:szCs w:val="22"/>
        </w:rPr>
        <w:t xml:space="preserve">years </w:t>
      </w:r>
      <w:r w:rsidR="0097158D" w:rsidRPr="00307A16">
        <w:rPr>
          <w:rFonts w:ascii="Arial" w:hAnsi="Arial" w:cs="Arial"/>
          <w:sz w:val="22"/>
          <w:szCs w:val="22"/>
        </w:rPr>
        <w:t>of age</w:t>
      </w:r>
      <w:r w:rsidR="00A80725" w:rsidRPr="00307A16">
        <w:rPr>
          <w:rFonts w:ascii="Arial" w:hAnsi="Arial" w:cs="Arial"/>
          <w:sz w:val="22"/>
          <w:szCs w:val="22"/>
        </w:rPr>
        <w:t xml:space="preserve"> and m</w:t>
      </w:r>
      <w:r w:rsidR="006B3A78" w:rsidRPr="00307A16">
        <w:rPr>
          <w:rFonts w:ascii="Arial" w:hAnsi="Arial" w:cs="Arial"/>
          <w:sz w:val="22"/>
          <w:szCs w:val="22"/>
        </w:rPr>
        <w:t>embership is open to any young person who has a chronic condition, experience of taking part in health research or a general in</w:t>
      </w:r>
      <w:r w:rsidR="00A80725" w:rsidRPr="00307A16">
        <w:rPr>
          <w:rFonts w:ascii="Arial" w:hAnsi="Arial" w:cs="Arial"/>
          <w:sz w:val="22"/>
          <w:szCs w:val="22"/>
        </w:rPr>
        <w:t xml:space="preserve">terest in science or medicine. </w:t>
      </w:r>
    </w:p>
    <w:p w14:paraId="1D1E01E3" w14:textId="29B28A01" w:rsidR="00515A88" w:rsidRPr="00307A16" w:rsidRDefault="00515A88" w:rsidP="007515F8">
      <w:pPr>
        <w:widowControl w:val="0"/>
        <w:autoSpaceDE w:val="0"/>
        <w:autoSpaceDN w:val="0"/>
        <w:adjustRightInd w:val="0"/>
        <w:spacing w:line="480" w:lineRule="auto"/>
        <w:jc w:val="both"/>
        <w:rPr>
          <w:rFonts w:ascii="Arial" w:hAnsi="Arial" w:cs="Arial"/>
          <w:sz w:val="22"/>
          <w:szCs w:val="22"/>
        </w:rPr>
      </w:pPr>
      <w:r w:rsidRPr="00307A16">
        <w:rPr>
          <w:rFonts w:ascii="Arial" w:hAnsi="Arial" w:cs="Arial"/>
          <w:sz w:val="22"/>
          <w:szCs w:val="22"/>
        </w:rPr>
        <w:t xml:space="preserve">The initial remit of </w:t>
      </w:r>
      <w:r w:rsidR="006B3A78" w:rsidRPr="00307A16">
        <w:rPr>
          <w:rFonts w:ascii="Arial" w:hAnsi="Arial" w:cs="Arial"/>
          <w:sz w:val="22"/>
          <w:szCs w:val="22"/>
        </w:rPr>
        <w:t>GenerationR</w:t>
      </w:r>
      <w:r w:rsidRPr="00307A16">
        <w:rPr>
          <w:rFonts w:ascii="Arial" w:hAnsi="Arial" w:cs="Arial"/>
          <w:sz w:val="22"/>
          <w:szCs w:val="22"/>
        </w:rPr>
        <w:t xml:space="preserve"> was to engage young people with research and to work in partnership with, and offer support to, researchers</w:t>
      </w:r>
      <w:r w:rsidR="00BA6C3A">
        <w:rPr>
          <w:rFonts w:ascii="Arial" w:hAnsi="Arial" w:cs="Arial"/>
          <w:sz w:val="22"/>
          <w:szCs w:val="22"/>
        </w:rPr>
        <w:t xml:space="preserve"> working on CRN Portfolio studies and </w:t>
      </w:r>
      <w:r w:rsidR="003D3912">
        <w:rPr>
          <w:rFonts w:ascii="Arial" w:hAnsi="Arial" w:cs="Arial"/>
          <w:sz w:val="22"/>
          <w:szCs w:val="22"/>
        </w:rPr>
        <w:t xml:space="preserve">across the </w:t>
      </w:r>
      <w:r w:rsidR="00BA6C3A">
        <w:rPr>
          <w:rFonts w:ascii="Arial" w:hAnsi="Arial" w:cs="Arial"/>
          <w:sz w:val="22"/>
          <w:szCs w:val="22"/>
        </w:rPr>
        <w:t>wider NIHR</w:t>
      </w:r>
      <w:r w:rsidRPr="00307A16">
        <w:rPr>
          <w:rFonts w:ascii="Arial" w:hAnsi="Arial" w:cs="Arial"/>
          <w:sz w:val="22"/>
          <w:szCs w:val="22"/>
        </w:rPr>
        <w:t>. The group provides a forum for</w:t>
      </w:r>
      <w:r w:rsidR="00A80725" w:rsidRPr="00307A16">
        <w:rPr>
          <w:rFonts w:ascii="Arial" w:hAnsi="Arial" w:cs="Arial"/>
          <w:sz w:val="22"/>
          <w:szCs w:val="22"/>
        </w:rPr>
        <w:t xml:space="preserve"> young people to learn about and comment on</w:t>
      </w:r>
      <w:r w:rsidRPr="00307A16">
        <w:rPr>
          <w:rFonts w:ascii="Arial" w:hAnsi="Arial" w:cs="Arial"/>
          <w:sz w:val="22"/>
          <w:szCs w:val="22"/>
        </w:rPr>
        <w:t xml:space="preserve"> aspects of the research cycle from the identification of research questions to the dissemination of research findings. The group also work</w:t>
      </w:r>
      <w:r w:rsidR="00A80725" w:rsidRPr="00307A16">
        <w:rPr>
          <w:rFonts w:ascii="Arial" w:hAnsi="Arial" w:cs="Arial"/>
          <w:sz w:val="22"/>
          <w:szCs w:val="22"/>
        </w:rPr>
        <w:t>s</w:t>
      </w:r>
      <w:r w:rsidRPr="00307A16">
        <w:rPr>
          <w:rFonts w:ascii="Arial" w:hAnsi="Arial" w:cs="Arial"/>
          <w:sz w:val="22"/>
          <w:szCs w:val="22"/>
        </w:rPr>
        <w:t xml:space="preserve"> alongside national and European governing bodies, such as the National Research Ethics Service (NRES) and the European Medicines Agency (EMA) as well as organisations such as the Royal College of Paediatrics and Child Health (RCPCH) to help </w:t>
      </w:r>
      <w:r w:rsidR="009E105A" w:rsidRPr="00307A16">
        <w:rPr>
          <w:rFonts w:ascii="Arial" w:hAnsi="Arial" w:cs="Arial"/>
          <w:sz w:val="22"/>
          <w:szCs w:val="22"/>
        </w:rPr>
        <w:t>facilitate the</w:t>
      </w:r>
      <w:r w:rsidRPr="00307A16">
        <w:rPr>
          <w:rFonts w:ascii="Arial" w:hAnsi="Arial" w:cs="Arial"/>
          <w:sz w:val="22"/>
          <w:szCs w:val="22"/>
        </w:rPr>
        <w:t xml:space="preserve"> design and deliver</w:t>
      </w:r>
      <w:r w:rsidR="000E20BC">
        <w:rPr>
          <w:rFonts w:ascii="Arial" w:hAnsi="Arial" w:cs="Arial"/>
          <w:sz w:val="22"/>
          <w:szCs w:val="22"/>
        </w:rPr>
        <w:t>y</w:t>
      </w:r>
      <w:r w:rsidRPr="00307A16">
        <w:rPr>
          <w:rFonts w:ascii="Arial" w:hAnsi="Arial" w:cs="Arial"/>
          <w:sz w:val="22"/>
          <w:szCs w:val="22"/>
        </w:rPr>
        <w:t xml:space="preserve"> </w:t>
      </w:r>
      <w:r w:rsidR="009E105A" w:rsidRPr="00307A16">
        <w:rPr>
          <w:rFonts w:ascii="Arial" w:hAnsi="Arial" w:cs="Arial"/>
          <w:sz w:val="22"/>
          <w:szCs w:val="22"/>
        </w:rPr>
        <w:t xml:space="preserve">of </w:t>
      </w:r>
      <w:r w:rsidRPr="00307A16">
        <w:rPr>
          <w:rFonts w:ascii="Arial" w:hAnsi="Arial" w:cs="Arial"/>
          <w:sz w:val="22"/>
          <w:szCs w:val="22"/>
        </w:rPr>
        <w:t>ethically robust research for children.</w:t>
      </w:r>
    </w:p>
    <w:p w14:paraId="0FFD30EA" w14:textId="59E2F3D8" w:rsidR="002A6051" w:rsidRPr="00307A16" w:rsidRDefault="00515A88" w:rsidP="007515F8">
      <w:pPr>
        <w:spacing w:line="480" w:lineRule="auto"/>
        <w:jc w:val="both"/>
        <w:rPr>
          <w:rFonts w:ascii="Arial" w:hAnsi="Arial" w:cs="Arial"/>
          <w:sz w:val="22"/>
          <w:szCs w:val="22"/>
        </w:rPr>
      </w:pPr>
      <w:r w:rsidRPr="00307A16">
        <w:rPr>
          <w:rFonts w:ascii="Arial" w:hAnsi="Arial" w:cs="Arial"/>
          <w:sz w:val="22"/>
          <w:szCs w:val="22"/>
        </w:rPr>
        <w:t>With the paediatric research community increasingly focusing on the real-world relevance of research, the influence of GenerationR is growing dram</w:t>
      </w:r>
      <w:r w:rsidR="00544A2F" w:rsidRPr="00307A16">
        <w:rPr>
          <w:rFonts w:ascii="Arial" w:hAnsi="Arial" w:cs="Arial"/>
          <w:sz w:val="22"/>
          <w:szCs w:val="22"/>
        </w:rPr>
        <w:t>atically.</w:t>
      </w:r>
      <w:r w:rsidRPr="00307A16">
        <w:rPr>
          <w:rFonts w:ascii="Arial" w:hAnsi="Arial" w:cs="Arial"/>
          <w:sz w:val="22"/>
          <w:szCs w:val="22"/>
        </w:rPr>
        <w:t xml:space="preserve"> This shift in culture is further evidenced by the number of researchers approaching the group for support</w:t>
      </w:r>
      <w:r w:rsidR="00E5402D" w:rsidRPr="00307A16">
        <w:rPr>
          <w:rFonts w:ascii="Arial" w:hAnsi="Arial" w:cs="Arial"/>
          <w:sz w:val="22"/>
          <w:szCs w:val="22"/>
        </w:rPr>
        <w:t xml:space="preserve">. </w:t>
      </w:r>
      <w:r w:rsidR="003D3912">
        <w:rPr>
          <w:rFonts w:ascii="Arial" w:hAnsi="Arial" w:cs="Arial"/>
          <w:sz w:val="22"/>
          <w:szCs w:val="22"/>
        </w:rPr>
        <w:t>A</w:t>
      </w:r>
      <w:r w:rsidR="005E1320">
        <w:rPr>
          <w:rFonts w:ascii="Arial" w:hAnsi="Arial" w:cs="Arial"/>
          <w:sz w:val="22"/>
          <w:szCs w:val="22"/>
        </w:rPr>
        <w:t xml:space="preserve">n external evaluation undertaken by the National Children’s Bureau in </w:t>
      </w:r>
      <w:r w:rsidR="003A6685" w:rsidRPr="00307A16">
        <w:rPr>
          <w:rFonts w:ascii="Arial" w:hAnsi="Arial" w:cs="Arial"/>
          <w:sz w:val="22"/>
          <w:szCs w:val="22"/>
        </w:rPr>
        <w:t>2013-2014</w:t>
      </w:r>
      <w:r w:rsidR="00E5402D" w:rsidRPr="00307A16">
        <w:rPr>
          <w:rFonts w:ascii="Arial" w:hAnsi="Arial" w:cs="Arial"/>
          <w:sz w:val="22"/>
          <w:szCs w:val="22"/>
        </w:rPr>
        <w:t>,</w:t>
      </w:r>
      <w:r w:rsidR="005E1320">
        <w:rPr>
          <w:rFonts w:ascii="Arial" w:hAnsi="Arial" w:cs="Arial"/>
          <w:sz w:val="22"/>
          <w:szCs w:val="22"/>
        </w:rPr>
        <w:t xml:space="preserve"> highlighted that </w:t>
      </w:r>
      <w:r w:rsidR="003A6685" w:rsidRPr="00307A16">
        <w:rPr>
          <w:rFonts w:ascii="Arial" w:hAnsi="Arial" w:cs="Arial"/>
          <w:sz w:val="22"/>
          <w:szCs w:val="22"/>
        </w:rPr>
        <w:t>the group were involved</w:t>
      </w:r>
      <w:r w:rsidR="00FD0357" w:rsidRPr="00307A16">
        <w:rPr>
          <w:rFonts w:ascii="Arial" w:hAnsi="Arial" w:cs="Arial"/>
          <w:sz w:val="22"/>
          <w:szCs w:val="22"/>
        </w:rPr>
        <w:t xml:space="preserve"> in</w:t>
      </w:r>
      <w:r w:rsidRPr="00307A16">
        <w:rPr>
          <w:rFonts w:ascii="Arial" w:hAnsi="Arial" w:cs="Arial"/>
          <w:sz w:val="22"/>
          <w:szCs w:val="22"/>
        </w:rPr>
        <w:t xml:space="preserve"> over sixty activities to support individual research projects, of </w:t>
      </w:r>
      <w:r w:rsidR="003D3912">
        <w:rPr>
          <w:rFonts w:ascii="Arial" w:hAnsi="Arial" w:cs="Arial"/>
          <w:sz w:val="22"/>
          <w:szCs w:val="22"/>
        </w:rPr>
        <w:t>which</w:t>
      </w:r>
      <w:r w:rsidRPr="00307A16">
        <w:rPr>
          <w:rFonts w:ascii="Arial" w:hAnsi="Arial" w:cs="Arial"/>
          <w:sz w:val="22"/>
          <w:szCs w:val="22"/>
        </w:rPr>
        <w:t xml:space="preserve"> ten included working with pharmaceutical companies</w:t>
      </w:r>
      <w:r w:rsidR="006C31A5">
        <w:rPr>
          <w:rFonts w:ascii="Arial" w:hAnsi="Arial" w:cs="Arial"/>
          <w:sz w:val="22"/>
          <w:szCs w:val="22"/>
        </w:rPr>
        <w:t>.</w:t>
      </w:r>
      <w:r w:rsidR="000521E1" w:rsidRPr="00307A16">
        <w:rPr>
          <w:rFonts w:ascii="Arial" w:hAnsi="Arial" w:cs="Arial"/>
          <w:sz w:val="22"/>
          <w:szCs w:val="22"/>
        </w:rPr>
        <w:t>[</w:t>
      </w:r>
      <w:r w:rsidR="006C31A5">
        <w:rPr>
          <w:rFonts w:ascii="Arial" w:hAnsi="Arial" w:cs="Arial"/>
          <w:sz w:val="22"/>
          <w:szCs w:val="22"/>
        </w:rPr>
        <w:t>10]</w:t>
      </w:r>
      <w:r w:rsidR="005E1320">
        <w:rPr>
          <w:rFonts w:ascii="Arial" w:hAnsi="Arial" w:cs="Arial"/>
          <w:sz w:val="22"/>
          <w:szCs w:val="22"/>
        </w:rPr>
        <w:t xml:space="preserve">  </w:t>
      </w:r>
      <w:r w:rsidR="006B3A78" w:rsidRPr="00307A16">
        <w:rPr>
          <w:rFonts w:ascii="Arial" w:hAnsi="Arial" w:cs="Arial"/>
          <w:sz w:val="22"/>
          <w:szCs w:val="22"/>
        </w:rPr>
        <w:t xml:space="preserve">Group activities </w:t>
      </w:r>
      <w:r w:rsidR="005E1320">
        <w:rPr>
          <w:rFonts w:ascii="Arial" w:hAnsi="Arial" w:cs="Arial"/>
          <w:sz w:val="22"/>
          <w:szCs w:val="22"/>
        </w:rPr>
        <w:t xml:space="preserve">however, </w:t>
      </w:r>
      <w:r w:rsidR="009E105A" w:rsidRPr="00307A16">
        <w:rPr>
          <w:rFonts w:ascii="Arial" w:hAnsi="Arial" w:cs="Arial"/>
          <w:sz w:val="22"/>
          <w:szCs w:val="22"/>
        </w:rPr>
        <w:t>tend</w:t>
      </w:r>
      <w:r w:rsidR="005E1320">
        <w:rPr>
          <w:rFonts w:ascii="Arial" w:hAnsi="Arial" w:cs="Arial"/>
          <w:sz w:val="22"/>
          <w:szCs w:val="22"/>
        </w:rPr>
        <w:t>ed</w:t>
      </w:r>
      <w:r w:rsidR="006B3A78" w:rsidRPr="00307A16">
        <w:rPr>
          <w:rFonts w:ascii="Arial" w:hAnsi="Arial" w:cs="Arial"/>
          <w:sz w:val="22"/>
          <w:szCs w:val="22"/>
        </w:rPr>
        <w:t xml:space="preserve"> to focus on the more practical elements of projects, such as the design of patient information sheets, assent/consent documentation, questionn</w:t>
      </w:r>
      <w:r w:rsidR="009F3BC2">
        <w:rPr>
          <w:rFonts w:ascii="Arial" w:hAnsi="Arial" w:cs="Arial"/>
          <w:sz w:val="22"/>
          <w:szCs w:val="22"/>
        </w:rPr>
        <w:t>aires, and interview schedules.</w:t>
      </w:r>
      <w:r w:rsidR="006B3A78" w:rsidRPr="00307A16">
        <w:rPr>
          <w:rFonts w:ascii="Arial" w:hAnsi="Arial" w:cs="Arial"/>
          <w:sz w:val="22"/>
          <w:szCs w:val="22"/>
        </w:rPr>
        <w:t xml:space="preserve"> Involvement in more strategic issues, such as the outcomes to be measured in the study, is less common but we are increasingly trying to engage researchers at the earliest stage possible in protocol development to ensure the outcomes and acceptability of the study </w:t>
      </w:r>
      <w:r w:rsidR="005E1320">
        <w:rPr>
          <w:rFonts w:ascii="Arial" w:hAnsi="Arial" w:cs="Arial"/>
          <w:sz w:val="22"/>
          <w:szCs w:val="22"/>
        </w:rPr>
        <w:t xml:space="preserve">to </w:t>
      </w:r>
      <w:r w:rsidR="006B3A78" w:rsidRPr="00307A16">
        <w:rPr>
          <w:rFonts w:ascii="Arial" w:hAnsi="Arial" w:cs="Arial"/>
          <w:sz w:val="22"/>
          <w:szCs w:val="22"/>
        </w:rPr>
        <w:t>suit the needs of patients and families.</w:t>
      </w:r>
    </w:p>
    <w:p w14:paraId="2A652C27" w14:textId="1E3FCD71" w:rsidR="007F43CD" w:rsidRDefault="005E1320" w:rsidP="00A00C24">
      <w:pPr>
        <w:widowControl w:val="0"/>
        <w:autoSpaceDE w:val="0"/>
        <w:autoSpaceDN w:val="0"/>
        <w:adjustRightInd w:val="0"/>
        <w:spacing w:line="480" w:lineRule="auto"/>
        <w:jc w:val="both"/>
        <w:rPr>
          <w:rFonts w:ascii="Arial" w:hAnsi="Arial" w:cs="Arial"/>
          <w:sz w:val="22"/>
          <w:szCs w:val="22"/>
        </w:rPr>
      </w:pPr>
      <w:r>
        <w:rPr>
          <w:rFonts w:ascii="Arial" w:hAnsi="Arial" w:cs="Arial"/>
          <w:sz w:val="22"/>
          <w:szCs w:val="22"/>
        </w:rPr>
        <w:t xml:space="preserve">Due to the success of Generation R the concept of YPAGs has grown </w:t>
      </w:r>
      <w:r w:rsidR="007F43CD">
        <w:rPr>
          <w:rFonts w:ascii="Arial" w:hAnsi="Arial" w:cs="Arial"/>
          <w:sz w:val="22"/>
          <w:szCs w:val="22"/>
        </w:rPr>
        <w:t xml:space="preserve">and several </w:t>
      </w:r>
      <w:r w:rsidR="00BA6C3A">
        <w:rPr>
          <w:rFonts w:ascii="Arial" w:hAnsi="Arial" w:cs="Arial"/>
          <w:sz w:val="22"/>
          <w:szCs w:val="22"/>
        </w:rPr>
        <w:t xml:space="preserve">recent </w:t>
      </w:r>
      <w:r w:rsidR="007F43CD">
        <w:rPr>
          <w:rFonts w:ascii="Arial" w:hAnsi="Arial" w:cs="Arial"/>
          <w:sz w:val="22"/>
          <w:szCs w:val="22"/>
        </w:rPr>
        <w:t>developments have taken place</w:t>
      </w:r>
      <w:r w:rsidR="003D3912">
        <w:rPr>
          <w:rFonts w:ascii="Arial" w:hAnsi="Arial" w:cs="Arial"/>
          <w:sz w:val="22"/>
          <w:szCs w:val="22"/>
        </w:rPr>
        <w:t xml:space="preserve"> </w:t>
      </w:r>
      <w:r w:rsidR="007F43CD">
        <w:rPr>
          <w:rFonts w:ascii="Arial" w:hAnsi="Arial" w:cs="Arial"/>
          <w:sz w:val="22"/>
          <w:szCs w:val="22"/>
        </w:rPr>
        <w:t>includ</w:t>
      </w:r>
      <w:r w:rsidR="003D3912">
        <w:rPr>
          <w:rFonts w:ascii="Arial" w:hAnsi="Arial" w:cs="Arial"/>
          <w:sz w:val="22"/>
          <w:szCs w:val="22"/>
        </w:rPr>
        <w:t>ing</w:t>
      </w:r>
      <w:r w:rsidR="007F43CD">
        <w:rPr>
          <w:rFonts w:ascii="Arial" w:hAnsi="Arial" w:cs="Arial"/>
          <w:sz w:val="22"/>
          <w:szCs w:val="22"/>
        </w:rPr>
        <w:t xml:space="preserve">: </w:t>
      </w:r>
    </w:p>
    <w:p w14:paraId="7D81188F" w14:textId="6E7540DD" w:rsidR="007F43CD" w:rsidRPr="004A5AF9" w:rsidRDefault="007F43CD" w:rsidP="004A5AF9">
      <w:pPr>
        <w:pStyle w:val="ListParagraph"/>
        <w:widowControl w:val="0"/>
        <w:numPr>
          <w:ilvl w:val="0"/>
          <w:numId w:val="12"/>
        </w:numPr>
        <w:autoSpaceDE w:val="0"/>
        <w:autoSpaceDN w:val="0"/>
        <w:adjustRightInd w:val="0"/>
        <w:spacing w:line="480" w:lineRule="auto"/>
        <w:jc w:val="both"/>
        <w:rPr>
          <w:rFonts w:ascii="Arial" w:hAnsi="Arial" w:cs="Arial"/>
          <w:sz w:val="22"/>
          <w:szCs w:val="22"/>
        </w:rPr>
      </w:pPr>
      <w:r w:rsidRPr="007F43CD">
        <w:rPr>
          <w:rFonts w:ascii="Arial" w:hAnsi="Arial" w:cs="Arial"/>
          <w:sz w:val="22"/>
          <w:szCs w:val="22"/>
        </w:rPr>
        <w:t>E</w:t>
      </w:r>
      <w:r w:rsidRPr="004A5AF9">
        <w:rPr>
          <w:rFonts w:ascii="Arial" w:hAnsi="Arial" w:cs="Arial"/>
          <w:sz w:val="22"/>
          <w:szCs w:val="22"/>
        </w:rPr>
        <w:t>stablishment of a G</w:t>
      </w:r>
      <w:r w:rsidR="005E1320" w:rsidRPr="004A5AF9">
        <w:rPr>
          <w:rFonts w:ascii="Arial" w:hAnsi="Arial" w:cs="Arial"/>
          <w:sz w:val="22"/>
          <w:szCs w:val="22"/>
        </w:rPr>
        <w:t xml:space="preserve">lobal </w:t>
      </w:r>
      <w:r w:rsidRPr="004A5AF9">
        <w:rPr>
          <w:rFonts w:ascii="Arial" w:hAnsi="Arial" w:cs="Arial"/>
          <w:sz w:val="22"/>
          <w:szCs w:val="22"/>
        </w:rPr>
        <w:t xml:space="preserve">consortium of YPAGs known as International </w:t>
      </w:r>
      <w:r w:rsidRPr="004A5AF9">
        <w:rPr>
          <w:rFonts w:ascii="Arial" w:hAnsi="Arial" w:cs="Arial"/>
          <w:sz w:val="22"/>
          <w:szCs w:val="22"/>
        </w:rPr>
        <w:lastRenderedPageBreak/>
        <w:t>Children’s Advisory Network (</w:t>
      </w:r>
      <w:r w:rsidR="005E1320" w:rsidRPr="004A5AF9">
        <w:rPr>
          <w:rFonts w:ascii="Arial" w:hAnsi="Arial" w:cs="Arial"/>
          <w:sz w:val="22"/>
          <w:szCs w:val="22"/>
        </w:rPr>
        <w:t>iCAN</w:t>
      </w:r>
      <w:r w:rsidRPr="004A5AF9">
        <w:rPr>
          <w:rFonts w:ascii="Arial" w:hAnsi="Arial" w:cs="Arial"/>
          <w:sz w:val="22"/>
          <w:szCs w:val="22"/>
        </w:rPr>
        <w:t>)</w:t>
      </w:r>
      <w:r w:rsidR="005E1320" w:rsidRPr="004A5AF9">
        <w:rPr>
          <w:rFonts w:ascii="Arial" w:hAnsi="Arial" w:cs="Arial"/>
          <w:sz w:val="22"/>
          <w:szCs w:val="22"/>
        </w:rPr>
        <w:t xml:space="preserve"> </w:t>
      </w:r>
      <w:r w:rsidRPr="004A5AF9">
        <w:rPr>
          <w:rFonts w:ascii="Arial" w:hAnsi="Arial" w:cs="Arial"/>
          <w:sz w:val="22"/>
          <w:szCs w:val="22"/>
        </w:rPr>
        <w:t>set up to provide a voice for children and families in peadiatric medicine through synergy, communication and collaboration</w:t>
      </w:r>
    </w:p>
    <w:p w14:paraId="15F5D989" w14:textId="63AE6261" w:rsidR="001212A6" w:rsidRPr="004A5AF9" w:rsidRDefault="007F43CD" w:rsidP="001212A6">
      <w:pPr>
        <w:pStyle w:val="ListParagraph"/>
        <w:widowControl w:val="0"/>
        <w:numPr>
          <w:ilvl w:val="0"/>
          <w:numId w:val="12"/>
        </w:numPr>
        <w:autoSpaceDE w:val="0"/>
        <w:autoSpaceDN w:val="0"/>
        <w:adjustRightInd w:val="0"/>
        <w:spacing w:line="480" w:lineRule="auto"/>
        <w:jc w:val="both"/>
        <w:rPr>
          <w:rFonts w:ascii="Arial" w:hAnsi="Arial" w:cs="Arial"/>
          <w:sz w:val="22"/>
          <w:szCs w:val="22"/>
        </w:rPr>
      </w:pPr>
      <w:r w:rsidRPr="007F43CD">
        <w:rPr>
          <w:rFonts w:ascii="Arial" w:hAnsi="Arial" w:cs="Arial"/>
          <w:sz w:val="22"/>
          <w:szCs w:val="22"/>
        </w:rPr>
        <w:t>E</w:t>
      </w:r>
      <w:r w:rsidRPr="004A5AF9">
        <w:rPr>
          <w:rFonts w:ascii="Arial" w:hAnsi="Arial" w:cs="Arial"/>
          <w:sz w:val="22"/>
          <w:szCs w:val="22"/>
        </w:rPr>
        <w:t xml:space="preserve">stablishment of a </w:t>
      </w:r>
      <w:r w:rsidR="00A00C24" w:rsidRPr="004A5AF9">
        <w:rPr>
          <w:rFonts w:ascii="Arial" w:hAnsi="Arial" w:cs="Arial"/>
          <w:sz w:val="22"/>
          <w:szCs w:val="22"/>
        </w:rPr>
        <w:t xml:space="preserve">GenerationR Alliance set up </w:t>
      </w:r>
      <w:r w:rsidRPr="004A5AF9">
        <w:rPr>
          <w:rFonts w:ascii="Arial" w:hAnsi="Arial" w:cs="Arial"/>
          <w:sz w:val="22"/>
          <w:szCs w:val="22"/>
        </w:rPr>
        <w:t>to</w:t>
      </w:r>
      <w:r w:rsidR="00A00C24" w:rsidRPr="004A5AF9">
        <w:rPr>
          <w:rFonts w:ascii="Arial" w:hAnsi="Arial" w:cs="Arial"/>
          <w:sz w:val="22"/>
          <w:szCs w:val="22"/>
        </w:rPr>
        <w:t xml:space="preserve"> bring together organisations with an interest in promoting the active involvement of children, young people and families in health research</w:t>
      </w:r>
      <w:r w:rsidR="001212A6">
        <w:rPr>
          <w:rFonts w:ascii="Arial" w:hAnsi="Arial" w:cs="Arial"/>
          <w:sz w:val="22"/>
          <w:szCs w:val="22"/>
        </w:rPr>
        <w:t xml:space="preserve">.  </w:t>
      </w:r>
      <w:r w:rsidRPr="004A5AF9">
        <w:rPr>
          <w:rFonts w:ascii="Arial" w:hAnsi="Arial" w:cs="Arial"/>
          <w:sz w:val="22"/>
          <w:szCs w:val="22"/>
        </w:rPr>
        <w:t xml:space="preserve"> </w:t>
      </w:r>
      <w:r w:rsidR="001212A6" w:rsidRPr="004A5AF9">
        <w:rPr>
          <w:rFonts w:ascii="Arial" w:hAnsi="Arial" w:cs="Arial"/>
          <w:sz w:val="22"/>
          <w:szCs w:val="22"/>
        </w:rPr>
        <w:t xml:space="preserve">The Alliance is responsible for developing an engagement strategy to support the involvement of children and young people in health research, provide national oversight, and promote collaboration across the NIHR and wider. </w:t>
      </w:r>
    </w:p>
    <w:p w14:paraId="08EF95D9" w14:textId="098BC282" w:rsidR="00A00C24" w:rsidRPr="004A5AF9" w:rsidRDefault="001212A6" w:rsidP="004A5AF9">
      <w:pPr>
        <w:pStyle w:val="ListParagraph"/>
        <w:widowControl w:val="0"/>
        <w:numPr>
          <w:ilvl w:val="0"/>
          <w:numId w:val="12"/>
        </w:numPr>
        <w:autoSpaceDE w:val="0"/>
        <w:autoSpaceDN w:val="0"/>
        <w:adjustRightInd w:val="0"/>
        <w:spacing w:line="480" w:lineRule="auto"/>
        <w:jc w:val="both"/>
        <w:rPr>
          <w:rFonts w:ascii="Arial" w:hAnsi="Arial" w:cs="Arial"/>
          <w:sz w:val="22"/>
          <w:szCs w:val="22"/>
        </w:rPr>
      </w:pPr>
      <w:r>
        <w:rPr>
          <w:rFonts w:ascii="Arial" w:hAnsi="Arial" w:cs="Arial"/>
          <w:sz w:val="22"/>
          <w:szCs w:val="22"/>
        </w:rPr>
        <w:t xml:space="preserve">Discussions with the European Medicines Agency and colleagues across Europe to set up a European YPAG Network (eYPAGnet) </w:t>
      </w:r>
      <w:r w:rsidR="00DD51F8">
        <w:rPr>
          <w:rFonts w:ascii="Arial" w:hAnsi="Arial" w:cs="Arial"/>
          <w:sz w:val="22"/>
          <w:szCs w:val="22"/>
        </w:rPr>
        <w:t xml:space="preserve">that will involve partnering with regulators, pharmaceutical companies, academia and patient organisations to influence the children’s research agenda. </w:t>
      </w:r>
    </w:p>
    <w:p w14:paraId="7F4A305C" w14:textId="77777777" w:rsidR="0010781E" w:rsidRPr="00307A16" w:rsidRDefault="0010781E" w:rsidP="007515F8">
      <w:pPr>
        <w:spacing w:line="480" w:lineRule="auto"/>
        <w:jc w:val="both"/>
        <w:rPr>
          <w:rFonts w:ascii="Arial" w:hAnsi="Arial" w:cs="Arial"/>
          <w:sz w:val="22"/>
          <w:szCs w:val="22"/>
        </w:rPr>
      </w:pPr>
    </w:p>
    <w:p w14:paraId="5C2E31D5" w14:textId="77777777" w:rsidR="000551C5" w:rsidRPr="00307A16" w:rsidRDefault="000551C5" w:rsidP="007515F8">
      <w:pPr>
        <w:spacing w:line="480" w:lineRule="auto"/>
        <w:rPr>
          <w:rFonts w:ascii="Arial" w:hAnsi="Arial" w:cs="Arial"/>
          <w:b/>
          <w:sz w:val="22"/>
          <w:szCs w:val="22"/>
        </w:rPr>
      </w:pPr>
      <w:r w:rsidRPr="00307A16">
        <w:rPr>
          <w:rFonts w:ascii="Arial" w:hAnsi="Arial" w:cs="Arial"/>
          <w:b/>
          <w:sz w:val="22"/>
          <w:szCs w:val="22"/>
        </w:rPr>
        <w:t>International context</w:t>
      </w:r>
    </w:p>
    <w:p w14:paraId="733A8E52" w14:textId="16383AF9" w:rsidR="00E60FA4" w:rsidRPr="00307A16" w:rsidRDefault="000551C5" w:rsidP="007515F8">
      <w:pPr>
        <w:spacing w:line="480" w:lineRule="auto"/>
        <w:jc w:val="both"/>
        <w:rPr>
          <w:rFonts w:ascii="Arial" w:hAnsi="Arial" w:cs="Arial"/>
          <w:sz w:val="22"/>
          <w:szCs w:val="22"/>
        </w:rPr>
      </w:pPr>
      <w:r w:rsidRPr="00307A16">
        <w:rPr>
          <w:rFonts w:ascii="Arial" w:hAnsi="Arial" w:cs="Arial"/>
          <w:sz w:val="22"/>
          <w:szCs w:val="22"/>
        </w:rPr>
        <w:t>Collaboration of research networks across Europe and worldwide is important as there are often small numbers of children eligible for studies in individual countries. The EU Paediatric Regulation required the European Medicines Agency to develop a European network of national and disease-specific networks. The European Network of Paediatric Research at the European Medicines Agency (Enpr-EMA) was established in response to this</w:t>
      </w:r>
      <w:r w:rsidR="00FC43E6">
        <w:rPr>
          <w:rFonts w:ascii="Arial" w:hAnsi="Arial" w:cs="Arial"/>
          <w:sz w:val="22"/>
          <w:szCs w:val="22"/>
        </w:rPr>
        <w:t>.[11]</w:t>
      </w:r>
      <w:r w:rsidRPr="00307A16">
        <w:rPr>
          <w:rFonts w:ascii="Arial" w:hAnsi="Arial" w:cs="Arial"/>
          <w:sz w:val="22"/>
          <w:szCs w:val="22"/>
        </w:rPr>
        <w:t xml:space="preserve"> The CRN: Children, </w:t>
      </w:r>
      <w:r w:rsidR="009E105A" w:rsidRPr="00307A16">
        <w:rPr>
          <w:rFonts w:ascii="Arial" w:hAnsi="Arial" w:cs="Arial"/>
          <w:sz w:val="22"/>
          <w:szCs w:val="22"/>
        </w:rPr>
        <w:t xml:space="preserve">and </w:t>
      </w:r>
      <w:r w:rsidRPr="00307A16">
        <w:rPr>
          <w:rFonts w:ascii="Arial" w:hAnsi="Arial" w:cs="Arial"/>
          <w:sz w:val="22"/>
          <w:szCs w:val="22"/>
        </w:rPr>
        <w:t>in its previous form as the MCRN</w:t>
      </w:r>
      <w:r w:rsidR="00E5402D" w:rsidRPr="00307A16">
        <w:rPr>
          <w:rFonts w:ascii="Arial" w:hAnsi="Arial" w:cs="Arial"/>
          <w:sz w:val="22"/>
          <w:szCs w:val="22"/>
        </w:rPr>
        <w:t>,</w:t>
      </w:r>
      <w:r w:rsidRPr="00307A16">
        <w:rPr>
          <w:rFonts w:ascii="Arial" w:hAnsi="Arial" w:cs="Arial"/>
          <w:sz w:val="22"/>
          <w:szCs w:val="22"/>
        </w:rPr>
        <w:t xml:space="preserve"> has been involved since its inception. The aim of the European network is to co-ordinate studies, develop the necessary scientific and administrative competencies and avoid unnecessary duplication of studies in children and young people. The Enpr-EMA facilitates productive collaborations between pharmaceutical companies, regulators and paediatric academia in Europe and globally.</w:t>
      </w:r>
    </w:p>
    <w:p w14:paraId="2872C6BE" w14:textId="77777777" w:rsidR="0010781E" w:rsidRPr="00307A16" w:rsidRDefault="0010781E" w:rsidP="007515F8">
      <w:pPr>
        <w:spacing w:line="480" w:lineRule="auto"/>
        <w:jc w:val="both"/>
        <w:rPr>
          <w:rFonts w:ascii="Arial" w:hAnsi="Arial" w:cs="Arial"/>
          <w:sz w:val="22"/>
          <w:szCs w:val="22"/>
        </w:rPr>
      </w:pPr>
    </w:p>
    <w:p w14:paraId="513B4BE4" w14:textId="694B63AA" w:rsidR="00EF4D51" w:rsidRPr="00307A16" w:rsidRDefault="00EB5668" w:rsidP="007515F8">
      <w:pPr>
        <w:spacing w:line="480" w:lineRule="auto"/>
        <w:rPr>
          <w:rFonts w:ascii="Arial" w:hAnsi="Arial" w:cs="Arial"/>
          <w:b/>
          <w:sz w:val="22"/>
          <w:szCs w:val="22"/>
        </w:rPr>
      </w:pPr>
      <w:r>
        <w:rPr>
          <w:rFonts w:ascii="Arial" w:hAnsi="Arial" w:cs="Arial"/>
          <w:b/>
          <w:sz w:val="22"/>
          <w:szCs w:val="22"/>
        </w:rPr>
        <w:t>GROWTH</w:t>
      </w:r>
      <w:r w:rsidRPr="00307A16">
        <w:rPr>
          <w:rFonts w:ascii="Arial" w:hAnsi="Arial" w:cs="Arial"/>
          <w:b/>
          <w:sz w:val="22"/>
          <w:szCs w:val="22"/>
        </w:rPr>
        <w:t xml:space="preserve"> </w:t>
      </w:r>
      <w:r w:rsidR="00075196" w:rsidRPr="00307A16">
        <w:rPr>
          <w:rFonts w:ascii="Arial" w:hAnsi="Arial" w:cs="Arial"/>
          <w:b/>
          <w:sz w:val="22"/>
          <w:szCs w:val="22"/>
        </w:rPr>
        <w:t>OF THE NIHR CRN: CHILDREN</w:t>
      </w:r>
      <w:r>
        <w:rPr>
          <w:rFonts w:ascii="Arial" w:hAnsi="Arial" w:cs="Arial"/>
          <w:b/>
          <w:sz w:val="22"/>
          <w:szCs w:val="22"/>
        </w:rPr>
        <w:t>’S PORTFOLIO</w:t>
      </w:r>
      <w:r w:rsidR="00075196" w:rsidRPr="00307A16">
        <w:rPr>
          <w:rFonts w:ascii="Arial" w:hAnsi="Arial" w:cs="Arial"/>
          <w:b/>
          <w:sz w:val="22"/>
          <w:szCs w:val="22"/>
        </w:rPr>
        <w:t xml:space="preserve"> </w:t>
      </w:r>
    </w:p>
    <w:p w14:paraId="79D97C1E" w14:textId="5B7414F9" w:rsidR="00F336AE" w:rsidRPr="00307A16" w:rsidRDefault="00F336AE" w:rsidP="007515F8">
      <w:pPr>
        <w:spacing w:line="480" w:lineRule="auto"/>
        <w:jc w:val="both"/>
        <w:rPr>
          <w:rFonts w:ascii="Arial" w:hAnsi="Arial" w:cs="Arial"/>
          <w:sz w:val="22"/>
          <w:szCs w:val="22"/>
        </w:rPr>
      </w:pPr>
      <w:r w:rsidRPr="00307A16">
        <w:rPr>
          <w:rFonts w:ascii="Arial" w:hAnsi="Arial" w:cs="Arial"/>
          <w:sz w:val="22"/>
          <w:szCs w:val="22"/>
        </w:rPr>
        <w:lastRenderedPageBreak/>
        <w:t xml:space="preserve">The </w:t>
      </w:r>
      <w:r w:rsidR="00EB5668">
        <w:rPr>
          <w:rFonts w:ascii="Arial" w:hAnsi="Arial" w:cs="Arial"/>
          <w:sz w:val="22"/>
          <w:szCs w:val="22"/>
        </w:rPr>
        <w:t>growth</w:t>
      </w:r>
      <w:r w:rsidR="00EB5668" w:rsidRPr="00307A16">
        <w:rPr>
          <w:rFonts w:ascii="Arial" w:hAnsi="Arial" w:cs="Arial"/>
          <w:sz w:val="22"/>
          <w:szCs w:val="22"/>
        </w:rPr>
        <w:t xml:space="preserve"> </w:t>
      </w:r>
      <w:r w:rsidRPr="00307A16">
        <w:rPr>
          <w:rFonts w:ascii="Arial" w:hAnsi="Arial" w:cs="Arial"/>
          <w:sz w:val="22"/>
          <w:szCs w:val="22"/>
        </w:rPr>
        <w:t xml:space="preserve">of the </w:t>
      </w:r>
      <w:r w:rsidR="00EB5668">
        <w:rPr>
          <w:rFonts w:ascii="Arial" w:hAnsi="Arial" w:cs="Arial"/>
          <w:sz w:val="22"/>
          <w:szCs w:val="22"/>
        </w:rPr>
        <w:t xml:space="preserve">CRN in supporting children’s research </w:t>
      </w:r>
      <w:r w:rsidR="00BF2BED">
        <w:rPr>
          <w:rFonts w:ascii="Arial" w:hAnsi="Arial" w:cs="Arial"/>
          <w:sz w:val="22"/>
          <w:szCs w:val="22"/>
        </w:rPr>
        <w:t>is demonstrated</w:t>
      </w:r>
      <w:r w:rsidRPr="00307A16">
        <w:rPr>
          <w:rFonts w:ascii="Arial" w:hAnsi="Arial" w:cs="Arial"/>
          <w:sz w:val="22"/>
          <w:szCs w:val="22"/>
        </w:rPr>
        <w:t xml:space="preserve"> through the rapidly increasing number of </w:t>
      </w:r>
      <w:r w:rsidR="000A4A2E">
        <w:rPr>
          <w:rFonts w:ascii="Arial" w:hAnsi="Arial" w:cs="Arial"/>
          <w:sz w:val="22"/>
          <w:szCs w:val="22"/>
        </w:rPr>
        <w:t>P</w:t>
      </w:r>
      <w:r w:rsidRPr="00307A16">
        <w:rPr>
          <w:rFonts w:ascii="Arial" w:hAnsi="Arial" w:cs="Arial"/>
          <w:sz w:val="22"/>
          <w:szCs w:val="22"/>
        </w:rPr>
        <w:t>ortfolio studies.</w:t>
      </w:r>
      <w:r w:rsidR="00B61CBF" w:rsidRPr="00307A16">
        <w:rPr>
          <w:rFonts w:ascii="Arial" w:hAnsi="Arial" w:cs="Arial"/>
          <w:sz w:val="22"/>
          <w:szCs w:val="22"/>
        </w:rPr>
        <w:t xml:space="preserve">  Since 2013, over 80% of commercial contract studies (phase II-IV, all specialties) running within the UK sat within the UKCRN </w:t>
      </w:r>
      <w:r w:rsidR="000A4A2E">
        <w:rPr>
          <w:rFonts w:ascii="Arial" w:hAnsi="Arial" w:cs="Arial"/>
          <w:sz w:val="22"/>
          <w:szCs w:val="22"/>
        </w:rPr>
        <w:t>P</w:t>
      </w:r>
      <w:r w:rsidR="00B61CBF" w:rsidRPr="00307A16">
        <w:rPr>
          <w:rFonts w:ascii="Arial" w:hAnsi="Arial" w:cs="Arial"/>
          <w:sz w:val="22"/>
          <w:szCs w:val="22"/>
        </w:rPr>
        <w:t>ortfolio and a similar picture exists for non-commercial studies</w:t>
      </w:r>
      <w:r w:rsidR="006438FA" w:rsidRPr="00307A16">
        <w:rPr>
          <w:rFonts w:ascii="Arial" w:hAnsi="Arial" w:cs="Arial"/>
          <w:sz w:val="22"/>
          <w:szCs w:val="22"/>
        </w:rPr>
        <w:t>[12]</w:t>
      </w:r>
      <w:r w:rsidR="00B61CBF" w:rsidRPr="00307A16">
        <w:rPr>
          <w:rFonts w:ascii="Arial" w:hAnsi="Arial" w:cs="Arial"/>
          <w:sz w:val="22"/>
          <w:szCs w:val="22"/>
        </w:rPr>
        <w:t>.</w:t>
      </w:r>
    </w:p>
    <w:p w14:paraId="30BD03C8" w14:textId="77777777" w:rsidR="00333446" w:rsidRPr="00307A16" w:rsidRDefault="00333446" w:rsidP="007515F8">
      <w:pPr>
        <w:spacing w:line="480" w:lineRule="auto"/>
        <w:jc w:val="both"/>
        <w:rPr>
          <w:rFonts w:ascii="Arial" w:hAnsi="Arial" w:cs="Arial"/>
          <w:sz w:val="22"/>
          <w:szCs w:val="22"/>
        </w:rPr>
      </w:pPr>
    </w:p>
    <w:p w14:paraId="277B766C" w14:textId="77777777" w:rsidR="006862D8" w:rsidRPr="00307A16" w:rsidRDefault="006862D8" w:rsidP="007515F8">
      <w:pPr>
        <w:spacing w:line="480" w:lineRule="auto"/>
        <w:rPr>
          <w:rFonts w:ascii="Arial" w:hAnsi="Arial" w:cs="Arial"/>
          <w:b/>
          <w:sz w:val="22"/>
          <w:szCs w:val="22"/>
        </w:rPr>
      </w:pPr>
      <w:r w:rsidRPr="00307A16">
        <w:rPr>
          <w:rFonts w:ascii="Arial" w:hAnsi="Arial" w:cs="Arial"/>
          <w:b/>
          <w:sz w:val="22"/>
          <w:szCs w:val="22"/>
        </w:rPr>
        <w:t>Portfolio studies</w:t>
      </w:r>
    </w:p>
    <w:p w14:paraId="472DD445" w14:textId="5EC911CE" w:rsidR="0046288F" w:rsidRPr="00307A16" w:rsidRDefault="006862D8" w:rsidP="007515F8">
      <w:pPr>
        <w:spacing w:line="480" w:lineRule="auto"/>
        <w:jc w:val="both"/>
        <w:rPr>
          <w:rFonts w:ascii="Arial" w:hAnsi="Arial" w:cs="Arial"/>
          <w:sz w:val="22"/>
          <w:szCs w:val="22"/>
        </w:rPr>
      </w:pPr>
      <w:r w:rsidRPr="00307A16">
        <w:rPr>
          <w:rFonts w:ascii="Arial" w:hAnsi="Arial" w:cs="Arial"/>
          <w:sz w:val="22"/>
          <w:szCs w:val="22"/>
        </w:rPr>
        <w:t>Since the establishment of the MCRN in 2005 and the P</w:t>
      </w:r>
      <w:r w:rsidR="009E105A" w:rsidRPr="00307A16">
        <w:rPr>
          <w:rFonts w:ascii="Arial" w:hAnsi="Arial" w:cs="Arial"/>
          <w:sz w:val="22"/>
          <w:szCs w:val="22"/>
        </w:rPr>
        <w:t xml:space="preserve">aediatric </w:t>
      </w:r>
      <w:r w:rsidRPr="00307A16">
        <w:rPr>
          <w:rFonts w:ascii="Arial" w:hAnsi="Arial" w:cs="Arial"/>
          <w:sz w:val="22"/>
          <w:szCs w:val="22"/>
        </w:rPr>
        <w:t>S</w:t>
      </w:r>
      <w:r w:rsidR="009E105A" w:rsidRPr="00307A16">
        <w:rPr>
          <w:rFonts w:ascii="Arial" w:hAnsi="Arial" w:cs="Arial"/>
          <w:sz w:val="22"/>
          <w:szCs w:val="22"/>
        </w:rPr>
        <w:t xml:space="preserve">pecialty </w:t>
      </w:r>
      <w:r w:rsidRPr="00307A16">
        <w:rPr>
          <w:rFonts w:ascii="Arial" w:hAnsi="Arial" w:cs="Arial"/>
          <w:sz w:val="22"/>
          <w:szCs w:val="22"/>
        </w:rPr>
        <w:t>G</w:t>
      </w:r>
      <w:r w:rsidR="009E105A" w:rsidRPr="00307A16">
        <w:rPr>
          <w:rFonts w:ascii="Arial" w:hAnsi="Arial" w:cs="Arial"/>
          <w:sz w:val="22"/>
          <w:szCs w:val="22"/>
        </w:rPr>
        <w:t>roup</w:t>
      </w:r>
      <w:r w:rsidRPr="00307A16">
        <w:rPr>
          <w:rFonts w:ascii="Arial" w:hAnsi="Arial" w:cs="Arial"/>
          <w:sz w:val="22"/>
          <w:szCs w:val="22"/>
        </w:rPr>
        <w:t xml:space="preserve"> in 2009 there </w:t>
      </w:r>
      <w:r w:rsidR="000A4A2E">
        <w:rPr>
          <w:rFonts w:ascii="Arial" w:hAnsi="Arial" w:cs="Arial"/>
          <w:sz w:val="22"/>
          <w:szCs w:val="22"/>
        </w:rPr>
        <w:t>has been a diverse, increasing P</w:t>
      </w:r>
      <w:r w:rsidRPr="00307A16">
        <w:rPr>
          <w:rFonts w:ascii="Arial" w:hAnsi="Arial" w:cs="Arial"/>
          <w:sz w:val="22"/>
          <w:szCs w:val="22"/>
        </w:rPr>
        <w:t>ortf</w:t>
      </w:r>
      <w:r w:rsidR="005F18F2" w:rsidRPr="00307A16">
        <w:rPr>
          <w:rFonts w:ascii="Arial" w:hAnsi="Arial" w:cs="Arial"/>
          <w:sz w:val="22"/>
          <w:szCs w:val="22"/>
        </w:rPr>
        <w:t xml:space="preserve">olio of studies </w:t>
      </w:r>
      <w:r w:rsidR="00B94AA3" w:rsidRPr="00307A16">
        <w:rPr>
          <w:rFonts w:ascii="Arial" w:hAnsi="Arial" w:cs="Arial"/>
          <w:sz w:val="22"/>
          <w:szCs w:val="22"/>
        </w:rPr>
        <w:t>supported by the</w:t>
      </w:r>
      <w:r w:rsidR="005F18F2" w:rsidRPr="00307A16">
        <w:rPr>
          <w:rFonts w:ascii="Arial" w:hAnsi="Arial" w:cs="Arial"/>
          <w:sz w:val="22"/>
          <w:szCs w:val="22"/>
        </w:rPr>
        <w:t xml:space="preserve"> N</w:t>
      </w:r>
      <w:r w:rsidRPr="00307A16">
        <w:rPr>
          <w:rFonts w:ascii="Arial" w:hAnsi="Arial" w:cs="Arial"/>
          <w:sz w:val="22"/>
          <w:szCs w:val="22"/>
        </w:rPr>
        <w:t>etwork</w:t>
      </w:r>
      <w:r w:rsidR="00C20087" w:rsidRPr="00307A16">
        <w:rPr>
          <w:rFonts w:ascii="Arial" w:hAnsi="Arial" w:cs="Arial"/>
          <w:sz w:val="22"/>
          <w:szCs w:val="22"/>
        </w:rPr>
        <w:t xml:space="preserve"> (</w:t>
      </w:r>
      <w:r w:rsidR="002A4D4C">
        <w:rPr>
          <w:rFonts w:ascii="Arial" w:hAnsi="Arial" w:cs="Arial"/>
          <w:sz w:val="22"/>
          <w:szCs w:val="22"/>
        </w:rPr>
        <w:t>see F</w:t>
      </w:r>
      <w:r w:rsidR="00C20087" w:rsidRPr="00307A16">
        <w:rPr>
          <w:rFonts w:ascii="Arial" w:hAnsi="Arial" w:cs="Arial"/>
          <w:sz w:val="22"/>
          <w:szCs w:val="22"/>
        </w:rPr>
        <w:t xml:space="preserve">igure </w:t>
      </w:r>
      <w:r w:rsidR="00435C63">
        <w:rPr>
          <w:rFonts w:ascii="Arial" w:hAnsi="Arial" w:cs="Arial"/>
          <w:sz w:val="22"/>
          <w:szCs w:val="22"/>
        </w:rPr>
        <w:t>1</w:t>
      </w:r>
      <w:r w:rsidR="00C20087" w:rsidRPr="00307A16">
        <w:rPr>
          <w:rFonts w:ascii="Arial" w:hAnsi="Arial" w:cs="Arial"/>
          <w:sz w:val="22"/>
          <w:szCs w:val="22"/>
        </w:rPr>
        <w:t>)</w:t>
      </w:r>
      <w:r w:rsidRPr="00307A16">
        <w:rPr>
          <w:rFonts w:ascii="Arial" w:hAnsi="Arial" w:cs="Arial"/>
          <w:sz w:val="22"/>
          <w:szCs w:val="22"/>
        </w:rPr>
        <w:t xml:space="preserve">. </w:t>
      </w:r>
      <w:r w:rsidR="0026402E" w:rsidRPr="007E7ADE">
        <w:rPr>
          <w:rFonts w:ascii="Arial" w:hAnsi="Arial" w:cs="Arial"/>
          <w:sz w:val="22"/>
          <w:szCs w:val="22"/>
        </w:rPr>
        <w:t>Many</w:t>
      </w:r>
      <w:r w:rsidRPr="007E7ADE">
        <w:rPr>
          <w:rFonts w:ascii="Arial" w:hAnsi="Arial" w:cs="Arial"/>
          <w:sz w:val="22"/>
          <w:szCs w:val="22"/>
        </w:rPr>
        <w:t xml:space="preserve"> studi</w:t>
      </w:r>
      <w:r w:rsidR="0026402E" w:rsidRPr="007E7ADE">
        <w:rPr>
          <w:rFonts w:ascii="Arial" w:hAnsi="Arial" w:cs="Arial"/>
          <w:sz w:val="22"/>
          <w:szCs w:val="22"/>
        </w:rPr>
        <w:t>es are interventional, with</w:t>
      </w:r>
      <w:r w:rsidRPr="007E7ADE">
        <w:rPr>
          <w:rFonts w:ascii="Arial" w:hAnsi="Arial" w:cs="Arial"/>
          <w:sz w:val="22"/>
          <w:szCs w:val="22"/>
        </w:rPr>
        <w:t xml:space="preserve"> </w:t>
      </w:r>
      <w:r w:rsidR="003264DE" w:rsidRPr="007E7ADE">
        <w:rPr>
          <w:rFonts w:ascii="Arial" w:hAnsi="Arial" w:cs="Arial"/>
          <w:sz w:val="22"/>
          <w:szCs w:val="22"/>
        </w:rPr>
        <w:t>33%</w:t>
      </w:r>
      <w:r w:rsidRPr="007E7ADE">
        <w:rPr>
          <w:rFonts w:ascii="Arial" w:hAnsi="Arial" w:cs="Arial"/>
          <w:sz w:val="22"/>
          <w:szCs w:val="22"/>
        </w:rPr>
        <w:t xml:space="preserve"> being</w:t>
      </w:r>
      <w:r w:rsidR="00205B24" w:rsidRPr="007E7ADE">
        <w:rPr>
          <w:rFonts w:ascii="Arial" w:hAnsi="Arial" w:cs="Arial"/>
          <w:sz w:val="22"/>
          <w:szCs w:val="22"/>
        </w:rPr>
        <w:t xml:space="preserve"> RCTs</w:t>
      </w:r>
      <w:r w:rsidRPr="00EC4CEC">
        <w:rPr>
          <w:rFonts w:ascii="Arial" w:hAnsi="Arial" w:cs="Arial"/>
          <w:color w:val="4F81BD" w:themeColor="accent1"/>
          <w:sz w:val="22"/>
          <w:szCs w:val="22"/>
        </w:rPr>
        <w:t>.</w:t>
      </w:r>
      <w:r w:rsidR="006C31A5">
        <w:rPr>
          <w:rFonts w:ascii="Arial" w:hAnsi="Arial" w:cs="Arial"/>
          <w:sz w:val="22"/>
          <w:szCs w:val="22"/>
        </w:rPr>
        <w:t>[3]</w:t>
      </w:r>
      <w:r w:rsidR="00C20087" w:rsidRPr="00EC4CEC">
        <w:rPr>
          <w:rFonts w:ascii="Arial" w:hAnsi="Arial" w:cs="Arial"/>
          <w:color w:val="4F81BD" w:themeColor="accent1"/>
          <w:sz w:val="22"/>
          <w:szCs w:val="22"/>
        </w:rPr>
        <w:t xml:space="preserve"> </w:t>
      </w:r>
      <w:r w:rsidR="00C20087" w:rsidRPr="00307A16">
        <w:rPr>
          <w:rFonts w:ascii="Arial" w:hAnsi="Arial" w:cs="Arial"/>
          <w:sz w:val="22"/>
          <w:szCs w:val="22"/>
        </w:rPr>
        <w:t xml:space="preserve">Figure </w:t>
      </w:r>
      <w:r w:rsidR="00435C63">
        <w:rPr>
          <w:rFonts w:ascii="Arial" w:hAnsi="Arial" w:cs="Arial"/>
          <w:sz w:val="22"/>
          <w:szCs w:val="22"/>
        </w:rPr>
        <w:t>1</w:t>
      </w:r>
      <w:r w:rsidR="00C20087" w:rsidRPr="00307A16">
        <w:rPr>
          <w:rFonts w:ascii="Arial" w:hAnsi="Arial" w:cs="Arial"/>
          <w:sz w:val="22"/>
          <w:szCs w:val="22"/>
        </w:rPr>
        <w:t xml:space="preserve"> also demonst</w:t>
      </w:r>
      <w:r w:rsidR="000A4A2E">
        <w:rPr>
          <w:rFonts w:ascii="Arial" w:hAnsi="Arial" w:cs="Arial"/>
          <w:sz w:val="22"/>
          <w:szCs w:val="22"/>
        </w:rPr>
        <w:t>rates how the commercial study P</w:t>
      </w:r>
      <w:r w:rsidR="00C20087" w:rsidRPr="00307A16">
        <w:rPr>
          <w:rFonts w:ascii="Arial" w:hAnsi="Arial" w:cs="Arial"/>
          <w:sz w:val="22"/>
          <w:szCs w:val="22"/>
        </w:rPr>
        <w:t>ortfolio has rapidly grown.</w:t>
      </w:r>
    </w:p>
    <w:p w14:paraId="41959FC8" w14:textId="64EC6F7A" w:rsidR="006C31A5" w:rsidRDefault="00EA2FF8" w:rsidP="007515F8">
      <w:pPr>
        <w:spacing w:line="480" w:lineRule="auto"/>
        <w:rPr>
          <w:rFonts w:ascii="Arial" w:hAnsi="Arial" w:cs="Arial"/>
          <w:i/>
          <w:sz w:val="22"/>
          <w:szCs w:val="22"/>
        </w:rPr>
      </w:pPr>
      <w:r w:rsidRPr="00307A16">
        <w:rPr>
          <w:rFonts w:ascii="Arial" w:hAnsi="Arial" w:cs="Arial"/>
          <w:i/>
          <w:sz w:val="22"/>
          <w:szCs w:val="22"/>
        </w:rPr>
        <w:t>Figure</w:t>
      </w:r>
      <w:r w:rsidR="00435C63">
        <w:rPr>
          <w:rFonts w:ascii="Arial" w:hAnsi="Arial" w:cs="Arial"/>
          <w:i/>
          <w:sz w:val="22"/>
          <w:szCs w:val="22"/>
        </w:rPr>
        <w:t xml:space="preserve"> 1</w:t>
      </w:r>
      <w:r w:rsidRPr="00307A16">
        <w:rPr>
          <w:rFonts w:ascii="Arial" w:hAnsi="Arial" w:cs="Arial"/>
          <w:i/>
          <w:sz w:val="22"/>
          <w:szCs w:val="22"/>
        </w:rPr>
        <w:t xml:space="preserve">: Number of commercial and non-commercial studies entering </w:t>
      </w:r>
      <w:r w:rsidR="000A4A2E">
        <w:rPr>
          <w:rFonts w:ascii="Arial" w:hAnsi="Arial" w:cs="Arial"/>
          <w:i/>
          <w:sz w:val="22"/>
          <w:szCs w:val="22"/>
        </w:rPr>
        <w:t>P</w:t>
      </w:r>
      <w:r w:rsidRPr="00307A16">
        <w:rPr>
          <w:rFonts w:ascii="Arial" w:hAnsi="Arial" w:cs="Arial"/>
          <w:i/>
          <w:sz w:val="22"/>
          <w:szCs w:val="22"/>
        </w:rPr>
        <w:t>ortfolio</w:t>
      </w:r>
      <w:r w:rsidR="00006E09" w:rsidRPr="00307A16">
        <w:rPr>
          <w:rFonts w:ascii="Arial" w:hAnsi="Arial" w:cs="Arial"/>
          <w:i/>
          <w:sz w:val="22"/>
          <w:szCs w:val="22"/>
        </w:rPr>
        <w:t xml:space="preserve">. </w:t>
      </w:r>
    </w:p>
    <w:p w14:paraId="5DA84E66" w14:textId="77777777" w:rsidR="006C31A5" w:rsidRDefault="006C31A5" w:rsidP="007515F8">
      <w:pPr>
        <w:spacing w:line="480" w:lineRule="auto"/>
        <w:rPr>
          <w:rFonts w:ascii="Arial" w:hAnsi="Arial" w:cs="Arial"/>
          <w:i/>
          <w:sz w:val="22"/>
          <w:szCs w:val="22"/>
        </w:rPr>
      </w:pPr>
    </w:p>
    <w:p w14:paraId="5462BAA8" w14:textId="7B48DEAC" w:rsidR="002A4D4C" w:rsidRPr="00307A16" w:rsidRDefault="006C31A5" w:rsidP="007515F8">
      <w:pPr>
        <w:spacing w:line="480" w:lineRule="auto"/>
        <w:rPr>
          <w:rFonts w:ascii="Arial" w:hAnsi="Arial" w:cs="Arial"/>
          <w:i/>
          <w:sz w:val="22"/>
          <w:szCs w:val="22"/>
        </w:rPr>
      </w:pPr>
      <w:r>
        <w:rPr>
          <w:rFonts w:ascii="Arial" w:hAnsi="Arial" w:cs="Arial"/>
          <w:i/>
          <w:sz w:val="22"/>
          <w:szCs w:val="22"/>
        </w:rPr>
        <w:t xml:space="preserve">Note: </w:t>
      </w:r>
      <w:r w:rsidR="002A4D4C" w:rsidRPr="00307A16">
        <w:rPr>
          <w:rFonts w:ascii="Arial" w:hAnsi="Arial" w:cs="Arial"/>
          <w:i/>
          <w:sz w:val="22"/>
          <w:szCs w:val="22"/>
        </w:rPr>
        <w:t>Th</w:t>
      </w:r>
      <w:r w:rsidR="0070470D">
        <w:rPr>
          <w:rFonts w:ascii="Arial" w:hAnsi="Arial" w:cs="Arial"/>
          <w:i/>
          <w:sz w:val="22"/>
          <w:szCs w:val="22"/>
        </w:rPr>
        <w:t>ese</w:t>
      </w:r>
      <w:r w:rsidR="002A4D4C" w:rsidRPr="00307A16">
        <w:rPr>
          <w:rFonts w:ascii="Arial" w:hAnsi="Arial" w:cs="Arial"/>
          <w:i/>
          <w:sz w:val="22"/>
          <w:szCs w:val="22"/>
        </w:rPr>
        <w:t xml:space="preserve"> data </w:t>
      </w:r>
      <w:r w:rsidR="007A7FED">
        <w:rPr>
          <w:rFonts w:ascii="Arial" w:hAnsi="Arial" w:cs="Arial"/>
          <w:i/>
          <w:sz w:val="22"/>
          <w:szCs w:val="22"/>
        </w:rPr>
        <w:t>have</w:t>
      </w:r>
      <w:r w:rsidR="007A7FED" w:rsidRPr="00307A16">
        <w:rPr>
          <w:rFonts w:ascii="Arial" w:hAnsi="Arial" w:cs="Arial"/>
          <w:i/>
          <w:sz w:val="22"/>
          <w:szCs w:val="22"/>
        </w:rPr>
        <w:t xml:space="preserve"> </w:t>
      </w:r>
      <w:r w:rsidR="002A4D4C" w:rsidRPr="00307A16">
        <w:rPr>
          <w:rFonts w:ascii="Arial" w:hAnsi="Arial" w:cs="Arial"/>
          <w:i/>
          <w:sz w:val="22"/>
          <w:szCs w:val="22"/>
        </w:rPr>
        <w:t>been used with permission from the NIHR CRN Co-ordinating Centre (CC).</w:t>
      </w:r>
    </w:p>
    <w:p w14:paraId="3327714A" w14:textId="77777777" w:rsidR="00130B19" w:rsidRDefault="00130B19" w:rsidP="007515F8">
      <w:pPr>
        <w:spacing w:line="480" w:lineRule="auto"/>
        <w:jc w:val="both"/>
        <w:rPr>
          <w:rFonts w:ascii="Arial" w:hAnsi="Arial" w:cs="Arial"/>
          <w:b/>
          <w:sz w:val="22"/>
          <w:szCs w:val="22"/>
        </w:rPr>
      </w:pPr>
    </w:p>
    <w:p w14:paraId="0FADF3DF" w14:textId="77777777" w:rsidR="002A6051" w:rsidRPr="00307A16" w:rsidRDefault="00C92C0B" w:rsidP="007515F8">
      <w:pPr>
        <w:spacing w:line="480" w:lineRule="auto"/>
        <w:jc w:val="both"/>
        <w:rPr>
          <w:rFonts w:ascii="Arial" w:hAnsi="Arial" w:cs="Arial"/>
          <w:b/>
          <w:sz w:val="22"/>
          <w:szCs w:val="22"/>
        </w:rPr>
      </w:pPr>
      <w:r w:rsidRPr="00307A16">
        <w:rPr>
          <w:rFonts w:ascii="Arial" w:hAnsi="Arial" w:cs="Arial"/>
          <w:b/>
          <w:sz w:val="22"/>
          <w:szCs w:val="22"/>
        </w:rPr>
        <w:t>Recruitment</w:t>
      </w:r>
      <w:r w:rsidR="00634421" w:rsidRPr="00307A16">
        <w:rPr>
          <w:rFonts w:ascii="Arial" w:hAnsi="Arial" w:cs="Arial"/>
          <w:b/>
          <w:sz w:val="22"/>
          <w:szCs w:val="22"/>
        </w:rPr>
        <w:t xml:space="preserve"> </w:t>
      </w:r>
    </w:p>
    <w:p w14:paraId="5E6F0930" w14:textId="7BD127B2" w:rsidR="0026402E" w:rsidRDefault="00AD5FEE" w:rsidP="007515F8">
      <w:pPr>
        <w:pStyle w:val="CommentText"/>
        <w:spacing w:line="480" w:lineRule="auto"/>
        <w:jc w:val="both"/>
        <w:rPr>
          <w:rFonts w:ascii="Arial" w:hAnsi="Arial" w:cs="Arial"/>
          <w:sz w:val="22"/>
          <w:szCs w:val="22"/>
        </w:rPr>
      </w:pPr>
      <w:r w:rsidRPr="00307A16">
        <w:rPr>
          <w:rFonts w:ascii="Arial" w:hAnsi="Arial" w:cs="Arial"/>
          <w:sz w:val="22"/>
          <w:szCs w:val="22"/>
        </w:rPr>
        <w:t xml:space="preserve">The </w:t>
      </w:r>
      <w:r w:rsidR="0049232E" w:rsidRPr="00307A16">
        <w:rPr>
          <w:rFonts w:ascii="Arial" w:hAnsi="Arial" w:cs="Arial"/>
          <w:sz w:val="22"/>
          <w:szCs w:val="22"/>
        </w:rPr>
        <w:t>N</w:t>
      </w:r>
      <w:r w:rsidRPr="00307A16">
        <w:rPr>
          <w:rFonts w:ascii="Arial" w:hAnsi="Arial" w:cs="Arial"/>
          <w:sz w:val="22"/>
          <w:szCs w:val="22"/>
        </w:rPr>
        <w:t xml:space="preserve">etwork has provided comprehensive support in recruiting participants for </w:t>
      </w:r>
      <w:r w:rsidR="000A4A2E">
        <w:rPr>
          <w:rFonts w:ascii="Arial" w:hAnsi="Arial" w:cs="Arial"/>
          <w:sz w:val="22"/>
          <w:szCs w:val="22"/>
        </w:rPr>
        <w:t>P</w:t>
      </w:r>
      <w:r w:rsidRPr="00307A16">
        <w:rPr>
          <w:rFonts w:ascii="Arial" w:hAnsi="Arial" w:cs="Arial"/>
          <w:sz w:val="22"/>
          <w:szCs w:val="22"/>
        </w:rPr>
        <w:t xml:space="preserve">ortfolio studies. The new structure as CRN: Children </w:t>
      </w:r>
      <w:r w:rsidR="002A4D4C">
        <w:rPr>
          <w:rFonts w:ascii="Arial" w:hAnsi="Arial" w:cs="Arial"/>
          <w:sz w:val="22"/>
          <w:szCs w:val="22"/>
        </w:rPr>
        <w:t>continues</w:t>
      </w:r>
      <w:r w:rsidRPr="00307A16">
        <w:rPr>
          <w:rFonts w:ascii="Arial" w:hAnsi="Arial" w:cs="Arial"/>
          <w:sz w:val="22"/>
          <w:szCs w:val="22"/>
        </w:rPr>
        <w:t xml:space="preserve"> to provide and</w:t>
      </w:r>
      <w:r w:rsidR="002A4D4C">
        <w:rPr>
          <w:rFonts w:ascii="Arial" w:hAnsi="Arial" w:cs="Arial"/>
          <w:sz w:val="22"/>
          <w:szCs w:val="22"/>
        </w:rPr>
        <w:t xml:space="preserve"> seeks to</w:t>
      </w:r>
      <w:r w:rsidRPr="00307A16">
        <w:rPr>
          <w:rFonts w:ascii="Arial" w:hAnsi="Arial" w:cs="Arial"/>
          <w:sz w:val="22"/>
          <w:szCs w:val="22"/>
        </w:rPr>
        <w:t xml:space="preserve"> </w:t>
      </w:r>
      <w:r w:rsidR="0049232E" w:rsidRPr="00307A16">
        <w:rPr>
          <w:rFonts w:ascii="Arial" w:hAnsi="Arial" w:cs="Arial"/>
          <w:sz w:val="22"/>
          <w:szCs w:val="22"/>
        </w:rPr>
        <w:t xml:space="preserve">further </w:t>
      </w:r>
      <w:r w:rsidRPr="00307A16">
        <w:rPr>
          <w:rFonts w:ascii="Arial" w:hAnsi="Arial" w:cs="Arial"/>
          <w:sz w:val="22"/>
          <w:szCs w:val="22"/>
        </w:rPr>
        <w:t xml:space="preserve">improve recruitment support. </w:t>
      </w:r>
      <w:r w:rsidR="00A249A9" w:rsidRPr="00307A16">
        <w:rPr>
          <w:rFonts w:ascii="Arial" w:hAnsi="Arial" w:cs="Arial"/>
          <w:sz w:val="22"/>
          <w:szCs w:val="22"/>
        </w:rPr>
        <w:t>The number of participants re</w:t>
      </w:r>
      <w:r w:rsidR="005F18F2" w:rsidRPr="00307A16">
        <w:rPr>
          <w:rFonts w:ascii="Arial" w:hAnsi="Arial" w:cs="Arial"/>
          <w:sz w:val="22"/>
          <w:szCs w:val="22"/>
        </w:rPr>
        <w:t xml:space="preserve">cruited annually to </w:t>
      </w:r>
      <w:r w:rsidR="002A4D4C">
        <w:rPr>
          <w:rFonts w:ascii="Arial" w:hAnsi="Arial" w:cs="Arial"/>
          <w:sz w:val="22"/>
          <w:szCs w:val="22"/>
        </w:rPr>
        <w:t>children’s</w:t>
      </w:r>
      <w:r w:rsidR="002A4D4C" w:rsidRPr="00307A16">
        <w:rPr>
          <w:rFonts w:ascii="Arial" w:hAnsi="Arial" w:cs="Arial"/>
          <w:sz w:val="22"/>
          <w:szCs w:val="22"/>
        </w:rPr>
        <w:t xml:space="preserve"> </w:t>
      </w:r>
      <w:r w:rsidR="005F18F2" w:rsidRPr="00307A16">
        <w:rPr>
          <w:rFonts w:ascii="Arial" w:hAnsi="Arial" w:cs="Arial"/>
          <w:sz w:val="22"/>
          <w:szCs w:val="22"/>
        </w:rPr>
        <w:t>N</w:t>
      </w:r>
      <w:r w:rsidR="00A249A9" w:rsidRPr="00307A16">
        <w:rPr>
          <w:rFonts w:ascii="Arial" w:hAnsi="Arial" w:cs="Arial"/>
          <w:sz w:val="22"/>
          <w:szCs w:val="22"/>
        </w:rPr>
        <w:t xml:space="preserve">etwork studies has increased </w:t>
      </w:r>
      <w:r w:rsidR="0026402E" w:rsidRPr="00307A16">
        <w:rPr>
          <w:rFonts w:ascii="Arial" w:hAnsi="Arial" w:cs="Arial"/>
          <w:sz w:val="22"/>
          <w:szCs w:val="22"/>
        </w:rPr>
        <w:t>ten-fold between 2006 and</w:t>
      </w:r>
      <w:r w:rsidR="00A249A9" w:rsidRPr="00307A16">
        <w:rPr>
          <w:rFonts w:ascii="Arial" w:hAnsi="Arial" w:cs="Arial"/>
          <w:sz w:val="22"/>
          <w:szCs w:val="22"/>
        </w:rPr>
        <w:t xml:space="preserve"> 2015. </w:t>
      </w:r>
      <w:r w:rsidR="005F18F2" w:rsidRPr="00307A16">
        <w:rPr>
          <w:rFonts w:ascii="Arial" w:hAnsi="Arial" w:cs="Arial"/>
          <w:sz w:val="22"/>
          <w:szCs w:val="22"/>
        </w:rPr>
        <w:t>The N</w:t>
      </w:r>
      <w:r w:rsidR="0097158D" w:rsidRPr="00307A16">
        <w:rPr>
          <w:rFonts w:ascii="Arial" w:hAnsi="Arial" w:cs="Arial"/>
          <w:sz w:val="22"/>
          <w:szCs w:val="22"/>
        </w:rPr>
        <w:t xml:space="preserve">etwork has facilitated </w:t>
      </w:r>
      <w:r w:rsidR="00A249A9" w:rsidRPr="00307A16">
        <w:rPr>
          <w:rFonts w:ascii="Arial" w:hAnsi="Arial" w:cs="Arial"/>
          <w:sz w:val="22"/>
          <w:szCs w:val="22"/>
        </w:rPr>
        <w:t xml:space="preserve">recruitment of over </w:t>
      </w:r>
      <w:r w:rsidR="00B94AA3" w:rsidRPr="00307A16">
        <w:rPr>
          <w:rFonts w:ascii="Arial" w:hAnsi="Arial" w:cs="Arial"/>
          <w:sz w:val="22"/>
          <w:szCs w:val="22"/>
        </w:rPr>
        <w:t>20</w:t>
      </w:r>
      <w:r w:rsidR="00A249A9" w:rsidRPr="00307A16">
        <w:rPr>
          <w:rFonts w:ascii="Arial" w:hAnsi="Arial" w:cs="Arial"/>
          <w:sz w:val="22"/>
          <w:szCs w:val="22"/>
        </w:rPr>
        <w:t>0,000 participants to studies supported by MCRN,</w:t>
      </w:r>
      <w:r w:rsidR="0026402E" w:rsidRPr="00307A16">
        <w:rPr>
          <w:rFonts w:ascii="Arial" w:hAnsi="Arial" w:cs="Arial"/>
          <w:sz w:val="22"/>
          <w:szCs w:val="22"/>
        </w:rPr>
        <w:t xml:space="preserve"> </w:t>
      </w:r>
      <w:r w:rsidR="00A249A9" w:rsidRPr="00307A16">
        <w:rPr>
          <w:rFonts w:ascii="Arial" w:hAnsi="Arial" w:cs="Arial"/>
          <w:sz w:val="22"/>
          <w:szCs w:val="22"/>
        </w:rPr>
        <w:t xml:space="preserve">PSG and </w:t>
      </w:r>
      <w:r w:rsidR="0026402E" w:rsidRPr="00307A16">
        <w:rPr>
          <w:rFonts w:ascii="Arial" w:hAnsi="Arial" w:cs="Arial"/>
          <w:sz w:val="22"/>
          <w:szCs w:val="22"/>
        </w:rPr>
        <w:t xml:space="preserve">CRN: </w:t>
      </w:r>
      <w:r w:rsidR="00A249A9" w:rsidRPr="00307A16">
        <w:rPr>
          <w:rFonts w:ascii="Arial" w:hAnsi="Arial" w:cs="Arial"/>
          <w:sz w:val="22"/>
          <w:szCs w:val="22"/>
        </w:rPr>
        <w:t xml:space="preserve">Children over the last </w:t>
      </w:r>
      <w:r w:rsidR="002975F3" w:rsidRPr="00307A16">
        <w:rPr>
          <w:rFonts w:ascii="Arial" w:hAnsi="Arial" w:cs="Arial"/>
          <w:sz w:val="22"/>
          <w:szCs w:val="22"/>
        </w:rPr>
        <w:t>ten</w:t>
      </w:r>
      <w:r w:rsidR="00A249A9" w:rsidRPr="00307A16">
        <w:rPr>
          <w:rFonts w:ascii="Arial" w:hAnsi="Arial" w:cs="Arial"/>
          <w:sz w:val="22"/>
          <w:szCs w:val="22"/>
        </w:rPr>
        <w:t xml:space="preserve"> years.</w:t>
      </w:r>
      <w:r w:rsidR="0097158D" w:rsidRPr="00307A16">
        <w:rPr>
          <w:rFonts w:ascii="Arial" w:hAnsi="Arial" w:cs="Arial"/>
          <w:sz w:val="22"/>
          <w:szCs w:val="22"/>
        </w:rPr>
        <w:t xml:space="preserve"> </w:t>
      </w:r>
      <w:r w:rsidR="006E5C30" w:rsidRPr="00307A16">
        <w:rPr>
          <w:rFonts w:ascii="Arial" w:hAnsi="Arial" w:cs="Arial"/>
          <w:sz w:val="22"/>
          <w:szCs w:val="22"/>
        </w:rPr>
        <w:t xml:space="preserve">Network support </w:t>
      </w:r>
      <w:r w:rsidR="00263ED3" w:rsidRPr="00307A16">
        <w:rPr>
          <w:rFonts w:ascii="Arial" w:hAnsi="Arial" w:cs="Arial"/>
          <w:sz w:val="22"/>
          <w:szCs w:val="22"/>
        </w:rPr>
        <w:t xml:space="preserve">has </w:t>
      </w:r>
      <w:r w:rsidR="002A4D4C">
        <w:rPr>
          <w:rFonts w:ascii="Arial" w:hAnsi="Arial" w:cs="Arial"/>
          <w:sz w:val="22"/>
          <w:szCs w:val="22"/>
        </w:rPr>
        <w:t>supported recruitment</w:t>
      </w:r>
      <w:r w:rsidR="006E5C30" w:rsidRPr="00307A16">
        <w:rPr>
          <w:rFonts w:ascii="Arial" w:hAnsi="Arial" w:cs="Arial"/>
          <w:sz w:val="22"/>
          <w:szCs w:val="22"/>
        </w:rPr>
        <w:t xml:space="preserve"> to time and target</w:t>
      </w:r>
      <w:r w:rsidR="00263ED3" w:rsidRPr="00307A16">
        <w:rPr>
          <w:rFonts w:ascii="Arial" w:hAnsi="Arial" w:cs="Arial"/>
          <w:sz w:val="22"/>
          <w:szCs w:val="22"/>
        </w:rPr>
        <w:t xml:space="preserve"> </w:t>
      </w:r>
      <w:r w:rsidR="002A4D4C">
        <w:rPr>
          <w:rFonts w:ascii="Arial" w:hAnsi="Arial" w:cs="Arial"/>
          <w:sz w:val="22"/>
          <w:szCs w:val="22"/>
        </w:rPr>
        <w:t>of approximately</w:t>
      </w:r>
      <w:r w:rsidR="00263ED3" w:rsidRPr="00307A16">
        <w:rPr>
          <w:rFonts w:ascii="Arial" w:hAnsi="Arial" w:cs="Arial"/>
          <w:sz w:val="22"/>
          <w:szCs w:val="22"/>
        </w:rPr>
        <w:t xml:space="preserve"> 80% of studies since 2013</w:t>
      </w:r>
      <w:r w:rsidR="0026402E" w:rsidRPr="00307A16">
        <w:rPr>
          <w:rFonts w:ascii="Arial" w:hAnsi="Arial" w:cs="Arial"/>
          <w:sz w:val="22"/>
          <w:szCs w:val="22"/>
        </w:rPr>
        <w:t>.</w:t>
      </w:r>
    </w:p>
    <w:p w14:paraId="13D16B74" w14:textId="5D7D96BA" w:rsidR="0010781E" w:rsidRPr="00307A16" w:rsidRDefault="0010781E" w:rsidP="007515F8">
      <w:pPr>
        <w:spacing w:line="480" w:lineRule="auto"/>
        <w:jc w:val="both"/>
        <w:rPr>
          <w:rFonts w:ascii="Arial" w:hAnsi="Arial" w:cs="Arial"/>
          <w:b/>
          <w:sz w:val="22"/>
          <w:szCs w:val="22"/>
        </w:rPr>
      </w:pPr>
    </w:p>
    <w:p w14:paraId="6F9300ED" w14:textId="066D416D" w:rsidR="009A4DFE" w:rsidRPr="00307A16" w:rsidRDefault="00075196" w:rsidP="007515F8">
      <w:pPr>
        <w:spacing w:line="480" w:lineRule="auto"/>
        <w:rPr>
          <w:rFonts w:ascii="Arial" w:hAnsi="Arial" w:cs="Arial"/>
          <w:b/>
          <w:sz w:val="22"/>
          <w:szCs w:val="22"/>
        </w:rPr>
      </w:pPr>
      <w:r w:rsidRPr="00307A16">
        <w:rPr>
          <w:rFonts w:ascii="Arial" w:hAnsi="Arial" w:cs="Arial"/>
          <w:b/>
          <w:sz w:val="22"/>
          <w:szCs w:val="22"/>
        </w:rPr>
        <w:t xml:space="preserve">CHALLENGES SPECIFIC TO PAEDIATRIC RESEARCH </w:t>
      </w:r>
    </w:p>
    <w:p w14:paraId="4E99284A" w14:textId="4B471017" w:rsidR="00DA60D8" w:rsidRPr="00307A16" w:rsidRDefault="002A4D4C" w:rsidP="007515F8">
      <w:pPr>
        <w:spacing w:line="480" w:lineRule="auto"/>
        <w:jc w:val="both"/>
        <w:rPr>
          <w:rFonts w:ascii="Arial" w:hAnsi="Arial" w:cs="Arial"/>
          <w:sz w:val="22"/>
          <w:szCs w:val="22"/>
        </w:rPr>
      </w:pPr>
      <w:r>
        <w:rPr>
          <w:rFonts w:ascii="Arial" w:hAnsi="Arial" w:cs="Arial"/>
          <w:sz w:val="22"/>
          <w:szCs w:val="22"/>
        </w:rPr>
        <w:t>W</w:t>
      </w:r>
      <w:r w:rsidR="00417481" w:rsidRPr="00307A16">
        <w:rPr>
          <w:rFonts w:ascii="Arial" w:hAnsi="Arial" w:cs="Arial"/>
          <w:sz w:val="22"/>
          <w:szCs w:val="22"/>
        </w:rPr>
        <w:t>hile much has been done</w:t>
      </w:r>
      <w:r w:rsidR="00981DDF">
        <w:rPr>
          <w:rFonts w:ascii="Arial" w:hAnsi="Arial" w:cs="Arial"/>
          <w:sz w:val="22"/>
          <w:szCs w:val="22"/>
        </w:rPr>
        <w:t xml:space="preserve"> successfully</w:t>
      </w:r>
      <w:r w:rsidR="00417481" w:rsidRPr="00307A16">
        <w:rPr>
          <w:rFonts w:ascii="Arial" w:hAnsi="Arial" w:cs="Arial"/>
          <w:sz w:val="22"/>
          <w:szCs w:val="22"/>
        </w:rPr>
        <w:t xml:space="preserve"> to promote and streamline </w:t>
      </w:r>
      <w:r>
        <w:rPr>
          <w:rFonts w:ascii="Arial" w:hAnsi="Arial" w:cs="Arial"/>
          <w:sz w:val="22"/>
          <w:szCs w:val="22"/>
        </w:rPr>
        <w:t>children’s</w:t>
      </w:r>
      <w:r w:rsidRPr="00307A16">
        <w:rPr>
          <w:rFonts w:ascii="Arial" w:hAnsi="Arial" w:cs="Arial"/>
          <w:sz w:val="22"/>
          <w:szCs w:val="22"/>
        </w:rPr>
        <w:t xml:space="preserve"> </w:t>
      </w:r>
      <w:r w:rsidR="00417481" w:rsidRPr="00307A16">
        <w:rPr>
          <w:rFonts w:ascii="Arial" w:hAnsi="Arial" w:cs="Arial"/>
          <w:sz w:val="22"/>
          <w:szCs w:val="22"/>
        </w:rPr>
        <w:t>research</w:t>
      </w:r>
      <w:r>
        <w:rPr>
          <w:rFonts w:ascii="Arial" w:hAnsi="Arial" w:cs="Arial"/>
          <w:sz w:val="22"/>
          <w:szCs w:val="22"/>
        </w:rPr>
        <w:t xml:space="preserve"> with the support of the CRN</w:t>
      </w:r>
      <w:r w:rsidR="00981DDF">
        <w:rPr>
          <w:rFonts w:ascii="Arial" w:hAnsi="Arial" w:cs="Arial"/>
          <w:sz w:val="22"/>
          <w:szCs w:val="22"/>
        </w:rPr>
        <w:t xml:space="preserve"> as highlighted in the recruitment figures</w:t>
      </w:r>
      <w:r w:rsidR="00417481" w:rsidRPr="00307A16">
        <w:rPr>
          <w:rFonts w:ascii="Arial" w:hAnsi="Arial" w:cs="Arial"/>
          <w:sz w:val="22"/>
          <w:szCs w:val="22"/>
        </w:rPr>
        <w:t xml:space="preserve">, </w:t>
      </w:r>
      <w:r w:rsidR="00205B24" w:rsidRPr="00307A16">
        <w:rPr>
          <w:rFonts w:ascii="Arial" w:hAnsi="Arial" w:cs="Arial"/>
          <w:sz w:val="22"/>
          <w:szCs w:val="22"/>
        </w:rPr>
        <w:t>challenges remain</w:t>
      </w:r>
      <w:r w:rsidR="00E03C77" w:rsidRPr="00307A16">
        <w:rPr>
          <w:rFonts w:ascii="Arial" w:hAnsi="Arial" w:cs="Arial"/>
          <w:sz w:val="22"/>
          <w:szCs w:val="22"/>
        </w:rPr>
        <w:t xml:space="preserve"> </w:t>
      </w:r>
      <w:r w:rsidR="00417481" w:rsidRPr="00307A16">
        <w:rPr>
          <w:rFonts w:ascii="Arial" w:hAnsi="Arial" w:cs="Arial"/>
          <w:sz w:val="22"/>
          <w:szCs w:val="22"/>
        </w:rPr>
        <w:t xml:space="preserve">in </w:t>
      </w:r>
      <w:r w:rsidR="00E03C77" w:rsidRPr="00307A16">
        <w:rPr>
          <w:rFonts w:ascii="Arial" w:hAnsi="Arial" w:cs="Arial"/>
          <w:sz w:val="22"/>
          <w:szCs w:val="22"/>
        </w:rPr>
        <w:t xml:space="preserve">conducting </w:t>
      </w:r>
      <w:r>
        <w:rPr>
          <w:rFonts w:ascii="Arial" w:hAnsi="Arial" w:cs="Arial"/>
          <w:sz w:val="22"/>
          <w:szCs w:val="22"/>
        </w:rPr>
        <w:t>children’s</w:t>
      </w:r>
      <w:r w:rsidRPr="00307A16">
        <w:rPr>
          <w:rFonts w:ascii="Arial" w:hAnsi="Arial" w:cs="Arial"/>
          <w:sz w:val="22"/>
          <w:szCs w:val="22"/>
        </w:rPr>
        <w:t xml:space="preserve"> </w:t>
      </w:r>
      <w:r w:rsidR="00417481" w:rsidRPr="00307A16">
        <w:rPr>
          <w:rFonts w:ascii="Arial" w:hAnsi="Arial" w:cs="Arial"/>
          <w:sz w:val="22"/>
          <w:szCs w:val="22"/>
        </w:rPr>
        <w:t>studies</w:t>
      </w:r>
      <w:r w:rsidR="00E03C77" w:rsidRPr="00307A16">
        <w:rPr>
          <w:rFonts w:ascii="Arial" w:hAnsi="Arial" w:cs="Arial"/>
          <w:sz w:val="22"/>
          <w:szCs w:val="22"/>
        </w:rPr>
        <w:t xml:space="preserve">. </w:t>
      </w:r>
    </w:p>
    <w:p w14:paraId="71A953F9" w14:textId="751E6037" w:rsidR="00CF3D07" w:rsidRPr="00307A16" w:rsidRDefault="00E03C77" w:rsidP="007515F8">
      <w:pPr>
        <w:spacing w:line="480" w:lineRule="auto"/>
        <w:jc w:val="both"/>
        <w:rPr>
          <w:rFonts w:ascii="Arial" w:hAnsi="Arial" w:cs="Arial"/>
          <w:sz w:val="22"/>
          <w:szCs w:val="22"/>
        </w:rPr>
      </w:pPr>
      <w:r w:rsidRPr="00307A16">
        <w:rPr>
          <w:rFonts w:ascii="Arial" w:hAnsi="Arial" w:cs="Arial"/>
          <w:sz w:val="22"/>
          <w:szCs w:val="22"/>
        </w:rPr>
        <w:lastRenderedPageBreak/>
        <w:t xml:space="preserve">The burden of disease in children is usually disproportionately small compared to adults, diagnostic criteria may be less </w:t>
      </w:r>
      <w:r w:rsidR="00024188" w:rsidRPr="00307A16">
        <w:rPr>
          <w:rFonts w:ascii="Arial" w:hAnsi="Arial" w:cs="Arial"/>
          <w:sz w:val="22"/>
          <w:szCs w:val="22"/>
        </w:rPr>
        <w:t>well defined</w:t>
      </w:r>
      <w:r w:rsidRPr="00307A16">
        <w:rPr>
          <w:rFonts w:ascii="Arial" w:hAnsi="Arial" w:cs="Arial"/>
          <w:sz w:val="22"/>
          <w:szCs w:val="22"/>
        </w:rPr>
        <w:t xml:space="preserve"> and clinical outcomes may not be developed in a suitable form for use </w:t>
      </w:r>
      <w:r w:rsidR="00B94AA3" w:rsidRPr="00307A16">
        <w:rPr>
          <w:rFonts w:ascii="Arial" w:hAnsi="Arial" w:cs="Arial"/>
          <w:sz w:val="22"/>
          <w:szCs w:val="22"/>
        </w:rPr>
        <w:t>with</w:t>
      </w:r>
      <w:r w:rsidRPr="00307A16">
        <w:rPr>
          <w:rFonts w:ascii="Arial" w:hAnsi="Arial" w:cs="Arial"/>
          <w:sz w:val="22"/>
          <w:szCs w:val="22"/>
        </w:rPr>
        <w:t xml:space="preserve"> children. </w:t>
      </w:r>
      <w:r w:rsidR="006752A8" w:rsidRPr="00307A16">
        <w:rPr>
          <w:rFonts w:ascii="Arial" w:hAnsi="Arial" w:cs="Arial"/>
          <w:sz w:val="22"/>
          <w:szCs w:val="22"/>
        </w:rPr>
        <w:t xml:space="preserve">The CRN: Children, particularly through </w:t>
      </w:r>
      <w:r w:rsidR="00205B24" w:rsidRPr="00307A16">
        <w:rPr>
          <w:rFonts w:ascii="Arial" w:hAnsi="Arial" w:cs="Arial"/>
          <w:sz w:val="22"/>
          <w:szCs w:val="22"/>
        </w:rPr>
        <w:t>working with</w:t>
      </w:r>
      <w:r w:rsidR="006752A8" w:rsidRPr="00307A16">
        <w:rPr>
          <w:rFonts w:ascii="Arial" w:hAnsi="Arial" w:cs="Arial"/>
          <w:sz w:val="22"/>
          <w:szCs w:val="22"/>
        </w:rPr>
        <w:t xml:space="preserve"> CSGs</w:t>
      </w:r>
      <w:r w:rsidR="000908AF" w:rsidRPr="00307A16">
        <w:rPr>
          <w:rFonts w:ascii="Arial" w:hAnsi="Arial" w:cs="Arial"/>
          <w:sz w:val="22"/>
          <w:szCs w:val="22"/>
        </w:rPr>
        <w:t>,</w:t>
      </w:r>
      <w:r w:rsidR="006752A8" w:rsidRPr="00307A16">
        <w:rPr>
          <w:rFonts w:ascii="Arial" w:hAnsi="Arial" w:cs="Arial"/>
          <w:sz w:val="22"/>
          <w:szCs w:val="22"/>
        </w:rPr>
        <w:t xml:space="preserve"> provides the infrastructure to </w:t>
      </w:r>
      <w:r w:rsidR="00B94AA3" w:rsidRPr="00307A16">
        <w:rPr>
          <w:rFonts w:ascii="Arial" w:hAnsi="Arial" w:cs="Arial"/>
          <w:sz w:val="22"/>
          <w:szCs w:val="22"/>
        </w:rPr>
        <w:t>enable</w:t>
      </w:r>
      <w:r w:rsidR="006752A8" w:rsidRPr="00307A16">
        <w:rPr>
          <w:rFonts w:ascii="Arial" w:hAnsi="Arial" w:cs="Arial"/>
          <w:sz w:val="22"/>
          <w:szCs w:val="22"/>
        </w:rPr>
        <w:t xml:space="preserve"> </w:t>
      </w:r>
      <w:r w:rsidR="000908AF" w:rsidRPr="00307A16">
        <w:rPr>
          <w:rFonts w:ascii="Arial" w:hAnsi="Arial" w:cs="Arial"/>
          <w:sz w:val="22"/>
          <w:szCs w:val="22"/>
        </w:rPr>
        <w:t xml:space="preserve">organisations </w:t>
      </w:r>
      <w:r w:rsidR="006752A8" w:rsidRPr="00307A16">
        <w:rPr>
          <w:rFonts w:ascii="Arial" w:hAnsi="Arial" w:cs="Arial"/>
          <w:sz w:val="22"/>
          <w:szCs w:val="22"/>
        </w:rPr>
        <w:t>working together to focus and overcome these challenges.</w:t>
      </w:r>
      <w:r w:rsidR="00AA2332" w:rsidRPr="00307A16">
        <w:rPr>
          <w:rFonts w:ascii="Arial" w:hAnsi="Arial" w:cs="Arial"/>
          <w:sz w:val="22"/>
          <w:szCs w:val="22"/>
        </w:rPr>
        <w:t xml:space="preserve"> </w:t>
      </w:r>
      <w:r w:rsidR="00CF3D07" w:rsidRPr="00307A16">
        <w:rPr>
          <w:rFonts w:ascii="Arial" w:hAnsi="Arial" w:cs="Arial"/>
          <w:sz w:val="22"/>
          <w:szCs w:val="22"/>
        </w:rPr>
        <w:t>Further improvement and development of international collaborations remains important.</w:t>
      </w:r>
    </w:p>
    <w:p w14:paraId="47277BA3" w14:textId="255DE756" w:rsidR="00AA2332" w:rsidRPr="00307A16" w:rsidRDefault="00AA2332" w:rsidP="007515F8">
      <w:pPr>
        <w:spacing w:line="480" w:lineRule="auto"/>
        <w:jc w:val="both"/>
        <w:rPr>
          <w:rFonts w:ascii="Arial" w:hAnsi="Arial" w:cs="Arial"/>
          <w:sz w:val="22"/>
          <w:szCs w:val="22"/>
        </w:rPr>
      </w:pPr>
      <w:r w:rsidRPr="00307A16">
        <w:rPr>
          <w:rFonts w:ascii="Arial" w:hAnsi="Arial" w:cs="Arial"/>
          <w:sz w:val="22"/>
          <w:szCs w:val="22"/>
        </w:rPr>
        <w:t xml:space="preserve">However, the most difficult challenge, key to the success of clinical studies, lies in recruitment of participants. </w:t>
      </w:r>
      <w:r w:rsidR="000C77FE" w:rsidRPr="00307A16">
        <w:rPr>
          <w:rFonts w:ascii="Arial" w:hAnsi="Arial" w:cs="Arial"/>
          <w:sz w:val="22"/>
          <w:szCs w:val="22"/>
        </w:rPr>
        <w:t>E</w:t>
      </w:r>
      <w:r w:rsidR="006752A8" w:rsidRPr="00307A16">
        <w:rPr>
          <w:rFonts w:ascii="Arial" w:hAnsi="Arial" w:cs="Arial"/>
          <w:sz w:val="22"/>
          <w:szCs w:val="22"/>
        </w:rPr>
        <w:t xml:space="preserve">ngagement of clinicians is essential </w:t>
      </w:r>
      <w:r w:rsidR="004E6BEB" w:rsidRPr="00307A16">
        <w:rPr>
          <w:rFonts w:ascii="Arial" w:hAnsi="Arial" w:cs="Arial"/>
          <w:sz w:val="22"/>
          <w:szCs w:val="22"/>
        </w:rPr>
        <w:t>to</w:t>
      </w:r>
      <w:r w:rsidR="006752A8" w:rsidRPr="00307A16">
        <w:rPr>
          <w:rFonts w:ascii="Arial" w:hAnsi="Arial" w:cs="Arial"/>
          <w:sz w:val="22"/>
          <w:szCs w:val="22"/>
        </w:rPr>
        <w:t xml:space="preserve"> improving participation in </w:t>
      </w:r>
      <w:r w:rsidR="00DA60D8" w:rsidRPr="00307A16">
        <w:rPr>
          <w:rFonts w:ascii="Arial" w:hAnsi="Arial" w:cs="Arial"/>
          <w:sz w:val="22"/>
          <w:szCs w:val="22"/>
        </w:rPr>
        <w:t>research studies</w:t>
      </w:r>
      <w:r w:rsidR="006752A8" w:rsidRPr="00307A16">
        <w:rPr>
          <w:rFonts w:ascii="Arial" w:hAnsi="Arial" w:cs="Arial"/>
          <w:sz w:val="22"/>
          <w:szCs w:val="22"/>
        </w:rPr>
        <w:t xml:space="preserve">. A </w:t>
      </w:r>
      <w:r w:rsidR="00DA60D8" w:rsidRPr="00307A16">
        <w:rPr>
          <w:rFonts w:ascii="Arial" w:hAnsi="Arial" w:cs="Arial"/>
          <w:sz w:val="22"/>
          <w:szCs w:val="22"/>
        </w:rPr>
        <w:t>study</w:t>
      </w:r>
      <w:r w:rsidR="006752A8" w:rsidRPr="00307A16">
        <w:rPr>
          <w:rFonts w:ascii="Arial" w:hAnsi="Arial" w:cs="Arial"/>
          <w:sz w:val="22"/>
          <w:szCs w:val="22"/>
        </w:rPr>
        <w:t xml:space="preserve"> evaluating attitudes of paediatricians towards</w:t>
      </w:r>
      <w:r w:rsidR="004E6BEB" w:rsidRPr="00307A16">
        <w:rPr>
          <w:rFonts w:ascii="Arial" w:hAnsi="Arial" w:cs="Arial"/>
          <w:sz w:val="22"/>
          <w:szCs w:val="22"/>
        </w:rPr>
        <w:t xml:space="preserve"> </w:t>
      </w:r>
      <w:r w:rsidR="00AC69EB">
        <w:rPr>
          <w:rFonts w:ascii="Arial" w:hAnsi="Arial" w:cs="Arial"/>
          <w:sz w:val="22"/>
          <w:szCs w:val="22"/>
        </w:rPr>
        <w:t>randomised controlled trials</w:t>
      </w:r>
      <w:r w:rsidR="006752A8" w:rsidRPr="00307A16">
        <w:rPr>
          <w:rFonts w:ascii="Arial" w:hAnsi="Arial" w:cs="Arial"/>
          <w:sz w:val="22"/>
          <w:szCs w:val="22"/>
        </w:rPr>
        <w:t xml:space="preserve"> found that clinicians with previous research experience were most knowledgeable and perceived most ben</w:t>
      </w:r>
      <w:r w:rsidR="00583C48" w:rsidRPr="00307A16">
        <w:rPr>
          <w:rFonts w:ascii="Arial" w:hAnsi="Arial" w:cs="Arial"/>
          <w:sz w:val="22"/>
          <w:szCs w:val="22"/>
        </w:rPr>
        <w:t>efits from trial participation</w:t>
      </w:r>
      <w:r w:rsidR="00130B19">
        <w:rPr>
          <w:rFonts w:ascii="Arial" w:hAnsi="Arial" w:cs="Arial"/>
          <w:sz w:val="22"/>
          <w:szCs w:val="22"/>
        </w:rPr>
        <w:t>[13]</w:t>
      </w:r>
      <w:r w:rsidR="00BC0802">
        <w:rPr>
          <w:rFonts w:ascii="Arial" w:hAnsi="Arial" w:cs="Arial"/>
          <w:sz w:val="22"/>
          <w:szCs w:val="22"/>
        </w:rPr>
        <w:t>.</w:t>
      </w:r>
      <w:r w:rsidRPr="00307A16">
        <w:rPr>
          <w:rFonts w:ascii="Arial" w:hAnsi="Arial" w:cs="Arial"/>
          <w:sz w:val="22"/>
          <w:szCs w:val="22"/>
        </w:rPr>
        <w:t xml:space="preserve"> </w:t>
      </w:r>
      <w:r w:rsidR="006245DF" w:rsidRPr="00307A16">
        <w:rPr>
          <w:rFonts w:ascii="Arial" w:hAnsi="Arial" w:cs="Arial"/>
          <w:sz w:val="22"/>
          <w:szCs w:val="22"/>
        </w:rPr>
        <w:t xml:space="preserve">Indeed, a recent paper </w:t>
      </w:r>
      <w:r w:rsidR="003F3DE6" w:rsidRPr="00307A16">
        <w:rPr>
          <w:rFonts w:ascii="Arial" w:hAnsi="Arial" w:cs="Arial"/>
          <w:sz w:val="22"/>
          <w:szCs w:val="22"/>
        </w:rPr>
        <w:t xml:space="preserve">examined barriers for parents and practitioners in recruiting to paediatric clinical trials, concluding that while practitioners felt approaching families about research overburdened them, this feeling was not </w:t>
      </w:r>
      <w:r w:rsidR="005B6DEE" w:rsidRPr="00307A16">
        <w:rPr>
          <w:rFonts w:ascii="Arial" w:hAnsi="Arial" w:cs="Arial"/>
          <w:sz w:val="22"/>
          <w:szCs w:val="22"/>
        </w:rPr>
        <w:t>reciprocated by families</w:t>
      </w:r>
      <w:r w:rsidR="00130B19">
        <w:rPr>
          <w:rFonts w:ascii="Arial" w:hAnsi="Arial" w:cs="Arial"/>
          <w:sz w:val="22"/>
          <w:szCs w:val="22"/>
        </w:rPr>
        <w:t>[14]</w:t>
      </w:r>
      <w:r w:rsidR="00BC0802">
        <w:rPr>
          <w:rFonts w:ascii="Arial" w:hAnsi="Arial" w:cs="Arial"/>
          <w:sz w:val="22"/>
          <w:szCs w:val="22"/>
        </w:rPr>
        <w:t>.</w:t>
      </w:r>
      <w:r w:rsidR="005B6DEE" w:rsidRPr="00307A16">
        <w:rPr>
          <w:rFonts w:ascii="Arial" w:hAnsi="Arial" w:cs="Arial"/>
          <w:sz w:val="22"/>
          <w:szCs w:val="22"/>
        </w:rPr>
        <w:t xml:space="preserve"> </w:t>
      </w:r>
    </w:p>
    <w:p w14:paraId="4A8A7665" w14:textId="1E809E1E" w:rsidR="00AA2332" w:rsidRPr="00307A16" w:rsidRDefault="00BC0802" w:rsidP="007515F8">
      <w:pPr>
        <w:spacing w:line="480" w:lineRule="auto"/>
        <w:jc w:val="both"/>
        <w:rPr>
          <w:rFonts w:ascii="Arial" w:hAnsi="Arial" w:cs="Arial"/>
          <w:sz w:val="22"/>
          <w:szCs w:val="22"/>
        </w:rPr>
      </w:pPr>
      <w:r>
        <w:rPr>
          <w:rFonts w:ascii="Arial" w:hAnsi="Arial" w:cs="Arial"/>
          <w:sz w:val="22"/>
          <w:szCs w:val="22"/>
        </w:rPr>
        <w:t xml:space="preserve">While there are numerous research initiatives aimed at </w:t>
      </w:r>
      <w:r w:rsidR="00F83BAC">
        <w:rPr>
          <w:rFonts w:ascii="Arial" w:hAnsi="Arial" w:cs="Arial"/>
          <w:sz w:val="22"/>
          <w:szCs w:val="22"/>
        </w:rPr>
        <w:t>paedia</w:t>
      </w:r>
      <w:r>
        <w:rPr>
          <w:rFonts w:ascii="Arial" w:hAnsi="Arial" w:cs="Arial"/>
          <w:sz w:val="22"/>
          <w:szCs w:val="22"/>
        </w:rPr>
        <w:t>ticians</w:t>
      </w:r>
      <w:r w:rsidR="00294562">
        <w:rPr>
          <w:rFonts w:ascii="Arial" w:hAnsi="Arial" w:cs="Arial"/>
          <w:sz w:val="22"/>
          <w:szCs w:val="22"/>
        </w:rPr>
        <w:t xml:space="preserve"> such as RCPCH’s Turning the Tide[15]</w:t>
      </w:r>
      <w:r>
        <w:rPr>
          <w:rFonts w:ascii="Arial" w:hAnsi="Arial" w:cs="Arial"/>
          <w:sz w:val="22"/>
          <w:szCs w:val="22"/>
        </w:rPr>
        <w:t>, a</w:t>
      </w:r>
      <w:r w:rsidR="00583C48" w:rsidRPr="00307A16">
        <w:rPr>
          <w:rFonts w:ascii="Arial" w:hAnsi="Arial" w:cs="Arial"/>
          <w:sz w:val="22"/>
          <w:szCs w:val="22"/>
        </w:rPr>
        <w:t xml:space="preserve"> recent survey of</w:t>
      </w:r>
      <w:r w:rsidR="008D1B1C" w:rsidRPr="00307A16">
        <w:rPr>
          <w:rFonts w:ascii="Arial" w:hAnsi="Arial" w:cs="Arial"/>
          <w:sz w:val="22"/>
          <w:szCs w:val="22"/>
        </w:rPr>
        <w:t xml:space="preserve"> UK</w:t>
      </w:r>
      <w:r w:rsidR="00583C48" w:rsidRPr="00307A16">
        <w:rPr>
          <w:rFonts w:ascii="Arial" w:hAnsi="Arial" w:cs="Arial"/>
          <w:sz w:val="22"/>
          <w:szCs w:val="22"/>
        </w:rPr>
        <w:t xml:space="preserve"> </w:t>
      </w:r>
      <w:r w:rsidR="00AA2332" w:rsidRPr="00307A16">
        <w:rPr>
          <w:rFonts w:ascii="Arial" w:hAnsi="Arial" w:cs="Arial"/>
          <w:sz w:val="22"/>
          <w:szCs w:val="22"/>
        </w:rPr>
        <w:t xml:space="preserve">junior </w:t>
      </w:r>
      <w:r w:rsidR="00583C48" w:rsidRPr="00307A16">
        <w:rPr>
          <w:rFonts w:ascii="Arial" w:hAnsi="Arial" w:cs="Arial"/>
          <w:sz w:val="22"/>
          <w:szCs w:val="22"/>
        </w:rPr>
        <w:t>paediatric trainees</w:t>
      </w:r>
      <w:r w:rsidR="0097158D" w:rsidRPr="00307A16">
        <w:rPr>
          <w:rFonts w:ascii="Arial" w:hAnsi="Arial" w:cs="Arial"/>
          <w:sz w:val="22"/>
          <w:szCs w:val="22"/>
        </w:rPr>
        <w:t xml:space="preserve"> (Specialist Trainee Levels 1</w:t>
      </w:r>
      <w:r w:rsidR="00AA2332" w:rsidRPr="00307A16">
        <w:rPr>
          <w:rFonts w:ascii="Arial" w:hAnsi="Arial" w:cs="Arial"/>
          <w:sz w:val="22"/>
          <w:szCs w:val="22"/>
        </w:rPr>
        <w:t>–3) exploring their research experience found that 89% considered themselves to have had minimal or no clinical research experie</w:t>
      </w:r>
      <w:r w:rsidR="004E6BEB" w:rsidRPr="00307A16">
        <w:rPr>
          <w:rFonts w:ascii="Arial" w:hAnsi="Arial" w:cs="Arial"/>
          <w:sz w:val="22"/>
          <w:szCs w:val="22"/>
        </w:rPr>
        <w:t>nce during paediatric training</w:t>
      </w:r>
      <w:r w:rsidR="00294562">
        <w:rPr>
          <w:rFonts w:ascii="Arial" w:hAnsi="Arial" w:cs="Arial"/>
          <w:sz w:val="22"/>
          <w:szCs w:val="22"/>
        </w:rPr>
        <w:t>[16</w:t>
      </w:r>
      <w:r>
        <w:rPr>
          <w:rFonts w:ascii="Arial" w:hAnsi="Arial" w:cs="Arial"/>
          <w:sz w:val="22"/>
          <w:szCs w:val="22"/>
        </w:rPr>
        <w:t>]</w:t>
      </w:r>
      <w:r w:rsidR="004E6BEB" w:rsidRPr="00307A16">
        <w:rPr>
          <w:rFonts w:ascii="Arial" w:hAnsi="Arial" w:cs="Arial"/>
          <w:sz w:val="22"/>
          <w:szCs w:val="22"/>
        </w:rPr>
        <w:t>.</w:t>
      </w:r>
      <w:r w:rsidR="00AA2332" w:rsidRPr="00307A16">
        <w:rPr>
          <w:rFonts w:ascii="Arial" w:hAnsi="Arial" w:cs="Arial"/>
          <w:sz w:val="22"/>
          <w:szCs w:val="22"/>
        </w:rPr>
        <w:t xml:space="preserve"> Trainees considered research experience an important part of training but found opportunities limited </w:t>
      </w:r>
      <w:r w:rsidR="00130B19">
        <w:rPr>
          <w:rFonts w:ascii="Arial" w:hAnsi="Arial" w:cs="Arial"/>
          <w:sz w:val="22"/>
          <w:szCs w:val="22"/>
        </w:rPr>
        <w:t>(</w:t>
      </w:r>
      <w:r w:rsidR="007E7ADE">
        <w:rPr>
          <w:rFonts w:ascii="Arial" w:hAnsi="Arial" w:cs="Arial"/>
          <w:sz w:val="22"/>
          <w:szCs w:val="22"/>
        </w:rPr>
        <w:t>see F</w:t>
      </w:r>
      <w:r w:rsidR="00130B19">
        <w:rPr>
          <w:rFonts w:ascii="Arial" w:hAnsi="Arial" w:cs="Arial"/>
          <w:sz w:val="22"/>
          <w:szCs w:val="22"/>
        </w:rPr>
        <w:t>igure 2</w:t>
      </w:r>
      <w:r w:rsidR="00AA2332" w:rsidRPr="00307A16">
        <w:rPr>
          <w:rFonts w:ascii="Arial" w:hAnsi="Arial" w:cs="Arial"/>
          <w:sz w:val="22"/>
          <w:szCs w:val="22"/>
        </w:rPr>
        <w:t xml:space="preserve">). Sixty-nine percent of trainees didn’t know who to ask for advice and support. Reported barriers included research opportunities being aimed at more senior trainees (therefore excluding junior trainees); an emphasis on service provision; opportunities relying on “word of mouth”; and inflexible training structures making taking time out for research challenging. </w:t>
      </w:r>
    </w:p>
    <w:p w14:paraId="2C25D83E" w14:textId="77777777" w:rsidR="0046288F" w:rsidRPr="00307A16" w:rsidRDefault="0046288F" w:rsidP="007515F8">
      <w:pPr>
        <w:spacing w:line="480" w:lineRule="auto"/>
        <w:jc w:val="both"/>
        <w:rPr>
          <w:rFonts w:ascii="Arial" w:hAnsi="Arial" w:cs="Arial"/>
          <w:sz w:val="22"/>
          <w:szCs w:val="22"/>
        </w:rPr>
      </w:pPr>
    </w:p>
    <w:p w14:paraId="3CECD057" w14:textId="473EB080" w:rsidR="00AA2332" w:rsidRPr="00307A16" w:rsidRDefault="00AA2332" w:rsidP="007515F8">
      <w:pPr>
        <w:pStyle w:val="Caption"/>
        <w:spacing w:after="0" w:line="480" w:lineRule="auto"/>
        <w:jc w:val="both"/>
        <w:rPr>
          <w:rFonts w:ascii="Arial" w:hAnsi="Arial" w:cs="Arial"/>
          <w:color w:val="auto"/>
          <w:sz w:val="22"/>
          <w:szCs w:val="22"/>
        </w:rPr>
      </w:pPr>
      <w:r w:rsidRPr="00307A16">
        <w:rPr>
          <w:rFonts w:ascii="Arial" w:hAnsi="Arial" w:cs="Arial"/>
          <w:color w:val="auto"/>
          <w:sz w:val="22"/>
          <w:szCs w:val="22"/>
        </w:rPr>
        <w:t>Figure</w:t>
      </w:r>
      <w:r w:rsidR="00205B24" w:rsidRPr="00307A16">
        <w:rPr>
          <w:rFonts w:ascii="Arial" w:hAnsi="Arial" w:cs="Arial"/>
          <w:color w:val="auto"/>
          <w:sz w:val="22"/>
          <w:szCs w:val="22"/>
        </w:rPr>
        <w:t xml:space="preserve"> </w:t>
      </w:r>
      <w:r w:rsidR="00130B19">
        <w:rPr>
          <w:rFonts w:ascii="Arial" w:hAnsi="Arial" w:cs="Arial"/>
          <w:color w:val="auto"/>
          <w:sz w:val="22"/>
          <w:szCs w:val="22"/>
        </w:rPr>
        <w:t>2</w:t>
      </w:r>
      <w:r w:rsidRPr="00307A16">
        <w:rPr>
          <w:rFonts w:ascii="Arial" w:hAnsi="Arial" w:cs="Arial"/>
          <w:color w:val="auto"/>
          <w:sz w:val="22"/>
          <w:szCs w:val="22"/>
        </w:rPr>
        <w:t xml:space="preserve">: Survey results - </w:t>
      </w:r>
      <w:r w:rsidR="008D1B1C" w:rsidRPr="00307A16">
        <w:rPr>
          <w:rFonts w:ascii="Arial" w:hAnsi="Arial" w:cs="Arial"/>
          <w:color w:val="auto"/>
          <w:sz w:val="22"/>
          <w:szCs w:val="22"/>
        </w:rPr>
        <w:t>t</w:t>
      </w:r>
      <w:r w:rsidRPr="00307A16">
        <w:rPr>
          <w:rFonts w:ascii="Arial" w:hAnsi="Arial" w:cs="Arial"/>
          <w:color w:val="auto"/>
          <w:sz w:val="22"/>
          <w:szCs w:val="22"/>
        </w:rPr>
        <w:t>rainees responding as ‘definitely’ or ‘probably’ to the questions described</w:t>
      </w:r>
      <w:r w:rsidR="0046288F" w:rsidRPr="00307A16">
        <w:rPr>
          <w:rFonts w:ascii="Arial" w:hAnsi="Arial" w:cs="Arial"/>
          <w:color w:val="auto"/>
          <w:sz w:val="22"/>
          <w:szCs w:val="22"/>
        </w:rPr>
        <w:t xml:space="preserve"> </w:t>
      </w:r>
      <w:r w:rsidR="002A4D4C">
        <w:rPr>
          <w:rFonts w:ascii="Arial" w:hAnsi="Arial" w:cs="Arial"/>
          <w:color w:val="auto"/>
          <w:sz w:val="22"/>
          <w:szCs w:val="22"/>
        </w:rPr>
        <w:t>[1</w:t>
      </w:r>
      <w:r w:rsidR="00294562">
        <w:rPr>
          <w:rFonts w:ascii="Arial" w:hAnsi="Arial" w:cs="Arial"/>
          <w:color w:val="auto"/>
          <w:sz w:val="22"/>
          <w:szCs w:val="22"/>
        </w:rPr>
        <w:t>6</w:t>
      </w:r>
      <w:r w:rsidR="002A4D4C">
        <w:rPr>
          <w:rFonts w:ascii="Arial" w:hAnsi="Arial" w:cs="Arial"/>
          <w:color w:val="auto"/>
          <w:sz w:val="22"/>
          <w:szCs w:val="22"/>
        </w:rPr>
        <w:t>]</w:t>
      </w:r>
    </w:p>
    <w:p w14:paraId="640176AA" w14:textId="1A46DB3D" w:rsidR="006752A8" w:rsidRPr="00130B19" w:rsidRDefault="006752A8" w:rsidP="007515F8">
      <w:pPr>
        <w:spacing w:line="480" w:lineRule="auto"/>
        <w:jc w:val="center"/>
      </w:pPr>
    </w:p>
    <w:p w14:paraId="27324887" w14:textId="1200CA74" w:rsidR="008D1B1C" w:rsidRPr="00307A16" w:rsidRDefault="008D1B1C" w:rsidP="007515F8">
      <w:pPr>
        <w:spacing w:line="480" w:lineRule="auto"/>
        <w:jc w:val="both"/>
        <w:rPr>
          <w:rFonts w:ascii="Arial" w:hAnsi="Arial" w:cs="Arial"/>
          <w:sz w:val="22"/>
          <w:szCs w:val="22"/>
        </w:rPr>
      </w:pPr>
      <w:r w:rsidRPr="00307A16">
        <w:rPr>
          <w:rFonts w:ascii="Arial" w:hAnsi="Arial" w:cs="Arial"/>
          <w:sz w:val="22"/>
          <w:szCs w:val="22"/>
        </w:rPr>
        <w:lastRenderedPageBreak/>
        <w:t>This survey highlights the challenges in developing paediatricians with a strong research knowledge base which will aid future recruitment and development of new clinical trials.</w:t>
      </w:r>
    </w:p>
    <w:p w14:paraId="4F1524AE" w14:textId="77777777" w:rsidR="0010781E" w:rsidRPr="00307A16" w:rsidRDefault="0010781E" w:rsidP="007515F8">
      <w:pPr>
        <w:spacing w:line="480" w:lineRule="auto"/>
        <w:jc w:val="both"/>
        <w:rPr>
          <w:rFonts w:ascii="Arial" w:hAnsi="Arial" w:cs="Arial"/>
          <w:sz w:val="22"/>
          <w:szCs w:val="22"/>
        </w:rPr>
      </w:pPr>
    </w:p>
    <w:p w14:paraId="4F3A99A2" w14:textId="7552B41E" w:rsidR="009A4DFE" w:rsidRPr="00307A16" w:rsidRDefault="00075196" w:rsidP="007515F8">
      <w:pPr>
        <w:spacing w:line="480" w:lineRule="auto"/>
        <w:rPr>
          <w:rFonts w:ascii="Arial" w:hAnsi="Arial" w:cs="Arial"/>
          <w:b/>
          <w:sz w:val="22"/>
          <w:szCs w:val="22"/>
        </w:rPr>
      </w:pPr>
      <w:r w:rsidRPr="00307A16">
        <w:rPr>
          <w:rFonts w:ascii="Arial" w:hAnsi="Arial" w:cs="Arial"/>
          <w:b/>
          <w:sz w:val="22"/>
          <w:szCs w:val="22"/>
        </w:rPr>
        <w:t>GETTING INVOLVED</w:t>
      </w:r>
    </w:p>
    <w:p w14:paraId="1BA087FB" w14:textId="5DB96E7C" w:rsidR="00700AF9" w:rsidRPr="00307A16" w:rsidRDefault="00700AF9" w:rsidP="007515F8">
      <w:pPr>
        <w:spacing w:line="480" w:lineRule="auto"/>
        <w:jc w:val="both"/>
        <w:rPr>
          <w:rFonts w:ascii="Arial" w:hAnsi="Arial" w:cs="Arial"/>
          <w:sz w:val="22"/>
          <w:szCs w:val="22"/>
        </w:rPr>
      </w:pPr>
      <w:r w:rsidRPr="00307A16">
        <w:rPr>
          <w:rFonts w:ascii="Arial" w:hAnsi="Arial" w:cs="Arial"/>
          <w:sz w:val="22"/>
          <w:szCs w:val="22"/>
        </w:rPr>
        <w:t xml:space="preserve">Awareness and participation in research amongst paediatricians is crucial to enable the continued development of </w:t>
      </w:r>
      <w:r w:rsidR="002A4D4C">
        <w:rPr>
          <w:rFonts w:ascii="Arial" w:hAnsi="Arial" w:cs="Arial"/>
          <w:sz w:val="22"/>
          <w:szCs w:val="22"/>
        </w:rPr>
        <w:t>children’s studies</w:t>
      </w:r>
      <w:r w:rsidRPr="00307A16">
        <w:rPr>
          <w:rFonts w:ascii="Arial" w:hAnsi="Arial" w:cs="Arial"/>
          <w:sz w:val="22"/>
          <w:szCs w:val="22"/>
        </w:rPr>
        <w:t xml:space="preserve">, both within the UK and internationally. There are many opportunities for paediatricians, whether in training or at consultant level, to become involved in research, and a variety of routes through which this could be achieved. At the local level, each individual study requires an enthusiastic team to deliver it successfully; interested paediatricians can speak to principal investigators to find out how they may become involved, for example, through undertaking study specific training and joining the delegation log. In addition, for paediatricians wanting greater involvement or to develop research ideas, there are local forums to bring up these ideas and find out how to proceed, and we would encourage anyone with an interest to approach colleagues </w:t>
      </w:r>
      <w:r w:rsidRPr="00130B19">
        <w:rPr>
          <w:rFonts w:ascii="Arial" w:hAnsi="Arial" w:cs="Arial"/>
          <w:sz w:val="22"/>
          <w:szCs w:val="22"/>
        </w:rPr>
        <w:t>who are already involved in research, or their local LCRN children’s lead (</w:t>
      </w:r>
      <w:hyperlink r:id="rId13" w:history="1">
        <w:r w:rsidR="00130B19" w:rsidRPr="00130B19">
          <w:rPr>
            <w:rStyle w:val="Hyperlink"/>
            <w:rFonts w:ascii="Arial" w:hAnsi="Arial" w:cs="Arial"/>
            <w:color w:val="auto"/>
            <w:sz w:val="22"/>
            <w:szCs w:val="22"/>
            <w:u w:val="none"/>
          </w:rPr>
          <w:t>www.crn.nihr.ac.uk/networks/</w:t>
        </w:r>
      </w:hyperlink>
      <w:r w:rsidRPr="00130B19">
        <w:rPr>
          <w:rFonts w:ascii="Arial" w:hAnsi="Arial" w:cs="Arial"/>
          <w:sz w:val="22"/>
          <w:szCs w:val="22"/>
        </w:rPr>
        <w:t xml:space="preserve">). Formal training is available as standalone clinical research fellow </w:t>
      </w:r>
      <w:r w:rsidRPr="00307A16">
        <w:rPr>
          <w:rFonts w:ascii="Arial" w:hAnsi="Arial" w:cs="Arial"/>
          <w:sz w:val="22"/>
          <w:szCs w:val="22"/>
        </w:rPr>
        <w:t xml:space="preserve">posts at some early phase </w:t>
      </w:r>
      <w:r w:rsidR="00130B19">
        <w:rPr>
          <w:rFonts w:ascii="Arial" w:hAnsi="Arial" w:cs="Arial"/>
          <w:sz w:val="22"/>
          <w:szCs w:val="22"/>
        </w:rPr>
        <w:t>C</w:t>
      </w:r>
      <w:r w:rsidRPr="00307A16">
        <w:rPr>
          <w:rFonts w:ascii="Arial" w:hAnsi="Arial" w:cs="Arial"/>
          <w:sz w:val="22"/>
          <w:szCs w:val="22"/>
        </w:rPr>
        <w:t xml:space="preserve">linical </w:t>
      </w:r>
      <w:r w:rsidR="00130B19">
        <w:rPr>
          <w:rFonts w:ascii="Arial" w:hAnsi="Arial" w:cs="Arial"/>
          <w:sz w:val="22"/>
          <w:szCs w:val="22"/>
        </w:rPr>
        <w:t>R</w:t>
      </w:r>
      <w:r w:rsidRPr="00307A16">
        <w:rPr>
          <w:rFonts w:ascii="Arial" w:hAnsi="Arial" w:cs="Arial"/>
          <w:sz w:val="22"/>
          <w:szCs w:val="22"/>
        </w:rPr>
        <w:t xml:space="preserve">esearch </w:t>
      </w:r>
      <w:r w:rsidR="00130B19">
        <w:rPr>
          <w:rFonts w:ascii="Arial" w:hAnsi="Arial" w:cs="Arial"/>
          <w:sz w:val="22"/>
          <w:szCs w:val="22"/>
        </w:rPr>
        <w:t>F</w:t>
      </w:r>
      <w:r w:rsidRPr="00307A16">
        <w:rPr>
          <w:rFonts w:ascii="Arial" w:hAnsi="Arial" w:cs="Arial"/>
          <w:sz w:val="22"/>
          <w:szCs w:val="22"/>
        </w:rPr>
        <w:t xml:space="preserve">acilities.  </w:t>
      </w:r>
    </w:p>
    <w:p w14:paraId="1C7FF4C4" w14:textId="77777777" w:rsidR="0010781E" w:rsidRPr="00307A16" w:rsidRDefault="0010781E" w:rsidP="007515F8">
      <w:pPr>
        <w:spacing w:line="480" w:lineRule="auto"/>
        <w:jc w:val="both"/>
        <w:rPr>
          <w:rFonts w:ascii="Arial" w:hAnsi="Arial" w:cs="Arial"/>
          <w:sz w:val="22"/>
          <w:szCs w:val="22"/>
        </w:rPr>
      </w:pPr>
    </w:p>
    <w:p w14:paraId="1B31C8D6" w14:textId="015896C9" w:rsidR="009A4DFE" w:rsidRPr="00307A16" w:rsidRDefault="00075196" w:rsidP="007515F8">
      <w:pPr>
        <w:spacing w:line="480" w:lineRule="auto"/>
        <w:rPr>
          <w:rFonts w:ascii="Arial" w:hAnsi="Arial" w:cs="Arial"/>
          <w:b/>
          <w:sz w:val="22"/>
          <w:szCs w:val="22"/>
        </w:rPr>
      </w:pPr>
      <w:r w:rsidRPr="00307A16">
        <w:rPr>
          <w:rFonts w:ascii="Arial" w:hAnsi="Arial" w:cs="Arial"/>
          <w:b/>
          <w:sz w:val="22"/>
          <w:szCs w:val="22"/>
        </w:rPr>
        <w:t>CONCLUSION</w:t>
      </w:r>
    </w:p>
    <w:p w14:paraId="5FF26A85" w14:textId="64A40950" w:rsidR="0064061C" w:rsidRPr="00307A16" w:rsidRDefault="0064061C" w:rsidP="007515F8">
      <w:pPr>
        <w:spacing w:line="480" w:lineRule="auto"/>
        <w:jc w:val="both"/>
        <w:rPr>
          <w:rFonts w:ascii="Arial" w:hAnsi="Arial" w:cs="Arial"/>
          <w:sz w:val="22"/>
          <w:szCs w:val="22"/>
        </w:rPr>
      </w:pPr>
      <w:r w:rsidRPr="00307A16">
        <w:rPr>
          <w:rFonts w:ascii="Arial" w:hAnsi="Arial" w:cs="Arial"/>
          <w:sz w:val="22"/>
          <w:szCs w:val="22"/>
        </w:rPr>
        <w:t>The CRN</w:t>
      </w:r>
      <w:r w:rsidR="00011B7D" w:rsidRPr="00307A16">
        <w:rPr>
          <w:rFonts w:ascii="Arial" w:hAnsi="Arial" w:cs="Arial"/>
          <w:sz w:val="22"/>
          <w:szCs w:val="22"/>
        </w:rPr>
        <w:t xml:space="preserve"> is part of the NIHR and</w:t>
      </w:r>
      <w:r w:rsidRPr="00307A16">
        <w:rPr>
          <w:rFonts w:ascii="Arial" w:hAnsi="Arial" w:cs="Arial"/>
          <w:sz w:val="22"/>
          <w:szCs w:val="22"/>
        </w:rPr>
        <w:t xml:space="preserve"> helps deliver high quality research within the NHS and disseminates best practice nationally. </w:t>
      </w:r>
      <w:r w:rsidR="00011B7D" w:rsidRPr="00307A16">
        <w:rPr>
          <w:rFonts w:ascii="Arial" w:hAnsi="Arial" w:cs="Arial"/>
          <w:sz w:val="22"/>
          <w:szCs w:val="22"/>
        </w:rPr>
        <w:t xml:space="preserve">The </w:t>
      </w:r>
      <w:r w:rsidR="0049232E" w:rsidRPr="00307A16">
        <w:rPr>
          <w:rFonts w:ascii="Arial" w:hAnsi="Arial" w:cs="Arial"/>
          <w:sz w:val="22"/>
          <w:szCs w:val="22"/>
        </w:rPr>
        <w:t>N</w:t>
      </w:r>
      <w:r w:rsidR="00011B7D" w:rsidRPr="00307A16">
        <w:rPr>
          <w:rFonts w:ascii="Arial" w:hAnsi="Arial" w:cs="Arial"/>
          <w:sz w:val="22"/>
          <w:szCs w:val="22"/>
        </w:rPr>
        <w:t xml:space="preserve">etwork has </w:t>
      </w:r>
      <w:r w:rsidR="00205B24" w:rsidRPr="00307A16">
        <w:rPr>
          <w:rFonts w:ascii="Arial" w:hAnsi="Arial" w:cs="Arial"/>
          <w:sz w:val="22"/>
          <w:szCs w:val="22"/>
        </w:rPr>
        <w:t xml:space="preserve">rapidly </w:t>
      </w:r>
      <w:r w:rsidR="00011B7D" w:rsidRPr="00307A16">
        <w:rPr>
          <w:rFonts w:ascii="Arial" w:hAnsi="Arial" w:cs="Arial"/>
          <w:sz w:val="22"/>
          <w:szCs w:val="22"/>
        </w:rPr>
        <w:t>expanded its numbe</w:t>
      </w:r>
      <w:r w:rsidR="00205B24" w:rsidRPr="00307A16">
        <w:rPr>
          <w:rFonts w:ascii="Arial" w:hAnsi="Arial" w:cs="Arial"/>
          <w:sz w:val="22"/>
          <w:szCs w:val="22"/>
        </w:rPr>
        <w:t xml:space="preserve">r of </w:t>
      </w:r>
      <w:r w:rsidR="002A4D4C">
        <w:rPr>
          <w:rFonts w:ascii="Arial" w:hAnsi="Arial" w:cs="Arial"/>
          <w:sz w:val="22"/>
          <w:szCs w:val="22"/>
        </w:rPr>
        <w:t>children’s</w:t>
      </w:r>
      <w:r w:rsidR="002A4D4C" w:rsidRPr="00307A16">
        <w:rPr>
          <w:rFonts w:ascii="Arial" w:hAnsi="Arial" w:cs="Arial"/>
          <w:sz w:val="22"/>
          <w:szCs w:val="22"/>
        </w:rPr>
        <w:t xml:space="preserve"> </w:t>
      </w:r>
      <w:r w:rsidR="00205B24" w:rsidRPr="00307A16">
        <w:rPr>
          <w:rFonts w:ascii="Arial" w:hAnsi="Arial" w:cs="Arial"/>
          <w:sz w:val="22"/>
          <w:szCs w:val="22"/>
        </w:rPr>
        <w:t xml:space="preserve">studies </w:t>
      </w:r>
      <w:r w:rsidR="00011B7D" w:rsidRPr="00307A16">
        <w:rPr>
          <w:rFonts w:ascii="Arial" w:hAnsi="Arial" w:cs="Arial"/>
          <w:sz w:val="22"/>
          <w:szCs w:val="22"/>
        </w:rPr>
        <w:t>and steadily improved recruitment to time and target. Education and engagement of paediatricians in research is important to further improving quality and delivery of paediatric research.</w:t>
      </w:r>
    </w:p>
    <w:p w14:paraId="75CC092E" w14:textId="77777777" w:rsidR="00C35556" w:rsidRPr="00307A16" w:rsidRDefault="00C35556" w:rsidP="007515F8">
      <w:pPr>
        <w:spacing w:line="480" w:lineRule="auto"/>
        <w:jc w:val="both"/>
        <w:rPr>
          <w:rFonts w:ascii="Arial" w:hAnsi="Arial" w:cs="Arial"/>
          <w:sz w:val="22"/>
          <w:szCs w:val="22"/>
        </w:rPr>
      </w:pPr>
    </w:p>
    <w:p w14:paraId="577B1A42" w14:textId="7607DBA1" w:rsidR="009655C1" w:rsidRPr="00307A16" w:rsidRDefault="009655C1" w:rsidP="007515F8">
      <w:pPr>
        <w:spacing w:line="480" w:lineRule="auto"/>
        <w:rPr>
          <w:rFonts w:ascii="Arial" w:hAnsi="Arial" w:cs="Arial"/>
          <w:b/>
          <w:sz w:val="22"/>
          <w:szCs w:val="22"/>
        </w:rPr>
      </w:pPr>
      <w:r w:rsidRPr="00307A16">
        <w:rPr>
          <w:rFonts w:ascii="Arial" w:hAnsi="Arial" w:cs="Arial"/>
          <w:b/>
          <w:sz w:val="22"/>
          <w:szCs w:val="22"/>
        </w:rPr>
        <w:t>ACKNOWLEDGEMENTS</w:t>
      </w:r>
    </w:p>
    <w:p w14:paraId="0D036D0C" w14:textId="4B0602E7" w:rsidR="009655C1" w:rsidRPr="00307A16" w:rsidRDefault="009655C1" w:rsidP="007515F8">
      <w:pPr>
        <w:spacing w:line="480" w:lineRule="auto"/>
        <w:jc w:val="both"/>
        <w:rPr>
          <w:rFonts w:ascii="Arial" w:hAnsi="Arial" w:cs="Arial"/>
          <w:sz w:val="22"/>
          <w:szCs w:val="22"/>
        </w:rPr>
      </w:pPr>
      <w:r w:rsidRPr="00307A16">
        <w:rPr>
          <w:rFonts w:ascii="Arial" w:hAnsi="Arial" w:cs="Arial"/>
          <w:sz w:val="22"/>
          <w:szCs w:val="22"/>
        </w:rPr>
        <w:lastRenderedPageBreak/>
        <w:t>We recogni</w:t>
      </w:r>
      <w:r w:rsidR="00E732FE">
        <w:rPr>
          <w:rFonts w:ascii="Arial" w:hAnsi="Arial" w:cs="Arial"/>
          <w:sz w:val="22"/>
          <w:szCs w:val="22"/>
        </w:rPr>
        <w:t>s</w:t>
      </w:r>
      <w:r w:rsidRPr="00307A16">
        <w:rPr>
          <w:rFonts w:ascii="Arial" w:hAnsi="Arial" w:cs="Arial"/>
          <w:sz w:val="22"/>
          <w:szCs w:val="22"/>
        </w:rPr>
        <w:t xml:space="preserve">e the very significant support of multi-disciplinary </w:t>
      </w:r>
      <w:r w:rsidR="0049232E" w:rsidRPr="00307A16">
        <w:rPr>
          <w:rFonts w:ascii="Arial" w:hAnsi="Arial" w:cs="Arial"/>
          <w:sz w:val="22"/>
          <w:szCs w:val="22"/>
        </w:rPr>
        <w:t>colleagues</w:t>
      </w:r>
      <w:r w:rsidRPr="00307A16">
        <w:rPr>
          <w:rFonts w:ascii="Arial" w:hAnsi="Arial" w:cs="Arial"/>
          <w:sz w:val="22"/>
          <w:szCs w:val="22"/>
        </w:rPr>
        <w:t xml:space="preserve"> up and down the country in contributing to the enormous work involved in supporting NIHR CRN: Children, and the NIHR CRN itself.</w:t>
      </w:r>
      <w:r w:rsidR="00033F0A" w:rsidRPr="00307A16">
        <w:rPr>
          <w:rFonts w:ascii="Arial" w:hAnsi="Arial" w:cs="Arial"/>
          <w:sz w:val="22"/>
          <w:szCs w:val="22"/>
        </w:rPr>
        <w:t xml:space="preserve"> Specific thanks </w:t>
      </w:r>
      <w:r w:rsidR="00006E09" w:rsidRPr="00307A16">
        <w:rPr>
          <w:rFonts w:ascii="Arial" w:hAnsi="Arial" w:cs="Arial"/>
          <w:sz w:val="22"/>
          <w:szCs w:val="22"/>
        </w:rPr>
        <w:t xml:space="preserve">to </w:t>
      </w:r>
      <w:r w:rsidR="00BF2BED" w:rsidRPr="00307A16">
        <w:rPr>
          <w:rFonts w:ascii="Arial" w:hAnsi="Arial" w:cs="Arial"/>
          <w:sz w:val="22"/>
          <w:szCs w:val="22"/>
        </w:rPr>
        <w:t>Mr.</w:t>
      </w:r>
      <w:r w:rsidR="00033F0A" w:rsidRPr="00307A16">
        <w:rPr>
          <w:rFonts w:ascii="Arial" w:hAnsi="Arial" w:cs="Arial"/>
          <w:sz w:val="22"/>
          <w:szCs w:val="22"/>
        </w:rPr>
        <w:t xml:space="preserve"> Khaja Ahmed for support in data summary acquisition.</w:t>
      </w:r>
      <w:r w:rsidR="00006E09" w:rsidRPr="00307A16">
        <w:rPr>
          <w:rFonts w:ascii="Arial" w:hAnsi="Arial" w:cs="Arial"/>
          <w:sz w:val="22"/>
          <w:szCs w:val="22"/>
        </w:rPr>
        <w:t xml:space="preserve"> All data relating to recruitment and number of studies </w:t>
      </w:r>
      <w:r w:rsidR="007A7FED" w:rsidRPr="00307A16">
        <w:rPr>
          <w:rFonts w:ascii="Arial" w:hAnsi="Arial" w:cs="Arial"/>
          <w:sz w:val="22"/>
          <w:szCs w:val="22"/>
        </w:rPr>
        <w:t>ha</w:t>
      </w:r>
      <w:r w:rsidR="007A7FED">
        <w:rPr>
          <w:rFonts w:ascii="Arial" w:hAnsi="Arial" w:cs="Arial"/>
          <w:sz w:val="22"/>
          <w:szCs w:val="22"/>
        </w:rPr>
        <w:t>ve</w:t>
      </w:r>
      <w:r w:rsidR="007A7FED" w:rsidRPr="00307A16">
        <w:rPr>
          <w:rFonts w:ascii="Arial" w:hAnsi="Arial" w:cs="Arial"/>
          <w:sz w:val="22"/>
          <w:szCs w:val="22"/>
        </w:rPr>
        <w:t xml:space="preserve"> </w:t>
      </w:r>
      <w:r w:rsidR="00006E09" w:rsidRPr="00307A16">
        <w:rPr>
          <w:rFonts w:ascii="Arial" w:hAnsi="Arial" w:cs="Arial"/>
          <w:sz w:val="22"/>
          <w:szCs w:val="22"/>
        </w:rPr>
        <w:t xml:space="preserve">been used with permission from the NIHR CRN Co-ordinating Centre. </w:t>
      </w:r>
    </w:p>
    <w:p w14:paraId="69EAED17" w14:textId="77777777" w:rsidR="00C35556" w:rsidRPr="00307A16" w:rsidRDefault="00C35556" w:rsidP="007515F8">
      <w:pPr>
        <w:spacing w:line="480" w:lineRule="auto"/>
        <w:jc w:val="both"/>
        <w:rPr>
          <w:rFonts w:ascii="Arial" w:hAnsi="Arial" w:cs="Arial"/>
          <w:sz w:val="22"/>
          <w:szCs w:val="22"/>
        </w:rPr>
      </w:pPr>
    </w:p>
    <w:p w14:paraId="49A9D678" w14:textId="35370906" w:rsidR="00191CB8" w:rsidRPr="00307A16" w:rsidRDefault="00075196" w:rsidP="007515F8">
      <w:pPr>
        <w:spacing w:line="480" w:lineRule="auto"/>
        <w:rPr>
          <w:rFonts w:ascii="Arial" w:hAnsi="Arial" w:cs="Arial"/>
          <w:b/>
          <w:sz w:val="22"/>
          <w:szCs w:val="22"/>
        </w:rPr>
      </w:pPr>
      <w:r w:rsidRPr="00307A16">
        <w:rPr>
          <w:rFonts w:ascii="Arial" w:hAnsi="Arial" w:cs="Arial"/>
          <w:b/>
          <w:sz w:val="22"/>
          <w:szCs w:val="22"/>
        </w:rPr>
        <w:t>REFERENCES</w:t>
      </w:r>
    </w:p>
    <w:p w14:paraId="13AB6CDD" w14:textId="04063708" w:rsidR="006A2029" w:rsidRPr="006519CD" w:rsidRDefault="006A2029" w:rsidP="007515F8">
      <w:pPr>
        <w:pStyle w:val="Bibliography"/>
        <w:spacing w:line="480" w:lineRule="auto"/>
        <w:ind w:left="0" w:firstLine="0"/>
        <w:rPr>
          <w:rFonts w:ascii="Arial" w:hAnsi="Arial" w:cs="Arial"/>
          <w:sz w:val="22"/>
          <w:szCs w:val="22"/>
        </w:rPr>
      </w:pPr>
      <w:r w:rsidRPr="00CE7DBB">
        <w:rPr>
          <w:rFonts w:ascii="Arial" w:hAnsi="Arial" w:cs="Arial"/>
          <w:color w:val="FF0000"/>
          <w:sz w:val="22"/>
          <w:szCs w:val="22"/>
          <w:highlight w:val="yellow"/>
        </w:rPr>
        <w:fldChar w:fldCharType="begin"/>
      </w:r>
      <w:r w:rsidRPr="00CE7DBB">
        <w:rPr>
          <w:rFonts w:ascii="Arial" w:hAnsi="Arial" w:cs="Arial"/>
          <w:color w:val="FF0000"/>
          <w:sz w:val="22"/>
          <w:szCs w:val="22"/>
          <w:highlight w:val="yellow"/>
        </w:rPr>
        <w:instrText xml:space="preserve"> ADDIN ZOTERO_BIBL {"custom":[]} CSL_BIBLIOGRAPHY </w:instrText>
      </w:r>
      <w:r w:rsidRPr="00CE7DBB">
        <w:rPr>
          <w:rFonts w:ascii="Arial" w:hAnsi="Arial" w:cs="Arial"/>
          <w:color w:val="FF0000"/>
          <w:sz w:val="22"/>
          <w:szCs w:val="22"/>
          <w:highlight w:val="yellow"/>
        </w:rPr>
        <w:fldChar w:fldCharType="separate"/>
      </w:r>
      <w:r w:rsidRPr="006519CD">
        <w:rPr>
          <w:rFonts w:ascii="Arial" w:hAnsi="Arial" w:cs="Arial"/>
          <w:sz w:val="22"/>
          <w:szCs w:val="22"/>
        </w:rPr>
        <w:t xml:space="preserve">1. </w:t>
      </w:r>
      <w:r w:rsidRPr="006519CD">
        <w:rPr>
          <w:rFonts w:ascii="Arial" w:hAnsi="Arial" w:cs="Arial"/>
          <w:sz w:val="22"/>
          <w:szCs w:val="22"/>
        </w:rPr>
        <w:tab/>
        <w:t>The National Institute for Health Research. 1.1 The National Institute for Health Research Version 12</w:t>
      </w:r>
      <w:r w:rsidR="00C74E7A" w:rsidRPr="006519CD">
        <w:rPr>
          <w:rFonts w:ascii="Arial" w:hAnsi="Arial" w:cs="Arial"/>
          <w:sz w:val="22"/>
          <w:szCs w:val="22"/>
        </w:rPr>
        <w:t>, July</w:t>
      </w:r>
      <w:r w:rsidRPr="006519CD">
        <w:rPr>
          <w:rFonts w:ascii="Arial" w:hAnsi="Arial" w:cs="Arial"/>
          <w:sz w:val="22"/>
          <w:szCs w:val="22"/>
        </w:rPr>
        <w:t xml:space="preserve"> 2015</w:t>
      </w:r>
      <w:r w:rsidR="00C670E9" w:rsidRPr="006519CD">
        <w:rPr>
          <w:rFonts w:ascii="Arial" w:hAnsi="Arial" w:cs="Arial"/>
          <w:sz w:val="22"/>
          <w:szCs w:val="22"/>
        </w:rPr>
        <w:t xml:space="preserve">. Available from: </w:t>
      </w:r>
      <w:r w:rsidRPr="006519CD">
        <w:rPr>
          <w:rFonts w:ascii="Arial" w:hAnsi="Arial" w:cs="Arial"/>
          <w:sz w:val="22"/>
          <w:szCs w:val="22"/>
        </w:rPr>
        <w:t>http://www.nihr.ac.uk/documents/about-NIHR/Briefing-Documents/1.1-The-National-Institute-for-Health-Research.pdf</w:t>
      </w:r>
      <w:r w:rsidR="00C74E7A" w:rsidRPr="006519CD">
        <w:rPr>
          <w:rFonts w:ascii="Arial" w:hAnsi="Arial" w:cs="Arial"/>
          <w:sz w:val="22"/>
          <w:szCs w:val="22"/>
        </w:rPr>
        <w:t xml:space="preserve"> (accessed August 2016)</w:t>
      </w:r>
    </w:p>
    <w:p w14:paraId="327C1B40" w14:textId="689ADF01" w:rsidR="006A2029" w:rsidRPr="006519CD" w:rsidRDefault="006A2029" w:rsidP="007515F8">
      <w:pPr>
        <w:pStyle w:val="Bibliography"/>
        <w:spacing w:line="480" w:lineRule="auto"/>
        <w:ind w:left="0" w:firstLine="0"/>
        <w:rPr>
          <w:rFonts w:ascii="Arial" w:hAnsi="Arial" w:cs="Arial"/>
          <w:sz w:val="22"/>
          <w:szCs w:val="22"/>
        </w:rPr>
      </w:pPr>
      <w:r w:rsidRPr="006519CD">
        <w:rPr>
          <w:rFonts w:ascii="Arial" w:hAnsi="Arial" w:cs="Arial"/>
          <w:sz w:val="22"/>
          <w:szCs w:val="22"/>
        </w:rPr>
        <w:t xml:space="preserve">2. </w:t>
      </w:r>
      <w:r w:rsidRPr="006519CD">
        <w:rPr>
          <w:rFonts w:ascii="Arial" w:hAnsi="Arial" w:cs="Arial"/>
          <w:sz w:val="22"/>
          <w:szCs w:val="22"/>
        </w:rPr>
        <w:tab/>
      </w:r>
      <w:r w:rsidR="00C74E7A" w:rsidRPr="006519CD">
        <w:rPr>
          <w:rFonts w:ascii="Arial" w:hAnsi="Arial" w:cs="Arial"/>
          <w:sz w:val="22"/>
          <w:szCs w:val="22"/>
        </w:rPr>
        <w:t xml:space="preserve">The National Institute for Health Research. 4.1 </w:t>
      </w:r>
      <w:r w:rsidRPr="006519CD">
        <w:rPr>
          <w:rFonts w:ascii="Arial" w:hAnsi="Arial" w:cs="Arial"/>
          <w:sz w:val="22"/>
          <w:szCs w:val="22"/>
        </w:rPr>
        <w:t>Clinical Research Network, version 11</w:t>
      </w:r>
      <w:r w:rsidR="00C74E7A" w:rsidRPr="006519CD">
        <w:rPr>
          <w:rFonts w:ascii="Arial" w:hAnsi="Arial" w:cs="Arial"/>
          <w:sz w:val="22"/>
          <w:szCs w:val="22"/>
        </w:rPr>
        <w:t>, July 2015</w:t>
      </w:r>
      <w:r w:rsidRPr="006519CD">
        <w:rPr>
          <w:rFonts w:ascii="Arial" w:hAnsi="Arial" w:cs="Arial"/>
          <w:sz w:val="22"/>
          <w:szCs w:val="22"/>
        </w:rPr>
        <w:t xml:space="preserve">. </w:t>
      </w:r>
      <w:r w:rsidR="00C670E9" w:rsidRPr="006519CD">
        <w:rPr>
          <w:rFonts w:ascii="Arial" w:hAnsi="Arial" w:cs="Arial"/>
          <w:sz w:val="22"/>
          <w:szCs w:val="22"/>
        </w:rPr>
        <w:t xml:space="preserve">Available from: </w:t>
      </w:r>
      <w:r w:rsidRPr="006519CD">
        <w:rPr>
          <w:rFonts w:ascii="Arial" w:hAnsi="Arial" w:cs="Arial"/>
          <w:sz w:val="22"/>
          <w:szCs w:val="22"/>
        </w:rPr>
        <w:t>http://www.nihr.ac.uk/documents/about-NIHR/Briefing-Documents/4.1-Clinical-Research-Network.pdf</w:t>
      </w:r>
      <w:r w:rsidR="00C74E7A" w:rsidRPr="006519CD">
        <w:rPr>
          <w:rFonts w:ascii="Arial" w:hAnsi="Arial" w:cs="Arial"/>
          <w:sz w:val="22"/>
          <w:szCs w:val="22"/>
        </w:rPr>
        <w:t xml:space="preserve"> (accessed August 2016)</w:t>
      </w:r>
    </w:p>
    <w:p w14:paraId="5E2E2C3B" w14:textId="5255DB2E" w:rsidR="006A2029" w:rsidRPr="006519CD" w:rsidRDefault="006A2029" w:rsidP="007515F8">
      <w:pPr>
        <w:pStyle w:val="Bibliography"/>
        <w:spacing w:line="480" w:lineRule="auto"/>
        <w:ind w:left="0" w:firstLine="0"/>
        <w:rPr>
          <w:rFonts w:ascii="Arial" w:hAnsi="Arial" w:cs="Arial"/>
          <w:sz w:val="22"/>
          <w:szCs w:val="22"/>
        </w:rPr>
      </w:pPr>
      <w:r w:rsidRPr="006519CD">
        <w:rPr>
          <w:rFonts w:ascii="Arial" w:hAnsi="Arial" w:cs="Arial"/>
          <w:sz w:val="22"/>
          <w:szCs w:val="22"/>
        </w:rPr>
        <w:t xml:space="preserve">3. </w:t>
      </w:r>
      <w:r w:rsidRPr="006519CD">
        <w:rPr>
          <w:rFonts w:ascii="Arial" w:hAnsi="Arial" w:cs="Arial"/>
          <w:sz w:val="22"/>
          <w:szCs w:val="22"/>
        </w:rPr>
        <w:tab/>
        <w:t xml:space="preserve">The National Institute for Health Research. The NIHR CRN Open Data Platform. </w:t>
      </w:r>
      <w:r w:rsidR="00C670E9" w:rsidRPr="006519CD">
        <w:rPr>
          <w:rFonts w:ascii="Arial" w:hAnsi="Arial" w:cs="Arial"/>
          <w:sz w:val="22"/>
          <w:szCs w:val="22"/>
        </w:rPr>
        <w:t>Available from:</w:t>
      </w:r>
      <w:r w:rsidR="00E732FE">
        <w:rPr>
          <w:rFonts w:ascii="Arial" w:hAnsi="Arial" w:cs="Arial"/>
          <w:sz w:val="22"/>
          <w:szCs w:val="22"/>
        </w:rPr>
        <w:t xml:space="preserve"> resource-centre.nihr.ac.uk/home/studydata</w:t>
      </w:r>
      <w:r w:rsidR="00C74E7A" w:rsidRPr="006519CD">
        <w:rPr>
          <w:rStyle w:val="Hyperlink"/>
          <w:rFonts w:ascii="Arial" w:hAnsi="Arial" w:cs="Arial"/>
          <w:color w:val="auto"/>
          <w:sz w:val="22"/>
          <w:szCs w:val="22"/>
          <w:u w:val="none"/>
        </w:rPr>
        <w:t xml:space="preserve"> (accessed August 2016, requires password)</w:t>
      </w:r>
    </w:p>
    <w:p w14:paraId="2C63C64D" w14:textId="7D79CFC5" w:rsidR="006A2029" w:rsidRPr="006519CD" w:rsidRDefault="006A2029" w:rsidP="007515F8">
      <w:pPr>
        <w:pStyle w:val="Bibliography"/>
        <w:spacing w:line="480" w:lineRule="auto"/>
        <w:ind w:left="0" w:firstLine="0"/>
        <w:rPr>
          <w:rFonts w:ascii="Arial" w:hAnsi="Arial" w:cs="Arial"/>
          <w:sz w:val="22"/>
          <w:szCs w:val="22"/>
        </w:rPr>
      </w:pPr>
      <w:r w:rsidRPr="006519CD">
        <w:rPr>
          <w:rFonts w:ascii="Arial" w:hAnsi="Arial" w:cs="Arial"/>
          <w:sz w:val="22"/>
          <w:szCs w:val="22"/>
        </w:rPr>
        <w:t xml:space="preserve">4. </w:t>
      </w:r>
      <w:r w:rsidRPr="006519CD">
        <w:rPr>
          <w:rFonts w:ascii="Arial" w:hAnsi="Arial" w:cs="Arial"/>
          <w:sz w:val="22"/>
          <w:szCs w:val="22"/>
        </w:rPr>
        <w:tab/>
        <w:t xml:space="preserve">Ramanan AV, Dick AD, Benton D, et al. A randomised controlled trial of the clinical effectiveness, safety and cost-effectiveness of adalimumab in combination with methotrexate for the treatment of juvenile idiopathic arthritis associated uveitis (SYCAMORE Trial). </w:t>
      </w:r>
      <w:r w:rsidRPr="006519CD">
        <w:rPr>
          <w:rFonts w:ascii="Arial" w:hAnsi="Arial" w:cs="Arial"/>
          <w:i/>
          <w:sz w:val="22"/>
          <w:szCs w:val="22"/>
        </w:rPr>
        <w:t>Trials</w:t>
      </w:r>
      <w:r w:rsidRPr="006519CD">
        <w:rPr>
          <w:rFonts w:ascii="Arial" w:hAnsi="Arial" w:cs="Arial"/>
          <w:sz w:val="22"/>
          <w:szCs w:val="22"/>
        </w:rPr>
        <w:t xml:space="preserve"> 2014;15:14</w:t>
      </w:r>
    </w:p>
    <w:p w14:paraId="0ABB3CE9" w14:textId="2D66A897" w:rsidR="006A2029" w:rsidRPr="006519CD" w:rsidRDefault="006A2029" w:rsidP="007515F8">
      <w:pPr>
        <w:autoSpaceDE w:val="0"/>
        <w:autoSpaceDN w:val="0"/>
        <w:adjustRightInd w:val="0"/>
        <w:spacing w:after="240" w:line="480" w:lineRule="auto"/>
        <w:rPr>
          <w:rFonts w:ascii="Arial" w:hAnsi="Arial" w:cs="Arial"/>
          <w:sz w:val="22"/>
          <w:szCs w:val="22"/>
        </w:rPr>
      </w:pPr>
      <w:r w:rsidRPr="006519CD">
        <w:rPr>
          <w:rFonts w:ascii="Arial" w:hAnsi="Arial" w:cs="Arial"/>
          <w:sz w:val="22"/>
          <w:szCs w:val="22"/>
        </w:rPr>
        <w:t xml:space="preserve">5.  </w:t>
      </w:r>
      <w:r w:rsidRPr="006519CD">
        <w:rPr>
          <w:rFonts w:ascii="Arial" w:hAnsi="Arial" w:cs="Arial"/>
          <w:sz w:val="22"/>
          <w:szCs w:val="22"/>
          <w:lang w:val="en-GB"/>
        </w:rPr>
        <w:t xml:space="preserve"> Olski TM, Lampus SF, Gherarducci G, et al. Three years of paediatric regulation in the European Union. </w:t>
      </w:r>
      <w:r w:rsidRPr="006519CD">
        <w:rPr>
          <w:rFonts w:ascii="Arial" w:hAnsi="Arial" w:cs="Arial"/>
          <w:i/>
          <w:sz w:val="22"/>
          <w:szCs w:val="22"/>
          <w:lang w:val="en-GB"/>
        </w:rPr>
        <w:t>Eur J Clin Pharmacol</w:t>
      </w:r>
      <w:r w:rsidRPr="006519CD">
        <w:rPr>
          <w:rFonts w:ascii="Arial" w:hAnsi="Arial" w:cs="Arial"/>
          <w:sz w:val="22"/>
          <w:szCs w:val="22"/>
          <w:lang w:val="en-GB"/>
        </w:rPr>
        <w:t xml:space="preserve"> 2011;67:245-52</w:t>
      </w:r>
    </w:p>
    <w:p w14:paraId="4C1C6E51" w14:textId="40CD9482" w:rsidR="006A2029" w:rsidRPr="006519CD" w:rsidRDefault="006A2029" w:rsidP="007515F8">
      <w:pPr>
        <w:pStyle w:val="Bibliography"/>
        <w:spacing w:line="480" w:lineRule="auto"/>
        <w:ind w:left="0" w:firstLine="0"/>
        <w:rPr>
          <w:rFonts w:ascii="Arial" w:hAnsi="Arial" w:cs="Arial"/>
          <w:sz w:val="22"/>
          <w:szCs w:val="22"/>
        </w:rPr>
      </w:pPr>
      <w:r w:rsidRPr="006519CD">
        <w:rPr>
          <w:rFonts w:ascii="Arial" w:hAnsi="Arial" w:cs="Arial"/>
          <w:sz w:val="22"/>
          <w:szCs w:val="22"/>
        </w:rPr>
        <w:t>6.</w:t>
      </w:r>
      <w:r w:rsidRPr="006519CD">
        <w:rPr>
          <w:rFonts w:ascii="Arial" w:hAnsi="Arial" w:cs="Arial"/>
          <w:sz w:val="22"/>
          <w:szCs w:val="22"/>
        </w:rPr>
        <w:tab/>
        <w:t xml:space="preserve">Smyth RL, Edwards AD. Medicines for children. </w:t>
      </w:r>
      <w:r w:rsidRPr="006519CD">
        <w:rPr>
          <w:rFonts w:ascii="Arial" w:hAnsi="Arial" w:cs="Arial"/>
          <w:i/>
          <w:sz w:val="22"/>
          <w:szCs w:val="22"/>
        </w:rPr>
        <w:t>Lancet</w:t>
      </w:r>
      <w:r w:rsidRPr="006519CD">
        <w:rPr>
          <w:rFonts w:ascii="Arial" w:hAnsi="Arial" w:cs="Arial"/>
          <w:sz w:val="22"/>
          <w:szCs w:val="22"/>
        </w:rPr>
        <w:t xml:space="preserve"> 2006</w:t>
      </w:r>
      <w:r w:rsidR="00C74E7A" w:rsidRPr="006519CD">
        <w:rPr>
          <w:rFonts w:ascii="Arial" w:hAnsi="Arial" w:cs="Arial"/>
          <w:sz w:val="22"/>
          <w:szCs w:val="22"/>
        </w:rPr>
        <w:t>;648</w:t>
      </w:r>
      <w:r w:rsidRPr="006519CD">
        <w:rPr>
          <w:rFonts w:ascii="Arial" w:hAnsi="Arial" w:cs="Arial"/>
          <w:sz w:val="22"/>
          <w:szCs w:val="22"/>
        </w:rPr>
        <w:t xml:space="preserve">:645 </w:t>
      </w:r>
    </w:p>
    <w:p w14:paraId="79C0F1B0" w14:textId="511BD14E" w:rsidR="006A2029" w:rsidRPr="006519CD" w:rsidRDefault="006A2029" w:rsidP="007515F8">
      <w:pPr>
        <w:pStyle w:val="Bibliography"/>
        <w:spacing w:line="480" w:lineRule="auto"/>
        <w:ind w:left="0" w:firstLine="0"/>
        <w:rPr>
          <w:rFonts w:ascii="Arial" w:hAnsi="Arial" w:cs="Arial"/>
          <w:sz w:val="22"/>
          <w:szCs w:val="22"/>
        </w:rPr>
      </w:pPr>
      <w:r w:rsidRPr="006519CD">
        <w:rPr>
          <w:rFonts w:ascii="Arial" w:hAnsi="Arial" w:cs="Arial"/>
          <w:sz w:val="22"/>
          <w:szCs w:val="22"/>
        </w:rPr>
        <w:lastRenderedPageBreak/>
        <w:t xml:space="preserve">7. </w:t>
      </w:r>
      <w:r w:rsidRPr="006519CD">
        <w:rPr>
          <w:rFonts w:ascii="Arial" w:hAnsi="Arial" w:cs="Arial"/>
          <w:sz w:val="22"/>
          <w:szCs w:val="22"/>
        </w:rPr>
        <w:tab/>
        <w:t xml:space="preserve">Attar SG, Poustie V, Beresford MW. The Medicines for Children Research Network: building on current success as we move forward. </w:t>
      </w:r>
      <w:r w:rsidRPr="006519CD">
        <w:rPr>
          <w:rFonts w:ascii="Arial" w:hAnsi="Arial" w:cs="Arial"/>
          <w:i/>
          <w:sz w:val="22"/>
          <w:szCs w:val="22"/>
        </w:rPr>
        <w:t>Clin Investig</w:t>
      </w:r>
      <w:r w:rsidR="00C74E7A" w:rsidRPr="006519CD">
        <w:rPr>
          <w:rFonts w:ascii="Arial" w:hAnsi="Arial" w:cs="Arial"/>
          <w:i/>
          <w:sz w:val="22"/>
          <w:szCs w:val="22"/>
        </w:rPr>
        <w:t xml:space="preserve"> </w:t>
      </w:r>
      <w:r w:rsidRPr="006519CD">
        <w:rPr>
          <w:rFonts w:ascii="Arial" w:hAnsi="Arial" w:cs="Arial"/>
          <w:sz w:val="22"/>
          <w:szCs w:val="22"/>
        </w:rPr>
        <w:t>2014</w:t>
      </w:r>
      <w:r w:rsidR="00C74E7A" w:rsidRPr="006519CD">
        <w:rPr>
          <w:rFonts w:ascii="Arial" w:hAnsi="Arial" w:cs="Arial"/>
          <w:sz w:val="22"/>
          <w:szCs w:val="22"/>
        </w:rPr>
        <w:t>;</w:t>
      </w:r>
      <w:r w:rsidRPr="006519CD">
        <w:rPr>
          <w:rFonts w:ascii="Arial" w:hAnsi="Arial" w:cs="Arial"/>
          <w:sz w:val="22"/>
          <w:szCs w:val="22"/>
        </w:rPr>
        <w:t xml:space="preserve">4(5):399–405 </w:t>
      </w:r>
    </w:p>
    <w:p w14:paraId="7A04EC16" w14:textId="33398796" w:rsidR="006A2029" w:rsidRPr="006519CD" w:rsidRDefault="006A2029" w:rsidP="007515F8">
      <w:pPr>
        <w:pStyle w:val="Bibliography"/>
        <w:spacing w:line="480" w:lineRule="auto"/>
        <w:ind w:left="0" w:firstLine="0"/>
        <w:rPr>
          <w:rFonts w:ascii="Arial" w:hAnsi="Arial" w:cs="Arial"/>
          <w:sz w:val="22"/>
          <w:szCs w:val="22"/>
        </w:rPr>
      </w:pPr>
      <w:r w:rsidRPr="006519CD">
        <w:rPr>
          <w:rFonts w:ascii="Arial" w:hAnsi="Arial" w:cs="Arial"/>
          <w:sz w:val="22"/>
          <w:szCs w:val="22"/>
        </w:rPr>
        <w:t xml:space="preserve">8. </w:t>
      </w:r>
      <w:r w:rsidRPr="006519CD">
        <w:rPr>
          <w:rFonts w:ascii="Arial" w:hAnsi="Arial" w:cs="Arial"/>
          <w:sz w:val="22"/>
          <w:szCs w:val="22"/>
        </w:rPr>
        <w:tab/>
      </w:r>
      <w:r w:rsidRPr="006519CD">
        <w:rPr>
          <w:rFonts w:ascii="Arial" w:hAnsi="Arial" w:cs="Arial"/>
          <w:sz w:val="22"/>
          <w:szCs w:val="22"/>
          <w:shd w:val="clear" w:color="auto" w:fill="FFFFFF"/>
        </w:rPr>
        <w:t>Rose AC, Hoff WV, Beresford MW, et al. NIHR Medicines for Children Research Network: improving children's health through clinical research.</w:t>
      </w:r>
      <w:r w:rsidRPr="006519CD">
        <w:rPr>
          <w:rStyle w:val="apple-converted-space"/>
          <w:rFonts w:ascii="Arial" w:hAnsi="Arial" w:cs="Arial"/>
          <w:sz w:val="22"/>
          <w:szCs w:val="22"/>
          <w:shd w:val="clear" w:color="auto" w:fill="FFFFFF"/>
        </w:rPr>
        <w:t> </w:t>
      </w:r>
      <w:r w:rsidRPr="006519CD">
        <w:rPr>
          <w:rStyle w:val="Emphasis"/>
          <w:rFonts w:ascii="Arial" w:hAnsi="Arial" w:cs="Arial"/>
          <w:sz w:val="22"/>
          <w:szCs w:val="22"/>
          <w:shd w:val="clear" w:color="auto" w:fill="FFFFFF"/>
        </w:rPr>
        <w:t>Expert Rev Clin Pharmacol</w:t>
      </w:r>
      <w:r w:rsidRPr="006519CD">
        <w:rPr>
          <w:rFonts w:ascii="Arial" w:hAnsi="Arial" w:cs="Arial"/>
          <w:sz w:val="22"/>
          <w:szCs w:val="22"/>
          <w:shd w:val="clear" w:color="auto" w:fill="FFFFFF"/>
        </w:rPr>
        <w:t xml:space="preserve"> 2013</w:t>
      </w:r>
      <w:r w:rsidR="00C74E7A" w:rsidRPr="006519CD">
        <w:rPr>
          <w:rFonts w:ascii="Arial" w:hAnsi="Arial" w:cs="Arial"/>
          <w:sz w:val="22"/>
          <w:szCs w:val="22"/>
          <w:shd w:val="clear" w:color="auto" w:fill="FFFFFF"/>
        </w:rPr>
        <w:t>;</w:t>
      </w:r>
      <w:r w:rsidRPr="006519CD">
        <w:rPr>
          <w:rFonts w:ascii="Arial" w:hAnsi="Arial" w:cs="Arial"/>
          <w:sz w:val="22"/>
          <w:szCs w:val="22"/>
          <w:shd w:val="clear" w:color="auto" w:fill="FFFFFF"/>
        </w:rPr>
        <w:t>6(5):581–7  </w:t>
      </w:r>
    </w:p>
    <w:p w14:paraId="29E211A3" w14:textId="3B56D225" w:rsidR="006A2029" w:rsidRPr="006519CD" w:rsidRDefault="006A2029" w:rsidP="007515F8">
      <w:pPr>
        <w:pStyle w:val="Bibliography"/>
        <w:spacing w:line="480" w:lineRule="auto"/>
        <w:ind w:left="0" w:firstLine="0"/>
        <w:rPr>
          <w:rFonts w:ascii="Arial" w:hAnsi="Arial" w:cs="Arial"/>
          <w:sz w:val="22"/>
          <w:szCs w:val="22"/>
        </w:rPr>
      </w:pPr>
      <w:r w:rsidRPr="006519CD">
        <w:rPr>
          <w:rFonts w:ascii="Arial" w:hAnsi="Arial" w:cs="Arial"/>
          <w:sz w:val="22"/>
          <w:szCs w:val="22"/>
        </w:rPr>
        <w:t xml:space="preserve">9. </w:t>
      </w:r>
      <w:r w:rsidRPr="006519CD">
        <w:rPr>
          <w:rFonts w:ascii="Arial" w:hAnsi="Arial" w:cs="Arial"/>
          <w:sz w:val="22"/>
          <w:szCs w:val="22"/>
        </w:rPr>
        <w:tab/>
        <w:t>The National Institute for Health Research. Clinical Studies Groups: Supporting the clinical research community</w:t>
      </w:r>
      <w:r w:rsidR="00C670E9" w:rsidRPr="006519CD">
        <w:rPr>
          <w:rFonts w:ascii="Arial" w:hAnsi="Arial" w:cs="Arial"/>
          <w:sz w:val="22"/>
          <w:szCs w:val="22"/>
        </w:rPr>
        <w:t>.</w:t>
      </w:r>
      <w:r w:rsidRPr="006519CD">
        <w:rPr>
          <w:rFonts w:ascii="Arial" w:hAnsi="Arial" w:cs="Arial"/>
          <w:sz w:val="22"/>
          <w:szCs w:val="22"/>
        </w:rPr>
        <w:t xml:space="preserve"> Available from: https://www.crn.nihr.ac.uk/resources/clinical-studies-group-brochure/</w:t>
      </w:r>
      <w:r w:rsidR="00C670E9" w:rsidRPr="006519CD">
        <w:rPr>
          <w:rFonts w:ascii="Arial" w:hAnsi="Arial" w:cs="Arial"/>
          <w:sz w:val="22"/>
          <w:szCs w:val="22"/>
        </w:rPr>
        <w:t xml:space="preserve"> (accessed August 2016)</w:t>
      </w:r>
    </w:p>
    <w:p w14:paraId="60CB679D" w14:textId="7670EE82" w:rsidR="006A2029" w:rsidRPr="006519CD" w:rsidRDefault="006A2029" w:rsidP="007515F8">
      <w:pPr>
        <w:pStyle w:val="Bibliography"/>
        <w:spacing w:line="480" w:lineRule="auto"/>
        <w:ind w:left="0" w:firstLine="0"/>
        <w:rPr>
          <w:rFonts w:ascii="Arial" w:hAnsi="Arial" w:cs="Arial"/>
          <w:sz w:val="22"/>
          <w:szCs w:val="22"/>
        </w:rPr>
      </w:pPr>
      <w:r w:rsidRPr="006519CD">
        <w:rPr>
          <w:rFonts w:ascii="Arial" w:hAnsi="Arial" w:cs="Arial"/>
          <w:sz w:val="22"/>
          <w:szCs w:val="22"/>
        </w:rPr>
        <w:t xml:space="preserve">10. </w:t>
      </w:r>
      <w:r w:rsidRPr="006519CD">
        <w:rPr>
          <w:rFonts w:ascii="Arial" w:hAnsi="Arial" w:cs="Arial"/>
          <w:sz w:val="22"/>
          <w:szCs w:val="22"/>
        </w:rPr>
        <w:tab/>
        <w:t>National Children’s Bureau Research Centre. Evaluation of Consumer Involvement in the NIHR Clinical Research Network: Children</w:t>
      </w:r>
      <w:r w:rsidR="00C670E9" w:rsidRPr="006519CD">
        <w:rPr>
          <w:rFonts w:ascii="Arial" w:hAnsi="Arial" w:cs="Arial"/>
          <w:sz w:val="22"/>
          <w:szCs w:val="22"/>
        </w:rPr>
        <w:t>, December</w:t>
      </w:r>
      <w:r w:rsidRPr="006519CD">
        <w:rPr>
          <w:rFonts w:ascii="Arial" w:hAnsi="Arial" w:cs="Arial"/>
          <w:sz w:val="22"/>
          <w:szCs w:val="22"/>
        </w:rPr>
        <w:t xml:space="preserve">  2014. Available from: https://www.crn.nihr.ac.uk/wp-content/uploads/CRN%20Children%20CI%20summary%20evaluation%20report%20January%202015%20copy.pdf</w:t>
      </w:r>
      <w:r w:rsidR="00C670E9" w:rsidRPr="006519CD">
        <w:rPr>
          <w:rFonts w:ascii="Arial" w:hAnsi="Arial" w:cs="Arial"/>
          <w:sz w:val="22"/>
          <w:szCs w:val="22"/>
        </w:rPr>
        <w:t xml:space="preserve"> (accessed August 2016)</w:t>
      </w:r>
    </w:p>
    <w:p w14:paraId="7652E439" w14:textId="2DAB28F4" w:rsidR="006A2029" w:rsidRPr="006519CD" w:rsidRDefault="006A2029" w:rsidP="007515F8">
      <w:pPr>
        <w:pStyle w:val="Bibliography"/>
        <w:spacing w:line="480" w:lineRule="auto"/>
        <w:ind w:left="0" w:firstLine="0"/>
        <w:rPr>
          <w:rFonts w:ascii="Arial" w:hAnsi="Arial" w:cs="Arial"/>
          <w:sz w:val="22"/>
          <w:szCs w:val="22"/>
        </w:rPr>
      </w:pPr>
      <w:r w:rsidRPr="006519CD">
        <w:rPr>
          <w:rFonts w:ascii="Arial" w:hAnsi="Arial" w:cs="Arial"/>
          <w:sz w:val="22"/>
          <w:szCs w:val="22"/>
        </w:rPr>
        <w:t xml:space="preserve">11. </w:t>
      </w:r>
      <w:r w:rsidRPr="006519CD">
        <w:rPr>
          <w:rFonts w:ascii="Arial" w:hAnsi="Arial" w:cs="Arial"/>
          <w:sz w:val="22"/>
          <w:szCs w:val="22"/>
        </w:rPr>
        <w:tab/>
        <w:t>European Medicines Agency. European Network of Paediatric Research at the European Medicines Agency (Enpr-EMA). Available from: http://www.ema.europa.eu/ema/index.jsp?curl=pages/partners_and_networks/general/general_content_000303.jsp&amp;mid=WC0b01ac05801df74a</w:t>
      </w:r>
      <w:r w:rsidR="00C670E9" w:rsidRPr="006519CD">
        <w:rPr>
          <w:rFonts w:ascii="Arial" w:hAnsi="Arial" w:cs="Arial"/>
          <w:sz w:val="22"/>
          <w:szCs w:val="22"/>
        </w:rPr>
        <w:t xml:space="preserve"> (accessed August 2016)</w:t>
      </w:r>
    </w:p>
    <w:p w14:paraId="650A5804" w14:textId="28F04728" w:rsidR="006A2029" w:rsidRPr="006519CD" w:rsidRDefault="006A2029" w:rsidP="007515F8">
      <w:pPr>
        <w:spacing w:after="240" w:line="480" w:lineRule="auto"/>
        <w:rPr>
          <w:rFonts w:ascii="Arial" w:hAnsi="Arial" w:cs="Arial"/>
          <w:sz w:val="22"/>
          <w:szCs w:val="22"/>
        </w:rPr>
      </w:pPr>
      <w:r w:rsidRPr="006519CD">
        <w:rPr>
          <w:rFonts w:ascii="Arial" w:hAnsi="Arial" w:cs="Arial"/>
          <w:sz w:val="22"/>
          <w:szCs w:val="22"/>
        </w:rPr>
        <w:t xml:space="preserve">12. </w:t>
      </w:r>
      <w:r w:rsidR="00C670E9" w:rsidRPr="006519CD">
        <w:rPr>
          <w:rFonts w:ascii="Arial" w:hAnsi="Arial" w:cs="Arial"/>
          <w:sz w:val="22"/>
          <w:szCs w:val="22"/>
        </w:rPr>
        <w:t xml:space="preserve">The </w:t>
      </w:r>
      <w:r w:rsidRPr="006519CD">
        <w:rPr>
          <w:rFonts w:ascii="Arial" w:hAnsi="Arial" w:cs="Arial"/>
          <w:sz w:val="22"/>
          <w:szCs w:val="22"/>
        </w:rPr>
        <w:t>National Institute for Health Research. NIHR CRN Annual Performance Report 2014/15</w:t>
      </w:r>
      <w:r w:rsidR="00C670E9" w:rsidRPr="006519CD">
        <w:rPr>
          <w:rFonts w:ascii="Arial" w:hAnsi="Arial" w:cs="Arial"/>
          <w:sz w:val="22"/>
          <w:szCs w:val="22"/>
        </w:rPr>
        <w:t>, September 2016</w:t>
      </w:r>
      <w:r w:rsidRPr="006519CD">
        <w:rPr>
          <w:rFonts w:ascii="Arial" w:hAnsi="Arial" w:cs="Arial"/>
          <w:sz w:val="22"/>
          <w:szCs w:val="22"/>
        </w:rPr>
        <w:t>. Available from: https://www.crn.nihr.ac.uk/wp-content/uploads/About%20the%20CRN/2014-15%20NIHR%20CRN%20Annual%20Performance%20Report%20FINAL.pdf</w:t>
      </w:r>
      <w:r w:rsidR="00C670E9" w:rsidRPr="006519CD">
        <w:rPr>
          <w:rFonts w:ascii="Arial" w:hAnsi="Arial" w:cs="Arial"/>
          <w:sz w:val="22"/>
          <w:szCs w:val="22"/>
        </w:rPr>
        <w:t xml:space="preserve"> (accessed August 2016)</w:t>
      </w:r>
    </w:p>
    <w:p w14:paraId="58DF6E4A" w14:textId="1C264D7B" w:rsidR="006A2029" w:rsidRPr="006519CD" w:rsidRDefault="006A2029" w:rsidP="007515F8">
      <w:pPr>
        <w:pStyle w:val="Bibliography"/>
        <w:spacing w:line="480" w:lineRule="auto"/>
        <w:ind w:left="0" w:firstLine="0"/>
        <w:rPr>
          <w:rFonts w:ascii="Arial" w:hAnsi="Arial" w:cs="Arial"/>
          <w:sz w:val="22"/>
          <w:szCs w:val="22"/>
        </w:rPr>
      </w:pPr>
      <w:r w:rsidRPr="006519CD">
        <w:rPr>
          <w:rFonts w:ascii="Arial" w:hAnsi="Arial" w:cs="Arial"/>
          <w:sz w:val="22"/>
          <w:szCs w:val="22"/>
        </w:rPr>
        <w:lastRenderedPageBreak/>
        <w:t xml:space="preserve">13. </w:t>
      </w:r>
      <w:r w:rsidRPr="006519CD">
        <w:rPr>
          <w:rFonts w:ascii="Arial" w:hAnsi="Arial" w:cs="Arial"/>
          <w:sz w:val="22"/>
          <w:szCs w:val="22"/>
        </w:rPr>
        <w:tab/>
        <w:t xml:space="preserve">Caldwell PHY, Butow PN, Craig JC. Pediatricians’ attitudes toward randomized controlled trials involving children. </w:t>
      </w:r>
      <w:r w:rsidRPr="006519CD">
        <w:rPr>
          <w:rFonts w:ascii="Arial" w:hAnsi="Arial" w:cs="Arial"/>
          <w:i/>
          <w:sz w:val="22"/>
          <w:szCs w:val="22"/>
        </w:rPr>
        <w:t>J Pediatr</w:t>
      </w:r>
      <w:r w:rsidRPr="006519CD">
        <w:rPr>
          <w:rFonts w:ascii="Arial" w:hAnsi="Arial" w:cs="Arial"/>
          <w:sz w:val="22"/>
          <w:szCs w:val="22"/>
        </w:rPr>
        <w:t xml:space="preserve"> 2002;141(6):798–803. </w:t>
      </w:r>
    </w:p>
    <w:p w14:paraId="0E96E8C0" w14:textId="36439628" w:rsidR="006A2029" w:rsidRDefault="006A2029" w:rsidP="007515F8">
      <w:pPr>
        <w:pStyle w:val="Bibliography"/>
        <w:spacing w:line="480" w:lineRule="auto"/>
        <w:ind w:left="0" w:firstLine="0"/>
        <w:rPr>
          <w:rFonts w:ascii="Arial" w:hAnsi="Arial" w:cs="Arial"/>
          <w:sz w:val="22"/>
          <w:szCs w:val="22"/>
        </w:rPr>
      </w:pPr>
      <w:r w:rsidRPr="006519CD">
        <w:rPr>
          <w:rFonts w:ascii="Arial" w:hAnsi="Arial" w:cs="Arial"/>
          <w:sz w:val="22"/>
          <w:szCs w:val="22"/>
        </w:rPr>
        <w:t xml:space="preserve">14. </w:t>
      </w:r>
      <w:r w:rsidRPr="006519CD">
        <w:rPr>
          <w:rFonts w:ascii="Arial" w:hAnsi="Arial" w:cs="Arial"/>
          <w:sz w:val="22"/>
          <w:szCs w:val="22"/>
        </w:rPr>
        <w:tab/>
        <w:t xml:space="preserve">Shilling V, Williamson PR, Hickey H, et al. Communication about Children’s Clinical Trials as Observed and Experienced: Qualitative Study of Parents and Practitioners. </w:t>
      </w:r>
      <w:r w:rsidRPr="006519CD">
        <w:rPr>
          <w:rFonts w:ascii="Arial" w:hAnsi="Arial" w:cs="Arial"/>
          <w:i/>
          <w:sz w:val="22"/>
          <w:szCs w:val="22"/>
        </w:rPr>
        <w:t>PLOS ONE</w:t>
      </w:r>
      <w:r w:rsidRPr="006519CD">
        <w:rPr>
          <w:rFonts w:ascii="Arial" w:hAnsi="Arial" w:cs="Arial"/>
          <w:sz w:val="22"/>
          <w:szCs w:val="22"/>
        </w:rPr>
        <w:t xml:space="preserve"> 2011;6(7):e21604. </w:t>
      </w:r>
    </w:p>
    <w:p w14:paraId="034BE53F" w14:textId="6C0B45A9" w:rsidR="00294562" w:rsidRPr="004A5AF9" w:rsidRDefault="00294562" w:rsidP="004A5AF9">
      <w:pPr>
        <w:rPr>
          <w:rFonts w:ascii="Arial" w:hAnsi="Arial" w:cs="Arial"/>
        </w:rPr>
      </w:pPr>
      <w:r w:rsidRPr="004A5AF9">
        <w:rPr>
          <w:rFonts w:ascii="Arial" w:hAnsi="Arial" w:cs="Arial"/>
          <w:sz w:val="22"/>
          <w:szCs w:val="22"/>
        </w:rPr>
        <w:t>15. Health RCoPaC. Turning the tide: Harnessing the power of child health research. 2014.</w:t>
      </w:r>
      <w:r>
        <w:rPr>
          <w:rFonts w:ascii="Arial" w:hAnsi="Arial" w:cs="Arial"/>
          <w:sz w:val="22"/>
          <w:szCs w:val="22"/>
        </w:rPr>
        <w:t xml:space="preserve"> Available from: </w:t>
      </w:r>
      <w:r w:rsidRPr="00294562">
        <w:rPr>
          <w:rFonts w:ascii="Arial" w:hAnsi="Arial" w:cs="Arial"/>
          <w:sz w:val="22"/>
          <w:szCs w:val="22"/>
        </w:rPr>
        <w:t>http://www.rcpch.ac.uk/harnessing-the-power-of-child-health-research</w:t>
      </w:r>
      <w:r>
        <w:rPr>
          <w:rFonts w:ascii="Arial" w:hAnsi="Arial" w:cs="Arial"/>
          <w:sz w:val="22"/>
          <w:szCs w:val="22"/>
        </w:rPr>
        <w:t xml:space="preserve"> (accessed September 2016).</w:t>
      </w:r>
    </w:p>
    <w:p w14:paraId="4ACF30A3" w14:textId="0989B75B" w:rsidR="00294562" w:rsidRPr="004A5AF9" w:rsidRDefault="00294562" w:rsidP="004A5AF9"/>
    <w:p w14:paraId="4E6BB563" w14:textId="40AA410B" w:rsidR="006A2029" w:rsidRPr="006519CD" w:rsidRDefault="006A2029" w:rsidP="007515F8">
      <w:pPr>
        <w:spacing w:after="240" w:line="480" w:lineRule="auto"/>
        <w:rPr>
          <w:rFonts w:ascii="Arial" w:hAnsi="Arial" w:cs="Arial"/>
          <w:sz w:val="22"/>
          <w:szCs w:val="22"/>
        </w:rPr>
      </w:pPr>
      <w:r w:rsidRPr="006519CD">
        <w:rPr>
          <w:rFonts w:ascii="Arial" w:hAnsi="Arial" w:cs="Arial"/>
          <w:sz w:val="22"/>
          <w:szCs w:val="22"/>
        </w:rPr>
        <w:t>1</w:t>
      </w:r>
      <w:r w:rsidR="00294562">
        <w:rPr>
          <w:rFonts w:ascii="Arial" w:hAnsi="Arial" w:cs="Arial"/>
          <w:sz w:val="22"/>
          <w:szCs w:val="22"/>
        </w:rPr>
        <w:t>6</w:t>
      </w:r>
      <w:r w:rsidRPr="006519CD">
        <w:rPr>
          <w:rFonts w:ascii="Arial" w:hAnsi="Arial" w:cs="Arial"/>
          <w:sz w:val="22"/>
          <w:szCs w:val="22"/>
        </w:rPr>
        <w:t xml:space="preserve">. Lythgoe H, Price V, Beresford MW, Peak M, Hawcutt D. Research exposure for    UK junior paediatric trainees. </w:t>
      </w:r>
      <w:r w:rsidRPr="006519CD">
        <w:rPr>
          <w:rFonts w:ascii="Arial" w:hAnsi="Arial" w:cs="Arial"/>
          <w:i/>
          <w:sz w:val="22"/>
          <w:szCs w:val="22"/>
        </w:rPr>
        <w:t>Arch Dis Child</w:t>
      </w:r>
      <w:r w:rsidRPr="006519CD">
        <w:rPr>
          <w:rFonts w:ascii="Arial" w:hAnsi="Arial" w:cs="Arial"/>
          <w:sz w:val="22"/>
          <w:szCs w:val="22"/>
        </w:rPr>
        <w:t xml:space="preserve"> 2016;101:A52-3</w:t>
      </w:r>
    </w:p>
    <w:p w14:paraId="32E7BAB0" w14:textId="77777777" w:rsidR="006A2029" w:rsidRPr="00307A16" w:rsidRDefault="006A2029" w:rsidP="007515F8">
      <w:pPr>
        <w:spacing w:after="240" w:line="480" w:lineRule="auto"/>
        <w:rPr>
          <w:rFonts w:ascii="Arial" w:hAnsi="Arial" w:cs="Arial"/>
          <w:color w:val="FF0000"/>
          <w:sz w:val="22"/>
          <w:szCs w:val="22"/>
        </w:rPr>
      </w:pPr>
      <w:r w:rsidRPr="00CE7DBB">
        <w:rPr>
          <w:rFonts w:ascii="Arial" w:hAnsi="Arial" w:cs="Arial"/>
          <w:color w:val="FF0000"/>
          <w:sz w:val="22"/>
          <w:szCs w:val="22"/>
          <w:highlight w:val="yellow"/>
        </w:rPr>
        <w:fldChar w:fldCharType="end"/>
      </w:r>
    </w:p>
    <w:p w14:paraId="7A9B0E82" w14:textId="227AC248" w:rsidR="00FC5428" w:rsidRPr="0010781E" w:rsidRDefault="00FC5428" w:rsidP="007515F8">
      <w:pPr>
        <w:spacing w:line="480" w:lineRule="auto"/>
        <w:jc w:val="both"/>
        <w:rPr>
          <w:rFonts w:ascii="Arial" w:hAnsi="Arial" w:cs="Arial"/>
          <w:sz w:val="22"/>
          <w:szCs w:val="22"/>
        </w:rPr>
      </w:pPr>
    </w:p>
    <w:sectPr w:rsidR="00FC5428" w:rsidRPr="0010781E" w:rsidSect="006C3C12">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F99B1" w14:textId="77777777" w:rsidR="00CA34EC" w:rsidRDefault="00CA34EC" w:rsidP="002A6051">
      <w:r>
        <w:separator/>
      </w:r>
    </w:p>
  </w:endnote>
  <w:endnote w:type="continuationSeparator" w:id="0">
    <w:p w14:paraId="39D83BE4" w14:textId="77777777" w:rsidR="00CA34EC" w:rsidRDefault="00CA34EC" w:rsidP="002A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252143"/>
      <w:docPartObj>
        <w:docPartGallery w:val="Page Numbers (Bottom of Page)"/>
        <w:docPartUnique/>
      </w:docPartObj>
    </w:sdtPr>
    <w:sdtEndPr>
      <w:rPr>
        <w:noProof/>
      </w:rPr>
    </w:sdtEndPr>
    <w:sdtContent>
      <w:p w14:paraId="72DD01E5" w14:textId="41D18053" w:rsidR="007F43CD" w:rsidRDefault="007F43CD">
        <w:pPr>
          <w:pStyle w:val="Footer"/>
          <w:jc w:val="right"/>
        </w:pPr>
        <w:r>
          <w:fldChar w:fldCharType="begin"/>
        </w:r>
        <w:r>
          <w:instrText xml:space="preserve"> PAGE   \* MERGEFORMAT </w:instrText>
        </w:r>
        <w:r>
          <w:fldChar w:fldCharType="separate"/>
        </w:r>
        <w:r w:rsidR="004A5AF9">
          <w:rPr>
            <w:noProof/>
          </w:rPr>
          <w:t>13</w:t>
        </w:r>
        <w:r>
          <w:rPr>
            <w:noProof/>
          </w:rPr>
          <w:fldChar w:fldCharType="end"/>
        </w:r>
      </w:p>
    </w:sdtContent>
  </w:sdt>
  <w:p w14:paraId="239EB477" w14:textId="77777777" w:rsidR="007F43CD" w:rsidRDefault="007F4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A3311" w14:textId="77777777" w:rsidR="00CA34EC" w:rsidRDefault="00CA34EC" w:rsidP="002A6051">
      <w:r>
        <w:separator/>
      </w:r>
    </w:p>
  </w:footnote>
  <w:footnote w:type="continuationSeparator" w:id="0">
    <w:p w14:paraId="356197AC" w14:textId="77777777" w:rsidR="00CA34EC" w:rsidRDefault="00CA34EC" w:rsidP="002A6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C606EF"/>
    <w:multiLevelType w:val="hybridMultilevel"/>
    <w:tmpl w:val="A8208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FE1016"/>
    <w:multiLevelType w:val="multilevel"/>
    <w:tmpl w:val="96B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1F49BD"/>
    <w:multiLevelType w:val="hybridMultilevel"/>
    <w:tmpl w:val="386E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23782"/>
    <w:multiLevelType w:val="hybridMultilevel"/>
    <w:tmpl w:val="46EE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82A0B"/>
    <w:multiLevelType w:val="multilevel"/>
    <w:tmpl w:val="5B00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569CA"/>
    <w:multiLevelType w:val="hybridMultilevel"/>
    <w:tmpl w:val="17B85408"/>
    <w:lvl w:ilvl="0" w:tplc="F61C1516">
      <w:start w:val="4000"/>
      <w:numFmt w:val="bullet"/>
      <w:lvlText w:val=""/>
      <w:lvlJc w:val="left"/>
      <w:pPr>
        <w:ind w:left="360" w:hanging="360"/>
      </w:pPr>
      <w:rPr>
        <w:rFonts w:ascii="Symbol" w:eastAsiaTheme="minorEastAsia"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0A699F"/>
    <w:multiLevelType w:val="hybridMultilevel"/>
    <w:tmpl w:val="F134E0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167432E"/>
    <w:multiLevelType w:val="hybridMultilevel"/>
    <w:tmpl w:val="F5EE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53C2E"/>
    <w:multiLevelType w:val="multilevel"/>
    <w:tmpl w:val="E584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997C10"/>
    <w:multiLevelType w:val="multilevel"/>
    <w:tmpl w:val="9DBA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CF4616"/>
    <w:multiLevelType w:val="multilevel"/>
    <w:tmpl w:val="F2AA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6"/>
  </w:num>
  <w:num w:numId="4">
    <w:abstractNumId w:val="2"/>
  </w:num>
  <w:num w:numId="5">
    <w:abstractNumId w:val="5"/>
  </w:num>
  <w:num w:numId="6">
    <w:abstractNumId w:val="8"/>
  </w:num>
  <w:num w:numId="7">
    <w:abstractNumId w:val="11"/>
  </w:num>
  <w:num w:numId="8">
    <w:abstractNumId w:val="7"/>
  </w:num>
  <w:num w:numId="9">
    <w:abstractNumId w:val="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DE"/>
    <w:rsid w:val="00003492"/>
    <w:rsid w:val="0000576E"/>
    <w:rsid w:val="00006430"/>
    <w:rsid w:val="00006E09"/>
    <w:rsid w:val="00011B7D"/>
    <w:rsid w:val="00011BFA"/>
    <w:rsid w:val="00012CF7"/>
    <w:rsid w:val="000205C5"/>
    <w:rsid w:val="00024188"/>
    <w:rsid w:val="0002433E"/>
    <w:rsid w:val="000257D6"/>
    <w:rsid w:val="00033F0A"/>
    <w:rsid w:val="000412E3"/>
    <w:rsid w:val="000521BD"/>
    <w:rsid w:val="000521E1"/>
    <w:rsid w:val="00053556"/>
    <w:rsid w:val="000551C5"/>
    <w:rsid w:val="000616DE"/>
    <w:rsid w:val="00064E18"/>
    <w:rsid w:val="000672C4"/>
    <w:rsid w:val="00072558"/>
    <w:rsid w:val="00075196"/>
    <w:rsid w:val="00082D7E"/>
    <w:rsid w:val="000844D3"/>
    <w:rsid w:val="000908AF"/>
    <w:rsid w:val="00090DEA"/>
    <w:rsid w:val="000A4A2E"/>
    <w:rsid w:val="000B5DA0"/>
    <w:rsid w:val="000C77FE"/>
    <w:rsid w:val="000D181D"/>
    <w:rsid w:val="000D489B"/>
    <w:rsid w:val="000D72E3"/>
    <w:rsid w:val="000E20BC"/>
    <w:rsid w:val="000F187E"/>
    <w:rsid w:val="00101E69"/>
    <w:rsid w:val="00103845"/>
    <w:rsid w:val="00103C9C"/>
    <w:rsid w:val="001044F9"/>
    <w:rsid w:val="00104EA6"/>
    <w:rsid w:val="0010781E"/>
    <w:rsid w:val="001101AE"/>
    <w:rsid w:val="001103EC"/>
    <w:rsid w:val="0011407A"/>
    <w:rsid w:val="00120E41"/>
    <w:rsid w:val="001212A6"/>
    <w:rsid w:val="00121FCE"/>
    <w:rsid w:val="00122859"/>
    <w:rsid w:val="00130B19"/>
    <w:rsid w:val="00136900"/>
    <w:rsid w:val="00136E28"/>
    <w:rsid w:val="00140DDF"/>
    <w:rsid w:val="0014126D"/>
    <w:rsid w:val="001416E7"/>
    <w:rsid w:val="00143F7D"/>
    <w:rsid w:val="001448AD"/>
    <w:rsid w:val="0015128F"/>
    <w:rsid w:val="00166F0E"/>
    <w:rsid w:val="00171A25"/>
    <w:rsid w:val="00182F49"/>
    <w:rsid w:val="001832A9"/>
    <w:rsid w:val="00186D17"/>
    <w:rsid w:val="00187433"/>
    <w:rsid w:val="00191CB8"/>
    <w:rsid w:val="00191ECB"/>
    <w:rsid w:val="001A1C3E"/>
    <w:rsid w:val="001A58EF"/>
    <w:rsid w:val="001A6FFD"/>
    <w:rsid w:val="001C0FA2"/>
    <w:rsid w:val="001C1E7D"/>
    <w:rsid w:val="001D6964"/>
    <w:rsid w:val="001D7359"/>
    <w:rsid w:val="001F23FB"/>
    <w:rsid w:val="00200048"/>
    <w:rsid w:val="002003FE"/>
    <w:rsid w:val="00205B24"/>
    <w:rsid w:val="002105B5"/>
    <w:rsid w:val="00211700"/>
    <w:rsid w:val="0021172F"/>
    <w:rsid w:val="00214A37"/>
    <w:rsid w:val="0021596D"/>
    <w:rsid w:val="00216F21"/>
    <w:rsid w:val="002248A4"/>
    <w:rsid w:val="0023174E"/>
    <w:rsid w:val="0023316C"/>
    <w:rsid w:val="00235801"/>
    <w:rsid w:val="00242542"/>
    <w:rsid w:val="00244B4E"/>
    <w:rsid w:val="002507DF"/>
    <w:rsid w:val="00252D10"/>
    <w:rsid w:val="00261262"/>
    <w:rsid w:val="00263ED3"/>
    <w:rsid w:val="0026402E"/>
    <w:rsid w:val="002648B0"/>
    <w:rsid w:val="0027163A"/>
    <w:rsid w:val="00271F15"/>
    <w:rsid w:val="002901EA"/>
    <w:rsid w:val="00290517"/>
    <w:rsid w:val="0029454A"/>
    <w:rsid w:val="00294562"/>
    <w:rsid w:val="0029591B"/>
    <w:rsid w:val="002975F3"/>
    <w:rsid w:val="002A0FDB"/>
    <w:rsid w:val="002A3898"/>
    <w:rsid w:val="002A4D4C"/>
    <w:rsid w:val="002A6051"/>
    <w:rsid w:val="002B5456"/>
    <w:rsid w:val="002C2150"/>
    <w:rsid w:val="002D7D2D"/>
    <w:rsid w:val="002E3435"/>
    <w:rsid w:val="002E4943"/>
    <w:rsid w:val="002E55E9"/>
    <w:rsid w:val="002E6899"/>
    <w:rsid w:val="002E7813"/>
    <w:rsid w:val="002F27CE"/>
    <w:rsid w:val="002F3BEC"/>
    <w:rsid w:val="002F7251"/>
    <w:rsid w:val="003008AB"/>
    <w:rsid w:val="00301BFE"/>
    <w:rsid w:val="0030289E"/>
    <w:rsid w:val="00302BB7"/>
    <w:rsid w:val="003040A7"/>
    <w:rsid w:val="00307A16"/>
    <w:rsid w:val="00307BB7"/>
    <w:rsid w:val="003152F7"/>
    <w:rsid w:val="0032130A"/>
    <w:rsid w:val="003234AD"/>
    <w:rsid w:val="00323CE5"/>
    <w:rsid w:val="003264DE"/>
    <w:rsid w:val="003316E9"/>
    <w:rsid w:val="00332259"/>
    <w:rsid w:val="00333446"/>
    <w:rsid w:val="00336BE4"/>
    <w:rsid w:val="00341AFC"/>
    <w:rsid w:val="00342765"/>
    <w:rsid w:val="00345D50"/>
    <w:rsid w:val="0035243E"/>
    <w:rsid w:val="00355756"/>
    <w:rsid w:val="00357645"/>
    <w:rsid w:val="003607FC"/>
    <w:rsid w:val="00364EF9"/>
    <w:rsid w:val="003658E3"/>
    <w:rsid w:val="00367127"/>
    <w:rsid w:val="00370500"/>
    <w:rsid w:val="003715AD"/>
    <w:rsid w:val="00375387"/>
    <w:rsid w:val="00380A21"/>
    <w:rsid w:val="00386ADA"/>
    <w:rsid w:val="00395A1F"/>
    <w:rsid w:val="003A2BD0"/>
    <w:rsid w:val="003A40C8"/>
    <w:rsid w:val="003A4C48"/>
    <w:rsid w:val="003A6685"/>
    <w:rsid w:val="003C1C1B"/>
    <w:rsid w:val="003D153A"/>
    <w:rsid w:val="003D168C"/>
    <w:rsid w:val="003D3912"/>
    <w:rsid w:val="003E40A1"/>
    <w:rsid w:val="003F0CD8"/>
    <w:rsid w:val="003F3DE6"/>
    <w:rsid w:val="003F779A"/>
    <w:rsid w:val="00400185"/>
    <w:rsid w:val="00402468"/>
    <w:rsid w:val="004050B6"/>
    <w:rsid w:val="004108D3"/>
    <w:rsid w:val="00414BFB"/>
    <w:rsid w:val="00417481"/>
    <w:rsid w:val="00430142"/>
    <w:rsid w:val="00430F17"/>
    <w:rsid w:val="0043306E"/>
    <w:rsid w:val="0043506E"/>
    <w:rsid w:val="00435C63"/>
    <w:rsid w:val="00436E43"/>
    <w:rsid w:val="00440119"/>
    <w:rsid w:val="00441918"/>
    <w:rsid w:val="00450E6E"/>
    <w:rsid w:val="004549AF"/>
    <w:rsid w:val="0046288F"/>
    <w:rsid w:val="00464F9C"/>
    <w:rsid w:val="004654DA"/>
    <w:rsid w:val="004656C5"/>
    <w:rsid w:val="004803D1"/>
    <w:rsid w:val="004840E5"/>
    <w:rsid w:val="0049232E"/>
    <w:rsid w:val="004A5100"/>
    <w:rsid w:val="004A5AF9"/>
    <w:rsid w:val="004D25DE"/>
    <w:rsid w:val="004D3F61"/>
    <w:rsid w:val="004D7E27"/>
    <w:rsid w:val="004E5049"/>
    <w:rsid w:val="004E6BEB"/>
    <w:rsid w:val="004E78B7"/>
    <w:rsid w:val="004F1A90"/>
    <w:rsid w:val="004F3A45"/>
    <w:rsid w:val="004F4634"/>
    <w:rsid w:val="004F535D"/>
    <w:rsid w:val="005115E0"/>
    <w:rsid w:val="00511C4A"/>
    <w:rsid w:val="00513BEA"/>
    <w:rsid w:val="00513D57"/>
    <w:rsid w:val="00515227"/>
    <w:rsid w:val="00515A88"/>
    <w:rsid w:val="005205AE"/>
    <w:rsid w:val="00532A76"/>
    <w:rsid w:val="00533ACC"/>
    <w:rsid w:val="00544A2F"/>
    <w:rsid w:val="00545F83"/>
    <w:rsid w:val="005473D4"/>
    <w:rsid w:val="00551EC1"/>
    <w:rsid w:val="0055684D"/>
    <w:rsid w:val="00561B39"/>
    <w:rsid w:val="00561C39"/>
    <w:rsid w:val="00571ED3"/>
    <w:rsid w:val="00575946"/>
    <w:rsid w:val="00583C48"/>
    <w:rsid w:val="00584A3E"/>
    <w:rsid w:val="00590A86"/>
    <w:rsid w:val="00594DBC"/>
    <w:rsid w:val="00596E59"/>
    <w:rsid w:val="005A08E8"/>
    <w:rsid w:val="005A1074"/>
    <w:rsid w:val="005A6102"/>
    <w:rsid w:val="005A7590"/>
    <w:rsid w:val="005B0A8A"/>
    <w:rsid w:val="005B6DEE"/>
    <w:rsid w:val="005C100E"/>
    <w:rsid w:val="005C2434"/>
    <w:rsid w:val="005C5CBC"/>
    <w:rsid w:val="005C74E3"/>
    <w:rsid w:val="005D00C3"/>
    <w:rsid w:val="005D1BBA"/>
    <w:rsid w:val="005D2F83"/>
    <w:rsid w:val="005E1320"/>
    <w:rsid w:val="005E3763"/>
    <w:rsid w:val="005E7AC4"/>
    <w:rsid w:val="005F18F2"/>
    <w:rsid w:val="005F5C6E"/>
    <w:rsid w:val="006010E0"/>
    <w:rsid w:val="00602C31"/>
    <w:rsid w:val="00603EBE"/>
    <w:rsid w:val="00606F51"/>
    <w:rsid w:val="0061448F"/>
    <w:rsid w:val="006245DF"/>
    <w:rsid w:val="00634421"/>
    <w:rsid w:val="00634BFD"/>
    <w:rsid w:val="0064061C"/>
    <w:rsid w:val="006438FA"/>
    <w:rsid w:val="00651168"/>
    <w:rsid w:val="006519CD"/>
    <w:rsid w:val="006568F8"/>
    <w:rsid w:val="006701B6"/>
    <w:rsid w:val="00671144"/>
    <w:rsid w:val="00673688"/>
    <w:rsid w:val="006738A7"/>
    <w:rsid w:val="006752A8"/>
    <w:rsid w:val="00675695"/>
    <w:rsid w:val="00675D3A"/>
    <w:rsid w:val="00683DDD"/>
    <w:rsid w:val="006862D8"/>
    <w:rsid w:val="00687202"/>
    <w:rsid w:val="00690BA7"/>
    <w:rsid w:val="00691B52"/>
    <w:rsid w:val="00693E8F"/>
    <w:rsid w:val="006A2029"/>
    <w:rsid w:val="006B3A78"/>
    <w:rsid w:val="006B4D92"/>
    <w:rsid w:val="006B5D22"/>
    <w:rsid w:val="006C0C3B"/>
    <w:rsid w:val="006C31A5"/>
    <w:rsid w:val="006C3C12"/>
    <w:rsid w:val="006D15D6"/>
    <w:rsid w:val="006E5C30"/>
    <w:rsid w:val="006E687E"/>
    <w:rsid w:val="006E72B1"/>
    <w:rsid w:val="006F2310"/>
    <w:rsid w:val="006F4988"/>
    <w:rsid w:val="00700AF9"/>
    <w:rsid w:val="0070470D"/>
    <w:rsid w:val="007131B5"/>
    <w:rsid w:val="007132A1"/>
    <w:rsid w:val="007137EB"/>
    <w:rsid w:val="00736551"/>
    <w:rsid w:val="007515F8"/>
    <w:rsid w:val="00751FB6"/>
    <w:rsid w:val="007528D5"/>
    <w:rsid w:val="00754D3D"/>
    <w:rsid w:val="007567BA"/>
    <w:rsid w:val="00760C30"/>
    <w:rsid w:val="00763584"/>
    <w:rsid w:val="00771E6C"/>
    <w:rsid w:val="00775620"/>
    <w:rsid w:val="0079257D"/>
    <w:rsid w:val="00795AC7"/>
    <w:rsid w:val="007A3994"/>
    <w:rsid w:val="007A4F6A"/>
    <w:rsid w:val="007A60EF"/>
    <w:rsid w:val="007A7FED"/>
    <w:rsid w:val="007B3D29"/>
    <w:rsid w:val="007B3F8D"/>
    <w:rsid w:val="007C30A1"/>
    <w:rsid w:val="007D491D"/>
    <w:rsid w:val="007D5174"/>
    <w:rsid w:val="007E1D24"/>
    <w:rsid w:val="007E7ADE"/>
    <w:rsid w:val="007F43CD"/>
    <w:rsid w:val="007F661E"/>
    <w:rsid w:val="00810FDC"/>
    <w:rsid w:val="0081149E"/>
    <w:rsid w:val="00811519"/>
    <w:rsid w:val="0082404C"/>
    <w:rsid w:val="00831CA9"/>
    <w:rsid w:val="00837B27"/>
    <w:rsid w:val="008520D8"/>
    <w:rsid w:val="00861093"/>
    <w:rsid w:val="008637E3"/>
    <w:rsid w:val="00863A12"/>
    <w:rsid w:val="008742E3"/>
    <w:rsid w:val="00876031"/>
    <w:rsid w:val="00882EDA"/>
    <w:rsid w:val="00887C94"/>
    <w:rsid w:val="00891AF5"/>
    <w:rsid w:val="0089748D"/>
    <w:rsid w:val="008B2C45"/>
    <w:rsid w:val="008B2F71"/>
    <w:rsid w:val="008B4876"/>
    <w:rsid w:val="008C367D"/>
    <w:rsid w:val="008C608A"/>
    <w:rsid w:val="008D1B1C"/>
    <w:rsid w:val="008E7C03"/>
    <w:rsid w:val="008F2CC4"/>
    <w:rsid w:val="008F5B3E"/>
    <w:rsid w:val="0090166E"/>
    <w:rsid w:val="00911860"/>
    <w:rsid w:val="00933379"/>
    <w:rsid w:val="00940844"/>
    <w:rsid w:val="0094412B"/>
    <w:rsid w:val="00945498"/>
    <w:rsid w:val="0096250C"/>
    <w:rsid w:val="009631D0"/>
    <w:rsid w:val="009655C1"/>
    <w:rsid w:val="0097133E"/>
    <w:rsid w:val="0097158D"/>
    <w:rsid w:val="00972898"/>
    <w:rsid w:val="00981076"/>
    <w:rsid w:val="00981DDF"/>
    <w:rsid w:val="00983A83"/>
    <w:rsid w:val="00986899"/>
    <w:rsid w:val="00994DA3"/>
    <w:rsid w:val="009A186A"/>
    <w:rsid w:val="009A4075"/>
    <w:rsid w:val="009A4DFE"/>
    <w:rsid w:val="009A645E"/>
    <w:rsid w:val="009A6EE3"/>
    <w:rsid w:val="009A71C8"/>
    <w:rsid w:val="009B4EE2"/>
    <w:rsid w:val="009D0B6B"/>
    <w:rsid w:val="009D1F43"/>
    <w:rsid w:val="009D688F"/>
    <w:rsid w:val="009E105A"/>
    <w:rsid w:val="009E2FF9"/>
    <w:rsid w:val="009E4351"/>
    <w:rsid w:val="009F21A1"/>
    <w:rsid w:val="009F3BC2"/>
    <w:rsid w:val="009F427C"/>
    <w:rsid w:val="00A00C24"/>
    <w:rsid w:val="00A01545"/>
    <w:rsid w:val="00A1690E"/>
    <w:rsid w:val="00A249A9"/>
    <w:rsid w:val="00A37465"/>
    <w:rsid w:val="00A42BD9"/>
    <w:rsid w:val="00A44E4E"/>
    <w:rsid w:val="00A4533E"/>
    <w:rsid w:val="00A524F0"/>
    <w:rsid w:val="00A5554C"/>
    <w:rsid w:val="00A56CA2"/>
    <w:rsid w:val="00A57CC1"/>
    <w:rsid w:val="00A6279A"/>
    <w:rsid w:val="00A6372D"/>
    <w:rsid w:val="00A7570C"/>
    <w:rsid w:val="00A80725"/>
    <w:rsid w:val="00A81A11"/>
    <w:rsid w:val="00A8380C"/>
    <w:rsid w:val="00A83D06"/>
    <w:rsid w:val="00A97A5F"/>
    <w:rsid w:val="00AA2332"/>
    <w:rsid w:val="00AA503E"/>
    <w:rsid w:val="00AA7123"/>
    <w:rsid w:val="00AB0507"/>
    <w:rsid w:val="00AB278C"/>
    <w:rsid w:val="00AB4B0E"/>
    <w:rsid w:val="00AB7B35"/>
    <w:rsid w:val="00AC3859"/>
    <w:rsid w:val="00AC69EB"/>
    <w:rsid w:val="00AD51FA"/>
    <w:rsid w:val="00AD5FEE"/>
    <w:rsid w:val="00AD6FB2"/>
    <w:rsid w:val="00AE6B8E"/>
    <w:rsid w:val="00AF2F7F"/>
    <w:rsid w:val="00AF4B55"/>
    <w:rsid w:val="00B03A3F"/>
    <w:rsid w:val="00B05F46"/>
    <w:rsid w:val="00B13BD0"/>
    <w:rsid w:val="00B144C9"/>
    <w:rsid w:val="00B21E28"/>
    <w:rsid w:val="00B2250F"/>
    <w:rsid w:val="00B23E7B"/>
    <w:rsid w:val="00B26003"/>
    <w:rsid w:val="00B323C6"/>
    <w:rsid w:val="00B35F37"/>
    <w:rsid w:val="00B40949"/>
    <w:rsid w:val="00B454DD"/>
    <w:rsid w:val="00B530FC"/>
    <w:rsid w:val="00B56532"/>
    <w:rsid w:val="00B61CBF"/>
    <w:rsid w:val="00B72F5D"/>
    <w:rsid w:val="00B81D9E"/>
    <w:rsid w:val="00B92A69"/>
    <w:rsid w:val="00B94AA3"/>
    <w:rsid w:val="00BA2190"/>
    <w:rsid w:val="00BA2B63"/>
    <w:rsid w:val="00BA2EC2"/>
    <w:rsid w:val="00BA3D7D"/>
    <w:rsid w:val="00BA638A"/>
    <w:rsid w:val="00BA6C3A"/>
    <w:rsid w:val="00BB324F"/>
    <w:rsid w:val="00BB61BE"/>
    <w:rsid w:val="00BC0802"/>
    <w:rsid w:val="00BD4EBF"/>
    <w:rsid w:val="00BD695B"/>
    <w:rsid w:val="00BD6EE1"/>
    <w:rsid w:val="00BE5E80"/>
    <w:rsid w:val="00BE68B6"/>
    <w:rsid w:val="00BF0A15"/>
    <w:rsid w:val="00BF2BED"/>
    <w:rsid w:val="00BF3D25"/>
    <w:rsid w:val="00BF48DF"/>
    <w:rsid w:val="00C01F01"/>
    <w:rsid w:val="00C02237"/>
    <w:rsid w:val="00C02546"/>
    <w:rsid w:val="00C10F17"/>
    <w:rsid w:val="00C1163A"/>
    <w:rsid w:val="00C20087"/>
    <w:rsid w:val="00C3050D"/>
    <w:rsid w:val="00C30ABC"/>
    <w:rsid w:val="00C35556"/>
    <w:rsid w:val="00C3696A"/>
    <w:rsid w:val="00C41405"/>
    <w:rsid w:val="00C55CBA"/>
    <w:rsid w:val="00C60E15"/>
    <w:rsid w:val="00C670E9"/>
    <w:rsid w:val="00C70E77"/>
    <w:rsid w:val="00C74E7A"/>
    <w:rsid w:val="00C75301"/>
    <w:rsid w:val="00C772C9"/>
    <w:rsid w:val="00C9172B"/>
    <w:rsid w:val="00C92C0B"/>
    <w:rsid w:val="00C93297"/>
    <w:rsid w:val="00C97E81"/>
    <w:rsid w:val="00CA34EC"/>
    <w:rsid w:val="00CA500B"/>
    <w:rsid w:val="00CA6E83"/>
    <w:rsid w:val="00CB4EC2"/>
    <w:rsid w:val="00CB5386"/>
    <w:rsid w:val="00CC4945"/>
    <w:rsid w:val="00CC4F94"/>
    <w:rsid w:val="00CC5928"/>
    <w:rsid w:val="00CE2B1A"/>
    <w:rsid w:val="00CE4C1F"/>
    <w:rsid w:val="00CE7DBB"/>
    <w:rsid w:val="00CF3D07"/>
    <w:rsid w:val="00CF72B5"/>
    <w:rsid w:val="00D009B5"/>
    <w:rsid w:val="00D0436F"/>
    <w:rsid w:val="00D06193"/>
    <w:rsid w:val="00D07CB4"/>
    <w:rsid w:val="00D14D37"/>
    <w:rsid w:val="00D14ED4"/>
    <w:rsid w:val="00D16EE8"/>
    <w:rsid w:val="00D33378"/>
    <w:rsid w:val="00D34D43"/>
    <w:rsid w:val="00D415A4"/>
    <w:rsid w:val="00D462F3"/>
    <w:rsid w:val="00D51986"/>
    <w:rsid w:val="00D55D96"/>
    <w:rsid w:val="00D84553"/>
    <w:rsid w:val="00D84655"/>
    <w:rsid w:val="00D904EC"/>
    <w:rsid w:val="00DA3492"/>
    <w:rsid w:val="00DA60D8"/>
    <w:rsid w:val="00DA6EB8"/>
    <w:rsid w:val="00DB0A6F"/>
    <w:rsid w:val="00DB145F"/>
    <w:rsid w:val="00DB2A05"/>
    <w:rsid w:val="00DB5A82"/>
    <w:rsid w:val="00DC35C8"/>
    <w:rsid w:val="00DD05F9"/>
    <w:rsid w:val="00DD18CF"/>
    <w:rsid w:val="00DD51F8"/>
    <w:rsid w:val="00DE01AF"/>
    <w:rsid w:val="00DE167B"/>
    <w:rsid w:val="00DE23BD"/>
    <w:rsid w:val="00DE37E9"/>
    <w:rsid w:val="00DE77B4"/>
    <w:rsid w:val="00E03C77"/>
    <w:rsid w:val="00E05D34"/>
    <w:rsid w:val="00E07CF3"/>
    <w:rsid w:val="00E17427"/>
    <w:rsid w:val="00E26277"/>
    <w:rsid w:val="00E27141"/>
    <w:rsid w:val="00E32C71"/>
    <w:rsid w:val="00E341E8"/>
    <w:rsid w:val="00E44DE2"/>
    <w:rsid w:val="00E45870"/>
    <w:rsid w:val="00E46515"/>
    <w:rsid w:val="00E5402D"/>
    <w:rsid w:val="00E546E2"/>
    <w:rsid w:val="00E549CC"/>
    <w:rsid w:val="00E5665D"/>
    <w:rsid w:val="00E60FA4"/>
    <w:rsid w:val="00E64CB1"/>
    <w:rsid w:val="00E65CA7"/>
    <w:rsid w:val="00E732FE"/>
    <w:rsid w:val="00E76849"/>
    <w:rsid w:val="00E80811"/>
    <w:rsid w:val="00E81603"/>
    <w:rsid w:val="00E81BED"/>
    <w:rsid w:val="00E93B9F"/>
    <w:rsid w:val="00EA21BA"/>
    <w:rsid w:val="00EA2FF8"/>
    <w:rsid w:val="00EA3AE5"/>
    <w:rsid w:val="00EA5F2B"/>
    <w:rsid w:val="00EB1189"/>
    <w:rsid w:val="00EB5668"/>
    <w:rsid w:val="00EC104D"/>
    <w:rsid w:val="00EC2471"/>
    <w:rsid w:val="00EC2697"/>
    <w:rsid w:val="00EC4CEC"/>
    <w:rsid w:val="00EC6508"/>
    <w:rsid w:val="00ED068D"/>
    <w:rsid w:val="00ED0CAB"/>
    <w:rsid w:val="00ED6160"/>
    <w:rsid w:val="00ED6736"/>
    <w:rsid w:val="00ED7283"/>
    <w:rsid w:val="00EF4D51"/>
    <w:rsid w:val="00EF548B"/>
    <w:rsid w:val="00EF63DD"/>
    <w:rsid w:val="00F00C73"/>
    <w:rsid w:val="00F07CAA"/>
    <w:rsid w:val="00F10324"/>
    <w:rsid w:val="00F2414A"/>
    <w:rsid w:val="00F30EF4"/>
    <w:rsid w:val="00F31707"/>
    <w:rsid w:val="00F336AE"/>
    <w:rsid w:val="00F33C25"/>
    <w:rsid w:val="00F33EC3"/>
    <w:rsid w:val="00F36312"/>
    <w:rsid w:val="00F4037A"/>
    <w:rsid w:val="00F44E60"/>
    <w:rsid w:val="00F51F36"/>
    <w:rsid w:val="00F5274E"/>
    <w:rsid w:val="00F56019"/>
    <w:rsid w:val="00F57C7B"/>
    <w:rsid w:val="00F679BD"/>
    <w:rsid w:val="00F72408"/>
    <w:rsid w:val="00F75C1B"/>
    <w:rsid w:val="00F803C0"/>
    <w:rsid w:val="00F83BAC"/>
    <w:rsid w:val="00F86A85"/>
    <w:rsid w:val="00FA4410"/>
    <w:rsid w:val="00FA5525"/>
    <w:rsid w:val="00FB01EE"/>
    <w:rsid w:val="00FB2E2A"/>
    <w:rsid w:val="00FB3DCF"/>
    <w:rsid w:val="00FB72E0"/>
    <w:rsid w:val="00FC2816"/>
    <w:rsid w:val="00FC43E6"/>
    <w:rsid w:val="00FC4D88"/>
    <w:rsid w:val="00FC5428"/>
    <w:rsid w:val="00FC6921"/>
    <w:rsid w:val="00FC77EF"/>
    <w:rsid w:val="00FC7CBE"/>
    <w:rsid w:val="00FD0357"/>
    <w:rsid w:val="00FD08E2"/>
    <w:rsid w:val="00FD4A5E"/>
    <w:rsid w:val="00FD7609"/>
    <w:rsid w:val="00FD78C2"/>
    <w:rsid w:val="00FE277D"/>
    <w:rsid w:val="00FE5486"/>
    <w:rsid w:val="00FE6D0C"/>
    <w:rsid w:val="00FF50AB"/>
    <w:rsid w:val="00FF63DE"/>
    <w:rsid w:val="00FF7E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AEB1E"/>
  <w15:docId w15:val="{841407AC-F039-4176-BB58-7550661E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1B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F2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43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5DE"/>
    <w:rPr>
      <w:color w:val="0000FF" w:themeColor="hyperlink"/>
      <w:u w:val="single"/>
    </w:rPr>
  </w:style>
  <w:style w:type="paragraph" w:styleId="BalloonText">
    <w:name w:val="Balloon Text"/>
    <w:basedOn w:val="Normal"/>
    <w:link w:val="BalloonTextChar"/>
    <w:uiPriority w:val="99"/>
    <w:semiHidden/>
    <w:unhideWhenUsed/>
    <w:rsid w:val="001044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4F9"/>
    <w:rPr>
      <w:rFonts w:ascii="Lucida Grande" w:hAnsi="Lucida Grande" w:cs="Lucida Grande"/>
      <w:sz w:val="18"/>
      <w:szCs w:val="18"/>
    </w:rPr>
  </w:style>
  <w:style w:type="paragraph" w:styleId="Title">
    <w:name w:val="Title"/>
    <w:basedOn w:val="Normal"/>
    <w:next w:val="Normal"/>
    <w:link w:val="TitleChar"/>
    <w:uiPriority w:val="10"/>
    <w:qFormat/>
    <w:rsid w:val="00691B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1B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1B5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10324"/>
    <w:pPr>
      <w:ind w:left="720"/>
      <w:contextualSpacing/>
    </w:pPr>
  </w:style>
  <w:style w:type="character" w:styleId="CommentReference">
    <w:name w:val="annotation reference"/>
    <w:basedOn w:val="DefaultParagraphFont"/>
    <w:uiPriority w:val="99"/>
    <w:semiHidden/>
    <w:unhideWhenUsed/>
    <w:rsid w:val="002A0FDB"/>
    <w:rPr>
      <w:sz w:val="18"/>
      <w:szCs w:val="18"/>
    </w:rPr>
  </w:style>
  <w:style w:type="paragraph" w:styleId="CommentText">
    <w:name w:val="annotation text"/>
    <w:basedOn w:val="Normal"/>
    <w:link w:val="CommentTextChar"/>
    <w:uiPriority w:val="99"/>
    <w:unhideWhenUsed/>
    <w:rsid w:val="002A0FDB"/>
  </w:style>
  <w:style w:type="character" w:customStyle="1" w:styleId="CommentTextChar">
    <w:name w:val="Comment Text Char"/>
    <w:basedOn w:val="DefaultParagraphFont"/>
    <w:link w:val="CommentText"/>
    <w:uiPriority w:val="99"/>
    <w:rsid w:val="002A0FDB"/>
  </w:style>
  <w:style w:type="paragraph" w:styleId="CommentSubject">
    <w:name w:val="annotation subject"/>
    <w:basedOn w:val="CommentText"/>
    <w:next w:val="CommentText"/>
    <w:link w:val="CommentSubjectChar"/>
    <w:uiPriority w:val="99"/>
    <w:semiHidden/>
    <w:unhideWhenUsed/>
    <w:rsid w:val="002A0FDB"/>
    <w:rPr>
      <w:b/>
      <w:bCs/>
      <w:sz w:val="20"/>
      <w:szCs w:val="20"/>
    </w:rPr>
  </w:style>
  <w:style w:type="character" w:customStyle="1" w:styleId="CommentSubjectChar">
    <w:name w:val="Comment Subject Char"/>
    <w:basedOn w:val="CommentTextChar"/>
    <w:link w:val="CommentSubject"/>
    <w:uiPriority w:val="99"/>
    <w:semiHidden/>
    <w:rsid w:val="002A0FDB"/>
    <w:rPr>
      <w:b/>
      <w:bCs/>
      <w:sz w:val="20"/>
      <w:szCs w:val="20"/>
    </w:rPr>
  </w:style>
  <w:style w:type="character" w:customStyle="1" w:styleId="Heading2Char">
    <w:name w:val="Heading 2 Char"/>
    <w:basedOn w:val="DefaultParagraphFont"/>
    <w:link w:val="Heading2"/>
    <w:uiPriority w:val="9"/>
    <w:rsid w:val="006F23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433E"/>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9B4EE2"/>
    <w:pPr>
      <w:numPr>
        <w:ilvl w:val="1"/>
      </w:numPr>
      <w:spacing w:after="200" w:line="276" w:lineRule="auto"/>
    </w:pPr>
    <w:rPr>
      <w:rFonts w:asciiTheme="majorHAnsi" w:eastAsiaTheme="majorEastAsia" w:hAnsiTheme="majorHAnsi" w:cstheme="majorBidi"/>
      <w:i/>
      <w:iCs/>
      <w:color w:val="4F81BD" w:themeColor="accent1"/>
      <w:spacing w:val="15"/>
      <w:lang w:val="en-GB" w:eastAsia="en-GB"/>
    </w:rPr>
  </w:style>
  <w:style w:type="character" w:customStyle="1" w:styleId="SubtitleChar">
    <w:name w:val="Subtitle Char"/>
    <w:basedOn w:val="DefaultParagraphFont"/>
    <w:link w:val="Subtitle"/>
    <w:uiPriority w:val="11"/>
    <w:rsid w:val="009B4EE2"/>
    <w:rPr>
      <w:rFonts w:asciiTheme="majorHAnsi" w:eastAsiaTheme="majorEastAsia" w:hAnsiTheme="majorHAnsi" w:cstheme="majorBidi"/>
      <w:i/>
      <w:iCs/>
      <w:color w:val="4F81BD" w:themeColor="accent1"/>
      <w:spacing w:val="15"/>
      <w:lang w:val="en-GB" w:eastAsia="en-GB"/>
    </w:rPr>
  </w:style>
  <w:style w:type="character" w:customStyle="1" w:styleId="bullet--red">
    <w:name w:val="bullet--red"/>
    <w:basedOn w:val="DefaultParagraphFont"/>
    <w:rsid w:val="00341AFC"/>
  </w:style>
  <w:style w:type="character" w:customStyle="1" w:styleId="apple-converted-space">
    <w:name w:val="apple-converted-space"/>
    <w:basedOn w:val="DefaultParagraphFont"/>
    <w:rsid w:val="00341AFC"/>
  </w:style>
  <w:style w:type="table" w:styleId="TableGrid">
    <w:name w:val="Table Grid"/>
    <w:basedOn w:val="TableNormal"/>
    <w:uiPriority w:val="59"/>
    <w:rsid w:val="00341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051"/>
    <w:pPr>
      <w:tabs>
        <w:tab w:val="center" w:pos="4513"/>
        <w:tab w:val="right" w:pos="9026"/>
      </w:tabs>
    </w:pPr>
  </w:style>
  <w:style w:type="character" w:customStyle="1" w:styleId="HeaderChar">
    <w:name w:val="Header Char"/>
    <w:basedOn w:val="DefaultParagraphFont"/>
    <w:link w:val="Header"/>
    <w:uiPriority w:val="99"/>
    <w:rsid w:val="002A6051"/>
  </w:style>
  <w:style w:type="paragraph" w:styleId="Footer">
    <w:name w:val="footer"/>
    <w:basedOn w:val="Normal"/>
    <w:link w:val="FooterChar"/>
    <w:uiPriority w:val="99"/>
    <w:unhideWhenUsed/>
    <w:rsid w:val="002A6051"/>
    <w:pPr>
      <w:tabs>
        <w:tab w:val="center" w:pos="4513"/>
        <w:tab w:val="right" w:pos="9026"/>
      </w:tabs>
    </w:pPr>
  </w:style>
  <w:style w:type="character" w:customStyle="1" w:styleId="FooterChar">
    <w:name w:val="Footer Char"/>
    <w:basedOn w:val="DefaultParagraphFont"/>
    <w:link w:val="Footer"/>
    <w:uiPriority w:val="99"/>
    <w:rsid w:val="002A6051"/>
  </w:style>
  <w:style w:type="paragraph" w:styleId="Caption">
    <w:name w:val="caption"/>
    <w:basedOn w:val="Normal"/>
    <w:next w:val="Normal"/>
    <w:uiPriority w:val="35"/>
    <w:unhideWhenUsed/>
    <w:qFormat/>
    <w:rsid w:val="002A6051"/>
    <w:pPr>
      <w:spacing w:after="200"/>
    </w:pPr>
    <w:rPr>
      <w:i/>
      <w:iCs/>
      <w:color w:val="1F497D" w:themeColor="text2"/>
      <w:sz w:val="18"/>
      <w:szCs w:val="18"/>
    </w:rPr>
  </w:style>
  <w:style w:type="paragraph" w:styleId="Revision">
    <w:name w:val="Revision"/>
    <w:hidden/>
    <w:uiPriority w:val="99"/>
    <w:semiHidden/>
    <w:rsid w:val="00D14D37"/>
  </w:style>
  <w:style w:type="paragraph" w:customStyle="1" w:styleId="Default">
    <w:name w:val="Default"/>
    <w:rsid w:val="00182F49"/>
    <w:pPr>
      <w:widowControl w:val="0"/>
      <w:autoSpaceDE w:val="0"/>
      <w:autoSpaceDN w:val="0"/>
      <w:adjustRightInd w:val="0"/>
    </w:pPr>
    <w:rPr>
      <w:rFonts w:ascii="Arial" w:hAnsi="Arial" w:cs="Arial"/>
      <w:color w:val="000000"/>
    </w:rPr>
  </w:style>
  <w:style w:type="paragraph" w:styleId="NormalWeb">
    <w:name w:val="Normal (Web)"/>
    <w:basedOn w:val="Normal"/>
    <w:uiPriority w:val="99"/>
    <w:unhideWhenUsed/>
    <w:rsid w:val="00FD7609"/>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450E6E"/>
    <w:rPr>
      <w:color w:val="800080" w:themeColor="followedHyperlink"/>
      <w:u w:val="single"/>
    </w:rPr>
  </w:style>
  <w:style w:type="paragraph" w:styleId="FootnoteText">
    <w:name w:val="footnote text"/>
    <w:basedOn w:val="Normal"/>
    <w:link w:val="FootnoteTextChar"/>
    <w:uiPriority w:val="99"/>
    <w:unhideWhenUsed/>
    <w:rsid w:val="00515A88"/>
    <w:rPr>
      <w:rFonts w:ascii="Verdana" w:eastAsia="Times New Roman" w:hAnsi="Verdana" w:cs="Times New Roman"/>
      <w:sz w:val="20"/>
      <w:szCs w:val="20"/>
      <w:lang w:val="en-GB"/>
    </w:rPr>
  </w:style>
  <w:style w:type="character" w:customStyle="1" w:styleId="FootnoteTextChar">
    <w:name w:val="Footnote Text Char"/>
    <w:basedOn w:val="DefaultParagraphFont"/>
    <w:link w:val="FootnoteText"/>
    <w:uiPriority w:val="99"/>
    <w:rsid w:val="00515A88"/>
    <w:rPr>
      <w:rFonts w:ascii="Verdana" w:eastAsia="Times New Roman" w:hAnsi="Verdana" w:cs="Times New Roman"/>
      <w:sz w:val="20"/>
      <w:szCs w:val="20"/>
      <w:lang w:val="en-GB"/>
    </w:rPr>
  </w:style>
  <w:style w:type="character" w:styleId="FootnoteReference">
    <w:name w:val="footnote reference"/>
    <w:uiPriority w:val="99"/>
    <w:semiHidden/>
    <w:unhideWhenUsed/>
    <w:rsid w:val="00515A88"/>
    <w:rPr>
      <w:vertAlign w:val="superscript"/>
    </w:rPr>
  </w:style>
  <w:style w:type="paragraph" w:customStyle="1" w:styleId="54Tabletext-Column1">
    <w:name w:val="5.4 Table text - Column 1"/>
    <w:basedOn w:val="Normal"/>
    <w:next w:val="Normal"/>
    <w:qFormat/>
    <w:rsid w:val="00515A88"/>
    <w:pPr>
      <w:tabs>
        <w:tab w:val="left" w:pos="709"/>
        <w:tab w:val="left" w:pos="851"/>
      </w:tabs>
      <w:spacing w:before="40" w:after="40"/>
      <w:ind w:left="40" w:right="40"/>
    </w:pPr>
    <w:rPr>
      <w:rFonts w:ascii="Verdana" w:eastAsia="Times New Roman" w:hAnsi="Verdana" w:cs="Arial"/>
      <w:color w:val="000000"/>
      <w:sz w:val="20"/>
      <w:szCs w:val="18"/>
      <w:lang w:val="en-GB" w:eastAsia="en-GB"/>
    </w:rPr>
  </w:style>
  <w:style w:type="paragraph" w:customStyle="1" w:styleId="55Tabletext-Numbercells">
    <w:name w:val="5.5 Table text - Number cells"/>
    <w:basedOn w:val="54Tabletext-Column1"/>
    <w:next w:val="Normal"/>
    <w:qFormat/>
    <w:rsid w:val="00515A88"/>
    <w:pPr>
      <w:jc w:val="right"/>
    </w:pPr>
  </w:style>
  <w:style w:type="paragraph" w:customStyle="1" w:styleId="53Tabletext-Headerrow">
    <w:name w:val="5.3 Table text - Header row"/>
    <w:basedOn w:val="54Tabletext-Column1"/>
    <w:next w:val="Normal"/>
    <w:qFormat/>
    <w:rsid w:val="00515A88"/>
    <w:pPr>
      <w:jc w:val="center"/>
    </w:pPr>
  </w:style>
  <w:style w:type="character" w:customStyle="1" w:styleId="underline">
    <w:name w:val="underline"/>
    <w:basedOn w:val="DefaultParagraphFont"/>
    <w:rsid w:val="008E7C03"/>
    <w:rPr>
      <w:u w:val="single"/>
    </w:rPr>
  </w:style>
  <w:style w:type="paragraph" w:styleId="Bibliography">
    <w:name w:val="Bibliography"/>
    <w:basedOn w:val="Normal"/>
    <w:next w:val="Normal"/>
    <w:uiPriority w:val="37"/>
    <w:unhideWhenUsed/>
    <w:rsid w:val="00191CB8"/>
    <w:pPr>
      <w:tabs>
        <w:tab w:val="left" w:pos="384"/>
      </w:tabs>
      <w:spacing w:after="240"/>
      <w:ind w:left="384" w:hanging="384"/>
    </w:pPr>
  </w:style>
  <w:style w:type="character" w:styleId="Emphasis">
    <w:name w:val="Emphasis"/>
    <w:basedOn w:val="DefaultParagraphFont"/>
    <w:uiPriority w:val="20"/>
    <w:qFormat/>
    <w:rsid w:val="00E32C71"/>
    <w:rPr>
      <w:i/>
      <w:iCs/>
    </w:rPr>
  </w:style>
  <w:style w:type="character" w:styleId="HTMLCite">
    <w:name w:val="HTML Cite"/>
    <w:basedOn w:val="DefaultParagraphFont"/>
    <w:uiPriority w:val="99"/>
    <w:semiHidden/>
    <w:unhideWhenUsed/>
    <w:rsid w:val="00606F51"/>
    <w:rPr>
      <w:i/>
      <w:iCs/>
    </w:rPr>
  </w:style>
  <w:style w:type="character" w:customStyle="1" w:styleId="slug-pub-date">
    <w:name w:val="slug-pub-date"/>
    <w:basedOn w:val="DefaultParagraphFont"/>
    <w:rsid w:val="00606F51"/>
  </w:style>
  <w:style w:type="character" w:customStyle="1" w:styleId="slug-vol">
    <w:name w:val="slug-vol"/>
    <w:basedOn w:val="DefaultParagraphFont"/>
    <w:rsid w:val="00606F51"/>
  </w:style>
  <w:style w:type="character" w:customStyle="1" w:styleId="cit-sep">
    <w:name w:val="cit-sep"/>
    <w:basedOn w:val="DefaultParagraphFont"/>
    <w:rsid w:val="00606F51"/>
  </w:style>
  <w:style w:type="character" w:customStyle="1" w:styleId="slug-pages">
    <w:name w:val="slug-pages"/>
    <w:basedOn w:val="DefaultParagraphFont"/>
    <w:rsid w:val="00606F51"/>
  </w:style>
  <w:style w:type="character" w:customStyle="1" w:styleId="slug-doi">
    <w:name w:val="slug-doi"/>
    <w:basedOn w:val="DefaultParagraphFont"/>
    <w:rsid w:val="00606F51"/>
  </w:style>
  <w:style w:type="character" w:customStyle="1" w:styleId="name">
    <w:name w:val="name"/>
    <w:basedOn w:val="DefaultParagraphFont"/>
    <w:rsid w:val="00606F51"/>
  </w:style>
  <w:style w:type="character" w:customStyle="1" w:styleId="xref-sep">
    <w:name w:val="xref-sep"/>
    <w:basedOn w:val="DefaultParagraphFont"/>
    <w:rsid w:val="00606F51"/>
  </w:style>
  <w:style w:type="paragraph" w:customStyle="1" w:styleId="EndNoteBibliography">
    <w:name w:val="EndNote Bibliography"/>
    <w:basedOn w:val="Normal"/>
    <w:link w:val="EndNoteBibliographyChar"/>
    <w:rsid w:val="00294562"/>
    <w:pPr>
      <w:spacing w:after="160"/>
    </w:pPr>
    <w:rPr>
      <w:rFonts w:ascii="Calibri" w:eastAsiaTheme="minorHAnsi" w:hAnsi="Calibri"/>
      <w:noProof/>
      <w:sz w:val="22"/>
      <w:szCs w:val="22"/>
    </w:rPr>
  </w:style>
  <w:style w:type="character" w:customStyle="1" w:styleId="EndNoteBibliographyChar">
    <w:name w:val="EndNote Bibliography Char"/>
    <w:basedOn w:val="DefaultParagraphFont"/>
    <w:link w:val="EndNoteBibliography"/>
    <w:rsid w:val="00294562"/>
    <w:rPr>
      <w:rFonts w:ascii="Calibri" w:eastAsiaTheme="minorHAns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9615">
      <w:bodyDiv w:val="1"/>
      <w:marLeft w:val="0"/>
      <w:marRight w:val="0"/>
      <w:marTop w:val="0"/>
      <w:marBottom w:val="0"/>
      <w:divBdr>
        <w:top w:val="none" w:sz="0" w:space="0" w:color="auto"/>
        <w:left w:val="none" w:sz="0" w:space="0" w:color="auto"/>
        <w:bottom w:val="none" w:sz="0" w:space="0" w:color="auto"/>
        <w:right w:val="none" w:sz="0" w:space="0" w:color="auto"/>
      </w:divBdr>
    </w:div>
    <w:div w:id="361321343">
      <w:bodyDiv w:val="1"/>
      <w:marLeft w:val="0"/>
      <w:marRight w:val="0"/>
      <w:marTop w:val="0"/>
      <w:marBottom w:val="0"/>
      <w:divBdr>
        <w:top w:val="none" w:sz="0" w:space="0" w:color="auto"/>
        <w:left w:val="none" w:sz="0" w:space="0" w:color="auto"/>
        <w:bottom w:val="none" w:sz="0" w:space="0" w:color="auto"/>
        <w:right w:val="none" w:sz="0" w:space="0" w:color="auto"/>
      </w:divBdr>
    </w:div>
    <w:div w:id="680595011">
      <w:bodyDiv w:val="1"/>
      <w:marLeft w:val="0"/>
      <w:marRight w:val="0"/>
      <w:marTop w:val="0"/>
      <w:marBottom w:val="0"/>
      <w:divBdr>
        <w:top w:val="none" w:sz="0" w:space="0" w:color="auto"/>
        <w:left w:val="none" w:sz="0" w:space="0" w:color="auto"/>
        <w:bottom w:val="none" w:sz="0" w:space="0" w:color="auto"/>
        <w:right w:val="none" w:sz="0" w:space="0" w:color="auto"/>
      </w:divBdr>
    </w:div>
    <w:div w:id="775713148">
      <w:bodyDiv w:val="1"/>
      <w:marLeft w:val="0"/>
      <w:marRight w:val="0"/>
      <w:marTop w:val="0"/>
      <w:marBottom w:val="0"/>
      <w:divBdr>
        <w:top w:val="none" w:sz="0" w:space="0" w:color="auto"/>
        <w:left w:val="none" w:sz="0" w:space="0" w:color="auto"/>
        <w:bottom w:val="none" w:sz="0" w:space="0" w:color="auto"/>
        <w:right w:val="none" w:sz="0" w:space="0" w:color="auto"/>
      </w:divBdr>
    </w:div>
    <w:div w:id="846990482">
      <w:bodyDiv w:val="1"/>
      <w:marLeft w:val="0"/>
      <w:marRight w:val="0"/>
      <w:marTop w:val="0"/>
      <w:marBottom w:val="0"/>
      <w:divBdr>
        <w:top w:val="none" w:sz="0" w:space="0" w:color="auto"/>
        <w:left w:val="none" w:sz="0" w:space="0" w:color="auto"/>
        <w:bottom w:val="none" w:sz="0" w:space="0" w:color="auto"/>
        <w:right w:val="none" w:sz="0" w:space="0" w:color="auto"/>
      </w:divBdr>
    </w:div>
    <w:div w:id="909535048">
      <w:bodyDiv w:val="1"/>
      <w:marLeft w:val="0"/>
      <w:marRight w:val="0"/>
      <w:marTop w:val="0"/>
      <w:marBottom w:val="0"/>
      <w:divBdr>
        <w:top w:val="none" w:sz="0" w:space="0" w:color="auto"/>
        <w:left w:val="none" w:sz="0" w:space="0" w:color="auto"/>
        <w:bottom w:val="none" w:sz="0" w:space="0" w:color="auto"/>
        <w:right w:val="none" w:sz="0" w:space="0" w:color="auto"/>
      </w:divBdr>
    </w:div>
    <w:div w:id="1014070034">
      <w:bodyDiv w:val="1"/>
      <w:marLeft w:val="0"/>
      <w:marRight w:val="0"/>
      <w:marTop w:val="0"/>
      <w:marBottom w:val="0"/>
      <w:divBdr>
        <w:top w:val="none" w:sz="0" w:space="0" w:color="auto"/>
        <w:left w:val="none" w:sz="0" w:space="0" w:color="auto"/>
        <w:bottom w:val="none" w:sz="0" w:space="0" w:color="auto"/>
        <w:right w:val="none" w:sz="0" w:space="0" w:color="auto"/>
      </w:divBdr>
    </w:div>
    <w:div w:id="1761830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beresford@liverpool.ac.uk" TargetMode="External"/><Relationship Id="rId13" Type="http://schemas.openxmlformats.org/officeDocument/2006/relationships/hyperlink" Target="http://www.crn.nihr.ac.uk/networ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rn.hscni.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researchscotlan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andcareresearch.gov.wales/" TargetMode="External"/><Relationship Id="rId4" Type="http://schemas.openxmlformats.org/officeDocument/2006/relationships/settings" Target="settings.xml"/><Relationship Id="rId9" Type="http://schemas.openxmlformats.org/officeDocument/2006/relationships/hyperlink" Target="https://www.crn.nihr.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9A8D-6630-4ABE-9EB8-133539E4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4575</Words>
  <Characters>26079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30593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Poustie</dc:creator>
  <cp:lastModifiedBy>Hawcutt, Daniel</cp:lastModifiedBy>
  <cp:revision>2</cp:revision>
  <dcterms:created xsi:type="dcterms:W3CDTF">2017-01-31T13:50:00Z</dcterms:created>
  <dcterms:modified xsi:type="dcterms:W3CDTF">2017-01-31T13:50:00Z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id="1WV0AhaM"/&gt;&lt;style id="http://www.zotero.org/styles/vancouver" locale="en-US"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ies>
</file>