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B3628" w14:textId="03DCC504" w:rsidR="00BF0F4F" w:rsidRPr="00424698" w:rsidRDefault="00886CA7" w:rsidP="0030432B">
      <w:pPr>
        <w:autoSpaceDE w:val="0"/>
        <w:autoSpaceDN w:val="0"/>
        <w:adjustRightInd w:val="0"/>
        <w:spacing w:after="0" w:line="360" w:lineRule="auto"/>
        <w:rPr>
          <w:rFonts w:ascii="Times New Roman" w:hAnsi="Times New Roman" w:cs="Times New Roman"/>
          <w:b/>
          <w:bCs/>
          <w:color w:val="000000"/>
          <w:sz w:val="24"/>
          <w:szCs w:val="24"/>
          <w:shd w:val="clear" w:color="auto" w:fill="FFFFFF"/>
        </w:rPr>
      </w:pPr>
      <w:r w:rsidRPr="00424698">
        <w:rPr>
          <w:rFonts w:ascii="Times New Roman" w:hAnsi="Times New Roman" w:cs="Times New Roman"/>
          <w:b/>
          <w:bCs/>
          <w:color w:val="000000"/>
          <w:sz w:val="24"/>
          <w:szCs w:val="24"/>
          <w:shd w:val="clear" w:color="auto" w:fill="FFFFFF"/>
        </w:rPr>
        <w:t>Investor Rights under EU Law and International Investment Law</w:t>
      </w:r>
    </w:p>
    <w:p w14:paraId="02E273F2" w14:textId="55A75F05" w:rsidR="00BF0F4F" w:rsidRPr="0030432B" w:rsidRDefault="006E7D4A" w:rsidP="0030432B">
      <w:pPr>
        <w:autoSpaceDE w:val="0"/>
        <w:autoSpaceDN w:val="0"/>
        <w:adjustRightInd w:val="0"/>
        <w:spacing w:after="0" w:line="360" w:lineRule="auto"/>
        <w:rPr>
          <w:rFonts w:ascii="Times New Roman" w:hAnsi="Times New Roman" w:cs="Times New Roman"/>
          <w:bCs/>
          <w:i/>
          <w:color w:val="000000"/>
          <w:sz w:val="24"/>
          <w:szCs w:val="24"/>
          <w:shd w:val="clear" w:color="auto" w:fill="FFFFFF"/>
        </w:rPr>
      </w:pPr>
      <w:r w:rsidRPr="0030432B">
        <w:rPr>
          <w:rFonts w:ascii="Times New Roman" w:hAnsi="Times New Roman" w:cs="Times New Roman"/>
          <w:bCs/>
          <w:i/>
          <w:color w:val="000000"/>
          <w:sz w:val="24"/>
          <w:szCs w:val="24"/>
          <w:shd w:val="clear" w:color="auto" w:fill="FFFFFF"/>
        </w:rPr>
        <w:t>Mavluda Sattorova</w:t>
      </w:r>
    </w:p>
    <w:p w14:paraId="4486CF06" w14:textId="762E3A14" w:rsidR="006E7D4A" w:rsidRPr="0030432B" w:rsidRDefault="006E7D4A" w:rsidP="0030432B">
      <w:pPr>
        <w:autoSpaceDE w:val="0"/>
        <w:autoSpaceDN w:val="0"/>
        <w:adjustRightInd w:val="0"/>
        <w:spacing w:after="0" w:line="360" w:lineRule="auto"/>
        <w:rPr>
          <w:rFonts w:ascii="Times New Roman" w:hAnsi="Times New Roman" w:cs="Times New Roman"/>
          <w:bCs/>
          <w:i/>
          <w:color w:val="000000"/>
          <w:sz w:val="24"/>
          <w:szCs w:val="24"/>
          <w:shd w:val="clear" w:color="auto" w:fill="FFFFFF"/>
        </w:rPr>
      </w:pPr>
      <w:r w:rsidRPr="0030432B">
        <w:rPr>
          <w:rFonts w:ascii="Times New Roman" w:hAnsi="Times New Roman" w:cs="Times New Roman"/>
          <w:bCs/>
          <w:i/>
          <w:color w:val="000000"/>
          <w:sz w:val="24"/>
          <w:szCs w:val="24"/>
          <w:shd w:val="clear" w:color="auto" w:fill="FFFFFF"/>
        </w:rPr>
        <w:t>University of Liverpool</w:t>
      </w:r>
      <w:r w:rsidR="00567CD6">
        <w:rPr>
          <w:rFonts w:ascii="Times New Roman" w:hAnsi="Times New Roman" w:cs="Times New Roman"/>
          <w:bCs/>
          <w:i/>
          <w:color w:val="000000"/>
          <w:sz w:val="24"/>
          <w:szCs w:val="24"/>
          <w:shd w:val="clear" w:color="auto" w:fill="FFFFFF"/>
        </w:rPr>
        <w:t>, United Kingdom</w:t>
      </w:r>
      <w:bookmarkStart w:id="0" w:name="_GoBack"/>
      <w:bookmarkEnd w:id="0"/>
    </w:p>
    <w:p w14:paraId="02C0F74C" w14:textId="09BCBF87" w:rsidR="00BF0F4F" w:rsidRPr="0030432B" w:rsidRDefault="00476774" w:rsidP="0030432B">
      <w:pPr>
        <w:autoSpaceDE w:val="0"/>
        <w:autoSpaceDN w:val="0"/>
        <w:adjustRightInd w:val="0"/>
        <w:spacing w:after="0" w:line="360" w:lineRule="auto"/>
        <w:rPr>
          <w:rFonts w:ascii="Times New Roman" w:hAnsi="Times New Roman" w:cs="Times New Roman"/>
          <w:bCs/>
          <w:i/>
          <w:color w:val="000000"/>
          <w:sz w:val="24"/>
          <w:szCs w:val="24"/>
          <w:shd w:val="clear" w:color="auto" w:fill="FFFFFF"/>
        </w:rPr>
      </w:pPr>
      <w:r w:rsidRPr="0030432B">
        <w:rPr>
          <w:rFonts w:ascii="Times New Roman" w:hAnsi="Times New Roman" w:cs="Times New Roman"/>
          <w:bCs/>
          <w:i/>
          <w:color w:val="000000"/>
          <w:sz w:val="24"/>
          <w:szCs w:val="24"/>
          <w:shd w:val="clear" w:color="auto" w:fill="FFFFFF"/>
        </w:rPr>
        <w:t>M.Sattorova@liverpool.ac.uk</w:t>
      </w:r>
    </w:p>
    <w:p w14:paraId="3FDBC81F" w14:textId="77777777" w:rsidR="00886CA7" w:rsidRPr="00424698" w:rsidRDefault="00886CA7" w:rsidP="0030432B">
      <w:pPr>
        <w:autoSpaceDE w:val="0"/>
        <w:autoSpaceDN w:val="0"/>
        <w:adjustRightInd w:val="0"/>
        <w:spacing w:after="0" w:line="360" w:lineRule="auto"/>
        <w:rPr>
          <w:rFonts w:ascii="Times New Roman" w:hAnsi="Times New Roman" w:cs="Times New Roman"/>
          <w:color w:val="000000" w:themeColor="text1"/>
          <w:sz w:val="24"/>
          <w:szCs w:val="24"/>
        </w:rPr>
      </w:pPr>
    </w:p>
    <w:p w14:paraId="6D9918DD" w14:textId="77777777" w:rsidR="006E7D4A" w:rsidRDefault="006E7D4A"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55BD1B2" w14:textId="77777777" w:rsidR="00BF0F4F" w:rsidRPr="0030432B" w:rsidRDefault="00BF0F4F" w:rsidP="0030432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0432B">
        <w:rPr>
          <w:rFonts w:ascii="Times New Roman" w:hAnsi="Times New Roman" w:cs="Times New Roman"/>
          <w:b/>
          <w:color w:val="000000" w:themeColor="text1"/>
          <w:sz w:val="24"/>
          <w:szCs w:val="24"/>
        </w:rPr>
        <w:t>Abstract</w:t>
      </w:r>
    </w:p>
    <w:p w14:paraId="4E88536F" w14:textId="10F5152A" w:rsidR="007058F8" w:rsidRPr="00424698" w:rsidRDefault="00926947"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Are investors entitled to the same level of protection under investment treaties and EU law?</w:t>
      </w:r>
      <w:r w:rsidR="00F00989" w:rsidRPr="00424698">
        <w:rPr>
          <w:rFonts w:ascii="Times New Roman" w:hAnsi="Times New Roman" w:cs="Times New Roman"/>
          <w:color w:val="000000" w:themeColor="text1"/>
          <w:sz w:val="24"/>
          <w:szCs w:val="24"/>
        </w:rPr>
        <w:t xml:space="preserve"> </w:t>
      </w:r>
      <w:r w:rsidR="00886CA7" w:rsidRPr="00424698">
        <w:rPr>
          <w:rFonts w:ascii="Times New Roman" w:hAnsi="Times New Roman" w:cs="Times New Roman"/>
          <w:color w:val="000000" w:themeColor="text1"/>
          <w:sz w:val="24"/>
          <w:szCs w:val="24"/>
        </w:rPr>
        <w:t xml:space="preserve">This </w:t>
      </w:r>
      <w:r w:rsidR="006B2917">
        <w:rPr>
          <w:rFonts w:ascii="Times New Roman" w:hAnsi="Times New Roman" w:cs="Times New Roman"/>
          <w:color w:val="000000" w:themeColor="text1"/>
          <w:sz w:val="24"/>
          <w:szCs w:val="24"/>
        </w:rPr>
        <w:t>article</w:t>
      </w:r>
      <w:r w:rsidR="006B2917" w:rsidRPr="00424698">
        <w:rPr>
          <w:rFonts w:ascii="Times New Roman" w:hAnsi="Times New Roman" w:cs="Times New Roman"/>
          <w:color w:val="000000" w:themeColor="text1"/>
          <w:sz w:val="24"/>
          <w:szCs w:val="24"/>
        </w:rPr>
        <w:t xml:space="preserve"> </w:t>
      </w:r>
      <w:r w:rsidR="00886CA7" w:rsidRPr="00424698">
        <w:rPr>
          <w:rFonts w:ascii="Times New Roman" w:hAnsi="Times New Roman" w:cs="Times New Roman"/>
          <w:color w:val="000000" w:themeColor="text1"/>
          <w:sz w:val="24"/>
          <w:szCs w:val="24"/>
        </w:rPr>
        <w:t xml:space="preserve">will examine some of the principal differences and overlaps in the level and scope of protection which foreign investors can enjoy under intra-EU </w:t>
      </w:r>
      <w:r w:rsidR="006B2917">
        <w:rPr>
          <w:rFonts w:ascii="Times New Roman" w:hAnsi="Times New Roman" w:cs="Times New Roman"/>
          <w:color w:val="000000" w:themeColor="text1"/>
          <w:sz w:val="24"/>
          <w:szCs w:val="24"/>
        </w:rPr>
        <w:t xml:space="preserve">international </w:t>
      </w:r>
      <w:r w:rsidR="00886CA7" w:rsidRPr="00424698">
        <w:rPr>
          <w:rFonts w:ascii="Times New Roman" w:hAnsi="Times New Roman" w:cs="Times New Roman"/>
          <w:color w:val="000000" w:themeColor="text1"/>
          <w:sz w:val="24"/>
          <w:szCs w:val="24"/>
        </w:rPr>
        <w:t>investment agreements (IIAs) and EU law. The primary focus of analysis will be on key substantive protection standards which intra-EU IIAs offer</w:t>
      </w:r>
      <w:r w:rsidR="009F0A6F" w:rsidRPr="00424698">
        <w:rPr>
          <w:rFonts w:ascii="Times New Roman" w:hAnsi="Times New Roman" w:cs="Times New Roman"/>
          <w:color w:val="000000" w:themeColor="text1"/>
          <w:sz w:val="24"/>
          <w:szCs w:val="24"/>
        </w:rPr>
        <w:t xml:space="preserve"> and their counterparts in EU law</w:t>
      </w:r>
      <w:r w:rsidR="00886CA7" w:rsidRPr="00424698">
        <w:rPr>
          <w:rFonts w:ascii="Times New Roman" w:hAnsi="Times New Roman" w:cs="Times New Roman"/>
          <w:color w:val="000000" w:themeColor="text1"/>
          <w:sz w:val="24"/>
          <w:szCs w:val="24"/>
        </w:rPr>
        <w:t>.</w:t>
      </w:r>
      <w:r w:rsidR="002E4E22" w:rsidRPr="00424698">
        <w:rPr>
          <w:rFonts w:ascii="Times New Roman" w:hAnsi="Times New Roman" w:cs="Times New Roman"/>
          <w:color w:val="000000" w:themeColor="text1"/>
          <w:sz w:val="24"/>
          <w:szCs w:val="24"/>
        </w:rPr>
        <w:t xml:space="preserve"> </w:t>
      </w:r>
      <w:r w:rsidR="007058F8" w:rsidRPr="00424698">
        <w:rPr>
          <w:rFonts w:ascii="Times New Roman" w:hAnsi="Times New Roman" w:cs="Times New Roman"/>
          <w:color w:val="000000" w:themeColor="text1"/>
          <w:sz w:val="24"/>
          <w:szCs w:val="24"/>
        </w:rPr>
        <w:t xml:space="preserve">Comparative analysis of intra-EU investment treaties with EU rules on investment protection offers a fresh opportunity to revisit the origins and history of international investment agreement, </w:t>
      </w:r>
      <w:r w:rsidR="00FE1C57" w:rsidRPr="00424698">
        <w:rPr>
          <w:rFonts w:ascii="Times New Roman" w:hAnsi="Times New Roman" w:cs="Times New Roman"/>
          <w:color w:val="000000" w:themeColor="text1"/>
          <w:sz w:val="24"/>
          <w:szCs w:val="24"/>
        </w:rPr>
        <w:t xml:space="preserve">trace </w:t>
      </w:r>
      <w:r w:rsidR="007058F8" w:rsidRPr="00424698">
        <w:rPr>
          <w:rFonts w:ascii="Times New Roman" w:hAnsi="Times New Roman" w:cs="Times New Roman"/>
          <w:color w:val="000000" w:themeColor="text1"/>
          <w:sz w:val="24"/>
          <w:szCs w:val="24"/>
        </w:rPr>
        <w:t>their recent transformation and</w:t>
      </w:r>
      <w:r w:rsidR="00FE1C57" w:rsidRPr="00424698">
        <w:rPr>
          <w:rFonts w:ascii="Times New Roman" w:hAnsi="Times New Roman" w:cs="Times New Roman"/>
          <w:color w:val="000000" w:themeColor="text1"/>
          <w:sz w:val="24"/>
          <w:szCs w:val="24"/>
        </w:rPr>
        <w:t xml:space="preserve"> analyse their</w:t>
      </w:r>
      <w:r w:rsidR="007058F8" w:rsidRPr="00424698">
        <w:rPr>
          <w:rFonts w:ascii="Times New Roman" w:hAnsi="Times New Roman" w:cs="Times New Roman"/>
          <w:color w:val="000000" w:themeColor="text1"/>
          <w:sz w:val="24"/>
          <w:szCs w:val="24"/>
        </w:rPr>
        <w:t xml:space="preserve"> interactions with other international and supranational rules to which investors can also resort to protect their economic rights vis-à-vis host states.</w:t>
      </w:r>
    </w:p>
    <w:p w14:paraId="10C370F5" w14:textId="77777777" w:rsidR="00053AA3" w:rsidRDefault="00053AA3"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4D12E56" w14:textId="77777777" w:rsidR="00BF0F4F" w:rsidRPr="0030432B" w:rsidRDefault="00BF0F4F" w:rsidP="0030432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0432B">
        <w:rPr>
          <w:rFonts w:ascii="Times New Roman" w:hAnsi="Times New Roman" w:cs="Times New Roman"/>
          <w:b/>
          <w:color w:val="000000" w:themeColor="text1"/>
          <w:sz w:val="24"/>
          <w:szCs w:val="24"/>
        </w:rPr>
        <w:t>Keywords</w:t>
      </w:r>
    </w:p>
    <w:p w14:paraId="57EB7015" w14:textId="7D2433B4" w:rsidR="00BF0F4F" w:rsidRDefault="005938F7"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EU—</w:t>
      </w:r>
      <w:r w:rsidRPr="00593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fundamental rights</w:t>
      </w:r>
      <w:r w:rsidR="000B38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investment treaties</w:t>
      </w:r>
      <w:r w:rsidR="000B387D">
        <w:rPr>
          <w:rFonts w:ascii="Times New Roman" w:hAnsi="Times New Roman" w:cs="Times New Roman"/>
          <w:color w:val="000000" w:themeColor="text1"/>
          <w:sz w:val="24"/>
          <w:szCs w:val="24"/>
        </w:rPr>
        <w:t xml:space="preserve"> – public policy </w:t>
      </w:r>
    </w:p>
    <w:p w14:paraId="7E37C378" w14:textId="77777777" w:rsidR="00BF0F4F" w:rsidRPr="00424698" w:rsidRDefault="00BF0F4F"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2115AF9" w14:textId="2AD5D977" w:rsidR="00053AA3" w:rsidRPr="006B2917" w:rsidRDefault="0016634E" w:rsidP="0030432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506B1">
        <w:rPr>
          <w:rFonts w:ascii="Times New Roman" w:hAnsi="Times New Roman" w:cs="Times New Roman"/>
          <w:b/>
          <w:color w:val="000000" w:themeColor="text1"/>
          <w:sz w:val="24"/>
          <w:szCs w:val="24"/>
        </w:rPr>
        <w:t xml:space="preserve">1 </w:t>
      </w:r>
      <w:r w:rsidR="006B2917">
        <w:rPr>
          <w:rFonts w:ascii="Times New Roman" w:hAnsi="Times New Roman" w:cs="Times New Roman"/>
          <w:b/>
          <w:color w:val="000000" w:themeColor="text1"/>
          <w:sz w:val="24"/>
          <w:szCs w:val="24"/>
        </w:rPr>
        <w:tab/>
      </w:r>
      <w:r w:rsidR="00053AA3" w:rsidRPr="001506B1">
        <w:rPr>
          <w:rFonts w:ascii="Times New Roman" w:hAnsi="Times New Roman" w:cs="Times New Roman"/>
          <w:b/>
          <w:color w:val="000000" w:themeColor="text1"/>
          <w:sz w:val="24"/>
          <w:szCs w:val="24"/>
        </w:rPr>
        <w:t>Background</w:t>
      </w:r>
    </w:p>
    <w:p w14:paraId="566AE114" w14:textId="182C739B" w:rsidR="002952D3" w:rsidRPr="00424698" w:rsidRDefault="002C1B7F"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The majority of intra-EU </w:t>
      </w:r>
      <w:r w:rsidR="006B2917">
        <w:rPr>
          <w:rFonts w:ascii="Times New Roman" w:hAnsi="Times New Roman" w:cs="Times New Roman"/>
          <w:color w:val="000000" w:themeColor="text1"/>
          <w:sz w:val="24"/>
          <w:szCs w:val="24"/>
        </w:rPr>
        <w:t xml:space="preserve">international </w:t>
      </w:r>
      <w:r w:rsidR="006B2917" w:rsidRPr="00424698">
        <w:rPr>
          <w:rFonts w:ascii="Times New Roman" w:hAnsi="Times New Roman" w:cs="Times New Roman"/>
          <w:color w:val="000000" w:themeColor="text1"/>
          <w:sz w:val="24"/>
          <w:szCs w:val="24"/>
        </w:rPr>
        <w:t xml:space="preserve">investment agreements </w:t>
      </w:r>
      <w:r w:rsidR="006B2917">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rPr>
        <w:t>IIAs</w:t>
      </w:r>
      <w:r w:rsidR="006B2917">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rPr>
        <w:t xml:space="preserve"> belong to the so-called first generation of investment agreements. Romania, for instance, signed its first IIA with the United Kingdom in 1976, shortly followed by a string of treaties with other European countries such as France, Germany and Belgium-Luxembourg Economic Union.</w:t>
      </w:r>
      <w:r w:rsidR="007D75CB" w:rsidRPr="00424698">
        <w:rPr>
          <w:rStyle w:val="FootnoteReference"/>
          <w:rFonts w:ascii="Times New Roman" w:hAnsi="Times New Roman" w:cs="Times New Roman"/>
          <w:color w:val="000000" w:themeColor="text1"/>
          <w:sz w:val="24"/>
          <w:szCs w:val="24"/>
        </w:rPr>
        <w:footnoteReference w:id="1"/>
      </w:r>
      <w:r w:rsidRPr="00424698">
        <w:rPr>
          <w:rFonts w:ascii="Times New Roman" w:hAnsi="Times New Roman" w:cs="Times New Roman"/>
          <w:color w:val="000000" w:themeColor="text1"/>
          <w:sz w:val="24"/>
          <w:szCs w:val="24"/>
        </w:rPr>
        <w:t xml:space="preserve"> Hungary’s first investment treaty with what is now an EU member state was signed in 1986, marking the </w:t>
      </w:r>
      <w:r w:rsidR="004E39D4" w:rsidRPr="00424698">
        <w:rPr>
          <w:rFonts w:ascii="Times New Roman" w:hAnsi="Times New Roman" w:cs="Times New Roman"/>
          <w:color w:val="000000" w:themeColor="text1"/>
          <w:sz w:val="24"/>
          <w:szCs w:val="24"/>
        </w:rPr>
        <w:t>beginning of a prolifi</w:t>
      </w:r>
      <w:r w:rsidR="00E24BB6" w:rsidRPr="00424698">
        <w:rPr>
          <w:rFonts w:ascii="Times New Roman" w:hAnsi="Times New Roman" w:cs="Times New Roman"/>
          <w:color w:val="000000" w:themeColor="text1"/>
          <w:sz w:val="24"/>
          <w:szCs w:val="24"/>
        </w:rPr>
        <w:t xml:space="preserve">c treaty-making activity </w:t>
      </w:r>
      <w:r w:rsidR="004E39D4" w:rsidRPr="00424698">
        <w:rPr>
          <w:rFonts w:ascii="Times New Roman" w:hAnsi="Times New Roman" w:cs="Times New Roman"/>
          <w:color w:val="000000" w:themeColor="text1"/>
          <w:sz w:val="24"/>
          <w:szCs w:val="24"/>
        </w:rPr>
        <w:t>which resulted in more than 13 treaties with ca</w:t>
      </w:r>
      <w:r w:rsidR="00FE1C57" w:rsidRPr="00424698">
        <w:rPr>
          <w:rFonts w:ascii="Times New Roman" w:hAnsi="Times New Roman" w:cs="Times New Roman"/>
          <w:color w:val="000000" w:themeColor="text1"/>
          <w:sz w:val="24"/>
          <w:szCs w:val="24"/>
        </w:rPr>
        <w:t>pital-exporting European states.</w:t>
      </w:r>
      <w:r w:rsidR="007D75CB" w:rsidRPr="00424698">
        <w:rPr>
          <w:rStyle w:val="FootnoteReference"/>
          <w:rFonts w:ascii="Times New Roman" w:hAnsi="Times New Roman" w:cs="Times New Roman"/>
          <w:color w:val="000000" w:themeColor="text1"/>
          <w:sz w:val="24"/>
          <w:szCs w:val="24"/>
        </w:rPr>
        <w:footnoteReference w:id="2"/>
      </w:r>
      <w:r w:rsidR="009931B0" w:rsidRPr="00424698">
        <w:rPr>
          <w:rFonts w:ascii="Times New Roman" w:hAnsi="Times New Roman" w:cs="Times New Roman"/>
          <w:color w:val="000000" w:themeColor="text1"/>
          <w:sz w:val="24"/>
          <w:szCs w:val="24"/>
        </w:rPr>
        <w:t xml:space="preserve"> Intra-EU </w:t>
      </w:r>
      <w:r w:rsidR="00E24BB6" w:rsidRPr="00424698">
        <w:rPr>
          <w:rFonts w:ascii="Times New Roman" w:hAnsi="Times New Roman" w:cs="Times New Roman"/>
          <w:color w:val="000000" w:themeColor="text1"/>
          <w:sz w:val="24"/>
          <w:szCs w:val="24"/>
        </w:rPr>
        <w:t xml:space="preserve">IIAs </w:t>
      </w:r>
      <w:r w:rsidR="009931B0" w:rsidRPr="00424698">
        <w:rPr>
          <w:rFonts w:ascii="Times New Roman" w:hAnsi="Times New Roman" w:cs="Times New Roman"/>
          <w:color w:val="000000" w:themeColor="text1"/>
          <w:sz w:val="24"/>
          <w:szCs w:val="24"/>
        </w:rPr>
        <w:t>are characterised by a considerable measure of homogeneity in terms of their structure, content, and objectives, which is not surprising given their largely shared</w:t>
      </w:r>
      <w:r w:rsidR="00AA3A93" w:rsidRPr="00424698">
        <w:rPr>
          <w:rFonts w:ascii="Times New Roman" w:hAnsi="Times New Roman" w:cs="Times New Roman"/>
          <w:color w:val="000000" w:themeColor="text1"/>
          <w:sz w:val="24"/>
          <w:szCs w:val="24"/>
        </w:rPr>
        <w:t xml:space="preserve"> </w:t>
      </w:r>
      <w:r w:rsidR="009931B0" w:rsidRPr="00424698">
        <w:rPr>
          <w:rFonts w:ascii="Times New Roman" w:hAnsi="Times New Roman" w:cs="Times New Roman"/>
          <w:color w:val="000000" w:themeColor="text1"/>
          <w:sz w:val="24"/>
          <w:szCs w:val="24"/>
        </w:rPr>
        <w:t>historical origins in the Abs-Shawcross Convention and the OECD Draft</w:t>
      </w:r>
      <w:r w:rsidR="00AA3A93" w:rsidRPr="00424698">
        <w:rPr>
          <w:rFonts w:ascii="Times New Roman" w:hAnsi="Times New Roman" w:cs="Times New Roman"/>
          <w:color w:val="000000" w:themeColor="text1"/>
          <w:sz w:val="24"/>
          <w:szCs w:val="24"/>
        </w:rPr>
        <w:t xml:space="preserve"> </w:t>
      </w:r>
      <w:r w:rsidR="009931B0" w:rsidRPr="00424698">
        <w:rPr>
          <w:rFonts w:ascii="Times New Roman" w:hAnsi="Times New Roman" w:cs="Times New Roman"/>
          <w:color w:val="000000" w:themeColor="text1"/>
          <w:sz w:val="24"/>
          <w:szCs w:val="24"/>
        </w:rPr>
        <w:t xml:space="preserve">Convention </w:t>
      </w:r>
      <w:r w:rsidR="009931B0" w:rsidRPr="00424698">
        <w:rPr>
          <w:rFonts w:ascii="Times New Roman" w:hAnsi="Times New Roman" w:cs="Times New Roman"/>
          <w:color w:val="000000" w:themeColor="text1"/>
          <w:sz w:val="24"/>
          <w:szCs w:val="24"/>
        </w:rPr>
        <w:lastRenderedPageBreak/>
        <w:t>on the Protection of Foreign Property.</w:t>
      </w:r>
      <w:r w:rsidR="009931B0" w:rsidRPr="00424698">
        <w:rPr>
          <w:rStyle w:val="FootnoteReference"/>
          <w:rFonts w:ascii="Times New Roman" w:hAnsi="Times New Roman" w:cs="Times New Roman"/>
          <w:color w:val="000000" w:themeColor="text1"/>
          <w:sz w:val="24"/>
          <w:szCs w:val="24"/>
        </w:rPr>
        <w:footnoteReference w:id="3"/>
      </w:r>
      <w:r w:rsidR="00AA3A93" w:rsidRPr="00424698">
        <w:rPr>
          <w:rFonts w:ascii="Times New Roman" w:hAnsi="Times New Roman" w:cs="Times New Roman"/>
          <w:color w:val="000000" w:themeColor="text1"/>
          <w:sz w:val="24"/>
          <w:szCs w:val="24"/>
        </w:rPr>
        <w:t xml:space="preserve"> Just like other </w:t>
      </w:r>
      <w:r w:rsidR="00F73964" w:rsidRPr="00424698">
        <w:rPr>
          <w:rFonts w:ascii="Times New Roman" w:hAnsi="Times New Roman" w:cs="Times New Roman"/>
          <w:color w:val="000000" w:themeColor="text1"/>
          <w:sz w:val="24"/>
          <w:szCs w:val="24"/>
        </w:rPr>
        <w:t xml:space="preserve">first generation </w:t>
      </w:r>
      <w:r w:rsidR="00AA3A93" w:rsidRPr="00424698">
        <w:rPr>
          <w:rFonts w:ascii="Times New Roman" w:hAnsi="Times New Roman" w:cs="Times New Roman"/>
          <w:color w:val="000000" w:themeColor="text1"/>
          <w:sz w:val="24"/>
          <w:szCs w:val="24"/>
        </w:rPr>
        <w:t xml:space="preserve">investment treaties, intra-EU IIAs were aimed at filling the gaps in the customary international law and protecting investments from capital-exporting European states into developing countries of Central and Eastern Europe. </w:t>
      </w:r>
      <w:r w:rsidR="00BF323F" w:rsidRPr="00424698">
        <w:rPr>
          <w:rFonts w:ascii="Times New Roman" w:hAnsi="Times New Roman" w:cs="Times New Roman"/>
          <w:color w:val="000000" w:themeColor="text1"/>
          <w:sz w:val="24"/>
          <w:szCs w:val="24"/>
        </w:rPr>
        <w:t>Alongside the traditional arsenal of investment protection standards, such as the non-discrimination and fair and equitable treatment standards and the expropriation clause, these IIAs provided for</w:t>
      </w:r>
      <w:r w:rsidR="009931B0" w:rsidRPr="00424698">
        <w:rPr>
          <w:rFonts w:ascii="Times New Roman" w:hAnsi="Times New Roman" w:cs="Times New Roman"/>
          <w:color w:val="000000" w:themeColor="text1"/>
          <w:sz w:val="24"/>
          <w:szCs w:val="24"/>
        </w:rPr>
        <w:t xml:space="preserve"> invest</w:t>
      </w:r>
      <w:r w:rsidR="00BF323F" w:rsidRPr="00424698">
        <w:rPr>
          <w:rFonts w:ascii="Times New Roman" w:hAnsi="Times New Roman" w:cs="Times New Roman"/>
          <w:color w:val="000000" w:themeColor="text1"/>
          <w:sz w:val="24"/>
          <w:szCs w:val="24"/>
        </w:rPr>
        <w:t>or-state</w:t>
      </w:r>
      <w:r w:rsidR="009931B0" w:rsidRPr="00424698">
        <w:rPr>
          <w:rFonts w:ascii="Times New Roman" w:hAnsi="Times New Roman" w:cs="Times New Roman"/>
          <w:color w:val="000000" w:themeColor="text1"/>
          <w:sz w:val="24"/>
          <w:szCs w:val="24"/>
        </w:rPr>
        <w:t xml:space="preserve"> arbitration </w:t>
      </w:r>
      <w:r w:rsidR="00BF323F" w:rsidRPr="00424698">
        <w:rPr>
          <w:rFonts w:ascii="Times New Roman" w:hAnsi="Times New Roman" w:cs="Times New Roman"/>
          <w:color w:val="000000" w:themeColor="text1"/>
          <w:sz w:val="24"/>
          <w:szCs w:val="24"/>
        </w:rPr>
        <w:t>so as to</w:t>
      </w:r>
      <w:r w:rsidR="009931B0" w:rsidRPr="00424698">
        <w:rPr>
          <w:rFonts w:ascii="Times New Roman" w:hAnsi="Times New Roman" w:cs="Times New Roman"/>
          <w:color w:val="000000" w:themeColor="text1"/>
          <w:sz w:val="24"/>
          <w:szCs w:val="24"/>
        </w:rPr>
        <w:t xml:space="preserve"> depoliticize dispute settlement and to ensure</w:t>
      </w:r>
      <w:r w:rsidR="00BF323F" w:rsidRPr="00424698">
        <w:rPr>
          <w:rFonts w:ascii="Times New Roman" w:hAnsi="Times New Roman" w:cs="Times New Roman"/>
          <w:color w:val="000000" w:themeColor="text1"/>
          <w:sz w:val="24"/>
          <w:szCs w:val="24"/>
        </w:rPr>
        <w:t xml:space="preserve"> </w:t>
      </w:r>
      <w:r w:rsidR="009931B0" w:rsidRPr="00424698">
        <w:rPr>
          <w:rFonts w:ascii="Times New Roman" w:hAnsi="Times New Roman" w:cs="Times New Roman"/>
          <w:color w:val="000000" w:themeColor="text1"/>
          <w:sz w:val="24"/>
          <w:szCs w:val="24"/>
        </w:rPr>
        <w:t>equality of arms between fo</w:t>
      </w:r>
      <w:r w:rsidR="00BF323F" w:rsidRPr="00424698">
        <w:rPr>
          <w:rFonts w:ascii="Times New Roman" w:hAnsi="Times New Roman" w:cs="Times New Roman"/>
          <w:color w:val="000000" w:themeColor="text1"/>
          <w:sz w:val="24"/>
          <w:szCs w:val="24"/>
        </w:rPr>
        <w:t>reign investors and host states.</w:t>
      </w:r>
      <w:r w:rsidR="00BF323F" w:rsidRPr="00424698">
        <w:rPr>
          <w:rStyle w:val="FootnoteReference"/>
          <w:rFonts w:ascii="Times New Roman" w:hAnsi="Times New Roman" w:cs="Times New Roman"/>
          <w:color w:val="000000" w:themeColor="text1"/>
          <w:sz w:val="24"/>
          <w:szCs w:val="24"/>
        </w:rPr>
        <w:footnoteReference w:id="4"/>
      </w:r>
      <w:r w:rsidR="009931B0" w:rsidRPr="00424698">
        <w:rPr>
          <w:rFonts w:ascii="Times New Roman" w:hAnsi="Times New Roman" w:cs="Times New Roman"/>
          <w:color w:val="000000" w:themeColor="text1"/>
          <w:sz w:val="24"/>
          <w:szCs w:val="24"/>
        </w:rPr>
        <w:t xml:space="preserve"> </w:t>
      </w:r>
      <w:r w:rsidR="00B01796" w:rsidRPr="00424698">
        <w:rPr>
          <w:rFonts w:ascii="Times New Roman" w:hAnsi="Times New Roman" w:cs="Times New Roman"/>
          <w:color w:val="000000" w:themeColor="text1"/>
          <w:sz w:val="24"/>
          <w:szCs w:val="24"/>
        </w:rPr>
        <w:t>While exhibiting a certain degree of variance in their substantive and procedural terms, intra-EU IIAs could indeed be regarded as offering ‘a surprisingly uniform protection against political risk.’</w:t>
      </w:r>
      <w:r w:rsidR="00B01796" w:rsidRPr="00424698">
        <w:rPr>
          <w:rStyle w:val="FootnoteReference"/>
          <w:rFonts w:ascii="Times New Roman" w:hAnsi="Times New Roman" w:cs="Times New Roman"/>
          <w:color w:val="000000" w:themeColor="text1"/>
          <w:sz w:val="24"/>
          <w:szCs w:val="24"/>
        </w:rPr>
        <w:footnoteReference w:id="5"/>
      </w:r>
      <w:r w:rsidR="00B01796" w:rsidRPr="00424698">
        <w:rPr>
          <w:rFonts w:ascii="Times New Roman" w:hAnsi="Times New Roman" w:cs="Times New Roman"/>
          <w:color w:val="000000" w:themeColor="text1"/>
          <w:sz w:val="24"/>
          <w:szCs w:val="24"/>
        </w:rPr>
        <w:t xml:space="preserve"> </w:t>
      </w:r>
    </w:p>
    <w:p w14:paraId="6C74CB71" w14:textId="13758E19" w:rsidR="00B01796" w:rsidRPr="00424698" w:rsidRDefault="00F73964"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Concerns over the applicability and scope of </w:t>
      </w:r>
      <w:r w:rsidR="00007420" w:rsidRPr="00424698">
        <w:rPr>
          <w:rFonts w:ascii="Times New Roman" w:hAnsi="Times New Roman" w:cs="Times New Roman"/>
          <w:color w:val="000000" w:themeColor="text1"/>
          <w:sz w:val="24"/>
          <w:szCs w:val="24"/>
        </w:rPr>
        <w:t xml:space="preserve">intra-EU IIAs became particularly amplified following a steadily growing number of arbitrations instigated under such treaties and the post-Lisbon transfer of competence over FDI from EU member states to the European Commission. In </w:t>
      </w:r>
      <w:r w:rsidR="00007420" w:rsidRPr="00424698">
        <w:rPr>
          <w:rFonts w:ascii="Times New Roman" w:hAnsi="Times New Roman" w:cs="Times New Roman"/>
          <w:i/>
          <w:color w:val="000000" w:themeColor="text1"/>
          <w:sz w:val="24"/>
          <w:szCs w:val="24"/>
        </w:rPr>
        <w:t xml:space="preserve">Eureko v </w:t>
      </w:r>
      <w:r w:rsidR="00B31D11" w:rsidRPr="00424698">
        <w:rPr>
          <w:rFonts w:ascii="Times New Roman" w:hAnsi="Times New Roman" w:cs="Times New Roman"/>
          <w:i/>
          <w:color w:val="000000" w:themeColor="text1"/>
          <w:sz w:val="24"/>
          <w:szCs w:val="24"/>
        </w:rPr>
        <w:t>Slovak</w:t>
      </w:r>
      <w:r w:rsidR="00007420" w:rsidRPr="00424698">
        <w:rPr>
          <w:rFonts w:ascii="Times New Roman" w:hAnsi="Times New Roman" w:cs="Times New Roman"/>
          <w:i/>
          <w:color w:val="000000" w:themeColor="text1"/>
          <w:sz w:val="24"/>
          <w:szCs w:val="24"/>
        </w:rPr>
        <w:t xml:space="preserve"> Republic</w:t>
      </w:r>
      <w:r w:rsidR="00007420" w:rsidRPr="00424698">
        <w:rPr>
          <w:rFonts w:ascii="Times New Roman" w:hAnsi="Times New Roman" w:cs="Times New Roman"/>
          <w:color w:val="000000" w:themeColor="text1"/>
          <w:sz w:val="24"/>
          <w:szCs w:val="24"/>
        </w:rPr>
        <w:t xml:space="preserve">, the Commission called into question the continued existence of intra-EU IIAs, branding them as an </w:t>
      </w:r>
      <w:r w:rsidR="006B2917">
        <w:rPr>
          <w:rFonts w:ascii="Times New Roman" w:hAnsi="Times New Roman" w:cs="Times New Roman"/>
          <w:color w:val="000000" w:themeColor="text1"/>
          <w:sz w:val="24"/>
          <w:szCs w:val="24"/>
        </w:rPr>
        <w:t>‘</w:t>
      </w:r>
      <w:r w:rsidR="00007420" w:rsidRPr="00424698">
        <w:rPr>
          <w:rFonts w:ascii="Times New Roman" w:hAnsi="Times New Roman" w:cs="Times New Roman"/>
          <w:color w:val="000000" w:themeColor="text1"/>
          <w:sz w:val="24"/>
          <w:szCs w:val="24"/>
        </w:rPr>
        <w:t>anomaly within the EU internal market</w:t>
      </w:r>
      <w:r w:rsidR="006B2917">
        <w:rPr>
          <w:rFonts w:ascii="Times New Roman" w:hAnsi="Times New Roman" w:cs="Times New Roman"/>
          <w:color w:val="000000" w:themeColor="text1"/>
          <w:sz w:val="24"/>
          <w:szCs w:val="24"/>
        </w:rPr>
        <w:t>’</w:t>
      </w:r>
      <w:r w:rsidR="00007420" w:rsidRPr="00424698">
        <w:rPr>
          <w:rFonts w:ascii="Times New Roman" w:hAnsi="Times New Roman" w:cs="Times New Roman"/>
          <w:color w:val="000000" w:themeColor="text1"/>
          <w:sz w:val="24"/>
          <w:szCs w:val="24"/>
        </w:rPr>
        <w:t xml:space="preserve"> due to an overlap between the protections afforded under such treaties and the internal market provisions in EU Law.</w:t>
      </w:r>
      <w:r w:rsidR="00007420" w:rsidRPr="00424698">
        <w:rPr>
          <w:rStyle w:val="FootnoteReference"/>
          <w:rFonts w:ascii="Times New Roman" w:hAnsi="Times New Roman" w:cs="Times New Roman"/>
          <w:color w:val="000000" w:themeColor="text1"/>
          <w:sz w:val="24"/>
          <w:szCs w:val="24"/>
        </w:rPr>
        <w:footnoteReference w:id="6"/>
      </w:r>
      <w:r w:rsidR="004D27F7" w:rsidRPr="00424698">
        <w:rPr>
          <w:rFonts w:ascii="Times New Roman" w:hAnsi="Times New Roman" w:cs="Times New Roman"/>
          <w:color w:val="000000" w:themeColor="text1"/>
          <w:sz w:val="24"/>
          <w:szCs w:val="24"/>
        </w:rPr>
        <w:t xml:space="preserve"> The Czech Republic, for its part, also argued that the intra-EU IIAs and the EU internal market provisions </w:t>
      </w:r>
      <w:r w:rsidR="00DA4F73">
        <w:rPr>
          <w:rFonts w:ascii="Times New Roman" w:hAnsi="Times New Roman" w:cs="Times New Roman"/>
          <w:color w:val="000000" w:themeColor="text1"/>
          <w:sz w:val="24"/>
          <w:szCs w:val="24"/>
        </w:rPr>
        <w:t>‘</w:t>
      </w:r>
      <w:r w:rsidR="004D27F7" w:rsidRPr="00424698">
        <w:rPr>
          <w:rFonts w:ascii="Times New Roman" w:hAnsi="Times New Roman" w:cs="Times New Roman"/>
          <w:color w:val="000000" w:themeColor="text1"/>
          <w:sz w:val="24"/>
          <w:szCs w:val="24"/>
        </w:rPr>
        <w:t>cover the same types of investors and investments, serve the same purposes, offer the same standards of protection, and provide for equivalent remedies.</w:t>
      </w:r>
      <w:r w:rsidR="00DA4F73">
        <w:rPr>
          <w:rFonts w:ascii="Times New Roman" w:hAnsi="Times New Roman" w:cs="Times New Roman"/>
          <w:color w:val="000000" w:themeColor="text1"/>
          <w:sz w:val="24"/>
          <w:szCs w:val="24"/>
        </w:rPr>
        <w:t>’</w:t>
      </w:r>
      <w:r w:rsidR="004D27F7" w:rsidRPr="00424698">
        <w:rPr>
          <w:rStyle w:val="FootnoteReference"/>
          <w:rFonts w:ascii="Times New Roman" w:hAnsi="Times New Roman" w:cs="Times New Roman"/>
          <w:color w:val="000000" w:themeColor="text1"/>
          <w:sz w:val="24"/>
          <w:szCs w:val="24"/>
        </w:rPr>
        <w:footnoteReference w:id="7"/>
      </w:r>
      <w:r w:rsidR="00B6623E" w:rsidRPr="00424698">
        <w:rPr>
          <w:rFonts w:ascii="Times New Roman" w:hAnsi="Times New Roman" w:cs="Times New Roman"/>
          <w:color w:val="000000" w:themeColor="text1"/>
          <w:sz w:val="24"/>
          <w:szCs w:val="24"/>
        </w:rPr>
        <w:t xml:space="preserve"> Likewise, in </w:t>
      </w:r>
      <w:r w:rsidR="00B6623E" w:rsidRPr="00424698">
        <w:rPr>
          <w:rFonts w:ascii="Times New Roman" w:hAnsi="Times New Roman" w:cs="Times New Roman"/>
          <w:bCs/>
          <w:i/>
          <w:color w:val="000000" w:themeColor="text1"/>
          <w:sz w:val="24"/>
          <w:szCs w:val="24"/>
        </w:rPr>
        <w:t>Commission v Republic of Slovakia</w:t>
      </w:r>
      <w:r w:rsidR="00B6623E" w:rsidRPr="00424698">
        <w:rPr>
          <w:rFonts w:ascii="Times New Roman" w:hAnsi="Times New Roman" w:cs="Times New Roman"/>
          <w:bCs/>
          <w:color w:val="000000" w:themeColor="text1"/>
          <w:sz w:val="24"/>
          <w:szCs w:val="24"/>
        </w:rPr>
        <w:t>,</w:t>
      </w:r>
      <w:r w:rsidR="00B6623E" w:rsidRPr="00424698">
        <w:rPr>
          <w:rFonts w:ascii="Times New Roman" w:hAnsi="Times New Roman" w:cs="Times New Roman"/>
          <w:color w:val="000000" w:themeColor="text1"/>
          <w:sz w:val="24"/>
          <w:szCs w:val="24"/>
        </w:rPr>
        <w:t xml:space="preserve"> the European Commission claimed that ‘there is no conflict between EU law and the Investment Protection Agreement itself because there is nothing in the Investment Protection Agreement that is incompatible with EU law.’</w:t>
      </w:r>
      <w:r w:rsidR="00B6623E" w:rsidRPr="00424698">
        <w:rPr>
          <w:rStyle w:val="FootnoteReference"/>
          <w:rFonts w:ascii="Times New Roman" w:hAnsi="Times New Roman" w:cs="Times New Roman"/>
          <w:color w:val="000000" w:themeColor="text1"/>
          <w:sz w:val="24"/>
          <w:szCs w:val="24"/>
        </w:rPr>
        <w:footnoteReference w:id="8"/>
      </w:r>
    </w:p>
    <w:p w14:paraId="528B054F" w14:textId="77777777" w:rsidR="006B2917" w:rsidRDefault="004D27F7"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The question of an overlap between intra-EU IIAs and EU internal market disciplines is of practical and normative significance for a number of reasons. First, if the intra-EU IIAs and </w:t>
      </w:r>
      <w:r w:rsidRPr="00424698">
        <w:rPr>
          <w:rFonts w:ascii="Times New Roman" w:hAnsi="Times New Roman" w:cs="Times New Roman"/>
          <w:color w:val="000000" w:themeColor="text1"/>
          <w:sz w:val="24"/>
          <w:szCs w:val="24"/>
        </w:rPr>
        <w:lastRenderedPageBreak/>
        <w:t xml:space="preserve">EU treaties were to cover the same protections and offer the same remedies, under Article 59 VCLT the intra-EU IIAs would be effectively terminated </w:t>
      </w:r>
      <w:r w:rsidR="00E40855" w:rsidRPr="00424698">
        <w:rPr>
          <w:rFonts w:ascii="Times New Roman" w:hAnsi="Times New Roman" w:cs="Times New Roman"/>
          <w:color w:val="000000" w:themeColor="text1"/>
          <w:sz w:val="24"/>
          <w:szCs w:val="24"/>
        </w:rPr>
        <w:t xml:space="preserve">upon the accession by a relevant new </w:t>
      </w:r>
      <w:r w:rsidRPr="00424698">
        <w:rPr>
          <w:rFonts w:ascii="Times New Roman" w:hAnsi="Times New Roman" w:cs="Times New Roman"/>
          <w:color w:val="000000" w:themeColor="text1"/>
          <w:sz w:val="24"/>
          <w:szCs w:val="24"/>
        </w:rPr>
        <w:t>member state to</w:t>
      </w:r>
      <w:r w:rsidR="00E40855" w:rsidRPr="00424698">
        <w:rPr>
          <w:rFonts w:ascii="Times New Roman" w:hAnsi="Times New Roman" w:cs="Times New Roman"/>
          <w:color w:val="000000" w:themeColor="text1"/>
          <w:sz w:val="24"/>
          <w:szCs w:val="24"/>
        </w:rPr>
        <w:t xml:space="preserve"> the EU.</w:t>
      </w:r>
      <w:r w:rsidR="00E40855" w:rsidRPr="00424698">
        <w:rPr>
          <w:rStyle w:val="FootnoteReference"/>
          <w:rFonts w:ascii="Times New Roman" w:hAnsi="Times New Roman" w:cs="Times New Roman"/>
          <w:color w:val="000000" w:themeColor="text1"/>
          <w:sz w:val="24"/>
          <w:szCs w:val="24"/>
        </w:rPr>
        <w:footnoteReference w:id="9"/>
      </w:r>
      <w:r w:rsidR="006D3AB0" w:rsidRPr="00424698">
        <w:rPr>
          <w:rFonts w:ascii="Times New Roman" w:hAnsi="Times New Roman" w:cs="Times New Roman"/>
          <w:color w:val="000000" w:themeColor="text1"/>
          <w:sz w:val="24"/>
          <w:szCs w:val="24"/>
        </w:rPr>
        <w:t xml:space="preserve"> This calls into question the future of one of the most important regional and sectoral investment agreements – the Energy Charter Treaty which is akin to an intra-EU IIA in that it has EU member states among its signatories.</w:t>
      </w:r>
      <w:r w:rsidR="00B31D11" w:rsidRPr="00424698">
        <w:rPr>
          <w:rStyle w:val="FootnoteReference"/>
          <w:rFonts w:ascii="Times New Roman" w:hAnsi="Times New Roman" w:cs="Times New Roman"/>
          <w:color w:val="000000" w:themeColor="text1"/>
          <w:sz w:val="24"/>
          <w:szCs w:val="24"/>
        </w:rPr>
        <w:footnoteReference w:id="10"/>
      </w:r>
      <w:r w:rsidR="00E40855" w:rsidRPr="00424698">
        <w:rPr>
          <w:rFonts w:ascii="Times New Roman" w:hAnsi="Times New Roman" w:cs="Times New Roman"/>
          <w:color w:val="000000" w:themeColor="text1"/>
          <w:sz w:val="24"/>
          <w:szCs w:val="24"/>
        </w:rPr>
        <w:t xml:space="preserve"> </w:t>
      </w:r>
      <w:r w:rsidR="00CE6B33" w:rsidRPr="00424698">
        <w:rPr>
          <w:rFonts w:ascii="Times New Roman" w:hAnsi="Times New Roman" w:cs="Times New Roman"/>
          <w:color w:val="000000" w:themeColor="text1"/>
          <w:sz w:val="24"/>
          <w:szCs w:val="24"/>
        </w:rPr>
        <w:t xml:space="preserve">Alternatively, the continued co-existence of intra-EU IIAs and EU treaties creates ample scope for conflict given the existing differences in the scope of protection they afford to investors. For instance, as observed by Kleinheisterkamp, </w:t>
      </w:r>
      <w:r w:rsidR="00E24BB6" w:rsidRPr="00424698">
        <w:rPr>
          <w:rFonts w:ascii="Times New Roman" w:hAnsi="Times New Roman" w:cs="Times New Roman"/>
          <w:color w:val="000000" w:themeColor="text1"/>
          <w:sz w:val="24"/>
          <w:szCs w:val="24"/>
        </w:rPr>
        <w:t>‘</w:t>
      </w:r>
      <w:r w:rsidR="00E40855" w:rsidRPr="00424698">
        <w:rPr>
          <w:rFonts w:ascii="Times New Roman" w:hAnsi="Times New Roman" w:cs="Times New Roman"/>
          <w:color w:val="000000" w:themeColor="text1"/>
          <w:sz w:val="24"/>
          <w:szCs w:val="24"/>
        </w:rPr>
        <w:t>EU investor rights come with</w:t>
      </w:r>
      <w:r w:rsidR="00CE6B33" w:rsidRPr="00424698">
        <w:rPr>
          <w:rFonts w:ascii="Times New Roman" w:hAnsi="Times New Roman" w:cs="Times New Roman"/>
          <w:color w:val="000000" w:themeColor="text1"/>
          <w:sz w:val="24"/>
          <w:szCs w:val="24"/>
        </w:rPr>
        <w:t xml:space="preserve"> </w:t>
      </w:r>
      <w:r w:rsidR="00E40855" w:rsidRPr="00424698">
        <w:rPr>
          <w:rFonts w:ascii="Times New Roman" w:hAnsi="Times New Roman" w:cs="Times New Roman"/>
          <w:color w:val="000000" w:themeColor="text1"/>
          <w:sz w:val="24"/>
          <w:szCs w:val="24"/>
        </w:rPr>
        <w:t>much more, albeit qualified and strictly framed, ‘policy space’ than the</w:t>
      </w:r>
      <w:r w:rsidR="00CE6B33" w:rsidRPr="00424698">
        <w:rPr>
          <w:rFonts w:ascii="Times New Roman" w:hAnsi="Times New Roman" w:cs="Times New Roman"/>
          <w:color w:val="000000" w:themeColor="text1"/>
          <w:sz w:val="24"/>
          <w:szCs w:val="24"/>
        </w:rPr>
        <w:t xml:space="preserve"> </w:t>
      </w:r>
      <w:r w:rsidR="00E40855" w:rsidRPr="00424698">
        <w:rPr>
          <w:rFonts w:ascii="Times New Roman" w:hAnsi="Times New Roman" w:cs="Times New Roman"/>
          <w:color w:val="000000" w:themeColor="text1"/>
          <w:sz w:val="24"/>
          <w:szCs w:val="24"/>
        </w:rPr>
        <w:t>BITs or the ECT</w:t>
      </w:r>
      <w:r w:rsidR="00E24BB6" w:rsidRPr="00424698">
        <w:rPr>
          <w:rFonts w:ascii="Times New Roman" w:hAnsi="Times New Roman" w:cs="Times New Roman"/>
          <w:color w:val="000000" w:themeColor="text1"/>
          <w:sz w:val="24"/>
          <w:szCs w:val="24"/>
        </w:rPr>
        <w:t>’ and ‘</w:t>
      </w:r>
      <w:r w:rsidR="00CE6B33" w:rsidRPr="00424698">
        <w:rPr>
          <w:rFonts w:ascii="Times New Roman" w:hAnsi="Times New Roman" w:cs="Times New Roman"/>
          <w:color w:val="000000" w:themeColor="text1"/>
          <w:sz w:val="24"/>
          <w:szCs w:val="24"/>
        </w:rPr>
        <w:t>i</w:t>
      </w:r>
      <w:r w:rsidR="00E40855" w:rsidRPr="00424698">
        <w:rPr>
          <w:rFonts w:ascii="Times New Roman" w:hAnsi="Times New Roman" w:cs="Times New Roman"/>
          <w:color w:val="000000" w:themeColor="text1"/>
          <w:sz w:val="24"/>
          <w:szCs w:val="24"/>
        </w:rPr>
        <w:t>t is difficult to conceive how the unqualified</w:t>
      </w:r>
      <w:r w:rsidR="00CE6B33" w:rsidRPr="00424698">
        <w:rPr>
          <w:rFonts w:ascii="Times New Roman" w:hAnsi="Times New Roman" w:cs="Times New Roman"/>
          <w:color w:val="000000" w:themeColor="text1"/>
          <w:sz w:val="24"/>
          <w:szCs w:val="24"/>
        </w:rPr>
        <w:t xml:space="preserve"> </w:t>
      </w:r>
      <w:r w:rsidR="00E40855" w:rsidRPr="00424698">
        <w:rPr>
          <w:rFonts w:ascii="Times New Roman" w:hAnsi="Times New Roman" w:cs="Times New Roman"/>
          <w:color w:val="000000" w:themeColor="text1"/>
          <w:sz w:val="24"/>
          <w:szCs w:val="24"/>
        </w:rPr>
        <w:t>investment treaty standards can be applied at the same time as the qualified</w:t>
      </w:r>
      <w:r w:rsidR="00CE6B33" w:rsidRPr="00424698">
        <w:rPr>
          <w:rFonts w:ascii="Times New Roman" w:hAnsi="Times New Roman" w:cs="Times New Roman"/>
          <w:color w:val="000000" w:themeColor="text1"/>
          <w:sz w:val="24"/>
          <w:szCs w:val="24"/>
        </w:rPr>
        <w:t xml:space="preserve"> </w:t>
      </w:r>
      <w:r w:rsidR="00E24BB6" w:rsidRPr="00424698">
        <w:rPr>
          <w:rFonts w:ascii="Times New Roman" w:hAnsi="Times New Roman" w:cs="Times New Roman"/>
          <w:color w:val="000000" w:themeColor="text1"/>
          <w:sz w:val="24"/>
          <w:szCs w:val="24"/>
        </w:rPr>
        <w:t>EU standards.’</w:t>
      </w:r>
      <w:r w:rsidR="00E40855" w:rsidRPr="00424698">
        <w:rPr>
          <w:rStyle w:val="FootnoteReference"/>
          <w:rFonts w:ascii="Times New Roman" w:hAnsi="Times New Roman" w:cs="Times New Roman"/>
          <w:color w:val="000000" w:themeColor="text1"/>
          <w:sz w:val="24"/>
          <w:szCs w:val="24"/>
        </w:rPr>
        <w:footnoteReference w:id="11"/>
      </w:r>
    </w:p>
    <w:p w14:paraId="57ADA184" w14:textId="1FD9008B" w:rsidR="00E40855" w:rsidRPr="00424698" w:rsidRDefault="00C31559"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On the other hand, if intra-EU IIAs were to be terminated, the qu</w:t>
      </w:r>
      <w:r w:rsidR="00795643" w:rsidRPr="00424698">
        <w:rPr>
          <w:rFonts w:ascii="Times New Roman" w:hAnsi="Times New Roman" w:cs="Times New Roman"/>
          <w:color w:val="000000" w:themeColor="text1"/>
          <w:sz w:val="24"/>
          <w:szCs w:val="24"/>
        </w:rPr>
        <w:t xml:space="preserve">estion arises as to whether </w:t>
      </w:r>
      <w:r w:rsidRPr="00424698">
        <w:rPr>
          <w:rFonts w:ascii="Times New Roman" w:hAnsi="Times New Roman" w:cs="Times New Roman"/>
          <w:color w:val="000000" w:themeColor="text1"/>
          <w:sz w:val="24"/>
          <w:szCs w:val="24"/>
        </w:rPr>
        <w:t xml:space="preserve">EU law </w:t>
      </w:r>
      <w:r w:rsidR="00795643" w:rsidRPr="00424698">
        <w:rPr>
          <w:rFonts w:ascii="Times New Roman" w:hAnsi="Times New Roman" w:cs="Times New Roman"/>
          <w:color w:val="000000" w:themeColor="text1"/>
          <w:sz w:val="24"/>
          <w:szCs w:val="24"/>
        </w:rPr>
        <w:t>p</w:t>
      </w:r>
      <w:r w:rsidRPr="00424698">
        <w:rPr>
          <w:rFonts w:ascii="Times New Roman" w:hAnsi="Times New Roman" w:cs="Times New Roman"/>
          <w:color w:val="000000" w:themeColor="text1"/>
          <w:sz w:val="24"/>
          <w:szCs w:val="24"/>
        </w:rPr>
        <w:t>rovides sufficiently effective protections to foreign investors – particularly in the light of the fact that the rising number of intra-EU arbitration cases appear to suggest that investors perceive IIA rights and remedies to be more effective than</w:t>
      </w:r>
      <w:r w:rsidR="00B632FE" w:rsidRPr="00424698">
        <w:rPr>
          <w:rFonts w:ascii="Times New Roman" w:hAnsi="Times New Roman" w:cs="Times New Roman"/>
          <w:color w:val="000000" w:themeColor="text1"/>
          <w:sz w:val="24"/>
          <w:szCs w:val="24"/>
        </w:rPr>
        <w:t xml:space="preserve"> the rights and remedies </w:t>
      </w:r>
      <w:r w:rsidRPr="00424698">
        <w:rPr>
          <w:rFonts w:ascii="Times New Roman" w:hAnsi="Times New Roman" w:cs="Times New Roman"/>
          <w:color w:val="000000" w:themeColor="text1"/>
          <w:sz w:val="24"/>
          <w:szCs w:val="24"/>
        </w:rPr>
        <w:t>afforded under EU law.</w:t>
      </w:r>
      <w:r w:rsidR="006D3AB0" w:rsidRPr="00424698">
        <w:rPr>
          <w:rFonts w:ascii="Times New Roman" w:hAnsi="Times New Roman" w:cs="Times New Roman"/>
          <w:color w:val="000000" w:themeColor="text1"/>
          <w:sz w:val="24"/>
          <w:szCs w:val="24"/>
        </w:rPr>
        <w:t xml:space="preserve"> </w:t>
      </w:r>
      <w:r w:rsidR="00E24BB6" w:rsidRPr="00424698">
        <w:rPr>
          <w:rFonts w:ascii="Times New Roman" w:hAnsi="Times New Roman" w:cs="Times New Roman"/>
          <w:color w:val="000000" w:themeColor="text1"/>
          <w:sz w:val="24"/>
          <w:szCs w:val="24"/>
        </w:rPr>
        <w:t xml:space="preserve">Likewise, </w:t>
      </w:r>
      <w:r w:rsidR="00B632FE" w:rsidRPr="00424698">
        <w:rPr>
          <w:rFonts w:ascii="Times New Roman" w:hAnsi="Times New Roman" w:cs="Times New Roman"/>
          <w:color w:val="000000" w:themeColor="text1"/>
          <w:sz w:val="24"/>
          <w:szCs w:val="24"/>
        </w:rPr>
        <w:t>a</w:t>
      </w:r>
      <w:r w:rsidR="00E24BB6" w:rsidRPr="00424698">
        <w:rPr>
          <w:rFonts w:ascii="Times New Roman" w:hAnsi="Times New Roman" w:cs="Times New Roman"/>
          <w:color w:val="000000" w:themeColor="text1"/>
          <w:sz w:val="24"/>
          <w:szCs w:val="24"/>
        </w:rPr>
        <w:t xml:space="preserve"> recent proposal </w:t>
      </w:r>
      <w:r w:rsidR="00B632FE" w:rsidRPr="00424698">
        <w:rPr>
          <w:rFonts w:ascii="Times New Roman" w:hAnsi="Times New Roman" w:cs="Times New Roman"/>
          <w:color w:val="000000" w:themeColor="text1"/>
          <w:sz w:val="24"/>
          <w:szCs w:val="24"/>
        </w:rPr>
        <w:t>endorsed by</w:t>
      </w:r>
      <w:r w:rsidR="00E24BB6" w:rsidRPr="00424698">
        <w:rPr>
          <w:rFonts w:ascii="Times New Roman" w:hAnsi="Times New Roman" w:cs="Times New Roman"/>
          <w:color w:val="000000" w:themeColor="text1"/>
          <w:sz w:val="24"/>
          <w:szCs w:val="24"/>
        </w:rPr>
        <w:t xml:space="preserve"> Austria, Finland, France, Germany and the Netherlands</w:t>
      </w:r>
      <w:r w:rsidR="00B632FE" w:rsidRPr="00424698">
        <w:rPr>
          <w:rFonts w:ascii="Times New Roman" w:hAnsi="Times New Roman" w:cs="Times New Roman"/>
          <w:color w:val="000000" w:themeColor="text1"/>
          <w:sz w:val="24"/>
          <w:szCs w:val="24"/>
        </w:rPr>
        <w:t xml:space="preserve"> </w:t>
      </w:r>
      <w:r w:rsidR="001C2DE0" w:rsidRPr="00424698">
        <w:rPr>
          <w:rFonts w:ascii="Times New Roman" w:hAnsi="Times New Roman" w:cs="Times New Roman"/>
          <w:color w:val="000000" w:themeColor="text1"/>
          <w:sz w:val="24"/>
          <w:szCs w:val="24"/>
        </w:rPr>
        <w:t>has expressed</w:t>
      </w:r>
      <w:r w:rsidR="00B632FE" w:rsidRPr="00424698">
        <w:rPr>
          <w:rFonts w:ascii="Times New Roman" w:hAnsi="Times New Roman" w:cs="Times New Roman"/>
          <w:color w:val="000000" w:themeColor="text1"/>
          <w:sz w:val="24"/>
          <w:szCs w:val="24"/>
        </w:rPr>
        <w:t xml:space="preserve"> a concern that a termination of intra-EU IIAs would leave their investors in the EU without appropriate substantive and procedural protections.</w:t>
      </w:r>
      <w:r w:rsidR="00B632FE" w:rsidRPr="00424698">
        <w:rPr>
          <w:rStyle w:val="FootnoteReference"/>
          <w:rFonts w:ascii="Times New Roman" w:hAnsi="Times New Roman" w:cs="Times New Roman"/>
          <w:color w:val="000000" w:themeColor="text1"/>
          <w:sz w:val="24"/>
          <w:szCs w:val="24"/>
        </w:rPr>
        <w:footnoteReference w:id="12"/>
      </w:r>
      <w:r w:rsidR="00B632FE" w:rsidRPr="00424698">
        <w:rPr>
          <w:rFonts w:ascii="Times New Roman" w:hAnsi="Times New Roman" w:cs="Times New Roman"/>
          <w:color w:val="000000" w:themeColor="text1"/>
          <w:sz w:val="24"/>
          <w:szCs w:val="24"/>
        </w:rPr>
        <w:t xml:space="preserve"> The proposal can thus be seen as a reflection of a </w:t>
      </w:r>
      <w:r w:rsidR="00886CA7" w:rsidRPr="00424698">
        <w:rPr>
          <w:rFonts w:ascii="Times New Roman" w:hAnsi="Times New Roman" w:cs="Times New Roman"/>
          <w:color w:val="000000" w:themeColor="text1"/>
          <w:sz w:val="24"/>
          <w:szCs w:val="24"/>
        </w:rPr>
        <w:t xml:space="preserve">rather sceptical </w:t>
      </w:r>
      <w:r w:rsidR="00B632FE" w:rsidRPr="00424698">
        <w:rPr>
          <w:rFonts w:ascii="Times New Roman" w:hAnsi="Times New Roman" w:cs="Times New Roman"/>
          <w:color w:val="000000" w:themeColor="text1"/>
          <w:sz w:val="24"/>
          <w:szCs w:val="24"/>
        </w:rPr>
        <w:t xml:space="preserve">view shared by the capital-exporting </w:t>
      </w:r>
      <w:r w:rsidR="00886CA7" w:rsidRPr="00424698">
        <w:rPr>
          <w:rFonts w:ascii="Times New Roman" w:hAnsi="Times New Roman" w:cs="Times New Roman"/>
          <w:color w:val="000000" w:themeColor="text1"/>
          <w:sz w:val="24"/>
          <w:szCs w:val="24"/>
        </w:rPr>
        <w:t>member states of the EU</w:t>
      </w:r>
      <w:r w:rsidR="00B632FE" w:rsidRPr="00424698">
        <w:rPr>
          <w:rFonts w:ascii="Times New Roman" w:hAnsi="Times New Roman" w:cs="Times New Roman"/>
          <w:color w:val="000000" w:themeColor="text1"/>
          <w:sz w:val="24"/>
          <w:szCs w:val="24"/>
        </w:rPr>
        <w:t xml:space="preserve"> about the effectiveness of protection afforded to investors under EU law. </w:t>
      </w:r>
      <w:r w:rsidR="005733B3" w:rsidRPr="00424698">
        <w:rPr>
          <w:rFonts w:ascii="Times New Roman" w:hAnsi="Times New Roman" w:cs="Times New Roman"/>
          <w:color w:val="000000" w:themeColor="text1"/>
          <w:sz w:val="24"/>
          <w:szCs w:val="24"/>
        </w:rPr>
        <w:t xml:space="preserve">Finally, the fact that, despite a significant overlap, the protections </w:t>
      </w:r>
      <w:r w:rsidR="00B632FE" w:rsidRPr="00424698">
        <w:rPr>
          <w:rFonts w:ascii="Times New Roman" w:hAnsi="Times New Roman" w:cs="Times New Roman"/>
          <w:color w:val="000000" w:themeColor="text1"/>
          <w:sz w:val="24"/>
          <w:szCs w:val="24"/>
        </w:rPr>
        <w:t>contained</w:t>
      </w:r>
      <w:r w:rsidR="005733B3" w:rsidRPr="00424698">
        <w:rPr>
          <w:rFonts w:ascii="Times New Roman" w:hAnsi="Times New Roman" w:cs="Times New Roman"/>
          <w:color w:val="000000" w:themeColor="text1"/>
          <w:sz w:val="24"/>
          <w:szCs w:val="24"/>
        </w:rPr>
        <w:t xml:space="preserve"> in intra-EU IIAs and EU law respectively are characterised by a number of differences warrants an inquiry into historical and normative explanations behind the existing disparities.</w:t>
      </w:r>
    </w:p>
    <w:p w14:paraId="7397E95D" w14:textId="77777777" w:rsidR="00D90204" w:rsidRPr="00424698" w:rsidRDefault="00D90204"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7803996" w14:textId="651198B2" w:rsidR="0016634E" w:rsidRPr="001506B1" w:rsidRDefault="0016634E" w:rsidP="0030432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506B1">
        <w:rPr>
          <w:rFonts w:ascii="Times New Roman" w:hAnsi="Times New Roman" w:cs="Times New Roman"/>
          <w:b/>
          <w:color w:val="000000" w:themeColor="text1"/>
          <w:sz w:val="24"/>
          <w:szCs w:val="24"/>
        </w:rPr>
        <w:t xml:space="preserve">2 </w:t>
      </w:r>
      <w:r w:rsidR="006B2917">
        <w:rPr>
          <w:rFonts w:ascii="Times New Roman" w:hAnsi="Times New Roman" w:cs="Times New Roman"/>
          <w:b/>
          <w:color w:val="000000" w:themeColor="text1"/>
          <w:sz w:val="24"/>
          <w:szCs w:val="24"/>
        </w:rPr>
        <w:tab/>
      </w:r>
      <w:r w:rsidR="00D90204" w:rsidRPr="001506B1">
        <w:rPr>
          <w:rFonts w:ascii="Times New Roman" w:hAnsi="Times New Roman" w:cs="Times New Roman"/>
          <w:b/>
          <w:color w:val="000000" w:themeColor="text1"/>
          <w:sz w:val="24"/>
          <w:szCs w:val="24"/>
        </w:rPr>
        <w:t xml:space="preserve">Investor </w:t>
      </w:r>
      <w:r w:rsidR="006B2917">
        <w:rPr>
          <w:rFonts w:ascii="Times New Roman" w:hAnsi="Times New Roman" w:cs="Times New Roman"/>
          <w:b/>
          <w:color w:val="000000" w:themeColor="text1"/>
          <w:sz w:val="24"/>
          <w:szCs w:val="24"/>
        </w:rPr>
        <w:t>R</w:t>
      </w:r>
      <w:r w:rsidR="00D90204" w:rsidRPr="001506B1">
        <w:rPr>
          <w:rFonts w:ascii="Times New Roman" w:hAnsi="Times New Roman" w:cs="Times New Roman"/>
          <w:b/>
          <w:color w:val="000000" w:themeColor="text1"/>
          <w:sz w:val="24"/>
          <w:szCs w:val="24"/>
        </w:rPr>
        <w:t xml:space="preserve">ights under </w:t>
      </w:r>
      <w:r w:rsidR="006B2917">
        <w:rPr>
          <w:rFonts w:ascii="Times New Roman" w:hAnsi="Times New Roman" w:cs="Times New Roman"/>
          <w:b/>
          <w:color w:val="000000" w:themeColor="text1"/>
          <w:sz w:val="24"/>
          <w:szCs w:val="24"/>
        </w:rPr>
        <w:t>I</w:t>
      </w:r>
      <w:r w:rsidR="00D90204" w:rsidRPr="001506B1">
        <w:rPr>
          <w:rFonts w:ascii="Times New Roman" w:hAnsi="Times New Roman" w:cs="Times New Roman"/>
          <w:b/>
          <w:color w:val="000000" w:themeColor="text1"/>
          <w:sz w:val="24"/>
          <w:szCs w:val="24"/>
        </w:rPr>
        <w:t xml:space="preserve">ntra-EU IIAs and EU </w:t>
      </w:r>
      <w:r w:rsidR="006B2917">
        <w:rPr>
          <w:rFonts w:ascii="Times New Roman" w:hAnsi="Times New Roman" w:cs="Times New Roman"/>
          <w:b/>
          <w:color w:val="000000" w:themeColor="text1"/>
          <w:sz w:val="24"/>
          <w:szCs w:val="24"/>
        </w:rPr>
        <w:t>L</w:t>
      </w:r>
      <w:r w:rsidR="00D90204" w:rsidRPr="001506B1">
        <w:rPr>
          <w:rFonts w:ascii="Times New Roman" w:hAnsi="Times New Roman" w:cs="Times New Roman"/>
          <w:b/>
          <w:color w:val="000000" w:themeColor="text1"/>
          <w:sz w:val="24"/>
          <w:szCs w:val="24"/>
        </w:rPr>
        <w:t>aw</w:t>
      </w:r>
    </w:p>
    <w:p w14:paraId="79074C52" w14:textId="1397BDC3" w:rsidR="00D90204" w:rsidRPr="00424698" w:rsidRDefault="0016634E"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30432B">
        <w:rPr>
          <w:rFonts w:ascii="Times New Roman" w:hAnsi="Times New Roman" w:cs="Times New Roman"/>
          <w:b/>
          <w:color w:val="000000" w:themeColor="text1"/>
          <w:sz w:val="24"/>
          <w:szCs w:val="24"/>
        </w:rPr>
        <w:t>2.1</w:t>
      </w:r>
      <w:r w:rsidR="00D90204" w:rsidRPr="0016634E">
        <w:rPr>
          <w:rFonts w:ascii="Times New Roman" w:hAnsi="Times New Roman" w:cs="Times New Roman"/>
          <w:color w:val="000000" w:themeColor="text1"/>
          <w:sz w:val="24"/>
          <w:szCs w:val="24"/>
        </w:rPr>
        <w:t xml:space="preserve"> </w:t>
      </w:r>
      <w:r w:rsidRPr="0030432B">
        <w:rPr>
          <w:rFonts w:ascii="Times New Roman" w:hAnsi="Times New Roman" w:cs="Times New Roman"/>
          <w:b/>
          <w:i/>
          <w:color w:val="000000" w:themeColor="text1"/>
          <w:sz w:val="24"/>
          <w:szCs w:val="24"/>
        </w:rPr>
        <w:t>T</w:t>
      </w:r>
      <w:r w:rsidR="00D90204" w:rsidRPr="0030432B">
        <w:rPr>
          <w:rFonts w:ascii="Times New Roman" w:hAnsi="Times New Roman" w:cs="Times New Roman"/>
          <w:b/>
          <w:i/>
          <w:color w:val="000000" w:themeColor="text1"/>
          <w:sz w:val="24"/>
          <w:szCs w:val="24"/>
        </w:rPr>
        <w:t xml:space="preserve">he </w:t>
      </w:r>
      <w:r w:rsidR="006B2917">
        <w:rPr>
          <w:rFonts w:ascii="Times New Roman" w:hAnsi="Times New Roman" w:cs="Times New Roman"/>
          <w:b/>
          <w:i/>
          <w:color w:val="000000" w:themeColor="text1"/>
          <w:sz w:val="24"/>
          <w:szCs w:val="24"/>
        </w:rPr>
        <w:t>P</w:t>
      </w:r>
      <w:r w:rsidR="00D90204" w:rsidRPr="0030432B">
        <w:rPr>
          <w:rFonts w:ascii="Times New Roman" w:hAnsi="Times New Roman" w:cs="Times New Roman"/>
          <w:b/>
          <w:i/>
          <w:color w:val="000000" w:themeColor="text1"/>
          <w:sz w:val="24"/>
          <w:szCs w:val="24"/>
        </w:rPr>
        <w:t xml:space="preserve">rohibition of </w:t>
      </w:r>
      <w:r w:rsidR="006B2917">
        <w:rPr>
          <w:rFonts w:ascii="Times New Roman" w:hAnsi="Times New Roman" w:cs="Times New Roman"/>
          <w:b/>
          <w:i/>
          <w:color w:val="000000" w:themeColor="text1"/>
          <w:sz w:val="24"/>
          <w:szCs w:val="24"/>
        </w:rPr>
        <w:t>D</w:t>
      </w:r>
      <w:r w:rsidR="00D90204" w:rsidRPr="0030432B">
        <w:rPr>
          <w:rFonts w:ascii="Times New Roman" w:hAnsi="Times New Roman" w:cs="Times New Roman"/>
          <w:b/>
          <w:i/>
          <w:color w:val="000000" w:themeColor="text1"/>
          <w:sz w:val="24"/>
          <w:szCs w:val="24"/>
        </w:rPr>
        <w:t xml:space="preserve">iscriminatory </w:t>
      </w:r>
      <w:r w:rsidR="006B2917">
        <w:rPr>
          <w:rFonts w:ascii="Times New Roman" w:hAnsi="Times New Roman" w:cs="Times New Roman"/>
          <w:b/>
          <w:i/>
          <w:color w:val="000000" w:themeColor="text1"/>
          <w:sz w:val="24"/>
          <w:szCs w:val="24"/>
        </w:rPr>
        <w:t>T</w:t>
      </w:r>
      <w:r w:rsidR="00D90204" w:rsidRPr="0030432B">
        <w:rPr>
          <w:rFonts w:ascii="Times New Roman" w:hAnsi="Times New Roman" w:cs="Times New Roman"/>
          <w:b/>
          <w:i/>
          <w:color w:val="000000" w:themeColor="text1"/>
          <w:sz w:val="24"/>
          <w:szCs w:val="24"/>
        </w:rPr>
        <w:t>reatment</w:t>
      </w:r>
    </w:p>
    <w:p w14:paraId="536DC33E" w14:textId="1EEB2BE2" w:rsidR="001A6BD5" w:rsidRPr="00424698" w:rsidRDefault="00795643" w:rsidP="0030432B">
      <w:pPr>
        <w:autoSpaceDE w:val="0"/>
        <w:autoSpaceDN w:val="0"/>
        <w:adjustRightInd w:val="0"/>
        <w:spacing w:after="0" w:line="360" w:lineRule="auto"/>
        <w:jc w:val="both"/>
        <w:rPr>
          <w:rFonts w:ascii="Times New Roman" w:hAnsi="Times New Roman" w:cs="Times New Roman"/>
          <w:sz w:val="24"/>
          <w:szCs w:val="24"/>
        </w:rPr>
      </w:pPr>
      <w:r w:rsidRPr="00424698">
        <w:rPr>
          <w:rFonts w:ascii="Times New Roman" w:hAnsi="Times New Roman" w:cs="Times New Roman"/>
          <w:color w:val="000000" w:themeColor="text1"/>
          <w:sz w:val="24"/>
          <w:szCs w:val="24"/>
        </w:rPr>
        <w:lastRenderedPageBreak/>
        <w:t>To begin with, what are the primary sites of overlap between intra-EU IIAs and EU law? The question has already received some attention in recent arbitral jurisprudence and legal scholarship.</w:t>
      </w:r>
      <w:r w:rsidR="00F132D5" w:rsidRPr="00424698">
        <w:rPr>
          <w:rStyle w:val="FootnoteReference"/>
          <w:rFonts w:ascii="Times New Roman" w:hAnsi="Times New Roman" w:cs="Times New Roman"/>
          <w:color w:val="000000" w:themeColor="text1"/>
          <w:sz w:val="24"/>
          <w:szCs w:val="24"/>
        </w:rPr>
        <w:footnoteReference w:id="13"/>
      </w:r>
      <w:r w:rsidRPr="00424698">
        <w:rPr>
          <w:rFonts w:ascii="Times New Roman" w:hAnsi="Times New Roman" w:cs="Times New Roman"/>
          <w:color w:val="000000" w:themeColor="text1"/>
          <w:sz w:val="24"/>
          <w:szCs w:val="24"/>
        </w:rPr>
        <w:t xml:space="preserve"> One of the core protections enshrined in IIAs is the </w:t>
      </w:r>
      <w:r w:rsidR="00AF66D5" w:rsidRPr="00424698">
        <w:rPr>
          <w:rFonts w:ascii="Times New Roman" w:hAnsi="Times New Roman" w:cs="Times New Roman"/>
          <w:color w:val="000000" w:themeColor="text1"/>
          <w:sz w:val="24"/>
          <w:szCs w:val="24"/>
        </w:rPr>
        <w:t>guarantee</w:t>
      </w:r>
      <w:r w:rsidRPr="00424698">
        <w:rPr>
          <w:rFonts w:ascii="Times New Roman" w:hAnsi="Times New Roman" w:cs="Times New Roman"/>
          <w:color w:val="000000" w:themeColor="text1"/>
          <w:sz w:val="24"/>
          <w:szCs w:val="24"/>
        </w:rPr>
        <w:t xml:space="preserve"> of non-discrimination which variously manifests itself through such provisions as national treatment and the prohibitions of arbitrary and discriminatory treatment. For instance, Article 3(1) of the Netherlands–</w:t>
      </w:r>
      <w:r w:rsidR="00AF66D5" w:rsidRPr="00424698">
        <w:rPr>
          <w:rFonts w:ascii="Times New Roman" w:hAnsi="Times New Roman" w:cs="Times New Roman"/>
          <w:color w:val="000000" w:themeColor="text1"/>
          <w:sz w:val="24"/>
          <w:szCs w:val="24"/>
        </w:rPr>
        <w:t xml:space="preserve">Czech </w:t>
      </w:r>
      <w:r w:rsidR="006B2917">
        <w:rPr>
          <w:rFonts w:ascii="Times New Roman" w:hAnsi="Times New Roman" w:cs="Times New Roman"/>
          <w:color w:val="000000" w:themeColor="text1"/>
          <w:sz w:val="24"/>
          <w:szCs w:val="24"/>
        </w:rPr>
        <w:t xml:space="preserve">Republic </w:t>
      </w:r>
      <w:r w:rsidR="00AF66D5" w:rsidRPr="00424698">
        <w:rPr>
          <w:rFonts w:ascii="Times New Roman" w:hAnsi="Times New Roman" w:cs="Times New Roman"/>
          <w:color w:val="000000" w:themeColor="text1"/>
          <w:sz w:val="24"/>
          <w:szCs w:val="24"/>
        </w:rPr>
        <w:t>BIT requires host states ‘</w:t>
      </w:r>
      <w:r w:rsidRPr="00424698">
        <w:rPr>
          <w:rFonts w:ascii="Times New Roman" w:hAnsi="Times New Roman" w:cs="Times New Roman"/>
          <w:color w:val="000000" w:themeColor="text1"/>
          <w:sz w:val="24"/>
          <w:szCs w:val="24"/>
        </w:rPr>
        <w:t>not to impair, by unreasonable or discriminatory measures, the operation, management, maintena</w:t>
      </w:r>
      <w:r w:rsidR="00AF66D5" w:rsidRPr="00424698">
        <w:rPr>
          <w:rFonts w:ascii="Times New Roman" w:hAnsi="Times New Roman" w:cs="Times New Roman"/>
          <w:color w:val="000000" w:themeColor="text1"/>
          <w:sz w:val="24"/>
          <w:szCs w:val="24"/>
        </w:rPr>
        <w:t>nce, use, enjoyment or disposal’</w:t>
      </w:r>
      <w:r w:rsidRPr="00424698">
        <w:rPr>
          <w:rFonts w:ascii="Times New Roman" w:hAnsi="Times New Roman" w:cs="Times New Roman"/>
          <w:color w:val="000000" w:themeColor="text1"/>
          <w:sz w:val="24"/>
          <w:szCs w:val="24"/>
        </w:rPr>
        <w:t xml:space="preserve"> of an investment.</w:t>
      </w:r>
      <w:r w:rsidR="009203AD"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 xml:space="preserve">The principle of non-discrimination occupies a centrepiece </w:t>
      </w:r>
      <w:r w:rsidR="00346C7A" w:rsidRPr="00424698">
        <w:rPr>
          <w:rFonts w:ascii="Times New Roman" w:hAnsi="Times New Roman" w:cs="Times New Roman"/>
          <w:color w:val="000000" w:themeColor="text1"/>
          <w:sz w:val="24"/>
          <w:szCs w:val="24"/>
        </w:rPr>
        <w:t xml:space="preserve">in EU law. First, Article 18 TFEU prohibits </w:t>
      </w:r>
      <w:r w:rsidR="00346C7A" w:rsidRPr="00424698">
        <w:rPr>
          <w:rFonts w:ascii="Times New Roman" w:hAnsi="Times New Roman" w:cs="Times New Roman"/>
          <w:color w:val="000000" w:themeColor="text1"/>
          <w:sz w:val="24"/>
          <w:szCs w:val="24"/>
          <w:shd w:val="clear" w:color="auto" w:fill="FFFFFF"/>
        </w:rPr>
        <w:t>any discrimination on grounds of nationality. The guarantee of non-discriminatory treatment also underpins EU provisions on free movement of goods, services, persons and capital as well as the provisions on the freedom of establishment.</w:t>
      </w:r>
      <w:r w:rsidR="00346C7A" w:rsidRPr="00424698">
        <w:rPr>
          <w:rStyle w:val="FootnoteReference"/>
          <w:rFonts w:ascii="Times New Roman" w:hAnsi="Times New Roman" w:cs="Times New Roman"/>
          <w:color w:val="000000" w:themeColor="text1"/>
          <w:sz w:val="24"/>
          <w:szCs w:val="24"/>
          <w:shd w:val="clear" w:color="auto" w:fill="FFFFFF"/>
        </w:rPr>
        <w:footnoteReference w:id="14"/>
      </w:r>
      <w:r w:rsidR="00D90204" w:rsidRPr="00424698">
        <w:rPr>
          <w:rFonts w:ascii="Times New Roman" w:hAnsi="Times New Roman" w:cs="Times New Roman"/>
          <w:color w:val="000000" w:themeColor="text1"/>
          <w:sz w:val="24"/>
          <w:szCs w:val="24"/>
          <w:shd w:val="clear" w:color="auto" w:fill="FFFFFF"/>
        </w:rPr>
        <w:t xml:space="preserve"> Historically, the importance attached to the prohibition of discrimination in EU law stems from the fact that both directly and indirectly discriminatory measures are seen by the</w:t>
      </w:r>
      <w:r w:rsidR="00D90204" w:rsidRPr="00424698">
        <w:rPr>
          <w:rFonts w:ascii="Times New Roman" w:hAnsi="Times New Roman" w:cs="Times New Roman"/>
          <w:sz w:val="24"/>
          <w:szCs w:val="24"/>
        </w:rPr>
        <w:t xml:space="preserve"> CJEU as restrictions because they have the actual effects of preventing EU nationals from the exercise of internal market freedoms.</w:t>
      </w:r>
      <w:r w:rsidR="00D90204" w:rsidRPr="00424698">
        <w:rPr>
          <w:rStyle w:val="FootnoteReference"/>
          <w:rFonts w:ascii="Times New Roman" w:hAnsi="Times New Roman" w:cs="Times New Roman"/>
          <w:sz w:val="24"/>
          <w:szCs w:val="24"/>
        </w:rPr>
        <w:footnoteReference w:id="15"/>
      </w:r>
      <w:r w:rsidR="00D90204" w:rsidRPr="00424698">
        <w:rPr>
          <w:rFonts w:ascii="Times New Roman" w:hAnsi="Times New Roman" w:cs="Times New Roman"/>
          <w:sz w:val="24"/>
          <w:szCs w:val="24"/>
        </w:rPr>
        <w:t xml:space="preserve"> </w:t>
      </w:r>
      <w:r w:rsidR="00333331" w:rsidRPr="00424698">
        <w:rPr>
          <w:rFonts w:ascii="Times New Roman" w:hAnsi="Times New Roman" w:cs="Times New Roman"/>
          <w:sz w:val="24"/>
          <w:szCs w:val="24"/>
        </w:rPr>
        <w:t xml:space="preserve">Put differently, strong enforcement of non-discrimination guarantees under EU law has always been driven by the desire to remove any impediments to economic freedoms. </w:t>
      </w:r>
      <w:r w:rsidR="00D90204" w:rsidRPr="00424698">
        <w:rPr>
          <w:rFonts w:ascii="Times New Roman" w:hAnsi="Times New Roman" w:cs="Times New Roman"/>
          <w:sz w:val="24"/>
          <w:szCs w:val="24"/>
        </w:rPr>
        <w:t xml:space="preserve">As will be seen below, this linkage between a certain investor right and its impact on the exercise by private actors of their free movement rights is </w:t>
      </w:r>
      <w:r w:rsidR="00333331" w:rsidRPr="00424698">
        <w:rPr>
          <w:rFonts w:ascii="Times New Roman" w:hAnsi="Times New Roman" w:cs="Times New Roman"/>
          <w:sz w:val="24"/>
          <w:szCs w:val="24"/>
        </w:rPr>
        <w:t>a defining feature of the EU approach to the protection of economic interests of individual and corporate business actors.</w:t>
      </w:r>
      <w:r w:rsidR="001A6BD5" w:rsidRPr="00424698">
        <w:rPr>
          <w:rFonts w:ascii="Times New Roman" w:hAnsi="Times New Roman" w:cs="Times New Roman"/>
          <w:sz w:val="24"/>
          <w:szCs w:val="24"/>
        </w:rPr>
        <w:t xml:space="preserve"> </w:t>
      </w:r>
    </w:p>
    <w:p w14:paraId="34E7FDD6" w14:textId="4C471A6C" w:rsidR="00D8193D" w:rsidRPr="00424698" w:rsidRDefault="001A6BD5" w:rsidP="0030432B">
      <w:pPr>
        <w:pStyle w:val="Default"/>
        <w:spacing w:line="360" w:lineRule="auto"/>
        <w:ind w:firstLine="425"/>
        <w:jc w:val="both"/>
        <w:rPr>
          <w:rFonts w:ascii="Times New Roman" w:hAnsi="Times New Roman" w:cs="Times New Roman"/>
        </w:rPr>
      </w:pPr>
      <w:r w:rsidRPr="00424698">
        <w:rPr>
          <w:rFonts w:ascii="Times New Roman" w:hAnsi="Times New Roman" w:cs="Times New Roman"/>
        </w:rPr>
        <w:t xml:space="preserve">One aspect in which the scope of protection from discriminatory treatment may arguably be different </w:t>
      </w:r>
      <w:r w:rsidR="00764DA8" w:rsidRPr="00424698">
        <w:rPr>
          <w:rFonts w:ascii="Times New Roman" w:hAnsi="Times New Roman" w:cs="Times New Roman"/>
        </w:rPr>
        <w:t xml:space="preserve">under EU law and intra-EU IIAs respectively </w:t>
      </w:r>
      <w:r w:rsidR="00102CF5" w:rsidRPr="00424698">
        <w:rPr>
          <w:rFonts w:ascii="Times New Roman" w:hAnsi="Times New Roman" w:cs="Times New Roman"/>
        </w:rPr>
        <w:t>concerns</w:t>
      </w:r>
      <w:r w:rsidR="00764DA8" w:rsidRPr="00424698">
        <w:rPr>
          <w:rFonts w:ascii="Times New Roman" w:hAnsi="Times New Roman" w:cs="Times New Roman"/>
        </w:rPr>
        <w:t xml:space="preserve"> the notion of regulatory flexibility. Although EU law treats economic freedoms as fundamental principles, it </w:t>
      </w:r>
      <w:r w:rsidR="00D8193D" w:rsidRPr="00424698">
        <w:rPr>
          <w:rFonts w:ascii="Times New Roman" w:hAnsi="Times New Roman" w:cs="Times New Roman"/>
        </w:rPr>
        <w:t>n</w:t>
      </w:r>
      <w:r w:rsidR="00764DA8" w:rsidRPr="00424698">
        <w:rPr>
          <w:rFonts w:ascii="Times New Roman" w:hAnsi="Times New Roman" w:cs="Times New Roman"/>
        </w:rPr>
        <w:t xml:space="preserve">evertheless </w:t>
      </w:r>
      <w:r w:rsidR="009F537F" w:rsidRPr="00424698">
        <w:rPr>
          <w:rFonts w:ascii="Times New Roman" w:hAnsi="Times New Roman" w:cs="Times New Roman"/>
        </w:rPr>
        <w:t>expressly acknowledges</w:t>
      </w:r>
      <w:r w:rsidR="00764DA8" w:rsidRPr="00424698">
        <w:rPr>
          <w:rFonts w:ascii="Times New Roman" w:hAnsi="Times New Roman" w:cs="Times New Roman"/>
        </w:rPr>
        <w:t xml:space="preserve"> these freedoms </w:t>
      </w:r>
      <w:r w:rsidR="00D8193D" w:rsidRPr="00424698">
        <w:rPr>
          <w:rFonts w:ascii="Times New Roman" w:hAnsi="Times New Roman" w:cs="Times New Roman"/>
        </w:rPr>
        <w:t xml:space="preserve">can be restricted to make room for competing </w:t>
      </w:r>
      <w:r w:rsidR="00764DA8" w:rsidRPr="00424698">
        <w:rPr>
          <w:rFonts w:ascii="Times New Roman" w:hAnsi="Times New Roman" w:cs="Times New Roman"/>
        </w:rPr>
        <w:t>public interest</w:t>
      </w:r>
      <w:r w:rsidR="00D8193D" w:rsidRPr="00424698">
        <w:rPr>
          <w:rFonts w:ascii="Times New Roman" w:hAnsi="Times New Roman" w:cs="Times New Roman"/>
        </w:rPr>
        <w:t>s</w:t>
      </w:r>
      <w:r w:rsidR="00764DA8" w:rsidRPr="00424698">
        <w:rPr>
          <w:rFonts w:ascii="Times New Roman" w:hAnsi="Times New Roman" w:cs="Times New Roman"/>
        </w:rPr>
        <w:t>.</w:t>
      </w:r>
      <w:r w:rsidR="00D8193D" w:rsidRPr="00424698">
        <w:rPr>
          <w:rFonts w:ascii="Times New Roman" w:hAnsi="Times New Roman" w:cs="Times New Roman"/>
        </w:rPr>
        <w:t xml:space="preserve"> For instance, Article 36 TFEU allows states to derogate from their free movement of goods commitment on the grounds of public morality, public policy or public security; </w:t>
      </w:r>
      <w:r w:rsidR="00D8193D" w:rsidRPr="00424698">
        <w:rPr>
          <w:rFonts w:ascii="Times New Roman" w:hAnsi="Times New Roman" w:cs="Times New Roman"/>
        </w:rPr>
        <w:lastRenderedPageBreak/>
        <w:t>the protection of health and life of humans, animals or plants; the protection of national treasures possessing artistic, historic or archaeological value; or the protection of industrial and commercial property.</w:t>
      </w:r>
      <w:r w:rsidR="00102CF5" w:rsidRPr="00424698">
        <w:rPr>
          <w:rStyle w:val="FootnoteReference"/>
          <w:rFonts w:ascii="Times New Roman" w:hAnsi="Times New Roman" w:cs="Times New Roman"/>
        </w:rPr>
        <w:footnoteReference w:id="16"/>
      </w:r>
      <w:r w:rsidR="00D8193D" w:rsidRPr="00424698">
        <w:rPr>
          <w:rFonts w:ascii="Times New Roman" w:hAnsi="Times New Roman" w:cs="Times New Roman"/>
        </w:rPr>
        <w:t xml:space="preserve"> </w:t>
      </w:r>
      <w:r w:rsidR="00102CF5" w:rsidRPr="00424698">
        <w:rPr>
          <w:rFonts w:ascii="Times New Roman" w:hAnsi="Times New Roman" w:cs="Times New Roman"/>
        </w:rPr>
        <w:t>A member state bears the burden of proof to establish that a discriminatory measure at issue falls under one of the expressly stated derogations and is proportionate.</w:t>
      </w:r>
      <w:r w:rsidR="00102CF5" w:rsidRPr="00424698">
        <w:rPr>
          <w:rStyle w:val="FootnoteReference"/>
          <w:rFonts w:ascii="Times New Roman" w:hAnsi="Times New Roman" w:cs="Times New Roman"/>
        </w:rPr>
        <w:footnoteReference w:id="17"/>
      </w:r>
      <w:r w:rsidR="00102CF5" w:rsidRPr="00424698">
        <w:rPr>
          <w:rFonts w:ascii="Times New Roman" w:hAnsi="Times New Roman" w:cs="Times New Roman"/>
        </w:rPr>
        <w:t xml:space="preserve"> Even though derogations from EU economic freedoms are s</w:t>
      </w:r>
      <w:r w:rsidR="009F537F" w:rsidRPr="00424698">
        <w:rPr>
          <w:rFonts w:ascii="Times New Roman" w:hAnsi="Times New Roman" w:cs="Times New Roman"/>
        </w:rPr>
        <w:t>ubject to a narrow interpretation</w:t>
      </w:r>
      <w:r w:rsidR="00102CF5" w:rsidRPr="00424698">
        <w:rPr>
          <w:rFonts w:ascii="Times New Roman" w:hAnsi="Times New Roman" w:cs="Times New Roman"/>
        </w:rPr>
        <w:t xml:space="preserve">, one could argue that EU law at least provides the necessary textual basis that allows to </w:t>
      </w:r>
      <w:r w:rsidR="00FB6076" w:rsidRPr="00424698">
        <w:rPr>
          <w:rFonts w:ascii="Times New Roman" w:hAnsi="Times New Roman" w:cs="Times New Roman"/>
        </w:rPr>
        <w:t>balance the protection of private economic interests with</w:t>
      </w:r>
      <w:r w:rsidR="00102CF5" w:rsidRPr="00424698">
        <w:rPr>
          <w:rFonts w:ascii="Times New Roman" w:hAnsi="Times New Roman" w:cs="Times New Roman"/>
        </w:rPr>
        <w:t xml:space="preserve"> competing public welfare objectives</w:t>
      </w:r>
      <w:r w:rsidR="00FB6076" w:rsidRPr="00424698">
        <w:rPr>
          <w:rFonts w:ascii="Times New Roman" w:hAnsi="Times New Roman" w:cs="Times New Roman"/>
        </w:rPr>
        <w:t>. By contrast, most intra-EU IIAs belong to the first generation of inves</w:t>
      </w:r>
      <w:r w:rsidR="002559A9" w:rsidRPr="00424698">
        <w:rPr>
          <w:rFonts w:ascii="Times New Roman" w:hAnsi="Times New Roman" w:cs="Times New Roman"/>
        </w:rPr>
        <w:t xml:space="preserve">tment treaties which include no </w:t>
      </w:r>
      <w:r w:rsidR="00FB6076" w:rsidRPr="00424698">
        <w:rPr>
          <w:rFonts w:ascii="Times New Roman" w:hAnsi="Times New Roman" w:cs="Times New Roman"/>
        </w:rPr>
        <w:t>exceptions</w:t>
      </w:r>
      <w:r w:rsidR="002559A9" w:rsidRPr="00424698">
        <w:rPr>
          <w:rFonts w:ascii="Times New Roman" w:hAnsi="Times New Roman" w:cs="Times New Roman"/>
        </w:rPr>
        <w:t xml:space="preserve"> for public policy measures. Investment arbitration jurisprudence suggests that arbitral tribunals are more likely to give weight to policy justifications where the applicable treaty expressly allows them to do so.</w:t>
      </w:r>
      <w:r w:rsidR="00053AA3" w:rsidRPr="00424698">
        <w:rPr>
          <w:rStyle w:val="FootnoteReference"/>
          <w:rFonts w:ascii="Times New Roman" w:hAnsi="Times New Roman" w:cs="Times New Roman"/>
        </w:rPr>
        <w:footnoteReference w:id="18"/>
      </w:r>
      <w:r w:rsidR="002559A9" w:rsidRPr="00424698">
        <w:rPr>
          <w:rFonts w:ascii="Times New Roman" w:hAnsi="Times New Roman" w:cs="Times New Roman"/>
        </w:rPr>
        <w:t xml:space="preserve"> Hence, the absence of public policy exceptions in an intra-EU IIA may result in an interpretation of investment protection commitments contained therein as non-derogable thus allowing the investor to prevail.</w:t>
      </w:r>
    </w:p>
    <w:p w14:paraId="37033849" w14:textId="77777777" w:rsidR="001A6BD5" w:rsidRPr="0016634E" w:rsidRDefault="001A6BD5" w:rsidP="0030432B">
      <w:pPr>
        <w:autoSpaceDE w:val="0"/>
        <w:autoSpaceDN w:val="0"/>
        <w:adjustRightInd w:val="0"/>
        <w:spacing w:after="0" w:line="360" w:lineRule="auto"/>
        <w:jc w:val="both"/>
        <w:rPr>
          <w:rFonts w:ascii="Times New Roman" w:hAnsi="Times New Roman" w:cs="Times New Roman"/>
          <w:sz w:val="24"/>
          <w:szCs w:val="24"/>
        </w:rPr>
      </w:pPr>
    </w:p>
    <w:p w14:paraId="54B6B3CD" w14:textId="38B5529A" w:rsidR="002952D3" w:rsidRPr="00424698" w:rsidRDefault="0016634E" w:rsidP="0030432B">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30432B">
        <w:rPr>
          <w:rFonts w:ascii="Times New Roman" w:hAnsi="Times New Roman" w:cs="Times New Roman"/>
          <w:b/>
          <w:color w:val="000000" w:themeColor="text1"/>
          <w:sz w:val="24"/>
          <w:szCs w:val="24"/>
          <w:shd w:val="clear" w:color="auto" w:fill="FFFFFF"/>
        </w:rPr>
        <w:t>2.2</w:t>
      </w:r>
      <w:r w:rsidRPr="0030432B">
        <w:rPr>
          <w:rFonts w:ascii="Times New Roman" w:hAnsi="Times New Roman" w:cs="Times New Roman"/>
          <w:b/>
          <w:i/>
          <w:color w:val="000000" w:themeColor="text1"/>
          <w:sz w:val="24"/>
          <w:szCs w:val="24"/>
          <w:shd w:val="clear" w:color="auto" w:fill="FFFFFF"/>
        </w:rPr>
        <w:t xml:space="preserve"> </w:t>
      </w:r>
      <w:r w:rsidR="002952D3" w:rsidRPr="0030432B">
        <w:rPr>
          <w:rFonts w:ascii="Times New Roman" w:hAnsi="Times New Roman" w:cs="Times New Roman"/>
          <w:b/>
          <w:i/>
          <w:color w:val="000000" w:themeColor="text1"/>
          <w:sz w:val="24"/>
          <w:szCs w:val="24"/>
          <w:shd w:val="clear" w:color="auto" w:fill="FFFFFF"/>
        </w:rPr>
        <w:t xml:space="preserve">Protection </w:t>
      </w:r>
      <w:r w:rsidR="006B2917">
        <w:rPr>
          <w:rFonts w:ascii="Times New Roman" w:hAnsi="Times New Roman" w:cs="Times New Roman"/>
          <w:b/>
          <w:i/>
          <w:color w:val="000000" w:themeColor="text1"/>
          <w:sz w:val="24"/>
          <w:szCs w:val="24"/>
          <w:shd w:val="clear" w:color="auto" w:fill="FFFFFF"/>
        </w:rPr>
        <w:t>A</w:t>
      </w:r>
      <w:r w:rsidR="002952D3" w:rsidRPr="0030432B">
        <w:rPr>
          <w:rFonts w:ascii="Times New Roman" w:hAnsi="Times New Roman" w:cs="Times New Roman"/>
          <w:b/>
          <w:i/>
          <w:color w:val="000000" w:themeColor="text1"/>
          <w:sz w:val="24"/>
          <w:szCs w:val="24"/>
          <w:shd w:val="clear" w:color="auto" w:fill="FFFFFF"/>
        </w:rPr>
        <w:t xml:space="preserve">gainst </w:t>
      </w:r>
      <w:r w:rsidR="006B2917">
        <w:rPr>
          <w:rFonts w:ascii="Times New Roman" w:hAnsi="Times New Roman" w:cs="Times New Roman"/>
          <w:b/>
          <w:i/>
          <w:color w:val="000000" w:themeColor="text1"/>
          <w:sz w:val="24"/>
          <w:szCs w:val="24"/>
          <w:shd w:val="clear" w:color="auto" w:fill="FFFFFF"/>
        </w:rPr>
        <w:t>E</w:t>
      </w:r>
      <w:r w:rsidR="002952D3" w:rsidRPr="0030432B">
        <w:rPr>
          <w:rFonts w:ascii="Times New Roman" w:hAnsi="Times New Roman" w:cs="Times New Roman"/>
          <w:b/>
          <w:i/>
          <w:color w:val="000000" w:themeColor="text1"/>
          <w:sz w:val="24"/>
          <w:szCs w:val="24"/>
          <w:shd w:val="clear" w:color="auto" w:fill="FFFFFF"/>
        </w:rPr>
        <w:t xml:space="preserve">xecutive and </w:t>
      </w:r>
      <w:r w:rsidR="006B2917">
        <w:rPr>
          <w:rFonts w:ascii="Times New Roman" w:hAnsi="Times New Roman" w:cs="Times New Roman"/>
          <w:b/>
          <w:i/>
          <w:color w:val="000000" w:themeColor="text1"/>
          <w:sz w:val="24"/>
          <w:szCs w:val="24"/>
          <w:shd w:val="clear" w:color="auto" w:fill="FFFFFF"/>
        </w:rPr>
        <w:t>J</w:t>
      </w:r>
      <w:r w:rsidR="002952D3" w:rsidRPr="0030432B">
        <w:rPr>
          <w:rFonts w:ascii="Times New Roman" w:hAnsi="Times New Roman" w:cs="Times New Roman"/>
          <w:b/>
          <w:i/>
          <w:color w:val="000000" w:themeColor="text1"/>
          <w:sz w:val="24"/>
          <w:szCs w:val="24"/>
          <w:shd w:val="clear" w:color="auto" w:fill="FFFFFF"/>
        </w:rPr>
        <w:t xml:space="preserve">udicial </w:t>
      </w:r>
      <w:r w:rsidR="006B2917">
        <w:rPr>
          <w:rFonts w:ascii="Times New Roman" w:hAnsi="Times New Roman" w:cs="Times New Roman"/>
          <w:b/>
          <w:i/>
          <w:color w:val="000000" w:themeColor="text1"/>
          <w:sz w:val="24"/>
          <w:szCs w:val="24"/>
          <w:shd w:val="clear" w:color="auto" w:fill="FFFFFF"/>
        </w:rPr>
        <w:t>M</w:t>
      </w:r>
      <w:r w:rsidR="002952D3" w:rsidRPr="0030432B">
        <w:rPr>
          <w:rFonts w:ascii="Times New Roman" w:hAnsi="Times New Roman" w:cs="Times New Roman"/>
          <w:b/>
          <w:i/>
          <w:color w:val="000000" w:themeColor="text1"/>
          <w:sz w:val="24"/>
          <w:szCs w:val="24"/>
          <w:shd w:val="clear" w:color="auto" w:fill="FFFFFF"/>
        </w:rPr>
        <w:t>isconduct</w:t>
      </w:r>
    </w:p>
    <w:p w14:paraId="63B3E96C" w14:textId="5E89C8F9" w:rsidR="002952D3" w:rsidRPr="00424698" w:rsidRDefault="002952D3" w:rsidP="0030432B">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lang w:val="en-US"/>
        </w:rPr>
      </w:pPr>
      <w:r w:rsidRPr="00424698">
        <w:rPr>
          <w:rFonts w:ascii="Times New Roman" w:hAnsi="Times New Roman" w:cs="Times New Roman"/>
          <w:color w:val="000000" w:themeColor="text1"/>
          <w:sz w:val="24"/>
          <w:szCs w:val="24"/>
          <w:shd w:val="clear" w:color="auto" w:fill="FFFFFF"/>
        </w:rPr>
        <w:t>One of the</w:t>
      </w:r>
      <w:r w:rsidR="00045B59" w:rsidRPr="00424698">
        <w:rPr>
          <w:rFonts w:ascii="Times New Roman" w:hAnsi="Times New Roman" w:cs="Times New Roman"/>
          <w:color w:val="000000" w:themeColor="text1"/>
          <w:sz w:val="24"/>
          <w:szCs w:val="24"/>
          <w:shd w:val="clear" w:color="auto" w:fill="FFFFFF"/>
        </w:rPr>
        <w:t xml:space="preserve"> core investment protection standard</w:t>
      </w:r>
      <w:r w:rsidRPr="00424698">
        <w:rPr>
          <w:rFonts w:ascii="Times New Roman" w:hAnsi="Times New Roman" w:cs="Times New Roman"/>
          <w:color w:val="000000" w:themeColor="text1"/>
          <w:sz w:val="24"/>
          <w:szCs w:val="24"/>
          <w:shd w:val="clear" w:color="auto" w:fill="FFFFFF"/>
        </w:rPr>
        <w:t>s</w:t>
      </w:r>
      <w:r w:rsidR="00045B59" w:rsidRPr="00424698">
        <w:rPr>
          <w:rFonts w:ascii="Times New Roman" w:hAnsi="Times New Roman" w:cs="Times New Roman"/>
          <w:color w:val="000000" w:themeColor="text1"/>
          <w:sz w:val="24"/>
          <w:szCs w:val="24"/>
          <w:shd w:val="clear" w:color="auto" w:fill="FFFFFF"/>
        </w:rPr>
        <w:t xml:space="preserve"> which invariably feature in most intra-EU IIAs is a guarantee of fair and equitable treatment. </w:t>
      </w:r>
      <w:r w:rsidR="009D118B" w:rsidRPr="00424698">
        <w:rPr>
          <w:rFonts w:ascii="Times New Roman" w:hAnsi="Times New Roman" w:cs="Times New Roman"/>
          <w:color w:val="000000" w:themeColor="text1"/>
          <w:sz w:val="24"/>
          <w:szCs w:val="24"/>
          <w:shd w:val="clear" w:color="auto" w:fill="FFFFFF"/>
        </w:rPr>
        <w:t>The emergence of the fair and equitable treatment (FET) standard and its rise to prominence has been a defining feature of the international law of foreign investment during the past two decades.</w:t>
      </w:r>
      <w:r w:rsidR="009D118B" w:rsidRPr="00424698">
        <w:rPr>
          <w:rFonts w:ascii="Times New Roman" w:hAnsi="Times New Roman" w:cs="Times New Roman"/>
          <w:color w:val="000000" w:themeColor="text1"/>
          <w:sz w:val="24"/>
          <w:szCs w:val="24"/>
          <w:shd w:val="clear" w:color="auto" w:fill="FFFFFF"/>
          <w:vertAlign w:val="superscript"/>
        </w:rPr>
        <w:footnoteReference w:id="19"/>
      </w:r>
      <w:r w:rsidR="009D118B" w:rsidRPr="00424698">
        <w:rPr>
          <w:rFonts w:ascii="Times New Roman" w:hAnsi="Times New Roman" w:cs="Times New Roman"/>
          <w:color w:val="000000" w:themeColor="text1"/>
          <w:sz w:val="24"/>
          <w:szCs w:val="24"/>
          <w:shd w:val="clear" w:color="auto" w:fill="FFFFFF"/>
        </w:rPr>
        <w:t xml:space="preserve"> While the protection of investment under </w:t>
      </w:r>
      <w:r w:rsidR="009D118B" w:rsidRPr="00424698">
        <w:rPr>
          <w:rFonts w:ascii="Times New Roman" w:hAnsi="Times New Roman" w:cs="Times New Roman"/>
          <w:color w:val="000000" w:themeColor="text1"/>
          <w:sz w:val="24"/>
          <w:szCs w:val="24"/>
          <w:shd w:val="clear" w:color="auto" w:fill="FFFFFF"/>
        </w:rPr>
        <w:lastRenderedPageBreak/>
        <w:t>traditional international law was virtually synonymous with the protection against uncompensated expropriation</w:t>
      </w:r>
      <w:r w:rsidR="00BC0A0D">
        <w:rPr>
          <w:rFonts w:ascii="Times New Roman" w:hAnsi="Times New Roman" w:cs="Times New Roman"/>
          <w:color w:val="000000" w:themeColor="text1"/>
          <w:sz w:val="24"/>
          <w:szCs w:val="24"/>
          <w:shd w:val="clear" w:color="auto" w:fill="FFFFFF"/>
        </w:rPr>
        <w:t>,</w:t>
      </w:r>
      <w:r w:rsidR="009D118B" w:rsidRPr="00424698">
        <w:rPr>
          <w:rFonts w:ascii="Times New Roman" w:hAnsi="Times New Roman" w:cs="Times New Roman"/>
          <w:color w:val="000000" w:themeColor="text1"/>
          <w:sz w:val="24"/>
          <w:szCs w:val="24"/>
          <w:shd w:val="clear" w:color="auto" w:fill="FFFFFF"/>
          <w:vertAlign w:val="superscript"/>
        </w:rPr>
        <w:footnoteReference w:id="20"/>
      </w:r>
      <w:r w:rsidR="009D118B" w:rsidRPr="00424698">
        <w:rPr>
          <w:rFonts w:ascii="Times New Roman" w:hAnsi="Times New Roman" w:cs="Times New Roman"/>
          <w:color w:val="000000" w:themeColor="text1"/>
          <w:sz w:val="24"/>
          <w:szCs w:val="24"/>
          <w:shd w:val="clear" w:color="auto" w:fill="FFFFFF"/>
        </w:rPr>
        <w:t xml:space="preserve"> FET has become the leading </w:t>
      </w:r>
      <w:r w:rsidR="009452B7" w:rsidRPr="00424698">
        <w:rPr>
          <w:rFonts w:ascii="Times New Roman" w:hAnsi="Times New Roman" w:cs="Times New Roman"/>
          <w:color w:val="000000" w:themeColor="text1"/>
          <w:sz w:val="24"/>
          <w:szCs w:val="24"/>
          <w:shd w:val="clear" w:color="auto" w:fill="FFFFFF"/>
        </w:rPr>
        <w:t>investment protection standard</w:t>
      </w:r>
      <w:r w:rsidR="009D118B" w:rsidRPr="00424698">
        <w:rPr>
          <w:rFonts w:ascii="Times New Roman" w:hAnsi="Times New Roman" w:cs="Times New Roman"/>
          <w:color w:val="000000" w:themeColor="text1"/>
          <w:sz w:val="24"/>
          <w:szCs w:val="24"/>
          <w:shd w:val="clear" w:color="auto" w:fill="FFFFFF"/>
        </w:rPr>
        <w:t xml:space="preserve">. </w:t>
      </w:r>
      <w:r w:rsidR="00C75E9E" w:rsidRPr="00424698">
        <w:rPr>
          <w:rFonts w:ascii="Times New Roman" w:hAnsi="Times New Roman" w:cs="Times New Roman"/>
          <w:sz w:val="24"/>
          <w:szCs w:val="24"/>
        </w:rPr>
        <w:t>Originally conceived as the politically more palatable alternative to the international minimum standard—and as a means of alleviating the opposition to the latter from various groups of states, FET came to encompass much more than customary international guarantees against denial of justice, arbitrariness, and discrimination.</w:t>
      </w:r>
      <w:r w:rsidR="009452B7" w:rsidRPr="00424698">
        <w:rPr>
          <w:rStyle w:val="FootnoteReference"/>
          <w:rFonts w:ascii="Times New Roman" w:hAnsi="Times New Roman" w:cs="Times New Roman"/>
          <w:sz w:val="24"/>
          <w:szCs w:val="24"/>
        </w:rPr>
        <w:footnoteReference w:id="21"/>
      </w:r>
      <w:r w:rsidR="00C75E9E" w:rsidRPr="00424698">
        <w:rPr>
          <w:rFonts w:ascii="Times New Roman" w:hAnsi="Times New Roman" w:cs="Times New Roman"/>
          <w:sz w:val="24"/>
          <w:szCs w:val="24"/>
        </w:rPr>
        <w:t xml:space="preserve"> </w:t>
      </w:r>
      <w:r w:rsidR="00AF6292" w:rsidRPr="00424698">
        <w:rPr>
          <w:rFonts w:ascii="Times New Roman" w:hAnsi="Times New Roman" w:cs="Times New Roman"/>
          <w:sz w:val="24"/>
          <w:szCs w:val="24"/>
        </w:rPr>
        <w:t>Particularly with regard to its version contained in the early generation IIAs, a</w:t>
      </w:r>
      <w:r w:rsidR="00C75E9E" w:rsidRPr="00424698">
        <w:rPr>
          <w:rFonts w:ascii="Times New Roman" w:hAnsi="Times New Roman" w:cs="Times New Roman"/>
          <w:sz w:val="24"/>
          <w:szCs w:val="24"/>
        </w:rPr>
        <w:t xml:space="preserve">rbitral tribunals have construed the standard </w:t>
      </w:r>
      <w:r w:rsidR="00AF6292" w:rsidRPr="00424698">
        <w:rPr>
          <w:rFonts w:ascii="Times New Roman" w:hAnsi="Times New Roman" w:cs="Times New Roman"/>
          <w:sz w:val="24"/>
          <w:szCs w:val="24"/>
        </w:rPr>
        <w:t xml:space="preserve">to require protecting investors </w:t>
      </w:r>
      <w:r w:rsidR="00C75E9E" w:rsidRPr="00424698">
        <w:rPr>
          <w:rFonts w:ascii="Times New Roman" w:hAnsi="Times New Roman" w:cs="Times New Roman"/>
          <w:sz w:val="24"/>
          <w:szCs w:val="24"/>
        </w:rPr>
        <w:t xml:space="preserve">(1) </w:t>
      </w:r>
      <w:r w:rsidR="00AF6292" w:rsidRPr="00424698">
        <w:rPr>
          <w:rFonts w:ascii="Times New Roman" w:hAnsi="Times New Roman" w:cs="Times New Roman"/>
          <w:sz w:val="24"/>
          <w:szCs w:val="24"/>
        </w:rPr>
        <w:t>from</w:t>
      </w:r>
      <w:r w:rsidR="00C75E9E" w:rsidRPr="00424698">
        <w:rPr>
          <w:rFonts w:ascii="Times New Roman" w:hAnsi="Times New Roman" w:cs="Times New Roman"/>
          <w:sz w:val="24"/>
          <w:szCs w:val="24"/>
        </w:rPr>
        <w:t xml:space="preserve"> </w:t>
      </w:r>
      <w:r w:rsidR="00AF6292" w:rsidRPr="00424698">
        <w:rPr>
          <w:rFonts w:ascii="Times New Roman" w:hAnsi="Times New Roman" w:cs="Times New Roman"/>
          <w:sz w:val="24"/>
          <w:szCs w:val="24"/>
        </w:rPr>
        <w:t>governmental mis</w:t>
      </w:r>
      <w:r w:rsidR="00C75E9E" w:rsidRPr="00424698">
        <w:rPr>
          <w:rFonts w:ascii="Times New Roman" w:hAnsi="Times New Roman" w:cs="Times New Roman"/>
          <w:sz w:val="24"/>
          <w:szCs w:val="24"/>
        </w:rPr>
        <w:t>conduct that</w:t>
      </w:r>
      <w:r w:rsidR="00AF6292" w:rsidRPr="00424698">
        <w:rPr>
          <w:rFonts w:ascii="Times New Roman" w:hAnsi="Times New Roman" w:cs="Times New Roman"/>
          <w:sz w:val="24"/>
          <w:szCs w:val="24"/>
        </w:rPr>
        <w:t xml:space="preserve"> </w:t>
      </w:r>
      <w:r w:rsidR="00C75E9E" w:rsidRPr="00424698">
        <w:rPr>
          <w:rFonts w:ascii="Times New Roman" w:hAnsi="Times New Roman" w:cs="Times New Roman"/>
          <w:sz w:val="24"/>
          <w:szCs w:val="24"/>
        </w:rPr>
        <w:t>displays ‘a relatively lower degree of inappropriateness’ in comparison with the</w:t>
      </w:r>
      <w:r w:rsidR="00AF6292" w:rsidRPr="00424698">
        <w:rPr>
          <w:rFonts w:ascii="Times New Roman" w:hAnsi="Times New Roman" w:cs="Times New Roman"/>
          <w:sz w:val="24"/>
          <w:szCs w:val="24"/>
        </w:rPr>
        <w:t xml:space="preserve"> </w:t>
      </w:r>
      <w:r w:rsidR="00C75E9E" w:rsidRPr="00424698">
        <w:rPr>
          <w:rFonts w:ascii="Times New Roman" w:hAnsi="Times New Roman" w:cs="Times New Roman"/>
          <w:sz w:val="24"/>
          <w:szCs w:val="24"/>
        </w:rPr>
        <w:t>higher threshold required in establishing a violation of customary international</w:t>
      </w:r>
      <w:r w:rsidR="00AF6292" w:rsidRPr="00424698">
        <w:rPr>
          <w:rFonts w:ascii="Times New Roman" w:hAnsi="Times New Roman" w:cs="Times New Roman"/>
          <w:sz w:val="24"/>
          <w:szCs w:val="24"/>
        </w:rPr>
        <w:t xml:space="preserve"> </w:t>
      </w:r>
      <w:r w:rsidR="00C75E9E" w:rsidRPr="00424698">
        <w:rPr>
          <w:rFonts w:ascii="Times New Roman" w:hAnsi="Times New Roman" w:cs="Times New Roman"/>
          <w:sz w:val="24"/>
          <w:szCs w:val="24"/>
        </w:rPr>
        <w:t>law;</w:t>
      </w:r>
      <w:r w:rsidR="00AF6292" w:rsidRPr="00424698">
        <w:rPr>
          <w:rStyle w:val="FootnoteReference"/>
          <w:rFonts w:ascii="Times New Roman" w:hAnsi="Times New Roman" w:cs="Times New Roman"/>
          <w:sz w:val="24"/>
          <w:szCs w:val="24"/>
        </w:rPr>
        <w:footnoteReference w:id="22"/>
      </w:r>
      <w:r w:rsidR="00C75E9E" w:rsidRPr="00424698">
        <w:rPr>
          <w:rFonts w:ascii="Times New Roman" w:hAnsi="Times New Roman" w:cs="Times New Roman"/>
          <w:sz w:val="24"/>
          <w:szCs w:val="24"/>
        </w:rPr>
        <w:t xml:space="preserve"> and (2) </w:t>
      </w:r>
      <w:r w:rsidR="00AF6292" w:rsidRPr="00424698">
        <w:rPr>
          <w:rFonts w:ascii="Times New Roman" w:hAnsi="Times New Roman" w:cs="Times New Roman"/>
          <w:sz w:val="24"/>
          <w:szCs w:val="24"/>
        </w:rPr>
        <w:t>from lack of</w:t>
      </w:r>
      <w:r w:rsidR="00C75E9E" w:rsidRPr="00424698">
        <w:rPr>
          <w:rFonts w:ascii="Times New Roman" w:hAnsi="Times New Roman" w:cs="Times New Roman"/>
          <w:sz w:val="24"/>
          <w:szCs w:val="24"/>
        </w:rPr>
        <w:t xml:space="preserve"> transparency,</w:t>
      </w:r>
      <w:r w:rsidR="00AF6292" w:rsidRPr="00424698">
        <w:rPr>
          <w:rFonts w:ascii="Times New Roman" w:hAnsi="Times New Roman" w:cs="Times New Roman"/>
          <w:sz w:val="24"/>
          <w:szCs w:val="24"/>
        </w:rPr>
        <w:t xml:space="preserve"> </w:t>
      </w:r>
      <w:r w:rsidR="00C75E9E" w:rsidRPr="00424698">
        <w:rPr>
          <w:rFonts w:ascii="Times New Roman" w:hAnsi="Times New Roman" w:cs="Times New Roman"/>
          <w:sz w:val="24"/>
          <w:szCs w:val="24"/>
        </w:rPr>
        <w:t>predictability, co</w:t>
      </w:r>
      <w:r w:rsidR="00AF6292" w:rsidRPr="00424698">
        <w:rPr>
          <w:rFonts w:ascii="Times New Roman" w:hAnsi="Times New Roman" w:cs="Times New Roman"/>
          <w:sz w:val="24"/>
          <w:szCs w:val="24"/>
        </w:rPr>
        <w:t>nsistency and even-handedness in governmental action. In its material scope FET may extend to actions of the executive,</w:t>
      </w:r>
      <w:r w:rsidR="00AF6292" w:rsidRPr="00424698">
        <w:rPr>
          <w:rStyle w:val="FootnoteReference"/>
          <w:rFonts w:ascii="Times New Roman" w:hAnsi="Times New Roman" w:cs="Times New Roman"/>
          <w:sz w:val="24"/>
          <w:szCs w:val="24"/>
        </w:rPr>
        <w:footnoteReference w:id="23"/>
      </w:r>
      <w:r w:rsidR="00AF6292" w:rsidRPr="00424698">
        <w:rPr>
          <w:rFonts w:ascii="Times New Roman" w:hAnsi="Times New Roman" w:cs="Times New Roman"/>
          <w:sz w:val="24"/>
          <w:szCs w:val="24"/>
        </w:rPr>
        <w:t xml:space="preserve"> judiciary</w:t>
      </w:r>
      <w:r w:rsidR="00AF6292" w:rsidRPr="00424698">
        <w:rPr>
          <w:rStyle w:val="FootnoteReference"/>
          <w:rFonts w:ascii="Times New Roman" w:hAnsi="Times New Roman" w:cs="Times New Roman"/>
          <w:sz w:val="24"/>
          <w:szCs w:val="24"/>
        </w:rPr>
        <w:footnoteReference w:id="24"/>
      </w:r>
      <w:r w:rsidR="00AF6292" w:rsidRPr="00424698">
        <w:rPr>
          <w:rFonts w:ascii="Times New Roman" w:hAnsi="Times New Roman" w:cs="Times New Roman"/>
          <w:sz w:val="24"/>
          <w:szCs w:val="24"/>
        </w:rPr>
        <w:t xml:space="preserve"> and legislative bodies.</w:t>
      </w:r>
      <w:r w:rsidR="00AF6292" w:rsidRPr="00424698">
        <w:rPr>
          <w:rStyle w:val="FootnoteReference"/>
          <w:rFonts w:ascii="Times New Roman" w:hAnsi="Times New Roman" w:cs="Times New Roman"/>
          <w:sz w:val="24"/>
          <w:szCs w:val="24"/>
        </w:rPr>
        <w:footnoteReference w:id="25"/>
      </w:r>
      <w:r w:rsidR="009452B7" w:rsidRPr="00424698">
        <w:rPr>
          <w:rFonts w:ascii="Times New Roman" w:hAnsi="Times New Roman" w:cs="Times New Roman"/>
          <w:sz w:val="24"/>
          <w:szCs w:val="24"/>
        </w:rPr>
        <w:t xml:space="preserve"> </w:t>
      </w:r>
    </w:p>
    <w:p w14:paraId="080EC981" w14:textId="71D475A2" w:rsidR="009452B7" w:rsidRDefault="009C5256" w:rsidP="0030432B">
      <w:pPr>
        <w:widowControl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shd w:val="clear" w:color="auto" w:fill="FFFFFF"/>
        </w:rPr>
        <w:t xml:space="preserve">Does EU law provide a standard of protection equal to FET? </w:t>
      </w:r>
      <w:r w:rsidR="009D118B" w:rsidRPr="00424698">
        <w:rPr>
          <w:rFonts w:ascii="Times New Roman" w:hAnsi="Times New Roman" w:cs="Times New Roman"/>
          <w:color w:val="000000" w:themeColor="text1"/>
          <w:sz w:val="24"/>
          <w:szCs w:val="24"/>
          <w:shd w:val="clear" w:color="auto" w:fill="FFFFFF"/>
        </w:rPr>
        <w:t xml:space="preserve">In </w:t>
      </w:r>
      <w:r w:rsidR="00D80C5E" w:rsidRPr="00424698">
        <w:rPr>
          <w:rFonts w:ascii="Times New Roman" w:hAnsi="Times New Roman" w:cs="Times New Roman"/>
          <w:i/>
          <w:color w:val="000000" w:themeColor="text1"/>
          <w:sz w:val="24"/>
          <w:szCs w:val="24"/>
          <w:shd w:val="clear" w:color="auto" w:fill="FFFFFF"/>
        </w:rPr>
        <w:t>Eastern Sugar v Slovak</w:t>
      </w:r>
      <w:r w:rsidR="009D118B" w:rsidRPr="00424698">
        <w:rPr>
          <w:rFonts w:ascii="Times New Roman" w:hAnsi="Times New Roman" w:cs="Times New Roman"/>
          <w:i/>
          <w:color w:val="000000" w:themeColor="text1"/>
          <w:sz w:val="24"/>
          <w:szCs w:val="24"/>
          <w:shd w:val="clear" w:color="auto" w:fill="FFFFFF"/>
        </w:rPr>
        <w:t xml:space="preserve"> Republic</w:t>
      </w:r>
      <w:r w:rsidR="009D118B" w:rsidRPr="00424698">
        <w:rPr>
          <w:rFonts w:ascii="Times New Roman" w:hAnsi="Times New Roman" w:cs="Times New Roman"/>
          <w:color w:val="000000" w:themeColor="text1"/>
          <w:sz w:val="24"/>
          <w:szCs w:val="24"/>
          <w:shd w:val="clear" w:color="auto" w:fill="FFFFFF"/>
        </w:rPr>
        <w:t xml:space="preserve">, the respondent </w:t>
      </w:r>
      <w:r w:rsidR="00045B59" w:rsidRPr="00424698">
        <w:rPr>
          <w:rFonts w:ascii="Times New Roman" w:hAnsi="Times New Roman" w:cs="Times New Roman"/>
          <w:color w:val="000000" w:themeColor="text1"/>
          <w:sz w:val="24"/>
          <w:szCs w:val="24"/>
          <w:shd w:val="clear" w:color="auto" w:fill="FFFFFF"/>
        </w:rPr>
        <w:t>argued that a similar protection is afforded by the guarantee of equal treatment contained in Article 18 TFEU.</w:t>
      </w:r>
      <w:r w:rsidR="00045B59" w:rsidRPr="00424698">
        <w:rPr>
          <w:rStyle w:val="FootnoteReference"/>
          <w:rFonts w:ascii="Times New Roman" w:hAnsi="Times New Roman" w:cs="Times New Roman"/>
          <w:color w:val="000000" w:themeColor="text1"/>
          <w:sz w:val="24"/>
          <w:szCs w:val="24"/>
          <w:shd w:val="clear" w:color="auto" w:fill="FFFFFF"/>
        </w:rPr>
        <w:footnoteReference w:id="26"/>
      </w:r>
      <w:r w:rsidR="00045B59" w:rsidRPr="00424698">
        <w:rPr>
          <w:rFonts w:ascii="Times New Roman" w:hAnsi="Times New Roman" w:cs="Times New Roman"/>
          <w:color w:val="000000" w:themeColor="text1"/>
          <w:sz w:val="24"/>
          <w:szCs w:val="24"/>
          <w:shd w:val="clear" w:color="auto" w:fill="FFFFFF"/>
        </w:rPr>
        <w:t xml:space="preserve"> The tribunal, however, refused to accept such an</w:t>
      </w:r>
      <w:r w:rsidRPr="00424698">
        <w:rPr>
          <w:rFonts w:ascii="Times New Roman" w:hAnsi="Times New Roman" w:cs="Times New Roman"/>
          <w:color w:val="000000" w:themeColor="text1"/>
          <w:sz w:val="24"/>
          <w:szCs w:val="24"/>
          <w:shd w:val="clear" w:color="auto" w:fill="FFFFFF"/>
        </w:rPr>
        <w:t xml:space="preserve"> argument, instead pointing </w:t>
      </w:r>
      <w:r w:rsidR="00045B59" w:rsidRPr="00424698">
        <w:rPr>
          <w:rFonts w:ascii="Times New Roman" w:hAnsi="Times New Roman" w:cs="Times New Roman"/>
          <w:color w:val="000000" w:themeColor="text1"/>
          <w:sz w:val="24"/>
          <w:szCs w:val="24"/>
          <w:shd w:val="clear" w:color="auto" w:fill="FFFFFF"/>
        </w:rPr>
        <w:t xml:space="preserve">to the absence of </w:t>
      </w:r>
      <w:r w:rsidRPr="00424698">
        <w:rPr>
          <w:rFonts w:ascii="Times New Roman" w:hAnsi="Times New Roman" w:cs="Times New Roman"/>
          <w:color w:val="000000" w:themeColor="text1"/>
          <w:sz w:val="24"/>
          <w:szCs w:val="24"/>
        </w:rPr>
        <w:t>‘</w:t>
      </w:r>
      <w:r w:rsidR="00346C7A" w:rsidRPr="00424698">
        <w:rPr>
          <w:rFonts w:ascii="Times New Roman" w:hAnsi="Times New Roman" w:cs="Times New Roman"/>
          <w:color w:val="000000" w:themeColor="text1"/>
          <w:sz w:val="24"/>
          <w:szCs w:val="24"/>
        </w:rPr>
        <w:t>any principle of EU law that specifically forbids treatment that is not fair and equitable.</w:t>
      </w:r>
      <w:r w:rsidRPr="00424698">
        <w:rPr>
          <w:rFonts w:ascii="Times New Roman" w:hAnsi="Times New Roman" w:cs="Times New Roman"/>
          <w:color w:val="000000" w:themeColor="text1"/>
          <w:sz w:val="24"/>
          <w:szCs w:val="24"/>
        </w:rPr>
        <w:t>’</w:t>
      </w:r>
      <w:r w:rsidR="00045B59" w:rsidRPr="00424698">
        <w:rPr>
          <w:rStyle w:val="FootnoteReference"/>
          <w:rFonts w:ascii="Times New Roman" w:hAnsi="Times New Roman" w:cs="Times New Roman"/>
          <w:color w:val="000000" w:themeColor="text1"/>
          <w:sz w:val="24"/>
          <w:szCs w:val="24"/>
        </w:rPr>
        <w:footnoteReference w:id="27"/>
      </w:r>
      <w:r w:rsidR="00346C7A" w:rsidRPr="00424698">
        <w:rPr>
          <w:rFonts w:ascii="Times New Roman" w:hAnsi="Times New Roman" w:cs="Times New Roman"/>
          <w:color w:val="000000" w:themeColor="text1"/>
          <w:sz w:val="24"/>
          <w:szCs w:val="24"/>
        </w:rPr>
        <w:t xml:space="preserve"> </w:t>
      </w:r>
      <w:r w:rsidR="00045B59" w:rsidRPr="00424698">
        <w:rPr>
          <w:rFonts w:ascii="Times New Roman" w:hAnsi="Times New Roman" w:cs="Times New Roman"/>
          <w:color w:val="000000" w:themeColor="text1"/>
          <w:sz w:val="24"/>
          <w:szCs w:val="24"/>
        </w:rPr>
        <w:t>In the tribunal’s view,</w:t>
      </w:r>
      <w:r w:rsidR="00346C7A" w:rsidRPr="00424698">
        <w:rPr>
          <w:rFonts w:ascii="Times New Roman" w:hAnsi="Times New Roman" w:cs="Times New Roman"/>
          <w:color w:val="000000" w:themeColor="text1"/>
          <w:sz w:val="24"/>
          <w:szCs w:val="24"/>
        </w:rPr>
        <w:t xml:space="preserve"> any such principle, independent of concepts of non-discrimination, proportionality, legitimate expectation and of procedural fairness, </w:t>
      </w:r>
      <w:r w:rsidR="00932970">
        <w:rPr>
          <w:rFonts w:ascii="Times New Roman" w:hAnsi="Times New Roman" w:cs="Times New Roman"/>
          <w:color w:val="000000" w:themeColor="text1"/>
          <w:sz w:val="24"/>
          <w:szCs w:val="24"/>
        </w:rPr>
        <w:t>is not yet established</w:t>
      </w:r>
      <w:r w:rsidR="00346C7A" w:rsidRPr="00424698">
        <w:rPr>
          <w:rFonts w:ascii="Times New Roman" w:hAnsi="Times New Roman" w:cs="Times New Roman"/>
          <w:color w:val="000000" w:themeColor="text1"/>
          <w:sz w:val="24"/>
          <w:szCs w:val="24"/>
        </w:rPr>
        <w:t xml:space="preserve"> in EU law</w:t>
      </w:r>
      <w:r w:rsidR="00932970">
        <w:rPr>
          <w:rFonts w:ascii="Times New Roman" w:hAnsi="Times New Roman" w:cs="Times New Roman"/>
          <w:color w:val="000000" w:themeColor="text1"/>
          <w:sz w:val="24"/>
          <w:szCs w:val="24"/>
        </w:rPr>
        <w:t>.</w:t>
      </w:r>
      <w:r w:rsidR="00346C7A" w:rsidRPr="00424698">
        <w:rPr>
          <w:rStyle w:val="FootnoteReference"/>
          <w:rFonts w:ascii="Times New Roman" w:hAnsi="Times New Roman" w:cs="Times New Roman"/>
          <w:color w:val="000000" w:themeColor="text1"/>
          <w:sz w:val="24"/>
          <w:szCs w:val="24"/>
        </w:rPr>
        <w:footnoteReference w:id="28"/>
      </w:r>
      <w:r w:rsidR="009D118B" w:rsidRPr="00424698">
        <w:rPr>
          <w:rFonts w:ascii="Times New Roman" w:hAnsi="Times New Roman" w:cs="Times New Roman"/>
          <w:color w:val="000000" w:themeColor="text1"/>
          <w:sz w:val="24"/>
          <w:szCs w:val="24"/>
        </w:rPr>
        <w:t xml:space="preserve"> </w:t>
      </w:r>
    </w:p>
    <w:p w14:paraId="69DF8BF1" w14:textId="66EFEE64" w:rsidR="00195EC7" w:rsidRPr="00424698" w:rsidRDefault="00195EC7"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shd w:val="clear" w:color="auto" w:fill="FFFFFF"/>
          <w:lang w:val="en-US"/>
        </w:rPr>
      </w:pPr>
      <w:r w:rsidRPr="00424698">
        <w:rPr>
          <w:rFonts w:ascii="Times New Roman" w:hAnsi="Times New Roman" w:cs="Times New Roman"/>
          <w:color w:val="000000" w:themeColor="text1"/>
          <w:sz w:val="24"/>
          <w:szCs w:val="24"/>
        </w:rPr>
        <w:lastRenderedPageBreak/>
        <w:t>Indeed, i</w:t>
      </w:r>
      <w:r w:rsidRPr="00424698">
        <w:rPr>
          <w:rFonts w:ascii="Times New Roman" w:hAnsi="Times New Roman" w:cs="Times New Roman"/>
          <w:color w:val="000000" w:themeColor="text1"/>
          <w:sz w:val="24"/>
          <w:szCs w:val="24"/>
          <w:shd w:val="clear" w:color="auto" w:fill="FFFFFF"/>
        </w:rPr>
        <w:t xml:space="preserve">t is the flexibility of FET enabling investors to obtain a remedy in a wider range of circumstances that elevates it above other investment protection standards contained in EU law. </w:t>
      </w:r>
      <w:r w:rsidR="006E0572" w:rsidRPr="00424698">
        <w:rPr>
          <w:rFonts w:ascii="Times New Roman" w:hAnsi="Times New Roman" w:cs="Times New Roman"/>
          <w:color w:val="000000" w:themeColor="text1"/>
          <w:sz w:val="24"/>
          <w:szCs w:val="24"/>
          <w:shd w:val="clear" w:color="auto" w:fill="FFFFFF"/>
        </w:rPr>
        <w:t>What makes the standard unique is its remedial scope: FET ‘[e]</w:t>
      </w:r>
      <w:r w:rsidRPr="00424698">
        <w:rPr>
          <w:rFonts w:ascii="Times New Roman" w:hAnsi="Times New Roman" w:cs="Times New Roman"/>
          <w:color w:val="000000" w:themeColor="text1"/>
          <w:sz w:val="24"/>
          <w:szCs w:val="24"/>
          <w:shd w:val="clear" w:color="auto" w:fill="FFFFFF"/>
        </w:rPr>
        <w:t>nsures that even where there is no clear justification for making a finding of expropriation …</w:t>
      </w:r>
      <w:r w:rsidR="00BC0A0D">
        <w:rPr>
          <w:rFonts w:ascii="Times New Roman" w:hAnsi="Times New Roman" w:cs="Times New Roman"/>
          <w:color w:val="000000" w:themeColor="text1"/>
          <w:sz w:val="24"/>
          <w:szCs w:val="24"/>
          <w:shd w:val="clear" w:color="auto" w:fill="FFFFFF"/>
        </w:rPr>
        <w:t xml:space="preserve"> </w:t>
      </w:r>
      <w:r w:rsidRPr="00424698">
        <w:rPr>
          <w:rFonts w:ascii="Times New Roman" w:hAnsi="Times New Roman" w:cs="Times New Roman"/>
          <w:color w:val="000000" w:themeColor="text1"/>
          <w:sz w:val="24"/>
          <w:szCs w:val="24"/>
          <w:shd w:val="clear" w:color="auto" w:fill="FFFFFF"/>
        </w:rPr>
        <w:t>there is still a standard which serves the purpose of justice and can of itself redress damage that is unlawful and that would otherwise pass unattended.</w:t>
      </w:r>
      <w:r w:rsidR="006E0572" w:rsidRPr="00424698">
        <w:rPr>
          <w:rFonts w:ascii="Times New Roman" w:hAnsi="Times New Roman" w:cs="Times New Roman"/>
          <w:color w:val="000000" w:themeColor="text1"/>
          <w:sz w:val="24"/>
          <w:szCs w:val="24"/>
          <w:shd w:val="clear" w:color="auto" w:fill="FFFFFF"/>
        </w:rPr>
        <w:t>’</w:t>
      </w:r>
      <w:r w:rsidRPr="00424698">
        <w:rPr>
          <w:rFonts w:ascii="Times New Roman" w:hAnsi="Times New Roman" w:cs="Times New Roman"/>
          <w:color w:val="000000" w:themeColor="text1"/>
          <w:sz w:val="24"/>
          <w:szCs w:val="24"/>
          <w:shd w:val="clear" w:color="auto" w:fill="FFFFFF"/>
          <w:vertAlign w:val="superscript"/>
        </w:rPr>
        <w:footnoteReference w:id="29"/>
      </w:r>
      <w:r w:rsidRPr="00424698">
        <w:rPr>
          <w:rFonts w:ascii="Times New Roman" w:hAnsi="Times New Roman" w:cs="Times New Roman"/>
          <w:color w:val="000000" w:themeColor="text1"/>
          <w:sz w:val="24"/>
          <w:szCs w:val="24"/>
          <w:shd w:val="clear" w:color="auto" w:fill="FFFFFF"/>
        </w:rPr>
        <w:t xml:space="preserve"> As FET entitles investors to a remedy for any degree of interference by the host state and, at the same time, can potentially be invoked against various types of misconduct perpetrated either through a single act or a composition of acts,</w:t>
      </w:r>
      <w:r w:rsidRPr="00424698">
        <w:rPr>
          <w:rFonts w:ascii="Times New Roman" w:hAnsi="Times New Roman" w:cs="Times New Roman"/>
          <w:color w:val="000000" w:themeColor="text1"/>
          <w:sz w:val="24"/>
          <w:szCs w:val="24"/>
          <w:shd w:val="clear" w:color="auto" w:fill="FFFFFF"/>
          <w:vertAlign w:val="superscript"/>
        </w:rPr>
        <w:footnoteReference w:id="30"/>
      </w:r>
      <w:r w:rsidRPr="00424698">
        <w:rPr>
          <w:rFonts w:ascii="Times New Roman" w:hAnsi="Times New Roman" w:cs="Times New Roman"/>
          <w:color w:val="000000" w:themeColor="text1"/>
          <w:sz w:val="24"/>
          <w:szCs w:val="24"/>
          <w:shd w:val="clear" w:color="auto" w:fill="FFFFFF"/>
        </w:rPr>
        <w:t xml:space="preserve"> it has truly become </w:t>
      </w:r>
      <w:r w:rsidRPr="00424698">
        <w:rPr>
          <w:rFonts w:ascii="Times New Roman" w:hAnsi="Times New Roman" w:cs="Times New Roman"/>
          <w:color w:val="000000" w:themeColor="text1"/>
          <w:sz w:val="24"/>
          <w:szCs w:val="24"/>
          <w:shd w:val="clear" w:color="auto" w:fill="FFFFFF"/>
          <w:lang w:val="en-US"/>
        </w:rPr>
        <w:t>‘a short-hand formula for the combined legal effects of all other standards of treatment pre</w:t>
      </w:r>
      <w:r w:rsidR="009C448D" w:rsidRPr="00424698">
        <w:rPr>
          <w:rFonts w:ascii="Times New Roman" w:hAnsi="Times New Roman" w:cs="Times New Roman"/>
          <w:color w:val="000000" w:themeColor="text1"/>
          <w:sz w:val="24"/>
          <w:szCs w:val="24"/>
          <w:shd w:val="clear" w:color="auto" w:fill="FFFFFF"/>
          <w:lang w:val="en-US"/>
        </w:rPr>
        <w:t>scribed by an investment treaty</w:t>
      </w:r>
      <w:r w:rsidRPr="00424698">
        <w:rPr>
          <w:rFonts w:ascii="Times New Roman" w:hAnsi="Times New Roman" w:cs="Times New Roman"/>
          <w:color w:val="000000" w:themeColor="text1"/>
          <w:sz w:val="24"/>
          <w:szCs w:val="24"/>
          <w:shd w:val="clear" w:color="auto" w:fill="FFFFFF"/>
          <w:lang w:val="en-US"/>
        </w:rPr>
        <w:t>’</w:t>
      </w:r>
      <w:r w:rsidRPr="00424698">
        <w:rPr>
          <w:rFonts w:ascii="Times New Roman" w:hAnsi="Times New Roman" w:cs="Times New Roman"/>
          <w:color w:val="000000" w:themeColor="text1"/>
          <w:sz w:val="24"/>
          <w:szCs w:val="24"/>
          <w:shd w:val="clear" w:color="auto" w:fill="FFFFFF"/>
          <w:vertAlign w:val="superscript"/>
          <w:lang w:val="en-US"/>
        </w:rPr>
        <w:footnoteReference w:id="31"/>
      </w:r>
      <w:r w:rsidR="009C448D" w:rsidRPr="00424698">
        <w:rPr>
          <w:rFonts w:ascii="Times New Roman" w:hAnsi="Times New Roman" w:cs="Times New Roman"/>
          <w:color w:val="000000" w:themeColor="text1"/>
          <w:sz w:val="24"/>
          <w:szCs w:val="24"/>
          <w:shd w:val="clear" w:color="auto" w:fill="FFFFFF"/>
          <w:lang w:val="en-US"/>
        </w:rPr>
        <w:t xml:space="preserve"> – encompassing within its remit the protection against procedural injustices by the executive, judicial misconduct, infringement on property rights and contractual breaches.</w:t>
      </w:r>
      <w:r w:rsidR="009C448D" w:rsidRPr="00424698">
        <w:rPr>
          <w:rStyle w:val="FootnoteReference"/>
          <w:rFonts w:ascii="Times New Roman" w:hAnsi="Times New Roman" w:cs="Times New Roman"/>
          <w:color w:val="000000" w:themeColor="text1"/>
          <w:sz w:val="24"/>
          <w:szCs w:val="24"/>
          <w:shd w:val="clear" w:color="auto" w:fill="FFFFFF"/>
          <w:lang w:val="en-US"/>
        </w:rPr>
        <w:footnoteReference w:id="32"/>
      </w:r>
    </w:p>
    <w:p w14:paraId="236A2132" w14:textId="77777777" w:rsidR="00667939" w:rsidRPr="00424698" w:rsidRDefault="006E0572"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It should be conceded that a</w:t>
      </w:r>
      <w:r w:rsidR="00195EC7" w:rsidRPr="00424698">
        <w:rPr>
          <w:rFonts w:ascii="Times New Roman" w:hAnsi="Times New Roman" w:cs="Times New Roman"/>
          <w:color w:val="000000" w:themeColor="text1"/>
          <w:sz w:val="24"/>
          <w:szCs w:val="24"/>
        </w:rPr>
        <w:t>lthough no direct eq</w:t>
      </w:r>
      <w:r w:rsidRPr="00424698">
        <w:rPr>
          <w:rFonts w:ascii="Times New Roman" w:hAnsi="Times New Roman" w:cs="Times New Roman"/>
          <w:color w:val="000000" w:themeColor="text1"/>
          <w:sz w:val="24"/>
          <w:szCs w:val="24"/>
        </w:rPr>
        <w:t>uivalent can be found in EU law</w:t>
      </w:r>
      <w:r w:rsidR="00195EC7" w:rsidRPr="00424698">
        <w:rPr>
          <w:rFonts w:ascii="Times New Roman" w:hAnsi="Times New Roman" w:cs="Times New Roman"/>
          <w:color w:val="000000" w:themeColor="text1"/>
          <w:sz w:val="24"/>
          <w:szCs w:val="24"/>
        </w:rPr>
        <w:t xml:space="preserve"> the interpretation of the FET standard has been historically influenced by rules and principles governing judicial review under EU law. </w:t>
      </w:r>
      <w:r w:rsidR="00667939" w:rsidRPr="00424698">
        <w:rPr>
          <w:rFonts w:ascii="Times New Roman" w:hAnsi="Times New Roman" w:cs="Times New Roman"/>
          <w:color w:val="000000" w:themeColor="text1"/>
          <w:sz w:val="24"/>
          <w:szCs w:val="24"/>
        </w:rPr>
        <w:t>For instance, having originated in Ger</w:t>
      </w:r>
      <w:r w:rsidR="002952D3" w:rsidRPr="00424698">
        <w:rPr>
          <w:rFonts w:ascii="Times New Roman" w:hAnsi="Times New Roman" w:cs="Times New Roman"/>
          <w:color w:val="000000" w:themeColor="text1"/>
          <w:sz w:val="24"/>
          <w:szCs w:val="24"/>
        </w:rPr>
        <w:t>many, proportionality analysis ‘</w:t>
      </w:r>
      <w:r w:rsidR="00667939" w:rsidRPr="00424698">
        <w:rPr>
          <w:rFonts w:ascii="Times New Roman" w:hAnsi="Times New Roman" w:cs="Times New Roman"/>
          <w:color w:val="000000" w:themeColor="text1"/>
          <w:sz w:val="24"/>
          <w:szCs w:val="24"/>
        </w:rPr>
        <w:t xml:space="preserve">became a pan-European constitutional principle due to its adoption by the European courts. The </w:t>
      </w:r>
      <w:r w:rsidR="0029471D" w:rsidRPr="00424698">
        <w:rPr>
          <w:rFonts w:ascii="Times New Roman" w:hAnsi="Times New Roman" w:cs="Times New Roman"/>
          <w:color w:val="000000" w:themeColor="text1"/>
          <w:sz w:val="24"/>
          <w:szCs w:val="24"/>
        </w:rPr>
        <w:t>[CJEU]</w:t>
      </w:r>
      <w:r w:rsidR="00667939" w:rsidRPr="00424698">
        <w:rPr>
          <w:rFonts w:ascii="Times New Roman" w:hAnsi="Times New Roman" w:cs="Times New Roman"/>
          <w:color w:val="000000" w:themeColor="text1"/>
          <w:sz w:val="24"/>
          <w:szCs w:val="24"/>
        </w:rPr>
        <w:t xml:space="preserve"> developed proportionality as an unwritten, general principle of E</w:t>
      </w:r>
      <w:r w:rsidR="002952D3" w:rsidRPr="00424698">
        <w:rPr>
          <w:rFonts w:ascii="Times New Roman" w:hAnsi="Times New Roman" w:cs="Times New Roman"/>
          <w:color w:val="000000" w:themeColor="text1"/>
          <w:sz w:val="24"/>
          <w:szCs w:val="24"/>
        </w:rPr>
        <w:t>U law.’</w:t>
      </w:r>
      <w:r w:rsidR="00667939" w:rsidRPr="00424698">
        <w:rPr>
          <w:rStyle w:val="FootnoteReference"/>
          <w:rFonts w:ascii="Times New Roman" w:hAnsi="Times New Roman" w:cs="Times New Roman"/>
          <w:color w:val="000000" w:themeColor="text1"/>
          <w:sz w:val="24"/>
          <w:szCs w:val="24"/>
        </w:rPr>
        <w:footnoteReference w:id="33"/>
      </w:r>
      <w:r w:rsidR="00667939" w:rsidRPr="00424698">
        <w:rPr>
          <w:rFonts w:ascii="Times New Roman" w:hAnsi="Times New Roman" w:cs="Times New Roman"/>
          <w:color w:val="000000" w:themeColor="text1"/>
          <w:sz w:val="24"/>
          <w:szCs w:val="24"/>
        </w:rPr>
        <w:t xml:space="preserve"> </w:t>
      </w:r>
    </w:p>
    <w:p w14:paraId="3AED5EAB" w14:textId="3FE3EABE" w:rsidR="00195EC7" w:rsidRPr="00424698" w:rsidRDefault="00667939"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Despite these shared underpinnings,</w:t>
      </w:r>
      <w:r w:rsidR="009C448D" w:rsidRPr="00424698">
        <w:rPr>
          <w:rFonts w:ascii="Times New Roman" w:hAnsi="Times New Roman" w:cs="Times New Roman"/>
          <w:color w:val="000000" w:themeColor="text1"/>
          <w:sz w:val="24"/>
          <w:szCs w:val="24"/>
        </w:rPr>
        <w:t xml:space="preserve"> however,</w:t>
      </w:r>
      <w:r w:rsidRPr="00424698">
        <w:rPr>
          <w:rFonts w:ascii="Times New Roman" w:hAnsi="Times New Roman" w:cs="Times New Roman"/>
          <w:color w:val="000000" w:themeColor="text1"/>
          <w:sz w:val="24"/>
          <w:szCs w:val="24"/>
        </w:rPr>
        <w:t xml:space="preserve"> the existing intra-EU IIAs arguably offer a broader protection to foreign investors than that afforded by EU law. This is primarily due to the fact that intra-EU IIAs belong to the first generation of treaties which feature the broad and unqualified version of the FET standard. Those treaties may well lead, even nowadays, to the FET standard being construed in a more expansive manner, particularly compare</w:t>
      </w:r>
      <w:r w:rsidR="007E140F" w:rsidRPr="00424698">
        <w:rPr>
          <w:rFonts w:ascii="Times New Roman" w:hAnsi="Times New Roman" w:cs="Times New Roman"/>
          <w:color w:val="000000" w:themeColor="text1"/>
          <w:sz w:val="24"/>
          <w:szCs w:val="24"/>
        </w:rPr>
        <w:t xml:space="preserve">d with the </w:t>
      </w:r>
      <w:r w:rsidR="007E140F" w:rsidRPr="00424698">
        <w:rPr>
          <w:rFonts w:ascii="Times New Roman" w:hAnsi="Times New Roman" w:cs="Times New Roman"/>
          <w:color w:val="000000" w:themeColor="text1"/>
          <w:sz w:val="24"/>
          <w:szCs w:val="24"/>
        </w:rPr>
        <w:lastRenderedPageBreak/>
        <w:t>more recent treaties</w:t>
      </w:r>
      <w:r w:rsidR="00EA6424" w:rsidRPr="00424698">
        <w:rPr>
          <w:rFonts w:ascii="Times New Roman" w:hAnsi="Times New Roman" w:cs="Times New Roman"/>
          <w:color w:val="000000" w:themeColor="text1"/>
          <w:sz w:val="24"/>
          <w:szCs w:val="24"/>
        </w:rPr>
        <w:t>. The content of the early IIAs was influenced by the then prevailing concerns over the security and protection of investment</w:t>
      </w:r>
      <w:r w:rsidR="00B632FE" w:rsidRPr="00424698">
        <w:rPr>
          <w:rFonts w:ascii="Times New Roman" w:hAnsi="Times New Roman" w:cs="Times New Roman"/>
          <w:color w:val="000000" w:themeColor="text1"/>
          <w:sz w:val="24"/>
          <w:szCs w:val="24"/>
        </w:rPr>
        <w:t xml:space="preserve"> in developing countries which frequently suffered from political instability and weak governance</w:t>
      </w:r>
      <w:r w:rsidR="00EA6424" w:rsidRPr="00424698">
        <w:rPr>
          <w:rFonts w:ascii="Times New Roman" w:hAnsi="Times New Roman" w:cs="Times New Roman"/>
          <w:color w:val="000000" w:themeColor="text1"/>
          <w:sz w:val="24"/>
          <w:szCs w:val="24"/>
        </w:rPr>
        <w:t xml:space="preserve">. As such, the first generation of IIAs provide little to no </w:t>
      </w:r>
      <w:r w:rsidR="007E140F" w:rsidRPr="00424698">
        <w:rPr>
          <w:rFonts w:ascii="Times New Roman" w:hAnsi="Times New Roman" w:cs="Times New Roman"/>
          <w:color w:val="000000" w:themeColor="text1"/>
          <w:sz w:val="24"/>
          <w:szCs w:val="24"/>
        </w:rPr>
        <w:t xml:space="preserve">textual </w:t>
      </w:r>
      <w:r w:rsidR="00EA6424" w:rsidRPr="00424698">
        <w:rPr>
          <w:rFonts w:ascii="Times New Roman" w:hAnsi="Times New Roman" w:cs="Times New Roman"/>
          <w:color w:val="000000" w:themeColor="text1"/>
          <w:sz w:val="24"/>
          <w:szCs w:val="24"/>
        </w:rPr>
        <w:t xml:space="preserve">guidance as to how investment protection was to be balanced against and reconciled with other competing socio-economic policy objectives. The subsequent rise of the regulatory state and, perhaps more importantly, the surge in the number of investment arbitration cases at the end of the 1990s propelled states to revise their investment treaty policies. Consequently, the new generation IIAs—including the recently launched </w:t>
      </w:r>
      <w:r w:rsidR="00BC0A0D">
        <w:rPr>
          <w:rFonts w:ascii="Times New Roman" w:hAnsi="Times New Roman" w:cs="Times New Roman"/>
          <w:color w:val="000000" w:themeColor="text1"/>
          <w:sz w:val="24"/>
          <w:szCs w:val="24"/>
        </w:rPr>
        <w:t>Comprehensive Economic and Trade Agreement (</w:t>
      </w:r>
      <w:r w:rsidR="00EA6424" w:rsidRPr="00424698">
        <w:rPr>
          <w:rFonts w:ascii="Times New Roman" w:hAnsi="Times New Roman" w:cs="Times New Roman"/>
          <w:color w:val="000000" w:themeColor="text1"/>
          <w:sz w:val="24"/>
          <w:szCs w:val="24"/>
        </w:rPr>
        <w:t>CETA</w:t>
      </w:r>
      <w:r w:rsidR="00BC0A0D">
        <w:rPr>
          <w:rFonts w:ascii="Times New Roman" w:hAnsi="Times New Roman" w:cs="Times New Roman"/>
          <w:color w:val="000000" w:themeColor="text1"/>
          <w:sz w:val="24"/>
          <w:szCs w:val="24"/>
        </w:rPr>
        <w:t>)</w:t>
      </w:r>
      <w:r w:rsidR="00EA6424" w:rsidRPr="00424698">
        <w:rPr>
          <w:rFonts w:ascii="Times New Roman" w:hAnsi="Times New Roman" w:cs="Times New Roman"/>
          <w:color w:val="000000" w:themeColor="text1"/>
          <w:sz w:val="24"/>
          <w:szCs w:val="24"/>
        </w:rPr>
        <w:t xml:space="preserve"> between the EU and Canada—feature a different formulation of key investment protection standards.</w:t>
      </w:r>
      <w:r w:rsidR="0029471D" w:rsidRPr="00424698">
        <w:rPr>
          <w:rStyle w:val="FootnoteReference"/>
          <w:rFonts w:ascii="Times New Roman" w:hAnsi="Times New Roman" w:cs="Times New Roman"/>
          <w:color w:val="000000" w:themeColor="text1"/>
          <w:sz w:val="24"/>
          <w:szCs w:val="24"/>
        </w:rPr>
        <w:footnoteReference w:id="34"/>
      </w:r>
      <w:r w:rsidR="00EA6424" w:rsidRPr="00424698">
        <w:rPr>
          <w:rFonts w:ascii="Times New Roman" w:hAnsi="Times New Roman" w:cs="Times New Roman"/>
          <w:color w:val="000000" w:themeColor="text1"/>
          <w:sz w:val="24"/>
          <w:szCs w:val="24"/>
        </w:rPr>
        <w:t xml:space="preserve"> For instance, CETA </w:t>
      </w:r>
      <w:r w:rsidRPr="00424698">
        <w:rPr>
          <w:rFonts w:ascii="Times New Roman" w:hAnsi="Times New Roman" w:cs="Times New Roman"/>
          <w:color w:val="000000" w:themeColor="text1"/>
          <w:sz w:val="24"/>
          <w:szCs w:val="24"/>
        </w:rPr>
        <w:t>delimit</w:t>
      </w:r>
      <w:r w:rsidR="00EA6424" w:rsidRPr="00424698">
        <w:rPr>
          <w:rFonts w:ascii="Times New Roman" w:hAnsi="Times New Roman" w:cs="Times New Roman"/>
          <w:color w:val="000000" w:themeColor="text1"/>
          <w:sz w:val="24"/>
          <w:szCs w:val="24"/>
        </w:rPr>
        <w:t>s</w:t>
      </w:r>
      <w:r w:rsidRPr="00424698">
        <w:rPr>
          <w:rFonts w:ascii="Times New Roman" w:hAnsi="Times New Roman" w:cs="Times New Roman"/>
          <w:color w:val="000000" w:themeColor="text1"/>
          <w:sz w:val="24"/>
          <w:szCs w:val="24"/>
        </w:rPr>
        <w:t xml:space="preserve"> the content of the </w:t>
      </w:r>
      <w:r w:rsidR="00EA6424" w:rsidRPr="00424698">
        <w:rPr>
          <w:rFonts w:ascii="Times New Roman" w:hAnsi="Times New Roman" w:cs="Times New Roman"/>
          <w:color w:val="000000" w:themeColor="text1"/>
          <w:sz w:val="24"/>
          <w:szCs w:val="24"/>
        </w:rPr>
        <w:t xml:space="preserve">FET </w:t>
      </w:r>
      <w:r w:rsidRPr="00424698">
        <w:rPr>
          <w:rFonts w:ascii="Times New Roman" w:hAnsi="Times New Roman" w:cs="Times New Roman"/>
          <w:color w:val="000000" w:themeColor="text1"/>
          <w:sz w:val="24"/>
          <w:szCs w:val="24"/>
        </w:rPr>
        <w:t xml:space="preserve">standard by enumerating the categories </w:t>
      </w:r>
      <w:r w:rsidR="00EA6424" w:rsidRPr="00424698">
        <w:rPr>
          <w:rFonts w:ascii="Times New Roman" w:hAnsi="Times New Roman" w:cs="Times New Roman"/>
          <w:color w:val="000000" w:themeColor="text1"/>
          <w:sz w:val="24"/>
          <w:szCs w:val="24"/>
        </w:rPr>
        <w:t>of governmental misconduct that are likely to be regarded as unfair and inequitable</w:t>
      </w:r>
      <w:r w:rsidRPr="00424698">
        <w:rPr>
          <w:rFonts w:ascii="Times New Roman" w:hAnsi="Times New Roman" w:cs="Times New Roman"/>
          <w:color w:val="000000" w:themeColor="text1"/>
          <w:sz w:val="24"/>
          <w:szCs w:val="24"/>
        </w:rPr>
        <w:t>.</w:t>
      </w:r>
      <w:r w:rsidR="0029471D" w:rsidRPr="00424698">
        <w:rPr>
          <w:rStyle w:val="FootnoteReference"/>
          <w:rFonts w:ascii="Times New Roman" w:hAnsi="Times New Roman" w:cs="Times New Roman"/>
          <w:color w:val="000000" w:themeColor="text1"/>
          <w:sz w:val="24"/>
          <w:szCs w:val="24"/>
        </w:rPr>
        <w:footnoteReference w:id="35"/>
      </w:r>
      <w:r w:rsidRPr="00424698">
        <w:rPr>
          <w:rFonts w:ascii="Times New Roman" w:hAnsi="Times New Roman" w:cs="Times New Roman"/>
          <w:color w:val="000000" w:themeColor="text1"/>
          <w:sz w:val="24"/>
          <w:szCs w:val="24"/>
        </w:rPr>
        <w:t xml:space="preserve"> </w:t>
      </w:r>
      <w:r w:rsidR="00EA6424" w:rsidRPr="00424698">
        <w:rPr>
          <w:rFonts w:ascii="Times New Roman" w:hAnsi="Times New Roman" w:cs="Times New Roman"/>
          <w:color w:val="000000" w:themeColor="text1"/>
          <w:sz w:val="24"/>
          <w:szCs w:val="24"/>
        </w:rPr>
        <w:t xml:space="preserve">The scope of the FET standard has also been narrowed as CETA </w:t>
      </w:r>
      <w:r w:rsidRPr="00424698">
        <w:rPr>
          <w:rFonts w:ascii="Times New Roman" w:hAnsi="Times New Roman" w:cs="Times New Roman"/>
          <w:color w:val="000000" w:themeColor="text1"/>
          <w:sz w:val="24"/>
          <w:szCs w:val="24"/>
        </w:rPr>
        <w:t>s</w:t>
      </w:r>
      <w:r w:rsidR="009C448D" w:rsidRPr="00424698">
        <w:rPr>
          <w:rFonts w:ascii="Times New Roman" w:hAnsi="Times New Roman" w:cs="Times New Roman"/>
          <w:color w:val="000000" w:themeColor="text1"/>
          <w:sz w:val="24"/>
          <w:szCs w:val="24"/>
        </w:rPr>
        <w:t xml:space="preserve">tipulates </w:t>
      </w:r>
      <w:r w:rsidRPr="00424698">
        <w:rPr>
          <w:rFonts w:ascii="Times New Roman" w:hAnsi="Times New Roman" w:cs="Times New Roman"/>
          <w:color w:val="000000" w:themeColor="text1"/>
          <w:sz w:val="24"/>
          <w:szCs w:val="24"/>
        </w:rPr>
        <w:t xml:space="preserve">that no </w:t>
      </w:r>
      <w:r w:rsidR="009C448D" w:rsidRPr="00424698">
        <w:rPr>
          <w:rFonts w:ascii="Times New Roman" w:hAnsi="Times New Roman" w:cs="Times New Roman"/>
          <w:color w:val="000000" w:themeColor="text1"/>
          <w:sz w:val="24"/>
          <w:szCs w:val="24"/>
        </w:rPr>
        <w:t xml:space="preserve">legitimate expectations </w:t>
      </w:r>
      <w:r w:rsidRPr="00424698">
        <w:rPr>
          <w:rFonts w:ascii="Times New Roman" w:hAnsi="Times New Roman" w:cs="Times New Roman"/>
          <w:color w:val="000000" w:themeColor="text1"/>
          <w:sz w:val="24"/>
          <w:szCs w:val="24"/>
        </w:rPr>
        <w:t>exist unless there is evidence of a specific promise or representation made by the State.</w:t>
      </w:r>
      <w:r w:rsidR="009C448D" w:rsidRPr="00424698">
        <w:rPr>
          <w:rStyle w:val="FootnoteReference"/>
          <w:rFonts w:ascii="Times New Roman" w:hAnsi="Times New Roman" w:cs="Times New Roman"/>
          <w:color w:val="000000" w:themeColor="text1"/>
          <w:sz w:val="24"/>
          <w:szCs w:val="24"/>
        </w:rPr>
        <w:footnoteReference w:id="36"/>
      </w:r>
      <w:r w:rsidR="009C448D" w:rsidRPr="00424698">
        <w:rPr>
          <w:rFonts w:ascii="Times New Roman" w:hAnsi="Times New Roman" w:cs="Times New Roman"/>
          <w:color w:val="000000" w:themeColor="text1"/>
          <w:sz w:val="24"/>
          <w:szCs w:val="24"/>
        </w:rPr>
        <w:t xml:space="preserve"> One could therefore argue that t</w:t>
      </w:r>
      <w:r w:rsidRPr="00424698">
        <w:rPr>
          <w:rFonts w:ascii="Times New Roman" w:hAnsi="Times New Roman" w:cs="Times New Roman"/>
          <w:color w:val="000000" w:themeColor="text1"/>
          <w:sz w:val="24"/>
          <w:szCs w:val="24"/>
        </w:rPr>
        <w:t xml:space="preserve">he wording of the standard under the older </w:t>
      </w:r>
      <w:r w:rsidR="009C448D" w:rsidRPr="00424698">
        <w:rPr>
          <w:rFonts w:ascii="Times New Roman" w:hAnsi="Times New Roman" w:cs="Times New Roman"/>
          <w:color w:val="000000" w:themeColor="text1"/>
          <w:sz w:val="24"/>
          <w:szCs w:val="24"/>
        </w:rPr>
        <w:t xml:space="preserve">intra-EU investment </w:t>
      </w:r>
      <w:r w:rsidRPr="00424698">
        <w:rPr>
          <w:rFonts w:ascii="Times New Roman" w:hAnsi="Times New Roman" w:cs="Times New Roman"/>
          <w:color w:val="000000" w:themeColor="text1"/>
          <w:sz w:val="24"/>
          <w:szCs w:val="24"/>
        </w:rPr>
        <w:t xml:space="preserve">treaties </w:t>
      </w:r>
      <w:r w:rsidR="009C448D" w:rsidRPr="00424698">
        <w:rPr>
          <w:rFonts w:ascii="Times New Roman" w:hAnsi="Times New Roman" w:cs="Times New Roman"/>
          <w:color w:val="000000" w:themeColor="text1"/>
          <w:sz w:val="24"/>
          <w:szCs w:val="24"/>
        </w:rPr>
        <w:t>may result in a broader protection for the investor</w:t>
      </w:r>
      <w:r w:rsidRPr="00424698">
        <w:rPr>
          <w:rFonts w:ascii="Times New Roman" w:hAnsi="Times New Roman" w:cs="Times New Roman"/>
          <w:color w:val="000000" w:themeColor="text1"/>
          <w:sz w:val="24"/>
          <w:szCs w:val="24"/>
        </w:rPr>
        <w:t>, whereas the more recent treaties, by virtue of their revised wording, may come closer to EU law as far as their protective scope is concerned.</w:t>
      </w:r>
    </w:p>
    <w:p w14:paraId="5453819D" w14:textId="7EB1AC67" w:rsidR="005B6DC7" w:rsidRPr="00424698" w:rsidRDefault="00F509BB" w:rsidP="0030432B">
      <w:pPr>
        <w:autoSpaceDE w:val="0"/>
        <w:autoSpaceDN w:val="0"/>
        <w:adjustRightInd w:val="0"/>
        <w:spacing w:after="0" w:line="360" w:lineRule="auto"/>
        <w:ind w:firstLine="425"/>
        <w:jc w:val="both"/>
        <w:rPr>
          <w:rFonts w:ascii="Times New Roman" w:eastAsia="AGaramondPro-Regular" w:hAnsi="Times New Roman" w:cs="Times New Roman"/>
          <w:color w:val="000000" w:themeColor="text1"/>
          <w:sz w:val="24"/>
          <w:szCs w:val="24"/>
        </w:rPr>
      </w:pPr>
      <w:r w:rsidRPr="00424698">
        <w:rPr>
          <w:rFonts w:ascii="Times New Roman" w:eastAsia="AGaramondPro-Regular" w:hAnsi="Times New Roman" w:cs="Times New Roman"/>
          <w:color w:val="000000" w:themeColor="text1"/>
          <w:sz w:val="24"/>
          <w:szCs w:val="24"/>
        </w:rPr>
        <w:t xml:space="preserve">A comparison of safeguards against executive and judicial misconduct in EU law and under IIAs </w:t>
      </w:r>
      <w:r w:rsidR="009C5256" w:rsidRPr="00424698">
        <w:rPr>
          <w:rFonts w:ascii="Times New Roman" w:eastAsia="AGaramondPro-Regular" w:hAnsi="Times New Roman" w:cs="Times New Roman"/>
          <w:color w:val="000000" w:themeColor="text1"/>
          <w:sz w:val="24"/>
          <w:szCs w:val="24"/>
        </w:rPr>
        <w:t xml:space="preserve">respectively </w:t>
      </w:r>
      <w:r w:rsidRPr="00424698">
        <w:rPr>
          <w:rFonts w:ascii="Times New Roman" w:eastAsia="AGaramondPro-Regular" w:hAnsi="Times New Roman" w:cs="Times New Roman"/>
          <w:color w:val="000000" w:themeColor="text1"/>
          <w:sz w:val="24"/>
          <w:szCs w:val="24"/>
        </w:rPr>
        <w:t>also points to the notion of good administration which captures some of the relevant developments in E</w:t>
      </w:r>
      <w:r w:rsidR="006E0572" w:rsidRPr="00424698">
        <w:rPr>
          <w:rFonts w:ascii="Times New Roman" w:eastAsia="AGaramondPro-Regular" w:hAnsi="Times New Roman" w:cs="Times New Roman"/>
          <w:color w:val="000000" w:themeColor="text1"/>
          <w:sz w:val="24"/>
          <w:szCs w:val="24"/>
        </w:rPr>
        <w:t>U</w:t>
      </w:r>
      <w:r w:rsidRPr="00424698">
        <w:rPr>
          <w:rFonts w:ascii="Times New Roman" w:eastAsia="AGaramondPro-Regular" w:hAnsi="Times New Roman" w:cs="Times New Roman"/>
          <w:color w:val="000000" w:themeColor="text1"/>
          <w:sz w:val="24"/>
          <w:szCs w:val="24"/>
        </w:rPr>
        <w:t xml:space="preserve"> rules governing the protection of individuals vis-à-vis governmental authorities. Good administration can be described as an evolving framework concept ‘which draws together a range of rights, rules and principles guiding administrative procedures with the aim of ensuring procedural justice, public administrative adherence to the rule of law, and sound outcomes for administrative procedures.’</w:t>
      </w:r>
      <w:r w:rsidRPr="00424698">
        <w:rPr>
          <w:rStyle w:val="FootnoteReference"/>
          <w:rFonts w:ascii="Times New Roman" w:eastAsia="AGaramondPro-Regular" w:hAnsi="Times New Roman" w:cs="Times New Roman"/>
          <w:color w:val="000000" w:themeColor="text1"/>
          <w:sz w:val="24"/>
          <w:szCs w:val="24"/>
        </w:rPr>
        <w:footnoteReference w:id="37"/>
      </w:r>
      <w:r w:rsidRPr="00424698">
        <w:rPr>
          <w:rFonts w:ascii="Times New Roman" w:eastAsia="AGaramondPro-Regular" w:hAnsi="Times New Roman" w:cs="Times New Roman"/>
          <w:color w:val="000000" w:themeColor="text1"/>
          <w:sz w:val="24"/>
          <w:szCs w:val="24"/>
        </w:rPr>
        <w:t xml:space="preserve"> </w:t>
      </w:r>
      <w:r w:rsidR="00A524BB" w:rsidRPr="00424698">
        <w:rPr>
          <w:rFonts w:ascii="Times New Roman" w:eastAsia="AGaramondPro-Regular" w:hAnsi="Times New Roman" w:cs="Times New Roman"/>
          <w:color w:val="000000" w:themeColor="text1"/>
          <w:sz w:val="24"/>
          <w:szCs w:val="24"/>
        </w:rPr>
        <w:t>Concrete</w:t>
      </w:r>
      <w:r w:rsidRPr="00424698">
        <w:rPr>
          <w:rFonts w:ascii="Times New Roman" w:eastAsia="AGaramondPro-Regular" w:hAnsi="Times New Roman" w:cs="Times New Roman"/>
          <w:color w:val="000000" w:themeColor="text1"/>
          <w:sz w:val="24"/>
          <w:szCs w:val="24"/>
        </w:rPr>
        <w:t xml:space="preserve"> procedural principles</w:t>
      </w:r>
      <w:r w:rsidR="00A524BB" w:rsidRPr="00424698">
        <w:rPr>
          <w:rFonts w:ascii="Times New Roman" w:eastAsia="AGaramondPro-Regular" w:hAnsi="Times New Roman" w:cs="Times New Roman"/>
          <w:color w:val="000000" w:themeColor="text1"/>
          <w:sz w:val="24"/>
          <w:szCs w:val="24"/>
        </w:rPr>
        <w:t xml:space="preserve"> underpinning the notion of good administration originate</w:t>
      </w:r>
      <w:r w:rsidRPr="00424698">
        <w:rPr>
          <w:rFonts w:ascii="Times New Roman" w:eastAsia="AGaramondPro-Regular" w:hAnsi="Times New Roman" w:cs="Times New Roman"/>
          <w:color w:val="000000" w:themeColor="text1"/>
          <w:sz w:val="24"/>
          <w:szCs w:val="24"/>
        </w:rPr>
        <w:t xml:space="preserve"> </w:t>
      </w:r>
      <w:r w:rsidR="00C75E9E" w:rsidRPr="00424698">
        <w:rPr>
          <w:rFonts w:ascii="Times New Roman" w:eastAsia="AGaramondPro-Regular" w:hAnsi="Times New Roman" w:cs="Times New Roman"/>
          <w:color w:val="000000" w:themeColor="text1"/>
          <w:sz w:val="24"/>
          <w:szCs w:val="24"/>
        </w:rPr>
        <w:t xml:space="preserve">from </w:t>
      </w:r>
      <w:r w:rsidRPr="00424698">
        <w:rPr>
          <w:rFonts w:ascii="Times New Roman" w:eastAsia="AGaramondPro-Regular" w:hAnsi="Times New Roman" w:cs="Times New Roman"/>
          <w:color w:val="000000" w:themeColor="text1"/>
          <w:sz w:val="24"/>
          <w:szCs w:val="24"/>
        </w:rPr>
        <w:t>public law of the member states, par</w:t>
      </w:r>
      <w:r w:rsidRPr="00424698">
        <w:rPr>
          <w:rFonts w:ascii="Times New Roman" w:eastAsia="AGaramondPro-Regular" w:hAnsi="Times New Roman" w:cs="Times New Roman"/>
          <w:color w:val="000000" w:themeColor="text1"/>
          <w:sz w:val="24"/>
          <w:szCs w:val="24"/>
        </w:rPr>
        <w:lastRenderedPageBreak/>
        <w:t xml:space="preserve">ticularly </w:t>
      </w:r>
      <w:r w:rsidR="00A524BB" w:rsidRPr="00424698">
        <w:rPr>
          <w:rFonts w:ascii="Times New Roman" w:eastAsia="AGaramondPro-Regular" w:hAnsi="Times New Roman" w:cs="Times New Roman"/>
          <w:color w:val="000000" w:themeColor="text1"/>
          <w:sz w:val="24"/>
          <w:szCs w:val="24"/>
        </w:rPr>
        <w:t>national rules and principles aimed at</w:t>
      </w:r>
      <w:r w:rsidRPr="00424698">
        <w:rPr>
          <w:rFonts w:ascii="Times New Roman" w:eastAsia="AGaramondPro-Regular" w:hAnsi="Times New Roman" w:cs="Times New Roman"/>
          <w:color w:val="000000" w:themeColor="text1"/>
          <w:sz w:val="24"/>
          <w:szCs w:val="24"/>
        </w:rPr>
        <w:t xml:space="preserve"> ensuring procedural </w:t>
      </w:r>
      <w:r w:rsidR="00A524BB" w:rsidRPr="00424698">
        <w:rPr>
          <w:rFonts w:ascii="Times New Roman" w:eastAsia="AGaramondPro-Regular" w:hAnsi="Times New Roman" w:cs="Times New Roman"/>
          <w:color w:val="000000" w:themeColor="text1"/>
          <w:sz w:val="24"/>
          <w:szCs w:val="24"/>
        </w:rPr>
        <w:t xml:space="preserve">fairness. </w:t>
      </w:r>
      <w:r w:rsidR="006E0572" w:rsidRPr="00424698">
        <w:rPr>
          <w:rFonts w:ascii="Times New Roman" w:eastAsia="AGaramondPro-Regular" w:hAnsi="Times New Roman" w:cs="Times New Roman"/>
          <w:color w:val="000000" w:themeColor="text1"/>
          <w:sz w:val="24"/>
          <w:szCs w:val="24"/>
        </w:rPr>
        <w:t xml:space="preserve">As such, the concept is reminiscent of the many constitutive components of the FET standard in IIAs such as the requirement of due process, transparency and consistency. </w:t>
      </w:r>
    </w:p>
    <w:p w14:paraId="7A6F5527" w14:textId="77777777" w:rsidR="00F509BB" w:rsidRPr="00424698" w:rsidRDefault="006E0572" w:rsidP="0030432B">
      <w:pPr>
        <w:autoSpaceDE w:val="0"/>
        <w:autoSpaceDN w:val="0"/>
        <w:adjustRightInd w:val="0"/>
        <w:spacing w:after="0" w:line="360" w:lineRule="auto"/>
        <w:ind w:firstLine="425"/>
        <w:jc w:val="both"/>
        <w:rPr>
          <w:rFonts w:ascii="Times New Roman" w:eastAsia="AGaramondPro-Regular" w:hAnsi="Times New Roman" w:cs="Times New Roman"/>
          <w:color w:val="000000" w:themeColor="text1"/>
          <w:sz w:val="24"/>
          <w:szCs w:val="24"/>
        </w:rPr>
      </w:pPr>
      <w:r w:rsidRPr="00424698">
        <w:rPr>
          <w:rFonts w:ascii="Times New Roman" w:eastAsia="AGaramondPro-Regular" w:hAnsi="Times New Roman" w:cs="Times New Roman"/>
          <w:color w:val="000000" w:themeColor="text1"/>
          <w:sz w:val="24"/>
          <w:szCs w:val="24"/>
        </w:rPr>
        <w:t>The material scope of t</w:t>
      </w:r>
      <w:r w:rsidR="00A524BB" w:rsidRPr="00424698">
        <w:rPr>
          <w:rFonts w:ascii="Times New Roman" w:eastAsia="AGaramondPro-Regular" w:hAnsi="Times New Roman" w:cs="Times New Roman"/>
          <w:color w:val="000000" w:themeColor="text1"/>
          <w:sz w:val="24"/>
          <w:szCs w:val="24"/>
        </w:rPr>
        <w:t xml:space="preserve">he </w:t>
      </w:r>
      <w:r w:rsidR="005B6DC7" w:rsidRPr="00424698">
        <w:rPr>
          <w:rFonts w:ascii="Times New Roman" w:eastAsia="AGaramondPro-Regular" w:hAnsi="Times New Roman" w:cs="Times New Roman"/>
          <w:color w:val="000000" w:themeColor="text1"/>
          <w:sz w:val="24"/>
          <w:szCs w:val="24"/>
        </w:rPr>
        <w:t>right to good administration</w:t>
      </w:r>
      <w:r w:rsidRPr="00424698">
        <w:rPr>
          <w:rFonts w:ascii="Times New Roman" w:eastAsia="AGaramondPro-Regular" w:hAnsi="Times New Roman" w:cs="Times New Roman"/>
          <w:color w:val="000000" w:themeColor="text1"/>
          <w:sz w:val="24"/>
          <w:szCs w:val="24"/>
        </w:rPr>
        <w:t xml:space="preserve"> depends on its source and is not as broad as that which investors may enjoy under intra-EU IIAs. The two sources of the right to good administration requirements are Article 41 of the Charter and general principles as distilled by the CJEU in its case</w:t>
      </w:r>
      <w:r w:rsidR="00AC583E">
        <w:rPr>
          <w:rFonts w:ascii="Times New Roman" w:eastAsia="AGaramondPro-Regular" w:hAnsi="Times New Roman" w:cs="Times New Roman"/>
          <w:color w:val="000000" w:themeColor="text1"/>
          <w:sz w:val="24"/>
          <w:szCs w:val="24"/>
        </w:rPr>
        <w:t>-</w:t>
      </w:r>
      <w:r w:rsidRPr="00424698">
        <w:rPr>
          <w:rFonts w:ascii="Times New Roman" w:eastAsia="AGaramondPro-Regular" w:hAnsi="Times New Roman" w:cs="Times New Roman"/>
          <w:color w:val="000000" w:themeColor="text1"/>
          <w:sz w:val="24"/>
          <w:szCs w:val="24"/>
        </w:rPr>
        <w:t>law and now acknowledged in Article 6(3) TEU.</w:t>
      </w:r>
      <w:r w:rsidR="00B707DC" w:rsidRPr="00424698">
        <w:rPr>
          <w:rFonts w:ascii="Times New Roman" w:eastAsia="AGaramondPro-Regular" w:hAnsi="Times New Roman" w:cs="Times New Roman"/>
          <w:color w:val="000000" w:themeColor="text1"/>
          <w:sz w:val="24"/>
          <w:szCs w:val="24"/>
        </w:rPr>
        <w:t xml:space="preserve"> The </w:t>
      </w:r>
      <w:r w:rsidR="00F509BB" w:rsidRPr="00424698">
        <w:rPr>
          <w:rFonts w:ascii="Times New Roman" w:eastAsia="AGaramondPro-Regular" w:hAnsi="Times New Roman" w:cs="Times New Roman"/>
          <w:color w:val="000000" w:themeColor="text1"/>
          <w:sz w:val="24"/>
          <w:szCs w:val="24"/>
        </w:rPr>
        <w:t xml:space="preserve">wording of Article 41 CFR </w:t>
      </w:r>
      <w:r w:rsidR="00A524BB" w:rsidRPr="00424698">
        <w:rPr>
          <w:rFonts w:ascii="Times New Roman" w:eastAsia="AGaramondPro-Regular" w:hAnsi="Times New Roman" w:cs="Times New Roman"/>
          <w:color w:val="000000" w:themeColor="text1"/>
          <w:sz w:val="24"/>
          <w:szCs w:val="24"/>
        </w:rPr>
        <w:t>suggests that its material scope is confined to</w:t>
      </w:r>
      <w:r w:rsidR="00F509BB" w:rsidRPr="00424698">
        <w:rPr>
          <w:rFonts w:ascii="Times New Roman" w:eastAsia="AGaramondPro-Regular" w:hAnsi="Times New Roman" w:cs="Times New Roman"/>
          <w:color w:val="000000" w:themeColor="text1"/>
          <w:sz w:val="24"/>
          <w:szCs w:val="24"/>
        </w:rPr>
        <w:t xml:space="preserve"> ‘single case decision-making’,</w:t>
      </w:r>
      <w:r w:rsidR="00F509BB" w:rsidRPr="00424698">
        <w:rPr>
          <w:rStyle w:val="FootnoteReference"/>
          <w:rFonts w:ascii="Times New Roman" w:eastAsia="AGaramondPro-Regular" w:hAnsi="Times New Roman" w:cs="Times New Roman"/>
          <w:color w:val="000000" w:themeColor="text1"/>
          <w:sz w:val="24"/>
          <w:szCs w:val="24"/>
        </w:rPr>
        <w:footnoteReference w:id="38"/>
      </w:r>
      <w:r w:rsidR="005B6DC7" w:rsidRPr="00424698">
        <w:rPr>
          <w:rFonts w:ascii="Times New Roman" w:eastAsia="AGaramondPro-Regular" w:hAnsi="Times New Roman" w:cs="Times New Roman"/>
          <w:color w:val="000000" w:themeColor="text1"/>
          <w:sz w:val="24"/>
          <w:szCs w:val="24"/>
        </w:rPr>
        <w:t xml:space="preserve"> and includes ‘</w:t>
      </w:r>
      <w:r w:rsidR="00F509BB" w:rsidRPr="00424698">
        <w:rPr>
          <w:rFonts w:ascii="Times New Roman" w:eastAsia="AGaramondPro-Regular" w:hAnsi="Times New Roman" w:cs="Times New Roman"/>
          <w:color w:val="000000" w:themeColor="text1"/>
          <w:sz w:val="24"/>
          <w:szCs w:val="24"/>
        </w:rPr>
        <w:t>the right of an individual to be heard before the administration</w:t>
      </w:r>
      <w:r w:rsidR="00A524BB" w:rsidRPr="00424698">
        <w:rPr>
          <w:rFonts w:ascii="Times New Roman" w:eastAsia="AGaramondPro-Regular" w:hAnsi="Times New Roman" w:cs="Times New Roman"/>
          <w:color w:val="000000" w:themeColor="text1"/>
          <w:sz w:val="24"/>
          <w:szCs w:val="24"/>
        </w:rPr>
        <w:t xml:space="preserve"> </w:t>
      </w:r>
      <w:r w:rsidR="00F509BB" w:rsidRPr="00424698">
        <w:rPr>
          <w:rFonts w:ascii="Times New Roman" w:eastAsia="AGaramondPro-Regular" w:hAnsi="Times New Roman" w:cs="Times New Roman"/>
          <w:color w:val="000000" w:themeColor="text1"/>
          <w:sz w:val="24"/>
          <w:szCs w:val="24"/>
        </w:rPr>
        <w:t>takes an ‘individual measure which would affect him or her adversely’, access of a</w:t>
      </w:r>
      <w:r w:rsidR="00A524BB" w:rsidRPr="00424698">
        <w:rPr>
          <w:rFonts w:ascii="Times New Roman" w:eastAsia="AGaramondPro-Regular" w:hAnsi="Times New Roman" w:cs="Times New Roman"/>
          <w:color w:val="000000" w:themeColor="text1"/>
          <w:sz w:val="24"/>
          <w:szCs w:val="24"/>
        </w:rPr>
        <w:t xml:space="preserve"> </w:t>
      </w:r>
      <w:r w:rsidR="00F509BB" w:rsidRPr="00424698">
        <w:rPr>
          <w:rFonts w:ascii="Times New Roman" w:eastAsia="AGaramondPro-Regular" w:hAnsi="Times New Roman" w:cs="Times New Roman"/>
          <w:color w:val="000000" w:themeColor="text1"/>
          <w:sz w:val="24"/>
          <w:szCs w:val="24"/>
        </w:rPr>
        <w:t>person to ‘his or her’ (specific) file, and the obligation to give reasons for administrative</w:t>
      </w:r>
      <w:r w:rsidR="00A524BB" w:rsidRPr="00424698">
        <w:rPr>
          <w:rFonts w:ascii="Times New Roman" w:eastAsia="AGaramondPro-Regular" w:hAnsi="Times New Roman" w:cs="Times New Roman"/>
          <w:color w:val="000000" w:themeColor="text1"/>
          <w:sz w:val="24"/>
          <w:szCs w:val="24"/>
        </w:rPr>
        <w:t xml:space="preserve"> </w:t>
      </w:r>
      <w:r w:rsidRPr="00424698">
        <w:rPr>
          <w:rFonts w:ascii="Times New Roman" w:eastAsia="AGaramondPro-Regular" w:hAnsi="Times New Roman" w:cs="Times New Roman"/>
          <w:color w:val="000000" w:themeColor="text1"/>
          <w:sz w:val="24"/>
          <w:szCs w:val="24"/>
        </w:rPr>
        <w:t>decisions.’</w:t>
      </w:r>
      <w:r w:rsidR="00F509BB" w:rsidRPr="00424698">
        <w:rPr>
          <w:rStyle w:val="FootnoteReference"/>
          <w:rFonts w:ascii="Times New Roman" w:eastAsia="AGaramondPro-Regular" w:hAnsi="Times New Roman" w:cs="Times New Roman"/>
          <w:color w:val="000000" w:themeColor="text1"/>
          <w:sz w:val="24"/>
          <w:szCs w:val="24"/>
        </w:rPr>
        <w:footnoteReference w:id="39"/>
      </w:r>
      <w:r w:rsidR="00A524BB" w:rsidRPr="00424698">
        <w:rPr>
          <w:rFonts w:ascii="Times New Roman" w:eastAsia="AGaramondPro-Regular" w:hAnsi="Times New Roman" w:cs="Times New Roman"/>
          <w:color w:val="000000" w:themeColor="text1"/>
          <w:sz w:val="24"/>
          <w:szCs w:val="24"/>
        </w:rPr>
        <w:t xml:space="preserve"> Contrastingly, </w:t>
      </w:r>
      <w:r w:rsidR="00F509BB" w:rsidRPr="00424698">
        <w:rPr>
          <w:rFonts w:ascii="Times New Roman" w:eastAsia="AGaramondPro-Regular" w:hAnsi="Times New Roman" w:cs="Times New Roman"/>
          <w:color w:val="000000" w:themeColor="text1"/>
          <w:sz w:val="24"/>
          <w:szCs w:val="24"/>
        </w:rPr>
        <w:t xml:space="preserve">the </w:t>
      </w:r>
      <w:r w:rsidR="00A524BB" w:rsidRPr="00424698">
        <w:rPr>
          <w:rFonts w:ascii="Times New Roman" w:eastAsia="AGaramondPro-Regular" w:hAnsi="Times New Roman" w:cs="Times New Roman"/>
          <w:color w:val="000000" w:themeColor="text1"/>
          <w:sz w:val="24"/>
          <w:szCs w:val="24"/>
        </w:rPr>
        <w:t>right to</w:t>
      </w:r>
      <w:r w:rsidR="00F509BB" w:rsidRPr="00424698">
        <w:rPr>
          <w:rFonts w:ascii="Times New Roman" w:eastAsia="AGaramondPro-Regular" w:hAnsi="Times New Roman" w:cs="Times New Roman"/>
          <w:color w:val="000000" w:themeColor="text1"/>
          <w:sz w:val="24"/>
          <w:szCs w:val="24"/>
        </w:rPr>
        <w:t xml:space="preserve"> good administration </w:t>
      </w:r>
      <w:r w:rsidR="00A524BB" w:rsidRPr="00424698">
        <w:rPr>
          <w:rFonts w:ascii="Times New Roman" w:eastAsia="AGaramondPro-Regular" w:hAnsi="Times New Roman" w:cs="Times New Roman"/>
          <w:color w:val="000000" w:themeColor="text1"/>
          <w:sz w:val="24"/>
          <w:szCs w:val="24"/>
        </w:rPr>
        <w:t>as a general principle emerging</w:t>
      </w:r>
      <w:r w:rsidR="00F509BB" w:rsidRPr="00424698">
        <w:rPr>
          <w:rFonts w:ascii="Times New Roman" w:eastAsia="AGaramondPro-Regular" w:hAnsi="Times New Roman" w:cs="Times New Roman"/>
          <w:color w:val="000000" w:themeColor="text1"/>
          <w:sz w:val="24"/>
          <w:szCs w:val="24"/>
        </w:rPr>
        <w:t xml:space="preserve"> from the </w:t>
      </w:r>
      <w:r w:rsidR="00A524BB" w:rsidRPr="00424698">
        <w:rPr>
          <w:rFonts w:ascii="Times New Roman" w:eastAsia="AGaramondPro-Regular" w:hAnsi="Times New Roman" w:cs="Times New Roman"/>
          <w:color w:val="000000" w:themeColor="text1"/>
          <w:sz w:val="24"/>
          <w:szCs w:val="24"/>
        </w:rPr>
        <w:t xml:space="preserve">CJEU </w:t>
      </w:r>
      <w:r w:rsidR="00F509BB" w:rsidRPr="00424698">
        <w:rPr>
          <w:rFonts w:ascii="Times New Roman" w:eastAsia="AGaramondPro-Regular" w:hAnsi="Times New Roman" w:cs="Times New Roman"/>
          <w:color w:val="000000" w:themeColor="text1"/>
          <w:sz w:val="24"/>
          <w:szCs w:val="24"/>
        </w:rPr>
        <w:t xml:space="preserve">case-law </w:t>
      </w:r>
      <w:r w:rsidR="005B6DC7" w:rsidRPr="00424698">
        <w:rPr>
          <w:rFonts w:ascii="Times New Roman" w:eastAsia="AGaramondPro-Regular" w:hAnsi="Times New Roman" w:cs="Times New Roman"/>
          <w:color w:val="000000" w:themeColor="text1"/>
          <w:sz w:val="24"/>
          <w:szCs w:val="24"/>
        </w:rPr>
        <w:t>has</w:t>
      </w:r>
      <w:r w:rsidR="00F509BB" w:rsidRPr="00424698">
        <w:rPr>
          <w:rFonts w:ascii="Times New Roman" w:eastAsia="AGaramondPro-Regular" w:hAnsi="Times New Roman" w:cs="Times New Roman"/>
          <w:color w:val="000000" w:themeColor="text1"/>
          <w:sz w:val="24"/>
          <w:szCs w:val="24"/>
        </w:rPr>
        <w:t xml:space="preserve"> a broader scope </w:t>
      </w:r>
      <w:r w:rsidR="005B6DC7" w:rsidRPr="00424698">
        <w:rPr>
          <w:rFonts w:ascii="Times New Roman" w:eastAsia="AGaramondPro-Regular" w:hAnsi="Times New Roman" w:cs="Times New Roman"/>
          <w:color w:val="000000" w:themeColor="text1"/>
          <w:sz w:val="24"/>
          <w:szCs w:val="24"/>
        </w:rPr>
        <w:t>as it extends</w:t>
      </w:r>
      <w:r w:rsidR="00F509BB" w:rsidRPr="00424698">
        <w:rPr>
          <w:rFonts w:ascii="Times New Roman" w:eastAsia="AGaramondPro-Regular" w:hAnsi="Times New Roman" w:cs="Times New Roman"/>
          <w:color w:val="000000" w:themeColor="text1"/>
          <w:sz w:val="24"/>
          <w:szCs w:val="24"/>
        </w:rPr>
        <w:t xml:space="preserve"> to executive </w:t>
      </w:r>
      <w:r w:rsidR="005B6DC7" w:rsidRPr="00424698">
        <w:rPr>
          <w:rFonts w:ascii="Times New Roman" w:eastAsia="AGaramondPro-Regular" w:hAnsi="Times New Roman" w:cs="Times New Roman"/>
          <w:color w:val="000000" w:themeColor="text1"/>
          <w:sz w:val="24"/>
          <w:szCs w:val="24"/>
        </w:rPr>
        <w:t>activities involving ‘th</w:t>
      </w:r>
      <w:r w:rsidR="00F509BB" w:rsidRPr="00424698">
        <w:rPr>
          <w:rFonts w:ascii="Times New Roman" w:eastAsia="AGaramondPro-Regular" w:hAnsi="Times New Roman" w:cs="Times New Roman"/>
          <w:color w:val="000000" w:themeColor="text1"/>
          <w:sz w:val="24"/>
          <w:szCs w:val="24"/>
        </w:rPr>
        <w:t>e creation of non-legislative acts with abstract-general</w:t>
      </w:r>
      <w:r w:rsidR="005B6DC7" w:rsidRPr="00424698">
        <w:rPr>
          <w:rFonts w:ascii="Times New Roman" w:eastAsia="AGaramondPro-Regular" w:hAnsi="Times New Roman" w:cs="Times New Roman"/>
          <w:color w:val="000000" w:themeColor="text1"/>
          <w:sz w:val="24"/>
          <w:szCs w:val="24"/>
        </w:rPr>
        <w:t xml:space="preserve"> </w:t>
      </w:r>
      <w:r w:rsidR="00F509BB" w:rsidRPr="00424698">
        <w:rPr>
          <w:rFonts w:ascii="Times New Roman" w:eastAsia="AGaramondPro-Regular" w:hAnsi="Times New Roman" w:cs="Times New Roman"/>
          <w:color w:val="000000" w:themeColor="text1"/>
          <w:sz w:val="24"/>
          <w:szCs w:val="24"/>
        </w:rPr>
        <w:t>content.</w:t>
      </w:r>
      <w:r w:rsidR="005B6DC7" w:rsidRPr="00424698">
        <w:rPr>
          <w:rFonts w:ascii="Times New Roman" w:eastAsia="AGaramondPro-Regular" w:hAnsi="Times New Roman" w:cs="Times New Roman"/>
          <w:color w:val="000000" w:themeColor="text1"/>
          <w:sz w:val="24"/>
          <w:szCs w:val="24"/>
        </w:rPr>
        <w:t>’</w:t>
      </w:r>
      <w:r w:rsidR="00F509BB" w:rsidRPr="00424698">
        <w:rPr>
          <w:rFonts w:ascii="Times New Roman" w:eastAsia="AGaramondPro-Regular" w:hAnsi="Times New Roman" w:cs="Times New Roman"/>
          <w:color w:val="000000" w:themeColor="text1"/>
          <w:sz w:val="24"/>
          <w:szCs w:val="24"/>
        </w:rPr>
        <w:t xml:space="preserve"> </w:t>
      </w:r>
      <w:r w:rsidR="005B6DC7" w:rsidRPr="00424698">
        <w:rPr>
          <w:rFonts w:ascii="Times New Roman" w:eastAsia="AGaramondPro-Regular" w:hAnsi="Times New Roman" w:cs="Times New Roman"/>
          <w:color w:val="000000" w:themeColor="text1"/>
          <w:sz w:val="24"/>
          <w:szCs w:val="24"/>
        </w:rPr>
        <w:t xml:space="preserve">Another crucial difference is that </w:t>
      </w:r>
      <w:r w:rsidR="00B707DC" w:rsidRPr="00424698">
        <w:rPr>
          <w:rFonts w:ascii="Times New Roman" w:eastAsia="AGaramondPro-Regular" w:hAnsi="Times New Roman" w:cs="Times New Roman"/>
          <w:color w:val="000000" w:themeColor="text1"/>
          <w:sz w:val="24"/>
          <w:szCs w:val="24"/>
        </w:rPr>
        <w:t xml:space="preserve">the guarantee of </w:t>
      </w:r>
      <w:r w:rsidR="00F509BB" w:rsidRPr="00424698">
        <w:rPr>
          <w:rFonts w:ascii="Times New Roman" w:eastAsia="AGaramondPro-Regular" w:hAnsi="Times New Roman" w:cs="Times New Roman"/>
          <w:color w:val="000000" w:themeColor="text1"/>
          <w:sz w:val="24"/>
          <w:szCs w:val="24"/>
        </w:rPr>
        <w:t xml:space="preserve">good administration as a general principle of EU law is applicable to all member states’ action </w:t>
      </w:r>
      <w:r w:rsidR="00B707DC" w:rsidRPr="00424698">
        <w:rPr>
          <w:rFonts w:ascii="Times New Roman" w:eastAsia="AGaramondPro-Regular" w:hAnsi="Times New Roman" w:cs="Times New Roman"/>
          <w:color w:val="000000" w:themeColor="text1"/>
          <w:sz w:val="24"/>
          <w:szCs w:val="24"/>
        </w:rPr>
        <w:t>with</w:t>
      </w:r>
      <w:r w:rsidR="00F509BB" w:rsidRPr="00424698">
        <w:rPr>
          <w:rFonts w:ascii="Times New Roman" w:eastAsia="AGaramondPro-Regular" w:hAnsi="Times New Roman" w:cs="Times New Roman"/>
          <w:color w:val="000000" w:themeColor="text1"/>
          <w:sz w:val="24"/>
          <w:szCs w:val="24"/>
        </w:rPr>
        <w:t xml:space="preserve">in the scope of EU law, </w:t>
      </w:r>
      <w:r w:rsidR="005B6DC7" w:rsidRPr="00424698">
        <w:rPr>
          <w:rFonts w:ascii="Times New Roman" w:eastAsia="AGaramondPro-Regular" w:hAnsi="Times New Roman" w:cs="Times New Roman"/>
          <w:color w:val="000000" w:themeColor="text1"/>
          <w:sz w:val="24"/>
          <w:szCs w:val="24"/>
        </w:rPr>
        <w:t xml:space="preserve">whereas </w:t>
      </w:r>
      <w:r w:rsidR="00F509BB" w:rsidRPr="00424698">
        <w:rPr>
          <w:rFonts w:ascii="Times New Roman" w:eastAsia="AGaramondPro-Regular" w:hAnsi="Times New Roman" w:cs="Times New Roman"/>
          <w:color w:val="000000" w:themeColor="text1"/>
          <w:sz w:val="24"/>
          <w:szCs w:val="24"/>
        </w:rPr>
        <w:t>the</w:t>
      </w:r>
      <w:r w:rsidR="005B6DC7" w:rsidRPr="00424698">
        <w:rPr>
          <w:rFonts w:ascii="Times New Roman" w:eastAsia="AGaramondPro-Regular" w:hAnsi="Times New Roman" w:cs="Times New Roman"/>
          <w:color w:val="000000" w:themeColor="text1"/>
          <w:sz w:val="24"/>
          <w:szCs w:val="24"/>
        </w:rPr>
        <w:t xml:space="preserve"> </w:t>
      </w:r>
      <w:r w:rsidR="00F509BB" w:rsidRPr="00424698">
        <w:rPr>
          <w:rFonts w:ascii="Times New Roman" w:eastAsia="AGaramondPro-Regular" w:hAnsi="Times New Roman" w:cs="Times New Roman"/>
          <w:color w:val="000000" w:themeColor="text1"/>
          <w:sz w:val="24"/>
          <w:szCs w:val="24"/>
        </w:rPr>
        <w:t xml:space="preserve">scope of the right to good administration under Article 41(1) </w:t>
      </w:r>
      <w:r w:rsidR="005B6DC7" w:rsidRPr="00424698">
        <w:rPr>
          <w:rFonts w:ascii="Times New Roman" w:eastAsia="AGaramondPro-Regular" w:hAnsi="Times New Roman" w:cs="Times New Roman"/>
          <w:color w:val="000000" w:themeColor="text1"/>
          <w:sz w:val="24"/>
          <w:szCs w:val="24"/>
        </w:rPr>
        <w:t xml:space="preserve">of the Charter </w:t>
      </w:r>
      <w:r w:rsidR="00B707DC" w:rsidRPr="00424698">
        <w:rPr>
          <w:rFonts w:ascii="Times New Roman" w:eastAsia="AGaramondPro-Regular" w:hAnsi="Times New Roman" w:cs="Times New Roman"/>
          <w:color w:val="000000" w:themeColor="text1"/>
          <w:sz w:val="24"/>
          <w:szCs w:val="24"/>
        </w:rPr>
        <w:t xml:space="preserve">is limited to </w:t>
      </w:r>
      <w:r w:rsidR="00F509BB" w:rsidRPr="00424698">
        <w:rPr>
          <w:rFonts w:ascii="Times New Roman" w:eastAsia="AGaramondPro-Regular" w:hAnsi="Times New Roman" w:cs="Times New Roman"/>
          <w:color w:val="000000" w:themeColor="text1"/>
          <w:sz w:val="24"/>
          <w:szCs w:val="24"/>
        </w:rPr>
        <w:t xml:space="preserve">institutions, bodies, offices and agencies of the Union. </w:t>
      </w:r>
      <w:r w:rsidR="005B6DC7" w:rsidRPr="00424698">
        <w:rPr>
          <w:rFonts w:ascii="Times New Roman" w:eastAsia="AGaramondPro-Regular" w:hAnsi="Times New Roman" w:cs="Times New Roman"/>
          <w:color w:val="000000" w:themeColor="text1"/>
          <w:sz w:val="24"/>
          <w:szCs w:val="24"/>
        </w:rPr>
        <w:t xml:space="preserve">As the possibilities of </w:t>
      </w:r>
      <w:r w:rsidR="004666BD" w:rsidRPr="00424698">
        <w:rPr>
          <w:rFonts w:ascii="Times New Roman" w:eastAsia="AGaramondPro-Regular" w:hAnsi="Times New Roman" w:cs="Times New Roman"/>
          <w:color w:val="000000" w:themeColor="text1"/>
          <w:sz w:val="24"/>
          <w:szCs w:val="24"/>
        </w:rPr>
        <w:t>invoking</w:t>
      </w:r>
      <w:r w:rsidR="005B6DC7" w:rsidRPr="00424698">
        <w:rPr>
          <w:rFonts w:ascii="Times New Roman" w:eastAsia="AGaramondPro-Regular" w:hAnsi="Times New Roman" w:cs="Times New Roman"/>
          <w:color w:val="000000" w:themeColor="text1"/>
          <w:sz w:val="24"/>
          <w:szCs w:val="24"/>
        </w:rPr>
        <w:t xml:space="preserve"> the Charter by an aggrieved business</w:t>
      </w:r>
      <w:r w:rsidR="004666BD" w:rsidRPr="00424698">
        <w:rPr>
          <w:rFonts w:ascii="Times New Roman" w:eastAsia="AGaramondPro-Regular" w:hAnsi="Times New Roman" w:cs="Times New Roman"/>
          <w:color w:val="000000" w:themeColor="text1"/>
          <w:sz w:val="24"/>
          <w:szCs w:val="24"/>
        </w:rPr>
        <w:t xml:space="preserve"> actor in a dispute against the state</w:t>
      </w:r>
      <w:r w:rsidR="005B6DC7" w:rsidRPr="00424698">
        <w:rPr>
          <w:rFonts w:ascii="Times New Roman" w:eastAsia="AGaramondPro-Regular" w:hAnsi="Times New Roman" w:cs="Times New Roman"/>
          <w:color w:val="000000" w:themeColor="text1"/>
          <w:sz w:val="24"/>
          <w:szCs w:val="24"/>
        </w:rPr>
        <w:t xml:space="preserve"> are limited</w:t>
      </w:r>
      <w:r w:rsidR="004666BD" w:rsidRPr="00424698">
        <w:rPr>
          <w:rFonts w:ascii="Times New Roman" w:eastAsia="AGaramondPro-Regular" w:hAnsi="Times New Roman" w:cs="Times New Roman"/>
          <w:color w:val="000000" w:themeColor="text1"/>
          <w:sz w:val="24"/>
          <w:szCs w:val="24"/>
        </w:rPr>
        <w:t>, it cannot be seen as an equivalent to the fair and equitable treatment standard in intra-EU IIAs.</w:t>
      </w:r>
    </w:p>
    <w:p w14:paraId="7B08E503" w14:textId="77777777" w:rsidR="00EA7589" w:rsidRPr="00424698" w:rsidRDefault="00EA7589"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2A6D3C0" w14:textId="223BE38C" w:rsidR="00B27731" w:rsidRPr="00424698" w:rsidRDefault="0016634E"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30432B">
        <w:rPr>
          <w:rFonts w:ascii="Times New Roman" w:hAnsi="Times New Roman" w:cs="Times New Roman"/>
          <w:b/>
          <w:color w:val="000000" w:themeColor="text1"/>
          <w:sz w:val="24"/>
          <w:szCs w:val="24"/>
        </w:rPr>
        <w:t>2.3</w:t>
      </w:r>
      <w:r w:rsidRPr="0030432B">
        <w:rPr>
          <w:rFonts w:ascii="Times New Roman" w:hAnsi="Times New Roman" w:cs="Times New Roman"/>
          <w:b/>
          <w:i/>
          <w:color w:val="000000" w:themeColor="text1"/>
          <w:sz w:val="24"/>
          <w:szCs w:val="24"/>
        </w:rPr>
        <w:t xml:space="preserve"> </w:t>
      </w:r>
      <w:r w:rsidR="002952D3" w:rsidRPr="0030432B">
        <w:rPr>
          <w:rFonts w:ascii="Times New Roman" w:hAnsi="Times New Roman" w:cs="Times New Roman"/>
          <w:b/>
          <w:i/>
          <w:color w:val="000000" w:themeColor="text1"/>
          <w:sz w:val="24"/>
          <w:szCs w:val="24"/>
        </w:rPr>
        <w:t xml:space="preserve">Protection of </w:t>
      </w:r>
      <w:r w:rsidR="00BC0A0D">
        <w:rPr>
          <w:rFonts w:ascii="Times New Roman" w:hAnsi="Times New Roman" w:cs="Times New Roman"/>
          <w:b/>
          <w:i/>
          <w:color w:val="000000" w:themeColor="text1"/>
          <w:sz w:val="24"/>
          <w:szCs w:val="24"/>
        </w:rPr>
        <w:t>P</w:t>
      </w:r>
      <w:r w:rsidR="002952D3" w:rsidRPr="0030432B">
        <w:rPr>
          <w:rFonts w:ascii="Times New Roman" w:hAnsi="Times New Roman" w:cs="Times New Roman"/>
          <w:b/>
          <w:i/>
          <w:color w:val="000000" w:themeColor="text1"/>
          <w:sz w:val="24"/>
          <w:szCs w:val="24"/>
        </w:rPr>
        <w:t xml:space="preserve">roperty </w:t>
      </w:r>
      <w:r w:rsidR="00BC0A0D">
        <w:rPr>
          <w:rFonts w:ascii="Times New Roman" w:hAnsi="Times New Roman" w:cs="Times New Roman"/>
          <w:b/>
          <w:i/>
          <w:color w:val="000000" w:themeColor="text1"/>
          <w:sz w:val="24"/>
          <w:szCs w:val="24"/>
        </w:rPr>
        <w:t>R</w:t>
      </w:r>
      <w:r w:rsidR="002952D3" w:rsidRPr="0030432B">
        <w:rPr>
          <w:rFonts w:ascii="Times New Roman" w:hAnsi="Times New Roman" w:cs="Times New Roman"/>
          <w:b/>
          <w:i/>
          <w:color w:val="000000" w:themeColor="text1"/>
          <w:sz w:val="24"/>
          <w:szCs w:val="24"/>
        </w:rPr>
        <w:t>ights</w:t>
      </w:r>
    </w:p>
    <w:p w14:paraId="05164E9C" w14:textId="5B0B2CB4" w:rsidR="00FD2074" w:rsidRPr="00424698" w:rsidRDefault="00B27731"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The protection against expropriation under investment treaties has traditionally been regarded as the principal function of IIAs, to the point that until recently international investment law, in the words of Sch</w:t>
      </w:r>
      <w:r w:rsidR="00AC583E">
        <w:rPr>
          <w:rFonts w:ascii="Times New Roman" w:hAnsi="Times New Roman" w:cs="Times New Roman"/>
          <w:color w:val="000000" w:themeColor="text1"/>
          <w:sz w:val="24"/>
          <w:szCs w:val="24"/>
        </w:rPr>
        <w:t>r</w:t>
      </w:r>
      <w:r w:rsidRPr="00424698">
        <w:rPr>
          <w:rFonts w:ascii="Times New Roman" w:hAnsi="Times New Roman" w:cs="Times New Roman"/>
          <w:color w:val="000000" w:themeColor="text1"/>
          <w:sz w:val="24"/>
          <w:szCs w:val="24"/>
        </w:rPr>
        <w:t>euer, was almost synonymous with the protection against expropriation.</w:t>
      </w:r>
      <w:r w:rsidRPr="00424698">
        <w:rPr>
          <w:rStyle w:val="FootnoteReference"/>
          <w:rFonts w:ascii="Times New Roman" w:hAnsi="Times New Roman" w:cs="Times New Roman"/>
          <w:color w:val="000000" w:themeColor="text1"/>
          <w:sz w:val="24"/>
          <w:szCs w:val="24"/>
        </w:rPr>
        <w:footnoteReference w:id="40"/>
      </w:r>
      <w:r w:rsidRPr="00424698">
        <w:rPr>
          <w:rFonts w:ascii="Times New Roman" w:hAnsi="Times New Roman" w:cs="Times New Roman"/>
          <w:color w:val="000000" w:themeColor="text1"/>
          <w:sz w:val="24"/>
          <w:szCs w:val="24"/>
        </w:rPr>
        <w:t xml:space="preserve"> The majority of intra-EU IIAs provide for a broad protection against expropriation, entitling investors to the Hull standard of full, adequate and prompt compensation. Although no direct equivalent to the expropriation clause exists in EU law, there are treaty provisions which determine the scope of protection afforded to investors’ property rights under EU law. One such provision is Article 345 TFEU which requires that ‘treaties shall in no way </w:t>
      </w:r>
      <w:r w:rsidR="00044987" w:rsidRPr="00424698">
        <w:rPr>
          <w:rFonts w:ascii="Times New Roman" w:hAnsi="Times New Roman" w:cs="Times New Roman"/>
          <w:color w:val="000000" w:themeColor="text1"/>
          <w:sz w:val="24"/>
          <w:szCs w:val="24"/>
        </w:rPr>
        <w:t>p</w:t>
      </w:r>
      <w:r w:rsidRPr="00424698">
        <w:rPr>
          <w:rFonts w:ascii="Times New Roman" w:hAnsi="Times New Roman" w:cs="Times New Roman"/>
          <w:color w:val="000000" w:themeColor="text1"/>
          <w:sz w:val="24"/>
          <w:szCs w:val="24"/>
        </w:rPr>
        <w:t xml:space="preserve">rejudice the rules </w:t>
      </w:r>
      <w:r w:rsidRPr="00424698">
        <w:rPr>
          <w:rFonts w:ascii="Times New Roman" w:hAnsi="Times New Roman" w:cs="Times New Roman"/>
          <w:color w:val="000000" w:themeColor="text1"/>
          <w:sz w:val="24"/>
          <w:szCs w:val="24"/>
        </w:rPr>
        <w:lastRenderedPageBreak/>
        <w:t xml:space="preserve">in Member States governing the system of property ownership.’ </w:t>
      </w:r>
      <w:r w:rsidR="00044987" w:rsidRPr="00424698">
        <w:rPr>
          <w:rFonts w:ascii="Times New Roman" w:hAnsi="Times New Roman" w:cs="Times New Roman"/>
          <w:color w:val="000000" w:themeColor="text1"/>
          <w:sz w:val="24"/>
          <w:szCs w:val="24"/>
        </w:rPr>
        <w:t>Other EU law provisions relevant in the context of expropriation are the right to property, including the right to fair compensation in good time containe</w:t>
      </w:r>
      <w:r w:rsidR="00FD2074" w:rsidRPr="00424698">
        <w:rPr>
          <w:rFonts w:ascii="Times New Roman" w:hAnsi="Times New Roman" w:cs="Times New Roman"/>
          <w:color w:val="000000" w:themeColor="text1"/>
          <w:sz w:val="24"/>
          <w:szCs w:val="24"/>
        </w:rPr>
        <w:t xml:space="preserve">d in Article 17 of the Charter which states that </w:t>
      </w:r>
    </w:p>
    <w:p w14:paraId="43D272D7" w14:textId="77777777" w:rsidR="00FD2074" w:rsidRPr="00424698" w:rsidRDefault="00FD2074"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6A9EE07" w14:textId="6E95331F" w:rsidR="00654CB2" w:rsidRPr="00424698" w:rsidRDefault="00FD2074" w:rsidP="001506B1">
      <w:pPr>
        <w:autoSpaceDE w:val="0"/>
        <w:autoSpaceDN w:val="0"/>
        <w:adjustRightInd w:val="0"/>
        <w:spacing w:after="0" w:line="360" w:lineRule="auto"/>
        <w:ind w:left="425" w:right="521"/>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[e]veryone has the right to own, use, dispose of and bequeath his or her lawfully acquired possessions. No one may be deprived of his or her possessions, except in the public interest and in the cases and under the conditions provided for by law, subject to fair compensation being paid in good time for their loss. The use of property may be regulated by law in so far as is necessary for the general interest.</w:t>
      </w:r>
    </w:p>
    <w:p w14:paraId="501D55F0" w14:textId="77777777" w:rsidR="00FD2074" w:rsidRPr="00424698" w:rsidRDefault="00FD2074" w:rsidP="0030432B">
      <w:pPr>
        <w:autoSpaceDE w:val="0"/>
        <w:autoSpaceDN w:val="0"/>
        <w:adjustRightInd w:val="0"/>
        <w:spacing w:after="0" w:line="360" w:lineRule="auto"/>
        <w:ind w:left="709"/>
        <w:jc w:val="both"/>
        <w:rPr>
          <w:rFonts w:ascii="Times New Roman" w:hAnsi="Times New Roman" w:cs="Times New Roman"/>
          <w:color w:val="000000" w:themeColor="text1"/>
          <w:sz w:val="24"/>
          <w:szCs w:val="24"/>
        </w:rPr>
      </w:pPr>
    </w:p>
    <w:p w14:paraId="1076B866" w14:textId="5E9EB74A" w:rsidR="009045E5" w:rsidRPr="00424698" w:rsidRDefault="00044987" w:rsidP="001506B1">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424698">
        <w:rPr>
          <w:rFonts w:ascii="Times New Roman" w:hAnsi="Times New Roman" w:cs="Times New Roman"/>
          <w:color w:val="000000" w:themeColor="text1"/>
          <w:sz w:val="24"/>
          <w:szCs w:val="24"/>
        </w:rPr>
        <w:t>The protection of property under the Charter is inspired by jurisprudence of the European Convention of Human Rights (ECHR), which has traditionally adopted a narrow reading of the idea of property protection, particularly in cases involving claims of indirect or regulatory expropriation.</w:t>
      </w:r>
      <w:r w:rsidRPr="00424698">
        <w:rPr>
          <w:rStyle w:val="FootnoteReference"/>
          <w:rFonts w:ascii="Times New Roman" w:hAnsi="Times New Roman" w:cs="Times New Roman"/>
          <w:color w:val="000000" w:themeColor="text1"/>
          <w:sz w:val="24"/>
          <w:szCs w:val="24"/>
        </w:rPr>
        <w:footnoteReference w:id="41"/>
      </w:r>
      <w:r w:rsidRPr="00424698">
        <w:rPr>
          <w:rFonts w:ascii="Times New Roman" w:hAnsi="Times New Roman" w:cs="Times New Roman"/>
          <w:color w:val="000000" w:themeColor="text1"/>
          <w:sz w:val="24"/>
          <w:szCs w:val="24"/>
        </w:rPr>
        <w:t xml:space="preserve"> </w:t>
      </w:r>
      <w:r w:rsidR="00B27731" w:rsidRPr="00424698">
        <w:rPr>
          <w:rFonts w:ascii="Times New Roman" w:hAnsi="Times New Roman" w:cs="Times New Roman"/>
          <w:color w:val="000000" w:themeColor="text1"/>
          <w:sz w:val="24"/>
          <w:szCs w:val="24"/>
        </w:rPr>
        <w:t xml:space="preserve">While the Court of Justice has so far produced limited amount of caselaw to under this provision, the existing jurisprudence allows to distil some of the key principles. First, in </w:t>
      </w:r>
      <w:r w:rsidR="00B27731" w:rsidRPr="00424698">
        <w:rPr>
          <w:rFonts w:ascii="Times New Roman" w:hAnsi="Times New Roman" w:cs="Times New Roman"/>
          <w:i/>
          <w:color w:val="000000" w:themeColor="text1"/>
          <w:sz w:val="24"/>
          <w:szCs w:val="24"/>
        </w:rPr>
        <w:t>Annibaldi</w:t>
      </w:r>
      <w:r w:rsidR="00B27731" w:rsidRPr="00424698">
        <w:rPr>
          <w:rFonts w:ascii="Times New Roman" w:hAnsi="Times New Roman" w:cs="Times New Roman"/>
          <w:color w:val="000000" w:themeColor="text1"/>
          <w:sz w:val="24"/>
          <w:szCs w:val="24"/>
        </w:rPr>
        <w:t>, the court acknowledged the absence of specific community rules on expropriation, and reinforced the principle that national measures in this area fall within the purview of Member states.</w:t>
      </w:r>
      <w:r w:rsidR="004F7EE4" w:rsidRPr="00424698">
        <w:rPr>
          <w:rStyle w:val="FootnoteReference"/>
          <w:rFonts w:ascii="Times New Roman" w:hAnsi="Times New Roman" w:cs="Times New Roman"/>
          <w:color w:val="000000" w:themeColor="text1"/>
          <w:sz w:val="24"/>
          <w:szCs w:val="24"/>
        </w:rPr>
        <w:footnoteReference w:id="42"/>
      </w:r>
      <w:r w:rsidR="00A51747" w:rsidRPr="00424698">
        <w:rPr>
          <w:rFonts w:ascii="Times New Roman" w:hAnsi="Times New Roman" w:cs="Times New Roman"/>
          <w:color w:val="000000" w:themeColor="text1"/>
          <w:sz w:val="24"/>
          <w:szCs w:val="24"/>
        </w:rPr>
        <w:t xml:space="preserve"> The </w:t>
      </w:r>
      <w:r w:rsidR="00B27731" w:rsidRPr="00424698">
        <w:rPr>
          <w:rFonts w:ascii="Times New Roman" w:hAnsi="Times New Roman" w:cs="Times New Roman"/>
          <w:color w:val="000000" w:themeColor="text1"/>
          <w:sz w:val="24"/>
          <w:szCs w:val="24"/>
        </w:rPr>
        <w:t xml:space="preserve">CJEU has also ruled in </w:t>
      </w:r>
      <w:r w:rsidR="00B27731" w:rsidRPr="00424698">
        <w:rPr>
          <w:rFonts w:ascii="Times New Roman" w:hAnsi="Times New Roman" w:cs="Times New Roman"/>
          <w:i/>
          <w:color w:val="000000" w:themeColor="text1"/>
          <w:sz w:val="24"/>
          <w:szCs w:val="24"/>
        </w:rPr>
        <w:t>Fearon v Ireland</w:t>
      </w:r>
      <w:r w:rsidR="00B27731" w:rsidRPr="00424698">
        <w:rPr>
          <w:rFonts w:ascii="Times New Roman" w:hAnsi="Times New Roman" w:cs="Times New Roman"/>
          <w:color w:val="000000" w:themeColor="text1"/>
          <w:sz w:val="24"/>
          <w:szCs w:val="24"/>
        </w:rPr>
        <w:t xml:space="preserve"> that </w:t>
      </w:r>
      <w:r w:rsidR="00AC583E">
        <w:rPr>
          <w:rFonts w:ascii="Times New Roman" w:hAnsi="Times New Roman" w:cs="Times New Roman"/>
          <w:color w:val="000000" w:themeColor="text1"/>
          <w:sz w:val="24"/>
          <w:szCs w:val="24"/>
        </w:rPr>
        <w:t>member states</w:t>
      </w:r>
      <w:r w:rsidR="00AC583E" w:rsidRPr="00424698">
        <w:rPr>
          <w:rFonts w:ascii="Times New Roman" w:hAnsi="Times New Roman" w:cs="Times New Roman"/>
          <w:color w:val="000000" w:themeColor="text1"/>
          <w:sz w:val="24"/>
          <w:szCs w:val="24"/>
        </w:rPr>
        <w:t xml:space="preserve"> </w:t>
      </w:r>
      <w:r w:rsidR="00B27731" w:rsidRPr="00424698">
        <w:rPr>
          <w:rFonts w:ascii="Times New Roman" w:hAnsi="Times New Roman" w:cs="Times New Roman"/>
          <w:color w:val="000000" w:themeColor="text1"/>
          <w:sz w:val="24"/>
          <w:szCs w:val="24"/>
        </w:rPr>
        <w:t>rules or system</w:t>
      </w:r>
      <w:r w:rsidR="00AC583E">
        <w:rPr>
          <w:rFonts w:ascii="Times New Roman" w:hAnsi="Times New Roman" w:cs="Times New Roman"/>
          <w:color w:val="000000" w:themeColor="text1"/>
          <w:sz w:val="24"/>
          <w:szCs w:val="24"/>
        </w:rPr>
        <w:t>s</w:t>
      </w:r>
      <w:r w:rsidR="00B27731" w:rsidRPr="00424698">
        <w:rPr>
          <w:rFonts w:ascii="Times New Roman" w:hAnsi="Times New Roman" w:cs="Times New Roman"/>
          <w:color w:val="000000" w:themeColor="text1"/>
          <w:sz w:val="24"/>
          <w:szCs w:val="24"/>
        </w:rPr>
        <w:t xml:space="preserve"> of property ownership remain subject to the fundamental rule of non-discrimination.</w:t>
      </w:r>
      <w:r w:rsidR="00A51747" w:rsidRPr="00424698">
        <w:rPr>
          <w:rFonts w:ascii="Times New Roman" w:hAnsi="Times New Roman" w:cs="Times New Roman"/>
          <w:color w:val="000000" w:themeColor="text1"/>
          <w:sz w:val="24"/>
          <w:szCs w:val="24"/>
        </w:rPr>
        <w:t xml:space="preserve"> </w:t>
      </w:r>
      <w:r w:rsidR="00B27731" w:rsidRPr="00424698">
        <w:rPr>
          <w:rFonts w:ascii="Times New Roman" w:hAnsi="Times New Roman" w:cs="Times New Roman"/>
          <w:color w:val="000000" w:themeColor="text1"/>
          <w:sz w:val="24"/>
          <w:szCs w:val="24"/>
        </w:rPr>
        <w:t xml:space="preserve">Another relevant ruling </w:t>
      </w:r>
      <w:r w:rsidR="00A51747" w:rsidRPr="00424698">
        <w:rPr>
          <w:rFonts w:ascii="Times New Roman" w:hAnsi="Times New Roman" w:cs="Times New Roman"/>
          <w:color w:val="000000" w:themeColor="text1"/>
          <w:sz w:val="24"/>
          <w:szCs w:val="24"/>
        </w:rPr>
        <w:t>defining</w:t>
      </w:r>
      <w:r w:rsidR="00B27731" w:rsidRPr="00424698">
        <w:rPr>
          <w:rFonts w:ascii="Times New Roman" w:hAnsi="Times New Roman" w:cs="Times New Roman"/>
          <w:color w:val="000000" w:themeColor="text1"/>
          <w:sz w:val="24"/>
          <w:szCs w:val="24"/>
        </w:rPr>
        <w:t xml:space="preserve"> the outer scope of Article 345 is the EFTA Court decision in </w:t>
      </w:r>
      <w:r w:rsidR="00B27731" w:rsidRPr="00424698">
        <w:rPr>
          <w:rFonts w:ascii="Times New Roman" w:hAnsi="Times New Roman" w:cs="Times New Roman"/>
          <w:i/>
          <w:color w:val="000000" w:themeColor="text1"/>
          <w:sz w:val="24"/>
          <w:szCs w:val="24"/>
        </w:rPr>
        <w:t>Norwegian Waterfalls</w:t>
      </w:r>
      <w:r w:rsidR="00B27731" w:rsidRPr="00424698">
        <w:rPr>
          <w:rFonts w:ascii="Times New Roman" w:hAnsi="Times New Roman" w:cs="Times New Roman"/>
          <w:color w:val="000000" w:themeColor="text1"/>
          <w:sz w:val="24"/>
          <w:szCs w:val="24"/>
        </w:rPr>
        <w:t>, where the court found that a state ‘may legitimately pursue the objective of establishing a system of public ownership provided that the objective is pursued in a non-discriminatory and proportionate manner.</w:t>
      </w:r>
      <w:r w:rsidR="00A51747" w:rsidRPr="00424698">
        <w:rPr>
          <w:rFonts w:ascii="Times New Roman" w:hAnsi="Times New Roman" w:cs="Times New Roman"/>
          <w:color w:val="000000" w:themeColor="text1"/>
          <w:sz w:val="24"/>
          <w:szCs w:val="24"/>
        </w:rPr>
        <w:t>’</w:t>
      </w:r>
      <w:r w:rsidR="00987449" w:rsidRPr="00424698">
        <w:rPr>
          <w:rStyle w:val="FootnoteReference"/>
          <w:rFonts w:ascii="Times New Roman" w:hAnsi="Times New Roman" w:cs="Times New Roman"/>
          <w:color w:val="000000" w:themeColor="text1"/>
          <w:sz w:val="24"/>
          <w:szCs w:val="24"/>
        </w:rPr>
        <w:footnoteReference w:id="43"/>
      </w:r>
      <w:r w:rsidR="00A51747" w:rsidRPr="00424698">
        <w:rPr>
          <w:rFonts w:ascii="Times New Roman" w:hAnsi="Times New Roman" w:cs="Times New Roman"/>
          <w:color w:val="000000" w:themeColor="text1"/>
          <w:sz w:val="24"/>
          <w:szCs w:val="24"/>
        </w:rPr>
        <w:t xml:space="preserve"> The characteristic feature of the protection against expropriation under EU law is that proprietary rights </w:t>
      </w:r>
      <w:r w:rsidR="00B707DC" w:rsidRPr="00424698">
        <w:rPr>
          <w:rFonts w:ascii="Times New Roman" w:hAnsi="Times New Roman" w:cs="Times New Roman"/>
          <w:color w:val="000000" w:themeColor="text1"/>
          <w:sz w:val="24"/>
          <w:szCs w:val="24"/>
        </w:rPr>
        <w:t>generally do not constitute an unfettered prerogative</w:t>
      </w:r>
      <w:r w:rsidR="00A51747" w:rsidRPr="00424698">
        <w:rPr>
          <w:rFonts w:ascii="Times New Roman" w:hAnsi="Times New Roman" w:cs="Times New Roman"/>
          <w:color w:val="000000" w:themeColor="text1"/>
          <w:sz w:val="24"/>
          <w:szCs w:val="24"/>
        </w:rPr>
        <w:t xml:space="preserve"> </w:t>
      </w:r>
      <w:r w:rsidR="00B707DC" w:rsidRPr="00424698">
        <w:rPr>
          <w:rFonts w:ascii="Times New Roman" w:hAnsi="Times New Roman" w:cs="Times New Roman"/>
          <w:color w:val="000000" w:themeColor="text1"/>
          <w:sz w:val="24"/>
          <w:szCs w:val="24"/>
        </w:rPr>
        <w:t xml:space="preserve">and their scope depends on the social function </w:t>
      </w:r>
      <w:r w:rsidR="00A51747" w:rsidRPr="00424698">
        <w:rPr>
          <w:rFonts w:ascii="Times New Roman" w:hAnsi="Times New Roman" w:cs="Times New Roman"/>
          <w:color w:val="000000" w:themeColor="text1"/>
          <w:sz w:val="24"/>
          <w:szCs w:val="24"/>
        </w:rPr>
        <w:t>of the right or freedom.</w:t>
      </w:r>
      <w:r w:rsidR="00A51747" w:rsidRPr="00424698">
        <w:rPr>
          <w:rStyle w:val="FootnoteReference"/>
          <w:rFonts w:ascii="Times New Roman" w:hAnsi="Times New Roman" w:cs="Times New Roman"/>
          <w:color w:val="000000" w:themeColor="text1"/>
          <w:sz w:val="24"/>
          <w:szCs w:val="24"/>
        </w:rPr>
        <w:footnoteReference w:id="44"/>
      </w:r>
      <w:r w:rsidR="00A51747" w:rsidRPr="00424698">
        <w:rPr>
          <w:rFonts w:ascii="Times New Roman" w:hAnsi="Times New Roman" w:cs="Times New Roman"/>
          <w:color w:val="000000" w:themeColor="text1"/>
          <w:sz w:val="24"/>
          <w:szCs w:val="24"/>
        </w:rPr>
        <w:t xml:space="preserve"> </w:t>
      </w:r>
      <w:r w:rsidR="009045E5" w:rsidRPr="00424698">
        <w:rPr>
          <w:rFonts w:ascii="Times New Roman" w:hAnsi="Times New Roman" w:cs="Times New Roman"/>
          <w:color w:val="000000" w:themeColor="text1"/>
          <w:sz w:val="24"/>
          <w:szCs w:val="24"/>
        </w:rPr>
        <w:t>As the C</w:t>
      </w:r>
      <w:r w:rsidR="00424698" w:rsidRPr="00424698">
        <w:rPr>
          <w:rFonts w:ascii="Times New Roman" w:hAnsi="Times New Roman" w:cs="Times New Roman"/>
          <w:color w:val="000000" w:themeColor="text1"/>
          <w:sz w:val="24"/>
          <w:szCs w:val="24"/>
        </w:rPr>
        <w:t>JEU</w:t>
      </w:r>
      <w:r w:rsidR="009045E5" w:rsidRPr="00424698">
        <w:rPr>
          <w:rFonts w:ascii="Times New Roman" w:hAnsi="Times New Roman" w:cs="Times New Roman"/>
          <w:color w:val="000000" w:themeColor="text1"/>
          <w:sz w:val="24"/>
          <w:szCs w:val="24"/>
        </w:rPr>
        <w:t xml:space="preserve"> stressed, </w:t>
      </w:r>
      <w:r w:rsidR="009045E5" w:rsidRPr="00424698">
        <w:rPr>
          <w:rFonts w:ascii="Times New Roman" w:hAnsi="Times New Roman" w:cs="Times New Roman"/>
          <w:iCs/>
          <w:color w:val="000000" w:themeColor="text1"/>
          <w:sz w:val="24"/>
          <w:szCs w:val="24"/>
        </w:rPr>
        <w:t xml:space="preserve">the </w:t>
      </w:r>
      <w:r w:rsidR="00B707DC" w:rsidRPr="00424698">
        <w:rPr>
          <w:rFonts w:ascii="Times New Roman" w:hAnsi="Times New Roman" w:cs="Times New Roman"/>
          <w:iCs/>
          <w:color w:val="000000" w:themeColor="text1"/>
          <w:sz w:val="24"/>
          <w:szCs w:val="24"/>
        </w:rPr>
        <w:t xml:space="preserve">rules governing property protection </w:t>
      </w:r>
    </w:p>
    <w:p w14:paraId="358CDD39" w14:textId="77777777" w:rsidR="009045E5" w:rsidRPr="00424698" w:rsidRDefault="009045E5" w:rsidP="0030432B">
      <w:pPr>
        <w:autoSpaceDE w:val="0"/>
        <w:autoSpaceDN w:val="0"/>
        <w:adjustRightInd w:val="0"/>
        <w:spacing w:after="0" w:line="360" w:lineRule="auto"/>
        <w:jc w:val="both"/>
        <w:rPr>
          <w:rFonts w:ascii="Times New Roman" w:hAnsi="Times New Roman" w:cs="Times New Roman"/>
          <w:iCs/>
          <w:color w:val="000000" w:themeColor="text1"/>
          <w:sz w:val="24"/>
          <w:szCs w:val="24"/>
        </w:rPr>
      </w:pPr>
    </w:p>
    <w:p w14:paraId="780FA813" w14:textId="77777777" w:rsidR="00A51747" w:rsidRPr="00424698" w:rsidRDefault="009045E5" w:rsidP="001506B1">
      <w:pPr>
        <w:autoSpaceDE w:val="0"/>
        <w:autoSpaceDN w:val="0"/>
        <w:adjustRightInd w:val="0"/>
        <w:spacing w:after="0" w:line="360" w:lineRule="auto"/>
        <w:ind w:left="425" w:right="521"/>
        <w:jc w:val="both"/>
        <w:rPr>
          <w:rFonts w:ascii="Times New Roman" w:hAnsi="Times New Roman" w:cs="Times New Roman"/>
          <w:color w:val="000000" w:themeColor="text1"/>
          <w:sz w:val="24"/>
          <w:szCs w:val="24"/>
        </w:rPr>
      </w:pPr>
      <w:r w:rsidRPr="00424698">
        <w:rPr>
          <w:rFonts w:ascii="Times New Roman" w:hAnsi="Times New Roman" w:cs="Times New Roman"/>
          <w:iCs/>
          <w:color w:val="000000" w:themeColor="text1"/>
          <w:sz w:val="24"/>
          <w:szCs w:val="24"/>
        </w:rPr>
        <w:t>…form part of the general principles of Community law. However, those principles are not absolute but must be viewed in relation to their social function. Consequently, the exercise of the right to property and the freedom to pursue a trade or profession may be restricted, provided that any restrictions in fact correspond to objectives of general interest pursued by the European Community and do not constitute in relation to the aim pursued a disproportionate and intolerable interference, impairing the very substance of the rights guaranteed.</w:t>
      </w:r>
      <w:r w:rsidRPr="00424698">
        <w:rPr>
          <w:rStyle w:val="FootnoteReference"/>
          <w:rFonts w:ascii="Times New Roman" w:hAnsi="Times New Roman" w:cs="Times New Roman"/>
          <w:iCs/>
          <w:color w:val="000000" w:themeColor="text1"/>
          <w:sz w:val="24"/>
          <w:szCs w:val="24"/>
        </w:rPr>
        <w:footnoteReference w:id="45"/>
      </w:r>
    </w:p>
    <w:p w14:paraId="0BAFCEFA" w14:textId="77777777" w:rsidR="00A51747" w:rsidRPr="00424698" w:rsidRDefault="00A51747"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2A3F9D9" w14:textId="77777777" w:rsidR="00694103" w:rsidRPr="00424698" w:rsidRDefault="009045E5" w:rsidP="001506B1">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Do intra-EU IIAs afford a greater protection to investors’ property rights</w:t>
      </w:r>
      <w:r w:rsidR="00694103" w:rsidRPr="00424698">
        <w:rPr>
          <w:rFonts w:ascii="Times New Roman" w:hAnsi="Times New Roman" w:cs="Times New Roman"/>
          <w:color w:val="000000" w:themeColor="text1"/>
          <w:sz w:val="24"/>
          <w:szCs w:val="24"/>
        </w:rPr>
        <w:t xml:space="preserve"> than that available under EU law</w:t>
      </w:r>
      <w:r w:rsidRPr="00424698">
        <w:rPr>
          <w:rFonts w:ascii="Times New Roman" w:hAnsi="Times New Roman" w:cs="Times New Roman"/>
          <w:color w:val="000000" w:themeColor="text1"/>
          <w:sz w:val="24"/>
          <w:szCs w:val="24"/>
        </w:rPr>
        <w:t xml:space="preserve">? Just as with the FET standard, expropriation clauses in investment treaties have </w:t>
      </w:r>
      <w:r w:rsidR="00B707DC" w:rsidRPr="00424698">
        <w:rPr>
          <w:rFonts w:ascii="Times New Roman" w:hAnsi="Times New Roman" w:cs="Times New Roman"/>
          <w:color w:val="000000" w:themeColor="text1"/>
          <w:sz w:val="24"/>
          <w:szCs w:val="24"/>
        </w:rPr>
        <w:t xml:space="preserve">recently </w:t>
      </w:r>
      <w:r w:rsidRPr="00424698">
        <w:rPr>
          <w:rFonts w:ascii="Times New Roman" w:hAnsi="Times New Roman" w:cs="Times New Roman"/>
          <w:color w:val="000000" w:themeColor="text1"/>
          <w:sz w:val="24"/>
          <w:szCs w:val="24"/>
        </w:rPr>
        <w:t>undergone a gradual transformation. The first generation IIAs—exemplified by the intra-EU IIAs—exhibit a remarkable</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uniformity in their endorsement of the rule that host governments are free to expropriate foreign investment but only if such expropriation is in the public purpose, non-discriminatory, and—importantly—accompanied by the</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 xml:space="preserve">payment of ‘prompt, adequate and effective’ compensation. </w:t>
      </w:r>
      <w:r w:rsidR="00694103" w:rsidRPr="00424698">
        <w:rPr>
          <w:rFonts w:ascii="Times New Roman" w:hAnsi="Times New Roman" w:cs="Times New Roman"/>
          <w:color w:val="000000" w:themeColor="text1"/>
          <w:sz w:val="24"/>
          <w:szCs w:val="24"/>
        </w:rPr>
        <w:t>The new generation of IIAs depart from this drafting pattern by clarifying the limits of protection against state interference with property rights, particularly in the so-called regulatory expropriation scenarios. By way of example, the expropriation clause in the new generation IIAs is frequently accompanied by a reservation which excludes certain categories of governmental action from the scope of the otherwise absolute obligation to compensate:</w:t>
      </w:r>
    </w:p>
    <w:p w14:paraId="17B50068" w14:textId="77777777" w:rsidR="00694103" w:rsidRPr="00424698" w:rsidRDefault="00694103" w:rsidP="0030432B">
      <w:pPr>
        <w:autoSpaceDE w:val="0"/>
        <w:autoSpaceDN w:val="0"/>
        <w:adjustRightInd w:val="0"/>
        <w:spacing w:after="0" w:line="360" w:lineRule="auto"/>
        <w:ind w:left="567"/>
        <w:jc w:val="both"/>
        <w:rPr>
          <w:rFonts w:ascii="Times New Roman" w:hAnsi="Times New Roman" w:cs="Times New Roman"/>
          <w:color w:val="000000" w:themeColor="text1"/>
          <w:sz w:val="24"/>
          <w:szCs w:val="24"/>
        </w:rPr>
      </w:pPr>
    </w:p>
    <w:p w14:paraId="15DD51F4" w14:textId="77777777" w:rsidR="009045E5" w:rsidRPr="00424698" w:rsidRDefault="00694103" w:rsidP="001506B1">
      <w:pPr>
        <w:autoSpaceDE w:val="0"/>
        <w:autoSpaceDN w:val="0"/>
        <w:adjustRightInd w:val="0"/>
        <w:spacing w:after="0" w:line="360" w:lineRule="auto"/>
        <w:ind w:left="425" w:right="521"/>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Except in rare circumstances, such as when a measure or series of measures are so severe in the light of their purpose that they cannot be reasonably viewed as having been adopted and applied in good faith, non-discriminatory measures of a Contracting Party that are designed and applied to protect legitimate public welfare objectives, such as health, safety and the environment, do not constitute indirect expropriation.</w:t>
      </w:r>
      <w:r w:rsidRPr="00424698">
        <w:rPr>
          <w:rStyle w:val="FootnoteReference"/>
          <w:rFonts w:ascii="Times New Roman" w:hAnsi="Times New Roman" w:cs="Times New Roman"/>
          <w:color w:val="000000" w:themeColor="text1"/>
          <w:sz w:val="24"/>
          <w:szCs w:val="24"/>
        </w:rPr>
        <w:footnoteReference w:id="46"/>
      </w:r>
      <w:r w:rsidRPr="00424698">
        <w:rPr>
          <w:rFonts w:ascii="Times New Roman" w:hAnsi="Times New Roman" w:cs="Times New Roman"/>
          <w:color w:val="000000" w:themeColor="text1"/>
          <w:sz w:val="24"/>
          <w:szCs w:val="24"/>
        </w:rPr>
        <w:t xml:space="preserve"> </w:t>
      </w:r>
    </w:p>
    <w:p w14:paraId="669DABA5" w14:textId="77777777" w:rsidR="009045E5" w:rsidRPr="00424698" w:rsidRDefault="009045E5" w:rsidP="0030432B">
      <w:pPr>
        <w:autoSpaceDE w:val="0"/>
        <w:autoSpaceDN w:val="0"/>
        <w:adjustRightInd w:val="0"/>
        <w:spacing w:after="0" w:line="360" w:lineRule="auto"/>
        <w:rPr>
          <w:rFonts w:ascii="Times New Roman" w:hAnsi="Times New Roman" w:cs="Times New Roman"/>
          <w:color w:val="000000" w:themeColor="text1"/>
          <w:sz w:val="24"/>
          <w:szCs w:val="24"/>
        </w:rPr>
      </w:pPr>
    </w:p>
    <w:p w14:paraId="49CEC703" w14:textId="09EA6EF3" w:rsidR="00044987" w:rsidRPr="00424698" w:rsidRDefault="009045E5" w:rsidP="001506B1">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lastRenderedPageBreak/>
        <w:t>The recent modification of expropriation clauses in some of the new</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generation IIAs is a response to yet another fundamental shift in the international</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law on foreign investment, namely further liberalisation of investment</w:t>
      </w:r>
      <w:r w:rsidR="00FC78C7"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markets, the change in the direction of investment flows, the steady rise of</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indirect, regulatory state interference in economic affairs, and the proliferation</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 xml:space="preserve">of investor claims seeking damages caused therefrom. </w:t>
      </w:r>
      <w:r w:rsidR="00B707DC" w:rsidRPr="00424698">
        <w:rPr>
          <w:rFonts w:ascii="Times New Roman" w:hAnsi="Times New Roman" w:cs="Times New Roman"/>
          <w:color w:val="000000" w:themeColor="text1"/>
          <w:sz w:val="24"/>
          <w:szCs w:val="24"/>
        </w:rPr>
        <w:t xml:space="preserve">It reflects a growing recognition of </w:t>
      </w:r>
      <w:r w:rsidRPr="00424698">
        <w:rPr>
          <w:rFonts w:ascii="Times New Roman" w:hAnsi="Times New Roman" w:cs="Times New Roman"/>
          <w:color w:val="000000" w:themeColor="text1"/>
          <w:sz w:val="24"/>
          <w:szCs w:val="24"/>
        </w:rPr>
        <w:t>the need to exclude</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 xml:space="preserve">the pursuit </w:t>
      </w:r>
      <w:r w:rsidR="00932970">
        <w:rPr>
          <w:rFonts w:ascii="Times New Roman" w:hAnsi="Times New Roman" w:cs="Times New Roman"/>
          <w:color w:val="000000" w:themeColor="text1"/>
          <w:sz w:val="24"/>
          <w:szCs w:val="24"/>
        </w:rPr>
        <w:t xml:space="preserve">by a host state </w:t>
      </w:r>
      <w:r w:rsidRPr="00424698">
        <w:rPr>
          <w:rFonts w:ascii="Times New Roman" w:hAnsi="Times New Roman" w:cs="Times New Roman"/>
          <w:color w:val="000000" w:themeColor="text1"/>
          <w:sz w:val="24"/>
          <w:szCs w:val="24"/>
        </w:rPr>
        <w:t>of certain public policy objectives from the scope of expropriation</w:t>
      </w:r>
      <w:r w:rsidR="00694103"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provisions.</w:t>
      </w:r>
      <w:r w:rsidR="00694103" w:rsidRPr="00424698">
        <w:rPr>
          <w:rFonts w:ascii="Times New Roman" w:hAnsi="Times New Roman" w:cs="Times New Roman"/>
          <w:color w:val="000000" w:themeColor="text1"/>
          <w:sz w:val="24"/>
          <w:szCs w:val="24"/>
        </w:rPr>
        <w:t xml:space="preserve"> The new generation IIAs are therefore </w:t>
      </w:r>
      <w:r w:rsidR="00C566FF" w:rsidRPr="00424698">
        <w:rPr>
          <w:rFonts w:ascii="Times New Roman" w:hAnsi="Times New Roman" w:cs="Times New Roman"/>
          <w:color w:val="000000" w:themeColor="text1"/>
          <w:sz w:val="24"/>
          <w:szCs w:val="24"/>
        </w:rPr>
        <w:t xml:space="preserve">arguably </w:t>
      </w:r>
      <w:r w:rsidR="00694103" w:rsidRPr="00424698">
        <w:rPr>
          <w:rFonts w:ascii="Times New Roman" w:hAnsi="Times New Roman" w:cs="Times New Roman"/>
          <w:color w:val="000000" w:themeColor="text1"/>
          <w:sz w:val="24"/>
          <w:szCs w:val="24"/>
        </w:rPr>
        <w:t xml:space="preserve">more in line with the EU law approach to the protection of property rights, particularly </w:t>
      </w:r>
      <w:r w:rsidR="00FC78C7" w:rsidRPr="00424698">
        <w:rPr>
          <w:rFonts w:ascii="Times New Roman" w:hAnsi="Times New Roman" w:cs="Times New Roman"/>
          <w:color w:val="000000" w:themeColor="text1"/>
          <w:sz w:val="24"/>
          <w:szCs w:val="24"/>
        </w:rPr>
        <w:t>by sharing the same emphasis on situating the protection against expropriation within the social function of property rights.</w:t>
      </w:r>
      <w:r w:rsidR="000A35FB" w:rsidRPr="00424698">
        <w:rPr>
          <w:rFonts w:ascii="Times New Roman" w:hAnsi="Times New Roman" w:cs="Times New Roman"/>
          <w:color w:val="000000" w:themeColor="text1"/>
          <w:sz w:val="24"/>
          <w:szCs w:val="24"/>
        </w:rPr>
        <w:t xml:space="preserve"> By contrast, due to their more liberal formulations, the first generation IIAs—incl</w:t>
      </w:r>
      <w:r w:rsidR="00B707DC" w:rsidRPr="00424698">
        <w:rPr>
          <w:rFonts w:ascii="Times New Roman" w:hAnsi="Times New Roman" w:cs="Times New Roman"/>
          <w:color w:val="000000" w:themeColor="text1"/>
          <w:sz w:val="24"/>
          <w:szCs w:val="24"/>
        </w:rPr>
        <w:t>uding most of intra-EU IIAs—</w:t>
      </w:r>
      <w:r w:rsidR="000A35FB" w:rsidRPr="00424698">
        <w:rPr>
          <w:rFonts w:ascii="Times New Roman" w:hAnsi="Times New Roman" w:cs="Times New Roman"/>
          <w:color w:val="000000" w:themeColor="text1"/>
          <w:sz w:val="24"/>
          <w:szCs w:val="24"/>
        </w:rPr>
        <w:t>continue to provide for a categorical and absolute protection against expropriation, with no express exceptions for regulatory measures in pursuit of public policy objectives. Under these models, the task of drawing a line between compensable expropriation and non-compensable regulatory interference remains vested in arbitral tribunals</w:t>
      </w:r>
      <w:r w:rsidR="00044987" w:rsidRPr="00424698">
        <w:rPr>
          <w:rFonts w:ascii="Times New Roman" w:hAnsi="Times New Roman" w:cs="Times New Roman"/>
          <w:color w:val="000000" w:themeColor="text1"/>
          <w:sz w:val="24"/>
          <w:szCs w:val="24"/>
        </w:rPr>
        <w:t xml:space="preserve">. </w:t>
      </w:r>
      <w:r w:rsidR="00C22C74" w:rsidRPr="00424698">
        <w:rPr>
          <w:rFonts w:ascii="Times New Roman" w:hAnsi="Times New Roman" w:cs="Times New Roman"/>
          <w:color w:val="000000" w:themeColor="text1"/>
          <w:sz w:val="24"/>
          <w:szCs w:val="24"/>
        </w:rPr>
        <w:t>Although investment tribunals are gradually becoming more willing to balance the expressly stated IIA protections against other non-investment policy objectives, the lack of provisions specifically mandating such a balancing exercise in most intra-EU IIAs is likely to render it easier for investors to succeed in their ex</w:t>
      </w:r>
      <w:r w:rsidR="00044987" w:rsidRPr="00424698">
        <w:rPr>
          <w:rFonts w:ascii="Times New Roman" w:hAnsi="Times New Roman" w:cs="Times New Roman"/>
          <w:color w:val="000000" w:themeColor="text1"/>
          <w:sz w:val="24"/>
          <w:szCs w:val="24"/>
        </w:rPr>
        <w:t xml:space="preserve">propriation claims as some tribunals can be averse to the very notion of balancing investor rights with other non-economic concerns. To name one example, the tribunal in </w:t>
      </w:r>
      <w:r w:rsidR="00AC583E">
        <w:rPr>
          <w:rFonts w:ascii="Times New Roman" w:hAnsi="Times New Roman" w:cs="Times New Roman"/>
          <w:i/>
          <w:color w:val="000000" w:themeColor="text1"/>
          <w:sz w:val="24"/>
          <w:szCs w:val="24"/>
        </w:rPr>
        <w:t>Renta4</w:t>
      </w:r>
      <w:r w:rsidR="00AC583E" w:rsidRPr="00424698">
        <w:rPr>
          <w:rFonts w:ascii="Times New Roman" w:hAnsi="Times New Roman" w:cs="Times New Roman"/>
          <w:i/>
          <w:color w:val="000000" w:themeColor="text1"/>
          <w:sz w:val="24"/>
          <w:szCs w:val="24"/>
        </w:rPr>
        <w:t xml:space="preserve"> </w:t>
      </w:r>
      <w:r w:rsidR="00053AA3" w:rsidRPr="00424698">
        <w:rPr>
          <w:rFonts w:ascii="Times New Roman" w:hAnsi="Times New Roman" w:cs="Times New Roman"/>
          <w:i/>
          <w:color w:val="000000" w:themeColor="text1"/>
          <w:sz w:val="24"/>
          <w:szCs w:val="24"/>
        </w:rPr>
        <w:t>v</w:t>
      </w:r>
      <w:r w:rsidR="00044987" w:rsidRPr="00424698">
        <w:rPr>
          <w:rFonts w:ascii="Times New Roman" w:hAnsi="Times New Roman" w:cs="Times New Roman"/>
          <w:i/>
          <w:color w:val="000000" w:themeColor="text1"/>
          <w:sz w:val="24"/>
          <w:szCs w:val="24"/>
        </w:rPr>
        <w:t xml:space="preserve"> Russian Federation</w:t>
      </w:r>
      <w:r w:rsidR="00044987" w:rsidRPr="00424698">
        <w:rPr>
          <w:rFonts w:ascii="Times New Roman" w:hAnsi="Times New Roman" w:cs="Times New Roman"/>
          <w:color w:val="000000" w:themeColor="text1"/>
          <w:sz w:val="24"/>
          <w:szCs w:val="24"/>
        </w:rPr>
        <w:t xml:space="preserve"> opined that </w:t>
      </w:r>
    </w:p>
    <w:p w14:paraId="1CB5916A" w14:textId="77777777" w:rsidR="00044987" w:rsidRPr="00424698" w:rsidRDefault="00044987" w:rsidP="0030432B">
      <w:pPr>
        <w:autoSpaceDE w:val="0"/>
        <w:autoSpaceDN w:val="0"/>
        <w:adjustRightInd w:val="0"/>
        <w:spacing w:after="0" w:line="360" w:lineRule="auto"/>
        <w:rPr>
          <w:rFonts w:ascii="Times New Roman" w:hAnsi="Times New Roman" w:cs="Times New Roman"/>
          <w:color w:val="000000" w:themeColor="text1"/>
          <w:sz w:val="24"/>
          <w:szCs w:val="24"/>
        </w:rPr>
      </w:pPr>
    </w:p>
    <w:p w14:paraId="7C984261" w14:textId="1145776F" w:rsidR="00044987" w:rsidRPr="00424698" w:rsidRDefault="00044987" w:rsidP="001506B1">
      <w:pPr>
        <w:autoSpaceDE w:val="0"/>
        <w:autoSpaceDN w:val="0"/>
        <w:adjustRightInd w:val="0"/>
        <w:spacing w:after="0" w:line="360" w:lineRule="auto"/>
        <w:ind w:left="425" w:right="521"/>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For one thing, human rights conventions establish minimum standards to which all individuals are entitled irrespective of any act of volition on their part, whereas investment-protection treaties contain undertakings which are explicitly designed to induce foreigners to make investments in reliance upon them. It therefore makes sense that the reliability of an instrument of the latter kind </w:t>
      </w:r>
      <w:r w:rsidRPr="00424698">
        <w:rPr>
          <w:rFonts w:ascii="Times New Roman" w:hAnsi="Times New Roman" w:cs="Times New Roman"/>
          <w:i/>
          <w:color w:val="000000" w:themeColor="text1"/>
          <w:sz w:val="24"/>
          <w:szCs w:val="24"/>
        </w:rPr>
        <w:t>should not be diluted</w:t>
      </w:r>
      <w:r w:rsidRPr="00424698">
        <w:rPr>
          <w:rFonts w:ascii="Times New Roman" w:hAnsi="Times New Roman" w:cs="Times New Roman"/>
          <w:color w:val="000000" w:themeColor="text1"/>
          <w:sz w:val="24"/>
          <w:szCs w:val="24"/>
        </w:rPr>
        <w:t xml:space="preserve"> by</w:t>
      </w:r>
      <w:r w:rsidR="00B707DC" w:rsidRPr="00424698">
        <w:rPr>
          <w:rFonts w:ascii="Times New Roman" w:hAnsi="Times New Roman" w:cs="Times New Roman"/>
          <w:color w:val="000000" w:themeColor="text1"/>
          <w:sz w:val="24"/>
          <w:szCs w:val="24"/>
        </w:rPr>
        <w:t xml:space="preserve"> precisely the same notions of </w:t>
      </w:r>
      <w:r w:rsidR="00D44F8A">
        <w:rPr>
          <w:rFonts w:ascii="Times New Roman" w:hAnsi="Times New Roman" w:cs="Times New Roman"/>
          <w:color w:val="000000" w:themeColor="text1"/>
          <w:sz w:val="24"/>
          <w:szCs w:val="24"/>
        </w:rPr>
        <w:t>‘</w:t>
      </w:r>
      <w:r w:rsidR="00B707DC" w:rsidRPr="00424698">
        <w:rPr>
          <w:rFonts w:ascii="Times New Roman" w:hAnsi="Times New Roman" w:cs="Times New Roman"/>
          <w:color w:val="000000" w:themeColor="text1"/>
          <w:sz w:val="24"/>
          <w:szCs w:val="24"/>
        </w:rPr>
        <w:t>margins of appreciation</w:t>
      </w:r>
      <w:r w:rsidR="00D44F8A">
        <w:rPr>
          <w:rFonts w:ascii="Times New Roman" w:hAnsi="Times New Roman" w:cs="Times New Roman"/>
          <w:color w:val="000000" w:themeColor="text1"/>
          <w:sz w:val="24"/>
          <w:szCs w:val="24"/>
        </w:rPr>
        <w:t>’</w:t>
      </w:r>
      <w:r w:rsidR="00B707DC"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that apply to the former.</w:t>
      </w:r>
      <w:r w:rsidRPr="00424698">
        <w:rPr>
          <w:rStyle w:val="FootnoteReference"/>
          <w:rFonts w:ascii="Times New Roman" w:hAnsi="Times New Roman" w:cs="Times New Roman"/>
          <w:color w:val="000000" w:themeColor="text1"/>
          <w:sz w:val="24"/>
          <w:szCs w:val="24"/>
        </w:rPr>
        <w:footnoteReference w:id="47"/>
      </w:r>
    </w:p>
    <w:p w14:paraId="78379040" w14:textId="77777777" w:rsidR="00FD575C" w:rsidRPr="00424698" w:rsidRDefault="00FD575C"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6A5E1C3" w14:textId="77777777" w:rsidR="00FD575C" w:rsidRPr="00424698" w:rsidRDefault="00FD575C" w:rsidP="001506B1">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lastRenderedPageBreak/>
        <w:t xml:space="preserve">While the approach above only adds fuel to existing criticisms of the IIA regime for its inability </w:t>
      </w:r>
      <w:r w:rsidRPr="00424698">
        <w:rPr>
          <w:rFonts w:ascii="Times New Roman" w:hAnsi="Times New Roman" w:cs="Times New Roman"/>
          <w:sz w:val="24"/>
          <w:szCs w:val="24"/>
        </w:rPr>
        <w:t>to satisfyingly accommodate the conflicting issues at stake,</w:t>
      </w:r>
      <w:r w:rsidRPr="00424698">
        <w:rPr>
          <w:rStyle w:val="FootnoteReference"/>
          <w:rFonts w:ascii="Times New Roman" w:hAnsi="Times New Roman" w:cs="Times New Roman"/>
          <w:sz w:val="24"/>
          <w:szCs w:val="24"/>
        </w:rPr>
        <w:footnoteReference w:id="48"/>
      </w:r>
      <w:r w:rsidRPr="00424698">
        <w:rPr>
          <w:rFonts w:ascii="Times New Roman" w:hAnsi="Times New Roman" w:cs="Times New Roman"/>
          <w:sz w:val="24"/>
          <w:szCs w:val="24"/>
        </w:rPr>
        <w:t xml:space="preserve"> for investors seeking redress against governmental action under an intra-EU IIA</w:t>
      </w:r>
      <w:r w:rsidR="00FB5A94" w:rsidRPr="00424698">
        <w:rPr>
          <w:rFonts w:ascii="Times New Roman" w:hAnsi="Times New Roman" w:cs="Times New Roman"/>
          <w:sz w:val="24"/>
          <w:szCs w:val="24"/>
        </w:rPr>
        <w:t xml:space="preserve"> the notion of undiluted protection would mean a greater likelihood of success than under EU law.</w:t>
      </w:r>
    </w:p>
    <w:p w14:paraId="24D2A8B8" w14:textId="77777777" w:rsidR="00FD2074" w:rsidRPr="0030432B" w:rsidRDefault="00FD2074" w:rsidP="0030432B">
      <w:pPr>
        <w:autoSpaceDE w:val="0"/>
        <w:autoSpaceDN w:val="0"/>
        <w:adjustRightInd w:val="0"/>
        <w:spacing w:after="0" w:line="360" w:lineRule="auto"/>
        <w:jc w:val="both"/>
        <w:rPr>
          <w:rFonts w:ascii="Times New Roman" w:hAnsi="Times New Roman" w:cs="Times New Roman"/>
          <w:i/>
          <w:color w:val="000000" w:themeColor="text1"/>
          <w:sz w:val="24"/>
          <w:szCs w:val="24"/>
        </w:rPr>
      </w:pPr>
    </w:p>
    <w:p w14:paraId="3C77FB59" w14:textId="7007E374" w:rsidR="00FD2074" w:rsidRPr="00424698" w:rsidRDefault="0016634E"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BC4749">
        <w:rPr>
          <w:rFonts w:ascii="Times New Roman" w:hAnsi="Times New Roman" w:cs="Times New Roman"/>
          <w:b/>
          <w:color w:val="000000" w:themeColor="text1"/>
          <w:sz w:val="24"/>
          <w:szCs w:val="24"/>
        </w:rPr>
        <w:t>2.4</w:t>
      </w:r>
      <w:r w:rsidRPr="0030432B">
        <w:rPr>
          <w:rFonts w:ascii="Times New Roman" w:hAnsi="Times New Roman" w:cs="Times New Roman"/>
          <w:b/>
          <w:i/>
          <w:color w:val="000000" w:themeColor="text1"/>
          <w:sz w:val="24"/>
          <w:szCs w:val="24"/>
        </w:rPr>
        <w:t xml:space="preserve"> </w:t>
      </w:r>
      <w:r w:rsidR="00FD2074" w:rsidRPr="0030432B">
        <w:rPr>
          <w:rFonts w:ascii="Times New Roman" w:hAnsi="Times New Roman" w:cs="Times New Roman"/>
          <w:b/>
          <w:i/>
          <w:color w:val="000000" w:themeColor="text1"/>
          <w:sz w:val="24"/>
          <w:szCs w:val="24"/>
        </w:rPr>
        <w:t xml:space="preserve">Protection of </w:t>
      </w:r>
      <w:r w:rsidR="00D44F8A">
        <w:rPr>
          <w:rFonts w:ascii="Times New Roman" w:hAnsi="Times New Roman" w:cs="Times New Roman"/>
          <w:b/>
          <w:i/>
          <w:color w:val="000000" w:themeColor="text1"/>
          <w:sz w:val="24"/>
          <w:szCs w:val="24"/>
        </w:rPr>
        <w:t>C</w:t>
      </w:r>
      <w:r w:rsidR="00FD2074" w:rsidRPr="0030432B">
        <w:rPr>
          <w:rFonts w:ascii="Times New Roman" w:hAnsi="Times New Roman" w:cs="Times New Roman"/>
          <w:b/>
          <w:i/>
          <w:color w:val="000000" w:themeColor="text1"/>
          <w:sz w:val="24"/>
          <w:szCs w:val="24"/>
        </w:rPr>
        <w:t xml:space="preserve">ontractual </w:t>
      </w:r>
      <w:r w:rsidR="00D44F8A">
        <w:rPr>
          <w:rFonts w:ascii="Times New Roman" w:hAnsi="Times New Roman" w:cs="Times New Roman"/>
          <w:b/>
          <w:i/>
          <w:color w:val="000000" w:themeColor="text1"/>
          <w:sz w:val="24"/>
          <w:szCs w:val="24"/>
        </w:rPr>
        <w:t>U</w:t>
      </w:r>
      <w:r w:rsidR="00FD2074" w:rsidRPr="0030432B">
        <w:rPr>
          <w:rFonts w:ascii="Times New Roman" w:hAnsi="Times New Roman" w:cs="Times New Roman"/>
          <w:b/>
          <w:i/>
          <w:color w:val="000000" w:themeColor="text1"/>
          <w:sz w:val="24"/>
          <w:szCs w:val="24"/>
        </w:rPr>
        <w:t>ndertaking</w:t>
      </w:r>
      <w:r w:rsidR="001A1E07" w:rsidRPr="0030432B">
        <w:rPr>
          <w:rFonts w:ascii="Times New Roman" w:hAnsi="Times New Roman" w:cs="Times New Roman"/>
          <w:b/>
          <w:i/>
          <w:color w:val="000000" w:themeColor="text1"/>
          <w:sz w:val="24"/>
          <w:szCs w:val="24"/>
        </w:rPr>
        <w:t xml:space="preserve"> </w:t>
      </w:r>
    </w:p>
    <w:p w14:paraId="280965E0" w14:textId="1BDFA915" w:rsidR="00675441" w:rsidRPr="00424698" w:rsidRDefault="001A1E07"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Umbrella clauses—also known as the observance of undertakings, sanctity of contract, and </w:t>
      </w:r>
      <w:r w:rsidRPr="00424698">
        <w:rPr>
          <w:rFonts w:ascii="Times New Roman" w:hAnsi="Times New Roman" w:cs="Times New Roman"/>
          <w:i/>
          <w:color w:val="000000" w:themeColor="text1"/>
          <w:sz w:val="24"/>
          <w:szCs w:val="24"/>
        </w:rPr>
        <w:t>pacta sunt servanda</w:t>
      </w:r>
      <w:r w:rsidRPr="00424698">
        <w:rPr>
          <w:rFonts w:ascii="Times New Roman" w:hAnsi="Times New Roman" w:cs="Times New Roman"/>
          <w:color w:val="000000" w:themeColor="text1"/>
          <w:sz w:val="24"/>
          <w:szCs w:val="24"/>
        </w:rPr>
        <w:t xml:space="preserve"> standard</w:t>
      </w:r>
      <w:r w:rsidR="00673392" w:rsidRPr="00424698">
        <w:rPr>
          <w:rStyle w:val="FootnoteReference"/>
          <w:rFonts w:ascii="Times New Roman" w:hAnsi="Times New Roman" w:cs="Times New Roman"/>
          <w:color w:val="000000" w:themeColor="text1"/>
          <w:sz w:val="24"/>
          <w:szCs w:val="24"/>
        </w:rPr>
        <w:footnoteReference w:id="49"/>
      </w:r>
      <w:r w:rsidRPr="00424698">
        <w:rPr>
          <w:rFonts w:ascii="Times New Roman" w:hAnsi="Times New Roman" w:cs="Times New Roman"/>
          <w:color w:val="000000" w:themeColor="text1"/>
          <w:sz w:val="24"/>
          <w:szCs w:val="24"/>
        </w:rPr>
        <w:t>—fea</w:t>
      </w:r>
      <w:r w:rsidR="00DF6B04" w:rsidRPr="00424698">
        <w:rPr>
          <w:rFonts w:ascii="Times New Roman" w:hAnsi="Times New Roman" w:cs="Times New Roman"/>
          <w:color w:val="000000" w:themeColor="text1"/>
          <w:sz w:val="24"/>
          <w:szCs w:val="24"/>
          <w:shd w:val="clear" w:color="auto" w:fill="FFFFFF"/>
        </w:rPr>
        <w:t>ture in a good number of intra-EU IIAs, most notably IIAs signed by the Netherlands, Finland, Denmark as well as in the IIAs of concluded between recently acceded EU member states such as Hungary’s treaties with Slovakia and Poland.</w:t>
      </w:r>
      <w:r w:rsidR="00820ECA" w:rsidRPr="00424698">
        <w:rPr>
          <w:rFonts w:ascii="Times New Roman" w:hAnsi="Times New Roman" w:cs="Times New Roman"/>
          <w:color w:val="000000" w:themeColor="text1"/>
          <w:sz w:val="24"/>
          <w:szCs w:val="24"/>
          <w:shd w:val="clear" w:color="auto" w:fill="FFFFFF"/>
        </w:rPr>
        <w:t xml:space="preserve"> It also features in Article 10(1) of the Energy Charter Treaty. </w:t>
      </w:r>
      <w:r w:rsidR="00BE2B86" w:rsidRPr="00424698">
        <w:rPr>
          <w:rFonts w:ascii="Times New Roman" w:hAnsi="Times New Roman" w:cs="Times New Roman"/>
          <w:color w:val="000000" w:themeColor="text1"/>
          <w:sz w:val="24"/>
          <w:szCs w:val="24"/>
        </w:rPr>
        <w:t>While the wording of the standard may significantly vary, a typical umbrella clause requires that each contracting party observes any obligation it may have entered into with regard to an investment of an investor of another contracting party.</w:t>
      </w:r>
      <w:r w:rsidR="00BE2B86" w:rsidRPr="00424698">
        <w:rPr>
          <w:rFonts w:ascii="Times New Roman" w:hAnsi="Times New Roman" w:cs="Times New Roman"/>
          <w:color w:val="000000" w:themeColor="text1"/>
          <w:sz w:val="24"/>
          <w:szCs w:val="24"/>
          <w:vertAlign w:val="superscript"/>
        </w:rPr>
        <w:footnoteReference w:id="50"/>
      </w:r>
      <w:r w:rsidR="00675441" w:rsidRPr="00424698">
        <w:rPr>
          <w:rFonts w:ascii="Times New Roman" w:hAnsi="Times New Roman" w:cs="Times New Roman"/>
          <w:color w:val="000000" w:themeColor="text1"/>
          <w:sz w:val="24"/>
          <w:szCs w:val="24"/>
        </w:rPr>
        <w:t xml:space="preserve"> For instance, Article 2(2) of the 1994 UK–Estonia BIT provides that ‘[e]ach Contracting Party shall observe any obligation it may have entered into with regard to investments of nationals or companies of the other Contracting Party.’</w:t>
      </w:r>
      <w:r w:rsidRPr="00424698">
        <w:rPr>
          <w:rStyle w:val="FootnoteReference"/>
          <w:rFonts w:ascii="Times New Roman" w:hAnsi="Times New Roman" w:cs="Times New Roman"/>
          <w:color w:val="000000" w:themeColor="text1"/>
          <w:sz w:val="24"/>
          <w:szCs w:val="24"/>
        </w:rPr>
        <w:footnoteReference w:id="51"/>
      </w:r>
    </w:p>
    <w:p w14:paraId="0B9619BF" w14:textId="77777777" w:rsidR="00401D2C" w:rsidRPr="00424698" w:rsidRDefault="00BE2B86"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In its original design, the main objectiv</w:t>
      </w:r>
      <w:r w:rsidR="001A1E07" w:rsidRPr="00424698">
        <w:rPr>
          <w:rFonts w:ascii="Times New Roman" w:hAnsi="Times New Roman" w:cs="Times New Roman"/>
          <w:color w:val="000000" w:themeColor="text1"/>
          <w:sz w:val="24"/>
          <w:szCs w:val="24"/>
        </w:rPr>
        <w:t xml:space="preserve">e of the </w:t>
      </w:r>
      <w:r w:rsidRPr="00424698">
        <w:rPr>
          <w:rFonts w:ascii="Times New Roman" w:hAnsi="Times New Roman" w:cs="Times New Roman"/>
          <w:color w:val="000000" w:themeColor="text1"/>
          <w:sz w:val="24"/>
          <w:szCs w:val="24"/>
        </w:rPr>
        <w:t>umbrella clause was to protect against expropriation of contractual rights and to ensure that the same remedy as in the case of expropriation—full compensation—was available to foreign investors in the event of state interference with their contracts.</w:t>
      </w:r>
      <w:r w:rsidRPr="00424698">
        <w:rPr>
          <w:rFonts w:ascii="Times New Roman" w:hAnsi="Times New Roman" w:cs="Times New Roman"/>
          <w:color w:val="000000" w:themeColor="text1"/>
          <w:sz w:val="24"/>
          <w:szCs w:val="24"/>
          <w:vertAlign w:val="superscript"/>
        </w:rPr>
        <w:footnoteReference w:id="52"/>
      </w:r>
      <w:r w:rsidRPr="00424698">
        <w:rPr>
          <w:rFonts w:ascii="Times New Roman" w:hAnsi="Times New Roman" w:cs="Times New Roman"/>
          <w:color w:val="000000" w:themeColor="text1"/>
          <w:sz w:val="24"/>
          <w:szCs w:val="24"/>
        </w:rPr>
        <w:t xml:space="preserve"> Thus, umbrella provisions offer an additional layer of protection by enabling an investor to claim a remedy for breach of contract which may not readily be characterised as an expropriation or other international delict. In other words, umbrella clauses can entitle investors to redress if there is no </w:t>
      </w:r>
      <w:r w:rsidR="00B707DC" w:rsidRPr="00424698">
        <w:rPr>
          <w:rFonts w:ascii="Times New Roman" w:hAnsi="Times New Roman" w:cs="Times New Roman"/>
          <w:color w:val="000000" w:themeColor="text1"/>
          <w:sz w:val="24"/>
          <w:szCs w:val="24"/>
        </w:rPr>
        <w:t>arbitrariness, discrimination or lack of due process</w:t>
      </w:r>
      <w:r w:rsidR="00675441" w:rsidRPr="00424698">
        <w:rPr>
          <w:rFonts w:ascii="Times New Roman" w:hAnsi="Times New Roman" w:cs="Times New Roman"/>
          <w:color w:val="000000" w:themeColor="text1"/>
          <w:sz w:val="24"/>
          <w:szCs w:val="24"/>
        </w:rPr>
        <w:t xml:space="preserve">. It </w:t>
      </w:r>
      <w:r w:rsidR="00B707DC" w:rsidRPr="00424698">
        <w:rPr>
          <w:rFonts w:ascii="Times New Roman" w:hAnsi="Times New Roman" w:cs="Times New Roman"/>
          <w:color w:val="000000" w:themeColor="text1"/>
          <w:sz w:val="24"/>
          <w:szCs w:val="24"/>
        </w:rPr>
        <w:t xml:space="preserve">thus </w:t>
      </w:r>
      <w:r w:rsidR="00370F4C" w:rsidRPr="00424698">
        <w:rPr>
          <w:rFonts w:ascii="Times New Roman" w:hAnsi="Times New Roman" w:cs="Times New Roman"/>
          <w:color w:val="000000" w:themeColor="text1"/>
          <w:sz w:val="24"/>
          <w:szCs w:val="24"/>
        </w:rPr>
        <w:t xml:space="preserve">opens the door to investment claims going beyond the traditional remit of international law on the protection of foreign interests abroad. By enabling investors to bring contractual claims against host states in the absence of a breach of international law, umbrella clauses go </w:t>
      </w:r>
      <w:r w:rsidR="00370F4C" w:rsidRPr="00424698">
        <w:rPr>
          <w:rFonts w:ascii="Times New Roman" w:hAnsi="Times New Roman" w:cs="Times New Roman"/>
          <w:color w:val="000000" w:themeColor="text1"/>
          <w:sz w:val="24"/>
          <w:szCs w:val="24"/>
        </w:rPr>
        <w:lastRenderedPageBreak/>
        <w:t xml:space="preserve">further than </w:t>
      </w:r>
      <w:r w:rsidR="00B707DC" w:rsidRPr="00424698">
        <w:rPr>
          <w:rFonts w:ascii="Times New Roman" w:hAnsi="Times New Roman" w:cs="Times New Roman"/>
          <w:color w:val="000000" w:themeColor="text1"/>
          <w:sz w:val="24"/>
          <w:szCs w:val="24"/>
        </w:rPr>
        <w:t>other</w:t>
      </w:r>
      <w:r w:rsidR="00370F4C" w:rsidRPr="00424698">
        <w:rPr>
          <w:rFonts w:ascii="Times New Roman" w:hAnsi="Times New Roman" w:cs="Times New Roman"/>
          <w:color w:val="000000" w:themeColor="text1"/>
          <w:sz w:val="24"/>
          <w:szCs w:val="24"/>
        </w:rPr>
        <w:t xml:space="preserve"> standards of treatment. </w:t>
      </w:r>
      <w:r w:rsidR="001A1E07" w:rsidRPr="00424698">
        <w:rPr>
          <w:rFonts w:ascii="Times New Roman" w:hAnsi="Times New Roman" w:cs="Times New Roman"/>
          <w:color w:val="000000" w:themeColor="text1"/>
          <w:sz w:val="24"/>
          <w:szCs w:val="24"/>
        </w:rPr>
        <w:t>The</w:t>
      </w:r>
      <w:r w:rsidR="00370F4C" w:rsidRPr="00424698">
        <w:rPr>
          <w:rFonts w:ascii="Times New Roman" w:hAnsi="Times New Roman" w:cs="Times New Roman"/>
          <w:color w:val="000000" w:themeColor="text1"/>
          <w:sz w:val="24"/>
          <w:szCs w:val="24"/>
        </w:rPr>
        <w:t xml:space="preserve"> umbrella clause may not transform a breach of contract into an international wrong in the traditional sense</w:t>
      </w:r>
      <w:r w:rsidR="001A1E07" w:rsidRPr="00424698">
        <w:rPr>
          <w:rStyle w:val="FootnoteReference"/>
          <w:rFonts w:ascii="Times New Roman" w:hAnsi="Times New Roman" w:cs="Times New Roman"/>
          <w:color w:val="000000" w:themeColor="text1"/>
          <w:sz w:val="24"/>
          <w:szCs w:val="24"/>
        </w:rPr>
        <w:footnoteReference w:id="53"/>
      </w:r>
      <w:r w:rsidR="00370F4C" w:rsidRPr="00424698">
        <w:rPr>
          <w:rFonts w:ascii="Times New Roman" w:hAnsi="Times New Roman" w:cs="Times New Roman"/>
          <w:color w:val="000000" w:themeColor="text1"/>
          <w:sz w:val="24"/>
          <w:szCs w:val="24"/>
        </w:rPr>
        <w:t>, but it nonetheless internationalises contractual claims by giving rise to a state’s responsibility for a breach which would not otherwise fall within the ambit of international law.</w:t>
      </w:r>
      <w:r w:rsidR="00673392" w:rsidRPr="00424698">
        <w:rPr>
          <w:rFonts w:ascii="Times New Roman" w:hAnsi="Times New Roman" w:cs="Times New Roman"/>
          <w:color w:val="000000" w:themeColor="text1"/>
          <w:sz w:val="24"/>
          <w:szCs w:val="24"/>
        </w:rPr>
        <w:t xml:space="preserve"> Concerned about its potential to alter radically the scope of state responsibility under international law, some investment tribunals have construed an umbrella clause restrictively. Other tribunals, including in </w:t>
      </w:r>
      <w:r w:rsidR="00401D2C" w:rsidRPr="00424698">
        <w:rPr>
          <w:rFonts w:ascii="Times New Roman" w:hAnsi="Times New Roman" w:cs="Times New Roman"/>
          <w:i/>
          <w:color w:val="000000" w:themeColor="text1"/>
          <w:sz w:val="24"/>
          <w:szCs w:val="24"/>
        </w:rPr>
        <w:t xml:space="preserve">Eureko </w:t>
      </w:r>
      <w:r w:rsidR="00673392" w:rsidRPr="00424698">
        <w:rPr>
          <w:rFonts w:ascii="Times New Roman" w:hAnsi="Times New Roman" w:cs="Times New Roman"/>
          <w:i/>
          <w:color w:val="000000" w:themeColor="text1"/>
          <w:sz w:val="24"/>
          <w:szCs w:val="24"/>
        </w:rPr>
        <w:t>v Poland</w:t>
      </w:r>
      <w:r w:rsidR="00673392" w:rsidRPr="00424698">
        <w:rPr>
          <w:rFonts w:ascii="Times New Roman" w:hAnsi="Times New Roman" w:cs="Times New Roman"/>
          <w:color w:val="000000" w:themeColor="text1"/>
          <w:sz w:val="24"/>
          <w:szCs w:val="24"/>
        </w:rPr>
        <w:t xml:space="preserve">, which was brought under </w:t>
      </w:r>
      <w:r w:rsidR="00401D2C" w:rsidRPr="00424698">
        <w:rPr>
          <w:rFonts w:ascii="Times New Roman" w:hAnsi="Times New Roman" w:cs="Times New Roman"/>
          <w:color w:val="000000" w:themeColor="text1"/>
          <w:sz w:val="24"/>
          <w:szCs w:val="24"/>
        </w:rPr>
        <w:t>the Netherlands-Poland BIT</w:t>
      </w:r>
      <w:r w:rsidR="00673392" w:rsidRPr="00424698">
        <w:rPr>
          <w:rFonts w:ascii="Times New Roman" w:hAnsi="Times New Roman" w:cs="Times New Roman"/>
          <w:color w:val="000000" w:themeColor="text1"/>
          <w:sz w:val="24"/>
          <w:szCs w:val="24"/>
        </w:rPr>
        <w:t xml:space="preserve">, </w:t>
      </w:r>
      <w:r w:rsidR="00FB7E49" w:rsidRPr="00424698">
        <w:rPr>
          <w:rFonts w:ascii="Times New Roman" w:hAnsi="Times New Roman" w:cs="Times New Roman"/>
          <w:color w:val="000000" w:themeColor="text1"/>
          <w:sz w:val="24"/>
          <w:szCs w:val="24"/>
        </w:rPr>
        <w:t xml:space="preserve">construed the standard in accordance with its ordinary and effective meaning. As opined by the </w:t>
      </w:r>
      <w:r w:rsidR="00FB7E49" w:rsidRPr="00424698">
        <w:rPr>
          <w:rFonts w:ascii="Times New Roman" w:hAnsi="Times New Roman" w:cs="Times New Roman"/>
          <w:i/>
          <w:color w:val="000000" w:themeColor="text1"/>
          <w:sz w:val="24"/>
          <w:szCs w:val="24"/>
        </w:rPr>
        <w:t>Eureko</w:t>
      </w:r>
      <w:r w:rsidR="00FB7E49" w:rsidRPr="00424698">
        <w:rPr>
          <w:rFonts w:ascii="Times New Roman" w:hAnsi="Times New Roman" w:cs="Times New Roman"/>
          <w:color w:val="000000" w:themeColor="text1"/>
          <w:sz w:val="24"/>
          <w:szCs w:val="24"/>
        </w:rPr>
        <w:t xml:space="preserve"> tribunal,</w:t>
      </w:r>
      <w:r w:rsidR="00401D2C" w:rsidRPr="00424698">
        <w:rPr>
          <w:rFonts w:ascii="Times New Roman" w:hAnsi="Times New Roman" w:cs="Times New Roman"/>
          <w:color w:val="000000" w:themeColor="text1"/>
          <w:sz w:val="24"/>
          <w:szCs w:val="24"/>
        </w:rPr>
        <w:t xml:space="preserve"> the umbrella claus</w:t>
      </w:r>
      <w:r w:rsidR="00FB7E49" w:rsidRPr="00424698">
        <w:rPr>
          <w:rFonts w:ascii="Times New Roman" w:hAnsi="Times New Roman" w:cs="Times New Roman"/>
          <w:color w:val="000000" w:themeColor="text1"/>
          <w:sz w:val="24"/>
          <w:szCs w:val="24"/>
        </w:rPr>
        <w:t>e ‘means what it says.</w:t>
      </w:r>
      <w:r w:rsidR="00673392" w:rsidRPr="00424698">
        <w:rPr>
          <w:rStyle w:val="FootnoteReference"/>
          <w:rFonts w:ascii="Times New Roman" w:hAnsi="Times New Roman" w:cs="Times New Roman"/>
          <w:color w:val="000000" w:themeColor="text1"/>
          <w:sz w:val="24"/>
          <w:szCs w:val="24"/>
        </w:rPr>
        <w:footnoteReference w:id="54"/>
      </w:r>
    </w:p>
    <w:p w14:paraId="2A7AA8AB" w14:textId="77777777" w:rsidR="007638EC" w:rsidRDefault="00FB7E49"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EU law does not offer an equivalent standard whereby an individual or corporation would have a direct standing against the host state simply on the basis of a c</w:t>
      </w:r>
      <w:r w:rsidR="007638EC" w:rsidRPr="00424698">
        <w:rPr>
          <w:rFonts w:ascii="Times New Roman" w:hAnsi="Times New Roman" w:cs="Times New Roman"/>
          <w:color w:val="000000" w:themeColor="text1"/>
          <w:sz w:val="24"/>
          <w:szCs w:val="24"/>
        </w:rPr>
        <w:t xml:space="preserve">ontractual breach. In this regard, parallels can be drawn between EU law and customary international law whereby, despite some schools of thought postulating the internationalisation of contracts, the prevailing view is that a breach by a state of a contract with a foreign investor is not </w:t>
      </w:r>
      <w:r w:rsidR="007638EC" w:rsidRPr="00424698">
        <w:rPr>
          <w:rFonts w:ascii="Times New Roman" w:hAnsi="Times New Roman" w:cs="Times New Roman"/>
          <w:i/>
          <w:color w:val="000000" w:themeColor="text1"/>
          <w:sz w:val="24"/>
          <w:szCs w:val="24"/>
        </w:rPr>
        <w:t>per se</w:t>
      </w:r>
      <w:r w:rsidR="007638EC" w:rsidRPr="00424698">
        <w:rPr>
          <w:rFonts w:ascii="Times New Roman" w:hAnsi="Times New Roman" w:cs="Times New Roman"/>
          <w:color w:val="000000" w:themeColor="text1"/>
          <w:sz w:val="24"/>
          <w:szCs w:val="24"/>
        </w:rPr>
        <w:t xml:space="preserve"> a breach of international law.</w:t>
      </w:r>
      <w:r w:rsidR="007638EC" w:rsidRPr="00424698">
        <w:rPr>
          <w:rFonts w:ascii="Times New Roman" w:hAnsi="Times New Roman" w:cs="Times New Roman"/>
          <w:color w:val="000000" w:themeColor="text1"/>
          <w:sz w:val="24"/>
          <w:szCs w:val="24"/>
          <w:vertAlign w:val="superscript"/>
        </w:rPr>
        <w:footnoteReference w:id="55"/>
      </w:r>
      <w:r w:rsidR="007638EC" w:rsidRPr="00424698">
        <w:rPr>
          <w:rFonts w:ascii="Times New Roman" w:hAnsi="Times New Roman" w:cs="Times New Roman"/>
          <w:color w:val="000000" w:themeColor="text1"/>
          <w:sz w:val="24"/>
          <w:szCs w:val="24"/>
        </w:rPr>
        <w:t xml:space="preserve"> Rather, something more than a mere breach of contract (such as an arbitrary termination or confiscation of the contractual rights, or the denial of justice) is required to give rise to a state’s international responsibility. As summarised in the UK government memorial in </w:t>
      </w:r>
      <w:r w:rsidR="007638EC" w:rsidRPr="00424698">
        <w:rPr>
          <w:rFonts w:ascii="Times New Roman" w:hAnsi="Times New Roman" w:cs="Times New Roman"/>
          <w:i/>
          <w:color w:val="000000" w:themeColor="text1"/>
          <w:sz w:val="24"/>
          <w:szCs w:val="24"/>
        </w:rPr>
        <w:t>Ambatielos</w:t>
      </w:r>
      <w:r w:rsidR="007638EC" w:rsidRPr="00424698">
        <w:rPr>
          <w:rFonts w:ascii="Times New Roman" w:hAnsi="Times New Roman" w:cs="Times New Roman"/>
          <w:color w:val="000000" w:themeColor="text1"/>
          <w:sz w:val="24"/>
          <w:szCs w:val="24"/>
        </w:rPr>
        <w:t xml:space="preserve">, </w:t>
      </w:r>
    </w:p>
    <w:p w14:paraId="3EA569FC" w14:textId="77777777" w:rsidR="00654CB2" w:rsidRPr="00424698" w:rsidRDefault="00654CB2" w:rsidP="0030432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6ADFB56C" w14:textId="6E664E70" w:rsidR="007638EC" w:rsidRPr="00424698" w:rsidRDefault="007638EC" w:rsidP="001506B1">
      <w:pPr>
        <w:autoSpaceDE w:val="0"/>
        <w:autoSpaceDN w:val="0"/>
        <w:adjustRightInd w:val="0"/>
        <w:spacing w:after="0" w:line="360" w:lineRule="auto"/>
        <w:ind w:left="425" w:right="521" w:firstLine="11"/>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It is generally accepted that, so long as it affords remedies in its Courts, a State is only directly responsible, on the international plane, for acts involving breaches of contract, where the breach is not a simple breach… but involves an obviously arbitrary or tortuous element, e.g. a confiscatory breach of contract – where the true basis of the international claim is the confiscation, rather than the breach </w:t>
      </w:r>
      <w:r w:rsidRPr="00424698">
        <w:rPr>
          <w:rFonts w:ascii="Times New Roman" w:hAnsi="Times New Roman" w:cs="Times New Roman"/>
          <w:i/>
          <w:color w:val="000000" w:themeColor="text1"/>
          <w:sz w:val="24"/>
          <w:szCs w:val="24"/>
        </w:rPr>
        <w:t>per se</w:t>
      </w:r>
      <w:r w:rsidRPr="00424698">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vertAlign w:val="superscript"/>
        </w:rPr>
        <w:footnoteReference w:id="56"/>
      </w:r>
    </w:p>
    <w:p w14:paraId="233FD803" w14:textId="77777777" w:rsidR="007638EC" w:rsidRPr="00424698" w:rsidRDefault="007638EC"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D730C53" w14:textId="52B1F39A" w:rsidR="007638EC" w:rsidRPr="00424698" w:rsidRDefault="009F0A6F" w:rsidP="001506B1">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lastRenderedPageBreak/>
        <w:t xml:space="preserve">While a breach of contract does </w:t>
      </w:r>
      <w:r w:rsidRPr="00424698">
        <w:rPr>
          <w:rFonts w:ascii="Times New Roman" w:hAnsi="Times New Roman" w:cs="Times New Roman"/>
          <w:i/>
          <w:color w:val="000000" w:themeColor="text1"/>
          <w:sz w:val="24"/>
          <w:szCs w:val="24"/>
        </w:rPr>
        <w:t>per se</w:t>
      </w:r>
      <w:r w:rsidRPr="00424698">
        <w:rPr>
          <w:rFonts w:ascii="Times New Roman" w:hAnsi="Times New Roman" w:cs="Times New Roman"/>
          <w:color w:val="000000" w:themeColor="text1"/>
          <w:sz w:val="24"/>
          <w:szCs w:val="24"/>
        </w:rPr>
        <w:t xml:space="preserve"> is insufficient to give rise to state liability in EU law, i</w:t>
      </w:r>
      <w:r w:rsidR="007638EC" w:rsidRPr="00424698">
        <w:rPr>
          <w:rFonts w:ascii="Times New Roman" w:hAnsi="Times New Roman" w:cs="Times New Roman"/>
          <w:color w:val="000000" w:themeColor="text1"/>
          <w:sz w:val="24"/>
          <w:szCs w:val="24"/>
        </w:rPr>
        <w:t xml:space="preserve">t is possible to envisage a scenario where a claim could be brought against an EU member state based on a breach of contract if the state action leading to such a breach constitutes an impediment to one of the economic freedoms, such as the free movement of goods or services. </w:t>
      </w:r>
      <w:r w:rsidRPr="00424698">
        <w:rPr>
          <w:rFonts w:ascii="Times New Roman" w:hAnsi="Times New Roman" w:cs="Times New Roman"/>
          <w:color w:val="000000" w:themeColor="text1"/>
          <w:sz w:val="24"/>
          <w:szCs w:val="24"/>
        </w:rPr>
        <w:t>However, u</w:t>
      </w:r>
      <w:r w:rsidR="007638EC" w:rsidRPr="00424698">
        <w:rPr>
          <w:rFonts w:ascii="Times New Roman" w:hAnsi="Times New Roman" w:cs="Times New Roman"/>
          <w:color w:val="000000" w:themeColor="text1"/>
          <w:sz w:val="24"/>
          <w:szCs w:val="24"/>
        </w:rPr>
        <w:t xml:space="preserve">nlike umbrella clauses in IIAs, which grant protection to investor claims arising from </w:t>
      </w:r>
      <w:r w:rsidR="007638EC" w:rsidRPr="001506B1">
        <w:rPr>
          <w:rFonts w:ascii="Times New Roman" w:hAnsi="Times New Roman" w:cs="Times New Roman"/>
          <w:color w:val="000000" w:themeColor="text1"/>
          <w:sz w:val="24"/>
          <w:szCs w:val="24"/>
        </w:rPr>
        <w:t>any</w:t>
      </w:r>
      <w:r w:rsidR="007638EC" w:rsidRPr="00424698">
        <w:rPr>
          <w:rFonts w:ascii="Times New Roman" w:hAnsi="Times New Roman" w:cs="Times New Roman"/>
          <w:color w:val="000000" w:themeColor="text1"/>
          <w:sz w:val="24"/>
          <w:szCs w:val="24"/>
        </w:rPr>
        <w:t xml:space="preserve"> breach of contract, the ability of an economic actors to claim redress for a contractual breach under EU law would necessitate </w:t>
      </w:r>
      <w:r w:rsidR="00675D39" w:rsidRPr="00424698">
        <w:rPr>
          <w:rFonts w:ascii="Times New Roman" w:hAnsi="Times New Roman" w:cs="Times New Roman"/>
          <w:color w:val="000000" w:themeColor="text1"/>
          <w:sz w:val="24"/>
          <w:szCs w:val="24"/>
        </w:rPr>
        <w:t>showing something more.</w:t>
      </w:r>
    </w:p>
    <w:p w14:paraId="79BEB80B" w14:textId="0FDB408D" w:rsidR="0076594C" w:rsidRPr="00424698" w:rsidRDefault="00675D39"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In seeking redress for a breach of contract, intra-EU investors could also rely on the C</w:t>
      </w:r>
      <w:r w:rsidR="00313A70" w:rsidRPr="00424698">
        <w:rPr>
          <w:rFonts w:ascii="Times New Roman" w:hAnsi="Times New Roman" w:cs="Times New Roman"/>
          <w:color w:val="000000" w:themeColor="text1"/>
          <w:sz w:val="24"/>
          <w:szCs w:val="24"/>
        </w:rPr>
        <w:t>FR</w:t>
      </w:r>
      <w:r w:rsidRPr="00424698">
        <w:rPr>
          <w:rFonts w:ascii="Times New Roman" w:hAnsi="Times New Roman" w:cs="Times New Roman"/>
          <w:color w:val="000000" w:themeColor="text1"/>
          <w:sz w:val="24"/>
          <w:szCs w:val="24"/>
        </w:rPr>
        <w:t xml:space="preserve">, in particular its </w:t>
      </w:r>
      <w:r w:rsidR="00D856A4" w:rsidRPr="00424698">
        <w:rPr>
          <w:rFonts w:ascii="Times New Roman" w:hAnsi="Times New Roman" w:cs="Times New Roman"/>
          <w:color w:val="000000" w:themeColor="text1"/>
          <w:sz w:val="24"/>
          <w:szCs w:val="24"/>
        </w:rPr>
        <w:t>Article 17</w:t>
      </w:r>
      <w:r w:rsidRPr="00424698">
        <w:rPr>
          <w:rFonts w:ascii="Times New Roman" w:hAnsi="Times New Roman" w:cs="Times New Roman"/>
          <w:color w:val="000000" w:themeColor="text1"/>
          <w:sz w:val="24"/>
          <w:szCs w:val="24"/>
        </w:rPr>
        <w:t xml:space="preserve"> </w:t>
      </w:r>
      <w:r w:rsidR="00D856A4" w:rsidRPr="00424698">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rPr>
        <w:t>property rights</w:t>
      </w:r>
      <w:r w:rsidR="00D856A4" w:rsidRPr="00424698">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rPr>
        <w:t xml:space="preserve"> and </w:t>
      </w:r>
      <w:r w:rsidR="00D856A4" w:rsidRPr="00424698">
        <w:rPr>
          <w:rFonts w:ascii="Times New Roman" w:hAnsi="Times New Roman" w:cs="Times New Roman"/>
          <w:color w:val="000000" w:themeColor="text1"/>
          <w:sz w:val="24"/>
          <w:szCs w:val="24"/>
        </w:rPr>
        <w:t>Article 16 (freedom to conduct business).</w:t>
      </w:r>
      <w:r w:rsidR="0076594C" w:rsidRPr="00424698">
        <w:rPr>
          <w:rFonts w:ascii="Times New Roman" w:hAnsi="Times New Roman" w:cs="Times New Roman"/>
          <w:color w:val="000000" w:themeColor="text1"/>
          <w:sz w:val="24"/>
          <w:szCs w:val="24"/>
        </w:rPr>
        <w:t xml:space="preserve"> Yet even a cursory overview of EU jurisprudence suggests that neither of these fundamental rights offers the same level of protection as umbrella clauses. The presently limited protection of judicial protection of EU fundamental rights has already been strongly criticised in academic literature.</w:t>
      </w:r>
      <w:r w:rsidR="0076594C" w:rsidRPr="00424698">
        <w:rPr>
          <w:rStyle w:val="FootnoteReference"/>
          <w:rFonts w:ascii="Times New Roman" w:hAnsi="Times New Roman" w:cs="Times New Roman"/>
          <w:color w:val="000000" w:themeColor="text1"/>
          <w:sz w:val="24"/>
          <w:szCs w:val="24"/>
        </w:rPr>
        <w:footnoteReference w:id="57"/>
      </w:r>
      <w:r w:rsidR="0076594C" w:rsidRPr="00424698">
        <w:rPr>
          <w:rFonts w:ascii="Times New Roman" w:hAnsi="Times New Roman" w:cs="Times New Roman"/>
          <w:color w:val="000000" w:themeColor="text1"/>
          <w:sz w:val="24"/>
          <w:szCs w:val="24"/>
        </w:rPr>
        <w:t xml:space="preserve"> Furthermore, unlike IIAs whose principal function is to protect foreign investors and investments, the C</w:t>
      </w:r>
      <w:r w:rsidR="00313A70" w:rsidRPr="00424698">
        <w:rPr>
          <w:rFonts w:ascii="Times New Roman" w:hAnsi="Times New Roman" w:cs="Times New Roman"/>
          <w:color w:val="000000" w:themeColor="text1"/>
          <w:sz w:val="24"/>
          <w:szCs w:val="24"/>
        </w:rPr>
        <w:t>FR</w:t>
      </w:r>
      <w:r w:rsidR="0076594C" w:rsidRPr="00424698">
        <w:rPr>
          <w:rFonts w:ascii="Times New Roman" w:hAnsi="Times New Roman" w:cs="Times New Roman"/>
          <w:color w:val="000000" w:themeColor="text1"/>
          <w:sz w:val="24"/>
          <w:szCs w:val="24"/>
        </w:rPr>
        <w:t xml:space="preserve"> not only offers the guarantees which private actors can invoke in protecting their </w:t>
      </w:r>
      <w:r w:rsidR="002F04B9" w:rsidRPr="00424698">
        <w:rPr>
          <w:rFonts w:ascii="Times New Roman" w:hAnsi="Times New Roman" w:cs="Times New Roman"/>
          <w:color w:val="000000" w:themeColor="text1"/>
          <w:sz w:val="24"/>
          <w:szCs w:val="24"/>
        </w:rPr>
        <w:t>economic</w:t>
      </w:r>
      <w:r w:rsidR="0076594C" w:rsidRPr="00424698">
        <w:rPr>
          <w:rFonts w:ascii="Times New Roman" w:hAnsi="Times New Roman" w:cs="Times New Roman"/>
          <w:color w:val="000000" w:themeColor="text1"/>
          <w:sz w:val="24"/>
          <w:szCs w:val="24"/>
        </w:rPr>
        <w:t xml:space="preserve"> interests—such as the freedom to conduct business, but also safeguards the rights which can delimit the exercise of economic</w:t>
      </w:r>
      <w:r w:rsidR="002F04B9" w:rsidRPr="00424698">
        <w:rPr>
          <w:rFonts w:ascii="Times New Roman" w:hAnsi="Times New Roman" w:cs="Times New Roman"/>
          <w:color w:val="000000" w:themeColor="text1"/>
          <w:sz w:val="24"/>
          <w:szCs w:val="24"/>
        </w:rPr>
        <w:t xml:space="preserve"> freedoms—such as the right of collective action.</w:t>
      </w:r>
    </w:p>
    <w:p w14:paraId="469613D0" w14:textId="69482063" w:rsidR="00C2534D" w:rsidRPr="00424698" w:rsidRDefault="002F04B9"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A rather restrictive stance of the CJEU towards the protection of contractual entitlement is demonstrated in the case of </w:t>
      </w:r>
      <w:r w:rsidRPr="00424698">
        <w:rPr>
          <w:rFonts w:ascii="Times New Roman" w:hAnsi="Times New Roman" w:cs="Times New Roman"/>
          <w:bCs/>
          <w:i/>
          <w:color w:val="000000" w:themeColor="text1"/>
          <w:sz w:val="24"/>
          <w:szCs w:val="24"/>
        </w:rPr>
        <w:t>Sky Österreich GmbH v Österreichischer Rundfunk</w:t>
      </w:r>
      <w:r w:rsidRPr="00424698">
        <w:rPr>
          <w:rFonts w:ascii="Times New Roman" w:hAnsi="Times New Roman" w:cs="Times New Roman"/>
          <w:color w:val="000000" w:themeColor="text1"/>
          <w:sz w:val="24"/>
          <w:szCs w:val="24"/>
        </w:rPr>
        <w:t>.</w:t>
      </w:r>
      <w:r w:rsidR="00156079" w:rsidRPr="00424698">
        <w:rPr>
          <w:rStyle w:val="FootnoteReference"/>
          <w:rFonts w:ascii="Times New Roman" w:hAnsi="Times New Roman" w:cs="Times New Roman"/>
          <w:color w:val="000000" w:themeColor="text1"/>
          <w:sz w:val="24"/>
          <w:szCs w:val="24"/>
        </w:rPr>
        <w:footnoteReference w:id="58"/>
      </w:r>
      <w:r w:rsidR="00675D39" w:rsidRPr="00424698">
        <w:rPr>
          <w:rFonts w:ascii="Times New Roman" w:hAnsi="Times New Roman" w:cs="Times New Roman"/>
          <w:color w:val="000000" w:themeColor="text1"/>
          <w:sz w:val="24"/>
          <w:szCs w:val="24"/>
        </w:rPr>
        <w:t xml:space="preserve"> </w:t>
      </w:r>
      <w:r w:rsidR="00C2534D" w:rsidRPr="00424698">
        <w:rPr>
          <w:rFonts w:ascii="Times New Roman" w:hAnsi="Times New Roman" w:cs="Times New Roman"/>
          <w:color w:val="000000" w:themeColor="text1"/>
          <w:sz w:val="24"/>
          <w:szCs w:val="24"/>
        </w:rPr>
        <w:t>The case concerned Directive 2010/13 which obligated those possessing exclusive television broadcasting rights to provide other broadcasters with access to the satellite signal to make short news reports.</w:t>
      </w:r>
      <w:r w:rsidR="009F0A6F" w:rsidRPr="00424698">
        <w:rPr>
          <w:rStyle w:val="FootnoteReference"/>
          <w:rFonts w:ascii="Times New Roman" w:hAnsi="Times New Roman" w:cs="Times New Roman"/>
          <w:color w:val="000000" w:themeColor="text1"/>
          <w:sz w:val="24"/>
          <w:szCs w:val="24"/>
        </w:rPr>
        <w:footnoteReference w:id="59"/>
      </w:r>
      <w:r w:rsidR="00C2534D" w:rsidRPr="00424698">
        <w:rPr>
          <w:rFonts w:ascii="Times New Roman" w:hAnsi="Times New Roman" w:cs="Times New Roman"/>
          <w:color w:val="000000" w:themeColor="text1"/>
          <w:sz w:val="24"/>
          <w:szCs w:val="24"/>
        </w:rPr>
        <w:t xml:space="preserve"> The dispute arose as to the financ</w:t>
      </w:r>
      <w:r w:rsidR="00DD32A3" w:rsidRPr="00424698">
        <w:rPr>
          <w:rFonts w:ascii="Times New Roman" w:hAnsi="Times New Roman" w:cs="Times New Roman"/>
          <w:color w:val="000000" w:themeColor="text1"/>
          <w:sz w:val="24"/>
          <w:szCs w:val="24"/>
        </w:rPr>
        <w:t xml:space="preserve">ial conditions under which </w:t>
      </w:r>
      <w:r w:rsidR="00C2534D" w:rsidRPr="00424698">
        <w:rPr>
          <w:rFonts w:ascii="Times New Roman" w:hAnsi="Times New Roman" w:cs="Times New Roman"/>
          <w:color w:val="000000" w:themeColor="text1"/>
          <w:sz w:val="24"/>
          <w:szCs w:val="24"/>
        </w:rPr>
        <w:t>access could be grante</w:t>
      </w:r>
      <w:r w:rsidR="00DD32A3" w:rsidRPr="00424698">
        <w:rPr>
          <w:rFonts w:ascii="Times New Roman" w:hAnsi="Times New Roman" w:cs="Times New Roman"/>
          <w:color w:val="000000" w:themeColor="text1"/>
          <w:sz w:val="24"/>
          <w:szCs w:val="24"/>
        </w:rPr>
        <w:t>d. S</w:t>
      </w:r>
      <w:r w:rsidR="00C2534D" w:rsidRPr="00424698">
        <w:rPr>
          <w:rFonts w:ascii="Times New Roman" w:hAnsi="Times New Roman" w:cs="Times New Roman"/>
          <w:color w:val="000000" w:themeColor="text1"/>
          <w:sz w:val="24"/>
          <w:szCs w:val="24"/>
        </w:rPr>
        <w:t>uch limitation on the exercise by broadcasters of their exclusive broadcasting rights by the need ‘to promote pluralism through the diversity of news production and programming across the [European] Union and to respect the principles recognised by Article 11 of the Charter of Fundamental Rights of the European Union.’</w:t>
      </w:r>
      <w:r w:rsidR="009F0A6F" w:rsidRPr="00424698">
        <w:rPr>
          <w:rStyle w:val="FootnoteReference"/>
          <w:rFonts w:ascii="Times New Roman" w:hAnsi="Times New Roman" w:cs="Times New Roman"/>
          <w:color w:val="000000" w:themeColor="text1"/>
          <w:sz w:val="24"/>
          <w:szCs w:val="24"/>
        </w:rPr>
        <w:footnoteReference w:id="60"/>
      </w:r>
      <w:r w:rsidR="00C2534D" w:rsidRPr="00424698">
        <w:rPr>
          <w:rFonts w:ascii="Times New Roman" w:hAnsi="Times New Roman" w:cs="Times New Roman"/>
          <w:color w:val="000000" w:themeColor="text1"/>
          <w:sz w:val="24"/>
          <w:szCs w:val="24"/>
        </w:rPr>
        <w:t xml:space="preserve"> </w:t>
      </w:r>
      <w:r w:rsidR="00C2534D" w:rsidRPr="00424698">
        <w:rPr>
          <w:rStyle w:val="apple-converted-space"/>
          <w:rFonts w:ascii="Times New Roman" w:hAnsi="Times New Roman" w:cs="Times New Roman"/>
          <w:color w:val="000000" w:themeColor="text1"/>
          <w:sz w:val="24"/>
          <w:szCs w:val="24"/>
        </w:rPr>
        <w:t xml:space="preserve">In its request for preliminary reference, </w:t>
      </w:r>
      <w:r w:rsidR="00C2534D" w:rsidRPr="00424698">
        <w:rPr>
          <w:rFonts w:ascii="Times New Roman" w:hAnsi="Times New Roman" w:cs="Times New Roman"/>
          <w:color w:val="000000" w:themeColor="text1"/>
          <w:sz w:val="24"/>
          <w:szCs w:val="24"/>
        </w:rPr>
        <w:t xml:space="preserve">the </w:t>
      </w:r>
      <w:r w:rsidR="00C2534D" w:rsidRPr="00424698">
        <w:rPr>
          <w:rFonts w:ascii="Times New Roman" w:hAnsi="Times New Roman" w:cs="Times New Roman"/>
          <w:color w:val="000000" w:themeColor="text1"/>
          <w:sz w:val="24"/>
          <w:szCs w:val="24"/>
          <w:shd w:val="clear" w:color="auto" w:fill="FFFFFF"/>
        </w:rPr>
        <w:t>Austrian</w:t>
      </w:r>
      <w:r w:rsidR="00C2534D" w:rsidRPr="00424698">
        <w:rPr>
          <w:rFonts w:ascii="Times New Roman" w:hAnsi="Times New Roman" w:cs="Times New Roman"/>
          <w:color w:val="000000" w:themeColor="text1"/>
          <w:sz w:val="24"/>
          <w:szCs w:val="24"/>
        </w:rPr>
        <w:t xml:space="preserve"> Bundeskommunikationssenat questioned whether the right to produce short news reports constitutes an interference with the right to property, as laid down in Article 17 of the </w:t>
      </w:r>
      <w:r w:rsidR="00C2534D" w:rsidRPr="00424698">
        <w:rPr>
          <w:rFonts w:ascii="Times New Roman" w:hAnsi="Times New Roman" w:cs="Times New Roman"/>
          <w:color w:val="000000" w:themeColor="text1"/>
          <w:sz w:val="24"/>
          <w:szCs w:val="24"/>
        </w:rPr>
        <w:lastRenderedPageBreak/>
        <w:t>Charter, of the broadcaster which has acquired, on a contractual basis, broadcasting rights relating to an event of high interest to the public on an exclusive basis (‘the holder of exclusive broadcasting rights’).</w:t>
      </w:r>
      <w:r w:rsidR="00C2534D" w:rsidRPr="00424698">
        <w:rPr>
          <w:rFonts w:ascii="Times New Roman" w:hAnsi="Times New Roman" w:cs="Times New Roman"/>
          <w:color w:val="000000" w:themeColor="text1"/>
          <w:sz w:val="24"/>
          <w:szCs w:val="24"/>
          <w:vertAlign w:val="superscript"/>
        </w:rPr>
        <w:footnoteReference w:id="61"/>
      </w:r>
    </w:p>
    <w:p w14:paraId="6618EF95" w14:textId="0F0F5487" w:rsidR="00D543B4" w:rsidRPr="00424698" w:rsidRDefault="002F14F4" w:rsidP="0030432B">
      <w:pPr>
        <w:autoSpaceDE w:val="0"/>
        <w:autoSpaceDN w:val="0"/>
        <w:adjustRightInd w:val="0"/>
        <w:spacing w:after="0" w:line="360" w:lineRule="auto"/>
        <w:ind w:firstLine="425"/>
        <w:jc w:val="both"/>
        <w:rPr>
          <w:rFonts w:ascii="Times New Roman" w:eastAsia="Times New Roman" w:hAnsi="Times New Roman" w:cs="Times New Roman"/>
          <w:color w:val="000000" w:themeColor="text1"/>
          <w:sz w:val="24"/>
          <w:szCs w:val="24"/>
          <w:lang w:eastAsia="en-GB"/>
        </w:rPr>
      </w:pPr>
      <w:r w:rsidRPr="00424698">
        <w:rPr>
          <w:rFonts w:ascii="Times New Roman" w:hAnsi="Times New Roman" w:cs="Times New Roman"/>
          <w:color w:val="000000" w:themeColor="text1"/>
          <w:sz w:val="24"/>
          <w:szCs w:val="24"/>
        </w:rPr>
        <w:t xml:space="preserve">One of the questions the CJEU had to address was whether the protection of property rights guaranteed under </w:t>
      </w:r>
      <w:r w:rsidRPr="00424698">
        <w:rPr>
          <w:rFonts w:ascii="Times New Roman" w:eastAsia="Times New Roman" w:hAnsi="Times New Roman" w:cs="Times New Roman"/>
          <w:color w:val="000000" w:themeColor="text1"/>
          <w:sz w:val="24"/>
          <w:szCs w:val="24"/>
          <w:lang w:eastAsia="en-GB"/>
        </w:rPr>
        <w:t>Article 17(1) of the Charter could be extended to audio</w:t>
      </w:r>
      <w:r w:rsidR="002F04B9" w:rsidRPr="00424698">
        <w:rPr>
          <w:rFonts w:ascii="Times New Roman" w:eastAsia="Times New Roman" w:hAnsi="Times New Roman" w:cs="Times New Roman"/>
          <w:color w:val="000000" w:themeColor="text1"/>
          <w:sz w:val="24"/>
          <w:szCs w:val="24"/>
          <w:lang w:eastAsia="en-GB"/>
        </w:rPr>
        <w:t>-</w:t>
      </w:r>
      <w:r w:rsidRPr="00424698">
        <w:rPr>
          <w:rFonts w:ascii="Times New Roman" w:eastAsia="Times New Roman" w:hAnsi="Times New Roman" w:cs="Times New Roman"/>
          <w:color w:val="000000" w:themeColor="text1"/>
          <w:sz w:val="24"/>
          <w:szCs w:val="24"/>
          <w:lang w:eastAsia="en-GB"/>
        </w:rPr>
        <w:t>visual broadcasting rights acquired contractually.</w:t>
      </w:r>
      <w:r w:rsidRPr="00424698">
        <w:rPr>
          <w:rFonts w:ascii="Times New Roman" w:hAnsi="Times New Roman" w:cs="Times New Roman"/>
          <w:color w:val="000000" w:themeColor="text1"/>
          <w:sz w:val="24"/>
          <w:szCs w:val="24"/>
        </w:rPr>
        <w:t xml:space="preserve"> The Court held that Article 17 ‘</w:t>
      </w:r>
      <w:r w:rsidRPr="00424698">
        <w:rPr>
          <w:rFonts w:ascii="Times New Roman" w:eastAsia="Times New Roman" w:hAnsi="Times New Roman" w:cs="Times New Roman"/>
          <w:color w:val="000000" w:themeColor="text1"/>
          <w:sz w:val="24"/>
          <w:szCs w:val="24"/>
          <w:lang w:eastAsia="en-GB"/>
        </w:rPr>
        <w:t>does not apply to mere commercial interests or opportunities, the uncertainties of which are part of the very essence of economic activity.’</w:t>
      </w:r>
      <w:r w:rsidRPr="00424698">
        <w:rPr>
          <w:rStyle w:val="FootnoteReference"/>
          <w:rFonts w:ascii="Times New Roman" w:eastAsia="Times New Roman" w:hAnsi="Times New Roman" w:cs="Times New Roman"/>
          <w:color w:val="000000" w:themeColor="text1"/>
          <w:sz w:val="24"/>
          <w:szCs w:val="24"/>
          <w:lang w:eastAsia="en-GB"/>
        </w:rPr>
        <w:footnoteReference w:id="62"/>
      </w:r>
      <w:r w:rsidRPr="00424698">
        <w:rPr>
          <w:rFonts w:ascii="Times New Roman" w:eastAsia="Times New Roman" w:hAnsi="Times New Roman" w:cs="Times New Roman"/>
          <w:color w:val="000000" w:themeColor="text1"/>
          <w:sz w:val="24"/>
          <w:szCs w:val="24"/>
          <w:lang w:eastAsia="en-GB"/>
        </w:rPr>
        <w:t xml:space="preserve"> It drew a distinction between contractually acquired entitlements and the ‘rights with an asset value creating an established legal position under the legal system, enabling the holder to exercise those rights autonomously and for his benefit.’</w:t>
      </w:r>
      <w:r w:rsidRPr="00424698">
        <w:rPr>
          <w:rStyle w:val="FootnoteReference"/>
          <w:rFonts w:ascii="Times New Roman" w:eastAsia="Times New Roman" w:hAnsi="Times New Roman" w:cs="Times New Roman"/>
          <w:color w:val="000000" w:themeColor="text1"/>
          <w:sz w:val="24"/>
          <w:szCs w:val="24"/>
          <w:lang w:eastAsia="en-GB"/>
        </w:rPr>
        <w:footnoteReference w:id="63"/>
      </w:r>
      <w:r w:rsidRPr="00424698">
        <w:rPr>
          <w:rFonts w:ascii="Times New Roman" w:eastAsia="Times New Roman" w:hAnsi="Times New Roman" w:cs="Times New Roman"/>
          <w:color w:val="000000" w:themeColor="text1"/>
          <w:sz w:val="24"/>
          <w:szCs w:val="24"/>
          <w:lang w:eastAsia="en-GB"/>
        </w:rPr>
        <w:t xml:space="preserve"> Although the contractually acquired exclusive broadcasting rights </w:t>
      </w:r>
      <w:r w:rsidRPr="00424698">
        <w:rPr>
          <w:rFonts w:ascii="Times New Roman" w:hAnsi="Times New Roman" w:cs="Times New Roman"/>
          <w:color w:val="000000" w:themeColor="text1"/>
          <w:sz w:val="24"/>
          <w:szCs w:val="24"/>
        </w:rPr>
        <w:t xml:space="preserve">ought </w:t>
      </w:r>
      <w:r w:rsidRPr="00424698">
        <w:rPr>
          <w:rFonts w:ascii="Times New Roman" w:eastAsia="Times New Roman" w:hAnsi="Times New Roman" w:cs="Times New Roman"/>
          <w:color w:val="000000" w:themeColor="text1"/>
          <w:sz w:val="24"/>
          <w:szCs w:val="24"/>
          <w:lang w:eastAsia="en-GB"/>
        </w:rPr>
        <w:t>not be regarded as constituting mere commer</w:t>
      </w:r>
      <w:r w:rsidR="00401D2C" w:rsidRPr="00424698">
        <w:rPr>
          <w:rFonts w:ascii="Times New Roman" w:eastAsia="Times New Roman" w:hAnsi="Times New Roman" w:cs="Times New Roman"/>
          <w:color w:val="000000" w:themeColor="text1"/>
          <w:sz w:val="24"/>
          <w:szCs w:val="24"/>
          <w:lang w:eastAsia="en-GB"/>
        </w:rPr>
        <w:t>cial interests or opportunities</w:t>
      </w:r>
      <w:r w:rsidRPr="00424698">
        <w:rPr>
          <w:rFonts w:ascii="Times New Roman" w:eastAsia="Times New Roman" w:hAnsi="Times New Roman" w:cs="Times New Roman"/>
          <w:color w:val="000000" w:themeColor="text1"/>
          <w:sz w:val="24"/>
          <w:szCs w:val="24"/>
          <w:lang w:eastAsia="en-GB"/>
        </w:rPr>
        <w:t xml:space="preserve"> but as having asset value, the Court </w:t>
      </w:r>
      <w:r w:rsidR="00B04679" w:rsidRPr="00424698">
        <w:rPr>
          <w:rFonts w:ascii="Times New Roman" w:eastAsia="Times New Roman" w:hAnsi="Times New Roman" w:cs="Times New Roman"/>
          <w:color w:val="000000" w:themeColor="text1"/>
          <w:sz w:val="24"/>
          <w:szCs w:val="24"/>
          <w:lang w:eastAsia="en-GB"/>
        </w:rPr>
        <w:t>held that a contractual clause could not confer an established legal position on a broadcaster, protected by Article 17(1) of the Charter, enabling it to exercise its broadcasting right autonomously, in the sense that it could demand compensation exceeding the additional costs directly incurred in providing other broadcasters with access to the signal.</w:t>
      </w:r>
      <w:r w:rsidR="00B04679" w:rsidRPr="00424698">
        <w:rPr>
          <w:rStyle w:val="FootnoteReference"/>
          <w:rFonts w:ascii="Times New Roman" w:eastAsia="Times New Roman" w:hAnsi="Times New Roman" w:cs="Times New Roman"/>
          <w:color w:val="000000" w:themeColor="text1"/>
          <w:sz w:val="24"/>
          <w:szCs w:val="24"/>
          <w:lang w:eastAsia="en-GB"/>
        </w:rPr>
        <w:footnoteReference w:id="64"/>
      </w:r>
    </w:p>
    <w:p w14:paraId="65AC0E61" w14:textId="65DC0749" w:rsidR="00C2534D" w:rsidRPr="00424698" w:rsidRDefault="00D543B4" w:rsidP="0030432B">
      <w:pPr>
        <w:autoSpaceDE w:val="0"/>
        <w:autoSpaceDN w:val="0"/>
        <w:adjustRightInd w:val="0"/>
        <w:spacing w:after="0" w:line="360" w:lineRule="auto"/>
        <w:ind w:firstLine="425"/>
        <w:jc w:val="both"/>
        <w:rPr>
          <w:rFonts w:ascii="Times New Roman" w:eastAsia="Times New Roman" w:hAnsi="Times New Roman" w:cs="Times New Roman"/>
          <w:color w:val="000000" w:themeColor="text1"/>
          <w:sz w:val="24"/>
          <w:szCs w:val="24"/>
          <w:lang w:eastAsia="en-GB"/>
        </w:rPr>
      </w:pPr>
      <w:r w:rsidRPr="00424698">
        <w:rPr>
          <w:rFonts w:ascii="Times New Roman" w:eastAsia="Times New Roman" w:hAnsi="Times New Roman" w:cs="Times New Roman"/>
          <w:color w:val="000000" w:themeColor="text1"/>
          <w:sz w:val="24"/>
          <w:szCs w:val="24"/>
          <w:lang w:eastAsia="en-GB"/>
        </w:rPr>
        <w:t>The court’s interpretation of Article 17</w:t>
      </w:r>
      <w:r w:rsidR="009F0A6F" w:rsidRPr="00424698">
        <w:rPr>
          <w:rFonts w:ascii="Times New Roman" w:eastAsia="Times New Roman" w:hAnsi="Times New Roman" w:cs="Times New Roman"/>
          <w:color w:val="000000" w:themeColor="text1"/>
          <w:sz w:val="24"/>
          <w:szCs w:val="24"/>
          <w:lang w:eastAsia="en-GB"/>
        </w:rPr>
        <w:t xml:space="preserve"> CFR</w:t>
      </w:r>
      <w:r w:rsidRPr="00424698">
        <w:rPr>
          <w:rFonts w:ascii="Times New Roman" w:eastAsia="Times New Roman" w:hAnsi="Times New Roman" w:cs="Times New Roman"/>
          <w:color w:val="000000" w:themeColor="text1"/>
          <w:sz w:val="24"/>
          <w:szCs w:val="24"/>
          <w:lang w:eastAsia="en-GB"/>
        </w:rPr>
        <w:t xml:space="preserve"> seems to suggest that while contractual rights may in some circumstances be regarded as assets having an economic value</w:t>
      </w:r>
      <w:r w:rsidR="00C2534D" w:rsidRPr="00424698">
        <w:rPr>
          <w:rFonts w:ascii="Times New Roman" w:eastAsia="Times New Roman" w:hAnsi="Times New Roman" w:cs="Times New Roman"/>
          <w:color w:val="000000" w:themeColor="text1"/>
          <w:sz w:val="24"/>
          <w:szCs w:val="24"/>
          <w:lang w:eastAsia="en-GB"/>
        </w:rPr>
        <w:t>, their interpretation as absolute entitlements—and the</w:t>
      </w:r>
      <w:r w:rsidR="007E76F8" w:rsidRPr="00424698">
        <w:rPr>
          <w:rFonts w:ascii="Times New Roman" w:eastAsia="Times New Roman" w:hAnsi="Times New Roman" w:cs="Times New Roman"/>
          <w:color w:val="000000" w:themeColor="text1"/>
          <w:sz w:val="24"/>
          <w:szCs w:val="24"/>
          <w:lang w:eastAsia="en-GB"/>
        </w:rPr>
        <w:t>ir</w:t>
      </w:r>
      <w:r w:rsidR="00C2534D" w:rsidRPr="00424698">
        <w:rPr>
          <w:rFonts w:ascii="Times New Roman" w:eastAsia="Times New Roman" w:hAnsi="Times New Roman" w:cs="Times New Roman"/>
          <w:color w:val="000000" w:themeColor="text1"/>
          <w:sz w:val="24"/>
          <w:szCs w:val="24"/>
          <w:lang w:eastAsia="en-GB"/>
        </w:rPr>
        <w:t xml:space="preserve"> ensuing eligibility for </w:t>
      </w:r>
      <w:r w:rsidRPr="00424698">
        <w:rPr>
          <w:rFonts w:ascii="Times New Roman" w:eastAsia="Times New Roman" w:hAnsi="Times New Roman" w:cs="Times New Roman"/>
          <w:color w:val="000000" w:themeColor="text1"/>
          <w:sz w:val="24"/>
          <w:szCs w:val="24"/>
          <w:lang w:eastAsia="en-GB"/>
        </w:rPr>
        <w:t xml:space="preserve">the level of protection enjoyed by property </w:t>
      </w:r>
      <w:r w:rsidR="00C2534D" w:rsidRPr="00424698">
        <w:rPr>
          <w:rFonts w:ascii="Times New Roman" w:eastAsia="Times New Roman" w:hAnsi="Times New Roman" w:cs="Times New Roman"/>
          <w:color w:val="000000" w:themeColor="text1"/>
          <w:sz w:val="24"/>
          <w:szCs w:val="24"/>
          <w:lang w:eastAsia="en-GB"/>
        </w:rPr>
        <w:t>rights—</w:t>
      </w:r>
      <w:r w:rsidR="002B189C" w:rsidRPr="00424698">
        <w:rPr>
          <w:rFonts w:ascii="Times New Roman" w:eastAsia="Times New Roman" w:hAnsi="Times New Roman" w:cs="Times New Roman"/>
          <w:color w:val="000000" w:themeColor="text1"/>
          <w:sz w:val="24"/>
          <w:szCs w:val="24"/>
          <w:lang w:eastAsia="en-GB"/>
        </w:rPr>
        <w:t>hinges</w:t>
      </w:r>
      <w:r w:rsidR="00C2534D" w:rsidRPr="00424698">
        <w:rPr>
          <w:rFonts w:ascii="Times New Roman" w:eastAsia="Times New Roman" w:hAnsi="Times New Roman" w:cs="Times New Roman"/>
          <w:color w:val="000000" w:themeColor="text1"/>
          <w:sz w:val="24"/>
          <w:szCs w:val="24"/>
          <w:lang w:eastAsia="en-GB"/>
        </w:rPr>
        <w:t xml:space="preserve"> on the existence of other </w:t>
      </w:r>
      <w:r w:rsidR="005D40AC" w:rsidRPr="00424698">
        <w:rPr>
          <w:rFonts w:ascii="Times New Roman" w:eastAsia="Times New Roman" w:hAnsi="Times New Roman" w:cs="Times New Roman"/>
          <w:color w:val="000000" w:themeColor="text1"/>
          <w:sz w:val="24"/>
          <w:szCs w:val="24"/>
          <w:lang w:eastAsia="en-GB"/>
        </w:rPr>
        <w:t>competing public welfare</w:t>
      </w:r>
      <w:r w:rsidR="00C2534D" w:rsidRPr="00424698">
        <w:rPr>
          <w:rFonts w:ascii="Times New Roman" w:eastAsia="Times New Roman" w:hAnsi="Times New Roman" w:cs="Times New Roman"/>
          <w:color w:val="000000" w:themeColor="text1"/>
          <w:sz w:val="24"/>
          <w:szCs w:val="24"/>
          <w:lang w:eastAsia="en-GB"/>
        </w:rPr>
        <w:t xml:space="preserve"> interests such as, in the given case, the freedom of expression and pluralism of the media which are guaranteed by Article 11 of the Charter. </w:t>
      </w:r>
      <w:r w:rsidR="009F0A6F" w:rsidRPr="00424698">
        <w:rPr>
          <w:rFonts w:ascii="Times New Roman" w:eastAsia="Times New Roman" w:hAnsi="Times New Roman" w:cs="Times New Roman"/>
          <w:color w:val="000000" w:themeColor="text1"/>
          <w:sz w:val="24"/>
          <w:szCs w:val="24"/>
          <w:lang w:eastAsia="en-GB"/>
        </w:rPr>
        <w:t xml:space="preserve">In other words, the Court’s judgement in </w:t>
      </w:r>
      <w:r w:rsidR="005955FE" w:rsidRPr="001506B1">
        <w:rPr>
          <w:rFonts w:ascii="Times New Roman" w:eastAsia="Times New Roman" w:hAnsi="Times New Roman" w:cs="Times New Roman"/>
          <w:i/>
          <w:color w:val="000000" w:themeColor="text1"/>
          <w:sz w:val="24"/>
          <w:szCs w:val="24"/>
          <w:lang w:eastAsia="en-GB"/>
        </w:rPr>
        <w:t>Sky</w:t>
      </w:r>
      <w:r w:rsidR="005955FE">
        <w:rPr>
          <w:rFonts w:ascii="Times New Roman" w:eastAsia="Times New Roman" w:hAnsi="Times New Roman" w:cs="Times New Roman"/>
          <w:color w:val="000000" w:themeColor="text1"/>
          <w:sz w:val="24"/>
          <w:szCs w:val="24"/>
          <w:lang w:eastAsia="en-GB"/>
        </w:rPr>
        <w:t xml:space="preserve"> </w:t>
      </w:r>
      <w:r w:rsidR="005955FE" w:rsidRPr="00424698">
        <w:rPr>
          <w:rFonts w:ascii="Times New Roman" w:hAnsi="Times New Roman" w:cs="Times New Roman"/>
          <w:bCs/>
          <w:i/>
          <w:color w:val="000000" w:themeColor="text1"/>
          <w:sz w:val="24"/>
          <w:szCs w:val="24"/>
        </w:rPr>
        <w:t>Österreich</w:t>
      </w:r>
      <w:r w:rsidR="009F0A6F" w:rsidRPr="00424698">
        <w:rPr>
          <w:rFonts w:ascii="Times New Roman" w:eastAsia="Times New Roman" w:hAnsi="Times New Roman" w:cs="Times New Roman"/>
          <w:color w:val="000000" w:themeColor="text1"/>
          <w:sz w:val="24"/>
          <w:szCs w:val="24"/>
          <w:lang w:eastAsia="en-GB"/>
        </w:rPr>
        <w:t xml:space="preserve"> suggests that if there are competing fundamental freedoms at issue, a contractual right—even if qualifying as an asset having economic value—should not be seen as an absolute right the interference with which would entitle the right holder to monetary redress. </w:t>
      </w:r>
      <w:r w:rsidR="005D40AC" w:rsidRPr="00424698">
        <w:rPr>
          <w:rFonts w:ascii="Times New Roman" w:eastAsia="Times New Roman" w:hAnsi="Times New Roman" w:cs="Times New Roman"/>
          <w:color w:val="000000" w:themeColor="text1"/>
          <w:sz w:val="24"/>
          <w:szCs w:val="24"/>
          <w:lang w:eastAsia="en-GB"/>
        </w:rPr>
        <w:t xml:space="preserve">By contrast, </w:t>
      </w:r>
      <w:r w:rsidR="009F0A6F" w:rsidRPr="00424698">
        <w:rPr>
          <w:rFonts w:ascii="Times New Roman" w:eastAsia="Times New Roman" w:hAnsi="Times New Roman" w:cs="Times New Roman"/>
          <w:color w:val="000000" w:themeColor="text1"/>
          <w:sz w:val="24"/>
          <w:szCs w:val="24"/>
          <w:lang w:eastAsia="en-GB"/>
        </w:rPr>
        <w:t xml:space="preserve">many </w:t>
      </w:r>
      <w:r w:rsidR="005D40AC" w:rsidRPr="00424698">
        <w:rPr>
          <w:rFonts w:ascii="Times New Roman" w:eastAsia="Times New Roman" w:hAnsi="Times New Roman" w:cs="Times New Roman"/>
          <w:color w:val="000000" w:themeColor="text1"/>
          <w:sz w:val="24"/>
          <w:szCs w:val="24"/>
          <w:lang w:eastAsia="en-GB"/>
        </w:rPr>
        <w:t>intra-EU IIA</w:t>
      </w:r>
      <w:r w:rsidR="009F0A6F" w:rsidRPr="00424698">
        <w:rPr>
          <w:rFonts w:ascii="Times New Roman" w:eastAsia="Times New Roman" w:hAnsi="Times New Roman" w:cs="Times New Roman"/>
          <w:color w:val="000000" w:themeColor="text1"/>
          <w:sz w:val="24"/>
          <w:szCs w:val="24"/>
          <w:lang w:eastAsia="en-GB"/>
        </w:rPr>
        <w:t xml:space="preserve"> containing an umbrella clause and no exceptions clause</w:t>
      </w:r>
      <w:r w:rsidR="005D40AC" w:rsidRPr="00424698">
        <w:rPr>
          <w:rFonts w:ascii="Times New Roman" w:eastAsia="Times New Roman" w:hAnsi="Times New Roman" w:cs="Times New Roman"/>
          <w:color w:val="000000" w:themeColor="text1"/>
          <w:sz w:val="24"/>
          <w:szCs w:val="24"/>
          <w:lang w:eastAsia="en-GB"/>
        </w:rPr>
        <w:t xml:space="preserve"> </w:t>
      </w:r>
      <w:r w:rsidR="002B189C" w:rsidRPr="00424698">
        <w:rPr>
          <w:rFonts w:ascii="Times New Roman" w:eastAsia="Times New Roman" w:hAnsi="Times New Roman" w:cs="Times New Roman"/>
          <w:color w:val="000000" w:themeColor="text1"/>
          <w:sz w:val="24"/>
          <w:szCs w:val="24"/>
          <w:lang w:eastAsia="en-GB"/>
        </w:rPr>
        <w:t>would enable investors to benefit from undiluted protection of their contractually acquired entitlements.</w:t>
      </w:r>
    </w:p>
    <w:p w14:paraId="52DC7205" w14:textId="77777777" w:rsidR="00BA25E2" w:rsidRPr="0016634E" w:rsidRDefault="00BA25E2"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E0F14BD" w14:textId="21EED655" w:rsidR="00B27731" w:rsidRPr="0030432B" w:rsidRDefault="0016634E" w:rsidP="0030432B">
      <w:p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30432B">
        <w:rPr>
          <w:rFonts w:ascii="Times New Roman" w:hAnsi="Times New Roman" w:cs="Times New Roman"/>
          <w:b/>
          <w:color w:val="000000" w:themeColor="text1"/>
          <w:sz w:val="24"/>
          <w:szCs w:val="24"/>
        </w:rPr>
        <w:lastRenderedPageBreak/>
        <w:t>2.5</w:t>
      </w:r>
      <w:r w:rsidRPr="0030432B">
        <w:rPr>
          <w:rFonts w:ascii="Times New Roman" w:hAnsi="Times New Roman" w:cs="Times New Roman"/>
          <w:b/>
          <w:i/>
          <w:color w:val="000000" w:themeColor="text1"/>
          <w:sz w:val="24"/>
          <w:szCs w:val="24"/>
        </w:rPr>
        <w:t xml:space="preserve"> </w:t>
      </w:r>
      <w:r w:rsidR="002952D3" w:rsidRPr="0030432B">
        <w:rPr>
          <w:rFonts w:ascii="Times New Roman" w:hAnsi="Times New Roman" w:cs="Times New Roman"/>
          <w:b/>
          <w:i/>
          <w:color w:val="000000" w:themeColor="text1"/>
          <w:sz w:val="24"/>
          <w:szCs w:val="24"/>
        </w:rPr>
        <w:t xml:space="preserve">Protection of </w:t>
      </w:r>
      <w:r w:rsidR="00D44F8A">
        <w:rPr>
          <w:rFonts w:ascii="Times New Roman" w:hAnsi="Times New Roman" w:cs="Times New Roman"/>
          <w:b/>
          <w:i/>
          <w:color w:val="000000" w:themeColor="text1"/>
          <w:sz w:val="24"/>
          <w:szCs w:val="24"/>
        </w:rPr>
        <w:t>P</w:t>
      </w:r>
      <w:r w:rsidR="002952D3" w:rsidRPr="0030432B">
        <w:rPr>
          <w:rFonts w:ascii="Times New Roman" w:hAnsi="Times New Roman" w:cs="Times New Roman"/>
          <w:b/>
          <w:i/>
          <w:color w:val="000000" w:themeColor="text1"/>
          <w:sz w:val="24"/>
          <w:szCs w:val="24"/>
        </w:rPr>
        <w:t xml:space="preserve">hysical </w:t>
      </w:r>
      <w:r w:rsidR="00D44F8A">
        <w:rPr>
          <w:rFonts w:ascii="Times New Roman" w:hAnsi="Times New Roman" w:cs="Times New Roman"/>
          <w:b/>
          <w:i/>
          <w:color w:val="000000" w:themeColor="text1"/>
          <w:sz w:val="24"/>
          <w:szCs w:val="24"/>
        </w:rPr>
        <w:t>S</w:t>
      </w:r>
      <w:r w:rsidR="002952D3" w:rsidRPr="0030432B">
        <w:rPr>
          <w:rFonts w:ascii="Times New Roman" w:hAnsi="Times New Roman" w:cs="Times New Roman"/>
          <w:b/>
          <w:i/>
          <w:color w:val="000000" w:themeColor="text1"/>
          <w:sz w:val="24"/>
          <w:szCs w:val="24"/>
        </w:rPr>
        <w:t>ecurity</w:t>
      </w:r>
    </w:p>
    <w:p w14:paraId="0E5FC301" w14:textId="77777777" w:rsidR="00654CB2" w:rsidRDefault="000830DA" w:rsidP="0030432B">
      <w:pPr>
        <w:widowControl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A great number of investment treaties contain a state obligation to ensure full protection and security of investors and investments, either as a standalone provision or as part of the FET standard. </w:t>
      </w:r>
      <w:r w:rsidR="00E31867" w:rsidRPr="00424698">
        <w:rPr>
          <w:rFonts w:ascii="Times New Roman" w:hAnsi="Times New Roman" w:cs="Times New Roman"/>
          <w:color w:val="000000" w:themeColor="text1"/>
          <w:sz w:val="24"/>
          <w:szCs w:val="24"/>
        </w:rPr>
        <w:t xml:space="preserve">The full protection and security clause features in a handful of intra-EU IIAs. For instance, Article 3(2) of the Czech-Netherlands BIT requires that </w:t>
      </w:r>
    </w:p>
    <w:p w14:paraId="0AC8BBDB" w14:textId="77777777" w:rsidR="00D01045" w:rsidRPr="00424698" w:rsidRDefault="00D01045" w:rsidP="0030432B">
      <w:pPr>
        <w:widowControl w:val="0"/>
        <w:spacing w:after="0" w:line="360" w:lineRule="auto"/>
        <w:jc w:val="both"/>
        <w:rPr>
          <w:rFonts w:ascii="Times New Roman" w:hAnsi="Times New Roman" w:cs="Times New Roman"/>
          <w:color w:val="000000" w:themeColor="text1"/>
          <w:sz w:val="24"/>
          <w:szCs w:val="24"/>
        </w:rPr>
      </w:pPr>
    </w:p>
    <w:p w14:paraId="51DB86C4" w14:textId="77777777" w:rsidR="00654CB2" w:rsidRDefault="00E31867" w:rsidP="0030432B">
      <w:pPr>
        <w:widowControl w:val="0"/>
        <w:spacing w:after="0" w:line="360" w:lineRule="auto"/>
        <w:ind w:left="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Each Contracting Party shall accord to such investments full security and protection which in any case shall not be less than that accorded either to investments of its own investors or to investments of investors of any third State, whichever is more favourable to the investor concerned.</w:t>
      </w:r>
    </w:p>
    <w:p w14:paraId="6DCDEE9C" w14:textId="77777777" w:rsidR="00D01045" w:rsidRPr="00424698" w:rsidRDefault="00D01045" w:rsidP="0030432B">
      <w:pPr>
        <w:widowControl w:val="0"/>
        <w:spacing w:after="0" w:line="360" w:lineRule="auto"/>
        <w:ind w:left="567"/>
        <w:jc w:val="both"/>
        <w:rPr>
          <w:rFonts w:ascii="Times New Roman" w:hAnsi="Times New Roman" w:cs="Times New Roman"/>
          <w:color w:val="000000" w:themeColor="text1"/>
          <w:sz w:val="24"/>
          <w:szCs w:val="24"/>
        </w:rPr>
      </w:pPr>
    </w:p>
    <w:p w14:paraId="1047B59C" w14:textId="77777777" w:rsidR="00AC2E66" w:rsidRPr="00424698" w:rsidRDefault="000830DA" w:rsidP="001506B1">
      <w:pPr>
        <w:widowControl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While according to the traditional view full protection and security implies physical security, some tribunals have construed the standard as including legal security of investment.</w:t>
      </w:r>
      <w:r w:rsidRPr="00424698">
        <w:rPr>
          <w:rStyle w:val="FootnoteReference"/>
          <w:rFonts w:ascii="Times New Roman" w:hAnsi="Times New Roman" w:cs="Times New Roman"/>
          <w:color w:val="000000" w:themeColor="text1"/>
          <w:sz w:val="24"/>
          <w:szCs w:val="24"/>
        </w:rPr>
        <w:footnoteReference w:id="65"/>
      </w:r>
      <w:r w:rsidRPr="00424698">
        <w:rPr>
          <w:rFonts w:ascii="Times New Roman" w:hAnsi="Times New Roman" w:cs="Times New Roman"/>
          <w:color w:val="000000" w:themeColor="text1"/>
          <w:sz w:val="24"/>
          <w:szCs w:val="24"/>
        </w:rPr>
        <w:t xml:space="preserve"> </w:t>
      </w:r>
      <w:r w:rsidR="00AC2E66" w:rsidRPr="00424698">
        <w:rPr>
          <w:rFonts w:ascii="Times New Roman" w:hAnsi="Times New Roman" w:cs="Times New Roman"/>
          <w:color w:val="000000" w:themeColor="text1"/>
          <w:sz w:val="24"/>
          <w:szCs w:val="24"/>
        </w:rPr>
        <w:t xml:space="preserve">The latter approach was adopted in </w:t>
      </w:r>
      <w:r w:rsidR="00AC2E66" w:rsidRPr="00424698">
        <w:rPr>
          <w:rFonts w:ascii="Times New Roman" w:hAnsi="Times New Roman" w:cs="Times New Roman"/>
          <w:i/>
          <w:color w:val="000000" w:themeColor="text1"/>
          <w:sz w:val="24"/>
          <w:szCs w:val="24"/>
        </w:rPr>
        <w:t>Azurix v Argentina</w:t>
      </w:r>
      <w:r w:rsidR="00AC2E66" w:rsidRPr="00424698">
        <w:rPr>
          <w:rFonts w:ascii="Times New Roman" w:hAnsi="Times New Roman" w:cs="Times New Roman"/>
          <w:color w:val="000000" w:themeColor="text1"/>
          <w:sz w:val="24"/>
          <w:szCs w:val="24"/>
        </w:rPr>
        <w:t>, where the tribunal held that full protection and security ought to be understood as going beyond the protection and security ensured by the police.</w:t>
      </w:r>
      <w:r w:rsidR="00AC2E66" w:rsidRPr="00424698">
        <w:rPr>
          <w:rStyle w:val="FootnoteReference"/>
          <w:rFonts w:ascii="Times New Roman" w:hAnsi="Times New Roman" w:cs="Times New Roman"/>
          <w:color w:val="000000" w:themeColor="text1"/>
          <w:sz w:val="24"/>
          <w:szCs w:val="24"/>
        </w:rPr>
        <w:footnoteReference w:id="66"/>
      </w:r>
      <w:r w:rsidR="00AC2E66" w:rsidRPr="00424698">
        <w:rPr>
          <w:rFonts w:ascii="Times New Roman" w:hAnsi="Times New Roman" w:cs="Times New Roman"/>
          <w:color w:val="000000" w:themeColor="text1"/>
          <w:sz w:val="24"/>
          <w:szCs w:val="24"/>
        </w:rPr>
        <w:t xml:space="preserve"> In the tribunal’s view, the stability afforded by a secure investment environment was as important from an investor's point of view as physical security.</w:t>
      </w:r>
      <w:r w:rsidR="00AC2E66" w:rsidRPr="00424698">
        <w:rPr>
          <w:rStyle w:val="FootnoteReference"/>
          <w:rFonts w:ascii="Times New Roman" w:hAnsi="Times New Roman" w:cs="Times New Roman"/>
          <w:color w:val="000000" w:themeColor="text1"/>
          <w:sz w:val="24"/>
          <w:szCs w:val="24"/>
        </w:rPr>
        <w:footnoteReference w:id="67"/>
      </w:r>
      <w:r w:rsidR="00AC2E66" w:rsidRPr="00424698">
        <w:rPr>
          <w:rFonts w:ascii="Times New Roman" w:hAnsi="Times New Roman" w:cs="Times New Roman"/>
          <w:color w:val="000000" w:themeColor="text1"/>
          <w:sz w:val="24"/>
          <w:szCs w:val="24"/>
        </w:rPr>
        <w:t xml:space="preserve"> </w:t>
      </w:r>
      <w:r w:rsidR="007E76F8" w:rsidRPr="00424698">
        <w:rPr>
          <w:rFonts w:ascii="Times New Roman" w:hAnsi="Times New Roman" w:cs="Times New Roman"/>
          <w:color w:val="000000" w:themeColor="text1"/>
          <w:sz w:val="24"/>
          <w:szCs w:val="24"/>
          <w:shd w:val="clear" w:color="auto" w:fill="FFFFFF"/>
        </w:rPr>
        <w:t xml:space="preserve">It is </w:t>
      </w:r>
      <w:r w:rsidR="00370F4C" w:rsidRPr="00424698">
        <w:rPr>
          <w:rFonts w:ascii="Times New Roman" w:hAnsi="Times New Roman" w:cs="Times New Roman"/>
          <w:color w:val="000000" w:themeColor="text1"/>
          <w:sz w:val="24"/>
          <w:szCs w:val="24"/>
          <w:shd w:val="clear" w:color="auto" w:fill="FFFFFF"/>
        </w:rPr>
        <w:t xml:space="preserve">worth noting that the wording of the standard in some intra-EU IIAs such as, for instance, the Netherland – Romania BIT, militates against its broader interpretation by expressly confining the state’s obligation to full </w:t>
      </w:r>
      <w:r w:rsidR="00370F4C" w:rsidRPr="001506B1">
        <w:rPr>
          <w:rFonts w:ascii="Times New Roman" w:hAnsi="Times New Roman" w:cs="Times New Roman"/>
          <w:color w:val="000000" w:themeColor="text1"/>
          <w:sz w:val="24"/>
          <w:szCs w:val="24"/>
          <w:shd w:val="clear" w:color="auto" w:fill="FFFFFF"/>
        </w:rPr>
        <w:t>physical</w:t>
      </w:r>
      <w:r w:rsidR="00370F4C" w:rsidRPr="00424698">
        <w:rPr>
          <w:rFonts w:ascii="Times New Roman" w:hAnsi="Times New Roman" w:cs="Times New Roman"/>
          <w:color w:val="000000" w:themeColor="text1"/>
          <w:sz w:val="24"/>
          <w:szCs w:val="24"/>
          <w:shd w:val="clear" w:color="auto" w:fill="FFFFFF"/>
        </w:rPr>
        <w:t xml:space="preserve"> security of investments.</w:t>
      </w:r>
      <w:r w:rsidR="00592149" w:rsidRPr="00424698">
        <w:rPr>
          <w:rStyle w:val="FootnoteReference"/>
          <w:rFonts w:ascii="Times New Roman" w:hAnsi="Times New Roman" w:cs="Times New Roman"/>
          <w:color w:val="000000" w:themeColor="text1"/>
          <w:sz w:val="24"/>
          <w:szCs w:val="24"/>
          <w:shd w:val="clear" w:color="auto" w:fill="FFFFFF"/>
        </w:rPr>
        <w:footnoteReference w:id="68"/>
      </w:r>
      <w:r w:rsidR="00370F4C" w:rsidRPr="00424698">
        <w:rPr>
          <w:rFonts w:ascii="Times New Roman" w:hAnsi="Times New Roman" w:cs="Times New Roman"/>
          <w:color w:val="000000" w:themeColor="text1"/>
          <w:sz w:val="24"/>
          <w:szCs w:val="24"/>
          <w:shd w:val="clear" w:color="auto" w:fill="FFFFFF"/>
        </w:rPr>
        <w:t xml:space="preserve"> </w:t>
      </w:r>
      <w:r w:rsidR="00977C40" w:rsidRPr="00424698">
        <w:rPr>
          <w:rFonts w:ascii="Times New Roman" w:hAnsi="Times New Roman" w:cs="Times New Roman"/>
          <w:color w:val="000000" w:themeColor="text1"/>
          <w:sz w:val="24"/>
          <w:szCs w:val="24"/>
        </w:rPr>
        <w:t xml:space="preserve">The narrower interpretation of the standard was laid down by the tribunal in </w:t>
      </w:r>
      <w:r w:rsidR="00977C40" w:rsidRPr="00424698">
        <w:rPr>
          <w:rFonts w:ascii="Times New Roman" w:hAnsi="Times New Roman" w:cs="Times New Roman"/>
          <w:i/>
          <w:color w:val="000000" w:themeColor="text1"/>
          <w:sz w:val="24"/>
          <w:szCs w:val="24"/>
        </w:rPr>
        <w:t>AAPL v Sri Lanka</w:t>
      </w:r>
      <w:r w:rsidR="00977C40" w:rsidRPr="00424698">
        <w:rPr>
          <w:rFonts w:ascii="Times New Roman" w:hAnsi="Times New Roman" w:cs="Times New Roman"/>
          <w:color w:val="000000" w:themeColor="text1"/>
          <w:sz w:val="24"/>
          <w:szCs w:val="24"/>
        </w:rPr>
        <w:t>.</w:t>
      </w:r>
      <w:r w:rsidR="00436F4C" w:rsidRPr="00424698">
        <w:rPr>
          <w:rStyle w:val="FootnoteReference"/>
          <w:rFonts w:ascii="Times New Roman" w:hAnsi="Times New Roman" w:cs="Times New Roman"/>
          <w:color w:val="000000" w:themeColor="text1"/>
          <w:sz w:val="24"/>
          <w:szCs w:val="24"/>
        </w:rPr>
        <w:footnoteReference w:id="69"/>
      </w:r>
      <w:r w:rsidR="00977C40" w:rsidRPr="00424698">
        <w:rPr>
          <w:rFonts w:ascii="Times New Roman" w:hAnsi="Times New Roman" w:cs="Times New Roman"/>
          <w:color w:val="000000" w:themeColor="text1"/>
          <w:sz w:val="24"/>
          <w:szCs w:val="24"/>
        </w:rPr>
        <w:t xml:space="preserve"> The case concerned an investment made by the claimant in </w:t>
      </w:r>
      <w:r w:rsidR="00977C40" w:rsidRPr="00424698">
        <w:rPr>
          <w:rFonts w:ascii="Times New Roman" w:hAnsi="Times New Roman" w:cs="Times New Roman"/>
          <w:color w:val="000000" w:themeColor="text1"/>
          <w:sz w:val="24"/>
          <w:szCs w:val="24"/>
          <w:shd w:val="clear" w:color="auto" w:fill="FFFFFF"/>
        </w:rPr>
        <w:t xml:space="preserve">a Sri Lankan company involved in cultivating and exporting shrimp. In 1986, Eastern Sri Lanka where the investor’s shrimp farm was based, became </w:t>
      </w:r>
      <w:r w:rsidR="001145D2" w:rsidRPr="00424698">
        <w:rPr>
          <w:rFonts w:ascii="Times New Roman" w:hAnsi="Times New Roman" w:cs="Times New Roman"/>
          <w:color w:val="000000" w:themeColor="text1"/>
          <w:sz w:val="24"/>
          <w:szCs w:val="24"/>
          <w:shd w:val="clear" w:color="auto" w:fill="FFFFFF"/>
        </w:rPr>
        <w:t>a</w:t>
      </w:r>
      <w:r w:rsidR="00977C40" w:rsidRPr="00424698">
        <w:rPr>
          <w:rFonts w:ascii="Times New Roman" w:hAnsi="Times New Roman" w:cs="Times New Roman"/>
          <w:color w:val="000000" w:themeColor="text1"/>
          <w:sz w:val="24"/>
          <w:szCs w:val="24"/>
          <w:shd w:val="clear" w:color="auto" w:fill="FFFFFF"/>
        </w:rPr>
        <w:t>ffected by a major insurrection of the Tamil rebels. Consequently, during a counter</w:t>
      </w:r>
      <w:r w:rsidR="001145D2" w:rsidRPr="00424698">
        <w:rPr>
          <w:rFonts w:ascii="Times New Roman" w:hAnsi="Times New Roman" w:cs="Times New Roman"/>
          <w:color w:val="000000" w:themeColor="text1"/>
          <w:sz w:val="24"/>
          <w:szCs w:val="24"/>
          <w:shd w:val="clear" w:color="auto" w:fill="FFFFFF"/>
        </w:rPr>
        <w:t>-</w:t>
      </w:r>
      <w:r w:rsidR="00977C40" w:rsidRPr="00424698">
        <w:rPr>
          <w:rFonts w:ascii="Times New Roman" w:hAnsi="Times New Roman" w:cs="Times New Roman"/>
          <w:color w:val="000000" w:themeColor="text1"/>
          <w:sz w:val="24"/>
          <w:szCs w:val="24"/>
          <w:shd w:val="clear" w:color="auto" w:fill="FFFFFF"/>
        </w:rPr>
        <w:t xml:space="preserve">insurgency operation conducted by the Sri Lankan security forces, </w:t>
      </w:r>
      <w:r w:rsidR="00DC641E" w:rsidRPr="00424698">
        <w:rPr>
          <w:rFonts w:ascii="Times New Roman" w:hAnsi="Times New Roman" w:cs="Times New Roman"/>
          <w:color w:val="000000" w:themeColor="text1"/>
          <w:sz w:val="24"/>
          <w:szCs w:val="24"/>
          <w:shd w:val="clear" w:color="auto" w:fill="FFFFFF"/>
        </w:rPr>
        <w:t>the investor’s</w:t>
      </w:r>
      <w:r w:rsidR="00977C40" w:rsidRPr="00424698">
        <w:rPr>
          <w:rFonts w:ascii="Times New Roman" w:hAnsi="Times New Roman" w:cs="Times New Roman"/>
          <w:color w:val="000000" w:themeColor="text1"/>
          <w:sz w:val="24"/>
          <w:szCs w:val="24"/>
          <w:shd w:val="clear" w:color="auto" w:fill="FFFFFF"/>
        </w:rPr>
        <w:t xml:space="preserve"> farm was destroyed.</w:t>
      </w:r>
      <w:r w:rsidR="001145D2" w:rsidRPr="00424698">
        <w:rPr>
          <w:rFonts w:ascii="Times New Roman" w:hAnsi="Times New Roman" w:cs="Times New Roman"/>
          <w:color w:val="000000" w:themeColor="text1"/>
          <w:sz w:val="24"/>
          <w:szCs w:val="24"/>
          <w:shd w:val="clear" w:color="auto" w:fill="FFFFFF"/>
        </w:rPr>
        <w:t xml:space="preserve"> Although the tribunal refused to accept the claimant’s argument that the full protection and security standard should be construed as strict liability</w:t>
      </w:r>
      <w:r w:rsidR="00C6451B" w:rsidRPr="00424698">
        <w:rPr>
          <w:rStyle w:val="FootnoteReference"/>
          <w:rFonts w:ascii="Times New Roman" w:hAnsi="Times New Roman" w:cs="Times New Roman"/>
          <w:color w:val="000000" w:themeColor="text1"/>
          <w:sz w:val="24"/>
          <w:szCs w:val="24"/>
          <w:shd w:val="clear" w:color="auto" w:fill="FFFFFF"/>
        </w:rPr>
        <w:footnoteReference w:id="70"/>
      </w:r>
      <w:r w:rsidR="001145D2" w:rsidRPr="00424698">
        <w:rPr>
          <w:rFonts w:ascii="Times New Roman" w:hAnsi="Times New Roman" w:cs="Times New Roman"/>
          <w:color w:val="000000" w:themeColor="text1"/>
          <w:sz w:val="24"/>
          <w:szCs w:val="24"/>
          <w:shd w:val="clear" w:color="auto" w:fill="FFFFFF"/>
        </w:rPr>
        <w:t xml:space="preserve">, it concluded that the governmental authorities ought to have taken </w:t>
      </w:r>
      <w:r w:rsidR="001145D2" w:rsidRPr="00424698">
        <w:rPr>
          <w:rFonts w:ascii="Times New Roman" w:hAnsi="Times New Roman" w:cs="Times New Roman"/>
          <w:color w:val="000000" w:themeColor="text1"/>
          <w:sz w:val="24"/>
          <w:szCs w:val="24"/>
          <w:shd w:val="clear" w:color="auto" w:fill="FFFFFF"/>
        </w:rPr>
        <w:lastRenderedPageBreak/>
        <w:t>precautionary measures to remove all suspected persons from the company’s farm</w:t>
      </w:r>
      <w:r w:rsidR="002B189C" w:rsidRPr="00424698">
        <w:rPr>
          <w:rFonts w:ascii="Times New Roman" w:hAnsi="Times New Roman" w:cs="Times New Roman"/>
          <w:color w:val="000000" w:themeColor="text1"/>
          <w:sz w:val="24"/>
          <w:szCs w:val="24"/>
          <w:shd w:val="clear" w:color="auto" w:fill="FFFFFF"/>
        </w:rPr>
        <w:t xml:space="preserve"> prior to launching the counter-insurgency operation</w:t>
      </w:r>
      <w:r w:rsidR="001145D2" w:rsidRPr="00424698">
        <w:rPr>
          <w:rFonts w:ascii="Times New Roman" w:hAnsi="Times New Roman" w:cs="Times New Roman"/>
          <w:color w:val="000000" w:themeColor="text1"/>
          <w:sz w:val="24"/>
          <w:szCs w:val="24"/>
          <w:shd w:val="clear" w:color="auto" w:fill="FFFFFF"/>
        </w:rPr>
        <w:t>.</w:t>
      </w:r>
      <w:r w:rsidR="0073329D" w:rsidRPr="00424698">
        <w:rPr>
          <w:rStyle w:val="FootnoteReference"/>
          <w:rFonts w:ascii="Times New Roman" w:hAnsi="Times New Roman" w:cs="Times New Roman"/>
          <w:color w:val="000000" w:themeColor="text1"/>
          <w:sz w:val="24"/>
          <w:szCs w:val="24"/>
          <w:shd w:val="clear" w:color="auto" w:fill="FFFFFF"/>
        </w:rPr>
        <w:footnoteReference w:id="71"/>
      </w:r>
      <w:r w:rsidR="001145D2" w:rsidRPr="00424698">
        <w:rPr>
          <w:rFonts w:ascii="Times New Roman" w:hAnsi="Times New Roman" w:cs="Times New Roman"/>
          <w:color w:val="000000" w:themeColor="text1"/>
          <w:sz w:val="24"/>
          <w:szCs w:val="24"/>
          <w:shd w:val="clear" w:color="auto" w:fill="FFFFFF"/>
        </w:rPr>
        <w:t xml:space="preserve"> Thus</w:t>
      </w:r>
      <w:r w:rsidR="002B189C" w:rsidRPr="00424698">
        <w:rPr>
          <w:rFonts w:ascii="Times New Roman" w:hAnsi="Times New Roman" w:cs="Times New Roman"/>
          <w:color w:val="000000" w:themeColor="text1"/>
          <w:sz w:val="24"/>
          <w:szCs w:val="24"/>
          <w:shd w:val="clear" w:color="auto" w:fill="FFFFFF"/>
        </w:rPr>
        <w:t>,</w:t>
      </w:r>
      <w:r w:rsidR="001145D2" w:rsidRPr="00424698">
        <w:rPr>
          <w:rFonts w:ascii="Times New Roman" w:hAnsi="Times New Roman" w:cs="Times New Roman"/>
          <w:color w:val="000000" w:themeColor="text1"/>
          <w:sz w:val="24"/>
          <w:szCs w:val="24"/>
          <w:shd w:val="clear" w:color="auto" w:fill="FFFFFF"/>
        </w:rPr>
        <w:t xml:space="preserve"> Sri Lanka was found in breach of its due diligence obligation by not taking all possible measures that could be reasonably expected to prevent the ensuing </w:t>
      </w:r>
      <w:r w:rsidR="007E76F8" w:rsidRPr="00424698">
        <w:rPr>
          <w:rFonts w:ascii="Times New Roman" w:hAnsi="Times New Roman" w:cs="Times New Roman"/>
          <w:color w:val="000000" w:themeColor="text1"/>
          <w:sz w:val="24"/>
          <w:szCs w:val="24"/>
          <w:shd w:val="clear" w:color="auto" w:fill="FFFFFF"/>
        </w:rPr>
        <w:t xml:space="preserve">physical </w:t>
      </w:r>
      <w:r w:rsidR="001145D2" w:rsidRPr="00424698">
        <w:rPr>
          <w:rFonts w:ascii="Times New Roman" w:hAnsi="Times New Roman" w:cs="Times New Roman"/>
          <w:color w:val="000000" w:themeColor="text1"/>
          <w:sz w:val="24"/>
          <w:szCs w:val="24"/>
          <w:shd w:val="clear" w:color="auto" w:fill="FFFFFF"/>
        </w:rPr>
        <w:t>destruction of the investor’s property.</w:t>
      </w:r>
      <w:r w:rsidR="001145D2" w:rsidRPr="00424698">
        <w:rPr>
          <w:rStyle w:val="FootnoteReference"/>
          <w:rFonts w:ascii="Times New Roman" w:hAnsi="Times New Roman" w:cs="Times New Roman"/>
          <w:color w:val="000000" w:themeColor="text1"/>
          <w:sz w:val="24"/>
          <w:szCs w:val="24"/>
          <w:shd w:val="clear" w:color="auto" w:fill="FFFFFF"/>
        </w:rPr>
        <w:footnoteReference w:id="72"/>
      </w:r>
      <w:r w:rsidR="00BE2B86" w:rsidRPr="00424698">
        <w:rPr>
          <w:rFonts w:ascii="Times New Roman" w:hAnsi="Times New Roman" w:cs="Times New Roman"/>
          <w:color w:val="000000" w:themeColor="text1"/>
          <w:sz w:val="24"/>
          <w:szCs w:val="24"/>
          <w:shd w:val="clear" w:color="auto" w:fill="FFFFFF"/>
        </w:rPr>
        <w:t xml:space="preserve"> </w:t>
      </w:r>
    </w:p>
    <w:p w14:paraId="2A0EDA8B" w14:textId="77777777" w:rsidR="001145D2" w:rsidRPr="00424698" w:rsidRDefault="001145D2" w:rsidP="0030432B">
      <w:pPr>
        <w:widowControl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Although no direct equivalent of the full protection and security standard currently exists in EU law, it could be argued that the latter offers </w:t>
      </w:r>
      <w:r w:rsidR="00AC2E66" w:rsidRPr="00424698">
        <w:rPr>
          <w:rFonts w:ascii="Times New Roman" w:hAnsi="Times New Roman" w:cs="Times New Roman"/>
          <w:color w:val="000000" w:themeColor="text1"/>
          <w:sz w:val="24"/>
          <w:szCs w:val="24"/>
        </w:rPr>
        <w:t>a</w:t>
      </w:r>
      <w:r w:rsidRPr="00424698">
        <w:rPr>
          <w:rFonts w:ascii="Times New Roman" w:hAnsi="Times New Roman" w:cs="Times New Roman"/>
          <w:color w:val="000000" w:themeColor="text1"/>
          <w:sz w:val="24"/>
          <w:szCs w:val="24"/>
        </w:rPr>
        <w:t xml:space="preserve"> comparable</w:t>
      </w:r>
      <w:r w:rsidR="00AC2E66" w:rsidRPr="00424698">
        <w:rPr>
          <w:rFonts w:ascii="Times New Roman" w:hAnsi="Times New Roman" w:cs="Times New Roman"/>
          <w:color w:val="000000" w:themeColor="text1"/>
          <w:sz w:val="24"/>
          <w:szCs w:val="24"/>
        </w:rPr>
        <w:t>, if not more elaborate</w:t>
      </w:r>
      <w:r w:rsidR="007E76F8" w:rsidRPr="00424698">
        <w:rPr>
          <w:rFonts w:ascii="Times New Roman" w:hAnsi="Times New Roman" w:cs="Times New Roman"/>
          <w:color w:val="000000" w:themeColor="text1"/>
          <w:sz w:val="24"/>
          <w:szCs w:val="24"/>
        </w:rPr>
        <w:t>,</w:t>
      </w:r>
      <w:r w:rsidR="00AC2E66" w:rsidRPr="00424698">
        <w:rPr>
          <w:rFonts w:ascii="Times New Roman" w:hAnsi="Times New Roman" w:cs="Times New Roman"/>
          <w:color w:val="000000" w:themeColor="text1"/>
          <w:sz w:val="24"/>
          <w:szCs w:val="24"/>
        </w:rPr>
        <w:t xml:space="preserve"> corpus of </w:t>
      </w:r>
      <w:r w:rsidRPr="00424698">
        <w:rPr>
          <w:rFonts w:ascii="Times New Roman" w:hAnsi="Times New Roman" w:cs="Times New Roman"/>
          <w:color w:val="000000" w:themeColor="text1"/>
          <w:sz w:val="24"/>
          <w:szCs w:val="24"/>
        </w:rPr>
        <w:t>protections which investors can enjoy</w:t>
      </w:r>
      <w:r w:rsidR="00AC2E66" w:rsidRPr="00424698">
        <w:rPr>
          <w:rFonts w:ascii="Times New Roman" w:hAnsi="Times New Roman" w:cs="Times New Roman"/>
          <w:color w:val="000000" w:themeColor="text1"/>
          <w:sz w:val="24"/>
          <w:szCs w:val="24"/>
        </w:rPr>
        <w:t xml:space="preserve">. </w:t>
      </w:r>
      <w:r w:rsidR="00977C40" w:rsidRPr="00424698">
        <w:rPr>
          <w:rFonts w:ascii="Times New Roman" w:hAnsi="Times New Roman" w:cs="Times New Roman"/>
          <w:color w:val="000000" w:themeColor="text1"/>
          <w:sz w:val="24"/>
          <w:szCs w:val="24"/>
        </w:rPr>
        <w:t xml:space="preserve">Even if the obligation to provide full protection and security were to be confined to physical </w:t>
      </w:r>
      <w:r w:rsidR="007E76F8" w:rsidRPr="00424698">
        <w:rPr>
          <w:rFonts w:ascii="Times New Roman" w:hAnsi="Times New Roman" w:cs="Times New Roman"/>
          <w:color w:val="000000" w:themeColor="text1"/>
          <w:sz w:val="24"/>
          <w:szCs w:val="24"/>
        </w:rPr>
        <w:t xml:space="preserve">security, jurisprudence of the </w:t>
      </w:r>
      <w:r w:rsidR="00977C40" w:rsidRPr="00424698">
        <w:rPr>
          <w:rFonts w:ascii="Times New Roman" w:hAnsi="Times New Roman" w:cs="Times New Roman"/>
          <w:color w:val="000000" w:themeColor="text1"/>
          <w:sz w:val="24"/>
          <w:szCs w:val="24"/>
        </w:rPr>
        <w:t>CJ</w:t>
      </w:r>
      <w:r w:rsidR="007E76F8" w:rsidRPr="00424698">
        <w:rPr>
          <w:rFonts w:ascii="Times New Roman" w:hAnsi="Times New Roman" w:cs="Times New Roman"/>
          <w:color w:val="000000" w:themeColor="text1"/>
          <w:sz w:val="24"/>
          <w:szCs w:val="24"/>
        </w:rPr>
        <w:t>EU</w:t>
      </w:r>
      <w:r w:rsidR="00977C40" w:rsidRPr="00424698">
        <w:rPr>
          <w:rFonts w:ascii="Times New Roman" w:hAnsi="Times New Roman" w:cs="Times New Roman"/>
          <w:color w:val="000000" w:themeColor="text1"/>
          <w:sz w:val="24"/>
          <w:szCs w:val="24"/>
        </w:rPr>
        <w:t xml:space="preserve"> offers some pertinent examples of how such aspects of investment activity might be protected under EU law. </w:t>
      </w:r>
      <w:r w:rsidRPr="00424698">
        <w:rPr>
          <w:rFonts w:ascii="Times New Roman" w:hAnsi="Times New Roman" w:cs="Times New Roman"/>
          <w:color w:val="000000" w:themeColor="text1"/>
          <w:sz w:val="24"/>
          <w:szCs w:val="24"/>
        </w:rPr>
        <w:t xml:space="preserve">The leading case is </w:t>
      </w:r>
      <w:r w:rsidRPr="00424698">
        <w:rPr>
          <w:rFonts w:ascii="Times New Roman" w:hAnsi="Times New Roman" w:cs="Times New Roman"/>
          <w:i/>
          <w:color w:val="000000" w:themeColor="text1"/>
          <w:sz w:val="24"/>
          <w:szCs w:val="24"/>
        </w:rPr>
        <w:t>Commission v France (Spanish Strawberries)</w:t>
      </w:r>
      <w:r w:rsidRPr="00424698">
        <w:rPr>
          <w:rFonts w:ascii="Times New Roman" w:hAnsi="Times New Roman" w:cs="Times New Roman"/>
          <w:color w:val="000000" w:themeColor="text1"/>
          <w:sz w:val="24"/>
          <w:szCs w:val="24"/>
        </w:rPr>
        <w:t xml:space="preserve"> which concerned</w:t>
      </w:r>
      <w:r w:rsidR="00380034"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iCs/>
          <w:color w:val="000000" w:themeColor="text1"/>
          <w:sz w:val="24"/>
          <w:szCs w:val="24"/>
        </w:rPr>
        <w:t xml:space="preserve">the passivity of the French authorities </w:t>
      </w:r>
      <w:r w:rsidR="00380034" w:rsidRPr="00424698">
        <w:rPr>
          <w:rFonts w:ascii="Times New Roman" w:hAnsi="Times New Roman" w:cs="Times New Roman"/>
          <w:iCs/>
          <w:color w:val="000000" w:themeColor="text1"/>
          <w:sz w:val="24"/>
          <w:szCs w:val="24"/>
        </w:rPr>
        <w:t>toward</w:t>
      </w:r>
      <w:r w:rsidRPr="00424698">
        <w:rPr>
          <w:rFonts w:ascii="Times New Roman" w:hAnsi="Times New Roman" w:cs="Times New Roman"/>
          <w:iCs/>
          <w:color w:val="000000" w:themeColor="text1"/>
          <w:sz w:val="24"/>
          <w:szCs w:val="24"/>
        </w:rPr>
        <w:t xml:space="preserve"> violent acts committed by private individuals and by protest movements of French farmers directed against agricult</w:t>
      </w:r>
      <w:r w:rsidR="00380034" w:rsidRPr="00424698">
        <w:rPr>
          <w:rFonts w:ascii="Times New Roman" w:hAnsi="Times New Roman" w:cs="Times New Roman"/>
          <w:iCs/>
          <w:color w:val="000000" w:themeColor="text1"/>
          <w:sz w:val="24"/>
          <w:szCs w:val="24"/>
        </w:rPr>
        <w:t>ural products from other member s</w:t>
      </w:r>
      <w:r w:rsidRPr="00424698">
        <w:rPr>
          <w:rFonts w:ascii="Times New Roman" w:hAnsi="Times New Roman" w:cs="Times New Roman"/>
          <w:iCs/>
          <w:color w:val="000000" w:themeColor="text1"/>
          <w:sz w:val="24"/>
          <w:szCs w:val="24"/>
        </w:rPr>
        <w:t>tates</w:t>
      </w:r>
      <w:r w:rsidR="00380034" w:rsidRPr="00424698">
        <w:rPr>
          <w:rFonts w:ascii="Times New Roman" w:hAnsi="Times New Roman" w:cs="Times New Roman"/>
          <w:iCs/>
          <w:color w:val="000000" w:themeColor="text1"/>
          <w:sz w:val="24"/>
          <w:szCs w:val="24"/>
        </w:rPr>
        <w:t>, including Spain</w:t>
      </w:r>
      <w:r w:rsidRPr="00424698">
        <w:rPr>
          <w:rFonts w:ascii="Times New Roman" w:hAnsi="Times New Roman" w:cs="Times New Roman"/>
          <w:iCs/>
          <w:color w:val="000000" w:themeColor="text1"/>
          <w:sz w:val="24"/>
          <w:szCs w:val="24"/>
        </w:rPr>
        <w:t>.</w:t>
      </w:r>
      <w:r w:rsidR="00380034" w:rsidRPr="00424698">
        <w:rPr>
          <w:rStyle w:val="FootnoteReference"/>
          <w:rFonts w:ascii="Times New Roman" w:hAnsi="Times New Roman" w:cs="Times New Roman"/>
          <w:iCs/>
          <w:color w:val="000000" w:themeColor="text1"/>
          <w:sz w:val="24"/>
          <w:szCs w:val="24"/>
        </w:rPr>
        <w:footnoteReference w:id="73"/>
      </w:r>
      <w:r w:rsidRPr="00424698">
        <w:rPr>
          <w:rFonts w:ascii="Times New Roman" w:hAnsi="Times New Roman" w:cs="Times New Roman"/>
          <w:iCs/>
          <w:color w:val="000000" w:themeColor="text1"/>
          <w:sz w:val="24"/>
          <w:szCs w:val="24"/>
        </w:rPr>
        <w:t xml:space="preserve"> Those </w:t>
      </w:r>
      <w:r w:rsidR="00380034" w:rsidRPr="00424698">
        <w:rPr>
          <w:rFonts w:ascii="Times New Roman" w:hAnsi="Times New Roman" w:cs="Times New Roman"/>
          <w:iCs/>
          <w:color w:val="000000" w:themeColor="text1"/>
          <w:sz w:val="24"/>
          <w:szCs w:val="24"/>
        </w:rPr>
        <w:t xml:space="preserve">private </w:t>
      </w:r>
      <w:r w:rsidRPr="00424698">
        <w:rPr>
          <w:rFonts w:ascii="Times New Roman" w:hAnsi="Times New Roman" w:cs="Times New Roman"/>
          <w:iCs/>
          <w:color w:val="000000" w:themeColor="text1"/>
          <w:sz w:val="24"/>
          <w:szCs w:val="24"/>
        </w:rPr>
        <w:t>acts co</w:t>
      </w:r>
      <w:r w:rsidR="00380034" w:rsidRPr="00424698">
        <w:rPr>
          <w:rFonts w:ascii="Times New Roman" w:hAnsi="Times New Roman" w:cs="Times New Roman"/>
          <w:iCs/>
          <w:color w:val="000000" w:themeColor="text1"/>
          <w:sz w:val="24"/>
          <w:szCs w:val="24"/>
        </w:rPr>
        <w:t>mprised, inter alia, more than a decade of</w:t>
      </w:r>
      <w:r w:rsidRPr="00424698">
        <w:rPr>
          <w:rFonts w:ascii="Times New Roman" w:hAnsi="Times New Roman" w:cs="Times New Roman"/>
          <w:iCs/>
          <w:color w:val="000000" w:themeColor="text1"/>
          <w:sz w:val="24"/>
          <w:szCs w:val="24"/>
        </w:rPr>
        <w:t xml:space="preserve"> interception of lorries transporting such products in France and the destruction of their loads, violence against lorry drivers, threats against French supermarkets selling agricultural products originating in other </w:t>
      </w:r>
      <w:r w:rsidR="00380034" w:rsidRPr="00424698">
        <w:rPr>
          <w:rFonts w:ascii="Times New Roman" w:hAnsi="Times New Roman" w:cs="Times New Roman"/>
          <w:iCs/>
          <w:color w:val="000000" w:themeColor="text1"/>
          <w:sz w:val="24"/>
          <w:szCs w:val="24"/>
        </w:rPr>
        <w:t>EU member states</w:t>
      </w:r>
      <w:r w:rsidRPr="00424698">
        <w:rPr>
          <w:rFonts w:ascii="Times New Roman" w:hAnsi="Times New Roman" w:cs="Times New Roman"/>
          <w:iCs/>
          <w:color w:val="000000" w:themeColor="text1"/>
          <w:sz w:val="24"/>
          <w:szCs w:val="24"/>
        </w:rPr>
        <w:t>, and the damaging of those goods when on display in shops in France.</w:t>
      </w:r>
      <w:r w:rsidR="00380034" w:rsidRPr="00424698">
        <w:rPr>
          <w:rFonts w:ascii="Times New Roman" w:hAnsi="Times New Roman" w:cs="Times New Roman"/>
          <w:iCs/>
          <w:color w:val="000000" w:themeColor="text1"/>
          <w:sz w:val="24"/>
          <w:szCs w:val="24"/>
        </w:rPr>
        <w:t xml:space="preserve"> Although the French government had been repeatedly called on to intervene and prevent such actions from taking </w:t>
      </w:r>
      <w:r w:rsidR="002B189C" w:rsidRPr="00424698">
        <w:rPr>
          <w:rFonts w:ascii="Times New Roman" w:hAnsi="Times New Roman" w:cs="Times New Roman"/>
          <w:iCs/>
          <w:color w:val="000000" w:themeColor="text1"/>
          <w:sz w:val="24"/>
          <w:szCs w:val="24"/>
        </w:rPr>
        <w:t xml:space="preserve">place, the measures it adopted—such </w:t>
      </w:r>
      <w:r w:rsidR="00380034" w:rsidRPr="00424698">
        <w:rPr>
          <w:rFonts w:ascii="Times New Roman" w:hAnsi="Times New Roman" w:cs="Times New Roman"/>
          <w:iCs/>
          <w:color w:val="000000" w:themeColor="text1"/>
          <w:sz w:val="24"/>
          <w:szCs w:val="24"/>
        </w:rPr>
        <w:t xml:space="preserve">as increased surveillance and instructions to the police to take action—were found to fall short of an appropriate response. In particular, it transpired that </w:t>
      </w:r>
      <w:r w:rsidRPr="00424698">
        <w:rPr>
          <w:rFonts w:ascii="Times New Roman" w:hAnsi="Times New Roman" w:cs="Times New Roman"/>
          <w:iCs/>
          <w:color w:val="000000" w:themeColor="text1"/>
          <w:sz w:val="24"/>
          <w:szCs w:val="24"/>
        </w:rPr>
        <w:t>the French Minister for Agriculture stated that, although he disapproved of and condemned the violence by the farmers, he in no way contemplated any intervention by the police in order to put a stop to it</w:t>
      </w:r>
      <w:r w:rsidR="00380034" w:rsidRPr="00424698">
        <w:rPr>
          <w:rFonts w:ascii="Times New Roman" w:hAnsi="Times New Roman" w:cs="Times New Roman"/>
          <w:iCs/>
          <w:color w:val="000000" w:themeColor="text1"/>
          <w:sz w:val="24"/>
          <w:szCs w:val="24"/>
        </w:rPr>
        <w:t>.</w:t>
      </w:r>
      <w:r w:rsidR="002B189C" w:rsidRPr="00424698">
        <w:rPr>
          <w:rFonts w:ascii="Times New Roman" w:hAnsi="Times New Roman" w:cs="Times New Roman"/>
          <w:iCs/>
          <w:color w:val="000000" w:themeColor="text1"/>
          <w:sz w:val="24"/>
          <w:szCs w:val="24"/>
        </w:rPr>
        <w:t xml:space="preserve"> The </w:t>
      </w:r>
      <w:r w:rsidR="00380034" w:rsidRPr="00424698">
        <w:rPr>
          <w:rFonts w:ascii="Times New Roman" w:hAnsi="Times New Roman" w:cs="Times New Roman"/>
          <w:iCs/>
          <w:color w:val="000000" w:themeColor="text1"/>
          <w:sz w:val="24"/>
          <w:szCs w:val="24"/>
        </w:rPr>
        <w:t>CJ</w:t>
      </w:r>
      <w:r w:rsidR="002B189C" w:rsidRPr="00424698">
        <w:rPr>
          <w:rFonts w:ascii="Times New Roman" w:hAnsi="Times New Roman" w:cs="Times New Roman"/>
          <w:iCs/>
          <w:color w:val="000000" w:themeColor="text1"/>
          <w:sz w:val="24"/>
          <w:szCs w:val="24"/>
        </w:rPr>
        <w:t>EU</w:t>
      </w:r>
      <w:r w:rsidR="00380034" w:rsidRPr="00424698">
        <w:rPr>
          <w:rFonts w:ascii="Times New Roman" w:hAnsi="Times New Roman" w:cs="Times New Roman"/>
          <w:iCs/>
          <w:color w:val="000000" w:themeColor="text1"/>
          <w:sz w:val="24"/>
          <w:szCs w:val="24"/>
        </w:rPr>
        <w:t xml:space="preserve"> held that </w:t>
      </w:r>
      <w:r w:rsidR="005F7E39" w:rsidRPr="00424698">
        <w:rPr>
          <w:rFonts w:ascii="Times New Roman" w:hAnsi="Times New Roman" w:cs="Times New Roman"/>
          <w:iCs/>
          <w:color w:val="000000" w:themeColor="text1"/>
          <w:sz w:val="24"/>
          <w:szCs w:val="24"/>
        </w:rPr>
        <w:t xml:space="preserve">France </w:t>
      </w:r>
      <w:r w:rsidR="002B189C" w:rsidRPr="00424698">
        <w:rPr>
          <w:rFonts w:ascii="Times New Roman" w:hAnsi="Times New Roman" w:cs="Times New Roman"/>
          <w:iCs/>
          <w:color w:val="000000" w:themeColor="text1"/>
          <w:sz w:val="24"/>
          <w:szCs w:val="24"/>
        </w:rPr>
        <w:t xml:space="preserve">thus </w:t>
      </w:r>
      <w:r w:rsidR="005F7E39" w:rsidRPr="00424698">
        <w:rPr>
          <w:rFonts w:ascii="Times New Roman" w:hAnsi="Times New Roman" w:cs="Times New Roman"/>
          <w:iCs/>
          <w:color w:val="000000" w:themeColor="text1"/>
          <w:sz w:val="24"/>
          <w:szCs w:val="24"/>
        </w:rPr>
        <w:t xml:space="preserve">failed </w:t>
      </w:r>
      <w:r w:rsidRPr="00424698">
        <w:rPr>
          <w:rFonts w:ascii="Times New Roman" w:hAnsi="Times New Roman" w:cs="Times New Roman"/>
          <w:iCs/>
          <w:color w:val="000000" w:themeColor="text1"/>
          <w:sz w:val="24"/>
          <w:szCs w:val="24"/>
        </w:rPr>
        <w:t>to prevent</w:t>
      </w:r>
      <w:r w:rsidR="00380034" w:rsidRPr="00424698">
        <w:rPr>
          <w:rFonts w:ascii="Times New Roman" w:hAnsi="Times New Roman" w:cs="Times New Roman"/>
          <w:iCs/>
          <w:color w:val="000000" w:themeColor="text1"/>
          <w:sz w:val="24"/>
          <w:szCs w:val="24"/>
        </w:rPr>
        <w:t xml:space="preserve"> damaging of agricultural products originating in other member states and </w:t>
      </w:r>
      <w:r w:rsidR="005F7E39" w:rsidRPr="00424698">
        <w:rPr>
          <w:rFonts w:ascii="Times New Roman" w:hAnsi="Times New Roman" w:cs="Times New Roman"/>
          <w:iCs/>
          <w:color w:val="000000" w:themeColor="text1"/>
          <w:sz w:val="24"/>
          <w:szCs w:val="24"/>
        </w:rPr>
        <w:t>to deal with threats creating the climate of insecurity.</w:t>
      </w:r>
      <w:r w:rsidRPr="00424698">
        <w:rPr>
          <w:rFonts w:ascii="Times New Roman" w:hAnsi="Times New Roman" w:cs="Times New Roman"/>
          <w:iCs/>
          <w:color w:val="000000" w:themeColor="text1"/>
          <w:sz w:val="24"/>
          <w:szCs w:val="24"/>
        </w:rPr>
        <w:t xml:space="preserve"> </w:t>
      </w:r>
      <w:r w:rsidR="002B189C" w:rsidRPr="00424698">
        <w:rPr>
          <w:rFonts w:ascii="Times New Roman" w:hAnsi="Times New Roman" w:cs="Times New Roman"/>
          <w:iCs/>
          <w:color w:val="000000" w:themeColor="text1"/>
          <w:sz w:val="24"/>
          <w:szCs w:val="24"/>
        </w:rPr>
        <w:t>The</w:t>
      </w:r>
      <w:r w:rsidR="005F7E39" w:rsidRPr="00424698">
        <w:rPr>
          <w:rFonts w:ascii="Times New Roman" w:hAnsi="Times New Roman" w:cs="Times New Roman"/>
          <w:iCs/>
          <w:color w:val="000000" w:themeColor="text1"/>
          <w:sz w:val="24"/>
          <w:szCs w:val="24"/>
        </w:rPr>
        <w:t xml:space="preserve"> failure to take appropriate preventive action, </w:t>
      </w:r>
      <w:r w:rsidRPr="00424698">
        <w:rPr>
          <w:rFonts w:ascii="Times New Roman" w:hAnsi="Times New Roman" w:cs="Times New Roman"/>
          <w:iCs/>
          <w:color w:val="000000" w:themeColor="text1"/>
          <w:sz w:val="24"/>
          <w:szCs w:val="24"/>
        </w:rPr>
        <w:t>including measures against private individuals who imp</w:t>
      </w:r>
      <w:r w:rsidR="005F7E39" w:rsidRPr="00424698">
        <w:rPr>
          <w:rFonts w:ascii="Times New Roman" w:hAnsi="Times New Roman" w:cs="Times New Roman"/>
          <w:iCs/>
          <w:color w:val="000000" w:themeColor="text1"/>
          <w:sz w:val="24"/>
          <w:szCs w:val="24"/>
        </w:rPr>
        <w:t>eril the free movement of goods, amounted to a breach of its obligations to ensure free movement of goods under what is now Article 34 TFEU.</w:t>
      </w:r>
      <w:r w:rsidR="005F7E39" w:rsidRPr="00424698">
        <w:rPr>
          <w:rStyle w:val="FootnoteReference"/>
          <w:rFonts w:ascii="Times New Roman" w:hAnsi="Times New Roman" w:cs="Times New Roman"/>
          <w:iCs/>
          <w:color w:val="000000" w:themeColor="text1"/>
          <w:sz w:val="24"/>
          <w:szCs w:val="24"/>
        </w:rPr>
        <w:footnoteReference w:id="74"/>
      </w:r>
    </w:p>
    <w:p w14:paraId="16E2DB2B" w14:textId="2ACB5ABB" w:rsidR="00AC2E66" w:rsidRPr="00424698" w:rsidRDefault="002B189C" w:rsidP="0030432B">
      <w:pPr>
        <w:widowControl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The noticeably generous scope of protection afforded to economic actors vis-à-vis host states in this case ca</w:t>
      </w:r>
      <w:r w:rsidR="00B9175B" w:rsidRPr="00424698">
        <w:rPr>
          <w:rFonts w:ascii="Times New Roman" w:hAnsi="Times New Roman" w:cs="Times New Roman"/>
          <w:color w:val="000000" w:themeColor="text1"/>
          <w:sz w:val="24"/>
          <w:szCs w:val="24"/>
        </w:rPr>
        <w:t xml:space="preserve">n be explained by the fact that, over decades, EU </w:t>
      </w:r>
      <w:r w:rsidR="00D949CB" w:rsidRPr="00424698">
        <w:rPr>
          <w:rFonts w:ascii="Times New Roman" w:hAnsi="Times New Roman" w:cs="Times New Roman"/>
          <w:color w:val="000000" w:themeColor="text1"/>
          <w:sz w:val="24"/>
          <w:szCs w:val="24"/>
        </w:rPr>
        <w:t xml:space="preserve">internal market disciplines </w:t>
      </w:r>
      <w:r w:rsidR="00B9175B" w:rsidRPr="00424698">
        <w:rPr>
          <w:rFonts w:ascii="Times New Roman" w:hAnsi="Times New Roman" w:cs="Times New Roman"/>
          <w:color w:val="000000" w:themeColor="text1"/>
          <w:sz w:val="24"/>
          <w:szCs w:val="24"/>
        </w:rPr>
        <w:lastRenderedPageBreak/>
        <w:t>evolved and expanded so</w:t>
      </w:r>
      <w:r w:rsidR="00D949CB" w:rsidRPr="00424698">
        <w:rPr>
          <w:rFonts w:ascii="Times New Roman" w:hAnsi="Times New Roman" w:cs="Times New Roman"/>
          <w:color w:val="000000" w:themeColor="text1"/>
          <w:sz w:val="24"/>
          <w:szCs w:val="24"/>
        </w:rPr>
        <w:t xml:space="preserve"> far as to place </w:t>
      </w:r>
      <w:r w:rsidR="007E76F8" w:rsidRPr="00424698">
        <w:rPr>
          <w:rFonts w:ascii="Times New Roman" w:hAnsi="Times New Roman" w:cs="Times New Roman"/>
          <w:color w:val="000000" w:themeColor="text1"/>
          <w:sz w:val="24"/>
          <w:szCs w:val="24"/>
        </w:rPr>
        <w:t xml:space="preserve">member </w:t>
      </w:r>
      <w:r w:rsidR="00D949CB" w:rsidRPr="00424698">
        <w:rPr>
          <w:rFonts w:ascii="Times New Roman" w:hAnsi="Times New Roman" w:cs="Times New Roman"/>
          <w:color w:val="000000" w:themeColor="text1"/>
          <w:sz w:val="24"/>
          <w:szCs w:val="24"/>
        </w:rPr>
        <w:t>states under an obligation to prevent harm from being caused to economic interests of business actors by private individuals.</w:t>
      </w:r>
      <w:r w:rsidR="007E76F8" w:rsidRPr="00424698">
        <w:rPr>
          <w:rFonts w:ascii="Times New Roman" w:hAnsi="Times New Roman" w:cs="Times New Roman"/>
          <w:color w:val="000000" w:themeColor="text1"/>
          <w:sz w:val="24"/>
          <w:szCs w:val="24"/>
        </w:rPr>
        <w:t xml:space="preserve"> Thus, under EU law member states are under an obligation to ensure physical safety of assets belonging to a business actor not just from governmental action but also from action by private third parties.</w:t>
      </w:r>
      <w:r w:rsidR="00D949CB" w:rsidRPr="00424698">
        <w:rPr>
          <w:rFonts w:ascii="Times New Roman" w:hAnsi="Times New Roman" w:cs="Times New Roman"/>
          <w:color w:val="000000" w:themeColor="text1"/>
          <w:sz w:val="24"/>
          <w:szCs w:val="24"/>
        </w:rPr>
        <w:t xml:space="preserve"> </w:t>
      </w:r>
      <w:r w:rsidR="00B9175B" w:rsidRPr="00424698">
        <w:rPr>
          <w:rFonts w:ascii="Times New Roman" w:hAnsi="Times New Roman" w:cs="Times New Roman"/>
          <w:color w:val="000000" w:themeColor="text1"/>
          <w:sz w:val="24"/>
          <w:szCs w:val="24"/>
        </w:rPr>
        <w:t xml:space="preserve">In seeking protection of their physical security, investors in the EU can also invoke fundamental rights, including </w:t>
      </w:r>
      <w:r w:rsidR="00AC2E66" w:rsidRPr="00424698">
        <w:rPr>
          <w:rFonts w:ascii="Times New Roman" w:hAnsi="Times New Roman" w:cs="Times New Roman"/>
          <w:color w:val="000000" w:themeColor="text1"/>
          <w:sz w:val="24"/>
          <w:szCs w:val="24"/>
        </w:rPr>
        <w:t>the guarantee of personal liberty and security</w:t>
      </w:r>
      <w:r w:rsidR="00A50BC0">
        <w:rPr>
          <w:rFonts w:ascii="Times New Roman" w:hAnsi="Times New Roman" w:cs="Times New Roman"/>
          <w:color w:val="000000" w:themeColor="text1"/>
          <w:sz w:val="24"/>
          <w:szCs w:val="24"/>
        </w:rPr>
        <w:t> </w:t>
      </w:r>
      <w:r w:rsidR="00AC2E66" w:rsidRPr="00424698">
        <w:rPr>
          <w:rFonts w:ascii="Times New Roman" w:hAnsi="Times New Roman" w:cs="Times New Roman"/>
          <w:color w:val="000000" w:themeColor="text1"/>
          <w:sz w:val="24"/>
          <w:szCs w:val="24"/>
        </w:rPr>
        <w:t>(Article</w:t>
      </w:r>
      <w:r w:rsidR="00A50BC0">
        <w:rPr>
          <w:rFonts w:ascii="Times New Roman" w:hAnsi="Times New Roman" w:cs="Times New Roman"/>
          <w:color w:val="000000" w:themeColor="text1"/>
          <w:sz w:val="24"/>
          <w:szCs w:val="24"/>
        </w:rPr>
        <w:t> </w:t>
      </w:r>
      <w:r w:rsidR="00AC2E66" w:rsidRPr="00424698">
        <w:rPr>
          <w:rFonts w:ascii="Times New Roman" w:hAnsi="Times New Roman" w:cs="Times New Roman"/>
          <w:color w:val="000000" w:themeColor="text1"/>
          <w:sz w:val="24"/>
          <w:szCs w:val="24"/>
        </w:rPr>
        <w:t>6); the freedom to pursue a freely chosen occupation (Article 15) and to conduct business (Article 16</w:t>
      </w:r>
      <w:r w:rsidR="00B9175B" w:rsidRPr="00424698">
        <w:rPr>
          <w:rFonts w:ascii="Times New Roman" w:hAnsi="Times New Roman" w:cs="Times New Roman"/>
          <w:color w:val="000000" w:themeColor="text1"/>
          <w:sz w:val="24"/>
          <w:szCs w:val="24"/>
        </w:rPr>
        <w:t xml:space="preserve">). </w:t>
      </w:r>
      <w:r w:rsidR="00D949CB" w:rsidRPr="00424698">
        <w:rPr>
          <w:rFonts w:ascii="Times New Roman" w:hAnsi="Times New Roman" w:cs="Times New Roman"/>
          <w:color w:val="000000" w:themeColor="text1"/>
          <w:sz w:val="24"/>
          <w:szCs w:val="24"/>
        </w:rPr>
        <w:t xml:space="preserve">Does the existence of this arsenal of protections elevate EU law above intra-EU IIAs? </w:t>
      </w:r>
      <w:r w:rsidR="00B9175B" w:rsidRPr="00424698">
        <w:rPr>
          <w:rFonts w:ascii="Times New Roman" w:hAnsi="Times New Roman" w:cs="Times New Roman"/>
          <w:color w:val="000000" w:themeColor="text1"/>
          <w:sz w:val="24"/>
          <w:szCs w:val="24"/>
        </w:rPr>
        <w:t xml:space="preserve">An overview of EU law suggests that the answer is far from straightforward. </w:t>
      </w:r>
      <w:r w:rsidR="00025DB9" w:rsidRPr="00424698">
        <w:rPr>
          <w:rFonts w:ascii="Times New Roman" w:hAnsi="Times New Roman" w:cs="Times New Roman"/>
          <w:color w:val="000000" w:themeColor="text1"/>
          <w:sz w:val="24"/>
          <w:szCs w:val="24"/>
        </w:rPr>
        <w:t>First, t</w:t>
      </w:r>
      <w:r w:rsidR="00B9175B" w:rsidRPr="00424698">
        <w:rPr>
          <w:rFonts w:ascii="Times New Roman" w:hAnsi="Times New Roman" w:cs="Times New Roman"/>
          <w:color w:val="000000" w:themeColor="text1"/>
          <w:sz w:val="24"/>
          <w:szCs w:val="24"/>
        </w:rPr>
        <w:t>he surprisingly broad protection granted by EU law to investors in cases involving physical security of their investments is not to be seen as a reflection of the importance attached to the protection of foreign investment. Rather, the imposition by EU law of an obligation on states to safeguard physical security from interference by third</w:t>
      </w:r>
      <w:r w:rsidR="00025DB9" w:rsidRPr="00424698">
        <w:rPr>
          <w:rFonts w:ascii="Times New Roman" w:hAnsi="Times New Roman" w:cs="Times New Roman"/>
          <w:color w:val="000000" w:themeColor="text1"/>
          <w:sz w:val="24"/>
          <w:szCs w:val="24"/>
        </w:rPr>
        <w:t xml:space="preserve"> parties is a by-product of the CJEU’s decade-long efforts to strengthen and widen </w:t>
      </w:r>
      <w:r w:rsidR="007E76F8" w:rsidRPr="00424698">
        <w:rPr>
          <w:rFonts w:ascii="Times New Roman" w:hAnsi="Times New Roman" w:cs="Times New Roman"/>
          <w:color w:val="000000" w:themeColor="text1"/>
          <w:sz w:val="24"/>
          <w:szCs w:val="24"/>
        </w:rPr>
        <w:t xml:space="preserve">the protection of </w:t>
      </w:r>
      <w:r w:rsidR="00025DB9" w:rsidRPr="00424698">
        <w:rPr>
          <w:rFonts w:ascii="Times New Roman" w:hAnsi="Times New Roman" w:cs="Times New Roman"/>
          <w:color w:val="000000" w:themeColor="text1"/>
          <w:sz w:val="24"/>
          <w:szCs w:val="24"/>
        </w:rPr>
        <w:t>EU economic freedoms. Second, although the C</w:t>
      </w:r>
      <w:r w:rsidR="007E76F8" w:rsidRPr="00424698">
        <w:rPr>
          <w:rFonts w:ascii="Times New Roman" w:hAnsi="Times New Roman" w:cs="Times New Roman"/>
          <w:color w:val="000000" w:themeColor="text1"/>
          <w:sz w:val="24"/>
          <w:szCs w:val="24"/>
        </w:rPr>
        <w:t>FR</w:t>
      </w:r>
      <w:r w:rsidR="00025DB9" w:rsidRPr="00424698">
        <w:rPr>
          <w:rFonts w:ascii="Times New Roman" w:hAnsi="Times New Roman" w:cs="Times New Roman"/>
          <w:color w:val="000000" w:themeColor="text1"/>
          <w:sz w:val="24"/>
          <w:szCs w:val="24"/>
        </w:rPr>
        <w:t xml:space="preserve"> </w:t>
      </w:r>
      <w:r w:rsidR="00647BCE">
        <w:rPr>
          <w:rFonts w:ascii="Times New Roman" w:hAnsi="Times New Roman" w:cs="Times New Roman"/>
          <w:color w:val="000000" w:themeColor="text1"/>
          <w:sz w:val="24"/>
          <w:szCs w:val="24"/>
        </w:rPr>
        <w:t xml:space="preserve">also </w:t>
      </w:r>
      <w:r w:rsidR="00025DB9" w:rsidRPr="00424698">
        <w:rPr>
          <w:rFonts w:ascii="Times New Roman" w:hAnsi="Times New Roman" w:cs="Times New Roman"/>
          <w:color w:val="000000" w:themeColor="text1"/>
          <w:sz w:val="24"/>
          <w:szCs w:val="24"/>
        </w:rPr>
        <w:t>offers a range of rights to which investors can resort in protecting their physical security, such rights—as already discussed earlier—can be subject to a somewhat narrow interpretation by European courts. Some of the reasons for the limited judicial protection of fundamental rights in EU law will be discussed below.</w:t>
      </w:r>
    </w:p>
    <w:p w14:paraId="17FEBDD7" w14:textId="77777777" w:rsidR="007E76F8" w:rsidRPr="00424698" w:rsidRDefault="007E76F8" w:rsidP="0030432B">
      <w:pPr>
        <w:widowControl w:val="0"/>
        <w:spacing w:after="0" w:line="360" w:lineRule="auto"/>
        <w:jc w:val="both"/>
        <w:rPr>
          <w:rFonts w:ascii="Times New Roman" w:hAnsi="Times New Roman" w:cs="Times New Roman"/>
          <w:color w:val="000000" w:themeColor="text1"/>
          <w:sz w:val="24"/>
          <w:szCs w:val="24"/>
        </w:rPr>
      </w:pPr>
    </w:p>
    <w:p w14:paraId="6C200CC3" w14:textId="167FCF80" w:rsidR="000B387D" w:rsidRPr="001506B1" w:rsidRDefault="0016634E" w:rsidP="0030432B">
      <w:pPr>
        <w:widowControl w:val="0"/>
        <w:spacing w:after="0" w:line="360" w:lineRule="auto"/>
        <w:jc w:val="both"/>
        <w:rPr>
          <w:rFonts w:ascii="Times New Roman" w:hAnsi="Times New Roman" w:cs="Times New Roman"/>
          <w:b/>
          <w:color w:val="000000" w:themeColor="text1"/>
          <w:sz w:val="24"/>
          <w:szCs w:val="24"/>
        </w:rPr>
      </w:pPr>
      <w:r w:rsidRPr="001506B1">
        <w:rPr>
          <w:rFonts w:ascii="Times New Roman" w:hAnsi="Times New Roman" w:cs="Times New Roman"/>
          <w:b/>
          <w:color w:val="000000" w:themeColor="text1"/>
          <w:sz w:val="24"/>
          <w:szCs w:val="24"/>
        </w:rPr>
        <w:t xml:space="preserve">3 </w:t>
      </w:r>
      <w:r w:rsidR="00D44F8A">
        <w:rPr>
          <w:rFonts w:ascii="Times New Roman" w:hAnsi="Times New Roman" w:cs="Times New Roman"/>
          <w:b/>
          <w:color w:val="000000" w:themeColor="text1"/>
          <w:sz w:val="24"/>
          <w:szCs w:val="24"/>
        </w:rPr>
        <w:tab/>
      </w:r>
      <w:r w:rsidR="002952D3" w:rsidRPr="001506B1">
        <w:rPr>
          <w:rFonts w:ascii="Times New Roman" w:hAnsi="Times New Roman" w:cs="Times New Roman"/>
          <w:b/>
          <w:color w:val="000000" w:themeColor="text1"/>
          <w:sz w:val="24"/>
          <w:szCs w:val="24"/>
        </w:rPr>
        <w:t xml:space="preserve">Balancing </w:t>
      </w:r>
      <w:r w:rsidR="00D44F8A">
        <w:rPr>
          <w:rFonts w:ascii="Times New Roman" w:hAnsi="Times New Roman" w:cs="Times New Roman"/>
          <w:b/>
          <w:color w:val="000000" w:themeColor="text1"/>
          <w:sz w:val="24"/>
          <w:szCs w:val="24"/>
        </w:rPr>
        <w:t>E</w:t>
      </w:r>
      <w:r w:rsidR="00B23EA4" w:rsidRPr="001506B1">
        <w:rPr>
          <w:rFonts w:ascii="Times New Roman" w:hAnsi="Times New Roman" w:cs="Times New Roman"/>
          <w:b/>
          <w:color w:val="000000" w:themeColor="text1"/>
          <w:sz w:val="24"/>
          <w:szCs w:val="24"/>
        </w:rPr>
        <w:t xml:space="preserve">conomic </w:t>
      </w:r>
      <w:r w:rsidR="00D44F8A">
        <w:rPr>
          <w:rFonts w:ascii="Times New Roman" w:hAnsi="Times New Roman" w:cs="Times New Roman"/>
          <w:b/>
          <w:color w:val="000000" w:themeColor="text1"/>
          <w:sz w:val="24"/>
          <w:szCs w:val="24"/>
        </w:rPr>
        <w:t>R</w:t>
      </w:r>
      <w:r w:rsidR="00B23EA4" w:rsidRPr="001506B1">
        <w:rPr>
          <w:rFonts w:ascii="Times New Roman" w:hAnsi="Times New Roman" w:cs="Times New Roman"/>
          <w:b/>
          <w:color w:val="000000" w:themeColor="text1"/>
          <w:sz w:val="24"/>
          <w:szCs w:val="24"/>
        </w:rPr>
        <w:t xml:space="preserve">ights and </w:t>
      </w:r>
      <w:r w:rsidR="00D44F8A">
        <w:rPr>
          <w:rFonts w:ascii="Times New Roman" w:hAnsi="Times New Roman" w:cs="Times New Roman"/>
          <w:b/>
          <w:color w:val="000000" w:themeColor="text1"/>
          <w:sz w:val="24"/>
          <w:szCs w:val="24"/>
        </w:rPr>
        <w:t>P</w:t>
      </w:r>
      <w:r w:rsidR="00B23EA4" w:rsidRPr="001506B1">
        <w:rPr>
          <w:rFonts w:ascii="Times New Roman" w:hAnsi="Times New Roman" w:cs="Times New Roman"/>
          <w:b/>
          <w:color w:val="000000" w:themeColor="text1"/>
          <w:sz w:val="24"/>
          <w:szCs w:val="24"/>
        </w:rPr>
        <w:t xml:space="preserve">olicy </w:t>
      </w:r>
      <w:r w:rsidR="00D44F8A">
        <w:rPr>
          <w:rFonts w:ascii="Times New Roman" w:hAnsi="Times New Roman" w:cs="Times New Roman"/>
          <w:b/>
          <w:color w:val="000000" w:themeColor="text1"/>
          <w:sz w:val="24"/>
          <w:szCs w:val="24"/>
        </w:rPr>
        <w:t>E</w:t>
      </w:r>
      <w:r w:rsidR="00B23EA4" w:rsidRPr="001506B1">
        <w:rPr>
          <w:rFonts w:ascii="Times New Roman" w:hAnsi="Times New Roman" w:cs="Times New Roman"/>
          <w:b/>
          <w:color w:val="000000" w:themeColor="text1"/>
          <w:sz w:val="24"/>
          <w:szCs w:val="24"/>
        </w:rPr>
        <w:t>xceptions</w:t>
      </w:r>
      <w:r w:rsidR="00053AA3" w:rsidRPr="001506B1">
        <w:rPr>
          <w:rFonts w:ascii="Times New Roman" w:hAnsi="Times New Roman" w:cs="Times New Roman"/>
          <w:b/>
          <w:color w:val="000000" w:themeColor="text1"/>
          <w:sz w:val="24"/>
          <w:szCs w:val="24"/>
        </w:rPr>
        <w:t xml:space="preserve">: </w:t>
      </w:r>
      <w:r w:rsidR="00D44F8A">
        <w:rPr>
          <w:rFonts w:ascii="Times New Roman" w:hAnsi="Times New Roman" w:cs="Times New Roman"/>
          <w:b/>
          <w:color w:val="000000" w:themeColor="text1"/>
          <w:sz w:val="24"/>
          <w:szCs w:val="24"/>
        </w:rPr>
        <w:t>R</w:t>
      </w:r>
      <w:r w:rsidR="00053AA3" w:rsidRPr="001506B1">
        <w:rPr>
          <w:rFonts w:ascii="Times New Roman" w:hAnsi="Times New Roman" w:cs="Times New Roman"/>
          <w:b/>
          <w:color w:val="000000" w:themeColor="text1"/>
          <w:sz w:val="24"/>
          <w:szCs w:val="24"/>
        </w:rPr>
        <w:t xml:space="preserve">hetoric and </w:t>
      </w:r>
      <w:r w:rsidR="00D44F8A">
        <w:rPr>
          <w:rFonts w:ascii="Times New Roman" w:hAnsi="Times New Roman" w:cs="Times New Roman"/>
          <w:b/>
          <w:color w:val="000000" w:themeColor="text1"/>
          <w:sz w:val="24"/>
          <w:szCs w:val="24"/>
        </w:rPr>
        <w:t>R</w:t>
      </w:r>
      <w:r w:rsidR="00053AA3" w:rsidRPr="001506B1">
        <w:rPr>
          <w:rFonts w:ascii="Times New Roman" w:hAnsi="Times New Roman" w:cs="Times New Roman"/>
          <w:b/>
          <w:color w:val="000000" w:themeColor="text1"/>
          <w:sz w:val="24"/>
          <w:szCs w:val="24"/>
        </w:rPr>
        <w:t>ea</w:t>
      </w:r>
      <w:r w:rsidR="00AC583E" w:rsidRPr="001506B1">
        <w:rPr>
          <w:rFonts w:ascii="Times New Roman" w:hAnsi="Times New Roman" w:cs="Times New Roman"/>
          <w:b/>
          <w:color w:val="000000" w:themeColor="text1"/>
          <w:sz w:val="24"/>
          <w:szCs w:val="24"/>
        </w:rPr>
        <w:t>l</w:t>
      </w:r>
      <w:r w:rsidR="00053AA3" w:rsidRPr="001506B1">
        <w:rPr>
          <w:rFonts w:ascii="Times New Roman" w:hAnsi="Times New Roman" w:cs="Times New Roman"/>
          <w:b/>
          <w:color w:val="000000" w:themeColor="text1"/>
          <w:sz w:val="24"/>
          <w:szCs w:val="24"/>
        </w:rPr>
        <w:t>ity</w:t>
      </w:r>
    </w:p>
    <w:p w14:paraId="132F2F4B" w14:textId="77777777" w:rsidR="00B23EA4" w:rsidRPr="00424698" w:rsidRDefault="00B23EA4" w:rsidP="0030432B">
      <w:pPr>
        <w:widowControl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As was mentioned at the outset, the prevailing vie</w:t>
      </w:r>
      <w:r w:rsidR="007E76F8" w:rsidRPr="00424698">
        <w:rPr>
          <w:rFonts w:ascii="Times New Roman" w:hAnsi="Times New Roman" w:cs="Times New Roman"/>
          <w:color w:val="000000" w:themeColor="text1"/>
          <w:sz w:val="24"/>
          <w:szCs w:val="24"/>
        </w:rPr>
        <w:t>w among legal scholars is that ‘</w:t>
      </w:r>
      <w:r w:rsidRPr="00424698">
        <w:rPr>
          <w:rFonts w:ascii="Times New Roman" w:hAnsi="Times New Roman" w:cs="Times New Roman"/>
          <w:color w:val="000000" w:themeColor="text1"/>
          <w:sz w:val="24"/>
          <w:szCs w:val="24"/>
        </w:rPr>
        <w:t>EU investor rights come with much more, albeit qualified and strictly framed, ‘policy space’ than the rights provided in investment treaties.</w:t>
      </w:r>
      <w:r w:rsidR="007E76F8" w:rsidRPr="00424698">
        <w:rPr>
          <w:rFonts w:ascii="Times New Roman" w:hAnsi="Times New Roman" w:cs="Times New Roman"/>
          <w:color w:val="000000" w:themeColor="text1"/>
          <w:sz w:val="24"/>
          <w:szCs w:val="24"/>
        </w:rPr>
        <w:t>’</w:t>
      </w:r>
      <w:r w:rsidRPr="00424698">
        <w:rPr>
          <w:rStyle w:val="FootnoteReference"/>
          <w:rFonts w:ascii="Times New Roman" w:hAnsi="Times New Roman" w:cs="Times New Roman"/>
          <w:color w:val="000000" w:themeColor="text1"/>
          <w:sz w:val="24"/>
          <w:szCs w:val="24"/>
        </w:rPr>
        <w:footnoteReference w:id="75"/>
      </w:r>
      <w:r w:rsidR="004506D3" w:rsidRPr="00424698">
        <w:rPr>
          <w:rFonts w:ascii="Times New Roman" w:hAnsi="Times New Roman" w:cs="Times New Roman"/>
          <w:color w:val="000000" w:themeColor="text1"/>
          <w:sz w:val="24"/>
          <w:szCs w:val="24"/>
        </w:rPr>
        <w:t xml:space="preserve"> The </w:t>
      </w:r>
      <w:r w:rsidRPr="00424698">
        <w:rPr>
          <w:rFonts w:ascii="Times New Roman" w:hAnsi="Times New Roman" w:cs="Times New Roman"/>
          <w:color w:val="000000" w:themeColor="text1"/>
          <w:sz w:val="24"/>
          <w:szCs w:val="24"/>
        </w:rPr>
        <w:t>difference</w:t>
      </w:r>
      <w:r w:rsidR="004506D3" w:rsidRPr="00424698">
        <w:rPr>
          <w:rFonts w:ascii="Times New Roman" w:hAnsi="Times New Roman" w:cs="Times New Roman"/>
          <w:color w:val="000000" w:themeColor="text1"/>
          <w:sz w:val="24"/>
          <w:szCs w:val="24"/>
        </w:rPr>
        <w:t xml:space="preserve"> in the scope of protection afforded to</w:t>
      </w:r>
      <w:r w:rsidRPr="00424698">
        <w:rPr>
          <w:rFonts w:ascii="Times New Roman" w:hAnsi="Times New Roman" w:cs="Times New Roman"/>
          <w:color w:val="000000" w:themeColor="text1"/>
          <w:sz w:val="24"/>
          <w:szCs w:val="24"/>
        </w:rPr>
        <w:t xml:space="preserve"> investor</w:t>
      </w:r>
      <w:r w:rsidR="004506D3" w:rsidRPr="00424698">
        <w:rPr>
          <w:rFonts w:ascii="Times New Roman" w:hAnsi="Times New Roman" w:cs="Times New Roman"/>
          <w:color w:val="000000" w:themeColor="text1"/>
          <w:sz w:val="24"/>
          <w:szCs w:val="24"/>
        </w:rPr>
        <w:t>s</w:t>
      </w:r>
      <w:r w:rsidRPr="00424698">
        <w:rPr>
          <w:rFonts w:ascii="Times New Roman" w:hAnsi="Times New Roman" w:cs="Times New Roman"/>
          <w:color w:val="000000" w:themeColor="text1"/>
          <w:sz w:val="24"/>
          <w:szCs w:val="24"/>
        </w:rPr>
        <w:t xml:space="preserve"> </w:t>
      </w:r>
      <w:r w:rsidR="004506D3" w:rsidRPr="00424698">
        <w:rPr>
          <w:rFonts w:ascii="Times New Roman" w:hAnsi="Times New Roman" w:cs="Times New Roman"/>
          <w:color w:val="000000" w:themeColor="text1"/>
          <w:sz w:val="24"/>
          <w:szCs w:val="24"/>
        </w:rPr>
        <w:t>under IIAs</w:t>
      </w:r>
      <w:r w:rsidRPr="00424698">
        <w:rPr>
          <w:rFonts w:ascii="Times New Roman" w:hAnsi="Times New Roman" w:cs="Times New Roman"/>
          <w:color w:val="000000" w:themeColor="text1"/>
          <w:sz w:val="24"/>
          <w:szCs w:val="24"/>
        </w:rPr>
        <w:t xml:space="preserve"> and EU law respectively could be linked to the historically limited </w:t>
      </w:r>
      <w:r w:rsidR="001B32C7" w:rsidRPr="00424698">
        <w:rPr>
          <w:rFonts w:ascii="Times New Roman" w:hAnsi="Times New Roman" w:cs="Times New Roman"/>
          <w:color w:val="000000" w:themeColor="text1"/>
          <w:sz w:val="24"/>
          <w:szCs w:val="24"/>
        </w:rPr>
        <w:t>space</w:t>
      </w:r>
      <w:r w:rsidRPr="00424698">
        <w:rPr>
          <w:rFonts w:ascii="Times New Roman" w:hAnsi="Times New Roman" w:cs="Times New Roman"/>
          <w:color w:val="000000" w:themeColor="text1"/>
          <w:sz w:val="24"/>
          <w:szCs w:val="24"/>
        </w:rPr>
        <w:t xml:space="preserve">—at least until recently—investment treaties left </w:t>
      </w:r>
      <w:r w:rsidR="001B32C7" w:rsidRPr="00424698">
        <w:rPr>
          <w:rFonts w:ascii="Times New Roman" w:hAnsi="Times New Roman" w:cs="Times New Roman"/>
          <w:color w:val="000000" w:themeColor="text1"/>
          <w:sz w:val="24"/>
          <w:szCs w:val="24"/>
        </w:rPr>
        <w:t>for</w:t>
      </w:r>
      <w:r w:rsidRPr="00424698">
        <w:rPr>
          <w:rFonts w:ascii="Times New Roman" w:hAnsi="Times New Roman" w:cs="Times New Roman"/>
          <w:color w:val="000000" w:themeColor="text1"/>
          <w:sz w:val="24"/>
          <w:szCs w:val="24"/>
        </w:rPr>
        <w:t xml:space="preserve"> public policy considerations. By contrast, EU law is arguably better in ensuring that its provisions on economic freedoms are accompanied by public policy exceptions. However, a closer look at the architecture of EU internal market disciplines and in particular their interplay with fundamental rights</w:t>
      </w:r>
      <w:r w:rsidR="00C22C74" w:rsidRPr="00424698">
        <w:rPr>
          <w:rFonts w:ascii="Times New Roman" w:hAnsi="Times New Roman" w:cs="Times New Roman"/>
          <w:color w:val="000000" w:themeColor="text1"/>
          <w:sz w:val="24"/>
          <w:szCs w:val="24"/>
        </w:rPr>
        <w:t xml:space="preserve"> produces a rather complex picture.</w:t>
      </w:r>
    </w:p>
    <w:p w14:paraId="14360273" w14:textId="432BC67B" w:rsidR="00422896" w:rsidRPr="00424698" w:rsidRDefault="00422896" w:rsidP="0030432B">
      <w:pPr>
        <w:widowControl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EU fundamental rights, despite comprising an impressive array of entitlements, are not unfettered and are subject to restrictive interpretation. For instance, neither the freedom to choose an occupation nor the freedom to conduct business, guaranteed by Article 15 and 16 </w:t>
      </w:r>
      <w:r w:rsidR="0073329D" w:rsidRPr="00424698">
        <w:rPr>
          <w:rFonts w:ascii="Times New Roman" w:hAnsi="Times New Roman" w:cs="Times New Roman"/>
          <w:color w:val="000000" w:themeColor="text1"/>
          <w:sz w:val="24"/>
          <w:szCs w:val="24"/>
        </w:rPr>
        <w:lastRenderedPageBreak/>
        <w:t xml:space="preserve">CFR </w:t>
      </w:r>
      <w:r w:rsidRPr="00424698">
        <w:rPr>
          <w:rFonts w:ascii="Times New Roman" w:hAnsi="Times New Roman" w:cs="Times New Roman"/>
          <w:color w:val="000000" w:themeColor="text1"/>
          <w:sz w:val="24"/>
          <w:szCs w:val="24"/>
        </w:rPr>
        <w:t>respectively</w:t>
      </w:r>
      <w:r w:rsidR="00647BCE">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rPr>
        <w:t xml:space="preserve"> </w:t>
      </w:r>
      <w:r w:rsidR="004506D3" w:rsidRPr="00424698">
        <w:rPr>
          <w:rFonts w:ascii="Times New Roman" w:hAnsi="Times New Roman" w:cs="Times New Roman"/>
          <w:color w:val="000000" w:themeColor="text1"/>
          <w:sz w:val="24"/>
          <w:szCs w:val="24"/>
        </w:rPr>
        <w:t xml:space="preserve">are </w:t>
      </w:r>
      <w:r w:rsidRPr="00424698">
        <w:rPr>
          <w:rFonts w:ascii="Times New Roman" w:hAnsi="Times New Roman" w:cs="Times New Roman"/>
          <w:color w:val="000000" w:themeColor="text1"/>
          <w:sz w:val="24"/>
          <w:szCs w:val="24"/>
        </w:rPr>
        <w:t xml:space="preserve">absolute </w:t>
      </w:r>
      <w:r w:rsidR="004506D3" w:rsidRPr="00424698">
        <w:rPr>
          <w:rFonts w:ascii="Times New Roman" w:hAnsi="Times New Roman" w:cs="Times New Roman"/>
          <w:color w:val="000000" w:themeColor="text1"/>
          <w:sz w:val="24"/>
          <w:szCs w:val="24"/>
        </w:rPr>
        <w:t>rights</w:t>
      </w:r>
      <w:r w:rsidRPr="00424698">
        <w:rPr>
          <w:rFonts w:ascii="Times New Roman" w:hAnsi="Times New Roman" w:cs="Times New Roman"/>
          <w:color w:val="000000" w:themeColor="text1"/>
          <w:sz w:val="24"/>
          <w:szCs w:val="24"/>
        </w:rPr>
        <w:t xml:space="preserve"> but </w:t>
      </w:r>
      <w:r w:rsidR="004506D3" w:rsidRPr="00424698">
        <w:rPr>
          <w:rFonts w:ascii="Times New Roman" w:hAnsi="Times New Roman" w:cs="Times New Roman"/>
          <w:color w:val="000000" w:themeColor="text1"/>
          <w:sz w:val="24"/>
          <w:szCs w:val="24"/>
        </w:rPr>
        <w:t>‘</w:t>
      </w:r>
      <w:r w:rsidRPr="00424698">
        <w:rPr>
          <w:rFonts w:ascii="Times New Roman" w:hAnsi="Times New Roman" w:cs="Times New Roman"/>
          <w:color w:val="000000" w:themeColor="text1"/>
          <w:sz w:val="24"/>
          <w:szCs w:val="24"/>
        </w:rPr>
        <w:t xml:space="preserve">must be considered in relation to </w:t>
      </w:r>
      <w:r w:rsidR="0073329D" w:rsidRPr="00424698">
        <w:rPr>
          <w:rFonts w:ascii="Times New Roman" w:hAnsi="Times New Roman" w:cs="Times New Roman"/>
          <w:color w:val="000000" w:themeColor="text1"/>
          <w:sz w:val="24"/>
          <w:szCs w:val="24"/>
        </w:rPr>
        <w:t>[their]</w:t>
      </w:r>
      <w:r w:rsidRPr="00424698">
        <w:rPr>
          <w:rFonts w:ascii="Times New Roman" w:hAnsi="Times New Roman" w:cs="Times New Roman"/>
          <w:color w:val="000000" w:themeColor="text1"/>
          <w:sz w:val="24"/>
          <w:szCs w:val="24"/>
        </w:rPr>
        <w:t xml:space="preserve"> social function’.</w:t>
      </w:r>
      <w:r w:rsidRPr="00424698">
        <w:rPr>
          <w:rStyle w:val="FootnoteReference"/>
          <w:rFonts w:ascii="Times New Roman" w:hAnsi="Times New Roman" w:cs="Times New Roman"/>
          <w:color w:val="000000" w:themeColor="text1"/>
          <w:sz w:val="24"/>
          <w:szCs w:val="24"/>
        </w:rPr>
        <w:footnoteReference w:id="76"/>
      </w:r>
      <w:r w:rsidRPr="00424698">
        <w:rPr>
          <w:rFonts w:ascii="Times New Roman" w:hAnsi="Times New Roman" w:cs="Times New Roman"/>
          <w:color w:val="000000" w:themeColor="text1"/>
          <w:sz w:val="24"/>
          <w:szCs w:val="24"/>
        </w:rPr>
        <w:t xml:space="preserve"> Just as is the case with the protection of property, ‘restrictions may be imposed on the exercise of those freedoms, provided that those restrictions in fact correspond to objectives of general interest pursued by the European Union and do not constitute, with regard to the aim pursued, a disproportionate and intolerable interference, impairing the very substance of those rights.’</w:t>
      </w:r>
      <w:r w:rsidRPr="00424698">
        <w:rPr>
          <w:rStyle w:val="FootnoteReference"/>
          <w:rFonts w:ascii="Times New Roman" w:hAnsi="Times New Roman" w:cs="Times New Roman"/>
          <w:color w:val="000000" w:themeColor="text1"/>
          <w:sz w:val="24"/>
          <w:szCs w:val="24"/>
        </w:rPr>
        <w:footnoteReference w:id="77"/>
      </w:r>
    </w:p>
    <w:p w14:paraId="7708C413" w14:textId="77777777" w:rsidR="008B577D" w:rsidRPr="00424698" w:rsidRDefault="008B577D" w:rsidP="0030432B">
      <w:pPr>
        <w:widowControl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Furthermore,</w:t>
      </w:r>
      <w:r w:rsidR="001B32C7" w:rsidRPr="00424698">
        <w:rPr>
          <w:rFonts w:ascii="Times New Roman" w:hAnsi="Times New Roman" w:cs="Times New Roman"/>
          <w:color w:val="000000" w:themeColor="text1"/>
          <w:sz w:val="24"/>
          <w:szCs w:val="24"/>
        </w:rPr>
        <w:t xml:space="preserve"> as mentioned earlier the C</w:t>
      </w:r>
      <w:r w:rsidR="00053AA3" w:rsidRPr="00424698">
        <w:rPr>
          <w:rFonts w:ascii="Times New Roman" w:hAnsi="Times New Roman" w:cs="Times New Roman"/>
          <w:color w:val="000000" w:themeColor="text1"/>
          <w:sz w:val="24"/>
          <w:szCs w:val="24"/>
        </w:rPr>
        <w:t>FR</w:t>
      </w:r>
      <w:r w:rsidR="001B32C7" w:rsidRPr="00424698">
        <w:rPr>
          <w:rFonts w:ascii="Times New Roman" w:hAnsi="Times New Roman" w:cs="Times New Roman"/>
          <w:color w:val="000000" w:themeColor="text1"/>
          <w:sz w:val="24"/>
          <w:szCs w:val="24"/>
        </w:rPr>
        <w:t xml:space="preserve"> comprises an eclectic mix of rights and freedoms – from property rights and freedom to conduct business to rights of collective action and freedom of expression. As such, it can be invoked both for purposes of protecting private economic </w:t>
      </w:r>
      <w:r w:rsidR="004506D3" w:rsidRPr="00424698">
        <w:rPr>
          <w:rFonts w:ascii="Times New Roman" w:hAnsi="Times New Roman" w:cs="Times New Roman"/>
          <w:color w:val="000000" w:themeColor="text1"/>
          <w:sz w:val="24"/>
          <w:szCs w:val="24"/>
        </w:rPr>
        <w:t>interests (e.g. when a business actor</w:t>
      </w:r>
      <w:r w:rsidR="001B32C7" w:rsidRPr="00424698">
        <w:rPr>
          <w:rFonts w:ascii="Times New Roman" w:hAnsi="Times New Roman" w:cs="Times New Roman"/>
          <w:color w:val="000000" w:themeColor="text1"/>
          <w:sz w:val="24"/>
          <w:szCs w:val="24"/>
        </w:rPr>
        <w:t xml:space="preserve"> claims that its property rights are being encroached upon) and to restrict such economic interests (e.g. when a </w:t>
      </w:r>
      <w:r w:rsidR="004506D3" w:rsidRPr="00424698">
        <w:rPr>
          <w:rFonts w:ascii="Times New Roman" w:hAnsi="Times New Roman" w:cs="Times New Roman"/>
          <w:color w:val="000000" w:themeColor="text1"/>
          <w:sz w:val="24"/>
          <w:szCs w:val="24"/>
        </w:rPr>
        <w:t>business actor’</w:t>
      </w:r>
      <w:r w:rsidR="001B32C7" w:rsidRPr="00424698">
        <w:rPr>
          <w:rFonts w:ascii="Times New Roman" w:hAnsi="Times New Roman" w:cs="Times New Roman"/>
          <w:color w:val="000000" w:themeColor="text1"/>
          <w:sz w:val="24"/>
          <w:szCs w:val="24"/>
        </w:rPr>
        <w:t>s</w:t>
      </w:r>
      <w:r w:rsidR="00CE15D4" w:rsidRPr="00424698">
        <w:rPr>
          <w:rFonts w:ascii="Times New Roman" w:hAnsi="Times New Roman" w:cs="Times New Roman"/>
          <w:color w:val="000000" w:themeColor="text1"/>
          <w:sz w:val="24"/>
          <w:szCs w:val="24"/>
        </w:rPr>
        <w:t xml:space="preserve"> exercise of contractual entitlements is restricted so as to accommodate a fundamental right).</w:t>
      </w:r>
      <w:r w:rsidRPr="00424698">
        <w:rPr>
          <w:rFonts w:ascii="Times New Roman" w:hAnsi="Times New Roman" w:cs="Times New Roman"/>
          <w:color w:val="000000" w:themeColor="text1"/>
          <w:sz w:val="24"/>
          <w:szCs w:val="24"/>
        </w:rPr>
        <w:t xml:space="preserve"> It is </w:t>
      </w:r>
      <w:r w:rsidR="001B32C7" w:rsidRPr="00424698">
        <w:rPr>
          <w:rFonts w:ascii="Times New Roman" w:hAnsi="Times New Roman" w:cs="Times New Roman"/>
          <w:color w:val="000000" w:themeColor="text1"/>
          <w:sz w:val="24"/>
          <w:szCs w:val="24"/>
        </w:rPr>
        <w:t xml:space="preserve">also noteworthy </w:t>
      </w:r>
      <w:r w:rsidR="004506D3" w:rsidRPr="00424698">
        <w:rPr>
          <w:rFonts w:ascii="Times New Roman" w:hAnsi="Times New Roman" w:cs="Times New Roman"/>
          <w:color w:val="000000" w:themeColor="text1"/>
          <w:sz w:val="24"/>
          <w:szCs w:val="24"/>
        </w:rPr>
        <w:t xml:space="preserve">that </w:t>
      </w:r>
      <w:r w:rsidRPr="00424698">
        <w:rPr>
          <w:rFonts w:ascii="Times New Roman" w:hAnsi="Times New Roman" w:cs="Times New Roman"/>
          <w:color w:val="000000" w:themeColor="text1"/>
          <w:sz w:val="24"/>
          <w:szCs w:val="24"/>
        </w:rPr>
        <w:t>CJ</w:t>
      </w:r>
      <w:r w:rsidR="004506D3" w:rsidRPr="00424698">
        <w:rPr>
          <w:rFonts w:ascii="Times New Roman" w:hAnsi="Times New Roman" w:cs="Times New Roman"/>
          <w:color w:val="000000" w:themeColor="text1"/>
          <w:sz w:val="24"/>
          <w:szCs w:val="24"/>
        </w:rPr>
        <w:t>EU</w:t>
      </w:r>
      <w:r w:rsidRPr="00424698">
        <w:rPr>
          <w:rFonts w:ascii="Times New Roman" w:hAnsi="Times New Roman" w:cs="Times New Roman"/>
          <w:color w:val="000000" w:themeColor="text1"/>
          <w:sz w:val="24"/>
          <w:szCs w:val="24"/>
        </w:rPr>
        <w:t xml:space="preserve"> jurisprudence to date is characterised by (and criticised for) prioritising economic freedoms, even in the cases where they infringe on fundamental rights.</w:t>
      </w:r>
      <w:r w:rsidR="001B32C7" w:rsidRPr="00424698">
        <w:rPr>
          <w:rStyle w:val="FootnoteReference"/>
          <w:rFonts w:ascii="Times New Roman" w:hAnsi="Times New Roman" w:cs="Times New Roman"/>
          <w:color w:val="000000" w:themeColor="text1"/>
          <w:sz w:val="24"/>
          <w:szCs w:val="24"/>
        </w:rPr>
        <w:footnoteReference w:id="78"/>
      </w:r>
      <w:r w:rsidRPr="00424698">
        <w:rPr>
          <w:rFonts w:ascii="Times New Roman" w:hAnsi="Times New Roman" w:cs="Times New Roman"/>
          <w:color w:val="000000" w:themeColor="text1"/>
          <w:sz w:val="24"/>
          <w:szCs w:val="24"/>
        </w:rPr>
        <w:t xml:space="preserve"> To investment lawyers, this prioritisation of free movements and back-footing of fundamental rights suggests that EU law does not always act as a </w:t>
      </w:r>
      <w:r w:rsidR="003855C6" w:rsidRPr="00424698">
        <w:rPr>
          <w:rFonts w:ascii="Times New Roman" w:hAnsi="Times New Roman" w:cs="Times New Roman"/>
          <w:color w:val="000000" w:themeColor="text1"/>
          <w:sz w:val="24"/>
          <w:szCs w:val="24"/>
        </w:rPr>
        <w:t xml:space="preserve">fastidious </w:t>
      </w:r>
      <w:r w:rsidRPr="00424698">
        <w:rPr>
          <w:rFonts w:ascii="Times New Roman" w:hAnsi="Times New Roman" w:cs="Times New Roman"/>
          <w:color w:val="000000" w:themeColor="text1"/>
          <w:sz w:val="24"/>
          <w:szCs w:val="24"/>
        </w:rPr>
        <w:t>gu</w:t>
      </w:r>
      <w:r w:rsidR="003855C6" w:rsidRPr="00424698">
        <w:rPr>
          <w:rFonts w:ascii="Times New Roman" w:hAnsi="Times New Roman" w:cs="Times New Roman"/>
          <w:color w:val="000000" w:themeColor="text1"/>
          <w:sz w:val="24"/>
          <w:szCs w:val="24"/>
        </w:rPr>
        <w:t xml:space="preserve">ardian of non-economic interests. </w:t>
      </w:r>
      <w:r w:rsidR="004506D3" w:rsidRPr="00424698">
        <w:rPr>
          <w:rFonts w:ascii="Times New Roman" w:hAnsi="Times New Roman" w:cs="Times New Roman"/>
          <w:color w:val="000000" w:themeColor="text1"/>
          <w:sz w:val="24"/>
          <w:szCs w:val="24"/>
        </w:rPr>
        <w:t>Rather, in balancing the competing non-economic interests with economic freedoms the CJEU has been frequently seen as putting the economic freedoms first. T</w:t>
      </w:r>
      <w:r w:rsidR="003855C6" w:rsidRPr="00424698">
        <w:rPr>
          <w:rFonts w:ascii="Times New Roman" w:hAnsi="Times New Roman" w:cs="Times New Roman"/>
          <w:color w:val="000000" w:themeColor="text1"/>
          <w:sz w:val="24"/>
          <w:szCs w:val="24"/>
        </w:rPr>
        <w:t xml:space="preserve">he question arises as to why, despite having long featured in EU law, fundamental rights and other non-economic concerns have in practice been </w:t>
      </w:r>
      <w:r w:rsidR="001B32C7" w:rsidRPr="00424698">
        <w:rPr>
          <w:rFonts w:ascii="Times New Roman" w:hAnsi="Times New Roman" w:cs="Times New Roman"/>
          <w:color w:val="000000" w:themeColor="text1"/>
          <w:sz w:val="24"/>
          <w:szCs w:val="24"/>
        </w:rPr>
        <w:t xml:space="preserve">frequently </w:t>
      </w:r>
      <w:r w:rsidR="004815FA" w:rsidRPr="00424698">
        <w:rPr>
          <w:rFonts w:ascii="Times New Roman" w:hAnsi="Times New Roman" w:cs="Times New Roman"/>
          <w:color w:val="000000" w:themeColor="text1"/>
          <w:sz w:val="24"/>
          <w:szCs w:val="24"/>
        </w:rPr>
        <w:t>trampled by the protection of economic freedoms.</w:t>
      </w:r>
    </w:p>
    <w:p w14:paraId="738D82C3" w14:textId="40483040" w:rsidR="003E18CB" w:rsidRPr="00424698" w:rsidRDefault="004815FA"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Recent EU law scholarship attributes the limited judicial protection of fundamental rights to the use by the C</w:t>
      </w:r>
      <w:r w:rsidR="00053AA3" w:rsidRPr="00424698">
        <w:rPr>
          <w:rFonts w:ascii="Times New Roman" w:hAnsi="Times New Roman" w:cs="Times New Roman"/>
          <w:color w:val="000000" w:themeColor="text1"/>
          <w:sz w:val="24"/>
          <w:szCs w:val="24"/>
        </w:rPr>
        <w:t>JEU</w:t>
      </w:r>
      <w:r w:rsidRPr="00424698">
        <w:rPr>
          <w:rFonts w:ascii="Times New Roman" w:hAnsi="Times New Roman" w:cs="Times New Roman"/>
          <w:color w:val="000000" w:themeColor="text1"/>
          <w:sz w:val="24"/>
          <w:szCs w:val="24"/>
        </w:rPr>
        <w:t xml:space="preserve"> of a </w:t>
      </w:r>
      <w:r w:rsidR="00DD1EF0" w:rsidRPr="00424698">
        <w:rPr>
          <w:rFonts w:ascii="Times New Roman" w:hAnsi="Times New Roman" w:cs="Times New Roman"/>
          <w:color w:val="000000" w:themeColor="text1"/>
          <w:sz w:val="24"/>
          <w:szCs w:val="24"/>
        </w:rPr>
        <w:t xml:space="preserve">two-stage breach/justification methodology – whereby a </w:t>
      </w:r>
      <w:r w:rsidR="00DD1EF0" w:rsidRPr="00424698">
        <w:rPr>
          <w:rFonts w:ascii="Times New Roman" w:hAnsi="Times New Roman" w:cs="Times New Roman"/>
          <w:i/>
          <w:iCs/>
          <w:color w:val="000000" w:themeColor="text1"/>
          <w:sz w:val="24"/>
          <w:szCs w:val="24"/>
        </w:rPr>
        <w:t xml:space="preserve">prima facie </w:t>
      </w:r>
      <w:r w:rsidR="00DD1EF0" w:rsidRPr="00424698">
        <w:rPr>
          <w:rFonts w:ascii="Times New Roman" w:hAnsi="Times New Roman" w:cs="Times New Roman"/>
          <w:color w:val="000000" w:themeColor="text1"/>
          <w:sz w:val="24"/>
          <w:szCs w:val="24"/>
        </w:rPr>
        <w:t>breach of free movement is established first, followed by the requirement that fundamental rights “defend” themselves at the justifications stage</w:t>
      </w:r>
      <w:r w:rsidRPr="00424698">
        <w:rPr>
          <w:rFonts w:ascii="Times New Roman" w:hAnsi="Times New Roman" w:cs="Times New Roman"/>
          <w:color w:val="000000" w:themeColor="text1"/>
          <w:sz w:val="24"/>
          <w:szCs w:val="24"/>
        </w:rPr>
        <w:t xml:space="preserve">. This inevitably </w:t>
      </w:r>
      <w:r w:rsidR="00DD1EF0" w:rsidRPr="00424698">
        <w:rPr>
          <w:rFonts w:ascii="Times New Roman" w:hAnsi="Times New Roman" w:cs="Times New Roman"/>
          <w:color w:val="000000" w:themeColor="text1"/>
          <w:sz w:val="24"/>
          <w:szCs w:val="24"/>
        </w:rPr>
        <w:t>places fundamental righ</w:t>
      </w:r>
      <w:r w:rsidRPr="00424698">
        <w:rPr>
          <w:rFonts w:ascii="Times New Roman" w:hAnsi="Times New Roman" w:cs="Times New Roman"/>
          <w:color w:val="000000" w:themeColor="text1"/>
          <w:sz w:val="24"/>
          <w:szCs w:val="24"/>
        </w:rPr>
        <w:t>ts on the procedural “back-foot</w:t>
      </w:r>
      <w:r w:rsidR="00CE15D4" w:rsidRPr="00424698">
        <w:rPr>
          <w:rFonts w:ascii="Times New Roman" w:hAnsi="Times New Roman" w:cs="Times New Roman"/>
          <w:color w:val="000000" w:themeColor="text1"/>
          <w:sz w:val="24"/>
          <w:szCs w:val="24"/>
        </w:rPr>
        <w:t>”</w:t>
      </w:r>
      <w:r w:rsidR="00DD1EF0" w:rsidRPr="00424698">
        <w:rPr>
          <w:rFonts w:ascii="Times New Roman" w:hAnsi="Times New Roman" w:cs="Times New Roman"/>
          <w:color w:val="000000" w:themeColor="text1"/>
          <w:sz w:val="24"/>
          <w:szCs w:val="24"/>
        </w:rPr>
        <w:t>.</w:t>
      </w:r>
      <w:r w:rsidR="00DD1EF0" w:rsidRPr="00424698">
        <w:rPr>
          <w:rStyle w:val="FootnoteReference"/>
          <w:rFonts w:ascii="Times New Roman" w:hAnsi="Times New Roman" w:cs="Times New Roman"/>
          <w:color w:val="000000" w:themeColor="text1"/>
          <w:sz w:val="24"/>
          <w:szCs w:val="24"/>
        </w:rPr>
        <w:footnoteReference w:id="79"/>
      </w:r>
      <w:r w:rsidR="00CE15D4" w:rsidRPr="00424698">
        <w:rPr>
          <w:rFonts w:ascii="Times New Roman" w:hAnsi="Times New Roman" w:cs="Times New Roman"/>
          <w:color w:val="000000" w:themeColor="text1"/>
          <w:sz w:val="24"/>
          <w:szCs w:val="24"/>
        </w:rPr>
        <w:t xml:space="preserve"> </w:t>
      </w:r>
      <w:r w:rsidR="00053AA3" w:rsidRPr="00424698">
        <w:rPr>
          <w:rFonts w:ascii="Times New Roman" w:hAnsi="Times New Roman" w:cs="Times New Roman"/>
          <w:color w:val="000000" w:themeColor="text1"/>
          <w:sz w:val="24"/>
          <w:szCs w:val="24"/>
        </w:rPr>
        <w:t xml:space="preserve">Ever since its inception, economic integration has been a central task of the EU, with the free movement of goods, services and capital within the EU </w:t>
      </w:r>
      <w:r w:rsidR="00053AA3" w:rsidRPr="00424698">
        <w:rPr>
          <w:rFonts w:ascii="Times New Roman" w:hAnsi="Times New Roman" w:cs="Times New Roman"/>
          <w:color w:val="000000" w:themeColor="text1"/>
          <w:sz w:val="24"/>
          <w:szCs w:val="24"/>
        </w:rPr>
        <w:lastRenderedPageBreak/>
        <w:t>borders regarded by the EU treaties as critical to the functioning of a common market.</w:t>
      </w:r>
      <w:r w:rsidR="00053AA3" w:rsidRPr="00424698">
        <w:rPr>
          <w:rStyle w:val="FootnoteReference"/>
          <w:rFonts w:ascii="Times New Roman" w:hAnsi="Times New Roman" w:cs="Times New Roman"/>
          <w:color w:val="000000" w:themeColor="text1"/>
          <w:sz w:val="24"/>
          <w:szCs w:val="24"/>
        </w:rPr>
        <w:footnoteReference w:id="80"/>
      </w:r>
      <w:r w:rsidR="00053AA3" w:rsidRPr="00424698">
        <w:rPr>
          <w:rFonts w:ascii="Times New Roman" w:hAnsi="Times New Roman" w:cs="Times New Roman"/>
          <w:color w:val="000000" w:themeColor="text1"/>
          <w:sz w:val="24"/>
          <w:szCs w:val="24"/>
        </w:rPr>
        <w:t xml:space="preserve"> Since the TFEU (and its predecessors) traditionally frame justifications as derogations from primary rights, ‘standard interpretative canons require the free movement provisions to be interpreted widely and exceptions from them narrowly.’</w:t>
      </w:r>
      <w:r w:rsidR="00053AA3" w:rsidRPr="00424698">
        <w:rPr>
          <w:rStyle w:val="FootnoteReference"/>
          <w:rFonts w:ascii="Times New Roman" w:hAnsi="Times New Roman" w:cs="Times New Roman"/>
          <w:color w:val="000000" w:themeColor="text1"/>
          <w:sz w:val="24"/>
          <w:szCs w:val="24"/>
        </w:rPr>
        <w:footnoteReference w:id="81"/>
      </w:r>
      <w:r w:rsidR="00053AA3" w:rsidRPr="00424698">
        <w:rPr>
          <w:rFonts w:ascii="Times New Roman" w:hAnsi="Times New Roman" w:cs="Times New Roman"/>
          <w:color w:val="000000" w:themeColor="text1"/>
          <w:sz w:val="24"/>
          <w:szCs w:val="24"/>
        </w:rPr>
        <w:t xml:space="preserve"> </w:t>
      </w:r>
      <w:r w:rsidR="00CE15D4" w:rsidRPr="00424698">
        <w:rPr>
          <w:rFonts w:ascii="Times New Roman" w:hAnsi="Times New Roman" w:cs="Times New Roman"/>
          <w:color w:val="000000" w:themeColor="text1"/>
          <w:sz w:val="24"/>
          <w:szCs w:val="24"/>
        </w:rPr>
        <w:t>Reynolds argues that ‘</w:t>
      </w:r>
      <w:r w:rsidR="00DD1EF0" w:rsidRPr="00424698">
        <w:rPr>
          <w:rFonts w:ascii="Times New Roman" w:hAnsi="Times New Roman" w:cs="Times New Roman"/>
          <w:color w:val="000000" w:themeColor="text1"/>
          <w:sz w:val="24"/>
          <w:szCs w:val="24"/>
        </w:rPr>
        <w:t>assessment at the justification phase, and the resultant application of a one-sided proportionality test, imposes evidentiary hurdles on fundamental rights not faced by free movement, namely questions of</w:t>
      </w:r>
      <w:r w:rsidRPr="00424698">
        <w:rPr>
          <w:rFonts w:ascii="Times New Roman" w:hAnsi="Times New Roman" w:cs="Times New Roman"/>
          <w:color w:val="000000" w:themeColor="text1"/>
          <w:sz w:val="24"/>
          <w:szCs w:val="24"/>
        </w:rPr>
        <w:t xml:space="preserve"> </w:t>
      </w:r>
      <w:r w:rsidR="00DD1EF0" w:rsidRPr="00424698">
        <w:rPr>
          <w:rFonts w:ascii="Times New Roman" w:hAnsi="Times New Roman" w:cs="Times New Roman"/>
          <w:color w:val="000000" w:themeColor="text1"/>
          <w:sz w:val="24"/>
          <w:szCs w:val="24"/>
        </w:rPr>
        <w:t>legitimacy of aim, appropriateness, and necessity.</w:t>
      </w:r>
      <w:r w:rsidR="006E194A">
        <w:rPr>
          <w:rFonts w:ascii="Times New Roman" w:hAnsi="Times New Roman" w:cs="Times New Roman"/>
          <w:color w:val="000000" w:themeColor="text1"/>
          <w:sz w:val="24"/>
          <w:szCs w:val="24"/>
        </w:rPr>
        <w:t>’</w:t>
      </w:r>
      <w:r w:rsidR="00DD1EF0" w:rsidRPr="00424698">
        <w:rPr>
          <w:rStyle w:val="FootnoteReference"/>
          <w:rFonts w:ascii="Times New Roman" w:hAnsi="Times New Roman" w:cs="Times New Roman"/>
          <w:color w:val="000000" w:themeColor="text1"/>
          <w:sz w:val="24"/>
          <w:szCs w:val="24"/>
        </w:rPr>
        <w:footnoteReference w:id="82"/>
      </w:r>
      <w:r w:rsidR="00DD1EF0"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W</w:t>
      </w:r>
      <w:r w:rsidR="00DD1EF0" w:rsidRPr="00424698">
        <w:rPr>
          <w:rFonts w:ascii="Times New Roman" w:hAnsi="Times New Roman" w:cs="Times New Roman"/>
          <w:color w:val="000000" w:themeColor="text1"/>
          <w:sz w:val="24"/>
          <w:szCs w:val="24"/>
        </w:rPr>
        <w:t xml:space="preserve">hile </w:t>
      </w:r>
      <w:r w:rsidRPr="00424698">
        <w:rPr>
          <w:rFonts w:ascii="Times New Roman" w:hAnsi="Times New Roman" w:cs="Times New Roman"/>
          <w:color w:val="000000" w:themeColor="text1"/>
          <w:sz w:val="24"/>
          <w:szCs w:val="24"/>
        </w:rPr>
        <w:t>conceding that ‘</w:t>
      </w:r>
      <w:r w:rsidR="00DD1EF0" w:rsidRPr="00424698">
        <w:rPr>
          <w:rFonts w:ascii="Times New Roman" w:hAnsi="Times New Roman" w:cs="Times New Roman"/>
          <w:color w:val="000000" w:themeColor="text1"/>
          <w:sz w:val="24"/>
          <w:szCs w:val="24"/>
        </w:rPr>
        <w:t>a preference for free movement over fundamental rights undoubtedly exists</w:t>
      </w:r>
      <w:r w:rsidR="00CE15D4" w:rsidRPr="00424698">
        <w:rPr>
          <w:rFonts w:ascii="Times New Roman" w:hAnsi="Times New Roman" w:cs="Times New Roman"/>
          <w:color w:val="000000" w:themeColor="text1"/>
          <w:sz w:val="24"/>
          <w:szCs w:val="24"/>
        </w:rPr>
        <w:t>’</w:t>
      </w:r>
      <w:r w:rsidR="00DD1EF0"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Reynolds</w:t>
      </w:r>
      <w:r w:rsidR="00DD1EF0" w:rsidRPr="00424698">
        <w:rPr>
          <w:rFonts w:ascii="Times New Roman" w:hAnsi="Times New Roman" w:cs="Times New Roman"/>
          <w:color w:val="000000" w:themeColor="text1"/>
          <w:sz w:val="24"/>
          <w:szCs w:val="24"/>
        </w:rPr>
        <w:t xml:space="preserve"> argues tha</w:t>
      </w:r>
      <w:r w:rsidRPr="00424698">
        <w:rPr>
          <w:rFonts w:ascii="Times New Roman" w:hAnsi="Times New Roman" w:cs="Times New Roman"/>
          <w:color w:val="000000" w:themeColor="text1"/>
          <w:sz w:val="24"/>
          <w:szCs w:val="24"/>
        </w:rPr>
        <w:t>t this is not a consequence of ‘</w:t>
      </w:r>
      <w:r w:rsidR="00DD1EF0" w:rsidRPr="00424698">
        <w:rPr>
          <w:rFonts w:ascii="Times New Roman" w:hAnsi="Times New Roman" w:cs="Times New Roman"/>
          <w:color w:val="000000" w:themeColor="text1"/>
          <w:sz w:val="24"/>
          <w:szCs w:val="24"/>
        </w:rPr>
        <w:t>some contestable subjective attitude on the part</w:t>
      </w:r>
      <w:r w:rsidRPr="00424698">
        <w:rPr>
          <w:rFonts w:ascii="Times New Roman" w:hAnsi="Times New Roman" w:cs="Times New Roman"/>
          <w:color w:val="000000" w:themeColor="text1"/>
          <w:sz w:val="24"/>
          <w:szCs w:val="24"/>
        </w:rPr>
        <w:t xml:space="preserve"> of the Court’ but rather is a product of a greater</w:t>
      </w:r>
      <w:r w:rsidR="00DD1EF0" w:rsidRPr="00424698">
        <w:rPr>
          <w:rFonts w:ascii="Times New Roman" w:hAnsi="Times New Roman" w:cs="Times New Roman"/>
          <w:color w:val="000000" w:themeColor="text1"/>
          <w:sz w:val="24"/>
          <w:szCs w:val="24"/>
        </w:rPr>
        <w:t xml:space="preserve"> historical significance</w:t>
      </w:r>
      <w:r w:rsidRPr="00424698">
        <w:rPr>
          <w:rFonts w:ascii="Times New Roman" w:hAnsi="Times New Roman" w:cs="Times New Roman"/>
          <w:color w:val="000000" w:themeColor="text1"/>
          <w:sz w:val="24"/>
          <w:szCs w:val="24"/>
        </w:rPr>
        <w:t xml:space="preserve"> of the free movement provisions.</w:t>
      </w:r>
      <w:r w:rsidR="00DD1EF0" w:rsidRPr="00424698">
        <w:rPr>
          <w:rStyle w:val="FootnoteReference"/>
          <w:rFonts w:ascii="Times New Roman" w:hAnsi="Times New Roman" w:cs="Times New Roman"/>
          <w:color w:val="000000" w:themeColor="text1"/>
          <w:sz w:val="24"/>
          <w:szCs w:val="24"/>
        </w:rPr>
        <w:footnoteReference w:id="83"/>
      </w:r>
      <w:r w:rsidR="00DD1EF0" w:rsidRPr="00424698">
        <w:rPr>
          <w:rFonts w:ascii="Times New Roman" w:hAnsi="Times New Roman" w:cs="Times New Roman"/>
          <w:color w:val="000000" w:themeColor="text1"/>
          <w:sz w:val="24"/>
          <w:szCs w:val="24"/>
        </w:rPr>
        <w:t xml:space="preserve"> </w:t>
      </w:r>
    </w:p>
    <w:p w14:paraId="700CD203" w14:textId="017C5252" w:rsidR="004506D3" w:rsidRPr="00424698" w:rsidRDefault="006350DE"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In contrast with the historically reinforced centrality of free movement within the Rome Treaty and subsequent treaties, the recognition of the importance of fundamental rights has been a </w:t>
      </w:r>
      <w:r w:rsidR="004506D3" w:rsidRPr="00424698">
        <w:rPr>
          <w:rFonts w:ascii="Times New Roman" w:hAnsi="Times New Roman" w:cs="Times New Roman"/>
          <w:color w:val="000000" w:themeColor="text1"/>
          <w:sz w:val="24"/>
          <w:szCs w:val="24"/>
        </w:rPr>
        <w:t xml:space="preserve">longer and </w:t>
      </w:r>
      <w:r w:rsidRPr="00424698">
        <w:rPr>
          <w:rFonts w:ascii="Times New Roman" w:hAnsi="Times New Roman" w:cs="Times New Roman"/>
          <w:color w:val="000000" w:themeColor="text1"/>
          <w:sz w:val="24"/>
          <w:szCs w:val="24"/>
        </w:rPr>
        <w:t>more piece-meal process.</w:t>
      </w:r>
      <w:r w:rsidRPr="00424698">
        <w:rPr>
          <w:rStyle w:val="FootnoteReference"/>
          <w:rFonts w:ascii="Times New Roman" w:hAnsi="Times New Roman" w:cs="Times New Roman"/>
          <w:color w:val="000000" w:themeColor="text1"/>
          <w:sz w:val="24"/>
          <w:szCs w:val="24"/>
        </w:rPr>
        <w:footnoteReference w:id="84"/>
      </w:r>
      <w:r w:rsidRPr="00424698">
        <w:rPr>
          <w:rFonts w:ascii="Times New Roman" w:hAnsi="Times New Roman" w:cs="Times New Roman"/>
          <w:color w:val="000000" w:themeColor="text1"/>
          <w:sz w:val="24"/>
          <w:szCs w:val="24"/>
        </w:rPr>
        <w:t xml:space="preserve"> For example, just as the first generation of IIAs made no provision for state measures in pursuit of public policy objectives, Rome Treaty made no mention of fundamental rights—‘seemingly because reference to them was viewed as unnecessary within a document charged with constituting an economic community.’</w:t>
      </w:r>
      <w:r w:rsidRPr="00424698">
        <w:rPr>
          <w:rStyle w:val="FootnoteReference"/>
          <w:rFonts w:ascii="Times New Roman" w:hAnsi="Times New Roman" w:cs="Times New Roman"/>
          <w:color w:val="000000" w:themeColor="text1"/>
          <w:sz w:val="24"/>
          <w:szCs w:val="24"/>
        </w:rPr>
        <w:footnoteReference w:id="85"/>
      </w:r>
      <w:r w:rsidR="003E18CB" w:rsidRPr="00424698">
        <w:rPr>
          <w:rFonts w:ascii="Times New Roman" w:hAnsi="Times New Roman" w:cs="Times New Roman"/>
          <w:color w:val="000000" w:themeColor="text1"/>
          <w:sz w:val="24"/>
          <w:szCs w:val="24"/>
        </w:rPr>
        <w:t xml:space="preserve"> </w:t>
      </w:r>
      <w:r w:rsidRPr="00424698">
        <w:rPr>
          <w:rFonts w:ascii="Times New Roman" w:hAnsi="Times New Roman" w:cs="Times New Roman"/>
          <w:color w:val="000000" w:themeColor="text1"/>
          <w:sz w:val="24"/>
          <w:szCs w:val="24"/>
        </w:rPr>
        <w:t>Unlike economic freedoms</w:t>
      </w:r>
      <w:r w:rsidR="00723B41" w:rsidRPr="00424698">
        <w:rPr>
          <w:rFonts w:ascii="Times New Roman" w:hAnsi="Times New Roman" w:cs="Times New Roman"/>
          <w:color w:val="000000" w:themeColor="text1"/>
          <w:sz w:val="24"/>
          <w:szCs w:val="24"/>
        </w:rPr>
        <w:t xml:space="preserve"> which occupied a centrepiece in the founding EU treaties</w:t>
      </w:r>
      <w:r w:rsidRPr="00424698">
        <w:rPr>
          <w:rFonts w:ascii="Times New Roman" w:hAnsi="Times New Roman" w:cs="Times New Roman"/>
          <w:color w:val="000000" w:themeColor="text1"/>
          <w:sz w:val="24"/>
          <w:szCs w:val="24"/>
        </w:rPr>
        <w:t xml:space="preserve">, EU fundamental rights were first </w:t>
      </w:r>
      <w:r w:rsidR="00723B41" w:rsidRPr="00424698">
        <w:rPr>
          <w:rFonts w:ascii="Times New Roman" w:hAnsi="Times New Roman" w:cs="Times New Roman"/>
          <w:color w:val="000000" w:themeColor="text1"/>
          <w:sz w:val="24"/>
          <w:szCs w:val="24"/>
        </w:rPr>
        <w:t>introduced</w:t>
      </w:r>
      <w:r w:rsidRPr="00424698">
        <w:rPr>
          <w:rFonts w:ascii="Times New Roman" w:hAnsi="Times New Roman" w:cs="Times New Roman"/>
          <w:color w:val="000000" w:themeColor="text1"/>
          <w:sz w:val="24"/>
          <w:szCs w:val="24"/>
        </w:rPr>
        <w:t xml:space="preserve"> </w:t>
      </w:r>
      <w:r w:rsidR="00532AF9" w:rsidRPr="00424698">
        <w:rPr>
          <w:rFonts w:ascii="Times New Roman" w:hAnsi="Times New Roman" w:cs="Times New Roman"/>
          <w:color w:val="000000" w:themeColor="text1"/>
          <w:sz w:val="24"/>
          <w:szCs w:val="24"/>
        </w:rPr>
        <w:t>as general</w:t>
      </w:r>
      <w:r w:rsidRPr="00424698">
        <w:rPr>
          <w:rFonts w:ascii="Times New Roman" w:hAnsi="Times New Roman" w:cs="Times New Roman"/>
          <w:color w:val="000000" w:themeColor="text1"/>
          <w:sz w:val="24"/>
          <w:szCs w:val="24"/>
        </w:rPr>
        <w:t xml:space="preserve"> </w:t>
      </w:r>
      <w:r w:rsidR="00532AF9" w:rsidRPr="00424698">
        <w:rPr>
          <w:rFonts w:ascii="Times New Roman" w:hAnsi="Times New Roman" w:cs="Times New Roman"/>
          <w:color w:val="000000" w:themeColor="text1"/>
          <w:sz w:val="24"/>
          <w:szCs w:val="24"/>
        </w:rPr>
        <w:t xml:space="preserve">principles of Union law, </w:t>
      </w:r>
      <w:r w:rsidRPr="00424698">
        <w:rPr>
          <w:rFonts w:ascii="Times New Roman" w:hAnsi="Times New Roman" w:cs="Times New Roman"/>
          <w:color w:val="000000" w:themeColor="text1"/>
          <w:sz w:val="24"/>
          <w:szCs w:val="24"/>
        </w:rPr>
        <w:t xml:space="preserve">and subsequently enshrined in the </w:t>
      </w:r>
      <w:r w:rsidR="00647BCE" w:rsidRPr="00424698">
        <w:rPr>
          <w:rFonts w:ascii="Times New Roman" w:hAnsi="Times New Roman" w:cs="Times New Roman"/>
          <w:color w:val="000000" w:themeColor="text1"/>
          <w:sz w:val="24"/>
          <w:szCs w:val="24"/>
        </w:rPr>
        <w:t>C</w:t>
      </w:r>
      <w:r w:rsidR="00647BCE">
        <w:rPr>
          <w:rFonts w:ascii="Times New Roman" w:hAnsi="Times New Roman" w:cs="Times New Roman"/>
          <w:color w:val="000000" w:themeColor="text1"/>
          <w:sz w:val="24"/>
          <w:szCs w:val="24"/>
        </w:rPr>
        <w:t>FR</w:t>
      </w:r>
      <w:r w:rsidRPr="00424698">
        <w:rPr>
          <w:rFonts w:ascii="Times New Roman" w:hAnsi="Times New Roman" w:cs="Times New Roman"/>
          <w:color w:val="000000" w:themeColor="text1"/>
          <w:sz w:val="24"/>
          <w:szCs w:val="24"/>
        </w:rPr>
        <w:t xml:space="preserve">. </w:t>
      </w:r>
    </w:p>
    <w:p w14:paraId="36E1B26E" w14:textId="5A8E275D" w:rsidR="005275A9" w:rsidRPr="00424698" w:rsidRDefault="006350DE"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Even despite being recognised as primary norms of EU law,</w:t>
      </w:r>
      <w:r w:rsidR="00723B41" w:rsidRPr="00424698">
        <w:rPr>
          <w:rStyle w:val="FootnoteReference"/>
          <w:rFonts w:ascii="Times New Roman" w:hAnsi="Times New Roman" w:cs="Times New Roman"/>
          <w:color w:val="000000" w:themeColor="text1"/>
          <w:sz w:val="24"/>
          <w:szCs w:val="24"/>
        </w:rPr>
        <w:footnoteReference w:id="86"/>
      </w:r>
      <w:r w:rsidRPr="00424698">
        <w:rPr>
          <w:rFonts w:ascii="Times New Roman" w:hAnsi="Times New Roman" w:cs="Times New Roman"/>
          <w:color w:val="000000" w:themeColor="text1"/>
          <w:sz w:val="24"/>
          <w:szCs w:val="24"/>
        </w:rPr>
        <w:t xml:space="preserve"> the relationship between </w:t>
      </w:r>
      <w:r w:rsidR="00723B41" w:rsidRPr="00424698">
        <w:rPr>
          <w:rFonts w:ascii="Times New Roman" w:hAnsi="Times New Roman" w:cs="Times New Roman"/>
          <w:color w:val="000000" w:themeColor="text1"/>
          <w:sz w:val="24"/>
          <w:szCs w:val="24"/>
        </w:rPr>
        <w:t>fundamental rights and economic freedoms has long remained uncertain.</w:t>
      </w:r>
      <w:r w:rsidR="005622D7" w:rsidRPr="00424698">
        <w:rPr>
          <w:rFonts w:ascii="Times New Roman" w:hAnsi="Times New Roman" w:cs="Times New Roman"/>
          <w:color w:val="000000" w:themeColor="text1"/>
          <w:sz w:val="24"/>
          <w:szCs w:val="24"/>
        </w:rPr>
        <w:t xml:space="preserve"> In principle, there is no a priory hierarchy between fundamental rights and economic freedoms, and the indivisibility of fundamental rights suggests that they should be equally promoted and protected.</w:t>
      </w:r>
      <w:r w:rsidR="005622D7" w:rsidRPr="00424698">
        <w:rPr>
          <w:rStyle w:val="FootnoteReference"/>
          <w:rFonts w:ascii="Times New Roman" w:hAnsi="Times New Roman" w:cs="Times New Roman"/>
          <w:color w:val="000000" w:themeColor="text1"/>
          <w:sz w:val="24"/>
          <w:szCs w:val="24"/>
        </w:rPr>
        <w:footnoteReference w:id="87"/>
      </w:r>
      <w:r w:rsidR="004506D3" w:rsidRPr="00424698">
        <w:rPr>
          <w:rFonts w:ascii="Times New Roman" w:hAnsi="Times New Roman" w:cs="Times New Roman"/>
          <w:color w:val="000000" w:themeColor="text1"/>
          <w:sz w:val="24"/>
          <w:szCs w:val="24"/>
        </w:rPr>
        <w:t xml:space="preserve"> As EU law scholars put it, </w:t>
      </w:r>
      <w:r w:rsidR="00514334" w:rsidRPr="00424698">
        <w:rPr>
          <w:rFonts w:ascii="Times New Roman" w:hAnsi="Times New Roman" w:cs="Times New Roman"/>
          <w:color w:val="000000" w:themeColor="text1"/>
          <w:sz w:val="24"/>
          <w:szCs w:val="24"/>
        </w:rPr>
        <w:t xml:space="preserve">the protection of fundamental rights is yet to catch up with the protection </w:t>
      </w:r>
      <w:r w:rsidR="00514334" w:rsidRPr="00424698">
        <w:rPr>
          <w:rFonts w:ascii="Times New Roman" w:hAnsi="Times New Roman" w:cs="Times New Roman"/>
          <w:color w:val="000000" w:themeColor="text1"/>
          <w:sz w:val="24"/>
          <w:szCs w:val="24"/>
        </w:rPr>
        <w:lastRenderedPageBreak/>
        <w:t>of economic freedoms. Over decades, an</w:t>
      </w:r>
      <w:r w:rsidR="00CC23B4" w:rsidRPr="00424698">
        <w:rPr>
          <w:rFonts w:ascii="Times New Roman" w:hAnsi="Times New Roman" w:cs="Times New Roman"/>
          <w:color w:val="000000" w:themeColor="text1"/>
          <w:sz w:val="24"/>
          <w:szCs w:val="24"/>
        </w:rPr>
        <w:t xml:space="preserve"> increasingly expansive interpretation of free movement provisions inevitably entailed the widening of their </w:t>
      </w:r>
      <w:r w:rsidR="00723B41" w:rsidRPr="00424698">
        <w:rPr>
          <w:rFonts w:ascii="Times New Roman" w:hAnsi="Times New Roman" w:cs="Times New Roman"/>
          <w:color w:val="000000" w:themeColor="text1"/>
          <w:sz w:val="24"/>
          <w:szCs w:val="24"/>
        </w:rPr>
        <w:t xml:space="preserve">material and personal </w:t>
      </w:r>
      <w:r w:rsidR="00CC23B4" w:rsidRPr="00424698">
        <w:rPr>
          <w:rFonts w:ascii="Times New Roman" w:hAnsi="Times New Roman" w:cs="Times New Roman"/>
          <w:color w:val="000000" w:themeColor="text1"/>
          <w:sz w:val="24"/>
          <w:szCs w:val="24"/>
        </w:rPr>
        <w:t>scope</w:t>
      </w:r>
      <w:r w:rsidR="00723B41" w:rsidRPr="00424698">
        <w:rPr>
          <w:rFonts w:ascii="Times New Roman" w:hAnsi="Times New Roman" w:cs="Times New Roman"/>
          <w:color w:val="000000" w:themeColor="text1"/>
          <w:sz w:val="24"/>
          <w:szCs w:val="24"/>
        </w:rPr>
        <w:t xml:space="preserve"> – free </w:t>
      </w:r>
      <w:r w:rsidR="00B87CAA" w:rsidRPr="00424698">
        <w:rPr>
          <w:rFonts w:ascii="Times New Roman" w:hAnsi="Times New Roman" w:cs="Times New Roman"/>
          <w:color w:val="000000" w:themeColor="text1"/>
          <w:sz w:val="24"/>
          <w:szCs w:val="24"/>
        </w:rPr>
        <w:t>movement can be triggered by rules that simply make economic activity less attractive to actors</w:t>
      </w:r>
      <w:r w:rsidR="00723B41" w:rsidRPr="00424698">
        <w:rPr>
          <w:rFonts w:ascii="Times New Roman" w:hAnsi="Times New Roman" w:cs="Times New Roman"/>
          <w:color w:val="000000" w:themeColor="text1"/>
          <w:sz w:val="24"/>
          <w:szCs w:val="24"/>
        </w:rPr>
        <w:t>.</w:t>
      </w:r>
      <w:r w:rsidR="00514334" w:rsidRPr="00424698">
        <w:rPr>
          <w:rStyle w:val="FootnoteReference"/>
          <w:rFonts w:ascii="Times New Roman" w:hAnsi="Times New Roman" w:cs="Times New Roman"/>
          <w:color w:val="000000" w:themeColor="text1"/>
          <w:sz w:val="24"/>
          <w:szCs w:val="24"/>
        </w:rPr>
        <w:footnoteReference w:id="88"/>
      </w:r>
      <w:r w:rsidR="00723B41" w:rsidRPr="00424698">
        <w:rPr>
          <w:rFonts w:ascii="Times New Roman" w:hAnsi="Times New Roman" w:cs="Times New Roman"/>
          <w:color w:val="000000" w:themeColor="text1"/>
          <w:sz w:val="24"/>
          <w:szCs w:val="24"/>
        </w:rPr>
        <w:t xml:space="preserve"> Expansion of the scope of </w:t>
      </w:r>
      <w:r w:rsidR="003654C0" w:rsidRPr="00424698">
        <w:rPr>
          <w:rFonts w:ascii="Times New Roman" w:hAnsi="Times New Roman" w:cs="Times New Roman"/>
          <w:color w:val="000000" w:themeColor="text1"/>
          <w:sz w:val="24"/>
          <w:szCs w:val="24"/>
        </w:rPr>
        <w:t xml:space="preserve">fundamental </w:t>
      </w:r>
      <w:r w:rsidR="00723B41" w:rsidRPr="00424698">
        <w:rPr>
          <w:rFonts w:ascii="Times New Roman" w:hAnsi="Times New Roman" w:cs="Times New Roman"/>
          <w:color w:val="000000" w:themeColor="text1"/>
          <w:sz w:val="24"/>
          <w:szCs w:val="24"/>
        </w:rPr>
        <w:t xml:space="preserve">economic freedoms has inevitably </w:t>
      </w:r>
      <w:r w:rsidR="00514334" w:rsidRPr="00424698">
        <w:rPr>
          <w:rFonts w:ascii="Times New Roman" w:hAnsi="Times New Roman" w:cs="Times New Roman"/>
          <w:color w:val="000000" w:themeColor="text1"/>
          <w:sz w:val="24"/>
          <w:szCs w:val="24"/>
        </w:rPr>
        <w:t>limited a space for</w:t>
      </w:r>
      <w:r w:rsidR="00CC23B4" w:rsidRPr="00424698">
        <w:rPr>
          <w:rFonts w:ascii="Times New Roman" w:hAnsi="Times New Roman" w:cs="Times New Roman"/>
          <w:color w:val="000000" w:themeColor="text1"/>
          <w:sz w:val="24"/>
          <w:szCs w:val="24"/>
        </w:rPr>
        <w:t xml:space="preserve"> fundamental rights</w:t>
      </w:r>
      <w:r w:rsidR="00723B41" w:rsidRPr="00424698">
        <w:rPr>
          <w:rFonts w:ascii="Times New Roman" w:hAnsi="Times New Roman" w:cs="Times New Roman"/>
          <w:color w:val="000000" w:themeColor="text1"/>
          <w:sz w:val="24"/>
          <w:szCs w:val="24"/>
        </w:rPr>
        <w:t xml:space="preserve">, and resulted in the latter being frequently invoked as </w:t>
      </w:r>
      <w:r w:rsidR="00A42726" w:rsidRPr="00424698">
        <w:rPr>
          <w:rFonts w:ascii="Times New Roman" w:hAnsi="Times New Roman" w:cs="Times New Roman"/>
          <w:i/>
          <w:iCs/>
          <w:color w:val="000000" w:themeColor="text1"/>
          <w:sz w:val="24"/>
          <w:szCs w:val="24"/>
        </w:rPr>
        <w:t xml:space="preserve">prima facie </w:t>
      </w:r>
      <w:r w:rsidR="006E194A">
        <w:rPr>
          <w:rFonts w:ascii="Times New Roman" w:hAnsi="Times New Roman" w:cs="Times New Roman"/>
          <w:color w:val="000000" w:themeColor="text1"/>
          <w:sz w:val="24"/>
          <w:szCs w:val="24"/>
        </w:rPr>
        <w:t>‘</w:t>
      </w:r>
      <w:r w:rsidR="00A42726" w:rsidRPr="00424698">
        <w:rPr>
          <w:rFonts w:ascii="Times New Roman" w:hAnsi="Times New Roman" w:cs="Times New Roman"/>
          <w:color w:val="000000" w:themeColor="text1"/>
          <w:sz w:val="24"/>
          <w:szCs w:val="24"/>
        </w:rPr>
        <w:t>wrongs</w:t>
      </w:r>
      <w:r w:rsidR="006E194A">
        <w:rPr>
          <w:rFonts w:ascii="Times New Roman" w:hAnsi="Times New Roman" w:cs="Times New Roman"/>
          <w:color w:val="000000" w:themeColor="text1"/>
          <w:sz w:val="24"/>
          <w:szCs w:val="24"/>
        </w:rPr>
        <w:t>’</w:t>
      </w:r>
      <w:r w:rsidR="00A42726" w:rsidRPr="00424698">
        <w:rPr>
          <w:rFonts w:ascii="Times New Roman" w:hAnsi="Times New Roman" w:cs="Times New Roman"/>
          <w:color w:val="000000" w:themeColor="text1"/>
          <w:sz w:val="24"/>
          <w:szCs w:val="24"/>
        </w:rPr>
        <w:t xml:space="preserve"> </w:t>
      </w:r>
      <w:r w:rsidR="00723B41" w:rsidRPr="00424698">
        <w:rPr>
          <w:rFonts w:ascii="Times New Roman" w:hAnsi="Times New Roman" w:cs="Times New Roman"/>
          <w:color w:val="000000" w:themeColor="text1"/>
          <w:sz w:val="24"/>
          <w:szCs w:val="24"/>
        </w:rPr>
        <w:t xml:space="preserve">warranting </w:t>
      </w:r>
      <w:r w:rsidR="00A42726" w:rsidRPr="00424698">
        <w:rPr>
          <w:rFonts w:ascii="Times New Roman" w:hAnsi="Times New Roman" w:cs="Times New Roman"/>
          <w:color w:val="000000" w:themeColor="text1"/>
          <w:sz w:val="24"/>
          <w:szCs w:val="24"/>
        </w:rPr>
        <w:t>justification.</w:t>
      </w:r>
      <w:r w:rsidR="00723B41" w:rsidRPr="00424698">
        <w:rPr>
          <w:rStyle w:val="FootnoteReference"/>
          <w:rFonts w:ascii="Times New Roman" w:hAnsi="Times New Roman" w:cs="Times New Roman"/>
          <w:color w:val="000000" w:themeColor="text1"/>
          <w:sz w:val="24"/>
          <w:szCs w:val="24"/>
        </w:rPr>
        <w:footnoteReference w:id="89"/>
      </w:r>
      <w:r w:rsidR="00723B41" w:rsidRPr="00424698">
        <w:rPr>
          <w:rFonts w:ascii="Times New Roman" w:hAnsi="Times New Roman" w:cs="Times New Roman"/>
          <w:color w:val="000000" w:themeColor="text1"/>
          <w:sz w:val="24"/>
          <w:szCs w:val="24"/>
        </w:rPr>
        <w:t xml:space="preserve"> Since derogations from the free movement disciplines have always been subject to a narrow interpretation, a similar approach has been adopted in a growing number of</w:t>
      </w:r>
      <w:r w:rsidR="003654C0" w:rsidRPr="00424698">
        <w:rPr>
          <w:rFonts w:ascii="Times New Roman" w:hAnsi="Times New Roman" w:cs="Times New Roman"/>
          <w:color w:val="000000" w:themeColor="text1"/>
          <w:sz w:val="24"/>
          <w:szCs w:val="24"/>
        </w:rPr>
        <w:t xml:space="preserve"> cases involving</w:t>
      </w:r>
      <w:r w:rsidR="00723B41" w:rsidRPr="00424698">
        <w:rPr>
          <w:rFonts w:ascii="Times New Roman" w:hAnsi="Times New Roman" w:cs="Times New Roman"/>
          <w:color w:val="000000" w:themeColor="text1"/>
          <w:sz w:val="24"/>
          <w:szCs w:val="24"/>
        </w:rPr>
        <w:t xml:space="preserve"> clashes between</w:t>
      </w:r>
      <w:r w:rsidR="003654C0" w:rsidRPr="00424698">
        <w:rPr>
          <w:rFonts w:ascii="Times New Roman" w:hAnsi="Times New Roman" w:cs="Times New Roman"/>
          <w:color w:val="000000" w:themeColor="text1"/>
          <w:sz w:val="24"/>
          <w:szCs w:val="24"/>
        </w:rPr>
        <w:t xml:space="preserve"> fundamental rights and economic freedoms.</w:t>
      </w:r>
      <w:r w:rsidR="003654C0" w:rsidRPr="00424698">
        <w:rPr>
          <w:rStyle w:val="FootnoteReference"/>
          <w:rFonts w:ascii="Times New Roman" w:hAnsi="Times New Roman" w:cs="Times New Roman"/>
          <w:color w:val="000000" w:themeColor="text1"/>
          <w:sz w:val="24"/>
          <w:szCs w:val="24"/>
        </w:rPr>
        <w:footnoteReference w:id="90"/>
      </w:r>
      <w:r w:rsidR="003654C0" w:rsidRPr="00424698">
        <w:rPr>
          <w:rFonts w:ascii="Times New Roman" w:hAnsi="Times New Roman" w:cs="Times New Roman"/>
          <w:color w:val="000000" w:themeColor="text1"/>
          <w:sz w:val="24"/>
          <w:szCs w:val="24"/>
        </w:rPr>
        <w:t xml:space="preserve"> For instance, in </w:t>
      </w:r>
      <w:r w:rsidR="003654C0" w:rsidRPr="00424698">
        <w:rPr>
          <w:rFonts w:ascii="Times New Roman" w:hAnsi="Times New Roman" w:cs="Times New Roman"/>
          <w:i/>
          <w:iCs/>
          <w:color w:val="000000" w:themeColor="text1"/>
          <w:sz w:val="24"/>
          <w:szCs w:val="24"/>
        </w:rPr>
        <w:t>Omega</w:t>
      </w:r>
      <w:r w:rsidR="003654C0" w:rsidRPr="00424698">
        <w:rPr>
          <w:rFonts w:ascii="Times New Roman" w:hAnsi="Times New Roman" w:cs="Times New Roman"/>
          <w:color w:val="000000" w:themeColor="text1"/>
          <w:sz w:val="24"/>
          <w:szCs w:val="24"/>
        </w:rPr>
        <w:t xml:space="preserve"> the Court held that the protection of the fundamental right to human dignity, ‘particularly as a justification for a derogation from the fundamental principle to provide services, must be interpreted strictly.’</w:t>
      </w:r>
      <w:r w:rsidR="003654C0" w:rsidRPr="00424698">
        <w:rPr>
          <w:rStyle w:val="FootnoteReference"/>
          <w:rFonts w:ascii="Times New Roman" w:hAnsi="Times New Roman" w:cs="Times New Roman"/>
          <w:color w:val="000000" w:themeColor="text1"/>
          <w:sz w:val="24"/>
          <w:szCs w:val="24"/>
        </w:rPr>
        <w:footnoteReference w:id="91"/>
      </w:r>
      <w:r w:rsidR="003654C0" w:rsidRPr="00424698">
        <w:rPr>
          <w:rFonts w:ascii="Times New Roman" w:hAnsi="Times New Roman" w:cs="Times New Roman"/>
          <w:color w:val="000000" w:themeColor="text1"/>
          <w:sz w:val="24"/>
          <w:szCs w:val="24"/>
        </w:rPr>
        <w:t xml:space="preserve"> The Court also stressed, in the same case, that ‘public policy may be relied on only if there is a </w:t>
      </w:r>
      <w:r w:rsidR="003654C0" w:rsidRPr="001506B1">
        <w:rPr>
          <w:rFonts w:ascii="Times New Roman" w:hAnsi="Times New Roman" w:cs="Times New Roman"/>
          <w:iCs/>
          <w:color w:val="000000" w:themeColor="text1"/>
          <w:sz w:val="24"/>
          <w:szCs w:val="24"/>
        </w:rPr>
        <w:t>genuine and sufficiently serious threat</w:t>
      </w:r>
      <w:r w:rsidR="003654C0" w:rsidRPr="00424698">
        <w:rPr>
          <w:rFonts w:ascii="Times New Roman" w:hAnsi="Times New Roman" w:cs="Times New Roman"/>
          <w:i/>
          <w:iCs/>
          <w:color w:val="000000" w:themeColor="text1"/>
          <w:sz w:val="24"/>
          <w:szCs w:val="24"/>
        </w:rPr>
        <w:t xml:space="preserve"> </w:t>
      </w:r>
      <w:r w:rsidR="003654C0" w:rsidRPr="00424698">
        <w:rPr>
          <w:rFonts w:ascii="Times New Roman" w:hAnsi="Times New Roman" w:cs="Times New Roman"/>
          <w:color w:val="000000" w:themeColor="text1"/>
          <w:sz w:val="24"/>
          <w:szCs w:val="24"/>
        </w:rPr>
        <w:t>to a fundamental interest of society.’</w:t>
      </w:r>
      <w:r w:rsidR="00514334" w:rsidRPr="00424698">
        <w:rPr>
          <w:rStyle w:val="FootnoteReference"/>
          <w:rFonts w:ascii="Times New Roman" w:hAnsi="Times New Roman" w:cs="Times New Roman"/>
          <w:color w:val="000000" w:themeColor="text1"/>
          <w:sz w:val="24"/>
          <w:szCs w:val="24"/>
        </w:rPr>
        <w:footnoteReference w:id="92"/>
      </w:r>
      <w:r w:rsidR="003654C0" w:rsidRPr="00424698">
        <w:rPr>
          <w:rFonts w:ascii="Times New Roman" w:hAnsi="Times New Roman" w:cs="Times New Roman"/>
          <w:color w:val="000000" w:themeColor="text1"/>
          <w:sz w:val="24"/>
          <w:szCs w:val="24"/>
        </w:rPr>
        <w:t xml:space="preserve"> </w:t>
      </w:r>
    </w:p>
    <w:p w14:paraId="335AD5BB" w14:textId="621683EE" w:rsidR="006E194A" w:rsidRDefault="003654C0"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The Court’s approach </w:t>
      </w:r>
      <w:r w:rsidR="005622D7" w:rsidRPr="00424698">
        <w:rPr>
          <w:rFonts w:ascii="Times New Roman" w:hAnsi="Times New Roman" w:cs="Times New Roman"/>
          <w:color w:val="000000" w:themeColor="text1"/>
          <w:sz w:val="24"/>
          <w:szCs w:val="24"/>
        </w:rPr>
        <w:t xml:space="preserve">thus demonstrates </w:t>
      </w:r>
      <w:r w:rsidR="00514334" w:rsidRPr="00424698">
        <w:rPr>
          <w:rFonts w:ascii="Times New Roman" w:hAnsi="Times New Roman" w:cs="Times New Roman"/>
          <w:color w:val="000000" w:themeColor="text1"/>
          <w:sz w:val="24"/>
          <w:szCs w:val="24"/>
        </w:rPr>
        <w:t xml:space="preserve">a predisposition for generous interpretation of free movement disciplines and </w:t>
      </w:r>
      <w:r w:rsidR="005622D7" w:rsidRPr="00424698">
        <w:rPr>
          <w:rFonts w:ascii="Times New Roman" w:hAnsi="Times New Roman" w:cs="Times New Roman"/>
          <w:color w:val="000000" w:themeColor="text1"/>
          <w:sz w:val="24"/>
          <w:szCs w:val="24"/>
        </w:rPr>
        <w:t>a rather cautious and tightly controlled interpretation of non-economic interests.</w:t>
      </w:r>
      <w:r w:rsidR="005622D7" w:rsidRPr="00424698">
        <w:rPr>
          <w:rStyle w:val="FootnoteReference"/>
          <w:rFonts w:ascii="Times New Roman" w:hAnsi="Times New Roman" w:cs="Times New Roman"/>
          <w:color w:val="000000" w:themeColor="text1"/>
          <w:sz w:val="24"/>
          <w:szCs w:val="24"/>
        </w:rPr>
        <w:footnoteReference w:id="93"/>
      </w:r>
      <w:r w:rsidR="00E6372E" w:rsidRPr="00424698">
        <w:rPr>
          <w:rFonts w:ascii="Times New Roman" w:hAnsi="Times New Roman" w:cs="Times New Roman"/>
          <w:color w:val="000000" w:themeColor="text1"/>
          <w:sz w:val="24"/>
          <w:szCs w:val="24"/>
        </w:rPr>
        <w:t xml:space="preserve"> </w:t>
      </w:r>
      <w:r w:rsidR="00514334" w:rsidRPr="00424698">
        <w:rPr>
          <w:rFonts w:ascii="Times New Roman" w:hAnsi="Times New Roman" w:cs="Times New Roman"/>
          <w:color w:val="000000" w:themeColor="text1"/>
          <w:sz w:val="24"/>
          <w:szCs w:val="24"/>
        </w:rPr>
        <w:t xml:space="preserve">A chance encounter with EU law may leave an investment treaty lawyer with an impression that EU law </w:t>
      </w:r>
      <w:r w:rsidR="005275A9" w:rsidRPr="00424698">
        <w:rPr>
          <w:rFonts w:ascii="Times New Roman" w:hAnsi="Times New Roman" w:cs="Times New Roman"/>
          <w:color w:val="000000" w:themeColor="text1"/>
          <w:sz w:val="24"/>
          <w:szCs w:val="24"/>
        </w:rPr>
        <w:t xml:space="preserve">always </w:t>
      </w:r>
      <w:r w:rsidR="00514334" w:rsidRPr="00424698">
        <w:rPr>
          <w:rFonts w:ascii="Times New Roman" w:hAnsi="Times New Roman" w:cs="Times New Roman"/>
          <w:color w:val="000000" w:themeColor="text1"/>
          <w:sz w:val="24"/>
          <w:szCs w:val="24"/>
        </w:rPr>
        <w:t xml:space="preserve">accommodates public welfare considerations—be they in the form of treaty derogations or </w:t>
      </w:r>
      <w:r w:rsidR="005275A9" w:rsidRPr="00424698">
        <w:rPr>
          <w:rFonts w:ascii="Times New Roman" w:hAnsi="Times New Roman" w:cs="Times New Roman"/>
          <w:color w:val="000000" w:themeColor="text1"/>
          <w:sz w:val="24"/>
          <w:szCs w:val="24"/>
        </w:rPr>
        <w:t xml:space="preserve">fundamental </w:t>
      </w:r>
      <w:r w:rsidR="00514334" w:rsidRPr="00424698">
        <w:rPr>
          <w:rFonts w:ascii="Times New Roman" w:hAnsi="Times New Roman" w:cs="Times New Roman"/>
          <w:color w:val="000000" w:themeColor="text1"/>
          <w:sz w:val="24"/>
          <w:szCs w:val="24"/>
        </w:rPr>
        <w:t>rights enshrined in the Charter. Indeed, th</w:t>
      </w:r>
      <w:r w:rsidR="00E6372E" w:rsidRPr="00424698">
        <w:rPr>
          <w:rFonts w:ascii="Times New Roman" w:hAnsi="Times New Roman" w:cs="Times New Roman"/>
          <w:color w:val="000000" w:themeColor="text1"/>
          <w:sz w:val="24"/>
          <w:szCs w:val="24"/>
        </w:rPr>
        <w:t>e C</w:t>
      </w:r>
      <w:r w:rsidR="00053AA3" w:rsidRPr="00424698">
        <w:rPr>
          <w:rFonts w:ascii="Times New Roman" w:hAnsi="Times New Roman" w:cs="Times New Roman"/>
          <w:color w:val="000000" w:themeColor="text1"/>
          <w:sz w:val="24"/>
          <w:szCs w:val="24"/>
        </w:rPr>
        <w:t>JEU</w:t>
      </w:r>
      <w:r w:rsidR="00E6372E" w:rsidRPr="00424698">
        <w:rPr>
          <w:rFonts w:ascii="Times New Roman" w:hAnsi="Times New Roman" w:cs="Times New Roman"/>
          <w:color w:val="000000" w:themeColor="text1"/>
          <w:sz w:val="24"/>
          <w:szCs w:val="24"/>
        </w:rPr>
        <w:t xml:space="preserve"> may indeed have taken a deferential view of member state measures in a wide range of cases ranging from control of waste disposals, </w:t>
      </w:r>
      <w:r w:rsidR="00FC5978" w:rsidRPr="00424698">
        <w:rPr>
          <w:rFonts w:ascii="Times New Roman" w:hAnsi="Times New Roman" w:cs="Times New Roman"/>
          <w:color w:val="000000" w:themeColor="text1"/>
          <w:sz w:val="24"/>
          <w:szCs w:val="24"/>
        </w:rPr>
        <w:t xml:space="preserve">promotion of </w:t>
      </w:r>
      <w:r w:rsidR="00E6372E" w:rsidRPr="00424698">
        <w:rPr>
          <w:rFonts w:ascii="Times New Roman" w:hAnsi="Times New Roman" w:cs="Times New Roman"/>
          <w:color w:val="000000" w:themeColor="text1"/>
          <w:sz w:val="24"/>
          <w:szCs w:val="24"/>
        </w:rPr>
        <w:t>renewable energy, improving air quality, protecting public health and preserving biodiversity.</w:t>
      </w:r>
      <w:r w:rsidR="00E6372E" w:rsidRPr="00424698">
        <w:rPr>
          <w:rStyle w:val="FootnoteReference"/>
          <w:rFonts w:ascii="Times New Roman" w:hAnsi="Times New Roman" w:cs="Times New Roman"/>
          <w:color w:val="000000" w:themeColor="text1"/>
          <w:sz w:val="24"/>
          <w:szCs w:val="24"/>
        </w:rPr>
        <w:footnoteReference w:id="94"/>
      </w:r>
      <w:r w:rsidR="00E6372E" w:rsidRPr="00424698">
        <w:rPr>
          <w:rFonts w:ascii="Times New Roman" w:hAnsi="Times New Roman" w:cs="Times New Roman"/>
          <w:color w:val="000000" w:themeColor="text1"/>
          <w:sz w:val="24"/>
          <w:szCs w:val="24"/>
        </w:rPr>
        <w:t xml:space="preserve"> However, it also manifested re</w:t>
      </w:r>
      <w:r w:rsidR="00E6372E" w:rsidRPr="00424698">
        <w:rPr>
          <w:rFonts w:ascii="Times New Roman" w:hAnsi="Times New Roman" w:cs="Times New Roman"/>
          <w:color w:val="000000" w:themeColor="text1"/>
          <w:sz w:val="24"/>
          <w:szCs w:val="24"/>
        </w:rPr>
        <w:lastRenderedPageBreak/>
        <w:t xml:space="preserve">luctance to </w:t>
      </w:r>
      <w:r w:rsidR="00A47BE4" w:rsidRPr="00424698">
        <w:rPr>
          <w:rFonts w:ascii="Times New Roman" w:hAnsi="Times New Roman" w:cs="Times New Roman"/>
          <w:color w:val="000000" w:themeColor="text1"/>
          <w:sz w:val="24"/>
          <w:szCs w:val="24"/>
        </w:rPr>
        <w:t>protect</w:t>
      </w:r>
      <w:r w:rsidR="00E6372E" w:rsidRPr="00424698">
        <w:rPr>
          <w:rFonts w:ascii="Times New Roman" w:hAnsi="Times New Roman" w:cs="Times New Roman"/>
          <w:color w:val="000000" w:themeColor="text1"/>
          <w:sz w:val="24"/>
          <w:szCs w:val="24"/>
        </w:rPr>
        <w:t xml:space="preserve"> fundamental rights of collective action</w:t>
      </w:r>
      <w:r w:rsidR="00A47BE4" w:rsidRPr="00424698">
        <w:rPr>
          <w:rFonts w:ascii="Times New Roman" w:hAnsi="Times New Roman" w:cs="Times New Roman"/>
          <w:color w:val="000000" w:themeColor="text1"/>
          <w:sz w:val="24"/>
          <w:szCs w:val="24"/>
        </w:rPr>
        <w:t xml:space="preserve"> in cases where the latter restrict economic freedoms such as the freedom of establishment</w:t>
      </w:r>
      <w:r w:rsidR="00514334" w:rsidRPr="00424698">
        <w:rPr>
          <w:rFonts w:ascii="Times New Roman" w:hAnsi="Times New Roman" w:cs="Times New Roman"/>
          <w:color w:val="000000" w:themeColor="text1"/>
          <w:sz w:val="24"/>
          <w:szCs w:val="24"/>
        </w:rPr>
        <w:t>.</w:t>
      </w:r>
      <w:r w:rsidR="002952D3" w:rsidRPr="00424698">
        <w:rPr>
          <w:rStyle w:val="FootnoteReference"/>
          <w:rFonts w:ascii="Times New Roman" w:hAnsi="Times New Roman" w:cs="Times New Roman"/>
          <w:color w:val="000000" w:themeColor="text1"/>
          <w:sz w:val="24"/>
          <w:szCs w:val="24"/>
        </w:rPr>
        <w:footnoteReference w:id="95"/>
      </w:r>
      <w:r w:rsidR="005275A9" w:rsidRPr="00424698">
        <w:rPr>
          <w:rFonts w:ascii="Times New Roman" w:hAnsi="Times New Roman" w:cs="Times New Roman"/>
          <w:color w:val="000000" w:themeColor="text1"/>
          <w:sz w:val="24"/>
          <w:szCs w:val="24"/>
        </w:rPr>
        <w:t xml:space="preserve"> </w:t>
      </w:r>
      <w:r w:rsidR="00A47BE4" w:rsidRPr="00424698">
        <w:rPr>
          <w:rFonts w:ascii="Times New Roman" w:hAnsi="Times New Roman" w:cs="Times New Roman"/>
          <w:sz w:val="24"/>
          <w:szCs w:val="24"/>
        </w:rPr>
        <w:t xml:space="preserve">Despite its </w:t>
      </w:r>
      <w:r w:rsidR="006E194A">
        <w:rPr>
          <w:rFonts w:ascii="Times New Roman" w:hAnsi="Times New Roman" w:cs="Times New Roman"/>
          <w:sz w:val="24"/>
          <w:szCs w:val="24"/>
        </w:rPr>
        <w:t>‘</w:t>
      </w:r>
      <w:r w:rsidR="00A47BE4" w:rsidRPr="00424698">
        <w:rPr>
          <w:rFonts w:ascii="Times New Roman" w:hAnsi="Times New Roman" w:cs="Times New Roman"/>
          <w:sz w:val="24"/>
          <w:szCs w:val="24"/>
        </w:rPr>
        <w:t>social rhetoric</w:t>
      </w:r>
      <w:r w:rsidR="006E194A">
        <w:rPr>
          <w:rFonts w:ascii="Times New Roman" w:hAnsi="Times New Roman" w:cs="Times New Roman"/>
          <w:sz w:val="24"/>
          <w:szCs w:val="24"/>
        </w:rPr>
        <w:t>’</w:t>
      </w:r>
      <w:r w:rsidR="00A47BE4" w:rsidRPr="00424698">
        <w:rPr>
          <w:rFonts w:ascii="Times New Roman" w:hAnsi="Times New Roman" w:cs="Times New Roman"/>
          <w:sz w:val="24"/>
          <w:szCs w:val="24"/>
        </w:rPr>
        <w:t>, t</w:t>
      </w:r>
      <w:r w:rsidR="00A47BE4" w:rsidRPr="00424698">
        <w:rPr>
          <w:rFonts w:ascii="Times New Roman" w:hAnsi="Times New Roman" w:cs="Times New Roman"/>
          <w:color w:val="000000" w:themeColor="text1"/>
          <w:sz w:val="24"/>
          <w:szCs w:val="24"/>
        </w:rPr>
        <w:t xml:space="preserve">he invoking by the CJEU of </w:t>
      </w:r>
      <w:r w:rsidR="00A47BE4" w:rsidRPr="00424698">
        <w:rPr>
          <w:rFonts w:ascii="Times New Roman" w:hAnsi="Times New Roman" w:cs="Times New Roman"/>
          <w:sz w:val="24"/>
          <w:szCs w:val="24"/>
        </w:rPr>
        <w:t>a certain precedence of free movement rights over the fundamental right to strike has arguably exposed its</w:t>
      </w:r>
      <w:r w:rsidR="00053AA3" w:rsidRPr="00424698">
        <w:rPr>
          <w:rFonts w:ascii="Times New Roman" w:hAnsi="Times New Roman" w:cs="Times New Roman"/>
          <w:sz w:val="24"/>
          <w:szCs w:val="24"/>
        </w:rPr>
        <w:t xml:space="preserve"> more </w:t>
      </w:r>
      <w:r w:rsidR="006E194A">
        <w:rPr>
          <w:rFonts w:ascii="Times New Roman" w:hAnsi="Times New Roman" w:cs="Times New Roman"/>
          <w:sz w:val="24"/>
          <w:szCs w:val="24"/>
        </w:rPr>
        <w:t>‘</w:t>
      </w:r>
      <w:r w:rsidR="00053AA3" w:rsidRPr="00424698">
        <w:rPr>
          <w:rFonts w:ascii="Times New Roman" w:hAnsi="Times New Roman" w:cs="Times New Roman"/>
          <w:sz w:val="24"/>
          <w:szCs w:val="24"/>
        </w:rPr>
        <w:t>liberal</w:t>
      </w:r>
      <w:r w:rsidR="006E194A">
        <w:rPr>
          <w:rFonts w:ascii="Times New Roman" w:hAnsi="Times New Roman" w:cs="Times New Roman"/>
          <w:sz w:val="24"/>
          <w:szCs w:val="24"/>
        </w:rPr>
        <w:t>’</w:t>
      </w:r>
      <w:r w:rsidR="00053AA3" w:rsidRPr="00424698">
        <w:rPr>
          <w:rFonts w:ascii="Times New Roman" w:hAnsi="Times New Roman" w:cs="Times New Roman"/>
          <w:sz w:val="24"/>
          <w:szCs w:val="24"/>
        </w:rPr>
        <w:t xml:space="preserve"> and less </w:t>
      </w:r>
      <w:r w:rsidR="006E194A">
        <w:rPr>
          <w:rFonts w:ascii="Times New Roman" w:hAnsi="Times New Roman" w:cs="Times New Roman"/>
          <w:sz w:val="24"/>
          <w:szCs w:val="24"/>
        </w:rPr>
        <w:t>‘</w:t>
      </w:r>
      <w:r w:rsidR="00A47BE4" w:rsidRPr="00424698">
        <w:rPr>
          <w:rFonts w:ascii="Times New Roman" w:hAnsi="Times New Roman" w:cs="Times New Roman"/>
          <w:sz w:val="24"/>
          <w:szCs w:val="24"/>
        </w:rPr>
        <w:t>social</w:t>
      </w:r>
      <w:r w:rsidR="006E194A">
        <w:rPr>
          <w:rFonts w:ascii="Times New Roman" w:hAnsi="Times New Roman" w:cs="Times New Roman"/>
          <w:sz w:val="24"/>
          <w:szCs w:val="24"/>
        </w:rPr>
        <w:t>’</w:t>
      </w:r>
      <w:r w:rsidR="00A47BE4" w:rsidRPr="00424698">
        <w:rPr>
          <w:rFonts w:ascii="Times New Roman" w:hAnsi="Times New Roman" w:cs="Times New Roman"/>
          <w:sz w:val="24"/>
          <w:szCs w:val="24"/>
        </w:rPr>
        <w:t xml:space="preserve"> stance.</w:t>
      </w:r>
      <w:r w:rsidR="00A47BE4" w:rsidRPr="00424698">
        <w:rPr>
          <w:rStyle w:val="FootnoteReference"/>
          <w:rFonts w:ascii="Times New Roman" w:hAnsi="Times New Roman" w:cs="Times New Roman"/>
          <w:sz w:val="24"/>
          <w:szCs w:val="24"/>
        </w:rPr>
        <w:footnoteReference w:id="96"/>
      </w:r>
      <w:r w:rsidR="00A47BE4" w:rsidRPr="00424698">
        <w:rPr>
          <w:rFonts w:ascii="Times New Roman" w:hAnsi="Times New Roman" w:cs="Times New Roman"/>
          <w:sz w:val="24"/>
          <w:szCs w:val="24"/>
        </w:rPr>
        <w:t xml:space="preserve"> </w:t>
      </w:r>
      <w:r w:rsidR="002952D3" w:rsidRPr="00424698">
        <w:rPr>
          <w:rFonts w:ascii="Times New Roman" w:hAnsi="Times New Roman" w:cs="Times New Roman"/>
          <w:color w:val="000000" w:themeColor="text1"/>
          <w:sz w:val="24"/>
          <w:szCs w:val="24"/>
        </w:rPr>
        <w:t xml:space="preserve">The CJEU’s approach to </w:t>
      </w:r>
      <w:r w:rsidR="005275A9" w:rsidRPr="00424698">
        <w:rPr>
          <w:rFonts w:ascii="Times New Roman" w:hAnsi="Times New Roman" w:cs="Times New Roman"/>
          <w:color w:val="000000" w:themeColor="text1"/>
          <w:sz w:val="24"/>
          <w:szCs w:val="24"/>
        </w:rPr>
        <w:t xml:space="preserve">balancing </w:t>
      </w:r>
      <w:r w:rsidR="002952D3" w:rsidRPr="00424698">
        <w:rPr>
          <w:rFonts w:ascii="Times New Roman" w:hAnsi="Times New Roman" w:cs="Times New Roman"/>
          <w:color w:val="000000" w:themeColor="text1"/>
          <w:sz w:val="24"/>
          <w:szCs w:val="24"/>
        </w:rPr>
        <w:t xml:space="preserve">economic freedoms and fundamental rights can </w:t>
      </w:r>
      <w:r w:rsidR="005275A9" w:rsidRPr="00424698">
        <w:rPr>
          <w:rFonts w:ascii="Times New Roman" w:hAnsi="Times New Roman" w:cs="Times New Roman"/>
          <w:color w:val="000000" w:themeColor="text1"/>
          <w:sz w:val="24"/>
          <w:szCs w:val="24"/>
        </w:rPr>
        <w:t xml:space="preserve">therefore </w:t>
      </w:r>
      <w:r w:rsidR="002952D3" w:rsidRPr="00424698">
        <w:rPr>
          <w:rFonts w:ascii="Times New Roman" w:hAnsi="Times New Roman" w:cs="Times New Roman"/>
          <w:color w:val="000000" w:themeColor="text1"/>
          <w:sz w:val="24"/>
          <w:szCs w:val="24"/>
        </w:rPr>
        <w:t>be summarised as follows:</w:t>
      </w:r>
    </w:p>
    <w:p w14:paraId="4B9CEC72" w14:textId="10DC11D1" w:rsidR="003654C0" w:rsidRPr="00424698" w:rsidRDefault="00514334" w:rsidP="001506B1">
      <w:pPr>
        <w:autoSpaceDE w:val="0"/>
        <w:autoSpaceDN w:val="0"/>
        <w:adjustRightInd w:val="0"/>
        <w:spacing w:after="0" w:line="360" w:lineRule="auto"/>
        <w:ind w:left="567" w:right="521"/>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 xml:space="preserve">Whereas fundamental rights are concerned with placing a circle of protection around the individual or with asserting basic normative values, the implementation of the market freedoms is a functional project whose realization may often require fundamental rights to be </w:t>
      </w:r>
      <w:r w:rsidR="002952D3" w:rsidRPr="00424698">
        <w:rPr>
          <w:rFonts w:ascii="Times New Roman" w:hAnsi="Times New Roman" w:cs="Times New Roman"/>
          <w:color w:val="000000" w:themeColor="text1"/>
          <w:sz w:val="24"/>
          <w:szCs w:val="24"/>
        </w:rPr>
        <w:t>limited or breached altogether.</w:t>
      </w:r>
      <w:r w:rsidRPr="00424698">
        <w:rPr>
          <w:rStyle w:val="FootnoteReference"/>
          <w:rFonts w:ascii="Times New Roman" w:hAnsi="Times New Roman" w:cs="Times New Roman"/>
          <w:color w:val="000000" w:themeColor="text1"/>
          <w:sz w:val="24"/>
          <w:szCs w:val="24"/>
        </w:rPr>
        <w:footnoteReference w:id="97"/>
      </w:r>
    </w:p>
    <w:p w14:paraId="5E27A9D4" w14:textId="77777777" w:rsidR="005622D7" w:rsidRPr="00424698" w:rsidRDefault="005622D7"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7AE23FC" w14:textId="4AE4E19B" w:rsidR="00053AA3" w:rsidRPr="001506B1" w:rsidRDefault="0016634E" w:rsidP="0030432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506B1">
        <w:rPr>
          <w:rFonts w:ascii="Times New Roman" w:hAnsi="Times New Roman" w:cs="Times New Roman"/>
          <w:b/>
          <w:color w:val="000000" w:themeColor="text1"/>
          <w:sz w:val="24"/>
          <w:szCs w:val="24"/>
        </w:rPr>
        <w:t xml:space="preserve">4 </w:t>
      </w:r>
      <w:r w:rsidR="00053AA3" w:rsidRPr="001506B1">
        <w:rPr>
          <w:rFonts w:ascii="Times New Roman" w:hAnsi="Times New Roman" w:cs="Times New Roman"/>
          <w:b/>
          <w:color w:val="000000" w:themeColor="text1"/>
          <w:sz w:val="24"/>
          <w:szCs w:val="24"/>
        </w:rPr>
        <w:t>Conclusion</w:t>
      </w:r>
    </w:p>
    <w:p w14:paraId="174E49C2" w14:textId="49AFE4D1" w:rsidR="007624C5" w:rsidRPr="00424698" w:rsidRDefault="00053AA3" w:rsidP="0030432B">
      <w:pPr>
        <w:autoSpaceDE w:val="0"/>
        <w:autoSpaceDN w:val="0"/>
        <w:adjustRightInd w:val="0"/>
        <w:spacing w:after="0" w:line="360" w:lineRule="auto"/>
        <w:jc w:val="both"/>
        <w:rPr>
          <w:rFonts w:ascii="Times New Roman" w:hAnsi="Times New Roman" w:cs="Times New Roman"/>
          <w:color w:val="000000" w:themeColor="text1"/>
          <w:sz w:val="24"/>
          <w:szCs w:val="24"/>
        </w:rPr>
      </w:pPr>
      <w:r w:rsidRPr="00424698">
        <w:rPr>
          <w:rFonts w:ascii="Times New Roman" w:hAnsi="Times New Roman" w:cs="Times New Roman"/>
          <w:color w:val="000000" w:themeColor="text1"/>
          <w:sz w:val="24"/>
          <w:szCs w:val="24"/>
        </w:rPr>
        <w:t>Do intra-EU IIAs provide greater substantive protection of foreign investment than EU law? The foregoing analysis is not intended as an exhausting comparative analysi</w:t>
      </w:r>
      <w:r w:rsidR="00F3658F" w:rsidRPr="00424698">
        <w:rPr>
          <w:rFonts w:ascii="Times New Roman" w:hAnsi="Times New Roman" w:cs="Times New Roman"/>
          <w:color w:val="000000" w:themeColor="text1"/>
          <w:sz w:val="24"/>
          <w:szCs w:val="24"/>
        </w:rPr>
        <w:t xml:space="preserve">s. Rather, it has sought to highlight the primary sights of overlap between substantive protections offered by intra-EU IIAs and EU law respectively and to examine some of the emerging differences. One conclusion that can safely be drawn is that intra-EU IIAs, by virtue to belonging to the first generation IIAs, </w:t>
      </w:r>
      <w:r w:rsidR="006D3AB0" w:rsidRPr="00424698">
        <w:rPr>
          <w:rFonts w:ascii="Times New Roman" w:hAnsi="Times New Roman" w:cs="Times New Roman"/>
          <w:color w:val="000000" w:themeColor="text1"/>
          <w:sz w:val="24"/>
          <w:szCs w:val="24"/>
        </w:rPr>
        <w:t xml:space="preserve">do </w:t>
      </w:r>
      <w:r w:rsidR="00F3658F" w:rsidRPr="00424698">
        <w:rPr>
          <w:rFonts w:ascii="Times New Roman" w:hAnsi="Times New Roman" w:cs="Times New Roman"/>
          <w:color w:val="000000" w:themeColor="text1"/>
          <w:sz w:val="24"/>
          <w:szCs w:val="24"/>
        </w:rPr>
        <w:t xml:space="preserve">afford a greater level of protection to foreign investors than that offered under EU law. Intra-EU IIAs, unlike their more recent counterparts, contain broad and open-ended investment protection guarantees </w:t>
      </w:r>
      <w:r w:rsidR="006D3AB0" w:rsidRPr="00424698">
        <w:rPr>
          <w:rFonts w:ascii="Times New Roman" w:hAnsi="Times New Roman" w:cs="Times New Roman"/>
          <w:color w:val="000000" w:themeColor="text1"/>
          <w:sz w:val="24"/>
          <w:szCs w:val="24"/>
        </w:rPr>
        <w:t xml:space="preserve">which are </w:t>
      </w:r>
      <w:r w:rsidR="00F3658F" w:rsidRPr="00424698">
        <w:rPr>
          <w:rFonts w:ascii="Times New Roman" w:hAnsi="Times New Roman" w:cs="Times New Roman"/>
          <w:color w:val="000000" w:themeColor="text1"/>
          <w:sz w:val="24"/>
          <w:szCs w:val="24"/>
        </w:rPr>
        <w:t>not expressly restricted by exceptions or reservations</w:t>
      </w:r>
      <w:r w:rsidR="006D3AB0" w:rsidRPr="00424698">
        <w:rPr>
          <w:rFonts w:ascii="Times New Roman" w:hAnsi="Times New Roman" w:cs="Times New Roman"/>
          <w:color w:val="000000" w:themeColor="text1"/>
          <w:sz w:val="24"/>
          <w:szCs w:val="24"/>
        </w:rPr>
        <w:t xml:space="preserve"> and which are not replicated under EU law.</w:t>
      </w:r>
    </w:p>
    <w:p w14:paraId="3B124EA9" w14:textId="7BE9FE7D" w:rsidR="003C6C03" w:rsidRPr="00424698" w:rsidRDefault="00F3658F" w:rsidP="0030432B">
      <w:pPr>
        <w:autoSpaceDE w:val="0"/>
        <w:autoSpaceDN w:val="0"/>
        <w:adjustRightInd w:val="0"/>
        <w:spacing w:after="0" w:line="360" w:lineRule="auto"/>
        <w:ind w:firstLine="425"/>
        <w:jc w:val="both"/>
        <w:rPr>
          <w:rFonts w:ascii="Times New Roman" w:hAnsi="Times New Roman" w:cs="Times New Roman"/>
          <w:sz w:val="24"/>
          <w:szCs w:val="24"/>
        </w:rPr>
      </w:pPr>
      <w:r w:rsidRPr="00424698">
        <w:rPr>
          <w:rFonts w:ascii="Times New Roman" w:hAnsi="Times New Roman" w:cs="Times New Roman"/>
          <w:color w:val="000000" w:themeColor="text1"/>
          <w:sz w:val="24"/>
          <w:szCs w:val="24"/>
        </w:rPr>
        <w:t xml:space="preserve">Many of the fundamental protections available to investors under intra-EU IIAs also exist in and indeed draw origins from EU law. For instance, in developing the doctrine of legitimate expectations as a basis for investor rights, investment tribunals have drawn inspiration from CJEU jurisprudence and constitutional traditions of EU member states. </w:t>
      </w:r>
      <w:r w:rsidR="007624C5" w:rsidRPr="00424698">
        <w:rPr>
          <w:rFonts w:ascii="Times New Roman" w:hAnsi="Times New Roman" w:cs="Times New Roman"/>
          <w:color w:val="000000" w:themeColor="text1"/>
          <w:sz w:val="24"/>
          <w:szCs w:val="24"/>
        </w:rPr>
        <w:t>Likewise, EU law offers protection against expropriation, and guarantees due process. Yet</w:t>
      </w:r>
      <w:r w:rsidR="0024479C" w:rsidRPr="00424698">
        <w:rPr>
          <w:rFonts w:ascii="Times New Roman" w:hAnsi="Times New Roman" w:cs="Times New Roman"/>
          <w:color w:val="000000" w:themeColor="text1"/>
          <w:sz w:val="24"/>
          <w:szCs w:val="24"/>
        </w:rPr>
        <w:t xml:space="preserve"> while</w:t>
      </w:r>
      <w:r w:rsidR="007624C5" w:rsidRPr="00424698">
        <w:rPr>
          <w:rFonts w:ascii="Times New Roman" w:hAnsi="Times New Roman" w:cs="Times New Roman"/>
          <w:color w:val="000000" w:themeColor="text1"/>
          <w:sz w:val="24"/>
          <w:szCs w:val="24"/>
        </w:rPr>
        <w:t xml:space="preserve"> intra-EU IIAs offer investors rights in an ‘undiluted’ form, EU law has stressed the importance of interpreting the relevant protections in light of their social function. Furthermore, the scope of rights enjoyed </w:t>
      </w:r>
      <w:r w:rsidR="007624C5" w:rsidRPr="00424698">
        <w:rPr>
          <w:rFonts w:ascii="Times New Roman" w:hAnsi="Times New Roman" w:cs="Times New Roman"/>
          <w:color w:val="000000" w:themeColor="text1"/>
          <w:sz w:val="24"/>
          <w:szCs w:val="24"/>
        </w:rPr>
        <w:lastRenderedPageBreak/>
        <w:t>by investors under EU law often hinges on their relationship with fundamental economic freedoms: an investor right is likely to enjoy a strong protection</w:t>
      </w:r>
      <w:r w:rsidR="0024479C" w:rsidRPr="00424698">
        <w:rPr>
          <w:rFonts w:ascii="Times New Roman" w:hAnsi="Times New Roman" w:cs="Times New Roman"/>
          <w:color w:val="000000" w:themeColor="text1"/>
          <w:sz w:val="24"/>
          <w:szCs w:val="24"/>
        </w:rPr>
        <w:t xml:space="preserve"> if that is needed to ensure an unhindered exercise of </w:t>
      </w:r>
      <w:r w:rsidR="007624C5" w:rsidRPr="00424698">
        <w:rPr>
          <w:rFonts w:ascii="Times New Roman" w:hAnsi="Times New Roman" w:cs="Times New Roman"/>
          <w:color w:val="000000" w:themeColor="text1"/>
          <w:sz w:val="24"/>
          <w:szCs w:val="24"/>
        </w:rPr>
        <w:t>free movement</w:t>
      </w:r>
      <w:r w:rsidR="0024479C" w:rsidRPr="00424698">
        <w:rPr>
          <w:rFonts w:ascii="Times New Roman" w:hAnsi="Times New Roman" w:cs="Times New Roman"/>
          <w:color w:val="000000" w:themeColor="text1"/>
          <w:sz w:val="24"/>
          <w:szCs w:val="24"/>
        </w:rPr>
        <w:t xml:space="preserve"> guarantees; and the very same right is likely to be sacrificed or subjected to a restrictive interpretation</w:t>
      </w:r>
      <w:r w:rsidR="007624C5" w:rsidRPr="00424698">
        <w:rPr>
          <w:rFonts w:ascii="Times New Roman" w:hAnsi="Times New Roman" w:cs="Times New Roman"/>
          <w:color w:val="000000" w:themeColor="text1"/>
          <w:sz w:val="24"/>
          <w:szCs w:val="24"/>
        </w:rPr>
        <w:t xml:space="preserve"> </w:t>
      </w:r>
      <w:r w:rsidR="0024479C" w:rsidRPr="00424698">
        <w:rPr>
          <w:rFonts w:ascii="Times New Roman" w:hAnsi="Times New Roman" w:cs="Times New Roman"/>
          <w:color w:val="000000" w:themeColor="text1"/>
          <w:sz w:val="24"/>
          <w:szCs w:val="24"/>
        </w:rPr>
        <w:t>if its protection might hinder free movements.</w:t>
      </w:r>
      <w:r w:rsidR="0024479C" w:rsidRPr="00424698">
        <w:rPr>
          <w:rFonts w:ascii="Times New Roman" w:hAnsi="Times New Roman" w:cs="Times New Roman"/>
          <w:sz w:val="24"/>
          <w:szCs w:val="24"/>
        </w:rPr>
        <w:t xml:space="preserve"> EU law provides for investor protection but only within the much broader context of establishing the internal market which is the ‘backbone’ of the European integration project and the main driver of European judicial activism.</w:t>
      </w:r>
      <w:r w:rsidR="0024479C" w:rsidRPr="00424698">
        <w:rPr>
          <w:rStyle w:val="FootnoteReference"/>
          <w:rFonts w:ascii="Times New Roman" w:hAnsi="Times New Roman" w:cs="Times New Roman"/>
          <w:sz w:val="24"/>
          <w:szCs w:val="24"/>
        </w:rPr>
        <w:footnoteReference w:id="98"/>
      </w:r>
      <w:r w:rsidR="0024479C" w:rsidRPr="00424698">
        <w:rPr>
          <w:rFonts w:ascii="Times New Roman" w:hAnsi="Times New Roman" w:cs="Times New Roman"/>
          <w:sz w:val="24"/>
          <w:szCs w:val="24"/>
        </w:rPr>
        <w:t xml:space="preserve"> This </w:t>
      </w:r>
      <w:r w:rsidR="003C6C03" w:rsidRPr="00424698">
        <w:rPr>
          <w:rFonts w:ascii="Times New Roman" w:hAnsi="Times New Roman" w:cs="Times New Roman"/>
          <w:sz w:val="24"/>
          <w:szCs w:val="24"/>
        </w:rPr>
        <w:t>pre-eminence</w:t>
      </w:r>
      <w:r w:rsidR="0024479C" w:rsidRPr="00424698">
        <w:rPr>
          <w:rFonts w:ascii="Times New Roman" w:hAnsi="Times New Roman" w:cs="Times New Roman"/>
          <w:sz w:val="24"/>
          <w:szCs w:val="24"/>
        </w:rPr>
        <w:t xml:space="preserve"> of economic freedoms in the hierarchy of values protected by EU law</w:t>
      </w:r>
      <w:r w:rsidR="003C6C03" w:rsidRPr="00424698">
        <w:rPr>
          <w:rFonts w:ascii="Times New Roman" w:hAnsi="Times New Roman" w:cs="Times New Roman"/>
          <w:sz w:val="24"/>
          <w:szCs w:val="24"/>
        </w:rPr>
        <w:t xml:space="preserve"> is quite illuminating in the sense that it belies the social rhetoric of the EU</w:t>
      </w:r>
      <w:r w:rsidR="00A04077" w:rsidRPr="00424698">
        <w:rPr>
          <w:rFonts w:ascii="Times New Roman" w:hAnsi="Times New Roman" w:cs="Times New Roman"/>
          <w:sz w:val="24"/>
          <w:szCs w:val="24"/>
        </w:rPr>
        <w:t>.</w:t>
      </w:r>
      <w:r w:rsidR="003C6C03" w:rsidRPr="00424698">
        <w:rPr>
          <w:rFonts w:ascii="Times New Roman" w:hAnsi="Times New Roman" w:cs="Times New Roman"/>
          <w:sz w:val="24"/>
          <w:szCs w:val="24"/>
        </w:rPr>
        <w:t xml:space="preserve"> </w:t>
      </w:r>
    </w:p>
    <w:p w14:paraId="48607333" w14:textId="36F109B3" w:rsidR="001254A2" w:rsidRPr="00424698" w:rsidRDefault="003C6C03" w:rsidP="0030432B">
      <w:pPr>
        <w:autoSpaceDE w:val="0"/>
        <w:autoSpaceDN w:val="0"/>
        <w:adjustRightInd w:val="0"/>
        <w:spacing w:after="0" w:line="360" w:lineRule="auto"/>
        <w:ind w:firstLine="425"/>
        <w:jc w:val="both"/>
        <w:rPr>
          <w:rFonts w:ascii="Times New Roman" w:hAnsi="Times New Roman" w:cs="Times New Roman"/>
          <w:color w:val="000000" w:themeColor="text1"/>
          <w:sz w:val="24"/>
          <w:szCs w:val="24"/>
        </w:rPr>
      </w:pPr>
      <w:r w:rsidRPr="00424698">
        <w:rPr>
          <w:rFonts w:ascii="Times New Roman" w:hAnsi="Times New Roman" w:cs="Times New Roman"/>
          <w:sz w:val="24"/>
          <w:szCs w:val="24"/>
        </w:rPr>
        <w:t xml:space="preserve">Tracing the evolution of the CJEU’s approach to balancing the protection of economic freedoms with fundamental rights, including non-economic rights, also </w:t>
      </w:r>
      <w:r w:rsidRPr="00424698">
        <w:rPr>
          <w:rFonts w:ascii="Times New Roman" w:hAnsi="Times New Roman" w:cs="Times New Roman"/>
          <w:color w:val="000000" w:themeColor="text1"/>
          <w:sz w:val="24"/>
          <w:szCs w:val="24"/>
        </w:rPr>
        <w:t xml:space="preserve">offers insights into how </w:t>
      </w:r>
      <w:r w:rsidR="00A04077" w:rsidRPr="00424698">
        <w:rPr>
          <w:rFonts w:ascii="Times New Roman" w:hAnsi="Times New Roman" w:cs="Times New Roman"/>
          <w:color w:val="000000" w:themeColor="text1"/>
          <w:sz w:val="24"/>
          <w:szCs w:val="24"/>
        </w:rPr>
        <w:t xml:space="preserve">future </w:t>
      </w:r>
      <w:r w:rsidRPr="00424698">
        <w:rPr>
          <w:rFonts w:ascii="Times New Roman" w:hAnsi="Times New Roman" w:cs="Times New Roman"/>
          <w:color w:val="000000" w:themeColor="text1"/>
          <w:sz w:val="24"/>
          <w:szCs w:val="24"/>
        </w:rPr>
        <w:t xml:space="preserve">IIAs should be framed to strike the right balance between investment protection and the pursuit competing public welfare objectives. </w:t>
      </w:r>
      <w:r w:rsidR="00311626" w:rsidRPr="00424698">
        <w:rPr>
          <w:rFonts w:ascii="Times New Roman" w:hAnsi="Times New Roman" w:cs="Times New Roman"/>
          <w:color w:val="000000" w:themeColor="text1"/>
          <w:sz w:val="24"/>
          <w:szCs w:val="24"/>
        </w:rPr>
        <w:t xml:space="preserve">Despite expressly recognising the importance of public welfare and stressing the need to interpret private rights in light of their social function, EU law—comprising internal market disciplines and fundamental rights—is far from being an ideal which future international economic agreements should inspire to emulate, particularly if their aim is to create a more balanced legal framework. </w:t>
      </w:r>
      <w:r w:rsidR="00A04077" w:rsidRPr="00424698">
        <w:rPr>
          <w:rFonts w:ascii="Times New Roman" w:hAnsi="Times New Roman" w:cs="Times New Roman"/>
          <w:color w:val="000000" w:themeColor="text1"/>
          <w:sz w:val="24"/>
          <w:szCs w:val="24"/>
        </w:rPr>
        <w:t>T</w:t>
      </w:r>
      <w:r w:rsidRPr="00424698">
        <w:rPr>
          <w:rFonts w:ascii="Times New Roman" w:hAnsi="Times New Roman" w:cs="Times New Roman"/>
          <w:color w:val="000000" w:themeColor="text1"/>
          <w:sz w:val="24"/>
          <w:szCs w:val="24"/>
        </w:rPr>
        <w:t xml:space="preserve">he fact </w:t>
      </w:r>
      <w:r w:rsidR="00311626" w:rsidRPr="00424698">
        <w:rPr>
          <w:rFonts w:ascii="Times New Roman" w:hAnsi="Times New Roman" w:cs="Times New Roman"/>
          <w:color w:val="000000" w:themeColor="text1"/>
          <w:sz w:val="24"/>
          <w:szCs w:val="24"/>
        </w:rPr>
        <w:t xml:space="preserve">that </w:t>
      </w:r>
      <w:r w:rsidRPr="00424698">
        <w:rPr>
          <w:rFonts w:ascii="Times New Roman" w:hAnsi="Times New Roman" w:cs="Times New Roman"/>
          <w:color w:val="000000" w:themeColor="text1"/>
          <w:sz w:val="24"/>
          <w:szCs w:val="24"/>
        </w:rPr>
        <w:t>fundamental rights have frequently been placed on a back-foot—despite having received an express recognition in the CFR and Article 6 TEU—</w:t>
      </w:r>
      <w:r w:rsidR="00A04077" w:rsidRPr="00424698">
        <w:rPr>
          <w:rFonts w:ascii="Times New Roman" w:hAnsi="Times New Roman" w:cs="Times New Roman"/>
          <w:color w:val="000000" w:themeColor="text1"/>
          <w:sz w:val="24"/>
          <w:szCs w:val="24"/>
        </w:rPr>
        <w:t xml:space="preserve">is particularly noteworthy. </w:t>
      </w:r>
      <w:r w:rsidR="00311626" w:rsidRPr="00424698">
        <w:rPr>
          <w:rFonts w:ascii="Times New Roman" w:hAnsi="Times New Roman" w:cs="Times New Roman"/>
          <w:color w:val="000000" w:themeColor="text1"/>
          <w:sz w:val="24"/>
          <w:szCs w:val="24"/>
        </w:rPr>
        <w:t>One lesson that can be drawn from t</w:t>
      </w:r>
      <w:r w:rsidR="00A04077" w:rsidRPr="00424698">
        <w:rPr>
          <w:rFonts w:ascii="Times New Roman" w:hAnsi="Times New Roman" w:cs="Times New Roman"/>
          <w:color w:val="000000" w:themeColor="text1"/>
          <w:sz w:val="24"/>
          <w:szCs w:val="24"/>
        </w:rPr>
        <w:t xml:space="preserve">he history of a relationship between EU economic freedoms and fundamental rights </w:t>
      </w:r>
      <w:r w:rsidR="00311626" w:rsidRPr="00424698">
        <w:rPr>
          <w:rFonts w:ascii="Times New Roman" w:hAnsi="Times New Roman" w:cs="Times New Roman"/>
          <w:color w:val="000000" w:themeColor="text1"/>
          <w:sz w:val="24"/>
          <w:szCs w:val="24"/>
        </w:rPr>
        <w:t>is</w:t>
      </w:r>
      <w:r w:rsidR="00A04077" w:rsidRPr="00424698">
        <w:rPr>
          <w:rFonts w:ascii="Times New Roman" w:hAnsi="Times New Roman" w:cs="Times New Roman"/>
          <w:color w:val="000000" w:themeColor="text1"/>
          <w:sz w:val="24"/>
          <w:szCs w:val="24"/>
        </w:rPr>
        <w:t xml:space="preserve"> that a gradual shift towards a greater use of comprehensive exceptions for various public policy measures may not alter the nature of IIAs </w:t>
      </w:r>
      <w:r w:rsidR="00311626" w:rsidRPr="00424698">
        <w:rPr>
          <w:rFonts w:ascii="Times New Roman" w:hAnsi="Times New Roman" w:cs="Times New Roman"/>
          <w:color w:val="000000" w:themeColor="text1"/>
          <w:sz w:val="24"/>
          <w:szCs w:val="24"/>
        </w:rPr>
        <w:t>and render them more socially-friendly.</w:t>
      </w:r>
      <w:r w:rsidR="00D06B61" w:rsidRPr="00424698">
        <w:rPr>
          <w:rFonts w:ascii="Times New Roman" w:hAnsi="Times New Roman" w:cs="Times New Roman"/>
          <w:color w:val="000000" w:themeColor="text1"/>
          <w:sz w:val="24"/>
          <w:szCs w:val="24"/>
        </w:rPr>
        <w:t xml:space="preserve"> </w:t>
      </w:r>
      <w:r w:rsidR="00A04077" w:rsidRPr="00424698">
        <w:rPr>
          <w:rFonts w:ascii="Times New Roman" w:hAnsi="Times New Roman" w:cs="Times New Roman"/>
          <w:color w:val="000000" w:themeColor="text1"/>
          <w:sz w:val="24"/>
          <w:szCs w:val="24"/>
        </w:rPr>
        <w:t>While offering a textual basis for balancing investment protection with clashing non-economic values, such exceptions clauses may not be effective enough to militate against investment protection</w:t>
      </w:r>
      <w:r w:rsidR="00886CA7" w:rsidRPr="00424698">
        <w:rPr>
          <w:rFonts w:ascii="Times New Roman" w:hAnsi="Times New Roman" w:cs="Times New Roman"/>
          <w:color w:val="000000" w:themeColor="text1"/>
          <w:sz w:val="24"/>
          <w:szCs w:val="24"/>
        </w:rPr>
        <w:t xml:space="preserve"> being prioritised </w:t>
      </w:r>
      <w:r w:rsidR="00A04077" w:rsidRPr="00424698">
        <w:rPr>
          <w:rFonts w:ascii="Times New Roman" w:hAnsi="Times New Roman" w:cs="Times New Roman"/>
          <w:color w:val="000000" w:themeColor="text1"/>
          <w:sz w:val="24"/>
          <w:szCs w:val="24"/>
        </w:rPr>
        <w:t xml:space="preserve">because </w:t>
      </w:r>
      <w:r w:rsidR="000B387D">
        <w:rPr>
          <w:rFonts w:ascii="Times New Roman" w:hAnsi="Times New Roman" w:cs="Times New Roman"/>
          <w:color w:val="000000" w:themeColor="text1"/>
          <w:sz w:val="24"/>
          <w:szCs w:val="24"/>
        </w:rPr>
        <w:t>the latter</w:t>
      </w:r>
      <w:r w:rsidR="000B387D" w:rsidRPr="00424698">
        <w:rPr>
          <w:rFonts w:ascii="Times New Roman" w:hAnsi="Times New Roman" w:cs="Times New Roman"/>
          <w:color w:val="000000" w:themeColor="text1"/>
          <w:sz w:val="24"/>
          <w:szCs w:val="24"/>
        </w:rPr>
        <w:t xml:space="preserve"> </w:t>
      </w:r>
      <w:r w:rsidR="00A04077" w:rsidRPr="00424698">
        <w:rPr>
          <w:rFonts w:ascii="Times New Roman" w:hAnsi="Times New Roman" w:cs="Times New Roman"/>
          <w:color w:val="000000" w:themeColor="text1"/>
          <w:sz w:val="24"/>
          <w:szCs w:val="24"/>
        </w:rPr>
        <w:t>has historically been a backbone of the entire treaty regime and its dispute settlement mechanism.</w:t>
      </w:r>
    </w:p>
    <w:p w14:paraId="6A21C76E" w14:textId="77777777" w:rsidR="003855C6" w:rsidRPr="00424698" w:rsidRDefault="003855C6" w:rsidP="0030432B">
      <w:pPr>
        <w:autoSpaceDE w:val="0"/>
        <w:autoSpaceDN w:val="0"/>
        <w:adjustRightInd w:val="0"/>
        <w:spacing w:after="0" w:line="360" w:lineRule="auto"/>
        <w:rPr>
          <w:rFonts w:ascii="Times New Roman" w:hAnsi="Times New Roman" w:cs="Times New Roman"/>
          <w:color w:val="000000" w:themeColor="text1"/>
          <w:sz w:val="24"/>
          <w:szCs w:val="24"/>
        </w:rPr>
      </w:pPr>
    </w:p>
    <w:sectPr w:rsidR="003855C6" w:rsidRPr="004246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0B0F" w14:textId="77777777" w:rsidR="007931F7" w:rsidRDefault="007931F7" w:rsidP="00AA3ABA">
      <w:pPr>
        <w:spacing w:after="0" w:line="240" w:lineRule="auto"/>
      </w:pPr>
      <w:r>
        <w:separator/>
      </w:r>
    </w:p>
  </w:endnote>
  <w:endnote w:type="continuationSeparator" w:id="0">
    <w:p w14:paraId="245E15E6" w14:textId="77777777" w:rsidR="007931F7" w:rsidRDefault="007931F7" w:rsidP="00AA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Arial Unicode MS"/>
    <w:panose1 w:val="00000000000000000000"/>
    <w:charset w:val="80"/>
    <w:family w:val="auto"/>
    <w:notTrueType/>
    <w:pitch w:val="default"/>
    <w:sig w:usb0="00000003" w:usb1="08070000" w:usb2="00000010" w:usb3="00000000" w:csb0="00020001" w:csb1="00000000"/>
  </w:font>
  <w:font w:name="AGaramondPro-Italic">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8170" w14:textId="77777777" w:rsidR="007931F7" w:rsidRDefault="007931F7" w:rsidP="00AA3ABA">
      <w:pPr>
        <w:spacing w:after="0" w:line="240" w:lineRule="auto"/>
      </w:pPr>
      <w:r>
        <w:separator/>
      </w:r>
    </w:p>
  </w:footnote>
  <w:footnote w:type="continuationSeparator" w:id="0">
    <w:p w14:paraId="52CB86AD" w14:textId="77777777" w:rsidR="007931F7" w:rsidRDefault="007931F7" w:rsidP="00AA3ABA">
      <w:pPr>
        <w:spacing w:after="0" w:line="240" w:lineRule="auto"/>
      </w:pPr>
      <w:r>
        <w:continuationSeparator/>
      </w:r>
    </w:p>
  </w:footnote>
  <w:footnote w:id="1">
    <w:p w14:paraId="6DC122B6" w14:textId="0E4F9E8F"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t>See &lt;</w:t>
      </w:r>
      <w:r w:rsidRPr="00424698">
        <w:t>http://investmentpolicyhub.unctad.org/IIA</w:t>
      </w:r>
      <w:r>
        <w:t>&gt; accessed 7 September 2016.</w:t>
      </w:r>
    </w:p>
  </w:footnote>
  <w:footnote w:id="2">
    <w:p w14:paraId="255D87BF" w14:textId="65A4405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t>i</w:t>
      </w:r>
      <w:r w:rsidRPr="00424698">
        <w:t>bid</w:t>
      </w:r>
      <w:r>
        <w:t>.</w:t>
      </w:r>
    </w:p>
  </w:footnote>
  <w:footnote w:id="3">
    <w:p w14:paraId="38AD2AFE" w14:textId="285E1655"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sz w:val="20"/>
          <w:szCs w:val="20"/>
        </w:rPr>
        <w:t xml:space="preserve">See Hermann J Abs, </w:t>
      </w:r>
      <w:r w:rsidRPr="00424698">
        <w:rPr>
          <w:rFonts w:ascii="Times New Roman" w:hAnsi="Times New Roman" w:cs="Times New Roman"/>
          <w:i/>
          <w:iCs/>
          <w:sz w:val="20"/>
          <w:szCs w:val="20"/>
        </w:rPr>
        <w:t xml:space="preserve">Proposals for Improving the Protection of Private Foreign Investments </w:t>
      </w:r>
      <w:r w:rsidRPr="00424698">
        <w:rPr>
          <w:rFonts w:ascii="Times New Roman" w:hAnsi="Times New Roman" w:cs="Times New Roman"/>
          <w:sz w:val="20"/>
          <w:szCs w:val="20"/>
        </w:rPr>
        <w:t>(Rotterdam 1958) 35. For a general discussion of the Draft, see G</w:t>
      </w:r>
      <w:r>
        <w:rPr>
          <w:rFonts w:ascii="Times New Roman" w:hAnsi="Times New Roman" w:cs="Times New Roman"/>
          <w:sz w:val="20"/>
          <w:szCs w:val="20"/>
        </w:rPr>
        <w:t>eorg</w:t>
      </w:r>
      <w:r w:rsidRPr="00424698">
        <w:rPr>
          <w:rFonts w:ascii="Times New Roman" w:hAnsi="Times New Roman" w:cs="Times New Roman"/>
          <w:sz w:val="20"/>
          <w:szCs w:val="20"/>
        </w:rPr>
        <w:t xml:space="preserve"> Schwarzenberger, </w:t>
      </w:r>
      <w:r w:rsidRPr="00424698">
        <w:rPr>
          <w:rFonts w:ascii="Times New Roman" w:hAnsi="Times New Roman" w:cs="Times New Roman"/>
          <w:i/>
          <w:iCs/>
          <w:sz w:val="20"/>
          <w:szCs w:val="20"/>
        </w:rPr>
        <w:t xml:space="preserve">Foreign Investments and International Law </w:t>
      </w:r>
      <w:r w:rsidRPr="00424698">
        <w:rPr>
          <w:rFonts w:ascii="Times New Roman" w:hAnsi="Times New Roman" w:cs="Times New Roman"/>
          <w:sz w:val="20"/>
          <w:szCs w:val="20"/>
        </w:rPr>
        <w:t xml:space="preserve">(Steven &amp; Sons, 1969) 109–134. The Abs-Shawcross Draft can be found in UNCTAD, </w:t>
      </w:r>
      <w:r w:rsidRPr="00424698">
        <w:rPr>
          <w:rFonts w:ascii="Times New Roman" w:hAnsi="Times New Roman" w:cs="Times New Roman"/>
          <w:i/>
          <w:iCs/>
          <w:sz w:val="20"/>
          <w:szCs w:val="20"/>
        </w:rPr>
        <w:t xml:space="preserve">International Investment Instruments: A Compendium </w:t>
      </w:r>
      <w:r w:rsidRPr="00424698">
        <w:rPr>
          <w:rFonts w:ascii="Times New Roman" w:hAnsi="Times New Roman" w:cs="Times New Roman"/>
          <w:sz w:val="20"/>
          <w:szCs w:val="20"/>
        </w:rPr>
        <w:t>(United Nations, 2000) vol. V,</w:t>
      </w:r>
      <w:r>
        <w:rPr>
          <w:rFonts w:ascii="Times New Roman" w:hAnsi="Times New Roman" w:cs="Times New Roman"/>
          <w:sz w:val="20"/>
          <w:szCs w:val="20"/>
        </w:rPr>
        <w:t xml:space="preserve"> 395.</w:t>
      </w:r>
    </w:p>
  </w:footnote>
  <w:footnote w:id="4">
    <w:p w14:paraId="66571495" w14:textId="69451308"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sz w:val="20"/>
          <w:szCs w:val="20"/>
        </w:rPr>
        <w:t>Aron Broches, ‘Settlement of Investment Disputes’ in Aron Broches (ed)</w:t>
      </w:r>
      <w:r>
        <w:rPr>
          <w:rFonts w:ascii="Times New Roman" w:hAnsi="Times New Roman" w:cs="Times New Roman"/>
          <w:sz w:val="20"/>
          <w:szCs w:val="20"/>
        </w:rPr>
        <w:t>,</w:t>
      </w:r>
      <w:r w:rsidRPr="00424698">
        <w:rPr>
          <w:rFonts w:ascii="Times New Roman" w:hAnsi="Times New Roman" w:cs="Times New Roman"/>
          <w:sz w:val="20"/>
          <w:szCs w:val="20"/>
        </w:rPr>
        <w:t xml:space="preserve"> </w:t>
      </w:r>
      <w:r w:rsidRPr="00424698">
        <w:rPr>
          <w:rFonts w:ascii="Times New Roman" w:hAnsi="Times New Roman" w:cs="Times New Roman"/>
          <w:i/>
          <w:iCs/>
          <w:sz w:val="20"/>
          <w:szCs w:val="20"/>
        </w:rPr>
        <w:t>Selected Essays: World Bank, ICSID and Other Subjects of Public and Private International Law</w:t>
      </w:r>
      <w:r w:rsidRPr="00424698">
        <w:rPr>
          <w:rFonts w:ascii="Times New Roman" w:hAnsi="Times New Roman" w:cs="Times New Roman"/>
          <w:sz w:val="20"/>
          <w:szCs w:val="20"/>
        </w:rPr>
        <w:t xml:space="preserve"> (Martinus Nijhoff 1995) 163.</w:t>
      </w:r>
    </w:p>
  </w:footnote>
  <w:footnote w:id="5">
    <w:p w14:paraId="35BD8ED1" w14:textId="19F81A69"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Stephan W Schill, </w:t>
      </w:r>
      <w:r w:rsidRPr="00424698">
        <w:rPr>
          <w:i/>
          <w:iCs/>
        </w:rPr>
        <w:t xml:space="preserve">The Multilateralization of International Investment Law </w:t>
      </w:r>
      <w:r w:rsidRPr="00424698">
        <w:t>(CUP 2009) 65.</w:t>
      </w:r>
    </w:p>
  </w:footnote>
  <w:footnote w:id="6">
    <w:p w14:paraId="441CB6FA" w14:textId="24E5606C" w:rsidR="00BC0A0D" w:rsidRPr="00424698" w:rsidRDefault="00BC0A0D" w:rsidP="001506B1">
      <w:pPr>
        <w:pStyle w:val="FootnoteText"/>
        <w:spacing w:line="360" w:lineRule="auto"/>
        <w:ind w:left="567" w:hanging="567"/>
        <w:jc w:val="both"/>
      </w:pPr>
      <w:r w:rsidRPr="00424698">
        <w:rPr>
          <w:rStyle w:val="FootnoteReference"/>
        </w:rPr>
        <w:footnoteRef/>
      </w:r>
      <w:r w:rsidRPr="00424698">
        <w:t xml:space="preserve"> </w:t>
      </w:r>
      <w:r>
        <w:tab/>
      </w:r>
      <w:r w:rsidRPr="00424698">
        <w:rPr>
          <w:i/>
        </w:rPr>
        <w:t>Eureko v Slovak Republic</w:t>
      </w:r>
      <w:r w:rsidRPr="00424698">
        <w:t>, PCA Case No. 2008-13</w:t>
      </w:r>
      <w:r>
        <w:t xml:space="preserve">, </w:t>
      </w:r>
      <w:r w:rsidRPr="00424698">
        <w:t xml:space="preserve">Award on </w:t>
      </w:r>
      <w:r>
        <w:t>J</w:t>
      </w:r>
      <w:r w:rsidRPr="00424698">
        <w:t xml:space="preserve">urisdiction </w:t>
      </w:r>
      <w:r>
        <w:t>(</w:t>
      </w:r>
      <w:r w:rsidRPr="00424698">
        <w:t>26 October 2010</w:t>
      </w:r>
      <w:r>
        <w:t>)</w:t>
      </w:r>
      <w:r w:rsidRPr="00424698">
        <w:t xml:space="preserve"> para 177.</w:t>
      </w:r>
    </w:p>
  </w:footnote>
  <w:footnote w:id="7">
    <w:p w14:paraId="1CA46080" w14:textId="0EB0DEF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t>i</w:t>
      </w:r>
      <w:r w:rsidRPr="00424698">
        <w:t>bid para 65.</w:t>
      </w:r>
    </w:p>
  </w:footnote>
  <w:footnote w:id="8">
    <w:p w14:paraId="6916D382" w14:textId="4197A965"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sz w:val="20"/>
          <w:szCs w:val="20"/>
        </w:rPr>
        <w:t>Opinion of Advocate General Jääskinen, 15 March 2011,</w:t>
      </w:r>
      <w:r>
        <w:rPr>
          <w:rFonts w:ascii="Times New Roman" w:hAnsi="Times New Roman" w:cs="Times New Roman"/>
          <w:sz w:val="20"/>
          <w:szCs w:val="20"/>
        </w:rPr>
        <w:t xml:space="preserve"> </w:t>
      </w:r>
      <w:r w:rsidRPr="00424698">
        <w:rPr>
          <w:rFonts w:ascii="Times New Roman" w:hAnsi="Times New Roman" w:cs="Times New Roman"/>
          <w:bCs/>
          <w:sz w:val="20"/>
          <w:szCs w:val="20"/>
        </w:rPr>
        <w:t>Case C</w:t>
      </w:r>
      <w:r w:rsidRPr="00424698">
        <w:rPr>
          <w:rFonts w:ascii="Times New Roman" w:hAnsi="Times New Roman" w:cs="Times New Roman"/>
          <w:bCs/>
          <w:sz w:val="20"/>
          <w:szCs w:val="20"/>
        </w:rPr>
        <w:noBreakHyphen/>
        <w:t>264/09</w:t>
      </w:r>
      <w:r>
        <w:rPr>
          <w:rFonts w:ascii="Times New Roman" w:hAnsi="Times New Roman" w:cs="Times New Roman"/>
          <w:bCs/>
          <w:sz w:val="20"/>
          <w:szCs w:val="20"/>
        </w:rPr>
        <w:t>,</w:t>
      </w:r>
      <w:r w:rsidRPr="00424698">
        <w:rPr>
          <w:rFonts w:ascii="Times New Roman" w:hAnsi="Times New Roman" w:cs="Times New Roman"/>
          <w:bCs/>
          <w:sz w:val="20"/>
          <w:szCs w:val="20"/>
        </w:rPr>
        <w:t xml:space="preserve"> </w:t>
      </w:r>
      <w:r w:rsidRPr="001506B1">
        <w:rPr>
          <w:rFonts w:ascii="Times New Roman" w:hAnsi="Times New Roman" w:cs="Times New Roman"/>
          <w:bCs/>
          <w:i/>
          <w:sz w:val="20"/>
          <w:szCs w:val="20"/>
        </w:rPr>
        <w:t>European Commission v Republic of Slovakia</w:t>
      </w:r>
      <w:r w:rsidR="00E223D2">
        <w:rPr>
          <w:rFonts w:ascii="Times New Roman" w:hAnsi="Times New Roman" w:cs="Times New Roman"/>
          <w:bCs/>
          <w:sz w:val="20"/>
          <w:szCs w:val="20"/>
        </w:rPr>
        <w:t xml:space="preserve"> [</w:t>
      </w:r>
      <w:r w:rsidR="00E223D2" w:rsidRPr="001506B1">
        <w:rPr>
          <w:rFonts w:ascii="Times New Roman" w:hAnsi="Times New Roman" w:cs="Times New Roman"/>
          <w:bCs/>
          <w:iCs/>
          <w:sz w:val="20"/>
          <w:szCs w:val="20"/>
        </w:rPr>
        <w:t>2011</w:t>
      </w:r>
      <w:r w:rsidR="00E223D2">
        <w:rPr>
          <w:rFonts w:ascii="Times New Roman" w:hAnsi="Times New Roman" w:cs="Times New Roman"/>
          <w:bCs/>
          <w:iCs/>
          <w:sz w:val="20"/>
          <w:szCs w:val="20"/>
        </w:rPr>
        <w:t>]</w:t>
      </w:r>
      <w:r w:rsidR="00E223D2" w:rsidRPr="001506B1">
        <w:rPr>
          <w:rFonts w:ascii="Times New Roman" w:hAnsi="Times New Roman" w:cs="Times New Roman"/>
          <w:bCs/>
          <w:iCs/>
          <w:sz w:val="20"/>
          <w:szCs w:val="20"/>
        </w:rPr>
        <w:t xml:space="preserve"> </w:t>
      </w:r>
      <w:r w:rsidR="00E223D2">
        <w:rPr>
          <w:rFonts w:ascii="Times New Roman" w:hAnsi="Times New Roman" w:cs="Times New Roman"/>
          <w:bCs/>
          <w:iCs/>
          <w:sz w:val="20"/>
          <w:szCs w:val="20"/>
        </w:rPr>
        <w:t xml:space="preserve">ECR </w:t>
      </w:r>
      <w:r w:rsidR="00E223D2" w:rsidRPr="001506B1">
        <w:rPr>
          <w:rFonts w:ascii="Times New Roman" w:hAnsi="Times New Roman" w:cs="Times New Roman"/>
          <w:bCs/>
          <w:iCs/>
          <w:sz w:val="20"/>
          <w:szCs w:val="20"/>
        </w:rPr>
        <w:t>I-08065</w:t>
      </w:r>
      <w:r w:rsidR="00A0392D" w:rsidRPr="00A0392D" w:rsidDel="00A0392D">
        <w:rPr>
          <w:rFonts w:ascii="Times New Roman" w:hAnsi="Times New Roman" w:cs="Times New Roman"/>
          <w:bCs/>
          <w:sz w:val="20"/>
          <w:szCs w:val="20"/>
        </w:rPr>
        <w:t xml:space="preserve"> </w:t>
      </w:r>
      <w:r w:rsidRPr="00424698">
        <w:rPr>
          <w:rFonts w:ascii="Times New Roman" w:hAnsi="Times New Roman" w:cs="Times New Roman"/>
          <w:bCs/>
          <w:sz w:val="20"/>
          <w:szCs w:val="20"/>
        </w:rPr>
        <w:t>para 78.</w:t>
      </w:r>
    </w:p>
  </w:footnote>
  <w:footnote w:id="9">
    <w:p w14:paraId="2BBD073B" w14:textId="46BC22A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Such arguments were discussed in </w:t>
      </w:r>
      <w:r w:rsidRPr="0030432B">
        <w:rPr>
          <w:i/>
        </w:rPr>
        <w:t>Eureko v Slovak Republic</w:t>
      </w:r>
      <w:r w:rsidRPr="00424698">
        <w:t xml:space="preserve"> (n 6) para 63.</w:t>
      </w:r>
    </w:p>
  </w:footnote>
  <w:footnote w:id="10">
    <w:p w14:paraId="0DCB3695" w14:textId="3A8A242E"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(1995) 2080 UNTS 100.</w:t>
      </w:r>
    </w:p>
  </w:footnote>
  <w:footnote w:id="11">
    <w:p w14:paraId="47F9A4EE" w14:textId="259BF87F"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sz w:val="20"/>
          <w:szCs w:val="20"/>
        </w:rPr>
        <w:t xml:space="preserve">Jan Kleinheisterkamp, </w:t>
      </w:r>
      <w:r>
        <w:rPr>
          <w:rFonts w:ascii="Times New Roman" w:hAnsi="Times New Roman" w:cs="Times New Roman"/>
          <w:sz w:val="20"/>
          <w:szCs w:val="20"/>
        </w:rPr>
        <w:t>‘</w:t>
      </w:r>
      <w:r w:rsidRPr="00424698">
        <w:rPr>
          <w:rFonts w:ascii="Times New Roman" w:hAnsi="Times New Roman" w:cs="Times New Roman"/>
          <w:sz w:val="20"/>
          <w:szCs w:val="20"/>
        </w:rPr>
        <w:t xml:space="preserve">Investment Protection and EU law: The Intra- and Extra-EU </w:t>
      </w:r>
      <w:r>
        <w:rPr>
          <w:rFonts w:ascii="Times New Roman" w:hAnsi="Times New Roman" w:cs="Times New Roman"/>
          <w:sz w:val="20"/>
          <w:szCs w:val="20"/>
        </w:rPr>
        <w:t>D</w:t>
      </w:r>
      <w:r w:rsidRPr="00424698">
        <w:rPr>
          <w:rFonts w:ascii="Times New Roman" w:hAnsi="Times New Roman" w:cs="Times New Roman"/>
          <w:sz w:val="20"/>
          <w:szCs w:val="20"/>
        </w:rPr>
        <w:t>imension of the Energy Charter Treaty</w:t>
      </w:r>
      <w:r>
        <w:rPr>
          <w:rFonts w:ascii="Times New Roman" w:hAnsi="Times New Roman" w:cs="Times New Roman"/>
          <w:sz w:val="20"/>
          <w:szCs w:val="20"/>
        </w:rPr>
        <w:t>’</w:t>
      </w:r>
      <w:r w:rsidRPr="00424698">
        <w:rPr>
          <w:rFonts w:ascii="Times New Roman" w:hAnsi="Times New Roman" w:cs="Times New Roman"/>
          <w:sz w:val="20"/>
          <w:szCs w:val="20"/>
        </w:rPr>
        <w:t xml:space="preserve"> (2012) 15(1) </w:t>
      </w:r>
      <w:r>
        <w:rPr>
          <w:rFonts w:ascii="Times New Roman" w:hAnsi="Times New Roman" w:cs="Times New Roman"/>
          <w:sz w:val="20"/>
          <w:szCs w:val="20"/>
        </w:rPr>
        <w:t xml:space="preserve">JIEL </w:t>
      </w:r>
      <w:r w:rsidRPr="00424698">
        <w:rPr>
          <w:rFonts w:ascii="Times New Roman" w:hAnsi="Times New Roman" w:cs="Times New Roman"/>
          <w:sz w:val="20"/>
          <w:szCs w:val="20"/>
        </w:rPr>
        <w:t>85, 97.</w:t>
      </w:r>
    </w:p>
  </w:footnote>
  <w:footnote w:id="12">
    <w:p w14:paraId="4F391E25" w14:textId="6CFE9B28"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The text can be found at </w:t>
      </w:r>
      <w:r>
        <w:t>&lt;</w:t>
      </w:r>
      <w:r w:rsidRPr="00424698">
        <w:t>http://www.s2bnetwork.org/wp-content/uploads/2016/05/Intra-EU-Bits2-18-05.pdf</w:t>
      </w:r>
      <w:r>
        <w:t>&gt; accessed 7 September 2016</w:t>
      </w:r>
      <w:r w:rsidRPr="00424698">
        <w:t>.</w:t>
      </w:r>
    </w:p>
  </w:footnote>
  <w:footnote w:id="13">
    <w:p w14:paraId="5D46498E" w14:textId="65986A8D" w:rsidR="00BC0A0D" w:rsidRPr="001506B1" w:rsidRDefault="00BC0A0D" w:rsidP="0030432B">
      <w:pPr>
        <w:pStyle w:val="FootnoteText"/>
        <w:spacing w:line="360" w:lineRule="auto"/>
        <w:ind w:left="567" w:hanging="567"/>
        <w:jc w:val="both"/>
        <w:rPr>
          <w:lang w:val="en-US"/>
        </w:rPr>
      </w:pPr>
      <w:r w:rsidRPr="00424698">
        <w:rPr>
          <w:rStyle w:val="FootnoteReference"/>
        </w:rPr>
        <w:footnoteRef/>
      </w:r>
      <w:r w:rsidRPr="001506B1">
        <w:rPr>
          <w:lang w:val="en-US"/>
        </w:rPr>
        <w:t xml:space="preserve"> </w:t>
      </w:r>
      <w:r w:rsidRPr="001506B1">
        <w:rPr>
          <w:lang w:val="en-US"/>
        </w:rPr>
        <w:tab/>
        <w:t>See eg Kleinheisterkamp (n 11).</w:t>
      </w:r>
    </w:p>
  </w:footnote>
  <w:footnote w:id="14">
    <w:p w14:paraId="6C80BDCD" w14:textId="063F6511"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Cs/>
        </w:rPr>
        <w:t>Anna De Luca,</w:t>
      </w:r>
      <w:r w:rsidRPr="00424698">
        <w:t xml:space="preserve"> ‘The Legal Framework for Foreign Investments in the EU: The EU Internal Market Freedoms, the Destiny of Member States’ BITs, and Future European Agreements on Protection of Foreign Investments’ in Leon Trakman and Nicola Ranieri (eds) </w:t>
      </w:r>
      <w:r w:rsidRPr="00424698">
        <w:rPr>
          <w:i/>
        </w:rPr>
        <w:t>Regionalism in International Investment Law</w:t>
      </w:r>
      <w:r w:rsidRPr="00424698">
        <w:t xml:space="preserve"> (OUP 2013) 122-3.</w:t>
      </w:r>
    </w:p>
  </w:footnote>
  <w:footnote w:id="15">
    <w:p w14:paraId="572B4EB0" w14:textId="708B86E0" w:rsidR="00BC0A0D" w:rsidRPr="00DA4F73" w:rsidRDefault="00BC0A0D" w:rsidP="00DA4F73">
      <w:pPr>
        <w:pStyle w:val="FootnoteText"/>
        <w:spacing w:line="360" w:lineRule="auto"/>
        <w:ind w:left="567" w:hanging="567"/>
        <w:jc w:val="both"/>
      </w:pPr>
      <w:r w:rsidRPr="00424698">
        <w:rPr>
          <w:rStyle w:val="FootnoteReference"/>
        </w:rPr>
        <w:footnoteRef/>
      </w:r>
      <w:r w:rsidRPr="00424698">
        <w:t xml:space="preserve"> </w:t>
      </w:r>
      <w:r>
        <w:tab/>
      </w:r>
      <w:r w:rsidRPr="00DA4F73">
        <w:t>Niamh Nic Shuibhne</w:t>
      </w:r>
      <w:r>
        <w:t>, ‘</w:t>
      </w:r>
      <w:r w:rsidRPr="00DA4F73">
        <w:t>The Positive Scope of Free Movement Law: Non-Discriminatory Restrictions</w:t>
      </w:r>
      <w:r>
        <w:t xml:space="preserve">’ in </w:t>
      </w:r>
      <w:r w:rsidRPr="00DA4F73">
        <w:t>Niamh Nic Shuibhne</w:t>
      </w:r>
      <w:r>
        <w:t>,</w:t>
      </w:r>
      <w:r w:rsidRPr="00DA4F73">
        <w:t xml:space="preserve"> </w:t>
      </w:r>
      <w:r w:rsidRPr="0030432B">
        <w:rPr>
          <w:i/>
        </w:rPr>
        <w:t>The Coherence of EU Free Movement Law</w:t>
      </w:r>
      <w:r>
        <w:t xml:space="preserve"> (OUP 2013) 209.</w:t>
      </w:r>
    </w:p>
    <w:p w14:paraId="21FE4CEC" w14:textId="6B99CC4C" w:rsidR="00BC0A0D" w:rsidRPr="00424698" w:rsidRDefault="00BC0A0D" w:rsidP="0030432B">
      <w:pPr>
        <w:pStyle w:val="FootnoteText"/>
        <w:spacing w:line="360" w:lineRule="auto"/>
        <w:ind w:left="567" w:hanging="567"/>
        <w:jc w:val="both"/>
      </w:pPr>
    </w:p>
  </w:footnote>
  <w:footnote w:id="16">
    <w:p w14:paraId="33D9BF7E" w14:textId="233C9D48"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Similarly, public policy and security derogations from free movement of services and capital are enshrined in Article</w:t>
      </w:r>
      <w:r>
        <w:t>s</w:t>
      </w:r>
      <w:r w:rsidRPr="00424698">
        <w:t xml:space="preserve"> 45 and 65 respectively.</w:t>
      </w:r>
    </w:p>
  </w:footnote>
  <w:footnote w:id="17">
    <w:p w14:paraId="439422BC" w14:textId="266EE41B"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w:t>
      </w:r>
      <w:r w:rsidRPr="00E223D2">
        <w:t xml:space="preserve">Case 72/83, </w:t>
      </w:r>
      <w:r w:rsidR="00E223D2" w:rsidRPr="001506B1">
        <w:rPr>
          <w:rStyle w:val="Emphasis"/>
          <w:color w:val="333333"/>
          <w:sz w:val="19"/>
          <w:szCs w:val="19"/>
          <w:bdr w:val="none" w:sz="0" w:space="0" w:color="auto" w:frame="1"/>
          <w:shd w:val="clear" w:color="auto" w:fill="FFFFFF"/>
        </w:rPr>
        <w:t xml:space="preserve">Campus Oil Limited v Minister for Industry and Energy </w:t>
      </w:r>
      <w:r w:rsidR="00E223D2" w:rsidRPr="001506B1">
        <w:rPr>
          <w:rStyle w:val="Emphasis"/>
          <w:i w:val="0"/>
          <w:color w:val="333333"/>
          <w:sz w:val="19"/>
          <w:szCs w:val="19"/>
          <w:bdr w:val="none" w:sz="0" w:space="0" w:color="auto" w:frame="1"/>
          <w:shd w:val="clear" w:color="auto" w:fill="FFFFFF"/>
        </w:rPr>
        <w:t>[1984] ECR 2727, para 37</w:t>
      </w:r>
      <w:r w:rsidRPr="00E223D2">
        <w:t>:</w:t>
      </w:r>
      <w:r w:rsidRPr="00424698">
        <w:t xml:space="preserve"> ‘Article [36], as an exception to a fundamental principle of the Treaty must be interpreted in such a way that its scope is not extended any further than is necessary for the protection of the interests which is intended to secure and the measures taken pursuant to that Article must not create obstacles which are disproportionate to those objectives’.</w:t>
      </w:r>
    </w:p>
  </w:footnote>
  <w:footnote w:id="18">
    <w:p w14:paraId="58FE3F21" w14:textId="63C4FA70"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eg </w:t>
      </w:r>
      <w:r w:rsidRPr="00424698">
        <w:rPr>
          <w:i/>
          <w:iCs/>
        </w:rPr>
        <w:t>Continental Casualty Company v Argentina</w:t>
      </w:r>
      <w:r w:rsidRPr="00424698">
        <w:t>, ICSID Case N</w:t>
      </w:r>
      <w:r>
        <w:t xml:space="preserve">o </w:t>
      </w:r>
      <w:r w:rsidRPr="00424698">
        <w:t>ARB/03/9</w:t>
      </w:r>
      <w:r>
        <w:t xml:space="preserve">, </w:t>
      </w:r>
      <w:r w:rsidRPr="00424698">
        <w:t>Award</w:t>
      </w:r>
      <w:r>
        <w:t xml:space="preserve"> (</w:t>
      </w:r>
      <w:r w:rsidRPr="00424698">
        <w:t>5 September 2008) paras 231–233, where the presence of the exceptions clause in the treaty enabled the respondent state to defend successfully its measures. By contrast, its defence in a largely similar case failed as the applicable treaty did not contain any exceptions clause</w:t>
      </w:r>
      <w:r>
        <w:t xml:space="preserve">. See </w:t>
      </w:r>
      <w:r w:rsidRPr="00424698">
        <w:rPr>
          <w:i/>
          <w:iCs/>
        </w:rPr>
        <w:t>Total SA v Argentine Republic</w:t>
      </w:r>
      <w:r w:rsidRPr="00424698">
        <w:t>, ICSID Case No ARB/04/1</w:t>
      </w:r>
      <w:r>
        <w:t xml:space="preserve">, </w:t>
      </w:r>
      <w:r w:rsidRPr="00424698">
        <w:t>Decision on Liability</w:t>
      </w:r>
      <w:r>
        <w:t xml:space="preserve"> (</w:t>
      </w:r>
      <w:r w:rsidRPr="00424698">
        <w:t>27 December 2010</w:t>
      </w:r>
      <w:r>
        <w:t>)</w:t>
      </w:r>
      <w:r w:rsidRPr="00424698">
        <w:t xml:space="preserve"> paras 224–230).</w:t>
      </w:r>
    </w:p>
  </w:footnote>
  <w:footnote w:id="19">
    <w:p w14:paraId="2CC8B7D2" w14:textId="271383B6"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t>As early as in the 1990s, of some 335 BITs only 28 did not contain an FET clause. UNCTAD, Fair and Equitable Treatment (United Nations 1999) 22, referring to M</w:t>
      </w:r>
      <w:r>
        <w:t>ohamed</w:t>
      </w:r>
      <w:r w:rsidRPr="00424698">
        <w:t xml:space="preserve"> Khalil, ‘Treatment of Foreign Investment in Bilateral Investment Treaties’(1992) 7 ICSID Review</w:t>
      </w:r>
      <w:r>
        <w:noBreakHyphen/>
        <w:t xml:space="preserve">FILJ </w:t>
      </w:r>
      <w:r w:rsidRPr="00424698">
        <w:t>339, 355.</w:t>
      </w:r>
    </w:p>
  </w:footnote>
  <w:footnote w:id="20">
    <w:p w14:paraId="2B40BD2C" w14:textId="55ECA639" w:rsidR="00BC0A0D" w:rsidRPr="00424698" w:rsidRDefault="00BC0A0D" w:rsidP="001125AC">
      <w:pPr>
        <w:pStyle w:val="FootnoteText"/>
        <w:keepLines/>
        <w:widowControl w:val="0"/>
        <w:spacing w:line="360" w:lineRule="auto"/>
        <w:ind w:left="567" w:hanging="567"/>
        <w:jc w:val="both"/>
      </w:pPr>
      <w:r w:rsidRPr="00424698">
        <w:rPr>
          <w:rStyle w:val="FootnoteReference"/>
        </w:rPr>
        <w:footnoteRef/>
      </w:r>
      <w:r w:rsidRPr="00424698">
        <w:t xml:space="preserve"> </w:t>
      </w:r>
      <w:r>
        <w:tab/>
      </w:r>
      <w:r w:rsidRPr="00424698">
        <w:t>C</w:t>
      </w:r>
      <w:r>
        <w:t>hristoph</w:t>
      </w:r>
      <w:r w:rsidRPr="00424698">
        <w:t xml:space="preserve"> Schreuer, ‘Interrelationships of Standards’ in A</w:t>
      </w:r>
      <w:r>
        <w:t>ugust</w:t>
      </w:r>
      <w:r w:rsidRPr="00424698">
        <w:t xml:space="preserve"> Reinisch</w:t>
      </w:r>
      <w:r>
        <w:t xml:space="preserve"> (ed)</w:t>
      </w:r>
      <w:r w:rsidRPr="00424698">
        <w:t xml:space="preserve">, </w:t>
      </w:r>
      <w:r w:rsidRPr="00424698">
        <w:rPr>
          <w:i/>
        </w:rPr>
        <w:t>Standards of Investment Protection</w:t>
      </w:r>
      <w:r w:rsidRPr="00424698">
        <w:t xml:space="preserve"> (OUP 2008) 1.</w:t>
      </w:r>
    </w:p>
  </w:footnote>
  <w:footnote w:id="21">
    <w:p w14:paraId="6DA5F834" w14:textId="32B0A7D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Although some of the more recent IIAs seek to clarify the scope of the standard by expressly stating that FET is a reflection of customary international law. See</w:t>
      </w:r>
      <w:r>
        <w:t xml:space="preserve"> eg </w:t>
      </w:r>
      <w:r w:rsidRPr="00424698">
        <w:t>recent Canadian IIAs.</w:t>
      </w:r>
    </w:p>
  </w:footnote>
  <w:footnote w:id="22">
    <w:p w14:paraId="132FDE13" w14:textId="5FE2865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
        </w:rPr>
        <w:t>Saluka Investments BV v Czech Republic</w:t>
      </w:r>
      <w:r w:rsidRPr="00424698">
        <w:t>, UNCITRAL</w:t>
      </w:r>
      <w:r>
        <w:t xml:space="preserve">, </w:t>
      </w:r>
      <w:r w:rsidRPr="00424698">
        <w:t>Partial Award</w:t>
      </w:r>
      <w:r>
        <w:t xml:space="preserve"> (</w:t>
      </w:r>
      <w:r w:rsidRPr="00424698">
        <w:t>17 March 2006</w:t>
      </w:r>
      <w:r>
        <w:t>)</w:t>
      </w:r>
      <w:r w:rsidRPr="00424698">
        <w:t xml:space="preserve"> para 293.</w:t>
      </w:r>
    </w:p>
  </w:footnote>
  <w:footnote w:id="23">
    <w:p w14:paraId="2E674A0F" w14:textId="497D23AA"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eg </w:t>
      </w:r>
      <w:r w:rsidRPr="00424698">
        <w:rPr>
          <w:i/>
          <w:iCs/>
        </w:rPr>
        <w:t>Waste Management Inc v Mexico</w:t>
      </w:r>
      <w:r w:rsidRPr="00424698">
        <w:rPr>
          <w:iCs/>
        </w:rPr>
        <w:t xml:space="preserve">, </w:t>
      </w:r>
      <w:r>
        <w:rPr>
          <w:iCs/>
        </w:rPr>
        <w:t xml:space="preserve">ICSID </w:t>
      </w:r>
      <w:r w:rsidRPr="00424698">
        <w:rPr>
          <w:iCs/>
        </w:rPr>
        <w:t>Case No ARB(AF)/00/3</w:t>
      </w:r>
      <w:r>
        <w:rPr>
          <w:iCs/>
        </w:rPr>
        <w:t xml:space="preserve">, </w:t>
      </w:r>
      <w:r w:rsidRPr="00424698">
        <w:rPr>
          <w:iCs/>
        </w:rPr>
        <w:t>Award</w:t>
      </w:r>
      <w:r>
        <w:rPr>
          <w:iCs/>
        </w:rPr>
        <w:t xml:space="preserve"> (</w:t>
      </w:r>
      <w:r w:rsidRPr="00424698">
        <w:rPr>
          <w:iCs/>
        </w:rPr>
        <w:t xml:space="preserve">30 April 2004) (2004) 43 ILM 967, </w:t>
      </w:r>
      <w:r w:rsidRPr="00424698">
        <w:t xml:space="preserve">para 98; and </w:t>
      </w:r>
      <w:r w:rsidRPr="00424698">
        <w:rPr>
          <w:i/>
        </w:rPr>
        <w:t>Rumeli Telekom AS and Telsim Mobil Telekomunikasyon Hizmetleri AS v. Republic of Kazakhstan</w:t>
      </w:r>
      <w:r>
        <w:t>,</w:t>
      </w:r>
      <w:r w:rsidRPr="00424698">
        <w:t xml:space="preserve"> </w:t>
      </w:r>
      <w:r>
        <w:t xml:space="preserve">Award, </w:t>
      </w:r>
      <w:r w:rsidRPr="00424698">
        <w:t>ICSID Case No</w:t>
      </w:r>
      <w:r>
        <w:t xml:space="preserve"> </w:t>
      </w:r>
      <w:r w:rsidRPr="00424698">
        <w:t>ARB/05/16</w:t>
      </w:r>
      <w:r>
        <w:t xml:space="preserve"> (</w:t>
      </w:r>
      <w:r w:rsidRPr="00424698">
        <w:t>29 July 2008) para</w:t>
      </w:r>
      <w:r>
        <w:t>s</w:t>
      </w:r>
      <w:r w:rsidRPr="00424698">
        <w:t xml:space="preserve"> 614-618.</w:t>
      </w:r>
    </w:p>
  </w:footnote>
  <w:footnote w:id="24">
    <w:p w14:paraId="4B90DC0B" w14:textId="785A66BE"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eg </w:t>
      </w:r>
      <w:r w:rsidRPr="00424698">
        <w:rPr>
          <w:i/>
        </w:rPr>
        <w:t>Loewen v United States</w:t>
      </w:r>
      <w:r w:rsidRPr="00424698">
        <w:t>, ICSID Case No ARB(AF)/98/3</w:t>
      </w:r>
      <w:r>
        <w:t xml:space="preserve">, </w:t>
      </w:r>
      <w:r w:rsidRPr="00424698">
        <w:t>Award</w:t>
      </w:r>
      <w:r>
        <w:t xml:space="preserve"> (</w:t>
      </w:r>
      <w:r w:rsidRPr="00424698">
        <w:t xml:space="preserve">26 June 2003) (2003) 42 ILM 811, para 143 </w:t>
      </w:r>
    </w:p>
  </w:footnote>
  <w:footnote w:id="25">
    <w:p w14:paraId="0F566D7D" w14:textId="26EC3378"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
        </w:rPr>
        <w:t>PSEG Global Inc and Konya Ilgin Elektrik Üretimve Ticaret Ltd Širketi v Turkey</w:t>
      </w:r>
      <w:r w:rsidRPr="00424698">
        <w:t xml:space="preserve">, </w:t>
      </w:r>
      <w:r>
        <w:t xml:space="preserve">ICSID </w:t>
      </w:r>
      <w:r w:rsidRPr="00424698">
        <w:t>Case No ARB/02/5</w:t>
      </w:r>
      <w:r>
        <w:t xml:space="preserve">, </w:t>
      </w:r>
      <w:r w:rsidRPr="00424698">
        <w:t xml:space="preserve">Award </w:t>
      </w:r>
      <w:r>
        <w:t>(</w:t>
      </w:r>
      <w:r w:rsidRPr="00424698">
        <w:t>19 January 2007) para 250.</w:t>
      </w:r>
    </w:p>
  </w:footnote>
  <w:footnote w:id="26">
    <w:p w14:paraId="01B2FF93" w14:textId="4E7F3BC3"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A0392D" w:rsidRPr="00424698">
        <w:rPr>
          <w:i/>
        </w:rPr>
        <w:t xml:space="preserve">Eureko v Slovak </w:t>
      </w:r>
      <w:r w:rsidR="00A0392D" w:rsidRPr="00A0392D">
        <w:rPr>
          <w:i/>
        </w:rPr>
        <w:t>Republic</w:t>
      </w:r>
      <w:r w:rsidR="00A0392D" w:rsidRPr="001506B1" w:rsidDel="00A0392D">
        <w:t xml:space="preserve"> </w:t>
      </w:r>
      <w:r w:rsidRPr="00A0392D">
        <w:t>(</w:t>
      </w:r>
      <w:r w:rsidRPr="00424698">
        <w:t>n 6) para 247.</w:t>
      </w:r>
    </w:p>
  </w:footnote>
  <w:footnote w:id="27">
    <w:p w14:paraId="4B034F7E" w14:textId="22E5DF6D"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 para 250</w:t>
      </w:r>
      <w:r>
        <w:t>.</w:t>
      </w:r>
    </w:p>
  </w:footnote>
  <w:footnote w:id="28">
    <w:p w14:paraId="590D6B3E" w14:textId="0C25D841"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w:t>
      </w:r>
      <w:r>
        <w:t>.</w:t>
      </w:r>
    </w:p>
  </w:footnote>
  <w:footnote w:id="29">
    <w:p w14:paraId="72D80B87" w14:textId="50F6BAB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
        </w:rPr>
        <w:t xml:space="preserve">Sempra Energy International v Argentina, </w:t>
      </w:r>
      <w:r w:rsidRPr="00424698">
        <w:t>ICSID Case No ARB/02/16</w:t>
      </w:r>
      <w:r>
        <w:t xml:space="preserve">, </w:t>
      </w:r>
      <w:r w:rsidRPr="00424698">
        <w:t xml:space="preserve">Award </w:t>
      </w:r>
      <w:r>
        <w:t>(</w:t>
      </w:r>
      <w:r w:rsidRPr="00424698">
        <w:t>18 September 2007) para 300.</w:t>
      </w:r>
    </w:p>
  </w:footnote>
  <w:footnote w:id="30">
    <w:p w14:paraId="653F2A5C" w14:textId="48E090DB"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t xml:space="preserve">See </w:t>
      </w:r>
      <w:r w:rsidRPr="00424698">
        <w:rPr>
          <w:i/>
        </w:rPr>
        <w:t>Walter Bau AG v Thailand</w:t>
      </w:r>
      <w:r w:rsidRPr="00424698">
        <w:t>, UNCITRAL Award</w:t>
      </w:r>
      <w:r>
        <w:t xml:space="preserve"> (</w:t>
      </w:r>
      <w:r w:rsidRPr="00424698">
        <w:t>1 July 2009</w:t>
      </w:r>
      <w:r>
        <w:t xml:space="preserve">) </w:t>
      </w:r>
      <w:r w:rsidRPr="00424698">
        <w:t>paras 12.43-12.44</w:t>
      </w:r>
      <w:r>
        <w:t xml:space="preserve"> (</w:t>
      </w:r>
      <w:r w:rsidRPr="00424698">
        <w:t>finding that a breach of FET can also be creeping</w:t>
      </w:r>
      <w:r>
        <w:t>)</w:t>
      </w:r>
      <w:r w:rsidRPr="00424698">
        <w:t xml:space="preserve">. </w:t>
      </w:r>
    </w:p>
  </w:footnote>
  <w:footnote w:id="31">
    <w:p w14:paraId="4348F00D" w14:textId="6A21F82C" w:rsidR="00BC0A0D" w:rsidRPr="00424698" w:rsidRDefault="00BC0A0D" w:rsidP="0030432B">
      <w:pPr>
        <w:widowControl w:val="0"/>
        <w:spacing w:after="0" w:line="360" w:lineRule="auto"/>
        <w:ind w:left="567" w:hanging="567"/>
        <w:jc w:val="both"/>
        <w:rPr>
          <w:rFonts w:ascii="Times New Roman" w:hAnsi="Times New Roman" w:cs="Times New Roman"/>
          <w:sz w:val="20"/>
          <w:szCs w:val="20"/>
        </w:rPr>
      </w:pPr>
      <w:r w:rsidRPr="00424698">
        <w:rPr>
          <w:rFonts w:ascii="Times New Roman" w:hAnsi="Times New Roman" w:cs="Times New Roman"/>
          <w:sz w:val="20"/>
          <w:szCs w:val="20"/>
          <w:vertAlign w:val="superscript"/>
        </w:rPr>
        <w:footnoteRef/>
      </w:r>
      <w:r w:rsidRPr="00424698">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424698">
        <w:rPr>
          <w:rFonts w:ascii="Times New Roman" w:hAnsi="Times New Roman" w:cs="Times New Roman"/>
          <w:sz w:val="20"/>
          <w:szCs w:val="20"/>
          <w:lang w:val="en-US"/>
        </w:rPr>
        <w:t xml:space="preserve">Rudolf Dolzer, </w:t>
      </w:r>
      <w:r w:rsidRPr="00424698">
        <w:rPr>
          <w:rFonts w:ascii="Times New Roman" w:hAnsi="Times New Roman" w:cs="Times New Roman"/>
          <w:sz w:val="20"/>
          <w:szCs w:val="20"/>
        </w:rPr>
        <w:t>‘</w:t>
      </w:r>
      <w:r w:rsidRPr="00424698">
        <w:rPr>
          <w:rFonts w:ascii="Times New Roman" w:hAnsi="Times New Roman" w:cs="Times New Roman"/>
          <w:sz w:val="20"/>
          <w:szCs w:val="20"/>
          <w:lang w:val="en-US"/>
        </w:rPr>
        <w:t>Fair and Equitable Treatment: A Key Standard in Investment Treaties</w:t>
      </w:r>
      <w:r w:rsidRPr="00424698">
        <w:rPr>
          <w:rFonts w:ascii="Times New Roman" w:hAnsi="Times New Roman" w:cs="Times New Roman"/>
          <w:sz w:val="20"/>
          <w:szCs w:val="20"/>
        </w:rPr>
        <w:t>’</w:t>
      </w:r>
      <w:r w:rsidRPr="00424698">
        <w:rPr>
          <w:rFonts w:ascii="Times New Roman" w:hAnsi="Times New Roman" w:cs="Times New Roman"/>
          <w:sz w:val="20"/>
          <w:szCs w:val="20"/>
          <w:lang w:val="en-US"/>
        </w:rPr>
        <w:t xml:space="preserve"> (2005) 39 Intl Law 87, 91; see also FA Mann, </w:t>
      </w:r>
      <w:r w:rsidRPr="00424698">
        <w:rPr>
          <w:rFonts w:ascii="Times New Roman" w:hAnsi="Times New Roman" w:cs="Times New Roman"/>
          <w:sz w:val="20"/>
          <w:szCs w:val="20"/>
        </w:rPr>
        <w:t>‘</w:t>
      </w:r>
      <w:r w:rsidRPr="00424698">
        <w:rPr>
          <w:rFonts w:ascii="Times New Roman" w:hAnsi="Times New Roman" w:cs="Times New Roman"/>
          <w:sz w:val="20"/>
          <w:szCs w:val="20"/>
          <w:lang w:val="en-US"/>
        </w:rPr>
        <w:t>British Treaties for the Promotion and Protection of Investments</w:t>
      </w:r>
      <w:r w:rsidRPr="00424698">
        <w:rPr>
          <w:rFonts w:ascii="Times New Roman" w:hAnsi="Times New Roman" w:cs="Times New Roman"/>
          <w:sz w:val="20"/>
          <w:szCs w:val="20"/>
        </w:rPr>
        <w:t>’</w:t>
      </w:r>
      <w:r w:rsidRPr="00424698">
        <w:rPr>
          <w:rFonts w:ascii="Times New Roman" w:hAnsi="Times New Roman" w:cs="Times New Roman"/>
          <w:sz w:val="20"/>
          <w:szCs w:val="20"/>
          <w:lang w:val="en-US"/>
        </w:rPr>
        <w:t xml:space="preserve"> (1981) 52 B</w:t>
      </w:r>
      <w:r w:rsidR="006F55BB">
        <w:rPr>
          <w:rFonts w:ascii="Times New Roman" w:hAnsi="Times New Roman" w:cs="Times New Roman"/>
          <w:sz w:val="20"/>
          <w:szCs w:val="20"/>
          <w:lang w:val="en-US"/>
        </w:rPr>
        <w:t xml:space="preserve">YIL </w:t>
      </w:r>
      <w:r w:rsidRPr="00424698">
        <w:rPr>
          <w:rFonts w:ascii="Times New Roman" w:hAnsi="Times New Roman" w:cs="Times New Roman"/>
          <w:sz w:val="20"/>
          <w:szCs w:val="20"/>
          <w:lang w:val="en-US"/>
        </w:rPr>
        <w:t>241, 243 (suggesting that ‘</w:t>
      </w:r>
      <w:r w:rsidRPr="00424698">
        <w:rPr>
          <w:rFonts w:ascii="Times New Roman" w:hAnsi="Times New Roman" w:cs="Times New Roman"/>
          <w:sz w:val="20"/>
          <w:szCs w:val="20"/>
        </w:rPr>
        <w:t>the right to fair and equitable treatment goes much further than the right to most-favored-nation and to national treatment… so general a provision is likely to be almost sufficient to cover all conceivable cases, and it may well be that provisions of the Agreements affording substantive protection are not more than examples of the specific instances of this overriding duty’).</w:t>
      </w:r>
    </w:p>
  </w:footnote>
  <w:footnote w:id="32">
    <w:p w14:paraId="602DFA63" w14:textId="4A6374A9"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rStyle w:val="csshit"/>
          <w:i/>
        </w:rPr>
        <w:t xml:space="preserve">Noble Ventures </w:t>
      </w:r>
      <w:r w:rsidRPr="00424698">
        <w:rPr>
          <w:i/>
        </w:rPr>
        <w:t>Inc v Romania</w:t>
      </w:r>
      <w:r w:rsidRPr="00424698">
        <w:t>, ICSID Case No ARB/01/11</w:t>
      </w:r>
      <w:r>
        <w:t xml:space="preserve">, </w:t>
      </w:r>
      <w:r w:rsidRPr="00424698">
        <w:t>Award</w:t>
      </w:r>
      <w:r>
        <w:t xml:space="preserve"> (</w:t>
      </w:r>
      <w:r w:rsidRPr="00424698">
        <w:t>5 October 2005</w:t>
      </w:r>
      <w:r w:rsidRPr="00424698">
        <w:rPr>
          <w:lang w:val="en-US"/>
        </w:rPr>
        <w:t xml:space="preserve">) </w:t>
      </w:r>
      <w:r w:rsidRPr="00424698">
        <w:t>para 182.</w:t>
      </w:r>
    </w:p>
  </w:footnote>
  <w:footnote w:id="33">
    <w:p w14:paraId="5EEB95BC" w14:textId="04F46A1C"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Alec Stone Sweet and Giacinto </w:t>
      </w:r>
      <w:r>
        <w:t>d</w:t>
      </w:r>
      <w:r w:rsidRPr="00424698">
        <w:t>ella Cananea, ‘Proportionality, General Principles of Law, and Investor-State Arbitration: A Response to Jose Alvarez’ (2014) 46 NYU J</w:t>
      </w:r>
      <w:r>
        <w:t xml:space="preserve">ILP </w:t>
      </w:r>
      <w:r w:rsidRPr="00424698">
        <w:t>911, 919.</w:t>
      </w:r>
    </w:p>
  </w:footnote>
  <w:footnote w:id="34">
    <w:p w14:paraId="0EDC2B1C" w14:textId="25B1455B"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The full text</w:t>
      </w:r>
      <w:r>
        <w:t xml:space="preserve"> of the agreement</w:t>
      </w:r>
      <w:r w:rsidRPr="00424698">
        <w:t xml:space="preserve"> is available at </w:t>
      </w:r>
      <w:r>
        <w:t>&lt;</w:t>
      </w:r>
      <w:r w:rsidRPr="00424698">
        <w:t>http://investmentpolicyhub.unctad.org/IIA</w:t>
      </w:r>
      <w:r>
        <w:t>&gt; accessed 7 September 2016.</w:t>
      </w:r>
    </w:p>
  </w:footnote>
  <w:footnote w:id="35">
    <w:p w14:paraId="2F6E9489" w14:textId="1CBE6EBB"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See Article 8.10</w:t>
      </w:r>
      <w:r>
        <w:t xml:space="preserve"> CETA</w:t>
      </w:r>
      <w:r w:rsidRPr="00424698">
        <w:t>.</w:t>
      </w:r>
    </w:p>
  </w:footnote>
  <w:footnote w:id="36">
    <w:p w14:paraId="40450A8F" w14:textId="2F975D75"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Article 8.10(4)</w:t>
      </w:r>
      <w:r>
        <w:t xml:space="preserve"> CETA</w:t>
      </w:r>
      <w:r w:rsidRPr="00424698">
        <w:t>.</w:t>
      </w:r>
    </w:p>
  </w:footnote>
  <w:footnote w:id="37">
    <w:p w14:paraId="33B2F208" w14:textId="3F254669"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Herwig CH Hofmann </w:t>
      </w:r>
      <w:r>
        <w:t>and</w:t>
      </w:r>
      <w:r w:rsidRPr="00424698">
        <w:rPr>
          <w:iCs/>
        </w:rPr>
        <w:t xml:space="preserve"> </w:t>
      </w:r>
      <w:r w:rsidRPr="00424698">
        <w:t xml:space="preserve">Bucura C Mihaescu, ‘The Relation </w:t>
      </w:r>
      <w:r>
        <w:t>B</w:t>
      </w:r>
      <w:r w:rsidRPr="00424698">
        <w:t>etween the Charter’s Fundamental Rights and the Unwritten General Principles of EU Law: Good Administration as the Test Case’ (</w:t>
      </w:r>
      <w:r w:rsidRPr="00424698">
        <w:rPr>
          <w:rFonts w:eastAsia="AGaramondPro-Italic"/>
          <w:iCs/>
        </w:rPr>
        <w:t>2013) 9 European Constitutional Law Review 73, 84.</w:t>
      </w:r>
    </w:p>
  </w:footnote>
  <w:footnote w:id="38">
    <w:p w14:paraId="72FBEDD3" w14:textId="140B0975"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t>i</w:t>
      </w:r>
      <w:r w:rsidRPr="00424698">
        <w:t>bid 86.</w:t>
      </w:r>
    </w:p>
  </w:footnote>
  <w:footnote w:id="39">
    <w:p w14:paraId="45DFBE73" w14:textId="067682C8"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t>i</w:t>
      </w:r>
      <w:r w:rsidRPr="00424698">
        <w:t>bid 87.</w:t>
      </w:r>
    </w:p>
  </w:footnote>
  <w:footnote w:id="40">
    <w:p w14:paraId="339A12ED" w14:textId="5EF80E53"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w:t>
      </w:r>
      <w:r w:rsidR="00D44F8A">
        <w:t>Schreuer (</w:t>
      </w:r>
      <w:r w:rsidRPr="00424698">
        <w:t>n 20</w:t>
      </w:r>
      <w:r w:rsidR="00D44F8A">
        <w:t xml:space="preserve">) </w:t>
      </w:r>
      <w:r w:rsidR="00A0392D">
        <w:t>1</w:t>
      </w:r>
      <w:r w:rsidRPr="00424698">
        <w:t>.</w:t>
      </w:r>
    </w:p>
  </w:footnote>
  <w:footnote w:id="41">
    <w:p w14:paraId="5931E69C" w14:textId="03AA85A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Steffen Hindelang, ‘Member State BITs – There’s Still (Some) Life in the Old Dog Yet: Incompatibility of</w:t>
      </w:r>
      <w:r>
        <w:t xml:space="preserve"> </w:t>
      </w:r>
      <w:r w:rsidR="00D44F8A">
        <w:t>E</w:t>
      </w:r>
      <w:r w:rsidRPr="00424698">
        <w:t xml:space="preserve">xisting Member State BITs with EU </w:t>
      </w:r>
      <w:r w:rsidR="00D44F8A">
        <w:t>L</w:t>
      </w:r>
      <w:r w:rsidRPr="00424698">
        <w:t xml:space="preserve">aw and </w:t>
      </w:r>
      <w:r w:rsidR="00D44F8A">
        <w:t>P</w:t>
      </w:r>
      <w:r w:rsidRPr="00424698">
        <w:t xml:space="preserve">ossible </w:t>
      </w:r>
      <w:r w:rsidR="00D44F8A">
        <w:t>R</w:t>
      </w:r>
      <w:r w:rsidRPr="00424698">
        <w:t>emedies’ in Karl P. Sauvant (ed)</w:t>
      </w:r>
      <w:r w:rsidR="00D44F8A">
        <w:t>,</w:t>
      </w:r>
      <w:r w:rsidRPr="00424698">
        <w:t xml:space="preserve"> </w:t>
      </w:r>
      <w:r w:rsidRPr="001506B1">
        <w:rPr>
          <w:i/>
        </w:rPr>
        <w:t xml:space="preserve">Yearbook on International Investment Law </w:t>
      </w:r>
      <w:r w:rsidR="00D44F8A">
        <w:rPr>
          <w:i/>
        </w:rPr>
        <w:t xml:space="preserve">and </w:t>
      </w:r>
      <w:r w:rsidRPr="001506B1">
        <w:rPr>
          <w:i/>
        </w:rPr>
        <w:t>Policy 2010-2011</w:t>
      </w:r>
      <w:r w:rsidRPr="00424698">
        <w:t xml:space="preserve"> (OUP 2012) 227</w:t>
      </w:r>
      <w:r w:rsidR="00D44F8A">
        <w:t xml:space="preserve"> (</w:t>
      </w:r>
      <w:r w:rsidRPr="00424698">
        <w:t>citations omitted</w:t>
      </w:r>
      <w:r w:rsidR="00D44F8A">
        <w:t>)</w:t>
      </w:r>
      <w:r w:rsidRPr="00424698">
        <w:t>.</w:t>
      </w:r>
    </w:p>
  </w:footnote>
  <w:footnote w:id="42">
    <w:p w14:paraId="6A68DE2A" w14:textId="44DABC0F"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D44F8A">
        <w:t xml:space="preserve">CJEU, </w:t>
      </w:r>
      <w:r w:rsidRPr="00424698">
        <w:rPr>
          <w:bCs/>
        </w:rPr>
        <w:t>Case C-309/96</w:t>
      </w:r>
      <w:r w:rsidR="00D44F8A">
        <w:rPr>
          <w:bCs/>
        </w:rPr>
        <w:t>,</w:t>
      </w:r>
      <w:r w:rsidRPr="00424698">
        <w:t xml:space="preserve"> </w:t>
      </w:r>
      <w:r w:rsidRPr="00424698">
        <w:rPr>
          <w:bCs/>
          <w:i/>
        </w:rPr>
        <w:t xml:space="preserve">Daniele Annibaldi v Sindaco del Comune di Guidonia and Presidente Regione </w:t>
      </w:r>
      <w:r w:rsidRPr="00381667">
        <w:rPr>
          <w:bCs/>
          <w:i/>
        </w:rPr>
        <w:t>Lazio</w:t>
      </w:r>
      <w:r w:rsidR="00381667" w:rsidRPr="00381667">
        <w:rPr>
          <w:bCs/>
          <w:i/>
        </w:rPr>
        <w:t xml:space="preserve"> </w:t>
      </w:r>
      <w:r w:rsidR="00381667" w:rsidRPr="001506B1">
        <w:rPr>
          <w:bCs/>
        </w:rPr>
        <w:t>[1997]</w:t>
      </w:r>
      <w:r w:rsidR="00381667" w:rsidRPr="00381667">
        <w:rPr>
          <w:bCs/>
          <w:i/>
        </w:rPr>
        <w:t xml:space="preserve"> </w:t>
      </w:r>
      <w:r w:rsidR="00D44F8A" w:rsidRPr="001506B1">
        <w:rPr>
          <w:bCs/>
        </w:rPr>
        <w:t>EC</w:t>
      </w:r>
      <w:r w:rsidR="00E223D2" w:rsidRPr="001506B1">
        <w:rPr>
          <w:bCs/>
        </w:rPr>
        <w:t>R I</w:t>
      </w:r>
      <w:r w:rsidR="00E223D2" w:rsidRPr="00381667">
        <w:rPr>
          <w:rFonts w:ascii="Lucida Sans Unicode" w:hAnsi="Lucida Sans Unicode" w:cs="Lucida Sans Unicode"/>
          <w:i/>
          <w:iCs/>
          <w:color w:val="444444"/>
          <w:sz w:val="19"/>
          <w:szCs w:val="19"/>
        </w:rPr>
        <w:t>-</w:t>
      </w:r>
      <w:r w:rsidR="00E223D2" w:rsidRPr="001506B1">
        <w:rPr>
          <w:rFonts w:ascii="Lucida Sans Unicode" w:hAnsi="Lucida Sans Unicode" w:cs="Lucida Sans Unicode"/>
          <w:iCs/>
          <w:color w:val="444444"/>
          <w:sz w:val="19"/>
          <w:szCs w:val="19"/>
        </w:rPr>
        <w:t>7493</w:t>
      </w:r>
      <w:r w:rsidR="00D44F8A" w:rsidRPr="001506B1">
        <w:rPr>
          <w:bCs/>
        </w:rPr>
        <w:t xml:space="preserve"> </w:t>
      </w:r>
      <w:r w:rsidRPr="00381667">
        <w:rPr>
          <w:bCs/>
        </w:rPr>
        <w:t>para 23.</w:t>
      </w:r>
    </w:p>
  </w:footnote>
  <w:footnote w:id="43">
    <w:p w14:paraId="541FD5E3" w14:textId="4DEDBC1B"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EFTA Case E-2/06</w:t>
      </w:r>
      <w:r w:rsidR="00D44F8A">
        <w:t>,</w:t>
      </w:r>
      <w:r w:rsidRPr="00424698">
        <w:t xml:space="preserve"> </w:t>
      </w:r>
      <w:r w:rsidRPr="00424698">
        <w:rPr>
          <w:i/>
        </w:rPr>
        <w:t xml:space="preserve">EFTA Surveillance Authority v Norway </w:t>
      </w:r>
      <w:r w:rsidRPr="00424698">
        <w:t>para 72.</w:t>
      </w:r>
    </w:p>
  </w:footnote>
  <w:footnote w:id="44">
    <w:p w14:paraId="645D3D21" w14:textId="166D5E79"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See also Katharina A</w:t>
      </w:r>
      <w:r>
        <w:t xml:space="preserve"> Byrne</w:t>
      </w:r>
      <w:r w:rsidR="00D44F8A">
        <w:t>,</w:t>
      </w:r>
      <w:r w:rsidRPr="00424698">
        <w:t xml:space="preserve"> ‘Regulatory Expropriation and State Intent’ (2000) Canadian Ybk Intl L 89, 104.</w:t>
      </w:r>
    </w:p>
  </w:footnote>
  <w:footnote w:id="45">
    <w:p w14:paraId="67FF08C2" w14:textId="567DF746" w:rsidR="00BC0A0D" w:rsidRPr="001506B1" w:rsidRDefault="00BC0A0D" w:rsidP="0030432B">
      <w:pPr>
        <w:pStyle w:val="FootnoteText"/>
        <w:spacing w:line="360" w:lineRule="auto"/>
        <w:ind w:left="567" w:hanging="567"/>
        <w:jc w:val="both"/>
        <w:rPr>
          <w:rStyle w:val="FootnoteReference"/>
        </w:rPr>
      </w:pPr>
      <w:r w:rsidRPr="00424698">
        <w:rPr>
          <w:rStyle w:val="FootnoteReference"/>
        </w:rPr>
        <w:footnoteRef/>
      </w:r>
      <w:r w:rsidRPr="00424698">
        <w:t xml:space="preserve"> </w:t>
      </w:r>
      <w:r>
        <w:tab/>
      </w:r>
      <w:r w:rsidR="00D44F8A">
        <w:t xml:space="preserve">CJEU, </w:t>
      </w:r>
      <w:r w:rsidRPr="00424698">
        <w:rPr>
          <w:rStyle w:val="Strong"/>
          <w:b w:val="0"/>
          <w:bdr w:val="none" w:sz="0" w:space="0" w:color="auto" w:frame="1"/>
          <w:shd w:val="clear" w:color="auto" w:fill="FFFFFF"/>
        </w:rPr>
        <w:t>Case C-200/96</w:t>
      </w:r>
      <w:r w:rsidR="00D44F8A">
        <w:rPr>
          <w:rStyle w:val="Strong"/>
          <w:b w:val="0"/>
          <w:bdr w:val="none" w:sz="0" w:space="0" w:color="auto" w:frame="1"/>
          <w:shd w:val="clear" w:color="auto" w:fill="FFFFFF"/>
        </w:rPr>
        <w:t>,</w:t>
      </w:r>
      <w:r w:rsidRPr="00424698">
        <w:rPr>
          <w:rStyle w:val="Strong"/>
          <w:b w:val="0"/>
          <w:bdr w:val="none" w:sz="0" w:space="0" w:color="auto" w:frame="1"/>
          <w:shd w:val="clear" w:color="auto" w:fill="FFFFFF"/>
        </w:rPr>
        <w:t xml:space="preserve"> </w:t>
      </w:r>
      <w:r w:rsidRPr="00424698">
        <w:rPr>
          <w:rStyle w:val="Strong"/>
          <w:b w:val="0"/>
          <w:i/>
          <w:bdr w:val="none" w:sz="0" w:space="0" w:color="auto" w:frame="1"/>
          <w:shd w:val="clear" w:color="auto" w:fill="FFFFFF"/>
        </w:rPr>
        <w:t>Metronome Musik GmbH v Music Point Hokamp GmbH</w:t>
      </w:r>
      <w:r w:rsidR="00381667" w:rsidRPr="00381667">
        <w:rPr>
          <w:rFonts w:ascii="Arial" w:eastAsiaTheme="minorHAnsi" w:hAnsi="Arial" w:cs="Arial"/>
          <w:color w:val="545454"/>
          <w:sz w:val="22"/>
          <w:szCs w:val="22"/>
          <w:shd w:val="clear" w:color="auto" w:fill="FFFFFF"/>
          <w:lang w:eastAsia="en-US"/>
        </w:rPr>
        <w:t xml:space="preserve"> </w:t>
      </w:r>
      <w:r w:rsidR="00381667" w:rsidRPr="001506B1">
        <w:rPr>
          <w:bCs/>
          <w:bdr w:val="none" w:sz="0" w:space="0" w:color="auto" w:frame="1"/>
          <w:shd w:val="clear" w:color="auto" w:fill="FFFFFF"/>
        </w:rPr>
        <w:t>[1998] ECR I-1953</w:t>
      </w:r>
      <w:r w:rsidR="00381667">
        <w:rPr>
          <w:bCs/>
          <w:bdr w:val="none" w:sz="0" w:space="0" w:color="auto" w:frame="1"/>
          <w:shd w:val="clear" w:color="auto" w:fill="FFFFFF"/>
        </w:rPr>
        <w:t xml:space="preserve"> para 21.</w:t>
      </w:r>
    </w:p>
  </w:footnote>
  <w:footnote w:id="46">
    <w:p w14:paraId="3DFFD84A" w14:textId="50DA893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D44F8A">
        <w:t xml:space="preserve">CJEU, </w:t>
      </w:r>
      <w:r w:rsidRPr="00424698">
        <w:rPr>
          <w:bCs/>
        </w:rPr>
        <w:t>Case 182/83</w:t>
      </w:r>
      <w:r w:rsidR="00D44F8A">
        <w:rPr>
          <w:bCs/>
        </w:rPr>
        <w:t>,</w:t>
      </w:r>
      <w:r w:rsidRPr="00424698">
        <w:rPr>
          <w:bCs/>
        </w:rPr>
        <w:t xml:space="preserve"> </w:t>
      </w:r>
      <w:r w:rsidRPr="001506B1">
        <w:rPr>
          <w:bCs/>
          <w:i/>
        </w:rPr>
        <w:t>Robert</w:t>
      </w:r>
      <w:r w:rsidRPr="00424698">
        <w:rPr>
          <w:bCs/>
        </w:rPr>
        <w:t xml:space="preserve"> </w:t>
      </w:r>
      <w:r w:rsidRPr="00424698">
        <w:rPr>
          <w:bCs/>
          <w:i/>
        </w:rPr>
        <w:t>Fearon &amp; Company Limited v Irish Land Commission</w:t>
      </w:r>
      <w:r w:rsidRPr="00424698">
        <w:rPr>
          <w:bCs/>
        </w:rPr>
        <w:t xml:space="preserve">, </w:t>
      </w:r>
      <w:r w:rsidR="00381667" w:rsidRPr="00381667">
        <w:rPr>
          <w:bCs/>
        </w:rPr>
        <w:t>[1984] </w:t>
      </w:r>
      <w:r w:rsidR="00381667" w:rsidRPr="001506B1">
        <w:rPr>
          <w:bCs/>
        </w:rPr>
        <w:t>ECR</w:t>
      </w:r>
      <w:r w:rsidR="00381667" w:rsidRPr="00381667">
        <w:rPr>
          <w:bCs/>
        </w:rPr>
        <w:t> 3677</w:t>
      </w:r>
      <w:r w:rsidR="00381667" w:rsidRPr="00381667" w:rsidDel="00381667">
        <w:rPr>
          <w:bCs/>
        </w:rPr>
        <w:t xml:space="preserve"> </w:t>
      </w:r>
      <w:r w:rsidRPr="00424698">
        <w:rPr>
          <w:bCs/>
        </w:rPr>
        <w:t>para 7.</w:t>
      </w:r>
    </w:p>
  </w:footnote>
  <w:footnote w:id="47">
    <w:p w14:paraId="1B19523F" w14:textId="28DFD7C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
        </w:rPr>
        <w:t>Renta 4 SVSA, Ahorro Corporación Emergentes FI, Ahorro Corporación Eurofondo FI, Rovime Inversiones SICAV SA, Quasar de Valors SICAV SA,</w:t>
      </w:r>
      <w:r w:rsidR="00D44F8A">
        <w:rPr>
          <w:i/>
        </w:rPr>
        <w:t xml:space="preserve"> </w:t>
      </w:r>
      <w:r w:rsidRPr="00424698">
        <w:rPr>
          <w:i/>
        </w:rPr>
        <w:t>Orgor de Valores SICAV SA,</w:t>
      </w:r>
      <w:r w:rsidR="00D44F8A">
        <w:rPr>
          <w:i/>
        </w:rPr>
        <w:t xml:space="preserve"> </w:t>
      </w:r>
      <w:r w:rsidRPr="00424698">
        <w:rPr>
          <w:i/>
        </w:rPr>
        <w:t>GBI 9000 SICAV SA</w:t>
      </w:r>
      <w:r w:rsidR="00D44F8A">
        <w:rPr>
          <w:i/>
        </w:rPr>
        <w:t xml:space="preserve"> </w:t>
      </w:r>
      <w:r w:rsidRPr="00424698">
        <w:rPr>
          <w:i/>
        </w:rPr>
        <w:t>v The Russian Federation</w:t>
      </w:r>
      <w:r w:rsidRPr="00424698">
        <w:t xml:space="preserve">, </w:t>
      </w:r>
      <w:r w:rsidR="00D44F8A" w:rsidRPr="00424698">
        <w:t>SCC No 24/2007</w:t>
      </w:r>
      <w:r w:rsidR="00D44F8A">
        <w:t xml:space="preserve">, </w:t>
      </w:r>
      <w:r w:rsidRPr="00424698">
        <w:t>Award</w:t>
      </w:r>
      <w:r w:rsidR="00D44F8A">
        <w:t xml:space="preserve"> (</w:t>
      </w:r>
      <w:r w:rsidRPr="00424698">
        <w:t>20 July 2012) paras 21-23</w:t>
      </w:r>
      <w:r>
        <w:t>.</w:t>
      </w:r>
    </w:p>
  </w:footnote>
  <w:footnote w:id="48">
    <w:p w14:paraId="3574F9AD" w14:textId="6BEF2583"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Andreas Kulick</w:t>
      </w:r>
      <w:r w:rsidR="00D44F8A">
        <w:t>,</w:t>
      </w:r>
      <w:r w:rsidRPr="00424698">
        <w:t xml:space="preserve"> </w:t>
      </w:r>
      <w:r w:rsidRPr="00424698">
        <w:rPr>
          <w:bCs/>
          <w:i/>
        </w:rPr>
        <w:t>Global Public Interest in International Investment Law</w:t>
      </w:r>
      <w:r w:rsidRPr="00424698">
        <w:rPr>
          <w:bCs/>
        </w:rPr>
        <w:t xml:space="preserve"> (CUP 2012)</w:t>
      </w:r>
      <w:r w:rsidRPr="00424698">
        <w:t xml:space="preserve"> 344.</w:t>
      </w:r>
    </w:p>
  </w:footnote>
  <w:footnote w:id="49">
    <w:p w14:paraId="639B43ED" w14:textId="2E658678"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Stephan W Schill, ‘Enabling Private Ordering: Function, Scope and Effect of Umbrella Clauses in International Investment Treaties’ (2009) </w:t>
      </w:r>
      <w:r w:rsidRPr="00424698">
        <w:rPr>
          <w:rStyle w:val="documentbody"/>
        </w:rPr>
        <w:t>18 Minn J Intl L 1.</w:t>
      </w:r>
    </w:p>
  </w:footnote>
  <w:footnote w:id="50">
    <w:p w14:paraId="5689D262" w14:textId="64C108ED"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t>See eg Article 2(2) of the 2005 UK Model BIT, Article (3)4 of the 1997 Netherlands Model BIT, and Article 7(2) of the 2005 Germany Model BIT.</w:t>
      </w:r>
    </w:p>
  </w:footnote>
  <w:footnote w:id="51">
    <w:p w14:paraId="0058DA0A" w14:textId="7B240E5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The full text is available at </w:t>
      </w:r>
      <w:r w:rsidR="00D44F8A">
        <w:t>&lt;</w:t>
      </w:r>
      <w:r w:rsidRPr="00424698">
        <w:t>http://investmentpolicyhub.unctad.org/IIA</w:t>
      </w:r>
      <w:r w:rsidR="00D44F8A">
        <w:t>&gt; accessed 7 September 2016</w:t>
      </w:r>
      <w:r w:rsidRPr="00424698">
        <w:t>.</w:t>
      </w:r>
    </w:p>
  </w:footnote>
  <w:footnote w:id="52">
    <w:p w14:paraId="6BB15C57" w14:textId="38AE4672"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t>See Thomas W</w:t>
      </w:r>
      <w:r>
        <w:t>ä</w:t>
      </w:r>
      <w:r w:rsidRPr="00424698">
        <w:t xml:space="preserve">lde, ‘The ‘Umbrella’ (or Sanctity of Contract/Pacta Sunt Servanda) Clause in Investment Arbitration: A Comment on Original Intentions and Recent Cases’ (2004) 1 (4) TDM 1, 15-6. </w:t>
      </w:r>
    </w:p>
  </w:footnote>
  <w:footnote w:id="53">
    <w:p w14:paraId="0E3063FB" w14:textId="50726B6A"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See more in James Crawford, ‘Treaty and Contract in Investment Arbitration’ (2008) 24 Arbitration Intl 351.</w:t>
      </w:r>
    </w:p>
  </w:footnote>
  <w:footnote w:id="54">
    <w:p w14:paraId="7178451C" w14:textId="41948803"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
        </w:rPr>
        <w:t>Eureko BV v Poland</w:t>
      </w:r>
      <w:r w:rsidRPr="00424698">
        <w:t xml:space="preserve">, </w:t>
      </w:r>
      <w:r w:rsidR="00D44F8A">
        <w:t xml:space="preserve">UNCITRAL, </w:t>
      </w:r>
      <w:r w:rsidRPr="00424698">
        <w:t>Partial Award and Dissenting Opinion</w:t>
      </w:r>
      <w:r w:rsidR="00D44F8A">
        <w:t xml:space="preserve"> (</w:t>
      </w:r>
      <w:r w:rsidRPr="00424698">
        <w:t>19 August 2005</w:t>
      </w:r>
      <w:r w:rsidR="00D44F8A">
        <w:t xml:space="preserve">) </w:t>
      </w:r>
      <w:r w:rsidRPr="00424698">
        <w:t>para 256.</w:t>
      </w:r>
    </w:p>
  </w:footnote>
  <w:footnote w:id="55">
    <w:p w14:paraId="2E003477" w14:textId="7A32BB38"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t xml:space="preserve">See James Crawford, </w:t>
      </w:r>
      <w:r w:rsidRPr="00424698">
        <w:rPr>
          <w:i/>
        </w:rPr>
        <w:t>The International Law Commission’s Articles on State Responsibility: Introduction, Text and Commentaries</w:t>
      </w:r>
      <w:r w:rsidRPr="00424698">
        <w:t xml:space="preserve"> (Cambridge, CUP 2002) 96; Ian Brownlie, </w:t>
      </w:r>
      <w:r w:rsidRPr="00424698">
        <w:rPr>
          <w:i/>
        </w:rPr>
        <w:t>Principles of Public International Law</w:t>
      </w:r>
      <w:r w:rsidRPr="00424698">
        <w:t xml:space="preserve"> (6</w:t>
      </w:r>
      <w:r w:rsidRPr="00424698">
        <w:rPr>
          <w:vertAlign w:val="superscript"/>
        </w:rPr>
        <w:t>th</w:t>
      </w:r>
      <w:r w:rsidRPr="00424698">
        <w:t xml:space="preserve">edn OUP, Oxford 2003) 523-4; Stephen Schwebel, </w:t>
      </w:r>
      <w:r w:rsidRPr="00424698">
        <w:rPr>
          <w:i/>
        </w:rPr>
        <w:t>International Arbitration: Three Salient Problems</w:t>
      </w:r>
      <w:r w:rsidRPr="00424698">
        <w:t xml:space="preserve"> (</w:t>
      </w:r>
      <w:r w:rsidRPr="00424698">
        <w:rPr>
          <w:rStyle w:val="text"/>
          <w:rFonts w:eastAsia="Arial Unicode MS"/>
        </w:rPr>
        <w:t>Grotius</w:t>
      </w:r>
      <w:r w:rsidR="00D44F8A">
        <w:rPr>
          <w:rStyle w:val="text"/>
          <w:rFonts w:eastAsia="Arial Unicode MS"/>
        </w:rPr>
        <w:t xml:space="preserve"> Publ </w:t>
      </w:r>
      <w:r w:rsidRPr="00424698">
        <w:rPr>
          <w:rStyle w:val="text"/>
          <w:rFonts w:eastAsia="Arial Unicode MS"/>
        </w:rPr>
        <w:t>1987</w:t>
      </w:r>
      <w:r w:rsidRPr="00424698">
        <w:t xml:space="preserve">) 111. </w:t>
      </w:r>
    </w:p>
  </w:footnote>
  <w:footnote w:id="56">
    <w:p w14:paraId="58E98548" w14:textId="2975E2B9"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t xml:space="preserve">See Gerald Fitzmaurice, ‘Hersch Lauterpacht – The Scholar as Judge </w:t>
      </w:r>
      <w:r w:rsidR="00381667" w:rsidRPr="005955FE">
        <w:t>– P</w:t>
      </w:r>
      <w:r w:rsidR="00381667" w:rsidRPr="001506B1">
        <w:t>a</w:t>
      </w:r>
      <w:r w:rsidRPr="005955FE">
        <w:t xml:space="preserve">rt I </w:t>
      </w:r>
      <w:r w:rsidRPr="00424698">
        <w:t xml:space="preserve">(1961) </w:t>
      </w:r>
      <w:r w:rsidR="00381667" w:rsidRPr="00424698">
        <w:t>37</w:t>
      </w:r>
      <w:r w:rsidR="00381667">
        <w:t xml:space="preserve"> </w:t>
      </w:r>
      <w:r w:rsidRPr="00424698">
        <w:t>B</w:t>
      </w:r>
      <w:r w:rsidR="006F55BB">
        <w:t xml:space="preserve">YIL </w:t>
      </w:r>
      <w:r w:rsidR="00381667">
        <w:t>1</w:t>
      </w:r>
      <w:r w:rsidRPr="00424698">
        <w:t xml:space="preserve">, 64. </w:t>
      </w:r>
    </w:p>
  </w:footnote>
  <w:footnote w:id="57">
    <w:p w14:paraId="11AB0303" w14:textId="5AD84097"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See below nn 78-79.</w:t>
      </w:r>
    </w:p>
  </w:footnote>
  <w:footnote w:id="58">
    <w:p w14:paraId="689F341F" w14:textId="2A878DCD"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D44F8A">
        <w:t xml:space="preserve">CJEU, </w:t>
      </w:r>
      <w:r w:rsidRPr="005955FE">
        <w:t>Case C-283/11</w:t>
      </w:r>
      <w:r w:rsidR="00D44F8A" w:rsidRPr="005955FE">
        <w:t xml:space="preserve"> </w:t>
      </w:r>
      <w:r w:rsidR="005955FE" w:rsidRPr="001506B1">
        <w:rPr>
          <w:bCs/>
          <w:i/>
        </w:rPr>
        <w:t>Sky Österreich GmbH v Österreichischer Rundfunk</w:t>
      </w:r>
      <w:r w:rsidR="005955FE" w:rsidRPr="001506B1">
        <w:t xml:space="preserve"> [2013] </w:t>
      </w:r>
      <w:r w:rsidR="005955FE" w:rsidRPr="001506B1">
        <w:rPr>
          <w:bCs/>
        </w:rPr>
        <w:t>ECR</w:t>
      </w:r>
      <w:r w:rsidR="005955FE" w:rsidRPr="001506B1">
        <w:t> I-0000</w:t>
      </w:r>
      <w:r w:rsidRPr="005955FE">
        <w:t>.</w:t>
      </w:r>
    </w:p>
  </w:footnote>
  <w:footnote w:id="59">
    <w:p w14:paraId="3E9F85A5" w14:textId="2D57CCF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D44F8A">
        <w:t>i</w:t>
      </w:r>
      <w:r w:rsidRPr="00424698">
        <w:t>bid para 7.</w:t>
      </w:r>
    </w:p>
  </w:footnote>
  <w:footnote w:id="60">
    <w:p w14:paraId="08D6D280" w14:textId="1C5ECAE4"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D44F8A">
        <w:t>i</w:t>
      </w:r>
      <w:r w:rsidRPr="00424698">
        <w:t>bid para 8.</w:t>
      </w:r>
    </w:p>
  </w:footnote>
  <w:footnote w:id="61">
    <w:p w14:paraId="34563DE2" w14:textId="7B9A5847" w:rsidR="00BC0A0D" w:rsidRPr="00424698" w:rsidRDefault="00BC0A0D" w:rsidP="0030432B">
      <w:pPr>
        <w:pStyle w:val="FootnoteText"/>
        <w:spacing w:line="360" w:lineRule="auto"/>
        <w:ind w:left="567" w:hanging="567"/>
        <w:jc w:val="both"/>
      </w:pPr>
      <w:r w:rsidRPr="00424698">
        <w:rPr>
          <w:vertAlign w:val="superscript"/>
        </w:rPr>
        <w:footnoteRef/>
      </w:r>
      <w:r w:rsidRPr="00424698">
        <w:t xml:space="preserve"> </w:t>
      </w:r>
      <w:r>
        <w:tab/>
      </w:r>
      <w:r w:rsidR="00D44F8A">
        <w:t>i</w:t>
      </w:r>
      <w:r w:rsidRPr="00424698">
        <w:t>bid para 20.</w:t>
      </w:r>
    </w:p>
  </w:footnote>
  <w:footnote w:id="62">
    <w:p w14:paraId="6B90E895" w14:textId="3F7F1A1C"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D44F8A">
        <w:t xml:space="preserve">CJEU; </w:t>
      </w:r>
      <w:r w:rsidRPr="00424698">
        <w:t xml:space="preserve">Joined </w:t>
      </w:r>
      <w:r w:rsidR="00D44F8A">
        <w:t>c</w:t>
      </w:r>
      <w:r w:rsidRPr="00424698">
        <w:t>ases C-120/06 P and C-121/06 P</w:t>
      </w:r>
      <w:r w:rsidR="00D44F8A">
        <w:t xml:space="preserve">, </w:t>
      </w:r>
      <w:r w:rsidRPr="001506B1">
        <w:rPr>
          <w:i/>
          <w:iCs/>
        </w:rPr>
        <w:t>FIAMM and Others</w:t>
      </w:r>
      <w:r w:rsidRPr="001506B1">
        <w:rPr>
          <w:i/>
        </w:rPr>
        <w:t> v </w:t>
      </w:r>
      <w:r w:rsidRPr="001506B1">
        <w:rPr>
          <w:i/>
          <w:iCs/>
        </w:rPr>
        <w:t>Council and Commission</w:t>
      </w:r>
      <w:r w:rsidR="00D44F8A">
        <w:t xml:space="preserve"> </w:t>
      </w:r>
      <w:r w:rsidRPr="00424698">
        <w:t>[2008] ECR I-6513 para 185.</w:t>
      </w:r>
    </w:p>
  </w:footnote>
  <w:footnote w:id="63">
    <w:p w14:paraId="31378208" w14:textId="0D26E03C"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5955FE" w:rsidRPr="001506B1">
        <w:rPr>
          <w:bCs/>
          <w:i/>
        </w:rPr>
        <w:t>Sky Österreich</w:t>
      </w:r>
      <w:r w:rsidR="005955FE" w:rsidRPr="001506B1">
        <w:t xml:space="preserve"> (n 58) </w:t>
      </w:r>
      <w:r w:rsidRPr="005955FE">
        <w:t>para 34</w:t>
      </w:r>
      <w:r w:rsidR="00D44F8A" w:rsidRPr="005955FE">
        <w:t>.</w:t>
      </w:r>
    </w:p>
  </w:footnote>
  <w:footnote w:id="64">
    <w:p w14:paraId="398447F2" w14:textId="27750A6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w:t>
      </w:r>
    </w:p>
  </w:footnote>
  <w:footnote w:id="65">
    <w:p w14:paraId="22C8DCFE" w14:textId="5E6BBCE4"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Pr="00424698">
        <w:rPr>
          <w:bCs/>
          <w:i/>
        </w:rPr>
        <w:t>Azurix Corp v Argentina</w:t>
      </w:r>
      <w:r w:rsidRPr="00424698">
        <w:rPr>
          <w:bCs/>
        </w:rPr>
        <w:t>,</w:t>
      </w:r>
      <w:r w:rsidR="00D44F8A" w:rsidRPr="00D44F8A">
        <w:rPr>
          <w:bCs/>
        </w:rPr>
        <w:t xml:space="preserve"> </w:t>
      </w:r>
      <w:r w:rsidR="00D44F8A" w:rsidRPr="00424698">
        <w:rPr>
          <w:bCs/>
        </w:rPr>
        <w:t>ICSID Case No ARB/01/12</w:t>
      </w:r>
      <w:r w:rsidR="00D44F8A">
        <w:rPr>
          <w:bCs/>
        </w:rPr>
        <w:t>,</w:t>
      </w:r>
      <w:r w:rsidRPr="00424698">
        <w:rPr>
          <w:bCs/>
        </w:rPr>
        <w:t xml:space="preserve"> Award </w:t>
      </w:r>
      <w:r w:rsidR="00D44F8A">
        <w:rPr>
          <w:bCs/>
        </w:rPr>
        <w:t>(</w:t>
      </w:r>
      <w:r w:rsidRPr="00424698">
        <w:rPr>
          <w:bCs/>
        </w:rPr>
        <w:t>23 June 2006)</w:t>
      </w:r>
      <w:r w:rsidRPr="00424698">
        <w:t xml:space="preserve"> para 408.</w:t>
      </w:r>
    </w:p>
  </w:footnote>
  <w:footnote w:id="66">
    <w:p w14:paraId="0ED2BA18" w14:textId="663A6F50"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00D44F8A">
        <w:t>i</w:t>
      </w:r>
      <w:r w:rsidRPr="00424698">
        <w:t>bid.</w:t>
      </w:r>
    </w:p>
  </w:footnote>
  <w:footnote w:id="67">
    <w:p w14:paraId="4539D893" w14:textId="6ACD2CE5" w:rsidR="00BC0A0D" w:rsidRPr="00424698" w:rsidRDefault="00BC0A0D" w:rsidP="0030432B">
      <w:pPr>
        <w:pStyle w:val="FootnoteText"/>
        <w:widowControl w:val="0"/>
        <w:spacing w:line="360" w:lineRule="auto"/>
        <w:ind w:left="567" w:hanging="567"/>
        <w:jc w:val="both"/>
      </w:pPr>
      <w:r w:rsidRPr="00424698">
        <w:rPr>
          <w:rStyle w:val="FootnoteReference"/>
        </w:rPr>
        <w:footnoteRef/>
      </w:r>
      <w:r w:rsidRPr="00424698">
        <w:t xml:space="preserve"> </w:t>
      </w:r>
      <w:r>
        <w:tab/>
      </w:r>
      <w:r w:rsidR="00D44F8A">
        <w:t>i</w:t>
      </w:r>
      <w:r w:rsidRPr="00424698">
        <w:t>bid.</w:t>
      </w:r>
    </w:p>
  </w:footnote>
  <w:footnote w:id="68">
    <w:p w14:paraId="57365F89" w14:textId="2A338A0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Some of the recent IIAs also expressly limit the obligation to physical security. See eg Article 8.10 CETA.</w:t>
      </w:r>
    </w:p>
  </w:footnote>
  <w:footnote w:id="69">
    <w:p w14:paraId="5BFBE655" w14:textId="1BBDEFD5"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rPr>
          <w:i/>
        </w:rPr>
        <w:t>AAPL v Sri Lanka</w:t>
      </w:r>
      <w:r w:rsidRPr="00424698">
        <w:t xml:space="preserve">, </w:t>
      </w:r>
      <w:r w:rsidR="00D44F8A" w:rsidRPr="00424698">
        <w:t>ICSID Case No ARB/87/3</w:t>
      </w:r>
      <w:r w:rsidR="00D44F8A">
        <w:t xml:space="preserve">, </w:t>
      </w:r>
      <w:r w:rsidRPr="00424698">
        <w:t>Final Award on Merits and Damages</w:t>
      </w:r>
      <w:r w:rsidR="00D44F8A">
        <w:t xml:space="preserve"> (</w:t>
      </w:r>
      <w:r w:rsidRPr="00424698">
        <w:t>21 June 1990) (1991) 30 ILM (1991) 577.</w:t>
      </w:r>
    </w:p>
  </w:footnote>
  <w:footnote w:id="70">
    <w:p w14:paraId="69C0235E" w14:textId="354EA2F0"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 para 48.</w:t>
      </w:r>
    </w:p>
  </w:footnote>
  <w:footnote w:id="71">
    <w:p w14:paraId="0B19BAD9" w14:textId="60A6788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 para 85(b).</w:t>
      </w:r>
    </w:p>
  </w:footnote>
  <w:footnote w:id="72">
    <w:p w14:paraId="7521C74F" w14:textId="7D1C2BC5"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 paras 85-86.</w:t>
      </w:r>
    </w:p>
  </w:footnote>
  <w:footnote w:id="73">
    <w:p w14:paraId="2BE80F8C" w14:textId="19044735" w:rsidR="00BC0A0D" w:rsidRPr="00424698" w:rsidRDefault="00BC0A0D" w:rsidP="0030432B">
      <w:pPr>
        <w:pStyle w:val="FootnoteText"/>
        <w:spacing w:line="360" w:lineRule="auto"/>
        <w:ind w:left="567" w:hanging="567"/>
        <w:jc w:val="both"/>
      </w:pPr>
      <w:r w:rsidRPr="005955FE">
        <w:rPr>
          <w:rStyle w:val="FootnoteReference"/>
        </w:rPr>
        <w:footnoteRef/>
      </w:r>
      <w:r w:rsidRPr="005955FE">
        <w:t xml:space="preserve"> </w:t>
      </w:r>
      <w:r w:rsidRPr="005955FE">
        <w:tab/>
      </w:r>
      <w:r w:rsidR="005955FE" w:rsidRPr="001506B1">
        <w:rPr>
          <w:rStyle w:val="Strong"/>
          <w:b w:val="0"/>
          <w:bdr w:val="none" w:sz="0" w:space="0" w:color="auto" w:frame="1"/>
          <w:shd w:val="clear" w:color="auto" w:fill="FFFFFF"/>
        </w:rPr>
        <w:t xml:space="preserve">Case C-265/95 </w:t>
      </w:r>
      <w:r w:rsidRPr="005955FE">
        <w:rPr>
          <w:rStyle w:val="Strong"/>
          <w:b w:val="0"/>
          <w:i/>
          <w:bdr w:val="none" w:sz="0" w:space="0" w:color="auto" w:frame="1"/>
          <w:shd w:val="clear" w:color="auto" w:fill="FFFFFF"/>
        </w:rPr>
        <w:t>Commission v France</w:t>
      </w:r>
      <w:r w:rsidRPr="005955FE">
        <w:rPr>
          <w:rStyle w:val="Strong"/>
          <w:b w:val="0"/>
          <w:bdr w:val="none" w:sz="0" w:space="0" w:color="auto" w:frame="1"/>
          <w:shd w:val="clear" w:color="auto" w:fill="FFFFFF"/>
        </w:rPr>
        <w:t xml:space="preserve"> </w:t>
      </w:r>
      <w:r w:rsidR="005955FE" w:rsidRPr="001506B1">
        <w:rPr>
          <w:rStyle w:val="Strong"/>
          <w:b w:val="0"/>
          <w:bdr w:val="none" w:sz="0" w:space="0" w:color="auto" w:frame="1"/>
          <w:shd w:val="clear" w:color="auto" w:fill="FFFFFF"/>
        </w:rPr>
        <w:t>[</w:t>
      </w:r>
      <w:r w:rsidR="005955FE" w:rsidRPr="001506B1">
        <w:rPr>
          <w:rStyle w:val="Strong"/>
          <w:bdr w:val="none" w:sz="0" w:space="0" w:color="auto" w:frame="1"/>
        </w:rPr>
        <w:t>1997] ECR I-6959</w:t>
      </w:r>
      <w:r w:rsidRPr="005955FE">
        <w:rPr>
          <w:rStyle w:val="Strong"/>
          <w:b w:val="0"/>
          <w:bdr w:val="none" w:sz="0" w:space="0" w:color="auto" w:frame="1"/>
          <w:shd w:val="clear" w:color="auto" w:fill="FFFFFF"/>
        </w:rPr>
        <w:t>.</w:t>
      </w:r>
    </w:p>
  </w:footnote>
  <w:footnote w:id="74">
    <w:p w14:paraId="00A92C6E" w14:textId="013FF6BB"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ibid </w:t>
      </w:r>
      <w:r w:rsidRPr="00424698">
        <w:rPr>
          <w:rStyle w:val="Strong"/>
          <w:b w:val="0"/>
          <w:bdr w:val="none" w:sz="0" w:space="0" w:color="auto" w:frame="1"/>
          <w:shd w:val="clear" w:color="auto" w:fill="FFFFFF"/>
        </w:rPr>
        <w:t>para 66.</w:t>
      </w:r>
    </w:p>
  </w:footnote>
  <w:footnote w:id="75">
    <w:p w14:paraId="751A1EC5" w14:textId="542C84DC" w:rsidR="00BC0A0D" w:rsidRPr="00424698" w:rsidRDefault="00BC0A0D" w:rsidP="0030432B">
      <w:pPr>
        <w:pStyle w:val="FootnoteText"/>
        <w:spacing w:line="360" w:lineRule="auto"/>
        <w:ind w:left="567" w:hanging="567"/>
        <w:jc w:val="both"/>
      </w:pPr>
      <w:r w:rsidRPr="00BE266F">
        <w:rPr>
          <w:rStyle w:val="FootnoteReference"/>
        </w:rPr>
        <w:footnoteRef/>
      </w:r>
      <w:r w:rsidRPr="00BE266F">
        <w:t xml:space="preserve"> </w:t>
      </w:r>
      <w:r w:rsidRPr="00BE266F">
        <w:tab/>
      </w:r>
      <w:r w:rsidR="00BE266F" w:rsidRPr="00BE266F">
        <w:t>Kleinheisterkamp</w:t>
      </w:r>
      <w:r w:rsidR="00BE266F" w:rsidRPr="001506B1" w:rsidDel="00BE266F">
        <w:t xml:space="preserve"> </w:t>
      </w:r>
      <w:r w:rsidRPr="00BE266F">
        <w:t>(n 11) 97.</w:t>
      </w:r>
    </w:p>
  </w:footnote>
  <w:footnote w:id="76">
    <w:p w14:paraId="061B6F38" w14:textId="23F48D11"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BE266F">
        <w:t xml:space="preserve">See </w:t>
      </w:r>
      <w:r w:rsidR="00D44F8A" w:rsidRPr="00BE266F">
        <w:t xml:space="preserve">CJEU, </w:t>
      </w:r>
      <w:r w:rsidRPr="00BE266F">
        <w:t xml:space="preserve">Case C-544/10 </w:t>
      </w:r>
      <w:r w:rsidRPr="00BE266F">
        <w:rPr>
          <w:i/>
          <w:iCs/>
        </w:rPr>
        <w:t>Deutsches Weintor</w:t>
      </w:r>
      <w:r w:rsidR="00BE266F" w:rsidRPr="00BE266F">
        <w:rPr>
          <w:iCs/>
        </w:rPr>
        <w:t xml:space="preserve"> [2012] </w:t>
      </w:r>
      <w:r w:rsidR="00D44F8A" w:rsidRPr="00BE266F">
        <w:rPr>
          <w:iCs/>
        </w:rPr>
        <w:t>ECR</w:t>
      </w:r>
      <w:r w:rsidR="00BE266F" w:rsidRPr="001506B1">
        <w:rPr>
          <w:iCs/>
          <w:color w:val="444444"/>
          <w:sz w:val="19"/>
          <w:szCs w:val="19"/>
        </w:rPr>
        <w:t>I-0000</w:t>
      </w:r>
      <w:r w:rsidR="00BE266F" w:rsidRPr="001506B1" w:rsidDel="00BE266F">
        <w:rPr>
          <w:iCs/>
        </w:rPr>
        <w:t xml:space="preserve"> </w:t>
      </w:r>
      <w:r w:rsidR="00BE266F" w:rsidRPr="00BE266F">
        <w:t xml:space="preserve"> </w:t>
      </w:r>
      <w:r w:rsidRPr="00BE266F">
        <w:t>para 54.</w:t>
      </w:r>
    </w:p>
  </w:footnote>
  <w:footnote w:id="77">
    <w:p w14:paraId="65867BE7" w14:textId="33DB4613"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ibid para 54.</w:t>
      </w:r>
    </w:p>
  </w:footnote>
  <w:footnote w:id="78">
    <w:p w14:paraId="4C9FC4D4" w14:textId="7E00D00D"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See for instance, Catherine Barnard, ‘Social </w:t>
      </w:r>
      <w:r w:rsidR="00D44F8A">
        <w:t>D</w:t>
      </w:r>
      <w:r w:rsidRPr="00424698">
        <w:t xml:space="preserve">umping or </w:t>
      </w:r>
      <w:r w:rsidR="00D44F8A">
        <w:t>D</w:t>
      </w:r>
      <w:r w:rsidRPr="00424698">
        <w:t xml:space="preserve">umping </w:t>
      </w:r>
      <w:r w:rsidR="00D44F8A">
        <w:t>S</w:t>
      </w:r>
      <w:r w:rsidRPr="00424698">
        <w:t xml:space="preserve">ocialism?’ (2008) 67 CLJ 262–4; Anne Davies, </w:t>
      </w:r>
      <w:r w:rsidR="00D44F8A">
        <w:t>‘</w:t>
      </w:r>
      <w:r w:rsidRPr="00424698">
        <w:t xml:space="preserve">One </w:t>
      </w:r>
      <w:r w:rsidR="00D44F8A">
        <w:t>S</w:t>
      </w:r>
      <w:r w:rsidRPr="00424698">
        <w:t xml:space="preserve">tep </w:t>
      </w:r>
      <w:r w:rsidR="00D44F8A">
        <w:t>F</w:t>
      </w:r>
      <w:r w:rsidRPr="00424698">
        <w:t xml:space="preserve">orward, </w:t>
      </w:r>
      <w:r w:rsidR="00D44F8A">
        <w:t>T</w:t>
      </w:r>
      <w:r w:rsidRPr="00424698">
        <w:t xml:space="preserve">wo </w:t>
      </w:r>
      <w:r w:rsidR="00D44F8A">
        <w:t>S</w:t>
      </w:r>
      <w:r w:rsidRPr="00424698">
        <w:t xml:space="preserve">teps </w:t>
      </w:r>
      <w:r w:rsidR="00D44F8A">
        <w:t>B</w:t>
      </w:r>
      <w:r w:rsidRPr="00424698">
        <w:t xml:space="preserve">ack? The </w:t>
      </w:r>
      <w:r w:rsidRPr="00424698">
        <w:rPr>
          <w:i/>
          <w:iCs/>
        </w:rPr>
        <w:t xml:space="preserve">Viking </w:t>
      </w:r>
      <w:r w:rsidRPr="00424698">
        <w:t xml:space="preserve">and </w:t>
      </w:r>
      <w:r w:rsidRPr="00424698">
        <w:rPr>
          <w:i/>
          <w:iCs/>
        </w:rPr>
        <w:t xml:space="preserve">Laval </w:t>
      </w:r>
      <w:r w:rsidRPr="00424698">
        <w:t xml:space="preserve">Cases in the ECJ’ (2008) 37 </w:t>
      </w:r>
      <w:r w:rsidRPr="00424698">
        <w:rPr>
          <w:iCs/>
        </w:rPr>
        <w:t>Industrial Law</w:t>
      </w:r>
      <w:r>
        <w:rPr>
          <w:iCs/>
        </w:rPr>
        <w:t xml:space="preserve"> </w:t>
      </w:r>
      <w:r w:rsidRPr="00424698">
        <w:rPr>
          <w:iCs/>
        </w:rPr>
        <w:t>Journal</w:t>
      </w:r>
      <w:r w:rsidRPr="00424698">
        <w:rPr>
          <w:i/>
          <w:iCs/>
        </w:rPr>
        <w:t xml:space="preserve"> </w:t>
      </w:r>
      <w:r w:rsidRPr="00424698">
        <w:t xml:space="preserve">126, 139; Philip AJ Syrpis and Tonia Novitz, ‘Economic and </w:t>
      </w:r>
      <w:r w:rsidR="00D44F8A">
        <w:t>S</w:t>
      </w:r>
      <w:r w:rsidRPr="00424698">
        <w:t xml:space="preserve">ocial </w:t>
      </w:r>
      <w:r w:rsidR="00D44F8A">
        <w:t>R</w:t>
      </w:r>
      <w:r w:rsidRPr="00424698">
        <w:t xml:space="preserve">ights in </w:t>
      </w:r>
      <w:r w:rsidR="00D44F8A">
        <w:t>C</w:t>
      </w:r>
      <w:r w:rsidRPr="00424698">
        <w:t xml:space="preserve">onflict: Political and </w:t>
      </w:r>
      <w:r w:rsidR="00D44F8A">
        <w:t>J</w:t>
      </w:r>
      <w:r w:rsidRPr="00424698">
        <w:t xml:space="preserve">udicial </w:t>
      </w:r>
      <w:r w:rsidR="00D44F8A">
        <w:t>A</w:t>
      </w:r>
      <w:r w:rsidRPr="00424698">
        <w:t xml:space="preserve">pproaches to </w:t>
      </w:r>
      <w:r w:rsidR="00D44F8A">
        <w:t>T</w:t>
      </w:r>
      <w:r w:rsidRPr="00424698">
        <w:t xml:space="preserve">heir </w:t>
      </w:r>
      <w:r w:rsidR="00D44F8A">
        <w:t>R</w:t>
      </w:r>
      <w:r w:rsidRPr="00424698">
        <w:t>econciliation’ (2008) 33 ELRev 411, 426.</w:t>
      </w:r>
    </w:p>
  </w:footnote>
  <w:footnote w:id="79">
    <w:p w14:paraId="284ED002" w14:textId="003A6FF9"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sz w:val="20"/>
          <w:szCs w:val="20"/>
        </w:rPr>
        <w:t>Stephanie Reynolds, ‘</w:t>
      </w:r>
      <w:r w:rsidRPr="00424698">
        <w:rPr>
          <w:rFonts w:ascii="Times New Roman" w:hAnsi="Times New Roman" w:cs="Times New Roman"/>
          <w:bCs/>
          <w:sz w:val="20"/>
          <w:szCs w:val="20"/>
        </w:rPr>
        <w:t xml:space="preserve">Explaining the Constitutional Drivers </w:t>
      </w:r>
      <w:r w:rsidR="00D44F8A">
        <w:rPr>
          <w:rFonts w:ascii="Times New Roman" w:hAnsi="Times New Roman" w:cs="Times New Roman"/>
          <w:bCs/>
          <w:sz w:val="20"/>
          <w:szCs w:val="20"/>
        </w:rPr>
        <w:t>B</w:t>
      </w:r>
      <w:r w:rsidRPr="00424698">
        <w:rPr>
          <w:rFonts w:ascii="Times New Roman" w:hAnsi="Times New Roman" w:cs="Times New Roman"/>
          <w:bCs/>
          <w:sz w:val="20"/>
          <w:szCs w:val="20"/>
        </w:rPr>
        <w:t>ehind a Perceived Judicial Preference for Free Movement over Fundamental Rights’</w:t>
      </w:r>
      <w:r w:rsidRPr="00424698">
        <w:rPr>
          <w:rFonts w:ascii="Times New Roman" w:hAnsi="Times New Roman" w:cs="Times New Roman"/>
          <w:sz w:val="20"/>
          <w:szCs w:val="20"/>
        </w:rPr>
        <w:t xml:space="preserve"> (2016) 53 CMLRev 643, 644.</w:t>
      </w:r>
    </w:p>
  </w:footnote>
  <w:footnote w:id="80">
    <w:p w14:paraId="728EB224" w14:textId="6AC430D4"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BE266F">
        <w:t xml:space="preserve">See </w:t>
      </w:r>
      <w:r w:rsidRPr="00424698">
        <w:t>Art 26 TFEU.</w:t>
      </w:r>
    </w:p>
  </w:footnote>
  <w:footnote w:id="81">
    <w:p w14:paraId="675511FA" w14:textId="60ECB3CA"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bCs/>
          <w:sz w:val="20"/>
          <w:szCs w:val="20"/>
        </w:rPr>
        <w:t xml:space="preserve">Niamh Nic Shuibhne, </w:t>
      </w:r>
      <w:r w:rsidRPr="00424698">
        <w:rPr>
          <w:rFonts w:ascii="Times New Roman" w:hAnsi="Times New Roman" w:cs="Times New Roman"/>
          <w:i/>
          <w:iCs/>
          <w:sz w:val="20"/>
          <w:szCs w:val="20"/>
        </w:rPr>
        <w:t>The Coherence of EU Free Movement Law: Constitutional Responsibility and the Court of Justice</w:t>
      </w:r>
      <w:r w:rsidRPr="00424698">
        <w:rPr>
          <w:rFonts w:ascii="Times New Roman" w:hAnsi="Times New Roman" w:cs="Times New Roman"/>
          <w:iCs/>
          <w:sz w:val="20"/>
          <w:szCs w:val="20"/>
        </w:rPr>
        <w:t xml:space="preserve"> </w:t>
      </w:r>
      <w:r w:rsidRPr="00424698">
        <w:rPr>
          <w:rFonts w:ascii="Times New Roman" w:hAnsi="Times New Roman" w:cs="Times New Roman"/>
          <w:sz w:val="20"/>
          <w:szCs w:val="20"/>
        </w:rPr>
        <w:t>(OUP 2013) 26.</w:t>
      </w:r>
    </w:p>
  </w:footnote>
  <w:footnote w:id="82">
    <w:p w14:paraId="459F8A3F" w14:textId="73BA249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Reynolds (n79) 644.</w:t>
      </w:r>
    </w:p>
  </w:footnote>
  <w:footnote w:id="83">
    <w:p w14:paraId="14877858" w14:textId="0392270F"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6E194A">
        <w:t>i</w:t>
      </w:r>
      <w:r w:rsidRPr="00424698">
        <w:t>bid.</w:t>
      </w:r>
    </w:p>
  </w:footnote>
  <w:footnote w:id="84">
    <w:p w14:paraId="2C207933" w14:textId="18F12F76"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6E194A">
        <w:t>i</w:t>
      </w:r>
      <w:r w:rsidRPr="00424698">
        <w:t>bid 650</w:t>
      </w:r>
      <w:r>
        <w:t>.</w:t>
      </w:r>
    </w:p>
  </w:footnote>
  <w:footnote w:id="85">
    <w:p w14:paraId="74D659F6" w14:textId="77B68081"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6E194A">
        <w:t>i</w:t>
      </w:r>
      <w:r w:rsidRPr="00424698">
        <w:t>bid.</w:t>
      </w:r>
    </w:p>
  </w:footnote>
  <w:footnote w:id="86">
    <w:p w14:paraId="5E463AA9" w14:textId="2F6CCF5F"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The Charter enjoys primary law status pursuant to Art 6 TEU.</w:t>
      </w:r>
    </w:p>
  </w:footnote>
  <w:footnote w:id="87">
    <w:p w14:paraId="47454ED2" w14:textId="7C5C48BF"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Sybe A de Vries, ‘Balancing Fundamental Rights with Economic Freedoms According to the European Court of Justice’ (2013) 9 Utrecht Law Review 169.</w:t>
      </w:r>
    </w:p>
  </w:footnote>
  <w:footnote w:id="88">
    <w:p w14:paraId="48ED9792" w14:textId="3AA1C15E"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sz w:val="20"/>
          <w:szCs w:val="20"/>
        </w:rPr>
        <w:t xml:space="preserve">See Eleanor Spaventa, ‘Leaving </w:t>
      </w:r>
      <w:r w:rsidRPr="00424698">
        <w:rPr>
          <w:rFonts w:ascii="Times New Roman" w:hAnsi="Times New Roman" w:cs="Times New Roman"/>
          <w:i/>
          <w:iCs/>
          <w:sz w:val="20"/>
          <w:szCs w:val="20"/>
        </w:rPr>
        <w:t xml:space="preserve">Keck </w:t>
      </w:r>
      <w:r w:rsidR="006E194A">
        <w:rPr>
          <w:rFonts w:ascii="Times New Roman" w:hAnsi="Times New Roman" w:cs="Times New Roman"/>
          <w:sz w:val="20"/>
          <w:szCs w:val="20"/>
        </w:rPr>
        <w:t>B</w:t>
      </w:r>
      <w:r w:rsidRPr="00424698">
        <w:rPr>
          <w:rFonts w:ascii="Times New Roman" w:hAnsi="Times New Roman" w:cs="Times New Roman"/>
          <w:sz w:val="20"/>
          <w:szCs w:val="20"/>
        </w:rPr>
        <w:t xml:space="preserve">ehind? The </w:t>
      </w:r>
      <w:r w:rsidR="006E194A">
        <w:rPr>
          <w:rFonts w:ascii="Times New Roman" w:hAnsi="Times New Roman" w:cs="Times New Roman"/>
          <w:sz w:val="20"/>
          <w:szCs w:val="20"/>
        </w:rPr>
        <w:t>F</w:t>
      </w:r>
      <w:r w:rsidRPr="00424698">
        <w:rPr>
          <w:rFonts w:ascii="Times New Roman" w:hAnsi="Times New Roman" w:cs="Times New Roman"/>
          <w:sz w:val="20"/>
          <w:szCs w:val="20"/>
        </w:rPr>
        <w:t xml:space="preserve">ree </w:t>
      </w:r>
      <w:r w:rsidR="006E194A">
        <w:rPr>
          <w:rFonts w:ascii="Times New Roman" w:hAnsi="Times New Roman" w:cs="Times New Roman"/>
          <w:sz w:val="20"/>
          <w:szCs w:val="20"/>
        </w:rPr>
        <w:t>M</w:t>
      </w:r>
      <w:r w:rsidRPr="00424698">
        <w:rPr>
          <w:rFonts w:ascii="Times New Roman" w:hAnsi="Times New Roman" w:cs="Times New Roman"/>
          <w:sz w:val="20"/>
          <w:szCs w:val="20"/>
        </w:rPr>
        <w:t xml:space="preserve">ovement of </w:t>
      </w:r>
      <w:r w:rsidR="006E194A">
        <w:rPr>
          <w:rFonts w:ascii="Times New Roman" w:hAnsi="Times New Roman" w:cs="Times New Roman"/>
          <w:sz w:val="20"/>
          <w:szCs w:val="20"/>
        </w:rPr>
        <w:t>G</w:t>
      </w:r>
      <w:r w:rsidRPr="00424698">
        <w:rPr>
          <w:rFonts w:ascii="Times New Roman" w:hAnsi="Times New Roman" w:cs="Times New Roman"/>
          <w:sz w:val="20"/>
          <w:szCs w:val="20"/>
        </w:rPr>
        <w:t xml:space="preserve">oods </w:t>
      </w:r>
      <w:r w:rsidR="006E194A">
        <w:rPr>
          <w:rFonts w:ascii="Times New Roman" w:hAnsi="Times New Roman" w:cs="Times New Roman"/>
          <w:sz w:val="20"/>
          <w:szCs w:val="20"/>
        </w:rPr>
        <w:t>A</w:t>
      </w:r>
      <w:r w:rsidRPr="00424698">
        <w:rPr>
          <w:rFonts w:ascii="Times New Roman" w:hAnsi="Times New Roman" w:cs="Times New Roman"/>
          <w:sz w:val="20"/>
          <w:szCs w:val="20"/>
        </w:rPr>
        <w:t xml:space="preserve">fter the </w:t>
      </w:r>
      <w:r w:rsidR="006E194A">
        <w:rPr>
          <w:rFonts w:ascii="Times New Roman" w:hAnsi="Times New Roman" w:cs="Times New Roman"/>
          <w:sz w:val="20"/>
          <w:szCs w:val="20"/>
        </w:rPr>
        <w:t>R</w:t>
      </w:r>
      <w:r w:rsidRPr="00424698">
        <w:rPr>
          <w:rFonts w:ascii="Times New Roman" w:hAnsi="Times New Roman" w:cs="Times New Roman"/>
          <w:sz w:val="20"/>
          <w:szCs w:val="20"/>
        </w:rPr>
        <w:t xml:space="preserve">ulings in </w:t>
      </w:r>
      <w:r w:rsidRPr="00424698">
        <w:rPr>
          <w:rFonts w:ascii="Times New Roman" w:hAnsi="Times New Roman" w:cs="Times New Roman"/>
          <w:i/>
          <w:iCs/>
          <w:sz w:val="20"/>
          <w:szCs w:val="20"/>
        </w:rPr>
        <w:t xml:space="preserve">Commission </w:t>
      </w:r>
      <w:r w:rsidRPr="00424698">
        <w:rPr>
          <w:rFonts w:ascii="Times New Roman" w:hAnsi="Times New Roman" w:cs="Times New Roman"/>
          <w:sz w:val="20"/>
          <w:szCs w:val="20"/>
        </w:rPr>
        <w:t xml:space="preserve">v. </w:t>
      </w:r>
      <w:r w:rsidRPr="00424698">
        <w:rPr>
          <w:rFonts w:ascii="Times New Roman" w:hAnsi="Times New Roman" w:cs="Times New Roman"/>
          <w:i/>
          <w:iCs/>
          <w:sz w:val="20"/>
          <w:szCs w:val="20"/>
        </w:rPr>
        <w:t xml:space="preserve">Italy </w:t>
      </w:r>
      <w:r w:rsidRPr="00424698">
        <w:rPr>
          <w:rFonts w:ascii="Times New Roman" w:hAnsi="Times New Roman" w:cs="Times New Roman"/>
          <w:sz w:val="20"/>
          <w:szCs w:val="20"/>
        </w:rPr>
        <w:t xml:space="preserve">and </w:t>
      </w:r>
      <w:r w:rsidRPr="00424698">
        <w:rPr>
          <w:rFonts w:ascii="Times New Roman" w:hAnsi="Times New Roman" w:cs="Times New Roman"/>
          <w:i/>
          <w:iCs/>
          <w:sz w:val="20"/>
          <w:szCs w:val="20"/>
        </w:rPr>
        <w:t>Mickelsson and Roos</w:t>
      </w:r>
      <w:r w:rsidRPr="00424698">
        <w:rPr>
          <w:rFonts w:ascii="Times New Roman" w:hAnsi="Times New Roman" w:cs="Times New Roman"/>
          <w:sz w:val="20"/>
          <w:szCs w:val="20"/>
        </w:rPr>
        <w:t>’ (2009) 34 ELRev 914, 923.</w:t>
      </w:r>
    </w:p>
  </w:footnote>
  <w:footnote w:id="89">
    <w:p w14:paraId="5DDC883D" w14:textId="6994EC6E"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Reynolds (n</w:t>
      </w:r>
      <w:r>
        <w:t xml:space="preserve"> </w:t>
      </w:r>
      <w:r w:rsidRPr="00424698">
        <w:t>79) 665.</w:t>
      </w:r>
    </w:p>
  </w:footnote>
  <w:footnote w:id="90">
    <w:p w14:paraId="706381F2" w14:textId="6A840B43" w:rsidR="00BC0A0D" w:rsidRPr="00BE266F"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6E194A">
        <w:t>i</w:t>
      </w:r>
      <w:r w:rsidRPr="00424698">
        <w:t>bid 667-8.</w:t>
      </w:r>
    </w:p>
  </w:footnote>
  <w:footnote w:id="91">
    <w:p w14:paraId="347D0F6F" w14:textId="02EBC462" w:rsidR="00BC0A0D" w:rsidRPr="00424698" w:rsidRDefault="00BC0A0D" w:rsidP="0030432B">
      <w:pPr>
        <w:pStyle w:val="FootnoteText"/>
        <w:spacing w:line="360" w:lineRule="auto"/>
        <w:ind w:left="567" w:hanging="567"/>
        <w:jc w:val="both"/>
        <w:rPr>
          <w:iCs/>
        </w:rPr>
      </w:pPr>
      <w:r w:rsidRPr="00BE266F">
        <w:rPr>
          <w:rStyle w:val="FootnoteReference"/>
        </w:rPr>
        <w:footnoteRef/>
      </w:r>
      <w:r w:rsidRPr="00BE266F">
        <w:t xml:space="preserve"> </w:t>
      </w:r>
      <w:r w:rsidRPr="00BE266F">
        <w:tab/>
      </w:r>
      <w:r w:rsidR="006E194A" w:rsidRPr="00BE266F">
        <w:t xml:space="preserve">CJEU, </w:t>
      </w:r>
      <w:r w:rsidRPr="00BE266F">
        <w:t xml:space="preserve">Case C-141/07, </w:t>
      </w:r>
      <w:r w:rsidRPr="00BE266F">
        <w:rPr>
          <w:i/>
          <w:iCs/>
        </w:rPr>
        <w:t xml:space="preserve">Commission </w:t>
      </w:r>
      <w:r w:rsidRPr="00BE266F">
        <w:t xml:space="preserve">v. </w:t>
      </w:r>
      <w:r w:rsidRPr="00BE266F">
        <w:rPr>
          <w:i/>
          <w:iCs/>
        </w:rPr>
        <w:t>Germany</w:t>
      </w:r>
      <w:r w:rsidR="00BE266F" w:rsidRPr="00BE266F">
        <w:rPr>
          <w:iCs/>
        </w:rPr>
        <w:t xml:space="preserve"> [2008] </w:t>
      </w:r>
      <w:r w:rsidR="00BE266F" w:rsidRPr="001506B1">
        <w:t>ECR I-6935</w:t>
      </w:r>
      <w:r w:rsidR="00BE266F" w:rsidRPr="001506B1" w:rsidDel="00BE266F">
        <w:rPr>
          <w:iCs/>
        </w:rPr>
        <w:t xml:space="preserve"> </w:t>
      </w:r>
      <w:r w:rsidRPr="00BE266F">
        <w:rPr>
          <w:iCs/>
        </w:rPr>
        <w:t>para 30.</w:t>
      </w:r>
    </w:p>
  </w:footnote>
  <w:footnote w:id="92">
    <w:p w14:paraId="3CC5EC2B" w14:textId="29D9997A"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6E194A">
        <w:t>i</w:t>
      </w:r>
      <w:r w:rsidRPr="00424698">
        <w:t>bid para 31.</w:t>
      </w:r>
    </w:p>
  </w:footnote>
  <w:footnote w:id="93">
    <w:p w14:paraId="1001F51B" w14:textId="610097DD"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iCs/>
          <w:sz w:val="20"/>
          <w:szCs w:val="20"/>
        </w:rPr>
        <w:t>See eg</w:t>
      </w:r>
      <w:r w:rsidRPr="00424698">
        <w:rPr>
          <w:rFonts w:ascii="Times New Roman" w:hAnsi="Times New Roman" w:cs="Times New Roman"/>
          <w:sz w:val="20"/>
          <w:szCs w:val="20"/>
        </w:rPr>
        <w:t xml:space="preserve"> </w:t>
      </w:r>
      <w:r w:rsidR="006E194A">
        <w:rPr>
          <w:rFonts w:ascii="Times New Roman" w:hAnsi="Times New Roman" w:cs="Times New Roman"/>
          <w:sz w:val="20"/>
          <w:szCs w:val="20"/>
        </w:rPr>
        <w:t xml:space="preserve">CJEU, </w:t>
      </w:r>
      <w:r w:rsidR="006E194A" w:rsidRPr="00424698">
        <w:rPr>
          <w:rFonts w:ascii="Times New Roman" w:hAnsi="Times New Roman" w:cs="Times New Roman"/>
          <w:sz w:val="20"/>
          <w:szCs w:val="20"/>
        </w:rPr>
        <w:t xml:space="preserve">Case C-438/05, </w:t>
      </w:r>
      <w:r w:rsidR="006F4CAF" w:rsidRPr="001506B1">
        <w:rPr>
          <w:rFonts w:ascii="Times New Roman" w:hAnsi="Times New Roman" w:cs="Times New Roman"/>
          <w:bCs/>
          <w:i/>
          <w:sz w:val="20"/>
          <w:szCs w:val="20"/>
        </w:rPr>
        <w:t>International Transport Workers’ Federation and Finnish Seamen’s Union v Viking Line ABP and OÜ Viking Line Eesti</w:t>
      </w:r>
      <w:r w:rsidR="00BE266F">
        <w:rPr>
          <w:rFonts w:ascii="Times New Roman" w:hAnsi="Times New Roman" w:cs="Times New Roman"/>
          <w:sz w:val="20"/>
          <w:szCs w:val="20"/>
        </w:rPr>
        <w:t xml:space="preserve"> [</w:t>
      </w:r>
      <w:r w:rsidR="00BE266F" w:rsidRPr="001506B1">
        <w:rPr>
          <w:rFonts w:ascii="Times New Roman" w:hAnsi="Times New Roman" w:cs="Times New Roman"/>
          <w:sz w:val="20"/>
          <w:szCs w:val="20"/>
        </w:rPr>
        <w:t>2007] ECR I-10779</w:t>
      </w:r>
      <w:r w:rsidR="006E194A">
        <w:rPr>
          <w:rFonts w:ascii="Times New Roman" w:hAnsi="Times New Roman" w:cs="Times New Roman"/>
          <w:sz w:val="20"/>
          <w:szCs w:val="20"/>
        </w:rPr>
        <w:t xml:space="preserve"> </w:t>
      </w:r>
      <w:r w:rsidR="006E194A" w:rsidRPr="00424698">
        <w:rPr>
          <w:rFonts w:ascii="Times New Roman" w:hAnsi="Times New Roman" w:cs="Times New Roman"/>
          <w:sz w:val="20"/>
          <w:szCs w:val="20"/>
        </w:rPr>
        <w:t>para 81</w:t>
      </w:r>
      <w:r w:rsidRPr="00424698">
        <w:rPr>
          <w:rFonts w:ascii="Times New Roman" w:hAnsi="Times New Roman" w:cs="Times New Roman"/>
          <w:sz w:val="20"/>
          <w:szCs w:val="20"/>
        </w:rPr>
        <w:t>, where the court held that the exercise of the fundamental right to strike was only permissible if jobs or employment conditions were ‘jeopardized or under serious threat’.</w:t>
      </w:r>
    </w:p>
  </w:footnote>
  <w:footnote w:id="94">
    <w:p w14:paraId="3624CB3A" w14:textId="6A328C74"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006E194A" w:rsidRPr="006F4CAF">
        <w:t xml:space="preserve">CJEU, </w:t>
      </w:r>
      <w:r w:rsidRPr="006F4CAF">
        <w:t>Case C-2/90</w:t>
      </w:r>
      <w:r w:rsidR="006E194A" w:rsidRPr="006F4CAF">
        <w:t>,</w:t>
      </w:r>
      <w:r w:rsidRPr="006F4CAF">
        <w:t xml:space="preserve"> </w:t>
      </w:r>
      <w:r w:rsidRPr="001506B1">
        <w:rPr>
          <w:i/>
        </w:rPr>
        <w:t>Commission v Belgium</w:t>
      </w:r>
      <w:r w:rsidR="006E194A" w:rsidRPr="006F4CAF">
        <w:t xml:space="preserve"> [1992]</w:t>
      </w:r>
      <w:r w:rsidRPr="006F4CAF">
        <w:t xml:space="preserve"> ECR I-4431; Case C-379/98</w:t>
      </w:r>
      <w:r w:rsidR="006F4CAF" w:rsidRPr="006F4CAF">
        <w:t xml:space="preserve">, </w:t>
      </w:r>
      <w:r w:rsidR="006F4CAF" w:rsidRPr="001506B1">
        <w:rPr>
          <w:bCs/>
          <w:i/>
        </w:rPr>
        <w:t>PreussenElektra AG v Schhleswag AG</w:t>
      </w:r>
      <w:r w:rsidR="006E194A" w:rsidRPr="006F4CAF">
        <w:t xml:space="preserve"> [2001] </w:t>
      </w:r>
      <w:r w:rsidRPr="006F4CAF">
        <w:t>ECR I-2099</w:t>
      </w:r>
      <w:r w:rsidR="006F4CAF" w:rsidRPr="001506B1">
        <w:t xml:space="preserve">; </w:t>
      </w:r>
      <w:r w:rsidRPr="006F4CAF">
        <w:t>Case C-320/03</w:t>
      </w:r>
      <w:r w:rsidR="006F4CAF" w:rsidRPr="006F4CAF">
        <w:t>,</w:t>
      </w:r>
      <w:r w:rsidR="006E194A" w:rsidRPr="006F4CAF">
        <w:t xml:space="preserve"> </w:t>
      </w:r>
      <w:r w:rsidR="006E194A" w:rsidRPr="001506B1">
        <w:rPr>
          <w:i/>
        </w:rPr>
        <w:t>Commission v Austria</w:t>
      </w:r>
      <w:r w:rsidR="006E194A" w:rsidRPr="006F4CAF">
        <w:t xml:space="preserve"> [2005]</w:t>
      </w:r>
      <w:r w:rsidRPr="006F4CAF">
        <w:t xml:space="preserve"> ECR I-9871; Case C-67/97</w:t>
      </w:r>
      <w:r w:rsidR="006E194A" w:rsidRPr="006F4CAF">
        <w:t>,</w:t>
      </w:r>
      <w:r w:rsidRPr="006F4CAF">
        <w:t xml:space="preserve"> </w:t>
      </w:r>
      <w:r w:rsidRPr="006F4CAF">
        <w:rPr>
          <w:i/>
        </w:rPr>
        <w:t>Anklagemyndigheden v. Ditlev Blume</w:t>
      </w:r>
      <w:r w:rsidR="006E194A" w:rsidRPr="006F4CAF">
        <w:rPr>
          <w:i/>
        </w:rPr>
        <w:t xml:space="preserve"> </w:t>
      </w:r>
      <w:r w:rsidR="006E194A" w:rsidRPr="006F4CAF">
        <w:t>[1998]</w:t>
      </w:r>
      <w:r w:rsidRPr="006F4CAF">
        <w:t xml:space="preserve"> ECR I-8033</w:t>
      </w:r>
      <w:r w:rsidR="006F4CAF" w:rsidRPr="006F4CAF">
        <w:t>.</w:t>
      </w:r>
      <w:r w:rsidRPr="00424698">
        <w:t xml:space="preserve"> </w:t>
      </w:r>
    </w:p>
  </w:footnote>
  <w:footnote w:id="95">
    <w:p w14:paraId="3C952F4F" w14:textId="4C52088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See for example Vries (n 8</w:t>
      </w:r>
      <w:r>
        <w:t>7</w:t>
      </w:r>
      <w:r w:rsidRPr="00424698">
        <w:t>) 191.</w:t>
      </w:r>
    </w:p>
  </w:footnote>
  <w:footnote w:id="96">
    <w:p w14:paraId="4244CF3A" w14:textId="71786BF3" w:rsidR="00BC0A0D" w:rsidRPr="00424698" w:rsidRDefault="00BC0A0D" w:rsidP="0030432B">
      <w:pPr>
        <w:autoSpaceDE w:val="0"/>
        <w:autoSpaceDN w:val="0"/>
        <w:adjustRightInd w:val="0"/>
        <w:spacing w:after="0" w:line="360" w:lineRule="auto"/>
        <w:ind w:left="567" w:hanging="567"/>
        <w:jc w:val="both"/>
        <w:rPr>
          <w:rFonts w:ascii="Times New Roman" w:hAnsi="Times New Roman" w:cs="Times New Roman"/>
          <w:sz w:val="20"/>
          <w:szCs w:val="20"/>
        </w:rPr>
      </w:pPr>
      <w:r w:rsidRPr="00424698">
        <w:rPr>
          <w:rStyle w:val="FootnoteReference"/>
          <w:rFonts w:ascii="Times New Roman" w:hAnsi="Times New Roman" w:cs="Times New Roman"/>
          <w:sz w:val="20"/>
          <w:szCs w:val="20"/>
        </w:rPr>
        <w:footnoteRef/>
      </w:r>
      <w:r w:rsidRPr="00424698">
        <w:rPr>
          <w:rFonts w:ascii="Times New Roman" w:hAnsi="Times New Roman" w:cs="Times New Roman"/>
          <w:sz w:val="20"/>
          <w:szCs w:val="20"/>
        </w:rPr>
        <w:t xml:space="preserve"> </w:t>
      </w:r>
      <w:r>
        <w:rPr>
          <w:rFonts w:ascii="Times New Roman" w:hAnsi="Times New Roman" w:cs="Times New Roman"/>
          <w:sz w:val="20"/>
          <w:szCs w:val="20"/>
        </w:rPr>
        <w:tab/>
      </w:r>
      <w:r w:rsidRPr="00424698">
        <w:rPr>
          <w:rFonts w:ascii="Times New Roman" w:hAnsi="Times New Roman" w:cs="Times New Roman"/>
          <w:iCs/>
          <w:sz w:val="20"/>
          <w:szCs w:val="20"/>
        </w:rPr>
        <w:t>Norbert Reich, ‘</w:t>
      </w:r>
      <w:r w:rsidRPr="00424698">
        <w:rPr>
          <w:rFonts w:ascii="Times New Roman" w:hAnsi="Times New Roman" w:cs="Times New Roman"/>
          <w:bCs/>
          <w:sz w:val="20"/>
          <w:szCs w:val="20"/>
        </w:rPr>
        <w:t xml:space="preserve">Free Movement v. Social Rights in an Enlarged Union - the </w:t>
      </w:r>
      <w:r w:rsidRPr="00424698">
        <w:rPr>
          <w:rFonts w:ascii="Times New Roman" w:hAnsi="Times New Roman" w:cs="Times New Roman"/>
          <w:bCs/>
          <w:iCs/>
          <w:sz w:val="20"/>
          <w:szCs w:val="20"/>
        </w:rPr>
        <w:t xml:space="preserve">Laval </w:t>
      </w:r>
      <w:r w:rsidRPr="00424698">
        <w:rPr>
          <w:rFonts w:ascii="Times New Roman" w:hAnsi="Times New Roman" w:cs="Times New Roman"/>
          <w:bCs/>
          <w:sz w:val="20"/>
          <w:szCs w:val="20"/>
        </w:rPr>
        <w:t xml:space="preserve">and </w:t>
      </w:r>
      <w:r w:rsidRPr="00424698">
        <w:rPr>
          <w:rFonts w:ascii="Times New Roman" w:hAnsi="Times New Roman" w:cs="Times New Roman"/>
          <w:bCs/>
          <w:iCs/>
          <w:sz w:val="20"/>
          <w:szCs w:val="20"/>
        </w:rPr>
        <w:t xml:space="preserve">Viking </w:t>
      </w:r>
      <w:r w:rsidRPr="00424698">
        <w:rPr>
          <w:rFonts w:ascii="Times New Roman" w:hAnsi="Times New Roman" w:cs="Times New Roman"/>
          <w:bCs/>
          <w:sz w:val="20"/>
          <w:szCs w:val="20"/>
        </w:rPr>
        <w:t>Cases before the ECJ’</w:t>
      </w:r>
      <w:r w:rsidRPr="00424698">
        <w:rPr>
          <w:rFonts w:ascii="Times New Roman" w:hAnsi="Times New Roman" w:cs="Times New Roman"/>
          <w:sz w:val="20"/>
          <w:szCs w:val="20"/>
        </w:rPr>
        <w:t xml:space="preserve"> (2008) 9 (2) German Law Journal 125, 159-160.</w:t>
      </w:r>
    </w:p>
  </w:footnote>
  <w:footnote w:id="97">
    <w:p w14:paraId="64CEC2A1" w14:textId="33D22A63"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Mark Dawson and Elise Muir, ‘Hungary and the Indirect Protection of EU Fundamental Rights and the Rule of Law’ (2013) German Law Journal 1959, 1965.</w:t>
      </w:r>
    </w:p>
  </w:footnote>
  <w:footnote w:id="98">
    <w:p w14:paraId="7F87BCEC" w14:textId="1C294542" w:rsidR="00BC0A0D" w:rsidRPr="00424698" w:rsidRDefault="00BC0A0D" w:rsidP="0030432B">
      <w:pPr>
        <w:pStyle w:val="FootnoteText"/>
        <w:spacing w:line="360" w:lineRule="auto"/>
        <w:ind w:left="567" w:hanging="567"/>
        <w:jc w:val="both"/>
      </w:pPr>
      <w:r w:rsidRPr="00424698">
        <w:rPr>
          <w:rStyle w:val="FootnoteReference"/>
        </w:rPr>
        <w:footnoteRef/>
      </w:r>
      <w:r w:rsidRPr="00424698">
        <w:t xml:space="preserve"> </w:t>
      </w:r>
      <w:r>
        <w:tab/>
      </w:r>
      <w:r w:rsidRPr="00424698">
        <w:t xml:space="preserve">Caroline Henckels, ‘Balancing Investment </w:t>
      </w:r>
      <w:r w:rsidR="006E194A">
        <w:t>P</w:t>
      </w:r>
      <w:r w:rsidRPr="00424698">
        <w:t>rotection and Sustainable Development in Investor-State Arbitration: The Role of Deference’ in Andrea K. Bjorklund (ed)</w:t>
      </w:r>
      <w:r w:rsidR="006E194A">
        <w:t>,</w:t>
      </w:r>
      <w:r w:rsidRPr="00424698">
        <w:t xml:space="preserve"> </w:t>
      </w:r>
      <w:r w:rsidRPr="001506B1">
        <w:rPr>
          <w:i/>
        </w:rPr>
        <w:t>Yearbook on International Investment law and Policy 2012-2013</w:t>
      </w:r>
      <w:r w:rsidRPr="00424698">
        <w:t xml:space="preserve"> (OUP 2014) 315; see also Kleinheisterkamp (n 11)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048"/>
    <w:multiLevelType w:val="hybridMultilevel"/>
    <w:tmpl w:val="6E60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F32F6"/>
    <w:multiLevelType w:val="hybridMultilevel"/>
    <w:tmpl w:val="825A4786"/>
    <w:lvl w:ilvl="0" w:tplc="DC7E8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47"/>
    <w:rsid w:val="00007420"/>
    <w:rsid w:val="000108AF"/>
    <w:rsid w:val="00023E31"/>
    <w:rsid w:val="00025DB9"/>
    <w:rsid w:val="000440AE"/>
    <w:rsid w:val="00044987"/>
    <w:rsid w:val="00045B59"/>
    <w:rsid w:val="00053AA3"/>
    <w:rsid w:val="00057BD1"/>
    <w:rsid w:val="000830DA"/>
    <w:rsid w:val="00093EE3"/>
    <w:rsid w:val="000A35FB"/>
    <w:rsid w:val="000B387D"/>
    <w:rsid w:val="000C3D75"/>
    <w:rsid w:val="000E58BF"/>
    <w:rsid w:val="00102CF5"/>
    <w:rsid w:val="00104958"/>
    <w:rsid w:val="001125AC"/>
    <w:rsid w:val="00113D39"/>
    <w:rsid w:val="00113FA0"/>
    <w:rsid w:val="001145D2"/>
    <w:rsid w:val="00116F37"/>
    <w:rsid w:val="001254A2"/>
    <w:rsid w:val="00142243"/>
    <w:rsid w:val="00145FF0"/>
    <w:rsid w:val="0014617E"/>
    <w:rsid w:val="001506B1"/>
    <w:rsid w:val="00156079"/>
    <w:rsid w:val="0016634E"/>
    <w:rsid w:val="00181F8F"/>
    <w:rsid w:val="0018376F"/>
    <w:rsid w:val="00183B6E"/>
    <w:rsid w:val="00192F40"/>
    <w:rsid w:val="00195EC7"/>
    <w:rsid w:val="001A1E07"/>
    <w:rsid w:val="001A6BD5"/>
    <w:rsid w:val="001B32C7"/>
    <w:rsid w:val="001C2DE0"/>
    <w:rsid w:val="0024479C"/>
    <w:rsid w:val="002559A9"/>
    <w:rsid w:val="0026293D"/>
    <w:rsid w:val="00285F1E"/>
    <w:rsid w:val="0029471D"/>
    <w:rsid w:val="002952D3"/>
    <w:rsid w:val="002A0AB0"/>
    <w:rsid w:val="002B189C"/>
    <w:rsid w:val="002B1918"/>
    <w:rsid w:val="002C1B7F"/>
    <w:rsid w:val="002C5D47"/>
    <w:rsid w:val="002E4E22"/>
    <w:rsid w:val="002F04B9"/>
    <w:rsid w:val="002F14F4"/>
    <w:rsid w:val="002F1EE0"/>
    <w:rsid w:val="0030432B"/>
    <w:rsid w:val="00311626"/>
    <w:rsid w:val="00313A70"/>
    <w:rsid w:val="0031685F"/>
    <w:rsid w:val="00333331"/>
    <w:rsid w:val="003340DE"/>
    <w:rsid w:val="00346C7A"/>
    <w:rsid w:val="00351337"/>
    <w:rsid w:val="0036516F"/>
    <w:rsid w:val="003654C0"/>
    <w:rsid w:val="00370F4C"/>
    <w:rsid w:val="003774E7"/>
    <w:rsid w:val="00380034"/>
    <w:rsid w:val="00381667"/>
    <w:rsid w:val="003855C6"/>
    <w:rsid w:val="00395EE6"/>
    <w:rsid w:val="003C6C03"/>
    <w:rsid w:val="003E18CB"/>
    <w:rsid w:val="00401D2C"/>
    <w:rsid w:val="00410DE8"/>
    <w:rsid w:val="004171B6"/>
    <w:rsid w:val="00422896"/>
    <w:rsid w:val="00424698"/>
    <w:rsid w:val="00436F4C"/>
    <w:rsid w:val="00443D8B"/>
    <w:rsid w:val="004506D3"/>
    <w:rsid w:val="004666BD"/>
    <w:rsid w:val="00476774"/>
    <w:rsid w:val="004815FA"/>
    <w:rsid w:val="004A6726"/>
    <w:rsid w:val="004A761F"/>
    <w:rsid w:val="004C03C7"/>
    <w:rsid w:val="004D27F7"/>
    <w:rsid w:val="004E39D4"/>
    <w:rsid w:val="004F7EE4"/>
    <w:rsid w:val="005064C4"/>
    <w:rsid w:val="0051431F"/>
    <w:rsid w:val="00514334"/>
    <w:rsid w:val="00517DB6"/>
    <w:rsid w:val="005275A9"/>
    <w:rsid w:val="00532AF9"/>
    <w:rsid w:val="0053329B"/>
    <w:rsid w:val="005341E6"/>
    <w:rsid w:val="00550A74"/>
    <w:rsid w:val="00555F0B"/>
    <w:rsid w:val="005622D7"/>
    <w:rsid w:val="00567CD6"/>
    <w:rsid w:val="00572D19"/>
    <w:rsid w:val="005733B3"/>
    <w:rsid w:val="00582692"/>
    <w:rsid w:val="00592149"/>
    <w:rsid w:val="005938F7"/>
    <w:rsid w:val="005955FE"/>
    <w:rsid w:val="005A36B6"/>
    <w:rsid w:val="005B4CF8"/>
    <w:rsid w:val="005B6DC7"/>
    <w:rsid w:val="005D40AC"/>
    <w:rsid w:val="005D5802"/>
    <w:rsid w:val="005F7E39"/>
    <w:rsid w:val="00600621"/>
    <w:rsid w:val="00615B36"/>
    <w:rsid w:val="0063040C"/>
    <w:rsid w:val="006350DE"/>
    <w:rsid w:val="00647BCE"/>
    <w:rsid w:val="00654CB2"/>
    <w:rsid w:val="00667939"/>
    <w:rsid w:val="00673392"/>
    <w:rsid w:val="00675441"/>
    <w:rsid w:val="00675D39"/>
    <w:rsid w:val="00694103"/>
    <w:rsid w:val="006B1F14"/>
    <w:rsid w:val="006B2917"/>
    <w:rsid w:val="006D3AB0"/>
    <w:rsid w:val="006E0572"/>
    <w:rsid w:val="006E194A"/>
    <w:rsid w:val="006E7D4A"/>
    <w:rsid w:val="006F4CAF"/>
    <w:rsid w:val="006F55BB"/>
    <w:rsid w:val="007058F8"/>
    <w:rsid w:val="00723B41"/>
    <w:rsid w:val="007257F4"/>
    <w:rsid w:val="0073329D"/>
    <w:rsid w:val="007624C5"/>
    <w:rsid w:val="007638EC"/>
    <w:rsid w:val="00764DA8"/>
    <w:rsid w:val="0076594C"/>
    <w:rsid w:val="007857C8"/>
    <w:rsid w:val="007931F7"/>
    <w:rsid w:val="00795643"/>
    <w:rsid w:val="00795FC5"/>
    <w:rsid w:val="007B4927"/>
    <w:rsid w:val="007B5D8A"/>
    <w:rsid w:val="007D75CB"/>
    <w:rsid w:val="007E140F"/>
    <w:rsid w:val="007E179E"/>
    <w:rsid w:val="007E2A99"/>
    <w:rsid w:val="007E6686"/>
    <w:rsid w:val="007E76F8"/>
    <w:rsid w:val="00811E4C"/>
    <w:rsid w:val="00820ECA"/>
    <w:rsid w:val="00833890"/>
    <w:rsid w:val="00857419"/>
    <w:rsid w:val="008822CC"/>
    <w:rsid w:val="00886CA7"/>
    <w:rsid w:val="008A7118"/>
    <w:rsid w:val="008B577D"/>
    <w:rsid w:val="008C5E68"/>
    <w:rsid w:val="008C6FE6"/>
    <w:rsid w:val="009045E5"/>
    <w:rsid w:val="009167BD"/>
    <w:rsid w:val="009203AD"/>
    <w:rsid w:val="00926947"/>
    <w:rsid w:val="00932970"/>
    <w:rsid w:val="00942FAD"/>
    <w:rsid w:val="009452B7"/>
    <w:rsid w:val="00953645"/>
    <w:rsid w:val="00977C40"/>
    <w:rsid w:val="00987449"/>
    <w:rsid w:val="0099091A"/>
    <w:rsid w:val="009931B0"/>
    <w:rsid w:val="009935D7"/>
    <w:rsid w:val="00995795"/>
    <w:rsid w:val="0099729A"/>
    <w:rsid w:val="009A1E6D"/>
    <w:rsid w:val="009C448D"/>
    <w:rsid w:val="009C5256"/>
    <w:rsid w:val="009D118B"/>
    <w:rsid w:val="009D7713"/>
    <w:rsid w:val="009F0A6F"/>
    <w:rsid w:val="009F537F"/>
    <w:rsid w:val="00A0392D"/>
    <w:rsid w:val="00A04077"/>
    <w:rsid w:val="00A05E8B"/>
    <w:rsid w:val="00A34B89"/>
    <w:rsid w:val="00A42726"/>
    <w:rsid w:val="00A47BE4"/>
    <w:rsid w:val="00A50BC0"/>
    <w:rsid w:val="00A51747"/>
    <w:rsid w:val="00A524BB"/>
    <w:rsid w:val="00A65D31"/>
    <w:rsid w:val="00A8386E"/>
    <w:rsid w:val="00A96921"/>
    <w:rsid w:val="00AA3A93"/>
    <w:rsid w:val="00AA3ABA"/>
    <w:rsid w:val="00AA5C5C"/>
    <w:rsid w:val="00AB4717"/>
    <w:rsid w:val="00AC2E66"/>
    <w:rsid w:val="00AC583E"/>
    <w:rsid w:val="00AD63AE"/>
    <w:rsid w:val="00AE3695"/>
    <w:rsid w:val="00AE451F"/>
    <w:rsid w:val="00AF499E"/>
    <w:rsid w:val="00AF6292"/>
    <w:rsid w:val="00AF66D5"/>
    <w:rsid w:val="00B01796"/>
    <w:rsid w:val="00B04679"/>
    <w:rsid w:val="00B05CDE"/>
    <w:rsid w:val="00B23EA4"/>
    <w:rsid w:val="00B27731"/>
    <w:rsid w:val="00B31D11"/>
    <w:rsid w:val="00B363D5"/>
    <w:rsid w:val="00B632FE"/>
    <w:rsid w:val="00B6623E"/>
    <w:rsid w:val="00B707DC"/>
    <w:rsid w:val="00B75192"/>
    <w:rsid w:val="00B87CAA"/>
    <w:rsid w:val="00B9175B"/>
    <w:rsid w:val="00BA25E2"/>
    <w:rsid w:val="00BC0A0D"/>
    <w:rsid w:val="00BC4749"/>
    <w:rsid w:val="00BC5EB0"/>
    <w:rsid w:val="00BE19F7"/>
    <w:rsid w:val="00BE266F"/>
    <w:rsid w:val="00BE2B86"/>
    <w:rsid w:val="00BF0F4F"/>
    <w:rsid w:val="00BF323F"/>
    <w:rsid w:val="00C22C74"/>
    <w:rsid w:val="00C2534D"/>
    <w:rsid w:val="00C31559"/>
    <w:rsid w:val="00C5334C"/>
    <w:rsid w:val="00C566FF"/>
    <w:rsid w:val="00C6451B"/>
    <w:rsid w:val="00C71272"/>
    <w:rsid w:val="00C75E9E"/>
    <w:rsid w:val="00CA18F4"/>
    <w:rsid w:val="00CA76A7"/>
    <w:rsid w:val="00CB0CB8"/>
    <w:rsid w:val="00CC23B4"/>
    <w:rsid w:val="00CE15D4"/>
    <w:rsid w:val="00CE27AA"/>
    <w:rsid w:val="00CE407B"/>
    <w:rsid w:val="00CE6B33"/>
    <w:rsid w:val="00D01045"/>
    <w:rsid w:val="00D06B61"/>
    <w:rsid w:val="00D36E58"/>
    <w:rsid w:val="00D44F8A"/>
    <w:rsid w:val="00D543B4"/>
    <w:rsid w:val="00D80C5E"/>
    <w:rsid w:val="00D8193D"/>
    <w:rsid w:val="00D856A4"/>
    <w:rsid w:val="00D90204"/>
    <w:rsid w:val="00D949CB"/>
    <w:rsid w:val="00D972D3"/>
    <w:rsid w:val="00DA4F73"/>
    <w:rsid w:val="00DA5141"/>
    <w:rsid w:val="00DB21FA"/>
    <w:rsid w:val="00DB35E3"/>
    <w:rsid w:val="00DC3E2C"/>
    <w:rsid w:val="00DC641E"/>
    <w:rsid w:val="00DD1EF0"/>
    <w:rsid w:val="00DD32A3"/>
    <w:rsid w:val="00DF6B04"/>
    <w:rsid w:val="00E0049F"/>
    <w:rsid w:val="00E223D2"/>
    <w:rsid w:val="00E24BB6"/>
    <w:rsid w:val="00E31867"/>
    <w:rsid w:val="00E347DF"/>
    <w:rsid w:val="00E40855"/>
    <w:rsid w:val="00E5601E"/>
    <w:rsid w:val="00E6372E"/>
    <w:rsid w:val="00E72378"/>
    <w:rsid w:val="00EA6424"/>
    <w:rsid w:val="00EA7589"/>
    <w:rsid w:val="00F00989"/>
    <w:rsid w:val="00F068FC"/>
    <w:rsid w:val="00F111E7"/>
    <w:rsid w:val="00F132D5"/>
    <w:rsid w:val="00F15A86"/>
    <w:rsid w:val="00F176C9"/>
    <w:rsid w:val="00F22EF4"/>
    <w:rsid w:val="00F27983"/>
    <w:rsid w:val="00F31315"/>
    <w:rsid w:val="00F3532B"/>
    <w:rsid w:val="00F3658F"/>
    <w:rsid w:val="00F509BB"/>
    <w:rsid w:val="00F6222C"/>
    <w:rsid w:val="00F73964"/>
    <w:rsid w:val="00FB1BA9"/>
    <w:rsid w:val="00FB5A94"/>
    <w:rsid w:val="00FB6076"/>
    <w:rsid w:val="00FB7E49"/>
    <w:rsid w:val="00FC1C8E"/>
    <w:rsid w:val="00FC5978"/>
    <w:rsid w:val="00FC78C7"/>
    <w:rsid w:val="00FD2074"/>
    <w:rsid w:val="00FD575C"/>
    <w:rsid w:val="00FE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8E39"/>
  <w15:docId w15:val="{E9DED87B-FE36-4119-9B55-C3139C3D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B5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921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w:basedOn w:val="Normal"/>
    <w:link w:val="FootnoteTextChar"/>
    <w:rsid w:val="00AA3AB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rsid w:val="00AA3ABA"/>
    <w:rPr>
      <w:rFonts w:ascii="Times New Roman" w:eastAsia="Times New Roman" w:hAnsi="Times New Roman" w:cs="Times New Roman"/>
      <w:sz w:val="20"/>
      <w:szCs w:val="20"/>
      <w:lang w:eastAsia="en-GB"/>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4_G"/>
    <w:basedOn w:val="DefaultParagraphFont"/>
    <w:uiPriority w:val="99"/>
    <w:rsid w:val="00AA3ABA"/>
    <w:rPr>
      <w:vertAlign w:val="superscript"/>
    </w:rPr>
  </w:style>
  <w:style w:type="character" w:customStyle="1" w:styleId="csshit">
    <w:name w:val="csshit"/>
    <w:basedOn w:val="DefaultParagraphFont"/>
    <w:rsid w:val="00AA3ABA"/>
  </w:style>
  <w:style w:type="paragraph" w:customStyle="1" w:styleId="c10marge1">
    <w:name w:val="c10marge1"/>
    <w:basedOn w:val="Normal"/>
    <w:rsid w:val="00997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997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CE2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27AA"/>
  </w:style>
  <w:style w:type="character" w:styleId="Hyperlink">
    <w:name w:val="Hyperlink"/>
    <w:basedOn w:val="DefaultParagraphFont"/>
    <w:uiPriority w:val="99"/>
    <w:unhideWhenUsed/>
    <w:rsid w:val="00517DB6"/>
    <w:rPr>
      <w:color w:val="0000FF" w:themeColor="hyperlink"/>
      <w:u w:val="single"/>
    </w:rPr>
  </w:style>
  <w:style w:type="character" w:customStyle="1" w:styleId="Heading1Char">
    <w:name w:val="Heading 1 Char"/>
    <w:basedOn w:val="DefaultParagraphFont"/>
    <w:link w:val="Heading1"/>
    <w:uiPriority w:val="9"/>
    <w:rsid w:val="007B5D8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045E5"/>
    <w:rPr>
      <w:b/>
      <w:bCs/>
    </w:rPr>
  </w:style>
  <w:style w:type="character" w:customStyle="1" w:styleId="documentbody">
    <w:name w:val="documentbody"/>
    <w:basedOn w:val="DefaultParagraphFont"/>
    <w:rsid w:val="00673392"/>
    <w:rPr>
      <w:rFonts w:cs="Times New Roman"/>
    </w:rPr>
  </w:style>
  <w:style w:type="character" w:customStyle="1" w:styleId="text">
    <w:name w:val="text"/>
    <w:basedOn w:val="DefaultParagraphFont"/>
    <w:rsid w:val="007638EC"/>
  </w:style>
  <w:style w:type="paragraph" w:customStyle="1" w:styleId="Default">
    <w:name w:val="Default"/>
    <w:rsid w:val="00D8193D"/>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59214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C583E"/>
    <w:rPr>
      <w:sz w:val="16"/>
      <w:szCs w:val="16"/>
    </w:rPr>
  </w:style>
  <w:style w:type="paragraph" w:styleId="CommentText">
    <w:name w:val="annotation text"/>
    <w:basedOn w:val="Normal"/>
    <w:link w:val="CommentTextChar"/>
    <w:uiPriority w:val="99"/>
    <w:semiHidden/>
    <w:unhideWhenUsed/>
    <w:rsid w:val="00AC583E"/>
    <w:pPr>
      <w:spacing w:line="240" w:lineRule="auto"/>
    </w:pPr>
    <w:rPr>
      <w:sz w:val="20"/>
      <w:szCs w:val="20"/>
    </w:rPr>
  </w:style>
  <w:style w:type="character" w:customStyle="1" w:styleId="CommentTextChar">
    <w:name w:val="Comment Text Char"/>
    <w:basedOn w:val="DefaultParagraphFont"/>
    <w:link w:val="CommentText"/>
    <w:uiPriority w:val="99"/>
    <w:semiHidden/>
    <w:rsid w:val="00AC583E"/>
    <w:rPr>
      <w:sz w:val="20"/>
      <w:szCs w:val="20"/>
    </w:rPr>
  </w:style>
  <w:style w:type="paragraph" w:styleId="CommentSubject">
    <w:name w:val="annotation subject"/>
    <w:basedOn w:val="CommentText"/>
    <w:next w:val="CommentText"/>
    <w:link w:val="CommentSubjectChar"/>
    <w:uiPriority w:val="99"/>
    <w:semiHidden/>
    <w:unhideWhenUsed/>
    <w:rsid w:val="00AC583E"/>
    <w:rPr>
      <w:b/>
      <w:bCs/>
    </w:rPr>
  </w:style>
  <w:style w:type="character" w:customStyle="1" w:styleId="CommentSubjectChar">
    <w:name w:val="Comment Subject Char"/>
    <w:basedOn w:val="CommentTextChar"/>
    <w:link w:val="CommentSubject"/>
    <w:uiPriority w:val="99"/>
    <w:semiHidden/>
    <w:rsid w:val="00AC583E"/>
    <w:rPr>
      <w:b/>
      <w:bCs/>
      <w:sz w:val="20"/>
      <w:szCs w:val="20"/>
    </w:rPr>
  </w:style>
  <w:style w:type="paragraph" w:styleId="BalloonText">
    <w:name w:val="Balloon Text"/>
    <w:basedOn w:val="Normal"/>
    <w:link w:val="BalloonTextChar"/>
    <w:uiPriority w:val="99"/>
    <w:semiHidden/>
    <w:unhideWhenUsed/>
    <w:rsid w:val="00AC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3E"/>
    <w:rPr>
      <w:rFonts w:ascii="Tahoma" w:hAnsi="Tahoma" w:cs="Tahoma"/>
      <w:sz w:val="16"/>
      <w:szCs w:val="16"/>
    </w:rPr>
  </w:style>
  <w:style w:type="paragraph" w:styleId="ListParagraph">
    <w:name w:val="List Paragraph"/>
    <w:basedOn w:val="Normal"/>
    <w:uiPriority w:val="34"/>
    <w:qFormat/>
    <w:rsid w:val="0016634E"/>
    <w:pPr>
      <w:ind w:left="720"/>
      <w:contextualSpacing/>
    </w:pPr>
  </w:style>
  <w:style w:type="character" w:styleId="Emphasis">
    <w:name w:val="Emphasis"/>
    <w:basedOn w:val="DefaultParagraphFont"/>
    <w:uiPriority w:val="20"/>
    <w:qFormat/>
    <w:rsid w:val="00E22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493">
      <w:bodyDiv w:val="1"/>
      <w:marLeft w:val="0"/>
      <w:marRight w:val="0"/>
      <w:marTop w:val="0"/>
      <w:marBottom w:val="0"/>
      <w:divBdr>
        <w:top w:val="none" w:sz="0" w:space="0" w:color="auto"/>
        <w:left w:val="none" w:sz="0" w:space="0" w:color="auto"/>
        <w:bottom w:val="none" w:sz="0" w:space="0" w:color="auto"/>
        <w:right w:val="none" w:sz="0" w:space="0" w:color="auto"/>
      </w:divBdr>
    </w:div>
    <w:div w:id="55402517">
      <w:bodyDiv w:val="1"/>
      <w:marLeft w:val="0"/>
      <w:marRight w:val="0"/>
      <w:marTop w:val="0"/>
      <w:marBottom w:val="0"/>
      <w:divBdr>
        <w:top w:val="none" w:sz="0" w:space="0" w:color="auto"/>
        <w:left w:val="none" w:sz="0" w:space="0" w:color="auto"/>
        <w:bottom w:val="none" w:sz="0" w:space="0" w:color="auto"/>
        <w:right w:val="none" w:sz="0" w:space="0" w:color="auto"/>
      </w:divBdr>
    </w:div>
    <w:div w:id="121850687">
      <w:bodyDiv w:val="1"/>
      <w:marLeft w:val="0"/>
      <w:marRight w:val="0"/>
      <w:marTop w:val="0"/>
      <w:marBottom w:val="0"/>
      <w:divBdr>
        <w:top w:val="none" w:sz="0" w:space="0" w:color="auto"/>
        <w:left w:val="none" w:sz="0" w:space="0" w:color="auto"/>
        <w:bottom w:val="none" w:sz="0" w:space="0" w:color="auto"/>
        <w:right w:val="none" w:sz="0" w:space="0" w:color="auto"/>
      </w:divBdr>
    </w:div>
    <w:div w:id="148131320">
      <w:bodyDiv w:val="1"/>
      <w:marLeft w:val="0"/>
      <w:marRight w:val="0"/>
      <w:marTop w:val="0"/>
      <w:marBottom w:val="0"/>
      <w:divBdr>
        <w:top w:val="none" w:sz="0" w:space="0" w:color="auto"/>
        <w:left w:val="none" w:sz="0" w:space="0" w:color="auto"/>
        <w:bottom w:val="none" w:sz="0" w:space="0" w:color="auto"/>
        <w:right w:val="none" w:sz="0" w:space="0" w:color="auto"/>
      </w:divBdr>
    </w:div>
    <w:div w:id="235434956">
      <w:bodyDiv w:val="1"/>
      <w:marLeft w:val="0"/>
      <w:marRight w:val="0"/>
      <w:marTop w:val="0"/>
      <w:marBottom w:val="0"/>
      <w:divBdr>
        <w:top w:val="none" w:sz="0" w:space="0" w:color="auto"/>
        <w:left w:val="none" w:sz="0" w:space="0" w:color="auto"/>
        <w:bottom w:val="none" w:sz="0" w:space="0" w:color="auto"/>
        <w:right w:val="none" w:sz="0" w:space="0" w:color="auto"/>
      </w:divBdr>
    </w:div>
    <w:div w:id="494342632">
      <w:bodyDiv w:val="1"/>
      <w:marLeft w:val="0"/>
      <w:marRight w:val="0"/>
      <w:marTop w:val="0"/>
      <w:marBottom w:val="0"/>
      <w:divBdr>
        <w:top w:val="none" w:sz="0" w:space="0" w:color="auto"/>
        <w:left w:val="none" w:sz="0" w:space="0" w:color="auto"/>
        <w:bottom w:val="none" w:sz="0" w:space="0" w:color="auto"/>
        <w:right w:val="none" w:sz="0" w:space="0" w:color="auto"/>
      </w:divBdr>
    </w:div>
    <w:div w:id="607471398">
      <w:bodyDiv w:val="1"/>
      <w:marLeft w:val="0"/>
      <w:marRight w:val="0"/>
      <w:marTop w:val="0"/>
      <w:marBottom w:val="0"/>
      <w:divBdr>
        <w:top w:val="none" w:sz="0" w:space="0" w:color="auto"/>
        <w:left w:val="none" w:sz="0" w:space="0" w:color="auto"/>
        <w:bottom w:val="none" w:sz="0" w:space="0" w:color="auto"/>
        <w:right w:val="none" w:sz="0" w:space="0" w:color="auto"/>
      </w:divBdr>
    </w:div>
    <w:div w:id="661740643">
      <w:bodyDiv w:val="1"/>
      <w:marLeft w:val="0"/>
      <w:marRight w:val="0"/>
      <w:marTop w:val="0"/>
      <w:marBottom w:val="0"/>
      <w:divBdr>
        <w:top w:val="none" w:sz="0" w:space="0" w:color="auto"/>
        <w:left w:val="none" w:sz="0" w:space="0" w:color="auto"/>
        <w:bottom w:val="none" w:sz="0" w:space="0" w:color="auto"/>
        <w:right w:val="none" w:sz="0" w:space="0" w:color="auto"/>
      </w:divBdr>
    </w:div>
    <w:div w:id="999964816">
      <w:bodyDiv w:val="1"/>
      <w:marLeft w:val="0"/>
      <w:marRight w:val="0"/>
      <w:marTop w:val="0"/>
      <w:marBottom w:val="0"/>
      <w:divBdr>
        <w:top w:val="none" w:sz="0" w:space="0" w:color="auto"/>
        <w:left w:val="none" w:sz="0" w:space="0" w:color="auto"/>
        <w:bottom w:val="none" w:sz="0" w:space="0" w:color="auto"/>
        <w:right w:val="none" w:sz="0" w:space="0" w:color="auto"/>
      </w:divBdr>
    </w:div>
    <w:div w:id="1519274253">
      <w:bodyDiv w:val="1"/>
      <w:marLeft w:val="0"/>
      <w:marRight w:val="0"/>
      <w:marTop w:val="0"/>
      <w:marBottom w:val="0"/>
      <w:divBdr>
        <w:top w:val="none" w:sz="0" w:space="0" w:color="auto"/>
        <w:left w:val="none" w:sz="0" w:space="0" w:color="auto"/>
        <w:bottom w:val="none" w:sz="0" w:space="0" w:color="auto"/>
        <w:right w:val="none" w:sz="0" w:space="0" w:color="auto"/>
      </w:divBdr>
    </w:div>
    <w:div w:id="1846624774">
      <w:bodyDiv w:val="1"/>
      <w:marLeft w:val="0"/>
      <w:marRight w:val="0"/>
      <w:marTop w:val="0"/>
      <w:marBottom w:val="0"/>
      <w:divBdr>
        <w:top w:val="none" w:sz="0" w:space="0" w:color="auto"/>
        <w:left w:val="none" w:sz="0" w:space="0" w:color="auto"/>
        <w:bottom w:val="none" w:sz="0" w:space="0" w:color="auto"/>
        <w:right w:val="none" w:sz="0" w:space="0" w:color="auto"/>
      </w:divBdr>
    </w:div>
    <w:div w:id="1895970206">
      <w:bodyDiv w:val="1"/>
      <w:marLeft w:val="0"/>
      <w:marRight w:val="0"/>
      <w:marTop w:val="0"/>
      <w:marBottom w:val="0"/>
      <w:divBdr>
        <w:top w:val="none" w:sz="0" w:space="0" w:color="auto"/>
        <w:left w:val="none" w:sz="0" w:space="0" w:color="auto"/>
        <w:bottom w:val="none" w:sz="0" w:space="0" w:color="auto"/>
        <w:right w:val="none" w:sz="0" w:space="0" w:color="auto"/>
      </w:divBdr>
    </w:div>
    <w:div w:id="20585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7860</Words>
  <Characters>44802</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 Sattorova</cp:lastModifiedBy>
  <cp:revision>3</cp:revision>
  <dcterms:created xsi:type="dcterms:W3CDTF">2016-09-23T10:54:00Z</dcterms:created>
  <dcterms:modified xsi:type="dcterms:W3CDTF">2017-02-01T17:40:00Z</dcterms:modified>
</cp:coreProperties>
</file>