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FC391" w14:textId="461F0D74" w:rsidR="00A007A0" w:rsidRPr="007B3527" w:rsidRDefault="00394E5A" w:rsidP="002241CC">
      <w:pPr>
        <w:spacing w:line="480" w:lineRule="auto"/>
        <w:rPr>
          <w:b/>
          <w:u w:val="single"/>
        </w:rPr>
      </w:pPr>
      <w:bookmarkStart w:id="0" w:name="_GoBack"/>
      <w:bookmarkEnd w:id="0"/>
      <w:r w:rsidRPr="007B3527">
        <w:rPr>
          <w:b/>
          <w:u w:val="single"/>
        </w:rPr>
        <w:t>C</w:t>
      </w:r>
      <w:r w:rsidR="00E976D2" w:rsidRPr="007B3527">
        <w:rPr>
          <w:b/>
          <w:u w:val="single"/>
        </w:rPr>
        <w:t xml:space="preserve">ategorization of </w:t>
      </w:r>
      <w:proofErr w:type="spellStart"/>
      <w:r w:rsidR="00E976D2" w:rsidRPr="007B3527">
        <w:rPr>
          <w:b/>
          <w:u w:val="single"/>
        </w:rPr>
        <w:t>tibial</w:t>
      </w:r>
      <w:proofErr w:type="spellEnd"/>
      <w:r w:rsidR="00E976D2" w:rsidRPr="007B3527">
        <w:rPr>
          <w:b/>
          <w:u w:val="single"/>
        </w:rPr>
        <w:t xml:space="preserve"> artery disease on C</w:t>
      </w:r>
      <w:r w:rsidR="00F16BA8">
        <w:rPr>
          <w:b/>
          <w:u w:val="single"/>
        </w:rPr>
        <w:t xml:space="preserve">omputer </w:t>
      </w:r>
      <w:r w:rsidR="00E976D2" w:rsidRPr="007B3527">
        <w:rPr>
          <w:b/>
          <w:u w:val="single"/>
        </w:rPr>
        <w:t>T</w:t>
      </w:r>
      <w:r w:rsidR="00F16BA8">
        <w:rPr>
          <w:b/>
          <w:u w:val="single"/>
        </w:rPr>
        <w:t>omography A</w:t>
      </w:r>
      <w:r w:rsidR="00E976D2" w:rsidRPr="007B3527">
        <w:rPr>
          <w:b/>
          <w:u w:val="single"/>
        </w:rPr>
        <w:t>ngiography</w:t>
      </w:r>
      <w:r w:rsidRPr="007B3527">
        <w:rPr>
          <w:b/>
          <w:u w:val="single"/>
        </w:rPr>
        <w:t xml:space="preserve"> a</w:t>
      </w:r>
      <w:r>
        <w:rPr>
          <w:b/>
          <w:u w:val="single"/>
        </w:rPr>
        <w:t>c</w:t>
      </w:r>
      <w:r w:rsidRPr="007B3527">
        <w:rPr>
          <w:b/>
          <w:u w:val="single"/>
        </w:rPr>
        <w:t>cording to the TASC II classification</w:t>
      </w:r>
    </w:p>
    <w:p w14:paraId="36143956" w14:textId="77777777" w:rsidR="00394E5A" w:rsidRDefault="00394E5A" w:rsidP="00512F2E">
      <w:pPr>
        <w:spacing w:line="480" w:lineRule="auto"/>
        <w:rPr>
          <w:u w:val="single"/>
        </w:rPr>
      </w:pPr>
    </w:p>
    <w:p w14:paraId="21F51077" w14:textId="0C038008" w:rsidR="00831AAC" w:rsidRPr="00623C23" w:rsidRDefault="00F16BA8" w:rsidP="002241CC">
      <w:pPr>
        <w:spacing w:line="480" w:lineRule="auto"/>
      </w:pPr>
      <w:proofErr w:type="spellStart"/>
      <w:r>
        <w:t>Adeeb</w:t>
      </w:r>
      <w:proofErr w:type="spellEnd"/>
      <w:r>
        <w:t xml:space="preserve"> </w:t>
      </w:r>
      <w:proofErr w:type="spellStart"/>
      <w:r>
        <w:t>Rehman</w:t>
      </w:r>
      <w:proofErr w:type="spellEnd"/>
      <w:r w:rsidR="00212374">
        <w:t xml:space="preserve"> MRCS</w:t>
      </w:r>
      <w:r>
        <w:t xml:space="preserve"> (</w:t>
      </w:r>
      <w:r w:rsidR="00623C23" w:rsidRPr="00623C23">
        <w:t>adeebrehman@gmail.com)</w:t>
      </w:r>
      <w:r w:rsidR="00623C23" w:rsidRPr="00623C23">
        <w:rPr>
          <w:vertAlign w:val="superscript"/>
        </w:rPr>
        <w:t>1</w:t>
      </w:r>
      <w:r w:rsidR="00623C23">
        <w:t xml:space="preserve"> - first author</w:t>
      </w:r>
    </w:p>
    <w:p w14:paraId="7DF7A351" w14:textId="65D3C1C2" w:rsidR="00831AAC" w:rsidRDefault="00212374" w:rsidP="002241CC">
      <w:pPr>
        <w:spacing w:line="480" w:lineRule="auto"/>
      </w:pPr>
      <w:r>
        <w:t>A</w:t>
      </w:r>
      <w:r w:rsidR="00F16BA8">
        <w:t xml:space="preserve">lberto </w:t>
      </w:r>
      <w:proofErr w:type="spellStart"/>
      <w:r w:rsidR="00F16BA8">
        <w:t>Antonietti</w:t>
      </w:r>
      <w:proofErr w:type="spellEnd"/>
      <w:r w:rsidR="00F16BA8">
        <w:t xml:space="preserve"> (</w:t>
      </w:r>
      <w:r w:rsidR="00831AAC" w:rsidRPr="00831AAC">
        <w:t>alberto.antonietti@rlbuht.nhs.uk)</w:t>
      </w:r>
      <w:r w:rsidR="00831AAC" w:rsidRPr="00831AAC">
        <w:rPr>
          <w:vertAlign w:val="superscript"/>
        </w:rPr>
        <w:t>2</w:t>
      </w:r>
    </w:p>
    <w:p w14:paraId="6F536911" w14:textId="2CFA8208" w:rsidR="00831AAC" w:rsidRDefault="00212374" w:rsidP="002241CC">
      <w:pPr>
        <w:spacing w:line="480" w:lineRule="auto"/>
      </w:pPr>
      <w:r>
        <w:t>G</w:t>
      </w:r>
      <w:r w:rsidR="00D859B3">
        <w:t>irvan</w:t>
      </w:r>
      <w:r w:rsidR="00F16BA8">
        <w:t xml:space="preserve"> Burnside</w:t>
      </w:r>
      <w:r w:rsidR="009963CC">
        <w:t xml:space="preserve"> PhD</w:t>
      </w:r>
      <w:r w:rsidR="00F16BA8">
        <w:t xml:space="preserve"> (</w:t>
      </w:r>
      <w:r w:rsidR="00831AAC" w:rsidRPr="00831AAC">
        <w:t>g.burnside@liverpool.ac.uk)</w:t>
      </w:r>
      <w:r w:rsidR="00831AAC" w:rsidRPr="00831AAC">
        <w:rPr>
          <w:vertAlign w:val="superscript"/>
        </w:rPr>
        <w:t>3</w:t>
      </w:r>
    </w:p>
    <w:p w14:paraId="5FF7F046" w14:textId="0426C84B" w:rsidR="00831AAC" w:rsidRPr="00623C23" w:rsidRDefault="00212374" w:rsidP="002241CC">
      <w:pPr>
        <w:spacing w:line="480" w:lineRule="auto"/>
      </w:pPr>
      <w:r>
        <w:t>F</w:t>
      </w:r>
      <w:r w:rsidR="00F16BA8">
        <w:t xml:space="preserve">rancesco </w:t>
      </w:r>
      <w:proofErr w:type="spellStart"/>
      <w:r w:rsidR="00F16BA8">
        <w:t>Torella</w:t>
      </w:r>
      <w:proofErr w:type="spellEnd"/>
      <w:r w:rsidR="0072498E">
        <w:t xml:space="preserve"> MD FRCS</w:t>
      </w:r>
      <w:r w:rsidR="00F16BA8">
        <w:t xml:space="preserve"> (</w:t>
      </w:r>
      <w:r w:rsidR="00623C23" w:rsidRPr="00623C23">
        <w:t>f.torella@liverpool.ac.uk)</w:t>
      </w:r>
      <w:r w:rsidR="00623C23" w:rsidRPr="00623C23">
        <w:rPr>
          <w:vertAlign w:val="superscript"/>
        </w:rPr>
        <w:t>14</w:t>
      </w:r>
      <w:r w:rsidR="00623C23">
        <w:t xml:space="preserve"> - senior author</w:t>
      </w:r>
    </w:p>
    <w:p w14:paraId="36A5AA64" w14:textId="77777777" w:rsidR="0072498E" w:rsidRDefault="0072498E" w:rsidP="002241CC">
      <w:pPr>
        <w:spacing w:line="480" w:lineRule="auto"/>
        <w:rPr>
          <w:rFonts w:cs="Times New Roman"/>
        </w:rPr>
      </w:pPr>
      <w:r w:rsidRPr="00045EBD">
        <w:rPr>
          <w:rFonts w:cs="Times New Roman"/>
          <w:vertAlign w:val="superscript"/>
        </w:rPr>
        <w:t>1</w:t>
      </w:r>
      <w:r w:rsidRPr="00045EBD">
        <w:rPr>
          <w:rFonts w:cs="Times New Roman"/>
        </w:rPr>
        <w:t>Liverpool Vascular and Endovascular Service, Royal Liverpool University Hospital, Liverpool, UK</w:t>
      </w:r>
    </w:p>
    <w:p w14:paraId="4D2FBB42" w14:textId="503E7052" w:rsidR="00212374" w:rsidRDefault="00212374" w:rsidP="002241CC">
      <w:pPr>
        <w:spacing w:line="480" w:lineRule="auto"/>
        <w:rPr>
          <w:rFonts w:cs="Times New Roman"/>
        </w:rPr>
      </w:pPr>
      <w:r>
        <w:rPr>
          <w:rFonts w:cs="Times New Roman"/>
          <w:vertAlign w:val="superscript"/>
        </w:rPr>
        <w:t>2</w:t>
      </w:r>
      <w:r>
        <w:rPr>
          <w:rFonts w:cs="Times New Roman"/>
        </w:rPr>
        <w:t>Department of Radiology, Royal Liverpool University Hospital, Liverpool, UK</w:t>
      </w:r>
    </w:p>
    <w:p w14:paraId="313EC5FE" w14:textId="1DA66AD9" w:rsidR="00212374" w:rsidRDefault="00212374" w:rsidP="002241CC">
      <w:pPr>
        <w:spacing w:line="480" w:lineRule="auto"/>
        <w:rPr>
          <w:rFonts w:cs="Times New Roman"/>
        </w:rPr>
      </w:pPr>
      <w:r>
        <w:rPr>
          <w:rFonts w:cs="Times New Roman"/>
          <w:vertAlign w:val="superscript"/>
        </w:rPr>
        <w:t>3</w:t>
      </w:r>
      <w:r w:rsidR="004511F0" w:rsidRPr="004511F0">
        <w:rPr>
          <w:rFonts w:cs="Times New Roman"/>
        </w:rPr>
        <w:t>D</w:t>
      </w:r>
      <w:r w:rsidR="004511F0">
        <w:rPr>
          <w:rFonts w:cs="Times New Roman"/>
        </w:rPr>
        <w:t xml:space="preserve">epartment of Biostatistics, </w:t>
      </w:r>
      <w:r>
        <w:rPr>
          <w:rFonts w:cs="Times New Roman"/>
        </w:rPr>
        <w:t>University of Liverpool, UK</w:t>
      </w:r>
    </w:p>
    <w:p w14:paraId="0ECB0ECB" w14:textId="7F041BA9" w:rsidR="00CA4F88" w:rsidRPr="00CA4F88" w:rsidRDefault="00CA4F88" w:rsidP="002241CC">
      <w:pPr>
        <w:spacing w:line="480" w:lineRule="auto"/>
        <w:rPr>
          <w:rFonts w:cs="Times New Roman"/>
        </w:rPr>
      </w:pPr>
      <w:r>
        <w:rPr>
          <w:rFonts w:cs="Times New Roman"/>
          <w:vertAlign w:val="superscript"/>
        </w:rPr>
        <w:t>4</w:t>
      </w:r>
      <w:r>
        <w:rPr>
          <w:rFonts w:cs="Times New Roman"/>
        </w:rPr>
        <w:t>Department of Mathematical Sciences, University of Liverpool, UK</w:t>
      </w:r>
    </w:p>
    <w:p w14:paraId="10A515B2" w14:textId="77777777" w:rsidR="0072498E" w:rsidRDefault="0072498E" w:rsidP="002241CC">
      <w:pPr>
        <w:spacing w:line="480" w:lineRule="auto"/>
        <w:jc w:val="center"/>
        <w:rPr>
          <w:u w:val="single"/>
        </w:rPr>
      </w:pPr>
    </w:p>
    <w:p w14:paraId="57D8A73A" w14:textId="1DA9B677" w:rsidR="000F70B7" w:rsidRDefault="00623C23" w:rsidP="00DC2119">
      <w:pPr>
        <w:spacing w:line="480" w:lineRule="auto"/>
      </w:pPr>
      <w:r>
        <w:t>Total word count:</w:t>
      </w:r>
    </w:p>
    <w:p w14:paraId="2D94384F" w14:textId="3E4578EA" w:rsidR="000F70B7" w:rsidRDefault="008A76B9" w:rsidP="00DC2119">
      <w:pPr>
        <w:spacing w:line="480" w:lineRule="auto"/>
      </w:pPr>
      <w:r>
        <w:t>Abstract: 225 words</w:t>
      </w:r>
    </w:p>
    <w:p w14:paraId="55BFFCBA" w14:textId="0839B314" w:rsidR="000F70B7" w:rsidRDefault="00887A81" w:rsidP="00DC2119">
      <w:pPr>
        <w:spacing w:line="480" w:lineRule="auto"/>
      </w:pPr>
      <w:r>
        <w:t>Manuscript: 1188</w:t>
      </w:r>
      <w:r w:rsidR="008A76B9">
        <w:t xml:space="preserve"> words</w:t>
      </w:r>
    </w:p>
    <w:p w14:paraId="75E3206A" w14:textId="77777777" w:rsidR="008A76B9" w:rsidRDefault="008A76B9" w:rsidP="00DC2119">
      <w:pPr>
        <w:spacing w:line="480" w:lineRule="auto"/>
      </w:pPr>
      <w:r>
        <w:t xml:space="preserve">Corresponding author: </w:t>
      </w:r>
    </w:p>
    <w:p w14:paraId="77D773E5" w14:textId="639DBC9B" w:rsidR="008A76B9" w:rsidRDefault="008A76B9" w:rsidP="008A76B9">
      <w:pPr>
        <w:spacing w:line="480" w:lineRule="auto"/>
        <w:ind w:firstLine="720"/>
      </w:pPr>
      <w:proofErr w:type="spellStart"/>
      <w:r>
        <w:t>Adeeb</w:t>
      </w:r>
      <w:proofErr w:type="spellEnd"/>
      <w:r>
        <w:t xml:space="preserve"> </w:t>
      </w:r>
      <w:proofErr w:type="spellStart"/>
      <w:r>
        <w:t>Rehman</w:t>
      </w:r>
      <w:proofErr w:type="spellEnd"/>
      <w:r>
        <w:t xml:space="preserve"> (adeebrehman@gmail.com)</w:t>
      </w:r>
    </w:p>
    <w:p w14:paraId="59B96DCC" w14:textId="190DB740" w:rsidR="008A76B9" w:rsidRDefault="008A76B9" w:rsidP="008A76B9">
      <w:pPr>
        <w:spacing w:line="480" w:lineRule="auto"/>
        <w:ind w:firstLine="720"/>
      </w:pPr>
      <w:r>
        <w:t>Liverpool Vascular and Endovascular Service</w:t>
      </w:r>
    </w:p>
    <w:p w14:paraId="39B61343" w14:textId="3D59517A" w:rsidR="008A76B9" w:rsidRDefault="008A76B9" w:rsidP="008A76B9">
      <w:pPr>
        <w:spacing w:line="480" w:lineRule="auto"/>
        <w:ind w:firstLine="720"/>
      </w:pPr>
      <w:r>
        <w:t>Royal Liverpool University Hospital</w:t>
      </w:r>
    </w:p>
    <w:p w14:paraId="0AF6E91A" w14:textId="207B5CA3" w:rsidR="008A76B9" w:rsidRDefault="008A76B9" w:rsidP="008A76B9">
      <w:pPr>
        <w:spacing w:line="480" w:lineRule="auto"/>
        <w:ind w:firstLine="720"/>
      </w:pPr>
      <w:proofErr w:type="spellStart"/>
      <w:r>
        <w:t>Prescot</w:t>
      </w:r>
      <w:proofErr w:type="spellEnd"/>
      <w:r>
        <w:t xml:space="preserve"> Street</w:t>
      </w:r>
    </w:p>
    <w:p w14:paraId="269796A7" w14:textId="339563AE" w:rsidR="008A76B9" w:rsidRDefault="008A76B9" w:rsidP="008A76B9">
      <w:pPr>
        <w:spacing w:line="480" w:lineRule="auto"/>
        <w:ind w:firstLine="720"/>
      </w:pPr>
      <w:r>
        <w:t>Liverpool</w:t>
      </w:r>
    </w:p>
    <w:p w14:paraId="379D9622" w14:textId="051DCF13" w:rsidR="008A76B9" w:rsidRDefault="008A76B9" w:rsidP="008A76B9">
      <w:pPr>
        <w:spacing w:line="480" w:lineRule="auto"/>
        <w:ind w:firstLine="720"/>
        <w:rPr>
          <w:b/>
          <w:sz w:val="28"/>
          <w:szCs w:val="28"/>
          <w:u w:val="single"/>
        </w:rPr>
      </w:pPr>
      <w:r>
        <w:t>L7 8XP</w:t>
      </w:r>
    </w:p>
    <w:p w14:paraId="5D937F3A" w14:textId="77777777" w:rsidR="00DB23F6" w:rsidRDefault="00DB23F6" w:rsidP="00DC2119">
      <w:pPr>
        <w:spacing w:line="480" w:lineRule="auto"/>
        <w:rPr>
          <w:b/>
          <w:sz w:val="28"/>
          <w:szCs w:val="28"/>
          <w:u w:val="single"/>
        </w:rPr>
      </w:pPr>
    </w:p>
    <w:p w14:paraId="24519AFC" w14:textId="69B37DDA" w:rsidR="00DC2119" w:rsidRDefault="00DC2119" w:rsidP="00DC2119">
      <w:pPr>
        <w:spacing w:line="480" w:lineRule="auto"/>
        <w:rPr>
          <w:b/>
          <w:sz w:val="28"/>
          <w:szCs w:val="28"/>
          <w:u w:val="single"/>
        </w:rPr>
      </w:pPr>
      <w:r w:rsidRPr="00DC2119">
        <w:rPr>
          <w:b/>
          <w:sz w:val="28"/>
          <w:szCs w:val="28"/>
          <w:u w:val="single"/>
        </w:rPr>
        <w:lastRenderedPageBreak/>
        <w:t>ABSTRACT</w:t>
      </w:r>
    </w:p>
    <w:p w14:paraId="6FCD9F75" w14:textId="77777777" w:rsidR="000F70B7" w:rsidRPr="00DC2119" w:rsidRDefault="000F70B7" w:rsidP="00DC2119">
      <w:pPr>
        <w:spacing w:line="480" w:lineRule="auto"/>
        <w:rPr>
          <w:sz w:val="28"/>
          <w:szCs w:val="28"/>
        </w:rPr>
      </w:pPr>
    </w:p>
    <w:p w14:paraId="25EFF8E7" w14:textId="142BD136" w:rsidR="00DC2119" w:rsidRDefault="007E2D17" w:rsidP="00DC2119">
      <w:pPr>
        <w:spacing w:line="480" w:lineRule="auto"/>
      </w:pPr>
      <w:r>
        <w:rPr>
          <w:b/>
        </w:rPr>
        <w:t>Purpose</w:t>
      </w:r>
      <w:r w:rsidR="00DC2119">
        <w:rPr>
          <w:b/>
        </w:rPr>
        <w:t xml:space="preserve">: </w:t>
      </w:r>
      <w:r w:rsidR="00DC2119">
        <w:t xml:space="preserve">Computer Tomography Angiography (CTA) </w:t>
      </w:r>
      <w:proofErr w:type="gramStart"/>
      <w:r w:rsidR="00DC2119">
        <w:t>is used</w:t>
      </w:r>
      <w:proofErr w:type="gramEnd"/>
      <w:r w:rsidR="00DC2119">
        <w:t xml:space="preserve"> to assess peripheral arterial disease (PAD</w:t>
      </w:r>
      <w:r w:rsidR="00270DCA">
        <w:t>)</w:t>
      </w:r>
      <w:r w:rsidR="00DC2119">
        <w:t xml:space="preserve">. Its preference over other imaging modalities </w:t>
      </w:r>
      <w:proofErr w:type="gramStart"/>
      <w:r w:rsidR="00DC2119">
        <w:t>is based</w:t>
      </w:r>
      <w:proofErr w:type="gramEnd"/>
      <w:r w:rsidR="00DC2119">
        <w:t xml:space="preserve"> upon its rapid acquisition and high spatial resolution, along with ease of access. TASC II have recently updated their vascular lesion classification to include infra-popliteal lesions, and our aim is to assess </w:t>
      </w:r>
      <w:r w:rsidR="00926615">
        <w:t xml:space="preserve">the reproducibility of TASC II on </w:t>
      </w:r>
      <w:proofErr w:type="spellStart"/>
      <w:r w:rsidR="00926615">
        <w:t>infrapopliteal</w:t>
      </w:r>
      <w:proofErr w:type="spellEnd"/>
      <w:r w:rsidR="00926615">
        <w:t xml:space="preserve"> disease</w:t>
      </w:r>
      <w:r w:rsidR="00DC2119">
        <w:t xml:space="preserve"> when using CTA.</w:t>
      </w:r>
    </w:p>
    <w:p w14:paraId="40020B80" w14:textId="3C19D942" w:rsidR="00DC2119" w:rsidRDefault="00DC2119" w:rsidP="00DC2119">
      <w:pPr>
        <w:spacing w:line="480" w:lineRule="auto"/>
      </w:pPr>
      <w:r>
        <w:rPr>
          <w:b/>
        </w:rPr>
        <w:t>Method</w:t>
      </w:r>
      <w:r w:rsidR="007E2D17">
        <w:rPr>
          <w:b/>
        </w:rPr>
        <w:t>s</w:t>
      </w:r>
      <w:r>
        <w:rPr>
          <w:b/>
        </w:rPr>
        <w:t>:</w:t>
      </w:r>
      <w:r>
        <w:t xml:space="preserve"> </w:t>
      </w:r>
      <w:proofErr w:type="gramStart"/>
      <w:r>
        <w:t xml:space="preserve">A retrospective analysis of a series of consecutive </w:t>
      </w:r>
      <w:r w:rsidR="005D423F">
        <w:t xml:space="preserve">CTAs </w:t>
      </w:r>
      <w:r>
        <w:t>was performed</w:t>
      </w:r>
      <w:r w:rsidR="00952DD0">
        <w:t xml:space="preserve"> by</w:t>
      </w:r>
      <w:r w:rsidR="00AA7D02">
        <w:t xml:space="preserve"> s</w:t>
      </w:r>
      <w:r w:rsidR="00926615">
        <w:t xml:space="preserve">even </w:t>
      </w:r>
      <w:r>
        <w:t xml:space="preserve">assessors (3 Consultant </w:t>
      </w:r>
      <w:r w:rsidR="00926615">
        <w:t>Radiologists</w:t>
      </w:r>
      <w:r>
        <w:t>, 2 Consultant Vascular Surgeons, and 2 Vascular Specialty Trainees)</w:t>
      </w:r>
      <w:proofErr w:type="gramEnd"/>
      <w:r w:rsidR="00952DD0">
        <w:t>.</w:t>
      </w:r>
      <w:r>
        <w:t xml:space="preserve"> Each </w:t>
      </w:r>
      <w:proofErr w:type="gramStart"/>
      <w:r>
        <w:t>was asked</w:t>
      </w:r>
      <w:proofErr w:type="gramEnd"/>
      <w:r>
        <w:t xml:space="preserve"> to classify the target </w:t>
      </w:r>
      <w:r w:rsidR="005D423F">
        <w:t xml:space="preserve">vessel </w:t>
      </w:r>
      <w:r>
        <w:t xml:space="preserve">based on the TASC II classification. Statistical analysis </w:t>
      </w:r>
      <w:proofErr w:type="gramStart"/>
      <w:r>
        <w:t>was performed</w:t>
      </w:r>
      <w:proofErr w:type="gramEnd"/>
      <w:r>
        <w:t xml:space="preserve"> using Cohen’s Weighted Kappa.</w:t>
      </w:r>
    </w:p>
    <w:p w14:paraId="79FD24BF" w14:textId="689E6A88" w:rsidR="00DC2119" w:rsidRDefault="00DC2119" w:rsidP="00DC2119">
      <w:pPr>
        <w:spacing w:line="480" w:lineRule="auto"/>
      </w:pPr>
      <w:r>
        <w:rPr>
          <w:b/>
        </w:rPr>
        <w:t>Results:</w:t>
      </w:r>
      <w:r>
        <w:t xml:space="preserve"> </w:t>
      </w:r>
      <w:r w:rsidR="00C35117">
        <w:t>Seven assessors analysed 48 target vessels</w:t>
      </w:r>
      <w:r w:rsidR="005D423F">
        <w:t xml:space="preserve"> in 25 patients</w:t>
      </w:r>
      <w:r w:rsidR="00C35117">
        <w:t xml:space="preserve"> </w:t>
      </w:r>
      <w:r w:rsidR="005D423F">
        <w:t>(</w:t>
      </w:r>
      <w:r w:rsidR="00C35117">
        <w:t>20 men</w:t>
      </w:r>
      <w:r w:rsidR="005D423F">
        <w:t>)</w:t>
      </w:r>
      <w:r w:rsidR="00C35117">
        <w:t xml:space="preserve">, with a mean age of </w:t>
      </w:r>
      <w:r w:rsidR="00DA38B3">
        <w:t>72.9</w:t>
      </w:r>
      <w:r w:rsidR="00C35117">
        <w:t xml:space="preserve"> years. 20 posterior </w:t>
      </w:r>
      <w:proofErr w:type="spellStart"/>
      <w:r w:rsidR="00C35117">
        <w:t>tibial</w:t>
      </w:r>
      <w:proofErr w:type="spellEnd"/>
      <w:r w:rsidR="00C35117">
        <w:t xml:space="preserve">, 27 anterior </w:t>
      </w:r>
      <w:proofErr w:type="spellStart"/>
      <w:r w:rsidR="00C35117">
        <w:t>tibial</w:t>
      </w:r>
      <w:proofErr w:type="spellEnd"/>
      <w:r w:rsidR="00C35117">
        <w:t xml:space="preserve"> and </w:t>
      </w:r>
      <w:proofErr w:type="gramStart"/>
      <w:r w:rsidR="00C35117">
        <w:t>1</w:t>
      </w:r>
      <w:proofErr w:type="gramEnd"/>
      <w:r w:rsidR="00C35117">
        <w:t xml:space="preserve"> peroneal artery were analysed. Poor agreement </w:t>
      </w:r>
      <w:proofErr w:type="gramStart"/>
      <w:r w:rsidR="00C35117">
        <w:t>was demonstrated</w:t>
      </w:r>
      <w:proofErr w:type="gramEnd"/>
      <w:r w:rsidR="00C35117">
        <w:t xml:space="preserve"> between the two vascular consultants, with a kappa of 0.094. </w:t>
      </w:r>
      <w:r w:rsidR="007B7FDE">
        <w:t>Weak</w:t>
      </w:r>
      <w:r w:rsidR="00C35117">
        <w:t xml:space="preserve"> agreement </w:t>
      </w:r>
      <w:proofErr w:type="gramStart"/>
      <w:r w:rsidR="00C35117">
        <w:t>was</w:t>
      </w:r>
      <w:r w:rsidR="005D423F">
        <w:t xml:space="preserve"> demonstrated</w:t>
      </w:r>
      <w:proofErr w:type="gramEnd"/>
      <w:r w:rsidR="00C35117">
        <w:t xml:space="preserve"> among the radiologists, with a kappa of 0.547. </w:t>
      </w:r>
      <w:r w:rsidR="000F70B7">
        <w:t>The total group of assessors had a kappa of</w:t>
      </w:r>
      <w:r w:rsidR="00C35117">
        <w:t xml:space="preserve"> 0.176.</w:t>
      </w:r>
    </w:p>
    <w:p w14:paraId="57C90588" w14:textId="44E53BA8" w:rsidR="005D423F" w:rsidRDefault="007E2D17" w:rsidP="007F098A">
      <w:pPr>
        <w:spacing w:line="480" w:lineRule="auto"/>
      </w:pPr>
      <w:r>
        <w:rPr>
          <w:b/>
        </w:rPr>
        <w:t>Conclusion</w:t>
      </w:r>
      <w:r w:rsidR="000F70B7">
        <w:rPr>
          <w:b/>
        </w:rPr>
        <w:t>:</w:t>
      </w:r>
      <w:r w:rsidR="000F70B7">
        <w:t xml:space="preserve"> </w:t>
      </w:r>
      <w:r w:rsidR="005D423F">
        <w:t xml:space="preserve">This </w:t>
      </w:r>
      <w:r w:rsidR="000F70B7">
        <w:t xml:space="preserve">study </w:t>
      </w:r>
      <w:r w:rsidR="005D423F">
        <w:t xml:space="preserve">showed </w:t>
      </w:r>
      <w:r w:rsidR="000F70B7">
        <w:t>poor agreement between assessors when applying the TASC II classification to infra-popliteal lesions on CTA. TASC II should not be used to classify lesions</w:t>
      </w:r>
      <w:r w:rsidR="005D423F">
        <w:t>,</w:t>
      </w:r>
      <w:r w:rsidR="000F70B7">
        <w:t xml:space="preserve"> for clinical or research purposes</w:t>
      </w:r>
      <w:r w:rsidR="005D423F">
        <w:t>, with this image modality</w:t>
      </w:r>
      <w:r w:rsidR="007F098A">
        <w:t>.</w:t>
      </w:r>
    </w:p>
    <w:p w14:paraId="1C71CF43" w14:textId="77777777" w:rsidR="007F098A" w:rsidRDefault="007F098A" w:rsidP="007F098A">
      <w:pPr>
        <w:spacing w:line="480" w:lineRule="auto"/>
      </w:pPr>
    </w:p>
    <w:p w14:paraId="66068A7F" w14:textId="23FC0EEB" w:rsidR="00A210E5" w:rsidRDefault="00A210E5" w:rsidP="007F098A">
      <w:pPr>
        <w:spacing w:line="480" w:lineRule="auto"/>
      </w:pPr>
      <w:r>
        <w:t>Keywords: TASC, CTA, agreement, kappa, angioplasty</w:t>
      </w:r>
    </w:p>
    <w:p w14:paraId="1F43ACBF" w14:textId="77777777" w:rsidR="007F098A" w:rsidRPr="007F098A" w:rsidRDefault="007F098A" w:rsidP="007F098A">
      <w:pPr>
        <w:spacing w:line="480" w:lineRule="auto"/>
      </w:pPr>
    </w:p>
    <w:p w14:paraId="3C0FBDEE" w14:textId="77777777" w:rsidR="009E1D32" w:rsidRDefault="009E1D32" w:rsidP="00DC2119">
      <w:pPr>
        <w:spacing w:line="480" w:lineRule="auto"/>
        <w:rPr>
          <w:b/>
          <w:sz w:val="28"/>
          <w:szCs w:val="28"/>
          <w:u w:val="single"/>
        </w:rPr>
      </w:pPr>
    </w:p>
    <w:p w14:paraId="74EB9EED" w14:textId="6C2EBB01" w:rsidR="00DC2119" w:rsidRPr="00DC2119" w:rsidRDefault="00DC2119" w:rsidP="00DC2119">
      <w:pPr>
        <w:spacing w:line="480" w:lineRule="auto"/>
        <w:rPr>
          <w:b/>
          <w:sz w:val="28"/>
          <w:szCs w:val="28"/>
          <w:u w:val="single"/>
        </w:rPr>
      </w:pPr>
      <w:r w:rsidRPr="00DC2119">
        <w:rPr>
          <w:b/>
          <w:sz w:val="28"/>
          <w:szCs w:val="28"/>
          <w:u w:val="single"/>
        </w:rPr>
        <w:lastRenderedPageBreak/>
        <w:t>MANUSCRIPT</w:t>
      </w:r>
    </w:p>
    <w:p w14:paraId="0E3CD3C0" w14:textId="77777777" w:rsidR="00DC2119" w:rsidRPr="00DC2119" w:rsidRDefault="00DC2119" w:rsidP="00DC2119">
      <w:pPr>
        <w:spacing w:line="480" w:lineRule="auto"/>
      </w:pPr>
    </w:p>
    <w:p w14:paraId="39976A59" w14:textId="31BCF4DC" w:rsidR="00A007A0" w:rsidRPr="007E2D17" w:rsidRDefault="00A007A0" w:rsidP="002241CC">
      <w:pPr>
        <w:spacing w:line="480" w:lineRule="auto"/>
        <w:rPr>
          <w:b/>
        </w:rPr>
      </w:pPr>
      <w:r w:rsidRPr="007E2D17">
        <w:rPr>
          <w:b/>
        </w:rPr>
        <w:t>Introduction</w:t>
      </w:r>
    </w:p>
    <w:p w14:paraId="390A66C7" w14:textId="77777777" w:rsidR="00CC1C59" w:rsidRDefault="00CC1C59" w:rsidP="002241CC">
      <w:pPr>
        <w:spacing w:line="480" w:lineRule="auto"/>
      </w:pPr>
    </w:p>
    <w:p w14:paraId="55F2C09C" w14:textId="330E26C5" w:rsidR="00A5567A" w:rsidRPr="00DA6800" w:rsidRDefault="00A5567A" w:rsidP="00A5567A">
      <w:pPr>
        <w:spacing w:line="480" w:lineRule="auto"/>
      </w:pPr>
      <w:r>
        <w:t xml:space="preserve">Multi-detector Computer Tomography Angiography (CTA) is used to assess peripheral arterial disease (PAD) prior to intervention, and for treatment planning, case performance and bypass graft or stent surveillance. CTA is often preferred over other imaging modalities as it </w:t>
      </w:r>
      <w:r w:rsidR="00221076">
        <w:t>is quick to obtain (10-15 minutes), allows multi-planar reconstruction,</w:t>
      </w:r>
      <w:r w:rsidR="00407A4E">
        <w:t xml:space="preserve"> acquisition speeds of 3</w:t>
      </w:r>
      <w:r w:rsidR="007777E2">
        <w:t xml:space="preserve">0mm/sec and more, </w:t>
      </w:r>
      <w:r w:rsidR="00E833DE">
        <w:t>and is</w:t>
      </w:r>
      <w:r w:rsidR="00460E18">
        <w:t xml:space="preserve"> an accurate non-invasive diagnostic study </w:t>
      </w:r>
      <w:r w:rsidR="009C2E93">
        <w:rPr>
          <w:vertAlign w:val="superscript"/>
        </w:rPr>
        <w:t>(1</w:t>
      </w:r>
      <w:r w:rsidRPr="00B64D8C">
        <w:rPr>
          <w:vertAlign w:val="superscript"/>
        </w:rPr>
        <w:t>)</w:t>
      </w:r>
      <w:r>
        <w:t xml:space="preserve">.  A meta-analysis of comparative studies showed 95% sensitivity and 91% specificity in detection of &gt;50% stenosis or occlusion in </w:t>
      </w:r>
      <w:proofErr w:type="spellStart"/>
      <w:r>
        <w:t>tibial</w:t>
      </w:r>
      <w:proofErr w:type="spellEnd"/>
      <w:r>
        <w:t xml:space="preserve"> artery disease </w:t>
      </w:r>
      <w:r w:rsidR="009C2E93">
        <w:rPr>
          <w:vertAlign w:val="superscript"/>
        </w:rPr>
        <w:t>(2</w:t>
      </w:r>
      <w:r>
        <w:rPr>
          <w:vertAlign w:val="superscript"/>
        </w:rPr>
        <w:t>)</w:t>
      </w:r>
      <w:r>
        <w:t>. A</w:t>
      </w:r>
      <w:r w:rsidR="005D423F">
        <w:t>nother</w:t>
      </w:r>
      <w:r>
        <w:t xml:space="preserve"> review concluded that CTA has high diagnostic performance in evaluating PAD, but also noted the limitations in lumen evaluation of extensive calcified arteries, and that CTA is often less valuable in critical limb ischaemia due to extensive </w:t>
      </w:r>
      <w:proofErr w:type="spellStart"/>
      <w:r>
        <w:t>crural</w:t>
      </w:r>
      <w:proofErr w:type="spellEnd"/>
      <w:r>
        <w:t xml:space="preserve"> artery calcifications </w:t>
      </w:r>
      <w:r w:rsidR="009C2E93">
        <w:rPr>
          <w:vertAlign w:val="superscript"/>
        </w:rPr>
        <w:t>(3</w:t>
      </w:r>
      <w:r w:rsidRPr="00494D1D">
        <w:rPr>
          <w:vertAlign w:val="superscript"/>
        </w:rPr>
        <w:t>)</w:t>
      </w:r>
      <w:r>
        <w:t>.</w:t>
      </w:r>
    </w:p>
    <w:p w14:paraId="4DAE0933" w14:textId="267138B2" w:rsidR="00A5567A" w:rsidRDefault="00A5567A" w:rsidP="00A5567A">
      <w:pPr>
        <w:spacing w:line="480" w:lineRule="auto"/>
      </w:pPr>
      <w:r>
        <w:t xml:space="preserve">TASC II have recently updated their vascular lesion classification to include below-the-knee arteries </w:t>
      </w:r>
      <w:r w:rsidR="009C2E93">
        <w:rPr>
          <w:vertAlign w:val="superscript"/>
        </w:rPr>
        <w:t>(4</w:t>
      </w:r>
      <w:r w:rsidRPr="007C5182">
        <w:rPr>
          <w:vertAlign w:val="superscript"/>
        </w:rPr>
        <w:t>)</w:t>
      </w:r>
      <w:r>
        <w:t xml:space="preserve">. </w:t>
      </w:r>
    </w:p>
    <w:p w14:paraId="18681A3E" w14:textId="77777777" w:rsidR="008D24EA" w:rsidRDefault="008D24EA" w:rsidP="00A5567A">
      <w:pPr>
        <w:spacing w:line="480" w:lineRule="auto"/>
      </w:pPr>
    </w:p>
    <w:p w14:paraId="4FCBBBDC" w14:textId="3EA48864" w:rsidR="00A5567A" w:rsidRDefault="00A5567A" w:rsidP="00A5567A">
      <w:pPr>
        <w:spacing w:line="480" w:lineRule="auto"/>
      </w:pPr>
      <w:r>
        <w:t xml:space="preserve">The aim of this study was to investigate the reproducibility of TASC II for </w:t>
      </w:r>
      <w:proofErr w:type="spellStart"/>
      <w:r>
        <w:t>tibial</w:t>
      </w:r>
      <w:proofErr w:type="spellEnd"/>
      <w:r>
        <w:t xml:space="preserve"> artery disease, when assess</w:t>
      </w:r>
      <w:r w:rsidR="00E6760B">
        <w:t>e</w:t>
      </w:r>
      <w:r>
        <w:t>d by CTA.</w:t>
      </w:r>
    </w:p>
    <w:p w14:paraId="04CE5E5A" w14:textId="77777777" w:rsidR="000F70B7" w:rsidRDefault="000F70B7" w:rsidP="002241CC">
      <w:pPr>
        <w:spacing w:line="480" w:lineRule="auto"/>
        <w:rPr>
          <w:rFonts w:cstheme="minorHAnsi"/>
          <w:b/>
          <w:u w:val="single"/>
        </w:rPr>
      </w:pPr>
    </w:p>
    <w:p w14:paraId="4A218D57" w14:textId="77777777" w:rsidR="002241CC" w:rsidRPr="007E2D17" w:rsidRDefault="002241CC" w:rsidP="002241CC">
      <w:pPr>
        <w:spacing w:line="480" w:lineRule="auto"/>
        <w:rPr>
          <w:rFonts w:cstheme="minorHAnsi"/>
          <w:b/>
        </w:rPr>
      </w:pPr>
      <w:r w:rsidRPr="007E2D17">
        <w:rPr>
          <w:rFonts w:cstheme="minorHAnsi"/>
          <w:b/>
        </w:rPr>
        <w:t>Methods</w:t>
      </w:r>
    </w:p>
    <w:p w14:paraId="51010003" w14:textId="77777777" w:rsidR="004F7604" w:rsidRDefault="004F7604" w:rsidP="002241CC">
      <w:pPr>
        <w:spacing w:line="480" w:lineRule="auto"/>
        <w:rPr>
          <w:rFonts w:cstheme="minorHAnsi"/>
        </w:rPr>
      </w:pPr>
    </w:p>
    <w:p w14:paraId="04383207" w14:textId="6FD22C27" w:rsidR="002241CC" w:rsidRDefault="002241CC" w:rsidP="002241CC">
      <w:pPr>
        <w:spacing w:line="480" w:lineRule="auto"/>
        <w:rPr>
          <w:rFonts w:cstheme="minorHAnsi"/>
        </w:rPr>
      </w:pPr>
      <w:r>
        <w:rPr>
          <w:rFonts w:cstheme="minorHAnsi"/>
        </w:rPr>
        <w:t>We performed a retrospective analysis of</w:t>
      </w:r>
      <w:r w:rsidR="004F7604">
        <w:rPr>
          <w:rFonts w:cstheme="minorHAnsi"/>
        </w:rPr>
        <w:t xml:space="preserve"> a series of </w:t>
      </w:r>
      <w:r w:rsidR="005D423F">
        <w:rPr>
          <w:rFonts w:cstheme="minorHAnsi"/>
        </w:rPr>
        <w:t xml:space="preserve">CTAs </w:t>
      </w:r>
      <w:r w:rsidR="004F7604">
        <w:rPr>
          <w:rFonts w:cstheme="minorHAnsi"/>
        </w:rPr>
        <w:t>on</w:t>
      </w:r>
      <w:r>
        <w:rPr>
          <w:rFonts w:cstheme="minorHAnsi"/>
        </w:rPr>
        <w:t xml:space="preserve"> consecutive patients </w:t>
      </w:r>
      <w:r w:rsidR="005D423F">
        <w:rPr>
          <w:rFonts w:cstheme="minorHAnsi"/>
        </w:rPr>
        <w:t>who, late</w:t>
      </w:r>
      <w:r w:rsidR="00575AE1">
        <w:rPr>
          <w:rFonts w:cstheme="minorHAnsi"/>
        </w:rPr>
        <w:t>r</w:t>
      </w:r>
      <w:r w:rsidR="005D423F">
        <w:rPr>
          <w:rFonts w:cstheme="minorHAnsi"/>
        </w:rPr>
        <w:t>, underwent percutaneous</w:t>
      </w:r>
      <w:r w:rsidR="00575AE1">
        <w:rPr>
          <w:rFonts w:cstheme="minorHAnsi"/>
        </w:rPr>
        <w:t xml:space="preserve"> </w:t>
      </w:r>
      <w:r w:rsidR="005D423F">
        <w:rPr>
          <w:rFonts w:cstheme="minorHAnsi"/>
        </w:rPr>
        <w:t xml:space="preserve">intervention for </w:t>
      </w:r>
      <w:proofErr w:type="spellStart"/>
      <w:r w:rsidR="005D423F">
        <w:rPr>
          <w:rFonts w:cstheme="minorHAnsi"/>
        </w:rPr>
        <w:t>tibial</w:t>
      </w:r>
      <w:proofErr w:type="spellEnd"/>
      <w:r w:rsidR="005D423F">
        <w:rPr>
          <w:rFonts w:cstheme="minorHAnsi"/>
        </w:rPr>
        <w:t xml:space="preserve"> artery disease at our </w:t>
      </w:r>
      <w:r>
        <w:rPr>
          <w:rFonts w:cstheme="minorHAnsi"/>
        </w:rPr>
        <w:t xml:space="preserve">centre. </w:t>
      </w:r>
      <w:r w:rsidR="006E323B">
        <w:rPr>
          <w:rFonts w:cstheme="minorHAnsi"/>
        </w:rPr>
        <w:t>W</w:t>
      </w:r>
      <w:r>
        <w:rPr>
          <w:rFonts w:cstheme="minorHAnsi"/>
        </w:rPr>
        <w:t xml:space="preserve">e asked </w:t>
      </w:r>
      <w:proofErr w:type="gramStart"/>
      <w:r>
        <w:rPr>
          <w:rFonts w:cstheme="minorHAnsi"/>
        </w:rPr>
        <w:lastRenderedPageBreak/>
        <w:t>7</w:t>
      </w:r>
      <w:proofErr w:type="gramEnd"/>
      <w:r>
        <w:rPr>
          <w:rFonts w:cstheme="minorHAnsi"/>
        </w:rPr>
        <w:t xml:space="preserve"> assessors </w:t>
      </w:r>
      <w:r w:rsidR="004F7604">
        <w:rPr>
          <w:rFonts w:cstheme="minorHAnsi"/>
        </w:rPr>
        <w:t xml:space="preserve">to view each scan, and classify </w:t>
      </w:r>
      <w:proofErr w:type="spellStart"/>
      <w:r w:rsidR="00952DD0">
        <w:rPr>
          <w:rFonts w:cstheme="minorHAnsi"/>
        </w:rPr>
        <w:t>tibial</w:t>
      </w:r>
      <w:proofErr w:type="spellEnd"/>
      <w:r w:rsidR="00952DD0">
        <w:rPr>
          <w:rFonts w:cstheme="minorHAnsi"/>
        </w:rPr>
        <w:t xml:space="preserve"> artery lesions </w:t>
      </w:r>
      <w:r w:rsidR="004F7604">
        <w:rPr>
          <w:rFonts w:cstheme="minorHAnsi"/>
        </w:rPr>
        <w:t xml:space="preserve">according to TASC II. </w:t>
      </w:r>
      <w:r w:rsidR="00926615">
        <w:rPr>
          <w:rFonts w:cstheme="minorHAnsi"/>
        </w:rPr>
        <w:t>As, ideally, ease of c</w:t>
      </w:r>
      <w:r w:rsidR="004F7604">
        <w:rPr>
          <w:rFonts w:cstheme="minorHAnsi"/>
        </w:rPr>
        <w:t xml:space="preserve">lassifications should be consistent across </w:t>
      </w:r>
      <w:r w:rsidR="00926615">
        <w:rPr>
          <w:rFonts w:cstheme="minorHAnsi"/>
        </w:rPr>
        <w:t>a range of</w:t>
      </w:r>
      <w:r w:rsidR="004F7604">
        <w:rPr>
          <w:rFonts w:cstheme="minorHAnsi"/>
        </w:rPr>
        <w:t xml:space="preserve"> abilities</w:t>
      </w:r>
      <w:r w:rsidR="00926615">
        <w:rPr>
          <w:rFonts w:cstheme="minorHAnsi"/>
        </w:rPr>
        <w:t>,</w:t>
      </w:r>
      <w:r w:rsidR="004F7604">
        <w:rPr>
          <w:rFonts w:cstheme="minorHAnsi"/>
        </w:rPr>
        <w:t xml:space="preserve"> we included experienced consultant vascular surgeons and radiologists, and less experienced vascular trainee surgeons.</w:t>
      </w:r>
    </w:p>
    <w:p w14:paraId="049162E5" w14:textId="77777777" w:rsidR="002241CC" w:rsidRPr="0057115A" w:rsidRDefault="002241CC" w:rsidP="002241CC">
      <w:pPr>
        <w:spacing w:line="480" w:lineRule="auto"/>
        <w:rPr>
          <w:rFonts w:cstheme="minorHAnsi"/>
        </w:rPr>
      </w:pPr>
    </w:p>
    <w:p w14:paraId="7AE3EDD6" w14:textId="48E0DB69" w:rsidR="002241CC" w:rsidRPr="007E2D17" w:rsidRDefault="007E2D17" w:rsidP="002241CC">
      <w:pPr>
        <w:spacing w:line="480" w:lineRule="auto"/>
        <w:rPr>
          <w:rFonts w:cstheme="minorHAnsi"/>
          <w:i/>
        </w:rPr>
      </w:pPr>
      <w:r>
        <w:rPr>
          <w:rFonts w:cstheme="minorHAnsi"/>
          <w:i/>
        </w:rPr>
        <w:t>Patients</w:t>
      </w:r>
    </w:p>
    <w:p w14:paraId="79D3B6B1" w14:textId="77777777" w:rsidR="002241CC" w:rsidRPr="00651629" w:rsidRDefault="002241CC" w:rsidP="002241CC">
      <w:pPr>
        <w:spacing w:line="480" w:lineRule="auto"/>
        <w:rPr>
          <w:rFonts w:cstheme="minorHAnsi"/>
        </w:rPr>
      </w:pPr>
    </w:p>
    <w:p w14:paraId="328050AC" w14:textId="3CDF8E8D" w:rsidR="00F412A4" w:rsidRDefault="0027297A" w:rsidP="002241CC">
      <w:pPr>
        <w:spacing w:line="480" w:lineRule="auto"/>
        <w:rPr>
          <w:rFonts w:cstheme="minorHAnsi"/>
        </w:rPr>
      </w:pPr>
      <w:r>
        <w:rPr>
          <w:rFonts w:cstheme="minorHAnsi"/>
        </w:rPr>
        <w:t xml:space="preserve">Infra-popliteal CTAs of </w:t>
      </w:r>
      <w:r w:rsidR="005D423F">
        <w:rPr>
          <w:rFonts w:cstheme="minorHAnsi"/>
        </w:rPr>
        <w:t>39</w:t>
      </w:r>
      <w:r>
        <w:rPr>
          <w:rFonts w:cstheme="minorHAnsi"/>
        </w:rPr>
        <w:t xml:space="preserve"> patients, who underwent </w:t>
      </w:r>
      <w:proofErr w:type="spellStart"/>
      <w:r>
        <w:rPr>
          <w:rFonts w:cstheme="minorHAnsi"/>
        </w:rPr>
        <w:t>tibial</w:t>
      </w:r>
      <w:proofErr w:type="spellEnd"/>
      <w:r>
        <w:rPr>
          <w:rFonts w:cstheme="minorHAnsi"/>
        </w:rPr>
        <w:t xml:space="preserve"> angioplasty between May 2014 and May 2015,</w:t>
      </w:r>
      <w:r w:rsidR="002241CC" w:rsidRPr="00651629">
        <w:rPr>
          <w:rFonts w:cstheme="minorHAnsi"/>
        </w:rPr>
        <w:t xml:space="preserve"> </w:t>
      </w:r>
      <w:proofErr w:type="gramStart"/>
      <w:r w:rsidR="002241CC" w:rsidRPr="00651629">
        <w:rPr>
          <w:rFonts w:cstheme="minorHAnsi"/>
        </w:rPr>
        <w:t>were retrieved</w:t>
      </w:r>
      <w:proofErr w:type="gramEnd"/>
      <w:r w:rsidR="002241CC" w:rsidRPr="00651629">
        <w:rPr>
          <w:rFonts w:cstheme="minorHAnsi"/>
        </w:rPr>
        <w:t xml:space="preserve"> from the institutional digital imaging system.</w:t>
      </w:r>
      <w:r w:rsidR="002241CC">
        <w:rPr>
          <w:rFonts w:cstheme="minorHAnsi"/>
        </w:rPr>
        <w:t xml:space="preserve"> </w:t>
      </w:r>
      <w:r w:rsidR="005D423F">
        <w:rPr>
          <w:rFonts w:cstheme="minorHAnsi"/>
        </w:rPr>
        <w:t xml:space="preserve">We excluded </w:t>
      </w:r>
      <w:proofErr w:type="gramStart"/>
      <w:r w:rsidR="005D423F">
        <w:rPr>
          <w:rFonts w:cstheme="minorHAnsi"/>
        </w:rPr>
        <w:t>9</w:t>
      </w:r>
      <w:proofErr w:type="gramEnd"/>
      <w:r w:rsidR="005D423F">
        <w:rPr>
          <w:rFonts w:cstheme="minorHAnsi"/>
        </w:rPr>
        <w:t xml:space="preserve"> because of</w:t>
      </w:r>
      <w:r w:rsidR="002241CC">
        <w:rPr>
          <w:rFonts w:cstheme="minorHAnsi"/>
        </w:rPr>
        <w:t xml:space="preserve"> </w:t>
      </w:r>
      <w:r w:rsidR="00A842EC">
        <w:rPr>
          <w:rFonts w:cstheme="minorHAnsi"/>
        </w:rPr>
        <w:t xml:space="preserve">severe </w:t>
      </w:r>
      <w:r w:rsidR="002241CC">
        <w:rPr>
          <w:rFonts w:cstheme="minorHAnsi"/>
        </w:rPr>
        <w:t>calcification of</w:t>
      </w:r>
      <w:r w:rsidR="00A842EC">
        <w:rPr>
          <w:rFonts w:cstheme="minorHAnsi"/>
        </w:rPr>
        <w:t xml:space="preserve"> the</w:t>
      </w:r>
      <w:r w:rsidR="002241CC">
        <w:rPr>
          <w:rFonts w:cstheme="minorHAnsi"/>
        </w:rPr>
        <w:t xml:space="preserve"> vessel</w:t>
      </w:r>
      <w:r w:rsidR="005D423F">
        <w:rPr>
          <w:rFonts w:cstheme="minorHAnsi"/>
        </w:rPr>
        <w:t>s</w:t>
      </w:r>
      <w:r w:rsidR="002241CC">
        <w:rPr>
          <w:rFonts w:cstheme="minorHAnsi"/>
        </w:rPr>
        <w:t xml:space="preserve"> which precluded analysis</w:t>
      </w:r>
      <w:r w:rsidR="00F412A4">
        <w:rPr>
          <w:rFonts w:cstheme="minorHAnsi"/>
        </w:rPr>
        <w:t xml:space="preserve">, </w:t>
      </w:r>
      <w:r w:rsidR="00A842EC">
        <w:rPr>
          <w:rFonts w:cstheme="minorHAnsi"/>
        </w:rPr>
        <w:t>as determined by a</w:t>
      </w:r>
      <w:r w:rsidR="0064465F">
        <w:rPr>
          <w:rFonts w:cstheme="minorHAnsi"/>
        </w:rPr>
        <w:t xml:space="preserve"> </w:t>
      </w:r>
      <w:r w:rsidR="00A842EC">
        <w:rPr>
          <w:rFonts w:cstheme="minorHAnsi"/>
        </w:rPr>
        <w:t>consultant radiologist</w:t>
      </w:r>
      <w:r w:rsidR="005D423F">
        <w:rPr>
          <w:rFonts w:cstheme="minorHAnsi"/>
        </w:rPr>
        <w:t xml:space="preserve"> external to the study</w:t>
      </w:r>
      <w:r w:rsidR="008F1842">
        <w:rPr>
          <w:rFonts w:cstheme="minorHAnsi"/>
        </w:rPr>
        <w:t xml:space="preserve"> </w:t>
      </w:r>
      <w:r w:rsidR="008F1842">
        <w:rPr>
          <w:rFonts w:cstheme="minorHAnsi"/>
          <w:vertAlign w:val="superscript"/>
        </w:rPr>
        <w:t>(5)</w:t>
      </w:r>
      <w:r w:rsidR="002241CC">
        <w:rPr>
          <w:rFonts w:cstheme="minorHAnsi"/>
        </w:rPr>
        <w:t>.</w:t>
      </w:r>
      <w:r w:rsidR="002241CC" w:rsidRPr="00651629">
        <w:rPr>
          <w:rFonts w:cstheme="minorHAnsi"/>
        </w:rPr>
        <w:t xml:space="preserve"> </w:t>
      </w:r>
    </w:p>
    <w:p w14:paraId="15282CE5" w14:textId="7FA3B02C" w:rsidR="002241CC" w:rsidRDefault="002241CC" w:rsidP="002241CC">
      <w:pPr>
        <w:spacing w:line="480" w:lineRule="auto"/>
        <w:rPr>
          <w:rFonts w:cstheme="minorHAnsi"/>
        </w:rPr>
      </w:pPr>
      <w:r>
        <w:rPr>
          <w:rFonts w:cstheme="minorHAnsi"/>
        </w:rPr>
        <w:t>Scanners were either dual source with 256-slice data acquisition, or single source with 64-slice data acquisition (</w:t>
      </w:r>
      <w:r w:rsidR="005628EB">
        <w:rPr>
          <w:rFonts w:cstheme="minorHAnsi"/>
        </w:rPr>
        <w:t xml:space="preserve">SOMATOM CT scanner, </w:t>
      </w:r>
      <w:r>
        <w:rPr>
          <w:rFonts w:cstheme="minorHAnsi"/>
        </w:rPr>
        <w:t>Siemens,</w:t>
      </w:r>
      <w:r w:rsidR="005628EB">
        <w:rPr>
          <w:rFonts w:cstheme="minorHAnsi"/>
        </w:rPr>
        <w:t xml:space="preserve"> Berlin,</w:t>
      </w:r>
      <w:r>
        <w:rPr>
          <w:rFonts w:cstheme="minorHAnsi"/>
        </w:rPr>
        <w:t xml:space="preserve"> Germany).</w:t>
      </w:r>
    </w:p>
    <w:p w14:paraId="414F144C" w14:textId="54EE617D" w:rsidR="002241CC" w:rsidRDefault="002241CC" w:rsidP="002241CC">
      <w:pPr>
        <w:spacing w:line="480" w:lineRule="auto"/>
        <w:rPr>
          <w:rFonts w:cstheme="minorHAnsi"/>
        </w:rPr>
      </w:pPr>
      <w:r w:rsidRPr="00651629">
        <w:rPr>
          <w:rFonts w:cstheme="minorHAnsi"/>
        </w:rPr>
        <w:t xml:space="preserve">Each scan </w:t>
      </w:r>
      <w:proofErr w:type="gramStart"/>
      <w:r>
        <w:rPr>
          <w:rFonts w:cstheme="minorHAnsi"/>
        </w:rPr>
        <w:t xml:space="preserve">was </w:t>
      </w:r>
      <w:r w:rsidRPr="00651629">
        <w:rPr>
          <w:rFonts w:cstheme="minorHAnsi"/>
        </w:rPr>
        <w:t>performed</w:t>
      </w:r>
      <w:proofErr w:type="gramEnd"/>
      <w:r w:rsidRPr="00651629">
        <w:rPr>
          <w:rFonts w:cstheme="minorHAnsi"/>
        </w:rPr>
        <w:t xml:space="preserve"> using a standard protocol</w:t>
      </w:r>
      <w:r>
        <w:rPr>
          <w:rFonts w:cstheme="minorHAnsi"/>
        </w:rPr>
        <w:t>. The scan window was from the aortic bifurcation to the feet with a monitoring slice performed at the level of the mid abdominal a</w:t>
      </w:r>
      <w:r w:rsidR="00F55112">
        <w:rPr>
          <w:rFonts w:cstheme="minorHAnsi"/>
        </w:rPr>
        <w:t xml:space="preserve">orta. A bolus of 100mls of </w:t>
      </w:r>
      <w:proofErr w:type="spellStart"/>
      <w:r w:rsidR="00F55112">
        <w:rPr>
          <w:rFonts w:cstheme="minorHAnsi"/>
        </w:rPr>
        <w:t>Opti</w:t>
      </w:r>
      <w:r>
        <w:rPr>
          <w:rFonts w:cstheme="minorHAnsi"/>
        </w:rPr>
        <w:t>ray</w:t>
      </w:r>
      <w:proofErr w:type="spellEnd"/>
      <w:r>
        <w:rPr>
          <w:rFonts w:cstheme="minorHAnsi"/>
        </w:rPr>
        <w:t xml:space="preserve"> 300 (</w:t>
      </w:r>
      <w:proofErr w:type="spellStart"/>
      <w:r>
        <w:rPr>
          <w:rFonts w:cstheme="minorHAnsi"/>
        </w:rPr>
        <w:t>ioversol</w:t>
      </w:r>
      <w:proofErr w:type="spellEnd"/>
      <w:r>
        <w:rPr>
          <w:rFonts w:cstheme="minorHAnsi"/>
        </w:rPr>
        <w:t xml:space="preserve">) </w:t>
      </w:r>
      <w:proofErr w:type="gramStart"/>
      <w:r w:rsidR="00CA4F88">
        <w:rPr>
          <w:rFonts w:cstheme="minorHAnsi"/>
        </w:rPr>
        <w:t>wa</w:t>
      </w:r>
      <w:r>
        <w:rPr>
          <w:rFonts w:cstheme="minorHAnsi"/>
        </w:rPr>
        <w:t>s administered</w:t>
      </w:r>
      <w:proofErr w:type="gramEnd"/>
      <w:r>
        <w:rPr>
          <w:rFonts w:cstheme="minorHAnsi"/>
        </w:rPr>
        <w:t xml:space="preserve"> via a 4-5mls/sec pump injection</w:t>
      </w:r>
      <w:r w:rsidR="00F55112">
        <w:rPr>
          <w:rFonts w:cstheme="minorHAnsi"/>
        </w:rPr>
        <w:t xml:space="preserve"> (</w:t>
      </w:r>
      <w:proofErr w:type="spellStart"/>
      <w:r w:rsidR="00F55112">
        <w:rPr>
          <w:rFonts w:cstheme="minorHAnsi"/>
        </w:rPr>
        <w:t>Liebel-Flarsheim</w:t>
      </w:r>
      <w:proofErr w:type="spellEnd"/>
      <w:r w:rsidR="00F55112">
        <w:rPr>
          <w:rFonts w:cstheme="minorHAnsi"/>
        </w:rPr>
        <w:t>, Ohio, USA)</w:t>
      </w:r>
      <w:r>
        <w:rPr>
          <w:rFonts w:cstheme="minorHAnsi"/>
        </w:rPr>
        <w:t>, with a 15 second monitoring delay,</w:t>
      </w:r>
      <w:r w:rsidR="00F55112">
        <w:rPr>
          <w:rFonts w:cstheme="minorHAnsi"/>
        </w:rPr>
        <w:t xml:space="preserve"> followed by a triggered start</w:t>
      </w:r>
      <w:r>
        <w:rPr>
          <w:rFonts w:cstheme="minorHAnsi"/>
        </w:rPr>
        <w:t xml:space="preserve">. </w:t>
      </w:r>
      <w:r w:rsidR="00926615">
        <w:rPr>
          <w:rFonts w:cstheme="minorHAnsi"/>
        </w:rPr>
        <w:t xml:space="preserve">Two mm </w:t>
      </w:r>
      <w:r w:rsidR="00F55112">
        <w:rPr>
          <w:rFonts w:cstheme="minorHAnsi"/>
        </w:rPr>
        <w:t xml:space="preserve">thick, with 2mm increment slices </w:t>
      </w:r>
      <w:proofErr w:type="gramStart"/>
      <w:r w:rsidR="00926615">
        <w:rPr>
          <w:rFonts w:cstheme="minorHAnsi"/>
        </w:rPr>
        <w:t xml:space="preserve">were </w:t>
      </w:r>
      <w:r>
        <w:rPr>
          <w:rFonts w:cstheme="minorHAnsi"/>
        </w:rPr>
        <w:t>performed</w:t>
      </w:r>
      <w:proofErr w:type="gramEnd"/>
      <w:r>
        <w:rPr>
          <w:rFonts w:cstheme="minorHAnsi"/>
        </w:rPr>
        <w:t>.</w:t>
      </w:r>
    </w:p>
    <w:p w14:paraId="40951A6C" w14:textId="77777777" w:rsidR="00AA6505" w:rsidRDefault="00AA6505" w:rsidP="002241CC">
      <w:pPr>
        <w:spacing w:line="480" w:lineRule="auto"/>
        <w:rPr>
          <w:rFonts w:cstheme="minorHAnsi"/>
        </w:rPr>
      </w:pPr>
    </w:p>
    <w:p w14:paraId="11CA8FEA" w14:textId="52ABF062" w:rsidR="002241CC" w:rsidRPr="00AA6505" w:rsidRDefault="001B6979" w:rsidP="002241CC">
      <w:pPr>
        <w:spacing w:line="480" w:lineRule="auto"/>
        <w:rPr>
          <w:rFonts w:cstheme="minorHAnsi"/>
        </w:rPr>
      </w:pPr>
      <w:r>
        <w:rPr>
          <w:rFonts w:cstheme="minorHAnsi"/>
        </w:rPr>
        <w:t>In one limb, t</w:t>
      </w:r>
      <w:r w:rsidR="00AA6505">
        <w:rPr>
          <w:rFonts w:cstheme="minorHAnsi"/>
        </w:rPr>
        <w:t xml:space="preserve">he target vessels were </w:t>
      </w:r>
      <w:r w:rsidR="005D423F">
        <w:rPr>
          <w:rFonts w:cstheme="minorHAnsi"/>
        </w:rPr>
        <w:t>those that,</w:t>
      </w:r>
      <w:r w:rsidR="00AA6505">
        <w:rPr>
          <w:rFonts w:cstheme="minorHAnsi"/>
        </w:rPr>
        <w:t xml:space="preserve"> later</w:t>
      </w:r>
      <w:r w:rsidR="005D423F">
        <w:rPr>
          <w:rFonts w:cstheme="minorHAnsi"/>
        </w:rPr>
        <w:t>,</w:t>
      </w:r>
      <w:r w:rsidR="00AA6505">
        <w:rPr>
          <w:rFonts w:cstheme="minorHAnsi"/>
        </w:rPr>
        <w:t xml:space="preserve"> </w:t>
      </w:r>
      <w:proofErr w:type="gramStart"/>
      <w:r w:rsidR="005D423F">
        <w:rPr>
          <w:rFonts w:cstheme="minorHAnsi"/>
        </w:rPr>
        <w:t>were chosen</w:t>
      </w:r>
      <w:proofErr w:type="gramEnd"/>
      <w:r w:rsidR="005D423F">
        <w:rPr>
          <w:rFonts w:cstheme="minorHAnsi"/>
        </w:rPr>
        <w:t xml:space="preserve"> as targets for</w:t>
      </w:r>
      <w:r w:rsidR="00AA6505">
        <w:rPr>
          <w:rFonts w:cstheme="minorHAnsi"/>
        </w:rPr>
        <w:t xml:space="preserve"> angioplast</w:t>
      </w:r>
      <w:r w:rsidR="00713FA5">
        <w:rPr>
          <w:rFonts w:cstheme="minorHAnsi"/>
        </w:rPr>
        <w:t xml:space="preserve">y. In the contralateral limb, </w:t>
      </w:r>
      <w:r w:rsidR="00952DD0">
        <w:rPr>
          <w:rFonts w:cstheme="minorHAnsi"/>
        </w:rPr>
        <w:t xml:space="preserve">the </w:t>
      </w:r>
      <w:proofErr w:type="gramStart"/>
      <w:r w:rsidR="00952DD0">
        <w:rPr>
          <w:rFonts w:cstheme="minorHAnsi"/>
        </w:rPr>
        <w:t xml:space="preserve">target vessel </w:t>
      </w:r>
      <w:r w:rsidR="00713FA5">
        <w:rPr>
          <w:rFonts w:cstheme="minorHAnsi"/>
        </w:rPr>
        <w:t>was chosen</w:t>
      </w:r>
      <w:r w:rsidR="00451375">
        <w:rPr>
          <w:rFonts w:cstheme="minorHAnsi"/>
        </w:rPr>
        <w:t xml:space="preserve">, by the </w:t>
      </w:r>
      <w:r w:rsidR="00952DD0">
        <w:rPr>
          <w:rFonts w:cstheme="minorHAnsi"/>
        </w:rPr>
        <w:t xml:space="preserve">first </w:t>
      </w:r>
      <w:r w:rsidR="00451375">
        <w:rPr>
          <w:rFonts w:cstheme="minorHAnsi"/>
        </w:rPr>
        <w:t>author,</w:t>
      </w:r>
      <w:r w:rsidR="00E2691C">
        <w:rPr>
          <w:rFonts w:cstheme="minorHAnsi"/>
        </w:rPr>
        <w:t xml:space="preserve"> as the most diseased of the three</w:t>
      </w:r>
      <w:proofErr w:type="gramEnd"/>
      <w:r w:rsidR="00012BFC">
        <w:rPr>
          <w:rFonts w:cstheme="minorHAnsi"/>
        </w:rPr>
        <w:t>.</w:t>
      </w:r>
      <w:r w:rsidR="00713FA5" w:rsidRPr="00AA6505">
        <w:rPr>
          <w:rFonts w:cstheme="minorHAnsi"/>
        </w:rPr>
        <w:t xml:space="preserve"> </w:t>
      </w:r>
      <w:r w:rsidR="001F55D4">
        <w:rPr>
          <w:rFonts w:cstheme="minorHAnsi"/>
        </w:rPr>
        <w:t xml:space="preserve">The target vessels </w:t>
      </w:r>
      <w:proofErr w:type="gramStart"/>
      <w:r w:rsidR="001F55D4">
        <w:rPr>
          <w:rFonts w:cstheme="minorHAnsi"/>
        </w:rPr>
        <w:t>were clearly conveyed</w:t>
      </w:r>
      <w:proofErr w:type="gramEnd"/>
      <w:r w:rsidR="001F55D4">
        <w:rPr>
          <w:rFonts w:cstheme="minorHAnsi"/>
        </w:rPr>
        <w:t xml:space="preserve"> to the assessors in a spreadsheet, which outlined </w:t>
      </w:r>
      <w:r w:rsidR="00B127A9">
        <w:rPr>
          <w:rFonts w:cstheme="minorHAnsi"/>
        </w:rPr>
        <w:t>patients’</w:t>
      </w:r>
      <w:r w:rsidR="001F55D4">
        <w:rPr>
          <w:rFonts w:cstheme="minorHAnsi"/>
        </w:rPr>
        <w:t xml:space="preserve"> identifiers, </w:t>
      </w:r>
      <w:r w:rsidR="00451375">
        <w:rPr>
          <w:rFonts w:cstheme="minorHAnsi"/>
        </w:rPr>
        <w:t xml:space="preserve">the </w:t>
      </w:r>
      <w:r w:rsidR="001F55D4">
        <w:rPr>
          <w:rFonts w:cstheme="minorHAnsi"/>
        </w:rPr>
        <w:t xml:space="preserve">date of </w:t>
      </w:r>
      <w:r w:rsidR="00451375">
        <w:rPr>
          <w:rFonts w:cstheme="minorHAnsi"/>
        </w:rPr>
        <w:t xml:space="preserve">the relevant </w:t>
      </w:r>
      <w:r w:rsidR="001F55D4">
        <w:rPr>
          <w:rFonts w:cstheme="minorHAnsi"/>
        </w:rPr>
        <w:t>scan, and target vessels.</w:t>
      </w:r>
    </w:p>
    <w:p w14:paraId="588BAEA0" w14:textId="77777777" w:rsidR="002241CC" w:rsidRPr="00651629" w:rsidRDefault="002241CC" w:rsidP="002241CC">
      <w:pPr>
        <w:spacing w:line="480" w:lineRule="auto"/>
        <w:rPr>
          <w:rFonts w:cstheme="minorHAnsi"/>
        </w:rPr>
      </w:pPr>
    </w:p>
    <w:p w14:paraId="6CC38042" w14:textId="77777777" w:rsidR="008D24EA" w:rsidRDefault="008D24EA" w:rsidP="002241CC">
      <w:pPr>
        <w:spacing w:line="480" w:lineRule="auto"/>
        <w:rPr>
          <w:rFonts w:cstheme="minorHAnsi"/>
          <w:i/>
        </w:rPr>
      </w:pPr>
    </w:p>
    <w:p w14:paraId="231C459C" w14:textId="77777777" w:rsidR="008D24EA" w:rsidRDefault="008D24EA" w:rsidP="002241CC">
      <w:pPr>
        <w:spacing w:line="480" w:lineRule="auto"/>
        <w:rPr>
          <w:rFonts w:cstheme="minorHAnsi"/>
          <w:i/>
        </w:rPr>
      </w:pPr>
    </w:p>
    <w:p w14:paraId="22FFB17E" w14:textId="77C42F17" w:rsidR="002241CC" w:rsidRPr="007E2D17" w:rsidRDefault="002241CC" w:rsidP="002241CC">
      <w:pPr>
        <w:spacing w:line="480" w:lineRule="auto"/>
        <w:rPr>
          <w:rFonts w:cstheme="minorHAnsi"/>
          <w:i/>
        </w:rPr>
      </w:pPr>
      <w:r w:rsidRPr="007E2D17">
        <w:rPr>
          <w:rFonts w:cstheme="minorHAnsi"/>
          <w:i/>
        </w:rPr>
        <w:t>Measurement</w:t>
      </w:r>
      <w:r w:rsidR="005D423F" w:rsidRPr="007E2D17">
        <w:rPr>
          <w:rFonts w:cstheme="minorHAnsi"/>
          <w:i/>
        </w:rPr>
        <w:t>s</w:t>
      </w:r>
    </w:p>
    <w:p w14:paraId="2B91220A" w14:textId="77777777" w:rsidR="002241CC" w:rsidRPr="00651629" w:rsidRDefault="002241CC" w:rsidP="002241CC">
      <w:pPr>
        <w:spacing w:line="480" w:lineRule="auto"/>
        <w:rPr>
          <w:rFonts w:cstheme="minorHAnsi"/>
          <w:u w:val="single"/>
        </w:rPr>
      </w:pPr>
    </w:p>
    <w:p w14:paraId="4648EC11" w14:textId="209CE3DC" w:rsidR="002241CC" w:rsidRPr="00651629" w:rsidRDefault="00952DD0" w:rsidP="002241CC">
      <w:pPr>
        <w:spacing w:line="480" w:lineRule="auto"/>
        <w:rPr>
          <w:rFonts w:cstheme="minorHAnsi"/>
        </w:rPr>
      </w:pPr>
      <w:r>
        <w:rPr>
          <w:rFonts w:cstheme="minorHAnsi"/>
        </w:rPr>
        <w:t>The assessors</w:t>
      </w:r>
      <w:r w:rsidR="002241CC" w:rsidRPr="00651629">
        <w:rPr>
          <w:rFonts w:cstheme="minorHAnsi"/>
        </w:rPr>
        <w:t xml:space="preserve"> </w:t>
      </w:r>
      <w:r>
        <w:rPr>
          <w:rFonts w:cstheme="minorHAnsi"/>
        </w:rPr>
        <w:t>viewed the CTA images</w:t>
      </w:r>
      <w:r w:rsidR="002241CC" w:rsidRPr="00651629">
        <w:rPr>
          <w:rFonts w:cstheme="minorHAnsi"/>
        </w:rPr>
        <w:t xml:space="preserve"> using </w:t>
      </w:r>
      <w:proofErr w:type="spellStart"/>
      <w:r w:rsidR="00926615">
        <w:rPr>
          <w:rFonts w:cstheme="minorHAnsi"/>
        </w:rPr>
        <w:t>Carestream</w:t>
      </w:r>
      <w:proofErr w:type="spellEnd"/>
      <w:r w:rsidR="00926615">
        <w:rPr>
          <w:rFonts w:cstheme="minorHAnsi"/>
        </w:rPr>
        <w:t xml:space="preserve"> software</w:t>
      </w:r>
      <w:r w:rsidR="00926615" w:rsidRPr="00651629">
        <w:rPr>
          <w:rFonts w:cstheme="minorHAnsi"/>
        </w:rPr>
        <w:t xml:space="preserve"> </w:t>
      </w:r>
      <w:r w:rsidR="002241CC" w:rsidRPr="00651629">
        <w:rPr>
          <w:rFonts w:cstheme="minorHAnsi"/>
        </w:rPr>
        <w:t>(</w:t>
      </w:r>
      <w:proofErr w:type="spellStart"/>
      <w:r w:rsidR="002241CC" w:rsidRPr="00651629">
        <w:rPr>
          <w:rFonts w:cstheme="minorHAnsi"/>
        </w:rPr>
        <w:t>CareStream</w:t>
      </w:r>
      <w:proofErr w:type="spellEnd"/>
      <w:r w:rsidR="002241CC" w:rsidRPr="00651629">
        <w:rPr>
          <w:rFonts w:cstheme="minorHAnsi"/>
        </w:rPr>
        <w:t xml:space="preserve"> </w:t>
      </w:r>
      <w:proofErr w:type="spellStart"/>
      <w:r w:rsidR="002241CC" w:rsidRPr="00651629">
        <w:rPr>
          <w:rFonts w:cstheme="minorHAnsi"/>
        </w:rPr>
        <w:t>Vue</w:t>
      </w:r>
      <w:proofErr w:type="spellEnd"/>
      <w:r w:rsidR="002241CC" w:rsidRPr="00651629">
        <w:rPr>
          <w:rFonts w:cstheme="minorHAnsi"/>
        </w:rPr>
        <w:t xml:space="preserve"> Picture Archiving and Communications System, version 11.4.1.0324). Each was </w:t>
      </w:r>
      <w:r w:rsidR="00CA4F88">
        <w:rPr>
          <w:rFonts w:cstheme="minorHAnsi"/>
        </w:rPr>
        <w:t>familiar with</w:t>
      </w:r>
      <w:r w:rsidR="002241CC" w:rsidRPr="00651629">
        <w:rPr>
          <w:rFonts w:cstheme="minorHAnsi"/>
        </w:rPr>
        <w:t xml:space="preserve"> the use of </w:t>
      </w:r>
      <w:r w:rsidR="00CA4F88">
        <w:rPr>
          <w:rFonts w:cstheme="minorHAnsi"/>
        </w:rPr>
        <w:t>the software</w:t>
      </w:r>
      <w:r w:rsidR="002241CC" w:rsidRPr="00651629">
        <w:rPr>
          <w:rFonts w:cstheme="minorHAnsi"/>
        </w:rPr>
        <w:t xml:space="preserve"> and required no further training. Workstations were standardised to sc</w:t>
      </w:r>
      <w:r w:rsidR="00F55112">
        <w:rPr>
          <w:rFonts w:cstheme="minorHAnsi"/>
        </w:rPr>
        <w:t>reen resolutions of 1024x768 pixels</w:t>
      </w:r>
      <w:r w:rsidR="002241CC" w:rsidRPr="00651629">
        <w:rPr>
          <w:rFonts w:cstheme="minorHAnsi"/>
        </w:rPr>
        <w:t>, to minimise disparity between qualities of viewed images.</w:t>
      </w:r>
    </w:p>
    <w:p w14:paraId="66D14311" w14:textId="73D6B1D1" w:rsidR="00DA7EEE" w:rsidRPr="008D24EA" w:rsidRDefault="002241CC" w:rsidP="002241CC">
      <w:pPr>
        <w:spacing w:line="480" w:lineRule="auto"/>
        <w:rPr>
          <w:rFonts w:cstheme="minorHAnsi"/>
        </w:rPr>
      </w:pPr>
      <w:r w:rsidRPr="00651629">
        <w:rPr>
          <w:rFonts w:cstheme="minorHAnsi"/>
        </w:rPr>
        <w:t xml:space="preserve">Assessors </w:t>
      </w:r>
      <w:proofErr w:type="gramStart"/>
      <w:r w:rsidRPr="00651629">
        <w:rPr>
          <w:rFonts w:cstheme="minorHAnsi"/>
        </w:rPr>
        <w:t>were allowed</w:t>
      </w:r>
      <w:proofErr w:type="gramEnd"/>
      <w:r w:rsidRPr="00651629">
        <w:rPr>
          <w:rFonts w:cstheme="minorHAnsi"/>
        </w:rPr>
        <w:t xml:space="preserve"> to use </w:t>
      </w:r>
      <w:r w:rsidR="00451375">
        <w:rPr>
          <w:rFonts w:cstheme="minorHAnsi"/>
        </w:rPr>
        <w:t>their own preferred</w:t>
      </w:r>
      <w:r w:rsidRPr="00651629">
        <w:rPr>
          <w:rFonts w:cstheme="minorHAnsi"/>
        </w:rPr>
        <w:t xml:space="preserve"> technique to manipulate and analyse images</w:t>
      </w:r>
      <w:r w:rsidR="006E323B">
        <w:rPr>
          <w:rFonts w:cstheme="minorHAnsi"/>
        </w:rPr>
        <w:t>, as this would replicate standard practice</w:t>
      </w:r>
      <w:r w:rsidR="00451375">
        <w:rPr>
          <w:rFonts w:cstheme="minorHAnsi"/>
        </w:rPr>
        <w:t>, a</w:t>
      </w:r>
      <w:r w:rsidRPr="00651629">
        <w:rPr>
          <w:rFonts w:cstheme="minorHAnsi"/>
        </w:rPr>
        <w:t>nd input the data int</w:t>
      </w:r>
      <w:r w:rsidR="008F1709">
        <w:rPr>
          <w:rFonts w:cstheme="minorHAnsi"/>
        </w:rPr>
        <w:t xml:space="preserve">o a </w:t>
      </w:r>
      <w:r w:rsidRPr="00651629">
        <w:rPr>
          <w:rFonts w:cstheme="minorHAnsi"/>
        </w:rPr>
        <w:t xml:space="preserve">spreadsheet. Each assessor </w:t>
      </w:r>
      <w:proofErr w:type="gramStart"/>
      <w:r w:rsidRPr="00651629">
        <w:rPr>
          <w:rFonts w:cstheme="minorHAnsi"/>
        </w:rPr>
        <w:t>was allowed</w:t>
      </w:r>
      <w:proofErr w:type="gramEnd"/>
      <w:r w:rsidRPr="00651629">
        <w:rPr>
          <w:rFonts w:cstheme="minorHAnsi"/>
        </w:rPr>
        <w:t xml:space="preserve"> to complete the measurements at </w:t>
      </w:r>
      <w:r w:rsidR="005D423F">
        <w:rPr>
          <w:rFonts w:cstheme="minorHAnsi"/>
        </w:rPr>
        <w:t>his/her</w:t>
      </w:r>
      <w:r w:rsidR="005D423F" w:rsidRPr="00651629">
        <w:rPr>
          <w:rFonts w:cstheme="minorHAnsi"/>
        </w:rPr>
        <w:t xml:space="preserve"> </w:t>
      </w:r>
      <w:r w:rsidRPr="00651629">
        <w:rPr>
          <w:rFonts w:cstheme="minorHAnsi"/>
        </w:rPr>
        <w:t>own pace.</w:t>
      </w:r>
    </w:p>
    <w:p w14:paraId="0506CFD3" w14:textId="77777777" w:rsidR="00DA7EEE" w:rsidRDefault="00DA7EEE" w:rsidP="002241CC">
      <w:pPr>
        <w:spacing w:line="480" w:lineRule="auto"/>
        <w:rPr>
          <w:rFonts w:cstheme="minorHAnsi"/>
          <w:u w:val="single"/>
        </w:rPr>
      </w:pPr>
    </w:p>
    <w:p w14:paraId="4FDFA0CD" w14:textId="77777777" w:rsidR="002241CC" w:rsidRPr="007E2D17" w:rsidRDefault="002241CC" w:rsidP="002241CC">
      <w:pPr>
        <w:spacing w:line="480" w:lineRule="auto"/>
        <w:rPr>
          <w:rFonts w:cstheme="minorHAnsi"/>
          <w:i/>
        </w:rPr>
      </w:pPr>
      <w:r w:rsidRPr="007E2D17">
        <w:rPr>
          <w:rFonts w:cstheme="minorHAnsi"/>
          <w:i/>
        </w:rPr>
        <w:t>Statistical analysis</w:t>
      </w:r>
    </w:p>
    <w:p w14:paraId="5FA72DB3" w14:textId="77777777" w:rsidR="002241CC" w:rsidRPr="00651629" w:rsidRDefault="002241CC" w:rsidP="002241CC">
      <w:pPr>
        <w:spacing w:line="480" w:lineRule="auto"/>
        <w:rPr>
          <w:rFonts w:cstheme="minorHAnsi"/>
        </w:rPr>
      </w:pPr>
    </w:p>
    <w:p w14:paraId="767BA3C0" w14:textId="7FFB6CC4" w:rsidR="006A64A9" w:rsidRPr="00900479" w:rsidRDefault="002241CC" w:rsidP="002241CC">
      <w:pPr>
        <w:spacing w:line="480" w:lineRule="auto"/>
        <w:rPr>
          <w:rFonts w:cstheme="minorHAnsi"/>
        </w:rPr>
      </w:pPr>
      <w:r w:rsidRPr="00651629">
        <w:rPr>
          <w:rFonts w:cstheme="minorHAnsi"/>
        </w:rPr>
        <w:t xml:space="preserve">Agreement between </w:t>
      </w:r>
      <w:proofErr w:type="spellStart"/>
      <w:r w:rsidRPr="00651629">
        <w:rPr>
          <w:rFonts w:cstheme="minorHAnsi"/>
        </w:rPr>
        <w:t>raters</w:t>
      </w:r>
      <w:proofErr w:type="spellEnd"/>
      <w:r w:rsidRPr="00651629">
        <w:rPr>
          <w:rFonts w:cstheme="minorHAnsi"/>
        </w:rPr>
        <w:t xml:space="preserve"> </w:t>
      </w:r>
      <w:proofErr w:type="gramStart"/>
      <w:r w:rsidRPr="00651629">
        <w:rPr>
          <w:rFonts w:cstheme="minorHAnsi"/>
        </w:rPr>
        <w:t>was assessed</w:t>
      </w:r>
      <w:proofErr w:type="gramEnd"/>
      <w:r w:rsidRPr="00651629">
        <w:rPr>
          <w:rFonts w:cstheme="minorHAnsi"/>
        </w:rPr>
        <w:t xml:space="preserve"> using Cohen’s weighted kappa statistics, with linear weights. For groups of more than </w:t>
      </w:r>
      <w:proofErr w:type="gramStart"/>
      <w:r w:rsidRPr="00651629">
        <w:rPr>
          <w:rFonts w:cstheme="minorHAnsi"/>
        </w:rPr>
        <w:t>2</w:t>
      </w:r>
      <w:proofErr w:type="gramEnd"/>
      <w:r w:rsidRPr="00651629">
        <w:rPr>
          <w:rFonts w:cstheme="minorHAnsi"/>
        </w:rPr>
        <w:t xml:space="preserve"> </w:t>
      </w:r>
      <w:proofErr w:type="spellStart"/>
      <w:r w:rsidRPr="00651629">
        <w:rPr>
          <w:rFonts w:cstheme="minorHAnsi"/>
        </w:rPr>
        <w:t>raters</w:t>
      </w:r>
      <w:proofErr w:type="spellEnd"/>
      <w:r w:rsidRPr="00651629">
        <w:rPr>
          <w:rFonts w:cstheme="minorHAnsi"/>
        </w:rPr>
        <w:t>, kappa was calculated using the Berry-</w:t>
      </w:r>
      <w:proofErr w:type="spellStart"/>
      <w:r w:rsidRPr="00651629">
        <w:rPr>
          <w:rFonts w:cstheme="minorHAnsi"/>
        </w:rPr>
        <w:t>Mielke</w:t>
      </w:r>
      <w:proofErr w:type="spellEnd"/>
      <w:r w:rsidR="008F1842">
        <w:rPr>
          <w:rFonts w:cstheme="minorHAnsi"/>
          <w:vertAlign w:val="superscript"/>
        </w:rPr>
        <w:t xml:space="preserve"> (6</w:t>
      </w:r>
      <w:r w:rsidRPr="00651629">
        <w:rPr>
          <w:rFonts w:cstheme="minorHAnsi"/>
          <w:vertAlign w:val="superscript"/>
        </w:rPr>
        <w:t>)</w:t>
      </w:r>
      <w:r w:rsidRPr="00651629">
        <w:rPr>
          <w:rFonts w:cstheme="minorHAnsi"/>
        </w:rPr>
        <w:t xml:space="preserve"> Universal R coefficient of agreement, which is equivalent to linearly weighted kappa</w:t>
      </w:r>
      <w:r w:rsidR="00DB57FC">
        <w:rPr>
          <w:rFonts w:cstheme="minorHAnsi"/>
        </w:rPr>
        <w:t xml:space="preserve">. Weighted kappa is categorised into poor, weak, moderate and good agreement, which </w:t>
      </w:r>
      <w:proofErr w:type="gramStart"/>
      <w:r w:rsidR="00DB57FC">
        <w:rPr>
          <w:rFonts w:cstheme="minorHAnsi"/>
        </w:rPr>
        <w:t>are defined</w:t>
      </w:r>
      <w:proofErr w:type="gramEnd"/>
      <w:r w:rsidR="00DB57FC">
        <w:rPr>
          <w:rFonts w:cstheme="minorHAnsi"/>
        </w:rPr>
        <w:t xml:space="preserve"> by values of 0.21-0.39, 0.40-0.59, 0.60-0.79 and 0.80-0.90, respectively.</w:t>
      </w:r>
    </w:p>
    <w:p w14:paraId="00460679" w14:textId="77777777" w:rsidR="006A64A9" w:rsidRDefault="006A64A9" w:rsidP="002241CC">
      <w:pPr>
        <w:spacing w:line="480" w:lineRule="auto"/>
        <w:rPr>
          <w:u w:val="single"/>
        </w:rPr>
      </w:pPr>
    </w:p>
    <w:p w14:paraId="7E82E5D3" w14:textId="77777777" w:rsidR="00FA3959" w:rsidRDefault="00FA3959" w:rsidP="002241CC">
      <w:pPr>
        <w:spacing w:line="480" w:lineRule="auto"/>
        <w:rPr>
          <w:b/>
        </w:rPr>
      </w:pPr>
      <w:r w:rsidRPr="007E2D17">
        <w:rPr>
          <w:b/>
        </w:rPr>
        <w:t>Results</w:t>
      </w:r>
    </w:p>
    <w:p w14:paraId="292E6CA8" w14:textId="77777777" w:rsidR="007E2D17" w:rsidRPr="007E2D17" w:rsidRDefault="007E2D17" w:rsidP="002241CC">
      <w:pPr>
        <w:spacing w:line="480" w:lineRule="auto"/>
        <w:rPr>
          <w:b/>
        </w:rPr>
      </w:pPr>
    </w:p>
    <w:p w14:paraId="4FD0EF0A" w14:textId="587D31D9" w:rsidR="00D20769" w:rsidRDefault="00F54316" w:rsidP="002241CC">
      <w:pPr>
        <w:spacing w:line="480" w:lineRule="auto"/>
      </w:pPr>
      <w:r>
        <w:lastRenderedPageBreak/>
        <w:t xml:space="preserve">Seven </w:t>
      </w:r>
      <w:r w:rsidR="00B3186B">
        <w:t>assessors</w:t>
      </w:r>
      <w:r w:rsidR="00F5662D">
        <w:t xml:space="preserve"> reviewed CTAs </w:t>
      </w:r>
      <w:r w:rsidR="002B1F2C">
        <w:t xml:space="preserve">of 25 patients </w:t>
      </w:r>
      <w:r w:rsidR="00F5662D">
        <w:t>(</w:t>
      </w:r>
      <w:r w:rsidR="002B1F2C">
        <w:t xml:space="preserve">20 men; </w:t>
      </w:r>
      <w:r w:rsidR="00F5662D">
        <w:t>mean age 72.9 years)</w:t>
      </w:r>
      <w:r w:rsidR="002B1F2C">
        <w:t xml:space="preserve"> performed between 29</w:t>
      </w:r>
      <w:r w:rsidR="002B1F2C" w:rsidRPr="001B6C8E">
        <w:rPr>
          <w:vertAlign w:val="superscript"/>
        </w:rPr>
        <w:t>th</w:t>
      </w:r>
      <w:r w:rsidR="002B1F2C">
        <w:t xml:space="preserve"> May 2014 and 6</w:t>
      </w:r>
      <w:r w:rsidR="002B1F2C" w:rsidRPr="00971C1E">
        <w:rPr>
          <w:vertAlign w:val="superscript"/>
        </w:rPr>
        <w:t>th</w:t>
      </w:r>
      <w:r w:rsidR="002B1F2C">
        <w:t xml:space="preserve"> May 2015, </w:t>
      </w:r>
      <w:r w:rsidR="00F5662D">
        <w:t>with a total of 48 target vessels.</w:t>
      </w:r>
      <w:r w:rsidR="001B6C8E">
        <w:t xml:space="preserve"> </w:t>
      </w:r>
      <w:r>
        <w:t xml:space="preserve">Twelve </w:t>
      </w:r>
      <w:r w:rsidR="00CA4F88">
        <w:t xml:space="preserve">patients </w:t>
      </w:r>
      <w:r>
        <w:t>were diabetic.</w:t>
      </w:r>
      <w:r w:rsidR="00C55FF2">
        <w:t xml:space="preserve"> Imaging was performed for critical limb ischaemia (CLI) in </w:t>
      </w:r>
      <w:r w:rsidR="00952DD0">
        <w:t xml:space="preserve">all </w:t>
      </w:r>
      <w:r w:rsidR="00C55FF2">
        <w:t xml:space="preserve">patients, </w:t>
      </w:r>
      <w:r w:rsidR="00DE0ABD">
        <w:t xml:space="preserve">with </w:t>
      </w:r>
      <w:proofErr w:type="gramStart"/>
      <w:r w:rsidR="00DE0ABD">
        <w:t>4</w:t>
      </w:r>
      <w:proofErr w:type="gramEnd"/>
      <w:r w:rsidR="00DE0ABD">
        <w:t xml:space="preserve"> having evidence of ulceration.</w:t>
      </w:r>
    </w:p>
    <w:p w14:paraId="2C6092CC" w14:textId="77777777" w:rsidR="00547EBB" w:rsidRDefault="00547EBB" w:rsidP="002241CC">
      <w:pPr>
        <w:spacing w:line="480" w:lineRule="auto"/>
      </w:pPr>
    </w:p>
    <w:p w14:paraId="096A77D2" w14:textId="5D9C0CF9" w:rsidR="00B3186B" w:rsidRDefault="00CA4F88" w:rsidP="002241CC">
      <w:pPr>
        <w:spacing w:line="480" w:lineRule="auto"/>
      </w:pPr>
      <w:r>
        <w:t xml:space="preserve">In </w:t>
      </w:r>
      <w:r w:rsidR="00FC73BD">
        <w:t xml:space="preserve">the right leg, the target </w:t>
      </w:r>
      <w:r>
        <w:t xml:space="preserve">arteries </w:t>
      </w:r>
      <w:r w:rsidR="00FC73BD">
        <w:t xml:space="preserve">were </w:t>
      </w:r>
      <w:r>
        <w:t xml:space="preserve">the </w:t>
      </w:r>
      <w:r w:rsidR="00FC73BD">
        <w:t xml:space="preserve">posterior </w:t>
      </w:r>
      <w:proofErr w:type="spellStart"/>
      <w:r w:rsidR="00FC73BD">
        <w:t>tibial</w:t>
      </w:r>
      <w:proofErr w:type="spellEnd"/>
      <w:r w:rsidR="00FC73BD">
        <w:t xml:space="preserve"> </w:t>
      </w:r>
      <w:r>
        <w:t xml:space="preserve">in 11 patients </w:t>
      </w:r>
      <w:r w:rsidR="00FC73BD">
        <w:t xml:space="preserve">and </w:t>
      </w:r>
      <w:r w:rsidR="000521B4">
        <w:t xml:space="preserve">the </w:t>
      </w:r>
      <w:r w:rsidR="00FC73BD">
        <w:t xml:space="preserve">anterior </w:t>
      </w:r>
      <w:proofErr w:type="spellStart"/>
      <w:r w:rsidR="00FC73BD">
        <w:t>tibial</w:t>
      </w:r>
      <w:proofErr w:type="spellEnd"/>
      <w:r w:rsidR="00FC73BD">
        <w:t xml:space="preserve"> </w:t>
      </w:r>
      <w:r w:rsidR="000521B4">
        <w:t>in 13</w:t>
      </w:r>
      <w:r w:rsidR="00FC73BD">
        <w:t xml:space="preserve">. </w:t>
      </w:r>
      <w:r w:rsidR="000521B4">
        <w:t xml:space="preserve">In </w:t>
      </w:r>
      <w:r w:rsidR="00FC73BD">
        <w:t xml:space="preserve">the left leg, the target </w:t>
      </w:r>
      <w:r w:rsidR="000521B4">
        <w:t xml:space="preserve">arteries </w:t>
      </w:r>
      <w:r w:rsidR="00FC73BD">
        <w:t xml:space="preserve">were </w:t>
      </w:r>
      <w:r w:rsidR="000521B4">
        <w:t xml:space="preserve">the </w:t>
      </w:r>
      <w:r w:rsidR="00FC73BD">
        <w:t xml:space="preserve">posterior </w:t>
      </w:r>
      <w:proofErr w:type="spellStart"/>
      <w:r w:rsidR="00FC73BD">
        <w:t>tibial</w:t>
      </w:r>
      <w:proofErr w:type="spellEnd"/>
      <w:r w:rsidR="00FC73BD">
        <w:t xml:space="preserve"> </w:t>
      </w:r>
      <w:r w:rsidR="000521B4">
        <w:t xml:space="preserve">in </w:t>
      </w:r>
      <w:proofErr w:type="gramStart"/>
      <w:r w:rsidR="000521B4">
        <w:t>9</w:t>
      </w:r>
      <w:proofErr w:type="gramEnd"/>
      <w:r w:rsidR="00FC73BD">
        <w:t xml:space="preserve">, </w:t>
      </w:r>
      <w:r w:rsidR="000521B4">
        <w:t xml:space="preserve">the </w:t>
      </w:r>
      <w:r w:rsidR="00FC73BD">
        <w:t xml:space="preserve">anterior </w:t>
      </w:r>
      <w:proofErr w:type="spellStart"/>
      <w:r w:rsidR="00FC73BD">
        <w:t>tibial</w:t>
      </w:r>
      <w:proofErr w:type="spellEnd"/>
      <w:r w:rsidR="00FC73BD">
        <w:t xml:space="preserve"> </w:t>
      </w:r>
      <w:r w:rsidR="000521B4">
        <w:t>in 14</w:t>
      </w:r>
      <w:r w:rsidR="00FC73BD">
        <w:t xml:space="preserve">, and </w:t>
      </w:r>
      <w:r w:rsidR="000521B4">
        <w:t xml:space="preserve">the </w:t>
      </w:r>
      <w:r w:rsidR="00FC73BD">
        <w:t xml:space="preserve">peroneal </w:t>
      </w:r>
      <w:r w:rsidR="000521B4">
        <w:t>in one</w:t>
      </w:r>
      <w:r w:rsidR="00FC73BD">
        <w:t>.</w:t>
      </w:r>
    </w:p>
    <w:p w14:paraId="31D94389" w14:textId="4C1FD018" w:rsidR="002B1156" w:rsidRDefault="000521B4" w:rsidP="002241CC">
      <w:pPr>
        <w:spacing w:line="480" w:lineRule="auto"/>
      </w:pPr>
      <w:r>
        <w:t xml:space="preserve">Figure </w:t>
      </w:r>
      <w:r w:rsidR="002B1156">
        <w:t xml:space="preserve">2 </w:t>
      </w:r>
      <w:r w:rsidR="002B1F2C">
        <w:t xml:space="preserve">shows </w:t>
      </w:r>
      <w:r w:rsidR="002B1156">
        <w:t>the classifications assigned by each assessor.</w:t>
      </w:r>
    </w:p>
    <w:p w14:paraId="41314779" w14:textId="77777777" w:rsidR="008D24EA" w:rsidRDefault="008D24EA" w:rsidP="002241CC">
      <w:pPr>
        <w:spacing w:line="480" w:lineRule="auto"/>
      </w:pPr>
    </w:p>
    <w:p w14:paraId="49168B05" w14:textId="530D940F" w:rsidR="00876BB7" w:rsidRDefault="002B1F2C" w:rsidP="002241CC">
      <w:pPr>
        <w:spacing w:line="480" w:lineRule="auto"/>
      </w:pPr>
      <w:r>
        <w:t xml:space="preserve">Four </w:t>
      </w:r>
      <w:r w:rsidR="00876BB7">
        <w:t xml:space="preserve">assessors found ambiguity in assigning some lesions to a class, and commented </w:t>
      </w:r>
      <w:r>
        <w:t xml:space="preserve">that </w:t>
      </w:r>
      <w:r w:rsidR="00876BB7">
        <w:t xml:space="preserve">the lesion would be appropriate for </w:t>
      </w:r>
      <w:proofErr w:type="gramStart"/>
      <w:r w:rsidR="00876BB7">
        <w:t>2</w:t>
      </w:r>
      <w:proofErr w:type="gramEnd"/>
      <w:r w:rsidR="00876BB7">
        <w:t xml:space="preserve"> classes. They </w:t>
      </w:r>
      <w:r>
        <w:t xml:space="preserve">eventually </w:t>
      </w:r>
      <w:r w:rsidR="00876BB7">
        <w:t xml:space="preserve">chose the </w:t>
      </w:r>
      <w:proofErr w:type="gramStart"/>
      <w:r w:rsidR="00876BB7">
        <w:t>class which</w:t>
      </w:r>
      <w:proofErr w:type="gramEnd"/>
      <w:r w:rsidR="00876BB7">
        <w:t xml:space="preserve"> they deemed most appropriate.</w:t>
      </w:r>
    </w:p>
    <w:p w14:paraId="30EA8DD0" w14:textId="55EE2620" w:rsidR="00A32F5D" w:rsidRDefault="002B1F2C" w:rsidP="002241CC">
      <w:pPr>
        <w:spacing w:line="480" w:lineRule="auto"/>
      </w:pPr>
      <w:r>
        <w:t xml:space="preserve">Two </w:t>
      </w:r>
      <w:r w:rsidR="00A32F5D">
        <w:t xml:space="preserve">assessors found difficulty in analysis due to calcification of the vessel. This </w:t>
      </w:r>
      <w:proofErr w:type="gramStart"/>
      <w:r w:rsidR="00A32F5D">
        <w:t>was not seen</w:t>
      </w:r>
      <w:proofErr w:type="gramEnd"/>
      <w:r w:rsidR="00A32F5D">
        <w:t xml:space="preserve"> in other assessors.</w:t>
      </w:r>
    </w:p>
    <w:p w14:paraId="57C62599" w14:textId="77777777" w:rsidR="006A3AA1" w:rsidRDefault="006A3AA1" w:rsidP="002241CC">
      <w:pPr>
        <w:spacing w:line="480" w:lineRule="auto"/>
      </w:pPr>
    </w:p>
    <w:p w14:paraId="6666DBC9" w14:textId="2C3980BA" w:rsidR="004412D9" w:rsidRDefault="00FA3959" w:rsidP="002241CC">
      <w:pPr>
        <w:spacing w:line="480" w:lineRule="auto"/>
      </w:pPr>
      <w:r>
        <w:t xml:space="preserve">The group of </w:t>
      </w:r>
      <w:proofErr w:type="gramStart"/>
      <w:r>
        <w:t>7</w:t>
      </w:r>
      <w:proofErr w:type="gramEnd"/>
      <w:r>
        <w:t xml:space="preserve"> </w:t>
      </w:r>
      <w:proofErr w:type="spellStart"/>
      <w:r>
        <w:t>raters</w:t>
      </w:r>
      <w:proofErr w:type="spellEnd"/>
      <w:r>
        <w:t xml:space="preserve"> had an overall kappa of 0.176, representing poor agreement. The kappa statistics for each pair of </w:t>
      </w:r>
      <w:proofErr w:type="spellStart"/>
      <w:r>
        <w:t>raters</w:t>
      </w:r>
      <w:proofErr w:type="spellEnd"/>
      <w:r>
        <w:t xml:space="preserve"> </w:t>
      </w:r>
      <w:proofErr w:type="gramStart"/>
      <w:r>
        <w:t>are shown</w:t>
      </w:r>
      <w:proofErr w:type="gramEnd"/>
      <w:r>
        <w:t xml:space="preserve"> in Table </w:t>
      </w:r>
      <w:r w:rsidR="00693DD8">
        <w:t>1</w:t>
      </w:r>
      <w:r w:rsidR="009139FA">
        <w:t>.</w:t>
      </w:r>
    </w:p>
    <w:p w14:paraId="77E4BC9D" w14:textId="77777777" w:rsidR="004412D9" w:rsidRDefault="004412D9" w:rsidP="002241CC">
      <w:pPr>
        <w:spacing w:line="480" w:lineRule="auto"/>
      </w:pPr>
    </w:p>
    <w:p w14:paraId="15216DAB" w14:textId="77777777" w:rsidR="006A3AA1" w:rsidRDefault="006A3AA1" w:rsidP="002241CC">
      <w:pPr>
        <w:spacing w:line="480" w:lineRule="auto"/>
      </w:pPr>
    </w:p>
    <w:p w14:paraId="1AC41B52" w14:textId="16A56235" w:rsidR="004412D9" w:rsidRDefault="00F41F80" w:rsidP="002241CC">
      <w:pPr>
        <w:spacing w:line="480" w:lineRule="auto"/>
      </w:pPr>
      <w:r>
        <w:rPr>
          <w:rFonts w:ascii="Helvetica" w:hAnsi="Helvetica" w:cs="Helvetica"/>
          <w:noProof/>
          <w:lang w:eastAsia="en-GB"/>
        </w:rPr>
        <w:lastRenderedPageBreak/>
        <w:drawing>
          <wp:inline distT="0" distB="0" distL="0" distR="0" wp14:anchorId="30FDB6CB" wp14:editId="1FD70346">
            <wp:extent cx="5727700" cy="3429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7700" cy="3429475"/>
                    </a:xfrm>
                    <a:prstGeom prst="rect">
                      <a:avLst/>
                    </a:prstGeom>
                    <a:noFill/>
                    <a:ln>
                      <a:noFill/>
                    </a:ln>
                  </pic:spPr>
                </pic:pic>
              </a:graphicData>
            </a:graphic>
          </wp:inline>
        </w:drawing>
      </w:r>
    </w:p>
    <w:p w14:paraId="1A1B65C8" w14:textId="06C10B62" w:rsidR="004412D9" w:rsidRPr="004412D9" w:rsidRDefault="000521B4" w:rsidP="004412D9">
      <w:r>
        <w:rPr>
          <w:u w:val="single"/>
        </w:rPr>
        <w:t xml:space="preserve">Figure </w:t>
      </w:r>
      <w:proofErr w:type="gramStart"/>
      <w:r w:rsidR="004412D9">
        <w:rPr>
          <w:u w:val="single"/>
        </w:rPr>
        <w:t>1</w:t>
      </w:r>
      <w:proofErr w:type="gramEnd"/>
      <w:r w:rsidR="004412D9">
        <w:t xml:space="preserve"> </w:t>
      </w:r>
      <w:r>
        <w:t xml:space="preserve">TASC II classification by individual </w:t>
      </w:r>
      <w:proofErr w:type="spellStart"/>
      <w:r>
        <w:t>raters</w:t>
      </w:r>
      <w:proofErr w:type="spellEnd"/>
      <w:r w:rsidR="004412D9">
        <w:t>. VC = Vascular consultants. VT = Vascular trainees. R = Radiologists.</w:t>
      </w:r>
    </w:p>
    <w:p w14:paraId="0E6EC070" w14:textId="77777777" w:rsidR="00C86BB5" w:rsidRDefault="00C86BB5" w:rsidP="002241CC">
      <w:pPr>
        <w:spacing w:line="480" w:lineRule="auto"/>
      </w:pPr>
    </w:p>
    <w:p w14:paraId="1A8FB7AA" w14:textId="77777777" w:rsidR="008D24EA" w:rsidRDefault="008D24EA" w:rsidP="002B1F2C">
      <w:pPr>
        <w:spacing w:line="480" w:lineRule="auto"/>
        <w:rPr>
          <w:u w:val="single"/>
        </w:rPr>
      </w:pPr>
    </w:p>
    <w:p w14:paraId="1685ABE8" w14:textId="77777777" w:rsidR="008D24EA" w:rsidRDefault="008D24EA" w:rsidP="002B1F2C">
      <w:pPr>
        <w:spacing w:line="480" w:lineRule="auto"/>
        <w:rPr>
          <w:u w:val="single"/>
        </w:rPr>
      </w:pPr>
    </w:p>
    <w:p w14:paraId="67481BA8" w14:textId="06F05945" w:rsidR="002B1F2C" w:rsidRDefault="002B1F2C" w:rsidP="002B1F2C">
      <w:pPr>
        <w:spacing w:line="480" w:lineRule="auto"/>
        <w:rPr>
          <w:u w:val="single"/>
        </w:rPr>
      </w:pPr>
      <w:r>
        <w:rPr>
          <w:u w:val="single"/>
        </w:rPr>
        <w:t xml:space="preserve">Table </w:t>
      </w:r>
      <w:proofErr w:type="gramStart"/>
      <w:r w:rsidR="00900479">
        <w:rPr>
          <w:u w:val="single"/>
        </w:rPr>
        <w:t>1</w:t>
      </w:r>
      <w:proofErr w:type="gramEnd"/>
      <w:r>
        <w:t xml:space="preserve"> Individual pairs’ agreement in TASC II </w:t>
      </w:r>
      <w:proofErr w:type="spellStart"/>
      <w:r>
        <w:t>classifiction</w:t>
      </w:r>
      <w:proofErr w:type="spellEnd"/>
    </w:p>
    <w:p w14:paraId="49D94C1F" w14:textId="77777777" w:rsidR="00C86BB5" w:rsidRPr="009139FA" w:rsidRDefault="00C86BB5" w:rsidP="002241CC">
      <w:pPr>
        <w:spacing w:line="480" w:lineRule="auto"/>
      </w:pPr>
    </w:p>
    <w:tbl>
      <w:tblPr>
        <w:tblStyle w:val="TableGrid"/>
        <w:tblW w:w="0" w:type="auto"/>
        <w:tblLook w:val="04A0" w:firstRow="1" w:lastRow="0" w:firstColumn="1" w:lastColumn="0" w:noHBand="0" w:noVBand="1"/>
      </w:tblPr>
      <w:tblGrid>
        <w:gridCol w:w="1423"/>
        <w:gridCol w:w="827"/>
        <w:gridCol w:w="998"/>
        <w:gridCol w:w="998"/>
        <w:gridCol w:w="998"/>
        <w:gridCol w:w="998"/>
        <w:gridCol w:w="998"/>
        <w:gridCol w:w="998"/>
        <w:gridCol w:w="998"/>
      </w:tblGrid>
      <w:tr w:rsidR="00FA3959" w14:paraId="3EFE4A43" w14:textId="77777777" w:rsidTr="00F05DAF">
        <w:tc>
          <w:tcPr>
            <w:tcW w:w="1423" w:type="dxa"/>
          </w:tcPr>
          <w:p w14:paraId="0B60805B" w14:textId="77777777" w:rsidR="00FA3959" w:rsidRPr="005D2FBC" w:rsidRDefault="00FA3959" w:rsidP="004412D9">
            <w:pPr>
              <w:spacing w:line="360" w:lineRule="auto"/>
            </w:pPr>
          </w:p>
        </w:tc>
        <w:tc>
          <w:tcPr>
            <w:tcW w:w="827" w:type="dxa"/>
          </w:tcPr>
          <w:p w14:paraId="1028D3D7" w14:textId="77777777" w:rsidR="00FA3959" w:rsidRPr="005D2FBC" w:rsidRDefault="00FA3959" w:rsidP="004412D9">
            <w:pPr>
              <w:spacing w:line="360" w:lineRule="auto"/>
            </w:pPr>
          </w:p>
        </w:tc>
        <w:tc>
          <w:tcPr>
            <w:tcW w:w="1996" w:type="dxa"/>
            <w:gridSpan w:val="2"/>
          </w:tcPr>
          <w:p w14:paraId="09539C1A" w14:textId="77777777" w:rsidR="00FA3959" w:rsidRPr="005D2FBC" w:rsidRDefault="00FA3959" w:rsidP="004412D9">
            <w:pPr>
              <w:spacing w:line="360" w:lineRule="auto"/>
              <w:rPr>
                <w:b/>
              </w:rPr>
            </w:pPr>
            <w:r>
              <w:rPr>
                <w:b/>
              </w:rPr>
              <w:t>Vascular consultants</w:t>
            </w:r>
          </w:p>
        </w:tc>
        <w:tc>
          <w:tcPr>
            <w:tcW w:w="1996" w:type="dxa"/>
            <w:gridSpan w:val="2"/>
          </w:tcPr>
          <w:p w14:paraId="67983F60" w14:textId="77777777" w:rsidR="00FA3959" w:rsidRPr="005D2FBC" w:rsidRDefault="00FA3959" w:rsidP="004412D9">
            <w:pPr>
              <w:spacing w:line="360" w:lineRule="auto"/>
              <w:rPr>
                <w:b/>
              </w:rPr>
            </w:pPr>
            <w:r>
              <w:rPr>
                <w:b/>
              </w:rPr>
              <w:t>Vascular trainees</w:t>
            </w:r>
          </w:p>
        </w:tc>
        <w:tc>
          <w:tcPr>
            <w:tcW w:w="2994" w:type="dxa"/>
            <w:gridSpan w:val="3"/>
          </w:tcPr>
          <w:p w14:paraId="56C42CFA" w14:textId="77777777" w:rsidR="00FA3959" w:rsidRPr="005D2FBC" w:rsidRDefault="00FA3959" w:rsidP="004412D9">
            <w:pPr>
              <w:spacing w:line="360" w:lineRule="auto"/>
              <w:rPr>
                <w:b/>
              </w:rPr>
            </w:pPr>
            <w:r>
              <w:rPr>
                <w:b/>
              </w:rPr>
              <w:t>Radiologists</w:t>
            </w:r>
          </w:p>
        </w:tc>
      </w:tr>
      <w:tr w:rsidR="00FA3959" w14:paraId="4B0849DD" w14:textId="77777777" w:rsidTr="00F05DAF">
        <w:tc>
          <w:tcPr>
            <w:tcW w:w="1423" w:type="dxa"/>
          </w:tcPr>
          <w:p w14:paraId="3C73C535" w14:textId="77777777" w:rsidR="00FA3959" w:rsidRPr="005D2FBC" w:rsidRDefault="00FA3959" w:rsidP="004412D9">
            <w:pPr>
              <w:spacing w:line="360" w:lineRule="auto"/>
            </w:pPr>
          </w:p>
        </w:tc>
        <w:tc>
          <w:tcPr>
            <w:tcW w:w="827" w:type="dxa"/>
          </w:tcPr>
          <w:p w14:paraId="40614610" w14:textId="77777777" w:rsidR="00FA3959" w:rsidRPr="00F70022" w:rsidRDefault="00FA3959" w:rsidP="004412D9">
            <w:pPr>
              <w:spacing w:line="360" w:lineRule="auto"/>
            </w:pPr>
          </w:p>
        </w:tc>
        <w:tc>
          <w:tcPr>
            <w:tcW w:w="998" w:type="dxa"/>
          </w:tcPr>
          <w:p w14:paraId="6EC9BC69" w14:textId="77777777" w:rsidR="00FA3959" w:rsidRPr="00F70022" w:rsidRDefault="00FA3959" w:rsidP="004412D9">
            <w:pPr>
              <w:spacing w:line="360" w:lineRule="auto"/>
              <w:rPr>
                <w:b/>
              </w:rPr>
            </w:pPr>
            <w:r w:rsidRPr="00F70022">
              <w:rPr>
                <w:b/>
              </w:rPr>
              <w:t>1</w:t>
            </w:r>
          </w:p>
        </w:tc>
        <w:tc>
          <w:tcPr>
            <w:tcW w:w="998" w:type="dxa"/>
          </w:tcPr>
          <w:p w14:paraId="4C4DF7DD" w14:textId="77777777" w:rsidR="00FA3959" w:rsidRPr="00F70022" w:rsidRDefault="00FA3959" w:rsidP="004412D9">
            <w:pPr>
              <w:spacing w:line="360" w:lineRule="auto"/>
              <w:rPr>
                <w:b/>
              </w:rPr>
            </w:pPr>
            <w:r w:rsidRPr="00F70022">
              <w:rPr>
                <w:b/>
              </w:rPr>
              <w:t>2</w:t>
            </w:r>
          </w:p>
        </w:tc>
        <w:tc>
          <w:tcPr>
            <w:tcW w:w="998" w:type="dxa"/>
          </w:tcPr>
          <w:p w14:paraId="662AAC87" w14:textId="77777777" w:rsidR="00FA3959" w:rsidRPr="00F70022" w:rsidRDefault="00FA3959" w:rsidP="004412D9">
            <w:pPr>
              <w:spacing w:line="360" w:lineRule="auto"/>
              <w:rPr>
                <w:b/>
              </w:rPr>
            </w:pPr>
            <w:r w:rsidRPr="00F70022">
              <w:rPr>
                <w:b/>
              </w:rPr>
              <w:t>3</w:t>
            </w:r>
          </w:p>
        </w:tc>
        <w:tc>
          <w:tcPr>
            <w:tcW w:w="998" w:type="dxa"/>
          </w:tcPr>
          <w:p w14:paraId="0E29AFAE" w14:textId="77777777" w:rsidR="00FA3959" w:rsidRPr="00F70022" w:rsidRDefault="00FA3959" w:rsidP="004412D9">
            <w:pPr>
              <w:spacing w:line="360" w:lineRule="auto"/>
              <w:rPr>
                <w:b/>
              </w:rPr>
            </w:pPr>
            <w:r w:rsidRPr="00F70022">
              <w:rPr>
                <w:b/>
              </w:rPr>
              <w:t>4</w:t>
            </w:r>
          </w:p>
        </w:tc>
        <w:tc>
          <w:tcPr>
            <w:tcW w:w="998" w:type="dxa"/>
          </w:tcPr>
          <w:p w14:paraId="70456A9E" w14:textId="77777777" w:rsidR="00FA3959" w:rsidRPr="00F70022" w:rsidRDefault="00FA3959" w:rsidP="004412D9">
            <w:pPr>
              <w:spacing w:line="360" w:lineRule="auto"/>
              <w:rPr>
                <w:b/>
              </w:rPr>
            </w:pPr>
            <w:r w:rsidRPr="00F70022">
              <w:rPr>
                <w:b/>
              </w:rPr>
              <w:t>5</w:t>
            </w:r>
          </w:p>
        </w:tc>
        <w:tc>
          <w:tcPr>
            <w:tcW w:w="998" w:type="dxa"/>
          </w:tcPr>
          <w:p w14:paraId="32182962" w14:textId="77777777" w:rsidR="00FA3959" w:rsidRPr="00F70022" w:rsidRDefault="00FA3959" w:rsidP="004412D9">
            <w:pPr>
              <w:spacing w:line="360" w:lineRule="auto"/>
              <w:rPr>
                <w:b/>
              </w:rPr>
            </w:pPr>
            <w:r w:rsidRPr="00F70022">
              <w:rPr>
                <w:b/>
              </w:rPr>
              <w:t>6</w:t>
            </w:r>
          </w:p>
        </w:tc>
        <w:tc>
          <w:tcPr>
            <w:tcW w:w="998" w:type="dxa"/>
          </w:tcPr>
          <w:p w14:paraId="63F86359" w14:textId="77777777" w:rsidR="00FA3959" w:rsidRPr="00F70022" w:rsidRDefault="00FA3959" w:rsidP="004412D9">
            <w:pPr>
              <w:spacing w:line="360" w:lineRule="auto"/>
              <w:rPr>
                <w:b/>
              </w:rPr>
            </w:pPr>
            <w:r w:rsidRPr="00F70022">
              <w:rPr>
                <w:b/>
              </w:rPr>
              <w:t>7</w:t>
            </w:r>
          </w:p>
        </w:tc>
      </w:tr>
      <w:tr w:rsidR="00FA3959" w14:paraId="0CF49F8B" w14:textId="77777777" w:rsidTr="00F05DAF">
        <w:tc>
          <w:tcPr>
            <w:tcW w:w="1423" w:type="dxa"/>
            <w:vMerge w:val="restart"/>
          </w:tcPr>
          <w:p w14:paraId="180678C8" w14:textId="77777777" w:rsidR="00FA3959" w:rsidRPr="005D2FBC" w:rsidRDefault="00FA3959" w:rsidP="004412D9">
            <w:pPr>
              <w:spacing w:line="360" w:lineRule="auto"/>
              <w:rPr>
                <w:b/>
              </w:rPr>
            </w:pPr>
            <w:r>
              <w:rPr>
                <w:b/>
              </w:rPr>
              <w:t>Vascular consultants</w:t>
            </w:r>
          </w:p>
        </w:tc>
        <w:tc>
          <w:tcPr>
            <w:tcW w:w="827" w:type="dxa"/>
          </w:tcPr>
          <w:p w14:paraId="4B544DCC" w14:textId="77777777" w:rsidR="00FA3959" w:rsidRPr="00F70022" w:rsidRDefault="00FA3959" w:rsidP="004412D9">
            <w:pPr>
              <w:spacing w:line="360" w:lineRule="auto"/>
              <w:rPr>
                <w:b/>
              </w:rPr>
            </w:pPr>
            <w:r w:rsidRPr="00F70022">
              <w:rPr>
                <w:b/>
              </w:rPr>
              <w:t>1</w:t>
            </w:r>
          </w:p>
        </w:tc>
        <w:tc>
          <w:tcPr>
            <w:tcW w:w="998" w:type="dxa"/>
            <w:shd w:val="clear" w:color="auto" w:fill="000000" w:themeFill="text1"/>
          </w:tcPr>
          <w:p w14:paraId="7C396D56" w14:textId="77777777" w:rsidR="00FA3959" w:rsidRDefault="00FA3959" w:rsidP="004412D9">
            <w:pPr>
              <w:spacing w:line="360" w:lineRule="auto"/>
              <w:rPr>
                <w:u w:val="single"/>
              </w:rPr>
            </w:pPr>
          </w:p>
        </w:tc>
        <w:tc>
          <w:tcPr>
            <w:tcW w:w="998" w:type="dxa"/>
          </w:tcPr>
          <w:p w14:paraId="42248177" w14:textId="77777777" w:rsidR="00FA3959" w:rsidRDefault="00FA3959" w:rsidP="004412D9">
            <w:pPr>
              <w:spacing w:line="360" w:lineRule="auto"/>
              <w:rPr>
                <w:u w:val="single"/>
              </w:rPr>
            </w:pPr>
            <w:r w:rsidRPr="00F65A6E">
              <w:t>0.094</w:t>
            </w:r>
          </w:p>
        </w:tc>
        <w:tc>
          <w:tcPr>
            <w:tcW w:w="998" w:type="dxa"/>
          </w:tcPr>
          <w:p w14:paraId="0D878A93" w14:textId="77777777" w:rsidR="00FA3959" w:rsidRDefault="00FA3959" w:rsidP="004412D9">
            <w:pPr>
              <w:spacing w:line="360" w:lineRule="auto"/>
              <w:rPr>
                <w:u w:val="single"/>
              </w:rPr>
            </w:pPr>
            <w:r w:rsidRPr="00F65A6E">
              <w:t>0.064</w:t>
            </w:r>
          </w:p>
        </w:tc>
        <w:tc>
          <w:tcPr>
            <w:tcW w:w="998" w:type="dxa"/>
          </w:tcPr>
          <w:p w14:paraId="23DBE2CD" w14:textId="77777777" w:rsidR="00FA3959" w:rsidRDefault="00FA3959" w:rsidP="004412D9">
            <w:pPr>
              <w:spacing w:line="360" w:lineRule="auto"/>
              <w:rPr>
                <w:u w:val="single"/>
              </w:rPr>
            </w:pPr>
            <w:r w:rsidRPr="00F65A6E">
              <w:t>0.083</w:t>
            </w:r>
          </w:p>
        </w:tc>
        <w:tc>
          <w:tcPr>
            <w:tcW w:w="998" w:type="dxa"/>
          </w:tcPr>
          <w:p w14:paraId="45988B32" w14:textId="77777777" w:rsidR="00FA3959" w:rsidRDefault="00FA3959" w:rsidP="004412D9">
            <w:pPr>
              <w:spacing w:line="360" w:lineRule="auto"/>
              <w:rPr>
                <w:u w:val="single"/>
              </w:rPr>
            </w:pPr>
            <w:r w:rsidRPr="00F65A6E">
              <w:t>0.021</w:t>
            </w:r>
          </w:p>
        </w:tc>
        <w:tc>
          <w:tcPr>
            <w:tcW w:w="998" w:type="dxa"/>
          </w:tcPr>
          <w:p w14:paraId="0820C3E6" w14:textId="77777777" w:rsidR="00FA3959" w:rsidRDefault="00FA3959" w:rsidP="004412D9">
            <w:pPr>
              <w:spacing w:line="360" w:lineRule="auto"/>
              <w:rPr>
                <w:u w:val="single"/>
              </w:rPr>
            </w:pPr>
            <w:r w:rsidRPr="00F65A6E">
              <w:t>0.124</w:t>
            </w:r>
          </w:p>
        </w:tc>
        <w:tc>
          <w:tcPr>
            <w:tcW w:w="998" w:type="dxa"/>
          </w:tcPr>
          <w:p w14:paraId="6C081403" w14:textId="77777777" w:rsidR="00FA3959" w:rsidRDefault="00FA3959" w:rsidP="004412D9">
            <w:pPr>
              <w:spacing w:line="360" w:lineRule="auto"/>
              <w:rPr>
                <w:u w:val="single"/>
              </w:rPr>
            </w:pPr>
            <w:r w:rsidRPr="00F65A6E">
              <w:t>-0.065</w:t>
            </w:r>
          </w:p>
        </w:tc>
      </w:tr>
      <w:tr w:rsidR="00FA3959" w14:paraId="25A90B9B" w14:textId="77777777" w:rsidTr="00F05DAF">
        <w:tc>
          <w:tcPr>
            <w:tcW w:w="1423" w:type="dxa"/>
            <w:vMerge/>
          </w:tcPr>
          <w:p w14:paraId="1F995311" w14:textId="77777777" w:rsidR="00FA3959" w:rsidRPr="005D2FBC" w:rsidRDefault="00FA3959" w:rsidP="004412D9">
            <w:pPr>
              <w:spacing w:line="360" w:lineRule="auto"/>
              <w:rPr>
                <w:b/>
              </w:rPr>
            </w:pPr>
          </w:p>
        </w:tc>
        <w:tc>
          <w:tcPr>
            <w:tcW w:w="827" w:type="dxa"/>
          </w:tcPr>
          <w:p w14:paraId="58147629" w14:textId="77777777" w:rsidR="00FA3959" w:rsidRPr="00F70022" w:rsidRDefault="00FA3959" w:rsidP="004412D9">
            <w:pPr>
              <w:spacing w:line="360" w:lineRule="auto"/>
              <w:rPr>
                <w:b/>
              </w:rPr>
            </w:pPr>
            <w:r w:rsidRPr="00F70022">
              <w:rPr>
                <w:b/>
              </w:rPr>
              <w:t>2</w:t>
            </w:r>
          </w:p>
        </w:tc>
        <w:tc>
          <w:tcPr>
            <w:tcW w:w="998" w:type="dxa"/>
          </w:tcPr>
          <w:p w14:paraId="2405EB92" w14:textId="77777777" w:rsidR="00FA3959" w:rsidRDefault="00FA3959" w:rsidP="004412D9">
            <w:pPr>
              <w:spacing w:line="360" w:lineRule="auto"/>
              <w:rPr>
                <w:u w:val="single"/>
              </w:rPr>
            </w:pPr>
            <w:r w:rsidRPr="00F65A6E">
              <w:t>0.094</w:t>
            </w:r>
          </w:p>
        </w:tc>
        <w:tc>
          <w:tcPr>
            <w:tcW w:w="998" w:type="dxa"/>
            <w:shd w:val="clear" w:color="auto" w:fill="000000" w:themeFill="text1"/>
          </w:tcPr>
          <w:p w14:paraId="122B105E" w14:textId="77777777" w:rsidR="00FA3959" w:rsidRDefault="00FA3959" w:rsidP="004412D9">
            <w:pPr>
              <w:spacing w:line="360" w:lineRule="auto"/>
              <w:rPr>
                <w:u w:val="single"/>
              </w:rPr>
            </w:pPr>
          </w:p>
        </w:tc>
        <w:tc>
          <w:tcPr>
            <w:tcW w:w="998" w:type="dxa"/>
          </w:tcPr>
          <w:p w14:paraId="191F8ED6" w14:textId="77777777" w:rsidR="00FA3959" w:rsidRDefault="00FA3959" w:rsidP="004412D9">
            <w:pPr>
              <w:spacing w:line="360" w:lineRule="auto"/>
              <w:rPr>
                <w:u w:val="single"/>
              </w:rPr>
            </w:pPr>
            <w:r w:rsidRPr="00F65A6E">
              <w:t>0.188</w:t>
            </w:r>
          </w:p>
        </w:tc>
        <w:tc>
          <w:tcPr>
            <w:tcW w:w="998" w:type="dxa"/>
          </w:tcPr>
          <w:p w14:paraId="6AB7736B" w14:textId="77777777" w:rsidR="00FA3959" w:rsidRDefault="00FA3959" w:rsidP="004412D9">
            <w:pPr>
              <w:spacing w:line="360" w:lineRule="auto"/>
              <w:rPr>
                <w:u w:val="single"/>
              </w:rPr>
            </w:pPr>
            <w:r w:rsidRPr="00F65A6E">
              <w:t>0.385</w:t>
            </w:r>
          </w:p>
        </w:tc>
        <w:tc>
          <w:tcPr>
            <w:tcW w:w="998" w:type="dxa"/>
          </w:tcPr>
          <w:p w14:paraId="1AD3BB3F" w14:textId="77777777" w:rsidR="00FA3959" w:rsidRDefault="00FA3959" w:rsidP="004412D9">
            <w:pPr>
              <w:spacing w:line="360" w:lineRule="auto"/>
              <w:rPr>
                <w:u w:val="single"/>
              </w:rPr>
            </w:pPr>
            <w:r w:rsidRPr="00F65A6E">
              <w:t>0.579</w:t>
            </w:r>
          </w:p>
        </w:tc>
        <w:tc>
          <w:tcPr>
            <w:tcW w:w="998" w:type="dxa"/>
          </w:tcPr>
          <w:p w14:paraId="47C31E87" w14:textId="77777777" w:rsidR="00FA3959" w:rsidRDefault="00FA3959" w:rsidP="004412D9">
            <w:pPr>
              <w:spacing w:line="360" w:lineRule="auto"/>
              <w:rPr>
                <w:u w:val="single"/>
              </w:rPr>
            </w:pPr>
            <w:r w:rsidRPr="00F65A6E">
              <w:t>0.563</w:t>
            </w:r>
          </w:p>
        </w:tc>
        <w:tc>
          <w:tcPr>
            <w:tcW w:w="998" w:type="dxa"/>
          </w:tcPr>
          <w:p w14:paraId="2376F531" w14:textId="77777777" w:rsidR="00FA3959" w:rsidRDefault="00FA3959" w:rsidP="004412D9">
            <w:pPr>
              <w:spacing w:line="360" w:lineRule="auto"/>
              <w:rPr>
                <w:u w:val="single"/>
              </w:rPr>
            </w:pPr>
            <w:r w:rsidRPr="00F65A6E">
              <w:t>0.434</w:t>
            </w:r>
          </w:p>
        </w:tc>
      </w:tr>
      <w:tr w:rsidR="00FA3959" w14:paraId="0767F517" w14:textId="77777777" w:rsidTr="00F05DAF">
        <w:tc>
          <w:tcPr>
            <w:tcW w:w="1423" w:type="dxa"/>
            <w:vMerge w:val="restart"/>
          </w:tcPr>
          <w:p w14:paraId="612EF2A1" w14:textId="77777777" w:rsidR="00FA3959" w:rsidRPr="005D2FBC" w:rsidRDefault="00FA3959" w:rsidP="004412D9">
            <w:pPr>
              <w:spacing w:line="360" w:lineRule="auto"/>
              <w:rPr>
                <w:b/>
              </w:rPr>
            </w:pPr>
            <w:r>
              <w:rPr>
                <w:b/>
              </w:rPr>
              <w:t>Vascular trainees</w:t>
            </w:r>
          </w:p>
        </w:tc>
        <w:tc>
          <w:tcPr>
            <w:tcW w:w="827" w:type="dxa"/>
          </w:tcPr>
          <w:p w14:paraId="611EE29A" w14:textId="77777777" w:rsidR="00FA3959" w:rsidRPr="00F70022" w:rsidRDefault="00FA3959" w:rsidP="004412D9">
            <w:pPr>
              <w:spacing w:line="360" w:lineRule="auto"/>
              <w:rPr>
                <w:b/>
              </w:rPr>
            </w:pPr>
            <w:r w:rsidRPr="00F70022">
              <w:rPr>
                <w:b/>
              </w:rPr>
              <w:t>3</w:t>
            </w:r>
          </w:p>
        </w:tc>
        <w:tc>
          <w:tcPr>
            <w:tcW w:w="998" w:type="dxa"/>
          </w:tcPr>
          <w:p w14:paraId="78E81F29" w14:textId="77777777" w:rsidR="00FA3959" w:rsidRDefault="00FA3959" w:rsidP="004412D9">
            <w:pPr>
              <w:spacing w:line="360" w:lineRule="auto"/>
              <w:rPr>
                <w:u w:val="single"/>
              </w:rPr>
            </w:pPr>
            <w:r w:rsidRPr="00F65A6E">
              <w:t>0.064</w:t>
            </w:r>
          </w:p>
        </w:tc>
        <w:tc>
          <w:tcPr>
            <w:tcW w:w="998" w:type="dxa"/>
          </w:tcPr>
          <w:p w14:paraId="7C005357" w14:textId="77777777" w:rsidR="00FA3959" w:rsidRDefault="00FA3959" w:rsidP="004412D9">
            <w:pPr>
              <w:spacing w:line="360" w:lineRule="auto"/>
              <w:rPr>
                <w:u w:val="single"/>
              </w:rPr>
            </w:pPr>
            <w:r w:rsidRPr="00F65A6E">
              <w:t>0.188</w:t>
            </w:r>
          </w:p>
        </w:tc>
        <w:tc>
          <w:tcPr>
            <w:tcW w:w="998" w:type="dxa"/>
            <w:shd w:val="clear" w:color="auto" w:fill="000000" w:themeFill="text1"/>
          </w:tcPr>
          <w:p w14:paraId="338A1CBA" w14:textId="77777777" w:rsidR="00FA3959" w:rsidRDefault="00FA3959" w:rsidP="004412D9">
            <w:pPr>
              <w:spacing w:line="360" w:lineRule="auto"/>
              <w:rPr>
                <w:u w:val="single"/>
              </w:rPr>
            </w:pPr>
          </w:p>
        </w:tc>
        <w:tc>
          <w:tcPr>
            <w:tcW w:w="998" w:type="dxa"/>
          </w:tcPr>
          <w:p w14:paraId="547CE99B" w14:textId="77777777" w:rsidR="00FA3959" w:rsidRDefault="00FA3959" w:rsidP="004412D9">
            <w:pPr>
              <w:spacing w:line="360" w:lineRule="auto"/>
              <w:rPr>
                <w:u w:val="single"/>
              </w:rPr>
            </w:pPr>
            <w:r w:rsidRPr="00F65A6E">
              <w:t>0.091</w:t>
            </w:r>
          </w:p>
        </w:tc>
        <w:tc>
          <w:tcPr>
            <w:tcW w:w="998" w:type="dxa"/>
          </w:tcPr>
          <w:p w14:paraId="571AB793" w14:textId="77777777" w:rsidR="00FA3959" w:rsidRDefault="00FA3959" w:rsidP="004412D9">
            <w:pPr>
              <w:spacing w:line="360" w:lineRule="auto"/>
              <w:rPr>
                <w:u w:val="single"/>
              </w:rPr>
            </w:pPr>
            <w:r w:rsidRPr="00F65A6E">
              <w:t>0.275</w:t>
            </w:r>
          </w:p>
        </w:tc>
        <w:tc>
          <w:tcPr>
            <w:tcW w:w="998" w:type="dxa"/>
          </w:tcPr>
          <w:p w14:paraId="37015B31" w14:textId="77777777" w:rsidR="00FA3959" w:rsidRDefault="00FA3959" w:rsidP="004412D9">
            <w:pPr>
              <w:spacing w:line="360" w:lineRule="auto"/>
              <w:rPr>
                <w:u w:val="single"/>
              </w:rPr>
            </w:pPr>
            <w:r w:rsidRPr="00F65A6E">
              <w:t>0.232</w:t>
            </w:r>
          </w:p>
        </w:tc>
        <w:tc>
          <w:tcPr>
            <w:tcW w:w="998" w:type="dxa"/>
          </w:tcPr>
          <w:p w14:paraId="4A144A01" w14:textId="77777777" w:rsidR="00FA3959" w:rsidRDefault="00FA3959" w:rsidP="004412D9">
            <w:pPr>
              <w:spacing w:line="360" w:lineRule="auto"/>
              <w:rPr>
                <w:u w:val="single"/>
              </w:rPr>
            </w:pPr>
            <w:r w:rsidRPr="00F65A6E">
              <w:t>0.126</w:t>
            </w:r>
          </w:p>
        </w:tc>
      </w:tr>
      <w:tr w:rsidR="00FA3959" w14:paraId="13620BB7" w14:textId="77777777" w:rsidTr="00F05DAF">
        <w:tc>
          <w:tcPr>
            <w:tcW w:w="1423" w:type="dxa"/>
            <w:vMerge/>
          </w:tcPr>
          <w:p w14:paraId="3A3215F9" w14:textId="77777777" w:rsidR="00FA3959" w:rsidRPr="005D2FBC" w:rsidRDefault="00FA3959" w:rsidP="004412D9">
            <w:pPr>
              <w:spacing w:line="360" w:lineRule="auto"/>
              <w:rPr>
                <w:b/>
              </w:rPr>
            </w:pPr>
          </w:p>
        </w:tc>
        <w:tc>
          <w:tcPr>
            <w:tcW w:w="827" w:type="dxa"/>
          </w:tcPr>
          <w:p w14:paraId="2E81C827" w14:textId="77777777" w:rsidR="00FA3959" w:rsidRPr="00F70022" w:rsidRDefault="00FA3959" w:rsidP="004412D9">
            <w:pPr>
              <w:spacing w:line="360" w:lineRule="auto"/>
              <w:rPr>
                <w:b/>
              </w:rPr>
            </w:pPr>
            <w:r w:rsidRPr="00F70022">
              <w:rPr>
                <w:b/>
              </w:rPr>
              <w:t>4</w:t>
            </w:r>
          </w:p>
        </w:tc>
        <w:tc>
          <w:tcPr>
            <w:tcW w:w="998" w:type="dxa"/>
          </w:tcPr>
          <w:p w14:paraId="43E839B7" w14:textId="77777777" w:rsidR="00FA3959" w:rsidRDefault="00FA3959" w:rsidP="004412D9">
            <w:pPr>
              <w:spacing w:line="360" w:lineRule="auto"/>
              <w:rPr>
                <w:u w:val="single"/>
              </w:rPr>
            </w:pPr>
            <w:r w:rsidRPr="00F65A6E">
              <w:t>0.083</w:t>
            </w:r>
          </w:p>
        </w:tc>
        <w:tc>
          <w:tcPr>
            <w:tcW w:w="998" w:type="dxa"/>
          </w:tcPr>
          <w:p w14:paraId="3EFAE823" w14:textId="77777777" w:rsidR="00FA3959" w:rsidRDefault="00FA3959" w:rsidP="004412D9">
            <w:pPr>
              <w:spacing w:line="360" w:lineRule="auto"/>
              <w:rPr>
                <w:u w:val="single"/>
              </w:rPr>
            </w:pPr>
            <w:r w:rsidRPr="00F65A6E">
              <w:t>0.385</w:t>
            </w:r>
          </w:p>
        </w:tc>
        <w:tc>
          <w:tcPr>
            <w:tcW w:w="998" w:type="dxa"/>
          </w:tcPr>
          <w:p w14:paraId="3AA86B92" w14:textId="77777777" w:rsidR="00FA3959" w:rsidRDefault="00FA3959" w:rsidP="004412D9">
            <w:pPr>
              <w:spacing w:line="360" w:lineRule="auto"/>
              <w:rPr>
                <w:u w:val="single"/>
              </w:rPr>
            </w:pPr>
            <w:r w:rsidRPr="00F65A6E">
              <w:t>0.091</w:t>
            </w:r>
          </w:p>
        </w:tc>
        <w:tc>
          <w:tcPr>
            <w:tcW w:w="998" w:type="dxa"/>
            <w:shd w:val="clear" w:color="auto" w:fill="000000" w:themeFill="text1"/>
          </w:tcPr>
          <w:p w14:paraId="6A33863F" w14:textId="77777777" w:rsidR="00FA3959" w:rsidRDefault="00FA3959" w:rsidP="004412D9">
            <w:pPr>
              <w:spacing w:line="360" w:lineRule="auto"/>
              <w:rPr>
                <w:u w:val="single"/>
              </w:rPr>
            </w:pPr>
          </w:p>
        </w:tc>
        <w:tc>
          <w:tcPr>
            <w:tcW w:w="998" w:type="dxa"/>
          </w:tcPr>
          <w:p w14:paraId="55B2004B" w14:textId="77777777" w:rsidR="00FA3959" w:rsidRDefault="00FA3959" w:rsidP="004412D9">
            <w:pPr>
              <w:spacing w:line="360" w:lineRule="auto"/>
              <w:rPr>
                <w:u w:val="single"/>
              </w:rPr>
            </w:pPr>
            <w:r w:rsidRPr="00F65A6E">
              <w:t>0.34</w:t>
            </w:r>
          </w:p>
        </w:tc>
        <w:tc>
          <w:tcPr>
            <w:tcW w:w="998" w:type="dxa"/>
          </w:tcPr>
          <w:p w14:paraId="28C21C2F" w14:textId="77777777" w:rsidR="00FA3959" w:rsidRDefault="00FA3959" w:rsidP="004412D9">
            <w:pPr>
              <w:spacing w:line="360" w:lineRule="auto"/>
              <w:rPr>
                <w:u w:val="single"/>
              </w:rPr>
            </w:pPr>
            <w:r w:rsidRPr="00F65A6E">
              <w:t>0.436</w:t>
            </w:r>
          </w:p>
        </w:tc>
        <w:tc>
          <w:tcPr>
            <w:tcW w:w="998" w:type="dxa"/>
          </w:tcPr>
          <w:p w14:paraId="39BFEFDF" w14:textId="77777777" w:rsidR="00FA3959" w:rsidRDefault="00FA3959" w:rsidP="004412D9">
            <w:pPr>
              <w:spacing w:line="360" w:lineRule="auto"/>
              <w:rPr>
                <w:u w:val="single"/>
              </w:rPr>
            </w:pPr>
            <w:r w:rsidRPr="00F65A6E">
              <w:t>0.505</w:t>
            </w:r>
          </w:p>
        </w:tc>
      </w:tr>
      <w:tr w:rsidR="00FA3959" w14:paraId="7A018209" w14:textId="77777777" w:rsidTr="00F05DAF">
        <w:tc>
          <w:tcPr>
            <w:tcW w:w="1423" w:type="dxa"/>
            <w:vMerge w:val="restart"/>
          </w:tcPr>
          <w:p w14:paraId="33682CD2" w14:textId="77777777" w:rsidR="00FA3959" w:rsidRPr="005D2FBC" w:rsidRDefault="00FA3959" w:rsidP="004412D9">
            <w:pPr>
              <w:spacing w:line="360" w:lineRule="auto"/>
              <w:rPr>
                <w:b/>
              </w:rPr>
            </w:pPr>
            <w:r>
              <w:rPr>
                <w:b/>
              </w:rPr>
              <w:t>Radiologists</w:t>
            </w:r>
          </w:p>
        </w:tc>
        <w:tc>
          <w:tcPr>
            <w:tcW w:w="827" w:type="dxa"/>
          </w:tcPr>
          <w:p w14:paraId="3E8C36C0" w14:textId="77777777" w:rsidR="00FA3959" w:rsidRPr="00F70022" w:rsidRDefault="00FA3959" w:rsidP="004412D9">
            <w:pPr>
              <w:spacing w:line="360" w:lineRule="auto"/>
              <w:rPr>
                <w:b/>
              </w:rPr>
            </w:pPr>
            <w:r w:rsidRPr="00F70022">
              <w:rPr>
                <w:b/>
              </w:rPr>
              <w:t>5</w:t>
            </w:r>
          </w:p>
        </w:tc>
        <w:tc>
          <w:tcPr>
            <w:tcW w:w="998" w:type="dxa"/>
          </w:tcPr>
          <w:p w14:paraId="241D4203" w14:textId="77777777" w:rsidR="00FA3959" w:rsidRDefault="00FA3959" w:rsidP="004412D9">
            <w:pPr>
              <w:spacing w:line="360" w:lineRule="auto"/>
              <w:rPr>
                <w:u w:val="single"/>
              </w:rPr>
            </w:pPr>
            <w:r w:rsidRPr="00F65A6E">
              <w:t>0.021</w:t>
            </w:r>
          </w:p>
        </w:tc>
        <w:tc>
          <w:tcPr>
            <w:tcW w:w="998" w:type="dxa"/>
          </w:tcPr>
          <w:p w14:paraId="117A33E6" w14:textId="77777777" w:rsidR="00FA3959" w:rsidRDefault="00FA3959" w:rsidP="004412D9">
            <w:pPr>
              <w:spacing w:line="360" w:lineRule="auto"/>
              <w:rPr>
                <w:u w:val="single"/>
              </w:rPr>
            </w:pPr>
            <w:r w:rsidRPr="00F65A6E">
              <w:t>0.579</w:t>
            </w:r>
          </w:p>
        </w:tc>
        <w:tc>
          <w:tcPr>
            <w:tcW w:w="998" w:type="dxa"/>
          </w:tcPr>
          <w:p w14:paraId="1825CAFC" w14:textId="77777777" w:rsidR="00FA3959" w:rsidRDefault="00FA3959" w:rsidP="004412D9">
            <w:pPr>
              <w:spacing w:line="360" w:lineRule="auto"/>
              <w:rPr>
                <w:u w:val="single"/>
              </w:rPr>
            </w:pPr>
            <w:r w:rsidRPr="00F65A6E">
              <w:t>0.275</w:t>
            </w:r>
          </w:p>
        </w:tc>
        <w:tc>
          <w:tcPr>
            <w:tcW w:w="998" w:type="dxa"/>
          </w:tcPr>
          <w:p w14:paraId="7CE8E382" w14:textId="77777777" w:rsidR="00FA3959" w:rsidRDefault="00FA3959" w:rsidP="004412D9">
            <w:pPr>
              <w:spacing w:line="360" w:lineRule="auto"/>
              <w:rPr>
                <w:u w:val="single"/>
              </w:rPr>
            </w:pPr>
            <w:r w:rsidRPr="00F65A6E">
              <w:t>0.34</w:t>
            </w:r>
            <w:r>
              <w:t>0</w:t>
            </w:r>
          </w:p>
        </w:tc>
        <w:tc>
          <w:tcPr>
            <w:tcW w:w="998" w:type="dxa"/>
            <w:shd w:val="clear" w:color="auto" w:fill="000000" w:themeFill="text1"/>
          </w:tcPr>
          <w:p w14:paraId="0D6CFAC0" w14:textId="77777777" w:rsidR="00FA3959" w:rsidRDefault="00FA3959" w:rsidP="004412D9">
            <w:pPr>
              <w:spacing w:line="360" w:lineRule="auto"/>
              <w:rPr>
                <w:u w:val="single"/>
              </w:rPr>
            </w:pPr>
          </w:p>
        </w:tc>
        <w:tc>
          <w:tcPr>
            <w:tcW w:w="998" w:type="dxa"/>
          </w:tcPr>
          <w:p w14:paraId="28DC496E" w14:textId="77777777" w:rsidR="00FA3959" w:rsidRDefault="00FA3959" w:rsidP="004412D9">
            <w:pPr>
              <w:spacing w:line="360" w:lineRule="auto"/>
              <w:rPr>
                <w:u w:val="single"/>
              </w:rPr>
            </w:pPr>
            <w:r w:rsidRPr="00F65A6E">
              <w:t>0.484</w:t>
            </w:r>
          </w:p>
        </w:tc>
        <w:tc>
          <w:tcPr>
            <w:tcW w:w="998" w:type="dxa"/>
          </w:tcPr>
          <w:p w14:paraId="25F9C4D9" w14:textId="77777777" w:rsidR="00FA3959" w:rsidRDefault="00FA3959" w:rsidP="004412D9">
            <w:pPr>
              <w:spacing w:line="360" w:lineRule="auto"/>
              <w:rPr>
                <w:u w:val="single"/>
              </w:rPr>
            </w:pPr>
            <w:r w:rsidRPr="00F65A6E">
              <w:t>0.538</w:t>
            </w:r>
          </w:p>
        </w:tc>
      </w:tr>
      <w:tr w:rsidR="00FA3959" w14:paraId="67440854" w14:textId="77777777" w:rsidTr="00F05DAF">
        <w:tc>
          <w:tcPr>
            <w:tcW w:w="1423" w:type="dxa"/>
            <w:vMerge/>
          </w:tcPr>
          <w:p w14:paraId="26E67EDE" w14:textId="77777777" w:rsidR="00FA3959" w:rsidRPr="005D2FBC" w:rsidRDefault="00FA3959" w:rsidP="004412D9">
            <w:pPr>
              <w:spacing w:line="360" w:lineRule="auto"/>
              <w:rPr>
                <w:b/>
              </w:rPr>
            </w:pPr>
          </w:p>
        </w:tc>
        <w:tc>
          <w:tcPr>
            <w:tcW w:w="827" w:type="dxa"/>
          </w:tcPr>
          <w:p w14:paraId="739DDE31" w14:textId="77777777" w:rsidR="00FA3959" w:rsidRPr="00F70022" w:rsidRDefault="00FA3959" w:rsidP="004412D9">
            <w:pPr>
              <w:spacing w:line="360" w:lineRule="auto"/>
              <w:rPr>
                <w:b/>
              </w:rPr>
            </w:pPr>
            <w:r w:rsidRPr="00F70022">
              <w:rPr>
                <w:b/>
              </w:rPr>
              <w:t>6</w:t>
            </w:r>
          </w:p>
        </w:tc>
        <w:tc>
          <w:tcPr>
            <w:tcW w:w="998" w:type="dxa"/>
          </w:tcPr>
          <w:p w14:paraId="0A61EBF3" w14:textId="77777777" w:rsidR="00FA3959" w:rsidRDefault="00FA3959" w:rsidP="004412D9">
            <w:pPr>
              <w:spacing w:line="360" w:lineRule="auto"/>
              <w:rPr>
                <w:u w:val="single"/>
              </w:rPr>
            </w:pPr>
            <w:r w:rsidRPr="00F65A6E">
              <w:t>0.124</w:t>
            </w:r>
          </w:p>
        </w:tc>
        <w:tc>
          <w:tcPr>
            <w:tcW w:w="998" w:type="dxa"/>
          </w:tcPr>
          <w:p w14:paraId="69A57D5A" w14:textId="77777777" w:rsidR="00FA3959" w:rsidRDefault="00FA3959" w:rsidP="004412D9">
            <w:pPr>
              <w:spacing w:line="360" w:lineRule="auto"/>
              <w:rPr>
                <w:u w:val="single"/>
              </w:rPr>
            </w:pPr>
            <w:r w:rsidRPr="00F65A6E">
              <w:t>0.563</w:t>
            </w:r>
          </w:p>
        </w:tc>
        <w:tc>
          <w:tcPr>
            <w:tcW w:w="998" w:type="dxa"/>
          </w:tcPr>
          <w:p w14:paraId="0CC6C8C1" w14:textId="77777777" w:rsidR="00FA3959" w:rsidRDefault="00FA3959" w:rsidP="004412D9">
            <w:pPr>
              <w:spacing w:line="360" w:lineRule="auto"/>
              <w:rPr>
                <w:u w:val="single"/>
              </w:rPr>
            </w:pPr>
            <w:r w:rsidRPr="00F65A6E">
              <w:t>0.232</w:t>
            </w:r>
          </w:p>
        </w:tc>
        <w:tc>
          <w:tcPr>
            <w:tcW w:w="998" w:type="dxa"/>
          </w:tcPr>
          <w:p w14:paraId="41104C89" w14:textId="77777777" w:rsidR="00FA3959" w:rsidRDefault="00FA3959" w:rsidP="004412D9">
            <w:pPr>
              <w:spacing w:line="360" w:lineRule="auto"/>
              <w:rPr>
                <w:u w:val="single"/>
              </w:rPr>
            </w:pPr>
            <w:r w:rsidRPr="00F65A6E">
              <w:t>0.436</w:t>
            </w:r>
          </w:p>
        </w:tc>
        <w:tc>
          <w:tcPr>
            <w:tcW w:w="998" w:type="dxa"/>
          </w:tcPr>
          <w:p w14:paraId="2954F4FE" w14:textId="77777777" w:rsidR="00FA3959" w:rsidRDefault="00FA3959" w:rsidP="004412D9">
            <w:pPr>
              <w:spacing w:line="360" w:lineRule="auto"/>
              <w:rPr>
                <w:u w:val="single"/>
              </w:rPr>
            </w:pPr>
            <w:r w:rsidRPr="00F65A6E">
              <w:t>0.484</w:t>
            </w:r>
          </w:p>
        </w:tc>
        <w:tc>
          <w:tcPr>
            <w:tcW w:w="998" w:type="dxa"/>
            <w:shd w:val="clear" w:color="auto" w:fill="000000" w:themeFill="text1"/>
          </w:tcPr>
          <w:p w14:paraId="3B478A38" w14:textId="77777777" w:rsidR="00FA3959" w:rsidRDefault="00FA3959" w:rsidP="004412D9">
            <w:pPr>
              <w:spacing w:line="360" w:lineRule="auto"/>
              <w:rPr>
                <w:u w:val="single"/>
              </w:rPr>
            </w:pPr>
          </w:p>
        </w:tc>
        <w:tc>
          <w:tcPr>
            <w:tcW w:w="998" w:type="dxa"/>
          </w:tcPr>
          <w:p w14:paraId="428E46EF" w14:textId="77777777" w:rsidR="00FA3959" w:rsidRDefault="00FA3959" w:rsidP="004412D9">
            <w:pPr>
              <w:spacing w:line="360" w:lineRule="auto"/>
              <w:rPr>
                <w:u w:val="single"/>
              </w:rPr>
            </w:pPr>
            <w:r w:rsidRPr="00F65A6E">
              <w:t>0.5</w:t>
            </w:r>
            <w:r>
              <w:t>00</w:t>
            </w:r>
          </w:p>
        </w:tc>
      </w:tr>
      <w:tr w:rsidR="00FA3959" w14:paraId="4F28419D" w14:textId="77777777" w:rsidTr="00F05DAF">
        <w:tc>
          <w:tcPr>
            <w:tcW w:w="1423" w:type="dxa"/>
            <w:vMerge/>
          </w:tcPr>
          <w:p w14:paraId="38005FA0" w14:textId="77777777" w:rsidR="00FA3959" w:rsidRPr="005D2FBC" w:rsidRDefault="00FA3959" w:rsidP="004412D9">
            <w:pPr>
              <w:spacing w:line="360" w:lineRule="auto"/>
              <w:rPr>
                <w:b/>
              </w:rPr>
            </w:pPr>
          </w:p>
        </w:tc>
        <w:tc>
          <w:tcPr>
            <w:tcW w:w="827" w:type="dxa"/>
          </w:tcPr>
          <w:p w14:paraId="01614031" w14:textId="77777777" w:rsidR="00FA3959" w:rsidRPr="00F70022" w:rsidRDefault="00FA3959" w:rsidP="004412D9">
            <w:pPr>
              <w:spacing w:line="360" w:lineRule="auto"/>
              <w:rPr>
                <w:b/>
              </w:rPr>
            </w:pPr>
            <w:r w:rsidRPr="00F70022">
              <w:rPr>
                <w:b/>
              </w:rPr>
              <w:t>7</w:t>
            </w:r>
          </w:p>
        </w:tc>
        <w:tc>
          <w:tcPr>
            <w:tcW w:w="998" w:type="dxa"/>
          </w:tcPr>
          <w:p w14:paraId="0AE83AB9" w14:textId="77777777" w:rsidR="00FA3959" w:rsidRDefault="00FA3959" w:rsidP="004412D9">
            <w:pPr>
              <w:spacing w:line="360" w:lineRule="auto"/>
              <w:rPr>
                <w:u w:val="single"/>
              </w:rPr>
            </w:pPr>
            <w:r w:rsidRPr="00F65A6E">
              <w:t>-0.065</w:t>
            </w:r>
          </w:p>
        </w:tc>
        <w:tc>
          <w:tcPr>
            <w:tcW w:w="998" w:type="dxa"/>
          </w:tcPr>
          <w:p w14:paraId="0A21710D" w14:textId="77777777" w:rsidR="00FA3959" w:rsidRDefault="00FA3959" w:rsidP="004412D9">
            <w:pPr>
              <w:spacing w:line="360" w:lineRule="auto"/>
              <w:rPr>
                <w:u w:val="single"/>
              </w:rPr>
            </w:pPr>
            <w:r w:rsidRPr="00F65A6E">
              <w:t>0.434</w:t>
            </w:r>
          </w:p>
        </w:tc>
        <w:tc>
          <w:tcPr>
            <w:tcW w:w="998" w:type="dxa"/>
          </w:tcPr>
          <w:p w14:paraId="3FFAB449" w14:textId="77777777" w:rsidR="00FA3959" w:rsidRDefault="00FA3959" w:rsidP="004412D9">
            <w:pPr>
              <w:spacing w:line="360" w:lineRule="auto"/>
              <w:rPr>
                <w:u w:val="single"/>
              </w:rPr>
            </w:pPr>
            <w:r w:rsidRPr="00F65A6E">
              <w:t>0.126</w:t>
            </w:r>
          </w:p>
        </w:tc>
        <w:tc>
          <w:tcPr>
            <w:tcW w:w="998" w:type="dxa"/>
          </w:tcPr>
          <w:p w14:paraId="0FE32B54" w14:textId="77777777" w:rsidR="00FA3959" w:rsidRDefault="00FA3959" w:rsidP="004412D9">
            <w:pPr>
              <w:spacing w:line="360" w:lineRule="auto"/>
              <w:rPr>
                <w:u w:val="single"/>
              </w:rPr>
            </w:pPr>
            <w:r w:rsidRPr="00F65A6E">
              <w:t>0.505</w:t>
            </w:r>
          </w:p>
        </w:tc>
        <w:tc>
          <w:tcPr>
            <w:tcW w:w="998" w:type="dxa"/>
          </w:tcPr>
          <w:p w14:paraId="1901E65F" w14:textId="77777777" w:rsidR="00FA3959" w:rsidRDefault="00FA3959" w:rsidP="004412D9">
            <w:pPr>
              <w:spacing w:line="360" w:lineRule="auto"/>
              <w:rPr>
                <w:u w:val="single"/>
              </w:rPr>
            </w:pPr>
            <w:r w:rsidRPr="00F65A6E">
              <w:t>0.538</w:t>
            </w:r>
          </w:p>
        </w:tc>
        <w:tc>
          <w:tcPr>
            <w:tcW w:w="998" w:type="dxa"/>
          </w:tcPr>
          <w:p w14:paraId="78EF8E78" w14:textId="77777777" w:rsidR="00FA3959" w:rsidRDefault="00FA3959" w:rsidP="004412D9">
            <w:pPr>
              <w:spacing w:line="360" w:lineRule="auto"/>
              <w:rPr>
                <w:u w:val="single"/>
              </w:rPr>
            </w:pPr>
            <w:r w:rsidRPr="00F65A6E">
              <w:t>0.5</w:t>
            </w:r>
            <w:r>
              <w:t>00</w:t>
            </w:r>
          </w:p>
        </w:tc>
        <w:tc>
          <w:tcPr>
            <w:tcW w:w="998" w:type="dxa"/>
            <w:shd w:val="clear" w:color="auto" w:fill="000000" w:themeFill="text1"/>
          </w:tcPr>
          <w:p w14:paraId="19398822" w14:textId="77777777" w:rsidR="00FA3959" w:rsidRDefault="00FA3959" w:rsidP="004412D9">
            <w:pPr>
              <w:spacing w:line="360" w:lineRule="auto"/>
              <w:rPr>
                <w:u w:val="single"/>
              </w:rPr>
            </w:pPr>
          </w:p>
        </w:tc>
      </w:tr>
    </w:tbl>
    <w:p w14:paraId="3F346276" w14:textId="77777777" w:rsidR="00F05DAF" w:rsidRDefault="00F05DAF" w:rsidP="002241CC">
      <w:pPr>
        <w:spacing w:line="480" w:lineRule="auto"/>
        <w:rPr>
          <w:u w:val="single"/>
        </w:rPr>
      </w:pPr>
    </w:p>
    <w:p w14:paraId="23B526EC" w14:textId="77777777" w:rsidR="00F05DAF" w:rsidRDefault="00F05DAF" w:rsidP="002241CC">
      <w:pPr>
        <w:spacing w:line="480" w:lineRule="auto"/>
        <w:rPr>
          <w:u w:val="single"/>
        </w:rPr>
      </w:pPr>
    </w:p>
    <w:p w14:paraId="5699AED8" w14:textId="350C3703" w:rsidR="000F42F1" w:rsidRDefault="00FA3959" w:rsidP="002241CC">
      <w:pPr>
        <w:spacing w:line="480" w:lineRule="auto"/>
      </w:pPr>
      <w:r w:rsidRPr="00F70022">
        <w:t xml:space="preserve">Agreement between the two vascular consultants </w:t>
      </w:r>
      <w:r w:rsidR="000521B4">
        <w:t xml:space="preserve">and the two vascular trainees </w:t>
      </w:r>
      <w:r w:rsidRPr="00F70022">
        <w:t>was poor (kappa=0.094</w:t>
      </w:r>
      <w:r w:rsidR="000521B4">
        <w:t xml:space="preserve"> and 0.091 respectively</w:t>
      </w:r>
      <w:r w:rsidRPr="00F70022">
        <w:t>)</w:t>
      </w:r>
      <w:r>
        <w:t xml:space="preserve">. </w:t>
      </w:r>
      <w:r w:rsidR="000521B4">
        <w:t>A</w:t>
      </w:r>
      <w:r>
        <w:t xml:space="preserve">greement </w:t>
      </w:r>
      <w:r w:rsidR="00952DD0">
        <w:t xml:space="preserve">among </w:t>
      </w:r>
      <w:r>
        <w:t xml:space="preserve">the three radiologists was </w:t>
      </w:r>
      <w:r w:rsidR="000521B4">
        <w:t xml:space="preserve">weak </w:t>
      </w:r>
      <w:r>
        <w:t xml:space="preserve">(kappa=0.547). </w:t>
      </w:r>
    </w:p>
    <w:p w14:paraId="17D59F5E" w14:textId="77777777" w:rsidR="00F201A5" w:rsidRDefault="00F201A5" w:rsidP="002241CC">
      <w:pPr>
        <w:spacing w:line="480" w:lineRule="auto"/>
        <w:rPr>
          <w:u w:val="single"/>
        </w:rPr>
      </w:pPr>
    </w:p>
    <w:p w14:paraId="5134F6EE" w14:textId="57BA0EC6" w:rsidR="00AC6788" w:rsidRPr="007E2D17" w:rsidRDefault="00F201A5" w:rsidP="002241CC">
      <w:pPr>
        <w:spacing w:line="480" w:lineRule="auto"/>
        <w:rPr>
          <w:b/>
        </w:rPr>
      </w:pPr>
      <w:r w:rsidRPr="007E2D17">
        <w:rPr>
          <w:b/>
        </w:rPr>
        <w:t>Discussion</w:t>
      </w:r>
    </w:p>
    <w:p w14:paraId="1604CFD4" w14:textId="77777777" w:rsidR="00AC6788" w:rsidRDefault="00AC6788" w:rsidP="002241CC">
      <w:pPr>
        <w:spacing w:line="480" w:lineRule="auto"/>
      </w:pPr>
    </w:p>
    <w:p w14:paraId="6D0D2513" w14:textId="53B1AB6F" w:rsidR="00876BB7" w:rsidRDefault="000521B4" w:rsidP="002241CC">
      <w:pPr>
        <w:spacing w:line="480" w:lineRule="auto"/>
      </w:pPr>
      <w:r>
        <w:t>A standardised</w:t>
      </w:r>
      <w:r w:rsidR="00F63489">
        <w:t xml:space="preserve"> classification </w:t>
      </w:r>
      <w:r>
        <w:t xml:space="preserve">for </w:t>
      </w:r>
      <w:proofErr w:type="spellStart"/>
      <w:r>
        <w:t>tibial</w:t>
      </w:r>
      <w:proofErr w:type="spellEnd"/>
      <w:r>
        <w:t xml:space="preserve"> artery disease should </w:t>
      </w:r>
      <w:r w:rsidR="00F63489">
        <w:t xml:space="preserve">allow uniformity in </w:t>
      </w:r>
      <w:r>
        <w:t xml:space="preserve">reporting, </w:t>
      </w:r>
      <w:r w:rsidR="00F63489">
        <w:t xml:space="preserve">both </w:t>
      </w:r>
      <w:r>
        <w:t xml:space="preserve">for </w:t>
      </w:r>
      <w:r w:rsidR="00F63489">
        <w:t xml:space="preserve">clinical and research purposes. </w:t>
      </w:r>
      <w:r w:rsidR="00E35EDA">
        <w:t xml:space="preserve">This study shows there is poor agreement amongst assessors reviewing CTAs when the TASC II classification is </w:t>
      </w:r>
      <w:r>
        <w:t>used</w:t>
      </w:r>
      <w:r w:rsidR="00E35EDA">
        <w:t xml:space="preserve">. </w:t>
      </w:r>
      <w:r>
        <w:t>Even radiologists displayed only weak agr</w:t>
      </w:r>
      <w:r w:rsidR="00210D07">
        <w:t xml:space="preserve">eement in classifying </w:t>
      </w:r>
      <w:proofErr w:type="spellStart"/>
      <w:r w:rsidR="00210D07">
        <w:t>tibial</w:t>
      </w:r>
      <w:proofErr w:type="spellEnd"/>
      <w:r w:rsidR="00210D07">
        <w:t xml:space="preserve"> le</w:t>
      </w:r>
      <w:r>
        <w:t>sions</w:t>
      </w:r>
      <w:r w:rsidR="00F201A5">
        <w:t xml:space="preserve">. </w:t>
      </w:r>
      <w:r w:rsidR="002B1F2C">
        <w:t xml:space="preserve">In contrast to previous </w:t>
      </w:r>
      <w:r w:rsidR="002B1F2C" w:rsidRPr="008D0542">
        <w:t>studies</w:t>
      </w:r>
      <w:r w:rsidR="008D0542">
        <w:t xml:space="preserve"> </w:t>
      </w:r>
      <w:r w:rsidR="008D0542" w:rsidRPr="008D0542">
        <w:rPr>
          <w:vertAlign w:val="superscript"/>
        </w:rPr>
        <w:t>(</w:t>
      </w:r>
      <w:r w:rsidR="008F1842">
        <w:rPr>
          <w:vertAlign w:val="superscript"/>
        </w:rPr>
        <w:t>2</w:t>
      </w:r>
      <w:r w:rsidR="008D0542" w:rsidRPr="008D0542">
        <w:rPr>
          <w:vertAlign w:val="superscript"/>
        </w:rPr>
        <w:t>)</w:t>
      </w:r>
      <w:r w:rsidR="002B1F2C">
        <w:t>,</w:t>
      </w:r>
      <w:r w:rsidR="00F54356">
        <w:t xml:space="preserve"> </w:t>
      </w:r>
      <w:r w:rsidR="002B1F2C">
        <w:t>o</w:t>
      </w:r>
      <w:r w:rsidR="0030697C">
        <w:t>ur results suggest</w:t>
      </w:r>
      <w:r w:rsidR="00FA513E">
        <w:t xml:space="preserve"> </w:t>
      </w:r>
      <w:r>
        <w:t>that either CTA</w:t>
      </w:r>
      <w:r w:rsidR="00B65DAD">
        <w:t xml:space="preserve"> </w:t>
      </w:r>
      <w:r>
        <w:t xml:space="preserve">is </w:t>
      </w:r>
      <w:r w:rsidR="002121B9">
        <w:t xml:space="preserve">inadequate </w:t>
      </w:r>
      <w:r w:rsidR="002B1F2C">
        <w:t>for the assessment of</w:t>
      </w:r>
      <w:r w:rsidR="002121B9">
        <w:t xml:space="preserve"> occlusive </w:t>
      </w:r>
      <w:proofErr w:type="spellStart"/>
      <w:r w:rsidR="002121B9">
        <w:t>tibial</w:t>
      </w:r>
      <w:proofErr w:type="spellEnd"/>
      <w:r w:rsidR="002121B9">
        <w:t xml:space="preserve"> artery disease, or that the TASC II classification is not reproducible, when used for </w:t>
      </w:r>
      <w:proofErr w:type="spellStart"/>
      <w:r w:rsidR="002121B9">
        <w:t>tibial</w:t>
      </w:r>
      <w:proofErr w:type="spellEnd"/>
      <w:r w:rsidR="002121B9">
        <w:t xml:space="preserve"> lesions.</w:t>
      </w:r>
      <w:r w:rsidR="00572DCD">
        <w:t xml:space="preserve"> Our scans </w:t>
      </w:r>
      <w:proofErr w:type="gramStart"/>
      <w:r w:rsidR="00572DCD">
        <w:t>were obtained</w:t>
      </w:r>
      <w:proofErr w:type="gramEnd"/>
      <w:r w:rsidR="00572DCD">
        <w:t xml:space="preserve"> with 2mm thickness slices. However, the real acquisition with our 64-channel helical machine is </w:t>
      </w:r>
      <w:proofErr w:type="spellStart"/>
      <w:r w:rsidR="00572DCD">
        <w:t>submillimetric</w:t>
      </w:r>
      <w:proofErr w:type="spellEnd"/>
      <w:r w:rsidR="00572DCD">
        <w:t xml:space="preserve">, excluding our technique as a reason for poor agreement. </w:t>
      </w:r>
    </w:p>
    <w:p w14:paraId="620AAE58" w14:textId="77777777" w:rsidR="00572DCD" w:rsidRPr="000521B4" w:rsidRDefault="00572DCD" w:rsidP="002241CC">
      <w:pPr>
        <w:spacing w:line="480" w:lineRule="auto"/>
      </w:pPr>
    </w:p>
    <w:p w14:paraId="27FAB0A7" w14:textId="1533A550" w:rsidR="006E3164" w:rsidRDefault="001A23B9" w:rsidP="002241CC">
      <w:pPr>
        <w:spacing w:line="480" w:lineRule="auto"/>
      </w:pPr>
      <w:r>
        <w:t xml:space="preserve">A study observing accuracy of CT in diabetes mellitus showed dual energy CT able to identify critical stenosis </w:t>
      </w:r>
      <w:r w:rsidRPr="001A23B9">
        <w:rPr>
          <w:rFonts w:ascii="Calibri" w:hAnsi="Calibri" w:cs="Georgia"/>
          <w:color w:val="262626"/>
          <w:lang w:val="en-US"/>
        </w:rPr>
        <w:t xml:space="preserve">with a high sensitivity and good specificity using curved </w:t>
      </w:r>
      <w:proofErr w:type="spellStart"/>
      <w:r w:rsidR="008E7DDF">
        <w:rPr>
          <w:rFonts w:ascii="Calibri" w:hAnsi="Calibri" w:cs="Georgia"/>
          <w:color w:val="262626"/>
          <w:lang w:val="en-US"/>
        </w:rPr>
        <w:t>multiplanar</w:t>
      </w:r>
      <w:proofErr w:type="spellEnd"/>
      <w:r w:rsidR="008E7DDF">
        <w:rPr>
          <w:rFonts w:ascii="Calibri" w:hAnsi="Calibri" w:cs="Georgia"/>
          <w:color w:val="262626"/>
          <w:lang w:val="en-US"/>
        </w:rPr>
        <w:t xml:space="preserve"> reconstruction</w:t>
      </w:r>
      <w:r w:rsidRPr="001A23B9">
        <w:rPr>
          <w:rFonts w:ascii="Calibri" w:hAnsi="Calibri" w:cs="Georgia"/>
          <w:color w:val="262626"/>
          <w:lang w:val="en-US"/>
        </w:rPr>
        <w:t xml:space="preserve"> (100</w:t>
      </w:r>
      <w:r w:rsidRPr="001A23B9">
        <w:rPr>
          <w:rFonts w:ascii="Calibri" w:eastAsia="Calibri" w:hAnsi="Calibri" w:cs="Calibri"/>
          <w:color w:val="262626"/>
          <w:lang w:val="en-US"/>
        </w:rPr>
        <w:t> </w:t>
      </w:r>
      <w:r w:rsidRPr="001A23B9">
        <w:rPr>
          <w:rFonts w:ascii="Calibri" w:hAnsi="Calibri" w:cs="Georgia"/>
          <w:color w:val="262626"/>
          <w:lang w:val="en-US"/>
        </w:rPr>
        <w:t>% and 93.1</w:t>
      </w:r>
      <w:r w:rsidRPr="001A23B9">
        <w:rPr>
          <w:rFonts w:ascii="Calibri" w:eastAsia="Calibri" w:hAnsi="Calibri" w:cs="Calibri"/>
          <w:color w:val="262626"/>
          <w:lang w:val="en-US"/>
        </w:rPr>
        <w:t> </w:t>
      </w:r>
      <w:r w:rsidRPr="001A23B9">
        <w:rPr>
          <w:rFonts w:ascii="Calibri" w:hAnsi="Calibri" w:cs="Georgia"/>
          <w:color w:val="262626"/>
          <w:lang w:val="en-US"/>
        </w:rPr>
        <w:t xml:space="preserve">%, respectively) and </w:t>
      </w:r>
      <w:r w:rsidR="008E7DDF">
        <w:rPr>
          <w:rFonts w:ascii="Calibri" w:hAnsi="Calibri" w:cs="Georgia"/>
          <w:color w:val="262626"/>
          <w:lang w:val="en-US"/>
        </w:rPr>
        <w:t>maximum intensity projection</w:t>
      </w:r>
      <w:r w:rsidRPr="001A23B9">
        <w:rPr>
          <w:rFonts w:ascii="Calibri" w:hAnsi="Calibri" w:cs="Georgia"/>
          <w:color w:val="262626"/>
          <w:lang w:val="en-US"/>
        </w:rPr>
        <w:t xml:space="preserve"> images (99</w:t>
      </w:r>
      <w:r w:rsidRPr="001A23B9">
        <w:rPr>
          <w:rFonts w:ascii="Calibri" w:eastAsia="Calibri" w:hAnsi="Calibri" w:cs="Calibri"/>
          <w:color w:val="262626"/>
          <w:lang w:val="en-US"/>
        </w:rPr>
        <w:t> </w:t>
      </w:r>
      <w:r w:rsidRPr="001A23B9">
        <w:rPr>
          <w:rFonts w:ascii="Calibri" w:hAnsi="Calibri" w:cs="Georgia"/>
          <w:color w:val="262626"/>
          <w:lang w:val="en-US"/>
        </w:rPr>
        <w:t>% and 91.8</w:t>
      </w:r>
      <w:r w:rsidRPr="001A23B9">
        <w:rPr>
          <w:rFonts w:ascii="Calibri" w:eastAsia="Calibri" w:hAnsi="Calibri" w:cs="Calibri"/>
          <w:color w:val="262626"/>
          <w:lang w:val="en-US"/>
        </w:rPr>
        <w:t> </w:t>
      </w:r>
      <w:r w:rsidRPr="001A23B9">
        <w:rPr>
          <w:rFonts w:ascii="Calibri" w:hAnsi="Calibri" w:cs="Georgia"/>
          <w:color w:val="262626"/>
          <w:lang w:val="en-US"/>
        </w:rPr>
        <w:t>%, respectively)</w:t>
      </w:r>
      <w:r>
        <w:rPr>
          <w:rFonts w:ascii="Calibri" w:hAnsi="Calibri" w:cs="Georgia"/>
          <w:color w:val="262626"/>
          <w:lang w:val="en-US"/>
        </w:rPr>
        <w:t xml:space="preserve"> </w:t>
      </w:r>
      <w:r w:rsidR="008F1842">
        <w:rPr>
          <w:rFonts w:ascii="Calibri" w:hAnsi="Calibri" w:cs="Georgia"/>
          <w:color w:val="262626"/>
          <w:vertAlign w:val="superscript"/>
          <w:lang w:val="en-US"/>
        </w:rPr>
        <w:t>(7</w:t>
      </w:r>
      <w:r>
        <w:rPr>
          <w:rFonts w:ascii="Calibri" w:hAnsi="Calibri" w:cs="Georgia"/>
          <w:color w:val="262626"/>
          <w:vertAlign w:val="superscript"/>
          <w:lang w:val="en-US"/>
        </w:rPr>
        <w:t>)</w:t>
      </w:r>
      <w:r w:rsidRPr="001A23B9">
        <w:rPr>
          <w:rFonts w:ascii="Calibri" w:hAnsi="Calibri" w:cs="Georgia"/>
          <w:color w:val="262626"/>
          <w:lang w:val="en-US"/>
        </w:rPr>
        <w:t>.</w:t>
      </w:r>
      <w:r>
        <w:rPr>
          <w:rFonts w:ascii="Georgia" w:hAnsi="Georgia" w:cs="Georgia"/>
          <w:color w:val="262626"/>
          <w:sz w:val="34"/>
          <w:szCs w:val="34"/>
          <w:lang w:val="en-US"/>
        </w:rPr>
        <w:t xml:space="preserve"> </w:t>
      </w:r>
      <w:r w:rsidR="007740D9">
        <w:t>A meta</w:t>
      </w:r>
      <w:r w:rsidR="00884016">
        <w:t xml:space="preserve">-analysis looking at accuracy of CTAs concluded sensitivity and specificity, in lower extremity arterial disease (&gt;50% stenosis), of 92% and 93% respectively </w:t>
      </w:r>
      <w:r w:rsidR="008F1842">
        <w:rPr>
          <w:vertAlign w:val="superscript"/>
        </w:rPr>
        <w:t>(8</w:t>
      </w:r>
      <w:r w:rsidR="00884016">
        <w:rPr>
          <w:vertAlign w:val="superscript"/>
        </w:rPr>
        <w:t>)</w:t>
      </w:r>
      <w:r w:rsidR="00884016">
        <w:t>.</w:t>
      </w:r>
    </w:p>
    <w:p w14:paraId="2FB32969" w14:textId="77777777" w:rsidR="00D34877" w:rsidRDefault="00D34877" w:rsidP="002241CC">
      <w:pPr>
        <w:spacing w:line="480" w:lineRule="auto"/>
      </w:pPr>
    </w:p>
    <w:p w14:paraId="678BF51B" w14:textId="1E7580DE" w:rsidR="006E3164" w:rsidRDefault="00876BB7" w:rsidP="002241CC">
      <w:pPr>
        <w:spacing w:line="480" w:lineRule="auto"/>
      </w:pPr>
      <w:r>
        <w:t xml:space="preserve">Limitations of the study included a small population size in a single centre. The number of assessors was </w:t>
      </w:r>
      <w:r w:rsidR="002B1F2C">
        <w:t>small.</w:t>
      </w:r>
    </w:p>
    <w:p w14:paraId="3008DD80" w14:textId="66C211F8" w:rsidR="006E3164" w:rsidRDefault="00BD6F15" w:rsidP="002241CC">
      <w:pPr>
        <w:spacing w:line="480" w:lineRule="auto"/>
      </w:pPr>
      <w:r>
        <w:t>However, i</w:t>
      </w:r>
      <w:r w:rsidR="00F54356">
        <w:t>f</w:t>
      </w:r>
      <w:r w:rsidR="002121B9">
        <w:t xml:space="preserve"> </w:t>
      </w:r>
      <w:r>
        <w:t>the findings of this study</w:t>
      </w:r>
      <w:r w:rsidR="002121B9">
        <w:t xml:space="preserve"> </w:t>
      </w:r>
      <w:proofErr w:type="gramStart"/>
      <w:r w:rsidR="002121B9">
        <w:t>are confirmed</w:t>
      </w:r>
      <w:proofErr w:type="gramEnd"/>
      <w:r w:rsidR="002121B9">
        <w:t xml:space="preserve">, </w:t>
      </w:r>
      <w:r w:rsidR="006E3164">
        <w:t xml:space="preserve">TASC II </w:t>
      </w:r>
      <w:r w:rsidR="002121B9">
        <w:t xml:space="preserve">should not be used to </w:t>
      </w:r>
      <w:r>
        <w:t xml:space="preserve">classify </w:t>
      </w:r>
      <w:proofErr w:type="spellStart"/>
      <w:r w:rsidR="002121B9">
        <w:t>tibial</w:t>
      </w:r>
      <w:proofErr w:type="spellEnd"/>
      <w:r w:rsidR="002121B9">
        <w:t xml:space="preserve"> artery disease on </w:t>
      </w:r>
      <w:r w:rsidR="006E3164">
        <w:t xml:space="preserve">CTAs. </w:t>
      </w:r>
    </w:p>
    <w:p w14:paraId="1657C256" w14:textId="77777777" w:rsidR="00AC7075" w:rsidRDefault="00AC7075" w:rsidP="002241CC">
      <w:pPr>
        <w:spacing w:line="480" w:lineRule="auto"/>
        <w:rPr>
          <w:u w:val="single"/>
        </w:rPr>
      </w:pPr>
    </w:p>
    <w:p w14:paraId="5FB3BAEE" w14:textId="3F624EEA" w:rsidR="00B179FB" w:rsidRDefault="008829A9" w:rsidP="002241CC">
      <w:pPr>
        <w:spacing w:line="480" w:lineRule="auto"/>
        <w:rPr>
          <w:u w:val="single"/>
        </w:rPr>
      </w:pPr>
      <w:r>
        <w:rPr>
          <w:u w:val="single"/>
        </w:rPr>
        <w:t>Acknowledgement</w:t>
      </w:r>
      <w:r w:rsidR="0030283C">
        <w:rPr>
          <w:u w:val="single"/>
        </w:rPr>
        <w:t>s</w:t>
      </w:r>
    </w:p>
    <w:p w14:paraId="12E6F6A6" w14:textId="77777777" w:rsidR="008829A9" w:rsidRDefault="008829A9" w:rsidP="002241CC">
      <w:pPr>
        <w:spacing w:line="480" w:lineRule="auto"/>
      </w:pPr>
    </w:p>
    <w:p w14:paraId="4ED29F30" w14:textId="5B404C13" w:rsidR="00B179FB" w:rsidRPr="00B179FB" w:rsidRDefault="00B179FB" w:rsidP="002241CC">
      <w:pPr>
        <w:spacing w:line="480" w:lineRule="auto"/>
      </w:pPr>
      <w:proofErr w:type="gramStart"/>
      <w:r>
        <w:t>We would like to thank the assessors for their contributio</w:t>
      </w:r>
      <w:r w:rsidR="008829A9">
        <w:t>n of result</w:t>
      </w:r>
      <w:r w:rsidR="0030283C">
        <w:t xml:space="preserve">: </w:t>
      </w:r>
      <w:r w:rsidR="008829A9">
        <w:t xml:space="preserve">Mr Simon </w:t>
      </w:r>
      <w:proofErr w:type="spellStart"/>
      <w:r w:rsidR="008829A9">
        <w:t>Neequaye</w:t>
      </w:r>
      <w:proofErr w:type="spellEnd"/>
      <w:r w:rsidR="008829A9">
        <w:t xml:space="preserve"> (Royal Liverpool University Hospital)</w:t>
      </w:r>
      <w:r w:rsidR="0030283C">
        <w:t xml:space="preserve">, </w:t>
      </w:r>
      <w:r w:rsidR="008829A9">
        <w:t>Mr Gareth Harrison (Countess of Chester Hospital)</w:t>
      </w:r>
      <w:r w:rsidR="0030283C">
        <w:t xml:space="preserve">, </w:t>
      </w:r>
      <w:r w:rsidR="008829A9">
        <w:t xml:space="preserve">Dr Alberto </w:t>
      </w:r>
      <w:proofErr w:type="spellStart"/>
      <w:r w:rsidR="008829A9">
        <w:t>Antonietti</w:t>
      </w:r>
      <w:proofErr w:type="spellEnd"/>
      <w:r w:rsidR="0030283C">
        <w:t xml:space="preserve"> (Royal Liverpool University Hospital), </w:t>
      </w:r>
      <w:r w:rsidR="008829A9">
        <w:t xml:space="preserve">Dr Usman Shaikh (Royal Liverpool University Hospital), Dr Claudio </w:t>
      </w:r>
      <w:proofErr w:type="spellStart"/>
      <w:r w:rsidR="008829A9">
        <w:t>Venturi</w:t>
      </w:r>
      <w:proofErr w:type="spellEnd"/>
      <w:r w:rsidR="008829A9">
        <w:t xml:space="preserve"> (Countess of Chester Hospital)</w:t>
      </w:r>
      <w:r w:rsidR="0030283C">
        <w:t xml:space="preserve">, </w:t>
      </w:r>
      <w:r w:rsidR="008829A9">
        <w:t xml:space="preserve">Mr Mohamed </w:t>
      </w:r>
      <w:proofErr w:type="spellStart"/>
      <w:r w:rsidR="008829A9">
        <w:t>Barkat</w:t>
      </w:r>
      <w:proofErr w:type="spellEnd"/>
      <w:r w:rsidR="008829A9">
        <w:t xml:space="preserve"> </w:t>
      </w:r>
      <w:r w:rsidR="0030283C">
        <w:t>(Royal Liverpool University Hospital) and</w:t>
      </w:r>
      <w:r w:rsidR="008829A9">
        <w:t xml:space="preserve"> Miss Maria </w:t>
      </w:r>
      <w:proofErr w:type="spellStart"/>
      <w:r w:rsidR="008829A9">
        <w:t>Karouki</w:t>
      </w:r>
      <w:proofErr w:type="spellEnd"/>
      <w:r w:rsidR="008829A9">
        <w:t xml:space="preserve"> (Royal Liverpo</w:t>
      </w:r>
      <w:r w:rsidR="00BD6F15">
        <w:t>o</w:t>
      </w:r>
      <w:r w:rsidR="008829A9">
        <w:t>l University Hospital).</w:t>
      </w:r>
      <w:proofErr w:type="gramEnd"/>
      <w:r w:rsidR="00F54356">
        <w:t xml:space="preserve"> We would also like to thank Dr </w:t>
      </w:r>
      <w:proofErr w:type="spellStart"/>
      <w:r w:rsidR="00F54356">
        <w:t>Tze</w:t>
      </w:r>
      <w:proofErr w:type="spellEnd"/>
      <w:r w:rsidR="00F54356">
        <w:t xml:space="preserve"> Chan (Royal Liverpool University Hospital) who helped verify the scans for analysis.</w:t>
      </w:r>
    </w:p>
    <w:p w14:paraId="52985073" w14:textId="77777777" w:rsidR="00582912" w:rsidRDefault="00582912" w:rsidP="002241CC">
      <w:pPr>
        <w:spacing w:line="480" w:lineRule="auto"/>
      </w:pPr>
    </w:p>
    <w:p w14:paraId="2120B122" w14:textId="77777777" w:rsidR="008D24EA" w:rsidRDefault="008D24EA" w:rsidP="002241CC">
      <w:pPr>
        <w:spacing w:line="480" w:lineRule="auto"/>
      </w:pPr>
    </w:p>
    <w:p w14:paraId="3C7A4061" w14:textId="77777777" w:rsidR="00A007A0" w:rsidRDefault="00A007A0" w:rsidP="002241CC">
      <w:pPr>
        <w:spacing w:line="480" w:lineRule="auto"/>
      </w:pPr>
      <w:r>
        <w:t>References:</w:t>
      </w:r>
    </w:p>
    <w:p w14:paraId="39048F72" w14:textId="77777777" w:rsidR="00A007A0" w:rsidRDefault="00A007A0" w:rsidP="002241CC">
      <w:pPr>
        <w:spacing w:line="480" w:lineRule="auto"/>
      </w:pPr>
    </w:p>
    <w:p w14:paraId="4F55834D" w14:textId="37ECEE88" w:rsidR="00B64D8C" w:rsidRPr="008373D8" w:rsidRDefault="00460E18" w:rsidP="002241CC">
      <w:pPr>
        <w:pStyle w:val="ListParagraph"/>
        <w:widowControl w:val="0"/>
        <w:numPr>
          <w:ilvl w:val="0"/>
          <w:numId w:val="1"/>
        </w:numPr>
        <w:autoSpaceDE w:val="0"/>
        <w:autoSpaceDN w:val="0"/>
        <w:adjustRightInd w:val="0"/>
        <w:spacing w:line="480" w:lineRule="auto"/>
        <w:rPr>
          <w:rFonts w:ascii="Calibri" w:hAnsi="Calibri"/>
        </w:rPr>
      </w:pPr>
      <w:r>
        <w:rPr>
          <w:rFonts w:ascii="Calibri" w:hAnsi="Calibri" w:cs="Flama"/>
          <w:color w:val="000000" w:themeColor="text1"/>
          <w:lang w:val="en-US"/>
        </w:rPr>
        <w:t xml:space="preserve">Fleischmann D, Hallett R, Rubin G. CT Angiography of </w:t>
      </w:r>
      <w:proofErr w:type="spellStart"/>
      <w:r>
        <w:rPr>
          <w:rFonts w:ascii="Calibri" w:hAnsi="Calibri" w:cs="Flama"/>
          <w:color w:val="000000" w:themeColor="text1"/>
          <w:lang w:val="en-US"/>
        </w:rPr>
        <w:t>Periperal</w:t>
      </w:r>
      <w:proofErr w:type="spellEnd"/>
      <w:r>
        <w:rPr>
          <w:rFonts w:ascii="Calibri" w:hAnsi="Calibri" w:cs="Flama"/>
          <w:color w:val="000000" w:themeColor="text1"/>
          <w:lang w:val="en-US"/>
        </w:rPr>
        <w:t xml:space="preserve"> Arterial Disease. </w:t>
      </w:r>
      <w:r>
        <w:rPr>
          <w:rFonts w:ascii="Calibri" w:hAnsi="Calibri" w:cs="Flama"/>
          <w:i/>
          <w:color w:val="000000" w:themeColor="text1"/>
          <w:lang w:val="en-US"/>
        </w:rPr>
        <w:t xml:space="preserve">J </w:t>
      </w:r>
      <w:proofErr w:type="spellStart"/>
      <w:r>
        <w:rPr>
          <w:rFonts w:ascii="Calibri" w:hAnsi="Calibri" w:cs="Flama"/>
          <w:i/>
          <w:color w:val="000000" w:themeColor="text1"/>
          <w:lang w:val="en-US"/>
        </w:rPr>
        <w:t>Vasc</w:t>
      </w:r>
      <w:proofErr w:type="spellEnd"/>
      <w:r>
        <w:rPr>
          <w:rFonts w:ascii="Calibri" w:hAnsi="Calibri" w:cs="Flama"/>
          <w:i/>
          <w:color w:val="000000" w:themeColor="text1"/>
          <w:lang w:val="en-US"/>
        </w:rPr>
        <w:t xml:space="preserve"> </w:t>
      </w:r>
      <w:proofErr w:type="spellStart"/>
      <w:r>
        <w:rPr>
          <w:rFonts w:ascii="Calibri" w:hAnsi="Calibri" w:cs="Flama"/>
          <w:i/>
          <w:color w:val="000000" w:themeColor="text1"/>
          <w:lang w:val="en-US"/>
        </w:rPr>
        <w:t>Interv</w:t>
      </w:r>
      <w:proofErr w:type="spellEnd"/>
      <w:r>
        <w:rPr>
          <w:rFonts w:ascii="Calibri" w:hAnsi="Calibri" w:cs="Flama"/>
          <w:i/>
          <w:color w:val="000000" w:themeColor="text1"/>
          <w:lang w:val="en-US"/>
        </w:rPr>
        <w:t xml:space="preserve"> </w:t>
      </w:r>
      <w:proofErr w:type="spellStart"/>
      <w:r>
        <w:rPr>
          <w:rFonts w:ascii="Calibri" w:hAnsi="Calibri" w:cs="Flama"/>
          <w:i/>
          <w:color w:val="000000" w:themeColor="text1"/>
          <w:lang w:val="en-US"/>
        </w:rPr>
        <w:t>Radiol</w:t>
      </w:r>
      <w:proofErr w:type="spellEnd"/>
      <w:r>
        <w:rPr>
          <w:rFonts w:ascii="Calibri" w:hAnsi="Calibri" w:cs="Flama"/>
          <w:color w:val="000000" w:themeColor="text1"/>
          <w:lang w:val="en-US"/>
        </w:rPr>
        <w:t xml:space="preserve"> 2006</w:t>
      </w:r>
      <w:proofErr w:type="gramStart"/>
      <w:r>
        <w:rPr>
          <w:rFonts w:ascii="Calibri" w:hAnsi="Calibri" w:cs="Flama"/>
          <w:color w:val="000000" w:themeColor="text1"/>
          <w:lang w:val="en-US"/>
        </w:rPr>
        <w:t>;17:3</w:t>
      </w:r>
      <w:proofErr w:type="gramEnd"/>
      <w:r>
        <w:rPr>
          <w:rFonts w:ascii="Calibri" w:hAnsi="Calibri" w:cs="Flama"/>
          <w:color w:val="000000" w:themeColor="text1"/>
          <w:lang w:val="en-US"/>
        </w:rPr>
        <w:t>-26.</w:t>
      </w:r>
    </w:p>
    <w:p w14:paraId="12716DFE" w14:textId="61D15D16" w:rsidR="00D4082C" w:rsidRPr="00D4082C" w:rsidRDefault="00933DBD" w:rsidP="002241CC">
      <w:pPr>
        <w:pStyle w:val="ListParagraph"/>
        <w:numPr>
          <w:ilvl w:val="0"/>
          <w:numId w:val="1"/>
        </w:numPr>
        <w:spacing w:line="480" w:lineRule="auto"/>
        <w:rPr>
          <w:rFonts w:ascii="Calibri" w:hAnsi="Calibri" w:cs="Helvetica"/>
          <w:bCs/>
          <w:color w:val="262626"/>
          <w:lang w:val="en-US"/>
        </w:rPr>
      </w:pPr>
      <w:r>
        <w:rPr>
          <w:rFonts w:ascii="Calibri" w:hAnsi="Calibri" w:cs="Helvetica"/>
          <w:color w:val="262626"/>
          <w:lang w:val="en-US"/>
        </w:rPr>
        <w:t xml:space="preserve">Met R, </w:t>
      </w:r>
      <w:proofErr w:type="spellStart"/>
      <w:r>
        <w:rPr>
          <w:rFonts w:ascii="Calibri" w:hAnsi="Calibri" w:cs="Helvetica"/>
          <w:color w:val="262626"/>
          <w:lang w:val="en-US"/>
        </w:rPr>
        <w:t>Bipat</w:t>
      </w:r>
      <w:proofErr w:type="spellEnd"/>
      <w:r>
        <w:rPr>
          <w:rFonts w:ascii="Calibri" w:hAnsi="Calibri" w:cs="Helvetica"/>
          <w:color w:val="262626"/>
          <w:lang w:val="en-US"/>
        </w:rPr>
        <w:t xml:space="preserve"> S, </w:t>
      </w:r>
      <w:proofErr w:type="spellStart"/>
      <w:proofErr w:type="gramStart"/>
      <w:r>
        <w:rPr>
          <w:rFonts w:ascii="Calibri" w:hAnsi="Calibri" w:cs="Helvetica"/>
          <w:color w:val="262626"/>
          <w:lang w:val="en-US"/>
        </w:rPr>
        <w:t>Legemate</w:t>
      </w:r>
      <w:proofErr w:type="spellEnd"/>
      <w:proofErr w:type="gramEnd"/>
      <w:r>
        <w:rPr>
          <w:rFonts w:ascii="Calibri" w:hAnsi="Calibri" w:cs="Helvetica"/>
          <w:color w:val="262626"/>
          <w:lang w:val="en-US"/>
        </w:rPr>
        <w:t xml:space="preserve"> DA et al</w:t>
      </w:r>
      <w:r w:rsidRPr="00D4082C">
        <w:rPr>
          <w:rFonts w:ascii="Calibri" w:hAnsi="Calibri" w:cs="Helvetica"/>
          <w:color w:val="262626"/>
          <w:lang w:val="en-US"/>
        </w:rPr>
        <w:t>.</w:t>
      </w:r>
      <w:r>
        <w:rPr>
          <w:rFonts w:ascii="Calibri" w:hAnsi="Calibri" w:cs="Helvetica"/>
          <w:color w:val="262626"/>
          <w:lang w:val="en-US"/>
        </w:rPr>
        <w:t xml:space="preserve"> </w:t>
      </w:r>
      <w:r w:rsidR="00D4082C" w:rsidRPr="00D4082C">
        <w:rPr>
          <w:rFonts w:ascii="Calibri" w:hAnsi="Calibri" w:cs="Helvetica"/>
          <w:bCs/>
          <w:color w:val="262626"/>
          <w:lang w:val="en-US"/>
        </w:rPr>
        <w:t>Diagnostic Performance of Computed Tomography Angiography in Peripheral Arterial Disease: A systematic review and meta-</w:t>
      </w:r>
      <w:r w:rsidR="00EC13B4" w:rsidRPr="00D4082C">
        <w:rPr>
          <w:rFonts w:ascii="Calibri" w:hAnsi="Calibri" w:cs="Helvetica"/>
          <w:bCs/>
          <w:color w:val="262626"/>
          <w:lang w:val="en-US"/>
        </w:rPr>
        <w:t>analys</w:t>
      </w:r>
      <w:r w:rsidR="00EC13B4">
        <w:rPr>
          <w:rFonts w:ascii="Calibri" w:hAnsi="Calibri" w:cs="Helvetica"/>
          <w:bCs/>
          <w:color w:val="262626"/>
          <w:lang w:val="en-US"/>
        </w:rPr>
        <w:t>i</w:t>
      </w:r>
      <w:r w:rsidR="00EC13B4" w:rsidRPr="00D4082C">
        <w:rPr>
          <w:rFonts w:ascii="Calibri" w:hAnsi="Calibri" w:cs="Helvetica"/>
          <w:bCs/>
          <w:color w:val="262626"/>
          <w:lang w:val="en-US"/>
        </w:rPr>
        <w:t>s</w:t>
      </w:r>
      <w:r>
        <w:rPr>
          <w:rFonts w:ascii="Calibri" w:hAnsi="Calibri" w:cs="Helvetica"/>
          <w:bCs/>
          <w:color w:val="262626"/>
          <w:lang w:val="en-US"/>
        </w:rPr>
        <w:t>.</w:t>
      </w:r>
      <w:r w:rsidR="00D4082C" w:rsidRPr="00D4082C">
        <w:rPr>
          <w:rFonts w:ascii="Calibri" w:hAnsi="Calibri" w:cs="Helvetica"/>
          <w:color w:val="262626"/>
          <w:lang w:val="en-US"/>
        </w:rPr>
        <w:t xml:space="preserve"> </w:t>
      </w:r>
      <w:r w:rsidR="00D4082C" w:rsidRPr="00D4082C">
        <w:rPr>
          <w:rFonts w:ascii="Calibri" w:hAnsi="Calibri" w:cs="Helvetica"/>
          <w:i/>
          <w:iCs/>
          <w:color w:val="262626"/>
          <w:lang w:val="en-US"/>
        </w:rPr>
        <w:t>JAMA</w:t>
      </w:r>
      <w:r w:rsidR="00A738D4">
        <w:rPr>
          <w:rFonts w:ascii="Calibri" w:hAnsi="Calibri" w:cs="Helvetica"/>
          <w:i/>
          <w:iCs/>
          <w:color w:val="262626"/>
          <w:lang w:val="en-US"/>
        </w:rPr>
        <w:t xml:space="preserve"> </w:t>
      </w:r>
      <w:r w:rsidR="00D4082C" w:rsidRPr="00D4082C">
        <w:rPr>
          <w:rFonts w:ascii="Calibri" w:hAnsi="Calibri" w:cs="Helvetica"/>
          <w:color w:val="262626"/>
          <w:lang w:val="en-US"/>
        </w:rPr>
        <w:t>2009</w:t>
      </w:r>
      <w:proofErr w:type="gramStart"/>
      <w:r w:rsidR="00D4082C" w:rsidRPr="00D4082C">
        <w:rPr>
          <w:rFonts w:ascii="Calibri" w:hAnsi="Calibri" w:cs="Helvetica"/>
          <w:color w:val="262626"/>
          <w:lang w:val="en-US"/>
        </w:rPr>
        <w:t>;301:415</w:t>
      </w:r>
      <w:proofErr w:type="gramEnd"/>
      <w:r w:rsidR="00D4082C" w:rsidRPr="00D4082C">
        <w:rPr>
          <w:rFonts w:ascii="Calibri" w:hAnsi="Calibri" w:cs="Helvetica"/>
          <w:color w:val="262626"/>
          <w:lang w:val="en-US"/>
        </w:rPr>
        <w:t>-424</w:t>
      </w:r>
      <w:r w:rsidR="00460E18">
        <w:rPr>
          <w:rFonts w:ascii="Calibri" w:hAnsi="Calibri" w:cs="Helvetica"/>
          <w:color w:val="262626"/>
          <w:lang w:val="en-US"/>
        </w:rPr>
        <w:t>.</w:t>
      </w:r>
    </w:p>
    <w:p w14:paraId="391496DB" w14:textId="016774A9" w:rsidR="00B1646B" w:rsidRPr="00B1646B" w:rsidRDefault="00933DBD" w:rsidP="002241CC">
      <w:pPr>
        <w:pStyle w:val="ListParagraph"/>
        <w:numPr>
          <w:ilvl w:val="0"/>
          <w:numId w:val="1"/>
        </w:numPr>
        <w:spacing w:line="480" w:lineRule="auto"/>
        <w:rPr>
          <w:rFonts w:ascii="Calibri" w:hAnsi="Calibri" w:cs="Arial"/>
        </w:rPr>
      </w:pPr>
      <w:proofErr w:type="spellStart"/>
      <w:r>
        <w:rPr>
          <w:rFonts w:ascii="Calibri" w:hAnsi="Calibri" w:cs="Arial"/>
          <w:bCs/>
          <w:lang w:val="en-US"/>
        </w:rPr>
        <w:lastRenderedPageBreak/>
        <w:t>Kock</w:t>
      </w:r>
      <w:proofErr w:type="spellEnd"/>
      <w:r>
        <w:rPr>
          <w:rFonts w:ascii="Calibri" w:hAnsi="Calibri" w:cs="Arial"/>
          <w:bCs/>
          <w:lang w:val="en-US"/>
        </w:rPr>
        <w:t xml:space="preserve"> MCJM, </w:t>
      </w:r>
      <w:proofErr w:type="spellStart"/>
      <w:r>
        <w:rPr>
          <w:rFonts w:ascii="Calibri" w:hAnsi="Calibri" w:cs="Arial"/>
          <w:bCs/>
          <w:lang w:val="en-US"/>
        </w:rPr>
        <w:t>Dijkshoorn</w:t>
      </w:r>
      <w:proofErr w:type="spellEnd"/>
      <w:r>
        <w:rPr>
          <w:rFonts w:ascii="Calibri" w:hAnsi="Calibri" w:cs="Arial"/>
          <w:bCs/>
          <w:lang w:val="en-US"/>
        </w:rPr>
        <w:t xml:space="preserve"> M, </w:t>
      </w:r>
      <w:proofErr w:type="spellStart"/>
      <w:r>
        <w:rPr>
          <w:rFonts w:ascii="Calibri" w:hAnsi="Calibri" w:cs="Arial"/>
          <w:bCs/>
          <w:lang w:val="en-US"/>
        </w:rPr>
        <w:t>Pattynama</w:t>
      </w:r>
      <w:proofErr w:type="spellEnd"/>
      <w:r>
        <w:rPr>
          <w:rFonts w:ascii="Calibri" w:hAnsi="Calibri" w:cs="Arial"/>
          <w:bCs/>
          <w:lang w:val="en-US"/>
        </w:rPr>
        <w:t xml:space="preserve"> P et al. </w:t>
      </w:r>
      <w:r w:rsidR="00B1646B" w:rsidRPr="00B1646B">
        <w:rPr>
          <w:rFonts w:ascii="Calibri" w:hAnsi="Calibri" w:cs="Arial"/>
          <w:bCs/>
          <w:lang w:val="en-US"/>
        </w:rPr>
        <w:t>Multi-detector row computed tomography angiography of peripheral arterial disease</w:t>
      </w:r>
      <w:r w:rsidR="00B1646B">
        <w:rPr>
          <w:rFonts w:ascii="Calibri" w:hAnsi="Calibri" w:cs="Arial"/>
          <w:bCs/>
          <w:lang w:val="en-US"/>
        </w:rPr>
        <w:t xml:space="preserve">. </w:t>
      </w:r>
      <w:proofErr w:type="spellStart"/>
      <w:r w:rsidR="00A738D4" w:rsidRPr="00BC0B5C">
        <w:rPr>
          <w:rFonts w:ascii="Arial" w:hAnsi="Arial" w:cs="Arial"/>
          <w:i/>
          <w:sz w:val="22"/>
          <w:szCs w:val="22"/>
          <w:lang w:val="en-US"/>
        </w:rPr>
        <w:t>Eur</w:t>
      </w:r>
      <w:proofErr w:type="spellEnd"/>
      <w:r w:rsidR="00A738D4" w:rsidRPr="00BC0B5C">
        <w:rPr>
          <w:rFonts w:ascii="Arial" w:hAnsi="Arial" w:cs="Arial"/>
          <w:i/>
          <w:sz w:val="22"/>
          <w:szCs w:val="22"/>
          <w:lang w:val="en-US"/>
        </w:rPr>
        <w:t xml:space="preserve"> </w:t>
      </w:r>
      <w:proofErr w:type="spellStart"/>
      <w:r w:rsidR="00A738D4" w:rsidRPr="00BC0B5C">
        <w:rPr>
          <w:rFonts w:ascii="Arial" w:hAnsi="Arial" w:cs="Arial"/>
          <w:i/>
          <w:sz w:val="22"/>
          <w:szCs w:val="22"/>
          <w:lang w:val="en-US"/>
        </w:rPr>
        <w:t>Radiol</w:t>
      </w:r>
      <w:proofErr w:type="spellEnd"/>
      <w:r w:rsidR="00894C5C">
        <w:rPr>
          <w:rFonts w:ascii="Arial" w:hAnsi="Arial" w:cs="Arial"/>
          <w:sz w:val="22"/>
          <w:szCs w:val="22"/>
          <w:lang w:val="en-US"/>
        </w:rPr>
        <w:t xml:space="preserve"> 2007</w:t>
      </w:r>
      <w:proofErr w:type="gramStart"/>
      <w:r w:rsidR="00894C5C">
        <w:rPr>
          <w:rFonts w:ascii="Arial" w:hAnsi="Arial" w:cs="Arial"/>
          <w:sz w:val="22"/>
          <w:szCs w:val="22"/>
          <w:lang w:val="en-US"/>
        </w:rPr>
        <w:t>;12:3208</w:t>
      </w:r>
      <w:proofErr w:type="gramEnd"/>
      <w:r w:rsidR="00894C5C">
        <w:rPr>
          <w:rFonts w:ascii="Arial" w:hAnsi="Arial" w:cs="Arial"/>
          <w:sz w:val="22"/>
          <w:szCs w:val="22"/>
          <w:lang w:val="en-US"/>
        </w:rPr>
        <w:t>-</w:t>
      </w:r>
      <w:r w:rsidR="00B1646B">
        <w:rPr>
          <w:rFonts w:ascii="Arial" w:hAnsi="Arial" w:cs="Arial"/>
          <w:sz w:val="22"/>
          <w:szCs w:val="22"/>
          <w:lang w:val="en-US"/>
        </w:rPr>
        <w:t>3222.</w:t>
      </w:r>
    </w:p>
    <w:p w14:paraId="30FDDD69" w14:textId="5E4A39D6" w:rsidR="00081896" w:rsidRDefault="007C5182" w:rsidP="002241CC">
      <w:pPr>
        <w:pStyle w:val="ListParagraph"/>
        <w:numPr>
          <w:ilvl w:val="0"/>
          <w:numId w:val="1"/>
        </w:numPr>
        <w:spacing w:line="480" w:lineRule="auto"/>
      </w:pPr>
      <w:r>
        <w:t xml:space="preserve">TASC Steering Committee, </w:t>
      </w:r>
      <w:proofErr w:type="spellStart"/>
      <w:r>
        <w:t>Jaff</w:t>
      </w:r>
      <w:proofErr w:type="spellEnd"/>
      <w:r>
        <w:t xml:space="preserve"> MR, White CJ, Hiatt WR</w:t>
      </w:r>
      <w:r w:rsidR="00B62DB8">
        <w:t xml:space="preserve"> et al</w:t>
      </w:r>
      <w:r>
        <w:t xml:space="preserve">. An Update on Methods for Revascularization and Expansion of the TASC Lesion Classification to Include Below-the-Knee Arteries: A Supplement to the Inter-Society Consensus for the Management of Peripheral Arterial Disease (TASC II). </w:t>
      </w:r>
      <w:r w:rsidRPr="00BC0B5C">
        <w:rPr>
          <w:i/>
        </w:rPr>
        <w:t xml:space="preserve">J </w:t>
      </w:r>
      <w:proofErr w:type="spellStart"/>
      <w:r w:rsidRPr="00BC0B5C">
        <w:rPr>
          <w:i/>
        </w:rPr>
        <w:t>Endovasc</w:t>
      </w:r>
      <w:proofErr w:type="spellEnd"/>
      <w:r w:rsidRPr="00BC0B5C">
        <w:rPr>
          <w:i/>
        </w:rPr>
        <w:t xml:space="preserve"> </w:t>
      </w:r>
      <w:proofErr w:type="spellStart"/>
      <w:r w:rsidRPr="00BC0B5C">
        <w:rPr>
          <w:i/>
        </w:rPr>
        <w:t>Ther</w:t>
      </w:r>
      <w:proofErr w:type="spellEnd"/>
      <w:r w:rsidR="00894C5C">
        <w:t xml:space="preserve"> 2015</w:t>
      </w:r>
      <w:proofErr w:type="gramStart"/>
      <w:r w:rsidR="00894C5C">
        <w:t>;</w:t>
      </w:r>
      <w:r w:rsidR="00894C5C">
        <w:rPr>
          <w:rFonts w:ascii="Arial" w:hAnsi="Arial" w:cs="Arial"/>
          <w:sz w:val="22"/>
          <w:szCs w:val="22"/>
          <w:lang w:val="en-US"/>
        </w:rPr>
        <w:t>22:663</w:t>
      </w:r>
      <w:proofErr w:type="gramEnd"/>
      <w:r w:rsidR="00894C5C">
        <w:rPr>
          <w:rFonts w:ascii="Arial" w:hAnsi="Arial" w:cs="Arial"/>
          <w:sz w:val="22"/>
          <w:szCs w:val="22"/>
          <w:lang w:val="en-US"/>
        </w:rPr>
        <w:t>-77</w:t>
      </w:r>
      <w:r w:rsidR="00EC13B4">
        <w:rPr>
          <w:rFonts w:ascii="Arial" w:hAnsi="Arial" w:cs="Arial"/>
          <w:sz w:val="22"/>
          <w:szCs w:val="22"/>
          <w:lang w:val="en-US"/>
        </w:rPr>
        <w:t>.</w:t>
      </w:r>
    </w:p>
    <w:p w14:paraId="0EA0F339" w14:textId="30A746F5" w:rsidR="007C5182" w:rsidRPr="00FA3959" w:rsidRDefault="00933DBD" w:rsidP="002241CC">
      <w:pPr>
        <w:pStyle w:val="ListParagraph"/>
        <w:numPr>
          <w:ilvl w:val="0"/>
          <w:numId w:val="1"/>
        </w:numPr>
        <w:spacing w:line="480" w:lineRule="auto"/>
        <w:rPr>
          <w:rFonts w:ascii="Calibri" w:hAnsi="Calibri"/>
        </w:rPr>
      </w:pPr>
      <w:proofErr w:type="spellStart"/>
      <w:r w:rsidRPr="00081896">
        <w:t>Pollak</w:t>
      </w:r>
      <w:proofErr w:type="spellEnd"/>
      <w:r>
        <w:t xml:space="preserve"> AW</w:t>
      </w:r>
      <w:r w:rsidRPr="00081896">
        <w:t xml:space="preserve">, </w:t>
      </w:r>
      <w:r>
        <w:t>Norton MP</w:t>
      </w:r>
      <w:r>
        <w:rPr>
          <w:rFonts w:cs="ArialMT"/>
        </w:rPr>
        <w:t>,</w:t>
      </w:r>
      <w:r w:rsidRPr="00031734">
        <w:rPr>
          <w:rFonts w:cs="ArialMT"/>
        </w:rPr>
        <w:t xml:space="preserve"> </w:t>
      </w:r>
      <w:r>
        <w:t xml:space="preserve">Christopher M et al. </w:t>
      </w:r>
      <w:r w:rsidR="00081896" w:rsidRPr="00031734">
        <w:rPr>
          <w:rFonts w:ascii="Calibri" w:hAnsi="Calibri" w:cs="Arial"/>
          <w:bCs/>
          <w:lang w:val="en-US"/>
        </w:rPr>
        <w:t xml:space="preserve">Multimodality Imaging of Lower Extremity Peripheral Arterial Disease: Current Role and Future Directions. </w:t>
      </w:r>
      <w:proofErr w:type="spellStart"/>
      <w:r w:rsidR="00BC0B5C">
        <w:rPr>
          <w:rFonts w:ascii="Calibri" w:hAnsi="Calibri"/>
          <w:i/>
        </w:rPr>
        <w:t>Circ</w:t>
      </w:r>
      <w:proofErr w:type="spellEnd"/>
      <w:r w:rsidR="00BC0B5C">
        <w:rPr>
          <w:rFonts w:ascii="Calibri" w:hAnsi="Calibri"/>
          <w:i/>
        </w:rPr>
        <w:t xml:space="preserve"> </w:t>
      </w:r>
      <w:proofErr w:type="spellStart"/>
      <w:r w:rsidR="00BC0B5C">
        <w:rPr>
          <w:rFonts w:ascii="Calibri" w:hAnsi="Calibri"/>
          <w:i/>
        </w:rPr>
        <w:t>Cardiovasc</w:t>
      </w:r>
      <w:proofErr w:type="spellEnd"/>
      <w:r w:rsidR="00BC0B5C">
        <w:rPr>
          <w:rFonts w:ascii="Calibri" w:hAnsi="Calibri"/>
          <w:i/>
        </w:rPr>
        <w:t xml:space="preserve"> Ima</w:t>
      </w:r>
      <w:r w:rsidR="00EC13B4">
        <w:rPr>
          <w:rFonts w:ascii="Calibri" w:hAnsi="Calibri"/>
          <w:i/>
        </w:rPr>
        <w:t>ging</w:t>
      </w:r>
      <w:r w:rsidR="00081896" w:rsidRPr="00BC0B5C">
        <w:rPr>
          <w:rFonts w:ascii="Calibri" w:hAnsi="Calibri"/>
          <w:i/>
        </w:rPr>
        <w:t>.</w:t>
      </w:r>
      <w:r w:rsidR="00894C5C">
        <w:rPr>
          <w:rFonts w:ascii="Calibri" w:hAnsi="Calibri"/>
        </w:rPr>
        <w:t xml:space="preserve"> 2012</w:t>
      </w:r>
      <w:proofErr w:type="gramStart"/>
      <w:r w:rsidR="00894C5C">
        <w:rPr>
          <w:rFonts w:ascii="Calibri" w:hAnsi="Calibri"/>
        </w:rPr>
        <w:t>;5:</w:t>
      </w:r>
      <w:r w:rsidR="00081896" w:rsidRPr="00031734">
        <w:rPr>
          <w:rFonts w:ascii="Calibri" w:hAnsi="Calibri"/>
        </w:rPr>
        <w:t>797</w:t>
      </w:r>
      <w:proofErr w:type="gramEnd"/>
      <w:r w:rsidR="00081896" w:rsidRPr="00031734">
        <w:rPr>
          <w:rFonts w:ascii="Calibri" w:hAnsi="Calibri"/>
        </w:rPr>
        <w:t>–807</w:t>
      </w:r>
      <w:r w:rsidR="0025343D">
        <w:rPr>
          <w:rFonts w:ascii="Times" w:hAnsi="Times"/>
          <w:sz w:val="20"/>
          <w:szCs w:val="20"/>
        </w:rPr>
        <w:t>.</w:t>
      </w:r>
    </w:p>
    <w:p w14:paraId="7F81902D" w14:textId="4DFA8E9A" w:rsidR="00884016" w:rsidRPr="00AB4EEE" w:rsidRDefault="00FA3959" w:rsidP="00884016">
      <w:pPr>
        <w:pStyle w:val="ListParagraph"/>
        <w:numPr>
          <w:ilvl w:val="0"/>
          <w:numId w:val="1"/>
        </w:numPr>
        <w:spacing w:line="480" w:lineRule="auto"/>
        <w:rPr>
          <w:rFonts w:ascii="Calibri" w:hAnsi="Calibri"/>
        </w:rPr>
      </w:pPr>
      <w:r w:rsidRPr="00E12F95">
        <w:t xml:space="preserve">Berry KJ, </w:t>
      </w:r>
      <w:proofErr w:type="spellStart"/>
      <w:r w:rsidRPr="00E12F95">
        <w:t>Mielke</w:t>
      </w:r>
      <w:proofErr w:type="spellEnd"/>
      <w:r w:rsidRPr="00E12F95">
        <w:t xml:space="preserve"> PW. Weighted kappa for multiple </w:t>
      </w:r>
      <w:proofErr w:type="spellStart"/>
      <w:r w:rsidRPr="00E12F95">
        <w:t>raters</w:t>
      </w:r>
      <w:proofErr w:type="spellEnd"/>
      <w:r w:rsidRPr="00E12F95">
        <w:t xml:space="preserve">. </w:t>
      </w:r>
      <w:r w:rsidRPr="00BC0B5C">
        <w:rPr>
          <w:i/>
        </w:rPr>
        <w:t>Perceptual and Motor Skills</w:t>
      </w:r>
      <w:r w:rsidRPr="00E12F95">
        <w:t xml:space="preserve"> 2008</w:t>
      </w:r>
      <w:proofErr w:type="gramStart"/>
      <w:r w:rsidRPr="00E12F95">
        <w:t>;107:837</w:t>
      </w:r>
      <w:proofErr w:type="gramEnd"/>
      <w:r w:rsidRPr="00E12F95">
        <w:t>-848</w:t>
      </w:r>
      <w:r w:rsidR="0025343D">
        <w:t>.</w:t>
      </w:r>
    </w:p>
    <w:p w14:paraId="0C4B06FC" w14:textId="1C59E8D1" w:rsidR="00894C5C" w:rsidRPr="00894C5C" w:rsidRDefault="00AB4EEE" w:rsidP="00E31D75">
      <w:pPr>
        <w:pStyle w:val="ListParagraph"/>
        <w:numPr>
          <w:ilvl w:val="0"/>
          <w:numId w:val="1"/>
        </w:numPr>
        <w:spacing w:line="480" w:lineRule="auto"/>
        <w:rPr>
          <w:rFonts w:ascii="Calibri" w:hAnsi="Calibri"/>
        </w:rPr>
      </w:pPr>
      <w:proofErr w:type="spellStart"/>
      <w:r>
        <w:t>Schabel</w:t>
      </w:r>
      <w:proofErr w:type="spellEnd"/>
      <w:r>
        <w:t xml:space="preserve"> C, </w:t>
      </w:r>
      <w:proofErr w:type="spellStart"/>
      <w:r>
        <w:t>Bongers</w:t>
      </w:r>
      <w:proofErr w:type="spellEnd"/>
      <w:r>
        <w:t xml:space="preserve"> MN, </w:t>
      </w:r>
      <w:proofErr w:type="spellStart"/>
      <w:r>
        <w:t>Ketelsen</w:t>
      </w:r>
      <w:proofErr w:type="spellEnd"/>
      <w:r>
        <w:t xml:space="preserve"> D et al. Diagnostic accuracy of dual energy CT angiography in patients with diabetes mellitus. </w:t>
      </w:r>
      <w:proofErr w:type="spellStart"/>
      <w:r w:rsidRPr="00894C5C">
        <w:rPr>
          <w:i/>
        </w:rPr>
        <w:t>Radiologe</w:t>
      </w:r>
      <w:proofErr w:type="spellEnd"/>
      <w:r w:rsidR="00894C5C">
        <w:t xml:space="preserve"> </w:t>
      </w:r>
      <w:r w:rsidR="00894C5C">
        <w:rPr>
          <w:rFonts w:ascii="Arial" w:hAnsi="Arial" w:cs="Arial"/>
          <w:sz w:val="22"/>
          <w:szCs w:val="22"/>
          <w:lang w:val="en-US"/>
        </w:rPr>
        <w:t>2015</w:t>
      </w:r>
      <w:proofErr w:type="gramStart"/>
      <w:r w:rsidR="00894C5C">
        <w:rPr>
          <w:rFonts w:ascii="Arial" w:hAnsi="Arial" w:cs="Arial"/>
          <w:sz w:val="22"/>
          <w:szCs w:val="22"/>
          <w:lang w:val="en-US"/>
        </w:rPr>
        <w:t>;55:314</w:t>
      </w:r>
      <w:proofErr w:type="gramEnd"/>
      <w:r w:rsidR="00894C5C">
        <w:rPr>
          <w:rFonts w:ascii="Arial" w:hAnsi="Arial" w:cs="Arial"/>
          <w:sz w:val="22"/>
          <w:szCs w:val="22"/>
          <w:lang w:val="en-US"/>
        </w:rPr>
        <w:t>-22</w:t>
      </w:r>
      <w:r w:rsidR="0025343D">
        <w:rPr>
          <w:rFonts w:ascii="Calibri" w:hAnsi="Calibri" w:cs="Arial"/>
          <w:bCs/>
          <w:color w:val="000000" w:themeColor="text1"/>
          <w:lang w:val="en-US"/>
        </w:rPr>
        <w:t>.</w:t>
      </w:r>
    </w:p>
    <w:p w14:paraId="7F3466BF" w14:textId="0FA8D5DE" w:rsidR="004412D9" w:rsidRPr="00894C5C" w:rsidRDefault="00933DBD" w:rsidP="00E31D75">
      <w:pPr>
        <w:pStyle w:val="ListParagraph"/>
        <w:numPr>
          <w:ilvl w:val="0"/>
          <w:numId w:val="1"/>
        </w:numPr>
        <w:spacing w:line="480" w:lineRule="auto"/>
        <w:rPr>
          <w:rFonts w:ascii="Calibri" w:hAnsi="Calibri"/>
        </w:rPr>
      </w:pPr>
      <w:proofErr w:type="spellStart"/>
      <w:r w:rsidRPr="00894C5C">
        <w:rPr>
          <w:rFonts w:ascii="Calibri" w:hAnsi="Calibri" w:cs="Arial"/>
          <w:bCs/>
          <w:color w:val="000000" w:themeColor="text1"/>
          <w:lang w:val="en-US"/>
        </w:rPr>
        <w:t>Heijenbrok-Kal</w:t>
      </w:r>
      <w:proofErr w:type="spellEnd"/>
      <w:r w:rsidRPr="00894C5C">
        <w:rPr>
          <w:rFonts w:ascii="Calibri" w:hAnsi="Calibri" w:cs="Arial"/>
          <w:bCs/>
          <w:color w:val="000000" w:themeColor="text1"/>
          <w:lang w:val="en-US"/>
        </w:rPr>
        <w:t xml:space="preserve"> MH, </w:t>
      </w:r>
      <w:proofErr w:type="spellStart"/>
      <w:r w:rsidRPr="00894C5C">
        <w:rPr>
          <w:rFonts w:ascii="Calibri" w:hAnsi="Calibri" w:cs="Arial"/>
          <w:bCs/>
          <w:color w:val="000000" w:themeColor="text1"/>
          <w:lang w:val="en-US"/>
        </w:rPr>
        <w:t>Kock</w:t>
      </w:r>
      <w:proofErr w:type="spellEnd"/>
      <w:r w:rsidRPr="00894C5C">
        <w:rPr>
          <w:rFonts w:ascii="Calibri" w:hAnsi="Calibri" w:cs="Arial"/>
          <w:bCs/>
          <w:color w:val="000000" w:themeColor="text1"/>
          <w:lang w:val="en-US"/>
        </w:rPr>
        <w:t xml:space="preserve"> MC, </w:t>
      </w:r>
      <w:proofErr w:type="spellStart"/>
      <w:r w:rsidRPr="00894C5C">
        <w:rPr>
          <w:rFonts w:ascii="Calibri" w:hAnsi="Calibri" w:cs="Arial"/>
          <w:bCs/>
          <w:color w:val="000000" w:themeColor="text1"/>
          <w:lang w:val="en-US"/>
        </w:rPr>
        <w:t>Hunink</w:t>
      </w:r>
      <w:proofErr w:type="spellEnd"/>
      <w:r w:rsidRPr="00894C5C">
        <w:rPr>
          <w:rFonts w:ascii="Calibri" w:hAnsi="Calibri" w:cs="Arial"/>
          <w:bCs/>
          <w:color w:val="000000" w:themeColor="text1"/>
          <w:lang w:val="en-US"/>
        </w:rPr>
        <w:t xml:space="preserve"> MG. </w:t>
      </w:r>
      <w:r w:rsidR="00884016" w:rsidRPr="00894C5C">
        <w:rPr>
          <w:rFonts w:ascii="Calibri" w:hAnsi="Calibri" w:cs="Arial"/>
          <w:bCs/>
          <w:color w:val="000000" w:themeColor="text1"/>
          <w:lang w:val="en-US"/>
        </w:rPr>
        <w:t xml:space="preserve">Lower Extremity Arterial Disease: </w:t>
      </w:r>
      <w:proofErr w:type="spellStart"/>
      <w:r w:rsidR="00884016" w:rsidRPr="00894C5C">
        <w:rPr>
          <w:rFonts w:ascii="Calibri" w:hAnsi="Calibri" w:cs="Arial"/>
          <w:bCs/>
          <w:color w:val="000000" w:themeColor="text1"/>
          <w:lang w:val="en-US"/>
        </w:rPr>
        <w:t>Multidetector</w:t>
      </w:r>
      <w:proofErr w:type="spellEnd"/>
      <w:r w:rsidR="00884016" w:rsidRPr="00894C5C">
        <w:rPr>
          <w:rFonts w:ascii="Calibri" w:hAnsi="Calibri" w:cs="Arial"/>
          <w:bCs/>
          <w:color w:val="000000" w:themeColor="text1"/>
          <w:lang w:val="en-US"/>
        </w:rPr>
        <w:t xml:space="preserve"> CT Angiography—Meta-Analysis. </w:t>
      </w:r>
      <w:r w:rsidR="00EA44A9">
        <w:rPr>
          <w:rFonts w:ascii="Calibri" w:hAnsi="Calibri" w:cs="Arial"/>
          <w:bCs/>
          <w:i/>
          <w:color w:val="000000" w:themeColor="text1"/>
          <w:lang w:val="en-US"/>
        </w:rPr>
        <w:t>Radiology</w:t>
      </w:r>
      <w:r w:rsidR="00EA44A9" w:rsidRPr="00894C5C">
        <w:rPr>
          <w:rFonts w:ascii="Calibri" w:hAnsi="Calibri" w:cs="Arial"/>
          <w:bCs/>
          <w:color w:val="000000" w:themeColor="text1"/>
          <w:lang w:val="en-US"/>
        </w:rPr>
        <w:t xml:space="preserve"> </w:t>
      </w:r>
      <w:r w:rsidR="00894C5C" w:rsidRPr="00894C5C">
        <w:rPr>
          <w:rFonts w:ascii="Arial" w:hAnsi="Arial" w:cs="Arial"/>
          <w:sz w:val="22"/>
          <w:szCs w:val="22"/>
          <w:lang w:val="en-US"/>
        </w:rPr>
        <w:t>2007</w:t>
      </w:r>
      <w:proofErr w:type="gramStart"/>
      <w:r w:rsidR="00894C5C" w:rsidRPr="00894C5C">
        <w:rPr>
          <w:rFonts w:ascii="Arial" w:hAnsi="Arial" w:cs="Arial"/>
          <w:sz w:val="22"/>
          <w:szCs w:val="22"/>
          <w:lang w:val="en-US"/>
        </w:rPr>
        <w:t>;245:433</w:t>
      </w:r>
      <w:proofErr w:type="gramEnd"/>
      <w:r w:rsidR="00894C5C" w:rsidRPr="00894C5C">
        <w:rPr>
          <w:rFonts w:ascii="Arial" w:hAnsi="Arial" w:cs="Arial"/>
          <w:sz w:val="22"/>
          <w:szCs w:val="22"/>
          <w:lang w:val="en-US"/>
        </w:rPr>
        <w:t>-9.</w:t>
      </w:r>
    </w:p>
    <w:sectPr w:rsidR="004412D9" w:rsidRPr="00894C5C" w:rsidSect="004A5F0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lama">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56A5"/>
    <w:multiLevelType w:val="hybridMultilevel"/>
    <w:tmpl w:val="8DFEAB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04F85"/>
    <w:multiLevelType w:val="hybridMultilevel"/>
    <w:tmpl w:val="EBEA0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2F5FDD"/>
    <w:multiLevelType w:val="hybridMultilevel"/>
    <w:tmpl w:val="BC1CF9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D925A1"/>
    <w:multiLevelType w:val="hybridMultilevel"/>
    <w:tmpl w:val="9DC8879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341E12A8"/>
    <w:multiLevelType w:val="hybridMultilevel"/>
    <w:tmpl w:val="46BA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063C66"/>
    <w:multiLevelType w:val="hybridMultilevel"/>
    <w:tmpl w:val="98C403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255C2E"/>
    <w:multiLevelType w:val="hybridMultilevel"/>
    <w:tmpl w:val="46BAB5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F65DB"/>
    <w:multiLevelType w:val="hybridMultilevel"/>
    <w:tmpl w:val="0D086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D61B4"/>
    <w:multiLevelType w:val="hybridMultilevel"/>
    <w:tmpl w:val="0C62745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786E76E0"/>
    <w:multiLevelType w:val="hybridMultilevel"/>
    <w:tmpl w:val="A7DAB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1C16B6"/>
    <w:multiLevelType w:val="hybridMultilevel"/>
    <w:tmpl w:val="0D70EC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0"/>
  </w:num>
  <w:num w:numId="5">
    <w:abstractNumId w:val="10"/>
  </w:num>
  <w:num w:numId="6">
    <w:abstractNumId w:val="4"/>
  </w:num>
  <w:num w:numId="7">
    <w:abstractNumId w:val="3"/>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A0"/>
    <w:rsid w:val="00001E38"/>
    <w:rsid w:val="00012BFC"/>
    <w:rsid w:val="0001376A"/>
    <w:rsid w:val="00016DEF"/>
    <w:rsid w:val="00022F29"/>
    <w:rsid w:val="0002452B"/>
    <w:rsid w:val="00026064"/>
    <w:rsid w:val="00031734"/>
    <w:rsid w:val="00037849"/>
    <w:rsid w:val="00046930"/>
    <w:rsid w:val="00046C4E"/>
    <w:rsid w:val="000521B4"/>
    <w:rsid w:val="00052CB5"/>
    <w:rsid w:val="00056D63"/>
    <w:rsid w:val="00073121"/>
    <w:rsid w:val="00081896"/>
    <w:rsid w:val="00082C64"/>
    <w:rsid w:val="00091B16"/>
    <w:rsid w:val="000B12B7"/>
    <w:rsid w:val="000C3BDA"/>
    <w:rsid w:val="000C508F"/>
    <w:rsid w:val="000D09C2"/>
    <w:rsid w:val="000F0F91"/>
    <w:rsid w:val="000F42F1"/>
    <w:rsid w:val="000F70B7"/>
    <w:rsid w:val="001212AF"/>
    <w:rsid w:val="00123F4B"/>
    <w:rsid w:val="00134D34"/>
    <w:rsid w:val="00150C52"/>
    <w:rsid w:val="00153692"/>
    <w:rsid w:val="00160198"/>
    <w:rsid w:val="00197628"/>
    <w:rsid w:val="001A23B9"/>
    <w:rsid w:val="001A5582"/>
    <w:rsid w:val="001B6979"/>
    <w:rsid w:val="001B6C8E"/>
    <w:rsid w:val="001F2D9E"/>
    <w:rsid w:val="001F55D4"/>
    <w:rsid w:val="00210D07"/>
    <w:rsid w:val="002121B9"/>
    <w:rsid w:val="00212374"/>
    <w:rsid w:val="00221076"/>
    <w:rsid w:val="002241CC"/>
    <w:rsid w:val="00235304"/>
    <w:rsid w:val="00243FC8"/>
    <w:rsid w:val="00252FF8"/>
    <w:rsid w:val="0025343D"/>
    <w:rsid w:val="00270DCA"/>
    <w:rsid w:val="0027297A"/>
    <w:rsid w:val="00272CB8"/>
    <w:rsid w:val="002A1062"/>
    <w:rsid w:val="002A345B"/>
    <w:rsid w:val="002A6BA1"/>
    <w:rsid w:val="002B1156"/>
    <w:rsid w:val="002B1F2C"/>
    <w:rsid w:val="002B225B"/>
    <w:rsid w:val="002D415A"/>
    <w:rsid w:val="002F26A8"/>
    <w:rsid w:val="002F7850"/>
    <w:rsid w:val="0030283C"/>
    <w:rsid w:val="0030697C"/>
    <w:rsid w:val="00311B77"/>
    <w:rsid w:val="00366303"/>
    <w:rsid w:val="00376938"/>
    <w:rsid w:val="00384DD8"/>
    <w:rsid w:val="00394E5A"/>
    <w:rsid w:val="003B7EF7"/>
    <w:rsid w:val="003C4E3C"/>
    <w:rsid w:val="003D0A95"/>
    <w:rsid w:val="003D64E0"/>
    <w:rsid w:val="003E612C"/>
    <w:rsid w:val="003F032E"/>
    <w:rsid w:val="004052A5"/>
    <w:rsid w:val="00407A4E"/>
    <w:rsid w:val="00437578"/>
    <w:rsid w:val="004412D9"/>
    <w:rsid w:val="0044271E"/>
    <w:rsid w:val="004501EA"/>
    <w:rsid w:val="004511F0"/>
    <w:rsid w:val="00451375"/>
    <w:rsid w:val="00460E18"/>
    <w:rsid w:val="00465612"/>
    <w:rsid w:val="004876FC"/>
    <w:rsid w:val="00494D1D"/>
    <w:rsid w:val="00497BD6"/>
    <w:rsid w:val="004A31FA"/>
    <w:rsid w:val="004A5F09"/>
    <w:rsid w:val="004B0687"/>
    <w:rsid w:val="004B26CF"/>
    <w:rsid w:val="004B2E38"/>
    <w:rsid w:val="004C3FDF"/>
    <w:rsid w:val="004F7604"/>
    <w:rsid w:val="00512F2E"/>
    <w:rsid w:val="005251F3"/>
    <w:rsid w:val="00532AEE"/>
    <w:rsid w:val="00547EBB"/>
    <w:rsid w:val="005628EB"/>
    <w:rsid w:val="00572DCD"/>
    <w:rsid w:val="0057486B"/>
    <w:rsid w:val="00575A4D"/>
    <w:rsid w:val="00575AE1"/>
    <w:rsid w:val="00582912"/>
    <w:rsid w:val="005D423F"/>
    <w:rsid w:val="00607948"/>
    <w:rsid w:val="00623C23"/>
    <w:rsid w:val="006318BB"/>
    <w:rsid w:val="0064465F"/>
    <w:rsid w:val="006675D8"/>
    <w:rsid w:val="00672270"/>
    <w:rsid w:val="00693DD8"/>
    <w:rsid w:val="006A3AA1"/>
    <w:rsid w:val="006A64A9"/>
    <w:rsid w:val="006E3164"/>
    <w:rsid w:val="006E323B"/>
    <w:rsid w:val="006E5D7C"/>
    <w:rsid w:val="006F452D"/>
    <w:rsid w:val="007011D7"/>
    <w:rsid w:val="00713FA5"/>
    <w:rsid w:val="0072067E"/>
    <w:rsid w:val="0072498E"/>
    <w:rsid w:val="007300E5"/>
    <w:rsid w:val="00752A40"/>
    <w:rsid w:val="007740D9"/>
    <w:rsid w:val="00776F73"/>
    <w:rsid w:val="007777E2"/>
    <w:rsid w:val="00781EE8"/>
    <w:rsid w:val="00787D73"/>
    <w:rsid w:val="007A6B03"/>
    <w:rsid w:val="007B3527"/>
    <w:rsid w:val="007B5247"/>
    <w:rsid w:val="007B668C"/>
    <w:rsid w:val="007B7FDE"/>
    <w:rsid w:val="007C5182"/>
    <w:rsid w:val="007E2D17"/>
    <w:rsid w:val="007F098A"/>
    <w:rsid w:val="00801D9F"/>
    <w:rsid w:val="008043B4"/>
    <w:rsid w:val="00812746"/>
    <w:rsid w:val="00831AAC"/>
    <w:rsid w:val="00832C4E"/>
    <w:rsid w:val="008373D8"/>
    <w:rsid w:val="008525D6"/>
    <w:rsid w:val="00876BB7"/>
    <w:rsid w:val="008829A9"/>
    <w:rsid w:val="00884016"/>
    <w:rsid w:val="00887A81"/>
    <w:rsid w:val="00891F7F"/>
    <w:rsid w:val="00894C5C"/>
    <w:rsid w:val="008A3A97"/>
    <w:rsid w:val="008A76B9"/>
    <w:rsid w:val="008B173C"/>
    <w:rsid w:val="008C0F81"/>
    <w:rsid w:val="008D0542"/>
    <w:rsid w:val="008D24EA"/>
    <w:rsid w:val="008D42B0"/>
    <w:rsid w:val="008D6F3D"/>
    <w:rsid w:val="008E2693"/>
    <w:rsid w:val="008E7DDF"/>
    <w:rsid w:val="008F1709"/>
    <w:rsid w:val="008F1842"/>
    <w:rsid w:val="008F7B69"/>
    <w:rsid w:val="00900479"/>
    <w:rsid w:val="00906A6F"/>
    <w:rsid w:val="009139FA"/>
    <w:rsid w:val="00923C29"/>
    <w:rsid w:val="00926615"/>
    <w:rsid w:val="00927C06"/>
    <w:rsid w:val="00933DBD"/>
    <w:rsid w:val="00952DD0"/>
    <w:rsid w:val="00956CE5"/>
    <w:rsid w:val="0096170A"/>
    <w:rsid w:val="00964828"/>
    <w:rsid w:val="00971C1E"/>
    <w:rsid w:val="00974B75"/>
    <w:rsid w:val="00983974"/>
    <w:rsid w:val="00990AA6"/>
    <w:rsid w:val="00992775"/>
    <w:rsid w:val="00995A41"/>
    <w:rsid w:val="009963CC"/>
    <w:rsid w:val="009B3EA7"/>
    <w:rsid w:val="009C2E93"/>
    <w:rsid w:val="009C4559"/>
    <w:rsid w:val="009D1830"/>
    <w:rsid w:val="009D546C"/>
    <w:rsid w:val="009E1D32"/>
    <w:rsid w:val="009F2927"/>
    <w:rsid w:val="00A007A0"/>
    <w:rsid w:val="00A210E5"/>
    <w:rsid w:val="00A32F5D"/>
    <w:rsid w:val="00A46987"/>
    <w:rsid w:val="00A52B9B"/>
    <w:rsid w:val="00A5567A"/>
    <w:rsid w:val="00A56A68"/>
    <w:rsid w:val="00A738D4"/>
    <w:rsid w:val="00A842EC"/>
    <w:rsid w:val="00AA4914"/>
    <w:rsid w:val="00AA6505"/>
    <w:rsid w:val="00AA7D02"/>
    <w:rsid w:val="00AB3021"/>
    <w:rsid w:val="00AB4EEE"/>
    <w:rsid w:val="00AC6788"/>
    <w:rsid w:val="00AC7075"/>
    <w:rsid w:val="00AD1687"/>
    <w:rsid w:val="00AD3EC0"/>
    <w:rsid w:val="00AE17D9"/>
    <w:rsid w:val="00AE4724"/>
    <w:rsid w:val="00B02A43"/>
    <w:rsid w:val="00B076F9"/>
    <w:rsid w:val="00B127A9"/>
    <w:rsid w:val="00B1646B"/>
    <w:rsid w:val="00B179FB"/>
    <w:rsid w:val="00B3186B"/>
    <w:rsid w:val="00B54BBC"/>
    <w:rsid w:val="00B57439"/>
    <w:rsid w:val="00B62DB8"/>
    <w:rsid w:val="00B63F09"/>
    <w:rsid w:val="00B64D8C"/>
    <w:rsid w:val="00B65DAD"/>
    <w:rsid w:val="00BA7CF8"/>
    <w:rsid w:val="00BB4233"/>
    <w:rsid w:val="00BC0B5C"/>
    <w:rsid w:val="00BC194E"/>
    <w:rsid w:val="00BC4DA9"/>
    <w:rsid w:val="00BD6F15"/>
    <w:rsid w:val="00BE72EE"/>
    <w:rsid w:val="00BF3654"/>
    <w:rsid w:val="00BF6236"/>
    <w:rsid w:val="00C1336D"/>
    <w:rsid w:val="00C2525F"/>
    <w:rsid w:val="00C279D2"/>
    <w:rsid w:val="00C33E4D"/>
    <w:rsid w:val="00C35117"/>
    <w:rsid w:val="00C36667"/>
    <w:rsid w:val="00C45935"/>
    <w:rsid w:val="00C461B6"/>
    <w:rsid w:val="00C55FF2"/>
    <w:rsid w:val="00C5748C"/>
    <w:rsid w:val="00C86BB5"/>
    <w:rsid w:val="00C930B9"/>
    <w:rsid w:val="00C9437C"/>
    <w:rsid w:val="00CA4F88"/>
    <w:rsid w:val="00CC1C59"/>
    <w:rsid w:val="00CC3664"/>
    <w:rsid w:val="00CD3858"/>
    <w:rsid w:val="00D04A46"/>
    <w:rsid w:val="00D20769"/>
    <w:rsid w:val="00D234EE"/>
    <w:rsid w:val="00D34877"/>
    <w:rsid w:val="00D4082C"/>
    <w:rsid w:val="00D56E0D"/>
    <w:rsid w:val="00D733DF"/>
    <w:rsid w:val="00D859B3"/>
    <w:rsid w:val="00D900B0"/>
    <w:rsid w:val="00DA38B3"/>
    <w:rsid w:val="00DA6800"/>
    <w:rsid w:val="00DA7EEE"/>
    <w:rsid w:val="00DB23F6"/>
    <w:rsid w:val="00DB57FC"/>
    <w:rsid w:val="00DC2119"/>
    <w:rsid w:val="00DD39DD"/>
    <w:rsid w:val="00DE0ABD"/>
    <w:rsid w:val="00DF7CE1"/>
    <w:rsid w:val="00E01083"/>
    <w:rsid w:val="00E034A2"/>
    <w:rsid w:val="00E04884"/>
    <w:rsid w:val="00E141E6"/>
    <w:rsid w:val="00E15FC1"/>
    <w:rsid w:val="00E2691C"/>
    <w:rsid w:val="00E35EDA"/>
    <w:rsid w:val="00E56DE3"/>
    <w:rsid w:val="00E63B73"/>
    <w:rsid w:val="00E6760B"/>
    <w:rsid w:val="00E809EB"/>
    <w:rsid w:val="00E833DE"/>
    <w:rsid w:val="00E8649E"/>
    <w:rsid w:val="00E95EAE"/>
    <w:rsid w:val="00E96DC8"/>
    <w:rsid w:val="00E976D2"/>
    <w:rsid w:val="00EA44A9"/>
    <w:rsid w:val="00EB038D"/>
    <w:rsid w:val="00EC13B4"/>
    <w:rsid w:val="00ED5845"/>
    <w:rsid w:val="00EF57C4"/>
    <w:rsid w:val="00F0392A"/>
    <w:rsid w:val="00F05AC8"/>
    <w:rsid w:val="00F05DAF"/>
    <w:rsid w:val="00F16BA8"/>
    <w:rsid w:val="00F201A5"/>
    <w:rsid w:val="00F24579"/>
    <w:rsid w:val="00F33F21"/>
    <w:rsid w:val="00F412A4"/>
    <w:rsid w:val="00F41F80"/>
    <w:rsid w:val="00F44CFB"/>
    <w:rsid w:val="00F50F49"/>
    <w:rsid w:val="00F54316"/>
    <w:rsid w:val="00F54356"/>
    <w:rsid w:val="00F55112"/>
    <w:rsid w:val="00F5662D"/>
    <w:rsid w:val="00F569A7"/>
    <w:rsid w:val="00F63489"/>
    <w:rsid w:val="00F641A6"/>
    <w:rsid w:val="00F67925"/>
    <w:rsid w:val="00F76048"/>
    <w:rsid w:val="00F949A6"/>
    <w:rsid w:val="00F9657B"/>
    <w:rsid w:val="00FA3959"/>
    <w:rsid w:val="00FA39EF"/>
    <w:rsid w:val="00FA513E"/>
    <w:rsid w:val="00FA5803"/>
    <w:rsid w:val="00FA610C"/>
    <w:rsid w:val="00FB47A4"/>
    <w:rsid w:val="00FC26A2"/>
    <w:rsid w:val="00FC73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5376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07A0"/>
    <w:pPr>
      <w:ind w:left="720"/>
      <w:contextualSpacing/>
    </w:pPr>
  </w:style>
  <w:style w:type="character" w:styleId="Hyperlink">
    <w:name w:val="Hyperlink"/>
    <w:basedOn w:val="DefaultParagraphFont"/>
    <w:uiPriority w:val="99"/>
    <w:unhideWhenUsed/>
    <w:rsid w:val="007C5182"/>
    <w:rPr>
      <w:color w:val="0563C1" w:themeColor="hyperlink"/>
      <w:u w:val="single"/>
    </w:rPr>
  </w:style>
  <w:style w:type="character" w:styleId="CommentReference">
    <w:name w:val="annotation reference"/>
    <w:basedOn w:val="DefaultParagraphFont"/>
    <w:uiPriority w:val="99"/>
    <w:semiHidden/>
    <w:unhideWhenUsed/>
    <w:rsid w:val="00437578"/>
    <w:rPr>
      <w:sz w:val="18"/>
      <w:szCs w:val="18"/>
    </w:rPr>
  </w:style>
  <w:style w:type="paragraph" w:styleId="CommentText">
    <w:name w:val="annotation text"/>
    <w:basedOn w:val="Normal"/>
    <w:link w:val="CommentTextChar"/>
    <w:uiPriority w:val="99"/>
    <w:semiHidden/>
    <w:unhideWhenUsed/>
    <w:rsid w:val="00437578"/>
  </w:style>
  <w:style w:type="character" w:customStyle="1" w:styleId="CommentTextChar">
    <w:name w:val="Comment Text Char"/>
    <w:basedOn w:val="DefaultParagraphFont"/>
    <w:link w:val="CommentText"/>
    <w:uiPriority w:val="99"/>
    <w:semiHidden/>
    <w:rsid w:val="00437578"/>
  </w:style>
  <w:style w:type="paragraph" w:styleId="CommentSubject">
    <w:name w:val="annotation subject"/>
    <w:basedOn w:val="CommentText"/>
    <w:next w:val="CommentText"/>
    <w:link w:val="CommentSubjectChar"/>
    <w:uiPriority w:val="99"/>
    <w:semiHidden/>
    <w:unhideWhenUsed/>
    <w:rsid w:val="00437578"/>
    <w:rPr>
      <w:b/>
      <w:bCs/>
      <w:sz w:val="20"/>
      <w:szCs w:val="20"/>
    </w:rPr>
  </w:style>
  <w:style w:type="character" w:customStyle="1" w:styleId="CommentSubjectChar">
    <w:name w:val="Comment Subject Char"/>
    <w:basedOn w:val="CommentTextChar"/>
    <w:link w:val="CommentSubject"/>
    <w:uiPriority w:val="99"/>
    <w:semiHidden/>
    <w:rsid w:val="00437578"/>
    <w:rPr>
      <w:b/>
      <w:bCs/>
      <w:sz w:val="20"/>
      <w:szCs w:val="20"/>
    </w:rPr>
  </w:style>
  <w:style w:type="paragraph" w:styleId="BalloonText">
    <w:name w:val="Balloon Text"/>
    <w:basedOn w:val="Normal"/>
    <w:link w:val="BalloonTextChar"/>
    <w:uiPriority w:val="99"/>
    <w:semiHidden/>
    <w:unhideWhenUsed/>
    <w:rsid w:val="00437578"/>
    <w:rPr>
      <w:rFonts w:ascii="Helvetica" w:hAnsi="Helvetica"/>
      <w:sz w:val="18"/>
      <w:szCs w:val="18"/>
    </w:rPr>
  </w:style>
  <w:style w:type="character" w:customStyle="1" w:styleId="BalloonTextChar">
    <w:name w:val="Balloon Text Char"/>
    <w:basedOn w:val="DefaultParagraphFont"/>
    <w:link w:val="BalloonText"/>
    <w:uiPriority w:val="99"/>
    <w:semiHidden/>
    <w:rsid w:val="00437578"/>
    <w:rPr>
      <w:rFonts w:ascii="Helvetica" w:hAnsi="Helvetica"/>
      <w:sz w:val="18"/>
      <w:szCs w:val="18"/>
    </w:rPr>
  </w:style>
  <w:style w:type="paragraph" w:styleId="NormalWeb">
    <w:name w:val="Normal (Web)"/>
    <w:basedOn w:val="Normal"/>
    <w:uiPriority w:val="99"/>
    <w:semiHidden/>
    <w:unhideWhenUsed/>
    <w:rsid w:val="00081896"/>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FA3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5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68284">
      <w:bodyDiv w:val="1"/>
      <w:marLeft w:val="0"/>
      <w:marRight w:val="0"/>
      <w:marTop w:val="0"/>
      <w:marBottom w:val="0"/>
      <w:divBdr>
        <w:top w:val="none" w:sz="0" w:space="0" w:color="auto"/>
        <w:left w:val="none" w:sz="0" w:space="0" w:color="auto"/>
        <w:bottom w:val="none" w:sz="0" w:space="0" w:color="auto"/>
        <w:right w:val="none" w:sz="0" w:space="0" w:color="auto"/>
      </w:divBdr>
      <w:divsChild>
        <w:div w:id="1457481622">
          <w:marLeft w:val="0"/>
          <w:marRight w:val="0"/>
          <w:marTop w:val="0"/>
          <w:marBottom w:val="0"/>
          <w:divBdr>
            <w:top w:val="none" w:sz="0" w:space="0" w:color="auto"/>
            <w:left w:val="none" w:sz="0" w:space="0" w:color="auto"/>
            <w:bottom w:val="none" w:sz="0" w:space="0" w:color="auto"/>
            <w:right w:val="none" w:sz="0" w:space="0" w:color="auto"/>
          </w:divBdr>
          <w:divsChild>
            <w:div w:id="499349568">
              <w:marLeft w:val="0"/>
              <w:marRight w:val="0"/>
              <w:marTop w:val="0"/>
              <w:marBottom w:val="0"/>
              <w:divBdr>
                <w:top w:val="none" w:sz="0" w:space="0" w:color="auto"/>
                <w:left w:val="none" w:sz="0" w:space="0" w:color="auto"/>
                <w:bottom w:val="none" w:sz="0" w:space="0" w:color="auto"/>
                <w:right w:val="none" w:sz="0" w:space="0" w:color="auto"/>
              </w:divBdr>
              <w:divsChild>
                <w:div w:id="1197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849868">
      <w:bodyDiv w:val="1"/>
      <w:marLeft w:val="0"/>
      <w:marRight w:val="0"/>
      <w:marTop w:val="0"/>
      <w:marBottom w:val="0"/>
      <w:divBdr>
        <w:top w:val="none" w:sz="0" w:space="0" w:color="auto"/>
        <w:left w:val="none" w:sz="0" w:space="0" w:color="auto"/>
        <w:bottom w:val="none" w:sz="0" w:space="0" w:color="auto"/>
        <w:right w:val="none" w:sz="0" w:space="0" w:color="auto"/>
      </w:divBdr>
      <w:divsChild>
        <w:div w:id="1883979314">
          <w:marLeft w:val="0"/>
          <w:marRight w:val="0"/>
          <w:marTop w:val="0"/>
          <w:marBottom w:val="0"/>
          <w:divBdr>
            <w:top w:val="none" w:sz="0" w:space="0" w:color="auto"/>
            <w:left w:val="none" w:sz="0" w:space="0" w:color="auto"/>
            <w:bottom w:val="none" w:sz="0" w:space="0" w:color="auto"/>
            <w:right w:val="none" w:sz="0" w:space="0" w:color="auto"/>
          </w:divBdr>
          <w:divsChild>
            <w:div w:id="789977886">
              <w:marLeft w:val="0"/>
              <w:marRight w:val="0"/>
              <w:marTop w:val="0"/>
              <w:marBottom w:val="0"/>
              <w:divBdr>
                <w:top w:val="none" w:sz="0" w:space="0" w:color="auto"/>
                <w:left w:val="none" w:sz="0" w:space="0" w:color="auto"/>
                <w:bottom w:val="none" w:sz="0" w:space="0" w:color="auto"/>
                <w:right w:val="none" w:sz="0" w:space="0" w:color="auto"/>
              </w:divBdr>
              <w:divsChild>
                <w:div w:id="1847401475">
                  <w:marLeft w:val="0"/>
                  <w:marRight w:val="0"/>
                  <w:marTop w:val="0"/>
                  <w:marBottom w:val="0"/>
                  <w:divBdr>
                    <w:top w:val="none" w:sz="0" w:space="0" w:color="auto"/>
                    <w:left w:val="none" w:sz="0" w:space="0" w:color="auto"/>
                    <w:bottom w:val="none" w:sz="0" w:space="0" w:color="auto"/>
                    <w:right w:val="none" w:sz="0" w:space="0" w:color="auto"/>
                  </w:divBdr>
                  <w:divsChild>
                    <w:div w:id="12195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33421">
      <w:bodyDiv w:val="1"/>
      <w:marLeft w:val="0"/>
      <w:marRight w:val="0"/>
      <w:marTop w:val="0"/>
      <w:marBottom w:val="0"/>
      <w:divBdr>
        <w:top w:val="none" w:sz="0" w:space="0" w:color="auto"/>
        <w:left w:val="none" w:sz="0" w:space="0" w:color="auto"/>
        <w:bottom w:val="none" w:sz="0" w:space="0" w:color="auto"/>
        <w:right w:val="none" w:sz="0" w:space="0" w:color="auto"/>
      </w:divBdr>
      <w:divsChild>
        <w:div w:id="2066952410">
          <w:marLeft w:val="0"/>
          <w:marRight w:val="0"/>
          <w:marTop w:val="0"/>
          <w:marBottom w:val="0"/>
          <w:divBdr>
            <w:top w:val="none" w:sz="0" w:space="0" w:color="auto"/>
            <w:left w:val="none" w:sz="0" w:space="0" w:color="auto"/>
            <w:bottom w:val="none" w:sz="0" w:space="0" w:color="auto"/>
            <w:right w:val="none" w:sz="0" w:space="0" w:color="auto"/>
          </w:divBdr>
          <w:divsChild>
            <w:div w:id="1693531090">
              <w:marLeft w:val="0"/>
              <w:marRight w:val="0"/>
              <w:marTop w:val="0"/>
              <w:marBottom w:val="0"/>
              <w:divBdr>
                <w:top w:val="none" w:sz="0" w:space="0" w:color="auto"/>
                <w:left w:val="none" w:sz="0" w:space="0" w:color="auto"/>
                <w:bottom w:val="none" w:sz="0" w:space="0" w:color="auto"/>
                <w:right w:val="none" w:sz="0" w:space="0" w:color="auto"/>
              </w:divBdr>
              <w:divsChild>
                <w:div w:id="780881651">
                  <w:marLeft w:val="0"/>
                  <w:marRight w:val="0"/>
                  <w:marTop w:val="0"/>
                  <w:marBottom w:val="0"/>
                  <w:divBdr>
                    <w:top w:val="none" w:sz="0" w:space="0" w:color="auto"/>
                    <w:left w:val="none" w:sz="0" w:space="0" w:color="auto"/>
                    <w:bottom w:val="none" w:sz="0" w:space="0" w:color="auto"/>
                    <w:right w:val="none" w:sz="0" w:space="0" w:color="auto"/>
                  </w:divBdr>
                  <w:divsChild>
                    <w:div w:id="5052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052360">
      <w:bodyDiv w:val="1"/>
      <w:marLeft w:val="0"/>
      <w:marRight w:val="0"/>
      <w:marTop w:val="0"/>
      <w:marBottom w:val="0"/>
      <w:divBdr>
        <w:top w:val="none" w:sz="0" w:space="0" w:color="auto"/>
        <w:left w:val="none" w:sz="0" w:space="0" w:color="auto"/>
        <w:bottom w:val="none" w:sz="0" w:space="0" w:color="auto"/>
        <w:right w:val="none" w:sz="0" w:space="0" w:color="auto"/>
      </w:divBdr>
      <w:divsChild>
        <w:div w:id="1848521770">
          <w:marLeft w:val="0"/>
          <w:marRight w:val="0"/>
          <w:marTop w:val="0"/>
          <w:marBottom w:val="0"/>
          <w:divBdr>
            <w:top w:val="none" w:sz="0" w:space="0" w:color="auto"/>
            <w:left w:val="none" w:sz="0" w:space="0" w:color="auto"/>
            <w:bottom w:val="none" w:sz="0" w:space="0" w:color="auto"/>
            <w:right w:val="none" w:sz="0" w:space="0" w:color="auto"/>
          </w:divBdr>
          <w:divsChild>
            <w:div w:id="1480608899">
              <w:marLeft w:val="0"/>
              <w:marRight w:val="0"/>
              <w:marTop w:val="0"/>
              <w:marBottom w:val="0"/>
              <w:divBdr>
                <w:top w:val="none" w:sz="0" w:space="0" w:color="auto"/>
                <w:left w:val="none" w:sz="0" w:space="0" w:color="auto"/>
                <w:bottom w:val="none" w:sz="0" w:space="0" w:color="auto"/>
                <w:right w:val="none" w:sz="0" w:space="0" w:color="auto"/>
              </w:divBdr>
              <w:divsChild>
                <w:div w:id="1051733695">
                  <w:marLeft w:val="0"/>
                  <w:marRight w:val="0"/>
                  <w:marTop w:val="0"/>
                  <w:marBottom w:val="0"/>
                  <w:divBdr>
                    <w:top w:val="none" w:sz="0" w:space="0" w:color="auto"/>
                    <w:left w:val="none" w:sz="0" w:space="0" w:color="auto"/>
                    <w:bottom w:val="none" w:sz="0" w:space="0" w:color="auto"/>
                    <w:right w:val="none" w:sz="0" w:space="0" w:color="auto"/>
                  </w:divBdr>
                  <w:divsChild>
                    <w:div w:id="17550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DCC16-789B-4F39-9EDB-776E855BD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10</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Adeeb Rehman</dc:creator>
  <cp:lastModifiedBy>Burnside, Girvan</cp:lastModifiedBy>
  <cp:revision>8</cp:revision>
  <dcterms:created xsi:type="dcterms:W3CDTF">2016-08-29T05:57:00Z</dcterms:created>
  <dcterms:modified xsi:type="dcterms:W3CDTF">2017-02-06T14:10:00Z</dcterms:modified>
</cp:coreProperties>
</file>