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33" w:rsidRPr="00597147" w:rsidRDefault="00D25D33" w:rsidP="00D25D33">
      <w:pPr>
        <w:rPr>
          <w:rStyle w:val="Strong"/>
          <w:rFonts w:ascii="Calibri" w:hAnsi="Calibri" w:cs="Segoe UI"/>
          <w:color w:val="444444"/>
          <w:lang w:val="en-US"/>
        </w:rPr>
      </w:pPr>
      <w:bookmarkStart w:id="0" w:name="_GoBack"/>
      <w:bookmarkEnd w:id="0"/>
      <w:r w:rsidRPr="00597147">
        <w:rPr>
          <w:rStyle w:val="Strong"/>
          <w:rFonts w:ascii="Calibri" w:hAnsi="Calibri" w:cs="Segoe UI"/>
          <w:color w:val="444444"/>
          <w:lang w:val="en-US"/>
        </w:rPr>
        <w:t>CH</w:t>
      </w:r>
      <w:r>
        <w:rPr>
          <w:rStyle w:val="Strong"/>
          <w:rFonts w:ascii="Calibri" w:hAnsi="Calibri" w:cs="Segoe UI"/>
          <w:color w:val="444444"/>
          <w:lang w:val="en-US"/>
        </w:rPr>
        <w:t>ILDREN AND YOUNG PEOPLE SUPPORT</w:t>
      </w:r>
      <w:r w:rsidRPr="00597147">
        <w:rPr>
          <w:rStyle w:val="Strong"/>
          <w:rFonts w:ascii="Calibri" w:hAnsi="Calibri" w:cs="Segoe UI"/>
          <w:color w:val="444444"/>
          <w:lang w:val="en-US"/>
        </w:rPr>
        <w:t xml:space="preserve"> RESEARCH WITHOUT PRIOR CONSENT IN </w:t>
      </w:r>
      <w:r>
        <w:rPr>
          <w:rStyle w:val="Strong"/>
          <w:rFonts w:ascii="Calibri" w:hAnsi="Calibri" w:cs="Segoe UI"/>
          <w:color w:val="444444"/>
          <w:lang w:val="en-US"/>
        </w:rPr>
        <w:t>LIFE THREATENING SITUATIONS:</w:t>
      </w:r>
      <w:r w:rsidRPr="00597147">
        <w:rPr>
          <w:rStyle w:val="Strong"/>
          <w:rFonts w:ascii="Calibri" w:hAnsi="Calibri" w:cs="Segoe UI"/>
          <w:color w:val="444444"/>
          <w:lang w:val="en-US"/>
        </w:rPr>
        <w:t xml:space="preserve"> A QUALITATIVE STUDY</w:t>
      </w:r>
    </w:p>
    <w:p w:rsidR="00D25D33" w:rsidRPr="00597147" w:rsidRDefault="00D25D33" w:rsidP="00D25D33">
      <w:pPr>
        <w:rPr>
          <w:rStyle w:val="Strong"/>
          <w:rFonts w:ascii="Calibri" w:hAnsi="Calibri" w:cs="Segoe UI"/>
          <w:color w:val="444444"/>
          <w:lang w:val="en-US"/>
        </w:rPr>
      </w:pPr>
      <w:r w:rsidRPr="00597147">
        <w:rPr>
          <w:rStyle w:val="Strong"/>
          <w:rFonts w:ascii="Calibri" w:hAnsi="Calibri" w:cs="Segoe UI"/>
          <w:color w:val="444444"/>
          <w:lang w:val="en-US"/>
        </w:rPr>
        <w:t>Kerry Woolfall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footnoteReference w:id="1"/>
      </w:r>
      <w:r w:rsidRPr="00597147">
        <w:rPr>
          <w:rStyle w:val="Strong"/>
          <w:rFonts w:ascii="Calibri" w:hAnsi="Calibri" w:cs="Segoe UI"/>
          <w:color w:val="444444"/>
          <w:lang w:val="en-US"/>
        </w:rPr>
        <w:t>, Louise Roper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t>1</w:t>
      </w:r>
      <w:r w:rsidRPr="00597147">
        <w:rPr>
          <w:rStyle w:val="Strong"/>
          <w:rFonts w:ascii="Calibri" w:hAnsi="Calibri" w:cs="Segoe UI"/>
          <w:color w:val="444444"/>
          <w:lang w:val="en-US"/>
        </w:rPr>
        <w:t xml:space="preserve">, </w:t>
      </w:r>
      <w:r>
        <w:rPr>
          <w:rStyle w:val="Strong"/>
          <w:rFonts w:ascii="Calibri" w:hAnsi="Calibri" w:cs="Segoe UI"/>
          <w:color w:val="444444"/>
          <w:lang w:val="en-US"/>
        </w:rPr>
        <w:t>Frances Sherratt</w:t>
      </w:r>
      <w:r>
        <w:rPr>
          <w:rStyle w:val="FootnoteReference"/>
          <w:rFonts w:ascii="Calibri" w:hAnsi="Calibri" w:cs="Segoe UI"/>
          <w:b/>
          <w:bCs/>
          <w:color w:val="444444"/>
          <w:lang w:val="en-US"/>
        </w:rPr>
        <w:t>1</w:t>
      </w:r>
      <w:r>
        <w:rPr>
          <w:rStyle w:val="Strong"/>
          <w:rFonts w:ascii="Calibri" w:hAnsi="Calibri" w:cs="Segoe UI"/>
          <w:color w:val="444444"/>
          <w:lang w:val="en-US"/>
        </w:rPr>
        <w:t xml:space="preserve">, </w:t>
      </w:r>
      <w:r w:rsidRPr="00597147">
        <w:rPr>
          <w:rStyle w:val="Strong"/>
          <w:rFonts w:ascii="Calibri" w:hAnsi="Calibri" w:cs="Segoe UI"/>
          <w:color w:val="444444"/>
          <w:lang w:val="en-US"/>
        </w:rPr>
        <w:t>Paul McNamara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t>5</w:t>
      </w:r>
      <w:r w:rsidRPr="00597147">
        <w:rPr>
          <w:rStyle w:val="Strong"/>
          <w:rFonts w:ascii="Calibri" w:hAnsi="Calibri" w:cs="Segoe UI"/>
          <w:color w:val="444444"/>
          <w:lang w:val="en-US"/>
        </w:rPr>
        <w:t>, Richard Appleton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footnoteReference w:id="2"/>
      </w:r>
      <w:r w:rsidRPr="00597147">
        <w:rPr>
          <w:rStyle w:val="Strong"/>
          <w:rFonts w:ascii="Calibri" w:hAnsi="Calibri" w:cs="Segoe UI"/>
          <w:color w:val="444444"/>
          <w:lang w:val="en-US"/>
        </w:rPr>
        <w:t>, Esther Crawley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footnoteReference w:id="3"/>
      </w:r>
      <w:r w:rsidRPr="00597147">
        <w:rPr>
          <w:rStyle w:val="Strong"/>
          <w:rFonts w:ascii="Calibri" w:hAnsi="Calibri" w:cs="Segoe UI"/>
          <w:color w:val="444444"/>
          <w:lang w:val="en-US"/>
        </w:rPr>
        <w:t>, Angus Dawson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footnoteReference w:id="4"/>
      </w:r>
      <w:r w:rsidRPr="00597147">
        <w:rPr>
          <w:rStyle w:val="Strong"/>
          <w:rFonts w:ascii="Calibri" w:hAnsi="Calibri" w:cs="Segoe UI"/>
          <w:color w:val="444444"/>
          <w:lang w:val="en-US"/>
        </w:rPr>
        <w:t>, Lucy Frith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t>1</w:t>
      </w:r>
      <w:r w:rsidRPr="00597147">
        <w:rPr>
          <w:rStyle w:val="Strong"/>
          <w:rFonts w:ascii="Calibri" w:hAnsi="Calibri" w:cs="Segoe UI"/>
          <w:color w:val="444444"/>
          <w:lang w:val="en-US"/>
        </w:rPr>
        <w:t>, Carrol Gamble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footnoteReference w:id="5"/>
      </w:r>
      <w:r w:rsidRPr="00597147">
        <w:rPr>
          <w:rStyle w:val="Strong"/>
          <w:rFonts w:ascii="Calibri" w:hAnsi="Calibri" w:cs="Segoe UI"/>
          <w:color w:val="444444"/>
          <w:lang w:val="en-US"/>
        </w:rPr>
        <w:t>, Bridget Young</w:t>
      </w:r>
      <w:r w:rsidRPr="00597147">
        <w:rPr>
          <w:rStyle w:val="FootnoteReference"/>
          <w:rFonts w:ascii="Calibri" w:hAnsi="Calibri" w:cs="Segoe UI"/>
          <w:bCs/>
          <w:color w:val="444444"/>
          <w:lang w:val="en-US"/>
        </w:rPr>
        <w:t>1</w:t>
      </w:r>
      <w:r w:rsidRPr="00597147">
        <w:rPr>
          <w:rStyle w:val="Strong"/>
          <w:rFonts w:ascii="Calibri" w:hAnsi="Calibri" w:cs="Segoe UI"/>
          <w:color w:val="444444"/>
          <w:lang w:val="en-US"/>
        </w:rPr>
        <w:t xml:space="preserve">. </w:t>
      </w:r>
    </w:p>
    <w:p w:rsidR="00D25D33" w:rsidRDefault="00D25D33" w:rsidP="00D25D33">
      <w:pPr>
        <w:rPr>
          <w:rStyle w:val="Strong"/>
          <w:rFonts w:cs="Segoe UI"/>
          <w:color w:val="444444"/>
          <w:lang w:val="en-US"/>
        </w:rPr>
      </w:pPr>
    </w:p>
    <w:p w:rsidR="002E2274" w:rsidRPr="00D25D33" w:rsidRDefault="002E2274" w:rsidP="00D25D33">
      <w:pPr>
        <w:rPr>
          <w:rStyle w:val="Strong"/>
          <w:rFonts w:cs="Segoe UI"/>
          <w:color w:val="444444"/>
          <w:lang w:val="en-US"/>
        </w:rPr>
      </w:pPr>
      <w:r w:rsidRPr="00D25D33">
        <w:rPr>
          <w:rStyle w:val="Strong"/>
          <w:rFonts w:cs="Segoe UI"/>
          <w:color w:val="444444"/>
          <w:lang w:val="en-US"/>
        </w:rPr>
        <w:t>Background and aims</w:t>
      </w:r>
    </w:p>
    <w:p w:rsidR="002E2274" w:rsidRPr="00243A89" w:rsidRDefault="002E2274" w:rsidP="002E2274">
      <w:pPr>
        <w:jc w:val="both"/>
        <w:rPr>
          <w:rFonts w:eastAsia="MS PGothic" w:cs="Arial"/>
          <w:kern w:val="24"/>
        </w:rPr>
      </w:pPr>
      <w:r w:rsidRPr="00C74C09">
        <w:t xml:space="preserve">Variations from informed consent </w:t>
      </w:r>
      <w:r>
        <w:t>(known as deferred consent or research without prior consent - RWPC</w:t>
      </w:r>
      <w:r w:rsidRPr="00C74C09">
        <w:t xml:space="preserve">) </w:t>
      </w:r>
      <w:r w:rsidRPr="00A14785">
        <w:rPr>
          <w:rFonts w:eastAsia="MS PGothic" w:cs="Arial"/>
          <w:kern w:val="24"/>
        </w:rPr>
        <w:t xml:space="preserve">enable </w:t>
      </w:r>
      <w:r w:rsidRPr="00096F6A">
        <w:rPr>
          <w:rFonts w:eastAsia="MS PGothic" w:cs="Arial"/>
          <w:kern w:val="24"/>
        </w:rPr>
        <w:t xml:space="preserve">paediatric critical care research to proceed by allowing consent </w:t>
      </w:r>
      <w:r w:rsidRPr="00096F6A">
        <w:rPr>
          <w:rFonts w:cs="Arial"/>
        </w:rPr>
        <w:t xml:space="preserve">to be sought </w:t>
      </w:r>
      <w:r w:rsidRPr="00096F6A">
        <w:rPr>
          <w:rFonts w:cs="Arial"/>
          <w:i/>
        </w:rPr>
        <w:t>after</w:t>
      </w:r>
      <w:r w:rsidRPr="00096F6A">
        <w:rPr>
          <w:rFonts w:cs="Arial"/>
        </w:rPr>
        <w:t xml:space="preserve"> a child has received </w:t>
      </w:r>
      <w:r>
        <w:rPr>
          <w:rFonts w:cs="Arial"/>
        </w:rPr>
        <w:t xml:space="preserve">an </w:t>
      </w:r>
      <w:r w:rsidRPr="00096F6A">
        <w:rPr>
          <w:rFonts w:cs="Arial"/>
        </w:rPr>
        <w:t>investigational intervention</w:t>
      </w:r>
      <w:r w:rsidRPr="00096F6A">
        <w:rPr>
          <w:rFonts w:eastAsia="MS PGothic" w:cs="Arial"/>
          <w:kern w:val="24"/>
        </w:rPr>
        <w:t xml:space="preserve">. </w:t>
      </w:r>
      <w:r>
        <w:rPr>
          <w:rFonts w:eastAsia="MS PGothic" w:cs="Arial"/>
          <w:kern w:val="24"/>
        </w:rPr>
        <w:t>T</w:t>
      </w:r>
      <w:r w:rsidRPr="00096F6A">
        <w:rPr>
          <w:rFonts w:eastAsia="MS PGothic" w:cs="Arial"/>
          <w:kern w:val="24"/>
        </w:rPr>
        <w:t xml:space="preserve">he first trials conducted in this setting show high levels of recruitment, yet children and young people </w:t>
      </w:r>
      <w:r w:rsidRPr="00C74C09">
        <w:rPr>
          <w:rFonts w:eastAsia="MS PGothic" w:cs="Arial"/>
          <w:kern w:val="24"/>
        </w:rPr>
        <w:t>(CY</w:t>
      </w:r>
      <w:r w:rsidRPr="00096F6A">
        <w:rPr>
          <w:rFonts w:eastAsia="MS PGothic" w:cs="Arial"/>
          <w:kern w:val="24"/>
        </w:rPr>
        <w:t xml:space="preserve">P) </w:t>
      </w:r>
      <w:r>
        <w:rPr>
          <w:rFonts w:eastAsia="MS PGothic" w:cs="Arial"/>
          <w:kern w:val="24"/>
        </w:rPr>
        <w:t>were rarely involved in recruitment</w:t>
      </w:r>
      <w:r w:rsidRPr="00096F6A">
        <w:rPr>
          <w:rFonts w:eastAsia="MS PGothic" w:cs="Arial"/>
          <w:kern w:val="24"/>
        </w:rPr>
        <w:t xml:space="preserve"> discussions</w:t>
      </w:r>
      <w:r>
        <w:rPr>
          <w:rFonts w:eastAsia="MS PGothic" w:cs="Arial"/>
          <w:kern w:val="24"/>
        </w:rPr>
        <w:t>, often</w:t>
      </w:r>
      <w:r w:rsidRPr="00096F6A">
        <w:rPr>
          <w:rFonts w:eastAsia="MS PGothic" w:cs="Arial"/>
          <w:kern w:val="24"/>
        </w:rPr>
        <w:t xml:space="preserve"> </w:t>
      </w:r>
      <w:r w:rsidRPr="00C74C09">
        <w:t>because they were too young or too poorly</w:t>
      </w:r>
      <w:r>
        <w:t xml:space="preserve"> </w:t>
      </w:r>
      <w:hyperlink w:anchor="_ENREF_1" w:tooltip="Woolfall, 2015 #515" w:history="1">
        <w:r>
          <w:fldChar w:fldCharType="begin"/>
        </w:r>
        <w:r>
          <w:instrText xml:space="preserve"> ADDIN EN.CITE &lt;EndNote&gt;&lt;Cite&gt;&lt;Author&gt;Woolfall&lt;/Author&gt;&lt;Year&gt;2015&lt;/Year&gt;&lt;RecNum&gt;515&lt;/RecNum&gt;&lt;DisplayText&gt;&lt;style face="superscript"&gt;1&lt;/style&gt;&lt;/DisplayText&gt;&lt;record&gt;&lt;rec-number&gt;515&lt;/rec-number&gt;&lt;foreign-keys&gt;&lt;key app="EN" db-id="fs22etev1t9p0ret5fq5vx05259dpe292rar"&gt;515&lt;/key&gt;&lt;/foreign-keys&gt;&lt;ref-type name="Journal Article"&gt;17&lt;/ref-type&gt;&lt;contributors&gt;&lt;authors&gt;&lt;author&gt;Woolfall, K&lt;/author&gt;&lt;author&gt;Frith, L&lt;/author&gt;&lt;author&gt;Gamble, C&lt;/author&gt;&lt;author&gt;Gilbert, R&lt;/author&gt;&lt;author&gt;Mok, Quen&lt;/author&gt;&lt;author&gt;The CONNECT advisory group,&lt;/author&gt;&lt;author&gt;Young, B&lt;/author&gt;&lt;/authors&gt;&lt;/contributors&gt;&lt;titles&gt;&lt;title&gt;How parents and practitioners experience research without prior consent (deferred consent) for emergency research involving children with life threatening conditions: a mixed method study&lt;/title&gt;&lt;secondary-title&gt;BMJ Open &lt;/secondary-title&gt;&lt;/titles&gt;&lt;periodical&gt;&lt;full-title&gt;BMJ Open&lt;/full-title&gt;&lt;/periodical&gt;&lt;pages&gt;e008522 &lt;/pages&gt;&lt;volume&gt;5&lt;/volume&gt;&lt;number&gt;9&lt;/number&gt;&lt;dates&gt;&lt;year&gt;&lt;style face="italic" font="default" size="100%"&gt;2015&lt;/style&gt;&lt;/year&gt;&lt;/dates&gt;&lt;urls&gt;&lt;/urls&gt;&lt;electronic-resource-num&gt;10.1136/bmjopen-2015-008522 &lt;/electronic-resource-num&gt;&lt;/record&gt;&lt;/Cite&gt;&lt;/EndNote&gt;</w:instrText>
        </w:r>
        <w:r>
          <w:fldChar w:fldCharType="separate"/>
        </w:r>
        <w:r w:rsidRPr="002E56BA">
          <w:rPr>
            <w:noProof/>
            <w:vertAlign w:val="superscript"/>
          </w:rPr>
          <w:t>1</w:t>
        </w:r>
        <w:r>
          <w:fldChar w:fldCharType="end"/>
        </w:r>
      </w:hyperlink>
      <w:r w:rsidRPr="00C74C09">
        <w:t xml:space="preserve">. We aimed to explore CYP’s views on </w:t>
      </w:r>
      <w:r>
        <w:t xml:space="preserve">RWPC </w:t>
      </w:r>
      <w:r w:rsidRPr="00C74C09">
        <w:t xml:space="preserve">and identify methods of involving </w:t>
      </w:r>
      <w:r>
        <w:t>them</w:t>
      </w:r>
      <w:r w:rsidRPr="00C74C09">
        <w:t xml:space="preserve"> in decisions about their participation in critical care research.</w:t>
      </w:r>
    </w:p>
    <w:p w:rsidR="002E2274" w:rsidRPr="00C74C09" w:rsidRDefault="002E2274" w:rsidP="002E2274">
      <w:pPr>
        <w:jc w:val="both"/>
        <w:rPr>
          <w:rFonts w:eastAsia="Times New Roman" w:cs="Calibri"/>
        </w:rPr>
      </w:pPr>
      <w:r w:rsidRPr="00AF57E0">
        <w:rPr>
          <w:rStyle w:val="Strong"/>
          <w:rFonts w:cs="Segoe UI"/>
          <w:color w:val="444444"/>
          <w:lang w:val="en-US"/>
        </w:rPr>
        <w:t>· Methods</w:t>
      </w:r>
      <w:r w:rsidRPr="00C74C09">
        <w:rPr>
          <w:rFonts w:eastAsia="Times New Roman" w:cs="Calibri"/>
        </w:rPr>
        <w:t xml:space="preserve"> </w:t>
      </w:r>
    </w:p>
    <w:p w:rsidR="002E2274" w:rsidRPr="00AF57E0" w:rsidRDefault="002E2274" w:rsidP="002E2274">
      <w:pPr>
        <w:jc w:val="both"/>
        <w:rPr>
          <w:rStyle w:val="Strong"/>
          <w:rFonts w:cs="Segoe UI"/>
          <w:color w:val="444444"/>
          <w:lang w:val="en-US"/>
        </w:rPr>
      </w:pPr>
      <w:r w:rsidRPr="00C74C09">
        <w:rPr>
          <w:rFonts w:eastAsia="Times New Roman" w:cs="Calibri"/>
        </w:rPr>
        <w:t xml:space="preserve">In-depth </w:t>
      </w:r>
      <w:r w:rsidRPr="00C74C09">
        <w:rPr>
          <w:rFonts w:cs="Calibri"/>
        </w:rPr>
        <w:t>qualitative</w:t>
      </w:r>
      <w:r w:rsidRPr="00AF57E0">
        <w:rPr>
          <w:rFonts w:cs="Calibri"/>
        </w:rPr>
        <w:t xml:space="preserve"> interview study involving 14 </w:t>
      </w:r>
      <w:r>
        <w:rPr>
          <w:rFonts w:cs="Calibri"/>
        </w:rPr>
        <w:t>CYP (</w:t>
      </w:r>
      <w:r w:rsidRPr="00AF57E0">
        <w:rPr>
          <w:rFonts w:cs="Calibri"/>
        </w:rPr>
        <w:t>aged 7 to 15 years</w:t>
      </w:r>
      <w:r>
        <w:rPr>
          <w:rFonts w:cs="Calibri"/>
        </w:rPr>
        <w:t>)</w:t>
      </w:r>
      <w:r w:rsidRPr="00AF57E0">
        <w:rPr>
          <w:rFonts w:cs="Calibri"/>
        </w:rPr>
        <w:t xml:space="preserve"> with chronic health conditions</w:t>
      </w:r>
      <w:r>
        <w:rPr>
          <w:rFonts w:cs="Calibri"/>
        </w:rPr>
        <w:t xml:space="preserve"> and</w:t>
      </w:r>
      <w:r w:rsidRPr="00AF57E0">
        <w:rPr>
          <w:rFonts w:cs="Calibri"/>
        </w:rPr>
        <w:t xml:space="preserve"> experience of paediatric emergency care treatment in the 12 months prior to interview. </w:t>
      </w:r>
    </w:p>
    <w:p w:rsidR="002E2274" w:rsidRPr="00201494" w:rsidRDefault="002E2274" w:rsidP="002E2274">
      <w:pPr>
        <w:rPr>
          <w:rStyle w:val="Strong"/>
          <w:rFonts w:cs="Segoe UI"/>
          <w:color w:val="444444"/>
          <w:lang w:val="en-US"/>
        </w:rPr>
      </w:pPr>
      <w:r w:rsidRPr="00201494">
        <w:rPr>
          <w:rStyle w:val="Strong"/>
          <w:rFonts w:cs="Segoe UI"/>
          <w:color w:val="444444"/>
          <w:lang w:val="en-US"/>
        </w:rPr>
        <w:t xml:space="preserve">· Results </w:t>
      </w:r>
    </w:p>
    <w:p w:rsidR="002E2274" w:rsidRPr="009D0B34" w:rsidRDefault="002E2274" w:rsidP="002E2274">
      <w:pPr>
        <w:jc w:val="both"/>
        <w:rPr>
          <w:rFonts w:eastAsia="SimSun" w:cs="Calibri"/>
          <w:lang w:eastAsia="zh-CN"/>
        </w:rPr>
      </w:pPr>
      <w:r w:rsidRPr="00201494">
        <w:rPr>
          <w:rFonts w:cs="Arial"/>
          <w:color w:val="000000"/>
        </w:rPr>
        <w:t xml:space="preserve">CYP were </w:t>
      </w:r>
      <w:r>
        <w:rPr>
          <w:rFonts w:cs="Arial"/>
          <w:color w:val="000000"/>
        </w:rPr>
        <w:t>keen</w:t>
      </w:r>
      <w:r w:rsidRPr="00201494">
        <w:rPr>
          <w:rFonts w:cs="Arial"/>
          <w:color w:val="000000"/>
        </w:rPr>
        <w:t xml:space="preserve"> to be included in </w:t>
      </w:r>
      <w:r>
        <w:rPr>
          <w:rFonts w:cs="Arial"/>
          <w:color w:val="000000"/>
        </w:rPr>
        <w:t xml:space="preserve">critical care </w:t>
      </w:r>
      <w:r w:rsidRPr="00201494">
        <w:rPr>
          <w:rFonts w:cs="Arial"/>
          <w:color w:val="000000"/>
        </w:rPr>
        <w:t xml:space="preserve">research without prior consent if </w:t>
      </w:r>
      <w:r>
        <w:rPr>
          <w:rFonts w:cs="Arial"/>
          <w:color w:val="000000"/>
        </w:rPr>
        <w:t xml:space="preserve">doctors viewed the </w:t>
      </w:r>
      <w:r w:rsidRPr="00201494">
        <w:rPr>
          <w:rFonts w:cs="Arial"/>
          <w:color w:val="000000"/>
        </w:rPr>
        <w:t xml:space="preserve">trial intervention to be safe and </w:t>
      </w:r>
      <w:r>
        <w:rPr>
          <w:rFonts w:cs="Arial"/>
          <w:color w:val="000000"/>
        </w:rPr>
        <w:t>of potential benefit to participants and others</w:t>
      </w:r>
      <w:r w:rsidRPr="00201494">
        <w:rPr>
          <w:rFonts w:cs="Arial"/>
          <w:color w:val="000000"/>
        </w:rPr>
        <w:t xml:space="preserve">. </w:t>
      </w:r>
      <w:r>
        <w:rPr>
          <w:rStyle w:val="Strong"/>
          <w:rFonts w:cs="Segoe UI"/>
          <w:b w:val="0"/>
          <w:lang w:val="en-US"/>
        </w:rPr>
        <w:t>All CYP felt that they have the right to be informed</w:t>
      </w:r>
      <w:r w:rsidRPr="00995392">
        <w:rPr>
          <w:rStyle w:val="Strong"/>
          <w:rFonts w:cs="Segoe UI"/>
          <w:b w:val="0"/>
          <w:lang w:val="en-US"/>
        </w:rPr>
        <w:t xml:space="preserve"> </w:t>
      </w:r>
      <w:r>
        <w:rPr>
          <w:rStyle w:val="Strong"/>
          <w:rFonts w:cs="Segoe UI"/>
          <w:b w:val="0"/>
          <w:lang w:val="en-US"/>
        </w:rPr>
        <w:t>and have a say about their participation in a trial as soon as they had recovered.</w:t>
      </w:r>
      <w:r w:rsidR="00D25D33">
        <w:rPr>
          <w:rStyle w:val="Strong"/>
          <w:rFonts w:cs="Segoe UI"/>
          <w:b w:val="0"/>
          <w:lang w:val="en-US"/>
        </w:rPr>
        <w:t xml:space="preserve"> </w:t>
      </w:r>
      <w:r>
        <w:rPr>
          <w:rStyle w:val="Strong"/>
          <w:rFonts w:cs="Segoe UI"/>
          <w:b w:val="0"/>
          <w:lang w:val="en-US"/>
        </w:rPr>
        <w:t xml:space="preserve">CYP suggest methods </w:t>
      </w:r>
      <w:r>
        <w:rPr>
          <w:color w:val="000000"/>
        </w:rPr>
        <w:t xml:space="preserve">to help </w:t>
      </w:r>
      <w:r w:rsidR="00D75FFD">
        <w:rPr>
          <w:color w:val="000000"/>
        </w:rPr>
        <w:t xml:space="preserve">practitioners and parents </w:t>
      </w:r>
      <w:r w:rsidR="004C2D42">
        <w:rPr>
          <w:color w:val="000000"/>
        </w:rPr>
        <w:t>facilitate RWPC</w:t>
      </w:r>
      <w:r>
        <w:rPr>
          <w:color w:val="000000"/>
        </w:rPr>
        <w:t xml:space="preserve"> discussions </w:t>
      </w:r>
      <w:r w:rsidR="00D75FFD">
        <w:rPr>
          <w:color w:val="000000"/>
        </w:rPr>
        <w:t xml:space="preserve">with children, </w:t>
      </w:r>
      <w:r>
        <w:rPr>
          <w:color w:val="000000"/>
        </w:rPr>
        <w:t>including videos</w:t>
      </w:r>
      <w:r w:rsidR="00644EEB">
        <w:rPr>
          <w:color w:val="000000"/>
        </w:rPr>
        <w:t>,</w:t>
      </w:r>
      <w:r>
        <w:rPr>
          <w:color w:val="000000"/>
        </w:rPr>
        <w:t xml:space="preserve"> cartoons</w:t>
      </w:r>
      <w:r w:rsidR="00F07A7F">
        <w:rPr>
          <w:color w:val="000000"/>
        </w:rPr>
        <w:t>,</w:t>
      </w:r>
      <w:r w:rsidR="00644EEB">
        <w:rPr>
          <w:color w:val="000000"/>
        </w:rPr>
        <w:t xml:space="preserve"> </w:t>
      </w:r>
      <w:r w:rsidR="00F07A7F" w:rsidRPr="002332EB">
        <w:rPr>
          <w:color w:val="000000"/>
        </w:rPr>
        <w:t xml:space="preserve">websites </w:t>
      </w:r>
      <w:r w:rsidR="00644EEB">
        <w:rPr>
          <w:color w:val="000000"/>
        </w:rPr>
        <w:t>and leaflets</w:t>
      </w:r>
      <w:r>
        <w:rPr>
          <w:color w:val="000000"/>
        </w:rPr>
        <w:t xml:space="preserve">. </w:t>
      </w:r>
      <w:r w:rsidRPr="002332EB">
        <w:rPr>
          <w:color w:val="000000"/>
        </w:rPr>
        <w:t xml:space="preserve"> </w:t>
      </w:r>
    </w:p>
    <w:p w:rsidR="002E2274" w:rsidRDefault="002E2274" w:rsidP="002E2274">
      <w:pPr>
        <w:jc w:val="both"/>
        <w:rPr>
          <w:rStyle w:val="Strong"/>
          <w:rFonts w:cs="Segoe UI"/>
          <w:color w:val="444444"/>
          <w:lang w:val="en-US"/>
        </w:rPr>
      </w:pPr>
      <w:r w:rsidRPr="00AF57E0">
        <w:rPr>
          <w:rStyle w:val="Strong"/>
          <w:rFonts w:cs="Segoe UI"/>
          <w:color w:val="444444"/>
          <w:lang w:val="en-US"/>
        </w:rPr>
        <w:t>· Conclusions</w:t>
      </w:r>
      <w:r>
        <w:rPr>
          <w:rStyle w:val="Strong"/>
          <w:rFonts w:cs="Segoe UI"/>
          <w:color w:val="444444"/>
          <w:lang w:val="en-US"/>
        </w:rPr>
        <w:t xml:space="preserve">: </w:t>
      </w:r>
    </w:p>
    <w:p w:rsidR="002E2274" w:rsidRPr="002332EB" w:rsidRDefault="002E2274" w:rsidP="002E2274">
      <w:pPr>
        <w:jc w:val="both"/>
        <w:rPr>
          <w:color w:val="000000"/>
        </w:rPr>
      </w:pPr>
      <w:r w:rsidRPr="002332EB">
        <w:rPr>
          <w:rStyle w:val="Strong"/>
          <w:rFonts w:cs="Segoe UI"/>
          <w:b w:val="0"/>
          <w:lang w:val="en-US"/>
        </w:rPr>
        <w:t>CYP support research without prior consent in life threatening situations</w:t>
      </w:r>
      <w:r w:rsidR="00D25D33">
        <w:rPr>
          <w:rStyle w:val="Strong"/>
          <w:rFonts w:cs="Segoe UI"/>
          <w:b w:val="0"/>
          <w:lang w:val="en-US"/>
        </w:rPr>
        <w:t xml:space="preserve"> and </w:t>
      </w:r>
      <w:r>
        <w:rPr>
          <w:rStyle w:val="Strong"/>
          <w:rFonts w:cs="Segoe UI"/>
          <w:b w:val="0"/>
          <w:lang w:val="en-US"/>
        </w:rPr>
        <w:t xml:space="preserve">provide examples of </w:t>
      </w:r>
      <w:r w:rsidR="00D25D33">
        <w:rPr>
          <w:rStyle w:val="Strong"/>
          <w:rFonts w:cs="Segoe UI"/>
          <w:b w:val="0"/>
          <w:lang w:val="en-US"/>
        </w:rPr>
        <w:t xml:space="preserve">how </w:t>
      </w:r>
      <w:r>
        <w:rPr>
          <w:rStyle w:val="Strong"/>
          <w:rFonts w:cs="Segoe UI"/>
          <w:b w:val="0"/>
          <w:lang w:val="en-US"/>
        </w:rPr>
        <w:t xml:space="preserve">multimedia resources could be used to engage and involve children in decisions about participation in research when </w:t>
      </w:r>
      <w:r w:rsidR="00D25D33">
        <w:rPr>
          <w:rStyle w:val="Strong"/>
          <w:rFonts w:cs="Segoe UI"/>
          <w:b w:val="0"/>
          <w:lang w:val="en-US"/>
        </w:rPr>
        <w:t xml:space="preserve">they </w:t>
      </w:r>
      <w:r w:rsidR="00644EEB">
        <w:rPr>
          <w:rStyle w:val="Strong"/>
          <w:rFonts w:cs="Segoe UI"/>
          <w:b w:val="0"/>
          <w:lang w:val="en-US"/>
        </w:rPr>
        <w:t>have recovered.</w:t>
      </w:r>
    </w:p>
    <w:p w:rsidR="00DA6665" w:rsidRDefault="00D25D33" w:rsidP="002E2274">
      <w:r>
        <w:t>Word count: 240</w:t>
      </w:r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 w:rsidRPr="00597147">
        <w:rPr>
          <w:rFonts w:ascii="Calibri" w:eastAsia="Times New Roman" w:hAnsi="Calibri" w:cs="Segoe UI"/>
          <w:lang w:val="en-US" w:eastAsia="en-GB"/>
        </w:rPr>
        <w:t xml:space="preserve">Author details: </w:t>
      </w:r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Presenting author: Kerry Woolfall, Department of Psychological Sciences, Institute of Psychology, Health &amp; Society, University of Liverpool, Liverpool, UK </w:t>
      </w:r>
      <w:hyperlink r:id="rId7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woolfall@liverpool.ac.uk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lastRenderedPageBreak/>
        <w:t xml:space="preserve">Louise Roper, Department of Psychological Sciences, Institute of Psychology, Health &amp; Society, University of Liverpool, Liverpool, UK </w:t>
      </w:r>
      <w:hyperlink r:id="rId8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louise22@liverpool.ac.uk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>Fran</w:t>
      </w:r>
      <w:r w:rsidR="004B68EA">
        <w:rPr>
          <w:rFonts w:ascii="Calibri" w:eastAsia="Times New Roman" w:hAnsi="Calibri" w:cs="Segoe UI"/>
          <w:lang w:val="en-US" w:eastAsia="en-GB"/>
        </w:rPr>
        <w:t>ces</w:t>
      </w:r>
      <w:r>
        <w:rPr>
          <w:rFonts w:ascii="Calibri" w:eastAsia="Times New Roman" w:hAnsi="Calibri" w:cs="Segoe UI"/>
          <w:lang w:val="en-US" w:eastAsia="en-GB"/>
        </w:rPr>
        <w:t xml:space="preserve"> Sherratt, Department of Psychological Sciences, Institute of Psychology, Health &amp; Society, University of Liverpool, Liverpool, UK, </w:t>
      </w:r>
      <w:hyperlink r:id="rId9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Sherratt@liverpool.ac.uk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Paul McNamara, Department of Child Health, Institute of Translational Medicine, University of Liverpool, Liverpool, UK </w:t>
      </w:r>
      <w:hyperlink r:id="rId10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mcnamp@liverpool.ac.uk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Richard Appleton, Neurology Department, Alder Hey Children’s Hospital, Liverpool, UK </w:t>
      </w:r>
      <w:hyperlink r:id="rId11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Richard.Appleton@alderhey.nhs.uk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Esther Crawley, School of Social &amp; Community Medicine, University of Bristol, Bristol, UK </w:t>
      </w:r>
      <w:hyperlink r:id="rId12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Esther.Crawley@bristol.ac.uk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Angus Dawson, School of Public Health, University of Sydney, Sydney, Australia </w:t>
      </w:r>
      <w:hyperlink r:id="rId13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Angus.Dawson@sydney.edu.au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Lucy Frith, Department of Health Service Research, Institute of Psychology, Health &amp; Society, University of Liverpool, Liverpool, UK </w:t>
      </w:r>
      <w:hyperlink r:id="rId14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frith@liverpool.ac.uk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Carrol Gamble, Department of Biostatistics, Institute of Translational Medicine, University of Liverpool, Liverpool, UK </w:t>
      </w:r>
      <w:hyperlink r:id="rId15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carrolp@liverpool.ac.uk</w:t>
        </w:r>
      </w:hyperlink>
    </w:p>
    <w:p w:rsidR="00D25D33" w:rsidRDefault="00D25D33" w:rsidP="00D25D33">
      <w:pPr>
        <w:spacing w:before="100" w:beforeAutospacing="1" w:after="100" w:afterAutospacing="1" w:line="240" w:lineRule="auto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Bridget Young, Department of Psychological Sciences, Institute of Psychology, Health &amp; Society, University of Liverpool, Liverpool, UK </w:t>
      </w:r>
      <w:hyperlink r:id="rId16" w:history="1">
        <w:r w:rsidRPr="000C1052">
          <w:rPr>
            <w:rStyle w:val="Hyperlink"/>
            <w:rFonts w:ascii="Calibri" w:eastAsia="Times New Roman" w:hAnsi="Calibri" w:cs="Segoe UI"/>
            <w:lang w:val="en-US" w:eastAsia="en-GB"/>
          </w:rPr>
          <w:t>byoung@liverpool.ac.uk</w:t>
        </w:r>
      </w:hyperlink>
    </w:p>
    <w:p w:rsidR="00D25D33" w:rsidRDefault="00D25D33" w:rsidP="00D25D33">
      <w:pPr>
        <w:jc w:val="both"/>
        <w:rPr>
          <w:rFonts w:cs="Arial"/>
          <w:color w:val="000000"/>
        </w:rPr>
      </w:pPr>
    </w:p>
    <w:p w:rsidR="00D25D33" w:rsidRPr="00AF57E0" w:rsidRDefault="00D25D33" w:rsidP="00D25D33">
      <w:pPr>
        <w:jc w:val="both"/>
        <w:rPr>
          <w:rFonts w:cs="Arial"/>
          <w:color w:val="000000"/>
        </w:rPr>
      </w:pPr>
    </w:p>
    <w:p w:rsidR="00D25D33" w:rsidRPr="002E2274" w:rsidRDefault="00D25D33" w:rsidP="002E2274"/>
    <w:sectPr w:rsidR="00D25D33" w:rsidRPr="002E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C2" w:rsidRDefault="008269C2" w:rsidP="00D25D33">
      <w:pPr>
        <w:spacing w:after="0" w:line="240" w:lineRule="auto"/>
      </w:pPr>
      <w:r>
        <w:separator/>
      </w:r>
    </w:p>
  </w:endnote>
  <w:endnote w:type="continuationSeparator" w:id="0">
    <w:p w:rsidR="008269C2" w:rsidRDefault="008269C2" w:rsidP="00D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C2" w:rsidRDefault="008269C2" w:rsidP="00D25D33">
      <w:pPr>
        <w:spacing w:after="0" w:line="240" w:lineRule="auto"/>
      </w:pPr>
      <w:r>
        <w:separator/>
      </w:r>
    </w:p>
  </w:footnote>
  <w:footnote w:type="continuationSeparator" w:id="0">
    <w:p w:rsidR="008269C2" w:rsidRDefault="008269C2" w:rsidP="00D25D33">
      <w:pPr>
        <w:spacing w:after="0" w:line="240" w:lineRule="auto"/>
      </w:pPr>
      <w:r>
        <w:continuationSeparator/>
      </w:r>
    </w:p>
  </w:footnote>
  <w:footnote w:id="1">
    <w:p w:rsidR="00D25D33" w:rsidRDefault="00D25D33" w:rsidP="00D25D33">
      <w:pPr>
        <w:pStyle w:val="FootnoteText"/>
      </w:pPr>
      <w:r>
        <w:rPr>
          <w:rStyle w:val="FootnoteReference"/>
        </w:rPr>
        <w:footnoteRef/>
      </w:r>
      <w:r>
        <w:t xml:space="preserve"> The University of Liverpool, Institute of Psychology, Health &amp; Society</w:t>
      </w:r>
    </w:p>
  </w:footnote>
  <w:footnote w:id="2">
    <w:p w:rsidR="00D25D33" w:rsidRDefault="00D25D33" w:rsidP="00D25D33">
      <w:pPr>
        <w:pStyle w:val="FootnoteText"/>
      </w:pPr>
      <w:r>
        <w:rPr>
          <w:rStyle w:val="FootnoteReference"/>
        </w:rPr>
        <w:footnoteRef/>
      </w:r>
      <w:r>
        <w:t xml:space="preserve"> Alder Hey Children’s Hospital</w:t>
      </w:r>
    </w:p>
  </w:footnote>
  <w:footnote w:id="3">
    <w:p w:rsidR="00D25D33" w:rsidRDefault="00D25D33" w:rsidP="00D25D33">
      <w:pPr>
        <w:pStyle w:val="FootnoteText"/>
      </w:pPr>
      <w:r>
        <w:rPr>
          <w:rStyle w:val="FootnoteReference"/>
        </w:rPr>
        <w:footnoteRef/>
      </w:r>
      <w:r>
        <w:t xml:space="preserve"> University of Bristol</w:t>
      </w:r>
    </w:p>
  </w:footnote>
  <w:footnote w:id="4">
    <w:p w:rsidR="00D25D33" w:rsidRDefault="00D25D33" w:rsidP="00D25D33">
      <w:pPr>
        <w:pStyle w:val="FootnoteText"/>
      </w:pPr>
      <w:r>
        <w:rPr>
          <w:rStyle w:val="FootnoteReference"/>
        </w:rPr>
        <w:footnoteRef/>
      </w:r>
      <w:r>
        <w:t xml:space="preserve"> University of Sydney</w:t>
      </w:r>
    </w:p>
  </w:footnote>
  <w:footnote w:id="5">
    <w:p w:rsidR="00D25D33" w:rsidRDefault="00D25D33" w:rsidP="00D25D33">
      <w:pPr>
        <w:pStyle w:val="FootnoteText"/>
      </w:pPr>
      <w:r>
        <w:rPr>
          <w:rStyle w:val="FootnoteReference"/>
        </w:rPr>
        <w:footnoteRef/>
      </w:r>
      <w:r>
        <w:t xml:space="preserve"> The University of Liverpool, Institute of Translational Medicine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84213"/>
    <w:multiLevelType w:val="hybridMultilevel"/>
    <w:tmpl w:val="0640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4"/>
    <w:rsid w:val="000124EE"/>
    <w:rsid w:val="000350E2"/>
    <w:rsid w:val="002B2AE5"/>
    <w:rsid w:val="002E2274"/>
    <w:rsid w:val="003F66EF"/>
    <w:rsid w:val="004B68EA"/>
    <w:rsid w:val="004C2D42"/>
    <w:rsid w:val="0053115B"/>
    <w:rsid w:val="005D4439"/>
    <w:rsid w:val="005D5012"/>
    <w:rsid w:val="00644EEB"/>
    <w:rsid w:val="007E0322"/>
    <w:rsid w:val="008269C2"/>
    <w:rsid w:val="00A07FF8"/>
    <w:rsid w:val="00C7553F"/>
    <w:rsid w:val="00D25D33"/>
    <w:rsid w:val="00D37090"/>
    <w:rsid w:val="00D75FFD"/>
    <w:rsid w:val="00E178BE"/>
    <w:rsid w:val="00EA0ADD"/>
    <w:rsid w:val="00F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AB9E1-9DE5-4D0A-AD6A-9ACE31D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2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2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D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5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D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D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22@liverpool.ac.uk" TargetMode="External"/><Relationship Id="rId13" Type="http://schemas.openxmlformats.org/officeDocument/2006/relationships/hyperlink" Target="mailto:Angus.Dawson@sydney.edu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olfall@liverpool.ac.uk" TargetMode="External"/><Relationship Id="rId12" Type="http://schemas.openxmlformats.org/officeDocument/2006/relationships/hyperlink" Target="mailto:Esther.Crawley@bristol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young@liverpool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Appleton@alderhey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rolp@liverpool.ac.uk" TargetMode="External"/><Relationship Id="rId10" Type="http://schemas.openxmlformats.org/officeDocument/2006/relationships/hyperlink" Target="mailto:mcnamp@liverpo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ratt@liverpool.ac.uk" TargetMode="External"/><Relationship Id="rId14" Type="http://schemas.openxmlformats.org/officeDocument/2006/relationships/hyperlink" Target="mailto:frith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Woolfall, Kerry</dc:creator>
  <cp:lastModifiedBy>Frith, Lucy</cp:lastModifiedBy>
  <cp:revision>2</cp:revision>
  <dcterms:created xsi:type="dcterms:W3CDTF">2017-02-24T10:34:00Z</dcterms:created>
  <dcterms:modified xsi:type="dcterms:W3CDTF">2017-02-24T10:34:00Z</dcterms:modified>
</cp:coreProperties>
</file>