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AF" w:rsidRDefault="000221AF" w:rsidP="000221AF">
      <w:pPr>
        <w:pStyle w:val="NoSpacing"/>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Sonya Walkila, </w:t>
      </w:r>
      <w:r>
        <w:rPr>
          <w:rFonts w:ascii="Times New Roman" w:hAnsi="Times New Roman" w:cs="Times New Roman"/>
          <w:b/>
          <w:i/>
          <w:sz w:val="24"/>
          <w:szCs w:val="24"/>
          <w:u w:val="single"/>
        </w:rPr>
        <w:t>Horizontal Effect of Fundamental Rights in EU Law</w:t>
      </w:r>
      <w:r>
        <w:rPr>
          <w:rFonts w:ascii="Times New Roman" w:hAnsi="Times New Roman" w:cs="Times New Roman"/>
          <w:b/>
          <w:sz w:val="24"/>
          <w:szCs w:val="24"/>
          <w:u w:val="single"/>
        </w:rPr>
        <w:t>. Groningen: Europa Law Publishing, 2016, 288 pages. ISBN 978908521811</w:t>
      </w:r>
    </w:p>
    <w:p w:rsidR="000221AF" w:rsidRDefault="000221AF" w:rsidP="000221AF">
      <w:pPr>
        <w:pStyle w:val="NoSpacing"/>
        <w:jc w:val="center"/>
        <w:rPr>
          <w:rFonts w:ascii="Times New Roman" w:hAnsi="Times New Roman" w:cs="Times New Roman"/>
          <w:b/>
          <w:sz w:val="24"/>
          <w:szCs w:val="24"/>
          <w:u w:val="single"/>
        </w:rPr>
      </w:pPr>
    </w:p>
    <w:p w:rsidR="000221AF" w:rsidRDefault="000221AF" w:rsidP="000221AF">
      <w:pPr>
        <w:pStyle w:val="NoSpacing"/>
        <w:rPr>
          <w:rFonts w:ascii="Times New Roman" w:hAnsi="Times New Roman" w:cs="Times New Roman"/>
          <w:sz w:val="24"/>
          <w:szCs w:val="24"/>
        </w:rPr>
      </w:pPr>
    </w:p>
    <w:p w:rsidR="000221AF" w:rsidRDefault="000221AF" w:rsidP="000221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book is situated within a growing body of literature, particularly post-Lisbon, that poses the pertinent questions of whether, how and should fundamental rights enjoy horizontal effect in Union law. Valuable work conducted elsewhere has focused on specific issues, such as the horizontality of particular fundamental rights-embodying Treaty provisions or general principles, the extent of the applicability of the Charter, and, more broadly, on critiquing the constitutionalisation of EU private law. By contrast, Walkila’s contribution offers a timely and wider overview of these debates in order to conduct an important analysis of the question of the horizontality of fundamental rights against the uniqueness of the EU legal order. </w:t>
      </w:r>
    </w:p>
    <w:p w:rsidR="000221AF" w:rsidRDefault="000221AF" w:rsidP="000221AF">
      <w:pPr>
        <w:pStyle w:val="NoSpacing"/>
        <w:jc w:val="both"/>
        <w:rPr>
          <w:rFonts w:ascii="Times New Roman" w:hAnsi="Times New Roman" w:cs="Times New Roman"/>
          <w:sz w:val="24"/>
          <w:szCs w:val="24"/>
        </w:rPr>
      </w:pPr>
    </w:p>
    <w:p w:rsidR="000221AF" w:rsidRDefault="000221AF" w:rsidP="000221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 this end, the book is divided logically into four parts and employs a number of methodological approaches with the aim of ensuring a rich and comprehensive analysis. Parts one and two principally utilise historical and doctrinal methodologies to critique the interlinked evolutions of, first, horizontality, and, second, fundamental rights, in the Union legal order. Part three conducts a theoretical assessment of the public/private dichotomy alongside a comparative inquiry into </w:t>
      </w:r>
      <w:r w:rsidR="008B3444">
        <w:rPr>
          <w:rFonts w:ascii="Times New Roman" w:hAnsi="Times New Roman" w:cs="Times New Roman"/>
          <w:sz w:val="24"/>
          <w:szCs w:val="24"/>
        </w:rPr>
        <w:t>different jurisdictional attitudes to</w:t>
      </w:r>
      <w:r>
        <w:rPr>
          <w:rFonts w:ascii="Times New Roman" w:hAnsi="Times New Roman" w:cs="Times New Roman"/>
          <w:sz w:val="24"/>
          <w:szCs w:val="24"/>
        </w:rPr>
        <w:t xml:space="preserve"> the horizontality of fundamental rights and a black-letter examination of the Union’s idiosyncratic approach to this issue. Part four offers conclusions, </w:t>
      </w:r>
      <w:r w:rsidRPr="00FA3C19">
        <w:rPr>
          <w:rFonts w:ascii="Times New Roman" w:hAnsi="Times New Roman" w:cs="Times New Roman"/>
          <w:sz w:val="24"/>
          <w:szCs w:val="24"/>
        </w:rPr>
        <w:t>ultimately arguing that the horizontal effect of fundamental rights in the Union legal order is a necessary development when set against the contemporary entwinement of the public and private spheres, though a nuanced approach to the form of horizontality is</w:t>
      </w:r>
      <w:r>
        <w:rPr>
          <w:rFonts w:ascii="Times New Roman" w:hAnsi="Times New Roman" w:cs="Times New Roman"/>
          <w:sz w:val="24"/>
          <w:szCs w:val="24"/>
        </w:rPr>
        <w:t xml:space="preserve"> required. </w:t>
      </w:r>
    </w:p>
    <w:p w:rsidR="000221AF" w:rsidRDefault="000221AF" w:rsidP="000221AF">
      <w:pPr>
        <w:pStyle w:val="NoSpacing"/>
        <w:jc w:val="both"/>
        <w:rPr>
          <w:rFonts w:ascii="Times New Roman" w:hAnsi="Times New Roman" w:cs="Times New Roman"/>
          <w:sz w:val="24"/>
          <w:szCs w:val="24"/>
        </w:rPr>
      </w:pPr>
    </w:p>
    <w:p w:rsidR="00195688" w:rsidRDefault="000221AF" w:rsidP="008D62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Walkila’s mixed methodological approach yields a </w:t>
      </w:r>
      <w:r w:rsidR="00A20E73">
        <w:rPr>
          <w:rFonts w:ascii="Times New Roman" w:hAnsi="Times New Roman" w:cs="Times New Roman"/>
          <w:sz w:val="24"/>
          <w:szCs w:val="24"/>
        </w:rPr>
        <w:t xml:space="preserve">number of valuable </w:t>
      </w:r>
      <w:r>
        <w:rPr>
          <w:rFonts w:ascii="Times New Roman" w:hAnsi="Times New Roman" w:cs="Times New Roman"/>
          <w:sz w:val="24"/>
          <w:szCs w:val="24"/>
        </w:rPr>
        <w:t>contributions. In reviewing the progression of horizontality, generally, and the horizontality of fundamental rights more specifically, within the Union legal order, Walkila usefully identifies a number of combined influences</w:t>
      </w:r>
      <w:r w:rsidR="00F257FC">
        <w:rPr>
          <w:rFonts w:ascii="Times New Roman" w:hAnsi="Times New Roman" w:cs="Times New Roman"/>
          <w:sz w:val="24"/>
          <w:szCs w:val="24"/>
        </w:rPr>
        <w:t xml:space="preserve"> across the book</w:t>
      </w:r>
      <w:r>
        <w:rPr>
          <w:rFonts w:ascii="Times New Roman" w:hAnsi="Times New Roman" w:cs="Times New Roman"/>
          <w:sz w:val="24"/>
          <w:szCs w:val="24"/>
        </w:rPr>
        <w:t xml:space="preserve">. </w:t>
      </w:r>
      <w:r w:rsidR="005431A7">
        <w:rPr>
          <w:rFonts w:ascii="Times New Roman" w:hAnsi="Times New Roman" w:cs="Times New Roman"/>
          <w:sz w:val="24"/>
          <w:szCs w:val="24"/>
        </w:rPr>
        <w:t>These include</w:t>
      </w:r>
      <w:r w:rsidR="003C5123">
        <w:rPr>
          <w:rFonts w:ascii="Times New Roman" w:hAnsi="Times New Roman" w:cs="Times New Roman"/>
          <w:sz w:val="24"/>
          <w:szCs w:val="24"/>
        </w:rPr>
        <w:t>: the Union’s historically public law and economic focus; the central</w:t>
      </w:r>
      <w:r w:rsidR="008B3444">
        <w:rPr>
          <w:rFonts w:ascii="Times New Roman" w:hAnsi="Times New Roman" w:cs="Times New Roman"/>
          <w:sz w:val="24"/>
          <w:szCs w:val="24"/>
        </w:rPr>
        <w:t xml:space="preserve"> position of the individual within</w:t>
      </w:r>
      <w:r w:rsidR="005431A7">
        <w:rPr>
          <w:rFonts w:ascii="Times New Roman" w:hAnsi="Times New Roman" w:cs="Times New Roman"/>
          <w:sz w:val="24"/>
          <w:szCs w:val="24"/>
        </w:rPr>
        <w:t xml:space="preserve"> European integration, </w:t>
      </w:r>
      <w:r w:rsidR="008D625B">
        <w:rPr>
          <w:rFonts w:ascii="Times New Roman" w:hAnsi="Times New Roman" w:cs="Times New Roman"/>
          <w:sz w:val="24"/>
          <w:szCs w:val="24"/>
        </w:rPr>
        <w:t>especially</w:t>
      </w:r>
      <w:r w:rsidR="005431A7">
        <w:rPr>
          <w:rFonts w:ascii="Times New Roman" w:hAnsi="Times New Roman" w:cs="Times New Roman"/>
          <w:sz w:val="24"/>
          <w:szCs w:val="24"/>
        </w:rPr>
        <w:t xml:space="preserve"> after </w:t>
      </w:r>
      <w:r w:rsidR="005431A7">
        <w:rPr>
          <w:rFonts w:ascii="Times New Roman" w:hAnsi="Times New Roman" w:cs="Times New Roman"/>
          <w:i/>
          <w:sz w:val="24"/>
          <w:szCs w:val="24"/>
        </w:rPr>
        <w:t>Van Gend</w:t>
      </w:r>
      <w:r w:rsidR="00107E00">
        <w:rPr>
          <w:rFonts w:ascii="Times New Roman" w:hAnsi="Times New Roman" w:cs="Times New Roman"/>
          <w:sz w:val="24"/>
          <w:szCs w:val="24"/>
        </w:rPr>
        <w:t>; the significance of the</w:t>
      </w:r>
      <w:r w:rsidR="005431A7">
        <w:rPr>
          <w:rFonts w:ascii="Times New Roman" w:hAnsi="Times New Roman" w:cs="Times New Roman"/>
          <w:sz w:val="24"/>
          <w:szCs w:val="24"/>
        </w:rPr>
        <w:t xml:space="preserve"> role</w:t>
      </w:r>
      <w:r w:rsidR="00D13D09">
        <w:rPr>
          <w:rFonts w:ascii="Times New Roman" w:hAnsi="Times New Roman" w:cs="Times New Roman"/>
          <w:sz w:val="24"/>
          <w:szCs w:val="24"/>
        </w:rPr>
        <w:t xml:space="preserve"> played by the Court of Justice</w:t>
      </w:r>
      <w:r>
        <w:rPr>
          <w:rFonts w:ascii="Times New Roman" w:hAnsi="Times New Roman" w:cs="Times New Roman"/>
          <w:sz w:val="24"/>
          <w:szCs w:val="24"/>
        </w:rPr>
        <w:t xml:space="preserve"> in formulating and developing the notions of vertical and horizontal direct effect;</w:t>
      </w:r>
      <w:r w:rsidR="005431A7">
        <w:rPr>
          <w:rFonts w:ascii="Times New Roman" w:hAnsi="Times New Roman" w:cs="Times New Roman"/>
          <w:sz w:val="24"/>
          <w:szCs w:val="24"/>
        </w:rPr>
        <w:t xml:space="preserve"> the </w:t>
      </w:r>
      <w:r w:rsidR="00ED38D6">
        <w:rPr>
          <w:rFonts w:ascii="Times New Roman" w:hAnsi="Times New Roman" w:cs="Times New Roman"/>
          <w:sz w:val="24"/>
          <w:szCs w:val="24"/>
        </w:rPr>
        <w:t xml:space="preserve">potential </w:t>
      </w:r>
      <w:r w:rsidR="005431A7">
        <w:rPr>
          <w:rFonts w:ascii="Times New Roman" w:hAnsi="Times New Roman" w:cs="Times New Roman"/>
          <w:sz w:val="24"/>
          <w:szCs w:val="24"/>
        </w:rPr>
        <w:t>Treaty justifications for perceived judicial activism;</w:t>
      </w:r>
      <w:r w:rsidR="001B1539">
        <w:rPr>
          <w:rFonts w:ascii="Times New Roman" w:hAnsi="Times New Roman" w:cs="Times New Roman"/>
          <w:sz w:val="24"/>
          <w:szCs w:val="24"/>
        </w:rPr>
        <w:t xml:space="preserve"> </w:t>
      </w:r>
      <w:r>
        <w:rPr>
          <w:rFonts w:ascii="Times New Roman" w:hAnsi="Times New Roman" w:cs="Times New Roman"/>
          <w:sz w:val="24"/>
          <w:szCs w:val="24"/>
        </w:rPr>
        <w:t>the</w:t>
      </w:r>
      <w:r w:rsidR="005431A7">
        <w:rPr>
          <w:rFonts w:ascii="Times New Roman" w:hAnsi="Times New Roman" w:cs="Times New Roman"/>
          <w:sz w:val="24"/>
          <w:szCs w:val="24"/>
        </w:rPr>
        <w:t xml:space="preserve"> impact of internal market objectives on the public/private dichotomy, especially given the inevitable clash</w:t>
      </w:r>
      <w:r w:rsidR="003352FD">
        <w:rPr>
          <w:rFonts w:ascii="Times New Roman" w:hAnsi="Times New Roman" w:cs="Times New Roman"/>
          <w:sz w:val="24"/>
          <w:szCs w:val="24"/>
        </w:rPr>
        <w:t>es</w:t>
      </w:r>
      <w:r w:rsidR="005431A7">
        <w:rPr>
          <w:rFonts w:ascii="Times New Roman" w:hAnsi="Times New Roman" w:cs="Times New Roman"/>
          <w:sz w:val="24"/>
          <w:szCs w:val="24"/>
        </w:rPr>
        <w:t xml:space="preserve"> they create between economic and social goals; the</w:t>
      </w:r>
      <w:r>
        <w:rPr>
          <w:rFonts w:ascii="Times New Roman" w:hAnsi="Times New Roman" w:cs="Times New Roman"/>
          <w:sz w:val="24"/>
          <w:szCs w:val="24"/>
        </w:rPr>
        <w:t xml:space="preserve"> fundamental rights, particularly the principles of non-discrimination and equality, that are intrinsically linked to seminal cases on horizontal effect, such as </w:t>
      </w:r>
      <w:r>
        <w:rPr>
          <w:rFonts w:ascii="Times New Roman" w:hAnsi="Times New Roman" w:cs="Times New Roman"/>
          <w:i/>
          <w:sz w:val="24"/>
          <w:szCs w:val="24"/>
        </w:rPr>
        <w:t>Defrenne II, Mangold</w:t>
      </w:r>
      <w:r>
        <w:rPr>
          <w:rFonts w:ascii="Times New Roman" w:hAnsi="Times New Roman" w:cs="Times New Roman"/>
          <w:sz w:val="24"/>
          <w:szCs w:val="24"/>
        </w:rPr>
        <w:t xml:space="preserve"> and </w:t>
      </w:r>
      <w:r>
        <w:rPr>
          <w:rFonts w:ascii="Times New Roman" w:hAnsi="Times New Roman" w:cs="Times New Roman"/>
          <w:i/>
          <w:sz w:val="24"/>
          <w:szCs w:val="24"/>
        </w:rPr>
        <w:t>Kücükdeveci</w:t>
      </w:r>
      <w:r>
        <w:rPr>
          <w:rFonts w:ascii="Times New Roman" w:hAnsi="Times New Roman" w:cs="Times New Roman"/>
          <w:sz w:val="24"/>
          <w:szCs w:val="24"/>
        </w:rPr>
        <w:t>; and the expansion of policy areas covered by the Treaties, including fields associated with the private sphere</w:t>
      </w:r>
      <w:r w:rsidR="0017241D">
        <w:rPr>
          <w:rFonts w:ascii="Times New Roman" w:hAnsi="Times New Roman" w:cs="Times New Roman"/>
          <w:sz w:val="24"/>
          <w:szCs w:val="24"/>
        </w:rPr>
        <w:t>.</w:t>
      </w:r>
      <w:r>
        <w:rPr>
          <w:rFonts w:ascii="Times New Roman" w:hAnsi="Times New Roman" w:cs="Times New Roman"/>
          <w:sz w:val="24"/>
          <w:szCs w:val="24"/>
        </w:rPr>
        <w:t xml:space="preserve"> Crucially</w:t>
      </w:r>
      <w:r w:rsidR="00F611AF">
        <w:rPr>
          <w:rFonts w:ascii="Times New Roman" w:hAnsi="Times New Roman" w:cs="Times New Roman"/>
          <w:sz w:val="24"/>
          <w:szCs w:val="24"/>
        </w:rPr>
        <w:t xml:space="preserve">, </w:t>
      </w:r>
      <w:r w:rsidR="00CD4BF3">
        <w:rPr>
          <w:rFonts w:ascii="Times New Roman" w:hAnsi="Times New Roman" w:cs="Times New Roman"/>
          <w:sz w:val="24"/>
          <w:szCs w:val="24"/>
        </w:rPr>
        <w:t>these insights offer a critical</w:t>
      </w:r>
      <w:r w:rsidR="003C5123">
        <w:rPr>
          <w:rFonts w:ascii="Times New Roman" w:hAnsi="Times New Roman" w:cs="Times New Roman"/>
          <w:sz w:val="24"/>
          <w:szCs w:val="24"/>
        </w:rPr>
        <w:t xml:space="preserve"> understanding</w:t>
      </w:r>
      <w:r w:rsidR="00CD4BF3">
        <w:rPr>
          <w:rFonts w:ascii="Times New Roman" w:hAnsi="Times New Roman" w:cs="Times New Roman"/>
          <w:sz w:val="24"/>
          <w:szCs w:val="24"/>
        </w:rPr>
        <w:t xml:space="preserve"> of</w:t>
      </w:r>
      <w:r w:rsidR="003C5123">
        <w:rPr>
          <w:rFonts w:ascii="Times New Roman" w:hAnsi="Times New Roman" w:cs="Times New Roman"/>
          <w:sz w:val="24"/>
          <w:szCs w:val="24"/>
        </w:rPr>
        <w:t xml:space="preserve"> </w:t>
      </w:r>
      <w:r w:rsidR="00CD4BF3">
        <w:rPr>
          <w:rFonts w:ascii="Times New Roman" w:hAnsi="Times New Roman" w:cs="Times New Roman"/>
          <w:sz w:val="24"/>
          <w:szCs w:val="24"/>
        </w:rPr>
        <w:t>the significance of the Union’s constitutional evolution, in combination with the expanding gener</w:t>
      </w:r>
      <w:r w:rsidR="00667710">
        <w:rPr>
          <w:rFonts w:ascii="Times New Roman" w:hAnsi="Times New Roman" w:cs="Times New Roman"/>
          <w:sz w:val="24"/>
          <w:szCs w:val="24"/>
        </w:rPr>
        <w:t>ations of fundamental rights, for</w:t>
      </w:r>
      <w:r w:rsidR="00CD4BF3">
        <w:rPr>
          <w:rFonts w:ascii="Times New Roman" w:hAnsi="Times New Roman" w:cs="Times New Roman"/>
          <w:sz w:val="24"/>
          <w:szCs w:val="24"/>
        </w:rPr>
        <w:t xml:space="preserve"> the EU’s </w:t>
      </w:r>
      <w:r w:rsidR="00D13D09">
        <w:rPr>
          <w:rFonts w:ascii="Times New Roman" w:hAnsi="Times New Roman" w:cs="Times New Roman"/>
          <w:sz w:val="24"/>
          <w:szCs w:val="24"/>
        </w:rPr>
        <w:t>growing influence</w:t>
      </w:r>
      <w:r>
        <w:rPr>
          <w:rFonts w:ascii="Times New Roman" w:hAnsi="Times New Roman" w:cs="Times New Roman"/>
          <w:sz w:val="24"/>
          <w:szCs w:val="24"/>
        </w:rPr>
        <w:t xml:space="preserve"> on relationships between private actors</w:t>
      </w:r>
      <w:r w:rsidR="00667710">
        <w:rPr>
          <w:rFonts w:ascii="Times New Roman" w:hAnsi="Times New Roman" w:cs="Times New Roman"/>
          <w:sz w:val="24"/>
          <w:szCs w:val="24"/>
        </w:rPr>
        <w:t xml:space="preserve"> and</w:t>
      </w:r>
      <w:r w:rsidR="003C5123">
        <w:rPr>
          <w:rFonts w:ascii="Times New Roman" w:hAnsi="Times New Roman" w:cs="Times New Roman"/>
          <w:sz w:val="24"/>
          <w:szCs w:val="24"/>
        </w:rPr>
        <w:t xml:space="preserve"> </w:t>
      </w:r>
      <w:r w:rsidR="008B3444">
        <w:rPr>
          <w:rFonts w:ascii="Times New Roman" w:hAnsi="Times New Roman" w:cs="Times New Roman"/>
          <w:sz w:val="24"/>
          <w:szCs w:val="24"/>
        </w:rPr>
        <w:t>its unique appro</w:t>
      </w:r>
      <w:r w:rsidR="00667710">
        <w:rPr>
          <w:rFonts w:ascii="Times New Roman" w:hAnsi="Times New Roman" w:cs="Times New Roman"/>
          <w:sz w:val="24"/>
          <w:szCs w:val="24"/>
        </w:rPr>
        <w:t>ach to the public/private di</w:t>
      </w:r>
      <w:r w:rsidR="0017241D">
        <w:rPr>
          <w:rFonts w:ascii="Times New Roman" w:hAnsi="Times New Roman" w:cs="Times New Roman"/>
          <w:sz w:val="24"/>
          <w:szCs w:val="24"/>
        </w:rPr>
        <w:t>vide</w:t>
      </w:r>
      <w:r w:rsidR="00667710">
        <w:rPr>
          <w:rFonts w:ascii="Times New Roman" w:hAnsi="Times New Roman" w:cs="Times New Roman"/>
          <w:sz w:val="24"/>
          <w:szCs w:val="24"/>
        </w:rPr>
        <w:t>.</w:t>
      </w:r>
    </w:p>
    <w:p w:rsidR="00CD4BF3" w:rsidRDefault="00CD4BF3" w:rsidP="008D625B">
      <w:pPr>
        <w:pStyle w:val="NoSpacing"/>
        <w:jc w:val="both"/>
        <w:rPr>
          <w:rFonts w:ascii="Times New Roman" w:hAnsi="Times New Roman" w:cs="Times New Roman"/>
          <w:sz w:val="24"/>
          <w:szCs w:val="24"/>
        </w:rPr>
      </w:pPr>
    </w:p>
    <w:p w:rsidR="00DA0DB9" w:rsidRDefault="008D625B" w:rsidP="000221AF">
      <w:pPr>
        <w:pStyle w:val="NoSpacing"/>
        <w:jc w:val="both"/>
        <w:rPr>
          <w:rFonts w:ascii="Times New Roman" w:hAnsi="Times New Roman" w:cs="Times New Roman"/>
          <w:sz w:val="24"/>
          <w:szCs w:val="24"/>
        </w:rPr>
      </w:pPr>
      <w:r>
        <w:rPr>
          <w:rFonts w:ascii="Times New Roman" w:hAnsi="Times New Roman" w:cs="Times New Roman"/>
          <w:sz w:val="24"/>
          <w:szCs w:val="24"/>
        </w:rPr>
        <w:t>In the fundamental rights context, Walkila</w:t>
      </w:r>
      <w:r w:rsidR="003352FD">
        <w:rPr>
          <w:rFonts w:ascii="Times New Roman" w:hAnsi="Times New Roman" w:cs="Times New Roman"/>
          <w:sz w:val="24"/>
          <w:szCs w:val="24"/>
        </w:rPr>
        <w:t xml:space="preserve"> </w:t>
      </w:r>
      <w:r w:rsidR="003E2B2F">
        <w:rPr>
          <w:rFonts w:ascii="Times New Roman" w:hAnsi="Times New Roman" w:cs="Times New Roman"/>
          <w:sz w:val="24"/>
          <w:szCs w:val="24"/>
        </w:rPr>
        <w:t xml:space="preserve">helpfully </w:t>
      </w:r>
      <w:r w:rsidR="003352FD">
        <w:rPr>
          <w:rFonts w:ascii="Times New Roman" w:hAnsi="Times New Roman" w:cs="Times New Roman"/>
          <w:sz w:val="24"/>
          <w:szCs w:val="24"/>
        </w:rPr>
        <w:t xml:space="preserve">contrasts their </w:t>
      </w:r>
      <w:r>
        <w:rPr>
          <w:rFonts w:ascii="Times New Roman" w:hAnsi="Times New Roman" w:cs="Times New Roman"/>
          <w:sz w:val="24"/>
          <w:szCs w:val="24"/>
        </w:rPr>
        <w:t>traditionally vertical nature</w:t>
      </w:r>
      <w:r w:rsidR="003352FD">
        <w:rPr>
          <w:rFonts w:ascii="Times New Roman" w:hAnsi="Times New Roman" w:cs="Times New Roman"/>
          <w:sz w:val="24"/>
          <w:szCs w:val="24"/>
        </w:rPr>
        <w:t xml:space="preserve">, in line with the tenets </w:t>
      </w:r>
      <w:r>
        <w:rPr>
          <w:rFonts w:ascii="Times New Roman" w:hAnsi="Times New Roman" w:cs="Times New Roman"/>
          <w:sz w:val="24"/>
          <w:szCs w:val="24"/>
        </w:rPr>
        <w:t>of liberal autonomy</w:t>
      </w:r>
      <w:r w:rsidR="003352FD">
        <w:rPr>
          <w:rFonts w:ascii="Times New Roman" w:hAnsi="Times New Roman" w:cs="Times New Roman"/>
          <w:sz w:val="24"/>
          <w:szCs w:val="24"/>
        </w:rPr>
        <w:t xml:space="preserve">, with the growing relevance of horizontality </w:t>
      </w:r>
      <w:r w:rsidR="004E56F7">
        <w:rPr>
          <w:rFonts w:ascii="Times New Roman" w:hAnsi="Times New Roman" w:cs="Times New Roman"/>
          <w:sz w:val="24"/>
          <w:szCs w:val="24"/>
        </w:rPr>
        <w:t>in the context of</w:t>
      </w:r>
      <w:r w:rsidR="003352FD">
        <w:rPr>
          <w:rFonts w:ascii="Times New Roman" w:hAnsi="Times New Roman" w:cs="Times New Roman"/>
          <w:sz w:val="24"/>
          <w:szCs w:val="24"/>
        </w:rPr>
        <w:t xml:space="preserve"> the expansion of fundamental rights into economic, </w:t>
      </w:r>
      <w:r w:rsidR="00F257FC">
        <w:rPr>
          <w:rFonts w:ascii="Times New Roman" w:hAnsi="Times New Roman" w:cs="Times New Roman"/>
          <w:sz w:val="24"/>
          <w:szCs w:val="24"/>
        </w:rPr>
        <w:t>social and collective interests. For Walkil</w:t>
      </w:r>
      <w:r w:rsidR="00251946">
        <w:rPr>
          <w:rFonts w:ascii="Times New Roman" w:hAnsi="Times New Roman" w:cs="Times New Roman"/>
          <w:sz w:val="24"/>
          <w:szCs w:val="24"/>
        </w:rPr>
        <w:t xml:space="preserve">a, this is </w:t>
      </w:r>
      <w:r w:rsidR="004E56F7">
        <w:rPr>
          <w:rFonts w:ascii="Times New Roman" w:hAnsi="Times New Roman" w:cs="Times New Roman"/>
          <w:sz w:val="24"/>
          <w:szCs w:val="24"/>
        </w:rPr>
        <w:t>amplified by</w:t>
      </w:r>
      <w:r w:rsidR="00D13D09">
        <w:rPr>
          <w:rFonts w:ascii="Times New Roman" w:hAnsi="Times New Roman" w:cs="Times New Roman"/>
          <w:sz w:val="24"/>
          <w:szCs w:val="24"/>
        </w:rPr>
        <w:t xml:space="preserve"> the</w:t>
      </w:r>
      <w:r w:rsidR="00F257FC">
        <w:rPr>
          <w:rFonts w:ascii="Times New Roman" w:hAnsi="Times New Roman" w:cs="Times New Roman"/>
          <w:sz w:val="24"/>
          <w:szCs w:val="24"/>
        </w:rPr>
        <w:t xml:space="preserve"> </w:t>
      </w:r>
      <w:r w:rsidR="003352FD">
        <w:rPr>
          <w:rFonts w:ascii="Times New Roman" w:hAnsi="Times New Roman" w:cs="Times New Roman"/>
          <w:sz w:val="24"/>
          <w:szCs w:val="24"/>
        </w:rPr>
        <w:t>‘modern social realities</w:t>
      </w:r>
      <w:r w:rsidR="00A72CD9">
        <w:rPr>
          <w:rFonts w:ascii="Times New Roman" w:hAnsi="Times New Roman" w:cs="Times New Roman"/>
          <w:sz w:val="24"/>
          <w:szCs w:val="24"/>
        </w:rPr>
        <w:t>’</w:t>
      </w:r>
      <w:r w:rsidR="00CD4BF3">
        <w:rPr>
          <w:rFonts w:ascii="Times New Roman" w:hAnsi="Times New Roman" w:cs="Times New Roman"/>
          <w:sz w:val="24"/>
          <w:szCs w:val="24"/>
        </w:rPr>
        <w:t xml:space="preserve">, such as the influence of privatisation, trade liberalisation and current globalisation, which realign the public and private spheres. </w:t>
      </w:r>
      <w:r w:rsidR="000221AF">
        <w:rPr>
          <w:rFonts w:ascii="Times New Roman" w:hAnsi="Times New Roman" w:cs="Times New Roman"/>
          <w:sz w:val="24"/>
          <w:szCs w:val="24"/>
        </w:rPr>
        <w:t xml:space="preserve">Walkila also charts the growing pertinence of fundamental rights within the EU, from their total absence in the Rome Treaty, to their position at the very foundations of </w:t>
      </w:r>
      <w:r w:rsidR="000221AF">
        <w:rPr>
          <w:rFonts w:ascii="Times New Roman" w:hAnsi="Times New Roman" w:cs="Times New Roman"/>
          <w:sz w:val="24"/>
          <w:szCs w:val="24"/>
        </w:rPr>
        <w:lastRenderedPageBreak/>
        <w:t>the Union legal order, particularly as a result of the ‘intensification of fundamental rights’ post-Lisbon.</w:t>
      </w:r>
      <w:r w:rsidR="00F06BB2">
        <w:rPr>
          <w:rFonts w:ascii="Times New Roman" w:hAnsi="Times New Roman" w:cs="Times New Roman"/>
          <w:sz w:val="24"/>
          <w:szCs w:val="24"/>
        </w:rPr>
        <w:t xml:space="preserve"> Cognisant, nevertheless, of the on</w:t>
      </w:r>
      <w:r w:rsidR="004E56F7">
        <w:rPr>
          <w:rFonts w:ascii="Times New Roman" w:hAnsi="Times New Roman" w:cs="Times New Roman"/>
          <w:sz w:val="24"/>
          <w:szCs w:val="24"/>
        </w:rPr>
        <w:t>going requirement that an</w:t>
      </w:r>
      <w:r w:rsidR="00F06BB2">
        <w:rPr>
          <w:rFonts w:ascii="Times New Roman" w:hAnsi="Times New Roman" w:cs="Times New Roman"/>
          <w:sz w:val="24"/>
          <w:szCs w:val="24"/>
        </w:rPr>
        <w:t xml:space="preserve"> issue fall</w:t>
      </w:r>
      <w:r w:rsidR="004E56F7">
        <w:rPr>
          <w:rFonts w:ascii="Times New Roman" w:hAnsi="Times New Roman" w:cs="Times New Roman"/>
          <w:sz w:val="24"/>
          <w:szCs w:val="24"/>
        </w:rPr>
        <w:t>s</w:t>
      </w:r>
      <w:r w:rsidR="00F06BB2">
        <w:rPr>
          <w:rFonts w:ascii="Times New Roman" w:hAnsi="Times New Roman" w:cs="Times New Roman"/>
          <w:sz w:val="24"/>
          <w:szCs w:val="24"/>
        </w:rPr>
        <w:t xml:space="preserve"> within the scope of Union law before EU fundamental rights jurisdiction is triggered, Walkila p</w:t>
      </w:r>
      <w:r w:rsidR="00F1161A">
        <w:rPr>
          <w:rFonts w:ascii="Times New Roman" w:hAnsi="Times New Roman" w:cs="Times New Roman"/>
          <w:sz w:val="24"/>
          <w:szCs w:val="24"/>
        </w:rPr>
        <w:t>roposes that</w:t>
      </w:r>
      <w:r w:rsidR="00F06BB2">
        <w:rPr>
          <w:rFonts w:ascii="Times New Roman" w:hAnsi="Times New Roman" w:cs="Times New Roman"/>
          <w:sz w:val="24"/>
          <w:szCs w:val="24"/>
        </w:rPr>
        <w:t>, for the sake of legal certainty, a test</w:t>
      </w:r>
      <w:r w:rsidR="004E46AB">
        <w:rPr>
          <w:rFonts w:ascii="Times New Roman" w:hAnsi="Times New Roman" w:cs="Times New Roman"/>
          <w:sz w:val="24"/>
          <w:szCs w:val="24"/>
        </w:rPr>
        <w:t xml:space="preserve"> requiring a ‘sufficient connection</w:t>
      </w:r>
      <w:r w:rsidR="00F06BB2">
        <w:rPr>
          <w:rFonts w:ascii="Times New Roman" w:hAnsi="Times New Roman" w:cs="Times New Roman"/>
          <w:sz w:val="24"/>
          <w:szCs w:val="24"/>
        </w:rPr>
        <w:t>’ to EU law,</w:t>
      </w:r>
      <w:r w:rsidR="004E46AB">
        <w:rPr>
          <w:rFonts w:ascii="Times New Roman" w:hAnsi="Times New Roman" w:cs="Times New Roman"/>
          <w:sz w:val="24"/>
          <w:szCs w:val="24"/>
        </w:rPr>
        <w:t xml:space="preserve"> based on the applicability of a substantive EU rule,</w:t>
      </w:r>
      <w:r w:rsidR="00F06BB2">
        <w:rPr>
          <w:rFonts w:ascii="Times New Roman" w:hAnsi="Times New Roman" w:cs="Times New Roman"/>
          <w:sz w:val="24"/>
          <w:szCs w:val="24"/>
        </w:rPr>
        <w:t xml:space="preserve"> should be determinative of </w:t>
      </w:r>
      <w:r w:rsidR="004E56F7">
        <w:rPr>
          <w:rFonts w:ascii="Times New Roman" w:hAnsi="Times New Roman" w:cs="Times New Roman"/>
          <w:sz w:val="24"/>
          <w:szCs w:val="24"/>
        </w:rPr>
        <w:t xml:space="preserve">fundamental rights jurisdiction. </w:t>
      </w:r>
      <w:r w:rsidR="004E46AB">
        <w:rPr>
          <w:rFonts w:ascii="Times New Roman" w:hAnsi="Times New Roman" w:cs="Times New Roman"/>
          <w:sz w:val="24"/>
          <w:szCs w:val="24"/>
        </w:rPr>
        <w:t>In addition,</w:t>
      </w:r>
      <w:r w:rsidR="006D4F55">
        <w:rPr>
          <w:rFonts w:ascii="Times New Roman" w:hAnsi="Times New Roman" w:cs="Times New Roman"/>
          <w:sz w:val="24"/>
          <w:szCs w:val="24"/>
        </w:rPr>
        <w:t xml:space="preserve"> </w:t>
      </w:r>
      <w:r w:rsidR="00DC79F2">
        <w:rPr>
          <w:rFonts w:ascii="Times New Roman" w:hAnsi="Times New Roman" w:cs="Times New Roman"/>
          <w:sz w:val="24"/>
          <w:szCs w:val="24"/>
        </w:rPr>
        <w:t>Walkila engages comprehensively with the vast array of fundamental rights issues that arise in the contemporary Union landscape, such as the potential fundamental rights status of the free movement provisions, the link between fundamental rights and the national identity clause,</w:t>
      </w:r>
      <w:r w:rsidR="00F257FC">
        <w:rPr>
          <w:rFonts w:ascii="Times New Roman" w:hAnsi="Times New Roman" w:cs="Times New Roman"/>
          <w:sz w:val="24"/>
          <w:szCs w:val="24"/>
        </w:rPr>
        <w:t xml:space="preserve"> </w:t>
      </w:r>
      <w:r w:rsidR="00F257FC">
        <w:rPr>
          <w:rFonts w:ascii="Times New Roman" w:hAnsi="Times New Roman" w:cs="Times New Roman"/>
          <w:i/>
          <w:sz w:val="24"/>
          <w:szCs w:val="24"/>
        </w:rPr>
        <w:t>Opinion 2/13</w:t>
      </w:r>
      <w:r w:rsidR="00F257FC">
        <w:rPr>
          <w:rFonts w:ascii="Times New Roman" w:hAnsi="Times New Roman" w:cs="Times New Roman"/>
          <w:sz w:val="24"/>
          <w:szCs w:val="24"/>
        </w:rPr>
        <w:t>, and</w:t>
      </w:r>
      <w:r w:rsidR="00DC79F2">
        <w:rPr>
          <w:rFonts w:ascii="Times New Roman" w:hAnsi="Times New Roman" w:cs="Times New Roman"/>
          <w:sz w:val="24"/>
          <w:szCs w:val="24"/>
        </w:rPr>
        <w:t xml:space="preserve"> the influence and ap</w:t>
      </w:r>
      <w:r w:rsidR="00F257FC">
        <w:rPr>
          <w:rFonts w:ascii="Times New Roman" w:hAnsi="Times New Roman" w:cs="Times New Roman"/>
          <w:sz w:val="24"/>
          <w:szCs w:val="24"/>
        </w:rPr>
        <w:t>plicability of the Charter.</w:t>
      </w:r>
      <w:r w:rsidR="00DC79F2">
        <w:rPr>
          <w:rFonts w:ascii="Times New Roman" w:hAnsi="Times New Roman" w:cs="Times New Roman"/>
          <w:sz w:val="24"/>
          <w:szCs w:val="24"/>
        </w:rPr>
        <w:t xml:space="preserve"> </w:t>
      </w:r>
    </w:p>
    <w:p w:rsidR="00F06BB2" w:rsidRDefault="00F06BB2" w:rsidP="000221AF">
      <w:pPr>
        <w:pStyle w:val="NoSpacing"/>
        <w:jc w:val="both"/>
        <w:rPr>
          <w:rFonts w:ascii="Times New Roman" w:hAnsi="Times New Roman" w:cs="Times New Roman"/>
          <w:sz w:val="24"/>
          <w:szCs w:val="24"/>
        </w:rPr>
      </w:pPr>
    </w:p>
    <w:p w:rsidR="00051FF4" w:rsidRDefault="00DC79F2" w:rsidP="00E33238">
      <w:pPr>
        <w:pStyle w:val="NoSpacing"/>
        <w:jc w:val="both"/>
        <w:rPr>
          <w:rFonts w:ascii="Times New Roman" w:hAnsi="Times New Roman" w:cs="Times New Roman"/>
          <w:sz w:val="24"/>
          <w:szCs w:val="24"/>
        </w:rPr>
      </w:pPr>
      <w:r w:rsidRPr="009F7B7E">
        <w:rPr>
          <w:rFonts w:ascii="Times New Roman" w:hAnsi="Times New Roman" w:cs="Times New Roman"/>
          <w:sz w:val="24"/>
          <w:szCs w:val="24"/>
        </w:rPr>
        <w:t>Of particular interest is Walkila’s convincing defence of the Charter’s silence on the</w:t>
      </w:r>
      <w:r>
        <w:rPr>
          <w:rFonts w:ascii="Times New Roman" w:hAnsi="Times New Roman" w:cs="Times New Roman"/>
          <w:sz w:val="24"/>
          <w:szCs w:val="24"/>
        </w:rPr>
        <w:t xml:space="preserve"> categorisation of ‘rights’ and ‘principles’</w:t>
      </w:r>
      <w:r w:rsidR="00DA0DB9">
        <w:rPr>
          <w:rFonts w:ascii="Times New Roman" w:hAnsi="Times New Roman" w:cs="Times New Roman"/>
          <w:sz w:val="24"/>
          <w:szCs w:val="24"/>
        </w:rPr>
        <w:t xml:space="preserve">. </w:t>
      </w:r>
      <w:r w:rsidR="00F257FC">
        <w:rPr>
          <w:rFonts w:ascii="Times New Roman" w:hAnsi="Times New Roman" w:cs="Times New Roman"/>
          <w:sz w:val="24"/>
          <w:szCs w:val="24"/>
        </w:rPr>
        <w:t>Supported</w:t>
      </w:r>
      <w:r w:rsidR="00DA0DB9">
        <w:rPr>
          <w:rFonts w:ascii="Times New Roman" w:hAnsi="Times New Roman" w:cs="Times New Roman"/>
          <w:sz w:val="24"/>
          <w:szCs w:val="24"/>
        </w:rPr>
        <w:t xml:space="preserve"> by he</w:t>
      </w:r>
      <w:r w:rsidR="003E2B2F">
        <w:rPr>
          <w:rFonts w:ascii="Times New Roman" w:hAnsi="Times New Roman" w:cs="Times New Roman"/>
          <w:sz w:val="24"/>
          <w:szCs w:val="24"/>
        </w:rPr>
        <w:t>r comparative tour of different</w:t>
      </w:r>
      <w:r w:rsidR="00A20E73">
        <w:rPr>
          <w:rFonts w:ascii="Times New Roman" w:hAnsi="Times New Roman" w:cs="Times New Roman"/>
          <w:sz w:val="24"/>
          <w:szCs w:val="24"/>
        </w:rPr>
        <w:t xml:space="preserve"> jurisdictions</w:t>
      </w:r>
      <w:r w:rsidR="00DA0DB9">
        <w:rPr>
          <w:rFonts w:ascii="Times New Roman" w:hAnsi="Times New Roman" w:cs="Times New Roman"/>
          <w:sz w:val="24"/>
          <w:szCs w:val="24"/>
        </w:rPr>
        <w:t xml:space="preserve">, as well as her review of the case-law of the Court of Justice, Walkila </w:t>
      </w:r>
      <w:r w:rsidR="00DC318A">
        <w:rPr>
          <w:rFonts w:ascii="Times New Roman" w:hAnsi="Times New Roman" w:cs="Times New Roman"/>
          <w:sz w:val="24"/>
          <w:szCs w:val="24"/>
        </w:rPr>
        <w:t>cogently</w:t>
      </w:r>
      <w:r w:rsidR="00DA0DB9">
        <w:rPr>
          <w:rFonts w:ascii="Times New Roman" w:hAnsi="Times New Roman" w:cs="Times New Roman"/>
          <w:sz w:val="24"/>
          <w:szCs w:val="24"/>
        </w:rPr>
        <w:t xml:space="preserve"> concludes that not all fundamental rights are equally suit</w:t>
      </w:r>
      <w:r w:rsidR="009F7B7E">
        <w:rPr>
          <w:rFonts w:ascii="Times New Roman" w:hAnsi="Times New Roman" w:cs="Times New Roman"/>
          <w:sz w:val="24"/>
          <w:szCs w:val="24"/>
        </w:rPr>
        <w:t>ed to</w:t>
      </w:r>
      <w:r w:rsidR="00DA0DB9">
        <w:rPr>
          <w:rFonts w:ascii="Times New Roman" w:hAnsi="Times New Roman" w:cs="Times New Roman"/>
          <w:sz w:val="24"/>
          <w:szCs w:val="24"/>
        </w:rPr>
        <w:t xml:space="preserve"> direct effect, even if the extent of their applicability cannot feasibly be determined by reference to the old civil/political and economic/social distinctions.</w:t>
      </w:r>
      <w:r w:rsidR="00107E00">
        <w:rPr>
          <w:rFonts w:ascii="Times New Roman" w:hAnsi="Times New Roman" w:cs="Times New Roman"/>
          <w:sz w:val="24"/>
          <w:szCs w:val="24"/>
        </w:rPr>
        <w:t xml:space="preserve"> Nevertheless, Charter ‘principles’ might become ‘rights’ as their normative content develops.</w:t>
      </w:r>
      <w:r w:rsidR="00E33238">
        <w:rPr>
          <w:rFonts w:ascii="Times New Roman" w:hAnsi="Times New Roman" w:cs="Times New Roman"/>
          <w:sz w:val="24"/>
          <w:szCs w:val="24"/>
        </w:rPr>
        <w:t xml:space="preserve"> Conversely,</w:t>
      </w:r>
      <w:r w:rsidR="00251946">
        <w:rPr>
          <w:rFonts w:ascii="Times New Roman" w:hAnsi="Times New Roman" w:cs="Times New Roman"/>
          <w:sz w:val="24"/>
          <w:szCs w:val="24"/>
        </w:rPr>
        <w:t xml:space="preserve"> Walkila interestingly postulates that</w:t>
      </w:r>
      <w:r w:rsidR="00E33238">
        <w:rPr>
          <w:rFonts w:ascii="Times New Roman" w:hAnsi="Times New Roman" w:cs="Times New Roman"/>
          <w:sz w:val="24"/>
          <w:szCs w:val="24"/>
        </w:rPr>
        <w:t xml:space="preserve"> some Charte</w:t>
      </w:r>
      <w:r w:rsidR="00107E00">
        <w:rPr>
          <w:rFonts w:ascii="Times New Roman" w:hAnsi="Times New Roman" w:cs="Times New Roman"/>
          <w:sz w:val="24"/>
          <w:szCs w:val="24"/>
        </w:rPr>
        <w:t xml:space="preserve">r provisions might </w:t>
      </w:r>
      <w:r w:rsidR="00E33238">
        <w:rPr>
          <w:rFonts w:ascii="Times New Roman" w:hAnsi="Times New Roman" w:cs="Times New Roman"/>
          <w:sz w:val="24"/>
          <w:szCs w:val="24"/>
        </w:rPr>
        <w:t>alternate between ‘rights’ an</w:t>
      </w:r>
      <w:r w:rsidR="00107E00">
        <w:rPr>
          <w:rFonts w:ascii="Times New Roman" w:hAnsi="Times New Roman" w:cs="Times New Roman"/>
          <w:sz w:val="24"/>
          <w:szCs w:val="24"/>
        </w:rPr>
        <w:t xml:space="preserve">d ‘principles’ depending on the </w:t>
      </w:r>
      <w:r w:rsidR="00E33238">
        <w:rPr>
          <w:rFonts w:ascii="Times New Roman" w:hAnsi="Times New Roman" w:cs="Times New Roman"/>
          <w:sz w:val="24"/>
          <w:szCs w:val="24"/>
        </w:rPr>
        <w:t>nature of the dispute, the actors involved, and whether negative or positive obligations arise.</w:t>
      </w:r>
      <w:r w:rsidR="009F7B7E">
        <w:rPr>
          <w:rFonts w:ascii="Times New Roman" w:hAnsi="Times New Roman" w:cs="Times New Roman"/>
          <w:sz w:val="24"/>
          <w:szCs w:val="24"/>
        </w:rPr>
        <w:t xml:space="preserve"> </w:t>
      </w:r>
    </w:p>
    <w:p w:rsidR="00051FF4" w:rsidRDefault="00051FF4" w:rsidP="00E33238">
      <w:pPr>
        <w:pStyle w:val="NoSpacing"/>
        <w:jc w:val="both"/>
        <w:rPr>
          <w:rFonts w:ascii="Times New Roman" w:hAnsi="Times New Roman" w:cs="Times New Roman"/>
          <w:sz w:val="24"/>
          <w:szCs w:val="24"/>
        </w:rPr>
      </w:pPr>
    </w:p>
    <w:p w:rsidR="006C1139" w:rsidRDefault="009F7B7E" w:rsidP="00313839">
      <w:pPr>
        <w:pStyle w:val="NoSpacing"/>
        <w:jc w:val="both"/>
        <w:rPr>
          <w:rFonts w:ascii="Times New Roman" w:hAnsi="Times New Roman" w:cs="Times New Roman"/>
          <w:sz w:val="24"/>
          <w:szCs w:val="24"/>
        </w:rPr>
      </w:pPr>
      <w:r>
        <w:rPr>
          <w:rFonts w:ascii="Times New Roman" w:hAnsi="Times New Roman" w:cs="Times New Roman"/>
          <w:sz w:val="24"/>
          <w:szCs w:val="24"/>
        </w:rPr>
        <w:t>Not only does this</w:t>
      </w:r>
      <w:r w:rsidR="00E33238">
        <w:rPr>
          <w:rFonts w:ascii="Times New Roman" w:hAnsi="Times New Roman" w:cs="Times New Roman"/>
          <w:sz w:val="24"/>
          <w:szCs w:val="24"/>
        </w:rPr>
        <w:t xml:space="preserve"> rich analysis</w:t>
      </w:r>
      <w:r>
        <w:rPr>
          <w:rFonts w:ascii="Times New Roman" w:hAnsi="Times New Roman" w:cs="Times New Roman"/>
          <w:sz w:val="24"/>
          <w:szCs w:val="24"/>
        </w:rPr>
        <w:t xml:space="preserve"> provide Walkila with a credible means of distinguishing existing CJEU judgments, such as </w:t>
      </w:r>
      <w:r>
        <w:rPr>
          <w:rFonts w:ascii="Times New Roman" w:hAnsi="Times New Roman" w:cs="Times New Roman"/>
          <w:i/>
          <w:sz w:val="24"/>
          <w:szCs w:val="24"/>
        </w:rPr>
        <w:t xml:space="preserve">Mangold, Kücükdeveci, Dominguez, AMS, </w:t>
      </w:r>
      <w:r>
        <w:rPr>
          <w:rFonts w:ascii="Times New Roman" w:hAnsi="Times New Roman" w:cs="Times New Roman"/>
          <w:sz w:val="24"/>
          <w:szCs w:val="24"/>
        </w:rPr>
        <w:t xml:space="preserve">and </w:t>
      </w:r>
      <w:r>
        <w:rPr>
          <w:rFonts w:ascii="Times New Roman" w:hAnsi="Times New Roman" w:cs="Times New Roman"/>
          <w:i/>
          <w:sz w:val="24"/>
          <w:szCs w:val="24"/>
        </w:rPr>
        <w:t>Glatzel</w:t>
      </w:r>
      <w:r w:rsidR="004E46AB">
        <w:rPr>
          <w:rFonts w:ascii="Times New Roman" w:hAnsi="Times New Roman" w:cs="Times New Roman"/>
          <w:sz w:val="24"/>
          <w:szCs w:val="24"/>
        </w:rPr>
        <w:t xml:space="preserve">, </w:t>
      </w:r>
      <w:r>
        <w:rPr>
          <w:rFonts w:ascii="Times New Roman" w:hAnsi="Times New Roman" w:cs="Times New Roman"/>
          <w:sz w:val="24"/>
          <w:szCs w:val="24"/>
        </w:rPr>
        <w:t>it also permits a nuanced</w:t>
      </w:r>
      <w:r w:rsidR="00F1161A">
        <w:rPr>
          <w:rFonts w:ascii="Times New Roman" w:hAnsi="Times New Roman" w:cs="Times New Roman"/>
          <w:sz w:val="24"/>
          <w:szCs w:val="24"/>
        </w:rPr>
        <w:t>, and context-based,</w:t>
      </w:r>
      <w:r>
        <w:rPr>
          <w:rFonts w:ascii="Times New Roman" w:hAnsi="Times New Roman" w:cs="Times New Roman"/>
          <w:sz w:val="24"/>
          <w:szCs w:val="24"/>
        </w:rPr>
        <w:t xml:space="preserve"> approach to</w:t>
      </w:r>
      <w:r w:rsidR="00F1161A">
        <w:rPr>
          <w:rFonts w:ascii="Times New Roman" w:hAnsi="Times New Roman" w:cs="Times New Roman"/>
          <w:sz w:val="24"/>
          <w:szCs w:val="24"/>
        </w:rPr>
        <w:t xml:space="preserve"> the</w:t>
      </w:r>
      <w:r w:rsidR="00251946">
        <w:rPr>
          <w:rFonts w:ascii="Times New Roman" w:hAnsi="Times New Roman" w:cs="Times New Roman"/>
          <w:sz w:val="24"/>
          <w:szCs w:val="24"/>
        </w:rPr>
        <w:t xml:space="preserve"> central question of the</w:t>
      </w:r>
      <w:r>
        <w:rPr>
          <w:rFonts w:ascii="Times New Roman" w:hAnsi="Times New Roman" w:cs="Times New Roman"/>
          <w:sz w:val="24"/>
          <w:szCs w:val="24"/>
        </w:rPr>
        <w:t xml:space="preserve"> horizontality</w:t>
      </w:r>
      <w:r w:rsidR="00F1161A">
        <w:rPr>
          <w:rFonts w:ascii="Times New Roman" w:hAnsi="Times New Roman" w:cs="Times New Roman"/>
          <w:sz w:val="24"/>
          <w:szCs w:val="24"/>
        </w:rPr>
        <w:t xml:space="preserve"> of fundamental rights</w:t>
      </w:r>
      <w:r w:rsidR="00051FF4">
        <w:rPr>
          <w:rFonts w:ascii="Times New Roman" w:hAnsi="Times New Roman" w:cs="Times New Roman"/>
          <w:sz w:val="24"/>
          <w:szCs w:val="24"/>
        </w:rPr>
        <w:t xml:space="preserve">. </w:t>
      </w:r>
      <w:r w:rsidR="0025190F">
        <w:rPr>
          <w:rFonts w:ascii="Times New Roman" w:hAnsi="Times New Roman" w:cs="Times New Roman"/>
          <w:sz w:val="24"/>
          <w:szCs w:val="24"/>
        </w:rPr>
        <w:t xml:space="preserve">Walkila argues </w:t>
      </w:r>
      <w:r w:rsidR="00DC318A">
        <w:rPr>
          <w:rFonts w:ascii="Times New Roman" w:hAnsi="Times New Roman" w:cs="Times New Roman"/>
          <w:sz w:val="24"/>
          <w:szCs w:val="24"/>
        </w:rPr>
        <w:t>persuasively</w:t>
      </w:r>
      <w:r w:rsidR="0025190F">
        <w:rPr>
          <w:rFonts w:ascii="Times New Roman" w:hAnsi="Times New Roman" w:cs="Times New Roman"/>
          <w:sz w:val="24"/>
          <w:szCs w:val="24"/>
        </w:rPr>
        <w:t xml:space="preserve"> against</w:t>
      </w:r>
      <w:r w:rsidR="00803AE8">
        <w:rPr>
          <w:rFonts w:ascii="Times New Roman" w:hAnsi="Times New Roman" w:cs="Times New Roman"/>
          <w:sz w:val="24"/>
          <w:szCs w:val="24"/>
        </w:rPr>
        <w:t xml:space="preserve"> limiting direct effect to</w:t>
      </w:r>
      <w:r w:rsidR="0025190F">
        <w:rPr>
          <w:rFonts w:ascii="Times New Roman" w:hAnsi="Times New Roman" w:cs="Times New Roman"/>
          <w:sz w:val="24"/>
          <w:szCs w:val="24"/>
        </w:rPr>
        <w:t xml:space="preserve"> the purely vertical application of fundamental rights</w:t>
      </w:r>
      <w:r w:rsidR="00C2302B">
        <w:rPr>
          <w:rFonts w:ascii="Times New Roman" w:hAnsi="Times New Roman" w:cs="Times New Roman"/>
          <w:sz w:val="24"/>
          <w:szCs w:val="24"/>
        </w:rPr>
        <w:t>.</w:t>
      </w:r>
      <w:r w:rsidR="00575932">
        <w:rPr>
          <w:rFonts w:ascii="Times New Roman" w:hAnsi="Times New Roman" w:cs="Times New Roman"/>
          <w:sz w:val="24"/>
          <w:szCs w:val="24"/>
        </w:rPr>
        <w:t xml:space="preserve"> In particular, she advances that ‘since the boundaries between private and public…blur in contemporary society…fundamental rights should in fact protect private parties from abuse of power on the part of whatever kind of entity, be it of a public, private, or quasi-public nature’.</w:t>
      </w:r>
      <w:r w:rsidR="00C2302B">
        <w:rPr>
          <w:rFonts w:ascii="Times New Roman" w:hAnsi="Times New Roman" w:cs="Times New Roman"/>
          <w:sz w:val="24"/>
          <w:szCs w:val="24"/>
        </w:rPr>
        <w:t xml:space="preserve"> </w:t>
      </w:r>
      <w:r w:rsidR="00575932">
        <w:rPr>
          <w:rFonts w:ascii="Times New Roman" w:hAnsi="Times New Roman" w:cs="Times New Roman"/>
          <w:sz w:val="24"/>
          <w:szCs w:val="24"/>
        </w:rPr>
        <w:t>Indeed,</w:t>
      </w:r>
      <w:r w:rsidR="00ED38D6">
        <w:rPr>
          <w:rFonts w:ascii="Times New Roman" w:hAnsi="Times New Roman" w:cs="Times New Roman"/>
          <w:sz w:val="24"/>
          <w:szCs w:val="24"/>
        </w:rPr>
        <w:t xml:space="preserve"> for Walkila,</w:t>
      </w:r>
      <w:r w:rsidR="00575932">
        <w:rPr>
          <w:rFonts w:ascii="Times New Roman" w:hAnsi="Times New Roman" w:cs="Times New Roman"/>
          <w:sz w:val="24"/>
          <w:szCs w:val="24"/>
        </w:rPr>
        <w:t xml:space="preserve"> rejecting horizontality could risk denying the universality of </w:t>
      </w:r>
      <w:r w:rsidR="004E4D3E">
        <w:rPr>
          <w:rFonts w:ascii="Times New Roman" w:hAnsi="Times New Roman" w:cs="Times New Roman"/>
          <w:sz w:val="24"/>
          <w:szCs w:val="24"/>
        </w:rPr>
        <w:t>fundamental rights</w:t>
      </w:r>
      <w:r w:rsidR="00667710">
        <w:rPr>
          <w:rFonts w:ascii="Times New Roman" w:hAnsi="Times New Roman" w:cs="Times New Roman"/>
          <w:sz w:val="24"/>
          <w:szCs w:val="24"/>
        </w:rPr>
        <w:t>, since their practical effectiveness often depends on observance by private parties</w:t>
      </w:r>
      <w:r w:rsidR="003C22A1">
        <w:rPr>
          <w:rFonts w:ascii="Times New Roman" w:hAnsi="Times New Roman" w:cs="Times New Roman"/>
          <w:sz w:val="24"/>
          <w:szCs w:val="24"/>
        </w:rPr>
        <w:t xml:space="preserve">. </w:t>
      </w:r>
      <w:r w:rsidR="00195688">
        <w:rPr>
          <w:rFonts w:ascii="Times New Roman" w:hAnsi="Times New Roman" w:cs="Times New Roman"/>
          <w:sz w:val="24"/>
          <w:szCs w:val="24"/>
        </w:rPr>
        <w:t xml:space="preserve">Similarly, she views horizontality as central to avoiding ‘jeopardising effects’ on the </w:t>
      </w:r>
      <w:r w:rsidR="0025190F">
        <w:rPr>
          <w:rFonts w:ascii="Times New Roman" w:hAnsi="Times New Roman" w:cs="Times New Roman"/>
          <w:sz w:val="24"/>
          <w:szCs w:val="24"/>
        </w:rPr>
        <w:t>primacy, unity and effectiveness of Union law.</w:t>
      </w:r>
      <w:r w:rsidR="00440292">
        <w:rPr>
          <w:rFonts w:ascii="Times New Roman" w:hAnsi="Times New Roman" w:cs="Times New Roman"/>
          <w:sz w:val="24"/>
          <w:szCs w:val="24"/>
        </w:rPr>
        <w:t xml:space="preserve"> </w:t>
      </w:r>
    </w:p>
    <w:p w:rsidR="006C1139" w:rsidRDefault="006C1139" w:rsidP="00313839">
      <w:pPr>
        <w:pStyle w:val="NoSpacing"/>
        <w:jc w:val="both"/>
        <w:rPr>
          <w:rFonts w:ascii="Times New Roman" w:hAnsi="Times New Roman" w:cs="Times New Roman"/>
          <w:sz w:val="24"/>
          <w:szCs w:val="24"/>
        </w:rPr>
      </w:pPr>
    </w:p>
    <w:p w:rsidR="00440292" w:rsidRDefault="00667487" w:rsidP="00313839">
      <w:pPr>
        <w:pStyle w:val="NoSpacing"/>
        <w:jc w:val="both"/>
        <w:rPr>
          <w:rFonts w:ascii="Times New Roman" w:hAnsi="Times New Roman" w:cs="Times New Roman"/>
          <w:sz w:val="24"/>
          <w:szCs w:val="24"/>
        </w:rPr>
      </w:pPr>
      <w:r>
        <w:rPr>
          <w:rFonts w:ascii="Times New Roman" w:hAnsi="Times New Roman" w:cs="Times New Roman"/>
          <w:sz w:val="24"/>
          <w:szCs w:val="24"/>
        </w:rPr>
        <w:t>Beyond this it is reasonably clear that Walkila</w:t>
      </w:r>
      <w:r w:rsidR="0025190F">
        <w:rPr>
          <w:rFonts w:ascii="Times New Roman" w:hAnsi="Times New Roman" w:cs="Times New Roman"/>
          <w:sz w:val="24"/>
          <w:szCs w:val="24"/>
        </w:rPr>
        <w:t xml:space="preserve"> </w:t>
      </w:r>
      <w:r>
        <w:rPr>
          <w:rFonts w:ascii="Times New Roman" w:hAnsi="Times New Roman" w:cs="Times New Roman"/>
          <w:sz w:val="24"/>
          <w:szCs w:val="24"/>
        </w:rPr>
        <w:t>endorses</w:t>
      </w:r>
      <w:r w:rsidR="004E46AB">
        <w:rPr>
          <w:rFonts w:ascii="Times New Roman" w:hAnsi="Times New Roman" w:cs="Times New Roman"/>
          <w:sz w:val="24"/>
          <w:szCs w:val="24"/>
        </w:rPr>
        <w:t xml:space="preserve"> the </w:t>
      </w:r>
      <w:r w:rsidR="00F1161A">
        <w:rPr>
          <w:rFonts w:ascii="Times New Roman" w:hAnsi="Times New Roman" w:cs="Times New Roman"/>
          <w:sz w:val="24"/>
          <w:szCs w:val="24"/>
        </w:rPr>
        <w:t>direct horizontal effect of ‘sufficiently concretised’</w:t>
      </w:r>
      <w:r w:rsidR="004E46AB">
        <w:rPr>
          <w:rFonts w:ascii="Times New Roman" w:hAnsi="Times New Roman" w:cs="Times New Roman"/>
          <w:sz w:val="24"/>
          <w:szCs w:val="24"/>
        </w:rPr>
        <w:t xml:space="preserve"> </w:t>
      </w:r>
      <w:r w:rsidR="00F1161A">
        <w:rPr>
          <w:rFonts w:ascii="Times New Roman" w:hAnsi="Times New Roman" w:cs="Times New Roman"/>
          <w:sz w:val="24"/>
          <w:szCs w:val="24"/>
        </w:rPr>
        <w:t>fundamental rights</w:t>
      </w:r>
      <w:r w:rsidR="00A319C2">
        <w:rPr>
          <w:rFonts w:ascii="Times New Roman" w:hAnsi="Times New Roman" w:cs="Times New Roman"/>
          <w:sz w:val="24"/>
          <w:szCs w:val="24"/>
        </w:rPr>
        <w:t>. She appears to view</w:t>
      </w:r>
      <w:r w:rsidR="004E46AB">
        <w:rPr>
          <w:rFonts w:ascii="Times New Roman" w:hAnsi="Times New Roman" w:cs="Times New Roman"/>
          <w:sz w:val="24"/>
          <w:szCs w:val="24"/>
        </w:rPr>
        <w:t xml:space="preserve"> this as </w:t>
      </w:r>
      <w:r w:rsidR="009F7B7E">
        <w:rPr>
          <w:rFonts w:ascii="Times New Roman" w:hAnsi="Times New Roman" w:cs="Times New Roman"/>
          <w:sz w:val="24"/>
          <w:szCs w:val="24"/>
        </w:rPr>
        <w:t>particularly beneficial where Directives bring an issue within the scope of Union law but cannot be applied to private actors</w:t>
      </w:r>
      <w:r w:rsidR="00A319C2">
        <w:rPr>
          <w:rFonts w:ascii="Times New Roman" w:hAnsi="Times New Roman" w:cs="Times New Roman"/>
          <w:sz w:val="24"/>
          <w:szCs w:val="24"/>
        </w:rPr>
        <w:t xml:space="preserve">, </w:t>
      </w:r>
      <w:r w:rsidR="00803AE8">
        <w:rPr>
          <w:rFonts w:ascii="Times New Roman" w:hAnsi="Times New Roman" w:cs="Times New Roman"/>
          <w:sz w:val="24"/>
          <w:szCs w:val="24"/>
        </w:rPr>
        <w:t>specifically</w:t>
      </w:r>
      <w:r w:rsidR="00A319C2">
        <w:rPr>
          <w:rFonts w:ascii="Times New Roman" w:hAnsi="Times New Roman" w:cs="Times New Roman"/>
          <w:sz w:val="24"/>
          <w:szCs w:val="24"/>
        </w:rPr>
        <w:t xml:space="preserve"> where duties of consistent interpretation or positive obligations, in the </w:t>
      </w:r>
      <w:r w:rsidR="00A319C2">
        <w:rPr>
          <w:rFonts w:ascii="Times New Roman" w:hAnsi="Times New Roman" w:cs="Times New Roman"/>
          <w:i/>
          <w:sz w:val="24"/>
          <w:szCs w:val="24"/>
        </w:rPr>
        <w:t xml:space="preserve">Francovich/Schmidberger </w:t>
      </w:r>
      <w:r w:rsidR="00A319C2">
        <w:rPr>
          <w:rFonts w:ascii="Times New Roman" w:hAnsi="Times New Roman" w:cs="Times New Roman"/>
          <w:sz w:val="24"/>
          <w:szCs w:val="24"/>
        </w:rPr>
        <w:t>sense, either cannot resolve the problem or do not offer a straightforward solution</w:t>
      </w:r>
      <w:r w:rsidR="0054319E">
        <w:rPr>
          <w:rFonts w:ascii="Times New Roman" w:hAnsi="Times New Roman" w:cs="Times New Roman"/>
          <w:sz w:val="24"/>
          <w:szCs w:val="24"/>
        </w:rPr>
        <w:t>.</w:t>
      </w:r>
      <w:r w:rsidR="009F7B7E">
        <w:rPr>
          <w:rFonts w:ascii="Times New Roman" w:hAnsi="Times New Roman" w:cs="Times New Roman"/>
          <w:sz w:val="24"/>
          <w:szCs w:val="24"/>
        </w:rPr>
        <w:t xml:space="preserve"> </w:t>
      </w:r>
      <w:r w:rsidR="006D4F55">
        <w:rPr>
          <w:rFonts w:ascii="Times New Roman" w:hAnsi="Times New Roman" w:cs="Times New Roman"/>
          <w:sz w:val="24"/>
          <w:szCs w:val="24"/>
        </w:rPr>
        <w:t xml:space="preserve">Indeed, </w:t>
      </w:r>
      <w:r w:rsidR="009F7B7E">
        <w:rPr>
          <w:rFonts w:ascii="Times New Roman" w:hAnsi="Times New Roman" w:cs="Times New Roman"/>
          <w:sz w:val="24"/>
          <w:szCs w:val="24"/>
        </w:rPr>
        <w:t>Walkila is repeatedly critical of the Court’s tendency to interpret fundamental rights as</w:t>
      </w:r>
      <w:r w:rsidR="006D4F55">
        <w:rPr>
          <w:rFonts w:ascii="Times New Roman" w:hAnsi="Times New Roman" w:cs="Times New Roman"/>
          <w:sz w:val="24"/>
          <w:szCs w:val="24"/>
        </w:rPr>
        <w:t xml:space="preserve"> part of the (other) provision of Union law that creates their jurisdictional peg,</w:t>
      </w:r>
      <w:r w:rsidR="006C1139">
        <w:rPr>
          <w:rFonts w:ascii="Times New Roman" w:hAnsi="Times New Roman" w:cs="Times New Roman"/>
          <w:sz w:val="24"/>
          <w:szCs w:val="24"/>
        </w:rPr>
        <w:t xml:space="preserve"> instead of in their own right. </w:t>
      </w:r>
      <w:r>
        <w:rPr>
          <w:rFonts w:ascii="Times New Roman" w:hAnsi="Times New Roman" w:cs="Times New Roman"/>
          <w:sz w:val="24"/>
          <w:szCs w:val="24"/>
        </w:rPr>
        <w:t>For other rights, including Charter ‘principles’, Walkila appears to support an indirect effect model, drawing from the German approach, whereby fun</w:t>
      </w:r>
      <w:r w:rsidR="00BA280F">
        <w:rPr>
          <w:rFonts w:ascii="Times New Roman" w:hAnsi="Times New Roman" w:cs="Times New Roman"/>
          <w:sz w:val="24"/>
          <w:szCs w:val="24"/>
        </w:rPr>
        <w:t>damental rights infuse the</w:t>
      </w:r>
      <w:r>
        <w:rPr>
          <w:rFonts w:ascii="Times New Roman" w:hAnsi="Times New Roman" w:cs="Times New Roman"/>
          <w:sz w:val="24"/>
          <w:szCs w:val="24"/>
        </w:rPr>
        <w:t xml:space="preserve"> legal order as part of an ‘objective order of values’. Walkila argues convincingly that authority for such an approach can be drawn from Article 2 TEU, even if more extensive engagement with the case-law beyond </w:t>
      </w:r>
      <w:r>
        <w:rPr>
          <w:rFonts w:ascii="Times New Roman" w:hAnsi="Times New Roman" w:cs="Times New Roman"/>
          <w:i/>
          <w:sz w:val="24"/>
          <w:szCs w:val="24"/>
        </w:rPr>
        <w:t>Kadi</w:t>
      </w:r>
      <w:r w:rsidR="00CC0A63">
        <w:rPr>
          <w:rFonts w:ascii="Times New Roman" w:hAnsi="Times New Roman" w:cs="Times New Roman"/>
          <w:sz w:val="24"/>
          <w:szCs w:val="24"/>
        </w:rPr>
        <w:t xml:space="preserve"> was perhaps warranted. Her argument that the Court, as part of its role in ensuring the correct application of the law, must guarantee the value content of Union fundamental rights throughout all E</w:t>
      </w:r>
      <w:r w:rsidR="00BA280F">
        <w:rPr>
          <w:rFonts w:ascii="Times New Roman" w:hAnsi="Times New Roman" w:cs="Times New Roman"/>
          <w:sz w:val="24"/>
          <w:szCs w:val="24"/>
        </w:rPr>
        <w:t>U legislation, usefully draws from the results of her varied methodologies including</w:t>
      </w:r>
      <w:r w:rsidR="00CC0A63">
        <w:rPr>
          <w:rFonts w:ascii="Times New Roman" w:hAnsi="Times New Roman" w:cs="Times New Roman"/>
          <w:sz w:val="24"/>
          <w:szCs w:val="24"/>
        </w:rPr>
        <w:t xml:space="preserve"> her historical analysis of the role of the Court under the Treaties,</w:t>
      </w:r>
      <w:r w:rsidR="00A319C2">
        <w:rPr>
          <w:rFonts w:ascii="Times New Roman" w:hAnsi="Times New Roman" w:cs="Times New Roman"/>
          <w:sz w:val="24"/>
          <w:szCs w:val="24"/>
        </w:rPr>
        <w:t xml:space="preserve"> the importance of </w:t>
      </w:r>
      <w:r w:rsidR="00A319C2">
        <w:rPr>
          <w:rFonts w:ascii="Times New Roman" w:hAnsi="Times New Roman" w:cs="Times New Roman"/>
          <w:sz w:val="24"/>
          <w:szCs w:val="24"/>
        </w:rPr>
        <w:lastRenderedPageBreak/>
        <w:t>fundamental rights as a constraint on the legislature,</w:t>
      </w:r>
      <w:r w:rsidR="00CC0A63">
        <w:rPr>
          <w:rFonts w:ascii="Times New Roman" w:hAnsi="Times New Roman" w:cs="Times New Roman"/>
          <w:sz w:val="24"/>
          <w:szCs w:val="24"/>
        </w:rPr>
        <w:t xml:space="preserve"> and the commonalities she finds between th</w:t>
      </w:r>
      <w:r w:rsidR="001479E7">
        <w:rPr>
          <w:rFonts w:ascii="Times New Roman" w:hAnsi="Times New Roman" w:cs="Times New Roman"/>
          <w:sz w:val="24"/>
          <w:szCs w:val="24"/>
        </w:rPr>
        <w:t>e position of the CJEU under Article 51(1) of the</w:t>
      </w:r>
      <w:r w:rsidR="00CC0A63">
        <w:rPr>
          <w:rFonts w:ascii="Times New Roman" w:hAnsi="Times New Roman" w:cs="Times New Roman"/>
          <w:sz w:val="24"/>
          <w:szCs w:val="24"/>
        </w:rPr>
        <w:t xml:space="preserve"> Charter and the nature of domestic courts under the UK Human Rights Act 1998.</w:t>
      </w:r>
      <w:r w:rsidR="00803AE8">
        <w:rPr>
          <w:rFonts w:ascii="Times New Roman" w:hAnsi="Times New Roman" w:cs="Times New Roman"/>
          <w:sz w:val="24"/>
          <w:szCs w:val="24"/>
        </w:rPr>
        <w:t xml:space="preserve"> </w:t>
      </w:r>
      <w:r w:rsidR="00E456C1">
        <w:rPr>
          <w:rFonts w:ascii="Times New Roman" w:hAnsi="Times New Roman" w:cs="Times New Roman"/>
          <w:sz w:val="24"/>
          <w:szCs w:val="24"/>
        </w:rPr>
        <w:t>Walkila also argues, however, that, in reality, differentiating between direct and indirect effect is often of little practical consequence</w:t>
      </w:r>
      <w:r w:rsidR="00107E00">
        <w:rPr>
          <w:rFonts w:ascii="Times New Roman" w:hAnsi="Times New Roman" w:cs="Times New Roman"/>
          <w:sz w:val="24"/>
          <w:szCs w:val="24"/>
        </w:rPr>
        <w:t>, adequately supported by her</w:t>
      </w:r>
      <w:r w:rsidR="00E456C1">
        <w:rPr>
          <w:rFonts w:ascii="Times New Roman" w:hAnsi="Times New Roman" w:cs="Times New Roman"/>
          <w:sz w:val="24"/>
          <w:szCs w:val="24"/>
        </w:rPr>
        <w:t xml:space="preserve"> discussion of the </w:t>
      </w:r>
      <w:r w:rsidR="00313839">
        <w:rPr>
          <w:rFonts w:ascii="Times New Roman" w:hAnsi="Times New Roman" w:cs="Times New Roman"/>
          <w:i/>
          <w:sz w:val="24"/>
          <w:szCs w:val="24"/>
        </w:rPr>
        <w:t>Alemo Herron</w:t>
      </w:r>
      <w:r w:rsidR="00313839">
        <w:rPr>
          <w:rFonts w:ascii="Times New Roman" w:hAnsi="Times New Roman" w:cs="Times New Roman"/>
          <w:sz w:val="24"/>
          <w:szCs w:val="24"/>
        </w:rPr>
        <w:t xml:space="preserve"> and </w:t>
      </w:r>
      <w:r w:rsidR="00313839">
        <w:rPr>
          <w:rFonts w:ascii="Times New Roman" w:hAnsi="Times New Roman" w:cs="Times New Roman"/>
          <w:i/>
          <w:sz w:val="24"/>
          <w:szCs w:val="24"/>
        </w:rPr>
        <w:t xml:space="preserve">Sanchez Morcillo and Abril García </w:t>
      </w:r>
      <w:r w:rsidR="00347C22">
        <w:rPr>
          <w:rFonts w:ascii="Times New Roman" w:hAnsi="Times New Roman" w:cs="Times New Roman"/>
          <w:sz w:val="24"/>
          <w:szCs w:val="24"/>
        </w:rPr>
        <w:t>CJEU judgments</w:t>
      </w:r>
      <w:r w:rsidR="00107E00">
        <w:rPr>
          <w:rFonts w:ascii="Times New Roman" w:hAnsi="Times New Roman" w:cs="Times New Roman"/>
          <w:sz w:val="24"/>
          <w:szCs w:val="24"/>
        </w:rPr>
        <w:t xml:space="preserve">. Nevertheless, this fact could perhaps have been used to inform her conclusions elsewhere that indirect effect offers a more flexible methodology, more respectful of the public/private dichotomy, the separation of powers and questions of competence. </w:t>
      </w:r>
      <w:r w:rsidR="00347C22">
        <w:rPr>
          <w:rFonts w:ascii="Times New Roman" w:hAnsi="Times New Roman" w:cs="Times New Roman"/>
          <w:sz w:val="24"/>
          <w:szCs w:val="24"/>
        </w:rPr>
        <w:t xml:space="preserve">  </w:t>
      </w:r>
      <w:r w:rsidR="00313839">
        <w:rPr>
          <w:rFonts w:ascii="Times New Roman" w:hAnsi="Times New Roman" w:cs="Times New Roman"/>
          <w:sz w:val="24"/>
          <w:szCs w:val="24"/>
        </w:rPr>
        <w:t xml:space="preserve"> </w:t>
      </w:r>
    </w:p>
    <w:p w:rsidR="000E5EF3" w:rsidRDefault="000E5EF3" w:rsidP="000221AF">
      <w:pPr>
        <w:pStyle w:val="NoSpacing"/>
        <w:jc w:val="both"/>
        <w:rPr>
          <w:rFonts w:ascii="Times New Roman" w:hAnsi="Times New Roman" w:cs="Times New Roman"/>
          <w:sz w:val="24"/>
          <w:szCs w:val="24"/>
        </w:rPr>
      </w:pPr>
    </w:p>
    <w:p w:rsidR="003C1841" w:rsidRDefault="00572C82" w:rsidP="000221AF">
      <w:pPr>
        <w:pStyle w:val="NoSpacing"/>
        <w:jc w:val="both"/>
        <w:rPr>
          <w:rFonts w:ascii="Times New Roman" w:hAnsi="Times New Roman" w:cs="Times New Roman"/>
          <w:sz w:val="24"/>
          <w:szCs w:val="24"/>
        </w:rPr>
      </w:pPr>
      <w:r>
        <w:rPr>
          <w:rFonts w:ascii="Times New Roman" w:hAnsi="Times New Roman" w:cs="Times New Roman"/>
          <w:sz w:val="24"/>
          <w:szCs w:val="24"/>
        </w:rPr>
        <w:t>Overall</w:t>
      </w:r>
      <w:r w:rsidR="001479E7">
        <w:rPr>
          <w:rFonts w:ascii="Times New Roman" w:hAnsi="Times New Roman" w:cs="Times New Roman"/>
          <w:sz w:val="24"/>
          <w:szCs w:val="24"/>
        </w:rPr>
        <w:t xml:space="preserve">, </w:t>
      </w:r>
      <w:r w:rsidR="000221AF">
        <w:rPr>
          <w:rFonts w:ascii="Times New Roman" w:hAnsi="Times New Roman" w:cs="Times New Roman"/>
          <w:sz w:val="24"/>
          <w:szCs w:val="24"/>
        </w:rPr>
        <w:t>Walkila’s comparative inquiry into approaches to the horizontality of fundamental rights makes logical juris</w:t>
      </w:r>
      <w:r w:rsidR="003C22A1">
        <w:rPr>
          <w:rFonts w:ascii="Times New Roman" w:hAnsi="Times New Roman" w:cs="Times New Roman"/>
          <w:sz w:val="24"/>
          <w:szCs w:val="24"/>
        </w:rPr>
        <w:t>dictional choices. Germany, Ireland, and the United States are selected for their distinct, but contrasting constitutional features, while the United Kingdom is chosen</w:t>
      </w:r>
      <w:r w:rsidR="009969C8">
        <w:rPr>
          <w:rFonts w:ascii="Times New Roman" w:hAnsi="Times New Roman" w:cs="Times New Roman"/>
          <w:sz w:val="24"/>
          <w:szCs w:val="24"/>
        </w:rPr>
        <w:t xml:space="preserve"> for having gone through</w:t>
      </w:r>
      <w:r w:rsidR="003C22A1">
        <w:rPr>
          <w:rFonts w:ascii="Times New Roman" w:hAnsi="Times New Roman" w:cs="Times New Roman"/>
          <w:sz w:val="24"/>
          <w:szCs w:val="24"/>
        </w:rPr>
        <w:t xml:space="preserve"> relevant constitutional change, in the form of its Human Rights Act 1998. Nevertheless,</w:t>
      </w:r>
      <w:r>
        <w:rPr>
          <w:rFonts w:ascii="Times New Roman" w:hAnsi="Times New Roman" w:cs="Times New Roman"/>
          <w:sz w:val="24"/>
          <w:szCs w:val="24"/>
        </w:rPr>
        <w:t xml:space="preserve"> </w:t>
      </w:r>
      <w:r w:rsidR="000221AF">
        <w:rPr>
          <w:rFonts w:ascii="Times New Roman" w:hAnsi="Times New Roman" w:cs="Times New Roman"/>
          <w:sz w:val="24"/>
          <w:szCs w:val="24"/>
        </w:rPr>
        <w:t xml:space="preserve">Walkila also conducts a briefer tour of European jurisdictions with </w:t>
      </w:r>
      <w:r w:rsidR="007B0065">
        <w:rPr>
          <w:rFonts w:ascii="Times New Roman" w:hAnsi="Times New Roman" w:cs="Times New Roman"/>
          <w:sz w:val="24"/>
          <w:szCs w:val="24"/>
        </w:rPr>
        <w:t>common approaches to ‘rights’ and ‘principles’; a review of the Canadian and South African</w:t>
      </w:r>
      <w:r w:rsidR="000F5422">
        <w:rPr>
          <w:rFonts w:ascii="Times New Roman" w:hAnsi="Times New Roman" w:cs="Times New Roman"/>
          <w:sz w:val="24"/>
          <w:szCs w:val="24"/>
        </w:rPr>
        <w:t xml:space="preserve"> approaches</w:t>
      </w:r>
      <w:r w:rsidR="007B0065">
        <w:rPr>
          <w:rFonts w:ascii="Times New Roman" w:hAnsi="Times New Roman" w:cs="Times New Roman"/>
          <w:sz w:val="24"/>
          <w:szCs w:val="24"/>
        </w:rPr>
        <w:t>; and an assessment of the methodologies of t</w:t>
      </w:r>
      <w:r w:rsidR="00D824E6">
        <w:rPr>
          <w:rFonts w:ascii="Times New Roman" w:hAnsi="Times New Roman" w:cs="Times New Roman"/>
          <w:sz w:val="24"/>
          <w:szCs w:val="24"/>
        </w:rPr>
        <w:t>he</w:t>
      </w:r>
      <w:r w:rsidR="00CD5EA3">
        <w:rPr>
          <w:rFonts w:ascii="Times New Roman" w:hAnsi="Times New Roman" w:cs="Times New Roman"/>
          <w:sz w:val="24"/>
          <w:szCs w:val="24"/>
        </w:rPr>
        <w:t xml:space="preserve"> Inter</w:t>
      </w:r>
      <w:r w:rsidR="00D824E6">
        <w:rPr>
          <w:rFonts w:ascii="Times New Roman" w:hAnsi="Times New Roman" w:cs="Times New Roman"/>
          <w:sz w:val="24"/>
          <w:szCs w:val="24"/>
        </w:rPr>
        <w:t>-American Court of Human Rights</w:t>
      </w:r>
      <w:r w:rsidR="00CD5EA3">
        <w:rPr>
          <w:rFonts w:ascii="Times New Roman" w:hAnsi="Times New Roman" w:cs="Times New Roman"/>
          <w:sz w:val="24"/>
          <w:szCs w:val="24"/>
        </w:rPr>
        <w:t xml:space="preserve"> and European Court of Human Rights</w:t>
      </w:r>
      <w:r w:rsidR="003C22A1">
        <w:rPr>
          <w:rFonts w:ascii="Times New Roman" w:hAnsi="Times New Roman" w:cs="Times New Roman"/>
          <w:sz w:val="24"/>
          <w:szCs w:val="24"/>
        </w:rPr>
        <w:t xml:space="preserve">. </w:t>
      </w:r>
      <w:r w:rsidR="00A04741">
        <w:rPr>
          <w:rFonts w:ascii="Times New Roman" w:hAnsi="Times New Roman" w:cs="Times New Roman"/>
          <w:sz w:val="24"/>
          <w:szCs w:val="24"/>
        </w:rPr>
        <w:t xml:space="preserve">Arguably, the key contribution of Walkila’s comparative inquiry, including her assessment of the CJEU, is </w:t>
      </w:r>
      <w:r w:rsidR="006C1139">
        <w:rPr>
          <w:rFonts w:ascii="Times New Roman" w:hAnsi="Times New Roman" w:cs="Times New Roman"/>
          <w:sz w:val="24"/>
          <w:szCs w:val="24"/>
        </w:rPr>
        <w:t>her recognition</w:t>
      </w:r>
      <w:r w:rsidR="00A04741">
        <w:rPr>
          <w:rFonts w:ascii="Times New Roman" w:hAnsi="Times New Roman" w:cs="Times New Roman"/>
          <w:sz w:val="24"/>
          <w:szCs w:val="24"/>
        </w:rPr>
        <w:t xml:space="preserve"> of the utility of the commonplace judicial avoidance of theorising the question of horizontality. This credibly supports Walkila’s presentation of horizontality as a </w:t>
      </w:r>
      <w:r w:rsidR="003C1841">
        <w:rPr>
          <w:rFonts w:ascii="Times New Roman" w:hAnsi="Times New Roman" w:cs="Times New Roman"/>
          <w:sz w:val="24"/>
          <w:szCs w:val="24"/>
        </w:rPr>
        <w:t>poly</w:t>
      </w:r>
      <w:r w:rsidR="000221AF">
        <w:rPr>
          <w:rFonts w:ascii="Times New Roman" w:hAnsi="Times New Roman" w:cs="Times New Roman"/>
          <w:sz w:val="24"/>
          <w:szCs w:val="24"/>
        </w:rPr>
        <w:t>gonal notion,</w:t>
      </w:r>
      <w:r w:rsidR="00A04741">
        <w:rPr>
          <w:rFonts w:ascii="Times New Roman" w:hAnsi="Times New Roman" w:cs="Times New Roman"/>
          <w:sz w:val="24"/>
          <w:szCs w:val="24"/>
        </w:rPr>
        <w:t xml:space="preserve"> dependent on factual and legal contexts, and power dynamics. </w:t>
      </w:r>
      <w:r w:rsidR="000221AF">
        <w:rPr>
          <w:rFonts w:ascii="Times New Roman" w:hAnsi="Times New Roman" w:cs="Times New Roman"/>
          <w:sz w:val="24"/>
          <w:szCs w:val="24"/>
        </w:rPr>
        <w:t>Though not discussed in the book, this</w:t>
      </w:r>
      <w:r w:rsidR="00861700">
        <w:rPr>
          <w:rFonts w:ascii="Times New Roman" w:hAnsi="Times New Roman" w:cs="Times New Roman"/>
          <w:sz w:val="24"/>
          <w:szCs w:val="24"/>
        </w:rPr>
        <w:t xml:space="preserve"> ‘functional methodology’</w:t>
      </w:r>
      <w:r w:rsidR="000221AF">
        <w:rPr>
          <w:rFonts w:ascii="Times New Roman" w:hAnsi="Times New Roman" w:cs="Times New Roman"/>
          <w:sz w:val="24"/>
          <w:szCs w:val="24"/>
        </w:rPr>
        <w:t xml:space="preserve"> </w:t>
      </w:r>
      <w:r w:rsidR="00195688">
        <w:rPr>
          <w:rFonts w:ascii="Times New Roman" w:hAnsi="Times New Roman" w:cs="Times New Roman"/>
          <w:sz w:val="24"/>
          <w:szCs w:val="24"/>
        </w:rPr>
        <w:t xml:space="preserve">also </w:t>
      </w:r>
      <w:r w:rsidR="000221AF">
        <w:rPr>
          <w:rFonts w:ascii="Times New Roman" w:hAnsi="Times New Roman" w:cs="Times New Roman"/>
          <w:sz w:val="24"/>
          <w:szCs w:val="24"/>
        </w:rPr>
        <w:t xml:space="preserve">provides a new perspective on the CJEU’s approach in the </w:t>
      </w:r>
      <w:r w:rsidR="000221AF">
        <w:rPr>
          <w:rFonts w:ascii="Times New Roman" w:hAnsi="Times New Roman" w:cs="Times New Roman"/>
          <w:i/>
          <w:sz w:val="24"/>
          <w:szCs w:val="24"/>
        </w:rPr>
        <w:t>Viking</w:t>
      </w:r>
      <w:r w:rsidR="000221AF">
        <w:rPr>
          <w:rFonts w:ascii="Times New Roman" w:hAnsi="Times New Roman" w:cs="Times New Roman"/>
          <w:sz w:val="24"/>
          <w:szCs w:val="24"/>
        </w:rPr>
        <w:t xml:space="preserve"> and </w:t>
      </w:r>
      <w:r w:rsidR="000221AF">
        <w:rPr>
          <w:rFonts w:ascii="Times New Roman" w:hAnsi="Times New Roman" w:cs="Times New Roman"/>
          <w:i/>
          <w:sz w:val="24"/>
          <w:szCs w:val="24"/>
        </w:rPr>
        <w:t>Laval</w:t>
      </w:r>
      <w:r w:rsidR="000221AF">
        <w:rPr>
          <w:rFonts w:ascii="Times New Roman" w:hAnsi="Times New Roman" w:cs="Times New Roman"/>
          <w:sz w:val="24"/>
          <w:szCs w:val="24"/>
        </w:rPr>
        <w:t xml:space="preserve"> cases, and even </w:t>
      </w:r>
      <w:r w:rsidR="000221AF">
        <w:rPr>
          <w:rFonts w:ascii="Times New Roman" w:hAnsi="Times New Roman" w:cs="Times New Roman"/>
          <w:i/>
          <w:sz w:val="24"/>
          <w:szCs w:val="24"/>
        </w:rPr>
        <w:t xml:space="preserve">Mangold </w:t>
      </w:r>
      <w:r w:rsidR="000221AF">
        <w:rPr>
          <w:rFonts w:ascii="Times New Roman" w:hAnsi="Times New Roman" w:cs="Times New Roman"/>
          <w:sz w:val="24"/>
          <w:szCs w:val="24"/>
        </w:rPr>
        <w:t xml:space="preserve">and </w:t>
      </w:r>
      <w:r w:rsidR="000221AF">
        <w:rPr>
          <w:rFonts w:ascii="Times New Roman" w:hAnsi="Times New Roman" w:cs="Times New Roman"/>
          <w:i/>
          <w:sz w:val="24"/>
          <w:szCs w:val="24"/>
        </w:rPr>
        <w:t>Kücükdeveci</w:t>
      </w:r>
      <w:r w:rsidR="00861700">
        <w:rPr>
          <w:rFonts w:ascii="Times New Roman" w:hAnsi="Times New Roman" w:cs="Times New Roman"/>
          <w:sz w:val="24"/>
          <w:szCs w:val="24"/>
        </w:rPr>
        <w:t>, in the sense that those judgments</w:t>
      </w:r>
      <w:r w:rsidR="000221AF">
        <w:rPr>
          <w:rFonts w:ascii="Times New Roman" w:hAnsi="Times New Roman" w:cs="Times New Roman"/>
          <w:sz w:val="24"/>
          <w:szCs w:val="24"/>
        </w:rPr>
        <w:t xml:space="preserve"> still invite debate as to the extent to which they endorse direct effect between purely private parties. </w:t>
      </w:r>
    </w:p>
    <w:p w:rsidR="00C3684E" w:rsidRDefault="00C3684E" w:rsidP="008B51E8">
      <w:pPr>
        <w:pStyle w:val="NoSpacing"/>
        <w:jc w:val="both"/>
        <w:rPr>
          <w:rFonts w:ascii="Times New Roman" w:hAnsi="Times New Roman" w:cs="Times New Roman"/>
          <w:sz w:val="24"/>
          <w:szCs w:val="24"/>
        </w:rPr>
      </w:pPr>
    </w:p>
    <w:p w:rsidR="00177B9E" w:rsidRDefault="009969C8" w:rsidP="000221AF">
      <w:pPr>
        <w:pStyle w:val="NoSpacing"/>
        <w:jc w:val="both"/>
        <w:rPr>
          <w:rFonts w:ascii="Times New Roman" w:hAnsi="Times New Roman" w:cs="Times New Roman"/>
          <w:sz w:val="24"/>
          <w:szCs w:val="24"/>
        </w:rPr>
      </w:pPr>
      <w:r>
        <w:rPr>
          <w:rFonts w:ascii="Times New Roman" w:hAnsi="Times New Roman" w:cs="Times New Roman"/>
          <w:sz w:val="24"/>
          <w:szCs w:val="24"/>
        </w:rPr>
        <w:t>T</w:t>
      </w:r>
      <w:r w:rsidR="006C1139">
        <w:rPr>
          <w:rFonts w:ascii="Times New Roman" w:hAnsi="Times New Roman" w:cs="Times New Roman"/>
          <w:sz w:val="24"/>
          <w:szCs w:val="24"/>
        </w:rPr>
        <w:t>hrough her rich methodological analyses, Walkila has clearly provided a comprehensive and accessible history of the development of horizontality</w:t>
      </w:r>
      <w:r>
        <w:rPr>
          <w:rFonts w:ascii="Times New Roman" w:hAnsi="Times New Roman" w:cs="Times New Roman"/>
          <w:sz w:val="24"/>
          <w:szCs w:val="24"/>
        </w:rPr>
        <w:t xml:space="preserve"> and of</w:t>
      </w:r>
      <w:r w:rsidR="006C1139">
        <w:rPr>
          <w:rFonts w:ascii="Times New Roman" w:hAnsi="Times New Roman" w:cs="Times New Roman"/>
          <w:sz w:val="24"/>
          <w:szCs w:val="24"/>
        </w:rPr>
        <w:t xml:space="preserve"> fundamental rights with</w:t>
      </w:r>
      <w:r w:rsidR="000F5422">
        <w:rPr>
          <w:rFonts w:ascii="Times New Roman" w:hAnsi="Times New Roman" w:cs="Times New Roman"/>
          <w:sz w:val="24"/>
          <w:szCs w:val="24"/>
        </w:rPr>
        <w:t>in the EU legal order and beyond</w:t>
      </w:r>
      <w:r w:rsidR="006C1139">
        <w:rPr>
          <w:rFonts w:ascii="Times New Roman" w:hAnsi="Times New Roman" w:cs="Times New Roman"/>
          <w:sz w:val="24"/>
          <w:szCs w:val="24"/>
        </w:rPr>
        <w:t>, as well as d</w:t>
      </w:r>
      <w:r>
        <w:rPr>
          <w:rFonts w:ascii="Times New Roman" w:hAnsi="Times New Roman" w:cs="Times New Roman"/>
          <w:sz w:val="24"/>
          <w:szCs w:val="24"/>
        </w:rPr>
        <w:t>etailed consideration of their</w:t>
      </w:r>
      <w:r w:rsidR="006C1139">
        <w:rPr>
          <w:rFonts w:ascii="Times New Roman" w:hAnsi="Times New Roman" w:cs="Times New Roman"/>
          <w:sz w:val="24"/>
          <w:szCs w:val="24"/>
        </w:rPr>
        <w:t xml:space="preserve"> contemporary challenges, which will be of use to a wide-ranging audience. </w:t>
      </w:r>
      <w:r w:rsidR="000221AF">
        <w:rPr>
          <w:rFonts w:ascii="Times New Roman" w:hAnsi="Times New Roman" w:cs="Times New Roman"/>
          <w:sz w:val="24"/>
          <w:szCs w:val="24"/>
        </w:rPr>
        <w:t>However,</w:t>
      </w:r>
      <w:r w:rsidR="005F3E4C">
        <w:rPr>
          <w:rFonts w:ascii="Times New Roman" w:hAnsi="Times New Roman" w:cs="Times New Roman"/>
          <w:sz w:val="24"/>
          <w:szCs w:val="24"/>
        </w:rPr>
        <w:t xml:space="preserve"> in several places,</w:t>
      </w:r>
      <w:r w:rsidR="000221AF">
        <w:rPr>
          <w:rFonts w:ascii="Times New Roman" w:hAnsi="Times New Roman" w:cs="Times New Roman"/>
          <w:sz w:val="24"/>
          <w:szCs w:val="24"/>
        </w:rPr>
        <w:t xml:space="preserve"> the specific subject-matter of the book – namely, the horizontal effect of fundamental rights in Un</w:t>
      </w:r>
      <w:r w:rsidR="007F4ECD">
        <w:rPr>
          <w:rFonts w:ascii="Times New Roman" w:hAnsi="Times New Roman" w:cs="Times New Roman"/>
          <w:sz w:val="24"/>
          <w:szCs w:val="24"/>
        </w:rPr>
        <w:t>ion law – and the thought-</w:t>
      </w:r>
      <w:r w:rsidR="00C26371">
        <w:rPr>
          <w:rFonts w:ascii="Times New Roman" w:hAnsi="Times New Roman" w:cs="Times New Roman"/>
          <w:sz w:val="24"/>
          <w:szCs w:val="24"/>
        </w:rPr>
        <w:t>provoking outcomes of Walkila’s</w:t>
      </w:r>
      <w:r w:rsidR="007F4ECD">
        <w:rPr>
          <w:rFonts w:ascii="Times New Roman" w:hAnsi="Times New Roman" w:cs="Times New Roman"/>
          <w:sz w:val="24"/>
          <w:szCs w:val="24"/>
        </w:rPr>
        <w:t xml:space="preserve"> diverse methodologies are</w:t>
      </w:r>
      <w:r w:rsidR="005F3E4C">
        <w:rPr>
          <w:rFonts w:ascii="Times New Roman" w:hAnsi="Times New Roman" w:cs="Times New Roman"/>
          <w:sz w:val="24"/>
          <w:szCs w:val="24"/>
        </w:rPr>
        <w:t xml:space="preserve"> at risk </w:t>
      </w:r>
      <w:r w:rsidR="000221AF">
        <w:rPr>
          <w:rFonts w:ascii="Times New Roman" w:hAnsi="Times New Roman" w:cs="Times New Roman"/>
          <w:sz w:val="24"/>
          <w:szCs w:val="24"/>
        </w:rPr>
        <w:t>of becoming buried within a broader overview of much-discussed issues within the wider fields of direct effect and EU fundamental rights. Strong foundation</w:t>
      </w:r>
      <w:r w:rsidR="000D01AC">
        <w:rPr>
          <w:rFonts w:ascii="Times New Roman" w:hAnsi="Times New Roman" w:cs="Times New Roman"/>
          <w:sz w:val="24"/>
          <w:szCs w:val="24"/>
        </w:rPr>
        <w:t xml:space="preserve">s have, nevertheless, </w:t>
      </w:r>
      <w:r w:rsidR="000221AF">
        <w:rPr>
          <w:rFonts w:ascii="Times New Roman" w:hAnsi="Times New Roman" w:cs="Times New Roman"/>
          <w:sz w:val="24"/>
          <w:szCs w:val="24"/>
        </w:rPr>
        <w:t>been laid for a more explicitly holistic</w:t>
      </w:r>
      <w:r w:rsidR="000D01AC">
        <w:rPr>
          <w:rFonts w:ascii="Times New Roman" w:hAnsi="Times New Roman" w:cs="Times New Roman"/>
          <w:sz w:val="24"/>
          <w:szCs w:val="24"/>
        </w:rPr>
        <w:t xml:space="preserve"> and detailed</w:t>
      </w:r>
      <w:r w:rsidR="000221AF">
        <w:rPr>
          <w:rFonts w:ascii="Times New Roman" w:hAnsi="Times New Roman" w:cs="Times New Roman"/>
          <w:sz w:val="24"/>
          <w:szCs w:val="24"/>
        </w:rPr>
        <w:t xml:space="preserve"> evaluation of the combined and intertwined impact of the </w:t>
      </w:r>
      <w:r>
        <w:rPr>
          <w:rFonts w:ascii="Times New Roman" w:hAnsi="Times New Roman" w:cs="Times New Roman"/>
          <w:sz w:val="24"/>
          <w:szCs w:val="24"/>
        </w:rPr>
        <w:t xml:space="preserve">key areas covered, in particular, the interrelationship between the Union’s constitutional evolution, substantive inequality, deregulation, the growth of private activity in the public realm, the expanding nature of fundamental rights, and the consequent normative cases for and against horizontal effect. </w:t>
      </w:r>
      <w:r w:rsidR="00C47A70">
        <w:rPr>
          <w:rFonts w:ascii="Times New Roman" w:hAnsi="Times New Roman" w:cs="Times New Roman"/>
          <w:sz w:val="24"/>
          <w:szCs w:val="24"/>
        </w:rPr>
        <w:t>From a fundamental rights perspective</w:t>
      </w:r>
      <w:r w:rsidR="00C47A70" w:rsidRPr="00C47A70">
        <w:rPr>
          <w:rFonts w:ascii="Times New Roman" w:hAnsi="Times New Roman" w:cs="Times New Roman"/>
          <w:sz w:val="24"/>
          <w:szCs w:val="24"/>
        </w:rPr>
        <w:t>, i</w:t>
      </w:r>
      <w:r w:rsidR="00B41394" w:rsidRPr="00C47A70">
        <w:rPr>
          <w:rFonts w:ascii="Times New Roman" w:hAnsi="Times New Roman" w:cs="Times New Roman"/>
          <w:sz w:val="24"/>
          <w:szCs w:val="24"/>
        </w:rPr>
        <w:t>t would have been interesting to see the analysis grapple with the paradox that emerges from the closer links between</w:t>
      </w:r>
      <w:r w:rsidR="00C47A70" w:rsidRPr="00C47A70">
        <w:rPr>
          <w:rFonts w:ascii="Times New Roman" w:hAnsi="Times New Roman" w:cs="Times New Roman"/>
          <w:sz w:val="24"/>
          <w:szCs w:val="24"/>
        </w:rPr>
        <w:t xml:space="preserve"> economic, social and collective fundamental rights</w:t>
      </w:r>
      <w:r w:rsidR="00B41394" w:rsidRPr="00C47A70">
        <w:rPr>
          <w:rFonts w:ascii="Times New Roman" w:hAnsi="Times New Roman" w:cs="Times New Roman"/>
          <w:sz w:val="24"/>
          <w:szCs w:val="24"/>
        </w:rPr>
        <w:t xml:space="preserve"> and private actors, on the one hand, and the enforceability </w:t>
      </w:r>
      <w:r w:rsidR="00C47A70" w:rsidRPr="00C47A70">
        <w:rPr>
          <w:rFonts w:ascii="Times New Roman" w:hAnsi="Times New Roman" w:cs="Times New Roman"/>
          <w:sz w:val="24"/>
          <w:szCs w:val="24"/>
        </w:rPr>
        <w:t>issues that surround</w:t>
      </w:r>
      <w:r w:rsidR="00B41394" w:rsidRPr="00C47A70">
        <w:rPr>
          <w:rFonts w:ascii="Times New Roman" w:hAnsi="Times New Roman" w:cs="Times New Roman"/>
          <w:sz w:val="24"/>
          <w:szCs w:val="24"/>
        </w:rPr>
        <w:t xml:space="preserve"> program</w:t>
      </w:r>
      <w:r w:rsidR="00847860">
        <w:rPr>
          <w:rFonts w:ascii="Times New Roman" w:hAnsi="Times New Roman" w:cs="Times New Roman"/>
          <w:sz w:val="24"/>
          <w:szCs w:val="24"/>
        </w:rPr>
        <w:t xml:space="preserve">matic obligations, on the other. </w:t>
      </w:r>
      <w:r w:rsidR="00C26371">
        <w:rPr>
          <w:rFonts w:ascii="Times New Roman" w:hAnsi="Times New Roman" w:cs="Times New Roman"/>
          <w:sz w:val="24"/>
          <w:szCs w:val="24"/>
        </w:rPr>
        <w:t>Walkila’s recognition of increased p</w:t>
      </w:r>
      <w:r w:rsidR="00B41394" w:rsidRPr="00C47A70">
        <w:rPr>
          <w:rFonts w:ascii="Times New Roman" w:hAnsi="Times New Roman" w:cs="Times New Roman"/>
          <w:sz w:val="24"/>
          <w:szCs w:val="24"/>
        </w:rPr>
        <w:t xml:space="preserve">rivate involvement in </w:t>
      </w:r>
      <w:r w:rsidR="00847860">
        <w:rPr>
          <w:rFonts w:ascii="Times New Roman" w:hAnsi="Times New Roman" w:cs="Times New Roman"/>
          <w:sz w:val="24"/>
          <w:szCs w:val="24"/>
        </w:rPr>
        <w:t>traditionally public endeavours</w:t>
      </w:r>
      <w:r w:rsidR="00C26371">
        <w:rPr>
          <w:rFonts w:ascii="Times New Roman" w:hAnsi="Times New Roman" w:cs="Times New Roman"/>
          <w:sz w:val="24"/>
          <w:szCs w:val="24"/>
        </w:rPr>
        <w:t xml:space="preserve"> invited more detailed consideration</w:t>
      </w:r>
      <w:r>
        <w:rPr>
          <w:rFonts w:ascii="Times New Roman" w:hAnsi="Times New Roman" w:cs="Times New Roman"/>
          <w:sz w:val="24"/>
          <w:szCs w:val="24"/>
        </w:rPr>
        <w:t>, in the Union context,</w:t>
      </w:r>
      <w:r w:rsidR="00C26371">
        <w:rPr>
          <w:rFonts w:ascii="Times New Roman" w:hAnsi="Times New Roman" w:cs="Times New Roman"/>
          <w:sz w:val="24"/>
          <w:szCs w:val="24"/>
        </w:rPr>
        <w:t xml:space="preserve"> </w:t>
      </w:r>
      <w:r w:rsidR="00847860">
        <w:rPr>
          <w:rFonts w:ascii="Times New Roman" w:hAnsi="Times New Roman" w:cs="Times New Roman"/>
          <w:sz w:val="24"/>
          <w:szCs w:val="24"/>
        </w:rPr>
        <w:t>beyond the established collective regulator</w:t>
      </w:r>
      <w:r w:rsidR="00C26371">
        <w:rPr>
          <w:rFonts w:ascii="Times New Roman" w:hAnsi="Times New Roman" w:cs="Times New Roman"/>
          <w:sz w:val="24"/>
          <w:szCs w:val="24"/>
        </w:rPr>
        <w:t xml:space="preserve"> case-law</w:t>
      </w:r>
      <w:r w:rsidR="009C6591">
        <w:rPr>
          <w:rFonts w:ascii="Times New Roman" w:hAnsi="Times New Roman" w:cs="Times New Roman"/>
          <w:sz w:val="24"/>
          <w:szCs w:val="24"/>
        </w:rPr>
        <w:t xml:space="preserve">, while examination of imbalances of power beyond the employer/employee relationship, given the breadth of the project, would have been welcome, even if both provide strong case-studies. </w:t>
      </w:r>
      <w:r w:rsidR="00C47A70">
        <w:rPr>
          <w:rFonts w:ascii="Times New Roman" w:hAnsi="Times New Roman" w:cs="Times New Roman"/>
          <w:sz w:val="24"/>
          <w:szCs w:val="24"/>
        </w:rPr>
        <w:t>From a Union constitutional perspective, a</w:t>
      </w:r>
      <w:r w:rsidR="000221AF">
        <w:rPr>
          <w:rFonts w:ascii="Times New Roman" w:hAnsi="Times New Roman" w:cs="Times New Roman"/>
          <w:sz w:val="24"/>
          <w:szCs w:val="24"/>
        </w:rPr>
        <w:t>s flagged by Walkila, of particular interest is the centrality to the integration project of the free movement provisions, in combination with the principles of non-discrimination and equality.</w:t>
      </w:r>
      <w:r w:rsidR="00177B9E">
        <w:rPr>
          <w:rFonts w:ascii="Times New Roman" w:hAnsi="Times New Roman" w:cs="Times New Roman"/>
          <w:sz w:val="24"/>
          <w:szCs w:val="24"/>
        </w:rPr>
        <w:t xml:space="preserve"> </w:t>
      </w:r>
      <w:r w:rsidR="00177B9E">
        <w:rPr>
          <w:rFonts w:ascii="Times New Roman" w:hAnsi="Times New Roman" w:cs="Times New Roman"/>
          <w:sz w:val="24"/>
          <w:szCs w:val="24"/>
        </w:rPr>
        <w:lastRenderedPageBreak/>
        <w:t>Though, by contrast, the specific history of these norms means that caution is required in using them to draw more general conclusions</w:t>
      </w:r>
      <w:r w:rsidR="007F4ECD">
        <w:rPr>
          <w:rFonts w:ascii="Times New Roman" w:hAnsi="Times New Roman" w:cs="Times New Roman"/>
          <w:sz w:val="24"/>
          <w:szCs w:val="24"/>
        </w:rPr>
        <w:t>,</w:t>
      </w:r>
      <w:r w:rsidR="00FA2102">
        <w:rPr>
          <w:rFonts w:ascii="Times New Roman" w:hAnsi="Times New Roman" w:cs="Times New Roman"/>
          <w:sz w:val="24"/>
          <w:szCs w:val="24"/>
        </w:rPr>
        <w:t xml:space="preserve"> perhaps</w:t>
      </w:r>
      <w:r w:rsidR="00C47A70">
        <w:rPr>
          <w:rFonts w:ascii="Times New Roman" w:hAnsi="Times New Roman" w:cs="Times New Roman"/>
          <w:sz w:val="24"/>
          <w:szCs w:val="24"/>
        </w:rPr>
        <w:t xml:space="preserve"> specifically</w:t>
      </w:r>
      <w:r w:rsidR="007F4ECD">
        <w:rPr>
          <w:rFonts w:ascii="Times New Roman" w:hAnsi="Times New Roman" w:cs="Times New Roman"/>
          <w:sz w:val="24"/>
          <w:szCs w:val="24"/>
        </w:rPr>
        <w:t>,</w:t>
      </w:r>
      <w:r w:rsidR="00177B9E">
        <w:rPr>
          <w:rFonts w:ascii="Times New Roman" w:hAnsi="Times New Roman" w:cs="Times New Roman"/>
          <w:sz w:val="24"/>
          <w:szCs w:val="24"/>
        </w:rPr>
        <w:t xml:space="preserve"> in relation to Walkila’s suggestion that Article 6 TEU can attain similar results for other fundamental rights that </w:t>
      </w:r>
      <w:r w:rsidR="00177B9E">
        <w:rPr>
          <w:rFonts w:ascii="Times New Roman" w:hAnsi="Times New Roman" w:cs="Times New Roman"/>
          <w:i/>
          <w:sz w:val="24"/>
          <w:szCs w:val="24"/>
        </w:rPr>
        <w:t>Mangold</w:t>
      </w:r>
      <w:r w:rsidR="00177B9E">
        <w:rPr>
          <w:rFonts w:ascii="Times New Roman" w:hAnsi="Times New Roman" w:cs="Times New Roman"/>
          <w:sz w:val="24"/>
          <w:szCs w:val="24"/>
        </w:rPr>
        <w:t xml:space="preserve"> and the general principles achieved for the principle of non-discrimination.</w:t>
      </w:r>
      <w:r w:rsidR="00D95B35">
        <w:rPr>
          <w:rFonts w:ascii="Times New Roman" w:hAnsi="Times New Roman" w:cs="Times New Roman"/>
          <w:sz w:val="24"/>
          <w:szCs w:val="24"/>
        </w:rPr>
        <w:t xml:space="preserve"> </w:t>
      </w:r>
    </w:p>
    <w:p w:rsidR="00847860" w:rsidRDefault="00847860" w:rsidP="000221AF">
      <w:pPr>
        <w:pStyle w:val="NoSpacing"/>
        <w:jc w:val="both"/>
        <w:rPr>
          <w:rFonts w:ascii="Times New Roman" w:hAnsi="Times New Roman" w:cs="Times New Roman"/>
          <w:sz w:val="24"/>
          <w:szCs w:val="24"/>
        </w:rPr>
      </w:pPr>
    </w:p>
    <w:p w:rsidR="00644917" w:rsidRDefault="000221AF" w:rsidP="000221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One potentially fruitful avenue for further exploration concerns the influence of conferral on the relationship between EU law and fundamental rights, since it often bridges the cross-cutting themes with </w:t>
      </w:r>
      <w:r w:rsidR="007F4ECD">
        <w:rPr>
          <w:rFonts w:ascii="Times New Roman" w:hAnsi="Times New Roman" w:cs="Times New Roman"/>
          <w:sz w:val="24"/>
          <w:szCs w:val="24"/>
        </w:rPr>
        <w:t>which Walkila usefully engages.</w:t>
      </w:r>
      <w:r w:rsidR="00FA2102">
        <w:rPr>
          <w:rFonts w:ascii="Times New Roman" w:hAnsi="Times New Roman" w:cs="Times New Roman"/>
          <w:sz w:val="24"/>
          <w:szCs w:val="24"/>
        </w:rPr>
        <w:t xml:space="preserve"> In particula</w:t>
      </w:r>
      <w:r w:rsidR="00292CCC">
        <w:rPr>
          <w:rFonts w:ascii="Times New Roman" w:hAnsi="Times New Roman" w:cs="Times New Roman"/>
          <w:sz w:val="24"/>
          <w:szCs w:val="24"/>
        </w:rPr>
        <w:t>r, in the context of primary law, an examination o</w:t>
      </w:r>
      <w:r w:rsidR="0017241D">
        <w:rPr>
          <w:rFonts w:ascii="Times New Roman" w:hAnsi="Times New Roman" w:cs="Times New Roman"/>
          <w:sz w:val="24"/>
          <w:szCs w:val="24"/>
        </w:rPr>
        <w:t>f the extent to which the policy area of the legislative</w:t>
      </w:r>
      <w:r w:rsidR="009C6591">
        <w:rPr>
          <w:rFonts w:ascii="Times New Roman" w:hAnsi="Times New Roman" w:cs="Times New Roman"/>
          <w:sz w:val="24"/>
          <w:szCs w:val="24"/>
        </w:rPr>
        <w:t xml:space="preserve"> ‘hook’ to EU fundamental rights jurisdiction</w:t>
      </w:r>
      <w:r w:rsidR="00292CCC">
        <w:rPr>
          <w:rFonts w:ascii="Times New Roman" w:hAnsi="Times New Roman" w:cs="Times New Roman"/>
          <w:sz w:val="24"/>
          <w:szCs w:val="24"/>
        </w:rPr>
        <w:t xml:space="preserve"> influences fundamental rights approaches would </w:t>
      </w:r>
      <w:r w:rsidR="00C26371">
        <w:rPr>
          <w:rFonts w:ascii="Times New Roman" w:hAnsi="Times New Roman" w:cs="Times New Roman"/>
          <w:sz w:val="24"/>
          <w:szCs w:val="24"/>
        </w:rPr>
        <w:t xml:space="preserve">have </w:t>
      </w:r>
      <w:r w:rsidR="00292CCC">
        <w:rPr>
          <w:rFonts w:ascii="Times New Roman" w:hAnsi="Times New Roman" w:cs="Times New Roman"/>
          <w:sz w:val="24"/>
          <w:szCs w:val="24"/>
        </w:rPr>
        <w:t>enhance</w:t>
      </w:r>
      <w:r w:rsidR="00C26371">
        <w:rPr>
          <w:rFonts w:ascii="Times New Roman" w:hAnsi="Times New Roman" w:cs="Times New Roman"/>
          <w:sz w:val="24"/>
          <w:szCs w:val="24"/>
        </w:rPr>
        <w:t>d</w:t>
      </w:r>
      <w:r w:rsidR="00292CCC">
        <w:rPr>
          <w:rFonts w:ascii="Times New Roman" w:hAnsi="Times New Roman" w:cs="Times New Roman"/>
          <w:sz w:val="24"/>
          <w:szCs w:val="24"/>
        </w:rPr>
        <w:t xml:space="preserve"> </w:t>
      </w:r>
      <w:r w:rsidR="003A4FE2">
        <w:rPr>
          <w:rFonts w:ascii="Times New Roman" w:hAnsi="Times New Roman" w:cs="Times New Roman"/>
          <w:sz w:val="24"/>
          <w:szCs w:val="24"/>
        </w:rPr>
        <w:t xml:space="preserve">the narrower contrasts </w:t>
      </w:r>
      <w:r w:rsidR="00292CCC">
        <w:rPr>
          <w:rFonts w:ascii="Times New Roman" w:hAnsi="Times New Roman" w:cs="Times New Roman"/>
          <w:sz w:val="24"/>
          <w:szCs w:val="24"/>
        </w:rPr>
        <w:t>Walkila</w:t>
      </w:r>
      <w:r w:rsidR="003A4FE2">
        <w:rPr>
          <w:rFonts w:ascii="Times New Roman" w:hAnsi="Times New Roman" w:cs="Times New Roman"/>
          <w:sz w:val="24"/>
          <w:szCs w:val="24"/>
        </w:rPr>
        <w:t xml:space="preserve"> draws between </w:t>
      </w:r>
      <w:r w:rsidR="00292CCC">
        <w:rPr>
          <w:rFonts w:ascii="Times New Roman" w:hAnsi="Times New Roman" w:cs="Times New Roman"/>
          <w:sz w:val="24"/>
          <w:szCs w:val="24"/>
        </w:rPr>
        <w:t xml:space="preserve">the </w:t>
      </w:r>
      <w:r w:rsidR="00292CCC">
        <w:rPr>
          <w:rFonts w:ascii="Times New Roman" w:hAnsi="Times New Roman" w:cs="Times New Roman"/>
          <w:i/>
          <w:sz w:val="24"/>
          <w:szCs w:val="24"/>
        </w:rPr>
        <w:t>Viking Line</w:t>
      </w:r>
      <w:r w:rsidR="00292CCC">
        <w:rPr>
          <w:rFonts w:ascii="Times New Roman" w:hAnsi="Times New Roman" w:cs="Times New Roman"/>
          <w:sz w:val="24"/>
          <w:szCs w:val="24"/>
        </w:rPr>
        <w:t xml:space="preserve"> and </w:t>
      </w:r>
      <w:r w:rsidR="00292CCC">
        <w:rPr>
          <w:rFonts w:ascii="Times New Roman" w:hAnsi="Times New Roman" w:cs="Times New Roman"/>
          <w:i/>
          <w:sz w:val="24"/>
          <w:szCs w:val="24"/>
        </w:rPr>
        <w:t>Mangold</w:t>
      </w:r>
      <w:r w:rsidR="00292CCC">
        <w:rPr>
          <w:rFonts w:ascii="Times New Roman" w:hAnsi="Times New Roman" w:cs="Times New Roman"/>
          <w:sz w:val="24"/>
          <w:szCs w:val="24"/>
        </w:rPr>
        <w:t xml:space="preserve"> lines of case-law. This invites related </w:t>
      </w:r>
      <w:r w:rsidR="004A7835">
        <w:rPr>
          <w:rFonts w:ascii="Times New Roman" w:hAnsi="Times New Roman" w:cs="Times New Roman"/>
          <w:sz w:val="24"/>
          <w:szCs w:val="24"/>
        </w:rPr>
        <w:t>examination</w:t>
      </w:r>
      <w:r w:rsidR="00292CCC">
        <w:rPr>
          <w:rFonts w:ascii="Times New Roman" w:hAnsi="Times New Roman" w:cs="Times New Roman"/>
          <w:sz w:val="24"/>
          <w:szCs w:val="24"/>
        </w:rPr>
        <w:t xml:space="preserve"> of the relevance of whether fundamental rights operate as a shield or sword</w:t>
      </w:r>
      <w:r w:rsidR="009C6591">
        <w:rPr>
          <w:rFonts w:ascii="Times New Roman" w:hAnsi="Times New Roman" w:cs="Times New Roman"/>
          <w:sz w:val="24"/>
          <w:szCs w:val="24"/>
        </w:rPr>
        <w:t>, or run congruent to or clash with</w:t>
      </w:r>
      <w:r w:rsidR="00292CCC">
        <w:rPr>
          <w:rFonts w:ascii="Times New Roman" w:hAnsi="Times New Roman" w:cs="Times New Roman"/>
          <w:sz w:val="24"/>
          <w:szCs w:val="24"/>
        </w:rPr>
        <w:t>, provisions of EU law.</w:t>
      </w:r>
      <w:r w:rsidR="004A7835">
        <w:rPr>
          <w:rFonts w:ascii="Times New Roman" w:hAnsi="Times New Roman" w:cs="Times New Roman"/>
          <w:sz w:val="24"/>
          <w:szCs w:val="24"/>
        </w:rPr>
        <w:t xml:space="preserve"> </w:t>
      </w:r>
      <w:r w:rsidR="009C6591">
        <w:rPr>
          <w:rFonts w:ascii="Times New Roman" w:hAnsi="Times New Roman" w:cs="Times New Roman"/>
          <w:sz w:val="24"/>
          <w:szCs w:val="24"/>
        </w:rPr>
        <w:t>Such</w:t>
      </w:r>
      <w:r w:rsidR="004A7835">
        <w:rPr>
          <w:rFonts w:ascii="Times New Roman" w:hAnsi="Times New Roman" w:cs="Times New Roman"/>
          <w:sz w:val="24"/>
          <w:szCs w:val="24"/>
        </w:rPr>
        <w:t xml:space="preserve"> considerations </w:t>
      </w:r>
      <w:r w:rsidR="00B300FE">
        <w:rPr>
          <w:rFonts w:ascii="Times New Roman" w:hAnsi="Times New Roman" w:cs="Times New Roman"/>
          <w:sz w:val="24"/>
          <w:szCs w:val="24"/>
        </w:rPr>
        <w:t>would</w:t>
      </w:r>
      <w:r w:rsidR="00292CCC">
        <w:rPr>
          <w:rFonts w:ascii="Times New Roman" w:hAnsi="Times New Roman" w:cs="Times New Roman"/>
          <w:sz w:val="24"/>
          <w:szCs w:val="24"/>
        </w:rPr>
        <w:t xml:space="preserve"> add nuance to Walkila’s debatable argument that the </w:t>
      </w:r>
      <w:r w:rsidR="007F4ECD">
        <w:rPr>
          <w:rFonts w:ascii="Times New Roman" w:hAnsi="Times New Roman" w:cs="Times New Roman"/>
          <w:sz w:val="24"/>
          <w:szCs w:val="24"/>
        </w:rPr>
        <w:t xml:space="preserve">expanding horizontality of the free movement provisions is to be supported in light of their ‘real and close connection’ </w:t>
      </w:r>
      <w:r w:rsidR="00292CCC">
        <w:rPr>
          <w:rFonts w:ascii="Times New Roman" w:hAnsi="Times New Roman" w:cs="Times New Roman"/>
          <w:sz w:val="24"/>
          <w:szCs w:val="24"/>
        </w:rPr>
        <w:t>to fundamental rights</w:t>
      </w:r>
      <w:r w:rsidR="004A7835">
        <w:rPr>
          <w:rFonts w:ascii="Times New Roman" w:hAnsi="Times New Roman" w:cs="Times New Roman"/>
          <w:sz w:val="24"/>
          <w:szCs w:val="24"/>
        </w:rPr>
        <w:t xml:space="preserve">. </w:t>
      </w:r>
      <w:r w:rsidR="00644917">
        <w:rPr>
          <w:rFonts w:ascii="Times New Roman" w:hAnsi="Times New Roman" w:cs="Times New Roman"/>
          <w:sz w:val="24"/>
          <w:szCs w:val="24"/>
        </w:rPr>
        <w:t>Conferral</w:t>
      </w:r>
      <w:r w:rsidR="004B4188">
        <w:rPr>
          <w:rFonts w:ascii="Times New Roman" w:hAnsi="Times New Roman" w:cs="Times New Roman"/>
          <w:sz w:val="24"/>
          <w:szCs w:val="24"/>
        </w:rPr>
        <w:t xml:space="preserve"> would also </w:t>
      </w:r>
      <w:r w:rsidR="003A4FE2">
        <w:rPr>
          <w:rFonts w:ascii="Times New Roman" w:hAnsi="Times New Roman" w:cs="Times New Roman"/>
          <w:sz w:val="24"/>
          <w:szCs w:val="24"/>
        </w:rPr>
        <w:t>provide a potential</w:t>
      </w:r>
      <w:r w:rsidR="00B300FE">
        <w:rPr>
          <w:rFonts w:ascii="Times New Roman" w:hAnsi="Times New Roman" w:cs="Times New Roman"/>
          <w:sz w:val="24"/>
          <w:szCs w:val="24"/>
        </w:rPr>
        <w:t xml:space="preserve"> historical, constitutional explanation for Walkila’s legitimate criticism </w:t>
      </w:r>
      <w:r>
        <w:rPr>
          <w:rFonts w:ascii="Times New Roman" w:hAnsi="Times New Roman" w:cs="Times New Roman"/>
          <w:sz w:val="24"/>
          <w:szCs w:val="24"/>
        </w:rPr>
        <w:t>of the Court’s tendency to examine fundamental r</w:t>
      </w:r>
      <w:r w:rsidR="00B300FE">
        <w:rPr>
          <w:rFonts w:ascii="Times New Roman" w:hAnsi="Times New Roman" w:cs="Times New Roman"/>
          <w:sz w:val="24"/>
          <w:szCs w:val="24"/>
        </w:rPr>
        <w:t xml:space="preserve">ights together with the </w:t>
      </w:r>
      <w:r>
        <w:rPr>
          <w:rFonts w:ascii="Times New Roman" w:hAnsi="Times New Roman" w:cs="Times New Roman"/>
          <w:sz w:val="24"/>
          <w:szCs w:val="24"/>
        </w:rPr>
        <w:t>EU norm</w:t>
      </w:r>
      <w:r w:rsidR="00B300FE">
        <w:rPr>
          <w:rFonts w:ascii="Times New Roman" w:hAnsi="Times New Roman" w:cs="Times New Roman"/>
          <w:sz w:val="24"/>
          <w:szCs w:val="24"/>
        </w:rPr>
        <w:t xml:space="preserve"> to which they are pegged</w:t>
      </w:r>
      <w:r w:rsidR="004B4188">
        <w:rPr>
          <w:rFonts w:ascii="Times New Roman" w:hAnsi="Times New Roman" w:cs="Times New Roman"/>
          <w:sz w:val="24"/>
          <w:szCs w:val="24"/>
        </w:rPr>
        <w:t>, and consequently enrich her argument that the distinction between direct and indirect effect is often ‘merely procedural’</w:t>
      </w:r>
      <w:r w:rsidR="009C6591">
        <w:rPr>
          <w:rFonts w:ascii="Times New Roman" w:hAnsi="Times New Roman" w:cs="Times New Roman"/>
          <w:sz w:val="24"/>
          <w:szCs w:val="24"/>
        </w:rPr>
        <w:t>.</w:t>
      </w:r>
      <w:r w:rsidR="00B300FE">
        <w:rPr>
          <w:rFonts w:ascii="Times New Roman" w:hAnsi="Times New Roman" w:cs="Times New Roman"/>
          <w:sz w:val="24"/>
          <w:szCs w:val="24"/>
        </w:rPr>
        <w:t xml:space="preserve"> </w:t>
      </w:r>
      <w:r>
        <w:rPr>
          <w:rFonts w:ascii="Times New Roman" w:hAnsi="Times New Roman" w:cs="Times New Roman"/>
          <w:sz w:val="24"/>
          <w:szCs w:val="24"/>
        </w:rPr>
        <w:t>Reich’s identification of the normative imbalance that arises when free movement is able to trigger a dispute, through its (vertical or horizontal) direct effect, where this is not generally matched by directly effective reciprocal rights contained in the Treaty derogations, demonstrates the pertinence of thes</w:t>
      </w:r>
      <w:r w:rsidR="003A4FE2">
        <w:rPr>
          <w:rFonts w:ascii="Times New Roman" w:hAnsi="Times New Roman" w:cs="Times New Roman"/>
          <w:sz w:val="24"/>
          <w:szCs w:val="24"/>
        </w:rPr>
        <w:t xml:space="preserve">e issues to Walkila’s project. </w:t>
      </w:r>
    </w:p>
    <w:p w:rsidR="00644917" w:rsidRDefault="00644917" w:rsidP="000221AF">
      <w:pPr>
        <w:pStyle w:val="NoSpacing"/>
        <w:jc w:val="both"/>
        <w:rPr>
          <w:rFonts w:ascii="Times New Roman" w:hAnsi="Times New Roman" w:cs="Times New Roman"/>
          <w:sz w:val="24"/>
          <w:szCs w:val="24"/>
        </w:rPr>
      </w:pPr>
    </w:p>
    <w:p w:rsidR="00600574" w:rsidRDefault="00BA7052" w:rsidP="000221AF">
      <w:pPr>
        <w:pStyle w:val="NoSpacing"/>
        <w:jc w:val="both"/>
        <w:rPr>
          <w:rFonts w:ascii="Times New Roman" w:hAnsi="Times New Roman" w:cs="Times New Roman"/>
          <w:sz w:val="24"/>
          <w:szCs w:val="24"/>
        </w:rPr>
      </w:pPr>
      <w:r>
        <w:rPr>
          <w:rFonts w:ascii="Times New Roman" w:hAnsi="Times New Roman" w:cs="Times New Roman"/>
          <w:sz w:val="24"/>
          <w:szCs w:val="24"/>
        </w:rPr>
        <w:t>Conferral also offers</w:t>
      </w:r>
      <w:r w:rsidR="000221AF">
        <w:rPr>
          <w:rFonts w:ascii="Times New Roman" w:hAnsi="Times New Roman" w:cs="Times New Roman"/>
          <w:sz w:val="24"/>
          <w:szCs w:val="24"/>
        </w:rPr>
        <w:t xml:space="preserve"> a</w:t>
      </w:r>
      <w:r w:rsidR="003A4FE2">
        <w:rPr>
          <w:rFonts w:ascii="Times New Roman" w:hAnsi="Times New Roman" w:cs="Times New Roman"/>
          <w:sz w:val="24"/>
          <w:szCs w:val="24"/>
        </w:rPr>
        <w:t xml:space="preserve"> new perspective</w:t>
      </w:r>
      <w:r>
        <w:rPr>
          <w:rFonts w:ascii="Times New Roman" w:hAnsi="Times New Roman" w:cs="Times New Roman"/>
          <w:sz w:val="24"/>
          <w:szCs w:val="24"/>
        </w:rPr>
        <w:t xml:space="preserve"> on</w:t>
      </w:r>
      <w:r w:rsidR="000221AF">
        <w:rPr>
          <w:rFonts w:ascii="Times New Roman" w:hAnsi="Times New Roman" w:cs="Times New Roman"/>
          <w:sz w:val="24"/>
          <w:szCs w:val="24"/>
        </w:rPr>
        <w:t xml:space="preserve"> Walkila’s support for a ‘sufficient connection’ to Union law test to trigger EU fundamental rights</w:t>
      </w:r>
      <w:r>
        <w:rPr>
          <w:rFonts w:ascii="Times New Roman" w:hAnsi="Times New Roman" w:cs="Times New Roman"/>
          <w:sz w:val="24"/>
          <w:szCs w:val="24"/>
        </w:rPr>
        <w:t xml:space="preserve">, if, indeed, she views it as going beyond the status quo. Contrasting cases such as </w:t>
      </w:r>
      <w:r>
        <w:rPr>
          <w:rFonts w:ascii="Times New Roman" w:hAnsi="Times New Roman" w:cs="Times New Roman"/>
          <w:i/>
          <w:sz w:val="24"/>
          <w:szCs w:val="24"/>
        </w:rPr>
        <w:t xml:space="preserve">Carpenter, Bluhme </w:t>
      </w:r>
      <w:r>
        <w:rPr>
          <w:rFonts w:ascii="Times New Roman" w:hAnsi="Times New Roman" w:cs="Times New Roman"/>
          <w:sz w:val="24"/>
          <w:szCs w:val="24"/>
        </w:rPr>
        <w:t xml:space="preserve">and </w:t>
      </w:r>
      <w:r>
        <w:rPr>
          <w:rFonts w:ascii="Times New Roman" w:hAnsi="Times New Roman" w:cs="Times New Roman"/>
          <w:i/>
          <w:sz w:val="24"/>
          <w:szCs w:val="24"/>
        </w:rPr>
        <w:t xml:space="preserve">Ruiz Zambramo, </w:t>
      </w:r>
      <w:r>
        <w:rPr>
          <w:rFonts w:ascii="Times New Roman" w:hAnsi="Times New Roman" w:cs="Times New Roman"/>
          <w:sz w:val="24"/>
          <w:szCs w:val="24"/>
        </w:rPr>
        <w:t xml:space="preserve">on the one hand, with </w:t>
      </w:r>
      <w:r>
        <w:rPr>
          <w:rFonts w:ascii="Times New Roman" w:hAnsi="Times New Roman" w:cs="Times New Roman"/>
          <w:i/>
          <w:sz w:val="24"/>
          <w:szCs w:val="24"/>
        </w:rPr>
        <w:t xml:space="preserve">Dereci, Mickelsson and </w:t>
      </w:r>
      <w:r w:rsidRPr="009C6591">
        <w:rPr>
          <w:rFonts w:ascii="Times New Roman" w:hAnsi="Times New Roman" w:cs="Times New Roman"/>
          <w:i/>
          <w:sz w:val="24"/>
          <w:szCs w:val="24"/>
        </w:rPr>
        <w:t xml:space="preserve">Roos </w:t>
      </w:r>
      <w:r>
        <w:rPr>
          <w:rFonts w:ascii="Times New Roman" w:hAnsi="Times New Roman" w:cs="Times New Roman"/>
          <w:sz w:val="24"/>
          <w:szCs w:val="24"/>
        </w:rPr>
        <w:t xml:space="preserve">or </w:t>
      </w:r>
      <w:r>
        <w:rPr>
          <w:rFonts w:ascii="Times New Roman" w:hAnsi="Times New Roman" w:cs="Times New Roman"/>
          <w:i/>
          <w:sz w:val="24"/>
          <w:szCs w:val="24"/>
        </w:rPr>
        <w:t xml:space="preserve">Garcia Avello </w:t>
      </w:r>
      <w:r>
        <w:rPr>
          <w:rFonts w:ascii="Times New Roman" w:hAnsi="Times New Roman" w:cs="Times New Roman"/>
          <w:sz w:val="24"/>
          <w:szCs w:val="24"/>
        </w:rPr>
        <w:t xml:space="preserve">on the other, </w:t>
      </w:r>
      <w:r w:rsidRPr="00BA7052">
        <w:rPr>
          <w:rFonts w:ascii="Times New Roman" w:hAnsi="Times New Roman" w:cs="Times New Roman"/>
          <w:sz w:val="24"/>
          <w:szCs w:val="24"/>
        </w:rPr>
        <w:t>Nic</w:t>
      </w:r>
      <w:r>
        <w:rPr>
          <w:rFonts w:ascii="Times New Roman" w:hAnsi="Times New Roman" w:cs="Times New Roman"/>
          <w:sz w:val="24"/>
          <w:szCs w:val="24"/>
        </w:rPr>
        <w:t xml:space="preserve"> Shuibhne </w:t>
      </w:r>
      <w:r w:rsidR="000221AF">
        <w:rPr>
          <w:rFonts w:ascii="Times New Roman" w:hAnsi="Times New Roman" w:cs="Times New Roman"/>
          <w:sz w:val="24"/>
          <w:szCs w:val="24"/>
        </w:rPr>
        <w:t xml:space="preserve">has been rightly critical of the Court’s inconsistent approach to determining when and how primary free movement provisions are </w:t>
      </w:r>
      <w:r w:rsidR="000221AF">
        <w:rPr>
          <w:rFonts w:ascii="Times New Roman" w:hAnsi="Times New Roman" w:cs="Times New Roman"/>
          <w:i/>
          <w:sz w:val="24"/>
          <w:szCs w:val="24"/>
        </w:rPr>
        <w:t>prima facie</w:t>
      </w:r>
      <w:r w:rsidR="000221AF">
        <w:rPr>
          <w:rFonts w:ascii="Times New Roman" w:hAnsi="Times New Roman" w:cs="Times New Roman"/>
          <w:sz w:val="24"/>
          <w:szCs w:val="24"/>
        </w:rPr>
        <w:t xml:space="preserve"> breached</w:t>
      </w:r>
      <w:r>
        <w:rPr>
          <w:rFonts w:ascii="Times New Roman" w:hAnsi="Times New Roman" w:cs="Times New Roman"/>
          <w:sz w:val="24"/>
          <w:szCs w:val="24"/>
        </w:rPr>
        <w:t>.</w:t>
      </w:r>
      <w:r w:rsidR="000221AF">
        <w:rPr>
          <w:rFonts w:ascii="Times New Roman" w:hAnsi="Times New Roman" w:cs="Times New Roman"/>
          <w:sz w:val="24"/>
          <w:szCs w:val="24"/>
        </w:rPr>
        <w:t xml:space="preserve"> </w:t>
      </w:r>
      <w:r w:rsidR="00600574">
        <w:rPr>
          <w:rFonts w:ascii="Times New Roman" w:hAnsi="Times New Roman" w:cs="Times New Roman"/>
          <w:sz w:val="24"/>
          <w:szCs w:val="24"/>
        </w:rPr>
        <w:t xml:space="preserve">This also </w:t>
      </w:r>
      <w:r w:rsidR="007C5DC2">
        <w:rPr>
          <w:rFonts w:ascii="Times New Roman" w:hAnsi="Times New Roman" w:cs="Times New Roman"/>
          <w:sz w:val="24"/>
          <w:szCs w:val="24"/>
        </w:rPr>
        <w:t>introduces questions as to whether the ‘sufficient connection’ test would be as effective as Walkila suggests in addressing concerns that increased horizontality w</w:t>
      </w:r>
      <w:r w:rsidR="009969C8">
        <w:rPr>
          <w:rFonts w:ascii="Times New Roman" w:hAnsi="Times New Roman" w:cs="Times New Roman"/>
          <w:sz w:val="24"/>
          <w:szCs w:val="24"/>
        </w:rPr>
        <w:t>ould worsen</w:t>
      </w:r>
      <w:r w:rsidR="007C5DC2">
        <w:rPr>
          <w:rFonts w:ascii="Times New Roman" w:hAnsi="Times New Roman" w:cs="Times New Roman"/>
          <w:sz w:val="24"/>
          <w:szCs w:val="24"/>
        </w:rPr>
        <w:t xml:space="preserve"> the perceived growing intrusion of the CJEU into national legal orders.</w:t>
      </w:r>
      <w:r w:rsidR="00600574">
        <w:rPr>
          <w:rFonts w:ascii="Times New Roman" w:hAnsi="Times New Roman" w:cs="Times New Roman"/>
          <w:sz w:val="24"/>
          <w:szCs w:val="24"/>
        </w:rPr>
        <w:t xml:space="preserve"> </w:t>
      </w:r>
    </w:p>
    <w:p w:rsidR="00600574" w:rsidRDefault="00600574" w:rsidP="000221AF">
      <w:pPr>
        <w:pStyle w:val="NoSpacing"/>
        <w:jc w:val="both"/>
        <w:rPr>
          <w:rFonts w:ascii="Times New Roman" w:hAnsi="Times New Roman" w:cs="Times New Roman"/>
          <w:sz w:val="24"/>
          <w:szCs w:val="24"/>
        </w:rPr>
      </w:pPr>
    </w:p>
    <w:p w:rsidR="000221AF" w:rsidRDefault="000D01AC" w:rsidP="000221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Though highlighting a </w:t>
      </w:r>
      <w:r w:rsidR="007C5DC2">
        <w:rPr>
          <w:rFonts w:ascii="Times New Roman" w:hAnsi="Times New Roman" w:cs="Times New Roman"/>
          <w:sz w:val="24"/>
          <w:szCs w:val="24"/>
        </w:rPr>
        <w:t>variety of interesting issues</w:t>
      </w:r>
      <w:r>
        <w:rPr>
          <w:rFonts w:ascii="Times New Roman" w:hAnsi="Times New Roman" w:cs="Times New Roman"/>
          <w:sz w:val="24"/>
          <w:szCs w:val="24"/>
        </w:rPr>
        <w:t xml:space="preserve">, </w:t>
      </w:r>
      <w:r w:rsidR="000221AF">
        <w:rPr>
          <w:rFonts w:ascii="Times New Roman" w:hAnsi="Times New Roman" w:cs="Times New Roman"/>
          <w:sz w:val="24"/>
          <w:szCs w:val="24"/>
        </w:rPr>
        <w:t>Walkila’</w:t>
      </w:r>
      <w:r w:rsidR="0017241D">
        <w:rPr>
          <w:rFonts w:ascii="Times New Roman" w:hAnsi="Times New Roman" w:cs="Times New Roman"/>
          <w:sz w:val="24"/>
          <w:szCs w:val="24"/>
        </w:rPr>
        <w:t>s broad analysis</w:t>
      </w:r>
      <w:r w:rsidR="005B606E">
        <w:rPr>
          <w:rFonts w:ascii="Times New Roman" w:hAnsi="Times New Roman" w:cs="Times New Roman"/>
          <w:sz w:val="24"/>
          <w:szCs w:val="24"/>
        </w:rPr>
        <w:t xml:space="preserve"> can also make</w:t>
      </w:r>
      <w:r w:rsidR="000221AF">
        <w:rPr>
          <w:rFonts w:ascii="Times New Roman" w:hAnsi="Times New Roman" w:cs="Times New Roman"/>
          <w:sz w:val="24"/>
          <w:szCs w:val="24"/>
        </w:rPr>
        <w:t xml:space="preserve"> her own</w:t>
      </w:r>
      <w:r>
        <w:rPr>
          <w:rFonts w:ascii="Times New Roman" w:hAnsi="Times New Roman" w:cs="Times New Roman"/>
          <w:sz w:val="24"/>
          <w:szCs w:val="24"/>
        </w:rPr>
        <w:t xml:space="preserve"> views </w:t>
      </w:r>
      <w:r w:rsidR="005B606E">
        <w:rPr>
          <w:rFonts w:ascii="Times New Roman" w:hAnsi="Times New Roman" w:cs="Times New Roman"/>
          <w:sz w:val="24"/>
          <w:szCs w:val="24"/>
        </w:rPr>
        <w:t>difficult to decipher</w:t>
      </w:r>
      <w:r w:rsidR="007C5DC2">
        <w:rPr>
          <w:rFonts w:ascii="Times New Roman" w:hAnsi="Times New Roman" w:cs="Times New Roman"/>
          <w:sz w:val="24"/>
          <w:szCs w:val="24"/>
        </w:rPr>
        <w:t>, even if a nuanced approach is advocated</w:t>
      </w:r>
      <w:r w:rsidR="005B606E">
        <w:rPr>
          <w:rFonts w:ascii="Times New Roman" w:hAnsi="Times New Roman" w:cs="Times New Roman"/>
          <w:sz w:val="24"/>
          <w:szCs w:val="24"/>
        </w:rPr>
        <w:t>.</w:t>
      </w:r>
      <w:r w:rsidR="00D42776">
        <w:rPr>
          <w:rFonts w:ascii="Times New Roman" w:hAnsi="Times New Roman" w:cs="Times New Roman"/>
          <w:sz w:val="24"/>
          <w:szCs w:val="24"/>
        </w:rPr>
        <w:t xml:space="preserve"> Her position</w:t>
      </w:r>
      <w:r w:rsidR="005B606E">
        <w:rPr>
          <w:rFonts w:ascii="Times New Roman" w:hAnsi="Times New Roman" w:cs="Times New Roman"/>
          <w:sz w:val="24"/>
          <w:szCs w:val="24"/>
        </w:rPr>
        <w:t xml:space="preserve"> on the contemporary pertinence or otherwise of the public/private dichotomy, and the normative case for or against it, can be hard to determine, as well as her stance on horizontality generally, and her preferred approach in the Union context, specifically. This is exacerbated by her repeated and often forceful repetition of the traditional theoretical arguments against the horizontal application of fundamental rights</w:t>
      </w:r>
      <w:r w:rsidR="00D42776">
        <w:rPr>
          <w:rFonts w:ascii="Times New Roman" w:hAnsi="Times New Roman" w:cs="Times New Roman"/>
          <w:sz w:val="24"/>
          <w:szCs w:val="24"/>
        </w:rPr>
        <w:t>, relating to the separation of powers, the public/private dichotomy, legal certainty and, in the Union context, the question of competence. These are not necessarily overcome by Walkila’</w:t>
      </w:r>
      <w:r w:rsidR="0017241D">
        <w:rPr>
          <w:rFonts w:ascii="Times New Roman" w:hAnsi="Times New Roman" w:cs="Times New Roman"/>
          <w:sz w:val="24"/>
          <w:szCs w:val="24"/>
        </w:rPr>
        <w:t xml:space="preserve">s review of </w:t>
      </w:r>
      <w:r w:rsidR="00602748">
        <w:rPr>
          <w:rFonts w:ascii="Times New Roman" w:hAnsi="Times New Roman" w:cs="Times New Roman"/>
          <w:sz w:val="24"/>
          <w:szCs w:val="24"/>
        </w:rPr>
        <w:t>indirect effect,</w:t>
      </w:r>
      <w:r w:rsidR="00D42776">
        <w:rPr>
          <w:rFonts w:ascii="Times New Roman" w:hAnsi="Times New Roman" w:cs="Times New Roman"/>
          <w:sz w:val="24"/>
          <w:szCs w:val="24"/>
        </w:rPr>
        <w:t xml:space="preserve"> general references to </w:t>
      </w:r>
      <w:r w:rsidR="007C5DC2">
        <w:rPr>
          <w:rFonts w:ascii="Times New Roman" w:hAnsi="Times New Roman" w:cs="Times New Roman"/>
          <w:sz w:val="24"/>
          <w:szCs w:val="24"/>
        </w:rPr>
        <w:t xml:space="preserve">‘modern social realities’, </w:t>
      </w:r>
      <w:r w:rsidR="0017241D">
        <w:rPr>
          <w:rFonts w:ascii="Times New Roman" w:hAnsi="Times New Roman" w:cs="Times New Roman"/>
          <w:sz w:val="24"/>
          <w:szCs w:val="24"/>
        </w:rPr>
        <w:t xml:space="preserve">the primacy, unity and effectiveness of Union law, or </w:t>
      </w:r>
      <w:r w:rsidR="00D42776">
        <w:rPr>
          <w:rFonts w:ascii="Times New Roman" w:hAnsi="Times New Roman" w:cs="Times New Roman"/>
          <w:sz w:val="24"/>
          <w:szCs w:val="24"/>
        </w:rPr>
        <w:t>the requirement that an issue fall within the scope of EU law</w:t>
      </w:r>
      <w:r w:rsidR="0017241D">
        <w:rPr>
          <w:rFonts w:ascii="Times New Roman" w:hAnsi="Times New Roman" w:cs="Times New Roman"/>
          <w:sz w:val="24"/>
          <w:szCs w:val="24"/>
        </w:rPr>
        <w:t>.</w:t>
      </w:r>
      <w:r w:rsidR="00D42776">
        <w:rPr>
          <w:rFonts w:ascii="Times New Roman" w:hAnsi="Times New Roman" w:cs="Times New Roman"/>
          <w:sz w:val="24"/>
          <w:szCs w:val="24"/>
        </w:rPr>
        <w:t xml:space="preserve"> </w:t>
      </w:r>
      <w:r w:rsidR="00602748">
        <w:rPr>
          <w:rFonts w:ascii="Times New Roman" w:hAnsi="Times New Roman" w:cs="Times New Roman"/>
          <w:sz w:val="24"/>
          <w:szCs w:val="24"/>
        </w:rPr>
        <w:t>The fluidity with</w:t>
      </w:r>
      <w:r w:rsidR="00D42776">
        <w:rPr>
          <w:rFonts w:ascii="Times New Roman" w:hAnsi="Times New Roman" w:cs="Times New Roman"/>
          <w:sz w:val="24"/>
          <w:szCs w:val="24"/>
        </w:rPr>
        <w:t xml:space="preserve"> which Walkila moves between different categories of horizontality</w:t>
      </w:r>
      <w:r w:rsidR="007C5DC2">
        <w:rPr>
          <w:rFonts w:ascii="Times New Roman" w:hAnsi="Times New Roman" w:cs="Times New Roman"/>
          <w:sz w:val="24"/>
          <w:szCs w:val="24"/>
        </w:rPr>
        <w:t xml:space="preserve">, both in descriptive and normative senses, </w:t>
      </w:r>
      <w:r w:rsidR="00D42776">
        <w:rPr>
          <w:rFonts w:ascii="Times New Roman" w:hAnsi="Times New Roman" w:cs="Times New Roman"/>
          <w:sz w:val="24"/>
          <w:szCs w:val="24"/>
        </w:rPr>
        <w:t xml:space="preserve">also impacts on the clarity of her overall stance. </w:t>
      </w:r>
      <w:r w:rsidR="005F4202">
        <w:rPr>
          <w:rFonts w:ascii="Times New Roman" w:hAnsi="Times New Roman" w:cs="Times New Roman"/>
          <w:sz w:val="24"/>
          <w:szCs w:val="24"/>
        </w:rPr>
        <w:t xml:space="preserve">In particular, Walkila’s otherwise useful attempts to draw commonalities between the jurisdictions explored as part </w:t>
      </w:r>
      <w:r w:rsidR="005B606E">
        <w:rPr>
          <w:rFonts w:ascii="Times New Roman" w:hAnsi="Times New Roman" w:cs="Times New Roman"/>
          <w:sz w:val="24"/>
          <w:szCs w:val="24"/>
        </w:rPr>
        <w:t xml:space="preserve">of her comparative inquiry - for example between indirect </w:t>
      </w:r>
      <w:r w:rsidR="00602748">
        <w:rPr>
          <w:rFonts w:ascii="Times New Roman" w:hAnsi="Times New Roman" w:cs="Times New Roman"/>
          <w:sz w:val="24"/>
          <w:szCs w:val="24"/>
        </w:rPr>
        <w:t xml:space="preserve">effect, </w:t>
      </w:r>
      <w:r w:rsidR="005B606E">
        <w:rPr>
          <w:rFonts w:ascii="Times New Roman" w:hAnsi="Times New Roman" w:cs="Times New Roman"/>
          <w:sz w:val="24"/>
          <w:szCs w:val="24"/>
        </w:rPr>
        <w:t xml:space="preserve">objective orders of values, and the Strasbourg Court’s ‘positive obligations’ method, as well as the links drawn between the </w:t>
      </w:r>
      <w:r w:rsidR="005B606E">
        <w:rPr>
          <w:rFonts w:ascii="Times New Roman" w:hAnsi="Times New Roman" w:cs="Times New Roman"/>
          <w:sz w:val="24"/>
          <w:szCs w:val="24"/>
        </w:rPr>
        <w:lastRenderedPageBreak/>
        <w:t xml:space="preserve">US ‘State actions’ approach and the EU requirement that the fundamental rights matter ‘fall within the scope of EU law’ - arguably </w:t>
      </w:r>
      <w:r w:rsidR="00602748">
        <w:rPr>
          <w:rFonts w:ascii="Times New Roman" w:hAnsi="Times New Roman" w:cs="Times New Roman"/>
          <w:sz w:val="24"/>
          <w:szCs w:val="24"/>
        </w:rPr>
        <w:t xml:space="preserve">risks some </w:t>
      </w:r>
      <w:r w:rsidR="00DB3C93">
        <w:rPr>
          <w:rFonts w:ascii="Times New Roman" w:hAnsi="Times New Roman" w:cs="Times New Roman"/>
          <w:sz w:val="24"/>
          <w:szCs w:val="24"/>
        </w:rPr>
        <w:t>confusion</w:t>
      </w:r>
      <w:r w:rsidR="00602748">
        <w:rPr>
          <w:rFonts w:ascii="Times New Roman" w:hAnsi="Times New Roman" w:cs="Times New Roman"/>
          <w:sz w:val="24"/>
          <w:szCs w:val="24"/>
        </w:rPr>
        <w:t xml:space="preserve"> conceptually or for the reader</w:t>
      </w:r>
      <w:r w:rsidR="005B606E">
        <w:rPr>
          <w:rFonts w:ascii="Times New Roman" w:hAnsi="Times New Roman" w:cs="Times New Roman"/>
          <w:sz w:val="24"/>
          <w:szCs w:val="24"/>
        </w:rPr>
        <w:t>.</w:t>
      </w:r>
      <w:r w:rsidR="00602748">
        <w:rPr>
          <w:rFonts w:ascii="Times New Roman" w:hAnsi="Times New Roman" w:cs="Times New Roman"/>
          <w:sz w:val="24"/>
          <w:szCs w:val="24"/>
        </w:rPr>
        <w:t xml:space="preserve"> </w:t>
      </w:r>
    </w:p>
    <w:p w:rsidR="00602748" w:rsidRDefault="00602748" w:rsidP="000221AF">
      <w:pPr>
        <w:pStyle w:val="NoSpacing"/>
        <w:jc w:val="both"/>
        <w:rPr>
          <w:rFonts w:ascii="Times New Roman" w:hAnsi="Times New Roman" w:cs="Times New Roman"/>
          <w:sz w:val="24"/>
          <w:szCs w:val="24"/>
        </w:rPr>
      </w:pPr>
    </w:p>
    <w:p w:rsidR="000221AF" w:rsidRDefault="00602748" w:rsidP="000221AF">
      <w:pPr>
        <w:pStyle w:val="NoSpacing"/>
        <w:jc w:val="both"/>
        <w:rPr>
          <w:rFonts w:ascii="Times New Roman" w:hAnsi="Times New Roman" w:cs="Times New Roman"/>
          <w:sz w:val="24"/>
          <w:szCs w:val="24"/>
        </w:rPr>
      </w:pPr>
      <w:r>
        <w:rPr>
          <w:rFonts w:ascii="Times New Roman" w:hAnsi="Times New Roman" w:cs="Times New Roman"/>
          <w:sz w:val="24"/>
          <w:szCs w:val="24"/>
        </w:rPr>
        <w:t>Nevertheless, these potential avenues for future research, and</w:t>
      </w:r>
      <w:r w:rsidR="00C122C7">
        <w:rPr>
          <w:rFonts w:ascii="Times New Roman" w:hAnsi="Times New Roman" w:cs="Times New Roman"/>
          <w:sz w:val="24"/>
          <w:szCs w:val="24"/>
        </w:rPr>
        <w:t xml:space="preserve"> some</w:t>
      </w:r>
      <w:r>
        <w:rPr>
          <w:rFonts w:ascii="Times New Roman" w:hAnsi="Times New Roman" w:cs="Times New Roman"/>
          <w:sz w:val="24"/>
          <w:szCs w:val="24"/>
        </w:rPr>
        <w:t xml:space="preserve"> issues </w:t>
      </w:r>
      <w:r w:rsidR="00C122C7">
        <w:rPr>
          <w:rFonts w:ascii="Times New Roman" w:hAnsi="Times New Roman" w:cs="Times New Roman"/>
          <w:sz w:val="24"/>
          <w:szCs w:val="24"/>
        </w:rPr>
        <w:t xml:space="preserve">of </w:t>
      </w:r>
      <w:r>
        <w:rPr>
          <w:rFonts w:ascii="Times New Roman" w:hAnsi="Times New Roman" w:cs="Times New Roman"/>
          <w:sz w:val="24"/>
          <w:szCs w:val="24"/>
        </w:rPr>
        <w:t xml:space="preserve">communicative clarity, do not diminish the value of this volume. Indeed, as well as offering many useful insights in its own right, the richness of the analysis stimulates new and thought-provoking </w:t>
      </w:r>
      <w:r w:rsidR="006D2D63">
        <w:rPr>
          <w:rFonts w:ascii="Times New Roman" w:hAnsi="Times New Roman" w:cs="Times New Roman"/>
          <w:sz w:val="24"/>
          <w:szCs w:val="24"/>
        </w:rPr>
        <w:t>questions in this area of EU law. Of course, Walkila’s closing remarks that fun</w:t>
      </w:r>
      <w:r w:rsidR="00C122C7">
        <w:rPr>
          <w:rFonts w:ascii="Times New Roman" w:hAnsi="Times New Roman" w:cs="Times New Roman"/>
          <w:sz w:val="24"/>
          <w:szCs w:val="24"/>
        </w:rPr>
        <w:t>damental rights are both a clear indicator of the Union’s</w:t>
      </w:r>
      <w:r w:rsidR="006D2D63">
        <w:rPr>
          <w:rFonts w:ascii="Times New Roman" w:hAnsi="Times New Roman" w:cs="Times New Roman"/>
          <w:sz w:val="24"/>
          <w:szCs w:val="24"/>
        </w:rPr>
        <w:t xml:space="preserve"> federal progression, and must replace economic integration at the heart of the Union’s political culture, must now be understood against the multifaceted crises facing the European project</w:t>
      </w:r>
      <w:r w:rsidR="00C122C7">
        <w:rPr>
          <w:rFonts w:ascii="Times New Roman" w:hAnsi="Times New Roman" w:cs="Times New Roman"/>
          <w:sz w:val="24"/>
          <w:szCs w:val="24"/>
        </w:rPr>
        <w:t>, and the</w:t>
      </w:r>
      <w:r w:rsidR="00E326AB">
        <w:rPr>
          <w:rFonts w:ascii="Times New Roman" w:hAnsi="Times New Roman" w:cs="Times New Roman"/>
          <w:sz w:val="24"/>
          <w:szCs w:val="24"/>
        </w:rPr>
        <w:t xml:space="preserve"> perceived popular rejection of</w:t>
      </w:r>
      <w:r w:rsidR="00C122C7">
        <w:rPr>
          <w:rFonts w:ascii="Times New Roman" w:hAnsi="Times New Roman" w:cs="Times New Roman"/>
          <w:sz w:val="24"/>
          <w:szCs w:val="24"/>
        </w:rPr>
        <w:t xml:space="preserve"> the post-Lisbon, even post-Maastricht</w:t>
      </w:r>
      <w:r w:rsidR="00E326AB">
        <w:rPr>
          <w:rFonts w:ascii="Times New Roman" w:hAnsi="Times New Roman" w:cs="Times New Roman"/>
          <w:sz w:val="24"/>
          <w:szCs w:val="24"/>
        </w:rPr>
        <w:t>,</w:t>
      </w:r>
      <w:r w:rsidR="00C122C7">
        <w:rPr>
          <w:rFonts w:ascii="Times New Roman" w:hAnsi="Times New Roman" w:cs="Times New Roman"/>
          <w:sz w:val="24"/>
          <w:szCs w:val="24"/>
        </w:rPr>
        <w:t xml:space="preserve"> Union</w:t>
      </w:r>
      <w:r w:rsidR="00E326AB">
        <w:rPr>
          <w:rFonts w:ascii="Times New Roman" w:hAnsi="Times New Roman" w:cs="Times New Roman"/>
          <w:sz w:val="24"/>
          <w:szCs w:val="24"/>
        </w:rPr>
        <w:t xml:space="preserve"> by some</w:t>
      </w:r>
      <w:r w:rsidR="006D2D63">
        <w:rPr>
          <w:rFonts w:ascii="Times New Roman" w:hAnsi="Times New Roman" w:cs="Times New Roman"/>
          <w:sz w:val="24"/>
          <w:szCs w:val="24"/>
        </w:rPr>
        <w:t>.</w:t>
      </w:r>
      <w:r w:rsidR="00E326AB">
        <w:rPr>
          <w:rFonts w:ascii="Times New Roman" w:hAnsi="Times New Roman" w:cs="Times New Roman"/>
          <w:sz w:val="24"/>
          <w:szCs w:val="24"/>
        </w:rPr>
        <w:t xml:space="preserve"> This, however, enriches, rather than undermines Walkila’s conclusions</w:t>
      </w:r>
      <w:r w:rsidR="003040B4">
        <w:rPr>
          <w:rFonts w:ascii="Times New Roman" w:hAnsi="Times New Roman" w:cs="Times New Roman"/>
          <w:sz w:val="24"/>
          <w:szCs w:val="24"/>
        </w:rPr>
        <w:t>. I</w:t>
      </w:r>
      <w:r w:rsidR="00E326AB">
        <w:rPr>
          <w:rFonts w:ascii="Times New Roman" w:hAnsi="Times New Roman" w:cs="Times New Roman"/>
          <w:sz w:val="24"/>
          <w:szCs w:val="24"/>
        </w:rPr>
        <w:t xml:space="preserve">ndeed, her argument that fundamental rights should enjoy ‘core primary law status’ even above other provisions of EU primary law might offer ways to address certain aspects of the Union’s integration crisis, such as the incursion of the free movement provisions into national law and policy. </w:t>
      </w:r>
      <w:r w:rsidR="006D2D63">
        <w:rPr>
          <w:rFonts w:ascii="Times New Roman" w:hAnsi="Times New Roman" w:cs="Times New Roman"/>
          <w:sz w:val="24"/>
          <w:szCs w:val="24"/>
        </w:rPr>
        <w:t xml:space="preserve">    </w:t>
      </w:r>
      <w:r>
        <w:rPr>
          <w:rFonts w:ascii="Times New Roman" w:hAnsi="Times New Roman" w:cs="Times New Roman"/>
          <w:sz w:val="24"/>
          <w:szCs w:val="24"/>
        </w:rPr>
        <w:t xml:space="preserve"> </w:t>
      </w:r>
      <w:r w:rsidR="000221AF">
        <w:rPr>
          <w:rFonts w:ascii="Times New Roman" w:hAnsi="Times New Roman" w:cs="Times New Roman"/>
          <w:sz w:val="24"/>
          <w:szCs w:val="24"/>
        </w:rPr>
        <w:t xml:space="preserve">  </w:t>
      </w:r>
    </w:p>
    <w:p w:rsidR="003C5123" w:rsidRDefault="003C5123" w:rsidP="000221AF">
      <w:pPr>
        <w:pStyle w:val="NoSpacing"/>
        <w:jc w:val="both"/>
        <w:rPr>
          <w:rFonts w:ascii="Times New Roman" w:hAnsi="Times New Roman" w:cs="Times New Roman"/>
          <w:sz w:val="24"/>
          <w:szCs w:val="24"/>
        </w:rPr>
      </w:pPr>
    </w:p>
    <w:p w:rsidR="003C5123" w:rsidRDefault="003C5123" w:rsidP="00914ED5">
      <w:pPr>
        <w:pStyle w:val="NoSpacing"/>
        <w:jc w:val="both"/>
        <w:rPr>
          <w:rFonts w:ascii="Times New Roman" w:hAnsi="Times New Roman" w:cs="Times New Roman"/>
          <w:sz w:val="24"/>
          <w:szCs w:val="24"/>
        </w:rPr>
      </w:pPr>
    </w:p>
    <w:p w:rsidR="00C2302B" w:rsidRDefault="00C2302B" w:rsidP="00C2302B">
      <w:pPr>
        <w:pStyle w:val="NoSpacing"/>
        <w:jc w:val="both"/>
        <w:rPr>
          <w:rFonts w:ascii="Times New Roman" w:hAnsi="Times New Roman" w:cs="Times New Roman"/>
          <w:sz w:val="24"/>
          <w:szCs w:val="24"/>
        </w:rPr>
      </w:pPr>
    </w:p>
    <w:p w:rsidR="00C2302B" w:rsidRDefault="00C2302B" w:rsidP="00C2302B">
      <w:pPr>
        <w:pStyle w:val="NoSpacing"/>
        <w:jc w:val="both"/>
        <w:rPr>
          <w:rFonts w:ascii="Times New Roman" w:hAnsi="Times New Roman" w:cs="Times New Roman"/>
          <w:sz w:val="24"/>
          <w:szCs w:val="24"/>
        </w:rPr>
      </w:pPr>
    </w:p>
    <w:p w:rsidR="00D53B98" w:rsidRDefault="00D53B98"/>
    <w:sectPr w:rsidR="00D53B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47" w:rsidRDefault="00E25747">
      <w:pPr>
        <w:spacing w:after="0" w:line="240" w:lineRule="auto"/>
      </w:pPr>
      <w:r>
        <w:separator/>
      </w:r>
    </w:p>
  </w:endnote>
  <w:endnote w:type="continuationSeparator" w:id="0">
    <w:p w:rsidR="00E25747" w:rsidRDefault="00E2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946066"/>
      <w:docPartObj>
        <w:docPartGallery w:val="Page Numbers (Bottom of Page)"/>
        <w:docPartUnique/>
      </w:docPartObj>
    </w:sdtPr>
    <w:sdtEndPr>
      <w:rPr>
        <w:noProof/>
      </w:rPr>
    </w:sdtEndPr>
    <w:sdtContent>
      <w:p w:rsidR="00572406" w:rsidRDefault="00DA0DB9">
        <w:pPr>
          <w:pStyle w:val="Footer"/>
          <w:jc w:val="right"/>
        </w:pPr>
        <w:r>
          <w:fldChar w:fldCharType="begin"/>
        </w:r>
        <w:r>
          <w:instrText xml:space="preserve"> PAGE   \* MERGEFORMAT </w:instrText>
        </w:r>
        <w:r>
          <w:fldChar w:fldCharType="separate"/>
        </w:r>
        <w:r w:rsidR="00787875">
          <w:rPr>
            <w:noProof/>
          </w:rPr>
          <w:t>1</w:t>
        </w:r>
        <w:r>
          <w:rPr>
            <w:noProof/>
          </w:rPr>
          <w:fldChar w:fldCharType="end"/>
        </w:r>
      </w:p>
    </w:sdtContent>
  </w:sdt>
  <w:p w:rsidR="00572406" w:rsidRDefault="00E25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47" w:rsidRDefault="00E25747">
      <w:pPr>
        <w:spacing w:after="0" w:line="240" w:lineRule="auto"/>
      </w:pPr>
      <w:r>
        <w:separator/>
      </w:r>
    </w:p>
  </w:footnote>
  <w:footnote w:type="continuationSeparator" w:id="0">
    <w:p w:rsidR="00E25747" w:rsidRDefault="00E25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7249"/>
    <w:multiLevelType w:val="hybridMultilevel"/>
    <w:tmpl w:val="38F2062C"/>
    <w:lvl w:ilvl="0" w:tplc="22C443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AF"/>
    <w:rsid w:val="000221AF"/>
    <w:rsid w:val="00042290"/>
    <w:rsid w:val="00051FF4"/>
    <w:rsid w:val="00080430"/>
    <w:rsid w:val="000D01AC"/>
    <w:rsid w:val="000E4556"/>
    <w:rsid w:val="000E5EF3"/>
    <w:rsid w:val="000F5422"/>
    <w:rsid w:val="00107E00"/>
    <w:rsid w:val="001341CE"/>
    <w:rsid w:val="00143C32"/>
    <w:rsid w:val="001479E7"/>
    <w:rsid w:val="00152542"/>
    <w:rsid w:val="001548C1"/>
    <w:rsid w:val="0017241D"/>
    <w:rsid w:val="00177B9E"/>
    <w:rsid w:val="00195688"/>
    <w:rsid w:val="001B1539"/>
    <w:rsid w:val="001B7E34"/>
    <w:rsid w:val="0025190F"/>
    <w:rsid w:val="00251946"/>
    <w:rsid w:val="00292CCC"/>
    <w:rsid w:val="003040B4"/>
    <w:rsid w:val="00313839"/>
    <w:rsid w:val="003352FD"/>
    <w:rsid w:val="00347C22"/>
    <w:rsid w:val="003A4FE2"/>
    <w:rsid w:val="003B17DD"/>
    <w:rsid w:val="003C1841"/>
    <w:rsid w:val="003C22A1"/>
    <w:rsid w:val="003C5123"/>
    <w:rsid w:val="003E2B2F"/>
    <w:rsid w:val="00440292"/>
    <w:rsid w:val="0049187A"/>
    <w:rsid w:val="004A7835"/>
    <w:rsid w:val="004B4188"/>
    <w:rsid w:val="004E46AB"/>
    <w:rsid w:val="004E4D3E"/>
    <w:rsid w:val="004E56F7"/>
    <w:rsid w:val="00505213"/>
    <w:rsid w:val="0050731C"/>
    <w:rsid w:val="00530870"/>
    <w:rsid w:val="0053283C"/>
    <w:rsid w:val="0054319E"/>
    <w:rsid w:val="005431A7"/>
    <w:rsid w:val="00572C82"/>
    <w:rsid w:val="00575932"/>
    <w:rsid w:val="0059325C"/>
    <w:rsid w:val="005B606E"/>
    <w:rsid w:val="005F3E4C"/>
    <w:rsid w:val="005F4202"/>
    <w:rsid w:val="00600574"/>
    <w:rsid w:val="00602748"/>
    <w:rsid w:val="00643DE0"/>
    <w:rsid w:val="00644917"/>
    <w:rsid w:val="00655CA4"/>
    <w:rsid w:val="00667487"/>
    <w:rsid w:val="00667710"/>
    <w:rsid w:val="006C1139"/>
    <w:rsid w:val="006D2D63"/>
    <w:rsid w:val="006D4F55"/>
    <w:rsid w:val="00730894"/>
    <w:rsid w:val="00787875"/>
    <w:rsid w:val="007B0065"/>
    <w:rsid w:val="007B70F5"/>
    <w:rsid w:val="007C5DC2"/>
    <w:rsid w:val="007E39A5"/>
    <w:rsid w:val="007F4ECD"/>
    <w:rsid w:val="00803AE8"/>
    <w:rsid w:val="00816F75"/>
    <w:rsid w:val="00847860"/>
    <w:rsid w:val="00861700"/>
    <w:rsid w:val="00867652"/>
    <w:rsid w:val="008B3444"/>
    <w:rsid w:val="008B51E8"/>
    <w:rsid w:val="008D625B"/>
    <w:rsid w:val="00914ED5"/>
    <w:rsid w:val="009969C8"/>
    <w:rsid w:val="009C6591"/>
    <w:rsid w:val="009F1F28"/>
    <w:rsid w:val="009F7B7E"/>
    <w:rsid w:val="00A04741"/>
    <w:rsid w:val="00A20E73"/>
    <w:rsid w:val="00A319C2"/>
    <w:rsid w:val="00A72CD9"/>
    <w:rsid w:val="00A80241"/>
    <w:rsid w:val="00A8058E"/>
    <w:rsid w:val="00B300FE"/>
    <w:rsid w:val="00B35D25"/>
    <w:rsid w:val="00B41394"/>
    <w:rsid w:val="00B627D9"/>
    <w:rsid w:val="00BA280F"/>
    <w:rsid w:val="00BA7052"/>
    <w:rsid w:val="00BB5B83"/>
    <w:rsid w:val="00BF1D52"/>
    <w:rsid w:val="00C122C7"/>
    <w:rsid w:val="00C2302B"/>
    <w:rsid w:val="00C26371"/>
    <w:rsid w:val="00C3684E"/>
    <w:rsid w:val="00C47A70"/>
    <w:rsid w:val="00C50085"/>
    <w:rsid w:val="00CC0A63"/>
    <w:rsid w:val="00CD4BF3"/>
    <w:rsid w:val="00CD5EA3"/>
    <w:rsid w:val="00D13D09"/>
    <w:rsid w:val="00D42776"/>
    <w:rsid w:val="00D452E4"/>
    <w:rsid w:val="00D53B98"/>
    <w:rsid w:val="00D824E6"/>
    <w:rsid w:val="00D95B35"/>
    <w:rsid w:val="00DA0DB9"/>
    <w:rsid w:val="00DB0811"/>
    <w:rsid w:val="00DB1F6D"/>
    <w:rsid w:val="00DB3C93"/>
    <w:rsid w:val="00DC318A"/>
    <w:rsid w:val="00DC79F2"/>
    <w:rsid w:val="00E25747"/>
    <w:rsid w:val="00E326AB"/>
    <w:rsid w:val="00E33238"/>
    <w:rsid w:val="00E456C1"/>
    <w:rsid w:val="00E76A0D"/>
    <w:rsid w:val="00ED38D6"/>
    <w:rsid w:val="00F066B9"/>
    <w:rsid w:val="00F06BB2"/>
    <w:rsid w:val="00F1161A"/>
    <w:rsid w:val="00F14675"/>
    <w:rsid w:val="00F257FC"/>
    <w:rsid w:val="00F3675F"/>
    <w:rsid w:val="00F611AF"/>
    <w:rsid w:val="00FA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1AF"/>
    <w:pPr>
      <w:spacing w:after="0" w:line="240" w:lineRule="auto"/>
    </w:pPr>
  </w:style>
  <w:style w:type="paragraph" w:styleId="Footer">
    <w:name w:val="footer"/>
    <w:basedOn w:val="Normal"/>
    <w:link w:val="FooterChar"/>
    <w:uiPriority w:val="99"/>
    <w:unhideWhenUsed/>
    <w:rsid w:val="00022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1AF"/>
    <w:pPr>
      <w:spacing w:after="0" w:line="240" w:lineRule="auto"/>
    </w:pPr>
  </w:style>
  <w:style w:type="paragraph" w:styleId="Footer">
    <w:name w:val="footer"/>
    <w:basedOn w:val="Normal"/>
    <w:link w:val="FooterChar"/>
    <w:uiPriority w:val="99"/>
    <w:unhideWhenUsed/>
    <w:rsid w:val="00022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2016-09-07T16:21:00Z</dcterms:created>
  <dcterms:modified xsi:type="dcterms:W3CDTF">2016-09-07T16:21:00Z</dcterms:modified>
</cp:coreProperties>
</file>