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EBB8" w14:textId="77777777" w:rsidR="005B475B" w:rsidRDefault="005B475B" w:rsidP="005B475B">
      <w:pPr>
        <w:spacing w:after="160" w:line="480" w:lineRule="auto"/>
        <w:rPr>
          <w:rFonts w:eastAsia="Calibri"/>
          <w:lang w:val="en-GB"/>
        </w:rPr>
      </w:pPr>
      <w:bookmarkStart w:id="0" w:name="_GoBack"/>
      <w:bookmarkEnd w:id="0"/>
      <w:r>
        <w:rPr>
          <w:rFonts w:eastAsia="Calibri"/>
          <w:lang w:val="en-GB"/>
        </w:rPr>
        <w:t>LR Rodger 16-7507 edited</w:t>
      </w:r>
    </w:p>
    <w:p w14:paraId="63629F53" w14:textId="77777777" w:rsidR="005B475B" w:rsidRDefault="005B475B" w:rsidP="005B475B">
      <w:pPr>
        <w:spacing w:after="160" w:line="480" w:lineRule="auto"/>
        <w:rPr>
          <w:rFonts w:eastAsia="Calibri"/>
          <w:lang w:val="en-GB"/>
        </w:rPr>
      </w:pPr>
      <w:r>
        <w:rPr>
          <w:rFonts w:eastAsia="Calibri"/>
          <w:lang w:val="en-GB"/>
        </w:rPr>
        <w:t>9/</w:t>
      </w:r>
      <w:r w:rsidR="00394246">
        <w:rPr>
          <w:rFonts w:eastAsia="Calibri"/>
          <w:lang w:val="en-GB"/>
        </w:rPr>
        <w:t>12</w:t>
      </w:r>
      <w:r>
        <w:rPr>
          <w:rFonts w:eastAsia="Calibri"/>
          <w:lang w:val="en-GB"/>
        </w:rPr>
        <w:t>/16</w:t>
      </w:r>
    </w:p>
    <w:p w14:paraId="598716CF" w14:textId="77777777" w:rsidR="005B475B" w:rsidRPr="005B475B" w:rsidRDefault="005B475B" w:rsidP="005B475B">
      <w:pPr>
        <w:rPr>
          <w:rFonts w:eastAsia="Times New Roman"/>
        </w:rPr>
      </w:pPr>
      <w:r w:rsidRPr="005B475B">
        <w:rPr>
          <w:rFonts w:eastAsia="Times New Roman"/>
          <w:b/>
        </w:rPr>
        <w:t xml:space="preserve">Your letter has been edited for conciseness and for consistency with JAMA style; please do not replace deleted material or add new material except where requested.  To revise the document, please accept the changes in a clean copy; make any additional changes and respond to questions, including confirmation of financial disclosures, directly on the copy using Track Changes.  Please do not remove the manuscript number or date at the top.    </w:t>
      </w:r>
    </w:p>
    <w:p w14:paraId="2E82E402" w14:textId="77777777" w:rsidR="005B475B" w:rsidRPr="005B475B" w:rsidRDefault="005B475B" w:rsidP="005B475B">
      <w:pPr>
        <w:rPr>
          <w:rFonts w:eastAsia="Times New Roman"/>
        </w:rPr>
      </w:pPr>
    </w:p>
    <w:p w14:paraId="6E71EE46" w14:textId="77777777" w:rsidR="003473D1" w:rsidRPr="003473D1" w:rsidRDefault="003473D1" w:rsidP="005B475B">
      <w:pPr>
        <w:spacing w:after="160" w:line="480" w:lineRule="auto"/>
        <w:rPr>
          <w:rFonts w:eastAsia="Calibri"/>
          <w:lang w:val="en-GB"/>
        </w:rPr>
      </w:pPr>
      <w:r w:rsidRPr="004B0F93">
        <w:rPr>
          <w:rFonts w:eastAsia="Calibri"/>
          <w:lang w:val="en-GB"/>
        </w:rPr>
        <w:t>In Reply</w:t>
      </w:r>
      <w:r w:rsidR="005B475B">
        <w:rPr>
          <w:rFonts w:eastAsia="Calibri"/>
          <w:lang w:val="en-GB"/>
        </w:rPr>
        <w:t>:</w:t>
      </w:r>
    </w:p>
    <w:p w14:paraId="23CEF38F" w14:textId="010B0D5C" w:rsidR="003473D1" w:rsidRPr="003473D1" w:rsidRDefault="003473D1" w:rsidP="005B475B">
      <w:pPr>
        <w:spacing w:after="160" w:line="480" w:lineRule="auto"/>
        <w:rPr>
          <w:rFonts w:eastAsia="Calibri"/>
          <w:lang w:val="en-GB"/>
        </w:rPr>
      </w:pPr>
      <w:r w:rsidRPr="003473D1">
        <w:rPr>
          <w:rFonts w:eastAsia="Calibri"/>
          <w:lang w:val="en-GB"/>
        </w:rPr>
        <w:t>Dr Goldman and colleagues highlight</w:t>
      </w:r>
      <w:r w:rsidR="00394246">
        <w:rPr>
          <w:rFonts w:eastAsia="Calibri"/>
          <w:lang w:val="en-GB"/>
        </w:rPr>
        <w:t>ed</w:t>
      </w:r>
      <w:r w:rsidRPr="003473D1">
        <w:rPr>
          <w:rFonts w:eastAsia="Calibri"/>
          <w:lang w:val="en-GB"/>
        </w:rPr>
        <w:t xml:space="preserve"> aspects </w:t>
      </w:r>
      <w:r w:rsidR="00394246">
        <w:rPr>
          <w:rFonts w:eastAsia="Calibri"/>
          <w:lang w:val="en-GB"/>
        </w:rPr>
        <w:t>of the</w:t>
      </w:r>
      <w:r w:rsidRPr="003473D1">
        <w:rPr>
          <w:rFonts w:eastAsia="Calibri"/>
          <w:lang w:val="en-GB"/>
        </w:rPr>
        <w:t xml:space="preserve"> phylogenetic analyses used to investigate HIV transmission events</w:t>
      </w:r>
      <w:r w:rsidR="00DE248E">
        <w:rPr>
          <w:rFonts w:eastAsia="Calibri"/>
          <w:lang w:val="en-GB"/>
        </w:rPr>
        <w:t xml:space="preserve"> in the PARTNER study</w:t>
      </w:r>
      <w:r w:rsidRPr="003473D1">
        <w:rPr>
          <w:rFonts w:eastAsia="Calibri"/>
          <w:lang w:val="en-GB"/>
        </w:rPr>
        <w:t>. Previous studies have taken advantage of the now discontinued Roche 454 deep sequencing platform to obtain sequence reads of sufficient length to allow reliable phylogenetic analyses of minority viral species</w:t>
      </w:r>
      <w:r w:rsidR="00394246">
        <w:rPr>
          <w:rFonts w:eastAsia="Calibri"/>
          <w:lang w:val="en-GB"/>
        </w:rPr>
        <w:t>.</w:t>
      </w:r>
      <w:r w:rsidRPr="003473D1">
        <w:rPr>
          <w:rFonts w:eastAsia="Calibri"/>
          <w:vertAlign w:val="superscript"/>
          <w:lang w:val="en-GB"/>
        </w:rPr>
        <w:t>1</w:t>
      </w:r>
      <w:r w:rsidR="00DE248E">
        <w:rPr>
          <w:rFonts w:eastAsia="Calibri"/>
          <w:vertAlign w:val="superscript"/>
          <w:lang w:val="en-GB"/>
        </w:rPr>
        <w:t xml:space="preserve"> </w:t>
      </w:r>
      <w:r w:rsidRPr="003473D1">
        <w:rPr>
          <w:rFonts w:eastAsia="Calibri"/>
          <w:lang w:val="en-GB"/>
        </w:rPr>
        <w:t xml:space="preserve"> </w:t>
      </w:r>
      <w:r w:rsidR="00DE248E">
        <w:rPr>
          <w:rFonts w:eastAsia="Calibri"/>
          <w:lang w:val="en-GB"/>
        </w:rPr>
        <w:t xml:space="preserve"> </w:t>
      </w:r>
      <w:r w:rsidR="00394246">
        <w:rPr>
          <w:rFonts w:eastAsia="Calibri"/>
          <w:lang w:val="en-GB"/>
        </w:rPr>
        <w:t>W</w:t>
      </w:r>
      <w:r w:rsidRPr="003473D1">
        <w:rPr>
          <w:rFonts w:eastAsia="Calibri"/>
          <w:lang w:val="en-GB"/>
        </w:rPr>
        <w:t xml:space="preserve">e </w:t>
      </w:r>
      <w:r w:rsidR="004B0F93">
        <w:rPr>
          <w:rFonts w:eastAsia="Calibri"/>
          <w:lang w:val="en-GB"/>
        </w:rPr>
        <w:t xml:space="preserve">have been conducting work </w:t>
      </w:r>
      <w:r w:rsidR="00394246">
        <w:rPr>
          <w:rFonts w:eastAsia="Calibri"/>
          <w:lang w:val="en-GB"/>
        </w:rPr>
        <w:t>to</w:t>
      </w:r>
      <w:r w:rsidRPr="003473D1">
        <w:rPr>
          <w:rFonts w:eastAsia="Calibri"/>
          <w:lang w:val="en-GB"/>
        </w:rPr>
        <w:t xml:space="preserve"> optimi</w:t>
      </w:r>
      <w:r w:rsidR="00394246">
        <w:rPr>
          <w:rFonts w:eastAsia="Calibri"/>
          <w:lang w:val="en-GB"/>
        </w:rPr>
        <w:t>z</w:t>
      </w:r>
      <w:r w:rsidRPr="003473D1">
        <w:rPr>
          <w:rFonts w:eastAsia="Calibri"/>
          <w:lang w:val="en-GB"/>
        </w:rPr>
        <w:t xml:space="preserve">e the Illumina deep sequencing platform </w:t>
      </w:r>
      <w:r w:rsidR="004B0F93">
        <w:rPr>
          <w:rFonts w:eastAsia="Calibri"/>
          <w:lang w:val="en-GB"/>
        </w:rPr>
        <w:t xml:space="preserve">in order </w:t>
      </w:r>
      <w:r w:rsidRPr="003473D1">
        <w:rPr>
          <w:rFonts w:eastAsia="Calibri"/>
          <w:lang w:val="en-GB"/>
        </w:rPr>
        <w:t>to perform an analysis of minority species in couples</w:t>
      </w:r>
      <w:r w:rsidR="00DE248E">
        <w:rPr>
          <w:rFonts w:eastAsia="Calibri"/>
          <w:lang w:val="en-GB"/>
        </w:rPr>
        <w:t xml:space="preserve"> in our study</w:t>
      </w:r>
      <w:r w:rsidRPr="003473D1">
        <w:rPr>
          <w:rFonts w:eastAsia="Calibri"/>
          <w:lang w:val="en-GB"/>
        </w:rPr>
        <w:t>. The reconstruction of HIV haplotypes presents notorious technical and interpretative challenges when applied to the short sequence reads that are currently obtained by Illumina. We are also using conventional limiting dilution techniques to obtain single and near full-length genomes</w:t>
      </w:r>
      <w:r w:rsidR="00B213EA">
        <w:rPr>
          <w:rFonts w:eastAsia="Calibri"/>
          <w:lang w:val="en-GB"/>
        </w:rPr>
        <w:t xml:space="preserve"> using established methods</w:t>
      </w:r>
      <w:r w:rsidR="00394246">
        <w:rPr>
          <w:rFonts w:eastAsia="Calibri"/>
          <w:lang w:val="en-GB"/>
        </w:rPr>
        <w:t>.</w:t>
      </w:r>
      <w:r w:rsidRPr="003473D1">
        <w:rPr>
          <w:rFonts w:eastAsia="Calibri"/>
          <w:vertAlign w:val="superscript"/>
          <w:lang w:val="en-GB"/>
        </w:rPr>
        <w:t>2</w:t>
      </w:r>
      <w:r w:rsidR="004B0F93">
        <w:rPr>
          <w:rFonts w:eastAsia="Calibri"/>
          <w:lang w:val="en-GB"/>
        </w:rPr>
        <w:t xml:space="preserve"> T</w:t>
      </w:r>
      <w:r w:rsidRPr="003473D1">
        <w:rPr>
          <w:rFonts w:eastAsia="Calibri"/>
          <w:lang w:val="en-GB"/>
        </w:rPr>
        <w:t xml:space="preserve">hese further analyses will be published </w:t>
      </w:r>
      <w:r w:rsidR="00394246">
        <w:rPr>
          <w:rFonts w:eastAsia="Calibri"/>
          <w:lang w:val="en-GB"/>
        </w:rPr>
        <w:t xml:space="preserve">once completed and </w:t>
      </w:r>
      <w:r w:rsidRPr="003473D1">
        <w:rPr>
          <w:rFonts w:eastAsia="Calibri"/>
          <w:lang w:val="en-GB"/>
        </w:rPr>
        <w:t>peer review</w:t>
      </w:r>
      <w:r w:rsidR="00DE248E">
        <w:rPr>
          <w:rFonts w:eastAsia="Calibri"/>
          <w:lang w:val="en-GB"/>
        </w:rPr>
        <w:t>ed</w:t>
      </w:r>
      <w:r w:rsidR="004B0F93">
        <w:rPr>
          <w:rFonts w:eastAsia="Calibri"/>
          <w:lang w:val="en-GB"/>
        </w:rPr>
        <w:t>.</w:t>
      </w:r>
      <w:r w:rsidRPr="003473D1">
        <w:rPr>
          <w:rFonts w:eastAsia="Calibri"/>
          <w:lang w:val="en-GB"/>
        </w:rPr>
        <w:t>.</w:t>
      </w:r>
    </w:p>
    <w:p w14:paraId="55627FCD" w14:textId="77777777" w:rsidR="004B0F93" w:rsidRDefault="004B0F93" w:rsidP="005B475B">
      <w:pPr>
        <w:spacing w:after="160" w:line="480" w:lineRule="auto"/>
        <w:rPr>
          <w:rFonts w:eastAsia="Calibri"/>
          <w:lang w:val="en-GB"/>
        </w:rPr>
      </w:pPr>
      <w:r>
        <w:rPr>
          <w:rFonts w:eastAsia="Calibri"/>
          <w:lang w:val="en-GB"/>
        </w:rPr>
        <w:t>A</w:t>
      </w:r>
      <w:r w:rsidRPr="003473D1">
        <w:rPr>
          <w:rFonts w:eastAsia="Calibri"/>
          <w:lang w:val="en-GB"/>
        </w:rPr>
        <w:t>lso</w:t>
      </w:r>
      <w:r>
        <w:rPr>
          <w:rFonts w:eastAsia="Calibri"/>
          <w:lang w:val="en-GB"/>
        </w:rPr>
        <w:t>,</w:t>
      </w:r>
      <w:r w:rsidRPr="003473D1">
        <w:rPr>
          <w:rFonts w:eastAsia="Calibri"/>
          <w:lang w:val="en-GB"/>
        </w:rPr>
        <w:t xml:space="preserve"> Goldman and colleagues propose that some </w:t>
      </w:r>
      <w:r w:rsidRPr="003473D1">
        <w:rPr>
          <w:rFonts w:eastAsia="Calibri"/>
          <w:i/>
          <w:lang w:val="en-GB"/>
        </w:rPr>
        <w:t>env</w:t>
      </w:r>
      <w:r w:rsidRPr="003473D1">
        <w:rPr>
          <w:rFonts w:eastAsia="Calibri"/>
          <w:lang w:val="en-GB"/>
        </w:rPr>
        <w:t xml:space="preserve"> pairwise genetic distances in </w:t>
      </w:r>
      <w:r>
        <w:rPr>
          <w:rFonts w:eastAsia="Calibri"/>
          <w:lang w:val="en-GB"/>
        </w:rPr>
        <w:t xml:space="preserve">samples from the </w:t>
      </w:r>
      <w:r w:rsidRPr="003473D1">
        <w:rPr>
          <w:rFonts w:eastAsia="Calibri"/>
          <w:lang w:val="en-GB"/>
        </w:rPr>
        <w:t xml:space="preserve">PARTNER </w:t>
      </w:r>
      <w:r>
        <w:rPr>
          <w:rFonts w:eastAsia="Calibri"/>
          <w:lang w:val="en-GB"/>
        </w:rPr>
        <w:t xml:space="preserve">study </w:t>
      </w:r>
      <w:r w:rsidRPr="003473D1">
        <w:rPr>
          <w:rFonts w:eastAsia="Calibri"/>
          <w:lang w:val="en-GB"/>
        </w:rPr>
        <w:t>were similar to those of samples found to be linked in another study</w:t>
      </w:r>
      <w:r>
        <w:rPr>
          <w:rFonts w:eastAsia="Calibri"/>
          <w:lang w:val="en-GB"/>
        </w:rPr>
        <w:t>.</w:t>
      </w:r>
      <w:r>
        <w:rPr>
          <w:rFonts w:eastAsia="Calibri"/>
          <w:vertAlign w:val="superscript"/>
          <w:lang w:val="en-GB"/>
        </w:rPr>
        <w:t>3</w:t>
      </w:r>
      <w:r w:rsidRPr="003473D1">
        <w:rPr>
          <w:rFonts w:eastAsia="Calibri"/>
          <w:lang w:val="en-GB"/>
        </w:rPr>
        <w:t xml:space="preserve"> </w:t>
      </w:r>
      <w:r>
        <w:rPr>
          <w:rFonts w:eastAsia="Calibri"/>
          <w:lang w:val="en-GB"/>
        </w:rPr>
        <w:t>T</w:t>
      </w:r>
      <w:r w:rsidRPr="003473D1">
        <w:rPr>
          <w:rFonts w:eastAsia="Calibri"/>
          <w:lang w:val="en-GB"/>
        </w:rPr>
        <w:t xml:space="preserve">he proposed comparison of genetic distances is complicated by the fact that the sequences in </w:t>
      </w:r>
      <w:r>
        <w:rPr>
          <w:rFonts w:eastAsia="Calibri"/>
          <w:lang w:val="en-GB"/>
        </w:rPr>
        <w:t xml:space="preserve">the </w:t>
      </w:r>
      <w:r w:rsidRPr="003473D1">
        <w:rPr>
          <w:rFonts w:eastAsia="Calibri"/>
          <w:lang w:val="en-GB"/>
        </w:rPr>
        <w:t xml:space="preserve">PARTNER </w:t>
      </w:r>
      <w:r>
        <w:rPr>
          <w:rFonts w:eastAsia="Calibri"/>
          <w:lang w:val="en-GB"/>
        </w:rPr>
        <w:t xml:space="preserve">study </w:t>
      </w:r>
      <w:r w:rsidRPr="003473D1">
        <w:rPr>
          <w:rFonts w:eastAsia="Calibri"/>
          <w:lang w:val="en-GB"/>
        </w:rPr>
        <w:t xml:space="preserve">were considerably longer (2,000 bp) than those reported in the other study (~516 bp). Nonetheless, </w:t>
      </w:r>
      <w:r w:rsidRPr="003473D1">
        <w:rPr>
          <w:rFonts w:eastAsia="Calibri"/>
          <w:color w:val="000000"/>
          <w:lang w:val="en-GB"/>
        </w:rPr>
        <w:t xml:space="preserve">as shown in the </w:t>
      </w:r>
      <w:r>
        <w:rPr>
          <w:rFonts w:eastAsia="Calibri"/>
          <w:color w:val="000000"/>
          <w:lang w:val="en-GB"/>
        </w:rPr>
        <w:t>article’s</w:t>
      </w:r>
      <w:r w:rsidRPr="003473D1">
        <w:rPr>
          <w:rFonts w:eastAsia="Calibri"/>
          <w:color w:val="000000"/>
          <w:lang w:val="en-GB"/>
        </w:rPr>
        <w:t xml:space="preserve"> supplement</w:t>
      </w:r>
      <w:r>
        <w:rPr>
          <w:rFonts w:eastAsia="Calibri"/>
          <w:color w:val="000000"/>
          <w:vertAlign w:val="superscript"/>
          <w:lang w:val="en-GB"/>
        </w:rPr>
        <w:t xml:space="preserve"> </w:t>
      </w:r>
      <w:r>
        <w:rPr>
          <w:rFonts w:eastAsia="Calibri"/>
          <w:color w:val="000000"/>
          <w:lang w:val="en-GB"/>
        </w:rPr>
        <w:t>(eTable 2)</w:t>
      </w:r>
      <w:r w:rsidRPr="003473D1">
        <w:rPr>
          <w:rFonts w:eastAsia="Calibri"/>
          <w:color w:val="000000"/>
          <w:lang w:val="en-GB"/>
        </w:rPr>
        <w:t xml:space="preserve">, the median pairwise distance of </w:t>
      </w:r>
      <w:r w:rsidRPr="003473D1">
        <w:rPr>
          <w:rFonts w:eastAsia="Calibri"/>
          <w:i/>
          <w:color w:val="000000"/>
          <w:lang w:val="en-GB"/>
        </w:rPr>
        <w:t xml:space="preserve">env </w:t>
      </w:r>
      <w:r w:rsidRPr="003473D1">
        <w:rPr>
          <w:rFonts w:eastAsia="Calibri"/>
          <w:color w:val="000000"/>
          <w:lang w:val="en-GB"/>
        </w:rPr>
        <w:t xml:space="preserve">control sequences was at least 5 times lower than the median pairwise distance of </w:t>
      </w:r>
      <w:r w:rsidRPr="003473D1">
        <w:rPr>
          <w:rFonts w:eastAsia="Calibri"/>
          <w:color w:val="000000"/>
          <w:lang w:val="en-GB"/>
        </w:rPr>
        <w:lastRenderedPageBreak/>
        <w:t xml:space="preserve">the partners’ </w:t>
      </w:r>
      <w:r w:rsidRPr="003473D1">
        <w:rPr>
          <w:rFonts w:eastAsia="Calibri"/>
          <w:i/>
          <w:color w:val="000000"/>
          <w:lang w:val="en-GB"/>
        </w:rPr>
        <w:t xml:space="preserve">env </w:t>
      </w:r>
      <w:r w:rsidRPr="003473D1">
        <w:rPr>
          <w:rFonts w:eastAsia="Calibri"/>
          <w:color w:val="000000"/>
          <w:lang w:val="en-GB"/>
        </w:rPr>
        <w:t>sequences. When considering sequences falling in the upper limit of the previously reported range</w:t>
      </w:r>
      <w:r>
        <w:rPr>
          <w:rFonts w:eastAsia="Calibri"/>
          <w:color w:val="000000"/>
          <w:lang w:val="en-GB"/>
        </w:rPr>
        <w:t>,</w:t>
      </w:r>
      <w:r w:rsidR="00B213EA">
        <w:rPr>
          <w:rFonts w:eastAsia="Calibri"/>
          <w:color w:val="000000"/>
          <w:vertAlign w:val="superscript"/>
          <w:lang w:val="en-GB"/>
        </w:rPr>
        <w:t>3</w:t>
      </w:r>
      <w:r w:rsidRPr="003473D1">
        <w:rPr>
          <w:rFonts w:eastAsia="Calibri"/>
          <w:color w:val="000000"/>
          <w:lang w:val="en-GB"/>
        </w:rPr>
        <w:t xml:space="preserve"> the </w:t>
      </w:r>
      <w:r w:rsidRPr="003473D1">
        <w:rPr>
          <w:rFonts w:eastAsia="Calibri"/>
          <w:i/>
          <w:color w:val="000000"/>
          <w:lang w:val="en-GB"/>
        </w:rPr>
        <w:t>env</w:t>
      </w:r>
      <w:r w:rsidRPr="003473D1">
        <w:rPr>
          <w:rFonts w:eastAsia="Calibri"/>
          <w:color w:val="000000"/>
          <w:lang w:val="en-GB"/>
        </w:rPr>
        <w:t xml:space="preserve"> phylogeny did not support linkage. </w:t>
      </w:r>
      <w:r w:rsidRPr="003473D1">
        <w:rPr>
          <w:rFonts w:eastAsia="Calibri"/>
          <w:lang w:val="en-GB"/>
        </w:rPr>
        <w:t xml:space="preserve">Detailed analyses of the </w:t>
      </w:r>
      <w:r w:rsidRPr="003473D1">
        <w:rPr>
          <w:rFonts w:eastAsia="Calibri"/>
          <w:i/>
          <w:lang w:val="en-GB"/>
        </w:rPr>
        <w:t>env</w:t>
      </w:r>
      <w:r w:rsidRPr="003473D1">
        <w:rPr>
          <w:rFonts w:eastAsia="Calibri"/>
          <w:lang w:val="en-GB"/>
        </w:rPr>
        <w:t xml:space="preserve"> sequences were made available to selected expert reviewers from JAMA and deemed robust. </w:t>
      </w:r>
      <w:r w:rsidR="00B213EA">
        <w:rPr>
          <w:rFonts w:eastAsia="Calibri"/>
          <w:lang w:val="en-GB"/>
        </w:rPr>
        <w:t>All phylogenies</w:t>
      </w:r>
      <w:r>
        <w:rPr>
          <w:rFonts w:eastAsia="Calibri"/>
          <w:lang w:val="en-GB"/>
        </w:rPr>
        <w:t xml:space="preserve"> will be published </w:t>
      </w:r>
      <w:r w:rsidR="00B213EA">
        <w:rPr>
          <w:rFonts w:eastAsia="Calibri"/>
          <w:lang w:val="en-GB"/>
        </w:rPr>
        <w:t xml:space="preserve">in full </w:t>
      </w:r>
      <w:r>
        <w:rPr>
          <w:rFonts w:eastAsia="Calibri"/>
          <w:lang w:val="en-GB"/>
        </w:rPr>
        <w:t xml:space="preserve">once the study is completed. </w:t>
      </w:r>
    </w:p>
    <w:p w14:paraId="3ECDC6EC" w14:textId="4A9CE148" w:rsidR="003473D1" w:rsidRPr="003473D1" w:rsidRDefault="00394246" w:rsidP="005B475B">
      <w:pPr>
        <w:spacing w:after="160" w:line="480" w:lineRule="auto"/>
        <w:rPr>
          <w:rFonts w:eastAsia="Calibri"/>
          <w:color w:val="000000"/>
          <w:lang w:val="en-GB"/>
        </w:rPr>
      </w:pPr>
      <w:r>
        <w:rPr>
          <w:rFonts w:eastAsia="Calibri"/>
          <w:lang w:val="en-GB"/>
        </w:rPr>
        <w:t>Goldman and colleagues are</w:t>
      </w:r>
      <w:r w:rsidR="003473D1" w:rsidRPr="003473D1">
        <w:rPr>
          <w:rFonts w:eastAsia="Calibri"/>
          <w:lang w:val="en-GB"/>
        </w:rPr>
        <w:t xml:space="preserve"> correct that phylogenetic analyses of putative transmission events should include control sequences drawn from epidemiologically relevant settings and take into account time since seroconversion.</w:t>
      </w:r>
      <w:r w:rsidR="00B213EA">
        <w:rPr>
          <w:rFonts w:eastAsia="Calibri"/>
          <w:vertAlign w:val="superscript"/>
          <w:lang w:val="en-GB"/>
        </w:rPr>
        <w:t>4</w:t>
      </w:r>
      <w:r w:rsidR="003473D1" w:rsidRPr="003473D1">
        <w:rPr>
          <w:rFonts w:eastAsia="Calibri"/>
          <w:lang w:val="en-GB"/>
        </w:rPr>
        <w:t xml:space="preserve"> </w:t>
      </w:r>
      <w:r>
        <w:rPr>
          <w:rFonts w:eastAsia="Calibri"/>
          <w:lang w:val="en-GB"/>
        </w:rPr>
        <w:t>T</w:t>
      </w:r>
      <w:r w:rsidR="003473D1" w:rsidRPr="003473D1">
        <w:rPr>
          <w:rFonts w:eastAsia="Calibri"/>
          <w:lang w:val="en-GB"/>
        </w:rPr>
        <w:t>hese</w:t>
      </w:r>
      <w:r w:rsidR="003473D1" w:rsidRPr="003473D1">
        <w:rPr>
          <w:rFonts w:eastAsia="Calibri"/>
          <w:color w:val="000000"/>
          <w:lang w:val="en-GB"/>
        </w:rPr>
        <w:t xml:space="preserve"> factors </w:t>
      </w:r>
      <w:r>
        <w:rPr>
          <w:rFonts w:eastAsia="Calibri"/>
          <w:color w:val="000000"/>
          <w:lang w:val="en-GB"/>
        </w:rPr>
        <w:t>we</w:t>
      </w:r>
      <w:r w:rsidR="003473D1" w:rsidRPr="003473D1">
        <w:rPr>
          <w:rFonts w:eastAsia="Calibri"/>
          <w:color w:val="000000"/>
          <w:lang w:val="en-GB"/>
        </w:rPr>
        <w:t xml:space="preserve">re taken into account in </w:t>
      </w:r>
      <w:r>
        <w:rPr>
          <w:rFonts w:eastAsia="Calibri"/>
          <w:color w:val="000000"/>
          <w:lang w:val="en-GB"/>
        </w:rPr>
        <w:t>the PARTNER study</w:t>
      </w:r>
      <w:r w:rsidR="003473D1" w:rsidRPr="003473D1">
        <w:rPr>
          <w:rFonts w:eastAsia="Calibri"/>
          <w:color w:val="000000"/>
          <w:lang w:val="en-GB"/>
        </w:rPr>
        <w:t>. The study design was such that patients were sampled never later than 6-8 months from seroconversion.</w:t>
      </w:r>
      <w:r w:rsidR="003473D1" w:rsidRPr="003473D1">
        <w:rPr>
          <w:rFonts w:eastAsia="Calibri"/>
          <w:lang w:val="en-GB"/>
        </w:rPr>
        <w:t xml:space="preserve"> Constraints dictated by the terms of the ethical approvals and need to protect patients’ confidentiality mean that the phylogenetic investigations must not reveal the geographical origin of the specimens undergoing analysis. </w:t>
      </w:r>
      <w:r w:rsidR="00B213EA">
        <w:rPr>
          <w:rFonts w:eastAsia="Calibri"/>
          <w:lang w:val="en-GB"/>
        </w:rPr>
        <w:t>W</w:t>
      </w:r>
      <w:r w:rsidR="00B213EA" w:rsidRPr="003473D1">
        <w:rPr>
          <w:rFonts w:eastAsia="Calibri"/>
          <w:lang w:val="en-GB"/>
        </w:rPr>
        <w:t>hil</w:t>
      </w:r>
      <w:r w:rsidR="00B213EA">
        <w:rPr>
          <w:rFonts w:eastAsia="Calibri"/>
          <w:lang w:val="en-GB"/>
        </w:rPr>
        <w:t>e</w:t>
      </w:r>
      <w:r w:rsidR="00B213EA" w:rsidRPr="003473D1">
        <w:rPr>
          <w:rFonts w:eastAsia="Calibri"/>
          <w:lang w:val="en-GB"/>
        </w:rPr>
        <w:t xml:space="preserve"> we recogni</w:t>
      </w:r>
      <w:r w:rsidR="00B213EA">
        <w:rPr>
          <w:rFonts w:eastAsia="Calibri"/>
          <w:lang w:val="en-GB"/>
        </w:rPr>
        <w:t>z</w:t>
      </w:r>
      <w:r w:rsidR="00B213EA" w:rsidRPr="003473D1">
        <w:rPr>
          <w:rFonts w:eastAsia="Calibri"/>
          <w:lang w:val="en-GB"/>
        </w:rPr>
        <w:t xml:space="preserve">e the importance of disclosing to public scrutiny our detailed analyses, </w:t>
      </w:r>
      <w:r w:rsidR="00B213EA">
        <w:rPr>
          <w:rFonts w:eastAsia="Calibri"/>
          <w:lang w:val="en-GB"/>
        </w:rPr>
        <w:t>t</w:t>
      </w:r>
      <w:r w:rsidR="003473D1" w:rsidRPr="003473D1">
        <w:rPr>
          <w:rFonts w:eastAsia="Calibri"/>
          <w:lang w:val="en-GB"/>
        </w:rPr>
        <w:t xml:space="preserve">he confidential data we hold in this respect </w:t>
      </w:r>
      <w:r w:rsidR="00B213EA">
        <w:rPr>
          <w:rFonts w:eastAsia="Calibri"/>
          <w:lang w:val="en-GB"/>
        </w:rPr>
        <w:t>are entirely consistent with</w:t>
      </w:r>
      <w:r w:rsidR="003473D1" w:rsidRPr="003473D1">
        <w:rPr>
          <w:rFonts w:eastAsia="Calibri"/>
          <w:lang w:val="en-GB"/>
        </w:rPr>
        <w:t xml:space="preserve"> the </w:t>
      </w:r>
      <w:r w:rsidR="00B213EA">
        <w:rPr>
          <w:rFonts w:eastAsia="Calibri"/>
          <w:lang w:val="en-GB"/>
        </w:rPr>
        <w:t>reported conclusions</w:t>
      </w:r>
      <w:r w:rsidR="003473D1" w:rsidRPr="003473D1">
        <w:rPr>
          <w:rFonts w:eastAsia="Calibri"/>
          <w:lang w:val="en-GB"/>
        </w:rPr>
        <w:t xml:space="preserve"> of the PARTNER study.</w:t>
      </w:r>
      <w:r w:rsidR="003473D1" w:rsidRPr="003473D1">
        <w:rPr>
          <w:rFonts w:eastAsia="Calibri"/>
          <w:color w:val="000000"/>
          <w:lang w:val="en-GB"/>
        </w:rPr>
        <w:t xml:space="preserve"> </w:t>
      </w:r>
    </w:p>
    <w:p w14:paraId="15872CFF" w14:textId="200C3A9F" w:rsidR="003473D1" w:rsidRPr="003473D1" w:rsidRDefault="003473D1" w:rsidP="005B475B">
      <w:pPr>
        <w:spacing w:after="160" w:line="480" w:lineRule="auto"/>
        <w:rPr>
          <w:rFonts w:eastAsia="Calibri"/>
          <w:i/>
          <w:lang w:val="en-GB"/>
        </w:rPr>
      </w:pPr>
      <w:r w:rsidRPr="003473D1">
        <w:rPr>
          <w:rFonts w:eastAsia="Calibri"/>
          <w:lang w:val="en-GB"/>
        </w:rPr>
        <w:t xml:space="preserve">We are confident that clinicians are able to interpret the data and counsel patients appropriately taking into account individual circumstances and tolerance of any risk, however small. </w:t>
      </w:r>
    </w:p>
    <w:p w14:paraId="7DD5E5CF" w14:textId="77777777" w:rsidR="005B475B" w:rsidRDefault="003473D1" w:rsidP="005B475B">
      <w:pPr>
        <w:spacing w:line="480" w:lineRule="auto"/>
        <w:rPr>
          <w:rFonts w:eastAsia="Calibri"/>
          <w:lang w:val="en-GB"/>
        </w:rPr>
      </w:pPr>
      <w:r w:rsidRPr="003473D1">
        <w:rPr>
          <w:rFonts w:eastAsia="Calibri"/>
          <w:lang w:val="en-GB"/>
        </w:rPr>
        <w:t xml:space="preserve">Anna Maria Geretti, </w:t>
      </w:r>
      <w:r w:rsidR="005B475B">
        <w:rPr>
          <w:rFonts w:eastAsia="Calibri"/>
          <w:lang w:val="en-GB"/>
        </w:rPr>
        <w:t>MD</w:t>
      </w:r>
      <w:r w:rsidR="00B213EA">
        <w:rPr>
          <w:rFonts w:eastAsia="Calibri"/>
          <w:lang w:val="en-GB"/>
        </w:rPr>
        <w:t>, PhD</w:t>
      </w:r>
    </w:p>
    <w:p w14:paraId="1532FB3C" w14:textId="1031A215" w:rsidR="005B475B" w:rsidRPr="009C6C00" w:rsidRDefault="003473D1" w:rsidP="009C6C00">
      <w:pPr>
        <w:spacing w:line="480" w:lineRule="auto"/>
        <w:rPr>
          <w:rFonts w:eastAsia="Calibri"/>
          <w:lang w:val="en-GB"/>
        </w:rPr>
      </w:pPr>
      <w:r w:rsidRPr="003473D1">
        <w:rPr>
          <w:rFonts w:eastAsia="Calibri"/>
          <w:color w:val="191919"/>
        </w:rPr>
        <w:t xml:space="preserve"> </w:t>
      </w:r>
      <w:r w:rsidRPr="003473D1">
        <w:rPr>
          <w:rFonts w:eastAsia="Calibri"/>
          <w:iCs/>
          <w:color w:val="191919"/>
        </w:rPr>
        <w:t>Institute of Infection &amp; Global Health</w:t>
      </w:r>
    </w:p>
    <w:p w14:paraId="5FDCE118" w14:textId="77777777" w:rsidR="005B475B" w:rsidRDefault="003473D1" w:rsidP="005B475B">
      <w:pPr>
        <w:widowControl w:val="0"/>
        <w:autoSpaceDE w:val="0"/>
        <w:autoSpaceDN w:val="0"/>
        <w:adjustRightInd w:val="0"/>
        <w:spacing w:line="480" w:lineRule="auto"/>
        <w:rPr>
          <w:rFonts w:eastAsia="Calibri"/>
          <w:iCs/>
          <w:color w:val="191919"/>
        </w:rPr>
      </w:pPr>
      <w:r w:rsidRPr="003473D1">
        <w:rPr>
          <w:rFonts w:eastAsia="Calibri"/>
          <w:iCs/>
          <w:color w:val="191919"/>
        </w:rPr>
        <w:t>University of Liverpool</w:t>
      </w:r>
    </w:p>
    <w:p w14:paraId="37B44DAE" w14:textId="77777777" w:rsidR="003473D1" w:rsidRPr="003473D1" w:rsidRDefault="003473D1" w:rsidP="005B475B">
      <w:pPr>
        <w:widowControl w:val="0"/>
        <w:autoSpaceDE w:val="0"/>
        <w:autoSpaceDN w:val="0"/>
        <w:adjustRightInd w:val="0"/>
        <w:spacing w:line="480" w:lineRule="auto"/>
        <w:rPr>
          <w:rFonts w:eastAsia="Calibri"/>
          <w:iCs/>
        </w:rPr>
      </w:pPr>
      <w:r w:rsidRPr="003473D1">
        <w:rPr>
          <w:rFonts w:eastAsia="Calibri"/>
          <w:iCs/>
          <w:color w:val="191919"/>
        </w:rPr>
        <w:t>Liverpool</w:t>
      </w:r>
      <w:r w:rsidR="005B475B">
        <w:rPr>
          <w:rFonts w:eastAsia="Calibri"/>
          <w:iCs/>
          <w:color w:val="191919"/>
        </w:rPr>
        <w:t>, United Kingdom</w:t>
      </w:r>
    </w:p>
    <w:p w14:paraId="1B14DEA2" w14:textId="77777777" w:rsidR="003473D1" w:rsidRPr="003473D1" w:rsidRDefault="003473D1" w:rsidP="005B475B">
      <w:pPr>
        <w:spacing w:line="480" w:lineRule="auto"/>
        <w:rPr>
          <w:rFonts w:eastAsia="Calibri"/>
          <w:color w:val="191919"/>
        </w:rPr>
      </w:pPr>
    </w:p>
    <w:p w14:paraId="0AADBF34" w14:textId="77777777" w:rsidR="003473D1" w:rsidRPr="003473D1" w:rsidRDefault="003473D1" w:rsidP="005B475B">
      <w:pPr>
        <w:spacing w:line="480" w:lineRule="auto"/>
        <w:rPr>
          <w:rFonts w:eastAsia="Calibri"/>
          <w:color w:val="191919"/>
        </w:rPr>
      </w:pPr>
      <w:r w:rsidRPr="003473D1">
        <w:rPr>
          <w:rFonts w:eastAsia="Calibri"/>
          <w:color w:val="191919"/>
        </w:rPr>
        <w:t xml:space="preserve">Alison </w:t>
      </w:r>
      <w:r w:rsidR="005B475B">
        <w:rPr>
          <w:rFonts w:eastAsia="Calibri"/>
          <w:color w:val="191919"/>
        </w:rPr>
        <w:t xml:space="preserve">J. </w:t>
      </w:r>
      <w:r w:rsidRPr="003473D1">
        <w:rPr>
          <w:rFonts w:eastAsia="Calibri"/>
          <w:color w:val="191919"/>
        </w:rPr>
        <w:t xml:space="preserve">Rodger, </w:t>
      </w:r>
      <w:r w:rsidR="005B475B">
        <w:rPr>
          <w:rFonts w:eastAsia="Calibri"/>
          <w:color w:val="191919"/>
        </w:rPr>
        <w:t>MD</w:t>
      </w:r>
      <w:r w:rsidRPr="003473D1">
        <w:rPr>
          <w:rFonts w:eastAsia="Calibri"/>
          <w:color w:val="191919"/>
        </w:rPr>
        <w:t xml:space="preserve"> </w:t>
      </w:r>
    </w:p>
    <w:p w14:paraId="468CD2E8" w14:textId="77777777" w:rsidR="005B475B" w:rsidRDefault="003473D1" w:rsidP="005B475B">
      <w:pPr>
        <w:spacing w:line="480" w:lineRule="auto"/>
        <w:rPr>
          <w:rFonts w:eastAsia="Calibri"/>
          <w:lang w:val="en-GB"/>
        </w:rPr>
      </w:pPr>
      <w:r w:rsidRPr="003473D1">
        <w:rPr>
          <w:rFonts w:eastAsia="Calibri"/>
          <w:lang w:val="en-GB"/>
        </w:rPr>
        <w:t>Research Department of Infection &amp; Population Health</w:t>
      </w:r>
    </w:p>
    <w:p w14:paraId="2383DDC8" w14:textId="77777777" w:rsidR="005B475B" w:rsidRDefault="003473D1" w:rsidP="005B475B">
      <w:pPr>
        <w:spacing w:line="480" w:lineRule="auto"/>
        <w:rPr>
          <w:rFonts w:eastAsia="Calibri"/>
          <w:lang w:val="en-GB"/>
        </w:rPr>
      </w:pPr>
      <w:r w:rsidRPr="003473D1">
        <w:rPr>
          <w:rFonts w:eastAsia="Calibri"/>
          <w:lang w:val="en-GB"/>
        </w:rPr>
        <w:t>University College London</w:t>
      </w:r>
    </w:p>
    <w:p w14:paraId="14E010C9" w14:textId="77777777" w:rsidR="003473D1" w:rsidRPr="003473D1" w:rsidRDefault="003473D1" w:rsidP="005B475B">
      <w:pPr>
        <w:spacing w:line="480" w:lineRule="auto"/>
        <w:rPr>
          <w:rFonts w:eastAsia="Calibri"/>
          <w:lang w:val="en-GB"/>
        </w:rPr>
      </w:pPr>
      <w:r w:rsidRPr="003473D1">
        <w:rPr>
          <w:rFonts w:eastAsia="Calibri"/>
          <w:lang w:val="en-GB"/>
        </w:rPr>
        <w:lastRenderedPageBreak/>
        <w:t>London, U</w:t>
      </w:r>
      <w:r w:rsidR="005B475B">
        <w:rPr>
          <w:rFonts w:eastAsia="Calibri"/>
          <w:lang w:val="en-GB"/>
        </w:rPr>
        <w:t xml:space="preserve">nited </w:t>
      </w:r>
      <w:r w:rsidRPr="003473D1">
        <w:rPr>
          <w:rFonts w:eastAsia="Calibri"/>
          <w:lang w:val="en-GB"/>
        </w:rPr>
        <w:t>K</w:t>
      </w:r>
      <w:r w:rsidR="005B475B">
        <w:rPr>
          <w:rFonts w:eastAsia="Calibri"/>
          <w:lang w:val="en-GB"/>
        </w:rPr>
        <w:t>ingdom</w:t>
      </w:r>
    </w:p>
    <w:p w14:paraId="72F09B4D" w14:textId="77777777" w:rsidR="003473D1" w:rsidRPr="003473D1" w:rsidRDefault="003473D1" w:rsidP="005B475B">
      <w:pPr>
        <w:spacing w:line="480" w:lineRule="auto"/>
        <w:rPr>
          <w:rFonts w:eastAsia="Calibri"/>
          <w:iCs/>
          <w:color w:val="191919"/>
        </w:rPr>
      </w:pPr>
    </w:p>
    <w:p w14:paraId="1382C03A" w14:textId="77777777" w:rsidR="003473D1" w:rsidRPr="003473D1" w:rsidRDefault="003473D1" w:rsidP="005B475B">
      <w:pPr>
        <w:spacing w:line="480" w:lineRule="auto"/>
        <w:rPr>
          <w:rFonts w:eastAsia="Calibri"/>
          <w:iCs/>
          <w:color w:val="191919"/>
        </w:rPr>
      </w:pPr>
      <w:r w:rsidRPr="003473D1">
        <w:rPr>
          <w:rFonts w:eastAsia="Calibri"/>
          <w:iCs/>
          <w:color w:val="191919"/>
        </w:rPr>
        <w:t xml:space="preserve">Jens </w:t>
      </w:r>
      <w:r w:rsidRPr="003473D1">
        <w:rPr>
          <w:rFonts w:eastAsia="Calibri"/>
          <w:iCs/>
        </w:rPr>
        <w:t xml:space="preserve">Lundgren, </w:t>
      </w:r>
      <w:r w:rsidR="005B475B">
        <w:rPr>
          <w:rFonts w:eastAsia="Calibri"/>
          <w:iCs/>
        </w:rPr>
        <w:t>MD</w:t>
      </w:r>
    </w:p>
    <w:p w14:paraId="1A15303D" w14:textId="77777777" w:rsidR="005B475B" w:rsidRDefault="003473D1" w:rsidP="005B475B">
      <w:pPr>
        <w:spacing w:line="480" w:lineRule="auto"/>
        <w:rPr>
          <w:rFonts w:eastAsia="Calibri"/>
          <w:lang w:val="en-GB"/>
        </w:rPr>
      </w:pPr>
      <w:r w:rsidRPr="003473D1">
        <w:rPr>
          <w:rFonts w:eastAsia="Calibri"/>
          <w:lang w:val="en-GB"/>
        </w:rPr>
        <w:t>Department of Infectious Diseases</w:t>
      </w:r>
    </w:p>
    <w:p w14:paraId="39E84C5B" w14:textId="33AD803C" w:rsidR="005B475B" w:rsidRDefault="003473D1" w:rsidP="005B475B">
      <w:pPr>
        <w:spacing w:line="480" w:lineRule="auto"/>
        <w:rPr>
          <w:rFonts w:eastAsia="Calibri"/>
          <w:lang w:val="en-GB"/>
        </w:rPr>
      </w:pPr>
      <w:r w:rsidRPr="003473D1">
        <w:rPr>
          <w:rFonts w:eastAsia="Calibri"/>
          <w:lang w:val="en-GB"/>
        </w:rPr>
        <w:t>Rigshospitalet</w:t>
      </w:r>
      <w:r w:rsidR="00944D90">
        <w:rPr>
          <w:rFonts w:eastAsia="Calibri"/>
          <w:lang w:val="en-GB"/>
        </w:rPr>
        <w:t>/CHIP</w:t>
      </w:r>
    </w:p>
    <w:p w14:paraId="0F0931F8" w14:textId="77777777" w:rsidR="003473D1" w:rsidRPr="003473D1" w:rsidRDefault="003473D1" w:rsidP="005B475B">
      <w:pPr>
        <w:spacing w:line="480" w:lineRule="auto"/>
        <w:rPr>
          <w:rFonts w:eastAsia="Calibri"/>
          <w:lang w:val="en-GB"/>
        </w:rPr>
      </w:pPr>
      <w:r w:rsidRPr="003473D1">
        <w:rPr>
          <w:rFonts w:eastAsia="Calibri"/>
          <w:lang w:val="en-GB"/>
        </w:rPr>
        <w:t>Copenhagen, D</w:t>
      </w:r>
      <w:r w:rsidR="005B475B">
        <w:rPr>
          <w:rFonts w:eastAsia="Calibri"/>
          <w:lang w:val="en-GB"/>
        </w:rPr>
        <w:t>enmark</w:t>
      </w:r>
    </w:p>
    <w:p w14:paraId="6ECEB68E" w14:textId="77777777" w:rsidR="005B475B" w:rsidRDefault="00E64995" w:rsidP="005B475B">
      <w:pPr>
        <w:spacing w:line="480" w:lineRule="auto"/>
        <w:rPr>
          <w:rFonts w:eastAsia="Calibri"/>
          <w:color w:val="0B61CD"/>
        </w:rPr>
      </w:pPr>
      <w:hyperlink r:id="rId5" w:history="1"/>
    </w:p>
    <w:p w14:paraId="0B3E6006" w14:textId="77777777" w:rsidR="005B475B" w:rsidRDefault="005B475B" w:rsidP="005B475B">
      <w:pPr>
        <w:spacing w:line="480" w:lineRule="auto"/>
        <w:rPr>
          <w:rFonts w:eastAsia="Calibri"/>
          <w:color w:val="0B61CD"/>
        </w:rPr>
      </w:pPr>
      <w:r>
        <w:rPr>
          <w:rFonts w:eastAsia="Calibri"/>
          <w:b/>
          <w:color w:val="0B61CD"/>
        </w:rPr>
        <w:t xml:space="preserve">Corresponding Author:  </w:t>
      </w:r>
      <w:r>
        <w:rPr>
          <w:rFonts w:eastAsia="Calibri"/>
          <w:color w:val="0B61CD"/>
        </w:rPr>
        <w:t>Alison Rodger, MD, Research Department of Infection &amp; Population Health, University College London, Rowland Hill St, London, NW3 2PF, United Kingdom (</w:t>
      </w:r>
      <w:hyperlink r:id="rId6" w:history="1">
        <w:r w:rsidRPr="001031FA">
          <w:rPr>
            <w:rStyle w:val="Hyperlink"/>
            <w:rFonts w:eastAsia="Calibri"/>
          </w:rPr>
          <w:t>alison.rodger@ucl.ac.uk</w:t>
        </w:r>
      </w:hyperlink>
      <w:r>
        <w:rPr>
          <w:rFonts w:eastAsia="Calibri"/>
          <w:color w:val="0B61CD"/>
        </w:rPr>
        <w:t>).</w:t>
      </w:r>
    </w:p>
    <w:p w14:paraId="72F67229" w14:textId="77777777" w:rsidR="005B475B" w:rsidRDefault="005B475B" w:rsidP="005B475B">
      <w:pPr>
        <w:spacing w:line="480" w:lineRule="auto"/>
        <w:rPr>
          <w:rFonts w:eastAsia="Calibri"/>
          <w:color w:val="0B61CD"/>
        </w:rPr>
      </w:pPr>
    </w:p>
    <w:p w14:paraId="738680A2" w14:textId="77777777" w:rsidR="005B475B" w:rsidRPr="005B475B" w:rsidRDefault="005B475B" w:rsidP="005B475B">
      <w:pPr>
        <w:autoSpaceDE w:val="0"/>
        <w:rPr>
          <w:rFonts w:eastAsia="Arial"/>
          <w:b/>
          <w:bCs/>
        </w:rPr>
      </w:pPr>
      <w:r w:rsidRPr="005B475B">
        <w:rPr>
          <w:rFonts w:eastAsia="Arial"/>
          <w:b/>
          <w:bCs/>
        </w:rPr>
        <w:t xml:space="preserve">We have </w:t>
      </w:r>
      <w:r>
        <w:rPr>
          <w:rFonts w:eastAsia="Arial"/>
          <w:b/>
          <w:bCs/>
        </w:rPr>
        <w:t xml:space="preserve">not </w:t>
      </w:r>
      <w:r w:rsidRPr="005B475B">
        <w:rPr>
          <w:rFonts w:eastAsia="Arial"/>
          <w:b/>
          <w:bCs/>
        </w:rPr>
        <w:t>received</w:t>
      </w:r>
      <w:r w:rsidRPr="005B475B">
        <w:rPr>
          <w:rFonts w:eastAsia="Times New Roman"/>
          <w:b/>
          <w:color w:val="000000"/>
          <w:lang w:val="en"/>
        </w:rPr>
        <w:t xml:space="preserve"> </w:t>
      </w:r>
      <w:r w:rsidRPr="005B475B">
        <w:rPr>
          <w:rFonts w:eastAsia="Times New Roman"/>
          <w:b/>
          <w:lang w:val="en"/>
        </w:rPr>
        <w:t xml:space="preserve">the </w:t>
      </w:r>
      <w:hyperlink r:id="rId7" w:history="1">
        <w:r w:rsidRPr="005B475B">
          <w:rPr>
            <w:rFonts w:eastAsia="Times New Roman"/>
            <w:b/>
            <w:color w:val="0000FF"/>
            <w:u w:val="single"/>
            <w:lang w:val="en"/>
          </w:rPr>
          <w:t>ICMJE Form for Disclosure of Potential Conflicts of Interest</w:t>
        </w:r>
      </w:hyperlink>
      <w:r w:rsidRPr="005B475B">
        <w:rPr>
          <w:rFonts w:eastAsia="Times New Roman"/>
          <w:b/>
          <w:lang w:val="en"/>
        </w:rPr>
        <w:t xml:space="preserve"> from a</w:t>
      </w:r>
      <w:r>
        <w:rPr>
          <w:rFonts w:eastAsia="Times New Roman"/>
          <w:b/>
          <w:lang w:val="en"/>
        </w:rPr>
        <w:t>ny</w:t>
      </w:r>
      <w:r w:rsidRPr="005B475B">
        <w:rPr>
          <w:rFonts w:eastAsia="Times New Roman"/>
          <w:b/>
          <w:lang w:val="en"/>
        </w:rPr>
        <w:t xml:space="preserve"> author</w:t>
      </w:r>
      <w:r w:rsidRPr="005B475B">
        <w:rPr>
          <w:rFonts w:eastAsia="Arial"/>
          <w:b/>
          <w:bCs/>
        </w:rPr>
        <w:t xml:space="preserve">.  Please </w:t>
      </w:r>
      <w:r>
        <w:rPr>
          <w:rFonts w:eastAsia="Arial"/>
          <w:b/>
          <w:bCs/>
        </w:rPr>
        <w:t xml:space="preserve">submit and </w:t>
      </w:r>
      <w:r w:rsidRPr="005B475B">
        <w:rPr>
          <w:rFonts w:eastAsia="Arial"/>
          <w:b/>
          <w:bCs/>
        </w:rPr>
        <w:t xml:space="preserve">confirm that you have disclosed all potential conflicts of interest.  Our policy requires that all authors disclose all potential conflicts of interest, including specific financial interests and relationships and affiliations relevant to the subject of their manuscript within the past 3 years and for the foreseeable future (eg, employment, consultancies, honoraria, stock ownership or options, expert testimony, grants or patents received or pending, royalties). For example, authors of a letter about hypertension should report all financial relationships they have with all manufacturers of products used in the management of hypertension, not only those relationships with companies whose specific products are mentioned in the manuscript.  For authors with disclosures under Part 3 of the ICJME form (Relevant financial activities outside the submitted work), please confirm that these disclosures are not relevant to the topic of the letter.  If you are uncertain about what constitutes a relevant financial interest or relationship, please ask.  </w:t>
      </w:r>
    </w:p>
    <w:p w14:paraId="0A01BCDE" w14:textId="77777777" w:rsidR="005B475B" w:rsidRPr="005B475B" w:rsidRDefault="005B475B" w:rsidP="005B475B">
      <w:pPr>
        <w:autoSpaceDE w:val="0"/>
        <w:rPr>
          <w:rFonts w:eastAsia="Arial"/>
          <w:b/>
          <w:bCs/>
        </w:rPr>
      </w:pPr>
    </w:p>
    <w:p w14:paraId="7FB7476B" w14:textId="77777777" w:rsidR="005B475B" w:rsidRPr="005B475B" w:rsidRDefault="005B475B" w:rsidP="005B475B">
      <w:pPr>
        <w:rPr>
          <w:rFonts w:eastAsia="Arial"/>
          <w:b/>
          <w:bCs/>
        </w:rPr>
      </w:pPr>
      <w:r w:rsidRPr="005B475B">
        <w:rPr>
          <w:rFonts w:eastAsia="Times New Roman"/>
          <w:b/>
        </w:rPr>
        <w:t xml:space="preserve">Conflict of Interest Disclosures:  </w:t>
      </w:r>
      <w:r w:rsidRPr="005B475B">
        <w:rPr>
          <w:rFonts w:eastAsia="Times New Roman"/>
        </w:rPr>
        <w:t>The authors have completed and submitted the ICMJE Form for Disclosure of Potential Conflicts of Interest</w:t>
      </w:r>
      <w:r>
        <w:rPr>
          <w:rFonts w:eastAsia="Times New Roman"/>
        </w:rPr>
        <w:t xml:space="preserve">.  Dr Geretti reported receiving consultancy and speaker’s fees from Abbott Diagnostics, Abbvie, Gilead, GlaxoSmithKline, Janssen, Merck Sharp &amp; Dohme, Pfizer, and ViiV and serving as a principal investigator for studies for which the University of Liverpool received grant income from Bristol-Myers Squibb, Gilead, Janssen, and Viiv.  </w:t>
      </w:r>
      <w:r w:rsidRPr="005B475B">
        <w:rPr>
          <w:rFonts w:eastAsia="Times New Roman"/>
        </w:rPr>
        <w:t xml:space="preserve"> </w:t>
      </w:r>
      <w:r w:rsidR="001100B6">
        <w:rPr>
          <w:rFonts w:eastAsia="Times New Roman"/>
        </w:rPr>
        <w:t>No other disclosures</w:t>
      </w:r>
      <w:r w:rsidRPr="005B475B">
        <w:rPr>
          <w:rFonts w:eastAsia="Times New Roman"/>
        </w:rPr>
        <w:t xml:space="preserve"> were reported. </w:t>
      </w:r>
    </w:p>
    <w:p w14:paraId="353BCB9C" w14:textId="77777777" w:rsidR="005B475B" w:rsidRPr="005B475B" w:rsidRDefault="005B475B" w:rsidP="005B475B">
      <w:pPr>
        <w:autoSpaceDE w:val="0"/>
        <w:rPr>
          <w:rFonts w:eastAsia="Arial"/>
          <w:b/>
          <w:bCs/>
        </w:rPr>
      </w:pPr>
    </w:p>
    <w:p w14:paraId="51FEDD56" w14:textId="77777777" w:rsidR="005B475B" w:rsidRPr="005B475B" w:rsidRDefault="005B475B" w:rsidP="005B475B">
      <w:pPr>
        <w:autoSpaceDE w:val="0"/>
        <w:rPr>
          <w:rFonts w:eastAsia="Arial"/>
          <w:b/>
          <w:bCs/>
        </w:rPr>
      </w:pPr>
    </w:p>
    <w:p w14:paraId="397E18E4" w14:textId="77777777" w:rsidR="005B475B" w:rsidRPr="005B475B" w:rsidRDefault="005B475B" w:rsidP="005B475B">
      <w:pPr>
        <w:rPr>
          <w:rFonts w:eastAsia="Times New Roman"/>
        </w:rPr>
      </w:pPr>
    </w:p>
    <w:p w14:paraId="358DA4D7" w14:textId="77777777" w:rsidR="005B475B" w:rsidRPr="005B475B" w:rsidRDefault="005B475B" w:rsidP="005B475B">
      <w:pPr>
        <w:spacing w:line="480" w:lineRule="auto"/>
        <w:rPr>
          <w:rFonts w:eastAsia="Calibri"/>
          <w:iCs/>
          <w:color w:val="191919"/>
        </w:rPr>
      </w:pPr>
    </w:p>
    <w:p w14:paraId="15F9A6EC" w14:textId="77777777" w:rsidR="003473D1" w:rsidRPr="003473D1" w:rsidRDefault="003473D1" w:rsidP="005B475B">
      <w:pPr>
        <w:spacing w:after="160" w:line="480" w:lineRule="auto"/>
        <w:rPr>
          <w:rFonts w:eastAsia="Calibri"/>
          <w:lang w:val="en-GB"/>
        </w:rPr>
      </w:pPr>
    </w:p>
    <w:p w14:paraId="258564E8" w14:textId="77777777" w:rsidR="003473D1" w:rsidRPr="003473D1" w:rsidRDefault="003473D1" w:rsidP="005B475B">
      <w:pPr>
        <w:numPr>
          <w:ilvl w:val="0"/>
          <w:numId w:val="1"/>
        </w:numPr>
        <w:spacing w:after="160" w:line="480" w:lineRule="auto"/>
        <w:contextualSpacing/>
        <w:rPr>
          <w:rFonts w:eastAsia="Calibri"/>
          <w:lang w:val="en-GB"/>
        </w:rPr>
      </w:pPr>
      <w:r w:rsidRPr="003473D1">
        <w:rPr>
          <w:rFonts w:eastAsia="Calibri"/>
          <w:lang w:val="en-GB"/>
        </w:rPr>
        <w:t xml:space="preserve">Eshleman SH, Hudelson SE, Redd AD, et al. Analysis of genetic linkage of HIV from couples enrolled in the HIV Prevention Trials Network 052 trial. </w:t>
      </w:r>
      <w:r w:rsidRPr="004B0F93">
        <w:rPr>
          <w:rFonts w:eastAsia="Calibri"/>
          <w:i/>
          <w:lang w:val="en-GB"/>
        </w:rPr>
        <w:t>J Infect Dis</w:t>
      </w:r>
      <w:r w:rsidRPr="003473D1">
        <w:rPr>
          <w:rFonts w:eastAsia="Calibri"/>
          <w:lang w:val="en-GB"/>
        </w:rPr>
        <w:t>. 2011;204:1918-1926.</w:t>
      </w:r>
    </w:p>
    <w:p w14:paraId="097CE277" w14:textId="77777777" w:rsidR="003473D1" w:rsidRPr="003473D1" w:rsidRDefault="003473D1" w:rsidP="005B475B">
      <w:pPr>
        <w:numPr>
          <w:ilvl w:val="0"/>
          <w:numId w:val="1"/>
        </w:numPr>
        <w:spacing w:after="160" w:line="480" w:lineRule="auto"/>
        <w:contextualSpacing/>
        <w:rPr>
          <w:rFonts w:eastAsia="Calibri"/>
          <w:lang w:val="en-GB"/>
        </w:rPr>
      </w:pPr>
      <w:r w:rsidRPr="003473D1">
        <w:rPr>
          <w:rFonts w:eastAsia="Calibri"/>
          <w:lang w:val="en-GB"/>
        </w:rPr>
        <w:t xml:space="preserve">Foster GM, Ambrose JC, Hué S, Delpech VC, et al. Novel HIV-1 recombinants spreading across multiple risk groups in the United Kingdom: the identification and phylogeography of Circulating Recombinant Form (CRF) 50_A1D. </w:t>
      </w:r>
      <w:r w:rsidRPr="004B0F93">
        <w:rPr>
          <w:rFonts w:eastAsia="Calibri"/>
          <w:i/>
          <w:lang w:val="en-GB"/>
        </w:rPr>
        <w:t>PLoS One</w:t>
      </w:r>
      <w:r w:rsidRPr="003473D1">
        <w:rPr>
          <w:rFonts w:eastAsia="Calibri"/>
          <w:lang w:val="en-GB"/>
        </w:rPr>
        <w:t>. 2014;9:e83337.</w:t>
      </w:r>
    </w:p>
    <w:p w14:paraId="17089BF7" w14:textId="77777777" w:rsidR="003473D1" w:rsidRPr="003473D1" w:rsidRDefault="003473D1" w:rsidP="005B475B">
      <w:pPr>
        <w:numPr>
          <w:ilvl w:val="0"/>
          <w:numId w:val="1"/>
        </w:numPr>
        <w:spacing w:after="160" w:line="480" w:lineRule="auto"/>
        <w:contextualSpacing/>
        <w:rPr>
          <w:rFonts w:eastAsia="Calibri"/>
          <w:lang w:val="en-GB"/>
        </w:rPr>
      </w:pPr>
      <w:r w:rsidRPr="003473D1">
        <w:rPr>
          <w:rFonts w:eastAsia="Calibri"/>
          <w:lang w:val="en-GB"/>
        </w:rPr>
        <w:t xml:space="preserve">Campbell MS, Mullins JI, Hughes JP, et al. Viral linkage in HIV-1 seroconverters and their partners in an HIV-1 prevention clinical trial. </w:t>
      </w:r>
      <w:r w:rsidRPr="004B0F93">
        <w:rPr>
          <w:rFonts w:eastAsia="Calibri"/>
          <w:i/>
          <w:lang w:val="en-GB"/>
        </w:rPr>
        <w:t>Plos One.</w:t>
      </w:r>
      <w:r w:rsidRPr="003473D1">
        <w:rPr>
          <w:rFonts w:eastAsia="Calibri"/>
          <w:lang w:val="en-GB"/>
        </w:rPr>
        <w:t xml:space="preserve"> 2011;6: e16986.</w:t>
      </w:r>
    </w:p>
    <w:p w14:paraId="40541711" w14:textId="77777777" w:rsidR="003473D1" w:rsidRPr="003473D1" w:rsidRDefault="003473D1" w:rsidP="005B475B">
      <w:pPr>
        <w:numPr>
          <w:ilvl w:val="0"/>
          <w:numId w:val="1"/>
        </w:numPr>
        <w:spacing w:after="160" w:line="480" w:lineRule="auto"/>
        <w:contextualSpacing/>
        <w:rPr>
          <w:rFonts w:eastAsia="Calibri"/>
          <w:lang w:val="en-GB"/>
        </w:rPr>
      </w:pPr>
      <w:r w:rsidRPr="003473D1">
        <w:rPr>
          <w:rFonts w:eastAsia="Calibri"/>
          <w:lang w:val="en-GB"/>
        </w:rPr>
        <w:t xml:space="preserve">Bernard EJ, Azad Y, Vandamme AM, Weait M, Geretti AM. HIV forensics: pitfalls and acceptable standards in the use of phylogenetic analysis as evidence in criminal investigations of HIV transmission. </w:t>
      </w:r>
      <w:r w:rsidRPr="004B0F93">
        <w:rPr>
          <w:rFonts w:eastAsia="Calibri"/>
          <w:i/>
          <w:lang w:val="en-GB"/>
        </w:rPr>
        <w:t>HIV Med</w:t>
      </w:r>
      <w:r w:rsidRPr="003473D1">
        <w:rPr>
          <w:rFonts w:eastAsia="Calibri"/>
          <w:lang w:val="en-GB"/>
        </w:rPr>
        <w:t>. 2007;8:382-387.</w:t>
      </w:r>
    </w:p>
    <w:p w14:paraId="7505B3D3" w14:textId="77777777" w:rsidR="003473D1" w:rsidRPr="003473D1" w:rsidRDefault="003473D1" w:rsidP="005B475B">
      <w:pPr>
        <w:spacing w:after="160" w:line="480" w:lineRule="auto"/>
        <w:rPr>
          <w:rFonts w:eastAsia="Calibri"/>
          <w:lang w:val="en-GB"/>
        </w:rPr>
      </w:pPr>
    </w:p>
    <w:p w14:paraId="76D09EE2" w14:textId="77777777" w:rsidR="003473D1" w:rsidRPr="003473D1" w:rsidRDefault="003473D1" w:rsidP="005B475B">
      <w:pPr>
        <w:spacing w:after="160" w:line="480" w:lineRule="auto"/>
        <w:rPr>
          <w:rFonts w:eastAsia="Calibri"/>
          <w:lang w:val="en-GB"/>
        </w:rPr>
      </w:pPr>
    </w:p>
    <w:p w14:paraId="3C6C4068" w14:textId="77777777" w:rsidR="008D5491" w:rsidRPr="005B475B" w:rsidRDefault="008D5491" w:rsidP="005B475B">
      <w:pPr>
        <w:spacing w:line="480" w:lineRule="auto"/>
      </w:pPr>
    </w:p>
    <w:sectPr w:rsidR="008D5491" w:rsidRPr="005B475B" w:rsidSect="00FE025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EB"/>
    <w:multiLevelType w:val="hybridMultilevel"/>
    <w:tmpl w:val="12FCB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D1"/>
    <w:rsid w:val="001100B6"/>
    <w:rsid w:val="003473D1"/>
    <w:rsid w:val="00394246"/>
    <w:rsid w:val="00484EAA"/>
    <w:rsid w:val="004B0F93"/>
    <w:rsid w:val="005B475B"/>
    <w:rsid w:val="00755ABE"/>
    <w:rsid w:val="008D5491"/>
    <w:rsid w:val="00944D90"/>
    <w:rsid w:val="0099471B"/>
    <w:rsid w:val="009C6C00"/>
    <w:rsid w:val="00B213EA"/>
    <w:rsid w:val="00D3610E"/>
    <w:rsid w:val="00DE248E"/>
    <w:rsid w:val="00E64995"/>
    <w:rsid w:val="00F24CA6"/>
    <w:rsid w:val="00F84EE5"/>
    <w:rsid w:val="00FE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F3ADA"/>
  <w15:docId w15:val="{38315D85-CA99-494E-AC1A-655FBEF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75B"/>
    <w:rPr>
      <w:rFonts w:ascii="Tahoma" w:hAnsi="Tahoma" w:cs="Tahoma"/>
      <w:sz w:val="16"/>
      <w:szCs w:val="16"/>
    </w:rPr>
  </w:style>
  <w:style w:type="character" w:customStyle="1" w:styleId="BalloonTextChar">
    <w:name w:val="Balloon Text Char"/>
    <w:basedOn w:val="DefaultParagraphFont"/>
    <w:link w:val="BalloonText"/>
    <w:uiPriority w:val="99"/>
    <w:semiHidden/>
    <w:rsid w:val="005B475B"/>
    <w:rPr>
      <w:rFonts w:ascii="Tahoma" w:hAnsi="Tahoma" w:cs="Tahoma"/>
      <w:sz w:val="16"/>
      <w:szCs w:val="16"/>
    </w:rPr>
  </w:style>
  <w:style w:type="character" w:styleId="CommentReference">
    <w:name w:val="annotation reference"/>
    <w:basedOn w:val="DefaultParagraphFont"/>
    <w:uiPriority w:val="99"/>
    <w:semiHidden/>
    <w:unhideWhenUsed/>
    <w:rsid w:val="005B475B"/>
    <w:rPr>
      <w:sz w:val="16"/>
      <w:szCs w:val="16"/>
    </w:rPr>
  </w:style>
  <w:style w:type="paragraph" w:styleId="CommentText">
    <w:name w:val="annotation text"/>
    <w:basedOn w:val="Normal"/>
    <w:link w:val="CommentTextChar"/>
    <w:uiPriority w:val="99"/>
    <w:semiHidden/>
    <w:unhideWhenUsed/>
    <w:rsid w:val="005B475B"/>
    <w:rPr>
      <w:sz w:val="20"/>
      <w:szCs w:val="20"/>
    </w:rPr>
  </w:style>
  <w:style w:type="character" w:customStyle="1" w:styleId="CommentTextChar">
    <w:name w:val="Comment Text Char"/>
    <w:basedOn w:val="DefaultParagraphFont"/>
    <w:link w:val="CommentText"/>
    <w:uiPriority w:val="99"/>
    <w:semiHidden/>
    <w:rsid w:val="005B475B"/>
    <w:rPr>
      <w:sz w:val="20"/>
      <w:szCs w:val="20"/>
    </w:rPr>
  </w:style>
  <w:style w:type="paragraph" w:styleId="CommentSubject">
    <w:name w:val="annotation subject"/>
    <w:basedOn w:val="CommentText"/>
    <w:next w:val="CommentText"/>
    <w:link w:val="CommentSubjectChar"/>
    <w:uiPriority w:val="99"/>
    <w:semiHidden/>
    <w:unhideWhenUsed/>
    <w:rsid w:val="005B475B"/>
    <w:rPr>
      <w:b/>
      <w:bCs/>
    </w:rPr>
  </w:style>
  <w:style w:type="character" w:customStyle="1" w:styleId="CommentSubjectChar">
    <w:name w:val="Comment Subject Char"/>
    <w:basedOn w:val="CommentTextChar"/>
    <w:link w:val="CommentSubject"/>
    <w:uiPriority w:val="99"/>
    <w:semiHidden/>
    <w:rsid w:val="005B475B"/>
    <w:rPr>
      <w:b/>
      <w:bCs/>
      <w:sz w:val="20"/>
      <w:szCs w:val="20"/>
    </w:rPr>
  </w:style>
  <w:style w:type="character" w:styleId="Hyperlink">
    <w:name w:val="Hyperlink"/>
    <w:basedOn w:val="DefaultParagraphFont"/>
    <w:uiPriority w:val="99"/>
    <w:unhideWhenUsed/>
    <w:rsid w:val="005B4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s.ama-assn.org/misc/icmje_author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rodger@ucl.ac.uk"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Dagnall, Rachael</cp:lastModifiedBy>
  <cp:revision>2</cp:revision>
  <dcterms:created xsi:type="dcterms:W3CDTF">2017-02-23T11:23:00Z</dcterms:created>
  <dcterms:modified xsi:type="dcterms:W3CDTF">2017-02-23T11:23:00Z</dcterms:modified>
</cp:coreProperties>
</file>