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CFA" w:rsidRPr="0011769A" w:rsidRDefault="00DA7CFA" w:rsidP="00DA7CFA">
      <w:pPr>
        <w:rPr>
          <w:rFonts w:ascii="Trebuchet MS" w:eastAsia="Times New Roman" w:hAnsi="Trebuchet MS" w:cs="Times New Roman"/>
          <w:color w:val="000000"/>
          <w:sz w:val="16"/>
          <w:szCs w:val="16"/>
          <w:lang w:eastAsia="en-GB"/>
        </w:rPr>
      </w:pPr>
    </w:p>
    <w:p w:rsidR="00566FDB" w:rsidRPr="00886C07" w:rsidRDefault="00C1306D" w:rsidP="00315225">
      <w:pPr>
        <w:jc w:val="center"/>
        <w:rPr>
          <w:b/>
          <w:sz w:val="28"/>
          <w:szCs w:val="28"/>
        </w:rPr>
      </w:pPr>
      <w:r w:rsidRPr="00886C07">
        <w:rPr>
          <w:b/>
          <w:sz w:val="28"/>
          <w:szCs w:val="28"/>
        </w:rPr>
        <w:t xml:space="preserve">DANGEROUS LIAISONS?: </w:t>
      </w:r>
    </w:p>
    <w:p w:rsidR="00E5098A" w:rsidRPr="00886C07" w:rsidRDefault="00C1306D" w:rsidP="00315225">
      <w:pPr>
        <w:jc w:val="center"/>
        <w:rPr>
          <w:b/>
          <w:sz w:val="28"/>
          <w:szCs w:val="28"/>
        </w:rPr>
      </w:pPr>
      <w:r w:rsidRPr="00886C07">
        <w:rPr>
          <w:b/>
          <w:sz w:val="28"/>
          <w:szCs w:val="28"/>
        </w:rPr>
        <w:t>PSYCHIATRY</w:t>
      </w:r>
      <w:r w:rsidR="006B3AFF" w:rsidRPr="00886C07">
        <w:rPr>
          <w:b/>
          <w:sz w:val="28"/>
          <w:szCs w:val="28"/>
        </w:rPr>
        <w:t>, LANGUAGE</w:t>
      </w:r>
      <w:r w:rsidRPr="00886C07">
        <w:rPr>
          <w:b/>
          <w:sz w:val="28"/>
          <w:szCs w:val="28"/>
        </w:rPr>
        <w:t xml:space="preserve"> AND LAW IN THE COURT OF PROTECTION - EXPERT DISCOURSES OF ‘INSIGHT’</w:t>
      </w:r>
      <w:r w:rsidR="00E05923" w:rsidRPr="00886C07">
        <w:rPr>
          <w:b/>
          <w:sz w:val="28"/>
          <w:szCs w:val="28"/>
        </w:rPr>
        <w:t xml:space="preserve"> IN MENTAL CAPACITY</w:t>
      </w:r>
      <w:r w:rsidRPr="00886C07">
        <w:rPr>
          <w:b/>
          <w:sz w:val="28"/>
          <w:szCs w:val="28"/>
        </w:rPr>
        <w:t xml:space="preserve"> </w:t>
      </w:r>
    </w:p>
    <w:p w:rsidR="001C6883" w:rsidRPr="00886C07" w:rsidRDefault="001C6883" w:rsidP="001C6883">
      <w:pPr>
        <w:jc w:val="center"/>
        <w:rPr>
          <w:b/>
          <w:sz w:val="28"/>
          <w:szCs w:val="28"/>
        </w:rPr>
      </w:pPr>
      <w:r w:rsidRPr="00886C07">
        <w:rPr>
          <w:b/>
          <w:sz w:val="28"/>
          <w:szCs w:val="28"/>
        </w:rPr>
        <w:t>ABSTRACT</w:t>
      </w:r>
    </w:p>
    <w:p w:rsidR="001C6883" w:rsidRPr="00886C07" w:rsidRDefault="001C6883" w:rsidP="001C6883">
      <w:pPr>
        <w:spacing w:after="0" w:line="360" w:lineRule="auto"/>
        <w:jc w:val="both"/>
      </w:pPr>
      <w:r w:rsidRPr="00886C07">
        <w:t xml:space="preserve">A finding that </w:t>
      </w:r>
      <w:r>
        <w:t>‘</w:t>
      </w:r>
      <w:r w:rsidRPr="00886C07">
        <w:t>P</w:t>
      </w:r>
      <w:r>
        <w:t>’</w:t>
      </w:r>
      <w:r>
        <w:rPr>
          <w:rStyle w:val="FootnoteReference"/>
        </w:rPr>
        <w:footnoteReference w:id="1"/>
      </w:r>
      <w:r w:rsidRPr="00886C07">
        <w:t xml:space="preserve"> lacks mental capacity </w:t>
      </w:r>
      <w:r w:rsidRPr="00886C07">
        <w:rPr>
          <w:szCs w:val="24"/>
        </w:rPr>
        <w:t xml:space="preserve">is the trigger for exposing </w:t>
      </w:r>
      <w:r>
        <w:rPr>
          <w:szCs w:val="24"/>
        </w:rPr>
        <w:t>them</w:t>
      </w:r>
      <w:r w:rsidRPr="00886C07">
        <w:rPr>
          <w:szCs w:val="24"/>
        </w:rPr>
        <w:t xml:space="preserve"> to decision making by others and the powers of the Court of Protection which, in the words of Justice Hedley, can be ‘invasive and draconian</w:t>
      </w:r>
      <w:r>
        <w:rPr>
          <w:szCs w:val="24"/>
        </w:rPr>
        <w:t>.</w:t>
      </w:r>
      <w:r w:rsidRPr="00886C07">
        <w:rPr>
          <w:szCs w:val="24"/>
        </w:rPr>
        <w:t>’</w:t>
      </w:r>
      <w:r w:rsidRPr="00886C07">
        <w:rPr>
          <w:rStyle w:val="FootnoteReference"/>
          <w:szCs w:val="24"/>
        </w:rPr>
        <w:footnoteReference w:id="2"/>
      </w:r>
      <w:r w:rsidRPr="00886C07">
        <w:rPr>
          <w:szCs w:val="24"/>
        </w:rPr>
        <w:t xml:space="preserve"> </w:t>
      </w:r>
      <w:r w:rsidRPr="00886C07">
        <w:t xml:space="preserve">Whilst the law asserts the upper hand in the assessment of mental capacity for persons who come before the Court of Protection, it is the discipline of psychiatry which dominates expert witness testimony in these proceedings. There are a number of implications of allowing psychiatry to dominate this terrain, not least that, as will be argued in this paper, clinical discourse which makes reference to non-statutory terminology such as ‘lack of insight’ and ‘non-compliance’ are imported into the business of capacity assessment. This terminology, if used lazily and without clear reference to the statutory criteria, has the potential to muddy the waters of assessing P’s capacity. At its worst, it can mask value judgements which threaten to undermine the law’s ‘autonomy promoting’ provisions set out in the Mental Capacity Act 2005. Whilst it is not intended to discredit ‘insight’ as a concept in psychiatry, this paper concludes that it has a proper context, and that in the mental capacity context, decision makers, lawyers and advocates should exercise careful scrutiny of its use, and Court of Protection judgments should </w:t>
      </w:r>
      <w:r>
        <w:t>carefully interrogate the language imported by expert witnesses</w:t>
      </w:r>
      <w:r w:rsidRPr="00886C07">
        <w:t>.</w:t>
      </w:r>
      <w:r w:rsidRPr="00886C07">
        <w:rPr>
          <w:rStyle w:val="FootnoteReference"/>
        </w:rPr>
        <w:footnoteReference w:id="3"/>
      </w:r>
    </w:p>
    <w:p w:rsidR="001C6883" w:rsidRPr="00886C07" w:rsidRDefault="001C6883" w:rsidP="001C6883">
      <w:pPr>
        <w:spacing w:after="0" w:line="360" w:lineRule="auto"/>
        <w:jc w:val="both"/>
      </w:pPr>
    </w:p>
    <w:p w:rsidR="0011769A" w:rsidRPr="00886C07" w:rsidRDefault="0011769A" w:rsidP="004E2F0D">
      <w:pPr>
        <w:rPr>
          <w:rFonts w:asciiTheme="majorHAnsi" w:hAnsiTheme="majorHAnsi"/>
          <w:sz w:val="20"/>
          <w:szCs w:val="20"/>
        </w:rPr>
      </w:pPr>
    </w:p>
    <w:p w:rsidR="001B6403" w:rsidRPr="00886C07" w:rsidRDefault="001B6403" w:rsidP="001B6403">
      <w:pPr>
        <w:spacing w:after="0" w:line="360" w:lineRule="auto"/>
        <w:jc w:val="center"/>
        <w:rPr>
          <w:i/>
        </w:rPr>
      </w:pPr>
      <w:r w:rsidRPr="00886C07">
        <w:rPr>
          <w:i/>
        </w:rPr>
        <w:t>Keywo</w:t>
      </w:r>
      <w:r w:rsidR="00C92F03" w:rsidRPr="00886C07">
        <w:rPr>
          <w:i/>
        </w:rPr>
        <w:t>r</w:t>
      </w:r>
      <w:r w:rsidRPr="00886C07">
        <w:rPr>
          <w:i/>
        </w:rPr>
        <w:t xml:space="preserve">ds: </w:t>
      </w:r>
      <w:r w:rsidR="00F37776" w:rsidRPr="00F37776">
        <w:rPr>
          <w:i/>
        </w:rPr>
        <w:t xml:space="preserve">capacity - Court of Protection - insight – psychiatry  </w:t>
      </w:r>
    </w:p>
    <w:p w:rsidR="0067380E" w:rsidRPr="00886C07" w:rsidRDefault="0067380E" w:rsidP="00DB4883">
      <w:pPr>
        <w:spacing w:after="0" w:line="360" w:lineRule="auto"/>
        <w:jc w:val="both"/>
      </w:pPr>
    </w:p>
    <w:p w:rsidR="00311D59" w:rsidRPr="00886C07" w:rsidRDefault="00311D59" w:rsidP="0067380E">
      <w:pPr>
        <w:spacing w:after="0" w:line="240" w:lineRule="auto"/>
        <w:jc w:val="both"/>
      </w:pPr>
    </w:p>
    <w:p w:rsidR="00A84375" w:rsidRPr="00886C07" w:rsidRDefault="00341C2A" w:rsidP="00341C2A">
      <w:pPr>
        <w:jc w:val="center"/>
      </w:pPr>
      <w:r w:rsidRPr="00886C07">
        <w:t>I. INTRODUCTION: MENTAL CAPACITY - PSYCHIATRY’S DOMINION?</w:t>
      </w:r>
    </w:p>
    <w:p w:rsidR="00CB43A9" w:rsidRPr="00886C07" w:rsidRDefault="00062620" w:rsidP="00DB4883">
      <w:pPr>
        <w:pStyle w:val="CommentText"/>
        <w:spacing w:line="360" w:lineRule="auto"/>
        <w:jc w:val="both"/>
        <w:rPr>
          <w:sz w:val="22"/>
          <w:szCs w:val="22"/>
        </w:rPr>
      </w:pPr>
      <w:r w:rsidRPr="00886C07">
        <w:rPr>
          <w:sz w:val="22"/>
          <w:szCs w:val="22"/>
        </w:rPr>
        <w:lastRenderedPageBreak/>
        <w:t>The domain of m</w:t>
      </w:r>
      <w:r w:rsidR="00F63AB2" w:rsidRPr="00886C07">
        <w:rPr>
          <w:sz w:val="22"/>
          <w:szCs w:val="22"/>
        </w:rPr>
        <w:t>ental capacity</w:t>
      </w:r>
      <w:r w:rsidRPr="00886C07">
        <w:rPr>
          <w:sz w:val="22"/>
          <w:szCs w:val="22"/>
        </w:rPr>
        <w:t xml:space="preserve"> assessment</w:t>
      </w:r>
      <w:r w:rsidR="00F63AB2" w:rsidRPr="00886C07">
        <w:rPr>
          <w:sz w:val="22"/>
          <w:szCs w:val="22"/>
        </w:rPr>
        <w:t xml:space="preserve"> </w:t>
      </w:r>
      <w:r w:rsidRPr="00886C07">
        <w:rPr>
          <w:sz w:val="22"/>
          <w:szCs w:val="22"/>
        </w:rPr>
        <w:t xml:space="preserve">defies categorisation – it </w:t>
      </w:r>
      <w:r w:rsidR="00F63AB2" w:rsidRPr="00886C07">
        <w:rPr>
          <w:sz w:val="22"/>
          <w:szCs w:val="22"/>
        </w:rPr>
        <w:t>is ‘…not straightforwardly medical, legal, biological or psychological’</w:t>
      </w:r>
      <w:r w:rsidR="00404C21" w:rsidRPr="00886C07">
        <w:rPr>
          <w:sz w:val="22"/>
          <w:szCs w:val="22"/>
        </w:rPr>
        <w:t>.</w:t>
      </w:r>
      <w:r w:rsidR="00F63AB2" w:rsidRPr="00886C07">
        <w:rPr>
          <w:rStyle w:val="FootnoteReference"/>
          <w:sz w:val="22"/>
          <w:szCs w:val="22"/>
        </w:rPr>
        <w:footnoteReference w:id="4"/>
      </w:r>
      <w:r w:rsidR="003029B9" w:rsidRPr="00886C07">
        <w:rPr>
          <w:sz w:val="22"/>
          <w:szCs w:val="22"/>
        </w:rPr>
        <w:t xml:space="preserve"> </w:t>
      </w:r>
      <w:r w:rsidR="00CB43A9" w:rsidRPr="00886C07">
        <w:rPr>
          <w:sz w:val="22"/>
          <w:szCs w:val="22"/>
        </w:rPr>
        <w:t>In cases where P’s mental capacity is disputed, the M</w:t>
      </w:r>
      <w:r w:rsidR="00D14BB4" w:rsidRPr="00886C07">
        <w:rPr>
          <w:sz w:val="22"/>
          <w:szCs w:val="22"/>
        </w:rPr>
        <w:t>ental Capacity Act 2005</w:t>
      </w:r>
      <w:r w:rsidR="00CB43A9" w:rsidRPr="00886C07">
        <w:rPr>
          <w:sz w:val="22"/>
          <w:szCs w:val="22"/>
        </w:rPr>
        <w:t xml:space="preserve"> </w:t>
      </w:r>
      <w:r w:rsidR="00E05923" w:rsidRPr="00886C07">
        <w:rPr>
          <w:sz w:val="22"/>
          <w:szCs w:val="22"/>
        </w:rPr>
        <w:t xml:space="preserve">(‘MCA’) </w:t>
      </w:r>
      <w:r w:rsidR="00CB43A9" w:rsidRPr="00886C07">
        <w:rPr>
          <w:sz w:val="22"/>
          <w:szCs w:val="22"/>
        </w:rPr>
        <w:t>applies a test which fuses clinical and legal</w:t>
      </w:r>
      <w:r w:rsidR="00990791" w:rsidRPr="00886C07">
        <w:rPr>
          <w:sz w:val="22"/>
          <w:szCs w:val="22"/>
        </w:rPr>
        <w:t xml:space="preserve"> competences</w:t>
      </w:r>
      <w:r w:rsidR="00CB43A9" w:rsidRPr="00886C07">
        <w:rPr>
          <w:sz w:val="22"/>
          <w:szCs w:val="22"/>
        </w:rPr>
        <w:t>. The statutory test for incapacity requires those alleging incapacity to demonstrate that P is ‘unable to make a decision’ because of an ‘impairment or disturbance in the functioning of the mind or brain.’</w:t>
      </w:r>
      <w:r w:rsidR="00CB43A9" w:rsidRPr="00886C07">
        <w:rPr>
          <w:rStyle w:val="FootnoteReference"/>
          <w:sz w:val="22"/>
          <w:szCs w:val="22"/>
        </w:rPr>
        <w:footnoteReference w:id="5"/>
      </w:r>
      <w:r w:rsidR="00CB43A9" w:rsidRPr="00886C07">
        <w:rPr>
          <w:sz w:val="22"/>
          <w:szCs w:val="22"/>
        </w:rPr>
        <w:t xml:space="preserve">  In cases which come before the Court of Protection (‘</w:t>
      </w:r>
      <w:proofErr w:type="spellStart"/>
      <w:r w:rsidR="00CB43A9" w:rsidRPr="00886C07">
        <w:rPr>
          <w:sz w:val="22"/>
          <w:szCs w:val="22"/>
        </w:rPr>
        <w:t>CoP</w:t>
      </w:r>
      <w:proofErr w:type="spellEnd"/>
      <w:r w:rsidR="00CB43A9" w:rsidRPr="00886C07">
        <w:rPr>
          <w:sz w:val="22"/>
          <w:szCs w:val="22"/>
        </w:rPr>
        <w:t>’), the evidence of an expert witness (usually a psychiatrist) that P is suffering from an</w:t>
      </w:r>
      <w:r w:rsidR="00990791" w:rsidRPr="00886C07">
        <w:rPr>
          <w:sz w:val="22"/>
          <w:szCs w:val="22"/>
        </w:rPr>
        <w:t xml:space="preserve"> ‘</w:t>
      </w:r>
      <w:r w:rsidR="00CB43A9" w:rsidRPr="00886C07">
        <w:rPr>
          <w:sz w:val="22"/>
          <w:szCs w:val="22"/>
        </w:rPr>
        <w:t>impairment</w:t>
      </w:r>
      <w:r w:rsidR="00990791" w:rsidRPr="00886C07">
        <w:rPr>
          <w:sz w:val="22"/>
          <w:szCs w:val="22"/>
        </w:rPr>
        <w:t>’</w:t>
      </w:r>
      <w:r w:rsidR="00CB43A9" w:rsidRPr="00886C07">
        <w:rPr>
          <w:sz w:val="22"/>
          <w:szCs w:val="22"/>
        </w:rPr>
        <w:t xml:space="preserve"> is generally accepted, but the courts claim to be the ultimate arbiter of whether P is in fact ‘unable to make a decision.’</w:t>
      </w:r>
      <w:r w:rsidR="009D2B15" w:rsidRPr="00886C07">
        <w:rPr>
          <w:rStyle w:val="FootnoteReference"/>
          <w:sz w:val="22"/>
          <w:szCs w:val="22"/>
        </w:rPr>
        <w:footnoteReference w:id="6"/>
      </w:r>
      <w:r w:rsidR="00CB43A9" w:rsidRPr="00886C07">
        <w:rPr>
          <w:sz w:val="22"/>
          <w:szCs w:val="22"/>
        </w:rPr>
        <w:t xml:space="preserve"> </w:t>
      </w:r>
    </w:p>
    <w:p w:rsidR="002A7C63" w:rsidRPr="002A7C63" w:rsidRDefault="009D2B15" w:rsidP="004A4299">
      <w:pPr>
        <w:pStyle w:val="CommentText"/>
        <w:spacing w:line="360" w:lineRule="auto"/>
        <w:jc w:val="both"/>
        <w:rPr>
          <w:sz w:val="22"/>
          <w:szCs w:val="22"/>
        </w:rPr>
      </w:pPr>
      <w:r w:rsidRPr="00886C07">
        <w:rPr>
          <w:sz w:val="22"/>
          <w:szCs w:val="22"/>
        </w:rPr>
        <w:t>Although mental capacity is clearly not a purely clinical concept, i</w:t>
      </w:r>
      <w:r w:rsidR="00F63AB2" w:rsidRPr="00886C07">
        <w:rPr>
          <w:sz w:val="22"/>
          <w:szCs w:val="22"/>
        </w:rPr>
        <w:t>t is indisputable that witnesses from the field of psychiatry</w:t>
      </w:r>
      <w:r w:rsidR="00576B85" w:rsidRPr="00886C07">
        <w:rPr>
          <w:sz w:val="22"/>
          <w:szCs w:val="22"/>
        </w:rPr>
        <w:t xml:space="preserve"> far</w:t>
      </w:r>
      <w:r w:rsidR="00311D59" w:rsidRPr="00886C07">
        <w:rPr>
          <w:sz w:val="22"/>
          <w:szCs w:val="22"/>
        </w:rPr>
        <w:t xml:space="preserve"> </w:t>
      </w:r>
      <w:r w:rsidR="006535C9" w:rsidRPr="00886C07">
        <w:rPr>
          <w:sz w:val="22"/>
          <w:szCs w:val="22"/>
        </w:rPr>
        <w:t>outnumber other expert witnesses</w:t>
      </w:r>
      <w:r w:rsidR="00E04D81" w:rsidRPr="00886C07">
        <w:rPr>
          <w:sz w:val="22"/>
          <w:szCs w:val="22"/>
        </w:rPr>
        <w:t xml:space="preserve"> </w:t>
      </w:r>
      <w:r w:rsidR="00F63AB2" w:rsidRPr="00886C07">
        <w:rPr>
          <w:sz w:val="22"/>
          <w:szCs w:val="22"/>
        </w:rPr>
        <w:t xml:space="preserve">in </w:t>
      </w:r>
      <w:proofErr w:type="spellStart"/>
      <w:r w:rsidR="00CB43A9" w:rsidRPr="00886C07">
        <w:rPr>
          <w:sz w:val="22"/>
          <w:szCs w:val="22"/>
        </w:rPr>
        <w:t>CoP</w:t>
      </w:r>
      <w:proofErr w:type="spellEnd"/>
      <w:r w:rsidR="00CB43A9" w:rsidRPr="00886C07">
        <w:rPr>
          <w:sz w:val="22"/>
          <w:szCs w:val="22"/>
        </w:rPr>
        <w:t xml:space="preserve"> </w:t>
      </w:r>
      <w:r w:rsidR="00F63AB2" w:rsidRPr="00886C07">
        <w:rPr>
          <w:sz w:val="22"/>
          <w:szCs w:val="22"/>
        </w:rPr>
        <w:t xml:space="preserve">hearings where mental capacity is in issue. </w:t>
      </w:r>
      <w:r w:rsidR="00D4555B" w:rsidRPr="00886C07">
        <w:rPr>
          <w:sz w:val="22"/>
          <w:szCs w:val="22"/>
        </w:rPr>
        <w:t xml:space="preserve">This might, at least in part, be explained by the fact that cases coming before the </w:t>
      </w:r>
      <w:proofErr w:type="spellStart"/>
      <w:r w:rsidR="00D4555B" w:rsidRPr="00886C07">
        <w:rPr>
          <w:sz w:val="22"/>
          <w:szCs w:val="22"/>
        </w:rPr>
        <w:t>CoP</w:t>
      </w:r>
      <w:proofErr w:type="spellEnd"/>
      <w:r w:rsidR="00D4555B" w:rsidRPr="00886C07">
        <w:rPr>
          <w:sz w:val="22"/>
          <w:szCs w:val="22"/>
        </w:rPr>
        <w:t xml:space="preserve"> often </w:t>
      </w:r>
      <w:r w:rsidR="002A7C63">
        <w:rPr>
          <w:sz w:val="22"/>
          <w:szCs w:val="22"/>
        </w:rPr>
        <w:t>concern</w:t>
      </w:r>
      <w:r w:rsidR="00D4555B" w:rsidRPr="00886C07">
        <w:rPr>
          <w:sz w:val="22"/>
          <w:szCs w:val="22"/>
        </w:rPr>
        <w:t xml:space="preserve"> a patient with a history of mental disorder, but it is also clear that the evidence of the psychiatrist is </w:t>
      </w:r>
      <w:r w:rsidR="00D14BB4" w:rsidRPr="00886C07">
        <w:rPr>
          <w:sz w:val="22"/>
          <w:szCs w:val="22"/>
        </w:rPr>
        <w:t>commissioned</w:t>
      </w:r>
      <w:r w:rsidR="00D4555B" w:rsidRPr="00886C07">
        <w:rPr>
          <w:sz w:val="22"/>
          <w:szCs w:val="22"/>
        </w:rPr>
        <w:t xml:space="preserve"> not only on whether P is affected by ‘impairment,’ but </w:t>
      </w:r>
      <w:r w:rsidR="00D14BB4" w:rsidRPr="00886C07">
        <w:rPr>
          <w:sz w:val="22"/>
          <w:szCs w:val="22"/>
        </w:rPr>
        <w:t xml:space="preserve">is also routinely sought </w:t>
      </w:r>
      <w:r w:rsidR="00D4555B" w:rsidRPr="00886C07">
        <w:rPr>
          <w:sz w:val="22"/>
          <w:szCs w:val="22"/>
        </w:rPr>
        <w:t xml:space="preserve">on whether P is ‘unable to make a decision.’ </w:t>
      </w:r>
      <w:r w:rsidR="006F3BF8" w:rsidRPr="00886C07">
        <w:rPr>
          <w:sz w:val="22"/>
          <w:szCs w:val="22"/>
        </w:rPr>
        <w:t xml:space="preserve">Taking a sample of </w:t>
      </w:r>
      <w:proofErr w:type="spellStart"/>
      <w:r w:rsidR="006F3BF8" w:rsidRPr="00886C07">
        <w:rPr>
          <w:sz w:val="22"/>
          <w:szCs w:val="22"/>
        </w:rPr>
        <w:t>CoP</w:t>
      </w:r>
      <w:proofErr w:type="spellEnd"/>
      <w:r w:rsidR="006F3BF8" w:rsidRPr="00886C07">
        <w:rPr>
          <w:sz w:val="22"/>
          <w:szCs w:val="22"/>
        </w:rPr>
        <w:t xml:space="preserve"> judgments </w:t>
      </w:r>
      <w:r w:rsidR="00215126" w:rsidRPr="00886C07">
        <w:rPr>
          <w:sz w:val="22"/>
          <w:szCs w:val="22"/>
        </w:rPr>
        <w:t>where P’s capacity is unpacked in detail</w:t>
      </w:r>
      <w:r w:rsidR="006F3BF8" w:rsidRPr="00886C07">
        <w:rPr>
          <w:sz w:val="22"/>
          <w:szCs w:val="22"/>
        </w:rPr>
        <w:t>, those judgments identify 53</w:t>
      </w:r>
      <w:r w:rsidR="0055135F" w:rsidRPr="00886C07">
        <w:rPr>
          <w:sz w:val="22"/>
          <w:szCs w:val="22"/>
        </w:rPr>
        <w:t xml:space="preserve"> </w:t>
      </w:r>
      <w:r w:rsidR="008F1891" w:rsidRPr="00886C07">
        <w:rPr>
          <w:i/>
          <w:sz w:val="22"/>
          <w:szCs w:val="22"/>
        </w:rPr>
        <w:t>per cent</w:t>
      </w:r>
      <w:r w:rsidR="006F3BF8" w:rsidRPr="00886C07">
        <w:rPr>
          <w:sz w:val="22"/>
          <w:szCs w:val="22"/>
        </w:rPr>
        <w:t xml:space="preserve"> of the expert witnesses as being psychiatrists, as compared with </w:t>
      </w:r>
      <w:r w:rsidR="00365D6C" w:rsidRPr="00886C07">
        <w:rPr>
          <w:sz w:val="22"/>
          <w:szCs w:val="22"/>
        </w:rPr>
        <w:t>20</w:t>
      </w:r>
      <w:r w:rsidR="0055135F" w:rsidRPr="00886C07">
        <w:rPr>
          <w:sz w:val="22"/>
          <w:szCs w:val="22"/>
        </w:rPr>
        <w:t xml:space="preserve"> </w:t>
      </w:r>
      <w:r w:rsidR="008F1891" w:rsidRPr="00886C07">
        <w:rPr>
          <w:i/>
          <w:sz w:val="22"/>
          <w:szCs w:val="22"/>
        </w:rPr>
        <w:t>per cent</w:t>
      </w:r>
      <w:r w:rsidR="006F3BF8" w:rsidRPr="00886C07">
        <w:rPr>
          <w:sz w:val="22"/>
          <w:szCs w:val="22"/>
        </w:rPr>
        <w:t xml:space="preserve"> being ‘other doctors’, 14</w:t>
      </w:r>
      <w:r w:rsidR="0055135F" w:rsidRPr="00886C07">
        <w:rPr>
          <w:sz w:val="22"/>
          <w:szCs w:val="22"/>
        </w:rPr>
        <w:t xml:space="preserve"> </w:t>
      </w:r>
      <w:r w:rsidR="008F1891" w:rsidRPr="00886C07">
        <w:rPr>
          <w:i/>
          <w:sz w:val="22"/>
          <w:szCs w:val="22"/>
        </w:rPr>
        <w:t>per cent</w:t>
      </w:r>
      <w:r w:rsidR="006F3BF8" w:rsidRPr="00886C07">
        <w:rPr>
          <w:sz w:val="22"/>
          <w:szCs w:val="22"/>
        </w:rPr>
        <w:t xml:space="preserve"> being social workers and 9</w:t>
      </w:r>
      <w:r w:rsidR="0055135F" w:rsidRPr="00886C07">
        <w:rPr>
          <w:sz w:val="22"/>
          <w:szCs w:val="22"/>
        </w:rPr>
        <w:t xml:space="preserve"> </w:t>
      </w:r>
      <w:r w:rsidR="008F1891" w:rsidRPr="00886C07">
        <w:rPr>
          <w:i/>
          <w:sz w:val="22"/>
          <w:szCs w:val="22"/>
        </w:rPr>
        <w:t>per cent</w:t>
      </w:r>
      <w:r w:rsidR="006F3BF8" w:rsidRPr="00886C07">
        <w:rPr>
          <w:sz w:val="22"/>
          <w:szCs w:val="22"/>
        </w:rPr>
        <w:t xml:space="preserve"> being psychologists.</w:t>
      </w:r>
      <w:r w:rsidR="006F3BF8" w:rsidRPr="00886C07">
        <w:rPr>
          <w:rStyle w:val="FootnoteReference"/>
          <w:sz w:val="22"/>
          <w:szCs w:val="22"/>
        </w:rPr>
        <w:footnoteReference w:id="7"/>
      </w:r>
      <w:r w:rsidR="006F3BF8" w:rsidRPr="00886C07">
        <w:rPr>
          <w:sz w:val="22"/>
          <w:szCs w:val="22"/>
        </w:rPr>
        <w:t xml:space="preserve"> </w:t>
      </w:r>
    </w:p>
    <w:p w:rsidR="00FF1021" w:rsidRPr="002A7C63" w:rsidRDefault="00F7300A" w:rsidP="00217D1F">
      <w:pPr>
        <w:pStyle w:val="CommentText"/>
        <w:spacing w:line="360" w:lineRule="auto"/>
        <w:jc w:val="both"/>
        <w:rPr>
          <w:sz w:val="22"/>
          <w:szCs w:val="22"/>
        </w:rPr>
      </w:pPr>
      <w:r w:rsidRPr="002A7C63">
        <w:rPr>
          <w:sz w:val="22"/>
          <w:szCs w:val="22"/>
        </w:rPr>
        <w:t xml:space="preserve">The </w:t>
      </w:r>
      <w:r w:rsidR="002A7C63" w:rsidRPr="002A7C63">
        <w:rPr>
          <w:sz w:val="22"/>
          <w:szCs w:val="22"/>
        </w:rPr>
        <w:t xml:space="preserve">number </w:t>
      </w:r>
      <w:r w:rsidRPr="002A7C63">
        <w:rPr>
          <w:sz w:val="22"/>
          <w:szCs w:val="22"/>
        </w:rPr>
        <w:t xml:space="preserve">of consultant psychiatrists </w:t>
      </w:r>
      <w:r w:rsidR="002A7C63" w:rsidRPr="002A7C63">
        <w:rPr>
          <w:sz w:val="22"/>
          <w:szCs w:val="22"/>
        </w:rPr>
        <w:t xml:space="preserve">identified </w:t>
      </w:r>
      <w:r w:rsidRPr="002A7C63">
        <w:rPr>
          <w:sz w:val="22"/>
          <w:szCs w:val="22"/>
        </w:rPr>
        <w:t xml:space="preserve">in judgments dealing with capacity, and the extent to which their competence is presumed to extend to </w:t>
      </w:r>
      <w:r w:rsidR="00990791" w:rsidRPr="002A7C63">
        <w:rPr>
          <w:sz w:val="22"/>
          <w:szCs w:val="22"/>
        </w:rPr>
        <w:t>assessing whether P is ‘unable to make a decision’</w:t>
      </w:r>
      <w:r w:rsidRPr="002A7C63">
        <w:rPr>
          <w:sz w:val="22"/>
          <w:szCs w:val="22"/>
        </w:rPr>
        <w:t>,</w:t>
      </w:r>
      <w:r w:rsidR="00990791" w:rsidRPr="002A7C63">
        <w:rPr>
          <w:sz w:val="22"/>
          <w:szCs w:val="22"/>
        </w:rPr>
        <w:t xml:space="preserve"> </w:t>
      </w:r>
      <w:r w:rsidRPr="002A7C63">
        <w:rPr>
          <w:sz w:val="22"/>
          <w:szCs w:val="22"/>
        </w:rPr>
        <w:t>may give rise to</w:t>
      </w:r>
      <w:r w:rsidR="00253123" w:rsidRPr="002A7C63">
        <w:rPr>
          <w:sz w:val="22"/>
          <w:szCs w:val="22"/>
        </w:rPr>
        <w:t xml:space="preserve"> a number of questions and</w:t>
      </w:r>
      <w:r w:rsidRPr="002A7C63">
        <w:rPr>
          <w:sz w:val="22"/>
          <w:szCs w:val="22"/>
        </w:rPr>
        <w:t xml:space="preserve"> concerns in and of themselves. The focus of this paper, however, is on the </w:t>
      </w:r>
      <w:r w:rsidR="00297AD0" w:rsidRPr="002A7C63">
        <w:rPr>
          <w:sz w:val="22"/>
          <w:szCs w:val="22"/>
        </w:rPr>
        <w:t xml:space="preserve">frequent </w:t>
      </w:r>
      <w:r w:rsidRPr="002A7C63">
        <w:rPr>
          <w:sz w:val="22"/>
          <w:szCs w:val="22"/>
        </w:rPr>
        <w:t xml:space="preserve">use of particular </w:t>
      </w:r>
      <w:r w:rsidR="00297AD0" w:rsidRPr="002A7C63">
        <w:rPr>
          <w:sz w:val="22"/>
          <w:szCs w:val="22"/>
        </w:rPr>
        <w:t xml:space="preserve">terms </w:t>
      </w:r>
      <w:r w:rsidRPr="002A7C63">
        <w:rPr>
          <w:sz w:val="22"/>
          <w:szCs w:val="22"/>
        </w:rPr>
        <w:t xml:space="preserve">in evidence, imported from </w:t>
      </w:r>
      <w:r w:rsidR="0051727D" w:rsidRPr="002A7C63">
        <w:rPr>
          <w:sz w:val="22"/>
          <w:szCs w:val="22"/>
        </w:rPr>
        <w:t>psychiatry</w:t>
      </w:r>
      <w:r w:rsidRPr="002A7C63">
        <w:rPr>
          <w:sz w:val="22"/>
          <w:szCs w:val="22"/>
        </w:rPr>
        <w:t xml:space="preserve">, which do not feature in </w:t>
      </w:r>
      <w:r w:rsidR="00EC4A8B" w:rsidRPr="002A7C63">
        <w:rPr>
          <w:sz w:val="22"/>
          <w:szCs w:val="22"/>
        </w:rPr>
        <w:t xml:space="preserve">either </w:t>
      </w:r>
      <w:r w:rsidRPr="002A7C63">
        <w:rPr>
          <w:sz w:val="22"/>
          <w:szCs w:val="22"/>
        </w:rPr>
        <w:t xml:space="preserve">the </w:t>
      </w:r>
      <w:r w:rsidR="00215126" w:rsidRPr="002A7C63">
        <w:rPr>
          <w:sz w:val="22"/>
          <w:szCs w:val="22"/>
        </w:rPr>
        <w:t>MCA</w:t>
      </w:r>
      <w:r w:rsidRPr="002A7C63">
        <w:rPr>
          <w:sz w:val="22"/>
          <w:szCs w:val="22"/>
        </w:rPr>
        <w:t xml:space="preserve"> or</w:t>
      </w:r>
      <w:r w:rsidR="00253123" w:rsidRPr="002A7C63">
        <w:rPr>
          <w:sz w:val="22"/>
          <w:szCs w:val="22"/>
        </w:rPr>
        <w:t xml:space="preserve"> the</w:t>
      </w:r>
      <w:r w:rsidRPr="002A7C63">
        <w:rPr>
          <w:sz w:val="22"/>
          <w:szCs w:val="22"/>
        </w:rPr>
        <w:t xml:space="preserve"> </w:t>
      </w:r>
      <w:r w:rsidR="00EC4A8B" w:rsidRPr="002A7C63">
        <w:rPr>
          <w:sz w:val="22"/>
          <w:szCs w:val="22"/>
        </w:rPr>
        <w:t xml:space="preserve">accompanying </w:t>
      </w:r>
      <w:r w:rsidRPr="002A7C63">
        <w:rPr>
          <w:sz w:val="22"/>
          <w:szCs w:val="22"/>
        </w:rPr>
        <w:t>Code of Practice.</w:t>
      </w:r>
      <w:r w:rsidR="00A37C74" w:rsidRPr="002A7C63">
        <w:rPr>
          <w:sz w:val="22"/>
          <w:szCs w:val="22"/>
        </w:rPr>
        <w:t xml:space="preserve"> This paper will first review the </w:t>
      </w:r>
      <w:r w:rsidR="00EC4A8B" w:rsidRPr="002A7C63">
        <w:rPr>
          <w:sz w:val="22"/>
          <w:szCs w:val="22"/>
        </w:rPr>
        <w:t xml:space="preserve">language of the </w:t>
      </w:r>
      <w:r w:rsidR="00A37C74" w:rsidRPr="002A7C63">
        <w:rPr>
          <w:sz w:val="22"/>
          <w:szCs w:val="22"/>
        </w:rPr>
        <w:t xml:space="preserve">statutory test for incapacity in the MCA, with an eye to </w:t>
      </w:r>
      <w:r w:rsidR="00A37C74" w:rsidRPr="002A7C63">
        <w:rPr>
          <w:sz w:val="22"/>
          <w:szCs w:val="22"/>
        </w:rPr>
        <w:lastRenderedPageBreak/>
        <w:t>unpacking the relevance of clinical judgement to capacity assessment (Part II), before narrowing the focus to us</w:t>
      </w:r>
      <w:r w:rsidR="00EC4A8B" w:rsidRPr="002A7C63">
        <w:rPr>
          <w:sz w:val="22"/>
          <w:szCs w:val="22"/>
        </w:rPr>
        <w:t>ag</w:t>
      </w:r>
      <w:r w:rsidR="00A37C74" w:rsidRPr="002A7C63">
        <w:rPr>
          <w:sz w:val="22"/>
          <w:szCs w:val="22"/>
        </w:rPr>
        <w:t xml:space="preserve">e of the terms ‘insight’ and ‘lack of insight’ in the context of assessing someone’s </w:t>
      </w:r>
      <w:r w:rsidR="00EC4A8B" w:rsidRPr="002A7C63">
        <w:rPr>
          <w:sz w:val="22"/>
          <w:szCs w:val="22"/>
        </w:rPr>
        <w:t xml:space="preserve">decision making </w:t>
      </w:r>
      <w:r w:rsidR="00A37C74" w:rsidRPr="002A7C63">
        <w:rPr>
          <w:sz w:val="22"/>
          <w:szCs w:val="22"/>
        </w:rPr>
        <w:t xml:space="preserve">capacity. </w:t>
      </w:r>
      <w:r w:rsidR="00EC4A8B" w:rsidRPr="002A7C63">
        <w:rPr>
          <w:sz w:val="22"/>
          <w:szCs w:val="22"/>
        </w:rPr>
        <w:t xml:space="preserve"> The provenance of ‘insight’ will then be explored, along with its uneasy relationship with the task of assessing mental capacity (Part III), before interrogating use of the concept by expert witnesses in a selection of judgments in the </w:t>
      </w:r>
      <w:proofErr w:type="spellStart"/>
      <w:r w:rsidR="00EC4A8B" w:rsidRPr="002A7C63">
        <w:rPr>
          <w:sz w:val="22"/>
          <w:szCs w:val="22"/>
        </w:rPr>
        <w:t>CoP</w:t>
      </w:r>
      <w:proofErr w:type="spellEnd"/>
      <w:r w:rsidR="00EC4A8B" w:rsidRPr="002A7C63">
        <w:rPr>
          <w:sz w:val="22"/>
          <w:szCs w:val="22"/>
        </w:rPr>
        <w:t xml:space="preserve"> (Part IV). </w:t>
      </w:r>
      <w:r w:rsidR="00FF1021" w:rsidRPr="002A7C63">
        <w:rPr>
          <w:sz w:val="22"/>
          <w:szCs w:val="22"/>
        </w:rPr>
        <w:t>It is argued here that the medical language of insight has at times been imported into legal argument and judgments regarding P’s mental capacity, and that the density of this language can ‘obfuscate’ the social dimension of capacity, cloak paternalistic assumptions and disrupt the autonomy promoting provisions of the MCA, such as the presumption of capacity. It is therefore essential that practitioners and decision makers are alert to the implications such language can have.</w:t>
      </w:r>
    </w:p>
    <w:p w:rsidR="00F7300A" w:rsidRPr="002A7C63" w:rsidRDefault="00F7300A" w:rsidP="00DB4883">
      <w:pPr>
        <w:spacing w:line="360" w:lineRule="auto"/>
        <w:jc w:val="both"/>
        <w:rPr>
          <w:b/>
        </w:rPr>
      </w:pPr>
    </w:p>
    <w:p w:rsidR="00876AEC" w:rsidRPr="00886C07" w:rsidRDefault="00341C2A" w:rsidP="00341C2A">
      <w:pPr>
        <w:spacing w:line="360" w:lineRule="auto"/>
        <w:jc w:val="center"/>
      </w:pPr>
      <w:r w:rsidRPr="00886C07">
        <w:t>II. THE MENTAL CAPACITY ACT: UNPACKING THE RELEVANCE OF CLINICAL JUDGEMENT TO CAPACITY ASSESSMENT</w:t>
      </w:r>
    </w:p>
    <w:p w:rsidR="002F418F" w:rsidRPr="00886C07" w:rsidRDefault="006951DE" w:rsidP="00DB4883">
      <w:pPr>
        <w:spacing w:line="360" w:lineRule="auto"/>
        <w:jc w:val="both"/>
      </w:pPr>
      <w:r w:rsidRPr="00886C07">
        <w:t xml:space="preserve">Before exploring </w:t>
      </w:r>
      <w:r w:rsidR="00311D59" w:rsidRPr="00886C07">
        <w:t xml:space="preserve">the discourses </w:t>
      </w:r>
      <w:r w:rsidRPr="00886C07">
        <w:t>of expert witnesses in cases</w:t>
      </w:r>
      <w:r w:rsidR="004301ED" w:rsidRPr="00886C07">
        <w:t xml:space="preserve"> dealing with P’s mental capacity</w:t>
      </w:r>
      <w:r w:rsidRPr="00886C07">
        <w:t>, this section</w:t>
      </w:r>
      <w:r w:rsidR="00B96EEB" w:rsidRPr="00886C07">
        <w:t xml:space="preserve"> seeks first to explain how the weight attached to clinical judgement about capacity is embedded in the statutory framework itself. </w:t>
      </w:r>
      <w:r w:rsidR="00003634" w:rsidRPr="00886C07">
        <w:t>The</w:t>
      </w:r>
      <w:r w:rsidR="00C548CE" w:rsidRPr="00886C07">
        <w:t xml:space="preserve"> </w:t>
      </w:r>
      <w:r w:rsidR="00843F44" w:rsidRPr="00886C07">
        <w:t xml:space="preserve">MCA </w:t>
      </w:r>
      <w:r w:rsidR="00C548CE" w:rsidRPr="00886C07">
        <w:t xml:space="preserve">laid down the </w:t>
      </w:r>
      <w:r w:rsidR="00003634" w:rsidRPr="00886C07">
        <w:t xml:space="preserve">statutory </w:t>
      </w:r>
      <w:r w:rsidR="00550ACC" w:rsidRPr="00886C07">
        <w:t>test</w:t>
      </w:r>
      <w:r w:rsidR="00003634" w:rsidRPr="00886C07">
        <w:t xml:space="preserve"> for incapacity</w:t>
      </w:r>
      <w:r w:rsidR="00C548CE" w:rsidRPr="00886C07">
        <w:t xml:space="preserve">, the effect of which </w:t>
      </w:r>
      <w:r w:rsidR="00550ACC" w:rsidRPr="00886C07">
        <w:t>is</w:t>
      </w:r>
      <w:r w:rsidR="00C548CE" w:rsidRPr="00886C07">
        <w:t xml:space="preserve"> to </w:t>
      </w:r>
      <w:r w:rsidR="00003634" w:rsidRPr="00886C07">
        <w:t>create a ‘</w:t>
      </w:r>
      <w:r w:rsidR="00217D1F" w:rsidRPr="00886C07">
        <w:t>four-</w:t>
      </w:r>
      <w:r w:rsidR="00DA284C">
        <w:t>pronged</w:t>
      </w:r>
      <w:r w:rsidR="00003634" w:rsidRPr="00886C07">
        <w:t xml:space="preserve">’ arrangement </w:t>
      </w:r>
      <w:r w:rsidR="00C548CE" w:rsidRPr="00886C07">
        <w:t>designed</w:t>
      </w:r>
      <w:r w:rsidR="00003634" w:rsidRPr="00886C07">
        <w:t xml:space="preserve"> to protect P from premature findings of incapacity – these are</w:t>
      </w:r>
      <w:r w:rsidR="00C548CE" w:rsidRPr="00886C07">
        <w:t>:</w:t>
      </w:r>
      <w:r w:rsidR="00003634" w:rsidRPr="00886C07">
        <w:t xml:space="preserve"> </w:t>
      </w:r>
      <w:proofErr w:type="spellStart"/>
      <w:r w:rsidR="0059276D" w:rsidRPr="00886C07">
        <w:t>i</w:t>
      </w:r>
      <w:proofErr w:type="spellEnd"/>
      <w:r w:rsidR="0059276D" w:rsidRPr="00886C07">
        <w:t xml:space="preserve">) </w:t>
      </w:r>
      <w:r w:rsidR="00003634" w:rsidRPr="00886C07">
        <w:t xml:space="preserve">the presumption of capacity in s.1(2); </w:t>
      </w:r>
      <w:r w:rsidR="0059276D" w:rsidRPr="00886C07">
        <w:t xml:space="preserve">ii) </w:t>
      </w:r>
      <w:r w:rsidR="00712BE6" w:rsidRPr="00886C07">
        <w:t xml:space="preserve">the fact that </w:t>
      </w:r>
      <w:r w:rsidR="00712BE6" w:rsidRPr="00886C07">
        <w:rPr>
          <w:i/>
        </w:rPr>
        <w:t xml:space="preserve">incapacity </w:t>
      </w:r>
      <w:r w:rsidR="00712BE6" w:rsidRPr="00886C07">
        <w:t xml:space="preserve">must be demonstrated by </w:t>
      </w:r>
      <w:r w:rsidR="00217D1F" w:rsidRPr="00886C07">
        <w:t xml:space="preserve">evidence of an ‘impairment’ </w:t>
      </w:r>
      <w:r w:rsidR="00712BE6" w:rsidRPr="00886C07">
        <w:t>satisfying</w:t>
      </w:r>
      <w:r w:rsidR="00003634" w:rsidRPr="00886C07">
        <w:t xml:space="preserve"> the ‘diagnostic threshold’ in s.2(1)</w:t>
      </w:r>
      <w:r w:rsidR="00C322C9" w:rsidRPr="00886C07">
        <w:t xml:space="preserve"> of the Act</w:t>
      </w:r>
      <w:r w:rsidR="00217D1F" w:rsidRPr="00886C07">
        <w:t>;</w:t>
      </w:r>
      <w:r w:rsidR="00003634" w:rsidRPr="00886C07">
        <w:t xml:space="preserve"> </w:t>
      </w:r>
      <w:r w:rsidR="0059276D" w:rsidRPr="00886C07">
        <w:t xml:space="preserve">iii) that there must be a failure to satisfy </w:t>
      </w:r>
      <w:r w:rsidR="00003634" w:rsidRPr="00886C07">
        <w:t xml:space="preserve">the </w:t>
      </w:r>
      <w:r w:rsidR="00C322C9" w:rsidRPr="00886C07">
        <w:t>‘</w:t>
      </w:r>
      <w:r w:rsidR="00003634" w:rsidRPr="00886C07">
        <w:t>functional</w:t>
      </w:r>
      <w:r w:rsidR="00C322C9" w:rsidRPr="00886C07">
        <w:t>’</w:t>
      </w:r>
      <w:r w:rsidR="00003634" w:rsidRPr="00886C07">
        <w:t xml:space="preserve"> </w:t>
      </w:r>
      <w:r w:rsidR="00C322C9" w:rsidRPr="00886C07">
        <w:t xml:space="preserve">criteria </w:t>
      </w:r>
      <w:r w:rsidR="0059276D" w:rsidRPr="00886C07">
        <w:t>for being able to decide</w:t>
      </w:r>
      <w:r w:rsidR="00217D1F" w:rsidRPr="00886C07">
        <w:t xml:space="preserve"> (</w:t>
      </w:r>
      <w:r w:rsidR="00003634" w:rsidRPr="00886C07">
        <w:t>further elaborated in s.3(1)</w:t>
      </w:r>
      <w:r w:rsidR="00217D1F" w:rsidRPr="00886C07">
        <w:t xml:space="preserve">); and iv) the requirement that the impairment must be </w:t>
      </w:r>
      <w:r w:rsidR="00217D1F" w:rsidRPr="00886C07">
        <w:rPr>
          <w:i/>
        </w:rPr>
        <w:t xml:space="preserve">causing </w:t>
      </w:r>
      <w:r w:rsidR="00217D1F" w:rsidRPr="00886C07">
        <w:t>the inability to decide</w:t>
      </w:r>
      <w:r w:rsidR="00003634" w:rsidRPr="00886C07">
        <w:t>.</w:t>
      </w:r>
      <w:r w:rsidR="00993AAD" w:rsidRPr="00886C07">
        <w:rPr>
          <w:rStyle w:val="FootnoteReference"/>
        </w:rPr>
        <w:footnoteReference w:id="8"/>
      </w:r>
      <w:r w:rsidR="00003634" w:rsidRPr="00886C07">
        <w:t xml:space="preserve"> </w:t>
      </w:r>
    </w:p>
    <w:p w:rsidR="003C6A92" w:rsidRPr="00886C07" w:rsidRDefault="006535C9" w:rsidP="00DB4883">
      <w:pPr>
        <w:spacing w:line="360" w:lineRule="auto"/>
        <w:jc w:val="both"/>
      </w:pPr>
      <w:r w:rsidRPr="00886C07">
        <w:t>The language of th</w:t>
      </w:r>
      <w:r w:rsidR="008913E8" w:rsidRPr="00886C07">
        <w:t>is</w:t>
      </w:r>
      <w:r w:rsidRPr="00886C07">
        <w:t xml:space="preserve"> test provides a first port of call in unpacking the relevance of clinical expertise to the assessment of capacity. </w:t>
      </w:r>
      <w:r w:rsidR="0055135F" w:rsidRPr="00886C07">
        <w:t>The provisions are described in the MCA Code of Practice</w:t>
      </w:r>
      <w:r w:rsidR="003C6A92" w:rsidRPr="00886C07">
        <w:t xml:space="preserve"> as a two stage test</w:t>
      </w:r>
      <w:r w:rsidR="0055135F" w:rsidRPr="00886C07">
        <w:t>, with the diagnostic threshold in s.2 constituting ‘stage 1’ and the functional test in s.3 being described as ‘stage 2.’</w:t>
      </w:r>
      <w:r w:rsidR="003C6A92" w:rsidRPr="00886C07">
        <w:rPr>
          <w:rStyle w:val="FootnoteReference"/>
        </w:rPr>
        <w:footnoteReference w:id="9"/>
      </w:r>
      <w:r w:rsidR="0055135F" w:rsidRPr="00886C07">
        <w:t xml:space="preserve"> </w:t>
      </w:r>
      <w:r w:rsidR="00003634" w:rsidRPr="00886C07">
        <w:t xml:space="preserve">Starting with </w:t>
      </w:r>
      <w:r w:rsidR="003C6A92" w:rsidRPr="00886C07">
        <w:t>‘stage 1’</w:t>
      </w:r>
      <w:r w:rsidR="00003634" w:rsidRPr="00886C07">
        <w:t xml:space="preserve">, someone is defined as lacking capacity if they </w:t>
      </w:r>
      <w:r w:rsidR="00003634" w:rsidRPr="00886C07">
        <w:lastRenderedPageBreak/>
        <w:t xml:space="preserve">are ‘unable to make a decision’ on the issue at hand, that ‘inability’ being caused by an ‘impairment or disturbance of the mind or brain.’ </w:t>
      </w:r>
      <w:r w:rsidR="003C6A92" w:rsidRPr="00886C07">
        <w:t xml:space="preserve">First, in requiring some identifiable ‘impairment or disturbance’ of mental function as a separate requirement from characteristics manifesting an inability to decide, the MCA introduced what is known as a ‘diagnostic threshold’ into capacity assessment. It will </w:t>
      </w:r>
      <w:r w:rsidR="003C6A92" w:rsidRPr="00886C07">
        <w:rPr>
          <w:i/>
        </w:rPr>
        <w:t xml:space="preserve">usually </w:t>
      </w:r>
      <w:r w:rsidR="003C6A92" w:rsidRPr="00886C07">
        <w:t xml:space="preserve">(but not always) be the case that before </w:t>
      </w:r>
      <w:r w:rsidR="002B6877" w:rsidRPr="00886C07">
        <w:t>someone</w:t>
      </w:r>
      <w:r w:rsidR="003C6A92" w:rsidRPr="00886C07">
        <w:t xml:space="preserve"> </w:t>
      </w:r>
      <w:r w:rsidR="002B6877" w:rsidRPr="00886C07">
        <w:t>is</w:t>
      </w:r>
      <w:r w:rsidR="003C6A92" w:rsidRPr="00886C07">
        <w:t xml:space="preserve"> found to lack capacity, they </w:t>
      </w:r>
      <w:r w:rsidR="002B6877" w:rsidRPr="00886C07">
        <w:t xml:space="preserve">are </w:t>
      </w:r>
      <w:r w:rsidR="003C6A92" w:rsidRPr="00886C07">
        <w:t>diagnosed with a condition (whether mental disorder, learning disability or brain damage).</w:t>
      </w:r>
      <w:r w:rsidR="002B6877" w:rsidRPr="00886C07">
        <w:rPr>
          <w:rStyle w:val="FootnoteReference"/>
        </w:rPr>
        <w:footnoteReference w:id="10"/>
      </w:r>
      <w:r w:rsidR="003C6A92" w:rsidRPr="00886C07">
        <w:t xml:space="preserve"> </w:t>
      </w:r>
    </w:p>
    <w:p w:rsidR="003C6A92" w:rsidRPr="00886C07" w:rsidRDefault="003C6A92" w:rsidP="00DB4883">
      <w:pPr>
        <w:spacing w:line="360" w:lineRule="auto"/>
        <w:jc w:val="both"/>
      </w:pPr>
      <w:r w:rsidRPr="00886C07">
        <w:t>In terms of the epistemic role of psychiatry in capacity assessment, it is the diagnostic test which looms large. Clough regar</w:t>
      </w:r>
      <w:r w:rsidR="00550ACC" w:rsidRPr="00886C07">
        <w:t>ds the ordering of the MCA test</w:t>
      </w:r>
      <w:r w:rsidRPr="00886C07">
        <w:t xml:space="preserve"> as significant; in foregrounding ‘the existence of an impairment of or disturbance in the functioning of the mind or brain,’ emphasis is placed on medical diagnostic criteria. This positioning, she seems to suggest, has encouraged a situation in which ‘judges often accept the professional’s view that the person lacks capacity without necessarily scrutinising the particular requirements outlined in the Act.’</w:t>
      </w:r>
      <w:r w:rsidRPr="00886C07">
        <w:rPr>
          <w:rStyle w:val="FootnoteReference"/>
        </w:rPr>
        <w:footnoteReference w:id="11"/>
      </w:r>
      <w:r w:rsidRPr="00886C07">
        <w:t xml:space="preserve"> </w:t>
      </w:r>
      <w:r w:rsidR="007C1AE7" w:rsidRPr="00886C07">
        <w:t xml:space="preserve">Given </w:t>
      </w:r>
      <w:r w:rsidRPr="00886C07">
        <w:t xml:space="preserve">the inclusion and prominence afforded to the diagnostic test, </w:t>
      </w:r>
      <w:r w:rsidR="007C1AE7" w:rsidRPr="00886C07">
        <w:t>it should probably come as no surprise that th</w:t>
      </w:r>
      <w:r w:rsidR="00550ACC" w:rsidRPr="00886C07">
        <w:t>is test</w:t>
      </w:r>
      <w:r w:rsidR="007C1AE7" w:rsidRPr="00886C07">
        <w:t xml:space="preserve"> for incapacity would</w:t>
      </w:r>
      <w:r w:rsidRPr="00886C07">
        <w:t xml:space="preserve"> </w:t>
      </w:r>
      <w:r w:rsidR="007C1AE7" w:rsidRPr="00886C07">
        <w:t>invite</w:t>
      </w:r>
      <w:r w:rsidRPr="00886C07">
        <w:t xml:space="preserve"> heavy reliance on medicine, specifically psychiatry, for capacity assessment. </w:t>
      </w:r>
    </w:p>
    <w:p w:rsidR="00E7631A" w:rsidRDefault="003C6A92" w:rsidP="00DB4883">
      <w:pPr>
        <w:spacing w:line="360" w:lineRule="auto"/>
        <w:jc w:val="both"/>
      </w:pPr>
      <w:r w:rsidRPr="00886C07">
        <w:t>‘Stage 2’ of the test for incapacity sets out the</w:t>
      </w:r>
      <w:r w:rsidR="00003634" w:rsidRPr="00886C07">
        <w:t xml:space="preserve"> </w:t>
      </w:r>
      <w:r w:rsidR="006535C9" w:rsidRPr="00886C07">
        <w:t xml:space="preserve">‘functional’ </w:t>
      </w:r>
      <w:r w:rsidR="00003634" w:rsidRPr="00886C07">
        <w:t xml:space="preserve">characteristics of being </w:t>
      </w:r>
      <w:r w:rsidR="00993FAA" w:rsidRPr="00886C07">
        <w:t>‘</w:t>
      </w:r>
      <w:r w:rsidR="00003634" w:rsidRPr="00886C07">
        <w:t>unable to decide</w:t>
      </w:r>
      <w:r w:rsidR="00993FAA" w:rsidRPr="00886C07">
        <w:t>’</w:t>
      </w:r>
      <w:r w:rsidR="00003634" w:rsidRPr="00886C07">
        <w:t xml:space="preserve"> </w:t>
      </w:r>
      <w:r w:rsidR="00C548CE" w:rsidRPr="00886C07">
        <w:t xml:space="preserve">as requiring </w:t>
      </w:r>
      <w:r w:rsidR="0059276D" w:rsidRPr="00886C07">
        <w:t xml:space="preserve">the identified impairment or disturbance to be causing </w:t>
      </w:r>
      <w:r w:rsidR="00C548CE" w:rsidRPr="00886C07">
        <w:t>P to be either</w:t>
      </w:r>
      <w:r w:rsidR="00DF7BAD" w:rsidRPr="00886C07">
        <w:t>:</w:t>
      </w:r>
      <w:r w:rsidR="00C548CE" w:rsidRPr="00886C07">
        <w:t xml:space="preserve"> unable to</w:t>
      </w:r>
      <w:r w:rsidR="00883906" w:rsidRPr="00886C07">
        <w:t xml:space="preserve"> </w:t>
      </w:r>
      <w:r w:rsidR="00883906" w:rsidRPr="00886C07">
        <w:rPr>
          <w:i/>
        </w:rPr>
        <w:t>understand</w:t>
      </w:r>
      <w:r w:rsidR="00883906" w:rsidRPr="00886C07">
        <w:t xml:space="preserve"> the information rele</w:t>
      </w:r>
      <w:r w:rsidR="00C548CE" w:rsidRPr="00886C07">
        <w:t>vant to the decision</w:t>
      </w:r>
      <w:r w:rsidR="00DF7BAD" w:rsidRPr="00886C07">
        <w:t>;</w:t>
      </w:r>
      <w:r w:rsidR="00C548CE" w:rsidRPr="00886C07">
        <w:t xml:space="preserve"> unable to </w:t>
      </w:r>
      <w:r w:rsidR="00C548CE" w:rsidRPr="00886C07">
        <w:rPr>
          <w:i/>
        </w:rPr>
        <w:t>retain</w:t>
      </w:r>
      <w:r w:rsidR="00C548CE" w:rsidRPr="00886C07">
        <w:t xml:space="preserve"> the information</w:t>
      </w:r>
      <w:r w:rsidR="00DF7BAD" w:rsidRPr="00886C07">
        <w:t>;</w:t>
      </w:r>
      <w:r w:rsidR="00C548CE" w:rsidRPr="00886C07">
        <w:t xml:space="preserve"> </w:t>
      </w:r>
      <w:r w:rsidR="005258C3" w:rsidRPr="00886C07">
        <w:t>unable to use or weigh</w:t>
      </w:r>
      <w:r w:rsidR="00C548CE" w:rsidRPr="00886C07">
        <w:t xml:space="preserve"> the information to arrive at a decision or unable to </w:t>
      </w:r>
      <w:r w:rsidR="00C548CE" w:rsidRPr="00886C07">
        <w:rPr>
          <w:i/>
        </w:rPr>
        <w:t>communicate</w:t>
      </w:r>
      <w:r w:rsidR="002F418F" w:rsidRPr="00886C07">
        <w:t xml:space="preserve"> the decision</w:t>
      </w:r>
      <w:r w:rsidR="00003634" w:rsidRPr="00886C07">
        <w:t xml:space="preserve">. </w:t>
      </w:r>
      <w:r w:rsidR="00E7631A">
        <w:t>An earlier common law version of the test had also required P to ‘believe’ the information relating to the decision.</w:t>
      </w:r>
      <w:r w:rsidR="006D3CD9">
        <w:rPr>
          <w:rStyle w:val="FootnoteReference"/>
        </w:rPr>
        <w:footnoteReference w:id="12"/>
      </w:r>
      <w:r w:rsidR="00E7631A">
        <w:t xml:space="preserve"> Some recognised the danger that the ‘belief’ requirement could conceal what was, in truth, a difference in values between P and the decision maker. </w:t>
      </w:r>
      <w:r w:rsidR="00D762ED">
        <w:t xml:space="preserve">Dicta from </w:t>
      </w:r>
      <w:r w:rsidR="00E7631A" w:rsidRPr="00886C07">
        <w:t xml:space="preserve">post-MCA case law has </w:t>
      </w:r>
      <w:r w:rsidR="007061A3">
        <w:t>suggested</w:t>
      </w:r>
      <w:r w:rsidR="00E7631A" w:rsidRPr="00886C07">
        <w:t xml:space="preserve"> that the belief</w:t>
      </w:r>
      <w:r w:rsidR="006D3CD9">
        <w:t xml:space="preserve"> criterion</w:t>
      </w:r>
      <w:r w:rsidR="00E7631A" w:rsidRPr="00886C07">
        <w:t xml:space="preserve"> </w:t>
      </w:r>
      <w:r w:rsidR="00D762ED">
        <w:t>lives on in</w:t>
      </w:r>
      <w:r w:rsidR="006D3CD9">
        <w:t xml:space="preserve"> the statutory test</w:t>
      </w:r>
      <w:r w:rsidR="007061A3">
        <w:t xml:space="preserve">, for if someone does not ‘believe’ information relevant to the decision, they cannot be said to </w:t>
      </w:r>
      <w:r w:rsidR="00E7631A" w:rsidRPr="00886C07">
        <w:t xml:space="preserve"> ‘understand’</w:t>
      </w:r>
      <w:r w:rsidR="007061A3">
        <w:t xml:space="preserve"> it or be able to</w:t>
      </w:r>
      <w:r w:rsidR="00E7631A" w:rsidRPr="00886C07">
        <w:t xml:space="preserve"> ‘use’ </w:t>
      </w:r>
      <w:r w:rsidR="007061A3">
        <w:t>or  ‘weigh</w:t>
      </w:r>
      <w:r w:rsidR="00E7631A" w:rsidRPr="00886C07">
        <w:t>’</w:t>
      </w:r>
      <w:r w:rsidR="007061A3">
        <w:t xml:space="preserve"> it.</w:t>
      </w:r>
      <w:r w:rsidR="00E7631A" w:rsidRPr="00886C07">
        <w:rPr>
          <w:rStyle w:val="FootnoteReference"/>
        </w:rPr>
        <w:footnoteReference w:id="13"/>
      </w:r>
      <w:r w:rsidR="00EF2036">
        <w:t xml:space="preserve"> This is arguably too strict an approach which risks </w:t>
      </w:r>
      <w:proofErr w:type="spellStart"/>
      <w:r w:rsidR="00EF2036">
        <w:t>pathologising</w:t>
      </w:r>
      <w:proofErr w:type="spellEnd"/>
      <w:r w:rsidR="00EF2036">
        <w:t xml:space="preserve"> those who refuse to accept treatment. Arguably P can have capacity if they can ‘understand’ that others think they are ill </w:t>
      </w:r>
      <w:r w:rsidR="00EF2036">
        <w:lastRenderedPageBreak/>
        <w:t>or that others think the risks of refusing treatment are too high, even if P does not ‘believe’ the other person’s view is correct.</w:t>
      </w:r>
    </w:p>
    <w:p w:rsidR="003C6A92" w:rsidRPr="00886C07" w:rsidRDefault="00DF7BAD" w:rsidP="00DB4883">
      <w:pPr>
        <w:spacing w:line="360" w:lineRule="auto"/>
        <w:jc w:val="both"/>
      </w:pPr>
      <w:r w:rsidRPr="00886C07">
        <w:t xml:space="preserve">When it comes to </w:t>
      </w:r>
      <w:r w:rsidR="00863F8E" w:rsidRPr="00886C07">
        <w:t>stage 2</w:t>
      </w:r>
      <w:r w:rsidRPr="00886C07">
        <w:t xml:space="preserve">, </w:t>
      </w:r>
      <w:r w:rsidR="00993FAA" w:rsidRPr="00886C07">
        <w:t xml:space="preserve">the </w:t>
      </w:r>
      <w:proofErr w:type="spellStart"/>
      <w:r w:rsidRPr="00886C07">
        <w:t>CoP</w:t>
      </w:r>
      <w:proofErr w:type="spellEnd"/>
      <w:r w:rsidRPr="00886C07">
        <w:t xml:space="preserve"> ha</w:t>
      </w:r>
      <w:r w:rsidR="00993FAA" w:rsidRPr="00886C07">
        <w:t>s</w:t>
      </w:r>
      <w:r w:rsidRPr="00886C07">
        <w:t xml:space="preserve"> been eager to claim supreme authority. </w:t>
      </w:r>
      <w:r w:rsidR="00550ACC" w:rsidRPr="00886C07">
        <w:t>Speaking of the functional test</w:t>
      </w:r>
      <w:r w:rsidR="00AD1A55" w:rsidRPr="00886C07">
        <w:t xml:space="preserve">, </w:t>
      </w:r>
      <w:proofErr w:type="spellStart"/>
      <w:r w:rsidR="00AD1A55" w:rsidRPr="00886C07">
        <w:t>Munby</w:t>
      </w:r>
      <w:proofErr w:type="spellEnd"/>
      <w:r w:rsidR="00AD1A55" w:rsidRPr="00886C07">
        <w:t xml:space="preserve"> J (as he then was) in </w:t>
      </w:r>
      <w:r w:rsidR="00AD1A55" w:rsidRPr="00886C07">
        <w:rPr>
          <w:i/>
        </w:rPr>
        <w:t xml:space="preserve">A Local Authority v A </w:t>
      </w:r>
      <w:r w:rsidR="00AD1A55" w:rsidRPr="00886C07">
        <w:t>stated: ‘</w:t>
      </w:r>
      <w:r w:rsidR="00AD1A55" w:rsidRPr="00886C07">
        <w:rPr>
          <w:i/>
        </w:rPr>
        <w:t>only the court has the full picture. Experts are neither able nor expected to form an overview.’</w:t>
      </w:r>
      <w:r w:rsidR="00AD1A55" w:rsidRPr="00886C07">
        <w:rPr>
          <w:rStyle w:val="FootnoteReference"/>
        </w:rPr>
        <w:footnoteReference w:id="14"/>
      </w:r>
      <w:r w:rsidR="00AD1A55" w:rsidRPr="00886C07">
        <w:t xml:space="preserve"> </w:t>
      </w:r>
      <w:r w:rsidRPr="00886C07">
        <w:t>Y</w:t>
      </w:r>
      <w:r w:rsidR="00003634" w:rsidRPr="00886C07">
        <w:t xml:space="preserve">et in all </w:t>
      </w:r>
      <w:r w:rsidRPr="00886C07">
        <w:t>of the</w:t>
      </w:r>
      <w:r w:rsidR="0059276D" w:rsidRPr="00886C07">
        <w:t xml:space="preserve"> 57</w:t>
      </w:r>
      <w:r w:rsidRPr="00886C07">
        <w:t xml:space="preserve"> judgments</w:t>
      </w:r>
      <w:r w:rsidR="00546407" w:rsidRPr="00886C07">
        <w:t xml:space="preserve"> identified by the researcher</w:t>
      </w:r>
      <w:r w:rsidR="00003634" w:rsidRPr="00886C07">
        <w:t xml:space="preserve"> where capacity </w:t>
      </w:r>
      <w:r w:rsidR="00546407" w:rsidRPr="00886C07">
        <w:t xml:space="preserve">is </w:t>
      </w:r>
      <w:r w:rsidR="00003634" w:rsidRPr="00886C07">
        <w:t>discussed in detail, it is clear that expert witnesses</w:t>
      </w:r>
      <w:r w:rsidR="00510EEC">
        <w:t xml:space="preserve"> (</w:t>
      </w:r>
      <w:r w:rsidR="003028F8" w:rsidRPr="00886C07">
        <w:t>just over half of whom are</w:t>
      </w:r>
      <w:r w:rsidR="00003634" w:rsidRPr="00886C07">
        <w:t xml:space="preserve"> consultant psychiatrists</w:t>
      </w:r>
      <w:r w:rsidR="00510EEC">
        <w:t>)</w:t>
      </w:r>
      <w:r w:rsidR="00003634" w:rsidRPr="00886C07">
        <w:t xml:space="preserve"> provide evidence </w:t>
      </w:r>
      <w:r w:rsidR="00546407" w:rsidRPr="00886C07">
        <w:t xml:space="preserve">not only </w:t>
      </w:r>
      <w:r w:rsidR="00003634" w:rsidRPr="00886C07">
        <w:t xml:space="preserve">on P’s </w:t>
      </w:r>
      <w:r w:rsidR="00546407" w:rsidRPr="00886C07">
        <w:t>‘impairment</w:t>
      </w:r>
      <w:r w:rsidR="00C322C9" w:rsidRPr="00886C07">
        <w:t>,</w:t>
      </w:r>
      <w:r w:rsidR="00546407" w:rsidRPr="00886C07">
        <w:t xml:space="preserve">’ but also on P’s </w:t>
      </w:r>
      <w:r w:rsidR="00003634" w:rsidRPr="00886C07">
        <w:t>ability to understand, retain</w:t>
      </w:r>
      <w:r w:rsidR="00253123" w:rsidRPr="00886C07">
        <w:t xml:space="preserve"> and</w:t>
      </w:r>
      <w:r w:rsidR="00EB5C87" w:rsidRPr="00886C07">
        <w:t xml:space="preserve"> use and</w:t>
      </w:r>
      <w:r w:rsidR="00003634" w:rsidRPr="00886C07">
        <w:t xml:space="preserve"> weigh the information to reach a decision.</w:t>
      </w:r>
      <w:r w:rsidR="00086ADA" w:rsidRPr="00886C07">
        <w:t xml:space="preserve"> </w:t>
      </w:r>
      <w:r w:rsidR="003C6A92" w:rsidRPr="00886C07">
        <w:t xml:space="preserve">In doing so, it is fairly common for expert witnesses to make reference to P’s ‘lack of insight’. </w:t>
      </w:r>
    </w:p>
    <w:p w:rsidR="00F7300A" w:rsidRPr="00886C07" w:rsidRDefault="00F7300A" w:rsidP="00DB4883">
      <w:pPr>
        <w:spacing w:line="360" w:lineRule="auto"/>
        <w:jc w:val="both"/>
      </w:pPr>
      <w:r w:rsidRPr="00886C07">
        <w:t>This paper applies a sub-strand of medical law scholarship, which focuses on the use of ‘clinical euphemisms’ in legal judgments, to explore some of the implications that extensive reliance on psychiatry has for the law on mental capacity assessment.</w:t>
      </w:r>
      <w:r w:rsidRPr="00886C07">
        <w:rPr>
          <w:rStyle w:val="FootnoteReference"/>
        </w:rPr>
        <w:footnoteReference w:id="15"/>
      </w:r>
      <w:r w:rsidRPr="00886C07">
        <w:t xml:space="preserve">  It argues</w:t>
      </w:r>
      <w:r w:rsidR="00DF69CC" w:rsidRPr="00886C07">
        <w:t xml:space="preserve"> in particular, that experts’ </w:t>
      </w:r>
      <w:r w:rsidR="00DA0E85" w:rsidRPr="00886C07">
        <w:t xml:space="preserve">liberal </w:t>
      </w:r>
      <w:r w:rsidR="00DF69CC" w:rsidRPr="00886C07">
        <w:t xml:space="preserve">deployment </w:t>
      </w:r>
      <w:r w:rsidRPr="00886C07">
        <w:t xml:space="preserve">of </w:t>
      </w:r>
      <w:r w:rsidR="00DF69CC" w:rsidRPr="00886C07">
        <w:t xml:space="preserve">the concept of </w:t>
      </w:r>
      <w:r w:rsidRPr="00886C07">
        <w:t>‘insight’</w:t>
      </w:r>
      <w:r w:rsidR="003C6A92" w:rsidRPr="00886C07">
        <w:t xml:space="preserve"> if not kept within proper limits,</w:t>
      </w:r>
      <w:r w:rsidRPr="00886C07">
        <w:t xml:space="preserve"> ha</w:t>
      </w:r>
      <w:r w:rsidR="00DF69CC" w:rsidRPr="00886C07">
        <w:t>s</w:t>
      </w:r>
      <w:r w:rsidRPr="00886C07">
        <w:t xml:space="preserve"> the potential to corrupt the assessment of capacity in the </w:t>
      </w:r>
      <w:proofErr w:type="spellStart"/>
      <w:r w:rsidR="00A066DC" w:rsidRPr="00886C07">
        <w:t>CoP</w:t>
      </w:r>
      <w:proofErr w:type="spellEnd"/>
      <w:r w:rsidR="00A066DC" w:rsidRPr="00886C07">
        <w:t xml:space="preserve"> </w:t>
      </w:r>
      <w:r w:rsidRPr="00886C07">
        <w:t xml:space="preserve">(and in practice), and can threaten to undermine the statutory presumption of capacity embodied in s.1(2) of the </w:t>
      </w:r>
      <w:r w:rsidR="00023E38" w:rsidRPr="00886C07">
        <w:t xml:space="preserve">MCA </w:t>
      </w:r>
      <w:r w:rsidRPr="00886C07">
        <w:t>where P is refusing care or is otherwise ‘</w:t>
      </w:r>
      <w:proofErr w:type="spellStart"/>
      <w:r w:rsidRPr="00886C07">
        <w:t>unco</w:t>
      </w:r>
      <w:proofErr w:type="spellEnd"/>
      <w:r w:rsidRPr="00886C07">
        <w:t xml:space="preserve">-operative’. </w:t>
      </w:r>
    </w:p>
    <w:p w:rsidR="00650DA3" w:rsidRPr="00886C07" w:rsidRDefault="00650DA3" w:rsidP="00DB4883">
      <w:pPr>
        <w:spacing w:line="360" w:lineRule="auto"/>
        <w:jc w:val="both"/>
      </w:pPr>
    </w:p>
    <w:p w:rsidR="00047A54" w:rsidRPr="00886C07" w:rsidRDefault="00341C2A" w:rsidP="00341C2A">
      <w:pPr>
        <w:spacing w:line="360" w:lineRule="auto"/>
        <w:jc w:val="center"/>
      </w:pPr>
      <w:r w:rsidRPr="00886C07">
        <w:t>III. THE LANGUAGE OF PSYCHIATRY AND THE TROUBLE WITH ‘INSIGHT’</w:t>
      </w:r>
    </w:p>
    <w:p w:rsidR="00E6147C" w:rsidRPr="00886C07" w:rsidRDefault="005C24A1" w:rsidP="00DB4883">
      <w:pPr>
        <w:spacing w:line="360" w:lineRule="auto"/>
        <w:jc w:val="both"/>
      </w:pPr>
      <w:r w:rsidRPr="00886C07">
        <w:t xml:space="preserve">Although by no means present in every case, a significant number of </w:t>
      </w:r>
      <w:r w:rsidR="00876AEC" w:rsidRPr="00886C07">
        <w:t xml:space="preserve">‘capacity’ judgments from the </w:t>
      </w:r>
      <w:proofErr w:type="spellStart"/>
      <w:r w:rsidR="00876AEC" w:rsidRPr="00886C07">
        <w:t>CoP</w:t>
      </w:r>
      <w:proofErr w:type="spellEnd"/>
      <w:r w:rsidR="00876AEC" w:rsidRPr="00886C07">
        <w:t xml:space="preserve"> </w:t>
      </w:r>
      <w:r w:rsidRPr="00886C07">
        <w:t>include the evidence of expert witnesses referring to P as having ‘a lack of insight</w:t>
      </w:r>
      <w:r w:rsidR="007C1AE7" w:rsidRPr="00886C07">
        <w:t>.</w:t>
      </w:r>
      <w:r w:rsidRPr="00886C07">
        <w:t xml:space="preserve">’ </w:t>
      </w:r>
      <w:r w:rsidR="007C1AE7" w:rsidRPr="00886C07">
        <w:t xml:space="preserve">The clinical concept of ‘insight’ has its roots in the discipline of psychiatry but </w:t>
      </w:r>
      <w:r w:rsidRPr="00886C07">
        <w:t xml:space="preserve">appears in neither the </w:t>
      </w:r>
      <w:r w:rsidR="00843F44" w:rsidRPr="00886C07">
        <w:t xml:space="preserve">provisions of the </w:t>
      </w:r>
      <w:r w:rsidRPr="00886C07">
        <w:t>MCA</w:t>
      </w:r>
      <w:r w:rsidR="00843F44" w:rsidRPr="00886C07">
        <w:t>,</w:t>
      </w:r>
      <w:r w:rsidRPr="00886C07">
        <w:t xml:space="preserve"> nor the accompanying Code of Practice.</w:t>
      </w:r>
      <w:r w:rsidR="007D35B9" w:rsidRPr="00886C07">
        <w:t xml:space="preserve"> </w:t>
      </w:r>
      <w:r w:rsidR="00843F44" w:rsidRPr="00886C07">
        <w:t>Expressions of c</w:t>
      </w:r>
      <w:r w:rsidR="00241CCC" w:rsidRPr="00886C07">
        <w:t xml:space="preserve">oncern </w:t>
      </w:r>
      <w:r w:rsidR="00843F44" w:rsidRPr="00886C07">
        <w:t>surrounding</w:t>
      </w:r>
      <w:r w:rsidR="00241CCC" w:rsidRPr="00886C07">
        <w:t xml:space="preserve"> </w:t>
      </w:r>
      <w:r w:rsidR="007C1AE7" w:rsidRPr="00886C07">
        <w:t xml:space="preserve">use of </w:t>
      </w:r>
      <w:r w:rsidR="00241CCC" w:rsidRPr="00886C07">
        <w:t>the terminology of ‘insight’</w:t>
      </w:r>
      <w:r w:rsidR="007C1AE7" w:rsidRPr="00886C07">
        <w:t xml:space="preserve"> in decision making governed by statute</w:t>
      </w:r>
      <w:r w:rsidR="00241CCC" w:rsidRPr="00886C07">
        <w:t xml:space="preserve"> </w:t>
      </w:r>
      <w:r w:rsidR="00843F44" w:rsidRPr="00886C07">
        <w:t>are</w:t>
      </w:r>
      <w:r w:rsidR="00241CCC" w:rsidRPr="00886C07">
        <w:t xml:space="preserve"> not new.</w:t>
      </w:r>
      <w:r w:rsidR="00532A31" w:rsidRPr="00886C07">
        <w:rPr>
          <w:rStyle w:val="FootnoteReference"/>
        </w:rPr>
        <w:footnoteReference w:id="16"/>
      </w:r>
      <w:r w:rsidR="00241CCC" w:rsidRPr="00886C07">
        <w:t xml:space="preserve"> </w:t>
      </w:r>
      <w:r w:rsidR="00047A54" w:rsidRPr="00886C07">
        <w:t>Groundbreaking</w:t>
      </w:r>
      <w:r w:rsidR="00241CCC" w:rsidRPr="00886C07">
        <w:t xml:space="preserve"> </w:t>
      </w:r>
      <w:r w:rsidR="00047A54" w:rsidRPr="00886C07">
        <w:t>empirical research in mental health review tribunals</w:t>
      </w:r>
      <w:r w:rsidR="00241CCC" w:rsidRPr="00886C07">
        <w:t xml:space="preserve"> in </w:t>
      </w:r>
      <w:r w:rsidR="001D1478" w:rsidRPr="00886C07">
        <w:t xml:space="preserve">both </w:t>
      </w:r>
      <w:r w:rsidR="00241CCC" w:rsidRPr="00886C07">
        <w:t xml:space="preserve">the UK and Australia </w:t>
      </w:r>
      <w:r w:rsidR="00047A54" w:rsidRPr="00886C07">
        <w:t xml:space="preserve">identified </w:t>
      </w:r>
      <w:r w:rsidR="00241CCC" w:rsidRPr="00886C07">
        <w:t xml:space="preserve">use of the term by </w:t>
      </w:r>
      <w:r w:rsidR="00047A54" w:rsidRPr="00886C07">
        <w:t>decision makers</w:t>
      </w:r>
      <w:r w:rsidR="00241CCC" w:rsidRPr="00886C07">
        <w:t xml:space="preserve"> as problematic. </w:t>
      </w:r>
      <w:r w:rsidR="00EB5C87" w:rsidRPr="00886C07">
        <w:t xml:space="preserve">The main concern expressed </w:t>
      </w:r>
      <w:r w:rsidR="0059276D" w:rsidRPr="00886C07">
        <w:t xml:space="preserve">in these studies </w:t>
      </w:r>
      <w:r w:rsidR="00EB5C87" w:rsidRPr="00886C07">
        <w:t>was that</w:t>
      </w:r>
      <w:r w:rsidR="0059276D" w:rsidRPr="00886C07">
        <w:t>,</w:t>
      </w:r>
      <w:r w:rsidR="00EB5C87" w:rsidRPr="00886C07">
        <w:t xml:space="preserve"> </w:t>
      </w:r>
      <w:r w:rsidR="00EB5C87" w:rsidRPr="00886C07">
        <w:lastRenderedPageBreak/>
        <w:t>d</w:t>
      </w:r>
      <w:r w:rsidR="00241CCC" w:rsidRPr="00886C07">
        <w:t>espite the appearance of a ‘shared’ meaning between physicians</w:t>
      </w:r>
      <w:r w:rsidR="00047A54" w:rsidRPr="00886C07">
        <w:t>,</w:t>
      </w:r>
      <w:r w:rsidR="00241CCC" w:rsidRPr="00886C07">
        <w:t xml:space="preserve"> usage of the</w:t>
      </w:r>
      <w:r w:rsidR="00047A54" w:rsidRPr="00886C07">
        <w:t xml:space="preserve"> term lacked transparency (not being defined in any relevant guidance). </w:t>
      </w:r>
      <w:r w:rsidR="00D633E3" w:rsidRPr="00886C07">
        <w:t>T</w:t>
      </w:r>
      <w:r w:rsidR="009B4F55" w:rsidRPr="00886C07">
        <w:t>here has been no study of the use of the term ‘insight’ in evidence presented to the</w:t>
      </w:r>
      <w:r w:rsidR="00A066DC" w:rsidRPr="00886C07">
        <w:t xml:space="preserve"> </w:t>
      </w:r>
      <w:proofErr w:type="spellStart"/>
      <w:r w:rsidR="00A066DC" w:rsidRPr="00886C07">
        <w:t>CoP</w:t>
      </w:r>
      <w:r w:rsidR="009B4F55" w:rsidRPr="00886C07">
        <w:t>.</w:t>
      </w:r>
      <w:proofErr w:type="spellEnd"/>
      <w:r w:rsidR="009B4F55" w:rsidRPr="00886C07">
        <w:t xml:space="preserve"> </w:t>
      </w:r>
      <w:r w:rsidR="00E5098A" w:rsidRPr="00886C07">
        <w:t>The</w:t>
      </w:r>
      <w:r w:rsidR="002F418F" w:rsidRPr="00886C07">
        <w:t xml:space="preserve"> following </w:t>
      </w:r>
      <w:r w:rsidR="00DF69CC" w:rsidRPr="00886C07">
        <w:t>discussion</w:t>
      </w:r>
      <w:r w:rsidR="002F418F" w:rsidRPr="00886C07">
        <w:t xml:space="preserve"> demonstrates that the</w:t>
      </w:r>
      <w:r w:rsidR="00E5098A" w:rsidRPr="00886C07">
        <w:t xml:space="preserve"> opacity of the </w:t>
      </w:r>
      <w:r w:rsidR="00047A54" w:rsidRPr="00886C07">
        <w:t>‘</w:t>
      </w:r>
      <w:r w:rsidR="00E5098A" w:rsidRPr="00886C07">
        <w:t>insight’</w:t>
      </w:r>
      <w:r w:rsidR="001D1478" w:rsidRPr="00886C07">
        <w:t xml:space="preserve"> terminology is </w:t>
      </w:r>
      <w:r w:rsidR="00047A54" w:rsidRPr="00886C07">
        <w:t xml:space="preserve">just the beginning of </w:t>
      </w:r>
      <w:r w:rsidR="00843F44" w:rsidRPr="00886C07">
        <w:t xml:space="preserve">the </w:t>
      </w:r>
      <w:r w:rsidR="00047A54" w:rsidRPr="00886C07">
        <w:t xml:space="preserve">problems which can be attributed to its use in the assessment of </w:t>
      </w:r>
      <w:r w:rsidR="004461A6" w:rsidRPr="00886C07">
        <w:t xml:space="preserve">mental </w:t>
      </w:r>
      <w:r w:rsidR="00047A54" w:rsidRPr="00886C07">
        <w:t>capacity</w:t>
      </w:r>
      <w:r w:rsidR="004461A6" w:rsidRPr="00886C07">
        <w:t xml:space="preserve"> under the MCA</w:t>
      </w:r>
      <w:r w:rsidR="00047A54" w:rsidRPr="00886C07">
        <w:t>.</w:t>
      </w:r>
      <w:r w:rsidR="00E5098A" w:rsidRPr="00886C07">
        <w:rPr>
          <w:rStyle w:val="FootnoteReference"/>
        </w:rPr>
        <w:footnoteReference w:id="17"/>
      </w:r>
      <w:r w:rsidR="00E5098A" w:rsidRPr="00886C07">
        <w:t xml:space="preserve"> </w:t>
      </w:r>
    </w:p>
    <w:p w:rsidR="009A25E1" w:rsidRPr="00886C07" w:rsidRDefault="009A25E1" w:rsidP="00DB4883">
      <w:pPr>
        <w:spacing w:line="360" w:lineRule="auto"/>
        <w:jc w:val="both"/>
        <w:rPr>
          <w:i/>
        </w:rPr>
      </w:pPr>
      <w:r w:rsidRPr="00886C07">
        <w:rPr>
          <w:i/>
        </w:rPr>
        <w:t xml:space="preserve">A </w:t>
      </w:r>
      <w:r w:rsidR="002E708E" w:rsidRPr="00886C07">
        <w:rPr>
          <w:i/>
        </w:rPr>
        <w:t>H</w:t>
      </w:r>
      <w:r w:rsidRPr="00886C07">
        <w:rPr>
          <w:i/>
        </w:rPr>
        <w:t xml:space="preserve">istory of </w:t>
      </w:r>
      <w:r w:rsidR="002E708E" w:rsidRPr="00886C07">
        <w:rPr>
          <w:i/>
        </w:rPr>
        <w:t>I</w:t>
      </w:r>
      <w:r w:rsidRPr="00886C07">
        <w:rPr>
          <w:i/>
        </w:rPr>
        <w:t xml:space="preserve">nsight in </w:t>
      </w:r>
      <w:r w:rsidR="002E708E" w:rsidRPr="00886C07">
        <w:rPr>
          <w:i/>
        </w:rPr>
        <w:t>P</w:t>
      </w:r>
      <w:r w:rsidRPr="00886C07">
        <w:rPr>
          <w:i/>
        </w:rPr>
        <w:t>sychiatry</w:t>
      </w:r>
    </w:p>
    <w:p w:rsidR="002A1525" w:rsidRPr="00886C07" w:rsidRDefault="00047A54" w:rsidP="00DB4883">
      <w:pPr>
        <w:spacing w:line="360" w:lineRule="auto"/>
        <w:jc w:val="both"/>
      </w:pPr>
      <w:r w:rsidRPr="00886C07">
        <w:t xml:space="preserve">A review of the function of ‘insight’ </w:t>
      </w:r>
      <w:r w:rsidR="004461A6" w:rsidRPr="00886C07">
        <w:t>with</w:t>
      </w:r>
      <w:r w:rsidRPr="00886C07">
        <w:t>in psychiatry (and medicine generally) r</w:t>
      </w:r>
      <w:r w:rsidR="004461A6" w:rsidRPr="00886C07">
        <w:t>eveals that this ‘clinical centric’</w:t>
      </w:r>
      <w:r w:rsidR="004461A6" w:rsidRPr="00886C07">
        <w:rPr>
          <w:rStyle w:val="FootnoteReference"/>
        </w:rPr>
        <w:footnoteReference w:id="18"/>
      </w:r>
      <w:r w:rsidR="004461A6" w:rsidRPr="00886C07">
        <w:t xml:space="preserve"> concept has a </w:t>
      </w:r>
      <w:r w:rsidR="0071321A" w:rsidRPr="00886C07">
        <w:t xml:space="preserve">controversial history. ‘Absence of insight’, </w:t>
      </w:r>
      <w:r w:rsidR="00215126" w:rsidRPr="00886C07">
        <w:t>broadly</w:t>
      </w:r>
      <w:r w:rsidR="0071321A" w:rsidRPr="00886C07">
        <w:t xml:space="preserve"> meaning unawareness of the fact of being mentally ill,</w:t>
      </w:r>
      <w:r w:rsidR="004461A6" w:rsidRPr="00886C07">
        <w:t xml:space="preserve"> </w:t>
      </w:r>
      <w:r w:rsidR="00B36761" w:rsidRPr="00886C07">
        <w:t>has been</w:t>
      </w:r>
      <w:r w:rsidR="004461A6" w:rsidRPr="00886C07">
        <w:t xml:space="preserve"> criticised as a ‘poorly understood phenomenon’</w:t>
      </w:r>
      <w:r w:rsidR="004461A6" w:rsidRPr="00886C07">
        <w:rPr>
          <w:rStyle w:val="FootnoteReference"/>
        </w:rPr>
        <w:footnoteReference w:id="19"/>
      </w:r>
      <w:r w:rsidR="004461A6" w:rsidRPr="00886C07">
        <w:t xml:space="preserve"> with ‘poor construct validity, being differently defined in different studies.’</w:t>
      </w:r>
      <w:r w:rsidR="004461A6" w:rsidRPr="00886C07">
        <w:rPr>
          <w:rStyle w:val="FootnoteReference"/>
        </w:rPr>
        <w:footnoteReference w:id="20"/>
      </w:r>
      <w:r w:rsidR="00BB01EA" w:rsidRPr="00886C07">
        <w:t xml:space="preserve"> Critics from within the medical profession have also suggested that ‘insight’ as u</w:t>
      </w:r>
      <w:r w:rsidR="009B745C" w:rsidRPr="00886C07">
        <w:t>sed</w:t>
      </w:r>
      <w:r w:rsidR="00BB01EA" w:rsidRPr="00886C07">
        <w:t xml:space="preserve"> in psychiatry st</w:t>
      </w:r>
      <w:r w:rsidR="000B1633" w:rsidRPr="00886C07">
        <w:t>ands</w:t>
      </w:r>
      <w:r w:rsidR="00BB01EA" w:rsidRPr="00886C07">
        <w:t xml:space="preserve"> for professional imperialism and arrogance</w:t>
      </w:r>
      <w:r w:rsidR="009B745C" w:rsidRPr="00886C07">
        <w:t>,</w:t>
      </w:r>
      <w:r w:rsidR="00BB01EA" w:rsidRPr="00886C07">
        <w:t xml:space="preserve"> ignor</w:t>
      </w:r>
      <w:r w:rsidR="009B745C" w:rsidRPr="00886C07">
        <w:t>ing</w:t>
      </w:r>
      <w:r w:rsidR="00BB01EA" w:rsidRPr="00886C07">
        <w:t xml:space="preserve"> cultural sensitivity and accord</w:t>
      </w:r>
      <w:r w:rsidR="009B745C" w:rsidRPr="00886C07">
        <w:t>ing</w:t>
      </w:r>
      <w:r w:rsidR="00BB01EA" w:rsidRPr="00886C07">
        <w:t xml:space="preserve"> ‘a pride of place to a single, rather narrow, perspective – that of scientific psychiatry.’</w:t>
      </w:r>
      <w:r w:rsidR="00BB01EA" w:rsidRPr="00886C07">
        <w:rPr>
          <w:rStyle w:val="FootnoteReference"/>
        </w:rPr>
        <w:footnoteReference w:id="21"/>
      </w:r>
      <w:r w:rsidR="00BB01EA" w:rsidRPr="00886C07">
        <w:t xml:space="preserve"> </w:t>
      </w:r>
      <w:r w:rsidR="00E6147C" w:rsidRPr="00886C07">
        <w:t>In order to understand some of these criticisms</w:t>
      </w:r>
      <w:r w:rsidR="00B36761" w:rsidRPr="00886C07">
        <w:t>,</w:t>
      </w:r>
      <w:r w:rsidR="00E6147C" w:rsidRPr="00886C07">
        <w:t xml:space="preserve"> it may be helpful to examine the degree to which ‘</w:t>
      </w:r>
      <w:r w:rsidR="00E5098A" w:rsidRPr="00886C07">
        <w:t>insight</w:t>
      </w:r>
      <w:r w:rsidR="00E6147C" w:rsidRPr="00886C07">
        <w:t>’</w:t>
      </w:r>
      <w:r w:rsidR="00E5098A" w:rsidRPr="00886C07">
        <w:t xml:space="preserve"> has undergone extension in both form </w:t>
      </w:r>
      <w:r w:rsidR="00E5098A" w:rsidRPr="00886C07">
        <w:rPr>
          <w:i/>
        </w:rPr>
        <w:t>and</w:t>
      </w:r>
      <w:r w:rsidR="00E5098A" w:rsidRPr="00886C07">
        <w:t xml:space="preserve"> function</w:t>
      </w:r>
      <w:r w:rsidR="00E6147C" w:rsidRPr="00886C07">
        <w:t xml:space="preserve"> in psychiatry</w:t>
      </w:r>
      <w:r w:rsidR="00E5098A" w:rsidRPr="00886C07">
        <w:t xml:space="preserve">. </w:t>
      </w:r>
    </w:p>
    <w:p w:rsidR="00E5098A" w:rsidRPr="00886C07" w:rsidRDefault="002A1525" w:rsidP="00DB4883">
      <w:pPr>
        <w:spacing w:line="360" w:lineRule="auto"/>
        <w:jc w:val="both"/>
      </w:pPr>
      <w:r w:rsidRPr="00886C07">
        <w:rPr>
          <w:i/>
        </w:rPr>
        <w:t>‘Diagnostic creep’</w:t>
      </w:r>
      <w:r w:rsidRPr="00886C07">
        <w:t xml:space="preserve"> - </w:t>
      </w:r>
      <w:r w:rsidR="00E5098A" w:rsidRPr="00886C07">
        <w:t>Absence of insight</w:t>
      </w:r>
      <w:r w:rsidR="001A0A9A" w:rsidRPr="00886C07">
        <w:t xml:space="preserve"> </w:t>
      </w:r>
      <w:r w:rsidR="00E5098A" w:rsidRPr="00886C07">
        <w:t>was originally regarded as a symptom of psychoses, but i</w:t>
      </w:r>
      <w:r w:rsidR="004948D1" w:rsidRPr="00886C07">
        <w:t>n particular was regarded as a</w:t>
      </w:r>
      <w:r w:rsidR="00E5098A" w:rsidRPr="00886C07">
        <w:t xml:space="preserve"> hallmark symptom of schizophrenia.</w:t>
      </w:r>
      <w:r w:rsidR="00E5098A" w:rsidRPr="00886C07">
        <w:rPr>
          <w:rStyle w:val="FootnoteReference"/>
        </w:rPr>
        <w:footnoteReference w:id="22"/>
      </w:r>
      <w:r w:rsidR="00E5098A" w:rsidRPr="00886C07">
        <w:t xml:space="preserve"> </w:t>
      </w:r>
      <w:r w:rsidR="00B439D8" w:rsidRPr="00886C07">
        <w:t>However, i</w:t>
      </w:r>
      <w:r w:rsidR="00E5098A" w:rsidRPr="00886C07">
        <w:t xml:space="preserve">n what </w:t>
      </w:r>
      <w:r w:rsidR="009E0DD5" w:rsidRPr="00886C07">
        <w:t xml:space="preserve">might be regarded as an example of </w:t>
      </w:r>
      <w:r w:rsidR="00E5098A" w:rsidRPr="00886C07">
        <w:t xml:space="preserve">‘diagnostic </w:t>
      </w:r>
      <w:r w:rsidR="009E0DD5" w:rsidRPr="00886C07">
        <w:t>creep</w:t>
      </w:r>
      <w:r w:rsidR="00E5098A" w:rsidRPr="00886C07">
        <w:t>’ the concept of lack of insight as a symptom of disorder has been extended to other conditions</w:t>
      </w:r>
      <w:r w:rsidR="004948D1" w:rsidRPr="00886C07">
        <w:t>. It has been associated with</w:t>
      </w:r>
      <w:r w:rsidR="00E5098A" w:rsidRPr="00886C07">
        <w:t xml:space="preserve"> </w:t>
      </w:r>
      <w:r w:rsidR="00DB4250" w:rsidRPr="00886C07">
        <w:t>anorexia nervosa</w:t>
      </w:r>
      <w:r w:rsidR="00843F44" w:rsidRPr="00886C07">
        <w:rPr>
          <w:rStyle w:val="FootnoteReference"/>
        </w:rPr>
        <w:footnoteReference w:id="23"/>
      </w:r>
      <w:r w:rsidR="00DB4250" w:rsidRPr="00886C07">
        <w:t xml:space="preserve"> and to </w:t>
      </w:r>
      <w:r w:rsidR="00E5098A" w:rsidRPr="00886C07">
        <w:t xml:space="preserve">some neurological disorders such as stroke, </w:t>
      </w:r>
      <w:r w:rsidR="001A0A9A" w:rsidRPr="00886C07">
        <w:t xml:space="preserve">the </w:t>
      </w:r>
      <w:r w:rsidR="00E5098A" w:rsidRPr="00886C07">
        <w:t>dementia</w:t>
      </w:r>
      <w:r w:rsidR="001A0A9A" w:rsidRPr="00886C07">
        <w:t>s</w:t>
      </w:r>
      <w:r w:rsidR="00E5098A" w:rsidRPr="00886C07">
        <w:t xml:space="preserve"> (e.g. Alzheimer’s</w:t>
      </w:r>
      <w:r w:rsidR="00C8611B" w:rsidRPr="00886C07">
        <w:t xml:space="preserve"> disease</w:t>
      </w:r>
      <w:r w:rsidR="00E5098A" w:rsidRPr="00886C07">
        <w:t>)</w:t>
      </w:r>
      <w:r w:rsidR="004948D1" w:rsidRPr="00886C07">
        <w:rPr>
          <w:rStyle w:val="FootnoteReference"/>
        </w:rPr>
        <w:footnoteReference w:id="24"/>
      </w:r>
      <w:r w:rsidR="00E5098A" w:rsidRPr="00886C07">
        <w:t xml:space="preserve">, Huntington’s </w:t>
      </w:r>
      <w:r w:rsidR="00E5098A" w:rsidRPr="00886C07">
        <w:lastRenderedPageBreak/>
        <w:t>disease</w:t>
      </w:r>
      <w:r w:rsidR="00632BB3" w:rsidRPr="00886C07">
        <w:rPr>
          <w:rStyle w:val="FootnoteReference"/>
        </w:rPr>
        <w:footnoteReference w:id="25"/>
      </w:r>
      <w:r w:rsidR="00E5098A" w:rsidRPr="00886C07">
        <w:t xml:space="preserve"> and traumatic brain injurie</w:t>
      </w:r>
      <w:r w:rsidR="0058741A" w:rsidRPr="00886C07">
        <w:t>s</w:t>
      </w:r>
      <w:r w:rsidR="00825336" w:rsidRPr="00886C07">
        <w:t>. In these latter</w:t>
      </w:r>
      <w:r w:rsidR="004948D1" w:rsidRPr="00886C07">
        <w:t xml:space="preserve"> contexts</w:t>
      </w:r>
      <w:r w:rsidR="00825336" w:rsidRPr="00886C07">
        <w:t>, it</w:t>
      </w:r>
      <w:r w:rsidR="004948D1" w:rsidRPr="00886C07">
        <w:t xml:space="preserve"> is often referred to as </w:t>
      </w:r>
      <w:r w:rsidR="00E5098A" w:rsidRPr="00886C07">
        <w:t>‘</w:t>
      </w:r>
      <w:proofErr w:type="spellStart"/>
      <w:r w:rsidR="00E5098A" w:rsidRPr="00886C07">
        <w:t>anosognosia</w:t>
      </w:r>
      <w:proofErr w:type="spellEnd"/>
      <w:r w:rsidR="00E5098A" w:rsidRPr="00886C07">
        <w:t xml:space="preserve">’ </w:t>
      </w:r>
      <w:r w:rsidR="004948D1" w:rsidRPr="00886C07">
        <w:t>(meaning an unawareness of some cognitive</w:t>
      </w:r>
      <w:r w:rsidR="00F42653" w:rsidRPr="00886C07">
        <w:t>, sensory</w:t>
      </w:r>
      <w:r w:rsidR="004948D1" w:rsidRPr="00886C07">
        <w:t xml:space="preserve"> or physical deficit</w:t>
      </w:r>
      <w:r w:rsidR="00825336" w:rsidRPr="00886C07">
        <w:t xml:space="preserve"> </w:t>
      </w:r>
      <w:r w:rsidR="00F83039" w:rsidRPr="00886C07">
        <w:t xml:space="preserve">where that unawareness is </w:t>
      </w:r>
      <w:r w:rsidR="00825336" w:rsidRPr="00886C07">
        <w:t>thought to have a biological cause</w:t>
      </w:r>
      <w:r w:rsidR="004948D1" w:rsidRPr="00886C07">
        <w:t>).</w:t>
      </w:r>
      <w:r w:rsidR="00534B94" w:rsidRPr="00886C07">
        <w:rPr>
          <w:rStyle w:val="FootnoteReference"/>
        </w:rPr>
        <w:footnoteReference w:id="26"/>
      </w:r>
      <w:r w:rsidR="00E5098A" w:rsidRPr="00886C07">
        <w:t xml:space="preserve"> </w:t>
      </w:r>
      <w:r w:rsidR="00F83039" w:rsidRPr="00886C07">
        <w:t>Clearly, whilst i</w:t>
      </w:r>
      <w:r w:rsidR="000959DD" w:rsidRPr="00886C07">
        <w:t xml:space="preserve">nsight may have started out as a concept with significance for a single disorder, it is now of potential relevance to </w:t>
      </w:r>
      <w:r w:rsidR="006664EB" w:rsidRPr="00886C07">
        <w:t>a great many</w:t>
      </w:r>
      <w:r w:rsidR="00510EEC">
        <w:t xml:space="preserve"> people</w:t>
      </w:r>
      <w:r w:rsidR="00E5098A" w:rsidRPr="00886C07">
        <w:t xml:space="preserve"> whose capacity is finally determined in the </w:t>
      </w:r>
      <w:proofErr w:type="spellStart"/>
      <w:r w:rsidR="00E5098A" w:rsidRPr="00886C07">
        <w:t>C</w:t>
      </w:r>
      <w:r w:rsidR="008D35C0" w:rsidRPr="00886C07">
        <w:t>oP</w:t>
      </w:r>
      <w:r w:rsidR="00E5098A" w:rsidRPr="00886C07">
        <w:t>.</w:t>
      </w:r>
      <w:proofErr w:type="spellEnd"/>
    </w:p>
    <w:p w:rsidR="002F418F" w:rsidRPr="00886C07" w:rsidRDefault="00FE3D37" w:rsidP="00DB4883">
      <w:pPr>
        <w:spacing w:line="360" w:lineRule="auto"/>
        <w:jc w:val="both"/>
      </w:pPr>
      <w:r w:rsidRPr="00886C07">
        <w:rPr>
          <w:i/>
        </w:rPr>
        <w:t>Increased diversity in a</w:t>
      </w:r>
      <w:r w:rsidR="002A1525" w:rsidRPr="00886C07">
        <w:rPr>
          <w:i/>
        </w:rPr>
        <w:t>etiology of insight</w:t>
      </w:r>
      <w:r w:rsidR="002A1525" w:rsidRPr="00886C07">
        <w:t xml:space="preserve"> </w:t>
      </w:r>
      <w:r w:rsidR="00825336" w:rsidRPr="00886C07">
        <w:t>–</w:t>
      </w:r>
      <w:r w:rsidR="002A1525" w:rsidRPr="00886C07">
        <w:t xml:space="preserve"> </w:t>
      </w:r>
      <w:r w:rsidR="00825336" w:rsidRPr="00886C07">
        <w:t xml:space="preserve">medical literature reveals that as insight terminology became popularised within psychiatry, </w:t>
      </w:r>
      <w:r w:rsidR="00047A54" w:rsidRPr="00886C07">
        <w:t xml:space="preserve">aetiological </w:t>
      </w:r>
      <w:r w:rsidR="00E5098A" w:rsidRPr="00886C07">
        <w:t>explanations for deficits of insight</w:t>
      </w:r>
      <w:r w:rsidR="00825336" w:rsidRPr="00886C07">
        <w:t xml:space="preserve"> multiplied</w:t>
      </w:r>
      <w:r w:rsidR="00E5098A" w:rsidRPr="00886C07">
        <w:t>. In its early form</w:t>
      </w:r>
      <w:r w:rsidR="001A0A9A" w:rsidRPr="00886C07">
        <w:t>,</w:t>
      </w:r>
      <w:r w:rsidR="00E5098A" w:rsidRPr="00886C07">
        <w:t xml:space="preserve"> a lack of insight into illness tended to be explained as a psychological defence mechanism</w:t>
      </w:r>
      <w:r w:rsidR="00253123" w:rsidRPr="00886C07">
        <w:t>; an unconscious device of</w:t>
      </w:r>
      <w:r w:rsidR="00E5098A" w:rsidRPr="00886C07">
        <w:t xml:space="preserve"> self-preservation</w:t>
      </w:r>
      <w:r w:rsidR="002E7337" w:rsidRPr="00886C07">
        <w:t xml:space="preserve">. </w:t>
      </w:r>
      <w:r w:rsidR="00047A54" w:rsidRPr="00886C07">
        <w:t xml:space="preserve">An </w:t>
      </w:r>
      <w:r w:rsidR="003D724A" w:rsidRPr="00886C07">
        <w:t>‘</w:t>
      </w:r>
      <w:r w:rsidR="00047A54" w:rsidRPr="00886C07">
        <w:t>awareness deficit</w:t>
      </w:r>
      <w:r w:rsidR="003D724A" w:rsidRPr="00886C07">
        <w:t>’</w:t>
      </w:r>
      <w:r w:rsidR="002E7337" w:rsidRPr="00886C07">
        <w:t xml:space="preserve"> protected the</w:t>
      </w:r>
      <w:r w:rsidR="003D724A" w:rsidRPr="00886C07">
        <w:t xml:space="preserve"> patient’s</w:t>
      </w:r>
      <w:r w:rsidR="002E7337" w:rsidRPr="00886C07">
        <w:t xml:space="preserve"> psyche from the painful realisation of illness and </w:t>
      </w:r>
      <w:r w:rsidR="009D38D6" w:rsidRPr="00886C07">
        <w:t xml:space="preserve">operated as a barrier against </w:t>
      </w:r>
      <w:r w:rsidR="00E6147C" w:rsidRPr="00886C07">
        <w:t xml:space="preserve">stigma and </w:t>
      </w:r>
      <w:r w:rsidR="002E7337" w:rsidRPr="00886C07">
        <w:t>impact on the individual’s self-identity. M</w:t>
      </w:r>
      <w:r w:rsidR="00E5098A" w:rsidRPr="00886C07">
        <w:t xml:space="preserve">odern research tends to validate this </w:t>
      </w:r>
      <w:r w:rsidR="002E7337" w:rsidRPr="00886C07">
        <w:t>‘</w:t>
      </w:r>
      <w:r w:rsidR="00A865BD" w:rsidRPr="00886C07">
        <w:t>psycholo</w:t>
      </w:r>
      <w:r w:rsidR="009D38D6" w:rsidRPr="00886C07">
        <w:t>g</w:t>
      </w:r>
      <w:r w:rsidR="00A865BD" w:rsidRPr="00886C07">
        <w:t>i</w:t>
      </w:r>
      <w:r w:rsidR="009D38D6" w:rsidRPr="00886C07">
        <w:t>c</w:t>
      </w:r>
      <w:r w:rsidR="00A865BD" w:rsidRPr="00886C07">
        <w:t xml:space="preserve">al </w:t>
      </w:r>
      <w:r w:rsidR="002E7337" w:rsidRPr="00886C07">
        <w:t>defen</w:t>
      </w:r>
      <w:r w:rsidR="00B82DC3" w:rsidRPr="00886C07">
        <w:t>ce</w:t>
      </w:r>
      <w:r w:rsidR="002E7337" w:rsidRPr="00886C07">
        <w:t xml:space="preserve">’ </w:t>
      </w:r>
      <w:r w:rsidR="00E5098A" w:rsidRPr="00886C07">
        <w:t>explanation</w:t>
      </w:r>
      <w:r w:rsidR="00E5098A" w:rsidRPr="00886C07">
        <w:rPr>
          <w:rStyle w:val="FootnoteReference"/>
        </w:rPr>
        <w:footnoteReference w:id="27"/>
      </w:r>
      <w:r w:rsidR="00E5098A" w:rsidRPr="00886C07">
        <w:t>, suggesting that the development of insight into psychosis increases the risk of depression amongst patients and also of suicide ideation.</w:t>
      </w:r>
      <w:r w:rsidR="00E5098A" w:rsidRPr="00886C07">
        <w:rPr>
          <w:rStyle w:val="FootnoteReference"/>
        </w:rPr>
        <w:footnoteReference w:id="28"/>
      </w:r>
      <w:r w:rsidR="00E5098A" w:rsidRPr="00886C07">
        <w:t xml:space="preserve"> </w:t>
      </w:r>
    </w:p>
    <w:p w:rsidR="009D38D6" w:rsidRPr="00886C07" w:rsidRDefault="00825336" w:rsidP="00DB4883">
      <w:pPr>
        <w:spacing w:line="360" w:lineRule="auto"/>
        <w:jc w:val="both"/>
      </w:pPr>
      <w:r w:rsidRPr="00886C07">
        <w:t>B</w:t>
      </w:r>
      <w:r w:rsidR="00E6147C" w:rsidRPr="00886C07">
        <w:t xml:space="preserve">iological origins </w:t>
      </w:r>
      <w:r w:rsidRPr="00886C07">
        <w:t>for</w:t>
      </w:r>
      <w:r w:rsidR="00E6147C" w:rsidRPr="00886C07">
        <w:t xml:space="preserve"> insight deficit are</w:t>
      </w:r>
      <w:r w:rsidR="00F83039" w:rsidRPr="00886C07">
        <w:t>,</w:t>
      </w:r>
      <w:r w:rsidR="00E6147C" w:rsidRPr="00886C07">
        <w:t xml:space="preserve"> however</w:t>
      </w:r>
      <w:r w:rsidR="00F83039" w:rsidRPr="00886C07">
        <w:t>,</w:t>
      </w:r>
      <w:r w:rsidR="00E6147C" w:rsidRPr="00886C07">
        <w:t xml:space="preserve"> </w:t>
      </w:r>
      <w:r w:rsidR="00CD6D24" w:rsidRPr="00886C07">
        <w:t xml:space="preserve">more commonly </w:t>
      </w:r>
      <w:r w:rsidR="008D35C0" w:rsidRPr="00886C07">
        <w:t>referenced</w:t>
      </w:r>
      <w:r w:rsidRPr="00886C07">
        <w:t xml:space="preserve"> </w:t>
      </w:r>
      <w:r w:rsidR="00CD6D24" w:rsidRPr="00886C07">
        <w:t xml:space="preserve">in modern </w:t>
      </w:r>
      <w:r w:rsidR="008D35C0" w:rsidRPr="00886C07">
        <w:t>clinical texts</w:t>
      </w:r>
      <w:r w:rsidR="00CD6D24" w:rsidRPr="00886C07">
        <w:t xml:space="preserve">. </w:t>
      </w:r>
      <w:r w:rsidR="00E5098A" w:rsidRPr="00886C07">
        <w:t>Research usi</w:t>
      </w:r>
      <w:r w:rsidR="00CD6D24" w:rsidRPr="00886C07">
        <w:t xml:space="preserve">ng neuropsychological tests has, for example, </w:t>
      </w:r>
      <w:r w:rsidR="00E5098A" w:rsidRPr="00886C07">
        <w:t>suggest</w:t>
      </w:r>
      <w:r w:rsidRPr="00886C07">
        <w:t>ed</w:t>
      </w:r>
      <w:r w:rsidR="00E5098A" w:rsidRPr="00886C07">
        <w:t xml:space="preserve"> organic causes for lack of insight in psychos</w:t>
      </w:r>
      <w:r w:rsidRPr="00886C07">
        <w:t>e</w:t>
      </w:r>
      <w:r w:rsidR="00E5098A" w:rsidRPr="00886C07">
        <w:t xml:space="preserve">s, namely damage to the </w:t>
      </w:r>
      <w:r w:rsidR="001A0A9A" w:rsidRPr="00886C07">
        <w:t>frontal lobe</w:t>
      </w:r>
      <w:r w:rsidR="00E5098A" w:rsidRPr="00886C07">
        <w:t xml:space="preserve"> </w:t>
      </w:r>
      <w:r w:rsidR="001A0A9A" w:rsidRPr="00886C07">
        <w:t xml:space="preserve">or </w:t>
      </w:r>
      <w:r w:rsidR="00E5098A" w:rsidRPr="00886C07">
        <w:t xml:space="preserve">right parietal lobe, although there </w:t>
      </w:r>
      <w:r w:rsidR="0069152A" w:rsidRPr="00886C07">
        <w:t>remains</w:t>
      </w:r>
      <w:r w:rsidR="00E5098A" w:rsidRPr="00886C07">
        <w:t xml:space="preserve"> a lack of consensus as to exactly where the deficit is to be located.</w:t>
      </w:r>
      <w:r w:rsidR="00E5098A" w:rsidRPr="00886C07">
        <w:rPr>
          <w:rStyle w:val="FootnoteReference"/>
        </w:rPr>
        <w:footnoteReference w:id="29"/>
      </w:r>
      <w:r w:rsidR="0071321A" w:rsidRPr="00886C07">
        <w:t xml:space="preserve"> </w:t>
      </w:r>
      <w:r w:rsidR="00F83039" w:rsidRPr="00886C07">
        <w:t>A</w:t>
      </w:r>
      <w:r w:rsidR="00E5098A" w:rsidRPr="00886C07">
        <w:t xml:space="preserve"> number of </w:t>
      </w:r>
      <w:r w:rsidR="00F83039" w:rsidRPr="00886C07">
        <w:t xml:space="preserve">other </w:t>
      </w:r>
      <w:r w:rsidR="00E5098A" w:rsidRPr="00886C07">
        <w:t xml:space="preserve">studies tend to agree that lack of insight in patients with schizophrenia is associated with </w:t>
      </w:r>
      <w:r w:rsidRPr="00886C07">
        <w:t xml:space="preserve">more general </w:t>
      </w:r>
      <w:r w:rsidR="00E5098A" w:rsidRPr="00886C07">
        <w:t>cognitive deficit (patients with poor insight are commonly reported as performing poorly in e.g. the ‘Wisconsin card sorting test’</w:t>
      </w:r>
      <w:r w:rsidR="00E5098A" w:rsidRPr="00886C07">
        <w:rPr>
          <w:rStyle w:val="FootnoteReference"/>
        </w:rPr>
        <w:footnoteReference w:id="30"/>
      </w:r>
      <w:r w:rsidR="00E5098A" w:rsidRPr="00886C07">
        <w:t>)</w:t>
      </w:r>
      <w:r w:rsidR="0069152A" w:rsidRPr="00886C07">
        <w:t xml:space="preserve">. Such research tends to corroborate </w:t>
      </w:r>
      <w:r w:rsidR="009D38D6" w:rsidRPr="00886C07">
        <w:t>the organic explanation</w:t>
      </w:r>
      <w:r w:rsidR="0071321A" w:rsidRPr="00886C07">
        <w:t>,</w:t>
      </w:r>
      <w:r w:rsidR="0069152A" w:rsidRPr="00886C07">
        <w:t xml:space="preserve"> as the results are generally reported as being consistent with the proposition that insight deficit is caused by </w:t>
      </w:r>
      <w:r w:rsidR="00E5098A" w:rsidRPr="00886C07">
        <w:t xml:space="preserve">lesions in specific sites </w:t>
      </w:r>
      <w:r w:rsidR="009D38D6" w:rsidRPr="00886C07">
        <w:t xml:space="preserve">of the brain </w:t>
      </w:r>
      <w:r w:rsidR="00E5098A" w:rsidRPr="00886C07">
        <w:t>or ‘lower grey matter volumes’</w:t>
      </w:r>
      <w:r w:rsidR="009D38D6" w:rsidRPr="00886C07">
        <w:t>. T</w:t>
      </w:r>
      <w:r w:rsidR="00E5098A" w:rsidRPr="00886C07">
        <w:t xml:space="preserve">here </w:t>
      </w:r>
      <w:r w:rsidR="009D38D6" w:rsidRPr="00886C07">
        <w:t xml:space="preserve">also </w:t>
      </w:r>
      <w:r w:rsidR="00E5098A" w:rsidRPr="00886C07">
        <w:t xml:space="preserve">exists a </w:t>
      </w:r>
      <w:r w:rsidR="00E5098A" w:rsidRPr="00886C07">
        <w:lastRenderedPageBreak/>
        <w:t>great deal of recent research utilising imaging techniques</w:t>
      </w:r>
      <w:r w:rsidRPr="00886C07">
        <w:t>,</w:t>
      </w:r>
      <w:r w:rsidR="009D38D6" w:rsidRPr="00886C07">
        <w:t xml:space="preserve"> the results of </w:t>
      </w:r>
      <w:r w:rsidR="00E5098A" w:rsidRPr="00886C07">
        <w:t>which</w:t>
      </w:r>
      <w:r w:rsidR="009D38D6" w:rsidRPr="00886C07">
        <w:t xml:space="preserve"> are</w:t>
      </w:r>
      <w:r w:rsidRPr="00886C07">
        <w:t xml:space="preserve"> also</w:t>
      </w:r>
      <w:r w:rsidR="009D38D6" w:rsidRPr="00886C07">
        <w:t xml:space="preserve"> consistent</w:t>
      </w:r>
      <w:r w:rsidR="00CD6D24" w:rsidRPr="00886C07">
        <w:t xml:space="preserve"> with</w:t>
      </w:r>
      <w:r w:rsidR="009D38D6" w:rsidRPr="00886C07">
        <w:t xml:space="preserve"> the idea</w:t>
      </w:r>
      <w:r w:rsidR="00E5098A" w:rsidRPr="00886C07">
        <w:t xml:space="preserve"> that poor insight in such patients</w:t>
      </w:r>
      <w:r w:rsidR="0071321A" w:rsidRPr="00886C07">
        <w:t xml:space="preserve"> is associated with</w:t>
      </w:r>
      <w:r w:rsidR="00E5098A" w:rsidRPr="00886C07">
        <w:t xml:space="preserve"> some form of frontal lobe/right hemisphere damage.</w:t>
      </w:r>
      <w:r w:rsidR="00E5098A" w:rsidRPr="00886C07">
        <w:rPr>
          <w:rStyle w:val="FootnoteReference"/>
        </w:rPr>
        <w:footnoteReference w:id="31"/>
      </w:r>
      <w:r w:rsidR="00E5098A" w:rsidRPr="00886C07">
        <w:t xml:space="preserve"> </w:t>
      </w:r>
    </w:p>
    <w:p w:rsidR="00E5098A" w:rsidRPr="00886C07" w:rsidRDefault="004464DC" w:rsidP="00DB4883">
      <w:pPr>
        <w:spacing w:line="360" w:lineRule="auto"/>
        <w:jc w:val="both"/>
      </w:pPr>
      <w:r w:rsidRPr="00886C07">
        <w:t>There appears to be a broad consensus that organic causes</w:t>
      </w:r>
      <w:r w:rsidR="00B439D8" w:rsidRPr="00886C07">
        <w:t xml:space="preserve"> lie</w:t>
      </w:r>
      <w:r w:rsidRPr="00886C07">
        <w:t xml:space="preserve"> behind a patient’s ‘lack of insight’</w:t>
      </w:r>
      <w:r w:rsidR="006664EB" w:rsidRPr="00886C07">
        <w:t>,</w:t>
      </w:r>
      <w:r w:rsidRPr="00886C07">
        <w:t xml:space="preserve"> even if the evidence is not </w:t>
      </w:r>
      <w:r w:rsidR="0099297B" w:rsidRPr="00886C07">
        <w:t xml:space="preserve">particularly </w:t>
      </w:r>
      <w:r w:rsidRPr="00886C07">
        <w:t>strong</w:t>
      </w:r>
      <w:r w:rsidRPr="00886C07">
        <w:rPr>
          <w:rStyle w:val="FootnoteReference"/>
        </w:rPr>
        <w:footnoteReference w:id="32"/>
      </w:r>
      <w:r w:rsidRPr="00886C07">
        <w:t xml:space="preserve"> and</w:t>
      </w:r>
      <w:r w:rsidR="0099297B" w:rsidRPr="00886C07">
        <w:t xml:space="preserve"> even if</w:t>
      </w:r>
      <w:r w:rsidRPr="00886C07">
        <w:t xml:space="preserve"> the exact locus for that explanation remains elusive. Nevertheless, t</w:t>
      </w:r>
      <w:r w:rsidR="00E5098A" w:rsidRPr="00886C07">
        <w:t xml:space="preserve">he modern tendency to account for lack of insight by reference to some biological explanation, tends to underscore the clinical authority given to </w:t>
      </w:r>
      <w:r w:rsidR="009D38D6" w:rsidRPr="00886C07">
        <w:t xml:space="preserve">assessments </w:t>
      </w:r>
      <w:r w:rsidR="008D35C0" w:rsidRPr="00886C07">
        <w:t xml:space="preserve">which conclude </w:t>
      </w:r>
      <w:r w:rsidR="009D38D6" w:rsidRPr="00886C07">
        <w:t xml:space="preserve">that P </w:t>
      </w:r>
      <w:r w:rsidR="008D35C0" w:rsidRPr="00886C07">
        <w:t>‘</w:t>
      </w:r>
      <w:r w:rsidR="009D38D6" w:rsidRPr="00886C07">
        <w:t>lacks insight</w:t>
      </w:r>
      <w:r w:rsidR="008D35C0" w:rsidRPr="00886C07">
        <w:t>’</w:t>
      </w:r>
      <w:r w:rsidR="00B82DC3" w:rsidRPr="00886C07">
        <w:t>.</w:t>
      </w:r>
      <w:r w:rsidR="00CD6D24" w:rsidRPr="00886C07">
        <w:rPr>
          <w:rStyle w:val="FootnoteReference"/>
        </w:rPr>
        <w:footnoteReference w:id="33"/>
      </w:r>
      <w:r w:rsidR="00B82DC3" w:rsidRPr="00886C07">
        <w:t xml:space="preserve"> Any</w:t>
      </w:r>
      <w:r w:rsidR="00E5098A" w:rsidRPr="00886C07">
        <w:t xml:space="preserve"> behaviour associated with that lack of insight is</w:t>
      </w:r>
      <w:r w:rsidR="0078677A" w:rsidRPr="00886C07">
        <w:t xml:space="preserve"> thereby</w:t>
      </w:r>
      <w:r w:rsidR="00E5098A" w:rsidRPr="00886C07">
        <w:t xml:space="preserve"> </w:t>
      </w:r>
      <w:r w:rsidR="008D35C0" w:rsidRPr="00886C07">
        <w:t xml:space="preserve">potentially </w:t>
      </w:r>
      <w:proofErr w:type="spellStart"/>
      <w:r w:rsidR="008D35C0" w:rsidRPr="00886C07">
        <w:t>pathologised</w:t>
      </w:r>
      <w:proofErr w:type="spellEnd"/>
      <w:r w:rsidR="008D35C0" w:rsidRPr="00886C07">
        <w:t>.</w:t>
      </w:r>
      <w:r w:rsidR="00E5098A" w:rsidRPr="00886C07">
        <w:rPr>
          <w:rStyle w:val="FootnoteReference"/>
        </w:rPr>
        <w:footnoteReference w:id="34"/>
      </w:r>
      <w:r w:rsidR="00E5098A" w:rsidRPr="00886C07">
        <w:t xml:space="preserve"> </w:t>
      </w:r>
      <w:r w:rsidR="002A1525" w:rsidRPr="00886C07">
        <w:t>Th</w:t>
      </w:r>
      <w:r w:rsidR="008D35C0" w:rsidRPr="00886C07">
        <w:t xml:space="preserve">e result may </w:t>
      </w:r>
      <w:r w:rsidR="002A1525" w:rsidRPr="00886C07">
        <w:t xml:space="preserve">underplay the possibilities that </w:t>
      </w:r>
      <w:r w:rsidR="00E5098A" w:rsidRPr="00886C07">
        <w:t xml:space="preserve">this person’s </w:t>
      </w:r>
      <w:r w:rsidR="009D38D6" w:rsidRPr="00886C07">
        <w:t xml:space="preserve">perceived </w:t>
      </w:r>
      <w:r w:rsidR="00E5098A" w:rsidRPr="00886C07">
        <w:t>lack of insight</w:t>
      </w:r>
      <w:r w:rsidR="002A1525" w:rsidRPr="00886C07">
        <w:t xml:space="preserve"> is</w:t>
      </w:r>
      <w:r w:rsidR="00E5098A" w:rsidRPr="00886C07">
        <w:t xml:space="preserve"> in truth a playing down of risks in order to win an argument</w:t>
      </w:r>
      <w:r w:rsidR="002A1525" w:rsidRPr="00886C07">
        <w:t xml:space="preserve"> or </w:t>
      </w:r>
      <w:r w:rsidR="00E5098A" w:rsidRPr="00886C07">
        <w:t>a principled objection to the regime of care and treatment being proposed by th</w:t>
      </w:r>
      <w:r w:rsidR="001A0A9A" w:rsidRPr="00886C07">
        <w:t>e</w:t>
      </w:r>
      <w:r w:rsidR="008D35C0" w:rsidRPr="00886C07">
        <w:t xml:space="preserve"> other party.</w:t>
      </w:r>
    </w:p>
    <w:p w:rsidR="002F418F" w:rsidRPr="00886C07" w:rsidRDefault="00FE3D37" w:rsidP="00DB4883">
      <w:pPr>
        <w:spacing w:line="360" w:lineRule="auto"/>
        <w:jc w:val="both"/>
      </w:pPr>
      <w:r w:rsidRPr="00886C07">
        <w:rPr>
          <w:i/>
        </w:rPr>
        <w:t xml:space="preserve">The </w:t>
      </w:r>
      <w:r w:rsidR="00B96EEB" w:rsidRPr="00886C07">
        <w:rPr>
          <w:i/>
        </w:rPr>
        <w:t>‘</w:t>
      </w:r>
      <w:r w:rsidRPr="00886C07">
        <w:rPr>
          <w:i/>
        </w:rPr>
        <w:t>compliance connection</w:t>
      </w:r>
      <w:r w:rsidR="00B96EEB" w:rsidRPr="00886C07">
        <w:rPr>
          <w:i/>
        </w:rPr>
        <w:t>’</w:t>
      </w:r>
      <w:r w:rsidRPr="00886C07">
        <w:rPr>
          <w:i/>
        </w:rPr>
        <w:t xml:space="preserve"> - </w:t>
      </w:r>
      <w:r w:rsidRPr="00886C07">
        <w:t xml:space="preserve">Aside from diagnostic creep and </w:t>
      </w:r>
      <w:r w:rsidR="0071321A" w:rsidRPr="00886C07">
        <w:t>incr</w:t>
      </w:r>
      <w:r w:rsidRPr="00886C07">
        <w:t xml:space="preserve">eased </w:t>
      </w:r>
      <w:r w:rsidR="001403B8" w:rsidRPr="00886C07">
        <w:t xml:space="preserve">reference to </w:t>
      </w:r>
      <w:r w:rsidR="0071321A" w:rsidRPr="00886C07">
        <w:t>biological underpinnings</w:t>
      </w:r>
      <w:r w:rsidRPr="00886C07">
        <w:t xml:space="preserve"> </w:t>
      </w:r>
      <w:r w:rsidR="001403B8" w:rsidRPr="00886C07">
        <w:t>of</w:t>
      </w:r>
      <w:r w:rsidRPr="00886C07">
        <w:t xml:space="preserve"> insight deficit, other changes in the definition of lack of insight have serious implications for</w:t>
      </w:r>
      <w:r w:rsidR="009A25E1" w:rsidRPr="00886C07">
        <w:t xml:space="preserve"> its use in</w:t>
      </w:r>
      <w:r w:rsidRPr="00886C07">
        <w:t xml:space="preserve"> the assessment of </w:t>
      </w:r>
      <w:r w:rsidR="009A25E1" w:rsidRPr="00886C07">
        <w:t xml:space="preserve">mental </w:t>
      </w:r>
      <w:r w:rsidRPr="00886C07">
        <w:t xml:space="preserve">capacity. Researchers frequently identify Aubrey Lewis as a key figure in developing the concept of insight in psychiatry. Lewis, </w:t>
      </w:r>
      <w:r w:rsidR="009A25E1" w:rsidRPr="00886C07">
        <w:t xml:space="preserve">writing about </w:t>
      </w:r>
      <w:r w:rsidRPr="00886C07">
        <w:t>psychoses</w:t>
      </w:r>
      <w:r w:rsidR="009A25E1" w:rsidRPr="00886C07">
        <w:t xml:space="preserve"> in the 1930s</w:t>
      </w:r>
      <w:r w:rsidRPr="00886C07">
        <w:t xml:space="preserve">, defined insight as ‘a </w:t>
      </w:r>
      <w:r w:rsidRPr="00886C07">
        <w:rPr>
          <w:i/>
        </w:rPr>
        <w:t>correct</w:t>
      </w:r>
      <w:r w:rsidRPr="00886C07">
        <w:t xml:space="preserve"> attitude to morbid change in oneself’</w:t>
      </w:r>
      <w:r w:rsidRPr="00886C07">
        <w:rPr>
          <w:rStyle w:val="FootnoteReference"/>
        </w:rPr>
        <w:footnoteReference w:id="35"/>
      </w:r>
      <w:r w:rsidRPr="00886C07">
        <w:t xml:space="preserve"> – an often cited definition which identifies insight as a metaphor for whether </w:t>
      </w:r>
      <w:r w:rsidR="008D35C0" w:rsidRPr="00886C07">
        <w:t>the patient</w:t>
      </w:r>
      <w:r w:rsidRPr="00886C07">
        <w:t xml:space="preserve"> accepts that they are ill. The emphasis on </w:t>
      </w:r>
      <w:r w:rsidR="009A25E1" w:rsidRPr="00886C07">
        <w:t>the ‘</w:t>
      </w:r>
      <w:r w:rsidRPr="00886C07">
        <w:t>correctness</w:t>
      </w:r>
      <w:r w:rsidR="009A25E1" w:rsidRPr="00886C07">
        <w:t>’</w:t>
      </w:r>
      <w:r w:rsidRPr="00886C07">
        <w:t xml:space="preserve"> of </w:t>
      </w:r>
      <w:r w:rsidR="009A25E1" w:rsidRPr="00886C07">
        <w:t xml:space="preserve">the patient’s </w:t>
      </w:r>
      <w:r w:rsidRPr="00886C07">
        <w:t xml:space="preserve">attitude implies that disagreement with the psychiatrist on the fact of illness </w:t>
      </w:r>
      <w:r w:rsidR="009A25E1" w:rsidRPr="00886C07">
        <w:t>requires</w:t>
      </w:r>
      <w:r w:rsidRPr="00886C07">
        <w:t xml:space="preserve"> ‘correction’; a questionable assumption in the light of </w:t>
      </w:r>
      <w:r w:rsidR="000959DD" w:rsidRPr="00886C07">
        <w:t>modern recognition that psychiatrists, like other medical professionals and lawyers sometimes get it wrong</w:t>
      </w:r>
      <w:r w:rsidRPr="00886C07">
        <w:t>.</w:t>
      </w:r>
      <w:r w:rsidR="009A25E1" w:rsidRPr="00886C07">
        <w:rPr>
          <w:rStyle w:val="FootnoteReference"/>
        </w:rPr>
        <w:footnoteReference w:id="36"/>
      </w:r>
      <w:r w:rsidRPr="00886C07">
        <w:t xml:space="preserve"> </w:t>
      </w:r>
      <w:r w:rsidR="00825336" w:rsidRPr="00886C07">
        <w:t xml:space="preserve">Clearly </w:t>
      </w:r>
      <w:r w:rsidRPr="00886C07">
        <w:t xml:space="preserve">Lewis’s definition speaks to a bygone era in which </w:t>
      </w:r>
      <w:r w:rsidR="003D724A" w:rsidRPr="00886C07">
        <w:t xml:space="preserve">the process of </w:t>
      </w:r>
      <w:r w:rsidR="00B439D8" w:rsidRPr="00886C07">
        <w:lastRenderedPageBreak/>
        <w:t>diagnosis wa</w:t>
      </w:r>
      <w:r w:rsidRPr="00886C07">
        <w:t>s assumed to be infallible and the patients’ per</w:t>
      </w:r>
      <w:r w:rsidR="00B439D8" w:rsidRPr="00886C07">
        <w:t>spective on their experiences was</w:t>
      </w:r>
      <w:r w:rsidRPr="00886C07">
        <w:t xml:space="preserve"> marginalised. </w:t>
      </w:r>
    </w:p>
    <w:p w:rsidR="005E3032" w:rsidRPr="00886C07" w:rsidRDefault="00253123" w:rsidP="00DB4883">
      <w:pPr>
        <w:spacing w:line="360" w:lineRule="auto"/>
        <w:jc w:val="both"/>
      </w:pPr>
      <w:r w:rsidRPr="00886C07">
        <w:t xml:space="preserve">Professor Anthony </w:t>
      </w:r>
      <w:r w:rsidR="00FE3D37" w:rsidRPr="00886C07">
        <w:t xml:space="preserve">David’s 1990 analysis is another common reference point for </w:t>
      </w:r>
      <w:r w:rsidR="00DF69CC" w:rsidRPr="00886C07">
        <w:t xml:space="preserve">clinical </w:t>
      </w:r>
      <w:r w:rsidR="00FE3D37" w:rsidRPr="00886C07">
        <w:t>research purporting to measure insight</w:t>
      </w:r>
      <w:r w:rsidR="003D724A" w:rsidRPr="00886C07">
        <w:t>. David</w:t>
      </w:r>
      <w:r w:rsidR="00FE3D37" w:rsidRPr="00886C07">
        <w:t xml:space="preserve"> treat</w:t>
      </w:r>
      <w:r w:rsidR="009A25E1" w:rsidRPr="00886C07">
        <w:t>s</w:t>
      </w:r>
      <w:r w:rsidR="00FE3D37" w:rsidRPr="00886C07">
        <w:t xml:space="preserve"> ‘insight’ as encompassing three overlapping constructs; 1) the patients’ understanding that they </w:t>
      </w:r>
      <w:r w:rsidR="009A25E1" w:rsidRPr="00886C07">
        <w:t>a</w:t>
      </w:r>
      <w:r w:rsidR="00FE3D37" w:rsidRPr="00886C07">
        <w:t>re mentally ill, 2) their ability to ‘</w:t>
      </w:r>
      <w:proofErr w:type="spellStart"/>
      <w:r w:rsidR="00FE3D37" w:rsidRPr="00886C07">
        <w:t>relabel</w:t>
      </w:r>
      <w:proofErr w:type="spellEnd"/>
      <w:r w:rsidR="00FE3D37" w:rsidRPr="00886C07">
        <w:t>’ mental events as pathological and 3) their compliance with a treatment regime.</w:t>
      </w:r>
      <w:r w:rsidR="00FE3D37" w:rsidRPr="00886C07">
        <w:rPr>
          <w:rStyle w:val="FootnoteReference"/>
        </w:rPr>
        <w:footnoteReference w:id="37"/>
      </w:r>
      <w:r w:rsidR="00FE3D37" w:rsidRPr="00886C07">
        <w:t xml:space="preserve"> This third dimension </w:t>
      </w:r>
      <w:r w:rsidR="002F418F" w:rsidRPr="00886C07">
        <w:t>has given</w:t>
      </w:r>
      <w:r w:rsidR="00FE3D37" w:rsidRPr="00886C07">
        <w:t xml:space="preserve"> rise to suggestions that for a patient to show insight they may need to demonstrate ‘compliance’ with the treatment being recommended.</w:t>
      </w:r>
      <w:r w:rsidR="00FE3D37" w:rsidRPr="00886C07">
        <w:rPr>
          <w:rStyle w:val="FootnoteReference"/>
        </w:rPr>
        <w:footnoteReference w:id="38"/>
      </w:r>
      <w:r w:rsidR="00FE3D37" w:rsidRPr="00886C07">
        <w:t xml:space="preserve"> Th</w:t>
      </w:r>
      <w:r w:rsidR="00B439D8" w:rsidRPr="00886C07">
        <w:t>e</w:t>
      </w:r>
      <w:r w:rsidR="00FE3D37" w:rsidRPr="00886C07">
        <w:t xml:space="preserve"> ‘compliance-connection’ </w:t>
      </w:r>
      <w:r w:rsidR="00825336" w:rsidRPr="00886C07">
        <w:t>intensifies</w:t>
      </w:r>
      <w:r w:rsidR="00FE3D37" w:rsidRPr="00886C07">
        <w:t xml:space="preserve"> the problematic nature of the concept of insight, the language of compliance being associated with an ideology of blaming the patient for conflict and deviant behaviour,</w:t>
      </w:r>
      <w:r w:rsidR="00FE3D37" w:rsidRPr="00886C07">
        <w:rPr>
          <w:rStyle w:val="FootnoteReference"/>
        </w:rPr>
        <w:footnoteReference w:id="39"/>
      </w:r>
      <w:r w:rsidR="00FE3D37" w:rsidRPr="00886C07">
        <w:t xml:space="preserve"> and assuming and justifying medical authority.</w:t>
      </w:r>
      <w:r w:rsidR="00FE3D37" w:rsidRPr="00886C07">
        <w:rPr>
          <w:rStyle w:val="FootnoteReference"/>
        </w:rPr>
        <w:footnoteReference w:id="40"/>
      </w:r>
      <w:r w:rsidR="00825336" w:rsidRPr="00886C07">
        <w:t xml:space="preserve"> </w:t>
      </w:r>
      <w:r w:rsidR="00B439D8" w:rsidRPr="00886C07">
        <w:t>It is not hard to imagine how this</w:t>
      </w:r>
      <w:r w:rsidR="00825336" w:rsidRPr="00886C07">
        <w:t xml:space="preserve"> compliance-</w:t>
      </w:r>
      <w:r w:rsidR="00FE3D37" w:rsidRPr="00886C07">
        <w:t xml:space="preserve">connection </w:t>
      </w:r>
      <w:r w:rsidR="00B439D8" w:rsidRPr="00886C07">
        <w:t xml:space="preserve">can </w:t>
      </w:r>
      <w:r w:rsidR="008D35C0" w:rsidRPr="00886C07">
        <w:t>amplif</w:t>
      </w:r>
      <w:r w:rsidR="00B439D8" w:rsidRPr="00886C07">
        <w:t>y</w:t>
      </w:r>
      <w:r w:rsidR="008D35C0" w:rsidRPr="00886C07">
        <w:t xml:space="preserve"> the risk</w:t>
      </w:r>
      <w:r w:rsidR="00FE3D37" w:rsidRPr="00886C07">
        <w:t xml:space="preserve"> that ‘lack of insight’ become</w:t>
      </w:r>
      <w:r w:rsidR="008D35C0" w:rsidRPr="00886C07">
        <w:t>s</w:t>
      </w:r>
      <w:r w:rsidR="00FE3D37" w:rsidRPr="00886C07">
        <w:t xml:space="preserve"> a means by which conflict with </w:t>
      </w:r>
      <w:r w:rsidR="005C6E45" w:rsidRPr="00886C07">
        <w:t>treatment or care</w:t>
      </w:r>
      <w:r w:rsidR="00FE3D37" w:rsidRPr="00886C07">
        <w:t xml:space="preserve"> providers is explained as symptomatic of P’s disorder or lack of capacity</w:t>
      </w:r>
      <w:r w:rsidR="009A25E1" w:rsidRPr="00886C07">
        <w:t xml:space="preserve"> or</w:t>
      </w:r>
      <w:r w:rsidR="008D35C0" w:rsidRPr="00886C07">
        <w:t>,</w:t>
      </w:r>
      <w:r w:rsidR="009A25E1" w:rsidRPr="00886C07">
        <w:t xml:space="preserve"> in other words, that refusal or non-cooperation </w:t>
      </w:r>
      <w:r w:rsidR="00B439D8" w:rsidRPr="00886C07">
        <w:t xml:space="preserve">are </w:t>
      </w:r>
      <w:r w:rsidR="009A25E1" w:rsidRPr="00886C07">
        <w:t>‘</w:t>
      </w:r>
      <w:proofErr w:type="spellStart"/>
      <w:r w:rsidR="009A25E1" w:rsidRPr="00886C07">
        <w:t>medicalised</w:t>
      </w:r>
      <w:proofErr w:type="spellEnd"/>
      <w:r w:rsidR="009A25E1" w:rsidRPr="00886C07">
        <w:t>’.</w:t>
      </w:r>
      <w:r w:rsidR="004B737B" w:rsidRPr="00886C07">
        <w:t xml:space="preserve"> For example, in the context of schizophrenia some researchers have suggested that levels of ‘non-compliance’ provide a good indicator of how ill someone is.</w:t>
      </w:r>
      <w:r w:rsidR="004B737B" w:rsidRPr="00886C07">
        <w:rPr>
          <w:rStyle w:val="FootnoteReference"/>
        </w:rPr>
        <w:footnoteReference w:id="41"/>
      </w:r>
      <w:r w:rsidR="004B737B" w:rsidRPr="00886C07">
        <w:t xml:space="preserve"> The dangers of this conclusion, both in the context of treating schizophrenia and in extrapolating this conclusion to other conditions, are obvious.</w:t>
      </w:r>
    </w:p>
    <w:p w:rsidR="00FB43FB" w:rsidRPr="00886C07" w:rsidRDefault="00D45C86" w:rsidP="00DB4883">
      <w:pPr>
        <w:spacing w:line="360" w:lineRule="auto"/>
        <w:jc w:val="both"/>
      </w:pPr>
      <w:r w:rsidRPr="00886C07">
        <w:t xml:space="preserve">This brief review of the provenance and evolution of the terminology of insight might </w:t>
      </w:r>
      <w:r w:rsidR="00583099" w:rsidRPr="00886C07">
        <w:t>be enough to convince us</w:t>
      </w:r>
      <w:r w:rsidRPr="00886C07">
        <w:t xml:space="preserve"> that</w:t>
      </w:r>
      <w:r w:rsidR="00583099" w:rsidRPr="00886C07">
        <w:t xml:space="preserve"> caution should be exercised before importing the language of insight into capacity assessment.</w:t>
      </w:r>
      <w:r w:rsidR="00B96EEB" w:rsidRPr="00886C07">
        <w:t xml:space="preserve"> Yet i</w:t>
      </w:r>
      <w:r w:rsidR="00FB43FB" w:rsidRPr="00886C07">
        <w:t xml:space="preserve">t is undoubtedly the case that some of the expert witnesses appearing before the </w:t>
      </w:r>
      <w:proofErr w:type="spellStart"/>
      <w:r w:rsidR="00A066DC" w:rsidRPr="00886C07">
        <w:t>CoP</w:t>
      </w:r>
      <w:proofErr w:type="spellEnd"/>
      <w:r w:rsidR="00A066DC" w:rsidRPr="00886C07">
        <w:t xml:space="preserve"> </w:t>
      </w:r>
      <w:r w:rsidR="00FB43FB" w:rsidRPr="00886C07">
        <w:t>regard P’s ‘lack of insight’ as a metaphor for incapacity.</w:t>
      </w:r>
    </w:p>
    <w:p w:rsidR="00B96EEB" w:rsidRPr="00886C07" w:rsidRDefault="00B96EEB" w:rsidP="00DB4883">
      <w:pPr>
        <w:spacing w:line="360" w:lineRule="auto"/>
        <w:jc w:val="both"/>
        <w:rPr>
          <w:b/>
        </w:rPr>
      </w:pPr>
    </w:p>
    <w:p w:rsidR="00E5098A" w:rsidRPr="00886C07" w:rsidRDefault="00341C2A" w:rsidP="00341C2A">
      <w:pPr>
        <w:spacing w:line="360" w:lineRule="auto"/>
        <w:jc w:val="center"/>
      </w:pPr>
      <w:r w:rsidRPr="00886C07">
        <w:lastRenderedPageBreak/>
        <w:t>IV. THE RELATIONSHIP BETWEEN INSIGHT AND CAPACITY IN THE COURT OF PROTECTION: TH</w:t>
      </w:r>
      <w:r w:rsidR="005D4068" w:rsidRPr="00886C07">
        <w:t>RE</w:t>
      </w:r>
      <w:r w:rsidRPr="00886C07">
        <w:t>E JUDGMENTS</w:t>
      </w:r>
    </w:p>
    <w:p w:rsidR="00455F29" w:rsidRPr="00886C07" w:rsidRDefault="008A24CC" w:rsidP="00DB4883">
      <w:pPr>
        <w:spacing w:line="360" w:lineRule="auto"/>
        <w:jc w:val="both"/>
      </w:pPr>
      <w:r w:rsidRPr="00886C07">
        <w:t xml:space="preserve">‘Insight’ was used as a search term in </w:t>
      </w:r>
      <w:proofErr w:type="spellStart"/>
      <w:r w:rsidR="00237841" w:rsidRPr="00886C07">
        <w:t>B</w:t>
      </w:r>
      <w:r w:rsidR="0078677A" w:rsidRPr="00886C07">
        <w:t>ailii</w:t>
      </w:r>
      <w:proofErr w:type="spellEnd"/>
      <w:r w:rsidR="0078677A" w:rsidRPr="00886C07">
        <w:t xml:space="preserve"> to trawl</w:t>
      </w:r>
      <w:r w:rsidRPr="00886C07">
        <w:t xml:space="preserve"> reported judgments </w:t>
      </w:r>
      <w:r w:rsidR="00765BC8" w:rsidRPr="00886C07">
        <w:t xml:space="preserve">from 2007-2015 </w:t>
      </w:r>
      <w:r w:rsidRPr="00886C07">
        <w:t xml:space="preserve">where capacity was dealt with in detail in the </w:t>
      </w:r>
      <w:proofErr w:type="spellStart"/>
      <w:r w:rsidRPr="00886C07">
        <w:t>CoP.</w:t>
      </w:r>
      <w:proofErr w:type="spellEnd"/>
      <w:r w:rsidRPr="00886C07">
        <w:t xml:space="preserve"> </w:t>
      </w:r>
      <w:r w:rsidR="008C0B9C" w:rsidRPr="00886C07">
        <w:t>Th</w:t>
      </w:r>
      <w:r w:rsidR="00E5098A" w:rsidRPr="00886C07">
        <w:t>e</w:t>
      </w:r>
      <w:r w:rsidRPr="00886C07">
        <w:t xml:space="preserve"> search revealed that </w:t>
      </w:r>
      <w:r w:rsidR="00765BC8" w:rsidRPr="00886C07">
        <w:t>of those</w:t>
      </w:r>
      <w:r w:rsidR="005C6E45" w:rsidRPr="00886C07">
        <w:t xml:space="preserve"> health and welfare</w:t>
      </w:r>
      <w:r w:rsidR="00765BC8" w:rsidRPr="00886C07">
        <w:t xml:space="preserve"> judgments where capacity was discussed in detail (57)</w:t>
      </w:r>
      <w:r w:rsidR="005C6E45" w:rsidRPr="00886C07">
        <w:t>,</w:t>
      </w:r>
      <w:r w:rsidR="00765BC8" w:rsidRPr="00886C07">
        <w:t xml:space="preserve"> around a third made at least passing reference to P’s ‘lack of insight’ and a good many of these referenced P’s ‘insight’ repeatedly. T</w:t>
      </w:r>
      <w:r w:rsidRPr="00886C07">
        <w:t>he</w:t>
      </w:r>
      <w:r w:rsidR="00E5098A" w:rsidRPr="00886C07">
        <w:t xml:space="preserve">re were </w:t>
      </w:r>
      <w:r w:rsidRPr="00886C07">
        <w:t>some</w:t>
      </w:r>
      <w:r w:rsidR="00E5098A" w:rsidRPr="00886C07">
        <w:t xml:space="preserve"> instances of ‘insight’ being referred to in a </w:t>
      </w:r>
      <w:r w:rsidR="00FE3D37" w:rsidRPr="00886C07">
        <w:t xml:space="preserve">strictly </w:t>
      </w:r>
      <w:r w:rsidR="00E5098A" w:rsidRPr="00886C07">
        <w:t>diagnostic sense (as confirming, for example, a particular diagnosis of Alzheimer’s/vascular dementia)</w:t>
      </w:r>
      <w:r w:rsidR="00B96EEB" w:rsidRPr="00886C07">
        <w:t>.</w:t>
      </w:r>
      <w:r w:rsidR="00E5098A" w:rsidRPr="00886C07">
        <w:rPr>
          <w:rStyle w:val="FootnoteReference"/>
        </w:rPr>
        <w:footnoteReference w:id="42"/>
      </w:r>
      <w:r w:rsidR="00E5098A" w:rsidRPr="00886C07">
        <w:t xml:space="preserve"> In </w:t>
      </w:r>
      <w:r w:rsidR="00E5098A" w:rsidRPr="00886C07">
        <w:rPr>
          <w:i/>
        </w:rPr>
        <w:t>Heart of England NHS Foundation Trust v JB</w:t>
      </w:r>
      <w:r w:rsidR="00E5098A" w:rsidRPr="00886C07">
        <w:rPr>
          <w:rStyle w:val="FootnoteReference"/>
          <w:i/>
        </w:rPr>
        <w:footnoteReference w:id="43"/>
      </w:r>
      <w:r w:rsidR="00141ED6" w:rsidRPr="00886C07">
        <w:t>Peter Jackson</w:t>
      </w:r>
      <w:r w:rsidR="00B531B5" w:rsidRPr="00886C07">
        <w:t xml:space="preserve"> J</w:t>
      </w:r>
      <w:r w:rsidR="00E5098A" w:rsidRPr="00886C07">
        <w:t xml:space="preserve"> refer</w:t>
      </w:r>
      <w:r w:rsidR="00141ED6" w:rsidRPr="00886C07">
        <w:t>red</w:t>
      </w:r>
      <w:r w:rsidR="00E5098A" w:rsidRPr="00886C07">
        <w:t xml:space="preserve"> to evidence that P lacked ‘insight’ by reason of not believing she had a mental illness</w:t>
      </w:r>
      <w:r w:rsidR="00237841" w:rsidRPr="00886C07">
        <w:t>, namely,</w:t>
      </w:r>
      <w:r w:rsidR="002033F1" w:rsidRPr="00886C07">
        <w:t xml:space="preserve"> </w:t>
      </w:r>
      <w:r w:rsidR="00E5098A" w:rsidRPr="00886C07">
        <w:t>schizophrenia. When used in the former clear and restricted sense, the judge in</w:t>
      </w:r>
      <w:r w:rsidR="00B82DC3" w:rsidRPr="00886C07">
        <w:t xml:space="preserve"> the </w:t>
      </w:r>
      <w:r w:rsidR="00FE3D37" w:rsidRPr="00886C07">
        <w:t>‘</w:t>
      </w:r>
      <w:r w:rsidR="00B82DC3" w:rsidRPr="00886C07">
        <w:t>capacity affirming</w:t>
      </w:r>
      <w:r w:rsidR="00FE3D37" w:rsidRPr="00886C07">
        <w:t>’</w:t>
      </w:r>
      <w:r w:rsidR="00B82DC3" w:rsidRPr="00886C07">
        <w:t xml:space="preserve"> judgment of</w:t>
      </w:r>
      <w:r w:rsidR="00E5098A" w:rsidRPr="00886C07">
        <w:t xml:space="preserve"> </w:t>
      </w:r>
      <w:r w:rsidR="00E5098A" w:rsidRPr="00886C07">
        <w:rPr>
          <w:i/>
        </w:rPr>
        <w:t xml:space="preserve">JB </w:t>
      </w:r>
      <w:r w:rsidR="00E5098A" w:rsidRPr="00886C07">
        <w:t xml:space="preserve">had no difficulty in separating </w:t>
      </w:r>
      <w:r w:rsidR="00FE3D37" w:rsidRPr="00886C07">
        <w:t xml:space="preserve"> her lack of </w:t>
      </w:r>
      <w:r w:rsidR="00B82DC3" w:rsidRPr="00886C07">
        <w:t>‘</w:t>
      </w:r>
      <w:r w:rsidR="00E5098A" w:rsidRPr="00886C07">
        <w:t>insight</w:t>
      </w:r>
      <w:r w:rsidR="00B82DC3" w:rsidRPr="00886C07">
        <w:t>’</w:t>
      </w:r>
      <w:r w:rsidR="00E5098A" w:rsidRPr="00886C07">
        <w:t xml:space="preserve"> from</w:t>
      </w:r>
      <w:r w:rsidR="00FE3D37" w:rsidRPr="00886C07">
        <w:t xml:space="preserve"> the issue of her</w:t>
      </w:r>
      <w:r w:rsidR="00E5098A" w:rsidRPr="00886C07">
        <w:t xml:space="preserve"> </w:t>
      </w:r>
      <w:r w:rsidR="00B82DC3" w:rsidRPr="00886C07">
        <w:t>‘</w:t>
      </w:r>
      <w:r w:rsidR="00E5098A" w:rsidRPr="00886C07">
        <w:t>capacity</w:t>
      </w:r>
      <w:r w:rsidR="00B82DC3" w:rsidRPr="00886C07">
        <w:t>’</w:t>
      </w:r>
      <w:r w:rsidR="00FC317B" w:rsidRPr="00886C07">
        <w:t xml:space="preserve">. The judgment in </w:t>
      </w:r>
      <w:r w:rsidR="00FC317B" w:rsidRPr="00886C07">
        <w:rPr>
          <w:i/>
        </w:rPr>
        <w:t>JB</w:t>
      </w:r>
      <w:r w:rsidR="00FC317B" w:rsidRPr="00886C07">
        <w:t xml:space="preserve"> found that P lacked insight into her schizophrenia, but had capacity to decide on the issue of amputation. </w:t>
      </w:r>
      <w:r w:rsidR="002D6BD5" w:rsidRPr="00886C07">
        <w:rPr>
          <w:rStyle w:val="FootnoteReference"/>
        </w:rPr>
        <w:footnoteReference w:id="44"/>
      </w:r>
      <w:r w:rsidR="00E5098A" w:rsidRPr="00886C07">
        <w:t xml:space="preserve"> </w:t>
      </w:r>
      <w:r w:rsidR="00A20FDB" w:rsidRPr="00886C07">
        <w:rPr>
          <w:i/>
        </w:rPr>
        <w:t xml:space="preserve">CC v STCC </w:t>
      </w:r>
      <w:r w:rsidR="00A20FDB" w:rsidRPr="00886C07">
        <w:t xml:space="preserve">provides </w:t>
      </w:r>
      <w:r w:rsidR="00455F29" w:rsidRPr="00886C07">
        <w:t>another heartening example of judicial resistance to the notion that behaviour labelled as ‘lacking insight’ signals incapacity.</w:t>
      </w:r>
      <w:r w:rsidR="00A20FDB" w:rsidRPr="00886C07">
        <w:rPr>
          <w:rStyle w:val="FootnoteReference"/>
        </w:rPr>
        <w:footnoteReference w:id="45"/>
      </w:r>
      <w:r w:rsidR="00455F29" w:rsidRPr="00886C07">
        <w:t xml:space="preserve"> Justice Baker discount</w:t>
      </w:r>
      <w:r w:rsidR="00A20FDB" w:rsidRPr="00886C07">
        <w:t>ed</w:t>
      </w:r>
      <w:r w:rsidR="00455F29" w:rsidRPr="00886C07">
        <w:t xml:space="preserve"> the suggestion that P’s extreme overuse of the lifeline service and promise not to persist if allowed to return home, demonstrated lack of insight and evidence of incapacity. Instead, </w:t>
      </w:r>
      <w:r w:rsidR="00A20FDB" w:rsidRPr="00886C07">
        <w:t>P</w:t>
      </w:r>
      <w:r w:rsidR="00455F29" w:rsidRPr="00886C07">
        <w:t xml:space="preserve">’s counsel argued (and the judge agreed) that </w:t>
      </w:r>
      <w:r w:rsidR="00A20FDB" w:rsidRPr="00886C07">
        <w:t>she</w:t>
      </w:r>
      <w:r w:rsidR="00455F29" w:rsidRPr="00886C07">
        <w:t xml:space="preserve"> demonstrated </w:t>
      </w:r>
      <w:r w:rsidR="00A20FDB" w:rsidRPr="00886C07">
        <w:t>‘</w:t>
      </w:r>
      <w:r w:rsidR="00455F29" w:rsidRPr="00886C07">
        <w:t>insight</w:t>
      </w:r>
      <w:r w:rsidR="00A20FDB" w:rsidRPr="00886C07">
        <w:t>’</w:t>
      </w:r>
      <w:r w:rsidR="00455F29" w:rsidRPr="00886C07">
        <w:t xml:space="preserve"> through her lucid description of the journey to court and awareness of the role of carers and detail of the care package she h</w:t>
      </w:r>
      <w:r w:rsidR="00726315" w:rsidRPr="00886C07">
        <w:t>ad been offered whilst at home.</w:t>
      </w:r>
      <w:r w:rsidR="00455F29" w:rsidRPr="00886C07">
        <w:rPr>
          <w:rStyle w:val="FootnoteReference"/>
        </w:rPr>
        <w:footnoteReference w:id="46"/>
      </w:r>
    </w:p>
    <w:p w:rsidR="006664EB" w:rsidRPr="00886C07" w:rsidRDefault="000D40FB" w:rsidP="00DB4883">
      <w:pPr>
        <w:spacing w:line="360" w:lineRule="auto"/>
        <w:jc w:val="both"/>
      </w:pPr>
      <w:r w:rsidRPr="00886C07">
        <w:t>I</w:t>
      </w:r>
      <w:r w:rsidR="00E5098A" w:rsidRPr="00886C07">
        <w:t xml:space="preserve">n a number of cases </w:t>
      </w:r>
      <w:r w:rsidRPr="00886C07">
        <w:t xml:space="preserve">‘insight’ </w:t>
      </w:r>
      <w:r w:rsidR="00E5098A" w:rsidRPr="00886C07">
        <w:t xml:space="preserve">is used </w:t>
      </w:r>
      <w:r w:rsidR="00FE719B" w:rsidRPr="00886C07">
        <w:t xml:space="preserve">by expert witnesses </w:t>
      </w:r>
      <w:r w:rsidR="00E5098A" w:rsidRPr="00886C07">
        <w:t>to address</w:t>
      </w:r>
      <w:r w:rsidRPr="00886C07">
        <w:t xml:space="preserve"> the issue of </w:t>
      </w:r>
      <w:r w:rsidR="00E5098A" w:rsidRPr="00886C07">
        <w:t>whether P meets the functional criteria of incapacity</w:t>
      </w:r>
      <w:r w:rsidR="00FE3D37" w:rsidRPr="00886C07">
        <w:t xml:space="preserve"> (i.e. whether P is not able to ‘understand’, ‘retain’ or ‘</w:t>
      </w:r>
      <w:r w:rsidR="008A24CC" w:rsidRPr="00886C07">
        <w:t xml:space="preserve">use and </w:t>
      </w:r>
      <w:r w:rsidR="00FE3D37" w:rsidRPr="00886C07">
        <w:t>weigh’ the information to reach a decision</w:t>
      </w:r>
      <w:r w:rsidR="008A24CC" w:rsidRPr="00886C07">
        <w:t xml:space="preserve"> for the purposes of s.3</w:t>
      </w:r>
      <w:r w:rsidR="00FE3D37" w:rsidRPr="00886C07">
        <w:t>)</w:t>
      </w:r>
      <w:r w:rsidR="00E5098A" w:rsidRPr="00886C07">
        <w:t xml:space="preserve">. </w:t>
      </w:r>
      <w:r w:rsidR="008A24CC" w:rsidRPr="00886C07">
        <w:t>Some of these cases (discussed below)</w:t>
      </w:r>
      <w:r w:rsidR="002033F1" w:rsidRPr="00886C07">
        <w:t xml:space="preserve"> highlight </w:t>
      </w:r>
      <w:r w:rsidR="00C5366F" w:rsidRPr="00886C07">
        <w:t xml:space="preserve">the risks associated with deploying insight terminology </w:t>
      </w:r>
      <w:r w:rsidR="006664EB" w:rsidRPr="00886C07">
        <w:t xml:space="preserve">too liberally </w:t>
      </w:r>
      <w:r w:rsidR="00C5366F" w:rsidRPr="00886C07">
        <w:t>in capacity assessment</w:t>
      </w:r>
      <w:r w:rsidR="006664EB" w:rsidRPr="00886C07">
        <w:t>. These risks might be regarded as</w:t>
      </w:r>
      <w:r w:rsidR="002033F1" w:rsidRPr="00886C07">
        <w:t>, including</w:t>
      </w:r>
      <w:r w:rsidR="006664EB" w:rsidRPr="00886C07">
        <w:t>:</w:t>
      </w:r>
    </w:p>
    <w:p w:rsidR="006664EB" w:rsidRPr="00886C07" w:rsidRDefault="002033F1" w:rsidP="00DB4883">
      <w:pPr>
        <w:pStyle w:val="ListParagraph"/>
        <w:numPr>
          <w:ilvl w:val="0"/>
          <w:numId w:val="21"/>
        </w:numPr>
        <w:spacing w:line="360" w:lineRule="auto"/>
        <w:jc w:val="both"/>
      </w:pPr>
      <w:r w:rsidRPr="00886C07">
        <w:lastRenderedPageBreak/>
        <w:t>the potential for</w:t>
      </w:r>
      <w:r w:rsidR="000B062E" w:rsidRPr="00886C07">
        <w:t xml:space="preserve"> conclusions about ‘</w:t>
      </w:r>
      <w:r w:rsidRPr="00886C07">
        <w:t>insight</w:t>
      </w:r>
      <w:r w:rsidR="000B062E" w:rsidRPr="00886C07">
        <w:t>’</w:t>
      </w:r>
      <w:r w:rsidRPr="00886C07">
        <w:t xml:space="preserve"> to trump the statutory cr</w:t>
      </w:r>
      <w:r w:rsidR="006664EB" w:rsidRPr="00886C07">
        <w:t>iteria for capacity assessment;</w:t>
      </w:r>
    </w:p>
    <w:p w:rsidR="007737D9" w:rsidRPr="00886C07" w:rsidRDefault="002033F1" w:rsidP="00DB4883">
      <w:pPr>
        <w:pStyle w:val="ListParagraph"/>
        <w:numPr>
          <w:ilvl w:val="0"/>
          <w:numId w:val="21"/>
        </w:numPr>
        <w:spacing w:line="360" w:lineRule="auto"/>
        <w:jc w:val="both"/>
      </w:pPr>
      <w:r w:rsidRPr="00886C07">
        <w:t xml:space="preserve">the failure to map conclusions about insight onto the statutory criteria thereby obscuring transparency in capacity assessment, </w:t>
      </w:r>
      <w:r w:rsidR="000B062E" w:rsidRPr="00886C07">
        <w:t xml:space="preserve">undermining P’s right to make unwise decisions protected by s.1(4) of the MCA </w:t>
      </w:r>
      <w:r w:rsidR="006664EB" w:rsidRPr="00886C07">
        <w:t>;</w:t>
      </w:r>
      <w:r w:rsidR="007737D9" w:rsidRPr="00886C07">
        <w:t xml:space="preserve"> </w:t>
      </w:r>
      <w:r w:rsidR="000B062E" w:rsidRPr="00886C07">
        <w:t xml:space="preserve">and </w:t>
      </w:r>
    </w:p>
    <w:p w:rsidR="006664EB" w:rsidRPr="00886C07" w:rsidRDefault="006664EB" w:rsidP="00DB4883">
      <w:pPr>
        <w:pStyle w:val="ListParagraph"/>
        <w:numPr>
          <w:ilvl w:val="0"/>
          <w:numId w:val="21"/>
        </w:numPr>
        <w:spacing w:line="360" w:lineRule="auto"/>
        <w:jc w:val="both"/>
      </w:pPr>
      <w:r w:rsidRPr="00886C07">
        <w:t>potentially conflicting with</w:t>
      </w:r>
      <w:r w:rsidR="000B062E" w:rsidRPr="00886C07">
        <w:t xml:space="preserve"> the statutory principle in s.2(3)(b) that </w:t>
      </w:r>
      <w:r w:rsidR="00EA0DD4" w:rsidRPr="00886C07">
        <w:t xml:space="preserve">aspects of P’s </w:t>
      </w:r>
      <w:r w:rsidR="000B062E" w:rsidRPr="00886C07">
        <w:t xml:space="preserve">behaviour should not be equated with incapacity. </w:t>
      </w:r>
    </w:p>
    <w:p w:rsidR="002033F1" w:rsidRPr="00886C07" w:rsidRDefault="000B062E" w:rsidP="00DB4883">
      <w:pPr>
        <w:spacing w:line="360" w:lineRule="auto"/>
        <w:jc w:val="both"/>
      </w:pPr>
      <w:r w:rsidRPr="00886C07">
        <w:t xml:space="preserve">Further, </w:t>
      </w:r>
      <w:r w:rsidR="007737D9" w:rsidRPr="00886C07">
        <w:t xml:space="preserve">allowing lazy references to ‘insight’ </w:t>
      </w:r>
      <w:r w:rsidRPr="00886C07">
        <w:t xml:space="preserve">increases </w:t>
      </w:r>
      <w:r w:rsidR="002033F1" w:rsidRPr="00886C07">
        <w:t xml:space="preserve">the risk of </w:t>
      </w:r>
      <w:r w:rsidR="004E4CD1" w:rsidRPr="00886C07">
        <w:t>‘agreement’</w:t>
      </w:r>
      <w:r w:rsidR="002033F1" w:rsidRPr="00886C07">
        <w:t xml:space="preserve"> </w:t>
      </w:r>
      <w:r w:rsidRPr="00886C07">
        <w:t>being treated as a de facto</w:t>
      </w:r>
      <w:r w:rsidR="002033F1" w:rsidRPr="00886C07">
        <w:t xml:space="preserve"> requirement for capacity and the </w:t>
      </w:r>
      <w:r w:rsidR="00A2028A" w:rsidRPr="00886C07">
        <w:t xml:space="preserve">associated </w:t>
      </w:r>
      <w:r w:rsidR="002033F1" w:rsidRPr="00886C07">
        <w:t xml:space="preserve">danger of </w:t>
      </w:r>
      <w:proofErr w:type="spellStart"/>
      <w:r w:rsidR="002033F1" w:rsidRPr="00886C07">
        <w:t>medicalising</w:t>
      </w:r>
      <w:proofErr w:type="spellEnd"/>
      <w:r w:rsidR="00587EE1" w:rsidRPr="00886C07">
        <w:t xml:space="preserve"> P’s refusal or non-</w:t>
      </w:r>
      <w:r w:rsidR="002033F1" w:rsidRPr="00886C07">
        <w:t>cooperation with the care or treatment being offered</w:t>
      </w:r>
      <w:r w:rsidR="00C5366F" w:rsidRPr="00886C07">
        <w:t xml:space="preserve">. </w:t>
      </w:r>
      <w:r w:rsidR="005D4068" w:rsidRPr="00886C07">
        <w:t xml:space="preserve">The following interrogation of uses of ‘insight’ in expert evidence focuses on three cases: </w:t>
      </w:r>
      <w:r w:rsidR="005D4068" w:rsidRPr="00886C07">
        <w:rPr>
          <w:i/>
        </w:rPr>
        <w:t xml:space="preserve">PH v A Local Authority </w:t>
      </w:r>
      <w:proofErr w:type="spellStart"/>
      <w:r w:rsidR="005D4068" w:rsidRPr="00886C07">
        <w:rPr>
          <w:i/>
          <w:color w:val="000000"/>
          <w:lang w:eastAsia="en-GB"/>
        </w:rPr>
        <w:t>Wandsworth</w:t>
      </w:r>
      <w:proofErr w:type="spellEnd"/>
      <w:r w:rsidR="005D4068" w:rsidRPr="00886C07">
        <w:rPr>
          <w:i/>
          <w:color w:val="000000"/>
          <w:lang w:eastAsia="en-GB"/>
        </w:rPr>
        <w:t xml:space="preserve"> Clinical Commissioning Group V IA</w:t>
      </w:r>
      <w:r w:rsidR="005D4068" w:rsidRPr="00886C07">
        <w:t xml:space="preserve"> and </w:t>
      </w:r>
      <w:r w:rsidR="005D4068" w:rsidRPr="00886C07">
        <w:rPr>
          <w:i/>
          <w:color w:val="000000"/>
          <w:lang w:eastAsia="en-GB"/>
        </w:rPr>
        <w:t xml:space="preserve">London Borough of Islington v </w:t>
      </w:r>
      <w:r w:rsidR="005D4068" w:rsidRPr="00886C07">
        <w:rPr>
          <w:i/>
        </w:rPr>
        <w:t xml:space="preserve">QR, </w:t>
      </w:r>
      <w:r w:rsidR="005D4068" w:rsidRPr="00886C07">
        <w:t>each</w:t>
      </w:r>
      <w:r w:rsidR="00A57BAB" w:rsidRPr="00886C07">
        <w:t xml:space="preserve"> one</w:t>
      </w:r>
      <w:r w:rsidR="005D4068" w:rsidRPr="00886C07">
        <w:t xml:space="preserve"> chosen because</w:t>
      </w:r>
      <w:r w:rsidR="00A57BAB" w:rsidRPr="00886C07">
        <w:t xml:space="preserve"> it highlights different means by which the undisciplined use of ‘insight’ can jeopardise the autonomy promoting provisions of the MCA</w:t>
      </w:r>
      <w:r w:rsidR="005D4068" w:rsidRPr="00886C07">
        <w:t>.</w:t>
      </w:r>
    </w:p>
    <w:p w:rsidR="002033F1" w:rsidRPr="00886C07" w:rsidRDefault="002E708E" w:rsidP="00DB4883">
      <w:pPr>
        <w:spacing w:line="360" w:lineRule="auto"/>
        <w:jc w:val="both"/>
        <w:rPr>
          <w:i/>
          <w:color w:val="000000"/>
          <w:lang w:eastAsia="en-GB"/>
        </w:rPr>
      </w:pPr>
      <w:r w:rsidRPr="00886C07">
        <w:rPr>
          <w:i/>
          <w:color w:val="000000"/>
          <w:lang w:eastAsia="en-GB"/>
        </w:rPr>
        <w:t xml:space="preserve">A. The Pervasiveness of Insight Testimony and the ‘Minimisation of Problems’:  PH </w:t>
      </w:r>
      <w:r w:rsidR="00B025FD" w:rsidRPr="00886C07">
        <w:rPr>
          <w:i/>
          <w:color w:val="000000"/>
          <w:lang w:eastAsia="en-GB"/>
        </w:rPr>
        <w:t xml:space="preserve">v </w:t>
      </w:r>
      <w:r w:rsidRPr="00886C07">
        <w:rPr>
          <w:i/>
          <w:color w:val="000000"/>
          <w:lang w:eastAsia="en-GB"/>
        </w:rPr>
        <w:t xml:space="preserve"> A Local Authority</w:t>
      </w:r>
    </w:p>
    <w:p w:rsidR="0010189B" w:rsidRPr="00886C07" w:rsidRDefault="00CE3F20" w:rsidP="00DB4883">
      <w:pPr>
        <w:spacing w:line="360" w:lineRule="auto"/>
        <w:jc w:val="both"/>
      </w:pPr>
      <w:r w:rsidRPr="00886C07">
        <w:rPr>
          <w:color w:val="000000"/>
          <w:lang w:eastAsia="en-GB"/>
        </w:rPr>
        <w:t xml:space="preserve">The use of insight in the 2011 case of </w:t>
      </w:r>
      <w:r w:rsidRPr="00886C07">
        <w:rPr>
          <w:i/>
          <w:color w:val="000000"/>
          <w:lang w:eastAsia="en-GB"/>
        </w:rPr>
        <w:t>PH v A Local Authority</w:t>
      </w:r>
      <w:r w:rsidRPr="00886C07">
        <w:rPr>
          <w:rStyle w:val="FootnoteReference"/>
          <w:i/>
          <w:color w:val="000000"/>
          <w:lang w:eastAsia="en-GB"/>
        </w:rPr>
        <w:footnoteReference w:id="47"/>
      </w:r>
      <w:r w:rsidRPr="00886C07">
        <w:rPr>
          <w:color w:val="000000"/>
          <w:lang w:eastAsia="en-GB"/>
        </w:rPr>
        <w:t xml:space="preserve"> deserves particular comment, first of all because of its pervasiveness as a theme in the evidence. </w:t>
      </w:r>
      <w:r w:rsidR="006D0EAF" w:rsidRPr="00886C07">
        <w:rPr>
          <w:color w:val="000000"/>
          <w:lang w:eastAsia="en-GB"/>
        </w:rPr>
        <w:t xml:space="preserve">PH had been diagnosed with Huntingdon’s disease ten years </w:t>
      </w:r>
      <w:r w:rsidR="001E113C" w:rsidRPr="00886C07">
        <w:rPr>
          <w:color w:val="000000"/>
          <w:lang w:eastAsia="en-GB"/>
        </w:rPr>
        <w:t>previously</w:t>
      </w:r>
      <w:r w:rsidR="006D0EAF" w:rsidRPr="00886C07">
        <w:rPr>
          <w:color w:val="000000"/>
          <w:lang w:eastAsia="en-GB"/>
        </w:rPr>
        <w:t xml:space="preserve"> and</w:t>
      </w:r>
      <w:r w:rsidR="001E113C" w:rsidRPr="00886C07">
        <w:rPr>
          <w:color w:val="000000"/>
          <w:lang w:eastAsia="en-GB"/>
        </w:rPr>
        <w:t>,</w:t>
      </w:r>
      <w:r w:rsidR="006D0EAF" w:rsidRPr="00886C07">
        <w:rPr>
          <w:color w:val="000000"/>
          <w:lang w:eastAsia="en-GB"/>
        </w:rPr>
        <w:t xml:space="preserve"> shortly before this application</w:t>
      </w:r>
      <w:r w:rsidR="001E113C" w:rsidRPr="00886C07">
        <w:rPr>
          <w:color w:val="000000"/>
          <w:lang w:eastAsia="en-GB"/>
        </w:rPr>
        <w:t>,</w:t>
      </w:r>
      <w:r w:rsidR="006D0EAF" w:rsidRPr="00886C07">
        <w:rPr>
          <w:color w:val="000000"/>
          <w:lang w:eastAsia="en-GB"/>
        </w:rPr>
        <w:t xml:space="preserve"> had been driven to ‘Y Court</w:t>
      </w:r>
      <w:r w:rsidR="004E4CD1" w:rsidRPr="00886C07">
        <w:rPr>
          <w:color w:val="000000"/>
          <w:lang w:eastAsia="en-GB"/>
        </w:rPr>
        <w:t>’, a residential home,</w:t>
      </w:r>
      <w:r w:rsidR="006D0EAF" w:rsidRPr="00886C07">
        <w:rPr>
          <w:color w:val="000000"/>
          <w:lang w:eastAsia="en-GB"/>
        </w:rPr>
        <w:t xml:space="preserve"> by his partner under the pretence that his stay would be temporary. </w:t>
      </w:r>
      <w:r w:rsidR="00FF4F01" w:rsidRPr="00886C07">
        <w:rPr>
          <w:color w:val="000000"/>
          <w:lang w:eastAsia="en-GB"/>
        </w:rPr>
        <w:t xml:space="preserve">Before making this application, PH had telephoned the police a number of times asking to be ‘rescued.’ </w:t>
      </w:r>
      <w:r w:rsidR="006D0EAF" w:rsidRPr="00886C07">
        <w:rPr>
          <w:color w:val="000000"/>
          <w:lang w:eastAsia="en-GB"/>
        </w:rPr>
        <w:t>In the course of PH’s challenge</w:t>
      </w:r>
      <w:r w:rsidRPr="00886C07">
        <w:rPr>
          <w:rStyle w:val="FootnoteReference"/>
          <w:color w:val="000000"/>
          <w:lang w:eastAsia="en-GB"/>
        </w:rPr>
        <w:footnoteReference w:id="48"/>
      </w:r>
      <w:r w:rsidR="006D0EAF" w:rsidRPr="00886C07">
        <w:rPr>
          <w:color w:val="000000"/>
          <w:lang w:eastAsia="en-GB"/>
        </w:rPr>
        <w:t xml:space="preserve"> of the local authority’s </w:t>
      </w:r>
      <w:r w:rsidR="001E113C" w:rsidRPr="00886C07">
        <w:rPr>
          <w:color w:val="000000"/>
          <w:lang w:eastAsia="en-GB"/>
        </w:rPr>
        <w:t>‘</w:t>
      </w:r>
      <w:r w:rsidR="006D0EAF" w:rsidRPr="00886C07">
        <w:rPr>
          <w:color w:val="000000"/>
          <w:lang w:eastAsia="en-GB"/>
        </w:rPr>
        <w:t>standard authorisation</w:t>
      </w:r>
      <w:r w:rsidR="001E113C" w:rsidRPr="00886C07">
        <w:rPr>
          <w:color w:val="000000"/>
          <w:lang w:eastAsia="en-GB"/>
        </w:rPr>
        <w:t>’ keeping him at the home</w:t>
      </w:r>
      <w:r w:rsidR="006D0EAF" w:rsidRPr="00886C07">
        <w:rPr>
          <w:color w:val="000000"/>
          <w:lang w:eastAsia="en-GB"/>
        </w:rPr>
        <w:t xml:space="preserve">, the court had to determine PH’s capacity to decide whether he should be accommodated at Y Court to receive treatment and care. </w:t>
      </w:r>
      <w:r w:rsidR="00FF0371" w:rsidRPr="00886C07">
        <w:rPr>
          <w:color w:val="000000"/>
          <w:lang w:eastAsia="en-GB"/>
        </w:rPr>
        <w:t xml:space="preserve">Baker J found PH to lack capacity on this issue, preferring the evidence of the four experts who discussed PH’s insight over the evidence of the independent consultant psychiatrist (Dr </w:t>
      </w:r>
      <w:proofErr w:type="spellStart"/>
      <w:r w:rsidR="00FF0371" w:rsidRPr="00886C07">
        <w:rPr>
          <w:color w:val="000000"/>
          <w:lang w:eastAsia="en-GB"/>
        </w:rPr>
        <w:t>Rickards</w:t>
      </w:r>
      <w:proofErr w:type="spellEnd"/>
      <w:r w:rsidR="00FF0371" w:rsidRPr="00886C07">
        <w:rPr>
          <w:color w:val="000000"/>
          <w:lang w:eastAsia="en-GB"/>
        </w:rPr>
        <w:t xml:space="preserve">) and PH’s partner. </w:t>
      </w:r>
      <w:r w:rsidR="0010189B" w:rsidRPr="00886C07">
        <w:t xml:space="preserve">Whilst it is not argued that the outcome in PH should have been different, there are features </w:t>
      </w:r>
      <w:r w:rsidR="00101D58" w:rsidRPr="00886C07">
        <w:t xml:space="preserve">of </w:t>
      </w:r>
      <w:r w:rsidR="0010189B" w:rsidRPr="00886C07">
        <w:t>the evidence which are of particular</w:t>
      </w:r>
      <w:r w:rsidR="00E73C05" w:rsidRPr="00886C07">
        <w:t xml:space="preserve"> relevance</w:t>
      </w:r>
      <w:r w:rsidRPr="00886C07">
        <w:t xml:space="preserve"> to this paper</w:t>
      </w:r>
      <w:r w:rsidR="0010189B" w:rsidRPr="00886C07">
        <w:t>.</w:t>
      </w:r>
    </w:p>
    <w:p w:rsidR="009815A6" w:rsidRPr="00886C07" w:rsidRDefault="00141ED6" w:rsidP="00DB4883">
      <w:pPr>
        <w:spacing w:line="360" w:lineRule="auto"/>
        <w:jc w:val="both"/>
        <w:rPr>
          <w:i/>
          <w:color w:val="000000"/>
          <w:lang w:eastAsia="en-GB"/>
        </w:rPr>
      </w:pPr>
      <w:r w:rsidRPr="00886C07">
        <w:rPr>
          <w:color w:val="000000"/>
          <w:lang w:eastAsia="en-GB"/>
        </w:rPr>
        <w:t xml:space="preserve">The language of </w:t>
      </w:r>
      <w:r w:rsidR="002B0BB7" w:rsidRPr="00886C07">
        <w:rPr>
          <w:color w:val="000000"/>
          <w:lang w:eastAsia="en-GB"/>
        </w:rPr>
        <w:t>‘</w:t>
      </w:r>
      <w:r w:rsidRPr="00886C07">
        <w:rPr>
          <w:color w:val="000000"/>
          <w:lang w:eastAsia="en-GB"/>
        </w:rPr>
        <w:t>insight</w:t>
      </w:r>
      <w:r w:rsidR="002B0BB7" w:rsidRPr="00886C07">
        <w:rPr>
          <w:color w:val="000000"/>
          <w:lang w:eastAsia="en-GB"/>
        </w:rPr>
        <w:t>’</w:t>
      </w:r>
      <w:r w:rsidRPr="00886C07">
        <w:rPr>
          <w:color w:val="000000"/>
          <w:lang w:eastAsia="en-GB"/>
        </w:rPr>
        <w:t xml:space="preserve"> permeates the evidence of all</w:t>
      </w:r>
      <w:r w:rsidR="00FF0371" w:rsidRPr="00886C07">
        <w:rPr>
          <w:color w:val="000000"/>
          <w:lang w:eastAsia="en-GB"/>
        </w:rPr>
        <w:t xml:space="preserve"> four of the expert witnesses who regarded P</w:t>
      </w:r>
      <w:r w:rsidR="00CE3F20" w:rsidRPr="00886C07">
        <w:rPr>
          <w:color w:val="000000"/>
          <w:lang w:eastAsia="en-GB"/>
        </w:rPr>
        <w:t>H</w:t>
      </w:r>
      <w:r w:rsidR="00FF0371" w:rsidRPr="00886C07">
        <w:rPr>
          <w:color w:val="000000"/>
          <w:lang w:eastAsia="en-GB"/>
        </w:rPr>
        <w:t xml:space="preserve"> as lacking capacity to decide where to live (a consultant psychiatrist, two General Practitioners </w:t>
      </w:r>
      <w:r w:rsidR="00FF0371" w:rsidRPr="00886C07">
        <w:rPr>
          <w:color w:val="000000"/>
          <w:lang w:eastAsia="en-GB"/>
        </w:rPr>
        <w:lastRenderedPageBreak/>
        <w:t>and a social worker)</w:t>
      </w:r>
      <w:r w:rsidRPr="00886C07">
        <w:rPr>
          <w:color w:val="000000"/>
          <w:lang w:eastAsia="en-GB"/>
        </w:rPr>
        <w:t>. Their testimony</w:t>
      </w:r>
      <w:r w:rsidR="00FF0371" w:rsidRPr="00886C07">
        <w:rPr>
          <w:color w:val="000000"/>
          <w:lang w:eastAsia="en-GB"/>
        </w:rPr>
        <w:t xml:space="preserve"> referred repeatedly to ‘insight’ a</w:t>
      </w:r>
      <w:r w:rsidR="00CE3F20" w:rsidRPr="00886C07">
        <w:rPr>
          <w:color w:val="000000"/>
          <w:lang w:eastAsia="en-GB"/>
        </w:rPr>
        <w:t>s a factor in their assessments, for example:</w:t>
      </w:r>
    </w:p>
    <w:p w:rsidR="00732CBE" w:rsidRPr="00886C07" w:rsidRDefault="00732CBE" w:rsidP="00DB4883">
      <w:pPr>
        <w:pStyle w:val="ListParagraph"/>
        <w:numPr>
          <w:ilvl w:val="0"/>
          <w:numId w:val="17"/>
        </w:numPr>
        <w:spacing w:line="360" w:lineRule="auto"/>
        <w:jc w:val="both"/>
        <w:rPr>
          <w:i/>
          <w:color w:val="000000"/>
        </w:rPr>
      </w:pPr>
      <w:bookmarkStart w:id="2" w:name="para44"/>
      <w:bookmarkStart w:id="3" w:name="para37"/>
      <w:r w:rsidRPr="00886C07">
        <w:rPr>
          <w:i/>
          <w:color w:val="000000"/>
        </w:rPr>
        <w:t>‘[PH has]…poor insight into his physical and mental health condition</w:t>
      </w:r>
      <w:bookmarkEnd w:id="2"/>
      <w:r w:rsidRPr="00886C07">
        <w:rPr>
          <w:i/>
          <w:color w:val="000000"/>
        </w:rPr>
        <w:t>.’ (Dr C</w:t>
      </w:r>
      <w:r w:rsidR="0078677A" w:rsidRPr="00886C07">
        <w:rPr>
          <w:i/>
          <w:color w:val="000000"/>
        </w:rPr>
        <w:t>, General Practitioner</w:t>
      </w:r>
      <w:r w:rsidRPr="00886C07">
        <w:rPr>
          <w:i/>
          <w:color w:val="000000"/>
        </w:rPr>
        <w:t>)</w:t>
      </w:r>
    </w:p>
    <w:p w:rsidR="009815A6" w:rsidRPr="00886C07" w:rsidRDefault="00732CBE" w:rsidP="00DB4883">
      <w:pPr>
        <w:pStyle w:val="ListParagraph"/>
        <w:numPr>
          <w:ilvl w:val="0"/>
          <w:numId w:val="17"/>
        </w:numPr>
        <w:spacing w:line="360" w:lineRule="auto"/>
        <w:jc w:val="both"/>
        <w:rPr>
          <w:i/>
          <w:color w:val="000000"/>
          <w:lang w:eastAsia="en-GB"/>
        </w:rPr>
      </w:pPr>
      <w:r w:rsidRPr="00886C07">
        <w:rPr>
          <w:i/>
          <w:color w:val="000000"/>
        </w:rPr>
        <w:t xml:space="preserve"> </w:t>
      </w:r>
      <w:r w:rsidR="009815A6" w:rsidRPr="00886C07">
        <w:rPr>
          <w:i/>
          <w:color w:val="000000"/>
        </w:rPr>
        <w:t>‘…PH is very limited in insight about his care needs</w:t>
      </w:r>
      <w:bookmarkEnd w:id="3"/>
      <w:r w:rsidR="009815A6" w:rsidRPr="00886C07">
        <w:rPr>
          <w:i/>
          <w:color w:val="000000"/>
        </w:rPr>
        <w:t>.’ (Dr A</w:t>
      </w:r>
      <w:r w:rsidR="0078677A" w:rsidRPr="00886C07">
        <w:rPr>
          <w:i/>
          <w:color w:val="000000"/>
        </w:rPr>
        <w:t>, consultant psychiatrist</w:t>
      </w:r>
      <w:r w:rsidR="009815A6" w:rsidRPr="00886C07">
        <w:rPr>
          <w:i/>
          <w:color w:val="000000"/>
        </w:rPr>
        <w:t>)</w:t>
      </w:r>
    </w:p>
    <w:p w:rsidR="009815A6" w:rsidRPr="00886C07" w:rsidRDefault="009815A6" w:rsidP="00DB4883">
      <w:pPr>
        <w:pStyle w:val="ListParagraph"/>
        <w:numPr>
          <w:ilvl w:val="0"/>
          <w:numId w:val="17"/>
        </w:numPr>
        <w:spacing w:line="360" w:lineRule="auto"/>
        <w:jc w:val="both"/>
        <w:rPr>
          <w:i/>
          <w:color w:val="000000"/>
          <w:lang w:eastAsia="en-GB"/>
        </w:rPr>
      </w:pPr>
      <w:r w:rsidRPr="00886C07">
        <w:rPr>
          <w:i/>
          <w:color w:val="000000"/>
          <w:lang w:eastAsia="en-GB"/>
        </w:rPr>
        <w:t>‘</w:t>
      </w:r>
      <w:bookmarkStart w:id="4" w:name="para39"/>
      <w:r w:rsidRPr="00886C07">
        <w:rPr>
          <w:i/>
          <w:color w:val="000000"/>
        </w:rPr>
        <w:t>He lacks insight into the needs of other residents, not from malice but diminished comprehension</w:t>
      </w:r>
      <w:bookmarkEnd w:id="4"/>
      <w:r w:rsidRPr="00886C07">
        <w:rPr>
          <w:i/>
          <w:color w:val="000000"/>
        </w:rPr>
        <w:t>’</w:t>
      </w:r>
      <w:r w:rsidR="00C5366F" w:rsidRPr="00886C07">
        <w:rPr>
          <w:i/>
          <w:color w:val="000000"/>
          <w:lang w:eastAsia="en-GB"/>
        </w:rPr>
        <w:t xml:space="preserve">. </w:t>
      </w:r>
      <w:r w:rsidRPr="00886C07">
        <w:rPr>
          <w:i/>
          <w:color w:val="000000"/>
          <w:lang w:eastAsia="en-GB"/>
        </w:rPr>
        <w:t>(Dr. B</w:t>
      </w:r>
      <w:r w:rsidR="0078677A" w:rsidRPr="00886C07">
        <w:rPr>
          <w:i/>
          <w:color w:val="000000"/>
          <w:lang w:eastAsia="en-GB"/>
        </w:rPr>
        <w:t>, General Practitioner</w:t>
      </w:r>
      <w:r w:rsidRPr="00886C07">
        <w:rPr>
          <w:i/>
          <w:color w:val="000000"/>
          <w:lang w:eastAsia="en-GB"/>
        </w:rPr>
        <w:t>)</w:t>
      </w:r>
    </w:p>
    <w:p w:rsidR="009815A6" w:rsidRPr="00886C07" w:rsidRDefault="00732CBE" w:rsidP="00DB4883">
      <w:pPr>
        <w:pStyle w:val="ListParagraph"/>
        <w:numPr>
          <w:ilvl w:val="0"/>
          <w:numId w:val="17"/>
        </w:numPr>
        <w:spacing w:line="360" w:lineRule="auto"/>
        <w:jc w:val="both"/>
        <w:rPr>
          <w:i/>
          <w:color w:val="000000"/>
        </w:rPr>
      </w:pPr>
      <w:bookmarkStart w:id="5" w:name="para47"/>
      <w:r w:rsidRPr="00886C07">
        <w:rPr>
          <w:i/>
          <w:color w:val="000000"/>
        </w:rPr>
        <w:t xml:space="preserve"> </w:t>
      </w:r>
      <w:r w:rsidR="009815A6" w:rsidRPr="00886C07">
        <w:rPr>
          <w:i/>
          <w:color w:val="000000"/>
        </w:rPr>
        <w:t>‘…due to PH's limited insight into his own abilities and care needs, he does not appear to be retaining information with regard to his place of residence or care needs</w:t>
      </w:r>
      <w:bookmarkEnd w:id="5"/>
      <w:r w:rsidR="009815A6" w:rsidRPr="00886C07">
        <w:rPr>
          <w:i/>
          <w:color w:val="000000"/>
        </w:rPr>
        <w:t>…</w:t>
      </w:r>
      <w:bookmarkStart w:id="6" w:name="para48"/>
      <w:r w:rsidR="009815A6" w:rsidRPr="00886C07">
        <w:rPr>
          <w:i/>
          <w:color w:val="000000"/>
        </w:rPr>
        <w:t>PH appeared to have no insight into the risks that would be present in the community</w:t>
      </w:r>
      <w:bookmarkEnd w:id="6"/>
      <w:r w:rsidR="009815A6" w:rsidRPr="00886C07">
        <w:rPr>
          <w:i/>
          <w:color w:val="000000"/>
        </w:rPr>
        <w:t>.’ (D, social worker)</w:t>
      </w:r>
    </w:p>
    <w:p w:rsidR="00C13CFA" w:rsidRPr="00886C07" w:rsidRDefault="00CE3F20" w:rsidP="00DB4883">
      <w:pPr>
        <w:spacing w:line="360" w:lineRule="auto"/>
        <w:jc w:val="both"/>
        <w:rPr>
          <w:color w:val="000000"/>
          <w:lang w:eastAsia="en-GB"/>
        </w:rPr>
      </w:pPr>
      <w:r w:rsidRPr="00886C07">
        <w:rPr>
          <w:color w:val="000000"/>
          <w:lang w:eastAsia="en-GB"/>
        </w:rPr>
        <w:t xml:space="preserve">Although the problem of PH’s lack of insight is deployed repeatedly in expert evidence and in varying contexts, the judgment contains no signs of attempts to define </w:t>
      </w:r>
      <w:r w:rsidR="00B96EEB" w:rsidRPr="00886C07">
        <w:rPr>
          <w:color w:val="000000"/>
          <w:lang w:eastAsia="en-GB"/>
        </w:rPr>
        <w:t xml:space="preserve">what </w:t>
      </w:r>
      <w:r w:rsidR="002A7C63">
        <w:rPr>
          <w:color w:val="000000"/>
          <w:lang w:eastAsia="en-GB"/>
        </w:rPr>
        <w:t>is</w:t>
      </w:r>
      <w:r w:rsidR="00B779D3" w:rsidRPr="00886C07">
        <w:rPr>
          <w:color w:val="000000"/>
          <w:lang w:eastAsia="en-GB"/>
        </w:rPr>
        <w:t xml:space="preserve"> meant</w:t>
      </w:r>
      <w:r w:rsidR="00B96EEB" w:rsidRPr="00886C07">
        <w:rPr>
          <w:color w:val="000000"/>
          <w:lang w:eastAsia="en-GB"/>
        </w:rPr>
        <w:t xml:space="preserve"> by ‘</w:t>
      </w:r>
      <w:r w:rsidRPr="00886C07">
        <w:rPr>
          <w:color w:val="000000"/>
          <w:lang w:eastAsia="en-GB"/>
        </w:rPr>
        <w:t>insight</w:t>
      </w:r>
      <w:r w:rsidR="00B96EEB" w:rsidRPr="00886C07">
        <w:rPr>
          <w:color w:val="000000"/>
          <w:lang w:eastAsia="en-GB"/>
        </w:rPr>
        <w:t>’</w:t>
      </w:r>
      <w:r w:rsidRPr="00886C07">
        <w:rPr>
          <w:color w:val="000000"/>
          <w:lang w:eastAsia="en-GB"/>
        </w:rPr>
        <w:t xml:space="preserve">. </w:t>
      </w:r>
      <w:r w:rsidR="001E113C" w:rsidRPr="00886C07">
        <w:rPr>
          <w:color w:val="000000"/>
          <w:lang w:eastAsia="en-GB"/>
        </w:rPr>
        <w:t>These extracts illustrate that i</w:t>
      </w:r>
      <w:r w:rsidR="00CE062B" w:rsidRPr="00886C07">
        <w:rPr>
          <w:color w:val="000000"/>
          <w:lang w:eastAsia="en-GB"/>
        </w:rPr>
        <w:t xml:space="preserve">nsight </w:t>
      </w:r>
      <w:r w:rsidR="00B779D3" w:rsidRPr="00886C07">
        <w:rPr>
          <w:color w:val="000000"/>
          <w:lang w:eastAsia="en-GB"/>
        </w:rPr>
        <w:t>wa</w:t>
      </w:r>
      <w:r w:rsidR="00CE062B" w:rsidRPr="00886C07">
        <w:rPr>
          <w:color w:val="000000"/>
          <w:lang w:eastAsia="en-GB"/>
        </w:rPr>
        <w:t xml:space="preserve">s </w:t>
      </w:r>
      <w:r w:rsidR="002A7C63">
        <w:rPr>
          <w:color w:val="000000"/>
          <w:lang w:eastAsia="en-GB"/>
        </w:rPr>
        <w:t xml:space="preserve">being </w:t>
      </w:r>
      <w:r w:rsidR="00CE062B" w:rsidRPr="00886C07">
        <w:rPr>
          <w:color w:val="000000"/>
          <w:lang w:eastAsia="en-GB"/>
        </w:rPr>
        <w:t>used not just as a reference to</w:t>
      </w:r>
      <w:r w:rsidR="00141ED6" w:rsidRPr="00886C07">
        <w:rPr>
          <w:color w:val="000000"/>
          <w:lang w:eastAsia="en-GB"/>
        </w:rPr>
        <w:t xml:space="preserve"> PH’s</w:t>
      </w:r>
      <w:r w:rsidR="00CE062B" w:rsidRPr="00886C07">
        <w:rPr>
          <w:color w:val="000000"/>
          <w:lang w:eastAsia="en-GB"/>
        </w:rPr>
        <w:t xml:space="preserve"> awareness of </w:t>
      </w:r>
      <w:r w:rsidR="00141ED6" w:rsidRPr="00886C07">
        <w:rPr>
          <w:color w:val="000000"/>
          <w:lang w:eastAsia="en-GB"/>
        </w:rPr>
        <w:t xml:space="preserve">the extent of his </w:t>
      </w:r>
      <w:r w:rsidR="00CE062B" w:rsidRPr="00886C07">
        <w:rPr>
          <w:color w:val="000000"/>
          <w:lang w:eastAsia="en-GB"/>
        </w:rPr>
        <w:t>decline</w:t>
      </w:r>
      <w:r w:rsidRPr="00886C07">
        <w:rPr>
          <w:color w:val="000000"/>
          <w:lang w:eastAsia="en-GB"/>
        </w:rPr>
        <w:t>,</w:t>
      </w:r>
      <w:r w:rsidR="00CE062B" w:rsidRPr="00886C07">
        <w:rPr>
          <w:color w:val="000000"/>
          <w:lang w:eastAsia="en-GB"/>
        </w:rPr>
        <w:t xml:space="preserve"> but </w:t>
      </w:r>
      <w:r w:rsidR="002A7C63">
        <w:rPr>
          <w:color w:val="000000"/>
          <w:lang w:eastAsia="en-GB"/>
        </w:rPr>
        <w:t xml:space="preserve">in connection </w:t>
      </w:r>
      <w:r w:rsidR="00FE719B" w:rsidRPr="00886C07">
        <w:rPr>
          <w:color w:val="000000"/>
          <w:lang w:eastAsia="en-GB"/>
        </w:rPr>
        <w:t xml:space="preserve">with </w:t>
      </w:r>
      <w:r w:rsidR="002A7C63">
        <w:rPr>
          <w:color w:val="000000"/>
          <w:lang w:eastAsia="en-GB"/>
        </w:rPr>
        <w:t xml:space="preserve">his </w:t>
      </w:r>
      <w:r w:rsidR="00141ED6" w:rsidRPr="00886C07">
        <w:rPr>
          <w:color w:val="000000"/>
          <w:lang w:eastAsia="en-GB"/>
        </w:rPr>
        <w:t>subjectively defined</w:t>
      </w:r>
      <w:r w:rsidR="002A7C63">
        <w:rPr>
          <w:color w:val="000000"/>
          <w:lang w:eastAsia="en-GB"/>
        </w:rPr>
        <w:t xml:space="preserve"> </w:t>
      </w:r>
      <w:r w:rsidR="00141ED6" w:rsidRPr="00886C07">
        <w:rPr>
          <w:color w:val="000000"/>
          <w:lang w:eastAsia="en-GB"/>
        </w:rPr>
        <w:t xml:space="preserve"> ‘care needs’ and in relation</w:t>
      </w:r>
      <w:r w:rsidR="00FE719B" w:rsidRPr="00886C07">
        <w:rPr>
          <w:color w:val="000000"/>
          <w:lang w:eastAsia="en-GB"/>
        </w:rPr>
        <w:t xml:space="preserve"> to external</w:t>
      </w:r>
      <w:r w:rsidR="00141ED6" w:rsidRPr="00886C07">
        <w:rPr>
          <w:color w:val="000000"/>
          <w:lang w:eastAsia="en-GB"/>
        </w:rPr>
        <w:t xml:space="preserve"> factors</w:t>
      </w:r>
      <w:r w:rsidR="00FE719B" w:rsidRPr="00886C07">
        <w:rPr>
          <w:color w:val="000000"/>
          <w:lang w:eastAsia="en-GB"/>
        </w:rPr>
        <w:t xml:space="preserve"> (</w:t>
      </w:r>
      <w:r w:rsidR="00CE062B" w:rsidRPr="00886C07">
        <w:rPr>
          <w:color w:val="000000"/>
          <w:lang w:eastAsia="en-GB"/>
        </w:rPr>
        <w:t>the needs of others</w:t>
      </w:r>
      <w:r w:rsidR="00FE719B" w:rsidRPr="00886C07">
        <w:rPr>
          <w:color w:val="000000"/>
          <w:lang w:eastAsia="en-GB"/>
        </w:rPr>
        <w:t xml:space="preserve">). </w:t>
      </w:r>
    </w:p>
    <w:p w:rsidR="009D22F9" w:rsidRPr="00886C07" w:rsidRDefault="00E5098A" w:rsidP="00DB4883">
      <w:pPr>
        <w:spacing w:line="360" w:lineRule="auto"/>
        <w:jc w:val="both"/>
      </w:pPr>
      <w:r w:rsidRPr="00886C07">
        <w:t xml:space="preserve">Another theme </w:t>
      </w:r>
      <w:r w:rsidR="00C5366F" w:rsidRPr="00886C07">
        <w:t xml:space="preserve">in </w:t>
      </w:r>
      <w:r w:rsidR="00C5366F" w:rsidRPr="00886C07">
        <w:rPr>
          <w:i/>
        </w:rPr>
        <w:t xml:space="preserve">PH </w:t>
      </w:r>
      <w:r w:rsidRPr="00886C07">
        <w:t>was that</w:t>
      </w:r>
      <w:r w:rsidR="00C5366F" w:rsidRPr="00886C07">
        <w:t xml:space="preserve"> </w:t>
      </w:r>
      <w:r w:rsidRPr="00886C07">
        <w:t xml:space="preserve">this lack of insight into </w:t>
      </w:r>
      <w:r w:rsidR="000D40FB" w:rsidRPr="00886C07">
        <w:t>‘</w:t>
      </w:r>
      <w:r w:rsidRPr="00886C07">
        <w:t>needs</w:t>
      </w:r>
      <w:r w:rsidR="000D40FB" w:rsidRPr="00886C07">
        <w:t>’</w:t>
      </w:r>
      <w:r w:rsidRPr="00886C07">
        <w:t xml:space="preserve"> was demonstrated </w:t>
      </w:r>
      <w:r w:rsidR="009D22F9" w:rsidRPr="00886C07">
        <w:t>in</w:t>
      </w:r>
      <w:r w:rsidRPr="00886C07">
        <w:t xml:space="preserve"> conversations with </w:t>
      </w:r>
      <w:r w:rsidRPr="00886C07">
        <w:rPr>
          <w:i/>
        </w:rPr>
        <w:t>P</w:t>
      </w:r>
      <w:r w:rsidR="003F4340" w:rsidRPr="00886C07">
        <w:rPr>
          <w:i/>
        </w:rPr>
        <w:t>H</w:t>
      </w:r>
      <w:r w:rsidR="000D40FB" w:rsidRPr="00886C07">
        <w:t>,</w:t>
      </w:r>
      <w:r w:rsidRPr="00886C07">
        <w:t xml:space="preserve"> </w:t>
      </w:r>
      <w:r w:rsidR="00C5366F" w:rsidRPr="00886C07">
        <w:t>by the fact that he</w:t>
      </w:r>
      <w:r w:rsidRPr="00886C07">
        <w:t xml:space="preserve"> ‘minimised’ problems identified by service providers</w:t>
      </w:r>
      <w:r w:rsidR="009D22F9" w:rsidRPr="00886C07">
        <w:t>,</w:t>
      </w:r>
      <w:r w:rsidRPr="00886C07">
        <w:t xml:space="preserve"> or could not ‘evaluate the practicalities’ of being cared for at home or had ‘no </w:t>
      </w:r>
      <w:r w:rsidRPr="00886C07">
        <w:rPr>
          <w:color w:val="000000"/>
        </w:rPr>
        <w:t>insight into the risks that would be present in the community’</w:t>
      </w:r>
      <w:r w:rsidRPr="00886C07">
        <w:t>.</w:t>
      </w:r>
      <w:r w:rsidR="00DE039C" w:rsidRPr="00886C07">
        <w:rPr>
          <w:rStyle w:val="FootnoteReference"/>
        </w:rPr>
        <w:footnoteReference w:id="49"/>
      </w:r>
      <w:r w:rsidRPr="00886C07">
        <w:t xml:space="preserve"> </w:t>
      </w:r>
      <w:r w:rsidR="00FC2247">
        <w:t xml:space="preserve">It is worth noting that these assertions sound very like suggestions that </w:t>
      </w:r>
      <w:r w:rsidR="00FC2247">
        <w:rPr>
          <w:i/>
        </w:rPr>
        <w:t xml:space="preserve">PH </w:t>
      </w:r>
      <w:r w:rsidR="00FC2247">
        <w:t>did not ‘believe’ the information he was told about the risks of returning home</w:t>
      </w:r>
      <w:r w:rsidR="002F4A21">
        <w:t>. As with ‘belief’ equating insight with capacity brings us perilously close to equating capacity with agreement</w:t>
      </w:r>
      <w:r w:rsidR="00FC2247">
        <w:t xml:space="preserve">. </w:t>
      </w:r>
      <w:r w:rsidR="002F4A21">
        <w:t>A</w:t>
      </w:r>
      <w:r w:rsidR="00BD1223" w:rsidRPr="00886C07">
        <w:t xml:space="preserve">n observation that P is ‘minimising the risks’ of not having treatment or of not returning home from a care setting can be interpreted in a variety of ways – it may indicate a </w:t>
      </w:r>
      <w:r w:rsidR="009D22F9" w:rsidRPr="00886C07">
        <w:t xml:space="preserve">cognitive deficit causing a </w:t>
      </w:r>
      <w:r w:rsidR="00BD1223" w:rsidRPr="00886C07">
        <w:t xml:space="preserve">failure to appreciate a risk which is obvious to all others, or it might be a strategic attempt by P to downplay aspects of a situation in order to maximise chances of the favoured outcome. This much seems suggested on the facts of </w:t>
      </w:r>
      <w:r w:rsidR="00BD1223" w:rsidRPr="00886C07">
        <w:rPr>
          <w:i/>
        </w:rPr>
        <w:t>PH</w:t>
      </w:r>
      <w:r w:rsidR="00BD1223" w:rsidRPr="00886C07">
        <w:t xml:space="preserve"> </w:t>
      </w:r>
      <w:r w:rsidR="009D22F9" w:rsidRPr="00886C07">
        <w:t xml:space="preserve">itself </w:t>
      </w:r>
      <w:r w:rsidR="00BD1223" w:rsidRPr="00886C07">
        <w:t xml:space="preserve">in the evidence of </w:t>
      </w:r>
      <w:r w:rsidR="009D22F9" w:rsidRPr="00886C07">
        <w:t xml:space="preserve">the dissenting expert, </w:t>
      </w:r>
      <w:r w:rsidR="00BD1223" w:rsidRPr="00886C07">
        <w:t xml:space="preserve">Dr </w:t>
      </w:r>
      <w:proofErr w:type="spellStart"/>
      <w:r w:rsidR="00BD1223" w:rsidRPr="00886C07">
        <w:t>Rickards</w:t>
      </w:r>
      <w:proofErr w:type="spellEnd"/>
      <w:r w:rsidR="00BD1223" w:rsidRPr="00886C07">
        <w:t xml:space="preserve">: </w:t>
      </w:r>
    </w:p>
    <w:p w:rsidR="00BD1223" w:rsidRPr="00886C07" w:rsidRDefault="00BD1223" w:rsidP="00DB4883">
      <w:pPr>
        <w:spacing w:line="360" w:lineRule="auto"/>
        <w:ind w:left="397" w:right="397"/>
        <w:jc w:val="both"/>
      </w:pPr>
      <w:r w:rsidRPr="00886C07">
        <w:rPr>
          <w:i/>
        </w:rPr>
        <w:t>‘</w:t>
      </w:r>
      <w:bookmarkStart w:id="7" w:name="para26"/>
      <w:r w:rsidRPr="00886C07">
        <w:rPr>
          <w:i/>
        </w:rPr>
        <w:t xml:space="preserve">PH had not mentioned any disadvantages of going home or living anywhere else in the community and had been very reluctant to identify any advantages of staying at Y Court. Dr </w:t>
      </w:r>
      <w:proofErr w:type="spellStart"/>
      <w:r w:rsidRPr="00886C07">
        <w:rPr>
          <w:i/>
        </w:rPr>
        <w:lastRenderedPageBreak/>
        <w:t>Rickards</w:t>
      </w:r>
      <w:proofErr w:type="spellEnd"/>
      <w:r w:rsidRPr="00886C07">
        <w:rPr>
          <w:i/>
        </w:rPr>
        <w:t xml:space="preserve"> felt that he was so concerned about getting home that it was very difficult for him to speak of those factors.</w:t>
      </w:r>
      <w:bookmarkEnd w:id="7"/>
      <w:r w:rsidRPr="00886C07">
        <w:rPr>
          <w:i/>
        </w:rPr>
        <w:t>..’</w:t>
      </w:r>
      <w:r w:rsidRPr="00886C07">
        <w:rPr>
          <w:rStyle w:val="FootnoteReference"/>
        </w:rPr>
        <w:footnoteReference w:id="50"/>
      </w:r>
      <w:r w:rsidRPr="00886C07">
        <w:t xml:space="preserve"> </w:t>
      </w:r>
    </w:p>
    <w:p w:rsidR="009D22F9" w:rsidRPr="00886C07" w:rsidRDefault="00B82DC3" w:rsidP="00DB4883">
      <w:pPr>
        <w:spacing w:line="360" w:lineRule="auto"/>
        <w:jc w:val="both"/>
        <w:rPr>
          <w:i/>
        </w:rPr>
      </w:pPr>
      <w:r w:rsidRPr="00886C07">
        <w:t xml:space="preserve"> </w:t>
      </w:r>
      <w:r w:rsidR="00CE3F20" w:rsidRPr="00886C07">
        <w:t xml:space="preserve">Evidence that P is </w:t>
      </w:r>
      <w:r w:rsidR="00E25E38" w:rsidRPr="00886C07">
        <w:t>‘</w:t>
      </w:r>
      <w:r w:rsidR="00CE3F20" w:rsidRPr="00886C07">
        <w:t>minimising the risks</w:t>
      </w:r>
      <w:r w:rsidR="00E25E38" w:rsidRPr="00886C07">
        <w:t>’</w:t>
      </w:r>
      <w:r w:rsidR="00CE3F20" w:rsidRPr="00886C07">
        <w:t xml:space="preserve"> </w:t>
      </w:r>
      <w:r w:rsidR="00B779D3" w:rsidRPr="00886C07">
        <w:t xml:space="preserve">of a particular course of action or inaction </w:t>
      </w:r>
      <w:r w:rsidR="00E25E38" w:rsidRPr="00886C07">
        <w:t xml:space="preserve">in conversation </w:t>
      </w:r>
      <w:r w:rsidR="00CE3F20" w:rsidRPr="00886C07">
        <w:t xml:space="preserve">does not tell us whether P’s decision making faculties are defective or </w:t>
      </w:r>
      <w:r w:rsidR="00B779D3" w:rsidRPr="00886C07">
        <w:t xml:space="preserve">whether </w:t>
      </w:r>
      <w:r w:rsidR="00CE3F20" w:rsidRPr="00886C07">
        <w:t>P is</w:t>
      </w:r>
      <w:r w:rsidR="00B779D3" w:rsidRPr="00886C07">
        <w:t xml:space="preserve"> simply</w:t>
      </w:r>
      <w:r w:rsidR="00CE3F20" w:rsidRPr="00886C07">
        <w:t xml:space="preserve"> avoiding territory which</w:t>
      </w:r>
      <w:r w:rsidR="00B779D3" w:rsidRPr="00886C07">
        <w:t>,</w:t>
      </w:r>
      <w:r w:rsidR="00CE3F20" w:rsidRPr="00886C07">
        <w:t xml:space="preserve"> </w:t>
      </w:r>
      <w:r w:rsidR="00B779D3" w:rsidRPr="00886C07">
        <w:t xml:space="preserve">if discussed, </w:t>
      </w:r>
      <w:r w:rsidR="00CE3F20" w:rsidRPr="00886C07">
        <w:t xml:space="preserve">might be construed as </w:t>
      </w:r>
      <w:r w:rsidR="00B779D3" w:rsidRPr="00886C07">
        <w:t xml:space="preserve">a </w:t>
      </w:r>
      <w:r w:rsidR="00E25E38" w:rsidRPr="00886C07">
        <w:t xml:space="preserve">concession; </w:t>
      </w:r>
      <w:r w:rsidR="009D22F9" w:rsidRPr="00886C07">
        <w:t xml:space="preserve">a level of </w:t>
      </w:r>
      <w:r w:rsidR="00CE3F20" w:rsidRPr="00886C07">
        <w:t>agreement with the other party’s point of view</w:t>
      </w:r>
      <w:r w:rsidR="00E73C05" w:rsidRPr="00886C07">
        <w:t>. In contrast, t</w:t>
      </w:r>
      <w:r w:rsidR="00732CBE" w:rsidRPr="00886C07">
        <w:t xml:space="preserve">he judgment in </w:t>
      </w:r>
      <w:r w:rsidR="00732CBE" w:rsidRPr="00886C07">
        <w:rPr>
          <w:i/>
        </w:rPr>
        <w:t xml:space="preserve">JB </w:t>
      </w:r>
      <w:r w:rsidR="00732CBE" w:rsidRPr="00886C07">
        <w:t xml:space="preserve">(above) </w:t>
      </w:r>
      <w:r w:rsidR="00EA5DD9" w:rsidRPr="00886C07">
        <w:t xml:space="preserve">directly confronted the ambiguity of </w:t>
      </w:r>
      <w:r w:rsidR="003F4340" w:rsidRPr="00886C07">
        <w:rPr>
          <w:i/>
        </w:rPr>
        <w:t>JB</w:t>
      </w:r>
      <w:r w:rsidR="00EA5DD9" w:rsidRPr="00886C07">
        <w:t xml:space="preserve">’s minimisation of risks and refused on the facts of the case to </w:t>
      </w:r>
      <w:r w:rsidR="00732CBE" w:rsidRPr="00886C07">
        <w:t xml:space="preserve">treat </w:t>
      </w:r>
      <w:r w:rsidR="00EA5DD9" w:rsidRPr="00886C07">
        <w:t xml:space="preserve">it </w:t>
      </w:r>
      <w:r w:rsidR="003F4340" w:rsidRPr="00886C07">
        <w:t>as symptomatic of her</w:t>
      </w:r>
      <w:r w:rsidR="00732CBE" w:rsidRPr="00886C07">
        <w:t xml:space="preserve"> disorder: </w:t>
      </w:r>
      <w:r w:rsidR="00732CBE" w:rsidRPr="00886C07">
        <w:rPr>
          <w:i/>
        </w:rPr>
        <w:t>‘</w:t>
      </w:r>
      <w:r w:rsidR="00732CBE" w:rsidRPr="00886C07">
        <w:rPr>
          <w:i/>
          <w:color w:val="000000"/>
        </w:rPr>
        <w:t>Her tendency at times to be uncommunicative or avoidant and to minimise the risks of inaction are understandable human ways of dealing with her predicament and do not amount to incapacity.’</w:t>
      </w:r>
      <w:r w:rsidR="00732CBE" w:rsidRPr="00886C07">
        <w:rPr>
          <w:rStyle w:val="FootnoteReference"/>
          <w:i/>
          <w:color w:val="000000"/>
        </w:rPr>
        <w:footnoteReference w:id="51"/>
      </w:r>
      <w:r w:rsidR="00D20A9A" w:rsidRPr="00886C07">
        <w:rPr>
          <w:i/>
        </w:rPr>
        <w:t xml:space="preserve"> </w:t>
      </w:r>
    </w:p>
    <w:p w:rsidR="00AE1232" w:rsidRPr="00886C07" w:rsidRDefault="00E25E38" w:rsidP="00DB4883">
      <w:pPr>
        <w:spacing w:line="360" w:lineRule="auto"/>
        <w:jc w:val="both"/>
        <w:rPr>
          <w:color w:val="000000"/>
        </w:rPr>
      </w:pPr>
      <w:r w:rsidRPr="00886C07">
        <w:t xml:space="preserve">The dangers of such heavy reliance </w:t>
      </w:r>
      <w:r w:rsidR="00B779D3" w:rsidRPr="00886C07">
        <w:t xml:space="preserve">by expert witnesses </w:t>
      </w:r>
      <w:r w:rsidRPr="00886C07">
        <w:t xml:space="preserve">on the undefined notion of insight include that it can </w:t>
      </w:r>
      <w:r w:rsidR="002A7C63">
        <w:t>mask</w:t>
      </w:r>
      <w:r w:rsidRPr="00886C07">
        <w:t xml:space="preserve"> a conclusion that P lacks capacity because he disagrees with the professional view as to what is in his best interests. </w:t>
      </w:r>
      <w:r w:rsidR="00B779D3" w:rsidRPr="00886C07">
        <w:t xml:space="preserve">As far as the law is concerned, </w:t>
      </w:r>
      <w:r w:rsidRPr="00886C07">
        <w:t>consideration of what is in P’s best interests as part of the process of assessing capacity is taboo.</w:t>
      </w:r>
      <w:r w:rsidR="009D22F9" w:rsidRPr="00886C07">
        <w:rPr>
          <w:rStyle w:val="FootnoteReference"/>
        </w:rPr>
        <w:footnoteReference w:id="52"/>
      </w:r>
      <w:r w:rsidRPr="00886C07">
        <w:t xml:space="preserve"> The blurring of capacity assessment with a judgment o</w:t>
      </w:r>
      <w:r w:rsidR="009D22F9" w:rsidRPr="00886C07">
        <w:t xml:space="preserve">n what is </w:t>
      </w:r>
      <w:r w:rsidR="00125660" w:rsidRPr="00886C07">
        <w:t>in P’s best interests</w:t>
      </w:r>
      <w:r w:rsidRPr="00886C07">
        <w:t xml:space="preserve"> is a fundamental error, </w:t>
      </w:r>
      <w:r w:rsidR="00B779D3" w:rsidRPr="00886C07">
        <w:t xml:space="preserve">albeit one </w:t>
      </w:r>
      <w:r w:rsidRPr="00886C07">
        <w:t>which clearly occurs in practice and has been referred to as the ‘concertina effect.’</w:t>
      </w:r>
      <w:r w:rsidRPr="00886C07">
        <w:rPr>
          <w:rStyle w:val="FootnoteReference"/>
        </w:rPr>
        <w:footnoteReference w:id="53"/>
      </w:r>
      <w:r w:rsidRPr="00886C07">
        <w:t xml:space="preserve"> Coincidentally, the judgment from the Court of Appeal in </w:t>
      </w:r>
      <w:r w:rsidR="00C1213B" w:rsidRPr="00886C07">
        <w:rPr>
          <w:i/>
          <w:color w:val="000000"/>
        </w:rPr>
        <w:t>RB v Brighton &amp; Hove City Council</w:t>
      </w:r>
      <w:r w:rsidR="00C1213B" w:rsidRPr="00886C07">
        <w:rPr>
          <w:rStyle w:val="FootnoteReference"/>
          <w:color w:val="000000"/>
        </w:rPr>
        <w:footnoteReference w:id="54"/>
      </w:r>
      <w:r w:rsidRPr="00886C07">
        <w:rPr>
          <w:i/>
        </w:rPr>
        <w:t xml:space="preserve"> </w:t>
      </w:r>
      <w:r w:rsidRPr="00886C07">
        <w:t>cited the decision</w:t>
      </w:r>
      <w:r w:rsidR="00C1213B" w:rsidRPr="00886C07">
        <w:t xml:space="preserve"> in </w:t>
      </w:r>
      <w:r w:rsidR="00C1213B" w:rsidRPr="00886C07">
        <w:rPr>
          <w:i/>
        </w:rPr>
        <w:t>PH</w:t>
      </w:r>
      <w:r w:rsidRPr="00886C07">
        <w:t xml:space="preserve"> with approval, </w:t>
      </w:r>
      <w:r w:rsidR="00FC2247">
        <w:t xml:space="preserve">saying that it provided </w:t>
      </w:r>
      <w:bookmarkStart w:id="8" w:name="para45"/>
      <w:r w:rsidR="00FC2247">
        <w:t>a classic example of ‘</w:t>
      </w:r>
      <w:r w:rsidR="00C1213B" w:rsidRPr="00886C07">
        <w:rPr>
          <w:color w:val="000000"/>
        </w:rPr>
        <w:t xml:space="preserve">a patient who, because of the impaired functioning of his brain, </w:t>
      </w:r>
      <w:r w:rsidR="00C1213B" w:rsidRPr="00886C07">
        <w:rPr>
          <w:i/>
          <w:color w:val="000000"/>
        </w:rPr>
        <w:t>did not understand his own best interests.</w:t>
      </w:r>
      <w:bookmarkEnd w:id="8"/>
      <w:r w:rsidR="00C1213B" w:rsidRPr="00886C07">
        <w:rPr>
          <w:color w:val="000000"/>
        </w:rPr>
        <w:t>’</w:t>
      </w:r>
      <w:r w:rsidR="00C1213B" w:rsidRPr="00886C07">
        <w:rPr>
          <w:rStyle w:val="FootnoteReference"/>
          <w:color w:val="000000"/>
        </w:rPr>
        <w:footnoteReference w:id="55"/>
      </w:r>
      <w:r w:rsidR="00E76047" w:rsidRPr="00886C07">
        <w:rPr>
          <w:color w:val="000000"/>
        </w:rPr>
        <w:t xml:space="preserve"> </w:t>
      </w:r>
      <w:r w:rsidR="00D0480F">
        <w:rPr>
          <w:color w:val="000000"/>
        </w:rPr>
        <w:t>T</w:t>
      </w:r>
      <w:r w:rsidR="00FC2247">
        <w:rPr>
          <w:color w:val="000000"/>
        </w:rPr>
        <w:t xml:space="preserve">hese words </w:t>
      </w:r>
      <w:r w:rsidR="00D0480F">
        <w:rPr>
          <w:color w:val="000000"/>
        </w:rPr>
        <w:t xml:space="preserve">offer </w:t>
      </w:r>
      <w:r w:rsidR="00FC2247">
        <w:rPr>
          <w:color w:val="000000"/>
        </w:rPr>
        <w:t xml:space="preserve">an example </w:t>
      </w:r>
      <w:r w:rsidR="00D0480F">
        <w:rPr>
          <w:color w:val="000000"/>
        </w:rPr>
        <w:t xml:space="preserve">of how easy it is to </w:t>
      </w:r>
      <w:r w:rsidR="00FC2247" w:rsidRPr="00886C07">
        <w:t>collaps</w:t>
      </w:r>
      <w:r w:rsidR="00D0480F">
        <w:t>e</w:t>
      </w:r>
      <w:r w:rsidR="00FC2247" w:rsidRPr="00886C07">
        <w:t xml:space="preserve"> the distinction between capacity and best interests</w:t>
      </w:r>
      <w:r w:rsidR="00FC2247">
        <w:t>.</w:t>
      </w:r>
    </w:p>
    <w:p w:rsidR="00796DD8" w:rsidRPr="00886C07" w:rsidRDefault="00796DD8" w:rsidP="00DB4883">
      <w:pPr>
        <w:spacing w:line="360" w:lineRule="auto"/>
        <w:jc w:val="both"/>
      </w:pPr>
    </w:p>
    <w:p w:rsidR="00C22F1B" w:rsidRPr="00886C07" w:rsidRDefault="00650DA3" w:rsidP="00DB4883">
      <w:pPr>
        <w:spacing w:line="360" w:lineRule="auto"/>
        <w:jc w:val="both"/>
        <w:rPr>
          <w:i/>
        </w:rPr>
      </w:pPr>
      <w:r w:rsidRPr="00886C07">
        <w:rPr>
          <w:i/>
          <w:color w:val="000000"/>
          <w:lang w:eastAsia="en-GB"/>
        </w:rPr>
        <w:t>2.</w:t>
      </w:r>
      <w:r w:rsidRPr="00886C07">
        <w:rPr>
          <w:i/>
        </w:rPr>
        <w:t xml:space="preserve"> </w:t>
      </w:r>
      <w:r w:rsidR="00796DD8" w:rsidRPr="00886C07">
        <w:rPr>
          <w:i/>
        </w:rPr>
        <w:t>I</w:t>
      </w:r>
      <w:r w:rsidR="00C22F1B" w:rsidRPr="00886C07">
        <w:rPr>
          <w:i/>
        </w:rPr>
        <w:t>nsight</w:t>
      </w:r>
      <w:r w:rsidRPr="00886C07">
        <w:rPr>
          <w:i/>
        </w:rPr>
        <w:t xml:space="preserve">, Compliance and the Problem of Conceptual Fusion: </w:t>
      </w:r>
      <w:proofErr w:type="spellStart"/>
      <w:r w:rsidR="00796DD8" w:rsidRPr="00886C07">
        <w:rPr>
          <w:i/>
          <w:color w:val="000000"/>
          <w:lang w:eastAsia="en-GB"/>
        </w:rPr>
        <w:t>Wandsworth</w:t>
      </w:r>
      <w:proofErr w:type="spellEnd"/>
      <w:r w:rsidR="00796DD8" w:rsidRPr="00886C07">
        <w:rPr>
          <w:i/>
          <w:color w:val="000000"/>
          <w:lang w:eastAsia="en-GB"/>
        </w:rPr>
        <w:t xml:space="preserve"> Clinical Commissioning Group </w:t>
      </w:r>
      <w:r w:rsidR="00B025FD" w:rsidRPr="00886C07">
        <w:rPr>
          <w:i/>
          <w:color w:val="000000"/>
          <w:lang w:eastAsia="en-GB"/>
        </w:rPr>
        <w:t>v</w:t>
      </w:r>
      <w:r w:rsidRPr="00886C07">
        <w:rPr>
          <w:i/>
          <w:color w:val="000000"/>
          <w:lang w:eastAsia="en-GB"/>
        </w:rPr>
        <w:t xml:space="preserve"> </w:t>
      </w:r>
      <w:r w:rsidR="00796DD8" w:rsidRPr="00886C07">
        <w:rPr>
          <w:i/>
          <w:color w:val="000000"/>
          <w:lang w:eastAsia="en-GB"/>
        </w:rPr>
        <w:t>IA</w:t>
      </w:r>
    </w:p>
    <w:p w:rsidR="004B737B" w:rsidRPr="00886C07" w:rsidRDefault="00C22F1B" w:rsidP="00DB4883">
      <w:pPr>
        <w:spacing w:line="360" w:lineRule="auto"/>
        <w:jc w:val="both"/>
        <w:rPr>
          <w:color w:val="000000"/>
          <w:lang w:eastAsia="en-GB"/>
        </w:rPr>
      </w:pPr>
      <w:r w:rsidRPr="00886C07">
        <w:lastRenderedPageBreak/>
        <w:t xml:space="preserve">Evidence presented in the case of </w:t>
      </w:r>
      <w:proofErr w:type="spellStart"/>
      <w:r w:rsidRPr="00886C07">
        <w:rPr>
          <w:i/>
          <w:color w:val="000000"/>
          <w:lang w:eastAsia="en-GB"/>
        </w:rPr>
        <w:t>Wandsworth</w:t>
      </w:r>
      <w:proofErr w:type="spellEnd"/>
      <w:r w:rsidRPr="00886C07">
        <w:rPr>
          <w:i/>
          <w:color w:val="000000"/>
          <w:lang w:eastAsia="en-GB"/>
        </w:rPr>
        <w:t xml:space="preserve"> Clinical Commissioning Group v IA</w:t>
      </w:r>
      <w:r w:rsidR="00041E8C" w:rsidRPr="00886C07">
        <w:rPr>
          <w:rStyle w:val="FootnoteReference"/>
          <w:i/>
          <w:color w:val="000000"/>
          <w:lang w:eastAsia="en-GB"/>
        </w:rPr>
        <w:footnoteReference w:id="56"/>
      </w:r>
      <w:r w:rsidRPr="00886C07">
        <w:rPr>
          <w:i/>
          <w:color w:val="000000"/>
          <w:lang w:eastAsia="en-GB"/>
        </w:rPr>
        <w:t xml:space="preserve"> </w:t>
      </w:r>
      <w:r w:rsidRPr="00886C07">
        <w:rPr>
          <w:color w:val="000000"/>
          <w:lang w:eastAsia="en-GB"/>
        </w:rPr>
        <w:t xml:space="preserve">also demonstrates </w:t>
      </w:r>
      <w:r w:rsidR="00B57B4A" w:rsidRPr="00886C07">
        <w:rPr>
          <w:color w:val="000000"/>
          <w:lang w:eastAsia="en-GB"/>
        </w:rPr>
        <w:t xml:space="preserve">‘insight’ </w:t>
      </w:r>
      <w:r w:rsidR="00D0480F">
        <w:rPr>
          <w:color w:val="000000"/>
          <w:lang w:eastAsia="en-GB"/>
        </w:rPr>
        <w:t xml:space="preserve">again </w:t>
      </w:r>
      <w:r w:rsidR="00B57B4A" w:rsidRPr="00886C07">
        <w:rPr>
          <w:color w:val="000000"/>
          <w:lang w:eastAsia="en-GB"/>
        </w:rPr>
        <w:t>being deployed by</w:t>
      </w:r>
      <w:r w:rsidR="00845B9E" w:rsidRPr="00886C07">
        <w:rPr>
          <w:color w:val="000000"/>
          <w:lang w:eastAsia="en-GB"/>
        </w:rPr>
        <w:t xml:space="preserve"> four experts:</w:t>
      </w:r>
      <w:r w:rsidR="00B57B4A" w:rsidRPr="00886C07">
        <w:rPr>
          <w:color w:val="000000"/>
          <w:lang w:eastAsia="en-GB"/>
        </w:rPr>
        <w:t xml:space="preserve"> a </w:t>
      </w:r>
      <w:r w:rsidR="00726315" w:rsidRPr="00886C07">
        <w:rPr>
          <w:color w:val="000000"/>
          <w:lang w:eastAsia="en-GB"/>
        </w:rPr>
        <w:t>co</w:t>
      </w:r>
      <w:r w:rsidR="00191F8B" w:rsidRPr="00886C07">
        <w:rPr>
          <w:color w:val="000000"/>
          <w:lang w:eastAsia="en-GB"/>
        </w:rPr>
        <w:t xml:space="preserve">nsultant </w:t>
      </w:r>
      <w:r w:rsidR="00726315" w:rsidRPr="00886C07">
        <w:rPr>
          <w:color w:val="000000"/>
          <w:lang w:eastAsia="en-GB"/>
        </w:rPr>
        <w:t>p</w:t>
      </w:r>
      <w:r w:rsidR="00191F8B" w:rsidRPr="00886C07">
        <w:rPr>
          <w:color w:val="000000"/>
          <w:lang w:eastAsia="en-GB"/>
        </w:rPr>
        <w:t xml:space="preserve">sychiatrist, </w:t>
      </w:r>
      <w:r w:rsidR="00726315" w:rsidRPr="00886C07">
        <w:rPr>
          <w:color w:val="000000"/>
          <w:lang w:eastAsia="en-GB"/>
        </w:rPr>
        <w:t>c</w:t>
      </w:r>
      <w:r w:rsidR="00B57B4A" w:rsidRPr="00886C07">
        <w:rPr>
          <w:color w:val="000000"/>
          <w:lang w:eastAsia="en-GB"/>
        </w:rPr>
        <w:t xml:space="preserve">onsultant </w:t>
      </w:r>
      <w:r w:rsidR="00726315" w:rsidRPr="00886C07">
        <w:rPr>
          <w:color w:val="000000"/>
          <w:lang w:eastAsia="en-GB"/>
        </w:rPr>
        <w:t>p</w:t>
      </w:r>
      <w:r w:rsidR="00B57B4A" w:rsidRPr="00886C07">
        <w:rPr>
          <w:color w:val="000000"/>
          <w:lang w:eastAsia="en-GB"/>
        </w:rPr>
        <w:t>sychologist</w:t>
      </w:r>
      <w:r w:rsidR="00191F8B" w:rsidRPr="00886C07">
        <w:rPr>
          <w:color w:val="000000"/>
          <w:lang w:eastAsia="en-GB"/>
        </w:rPr>
        <w:t xml:space="preserve"> </w:t>
      </w:r>
      <w:r w:rsidR="00191F8B" w:rsidRPr="00886C07">
        <w:rPr>
          <w:i/>
          <w:color w:val="000000"/>
          <w:lang w:eastAsia="en-GB"/>
        </w:rPr>
        <w:t>and</w:t>
      </w:r>
      <w:r w:rsidR="00B57B4A" w:rsidRPr="00886C07">
        <w:rPr>
          <w:color w:val="000000"/>
          <w:lang w:eastAsia="en-GB"/>
        </w:rPr>
        <w:t xml:space="preserve"> </w:t>
      </w:r>
      <w:r w:rsidR="00191F8B" w:rsidRPr="00886C07">
        <w:rPr>
          <w:color w:val="000000"/>
          <w:lang w:eastAsia="en-GB"/>
        </w:rPr>
        <w:t xml:space="preserve">two </w:t>
      </w:r>
      <w:r w:rsidR="00726315" w:rsidRPr="00886C07">
        <w:rPr>
          <w:color w:val="000000"/>
          <w:lang w:eastAsia="en-GB"/>
        </w:rPr>
        <w:t>c</w:t>
      </w:r>
      <w:r w:rsidR="00B57B4A" w:rsidRPr="00886C07">
        <w:rPr>
          <w:color w:val="000000"/>
          <w:lang w:eastAsia="en-GB"/>
        </w:rPr>
        <w:t xml:space="preserve">onsultant </w:t>
      </w:r>
      <w:proofErr w:type="spellStart"/>
      <w:r w:rsidR="00726315" w:rsidRPr="00886C07">
        <w:rPr>
          <w:color w:val="000000"/>
          <w:lang w:eastAsia="en-GB"/>
        </w:rPr>
        <w:t>n</w:t>
      </w:r>
      <w:r w:rsidR="00B57B4A" w:rsidRPr="00886C07">
        <w:rPr>
          <w:color w:val="000000"/>
          <w:lang w:eastAsia="en-GB"/>
        </w:rPr>
        <w:t>europsychiatrist</w:t>
      </w:r>
      <w:r w:rsidR="00191F8B" w:rsidRPr="00886C07">
        <w:rPr>
          <w:color w:val="000000"/>
          <w:lang w:eastAsia="en-GB"/>
        </w:rPr>
        <w:t>s</w:t>
      </w:r>
      <w:proofErr w:type="spellEnd"/>
      <w:r w:rsidR="00845B9E" w:rsidRPr="00886C07">
        <w:rPr>
          <w:color w:val="000000"/>
          <w:lang w:eastAsia="en-GB"/>
        </w:rPr>
        <w:t>. As a result, the narrative of the</w:t>
      </w:r>
      <w:r w:rsidR="00B57B4A" w:rsidRPr="00886C07">
        <w:rPr>
          <w:color w:val="000000"/>
          <w:lang w:eastAsia="en-GB"/>
        </w:rPr>
        <w:t xml:space="preserve"> judgment demonstrates the </w:t>
      </w:r>
      <w:r w:rsidRPr="00886C07">
        <w:rPr>
          <w:color w:val="000000"/>
          <w:lang w:eastAsia="en-GB"/>
        </w:rPr>
        <w:t>potential for</w:t>
      </w:r>
      <w:r w:rsidR="002C7C82" w:rsidRPr="00886C07">
        <w:rPr>
          <w:color w:val="000000"/>
          <w:lang w:eastAsia="en-GB"/>
        </w:rPr>
        <w:t xml:space="preserve"> a finding of incapacity based on</w:t>
      </w:r>
      <w:r w:rsidRPr="00886C07">
        <w:rPr>
          <w:color w:val="000000"/>
          <w:lang w:eastAsia="en-GB"/>
        </w:rPr>
        <w:t xml:space="preserve"> </w:t>
      </w:r>
      <w:r w:rsidR="004B737B" w:rsidRPr="00886C07">
        <w:rPr>
          <w:color w:val="000000"/>
          <w:lang w:eastAsia="en-GB"/>
        </w:rPr>
        <w:t>what I have called here ‘</w:t>
      </w:r>
      <w:r w:rsidRPr="00886C07">
        <w:rPr>
          <w:color w:val="000000"/>
          <w:lang w:eastAsia="en-GB"/>
        </w:rPr>
        <w:t>conceptual fusion</w:t>
      </w:r>
      <w:r w:rsidR="004B737B" w:rsidRPr="00886C07">
        <w:rPr>
          <w:color w:val="000000"/>
          <w:lang w:eastAsia="en-GB"/>
        </w:rPr>
        <w:t>’</w:t>
      </w:r>
      <w:r w:rsidRPr="00886C07">
        <w:rPr>
          <w:color w:val="000000"/>
          <w:lang w:eastAsia="en-GB"/>
        </w:rPr>
        <w:t xml:space="preserve">. </w:t>
      </w:r>
      <w:r w:rsidRPr="00886C07">
        <w:rPr>
          <w:i/>
          <w:color w:val="000000"/>
          <w:lang w:eastAsia="en-GB"/>
        </w:rPr>
        <w:t>IA</w:t>
      </w:r>
      <w:r w:rsidRPr="00886C07">
        <w:rPr>
          <w:color w:val="000000"/>
          <w:lang w:eastAsia="en-GB"/>
        </w:rPr>
        <w:t xml:space="preserve"> was ready for discharge from hospital</w:t>
      </w:r>
      <w:r w:rsidR="00DE2FC8" w:rsidRPr="00886C07">
        <w:rPr>
          <w:color w:val="000000"/>
          <w:lang w:eastAsia="en-GB"/>
        </w:rPr>
        <w:t>. H</w:t>
      </w:r>
      <w:r w:rsidRPr="00886C07">
        <w:rPr>
          <w:color w:val="000000"/>
          <w:lang w:eastAsia="en-GB"/>
        </w:rPr>
        <w:t xml:space="preserve">is </w:t>
      </w:r>
      <w:r w:rsidR="00552011" w:rsidRPr="00886C07">
        <w:rPr>
          <w:color w:val="000000"/>
          <w:lang w:eastAsia="en-GB"/>
        </w:rPr>
        <w:t>physical health was compromised by diabetes</w:t>
      </w:r>
      <w:r w:rsidR="009A6AF5" w:rsidRPr="00886C07">
        <w:rPr>
          <w:color w:val="000000"/>
          <w:lang w:eastAsia="en-GB"/>
        </w:rPr>
        <w:t xml:space="preserve"> and his </w:t>
      </w:r>
      <w:r w:rsidRPr="00886C07">
        <w:rPr>
          <w:color w:val="000000"/>
          <w:lang w:eastAsia="en-GB"/>
        </w:rPr>
        <w:t>situation was complicated by a</w:t>
      </w:r>
      <w:r w:rsidR="008675CC" w:rsidRPr="00886C07">
        <w:rPr>
          <w:color w:val="000000"/>
          <w:lang w:eastAsia="en-GB"/>
        </w:rPr>
        <w:t xml:space="preserve"> prior</w:t>
      </w:r>
      <w:r w:rsidRPr="00886C07">
        <w:rPr>
          <w:color w:val="000000"/>
          <w:lang w:eastAsia="en-GB"/>
        </w:rPr>
        <w:t xml:space="preserve"> head injury</w:t>
      </w:r>
      <w:r w:rsidR="00796DD8" w:rsidRPr="00886C07">
        <w:rPr>
          <w:color w:val="000000"/>
          <w:lang w:eastAsia="en-GB"/>
        </w:rPr>
        <w:t>. This injury had</w:t>
      </w:r>
      <w:r w:rsidRPr="00886C07">
        <w:rPr>
          <w:color w:val="000000"/>
          <w:lang w:eastAsia="en-GB"/>
        </w:rPr>
        <w:t xml:space="preserve"> </w:t>
      </w:r>
      <w:r w:rsidR="008675CC" w:rsidRPr="00886C07">
        <w:rPr>
          <w:color w:val="000000"/>
          <w:lang w:eastAsia="en-GB"/>
        </w:rPr>
        <w:t>caus</w:t>
      </w:r>
      <w:r w:rsidR="00796DD8" w:rsidRPr="00886C07">
        <w:rPr>
          <w:color w:val="000000"/>
          <w:lang w:eastAsia="en-GB"/>
        </w:rPr>
        <w:t>ed</w:t>
      </w:r>
      <w:r w:rsidR="008675CC" w:rsidRPr="00886C07">
        <w:rPr>
          <w:color w:val="000000"/>
          <w:lang w:eastAsia="en-GB"/>
        </w:rPr>
        <w:t xml:space="preserve"> cognitive impairment</w:t>
      </w:r>
      <w:r w:rsidR="00DE2FC8" w:rsidRPr="00886C07">
        <w:rPr>
          <w:color w:val="000000"/>
          <w:lang w:eastAsia="en-GB"/>
        </w:rPr>
        <w:t xml:space="preserve"> which necessitated careful assessment of whether</w:t>
      </w:r>
      <w:r w:rsidR="00532831" w:rsidRPr="00886C07">
        <w:rPr>
          <w:color w:val="000000"/>
          <w:lang w:eastAsia="en-GB"/>
        </w:rPr>
        <w:t xml:space="preserve"> he had capacity to make decisions in relation to residence and care.</w:t>
      </w:r>
      <w:r w:rsidRPr="00886C07">
        <w:rPr>
          <w:color w:val="000000"/>
          <w:lang w:eastAsia="en-GB"/>
        </w:rPr>
        <w:t xml:space="preserve"> Justice Cobb </w:t>
      </w:r>
      <w:r w:rsidR="002C7C82" w:rsidRPr="00886C07">
        <w:rPr>
          <w:color w:val="000000"/>
          <w:lang w:eastAsia="en-GB"/>
        </w:rPr>
        <w:t xml:space="preserve">described the assessment of </w:t>
      </w:r>
      <w:r w:rsidR="002C7C82" w:rsidRPr="00886C07">
        <w:rPr>
          <w:i/>
          <w:color w:val="000000"/>
          <w:lang w:eastAsia="en-GB"/>
        </w:rPr>
        <w:t>IA</w:t>
      </w:r>
      <w:r w:rsidR="002C7C82" w:rsidRPr="00886C07">
        <w:rPr>
          <w:color w:val="000000"/>
          <w:lang w:eastAsia="en-GB"/>
        </w:rPr>
        <w:t>’s capacity as ‘particularly difficult and finely balanced’ but</w:t>
      </w:r>
      <w:r w:rsidR="00532831" w:rsidRPr="00886C07">
        <w:rPr>
          <w:color w:val="000000"/>
          <w:lang w:eastAsia="en-GB"/>
        </w:rPr>
        <w:t>, disagreeing with the Official Solicitor,</w:t>
      </w:r>
      <w:r w:rsidR="002C7C82" w:rsidRPr="00886C07">
        <w:rPr>
          <w:color w:val="000000"/>
          <w:lang w:eastAsia="en-GB"/>
        </w:rPr>
        <w:t xml:space="preserve"> </w:t>
      </w:r>
      <w:r w:rsidRPr="00886C07">
        <w:rPr>
          <w:color w:val="000000"/>
          <w:lang w:eastAsia="en-GB"/>
        </w:rPr>
        <w:t xml:space="preserve">ultimately found that </w:t>
      </w:r>
      <w:r w:rsidRPr="00886C07">
        <w:rPr>
          <w:i/>
          <w:color w:val="000000"/>
          <w:lang w:eastAsia="en-GB"/>
        </w:rPr>
        <w:t>IA</w:t>
      </w:r>
      <w:r w:rsidRPr="00886C07">
        <w:rPr>
          <w:color w:val="000000"/>
          <w:lang w:eastAsia="en-GB"/>
        </w:rPr>
        <w:t xml:space="preserve"> </w:t>
      </w:r>
      <w:r w:rsidRPr="00886C07">
        <w:rPr>
          <w:i/>
          <w:color w:val="000000"/>
          <w:lang w:eastAsia="en-GB"/>
        </w:rPr>
        <w:t>did</w:t>
      </w:r>
      <w:r w:rsidRPr="00886C07">
        <w:rPr>
          <w:color w:val="000000"/>
          <w:lang w:eastAsia="en-GB"/>
        </w:rPr>
        <w:t xml:space="preserve"> have capacity to decide </w:t>
      </w:r>
      <w:r w:rsidR="008675CC" w:rsidRPr="00886C07">
        <w:rPr>
          <w:color w:val="000000"/>
          <w:lang w:eastAsia="en-GB"/>
        </w:rPr>
        <w:t xml:space="preserve">his </w:t>
      </w:r>
      <w:r w:rsidRPr="00886C07">
        <w:rPr>
          <w:color w:val="000000"/>
          <w:lang w:eastAsia="en-GB"/>
        </w:rPr>
        <w:t>medical treatment, residence and care and financial and property affairs</w:t>
      </w:r>
      <w:r w:rsidR="008C32C7" w:rsidRPr="00886C07">
        <w:rPr>
          <w:color w:val="000000"/>
          <w:lang w:eastAsia="en-GB"/>
        </w:rPr>
        <w:t xml:space="preserve">. According to </w:t>
      </w:r>
      <w:r w:rsidR="008675CC" w:rsidRPr="00886C07">
        <w:rPr>
          <w:color w:val="000000"/>
          <w:lang w:eastAsia="en-GB"/>
        </w:rPr>
        <w:t xml:space="preserve">much of </w:t>
      </w:r>
      <w:r w:rsidR="008C32C7" w:rsidRPr="00886C07">
        <w:rPr>
          <w:color w:val="000000"/>
          <w:lang w:eastAsia="en-GB"/>
        </w:rPr>
        <w:t>the expert evidence</w:t>
      </w:r>
      <w:r w:rsidR="008675CC" w:rsidRPr="00886C07">
        <w:rPr>
          <w:color w:val="000000"/>
          <w:lang w:eastAsia="en-GB"/>
        </w:rPr>
        <w:t xml:space="preserve"> however, </w:t>
      </w:r>
      <w:r w:rsidR="008675CC" w:rsidRPr="00886C07">
        <w:rPr>
          <w:i/>
          <w:color w:val="000000"/>
          <w:lang w:eastAsia="en-GB"/>
        </w:rPr>
        <w:t>IA</w:t>
      </w:r>
      <w:r w:rsidR="008C32C7" w:rsidRPr="00886C07">
        <w:rPr>
          <w:color w:val="000000"/>
          <w:lang w:eastAsia="en-GB"/>
        </w:rPr>
        <w:t xml:space="preserve"> lacked insight into</w:t>
      </w:r>
      <w:r w:rsidR="00DE2FC8" w:rsidRPr="00886C07">
        <w:rPr>
          <w:color w:val="000000"/>
          <w:lang w:eastAsia="en-GB"/>
        </w:rPr>
        <w:t xml:space="preserve"> </w:t>
      </w:r>
      <w:r w:rsidR="004F1F07" w:rsidRPr="00886C07">
        <w:rPr>
          <w:color w:val="000000"/>
          <w:lang w:eastAsia="en-GB"/>
        </w:rPr>
        <w:t>‘his health problems’, ‘his cognitive and emotional problems,’ but also external factors</w:t>
      </w:r>
      <w:r w:rsidR="00DE2FC8" w:rsidRPr="00886C07">
        <w:rPr>
          <w:color w:val="000000"/>
          <w:lang w:eastAsia="en-GB"/>
        </w:rPr>
        <w:t xml:space="preserve"> such as </w:t>
      </w:r>
      <w:r w:rsidR="008C32C7" w:rsidRPr="00886C07">
        <w:rPr>
          <w:color w:val="000000"/>
          <w:lang w:eastAsia="en-GB"/>
        </w:rPr>
        <w:t>‘the state of his housing’</w:t>
      </w:r>
      <w:r w:rsidR="004F1F07" w:rsidRPr="00886C07">
        <w:rPr>
          <w:color w:val="000000"/>
          <w:lang w:eastAsia="en-GB"/>
        </w:rPr>
        <w:t xml:space="preserve">. Again, </w:t>
      </w:r>
      <w:r w:rsidR="008C32C7" w:rsidRPr="00886C07">
        <w:rPr>
          <w:color w:val="000000"/>
          <w:lang w:eastAsia="en-GB"/>
        </w:rPr>
        <w:t xml:space="preserve">like </w:t>
      </w:r>
      <w:r w:rsidR="008C32C7" w:rsidRPr="00886C07">
        <w:rPr>
          <w:i/>
          <w:color w:val="000000"/>
          <w:lang w:eastAsia="en-GB"/>
        </w:rPr>
        <w:t>PH</w:t>
      </w:r>
      <w:r w:rsidR="008C32C7" w:rsidRPr="00886C07">
        <w:rPr>
          <w:color w:val="000000"/>
          <w:lang w:eastAsia="en-GB"/>
        </w:rPr>
        <w:t>,</w:t>
      </w:r>
      <w:r w:rsidR="008675CC" w:rsidRPr="00886C07">
        <w:rPr>
          <w:color w:val="000000"/>
          <w:lang w:eastAsia="en-GB"/>
        </w:rPr>
        <w:t xml:space="preserve"> he</w:t>
      </w:r>
      <w:r w:rsidR="008C32C7" w:rsidRPr="00886C07">
        <w:rPr>
          <w:color w:val="000000"/>
          <w:lang w:eastAsia="en-GB"/>
        </w:rPr>
        <w:t xml:space="preserve"> </w:t>
      </w:r>
      <w:r w:rsidR="00796DD8" w:rsidRPr="00886C07">
        <w:rPr>
          <w:color w:val="000000"/>
          <w:lang w:eastAsia="en-GB"/>
        </w:rPr>
        <w:t xml:space="preserve">was observed as having a tendency </w:t>
      </w:r>
      <w:r w:rsidR="008C32C7" w:rsidRPr="00886C07">
        <w:rPr>
          <w:color w:val="000000"/>
          <w:lang w:eastAsia="en-GB"/>
        </w:rPr>
        <w:t>to minimise his problems.</w:t>
      </w:r>
      <w:r w:rsidR="004F1F07" w:rsidRPr="00886C07">
        <w:rPr>
          <w:rStyle w:val="FootnoteReference"/>
          <w:color w:val="000000"/>
          <w:lang w:eastAsia="en-GB"/>
        </w:rPr>
        <w:footnoteReference w:id="57"/>
      </w:r>
      <w:r w:rsidR="008C32C7" w:rsidRPr="00886C07">
        <w:rPr>
          <w:color w:val="000000"/>
          <w:lang w:eastAsia="en-GB"/>
        </w:rPr>
        <w:t xml:space="preserve"> More concerning though was the </w:t>
      </w:r>
      <w:r w:rsidR="00B779D3" w:rsidRPr="00886C07">
        <w:rPr>
          <w:color w:val="000000"/>
          <w:lang w:eastAsia="en-GB"/>
        </w:rPr>
        <w:t xml:space="preserve">interpretation of </w:t>
      </w:r>
      <w:r w:rsidR="00B779D3" w:rsidRPr="00886C07">
        <w:rPr>
          <w:i/>
          <w:color w:val="000000"/>
          <w:lang w:eastAsia="en-GB"/>
        </w:rPr>
        <w:t>I</w:t>
      </w:r>
      <w:r w:rsidR="003F4340" w:rsidRPr="00886C07">
        <w:rPr>
          <w:i/>
          <w:color w:val="000000"/>
          <w:lang w:eastAsia="en-GB"/>
        </w:rPr>
        <w:t>A</w:t>
      </w:r>
      <w:r w:rsidR="00B779D3" w:rsidRPr="00886C07">
        <w:rPr>
          <w:color w:val="000000"/>
          <w:lang w:eastAsia="en-GB"/>
        </w:rPr>
        <w:t xml:space="preserve">’s obstructive and </w:t>
      </w:r>
      <w:proofErr w:type="spellStart"/>
      <w:r w:rsidR="00B779D3" w:rsidRPr="00886C07">
        <w:rPr>
          <w:color w:val="000000"/>
          <w:lang w:eastAsia="en-GB"/>
        </w:rPr>
        <w:t>unco</w:t>
      </w:r>
      <w:proofErr w:type="spellEnd"/>
      <w:r w:rsidR="00B779D3" w:rsidRPr="00886C07">
        <w:rPr>
          <w:color w:val="000000"/>
          <w:lang w:eastAsia="en-GB"/>
        </w:rPr>
        <w:t>-operative behaviour advanced</w:t>
      </w:r>
      <w:r w:rsidR="00041E8C" w:rsidRPr="00886C07">
        <w:rPr>
          <w:color w:val="000000"/>
          <w:lang w:eastAsia="en-GB"/>
        </w:rPr>
        <w:t xml:space="preserve"> by</w:t>
      </w:r>
      <w:r w:rsidR="00DE2FC8" w:rsidRPr="00886C07">
        <w:rPr>
          <w:color w:val="000000"/>
          <w:lang w:eastAsia="en-GB"/>
        </w:rPr>
        <w:t xml:space="preserve"> </w:t>
      </w:r>
      <w:r w:rsidR="00041E8C" w:rsidRPr="00886C07">
        <w:rPr>
          <w:color w:val="000000"/>
          <w:lang w:eastAsia="en-GB"/>
        </w:rPr>
        <w:t>counsel on behalf of the Official Solicitor</w:t>
      </w:r>
      <w:r w:rsidR="00B779D3" w:rsidRPr="00886C07">
        <w:rPr>
          <w:color w:val="000000"/>
          <w:lang w:eastAsia="en-GB"/>
        </w:rPr>
        <w:t xml:space="preserve">. The judge </w:t>
      </w:r>
      <w:r w:rsidR="00FB1AAF" w:rsidRPr="00886C07">
        <w:rPr>
          <w:color w:val="000000"/>
          <w:lang w:eastAsia="en-GB"/>
        </w:rPr>
        <w:t>summarised</w:t>
      </w:r>
      <w:r w:rsidR="00B779D3" w:rsidRPr="00886C07">
        <w:rPr>
          <w:color w:val="000000"/>
          <w:lang w:eastAsia="en-GB"/>
        </w:rPr>
        <w:t xml:space="preserve"> this as suggesting that whilst</w:t>
      </w:r>
      <w:r w:rsidR="00B779D3" w:rsidRPr="00886C07">
        <w:rPr>
          <w:i/>
          <w:color w:val="000000"/>
          <w:lang w:eastAsia="en-GB"/>
        </w:rPr>
        <w:t xml:space="preserve"> IA</w:t>
      </w:r>
      <w:r w:rsidR="004B737B" w:rsidRPr="00886C07">
        <w:rPr>
          <w:color w:val="000000"/>
          <w:lang w:eastAsia="en-GB"/>
        </w:rPr>
        <w:t>:</w:t>
      </w:r>
    </w:p>
    <w:p w:rsidR="004B737B" w:rsidRPr="00886C07" w:rsidRDefault="008C32C7" w:rsidP="00DB4883">
      <w:pPr>
        <w:spacing w:line="360" w:lineRule="auto"/>
        <w:ind w:left="397" w:right="397"/>
        <w:jc w:val="both"/>
        <w:rPr>
          <w:color w:val="000000"/>
          <w:lang w:eastAsia="en-GB"/>
        </w:rPr>
      </w:pPr>
      <w:r w:rsidRPr="00886C07">
        <w:rPr>
          <w:color w:val="000000"/>
          <w:lang w:eastAsia="en-GB"/>
        </w:rPr>
        <w:t xml:space="preserve"> </w:t>
      </w:r>
      <w:r w:rsidRPr="00886C07">
        <w:rPr>
          <w:i/>
          <w:color w:val="000000"/>
          <w:lang w:eastAsia="en-GB"/>
        </w:rPr>
        <w:t xml:space="preserve">‘appeared to’ understand and weigh up the information and to have reached a reasoned decision, </w:t>
      </w:r>
      <w:r w:rsidR="00FB1AAF" w:rsidRPr="00886C07">
        <w:rPr>
          <w:i/>
          <w:color w:val="000000"/>
          <w:lang w:eastAsia="en-GB"/>
        </w:rPr>
        <w:t>…</w:t>
      </w:r>
      <w:r w:rsidRPr="00886C07">
        <w:rPr>
          <w:i/>
          <w:color w:val="000000"/>
          <w:u w:val="single"/>
          <w:lang w:eastAsia="en-GB"/>
        </w:rPr>
        <w:t>his subsequent ‘failure to consistently maintain that position’ demonstrated his lack of insight</w:t>
      </w:r>
      <w:r w:rsidR="00FF3FC4" w:rsidRPr="00886C07">
        <w:rPr>
          <w:i/>
          <w:color w:val="000000"/>
          <w:u w:val="single"/>
          <w:lang w:eastAsia="en-GB"/>
        </w:rPr>
        <w:t xml:space="preserve"> and the ‘deficit in his executive functioning</w:t>
      </w:r>
      <w:r w:rsidR="00FF3FC4" w:rsidRPr="00886C07">
        <w:rPr>
          <w:i/>
          <w:color w:val="000000"/>
          <w:lang w:eastAsia="en-GB"/>
        </w:rPr>
        <w:t>.’</w:t>
      </w:r>
      <w:r w:rsidRPr="00886C07">
        <w:rPr>
          <w:rStyle w:val="FootnoteReference"/>
          <w:i/>
          <w:color w:val="000000"/>
          <w:lang w:eastAsia="en-GB"/>
        </w:rPr>
        <w:footnoteReference w:id="58"/>
      </w:r>
      <w:r w:rsidRPr="00886C07">
        <w:rPr>
          <w:color w:val="000000"/>
          <w:lang w:eastAsia="en-GB"/>
        </w:rPr>
        <w:t xml:space="preserve"> </w:t>
      </w:r>
    </w:p>
    <w:p w:rsidR="00B779D3" w:rsidRPr="00886C07" w:rsidRDefault="00A33199" w:rsidP="00DB4883">
      <w:pPr>
        <w:spacing w:line="360" w:lineRule="auto"/>
        <w:jc w:val="both"/>
      </w:pPr>
      <w:r w:rsidRPr="00886C07">
        <w:rPr>
          <w:color w:val="000000"/>
          <w:lang w:eastAsia="en-GB"/>
        </w:rPr>
        <w:t>This summary s</w:t>
      </w:r>
      <w:r w:rsidR="00726315" w:rsidRPr="00886C07">
        <w:rPr>
          <w:color w:val="000000"/>
          <w:lang w:eastAsia="en-GB"/>
        </w:rPr>
        <w:t>uggests</w:t>
      </w:r>
      <w:r w:rsidRPr="00886C07">
        <w:rPr>
          <w:color w:val="000000"/>
          <w:lang w:eastAsia="en-GB"/>
        </w:rPr>
        <w:t xml:space="preserve"> an incredible claim</w:t>
      </w:r>
      <w:r w:rsidR="007E0BCC" w:rsidRPr="00886C07">
        <w:rPr>
          <w:color w:val="000000"/>
          <w:lang w:eastAsia="en-GB"/>
        </w:rPr>
        <w:t xml:space="preserve"> </w:t>
      </w:r>
      <w:r w:rsidR="00041E8C" w:rsidRPr="00886C07">
        <w:rPr>
          <w:color w:val="000000"/>
          <w:lang w:eastAsia="en-GB"/>
        </w:rPr>
        <w:t xml:space="preserve">that </w:t>
      </w:r>
      <w:r w:rsidR="007E0BCC" w:rsidRPr="00886C07">
        <w:rPr>
          <w:color w:val="000000"/>
          <w:lang w:eastAsia="en-GB"/>
        </w:rPr>
        <w:t xml:space="preserve">positive findings on the statutory criteria of ‘understanding’ and ‘weighing’ </w:t>
      </w:r>
      <w:r w:rsidRPr="00886C07">
        <w:rPr>
          <w:color w:val="000000"/>
          <w:lang w:eastAsia="en-GB"/>
        </w:rPr>
        <w:t xml:space="preserve">can be </w:t>
      </w:r>
      <w:r w:rsidR="007E0BCC" w:rsidRPr="00886C07">
        <w:rPr>
          <w:color w:val="000000"/>
          <w:lang w:eastAsia="en-GB"/>
        </w:rPr>
        <w:t>trumped by a lack of this elusive</w:t>
      </w:r>
      <w:r w:rsidR="00041E8C" w:rsidRPr="00886C07">
        <w:rPr>
          <w:color w:val="000000"/>
          <w:lang w:eastAsia="en-GB"/>
        </w:rPr>
        <w:t>,</w:t>
      </w:r>
      <w:r w:rsidR="007E0BCC" w:rsidRPr="00886C07">
        <w:rPr>
          <w:color w:val="000000"/>
          <w:lang w:eastAsia="en-GB"/>
        </w:rPr>
        <w:t xml:space="preserve"> </w:t>
      </w:r>
      <w:r w:rsidR="007E0BCC" w:rsidRPr="00886C07">
        <w:rPr>
          <w:i/>
          <w:color w:val="000000"/>
          <w:lang w:eastAsia="en-GB"/>
        </w:rPr>
        <w:t>non-</w:t>
      </w:r>
      <w:r w:rsidR="007E0BCC" w:rsidRPr="00886C07">
        <w:rPr>
          <w:color w:val="000000"/>
          <w:lang w:eastAsia="en-GB"/>
        </w:rPr>
        <w:t>s</w:t>
      </w:r>
      <w:r w:rsidR="002B6B28" w:rsidRPr="00886C07">
        <w:rPr>
          <w:color w:val="000000"/>
          <w:lang w:eastAsia="en-GB"/>
        </w:rPr>
        <w:t>tatutory quality of ‘insight’.</w:t>
      </w:r>
      <w:r w:rsidR="00E73C05" w:rsidRPr="00886C07">
        <w:rPr>
          <w:color w:val="000000"/>
          <w:lang w:eastAsia="en-GB"/>
        </w:rPr>
        <w:t xml:space="preserve"> T</w:t>
      </w:r>
      <w:r w:rsidR="004B737B" w:rsidRPr="00886C07">
        <w:t>he ideas that a) lack of insight may be symptomatic of certain disorders or impairment</w:t>
      </w:r>
      <w:r w:rsidR="002B6B28" w:rsidRPr="00886C07">
        <w:t>,</w:t>
      </w:r>
      <w:r w:rsidR="004B737B" w:rsidRPr="00886C07">
        <w:t xml:space="preserve"> and b) that </w:t>
      </w:r>
      <w:r w:rsidR="00041E8C" w:rsidRPr="00886C07">
        <w:t xml:space="preserve">an insight </w:t>
      </w:r>
      <w:r w:rsidR="004B737B" w:rsidRPr="00886C07">
        <w:t xml:space="preserve">deficit possibly predisposes P to refuse therapeutic recommendations, </w:t>
      </w:r>
      <w:r w:rsidR="002B6B28" w:rsidRPr="00886C07">
        <w:t>may be valid</w:t>
      </w:r>
      <w:r w:rsidR="00726315" w:rsidRPr="00886C07">
        <w:t xml:space="preserve"> propositions in themselves</w:t>
      </w:r>
      <w:r w:rsidR="002B6B28" w:rsidRPr="00886C07">
        <w:t>. But here t</w:t>
      </w:r>
      <w:r w:rsidR="004B737B" w:rsidRPr="00886C07">
        <w:t>he two ideas have become fused together in the evidence</w:t>
      </w:r>
      <w:r w:rsidR="005A73F0" w:rsidRPr="00886C07">
        <w:t>,</w:t>
      </w:r>
      <w:r w:rsidR="004B737B" w:rsidRPr="00886C07">
        <w:t xml:space="preserve"> so that </w:t>
      </w:r>
      <w:r w:rsidR="005A73F0" w:rsidRPr="00886C07">
        <w:t xml:space="preserve">a subsequent </w:t>
      </w:r>
      <w:proofErr w:type="spellStart"/>
      <w:r w:rsidR="005A73F0" w:rsidRPr="00886C07">
        <w:t>unco</w:t>
      </w:r>
      <w:proofErr w:type="spellEnd"/>
      <w:r w:rsidR="005A73F0" w:rsidRPr="00886C07">
        <w:t>-operative attitude is suggested to be</w:t>
      </w:r>
      <w:r w:rsidR="004B737B" w:rsidRPr="00886C07">
        <w:t xml:space="preserve"> an indicator of malfunction in </w:t>
      </w:r>
      <w:r w:rsidR="003F4340" w:rsidRPr="00886C07">
        <w:rPr>
          <w:i/>
        </w:rPr>
        <w:t>IA</w:t>
      </w:r>
      <w:r w:rsidR="004B737B" w:rsidRPr="00886C07">
        <w:t>’s decision making</w:t>
      </w:r>
      <w:r w:rsidRPr="00886C07">
        <w:t xml:space="preserve"> and therefore of incapacity – IA looks like an example of the ‘compliance</w:t>
      </w:r>
      <w:r w:rsidR="00B779D3" w:rsidRPr="00886C07">
        <w:t>-</w:t>
      </w:r>
      <w:r w:rsidRPr="00886C07">
        <w:t>connection’ in operation</w:t>
      </w:r>
      <w:r w:rsidR="004B737B" w:rsidRPr="00886C07">
        <w:t>.</w:t>
      </w:r>
      <w:r w:rsidR="005D149A" w:rsidRPr="00886C07">
        <w:t xml:space="preserve"> </w:t>
      </w:r>
    </w:p>
    <w:p w:rsidR="007E0BCC" w:rsidRPr="00886C07" w:rsidRDefault="005D149A" w:rsidP="00DB4883">
      <w:pPr>
        <w:spacing w:line="360" w:lineRule="auto"/>
        <w:jc w:val="both"/>
        <w:rPr>
          <w:color w:val="000000"/>
          <w:lang w:eastAsia="en-GB"/>
        </w:rPr>
      </w:pPr>
      <w:r w:rsidRPr="00886C07">
        <w:t>On this occasion the court refused to accede to the portrayal of uncooperative behaviour as part and parcel of P’s impairment. Instead</w:t>
      </w:r>
      <w:r w:rsidR="003F4340" w:rsidRPr="00886C07">
        <w:t>,</w:t>
      </w:r>
      <w:r w:rsidRPr="00886C07">
        <w:t xml:space="preserve"> </w:t>
      </w:r>
      <w:r w:rsidR="007E0BCC" w:rsidRPr="00886C07">
        <w:rPr>
          <w:color w:val="000000"/>
          <w:lang w:eastAsia="en-GB"/>
        </w:rPr>
        <w:t xml:space="preserve">Justice Cobb </w:t>
      </w:r>
      <w:r w:rsidRPr="00886C07">
        <w:rPr>
          <w:color w:val="000000"/>
          <w:lang w:eastAsia="en-GB"/>
        </w:rPr>
        <w:t>construed</w:t>
      </w:r>
      <w:r w:rsidR="007E0BCC" w:rsidRPr="00886C07">
        <w:rPr>
          <w:color w:val="000000"/>
          <w:lang w:eastAsia="en-GB"/>
        </w:rPr>
        <w:t xml:space="preserve"> </w:t>
      </w:r>
      <w:r w:rsidR="007E0BCC" w:rsidRPr="00886C07">
        <w:rPr>
          <w:i/>
          <w:color w:val="000000"/>
          <w:lang w:eastAsia="en-GB"/>
        </w:rPr>
        <w:t>IA</w:t>
      </w:r>
      <w:r w:rsidR="007E0BCC" w:rsidRPr="00886C07">
        <w:rPr>
          <w:color w:val="000000"/>
          <w:lang w:eastAsia="en-GB"/>
        </w:rPr>
        <w:t xml:space="preserve">’s ‘outbursts’ and ‘dogmatic pronouncements’ as attributable to his frustration at not being able to participate more in </w:t>
      </w:r>
      <w:r w:rsidR="007E0BCC" w:rsidRPr="00886C07">
        <w:rPr>
          <w:color w:val="000000"/>
          <w:lang w:eastAsia="en-GB"/>
        </w:rPr>
        <w:lastRenderedPageBreak/>
        <w:t xml:space="preserve">proceedings and at the slow progress being made rather than poor insight. In taking this view he resisted the </w:t>
      </w:r>
      <w:r w:rsidR="007E5B71" w:rsidRPr="00886C07">
        <w:rPr>
          <w:color w:val="000000"/>
          <w:lang w:eastAsia="en-GB"/>
        </w:rPr>
        <w:t>invitation</w:t>
      </w:r>
      <w:r w:rsidR="007E0BCC" w:rsidRPr="00886C07">
        <w:rPr>
          <w:color w:val="000000"/>
          <w:lang w:eastAsia="en-GB"/>
        </w:rPr>
        <w:t xml:space="preserve"> to </w:t>
      </w:r>
      <w:proofErr w:type="spellStart"/>
      <w:r w:rsidR="007E0BCC" w:rsidRPr="00886C07">
        <w:rPr>
          <w:color w:val="000000"/>
          <w:lang w:eastAsia="en-GB"/>
        </w:rPr>
        <w:t>pathologise</w:t>
      </w:r>
      <w:proofErr w:type="spellEnd"/>
      <w:r w:rsidR="007E0BCC" w:rsidRPr="00886C07">
        <w:rPr>
          <w:color w:val="000000"/>
          <w:lang w:eastAsia="en-GB"/>
        </w:rPr>
        <w:t xml:space="preserve"> </w:t>
      </w:r>
      <w:r w:rsidR="007E0BCC" w:rsidRPr="00886C07">
        <w:rPr>
          <w:i/>
          <w:color w:val="000000"/>
          <w:lang w:eastAsia="en-GB"/>
        </w:rPr>
        <w:t>IA</w:t>
      </w:r>
      <w:r w:rsidR="007E0BCC" w:rsidRPr="00886C07">
        <w:rPr>
          <w:color w:val="000000"/>
          <w:lang w:eastAsia="en-GB"/>
        </w:rPr>
        <w:t xml:space="preserve">’s difficult behaviour and refused to </w:t>
      </w:r>
      <w:proofErr w:type="spellStart"/>
      <w:r w:rsidR="007E0BCC" w:rsidRPr="00886C07">
        <w:rPr>
          <w:color w:val="000000"/>
          <w:lang w:eastAsia="en-GB"/>
        </w:rPr>
        <w:t>medicalise</w:t>
      </w:r>
      <w:proofErr w:type="spellEnd"/>
      <w:r w:rsidR="007E0BCC" w:rsidRPr="00886C07">
        <w:rPr>
          <w:color w:val="000000"/>
          <w:lang w:eastAsia="en-GB"/>
        </w:rPr>
        <w:t xml:space="preserve"> </w:t>
      </w:r>
      <w:r w:rsidR="003F4340" w:rsidRPr="00886C07">
        <w:rPr>
          <w:color w:val="000000"/>
          <w:lang w:eastAsia="en-GB"/>
        </w:rPr>
        <w:t>his</w:t>
      </w:r>
      <w:r w:rsidR="005A73F0" w:rsidRPr="00886C07">
        <w:rPr>
          <w:color w:val="000000"/>
          <w:lang w:eastAsia="en-GB"/>
        </w:rPr>
        <w:t xml:space="preserve"> </w:t>
      </w:r>
      <w:r w:rsidR="007E0BCC" w:rsidRPr="00886C07">
        <w:rPr>
          <w:color w:val="000000"/>
          <w:lang w:eastAsia="en-GB"/>
        </w:rPr>
        <w:t>lack of co-operation.</w:t>
      </w:r>
    </w:p>
    <w:p w:rsidR="004B737B" w:rsidRPr="00886C07" w:rsidRDefault="004B737B" w:rsidP="00DB4883">
      <w:pPr>
        <w:spacing w:line="360" w:lineRule="auto"/>
        <w:jc w:val="both"/>
      </w:pPr>
    </w:p>
    <w:p w:rsidR="0005125E" w:rsidRPr="00886C07" w:rsidRDefault="00650DA3" w:rsidP="00DB4883">
      <w:pPr>
        <w:spacing w:line="360" w:lineRule="auto"/>
        <w:jc w:val="both"/>
        <w:rPr>
          <w:i/>
          <w:color w:val="000000"/>
          <w:lang w:eastAsia="en-GB"/>
        </w:rPr>
      </w:pPr>
      <w:r w:rsidRPr="00886C07">
        <w:rPr>
          <w:i/>
          <w:color w:val="000000"/>
          <w:lang w:eastAsia="en-GB"/>
        </w:rPr>
        <w:t xml:space="preserve">3. </w:t>
      </w:r>
      <w:r w:rsidR="00796DD8" w:rsidRPr="00886C07">
        <w:rPr>
          <w:i/>
          <w:color w:val="000000"/>
          <w:lang w:eastAsia="en-GB"/>
        </w:rPr>
        <w:t>Th</w:t>
      </w:r>
      <w:r w:rsidR="00BB01EA" w:rsidRPr="00886C07">
        <w:rPr>
          <w:i/>
          <w:color w:val="000000"/>
          <w:lang w:eastAsia="en-GB"/>
        </w:rPr>
        <w:t xml:space="preserve">e </w:t>
      </w:r>
      <w:r w:rsidRPr="00886C07">
        <w:rPr>
          <w:i/>
          <w:color w:val="000000"/>
          <w:lang w:eastAsia="en-GB"/>
        </w:rPr>
        <w:t xml:space="preserve">Need to Map Insight to the Functional Criteria: </w:t>
      </w:r>
      <w:r w:rsidR="00796DD8" w:rsidRPr="00886C07">
        <w:rPr>
          <w:i/>
          <w:color w:val="000000"/>
          <w:lang w:eastAsia="en-GB"/>
        </w:rPr>
        <w:t xml:space="preserve">London Borough </w:t>
      </w:r>
      <w:r w:rsidRPr="00886C07">
        <w:rPr>
          <w:i/>
          <w:color w:val="000000"/>
          <w:lang w:eastAsia="en-GB"/>
        </w:rPr>
        <w:t xml:space="preserve">of </w:t>
      </w:r>
      <w:r w:rsidR="00796DD8" w:rsidRPr="00886C07">
        <w:rPr>
          <w:i/>
          <w:color w:val="000000"/>
          <w:lang w:eastAsia="en-GB"/>
        </w:rPr>
        <w:t xml:space="preserve">Islington </w:t>
      </w:r>
      <w:r w:rsidR="005D4068" w:rsidRPr="00886C07">
        <w:rPr>
          <w:i/>
          <w:color w:val="000000"/>
          <w:lang w:eastAsia="en-GB"/>
        </w:rPr>
        <w:t>v</w:t>
      </w:r>
      <w:r w:rsidRPr="00886C07">
        <w:rPr>
          <w:i/>
          <w:color w:val="000000"/>
          <w:lang w:eastAsia="en-GB"/>
        </w:rPr>
        <w:t xml:space="preserve"> </w:t>
      </w:r>
      <w:r w:rsidR="00796DD8" w:rsidRPr="00886C07">
        <w:rPr>
          <w:i/>
          <w:color w:val="000000"/>
          <w:lang w:eastAsia="en-GB"/>
        </w:rPr>
        <w:t>QR</w:t>
      </w:r>
    </w:p>
    <w:p w:rsidR="00547B1C" w:rsidRPr="00886C07" w:rsidRDefault="00A33199" w:rsidP="00DB4883">
      <w:pPr>
        <w:spacing w:line="360" w:lineRule="auto"/>
        <w:jc w:val="both"/>
        <w:rPr>
          <w:color w:val="000000"/>
          <w:lang w:eastAsia="en-GB"/>
        </w:rPr>
      </w:pPr>
      <w:r w:rsidRPr="00886C07">
        <w:rPr>
          <w:color w:val="000000"/>
          <w:lang w:eastAsia="en-GB"/>
        </w:rPr>
        <w:t xml:space="preserve">Other interesting permutations are demonstrated in </w:t>
      </w:r>
      <w:r w:rsidR="0005125E" w:rsidRPr="00886C07">
        <w:rPr>
          <w:i/>
          <w:color w:val="000000"/>
          <w:lang w:eastAsia="en-GB"/>
        </w:rPr>
        <w:t>QR</w:t>
      </w:r>
      <w:r w:rsidRPr="00886C07">
        <w:rPr>
          <w:i/>
          <w:color w:val="000000"/>
          <w:lang w:eastAsia="en-GB"/>
        </w:rPr>
        <w:t>,</w:t>
      </w:r>
      <w:r w:rsidR="00E5098A" w:rsidRPr="00886C07">
        <w:rPr>
          <w:rStyle w:val="FootnoteReference"/>
          <w:color w:val="000000"/>
          <w:lang w:eastAsia="en-GB"/>
        </w:rPr>
        <w:footnoteReference w:id="59"/>
      </w:r>
      <w:r w:rsidRPr="00886C07">
        <w:rPr>
          <w:i/>
          <w:color w:val="000000"/>
          <w:lang w:eastAsia="en-GB"/>
        </w:rPr>
        <w:t xml:space="preserve"> </w:t>
      </w:r>
      <w:r w:rsidRPr="00886C07">
        <w:rPr>
          <w:color w:val="000000"/>
          <w:lang w:eastAsia="en-GB"/>
        </w:rPr>
        <w:t>a judgment</w:t>
      </w:r>
      <w:r w:rsidR="00F77DDD" w:rsidRPr="00886C07">
        <w:rPr>
          <w:color w:val="000000"/>
          <w:lang w:eastAsia="en-GB"/>
        </w:rPr>
        <w:t xml:space="preserve"> </w:t>
      </w:r>
      <w:r w:rsidR="00C93916" w:rsidRPr="00886C07">
        <w:rPr>
          <w:color w:val="000000"/>
          <w:lang w:eastAsia="en-GB"/>
        </w:rPr>
        <w:t>which</w:t>
      </w:r>
      <w:r w:rsidRPr="00886C07">
        <w:rPr>
          <w:color w:val="000000"/>
          <w:lang w:eastAsia="en-GB"/>
        </w:rPr>
        <w:t xml:space="preserve"> again</w:t>
      </w:r>
      <w:r w:rsidR="00C93916" w:rsidRPr="00886C07">
        <w:rPr>
          <w:color w:val="000000"/>
          <w:lang w:eastAsia="en-GB"/>
        </w:rPr>
        <w:t xml:space="preserve"> </w:t>
      </w:r>
      <w:r w:rsidR="00C93916" w:rsidRPr="00886C07">
        <w:t xml:space="preserve">comes dangerously close to treating refusal of the option on the table as </w:t>
      </w:r>
      <w:r w:rsidR="00DF69CC" w:rsidRPr="00886C07">
        <w:t xml:space="preserve">flowing from the symptoms of </w:t>
      </w:r>
      <w:r w:rsidR="003F4340" w:rsidRPr="00886C07">
        <w:rPr>
          <w:i/>
        </w:rPr>
        <w:t>QR</w:t>
      </w:r>
      <w:r w:rsidR="00DF69CC" w:rsidRPr="00886C07">
        <w:t>’s</w:t>
      </w:r>
      <w:r w:rsidR="00C93916" w:rsidRPr="00886C07">
        <w:t xml:space="preserve"> mental health issues. It </w:t>
      </w:r>
      <w:r w:rsidR="00F77DDD" w:rsidRPr="00886C07">
        <w:rPr>
          <w:color w:val="000000"/>
          <w:lang w:eastAsia="en-GB"/>
        </w:rPr>
        <w:t>is a</w:t>
      </w:r>
      <w:r w:rsidR="00922A87" w:rsidRPr="00886C07">
        <w:rPr>
          <w:color w:val="000000"/>
          <w:lang w:eastAsia="en-GB"/>
        </w:rPr>
        <w:t xml:space="preserve"> highly</w:t>
      </w:r>
      <w:r w:rsidR="00F77DDD" w:rsidRPr="00886C07">
        <w:rPr>
          <w:color w:val="000000"/>
          <w:lang w:eastAsia="en-GB"/>
        </w:rPr>
        <w:t xml:space="preserve"> unusual case in which </w:t>
      </w:r>
      <w:r w:rsidR="003F4340" w:rsidRPr="00886C07">
        <w:rPr>
          <w:i/>
        </w:rPr>
        <w:t>QR</w:t>
      </w:r>
      <w:r w:rsidR="00F77DDD" w:rsidRPr="00886C07">
        <w:rPr>
          <w:color w:val="000000"/>
          <w:lang w:eastAsia="en-GB"/>
        </w:rPr>
        <w:t xml:space="preserve"> was regarded as having capacity in relation to nearly all aspects of her life, including litigation capacity</w:t>
      </w:r>
      <w:r w:rsidR="0005125E" w:rsidRPr="00886C07">
        <w:rPr>
          <w:rStyle w:val="FootnoteReference"/>
          <w:color w:val="000000"/>
          <w:lang w:eastAsia="en-GB"/>
        </w:rPr>
        <w:footnoteReference w:id="60"/>
      </w:r>
      <w:r w:rsidR="00F77DDD" w:rsidRPr="00886C07">
        <w:rPr>
          <w:color w:val="000000"/>
          <w:lang w:eastAsia="en-GB"/>
        </w:rPr>
        <w:t>, but did not have capacity in relation to</w:t>
      </w:r>
      <w:r w:rsidR="007E5B71" w:rsidRPr="00886C07">
        <w:rPr>
          <w:color w:val="000000"/>
          <w:lang w:eastAsia="en-GB"/>
        </w:rPr>
        <w:t xml:space="preserve">, </w:t>
      </w:r>
      <w:r w:rsidR="007E5B71" w:rsidRPr="00886C07">
        <w:rPr>
          <w:i/>
          <w:color w:val="000000"/>
          <w:lang w:eastAsia="en-GB"/>
        </w:rPr>
        <w:t xml:space="preserve">inter alia, </w:t>
      </w:r>
      <w:r w:rsidR="006F536B" w:rsidRPr="00886C07">
        <w:rPr>
          <w:color w:val="000000"/>
          <w:lang w:eastAsia="en-GB"/>
        </w:rPr>
        <w:t xml:space="preserve">signing up (or not) to a supported living tenancy which offered 24 hour support and monitoring. </w:t>
      </w:r>
      <w:r w:rsidR="003F4340" w:rsidRPr="00886C07">
        <w:rPr>
          <w:i/>
        </w:rPr>
        <w:t>QR</w:t>
      </w:r>
      <w:r w:rsidR="006F536B" w:rsidRPr="00886C07">
        <w:rPr>
          <w:color w:val="000000"/>
          <w:lang w:eastAsia="en-GB"/>
        </w:rPr>
        <w:t xml:space="preserve"> had a diagnosis of schizophrenia and</w:t>
      </w:r>
      <w:r w:rsidR="004D4CEF" w:rsidRPr="00886C07">
        <w:rPr>
          <w:color w:val="000000"/>
          <w:lang w:eastAsia="en-GB"/>
        </w:rPr>
        <w:t>,</w:t>
      </w:r>
      <w:r w:rsidR="006F536B" w:rsidRPr="00886C07">
        <w:rPr>
          <w:color w:val="000000"/>
          <w:lang w:eastAsia="en-GB"/>
        </w:rPr>
        <w:t xml:space="preserve"> under</w:t>
      </w:r>
      <w:r w:rsidR="00082379" w:rsidRPr="00886C07">
        <w:rPr>
          <w:color w:val="000000"/>
          <w:lang w:eastAsia="en-GB"/>
        </w:rPr>
        <w:t xml:space="preserve"> the terms of</w:t>
      </w:r>
      <w:r w:rsidR="006F536B" w:rsidRPr="00886C07">
        <w:rPr>
          <w:color w:val="000000"/>
          <w:lang w:eastAsia="en-GB"/>
        </w:rPr>
        <w:t xml:space="preserve"> her Community Treatment Order</w:t>
      </w:r>
      <w:r w:rsidR="000D4B46" w:rsidRPr="00886C07">
        <w:rPr>
          <w:color w:val="000000"/>
          <w:lang w:eastAsia="en-GB"/>
        </w:rPr>
        <w:t xml:space="preserve"> (‘CTO’)</w:t>
      </w:r>
      <w:r w:rsidR="004D4CEF" w:rsidRPr="00886C07">
        <w:rPr>
          <w:color w:val="000000"/>
          <w:lang w:eastAsia="en-GB"/>
        </w:rPr>
        <w:t>,</w:t>
      </w:r>
      <w:r w:rsidR="006F536B" w:rsidRPr="00886C07">
        <w:rPr>
          <w:color w:val="000000"/>
          <w:lang w:eastAsia="en-GB"/>
        </w:rPr>
        <w:t xml:space="preserve"> liv</w:t>
      </w:r>
      <w:r w:rsidR="00AA228C" w:rsidRPr="00886C07">
        <w:rPr>
          <w:color w:val="000000"/>
          <w:lang w:eastAsia="en-GB"/>
        </w:rPr>
        <w:t>ing</w:t>
      </w:r>
      <w:r w:rsidR="006F536B" w:rsidRPr="00886C07">
        <w:rPr>
          <w:color w:val="000000"/>
          <w:lang w:eastAsia="en-GB"/>
        </w:rPr>
        <w:t xml:space="preserve"> independently</w:t>
      </w:r>
      <w:r w:rsidR="00AA228C" w:rsidRPr="00886C07">
        <w:rPr>
          <w:color w:val="000000"/>
          <w:lang w:eastAsia="en-GB"/>
        </w:rPr>
        <w:t xml:space="preserve"> was not an option</w:t>
      </w:r>
      <w:r w:rsidR="00082379" w:rsidRPr="00886C07">
        <w:rPr>
          <w:color w:val="000000"/>
          <w:lang w:eastAsia="en-GB"/>
        </w:rPr>
        <w:t>. The CTO</w:t>
      </w:r>
      <w:r w:rsidR="006F536B" w:rsidRPr="00886C07">
        <w:rPr>
          <w:color w:val="000000"/>
          <w:lang w:eastAsia="en-GB"/>
        </w:rPr>
        <w:t xml:space="preserve"> </w:t>
      </w:r>
      <w:r w:rsidR="00DE039C" w:rsidRPr="00886C07">
        <w:rPr>
          <w:color w:val="000000"/>
          <w:lang w:eastAsia="en-GB"/>
        </w:rPr>
        <w:t xml:space="preserve">included a discretionary provision that QR could </w:t>
      </w:r>
      <w:r w:rsidR="006F536B" w:rsidRPr="00886C07">
        <w:rPr>
          <w:color w:val="000000"/>
          <w:lang w:eastAsia="en-GB"/>
        </w:rPr>
        <w:t xml:space="preserve">live at the ABC facility where she received treatment and care. </w:t>
      </w:r>
      <w:r w:rsidR="003F4340" w:rsidRPr="00886C07">
        <w:rPr>
          <w:i/>
        </w:rPr>
        <w:t>QR</w:t>
      </w:r>
      <w:r w:rsidR="006F536B" w:rsidRPr="00886C07">
        <w:rPr>
          <w:color w:val="000000"/>
          <w:lang w:eastAsia="en-GB"/>
        </w:rPr>
        <w:t xml:space="preserve"> did not wish to surrender her council flat as she hoped to live there again when independent living </w:t>
      </w:r>
      <w:r w:rsidR="00082379" w:rsidRPr="00886C07">
        <w:rPr>
          <w:color w:val="000000"/>
          <w:lang w:eastAsia="en-GB"/>
        </w:rPr>
        <w:t>became</w:t>
      </w:r>
      <w:r w:rsidR="006F536B" w:rsidRPr="00886C07">
        <w:rPr>
          <w:color w:val="000000"/>
          <w:lang w:eastAsia="en-GB"/>
        </w:rPr>
        <w:t xml:space="preserve"> an option</w:t>
      </w:r>
      <w:r w:rsidR="00082379" w:rsidRPr="00886C07">
        <w:rPr>
          <w:color w:val="000000"/>
          <w:lang w:eastAsia="en-GB"/>
        </w:rPr>
        <w:t xml:space="preserve"> in the future</w:t>
      </w:r>
      <w:r w:rsidR="006F536B" w:rsidRPr="00886C07">
        <w:rPr>
          <w:color w:val="000000"/>
          <w:lang w:eastAsia="en-GB"/>
        </w:rPr>
        <w:t>. She had been offered three supported living options but had not liked any of them and</w:t>
      </w:r>
      <w:r w:rsidR="005D149A" w:rsidRPr="00886C07">
        <w:rPr>
          <w:color w:val="000000"/>
          <w:lang w:eastAsia="en-GB"/>
        </w:rPr>
        <w:t>,</w:t>
      </w:r>
      <w:r w:rsidR="006F536B" w:rsidRPr="00886C07">
        <w:rPr>
          <w:color w:val="000000"/>
          <w:lang w:eastAsia="en-GB"/>
        </w:rPr>
        <w:t xml:space="preserve"> if independent living was not possible, she </w:t>
      </w:r>
      <w:r w:rsidR="005D149A" w:rsidRPr="00886C07">
        <w:rPr>
          <w:color w:val="000000"/>
          <w:lang w:eastAsia="en-GB"/>
        </w:rPr>
        <w:t xml:space="preserve">had expressed a wish to </w:t>
      </w:r>
      <w:r w:rsidR="006F536B" w:rsidRPr="00886C07">
        <w:rPr>
          <w:color w:val="000000"/>
          <w:lang w:eastAsia="en-GB"/>
        </w:rPr>
        <w:t>stay in her current placement.</w:t>
      </w:r>
      <w:r w:rsidR="00991C08" w:rsidRPr="00886C07">
        <w:rPr>
          <w:color w:val="000000"/>
          <w:lang w:eastAsia="en-GB"/>
        </w:rPr>
        <w:t xml:space="preserve"> </w:t>
      </w:r>
      <w:r w:rsidR="00F77DDD" w:rsidRPr="00886C07">
        <w:rPr>
          <w:color w:val="000000"/>
          <w:lang w:eastAsia="en-GB"/>
        </w:rPr>
        <w:t>Again, e</w:t>
      </w:r>
      <w:r w:rsidR="00E5098A" w:rsidRPr="00886C07">
        <w:rPr>
          <w:color w:val="000000"/>
          <w:lang w:eastAsia="en-GB"/>
        </w:rPr>
        <w:t xml:space="preserve">vidence on lack of insight appears to have </w:t>
      </w:r>
      <w:r w:rsidR="001243AA" w:rsidRPr="00886C07">
        <w:rPr>
          <w:color w:val="000000"/>
          <w:lang w:eastAsia="en-GB"/>
        </w:rPr>
        <w:t xml:space="preserve">played a substantial role in determining </w:t>
      </w:r>
      <w:r w:rsidR="003F4340" w:rsidRPr="00886C07">
        <w:rPr>
          <w:i/>
        </w:rPr>
        <w:t>QR</w:t>
      </w:r>
      <w:r w:rsidR="001243AA" w:rsidRPr="00886C07">
        <w:rPr>
          <w:color w:val="000000"/>
          <w:lang w:eastAsia="en-GB"/>
        </w:rPr>
        <w:t>’s lack of capacity</w:t>
      </w:r>
      <w:r w:rsidR="004D4CEF" w:rsidRPr="00886C07">
        <w:rPr>
          <w:color w:val="000000"/>
          <w:lang w:eastAsia="en-GB"/>
        </w:rPr>
        <w:t xml:space="preserve"> on these issues</w:t>
      </w:r>
      <w:r w:rsidR="00E5098A" w:rsidRPr="00886C07">
        <w:rPr>
          <w:color w:val="000000"/>
          <w:lang w:eastAsia="en-GB"/>
        </w:rPr>
        <w:t xml:space="preserve">. </w:t>
      </w:r>
    </w:p>
    <w:p w:rsidR="00AA228C" w:rsidRPr="00886C07" w:rsidRDefault="003F4340" w:rsidP="00DB4883">
      <w:pPr>
        <w:spacing w:line="360" w:lineRule="auto"/>
        <w:jc w:val="both"/>
        <w:rPr>
          <w:color w:val="000000"/>
          <w:lang w:eastAsia="en-GB"/>
        </w:rPr>
      </w:pPr>
      <w:r w:rsidRPr="00886C07">
        <w:rPr>
          <w:i/>
        </w:rPr>
        <w:t>QR</w:t>
      </w:r>
      <w:r w:rsidR="00F77DDD" w:rsidRPr="00886C07">
        <w:rPr>
          <w:color w:val="000000"/>
          <w:lang w:eastAsia="en-GB"/>
        </w:rPr>
        <w:t>’s lack of insight is referenced by all three</w:t>
      </w:r>
      <w:r w:rsidR="003C401B" w:rsidRPr="00886C07">
        <w:rPr>
          <w:color w:val="000000"/>
          <w:lang w:eastAsia="en-GB"/>
        </w:rPr>
        <w:t xml:space="preserve"> consultant psychiatrists </w:t>
      </w:r>
      <w:r w:rsidR="00AE175E" w:rsidRPr="00886C07">
        <w:rPr>
          <w:color w:val="000000"/>
          <w:lang w:eastAsia="en-GB"/>
        </w:rPr>
        <w:t xml:space="preserve">(although </w:t>
      </w:r>
      <w:r w:rsidR="003C401B" w:rsidRPr="00886C07">
        <w:rPr>
          <w:color w:val="000000"/>
          <w:lang w:eastAsia="en-GB"/>
        </w:rPr>
        <w:t xml:space="preserve">one (Dr </w:t>
      </w:r>
      <w:proofErr w:type="spellStart"/>
      <w:r w:rsidR="003C401B" w:rsidRPr="00886C07">
        <w:rPr>
          <w:color w:val="000000"/>
          <w:lang w:eastAsia="en-GB"/>
        </w:rPr>
        <w:t>Akenzua</w:t>
      </w:r>
      <w:proofErr w:type="spellEnd"/>
      <w:r w:rsidR="003C401B" w:rsidRPr="00886C07">
        <w:rPr>
          <w:color w:val="000000"/>
          <w:lang w:eastAsia="en-GB"/>
        </w:rPr>
        <w:t>)</w:t>
      </w:r>
      <w:r w:rsidR="00547B1C" w:rsidRPr="00886C07">
        <w:rPr>
          <w:color w:val="000000"/>
          <w:lang w:eastAsia="en-GB"/>
        </w:rPr>
        <w:t xml:space="preserve"> took</w:t>
      </w:r>
      <w:r w:rsidR="00AE175E" w:rsidRPr="00886C07">
        <w:rPr>
          <w:color w:val="000000"/>
          <w:lang w:eastAsia="en-GB"/>
        </w:rPr>
        <w:t xml:space="preserve"> the view that </w:t>
      </w:r>
      <w:r w:rsidR="00F77DDD" w:rsidRPr="00886C07">
        <w:rPr>
          <w:color w:val="000000"/>
          <w:lang w:eastAsia="en-GB"/>
        </w:rPr>
        <w:t xml:space="preserve">this </w:t>
      </w:r>
      <w:r w:rsidR="00AE175E" w:rsidRPr="00886C07">
        <w:rPr>
          <w:color w:val="000000"/>
          <w:lang w:eastAsia="en-GB"/>
        </w:rPr>
        <w:t>lack of insight d</w:t>
      </w:r>
      <w:r w:rsidR="00547B1C" w:rsidRPr="00886C07">
        <w:rPr>
          <w:color w:val="000000"/>
          <w:lang w:eastAsia="en-GB"/>
        </w:rPr>
        <w:t>id</w:t>
      </w:r>
      <w:r w:rsidR="00AE175E" w:rsidRPr="00886C07">
        <w:rPr>
          <w:color w:val="000000"/>
          <w:lang w:eastAsia="en-GB"/>
        </w:rPr>
        <w:t xml:space="preserve"> not prevent her </w:t>
      </w:r>
      <w:r w:rsidR="00DB4250" w:rsidRPr="00886C07">
        <w:rPr>
          <w:color w:val="000000"/>
          <w:lang w:eastAsia="en-GB"/>
        </w:rPr>
        <w:t xml:space="preserve">from </w:t>
      </w:r>
      <w:r w:rsidR="00AE175E" w:rsidRPr="00886C07">
        <w:rPr>
          <w:color w:val="000000"/>
          <w:lang w:eastAsia="en-GB"/>
        </w:rPr>
        <w:t xml:space="preserve">being able to </w:t>
      </w:r>
      <w:r w:rsidR="00547B1C" w:rsidRPr="00886C07">
        <w:rPr>
          <w:color w:val="000000"/>
          <w:lang w:eastAsia="en-GB"/>
        </w:rPr>
        <w:t>‘</w:t>
      </w:r>
      <w:r w:rsidR="00AE175E" w:rsidRPr="00886C07">
        <w:rPr>
          <w:color w:val="000000"/>
          <w:lang w:eastAsia="en-GB"/>
        </w:rPr>
        <w:t>weigh</w:t>
      </w:r>
      <w:r w:rsidR="00547B1C" w:rsidRPr="00886C07">
        <w:rPr>
          <w:color w:val="000000"/>
          <w:lang w:eastAsia="en-GB"/>
        </w:rPr>
        <w:t>’</w:t>
      </w:r>
      <w:r w:rsidR="00AE175E" w:rsidRPr="00886C07">
        <w:rPr>
          <w:color w:val="000000"/>
          <w:lang w:eastAsia="en-GB"/>
        </w:rPr>
        <w:t>)</w:t>
      </w:r>
      <w:r w:rsidR="00F77DDD" w:rsidRPr="00886C07">
        <w:rPr>
          <w:color w:val="000000"/>
          <w:lang w:eastAsia="en-GB"/>
        </w:rPr>
        <w:t>.</w:t>
      </w:r>
      <w:r w:rsidR="001243AA" w:rsidRPr="00886C07">
        <w:rPr>
          <w:color w:val="000000"/>
          <w:lang w:eastAsia="en-GB"/>
        </w:rPr>
        <w:t xml:space="preserve"> </w:t>
      </w:r>
      <w:r w:rsidRPr="00886C07">
        <w:rPr>
          <w:color w:val="000000"/>
          <w:lang w:eastAsia="en-GB"/>
        </w:rPr>
        <w:t xml:space="preserve">It was said that </w:t>
      </w:r>
      <w:r w:rsidRPr="00886C07">
        <w:rPr>
          <w:i/>
        </w:rPr>
        <w:t>QR</w:t>
      </w:r>
      <w:r w:rsidR="00E5098A" w:rsidRPr="00886C07">
        <w:rPr>
          <w:color w:val="000000"/>
          <w:lang w:eastAsia="en-GB"/>
        </w:rPr>
        <w:t xml:space="preserve"> </w:t>
      </w:r>
      <w:r w:rsidR="007D406D" w:rsidRPr="00886C07">
        <w:rPr>
          <w:color w:val="000000"/>
          <w:lang w:eastAsia="en-GB"/>
        </w:rPr>
        <w:t>‘</w:t>
      </w:r>
      <w:r w:rsidR="00E5098A" w:rsidRPr="00886C07">
        <w:rPr>
          <w:color w:val="000000"/>
          <w:lang w:eastAsia="en-GB"/>
        </w:rPr>
        <w:t xml:space="preserve">lacked insight into her </w:t>
      </w:r>
      <w:r w:rsidR="007D406D" w:rsidRPr="00886C07">
        <w:rPr>
          <w:color w:val="000000"/>
          <w:lang w:eastAsia="en-GB"/>
        </w:rPr>
        <w:t>condition’ (</w:t>
      </w:r>
      <w:r w:rsidR="00E5098A" w:rsidRPr="00886C07">
        <w:rPr>
          <w:color w:val="000000"/>
          <w:lang w:eastAsia="en-GB"/>
        </w:rPr>
        <w:t>schizophrenia</w:t>
      </w:r>
      <w:r w:rsidR="007D406D" w:rsidRPr="00886C07">
        <w:rPr>
          <w:color w:val="000000"/>
          <w:lang w:eastAsia="en-GB"/>
        </w:rPr>
        <w:t>)</w:t>
      </w:r>
      <w:r w:rsidR="00E5098A" w:rsidRPr="00886C07">
        <w:rPr>
          <w:color w:val="000000"/>
          <w:lang w:eastAsia="en-GB"/>
        </w:rPr>
        <w:t>, including the need to take medication</w:t>
      </w:r>
      <w:r w:rsidR="007D406D" w:rsidRPr="00886C07">
        <w:rPr>
          <w:color w:val="000000"/>
          <w:lang w:eastAsia="en-GB"/>
        </w:rPr>
        <w:t xml:space="preserve">. </w:t>
      </w:r>
      <w:r w:rsidR="00E5098A" w:rsidRPr="00886C07">
        <w:rPr>
          <w:color w:val="000000"/>
          <w:lang w:eastAsia="en-GB"/>
        </w:rPr>
        <w:t xml:space="preserve">The judge concluded: </w:t>
      </w:r>
    </w:p>
    <w:p w:rsidR="00E5098A" w:rsidRPr="00886C07" w:rsidRDefault="00E5098A" w:rsidP="00DB4883">
      <w:pPr>
        <w:spacing w:line="360" w:lineRule="auto"/>
        <w:ind w:left="397" w:right="397"/>
        <w:jc w:val="both"/>
      </w:pPr>
      <w:r w:rsidRPr="00886C07">
        <w:rPr>
          <w:i/>
          <w:color w:val="000000"/>
          <w:lang w:eastAsia="en-GB"/>
        </w:rPr>
        <w:t>‘</w:t>
      </w:r>
      <w:r w:rsidRPr="00886C07">
        <w:rPr>
          <w:i/>
        </w:rPr>
        <w:t>While she was aware that IAOT were proposing the move because it would provide a less restrictive environment for her, QR did not appear to attach weight to that aspect. She objected to 24 hour support as being regimented, like boarding school and denying her the privacy and indepen</w:t>
      </w:r>
      <w:r w:rsidR="00F77DDD" w:rsidRPr="00886C07">
        <w:rPr>
          <w:i/>
        </w:rPr>
        <w:t>dence that she seeks.’</w:t>
      </w:r>
      <w:r w:rsidR="00AA228C" w:rsidRPr="00886C07">
        <w:rPr>
          <w:rStyle w:val="FootnoteReference"/>
          <w:i/>
        </w:rPr>
        <w:footnoteReference w:id="61"/>
      </w:r>
      <w:r w:rsidR="00F77DDD" w:rsidRPr="00886C07">
        <w:t xml:space="preserve"> </w:t>
      </w:r>
    </w:p>
    <w:p w:rsidR="00A33199" w:rsidRPr="00886C07" w:rsidRDefault="005D149A" w:rsidP="00DB4883">
      <w:pPr>
        <w:spacing w:line="360" w:lineRule="auto"/>
        <w:jc w:val="both"/>
      </w:pPr>
      <w:r w:rsidRPr="00886C07">
        <w:t xml:space="preserve">The issue of </w:t>
      </w:r>
      <w:r w:rsidR="003F4340" w:rsidRPr="00886C07">
        <w:rPr>
          <w:i/>
        </w:rPr>
        <w:t>QR</w:t>
      </w:r>
      <w:r w:rsidRPr="00886C07">
        <w:t xml:space="preserve">’s insight seems to have muddied the waters in terms of applying the </w:t>
      </w:r>
      <w:r w:rsidR="00550ACC" w:rsidRPr="00886C07">
        <w:t xml:space="preserve">statutory test </w:t>
      </w:r>
      <w:r w:rsidR="00D84984" w:rsidRPr="00886C07">
        <w:t>for in</w:t>
      </w:r>
      <w:r w:rsidRPr="00886C07">
        <w:t xml:space="preserve">capacity. </w:t>
      </w:r>
      <w:r w:rsidR="003F4340" w:rsidRPr="00886C07">
        <w:rPr>
          <w:i/>
        </w:rPr>
        <w:t>QR</w:t>
      </w:r>
      <w:r w:rsidR="00DB202C" w:rsidRPr="00886C07">
        <w:t>’s</w:t>
      </w:r>
      <w:r w:rsidR="00B36A7D" w:rsidRPr="00886C07">
        <w:t xml:space="preserve"> insight deficit, namely her lack of </w:t>
      </w:r>
      <w:r w:rsidR="00CF01A2" w:rsidRPr="00886C07">
        <w:t>belief in the diagnosis of schizophrenia</w:t>
      </w:r>
      <w:r w:rsidR="00B36A7D" w:rsidRPr="00886C07">
        <w:t>,</w:t>
      </w:r>
      <w:r w:rsidR="00CF01A2" w:rsidRPr="00886C07">
        <w:t xml:space="preserve"> was </w:t>
      </w:r>
      <w:r w:rsidR="00CF01A2" w:rsidRPr="00886C07">
        <w:lastRenderedPageBreak/>
        <w:t xml:space="preserve">central to the decision that </w:t>
      </w:r>
      <w:r w:rsidR="00DB202C" w:rsidRPr="00886C07">
        <w:t>she</w:t>
      </w:r>
      <w:r w:rsidR="00CF01A2" w:rsidRPr="00886C07">
        <w:t xml:space="preserve"> lacked capacity. The court </w:t>
      </w:r>
      <w:r w:rsidR="007E3E83" w:rsidRPr="00886C07">
        <w:t xml:space="preserve">accepted the opinion of Dr </w:t>
      </w:r>
      <w:proofErr w:type="spellStart"/>
      <w:r w:rsidR="007E3E83" w:rsidRPr="00886C07">
        <w:t>Killaspy</w:t>
      </w:r>
      <w:proofErr w:type="spellEnd"/>
      <w:r w:rsidR="005E2427" w:rsidRPr="00886C07">
        <w:t>, consultant psychiatrist,</w:t>
      </w:r>
      <w:r w:rsidR="007E3E83" w:rsidRPr="00886C07">
        <w:t xml:space="preserve"> who regarded insight into illness as central to </w:t>
      </w:r>
      <w:r w:rsidR="003F4340" w:rsidRPr="00886C07">
        <w:rPr>
          <w:i/>
        </w:rPr>
        <w:t>QR</w:t>
      </w:r>
      <w:r w:rsidR="007E3E83" w:rsidRPr="00886C07">
        <w:t xml:space="preserve">’s capacity to make </w:t>
      </w:r>
      <w:r w:rsidR="00082379" w:rsidRPr="00886C07">
        <w:t xml:space="preserve">a </w:t>
      </w:r>
      <w:r w:rsidR="007E3E83" w:rsidRPr="00886C07">
        <w:t xml:space="preserve">decision. The judgment </w:t>
      </w:r>
      <w:r w:rsidR="00726315" w:rsidRPr="00886C07">
        <w:t xml:space="preserve">went on to </w:t>
      </w:r>
      <w:r w:rsidR="007E3E83" w:rsidRPr="00886C07">
        <w:t>adopt</w:t>
      </w:r>
      <w:r w:rsidR="00CF01A2" w:rsidRPr="00886C07">
        <w:t xml:space="preserve"> the eight items of ‘relevant information’ set out in Dr </w:t>
      </w:r>
      <w:proofErr w:type="spellStart"/>
      <w:r w:rsidR="00CF01A2" w:rsidRPr="00886C07">
        <w:t>Killaspy’s</w:t>
      </w:r>
      <w:proofErr w:type="spellEnd"/>
      <w:r w:rsidR="00CF01A2" w:rsidRPr="00886C07">
        <w:t xml:space="preserve"> evidence which P </w:t>
      </w:r>
      <w:r w:rsidR="007E3E83" w:rsidRPr="00886C07">
        <w:t>needed</w:t>
      </w:r>
      <w:r w:rsidR="00CF01A2" w:rsidRPr="00886C07">
        <w:t xml:space="preserve"> to understand</w:t>
      </w:r>
      <w:r w:rsidR="007E3E83" w:rsidRPr="00886C07">
        <w:t xml:space="preserve"> in order</w:t>
      </w:r>
      <w:r w:rsidR="00CF01A2" w:rsidRPr="00886C07">
        <w:t xml:space="preserve"> to have capacity to sign a supported tenancy agreement.</w:t>
      </w:r>
      <w:r w:rsidR="00B36A7D" w:rsidRPr="00886C07">
        <w:rPr>
          <w:rStyle w:val="FootnoteReference"/>
        </w:rPr>
        <w:footnoteReference w:id="62"/>
      </w:r>
      <w:r w:rsidR="00CF01A2" w:rsidRPr="00886C07">
        <w:t xml:space="preserve"> </w:t>
      </w:r>
      <w:r w:rsidR="00A33199" w:rsidRPr="00886C07">
        <w:t xml:space="preserve">As </w:t>
      </w:r>
      <w:r w:rsidR="003F4340" w:rsidRPr="00886C07">
        <w:rPr>
          <w:i/>
        </w:rPr>
        <w:t>QR</w:t>
      </w:r>
      <w:r w:rsidR="00CF01A2" w:rsidRPr="00886C07">
        <w:t xml:space="preserve"> did not understand that </w:t>
      </w:r>
      <w:r w:rsidR="00B36A7D" w:rsidRPr="00886C07">
        <w:t xml:space="preserve">she was </w:t>
      </w:r>
      <w:r w:rsidR="00CF01A2" w:rsidRPr="00886C07">
        <w:t>‘</w:t>
      </w:r>
      <w:r w:rsidR="00B36A7D" w:rsidRPr="00886C07">
        <w:t>…</w:t>
      </w:r>
      <w:r w:rsidR="00CF01A2" w:rsidRPr="00886C07">
        <w:rPr>
          <w:color w:val="000000"/>
        </w:rPr>
        <w:t xml:space="preserve"> required to live in 24 hour supported accommodation because of her mental illness and this is why she has to sign a supported tenancy agreement</w:t>
      </w:r>
      <w:r w:rsidR="007E3E83" w:rsidRPr="00886C07">
        <w:rPr>
          <w:color w:val="000000"/>
        </w:rPr>
        <w:t>,</w:t>
      </w:r>
      <w:r w:rsidR="00B36A7D" w:rsidRPr="00886C07">
        <w:rPr>
          <w:color w:val="000000"/>
        </w:rPr>
        <w:t>’</w:t>
      </w:r>
      <w:r w:rsidR="00B36A7D" w:rsidRPr="00886C07">
        <w:rPr>
          <w:rStyle w:val="FootnoteReference"/>
          <w:color w:val="000000"/>
        </w:rPr>
        <w:footnoteReference w:id="63"/>
      </w:r>
      <w:r w:rsidR="00CF01A2" w:rsidRPr="00886C07">
        <w:t xml:space="preserve"> </w:t>
      </w:r>
      <w:r w:rsidR="007E3E83" w:rsidRPr="00886C07">
        <w:t>c</w:t>
      </w:r>
      <w:r w:rsidR="00082379" w:rsidRPr="00886C07">
        <w:t>onsequently, she c</w:t>
      </w:r>
      <w:r w:rsidR="00B36A7D" w:rsidRPr="00886C07">
        <w:t xml:space="preserve">ould not understand the nature and </w:t>
      </w:r>
      <w:r w:rsidR="00B36A7D" w:rsidRPr="00886C07">
        <w:rPr>
          <w:i/>
        </w:rPr>
        <w:t>purpose</w:t>
      </w:r>
      <w:r w:rsidR="00B36A7D" w:rsidRPr="00886C07">
        <w:t xml:space="preserve"> of that tenancy agreement (i.e. provision of 24 hour support and oversight of medication).</w:t>
      </w:r>
      <w:r w:rsidR="00B36A7D" w:rsidRPr="00886C07">
        <w:rPr>
          <w:rStyle w:val="FootnoteReference"/>
        </w:rPr>
        <w:footnoteReference w:id="64"/>
      </w:r>
      <w:r w:rsidR="00B36A7D" w:rsidRPr="00886C07">
        <w:t xml:space="preserve"> Yet this was a woman of considerable intelligence whose litigation capacity was not doubted and there was nothing in the judgment to suggest that she did not ‘understand’ that the purposes behind a supported living agreement were protection, supervision and treatment. The fact that she was not in </w:t>
      </w:r>
      <w:r w:rsidR="00B36A7D" w:rsidRPr="00886C07">
        <w:rPr>
          <w:i/>
        </w:rPr>
        <w:t xml:space="preserve">agreement </w:t>
      </w:r>
      <w:r w:rsidR="00B36A7D" w:rsidRPr="00886C07">
        <w:t xml:space="preserve">with those purposes did not prevent her from </w:t>
      </w:r>
      <w:r w:rsidR="00151B28" w:rsidRPr="00886C07">
        <w:t>‘</w:t>
      </w:r>
      <w:r w:rsidR="00B36A7D" w:rsidRPr="00886C07">
        <w:t>understanding</w:t>
      </w:r>
      <w:r w:rsidR="00151B28" w:rsidRPr="00886C07">
        <w:t>’ them</w:t>
      </w:r>
      <w:r w:rsidR="00DE039C" w:rsidRPr="00886C07">
        <w:t>, or indeed from using or weighing them</w:t>
      </w:r>
      <w:r w:rsidR="00151B28" w:rsidRPr="00886C07">
        <w:t xml:space="preserve">. </w:t>
      </w:r>
      <w:r w:rsidR="00DB202C" w:rsidRPr="00886C07">
        <w:t>It is arguable that a</w:t>
      </w:r>
      <w:r w:rsidR="00151B28" w:rsidRPr="00886C07">
        <w:t xml:space="preserve">ll </w:t>
      </w:r>
      <w:r w:rsidR="003F4340" w:rsidRPr="00886C07">
        <w:rPr>
          <w:i/>
        </w:rPr>
        <w:t>QR</w:t>
      </w:r>
      <w:r w:rsidR="00151B28" w:rsidRPr="00886C07">
        <w:t xml:space="preserve"> needed to </w:t>
      </w:r>
      <w:r w:rsidR="008920E0" w:rsidRPr="00886C07">
        <w:t>‘</w:t>
      </w:r>
      <w:r w:rsidR="00151B28" w:rsidRPr="00886C07">
        <w:t>understand</w:t>
      </w:r>
      <w:r w:rsidR="008920E0" w:rsidRPr="00886C07">
        <w:t>’</w:t>
      </w:r>
      <w:r w:rsidR="00151B28" w:rsidRPr="00886C07">
        <w:t xml:space="preserve"> were the reasonably foreseeable consequences of refusing the supported tenancy, and</w:t>
      </w:r>
      <w:r w:rsidR="00DE039C" w:rsidRPr="00886C07">
        <w:t>,</w:t>
      </w:r>
      <w:r w:rsidR="00151B28" w:rsidRPr="00886C07">
        <w:t xml:space="preserve"> given that independent living was not an option, it is hard to see that the risk of not taking medication was engaged by refusing the tenancies being offer</w:t>
      </w:r>
      <w:r w:rsidR="003F4340" w:rsidRPr="00886C07">
        <w:t xml:space="preserve">ed. The finding that </w:t>
      </w:r>
      <w:r w:rsidR="003F4340" w:rsidRPr="00886C07">
        <w:rPr>
          <w:i/>
        </w:rPr>
        <w:t>QR</w:t>
      </w:r>
      <w:r w:rsidR="00B36A7D" w:rsidRPr="00886C07">
        <w:t xml:space="preserve"> did not have capacity to sign up/refuse to sign up to the tenancy because she did not believe she was ill in this case, comes very close to </w:t>
      </w:r>
      <w:proofErr w:type="spellStart"/>
      <w:r w:rsidR="00B36A7D" w:rsidRPr="00886C07">
        <w:t>pathologising</w:t>
      </w:r>
      <w:proofErr w:type="spellEnd"/>
      <w:r w:rsidR="00B36A7D" w:rsidRPr="00886C07">
        <w:t xml:space="preserve"> </w:t>
      </w:r>
      <w:r w:rsidR="003F4340" w:rsidRPr="00886C07">
        <w:rPr>
          <w:i/>
        </w:rPr>
        <w:t>QR</w:t>
      </w:r>
      <w:r w:rsidR="00B36A7D" w:rsidRPr="00886C07">
        <w:t>’s disagreement with the local authority’s view of her best interests.</w:t>
      </w:r>
    </w:p>
    <w:p w:rsidR="00A33199" w:rsidRPr="00886C07" w:rsidRDefault="00A33199" w:rsidP="00DB4883">
      <w:pPr>
        <w:spacing w:line="360" w:lineRule="auto"/>
        <w:jc w:val="both"/>
      </w:pPr>
      <w:r w:rsidRPr="00886C07">
        <w:t xml:space="preserve">Another of the unsettling features of the outcome in </w:t>
      </w:r>
      <w:r w:rsidRPr="00886C07">
        <w:rPr>
          <w:i/>
        </w:rPr>
        <w:t xml:space="preserve">QR </w:t>
      </w:r>
      <w:r w:rsidRPr="00886C07">
        <w:t xml:space="preserve">is the recognition in the evidence that even if she had shown ‘insight’ as to her schizophrenia and her need for medication, her decision would probably not have been any different. </w:t>
      </w:r>
      <w:r w:rsidR="00DB202C" w:rsidRPr="00886C07">
        <w:t xml:space="preserve">In fact </w:t>
      </w:r>
      <w:r w:rsidR="003F4340" w:rsidRPr="00886C07">
        <w:rPr>
          <w:i/>
        </w:rPr>
        <w:t>QR</w:t>
      </w:r>
      <w:r w:rsidRPr="00886C07">
        <w:t xml:space="preserve"> had expressed rational reasons for wanting to stay in her current accommodation if independent living was not</w:t>
      </w:r>
      <w:r w:rsidR="00082379" w:rsidRPr="00886C07">
        <w:t xml:space="preserve"> feasible</w:t>
      </w:r>
      <w:r w:rsidRPr="00886C07">
        <w:t xml:space="preserve">: </w:t>
      </w:r>
    </w:p>
    <w:p w:rsidR="00A33199" w:rsidRPr="00886C07" w:rsidRDefault="00A33199" w:rsidP="00DB4883">
      <w:pPr>
        <w:spacing w:line="360" w:lineRule="auto"/>
        <w:ind w:left="284" w:right="284"/>
        <w:jc w:val="both"/>
        <w:rPr>
          <w:i/>
          <w:color w:val="000000"/>
        </w:rPr>
      </w:pPr>
      <w:r w:rsidRPr="00886C07">
        <w:rPr>
          <w:i/>
        </w:rPr>
        <w:t>‘</w:t>
      </w:r>
      <w:bookmarkStart w:id="9" w:name="para106"/>
      <w:r w:rsidRPr="00886C07">
        <w:rPr>
          <w:i/>
          <w:color w:val="000000"/>
        </w:rPr>
        <w:t xml:space="preserve">She has a number of reservations about the supported living options which have been offered to her which would be shared by any woman: fear of being unsafe in a particular area, fear of being unsafe in relation to other tenants generally and in view of their mental health histories, anxiety when having to face a group of male workers. Dr K acknowledged that QR is sensitive to her vulnerability to sexual violence for good reason and that IAOT take that seriously. She </w:t>
      </w:r>
      <w:r w:rsidRPr="00886C07">
        <w:rPr>
          <w:i/>
          <w:color w:val="000000"/>
        </w:rPr>
        <w:lastRenderedPageBreak/>
        <w:t>did not like aspects of all 3 options such as room size, back yard. I acknowledge that all of these are good and rational reasons for being reluctant to move somewhere.</w:t>
      </w:r>
      <w:bookmarkEnd w:id="9"/>
      <w:r w:rsidRPr="00886C07">
        <w:rPr>
          <w:i/>
          <w:color w:val="000000"/>
        </w:rPr>
        <w:t>’</w:t>
      </w:r>
      <w:r w:rsidRPr="00886C07">
        <w:rPr>
          <w:rStyle w:val="FootnoteReference"/>
          <w:i/>
          <w:color w:val="000000"/>
          <w:sz w:val="27"/>
          <w:szCs w:val="27"/>
        </w:rPr>
        <w:footnoteReference w:id="65"/>
      </w:r>
    </w:p>
    <w:p w:rsidR="00B36A7D" w:rsidRPr="00886C07" w:rsidRDefault="00DE039C" w:rsidP="00DB4883">
      <w:pPr>
        <w:spacing w:before="100" w:beforeAutospacing="1" w:after="100" w:afterAutospacing="1" w:line="360" w:lineRule="auto"/>
        <w:jc w:val="both"/>
      </w:pPr>
      <w:r w:rsidRPr="00886C07">
        <w:t>There are</w:t>
      </w:r>
      <w:r w:rsidR="00A33199" w:rsidRPr="00886C07">
        <w:t xml:space="preserve"> other cases where there </w:t>
      </w:r>
      <w:r w:rsidR="00082379" w:rsidRPr="00886C07">
        <w:t>has been</w:t>
      </w:r>
      <w:r w:rsidR="00A33199" w:rsidRPr="00886C07">
        <w:t xml:space="preserve"> evidence that</w:t>
      </w:r>
      <w:r w:rsidRPr="00886C07">
        <w:t>,</w:t>
      </w:r>
      <w:r w:rsidR="00A33199" w:rsidRPr="00886C07">
        <w:t xml:space="preserve"> if </w:t>
      </w:r>
      <w:r w:rsidR="003F4340" w:rsidRPr="00886C07">
        <w:t>P</w:t>
      </w:r>
      <w:r w:rsidR="00A33199" w:rsidRPr="00886C07">
        <w:t>’s impairment w</w:t>
      </w:r>
      <w:r w:rsidR="003F4340" w:rsidRPr="00886C07">
        <w:t>as</w:t>
      </w:r>
      <w:r w:rsidR="00A33199" w:rsidRPr="00886C07">
        <w:t xml:space="preserve"> removed from the equation</w:t>
      </w:r>
      <w:r w:rsidRPr="00886C07">
        <w:t>,</w:t>
      </w:r>
      <w:r w:rsidR="00A33199" w:rsidRPr="00886C07">
        <w:t xml:space="preserve"> P would still have coherent reasons for their decision unrelated to any impairment or disturbance</w:t>
      </w:r>
      <w:r w:rsidRPr="00886C07">
        <w:t xml:space="preserve">. In these cases </w:t>
      </w:r>
      <w:r w:rsidR="00A33199" w:rsidRPr="00886C07">
        <w:t xml:space="preserve">this </w:t>
      </w:r>
      <w:r w:rsidR="00082379" w:rsidRPr="00886C07">
        <w:t xml:space="preserve">fact </w:t>
      </w:r>
      <w:r w:rsidR="00A33199" w:rsidRPr="00886C07">
        <w:t>seems to be treated as a good indicator that P has capacity.</w:t>
      </w:r>
      <w:r w:rsidR="00A33199" w:rsidRPr="00886C07">
        <w:rPr>
          <w:rStyle w:val="FootnoteReference"/>
        </w:rPr>
        <w:footnoteReference w:id="66"/>
      </w:r>
      <w:r w:rsidR="00A33199" w:rsidRPr="00886C07">
        <w:t xml:space="preserve"> For example, in </w:t>
      </w:r>
      <w:r w:rsidR="00A33199" w:rsidRPr="00886C07">
        <w:rPr>
          <w:i/>
        </w:rPr>
        <w:t>Re SB</w:t>
      </w:r>
      <w:r w:rsidR="00A33199" w:rsidRPr="00886C07">
        <w:rPr>
          <w:rStyle w:val="FootnoteReference"/>
          <w:i/>
        </w:rPr>
        <w:footnoteReference w:id="67"/>
      </w:r>
      <w:r w:rsidR="00A33199" w:rsidRPr="00886C07">
        <w:t>, capacity to consent to a termination of pregnancy was established notwithstanding a diagnosis of bipolar disorder</w:t>
      </w:r>
      <w:r w:rsidR="00082379" w:rsidRPr="00886C07">
        <w:t>, a condition</w:t>
      </w:r>
      <w:r w:rsidR="00A33199" w:rsidRPr="00886C07">
        <w:t xml:space="preserve"> accompanied by some delusional beliefs about her husband and mother. The factor which ‘weighed most significantly’ with Justice Holman was that </w:t>
      </w:r>
      <w:r w:rsidR="00A33199" w:rsidRPr="00886C07">
        <w:rPr>
          <w:i/>
        </w:rPr>
        <w:t xml:space="preserve">SB </w:t>
      </w:r>
      <w:r w:rsidR="00A33199" w:rsidRPr="00886C07">
        <w:t xml:space="preserve">had expressed ‘a range of rational reasons’ for her decision to </w:t>
      </w:r>
      <w:r w:rsidR="00082379" w:rsidRPr="00886C07">
        <w:t xml:space="preserve">terminate her </w:t>
      </w:r>
      <w:r w:rsidR="00A33199" w:rsidRPr="00886C07">
        <w:t>pregnancy which were independent of any delusions.</w:t>
      </w:r>
      <w:r w:rsidR="00A33199" w:rsidRPr="00886C07">
        <w:rPr>
          <w:rStyle w:val="FootnoteReference"/>
        </w:rPr>
        <w:footnoteReference w:id="68"/>
      </w:r>
      <w:r w:rsidR="00A33199" w:rsidRPr="00886C07">
        <w:t xml:space="preserve"> </w:t>
      </w:r>
      <w:r w:rsidR="00B36A7D" w:rsidRPr="00886C07">
        <w:t xml:space="preserve"> </w:t>
      </w:r>
      <w:r w:rsidR="00A33199" w:rsidRPr="00886C07">
        <w:t xml:space="preserve">This distinction from the approach endorsed in </w:t>
      </w:r>
      <w:r w:rsidR="00A33199" w:rsidRPr="00886C07">
        <w:rPr>
          <w:i/>
        </w:rPr>
        <w:t xml:space="preserve">SB </w:t>
      </w:r>
      <w:r w:rsidR="00DB202C" w:rsidRPr="00886C07">
        <w:t>underscores the fact that the importance attached to insight may have distorted the line of reasoning in th</w:t>
      </w:r>
      <w:r w:rsidR="008920E0" w:rsidRPr="00886C07">
        <w:t xml:space="preserve">e </w:t>
      </w:r>
      <w:r w:rsidR="008920E0" w:rsidRPr="00886C07">
        <w:rPr>
          <w:i/>
        </w:rPr>
        <w:t>QR</w:t>
      </w:r>
      <w:r w:rsidR="008920E0" w:rsidRPr="00886C07">
        <w:t xml:space="preserve"> judgment</w:t>
      </w:r>
      <w:r w:rsidR="00A33199" w:rsidRPr="00886C07">
        <w:t xml:space="preserve">. </w:t>
      </w:r>
      <w:r w:rsidR="001559DB" w:rsidRPr="00886C07">
        <w:t xml:space="preserve">The </w:t>
      </w:r>
      <w:r w:rsidR="001559DB" w:rsidRPr="00886C07">
        <w:rPr>
          <w:i/>
        </w:rPr>
        <w:t xml:space="preserve">QR </w:t>
      </w:r>
      <w:r w:rsidR="001559DB" w:rsidRPr="00886C07">
        <w:t>case also provides an example of the pre-MCA criterion of ‘belief’ resurfacing</w:t>
      </w:r>
      <w:r w:rsidR="00DA284C">
        <w:t xml:space="preserve"> and demonstrates its problematic nature</w:t>
      </w:r>
      <w:r w:rsidR="001559DB" w:rsidRPr="00886C07">
        <w:t xml:space="preserve">. </w:t>
      </w:r>
    </w:p>
    <w:p w:rsidR="005C256C" w:rsidRPr="00886C07" w:rsidRDefault="00650DA3" w:rsidP="00650DA3">
      <w:pPr>
        <w:spacing w:line="360" w:lineRule="auto"/>
        <w:jc w:val="center"/>
        <w:rPr>
          <w:i/>
        </w:rPr>
      </w:pPr>
      <w:r w:rsidRPr="00886C07">
        <w:rPr>
          <w:i/>
        </w:rPr>
        <w:t>E. IMPORTING THE LANGUAGE OF INSIGHT: EXPLORING IMPLICATIONS FOR CAPACITY ASSESSMENT IN THE COP</w:t>
      </w:r>
    </w:p>
    <w:p w:rsidR="00EE11D9" w:rsidRPr="00886C07" w:rsidRDefault="00DB202C" w:rsidP="00DB4883">
      <w:pPr>
        <w:spacing w:line="360" w:lineRule="auto"/>
        <w:jc w:val="both"/>
        <w:rPr>
          <w:szCs w:val="24"/>
        </w:rPr>
      </w:pPr>
      <w:r w:rsidRPr="00886C07">
        <w:t xml:space="preserve">How much does </w:t>
      </w:r>
      <w:r w:rsidR="00EE11D9" w:rsidRPr="00886C07">
        <w:t>it matter if the language of insight and compliance is allowed to flourish in expert evidence on capacity assessment? There are a number of implications of the law endorsing the use of this language in the course of court judgments; s</w:t>
      </w:r>
      <w:r w:rsidR="00EE11D9" w:rsidRPr="00886C07">
        <w:rPr>
          <w:szCs w:val="24"/>
        </w:rPr>
        <w:t xml:space="preserve">ome of these are problems at an operational, semantic level, </w:t>
      </w:r>
      <w:r w:rsidR="008920E0" w:rsidRPr="00886C07">
        <w:rPr>
          <w:szCs w:val="24"/>
        </w:rPr>
        <w:t xml:space="preserve">whereas </w:t>
      </w:r>
      <w:r w:rsidR="00EE11D9" w:rsidRPr="00886C07">
        <w:rPr>
          <w:szCs w:val="24"/>
        </w:rPr>
        <w:t xml:space="preserve">others </w:t>
      </w:r>
      <w:r w:rsidR="008920E0" w:rsidRPr="00886C07">
        <w:rPr>
          <w:szCs w:val="24"/>
        </w:rPr>
        <w:t>exist at an ideological level</w:t>
      </w:r>
      <w:r w:rsidR="00EE11D9" w:rsidRPr="00886C07">
        <w:rPr>
          <w:szCs w:val="24"/>
        </w:rPr>
        <w:t xml:space="preserve">. </w:t>
      </w:r>
    </w:p>
    <w:p w:rsidR="00244524" w:rsidRPr="00886C07" w:rsidRDefault="00650DA3" w:rsidP="00DB4883">
      <w:pPr>
        <w:spacing w:line="360" w:lineRule="auto"/>
        <w:jc w:val="both"/>
        <w:rPr>
          <w:i/>
        </w:rPr>
      </w:pPr>
      <w:r w:rsidRPr="00886C07">
        <w:rPr>
          <w:i/>
        </w:rPr>
        <w:t xml:space="preserve">1. </w:t>
      </w:r>
      <w:r w:rsidR="00244524" w:rsidRPr="00886C07">
        <w:rPr>
          <w:i/>
        </w:rPr>
        <w:t xml:space="preserve">Insight </w:t>
      </w:r>
      <w:r w:rsidRPr="00886C07">
        <w:rPr>
          <w:i/>
        </w:rPr>
        <w:t>and the Obscuring of Transparency in Capacity Assessment</w:t>
      </w:r>
    </w:p>
    <w:p w:rsidR="00D21A43" w:rsidRPr="00886C07" w:rsidRDefault="00EE11D9" w:rsidP="00DB4883">
      <w:pPr>
        <w:spacing w:line="360" w:lineRule="auto"/>
        <w:jc w:val="both"/>
      </w:pPr>
      <w:r w:rsidRPr="00886C07">
        <w:t xml:space="preserve">At an operational level, </w:t>
      </w:r>
      <w:r w:rsidR="008920E0" w:rsidRPr="00886C07">
        <w:t xml:space="preserve">references to </w:t>
      </w:r>
      <w:r w:rsidRPr="00886C07">
        <w:t xml:space="preserve">the concept of insight </w:t>
      </w:r>
      <w:r w:rsidR="008920E0" w:rsidRPr="00886C07">
        <w:t>compromise</w:t>
      </w:r>
      <w:r w:rsidRPr="00886C07">
        <w:t xml:space="preserve"> the </w:t>
      </w:r>
      <w:r w:rsidR="001518C5" w:rsidRPr="00886C07">
        <w:t>transparency</w:t>
      </w:r>
      <w:r w:rsidRPr="00886C07">
        <w:t xml:space="preserve"> of capacity assessment</w:t>
      </w:r>
      <w:r w:rsidR="001518C5" w:rsidRPr="00886C07">
        <w:t xml:space="preserve">. </w:t>
      </w:r>
      <w:r w:rsidR="008630AA" w:rsidRPr="00886C07">
        <w:t xml:space="preserve">As Morris asserted in the sibling context of ‘best interests’ decision making, it is vital that society can have faith in those assessments, and that the criteria being utilised by </w:t>
      </w:r>
      <w:r w:rsidR="008630AA" w:rsidRPr="00886C07">
        <w:lastRenderedPageBreak/>
        <w:t>practitioners and the judges are ‘transparent, consistent and accepted as proper.’</w:t>
      </w:r>
      <w:r w:rsidR="008630AA" w:rsidRPr="00886C07">
        <w:rPr>
          <w:rStyle w:val="FootnoteReference"/>
        </w:rPr>
        <w:footnoteReference w:id="69"/>
      </w:r>
      <w:r w:rsidR="008630AA" w:rsidRPr="00886C07">
        <w:t xml:space="preserve"> </w:t>
      </w:r>
      <w:r w:rsidR="00C231AD" w:rsidRPr="00886C07">
        <w:t>Where P stands to lose so much as a consequence of a determination that they lack capacity, the transparency of those decisions and the criteria by which they are reached is of vita</w:t>
      </w:r>
      <w:r w:rsidR="00C47FBF" w:rsidRPr="00886C07">
        <w:t>l importance. Lady Hale’s</w:t>
      </w:r>
      <w:r w:rsidR="00C231AD" w:rsidRPr="00886C07">
        <w:t xml:space="preserve"> statement in </w:t>
      </w:r>
      <w:r w:rsidR="00C231AD" w:rsidRPr="00886C07">
        <w:rPr>
          <w:i/>
        </w:rPr>
        <w:t xml:space="preserve">Dunhill v Burgin </w:t>
      </w:r>
      <w:r w:rsidR="00C47FBF" w:rsidRPr="00886C07">
        <w:t xml:space="preserve">provides a </w:t>
      </w:r>
      <w:r w:rsidR="008630AA" w:rsidRPr="00886C07">
        <w:t>useful</w:t>
      </w:r>
      <w:r w:rsidR="00C231AD" w:rsidRPr="00886C07">
        <w:t xml:space="preserve"> reminder of this: </w:t>
      </w:r>
      <w:r w:rsidR="00C231AD" w:rsidRPr="00886C07">
        <w:rPr>
          <w:color w:val="000000"/>
        </w:rPr>
        <w:t>‘people are assumed to have</w:t>
      </w:r>
      <w:r w:rsidR="00C231AD" w:rsidRPr="00886C07">
        <w:rPr>
          <w:rStyle w:val="apple-converted-space"/>
          <w:color w:val="000000"/>
        </w:rPr>
        <w:t> </w:t>
      </w:r>
      <w:r w:rsidR="00C231AD" w:rsidRPr="00886C07">
        <w:rPr>
          <w:bCs/>
          <w:color w:val="000000"/>
        </w:rPr>
        <w:t>capacity</w:t>
      </w:r>
      <w:r w:rsidR="00C231AD" w:rsidRPr="00886C07">
        <w:rPr>
          <w:rStyle w:val="apple-converted-space"/>
          <w:color w:val="000000"/>
        </w:rPr>
        <w:t> </w:t>
      </w:r>
      <w:r w:rsidR="00C231AD" w:rsidRPr="00886C07">
        <w:rPr>
          <w:color w:val="000000"/>
        </w:rPr>
        <w:t xml:space="preserve">to make their own decisions and should only be deprived of the right to do so </w:t>
      </w:r>
      <w:r w:rsidR="00C231AD" w:rsidRPr="00886C07">
        <w:rPr>
          <w:i/>
          <w:color w:val="000000"/>
        </w:rPr>
        <w:t>in clear cases</w:t>
      </w:r>
      <w:r w:rsidR="00C231AD" w:rsidRPr="00886C07">
        <w:rPr>
          <w:color w:val="000000"/>
        </w:rPr>
        <w:t>.’</w:t>
      </w:r>
      <w:r w:rsidR="00C231AD" w:rsidRPr="00886C07">
        <w:rPr>
          <w:rStyle w:val="FootnoteReference"/>
          <w:color w:val="000000"/>
        </w:rPr>
        <w:footnoteReference w:id="70"/>
      </w:r>
      <w:r w:rsidR="00C231AD" w:rsidRPr="00886C07">
        <w:rPr>
          <w:color w:val="000000"/>
        </w:rPr>
        <w:t xml:space="preserve">  </w:t>
      </w:r>
      <w:r w:rsidR="00BF09B3" w:rsidRPr="00886C07">
        <w:t>But the use of th</w:t>
      </w:r>
      <w:r w:rsidR="00DE039C" w:rsidRPr="00886C07">
        <w:t>e</w:t>
      </w:r>
      <w:r w:rsidR="00BF09B3" w:rsidRPr="00886C07">
        <w:t xml:space="preserve"> undefined and ostensibly clinical term</w:t>
      </w:r>
      <w:r w:rsidR="00DE039C" w:rsidRPr="00886C07">
        <w:t>inology of insight</w:t>
      </w:r>
      <w:r w:rsidR="00BF09B3" w:rsidRPr="00886C07">
        <w:t xml:space="preserve"> stands in the way of the law’s need for transparency. </w:t>
      </w:r>
      <w:r w:rsidR="00D21A43" w:rsidRPr="00886C07">
        <w:t>In at least t</w:t>
      </w:r>
      <w:r w:rsidR="008920E0" w:rsidRPr="00886C07">
        <w:t>wo</w:t>
      </w:r>
      <w:r w:rsidR="00D21A43" w:rsidRPr="00886C07">
        <w:t xml:space="preserve"> of the cases discussed above where insight seemed to play a major role in constructing a view that P lacked capacity, the cases could perhaps have been classed as </w:t>
      </w:r>
      <w:r w:rsidR="00BF38A6" w:rsidRPr="00886C07">
        <w:t>‘</w:t>
      </w:r>
      <w:r w:rsidR="00D21A43" w:rsidRPr="00886C07">
        <w:t>borderline</w:t>
      </w:r>
      <w:r w:rsidR="00BF38A6" w:rsidRPr="00886C07">
        <w:t>’</w:t>
      </w:r>
      <w:r w:rsidR="00D21A43" w:rsidRPr="00886C07">
        <w:t xml:space="preserve">. </w:t>
      </w:r>
      <w:r w:rsidR="00D21A43" w:rsidRPr="00886C07">
        <w:rPr>
          <w:i/>
        </w:rPr>
        <w:t>QR</w:t>
      </w:r>
      <w:r w:rsidR="00D21A43" w:rsidRPr="00886C07">
        <w:t xml:space="preserve"> had litigation capacity (but apparently no capacity to decide whether to sign a support</w:t>
      </w:r>
      <w:r w:rsidR="00244524" w:rsidRPr="00886C07">
        <w:t xml:space="preserve">ed living tenancy arrangement) </w:t>
      </w:r>
      <w:r w:rsidR="00D21A43" w:rsidRPr="00886C07">
        <w:t xml:space="preserve">and the judge in </w:t>
      </w:r>
      <w:r w:rsidR="00D21A43" w:rsidRPr="00886C07">
        <w:rPr>
          <w:i/>
        </w:rPr>
        <w:t>IA</w:t>
      </w:r>
      <w:r w:rsidR="00D21A43" w:rsidRPr="00886C07">
        <w:t>’s case described the determination of P’s capacity as ‘particularly difficult and finely balanced.’</w:t>
      </w:r>
      <w:r w:rsidR="00DE039C" w:rsidRPr="00886C07">
        <w:rPr>
          <w:rStyle w:val="FootnoteReference"/>
        </w:rPr>
        <w:footnoteReference w:id="71"/>
      </w:r>
      <w:r w:rsidR="00D21A43" w:rsidRPr="00886C07">
        <w:t xml:space="preserve"> For insight to play such a </w:t>
      </w:r>
      <w:r w:rsidR="00BF38A6" w:rsidRPr="00886C07">
        <w:t xml:space="preserve">prominent role </w:t>
      </w:r>
      <w:r w:rsidR="00D21A43" w:rsidRPr="00886C07">
        <w:t xml:space="preserve">in the expert evidence in these cases seems contrary to </w:t>
      </w:r>
      <w:proofErr w:type="spellStart"/>
      <w:r w:rsidR="00D21A43" w:rsidRPr="00886C07">
        <w:t>McCombe</w:t>
      </w:r>
      <w:proofErr w:type="spellEnd"/>
      <w:r w:rsidR="00D21A43" w:rsidRPr="00886C07">
        <w:t xml:space="preserve"> LJ’s </w:t>
      </w:r>
      <w:r w:rsidR="00EA2D21" w:rsidRPr="00886C07">
        <w:t>warning</w:t>
      </w:r>
      <w:r w:rsidR="00C47FBF" w:rsidRPr="00886C07">
        <w:t xml:space="preserve"> in </w:t>
      </w:r>
      <w:r w:rsidR="00C47FBF" w:rsidRPr="00886C07">
        <w:rPr>
          <w:i/>
        </w:rPr>
        <w:t>PC v City of York Council</w:t>
      </w:r>
      <w:r w:rsidR="00EA2D21" w:rsidRPr="00886C07">
        <w:t xml:space="preserve"> that where mental impairment has been judged as insufficient to rob P of capacity in all other fields, it is particularly important to delineate why and how that mental impairment can be causative of her inability to decide on this particular issue.</w:t>
      </w:r>
      <w:r w:rsidR="00EA2D21" w:rsidRPr="00886C07">
        <w:rPr>
          <w:rStyle w:val="FootnoteReference"/>
        </w:rPr>
        <w:footnoteReference w:id="72"/>
      </w:r>
      <w:r w:rsidR="00187AFE" w:rsidRPr="00886C07">
        <w:t xml:space="preserve"> Unless insight is clearly defined by the expert making use of the concept, that expert</w:t>
      </w:r>
      <w:r w:rsidR="00BF09B3" w:rsidRPr="00886C07">
        <w:t>’</w:t>
      </w:r>
      <w:r w:rsidR="00187AFE" w:rsidRPr="00886C07">
        <w:t xml:space="preserve">s assessment does not meet the enhanced need for transparency in these finely balanced cases. </w:t>
      </w:r>
    </w:p>
    <w:p w:rsidR="00E42177" w:rsidRPr="00886C07" w:rsidRDefault="00C231AD" w:rsidP="00DB4883">
      <w:pPr>
        <w:spacing w:line="360" w:lineRule="auto"/>
        <w:jc w:val="both"/>
      </w:pPr>
      <w:r w:rsidRPr="00886C07">
        <w:t xml:space="preserve">Some of the problems noted in </w:t>
      </w:r>
      <w:r w:rsidRPr="00886C07">
        <w:rPr>
          <w:i/>
        </w:rPr>
        <w:t>QR</w:t>
      </w:r>
      <w:r w:rsidRPr="00886C07">
        <w:t xml:space="preserve"> </w:t>
      </w:r>
      <w:r w:rsidR="008920E0" w:rsidRPr="00886C07">
        <w:t xml:space="preserve">are </w:t>
      </w:r>
      <w:proofErr w:type="spellStart"/>
      <w:r w:rsidR="008920E0" w:rsidRPr="00886C07">
        <w:t>referable</w:t>
      </w:r>
      <w:proofErr w:type="spellEnd"/>
      <w:r w:rsidR="008920E0" w:rsidRPr="00886C07">
        <w:t xml:space="preserve"> to this lack of</w:t>
      </w:r>
      <w:r w:rsidRPr="00886C07">
        <w:t xml:space="preserve"> transparency. The </w:t>
      </w:r>
      <w:r w:rsidR="008736E3" w:rsidRPr="00886C07">
        <w:t xml:space="preserve">expert </w:t>
      </w:r>
      <w:r w:rsidRPr="00886C07">
        <w:t xml:space="preserve">evidence fails to clearly map conclusions about insight onto the statutory criteria for incapacity. </w:t>
      </w:r>
      <w:r w:rsidR="00DE039C" w:rsidRPr="00886C07">
        <w:t>Does it matter i</w:t>
      </w:r>
      <w:r w:rsidRPr="00886C07">
        <w:t>f we are left unclear on whether insight is being used by the expert witness</w:t>
      </w:r>
      <w:r w:rsidR="008A7926" w:rsidRPr="00886C07">
        <w:t xml:space="preserve"> as</w:t>
      </w:r>
      <w:r w:rsidRPr="00886C07">
        <w:t xml:space="preserve"> a metaphor for P’s ‘understanding’ (under s.3(1)(a)) or the ability to ‘weigh’ th</w:t>
      </w:r>
      <w:r w:rsidR="00DE039C" w:rsidRPr="00886C07">
        <w:t>e relevant</w:t>
      </w:r>
      <w:r w:rsidRPr="00886C07">
        <w:t xml:space="preserve"> information (under s.3(1)(c)</w:t>
      </w:r>
      <w:r w:rsidR="008A7926" w:rsidRPr="00886C07">
        <w:t>)</w:t>
      </w:r>
      <w:r w:rsidRPr="00886C07">
        <w:t>? Arguably it does. Failure to map ont</w:t>
      </w:r>
      <w:r w:rsidR="00550ACC" w:rsidRPr="00886C07">
        <w:t>o the statutory test</w:t>
      </w:r>
      <w:r w:rsidRPr="00886C07">
        <w:t xml:space="preserve"> means that the expert’s assessment remains opaque and more difficult to challenge. Also, if lack of insight is being used in a generic sense to mean a lack of understanding there is a problem here too. The connotations of the ordinary usage of the word insight is a ‘deep understanding</w:t>
      </w:r>
      <w:r w:rsidR="00311D59" w:rsidRPr="00886C07">
        <w:t>,</w:t>
      </w:r>
      <w:r w:rsidRPr="00886C07">
        <w:t>’</w:t>
      </w:r>
      <w:r w:rsidRPr="00886C07">
        <w:rPr>
          <w:rStyle w:val="FootnoteReference"/>
        </w:rPr>
        <w:footnoteReference w:id="73"/>
      </w:r>
      <w:r w:rsidRPr="00886C07">
        <w:t xml:space="preserve"> which would seem to imply a more demanding standard than the law’s requirement that P should understand the rudimentary characteristics of </w:t>
      </w:r>
      <w:r w:rsidRPr="00886C07">
        <w:lastRenderedPageBreak/>
        <w:t>the decision and the salient issues</w:t>
      </w:r>
      <w:r w:rsidR="008A7926" w:rsidRPr="00886C07">
        <w:t>,</w:t>
      </w:r>
      <w:r w:rsidRPr="00886C07">
        <w:rPr>
          <w:rStyle w:val="FootnoteReference"/>
        </w:rPr>
        <w:footnoteReference w:id="74"/>
      </w:r>
      <w:r w:rsidR="00311D59" w:rsidRPr="00886C07">
        <w:t xml:space="preserve"> and conflicts with judicial insistence that the threshold for capacity should not be set too high.</w:t>
      </w:r>
      <w:r w:rsidR="00311D59" w:rsidRPr="00886C07">
        <w:rPr>
          <w:rStyle w:val="FootnoteReference"/>
        </w:rPr>
        <w:footnoteReference w:id="75"/>
      </w:r>
      <w:r w:rsidRPr="00886C07">
        <w:t xml:space="preserve"> </w:t>
      </w:r>
    </w:p>
    <w:p w:rsidR="001E5105" w:rsidRPr="00886C07" w:rsidRDefault="00650DA3" w:rsidP="00DB4883">
      <w:pPr>
        <w:spacing w:line="360" w:lineRule="auto"/>
        <w:jc w:val="both"/>
        <w:rPr>
          <w:i/>
        </w:rPr>
      </w:pPr>
      <w:r w:rsidRPr="00886C07">
        <w:rPr>
          <w:i/>
        </w:rPr>
        <w:t xml:space="preserve">2. </w:t>
      </w:r>
      <w:r w:rsidR="00244524" w:rsidRPr="00886C07">
        <w:rPr>
          <w:i/>
        </w:rPr>
        <w:t>Insight</w:t>
      </w:r>
      <w:r w:rsidRPr="00886C07">
        <w:rPr>
          <w:i/>
        </w:rPr>
        <w:t xml:space="preserve"> and </w:t>
      </w:r>
      <w:proofErr w:type="spellStart"/>
      <w:r w:rsidRPr="00886C07">
        <w:rPr>
          <w:i/>
        </w:rPr>
        <w:t>Pathologising</w:t>
      </w:r>
      <w:proofErr w:type="spellEnd"/>
      <w:r w:rsidRPr="00886C07">
        <w:rPr>
          <w:i/>
        </w:rPr>
        <w:t xml:space="preserve"> Refusal</w:t>
      </w:r>
    </w:p>
    <w:p w:rsidR="000F4339" w:rsidRPr="00886C07" w:rsidRDefault="000F4339" w:rsidP="00DB4883">
      <w:pPr>
        <w:spacing w:line="360" w:lineRule="auto"/>
        <w:jc w:val="both"/>
      </w:pPr>
      <w:r w:rsidRPr="00886C07">
        <w:t>Scholarship provides compelling examples of legal judgments where events are redefined using clinical euphemisms. The effect of such language is often reported as being to remove or neutralise the moral character of the issues at stake.</w:t>
      </w:r>
      <w:r w:rsidRPr="00886C07">
        <w:rPr>
          <w:rStyle w:val="FootnoteReference"/>
        </w:rPr>
        <w:footnoteReference w:id="76"/>
      </w:r>
      <w:r w:rsidRPr="00886C07">
        <w:t xml:space="preserve"> The substitution of explicitly ethical judgement with clinical terms brings with it certain hazards for, as Nettleton has argued, ‘medical opinion is increasingly attributed with ‘apparent </w:t>
      </w:r>
      <w:proofErr w:type="spellStart"/>
      <w:r w:rsidRPr="00886C07">
        <w:t>facticity</w:t>
      </w:r>
      <w:proofErr w:type="spellEnd"/>
      <w:r w:rsidRPr="00886C07">
        <w:t>,’ whereby value judgements are transformed into indisputable ‘facts.’</w:t>
      </w:r>
      <w:r w:rsidRPr="00886C07">
        <w:rPr>
          <w:rStyle w:val="FootnoteReference"/>
        </w:rPr>
        <w:footnoteReference w:id="77"/>
      </w:r>
      <w:r w:rsidRPr="00886C07">
        <w:t xml:space="preserve"> It is argued here that medical language has at times been imported into legal argument and judgments regarding P’s mental capacity, and that the density of this language can ‘obfuscate’ the social dimension of capacity, can cloak paternalistic assumptions and that practitioners and decision makers need to be alert to th</w:t>
      </w:r>
      <w:bookmarkStart w:id="10" w:name="_GoBack"/>
      <w:bookmarkEnd w:id="10"/>
      <w:r w:rsidRPr="00886C07">
        <w:t>e implications such language can have.</w:t>
      </w:r>
    </w:p>
    <w:p w:rsidR="00EE11D9" w:rsidRPr="00886C07" w:rsidRDefault="000F4339" w:rsidP="00DB4883">
      <w:pPr>
        <w:spacing w:line="360" w:lineRule="auto"/>
        <w:jc w:val="both"/>
        <w:rPr>
          <w:b/>
        </w:rPr>
      </w:pPr>
      <w:r w:rsidRPr="00886C07">
        <w:rPr>
          <w:szCs w:val="24"/>
        </w:rPr>
        <w:t xml:space="preserve">Bearing in mind the </w:t>
      </w:r>
      <w:r w:rsidR="00355A39" w:rsidRPr="00886C07">
        <w:rPr>
          <w:szCs w:val="24"/>
        </w:rPr>
        <w:t>potential for value judgement to masquerade as medical fact</w:t>
      </w:r>
      <w:r w:rsidRPr="00886C07">
        <w:rPr>
          <w:szCs w:val="24"/>
        </w:rPr>
        <w:t>, t</w:t>
      </w:r>
      <w:r w:rsidR="00EE11D9" w:rsidRPr="00886C07">
        <w:rPr>
          <w:szCs w:val="24"/>
        </w:rPr>
        <w:t xml:space="preserve">he deeper ideological problems </w:t>
      </w:r>
      <w:r w:rsidRPr="00886C07">
        <w:rPr>
          <w:szCs w:val="24"/>
        </w:rPr>
        <w:t xml:space="preserve">of insight </w:t>
      </w:r>
      <w:r w:rsidR="00EE11D9" w:rsidRPr="00886C07">
        <w:rPr>
          <w:szCs w:val="24"/>
        </w:rPr>
        <w:t xml:space="preserve">are </w:t>
      </w:r>
      <w:r w:rsidR="00244524" w:rsidRPr="00886C07">
        <w:rPr>
          <w:szCs w:val="24"/>
        </w:rPr>
        <w:t xml:space="preserve">rendered obvious if it is acknowledged that the </w:t>
      </w:r>
      <w:r w:rsidR="00EE11D9" w:rsidRPr="00886C07">
        <w:rPr>
          <w:szCs w:val="24"/>
        </w:rPr>
        <w:t xml:space="preserve">assessment of P’s mental capacity in difficult cases which reach the </w:t>
      </w:r>
      <w:proofErr w:type="spellStart"/>
      <w:r w:rsidR="00EE11D9" w:rsidRPr="00886C07">
        <w:rPr>
          <w:szCs w:val="24"/>
        </w:rPr>
        <w:t>CoP</w:t>
      </w:r>
      <w:proofErr w:type="spellEnd"/>
      <w:r w:rsidR="00EE11D9" w:rsidRPr="00886C07">
        <w:rPr>
          <w:szCs w:val="24"/>
        </w:rPr>
        <w:t xml:space="preserve"> is not an assessment which can or should be resolved by reference to clinical opinion alone. </w:t>
      </w:r>
      <w:r w:rsidR="00EE11D9" w:rsidRPr="00886C07">
        <w:t xml:space="preserve">Foster and </w:t>
      </w:r>
      <w:proofErr w:type="spellStart"/>
      <w:r w:rsidR="00EE11D9" w:rsidRPr="00886C07">
        <w:t>Miola</w:t>
      </w:r>
      <w:proofErr w:type="spellEnd"/>
      <w:r w:rsidR="00EE11D9" w:rsidRPr="00886C07">
        <w:t xml:space="preserve"> have recently argued that in respect of key issues in medical law where the nature of the decision is ethical, ‘the law is not just entitled but is obliged to be the final arbiter.’</w:t>
      </w:r>
      <w:r w:rsidR="00EE11D9" w:rsidRPr="00886C07">
        <w:rPr>
          <w:rStyle w:val="FootnoteReference"/>
        </w:rPr>
        <w:footnoteReference w:id="78"/>
      </w:r>
      <w:r w:rsidR="00EE11D9" w:rsidRPr="00886C07">
        <w:t xml:space="preserve"> </w:t>
      </w:r>
      <w:r w:rsidR="00DE039C" w:rsidRPr="00886C07">
        <w:t>M</w:t>
      </w:r>
      <w:r w:rsidR="00EE11D9" w:rsidRPr="00886C07">
        <w:t xml:space="preserve">ental capacity assessment </w:t>
      </w:r>
      <w:r w:rsidR="00DE039C" w:rsidRPr="00886C07">
        <w:t xml:space="preserve">surely </w:t>
      </w:r>
      <w:r w:rsidR="00EE11D9" w:rsidRPr="00886C07">
        <w:t xml:space="preserve">occupies one of these primarily ‘ethical’ domains in medical law. It is not ‘purely technical’; its place as a process which opens the door to ‘best interests’ decision making by professionals means that the issue of P’s </w:t>
      </w:r>
      <w:r w:rsidR="00EE11D9" w:rsidRPr="00886C07">
        <w:lastRenderedPageBreak/>
        <w:t>capacity will often comprise a value judgement</w:t>
      </w:r>
      <w:r w:rsidR="00EE11D9" w:rsidRPr="00886C07">
        <w:rPr>
          <w:rStyle w:val="FootnoteReference"/>
          <w:szCs w:val="24"/>
        </w:rPr>
        <w:footnoteReference w:id="79"/>
      </w:r>
      <w:r w:rsidR="00EE11D9" w:rsidRPr="00886C07">
        <w:t>, informed by the decision maker’s perspective on where the line between autonomy and best interests decisions should be drawn.</w:t>
      </w:r>
    </w:p>
    <w:p w:rsidR="008A7926" w:rsidRPr="00886C07" w:rsidRDefault="00EE11D9" w:rsidP="00DB4883">
      <w:pPr>
        <w:spacing w:line="360" w:lineRule="auto"/>
        <w:jc w:val="both"/>
      </w:pPr>
      <w:r w:rsidRPr="00886C07">
        <w:rPr>
          <w:szCs w:val="24"/>
        </w:rPr>
        <w:t>Just as the assessment of P’s best interests is not to be determined solely by reference to considerations of a medical nature</w:t>
      </w:r>
      <w:r w:rsidRPr="00886C07">
        <w:rPr>
          <w:rStyle w:val="FootnoteReference"/>
          <w:szCs w:val="24"/>
        </w:rPr>
        <w:footnoteReference w:id="80"/>
      </w:r>
      <w:r w:rsidRPr="00886C07">
        <w:rPr>
          <w:szCs w:val="24"/>
        </w:rPr>
        <w:t xml:space="preserve">, it is right that the assessment of capacity is a matter of judgement which should only be assisted </w:t>
      </w:r>
      <w:r w:rsidRPr="00886C07">
        <w:rPr>
          <w:i/>
          <w:szCs w:val="24"/>
        </w:rPr>
        <w:t>to a degree</w:t>
      </w:r>
      <w:r w:rsidRPr="00886C07">
        <w:rPr>
          <w:szCs w:val="24"/>
        </w:rPr>
        <w:t xml:space="preserve"> by the application of clinical knowledge and expertise. Whilst statute provides the ‘intellectual framework’</w:t>
      </w:r>
      <w:r w:rsidRPr="00886C07">
        <w:rPr>
          <w:rStyle w:val="FootnoteReference"/>
          <w:szCs w:val="24"/>
        </w:rPr>
        <w:footnoteReference w:id="81"/>
      </w:r>
      <w:r w:rsidRPr="00886C07">
        <w:rPr>
          <w:szCs w:val="24"/>
        </w:rPr>
        <w:t xml:space="preserve"> within which clinical assessments take place, expert witness testimony reveals that competing clinical terminology is often deployed. It is therefore crucial that when clinical language is brought to bear on the functional aspects of the legal </w:t>
      </w:r>
      <w:r w:rsidR="008913E8" w:rsidRPr="00886C07">
        <w:rPr>
          <w:szCs w:val="24"/>
        </w:rPr>
        <w:t>test for incapacity</w:t>
      </w:r>
      <w:r w:rsidRPr="00886C07">
        <w:rPr>
          <w:szCs w:val="24"/>
        </w:rPr>
        <w:t>, that its use is subjected to careful scrutiny. Failure to do so increases the risk that a refusal of treatment or care</w:t>
      </w:r>
      <w:r w:rsidR="00DE039C" w:rsidRPr="00886C07">
        <w:rPr>
          <w:szCs w:val="24"/>
        </w:rPr>
        <w:t>,</w:t>
      </w:r>
      <w:r w:rsidRPr="00886C07">
        <w:rPr>
          <w:szCs w:val="24"/>
        </w:rPr>
        <w:t xml:space="preserve"> or </w:t>
      </w:r>
      <w:proofErr w:type="spellStart"/>
      <w:r w:rsidRPr="00886C07">
        <w:rPr>
          <w:szCs w:val="24"/>
        </w:rPr>
        <w:t>unco</w:t>
      </w:r>
      <w:proofErr w:type="spellEnd"/>
      <w:r w:rsidRPr="00886C07">
        <w:rPr>
          <w:szCs w:val="24"/>
        </w:rPr>
        <w:t>-operative behaviour</w:t>
      </w:r>
      <w:r w:rsidR="00DE039C" w:rsidRPr="00886C07">
        <w:rPr>
          <w:szCs w:val="24"/>
        </w:rPr>
        <w:t>,</w:t>
      </w:r>
      <w:r w:rsidRPr="00886C07">
        <w:rPr>
          <w:szCs w:val="24"/>
        </w:rPr>
        <w:t xml:space="preserve"> are </w:t>
      </w:r>
      <w:proofErr w:type="spellStart"/>
      <w:r w:rsidRPr="00886C07">
        <w:rPr>
          <w:szCs w:val="24"/>
        </w:rPr>
        <w:t>pathologised</w:t>
      </w:r>
      <w:proofErr w:type="spellEnd"/>
      <w:r w:rsidRPr="00886C07">
        <w:rPr>
          <w:szCs w:val="24"/>
        </w:rPr>
        <w:t xml:space="preserve">, triggering the assumption that P </w:t>
      </w:r>
      <w:r w:rsidRPr="00886C07">
        <w:rPr>
          <w:i/>
          <w:szCs w:val="24"/>
        </w:rPr>
        <w:t>must</w:t>
      </w:r>
      <w:r w:rsidRPr="00886C07">
        <w:rPr>
          <w:szCs w:val="24"/>
        </w:rPr>
        <w:t xml:space="preserve"> lack capacity and robbing the statutory presumption of capacity in s.1(2) of the MCA of all meaning. </w:t>
      </w:r>
      <w:r w:rsidR="008A7926" w:rsidRPr="00886C07">
        <w:t xml:space="preserve">Where P’s refusal or non-cooperation are </w:t>
      </w:r>
      <w:proofErr w:type="spellStart"/>
      <w:r w:rsidR="008A7926" w:rsidRPr="00886C07">
        <w:t>pathologised</w:t>
      </w:r>
      <w:proofErr w:type="spellEnd"/>
      <w:r w:rsidR="008A7926" w:rsidRPr="00886C07">
        <w:t xml:space="preserve"> through the medical device of insight, this can also be said to undermine P’s right to make unwise decisions (protected by s.1(4) of the MCA) and is at odds with the statutory principle that aspects of P’s behaviour should not be equated with incapacity (s.2(3)(b)). It also threatens to displace the ethos of the statutory framework which is to assess the </w:t>
      </w:r>
      <w:r w:rsidR="008A7926" w:rsidRPr="00886C07">
        <w:rPr>
          <w:i/>
        </w:rPr>
        <w:t>procedure</w:t>
      </w:r>
      <w:r w:rsidR="008A7926" w:rsidRPr="00886C07">
        <w:t xml:space="preserve"> by which P is making decisions rather than the </w:t>
      </w:r>
      <w:r w:rsidR="008A7926" w:rsidRPr="00886C07">
        <w:rPr>
          <w:i/>
        </w:rPr>
        <w:t>content</w:t>
      </w:r>
      <w:r w:rsidR="008A7926" w:rsidRPr="00886C07">
        <w:t xml:space="preserve"> of those decisions (s.1(4) and s.2(3)(b) taken together). Finally, it contravenes the law’s insistence that capacity determination must not be contaminated by the professional view of best interests. </w:t>
      </w:r>
    </w:p>
    <w:p w:rsidR="00EE11D9" w:rsidRPr="00886C07" w:rsidRDefault="00EE11D9" w:rsidP="00DB4883">
      <w:pPr>
        <w:autoSpaceDE w:val="0"/>
        <w:autoSpaceDN w:val="0"/>
        <w:adjustRightInd w:val="0"/>
        <w:spacing w:after="0" w:line="360" w:lineRule="auto"/>
        <w:jc w:val="both"/>
        <w:rPr>
          <w:szCs w:val="24"/>
        </w:rPr>
      </w:pPr>
      <w:r w:rsidRPr="00886C07">
        <w:t xml:space="preserve">The incentives in </w:t>
      </w:r>
      <w:r w:rsidR="00063CAE" w:rsidRPr="00886C07">
        <w:t xml:space="preserve">medicine and social care </w:t>
      </w:r>
      <w:r w:rsidRPr="00886C07">
        <w:t xml:space="preserve">practice to favour approaches which </w:t>
      </w:r>
      <w:r w:rsidR="008A7926" w:rsidRPr="00886C07">
        <w:t xml:space="preserve">do have the effect of </w:t>
      </w:r>
      <w:proofErr w:type="spellStart"/>
      <w:r w:rsidRPr="00886C07">
        <w:t>pathologis</w:t>
      </w:r>
      <w:r w:rsidR="008A7926" w:rsidRPr="00886C07">
        <w:t>ing</w:t>
      </w:r>
      <w:proofErr w:type="spellEnd"/>
      <w:r w:rsidRPr="00886C07">
        <w:t xml:space="preserve"> refusal</w:t>
      </w:r>
      <w:r w:rsidR="008A7926" w:rsidRPr="00886C07">
        <w:t>s</w:t>
      </w:r>
      <w:r w:rsidRPr="00886C07">
        <w:t xml:space="preserve"> are manifold. The primary objective of medicine is the maximisation of health, and therefore any route which minimises the perceived physical risks to the patient is bound to be preferred. Practising defensively </w:t>
      </w:r>
      <w:r w:rsidR="00CF423D" w:rsidRPr="00886C07">
        <w:t>in order</w:t>
      </w:r>
      <w:r w:rsidRPr="00886C07">
        <w:t xml:space="preserve"> to minimise the risk of liability </w:t>
      </w:r>
      <w:r w:rsidR="00CF423D" w:rsidRPr="00886C07">
        <w:t xml:space="preserve">and public recrimination will also </w:t>
      </w:r>
      <w:r w:rsidRPr="00886C07">
        <w:t>point</w:t>
      </w:r>
      <w:r w:rsidR="00CF423D" w:rsidRPr="00886C07">
        <w:t xml:space="preserve"> practitioners</w:t>
      </w:r>
      <w:r w:rsidRPr="00886C07">
        <w:t xml:space="preserve"> towards options which minimise physical risks. The law is clearly partly implicated in this cost benefit analysis</w:t>
      </w:r>
      <w:r w:rsidR="00CF423D" w:rsidRPr="00886C07">
        <w:t>,</w:t>
      </w:r>
      <w:r w:rsidRPr="00886C07">
        <w:t xml:space="preserve"> as damages for allowing </w:t>
      </w:r>
      <w:r w:rsidR="00CF423D" w:rsidRPr="00886C07">
        <w:t>a</w:t>
      </w:r>
      <w:r w:rsidRPr="00886C07">
        <w:t xml:space="preserve"> patient to come to physical harm clearly far outstrip levels payable (and therefore the symbolic force of such judgments) for infringement of autonomy.</w:t>
      </w:r>
      <w:r w:rsidRPr="00886C07">
        <w:rPr>
          <w:rStyle w:val="FootnoteReference"/>
        </w:rPr>
        <w:footnoteReference w:id="82"/>
      </w:r>
      <w:r w:rsidRPr="00886C07">
        <w:t xml:space="preserve"> These are powerful incentives to take action to protect the physical health of the patient, even if that risks overriding patient autonomy. The law therefore poses a near </w:t>
      </w:r>
      <w:r w:rsidRPr="00886C07">
        <w:lastRenderedPageBreak/>
        <w:t xml:space="preserve">impossible challenge – practitioners must respect autonomy, when nearly any risk assessment will tell them that paternalism works best. </w:t>
      </w:r>
      <w:r w:rsidR="00CF423D" w:rsidRPr="00886C07">
        <w:t>It is hardly surprising then that t</w:t>
      </w:r>
      <w:r w:rsidRPr="00886C07">
        <w:t>he literature on mental capacity assessment in health and welfare cases has long identified the tendency</w:t>
      </w:r>
      <w:r w:rsidR="00CF423D" w:rsidRPr="00886C07">
        <w:t xml:space="preserve"> in some environments</w:t>
      </w:r>
      <w:r w:rsidRPr="00886C07">
        <w:t xml:space="preserve"> for capacity to only be assessed in cases of conflict and refusal.</w:t>
      </w:r>
      <w:r w:rsidRPr="00886C07">
        <w:rPr>
          <w:rStyle w:val="FootnoteReference"/>
        </w:rPr>
        <w:footnoteReference w:id="83"/>
      </w:r>
      <w:r w:rsidRPr="00886C07">
        <w:t xml:space="preserve"> In 2013 the House of Lords Select Committee on the MCA heard evidence from a number of witnesses who had concerns that assessments of capacity in medical settings were only triggered when treatment was being refused.</w:t>
      </w:r>
      <w:r w:rsidRPr="00886C07">
        <w:rPr>
          <w:rStyle w:val="FootnoteReference"/>
        </w:rPr>
        <w:footnoteReference w:id="84"/>
      </w:r>
      <w:r w:rsidRPr="00886C07">
        <w:t xml:space="preserve"> A </w:t>
      </w:r>
      <w:r w:rsidR="00CF423D" w:rsidRPr="00886C07">
        <w:t>2013</w:t>
      </w:r>
      <w:r w:rsidRPr="00886C07">
        <w:t xml:space="preserve"> study of mental capacity assessment in </w:t>
      </w:r>
      <w:r w:rsidR="00CF423D" w:rsidRPr="00886C07">
        <w:t xml:space="preserve">UK </w:t>
      </w:r>
      <w:r w:rsidRPr="00886C07">
        <w:t>hospitals also raised the concern that most assessments were the product of a patient refusing treatment</w:t>
      </w:r>
      <w:r w:rsidRPr="00886C07">
        <w:rPr>
          <w:rStyle w:val="FootnoteReference"/>
        </w:rPr>
        <w:footnoteReference w:id="85"/>
      </w:r>
      <w:r w:rsidRPr="00886C07">
        <w:t xml:space="preserve"> and research has suggested that persons refusing to accept a placement in a nursing or care home are often assumed to lack capacity by reason of their refusal alone.</w:t>
      </w:r>
      <w:r w:rsidRPr="00886C07">
        <w:rPr>
          <w:rStyle w:val="FootnoteReference"/>
        </w:rPr>
        <w:footnoteReference w:id="86"/>
      </w:r>
      <w:r w:rsidRPr="00886C07">
        <w:t xml:space="preserve"> </w:t>
      </w:r>
      <w:r w:rsidR="00125660" w:rsidRPr="00886C07">
        <w:t xml:space="preserve">Further corroborative findings are to be found in  </w:t>
      </w:r>
      <w:r w:rsidR="00125660" w:rsidRPr="00886C07">
        <w:rPr>
          <w:i/>
        </w:rPr>
        <w:t xml:space="preserve">Homeward Bound </w:t>
      </w:r>
      <w:r w:rsidR="00125660" w:rsidRPr="00886C07">
        <w:t>a 2012 study by Emmet et al of decisions to discharge patients from hospital. Although not explicitly critical of the use of the terminology of insight, the following comment is of particular resonance with the findings of this paper: ‘</w:t>
      </w:r>
      <w:r w:rsidR="00125660" w:rsidRPr="00886C07">
        <w:rPr>
          <w:rFonts w:cs="AdvTT5235d5a9"/>
        </w:rPr>
        <w:t>Where assessors did not agree with patients' decisions, they were prone to interpret the decision as lacking insight and, thus, the decision maker as lacking capacity.’</w:t>
      </w:r>
      <w:r w:rsidR="00125660" w:rsidRPr="00886C07">
        <w:rPr>
          <w:rStyle w:val="FootnoteReference"/>
          <w:rFonts w:cs="AdvTT5235d5a9"/>
        </w:rPr>
        <w:footnoteReference w:id="87"/>
      </w:r>
      <w:r w:rsidR="00125660" w:rsidRPr="00886C07">
        <w:t xml:space="preserve"> Taken together the findings set out above</w:t>
      </w:r>
      <w:r w:rsidRPr="00886C07">
        <w:t xml:space="preserve"> suggest that in a number of contexts, the fact of refusal in and of itself </w:t>
      </w:r>
      <w:r w:rsidR="00125660" w:rsidRPr="00886C07">
        <w:t xml:space="preserve">can too readily be </w:t>
      </w:r>
      <w:r w:rsidRPr="00886C07">
        <w:t xml:space="preserve">treated by professionals dealing with the Act as giving rise to cause for concerns about capacity. Where this approach is adopted, refusals of care are in effect </w:t>
      </w:r>
      <w:proofErr w:type="spellStart"/>
      <w:r w:rsidRPr="00886C07">
        <w:t>pathologised</w:t>
      </w:r>
      <w:proofErr w:type="spellEnd"/>
      <w:r w:rsidRPr="00886C07">
        <w:t xml:space="preserve">, a practice which is at odds with the philosophy underpinning the MCA of appraising people’s decision making </w:t>
      </w:r>
      <w:r w:rsidRPr="00886C07">
        <w:rPr>
          <w:i/>
        </w:rPr>
        <w:t>processes</w:t>
      </w:r>
      <w:r w:rsidRPr="00886C07">
        <w:t xml:space="preserve"> rather than the </w:t>
      </w:r>
      <w:r w:rsidRPr="00886C07">
        <w:rPr>
          <w:i/>
        </w:rPr>
        <w:t>content</w:t>
      </w:r>
      <w:r w:rsidRPr="00886C07">
        <w:t xml:space="preserve"> of their decisions.</w:t>
      </w:r>
      <w:r w:rsidRPr="00886C07">
        <w:rPr>
          <w:rStyle w:val="FootnoteReference"/>
        </w:rPr>
        <w:footnoteReference w:id="88"/>
      </w:r>
      <w:r w:rsidRPr="00886C07">
        <w:t xml:space="preserve"> This approach is also reminiscent of the defensive ‘flak jacket’ approach to obtaining consent,</w:t>
      </w:r>
      <w:r w:rsidRPr="00886C07">
        <w:rPr>
          <w:rStyle w:val="FootnoteReference"/>
        </w:rPr>
        <w:footnoteReference w:id="89"/>
      </w:r>
      <w:r w:rsidRPr="00886C07">
        <w:t xml:space="preserve"> where the primary function of capacity assessment becomes one of protecting health care professionals from potential liability or </w:t>
      </w:r>
      <w:r w:rsidR="00CF423D" w:rsidRPr="00886C07">
        <w:t>reprisals</w:t>
      </w:r>
      <w:r w:rsidRPr="00886C07">
        <w:t xml:space="preserve">, rather than supporting the autonomy and best interests of the patient. The use of </w:t>
      </w:r>
      <w:r w:rsidR="00CF423D" w:rsidRPr="00886C07">
        <w:t xml:space="preserve">the </w:t>
      </w:r>
      <w:r w:rsidRPr="00886C07">
        <w:t xml:space="preserve">language of insight exacerbates the risk of perpetuating these </w:t>
      </w:r>
      <w:r w:rsidRPr="00886C07">
        <w:lastRenderedPageBreak/>
        <w:t xml:space="preserve">practices which undermine the ethos of the MCA. </w:t>
      </w:r>
      <w:r w:rsidRPr="00886C07">
        <w:rPr>
          <w:szCs w:val="24"/>
        </w:rPr>
        <w:t xml:space="preserve">It is hard to resist the conclusion that ‘insight’ </w:t>
      </w:r>
      <w:r w:rsidR="00014969" w:rsidRPr="00886C07">
        <w:rPr>
          <w:szCs w:val="24"/>
        </w:rPr>
        <w:t xml:space="preserve">(like the pre-MCA criterion of ‘belief’) </w:t>
      </w:r>
      <w:r w:rsidRPr="00886C07">
        <w:rPr>
          <w:szCs w:val="24"/>
        </w:rPr>
        <w:t>provides a means for covertly sustaining clinical values which are in conflict with those of the law.</w:t>
      </w:r>
    </w:p>
    <w:p w:rsidR="00523BCA" w:rsidRPr="00886C07" w:rsidRDefault="00523BCA" w:rsidP="00DB4883">
      <w:pPr>
        <w:autoSpaceDE w:val="0"/>
        <w:autoSpaceDN w:val="0"/>
        <w:adjustRightInd w:val="0"/>
        <w:spacing w:after="0" w:line="360" w:lineRule="auto"/>
        <w:jc w:val="both"/>
        <w:rPr>
          <w:rFonts w:cs="AdvTT5235d5a9"/>
          <w:sz w:val="16"/>
          <w:szCs w:val="16"/>
        </w:rPr>
      </w:pPr>
    </w:p>
    <w:p w:rsidR="004745BC" w:rsidRPr="00886C07" w:rsidRDefault="004745BC" w:rsidP="00650DA3">
      <w:pPr>
        <w:spacing w:line="360" w:lineRule="auto"/>
        <w:jc w:val="center"/>
        <w:rPr>
          <w:i/>
        </w:rPr>
      </w:pPr>
      <w:r w:rsidRPr="00886C07">
        <w:rPr>
          <w:i/>
        </w:rPr>
        <w:t>Conclusion</w:t>
      </w:r>
    </w:p>
    <w:p w:rsidR="00E42177" w:rsidRPr="00886C07" w:rsidRDefault="00501A61" w:rsidP="00DB4883">
      <w:pPr>
        <w:spacing w:line="360" w:lineRule="auto"/>
        <w:jc w:val="both"/>
      </w:pPr>
      <w:r w:rsidRPr="00886C07">
        <w:t>This paper has explore</w:t>
      </w:r>
      <w:r w:rsidR="00785A90" w:rsidRPr="00886C07">
        <w:t>d</w:t>
      </w:r>
      <w:r w:rsidRPr="00886C07">
        <w:t xml:space="preserve"> some of the implications of psychiatrists as the expert witness of choice in capacity assessment and the infiltration of medical terminology into capacity assessment in the</w:t>
      </w:r>
      <w:r w:rsidR="008A7926" w:rsidRPr="00886C07">
        <w:t xml:space="preserve"> </w:t>
      </w:r>
      <w:proofErr w:type="spellStart"/>
      <w:r w:rsidR="008A7926" w:rsidRPr="00886C07">
        <w:t>CoP</w:t>
      </w:r>
      <w:r w:rsidRPr="00886C07">
        <w:t>.</w:t>
      </w:r>
      <w:proofErr w:type="spellEnd"/>
      <w:r w:rsidRPr="00886C07">
        <w:t xml:space="preserve">  </w:t>
      </w:r>
      <w:r w:rsidR="00E42177" w:rsidRPr="00886C07">
        <w:t>The fact that capacity can be facilitated or enhanced by the form of communication used or by the presence or absence of support, speaks to its inherently ‘social’ essence</w:t>
      </w:r>
      <w:r w:rsidR="00E42177" w:rsidRPr="00886C07">
        <w:rPr>
          <w:rStyle w:val="FootnoteReference"/>
        </w:rPr>
        <w:footnoteReference w:id="90"/>
      </w:r>
      <w:r w:rsidR="00E42177" w:rsidRPr="00886C07">
        <w:t xml:space="preserve">. This in itself provides </w:t>
      </w:r>
      <w:r w:rsidR="00785A90" w:rsidRPr="00886C07">
        <w:t>strong justification</w:t>
      </w:r>
      <w:r w:rsidR="00E42177" w:rsidRPr="00886C07">
        <w:t xml:space="preserve"> for exploring with a critical eye the impact of psychiatry as a discipline, the influence of consultant psychiatrists as expert witnesses </w:t>
      </w:r>
      <w:r w:rsidR="00350D36" w:rsidRPr="00886C07">
        <w:t>(</w:t>
      </w:r>
      <w:r w:rsidR="00E42177" w:rsidRPr="00886C07">
        <w:t>and the language they bring with them</w:t>
      </w:r>
      <w:r w:rsidR="00350D36" w:rsidRPr="00886C07">
        <w:t>)</w:t>
      </w:r>
      <w:r w:rsidR="00E42177" w:rsidRPr="00886C07">
        <w:t xml:space="preserve"> on the shape of this area of law. Psychiatry has an important role to play in a multidisciplinary generation of a better understanding of how to support and empower those who may have borderline capacity, but healthy scepticism is necessary, otherwise the relevance of the psychiatric view </w:t>
      </w:r>
      <w:r w:rsidRPr="00886C07">
        <w:t>may</w:t>
      </w:r>
      <w:r w:rsidR="00E42177" w:rsidRPr="00886C07">
        <w:t xml:space="preserve"> be overstated and ‘mishandled.’</w:t>
      </w:r>
      <w:r w:rsidR="00E42177" w:rsidRPr="00886C07">
        <w:rPr>
          <w:rStyle w:val="FootnoteReference"/>
        </w:rPr>
        <w:footnoteReference w:id="91"/>
      </w:r>
      <w:r w:rsidR="00E42177" w:rsidRPr="00886C07">
        <w:t xml:space="preserve"> </w:t>
      </w:r>
    </w:p>
    <w:p w:rsidR="00086FD3" w:rsidRPr="00886C07" w:rsidRDefault="00AF24C8" w:rsidP="00DB4883">
      <w:pPr>
        <w:spacing w:line="360" w:lineRule="auto"/>
        <w:jc w:val="both"/>
      </w:pPr>
      <w:r w:rsidRPr="00886C07">
        <w:t xml:space="preserve">The MCA specifies the criteria against which </w:t>
      </w:r>
      <w:r w:rsidR="00127CE0" w:rsidRPr="00886C07">
        <w:t>in</w:t>
      </w:r>
      <w:r w:rsidRPr="00886C07">
        <w:t>capacity is to be assessed</w:t>
      </w:r>
      <w:r w:rsidR="00127CE0" w:rsidRPr="00886C07">
        <w:t>. Whilst these</w:t>
      </w:r>
      <w:r w:rsidR="008913E8" w:rsidRPr="00886C07">
        <w:t xml:space="preserve"> criteria</w:t>
      </w:r>
      <w:r w:rsidR="00127CE0" w:rsidRPr="00886C07">
        <w:t xml:space="preserve"> clearly place a premium on clinical judgment </w:t>
      </w:r>
      <w:r w:rsidR="00523BCA" w:rsidRPr="00886C07">
        <w:t>via</w:t>
      </w:r>
      <w:r w:rsidR="00127CE0" w:rsidRPr="00886C07">
        <w:t xml:space="preserve"> the ‘diagnostic’ thr</w:t>
      </w:r>
      <w:r w:rsidR="00E42177" w:rsidRPr="00886C07">
        <w:t>eshold, the law asserts the upp</w:t>
      </w:r>
      <w:r w:rsidR="00127CE0" w:rsidRPr="00886C07">
        <w:t>er hand in capacity assessment</w:t>
      </w:r>
      <w:r w:rsidRPr="00886C07">
        <w:t>,</w:t>
      </w:r>
      <w:r w:rsidR="00127CE0" w:rsidRPr="00886C07">
        <w:t xml:space="preserve"> particularly with respect to the functional criteria f</w:t>
      </w:r>
      <w:r w:rsidR="006D62FE" w:rsidRPr="00886C07">
        <w:t>or</w:t>
      </w:r>
      <w:r w:rsidR="00127CE0" w:rsidRPr="00886C07">
        <w:t xml:space="preserve"> incapacity in s.3</w:t>
      </w:r>
      <w:r w:rsidR="00501A61" w:rsidRPr="00886C07">
        <w:t>. The application of these criteria is sometimes</w:t>
      </w:r>
      <w:r w:rsidR="00523BCA" w:rsidRPr="00886C07">
        <w:t>, however, obscured</w:t>
      </w:r>
      <w:r w:rsidRPr="00886C07">
        <w:t xml:space="preserve"> by the clinical terminology of insight. The fact that ‘insight’ has diagnostic significance lends it clinical authority</w:t>
      </w:r>
      <w:r w:rsidR="00350D36" w:rsidRPr="00886C07">
        <w:t>,</w:t>
      </w:r>
      <w:r w:rsidRPr="00886C07">
        <w:t xml:space="preserve"> even when </w:t>
      </w:r>
      <w:r w:rsidR="00350D36" w:rsidRPr="00886C07">
        <w:t xml:space="preserve">it is </w:t>
      </w:r>
      <w:r w:rsidRPr="00886C07">
        <w:t>not</w:t>
      </w:r>
      <w:r w:rsidR="00350D36" w:rsidRPr="00886C07">
        <w:t xml:space="preserve"> being</w:t>
      </w:r>
      <w:r w:rsidRPr="00886C07">
        <w:t xml:space="preserve"> used in a </w:t>
      </w:r>
      <w:r w:rsidR="00501A61" w:rsidRPr="00886C07">
        <w:t>diagnostic</w:t>
      </w:r>
      <w:r w:rsidRPr="00886C07">
        <w:t xml:space="preserve"> sense. This term, </w:t>
      </w:r>
      <w:r w:rsidR="008A7926" w:rsidRPr="00886C07">
        <w:t>however,</w:t>
      </w:r>
      <w:r w:rsidRPr="00886C07">
        <w:t xml:space="preserve"> has a controversial history within its own discipline, </w:t>
      </w:r>
      <w:r w:rsidR="008A7926" w:rsidRPr="00886C07">
        <w:t xml:space="preserve">and </w:t>
      </w:r>
      <w:r w:rsidRPr="00886C07">
        <w:t>is a poor fit for the legal process where transparency is prized</w:t>
      </w:r>
      <w:r w:rsidR="00E42177" w:rsidRPr="00886C07">
        <w:t>. Its use is often not clearly mapped onto the statutory criteria and</w:t>
      </w:r>
      <w:r w:rsidRPr="00886C07">
        <w:t xml:space="preserve"> it has the potential to cloak value judgements in the apparel of ‘clinical fact.’ </w:t>
      </w:r>
      <w:r w:rsidR="0062539F" w:rsidRPr="00886C07">
        <w:t>Uncritically a</w:t>
      </w:r>
      <w:r w:rsidR="00086FD3" w:rsidRPr="00886C07">
        <w:t xml:space="preserve">ccepting the use of ‘insight’ in expert evidence on capacity assessment without clear attempts to map this lack of insight onto the </w:t>
      </w:r>
      <w:r w:rsidR="009F7550" w:rsidRPr="00886C07">
        <w:t>statutory test for incapacity</w:t>
      </w:r>
      <w:r w:rsidR="00EA0DD4" w:rsidRPr="00886C07">
        <w:t xml:space="preserve"> gives credence to </w:t>
      </w:r>
      <w:r w:rsidR="0062539F" w:rsidRPr="00886C07">
        <w:t xml:space="preserve">therapeutic values which seem in conflict with many of the autonomy promoting provisions of the MCA. </w:t>
      </w:r>
    </w:p>
    <w:p w:rsidR="00BA0E21" w:rsidRPr="00DB4883" w:rsidRDefault="000B71A2" w:rsidP="00DB4883">
      <w:pPr>
        <w:spacing w:line="360" w:lineRule="auto"/>
        <w:jc w:val="both"/>
      </w:pPr>
      <w:r w:rsidRPr="00886C07">
        <w:t xml:space="preserve">The </w:t>
      </w:r>
      <w:r w:rsidR="00BA0E21" w:rsidRPr="00886C07">
        <w:t>concept</w:t>
      </w:r>
      <w:r w:rsidRPr="00886C07">
        <w:t xml:space="preserve"> </w:t>
      </w:r>
      <w:r w:rsidR="00350D36" w:rsidRPr="00886C07">
        <w:t xml:space="preserve">also appears to have </w:t>
      </w:r>
      <w:r w:rsidR="00BA0E21" w:rsidRPr="00886C07">
        <w:t>be</w:t>
      </w:r>
      <w:r w:rsidRPr="00886C07">
        <w:t>en</w:t>
      </w:r>
      <w:r w:rsidR="00BA0E21" w:rsidRPr="00886C07">
        <w:t xml:space="preserve"> co-opted by other </w:t>
      </w:r>
      <w:r w:rsidRPr="00886C07">
        <w:t>health</w:t>
      </w:r>
      <w:r w:rsidR="000C539A" w:rsidRPr="00886C07">
        <w:t xml:space="preserve"> and social </w:t>
      </w:r>
      <w:r w:rsidRPr="00886C07">
        <w:t>care professionals</w:t>
      </w:r>
      <w:r w:rsidR="00350D36" w:rsidRPr="00886C07">
        <w:t>,</w:t>
      </w:r>
      <w:r w:rsidRPr="00886C07">
        <w:t xml:space="preserve"> and</w:t>
      </w:r>
      <w:r w:rsidR="00BA0E21" w:rsidRPr="00886C07">
        <w:t xml:space="preserve"> </w:t>
      </w:r>
      <w:r w:rsidRPr="00886C07">
        <w:t xml:space="preserve">there is a danger that an absence of insight is identified in cases where there is merely a failure to internalise the medical </w:t>
      </w:r>
      <w:r w:rsidR="000C539A" w:rsidRPr="00886C07">
        <w:t xml:space="preserve">or professional </w:t>
      </w:r>
      <w:r w:rsidRPr="00886C07">
        <w:t>viewpoint</w:t>
      </w:r>
      <w:r w:rsidR="000C539A" w:rsidRPr="00886C07">
        <w:t xml:space="preserve"> of P’s best interests</w:t>
      </w:r>
      <w:r w:rsidRPr="00886C07">
        <w:t>. Where this occurs</w:t>
      </w:r>
      <w:r w:rsidR="006D62FE" w:rsidRPr="00886C07">
        <w:t>,</w:t>
      </w:r>
      <w:r w:rsidRPr="00886C07">
        <w:t xml:space="preserve"> the </w:t>
      </w:r>
      <w:r w:rsidR="00BA0E21" w:rsidRPr="00886C07">
        <w:lastRenderedPageBreak/>
        <w:t xml:space="preserve">rejection of treatment/services </w:t>
      </w:r>
      <w:r w:rsidRPr="00886C07">
        <w:t>can too easily be construed</w:t>
      </w:r>
      <w:r w:rsidR="00BA0E21" w:rsidRPr="00886C07">
        <w:t xml:space="preserve"> as a manifestation of a ‘lack of insight’ which in turn indicate</w:t>
      </w:r>
      <w:r w:rsidRPr="00886C07">
        <w:t>s</w:t>
      </w:r>
      <w:r w:rsidR="00BA0E21" w:rsidRPr="00886C07">
        <w:t xml:space="preserve"> disorder or incapacity.  </w:t>
      </w:r>
      <w:r w:rsidRPr="00886C07">
        <w:t xml:space="preserve">In short, a lack of co-operation is </w:t>
      </w:r>
      <w:r w:rsidR="006D62FE" w:rsidRPr="00886C07">
        <w:t xml:space="preserve">potentially </w:t>
      </w:r>
      <w:proofErr w:type="spellStart"/>
      <w:r w:rsidRPr="00886C07">
        <w:t>pathologised</w:t>
      </w:r>
      <w:proofErr w:type="spellEnd"/>
      <w:r w:rsidRPr="00886C07">
        <w:t xml:space="preserve">. </w:t>
      </w:r>
      <w:r w:rsidR="00501A61" w:rsidRPr="00886C07">
        <w:t xml:space="preserve">It is not the author’s intention to </w:t>
      </w:r>
      <w:r w:rsidR="00BA0E21" w:rsidRPr="00886C07">
        <w:t xml:space="preserve">discredit ‘insight’ as a concept in psychiatry, but rather to suggest </w:t>
      </w:r>
      <w:r w:rsidRPr="00886C07">
        <w:t xml:space="preserve">that </w:t>
      </w:r>
      <w:r w:rsidR="00BA0E21" w:rsidRPr="00886C07">
        <w:t xml:space="preserve">it has a proper context, </w:t>
      </w:r>
      <w:r w:rsidR="00845B9E" w:rsidRPr="00886C07">
        <w:t>for example, where relevant to part of a diagnosis</w:t>
      </w:r>
      <w:r w:rsidR="00BE54B2" w:rsidRPr="00886C07">
        <w:t>. O</w:t>
      </w:r>
      <w:r w:rsidR="00BA0E21" w:rsidRPr="00886C07">
        <w:t xml:space="preserve">utside of that context, it should be used with </w:t>
      </w:r>
      <w:r w:rsidR="00523BCA" w:rsidRPr="00886C07">
        <w:t xml:space="preserve">extreme </w:t>
      </w:r>
      <w:r w:rsidR="00BA0E21" w:rsidRPr="00886C07">
        <w:t xml:space="preserve">caution and with an appreciation of its problematic nature. Referring to patients as ‘lacking insight’ in the context of judging whether they have decision making capacity has unfortunate connotations which are consistent with a </w:t>
      </w:r>
      <w:proofErr w:type="spellStart"/>
      <w:r w:rsidR="00BA0E21" w:rsidRPr="00886C07">
        <w:t>medicalisation</w:t>
      </w:r>
      <w:proofErr w:type="spellEnd"/>
      <w:r w:rsidR="00BA0E21" w:rsidRPr="00886C07">
        <w:t xml:space="preserve"> of capacity and </w:t>
      </w:r>
      <w:r w:rsidR="00681ADC" w:rsidRPr="00886C07">
        <w:t>risks</w:t>
      </w:r>
      <w:r w:rsidR="00501A61" w:rsidRPr="00886C07">
        <w:t xml:space="preserve"> subvert</w:t>
      </w:r>
      <w:r w:rsidR="00681ADC" w:rsidRPr="00886C07">
        <w:t>ing</w:t>
      </w:r>
      <w:r w:rsidR="00350D36" w:rsidRPr="00886C07">
        <w:t xml:space="preserve"> the presumption of capacity</w:t>
      </w:r>
      <w:r w:rsidR="00BA0E21" w:rsidRPr="00886C07">
        <w:t xml:space="preserve">. </w:t>
      </w:r>
      <w:r w:rsidR="000C539A" w:rsidRPr="00886C07">
        <w:t>It is therefore crucial that all players</w:t>
      </w:r>
      <w:r w:rsidR="000D6FBA" w:rsidRPr="00886C07">
        <w:t xml:space="preserve"> in the decision making process</w:t>
      </w:r>
      <w:r w:rsidR="000C539A" w:rsidRPr="00886C07">
        <w:t xml:space="preserve"> guard against the non-specific use of ‘insight’ in capacity assessment</w:t>
      </w:r>
      <w:r w:rsidR="000D6FBA" w:rsidRPr="00886C07">
        <w:t xml:space="preserve">. Equally important is </w:t>
      </w:r>
      <w:r w:rsidR="000C539A" w:rsidRPr="00886C07">
        <w:t>that its use is interrogated by lawyers and the courts</w:t>
      </w:r>
      <w:r w:rsidR="00350D36" w:rsidRPr="00886C07">
        <w:t>,</w:t>
      </w:r>
      <w:r w:rsidR="000C539A" w:rsidRPr="00886C07">
        <w:t xml:space="preserve"> if </w:t>
      </w:r>
      <w:r w:rsidR="000D6FBA" w:rsidRPr="00886C07">
        <w:t>experts do not make it</w:t>
      </w:r>
      <w:r w:rsidR="000C539A" w:rsidRPr="00886C07">
        <w:t xml:space="preserve"> entirely clear how </w:t>
      </w:r>
      <w:r w:rsidR="000D6FBA" w:rsidRPr="00886C07">
        <w:t xml:space="preserve">their </w:t>
      </w:r>
      <w:r w:rsidR="000C539A" w:rsidRPr="00886C07">
        <w:t>observations about P’s insight map onto the statutory scheme for assessing P’s capacity.</w:t>
      </w:r>
      <w:r w:rsidR="000C539A" w:rsidRPr="00DB4883">
        <w:t xml:space="preserve"> </w:t>
      </w:r>
    </w:p>
    <w:p w:rsidR="00E5098A" w:rsidRPr="00DB4883" w:rsidRDefault="00E5098A" w:rsidP="00DB4883">
      <w:pPr>
        <w:spacing w:line="360" w:lineRule="auto"/>
      </w:pPr>
    </w:p>
    <w:sectPr w:rsidR="00E5098A" w:rsidRPr="00DB4883" w:rsidSect="00E314C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876" w:rsidRDefault="00BC0876" w:rsidP="00E5098A">
      <w:pPr>
        <w:spacing w:after="0" w:line="240" w:lineRule="auto"/>
      </w:pPr>
      <w:r>
        <w:separator/>
      </w:r>
    </w:p>
  </w:endnote>
  <w:endnote w:type="continuationSeparator" w:id="0">
    <w:p w:rsidR="00BC0876" w:rsidRDefault="00BC0876" w:rsidP="00E509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imes-Roman">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AdvTT5235d5a9">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841" w:rsidRDefault="0023784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99025"/>
      <w:docPartObj>
        <w:docPartGallery w:val="Page Numbers (Bottom of Page)"/>
        <w:docPartUnique/>
      </w:docPartObj>
    </w:sdtPr>
    <w:sdtContent>
      <w:p w:rsidR="00237841" w:rsidRDefault="00894B31">
        <w:pPr>
          <w:pStyle w:val="Footer"/>
          <w:jc w:val="center"/>
        </w:pPr>
        <w:r>
          <w:fldChar w:fldCharType="begin"/>
        </w:r>
        <w:r w:rsidR="00BD5F0A">
          <w:instrText xml:space="preserve"> PAGE   \* MERGEFORMAT </w:instrText>
        </w:r>
        <w:r>
          <w:fldChar w:fldCharType="separate"/>
        </w:r>
        <w:r w:rsidR="0073530B">
          <w:rPr>
            <w:noProof/>
          </w:rPr>
          <w:t>4</w:t>
        </w:r>
        <w:r>
          <w:rPr>
            <w:noProof/>
          </w:rPr>
          <w:fldChar w:fldCharType="end"/>
        </w:r>
      </w:p>
    </w:sdtContent>
  </w:sdt>
  <w:p w:rsidR="00237841" w:rsidRDefault="0023784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841" w:rsidRDefault="002378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876" w:rsidRDefault="00BC0876" w:rsidP="00E5098A">
      <w:pPr>
        <w:spacing w:after="0" w:line="240" w:lineRule="auto"/>
      </w:pPr>
      <w:r>
        <w:separator/>
      </w:r>
    </w:p>
  </w:footnote>
  <w:footnote w:type="continuationSeparator" w:id="0">
    <w:p w:rsidR="00BC0876" w:rsidRDefault="00BC0876" w:rsidP="00E5098A">
      <w:pPr>
        <w:spacing w:after="0" w:line="240" w:lineRule="auto"/>
      </w:pPr>
      <w:r>
        <w:continuationSeparator/>
      </w:r>
    </w:p>
  </w:footnote>
  <w:footnote w:id="1">
    <w:p w:rsidR="001C6883" w:rsidRPr="0073530B" w:rsidRDefault="001C6883">
      <w:pPr>
        <w:pStyle w:val="FootnoteText"/>
        <w:rPr>
          <w:rFonts w:asciiTheme="minorHAnsi" w:hAnsiTheme="minorHAnsi"/>
          <w:sz w:val="18"/>
          <w:szCs w:val="18"/>
        </w:rPr>
      </w:pPr>
      <w:r w:rsidRPr="001C6883">
        <w:rPr>
          <w:rStyle w:val="FootnoteReference"/>
          <w:rFonts w:asciiTheme="minorHAnsi" w:hAnsiTheme="minorHAnsi"/>
          <w:sz w:val="18"/>
          <w:szCs w:val="18"/>
        </w:rPr>
        <w:footnoteRef/>
      </w:r>
      <w:r w:rsidRPr="001C6883">
        <w:rPr>
          <w:rFonts w:asciiTheme="minorHAnsi" w:hAnsiTheme="minorHAnsi"/>
          <w:sz w:val="18"/>
          <w:szCs w:val="18"/>
        </w:rPr>
        <w:t xml:space="preserve"> As the person who is subject to Court of Protection proceedings is known.</w:t>
      </w:r>
    </w:p>
  </w:footnote>
  <w:footnote w:id="2">
    <w:p w:rsidR="001C6883" w:rsidRPr="0073530B" w:rsidRDefault="001C6883" w:rsidP="001C6883">
      <w:pPr>
        <w:pStyle w:val="FootnoteText"/>
        <w:rPr>
          <w:rFonts w:asciiTheme="minorHAnsi" w:hAnsiTheme="minorHAnsi"/>
          <w:sz w:val="18"/>
          <w:szCs w:val="18"/>
        </w:rPr>
      </w:pPr>
    </w:p>
    <w:p w:rsidR="001C6883" w:rsidRPr="0073530B" w:rsidRDefault="001C6883" w:rsidP="001C6883">
      <w:pPr>
        <w:pStyle w:val="FootnoteText"/>
        <w:rPr>
          <w:rFonts w:asciiTheme="minorHAnsi" w:hAnsiTheme="minorHAnsi"/>
          <w:sz w:val="18"/>
          <w:szCs w:val="18"/>
        </w:rPr>
      </w:pPr>
      <w:r w:rsidRPr="0073530B">
        <w:rPr>
          <w:rStyle w:val="FootnoteReference"/>
          <w:rFonts w:asciiTheme="minorHAnsi" w:hAnsiTheme="minorHAnsi"/>
          <w:sz w:val="18"/>
          <w:szCs w:val="18"/>
        </w:rPr>
        <w:footnoteRef/>
      </w:r>
      <w:r w:rsidRPr="0073530B">
        <w:rPr>
          <w:rFonts w:asciiTheme="minorHAnsi" w:hAnsiTheme="minorHAnsi"/>
          <w:sz w:val="18"/>
          <w:szCs w:val="18"/>
        </w:rPr>
        <w:t xml:space="preserve"> Hedley J in </w:t>
      </w:r>
      <w:r w:rsidRPr="0073530B">
        <w:rPr>
          <w:rFonts w:asciiTheme="minorHAnsi" w:hAnsiTheme="minorHAnsi"/>
          <w:i/>
          <w:sz w:val="18"/>
          <w:szCs w:val="18"/>
        </w:rPr>
        <w:t xml:space="preserve">PC v City of York Council </w:t>
      </w:r>
      <w:r w:rsidRPr="0073530B">
        <w:rPr>
          <w:rFonts w:asciiTheme="minorHAnsi" w:hAnsiTheme="minorHAnsi"/>
          <w:sz w:val="18"/>
          <w:szCs w:val="18"/>
        </w:rPr>
        <w:t xml:space="preserve">cited in [2013] EWCA </w:t>
      </w:r>
      <w:proofErr w:type="spellStart"/>
      <w:r w:rsidRPr="0073530B">
        <w:rPr>
          <w:rFonts w:asciiTheme="minorHAnsi" w:hAnsiTheme="minorHAnsi"/>
          <w:sz w:val="18"/>
          <w:szCs w:val="18"/>
        </w:rPr>
        <w:t>Civ</w:t>
      </w:r>
      <w:proofErr w:type="spellEnd"/>
      <w:r w:rsidRPr="0073530B">
        <w:rPr>
          <w:rFonts w:asciiTheme="minorHAnsi" w:hAnsiTheme="minorHAnsi"/>
          <w:sz w:val="18"/>
          <w:szCs w:val="18"/>
        </w:rPr>
        <w:t xml:space="preserve"> 478 at [13].</w:t>
      </w:r>
    </w:p>
    <w:p w:rsidR="001C6883" w:rsidRPr="0073530B" w:rsidRDefault="001C6883" w:rsidP="001C6883">
      <w:pPr>
        <w:pStyle w:val="FootnoteText"/>
        <w:rPr>
          <w:rFonts w:asciiTheme="minorHAnsi" w:hAnsiTheme="minorHAnsi"/>
          <w:sz w:val="18"/>
          <w:szCs w:val="18"/>
        </w:rPr>
      </w:pPr>
    </w:p>
  </w:footnote>
  <w:footnote w:id="3">
    <w:p w:rsidR="001C6883" w:rsidRPr="0073530B" w:rsidRDefault="001C6883" w:rsidP="001C6883">
      <w:pPr>
        <w:pStyle w:val="FootnoteText"/>
        <w:rPr>
          <w:rFonts w:asciiTheme="minorHAnsi" w:hAnsiTheme="minorHAnsi"/>
          <w:sz w:val="18"/>
          <w:szCs w:val="18"/>
        </w:rPr>
      </w:pPr>
      <w:r w:rsidRPr="0073530B">
        <w:rPr>
          <w:rStyle w:val="FootnoteReference"/>
          <w:rFonts w:asciiTheme="minorHAnsi" w:hAnsiTheme="minorHAnsi"/>
          <w:sz w:val="18"/>
          <w:szCs w:val="18"/>
        </w:rPr>
        <w:footnoteRef/>
      </w:r>
      <w:r w:rsidRPr="0073530B">
        <w:rPr>
          <w:rFonts w:asciiTheme="minorHAnsi" w:hAnsiTheme="minorHAnsi"/>
          <w:sz w:val="18"/>
          <w:szCs w:val="18"/>
        </w:rPr>
        <w:t xml:space="preserve"> With a big thank you to Professor Michael Jones and Dr John Fanning (and also to the two anonymous reviewers) for their extremely valuable comments on an earlier draft. Thanks also to the delegates of the 2015 Mental Capacity Act Conference in Liverpool for their very useful feedback and contributions. </w:t>
      </w:r>
    </w:p>
    <w:p w:rsidR="001C6883" w:rsidRPr="0073530B" w:rsidRDefault="001C6883" w:rsidP="001C6883">
      <w:pPr>
        <w:pStyle w:val="FootnoteText"/>
        <w:rPr>
          <w:rFonts w:asciiTheme="minorHAnsi" w:hAnsiTheme="minorHAnsi"/>
          <w:sz w:val="18"/>
          <w:szCs w:val="18"/>
        </w:rPr>
      </w:pPr>
    </w:p>
  </w:footnote>
  <w:footnote w:id="4">
    <w:p w:rsidR="00237841" w:rsidRPr="0073530B" w:rsidRDefault="00237841" w:rsidP="00201E01">
      <w:pPr>
        <w:jc w:val="both"/>
        <w:rPr>
          <w:sz w:val="18"/>
          <w:szCs w:val="18"/>
        </w:rPr>
      </w:pPr>
      <w:r w:rsidRPr="0073530B">
        <w:rPr>
          <w:rStyle w:val="FootnoteReference"/>
          <w:sz w:val="18"/>
          <w:szCs w:val="18"/>
        </w:rPr>
        <w:footnoteRef/>
      </w:r>
      <w:r w:rsidRPr="0073530B">
        <w:rPr>
          <w:sz w:val="18"/>
          <w:szCs w:val="18"/>
        </w:rPr>
        <w:t xml:space="preserve"> B. Secker, ‘</w:t>
      </w:r>
      <w:proofErr w:type="spellStart"/>
      <w:r w:rsidRPr="0073530B">
        <w:rPr>
          <w:sz w:val="18"/>
          <w:szCs w:val="18"/>
        </w:rPr>
        <w:t>Labeling</w:t>
      </w:r>
      <w:proofErr w:type="spellEnd"/>
      <w:r w:rsidRPr="0073530B">
        <w:rPr>
          <w:sz w:val="18"/>
          <w:szCs w:val="18"/>
        </w:rPr>
        <w:t xml:space="preserve"> Patient (In)Competence: A Feminist Analysis of Medico-Legal Discourse.’ (1999) 30(2) </w:t>
      </w:r>
      <w:r w:rsidRPr="0073530B">
        <w:rPr>
          <w:i/>
          <w:sz w:val="18"/>
          <w:szCs w:val="18"/>
        </w:rPr>
        <w:t>J Soc Phil</w:t>
      </w:r>
      <w:r w:rsidRPr="0073530B">
        <w:rPr>
          <w:sz w:val="18"/>
          <w:szCs w:val="18"/>
        </w:rPr>
        <w:t xml:space="preserve"> 295 at 297 and see Peter Jackson J in </w:t>
      </w:r>
      <w:r w:rsidRPr="0073530B">
        <w:rPr>
          <w:rFonts w:eastAsia="Times New Roman" w:cs="Times New Roman"/>
          <w:i/>
          <w:color w:val="000000"/>
          <w:sz w:val="18"/>
          <w:szCs w:val="18"/>
          <w:lang w:eastAsia="en-GB"/>
        </w:rPr>
        <w:t>Heart of England NHS Foundation Trust v JB</w:t>
      </w:r>
      <w:r w:rsidRPr="0073530B">
        <w:rPr>
          <w:rFonts w:eastAsia="Times New Roman" w:cs="Times New Roman"/>
          <w:color w:val="000000"/>
          <w:sz w:val="18"/>
          <w:szCs w:val="18"/>
          <w:lang w:eastAsia="en-GB"/>
        </w:rPr>
        <w:t xml:space="preserve"> [2014] EWCOP 342 </w:t>
      </w:r>
      <w:r w:rsidRPr="0073530B">
        <w:rPr>
          <w:sz w:val="18"/>
          <w:szCs w:val="18"/>
        </w:rPr>
        <w:t>at [38]: ‘</w:t>
      </w:r>
      <w:bookmarkStart w:id="0" w:name="para38"/>
      <w:r w:rsidRPr="0073530B">
        <w:rPr>
          <w:color w:val="000000"/>
          <w:sz w:val="18"/>
          <w:szCs w:val="18"/>
        </w:rPr>
        <w:t xml:space="preserve">Bearing in mind JB's longstanding mental illness it is entirely appropriate that the core assessment of her capacity comes from psychiatrists, </w:t>
      </w:r>
      <w:r w:rsidRPr="0073530B">
        <w:rPr>
          <w:i/>
          <w:color w:val="000000"/>
          <w:sz w:val="18"/>
          <w:szCs w:val="18"/>
        </w:rPr>
        <w:t>but other disciplines also have an important contribution to make</w:t>
      </w:r>
      <w:bookmarkEnd w:id="0"/>
      <w:r w:rsidRPr="0073530B">
        <w:rPr>
          <w:color w:val="000000"/>
          <w:sz w:val="18"/>
          <w:szCs w:val="18"/>
        </w:rPr>
        <w:t>.’</w:t>
      </w:r>
    </w:p>
  </w:footnote>
  <w:footnote w:id="5">
    <w:p w:rsidR="00237841" w:rsidRPr="0073530B" w:rsidRDefault="00237841">
      <w:pPr>
        <w:pStyle w:val="FootnoteText"/>
        <w:rPr>
          <w:rFonts w:asciiTheme="minorHAnsi" w:hAnsiTheme="minorHAnsi"/>
          <w:sz w:val="18"/>
          <w:szCs w:val="18"/>
        </w:rPr>
      </w:pPr>
      <w:r w:rsidRPr="0073530B">
        <w:rPr>
          <w:rStyle w:val="FootnoteReference"/>
          <w:rFonts w:asciiTheme="minorHAnsi" w:hAnsiTheme="minorHAnsi"/>
          <w:sz w:val="18"/>
          <w:szCs w:val="18"/>
        </w:rPr>
        <w:footnoteRef/>
      </w:r>
      <w:r w:rsidRPr="0073530B">
        <w:rPr>
          <w:rFonts w:asciiTheme="minorHAnsi" w:hAnsiTheme="minorHAnsi"/>
          <w:sz w:val="18"/>
          <w:szCs w:val="18"/>
        </w:rPr>
        <w:t xml:space="preserve"> S.2(1). </w:t>
      </w:r>
    </w:p>
    <w:p w:rsidR="00237841" w:rsidRPr="0073530B" w:rsidRDefault="00237841">
      <w:pPr>
        <w:pStyle w:val="FootnoteText"/>
        <w:rPr>
          <w:rFonts w:asciiTheme="minorHAnsi" w:hAnsiTheme="minorHAnsi"/>
          <w:sz w:val="18"/>
          <w:szCs w:val="18"/>
        </w:rPr>
      </w:pPr>
    </w:p>
  </w:footnote>
  <w:footnote w:id="6">
    <w:p w:rsidR="00237841" w:rsidRPr="0073530B" w:rsidRDefault="00237841">
      <w:pPr>
        <w:pStyle w:val="FootnoteText"/>
        <w:rPr>
          <w:rFonts w:asciiTheme="minorHAnsi" w:hAnsiTheme="minorHAnsi"/>
          <w:i/>
          <w:sz w:val="18"/>
          <w:szCs w:val="18"/>
        </w:rPr>
      </w:pPr>
      <w:r w:rsidRPr="0073530B">
        <w:rPr>
          <w:rStyle w:val="FootnoteReference"/>
          <w:rFonts w:asciiTheme="minorHAnsi" w:hAnsiTheme="minorHAnsi"/>
          <w:sz w:val="18"/>
          <w:szCs w:val="18"/>
        </w:rPr>
        <w:footnoteRef/>
      </w:r>
      <w:r w:rsidRPr="0073530B">
        <w:rPr>
          <w:rFonts w:asciiTheme="minorHAnsi" w:hAnsiTheme="minorHAnsi"/>
          <w:sz w:val="18"/>
          <w:szCs w:val="18"/>
        </w:rPr>
        <w:t xml:space="preserve"> </w:t>
      </w:r>
      <w:r w:rsidRPr="0073530B">
        <w:rPr>
          <w:rFonts w:asciiTheme="minorHAnsi" w:hAnsiTheme="minorHAnsi"/>
          <w:i/>
          <w:sz w:val="18"/>
          <w:szCs w:val="18"/>
        </w:rPr>
        <w:t xml:space="preserve">A Local Authority v A </w:t>
      </w:r>
      <w:r w:rsidRPr="0073530B">
        <w:rPr>
          <w:rFonts w:asciiTheme="minorHAnsi" w:hAnsiTheme="minorHAnsi"/>
          <w:color w:val="000000"/>
          <w:sz w:val="18"/>
          <w:szCs w:val="18"/>
          <w:lang w:eastAsia="en-GB"/>
        </w:rPr>
        <w:t xml:space="preserve">[2010] EWCOP 1549 at [66]; </w:t>
      </w:r>
      <w:r w:rsidRPr="0073530B">
        <w:rPr>
          <w:rFonts w:asciiTheme="minorHAnsi" w:hAnsiTheme="minorHAnsi"/>
          <w:i/>
          <w:sz w:val="18"/>
          <w:szCs w:val="18"/>
        </w:rPr>
        <w:t xml:space="preserve">CC v </w:t>
      </w:r>
      <w:r w:rsidRPr="0073530B">
        <w:rPr>
          <w:rFonts w:asciiTheme="minorHAnsi" w:hAnsiTheme="minorHAnsi"/>
          <w:i/>
          <w:color w:val="000000"/>
          <w:sz w:val="18"/>
          <w:szCs w:val="18"/>
          <w:lang w:eastAsia="en-GB"/>
        </w:rPr>
        <w:t xml:space="preserve">STCC </w:t>
      </w:r>
      <w:r w:rsidRPr="0073530B">
        <w:rPr>
          <w:rFonts w:asciiTheme="minorHAnsi" w:hAnsiTheme="minorHAnsi"/>
          <w:color w:val="000000"/>
          <w:sz w:val="18"/>
          <w:szCs w:val="18"/>
          <w:lang w:eastAsia="en-GB"/>
        </w:rPr>
        <w:t xml:space="preserve">[2012] EWCOP 2136 at [62] and </w:t>
      </w:r>
      <w:r w:rsidRPr="0073530B">
        <w:rPr>
          <w:rFonts w:asciiTheme="minorHAnsi" w:hAnsiTheme="minorHAnsi"/>
          <w:i/>
          <w:color w:val="000000"/>
          <w:sz w:val="18"/>
          <w:szCs w:val="18"/>
          <w:lang w:eastAsia="en-GB"/>
        </w:rPr>
        <w:t xml:space="preserve">London Borough of Islington v QR </w:t>
      </w:r>
      <w:r w:rsidRPr="0073530B">
        <w:rPr>
          <w:rFonts w:asciiTheme="minorHAnsi" w:hAnsiTheme="minorHAnsi"/>
          <w:color w:val="000000"/>
          <w:sz w:val="18"/>
          <w:szCs w:val="18"/>
          <w:lang w:eastAsia="en-GB"/>
        </w:rPr>
        <w:t>[2014] EWCOP 26</w:t>
      </w:r>
      <w:r w:rsidRPr="0073530B">
        <w:rPr>
          <w:rFonts w:asciiTheme="minorHAnsi" w:hAnsiTheme="minorHAnsi"/>
          <w:sz w:val="18"/>
          <w:szCs w:val="18"/>
        </w:rPr>
        <w:t xml:space="preserve"> </w:t>
      </w:r>
      <w:r w:rsidRPr="0073530B">
        <w:rPr>
          <w:rFonts w:asciiTheme="minorHAnsi" w:hAnsiTheme="minorHAnsi"/>
          <w:color w:val="000000"/>
          <w:sz w:val="18"/>
          <w:szCs w:val="18"/>
        </w:rPr>
        <w:t>at [84].</w:t>
      </w:r>
    </w:p>
    <w:p w:rsidR="00237841" w:rsidRPr="0073530B" w:rsidRDefault="00237841">
      <w:pPr>
        <w:pStyle w:val="FootnoteText"/>
        <w:rPr>
          <w:rFonts w:asciiTheme="minorHAnsi" w:hAnsiTheme="minorHAnsi"/>
          <w:sz w:val="18"/>
          <w:szCs w:val="18"/>
        </w:rPr>
      </w:pPr>
    </w:p>
  </w:footnote>
  <w:footnote w:id="7">
    <w:p w:rsidR="00237841" w:rsidRPr="0073530B" w:rsidRDefault="00237841" w:rsidP="0051727D">
      <w:pPr>
        <w:jc w:val="both"/>
        <w:rPr>
          <w:sz w:val="18"/>
          <w:szCs w:val="18"/>
        </w:rPr>
      </w:pPr>
      <w:r w:rsidRPr="0073530B">
        <w:rPr>
          <w:rStyle w:val="FootnoteReference"/>
          <w:sz w:val="18"/>
          <w:szCs w:val="18"/>
        </w:rPr>
        <w:footnoteRef/>
      </w:r>
      <w:r w:rsidRPr="0073530B">
        <w:rPr>
          <w:sz w:val="18"/>
          <w:szCs w:val="18"/>
        </w:rPr>
        <w:t xml:space="preserve"> The remaining four </w:t>
      </w:r>
      <w:r w:rsidRPr="0073530B">
        <w:rPr>
          <w:i/>
          <w:sz w:val="18"/>
          <w:szCs w:val="18"/>
        </w:rPr>
        <w:t>per cent</w:t>
      </w:r>
      <w:r w:rsidRPr="0073530B">
        <w:rPr>
          <w:sz w:val="18"/>
          <w:szCs w:val="18"/>
        </w:rPr>
        <w:t xml:space="preserve"> comprised a matron, solicitors, a midwife and a community health nurse. These figures were extracted from a sample of 45 out of 57 judgments where capacity was unpacked in detail. In 12 out of the 57 judgments it was not possible to clearly identify the background of the experts giving evidence. In the 45 judgments where the experts’ background was clearly identified, a total of 118 expert witnesses gave evidence on P’s capacity – further details on file with the author. </w:t>
      </w:r>
    </w:p>
  </w:footnote>
  <w:footnote w:id="8">
    <w:p w:rsidR="00237841" w:rsidRPr="0073530B" w:rsidRDefault="00237841" w:rsidP="00993AAD">
      <w:pPr>
        <w:spacing w:before="100" w:beforeAutospacing="1" w:after="100" w:afterAutospacing="1"/>
        <w:jc w:val="both"/>
        <w:rPr>
          <w:sz w:val="18"/>
          <w:szCs w:val="18"/>
        </w:rPr>
      </w:pPr>
      <w:r w:rsidRPr="0073530B">
        <w:rPr>
          <w:rStyle w:val="FootnoteReference"/>
          <w:sz w:val="18"/>
          <w:szCs w:val="18"/>
        </w:rPr>
        <w:footnoteRef/>
      </w:r>
      <w:r w:rsidRPr="0073530B">
        <w:rPr>
          <w:sz w:val="18"/>
          <w:szCs w:val="18"/>
        </w:rPr>
        <w:t xml:space="preserve"> Of course, these safeguards are in effect subverted by interim powers under s.48 of the MCA where the ‘gateway test for engagement of the court’s powers’ has been recognised as not requiring rebuttal of the presumption of capacity: ‘</w:t>
      </w:r>
      <w:r w:rsidRPr="0073530B">
        <w:rPr>
          <w:rFonts w:eastAsia="Times New Roman" w:cs="Times New Roman"/>
          <w:sz w:val="18"/>
          <w:szCs w:val="18"/>
          <w:lang w:eastAsia="en-GB"/>
        </w:rPr>
        <w:t xml:space="preserve">What is required, in my judgment, is simply sufficient evidence to justify a reasonable belief that P </w:t>
      </w:r>
      <w:r w:rsidRPr="0073530B">
        <w:rPr>
          <w:rFonts w:eastAsia="Times New Roman" w:cs="Times New Roman"/>
          <w:sz w:val="18"/>
          <w:szCs w:val="18"/>
          <w:u w:val="single"/>
          <w:lang w:eastAsia="en-GB"/>
        </w:rPr>
        <w:t>may</w:t>
      </w:r>
      <w:r w:rsidRPr="0073530B">
        <w:rPr>
          <w:rFonts w:eastAsia="Times New Roman" w:cs="Times New Roman"/>
          <w:sz w:val="18"/>
          <w:szCs w:val="18"/>
          <w:lang w:eastAsia="en-GB"/>
        </w:rPr>
        <w:t xml:space="preserve"> lack </w:t>
      </w:r>
      <w:r w:rsidRPr="0073530B">
        <w:rPr>
          <w:rFonts w:eastAsia="Times New Roman" w:cs="Times New Roman"/>
          <w:b/>
          <w:bCs/>
          <w:sz w:val="18"/>
          <w:szCs w:val="18"/>
          <w:lang w:eastAsia="en-GB"/>
        </w:rPr>
        <w:t> </w:t>
      </w:r>
      <w:r w:rsidRPr="0073530B">
        <w:rPr>
          <w:rFonts w:eastAsia="Times New Roman" w:cs="Times New Roman"/>
          <w:bCs/>
          <w:sz w:val="18"/>
          <w:szCs w:val="18"/>
          <w:lang w:eastAsia="en-GB"/>
        </w:rPr>
        <w:t>capacity</w:t>
      </w:r>
      <w:r w:rsidRPr="0073530B">
        <w:rPr>
          <w:rFonts w:eastAsia="Times New Roman" w:cs="Times New Roman"/>
          <w:sz w:val="18"/>
          <w:szCs w:val="18"/>
          <w:lang w:eastAsia="en-GB"/>
        </w:rPr>
        <w:t xml:space="preserve"> in the relevant regard. There are various phrases which might be used to describe this, such as "good reason to believe" or "serious cause for concern" or "a real possibility" that P lacks </w:t>
      </w:r>
      <w:r w:rsidRPr="0073530B">
        <w:rPr>
          <w:rFonts w:eastAsia="Times New Roman" w:cs="Times New Roman"/>
          <w:bCs/>
          <w:sz w:val="18"/>
          <w:szCs w:val="18"/>
          <w:lang w:eastAsia="en-GB"/>
        </w:rPr>
        <w:t>capacity</w:t>
      </w:r>
      <w:r w:rsidRPr="0073530B">
        <w:rPr>
          <w:rFonts w:eastAsia="Times New Roman" w:cs="Times New Roman"/>
          <w:b/>
          <w:bCs/>
          <w:sz w:val="18"/>
          <w:szCs w:val="18"/>
          <w:lang w:eastAsia="en-GB"/>
        </w:rPr>
        <w:t>,</w:t>
      </w:r>
      <w:r w:rsidRPr="0073530B">
        <w:rPr>
          <w:rFonts w:eastAsia="Times New Roman" w:cs="Times New Roman"/>
          <w:sz w:val="18"/>
          <w:szCs w:val="18"/>
          <w:lang w:eastAsia="en-GB"/>
        </w:rPr>
        <w:t xml:space="preserve"> but the concept behind each of them is the same, and is really quite easily recognised’:</w:t>
      </w:r>
      <w:r w:rsidRPr="0073530B">
        <w:rPr>
          <w:rFonts w:eastAsia="Times New Roman" w:cs="Times New Roman"/>
          <w:b/>
          <w:bCs/>
          <w:sz w:val="18"/>
          <w:szCs w:val="18"/>
          <w:lang w:eastAsia="en-GB"/>
        </w:rPr>
        <w:t> </w:t>
      </w:r>
      <w:r w:rsidRPr="0073530B">
        <w:rPr>
          <w:rFonts w:eastAsia="Times New Roman" w:cs="Times New Roman"/>
          <w:i/>
          <w:color w:val="000000"/>
          <w:sz w:val="18"/>
          <w:szCs w:val="18"/>
          <w:lang w:eastAsia="en-GB"/>
        </w:rPr>
        <w:t>Re F</w:t>
      </w:r>
      <w:r w:rsidRPr="0073530B">
        <w:rPr>
          <w:rFonts w:eastAsia="Times New Roman" w:cs="Times New Roman"/>
          <w:color w:val="000000"/>
          <w:sz w:val="18"/>
          <w:szCs w:val="18"/>
          <w:lang w:eastAsia="en-GB"/>
        </w:rPr>
        <w:t xml:space="preserve"> [2009] EWCOP B30.</w:t>
      </w:r>
    </w:p>
  </w:footnote>
  <w:footnote w:id="9">
    <w:p w:rsidR="00237841" w:rsidRPr="0073530B" w:rsidRDefault="00237841" w:rsidP="003C6A92">
      <w:pPr>
        <w:pStyle w:val="FootnoteText"/>
        <w:rPr>
          <w:rFonts w:asciiTheme="minorHAnsi" w:hAnsiTheme="minorHAnsi"/>
          <w:sz w:val="18"/>
          <w:szCs w:val="18"/>
        </w:rPr>
      </w:pPr>
      <w:r w:rsidRPr="0073530B">
        <w:rPr>
          <w:rStyle w:val="FootnoteReference"/>
          <w:rFonts w:asciiTheme="minorHAnsi" w:hAnsiTheme="minorHAnsi"/>
          <w:sz w:val="18"/>
          <w:szCs w:val="18"/>
        </w:rPr>
        <w:footnoteRef/>
      </w:r>
      <w:r w:rsidRPr="0073530B">
        <w:rPr>
          <w:rFonts w:asciiTheme="minorHAnsi" w:hAnsiTheme="minorHAnsi"/>
          <w:sz w:val="18"/>
          <w:szCs w:val="18"/>
        </w:rPr>
        <w:t xml:space="preserve"> </w:t>
      </w:r>
      <w:r w:rsidRPr="0073530B">
        <w:rPr>
          <w:rFonts w:asciiTheme="minorHAnsi" w:hAnsiTheme="minorHAnsi"/>
          <w:i/>
          <w:sz w:val="18"/>
          <w:szCs w:val="18"/>
        </w:rPr>
        <w:t>MCA Code of Practice</w:t>
      </w:r>
      <w:r w:rsidRPr="0073530B">
        <w:rPr>
          <w:rFonts w:asciiTheme="minorHAnsi" w:hAnsiTheme="minorHAnsi"/>
          <w:sz w:val="18"/>
          <w:szCs w:val="18"/>
        </w:rPr>
        <w:t xml:space="preserve"> (2007). Most </w:t>
      </w:r>
      <w:proofErr w:type="spellStart"/>
      <w:r w:rsidRPr="0073530B">
        <w:rPr>
          <w:rFonts w:asciiTheme="minorHAnsi" w:hAnsiTheme="minorHAnsi"/>
          <w:sz w:val="18"/>
          <w:szCs w:val="18"/>
        </w:rPr>
        <w:t>CoP</w:t>
      </w:r>
      <w:proofErr w:type="spellEnd"/>
      <w:r w:rsidRPr="0073530B">
        <w:rPr>
          <w:rFonts w:asciiTheme="minorHAnsi" w:hAnsiTheme="minorHAnsi"/>
          <w:sz w:val="18"/>
          <w:szCs w:val="18"/>
        </w:rPr>
        <w:t xml:space="preserve"> judgments adopt the terms ‘stage 1’ and ‘stage 2’, despite the fact that the Code of Practice effectively reverses the order of the functional criteria and diagnostic threshold as set out in s.2(1). The Code is not hard law and the Court of Appeal judgment in </w:t>
      </w:r>
      <w:r w:rsidRPr="0073530B">
        <w:rPr>
          <w:rFonts w:asciiTheme="minorHAnsi" w:hAnsiTheme="minorHAnsi"/>
          <w:i/>
          <w:sz w:val="18"/>
          <w:szCs w:val="18"/>
        </w:rPr>
        <w:t xml:space="preserve">PC v City of York Council </w:t>
      </w:r>
      <w:r w:rsidR="00510EEC" w:rsidRPr="0073530B">
        <w:rPr>
          <w:rFonts w:asciiTheme="minorHAnsi" w:hAnsiTheme="minorHAnsi"/>
          <w:sz w:val="18"/>
          <w:szCs w:val="18"/>
        </w:rPr>
        <w:t xml:space="preserve">[2013 ] EWCA </w:t>
      </w:r>
      <w:proofErr w:type="spellStart"/>
      <w:r w:rsidR="00510EEC" w:rsidRPr="0073530B">
        <w:rPr>
          <w:rFonts w:asciiTheme="minorHAnsi" w:hAnsiTheme="minorHAnsi"/>
          <w:sz w:val="18"/>
          <w:szCs w:val="18"/>
        </w:rPr>
        <w:t>Civ</w:t>
      </w:r>
      <w:proofErr w:type="spellEnd"/>
      <w:r w:rsidR="00510EEC" w:rsidRPr="0073530B">
        <w:rPr>
          <w:rFonts w:asciiTheme="minorHAnsi" w:hAnsiTheme="minorHAnsi"/>
          <w:sz w:val="18"/>
          <w:szCs w:val="18"/>
        </w:rPr>
        <w:t xml:space="preserve"> 478 </w:t>
      </w:r>
      <w:r w:rsidRPr="0073530B">
        <w:rPr>
          <w:rFonts w:asciiTheme="minorHAnsi" w:hAnsiTheme="minorHAnsi"/>
          <w:sz w:val="18"/>
          <w:szCs w:val="18"/>
        </w:rPr>
        <w:t xml:space="preserve">warned that addressing the diagnostic threshold first could result in the causation requirement being overlooked. Nevertheless, </w:t>
      </w:r>
      <w:proofErr w:type="spellStart"/>
      <w:r w:rsidRPr="0073530B">
        <w:rPr>
          <w:rFonts w:asciiTheme="minorHAnsi" w:hAnsiTheme="minorHAnsi"/>
          <w:sz w:val="18"/>
          <w:szCs w:val="18"/>
        </w:rPr>
        <w:t>CoP</w:t>
      </w:r>
      <w:proofErr w:type="spellEnd"/>
      <w:r w:rsidRPr="0073530B">
        <w:rPr>
          <w:rFonts w:asciiTheme="minorHAnsi" w:hAnsiTheme="minorHAnsi"/>
          <w:sz w:val="18"/>
          <w:szCs w:val="18"/>
        </w:rPr>
        <w:t xml:space="preserve"> judgments have generally continued to follow the order suggested by the Code of Practice. </w:t>
      </w:r>
    </w:p>
    <w:p w:rsidR="00237841" w:rsidRPr="0073530B" w:rsidRDefault="00237841" w:rsidP="003C6A92">
      <w:pPr>
        <w:pStyle w:val="FootnoteText"/>
        <w:rPr>
          <w:rFonts w:asciiTheme="minorHAnsi" w:hAnsiTheme="minorHAnsi"/>
          <w:sz w:val="18"/>
          <w:szCs w:val="18"/>
        </w:rPr>
      </w:pPr>
    </w:p>
  </w:footnote>
  <w:footnote w:id="10">
    <w:p w:rsidR="00237841" w:rsidRPr="0073530B" w:rsidRDefault="00237841">
      <w:pPr>
        <w:pStyle w:val="FootnoteText"/>
        <w:rPr>
          <w:rFonts w:asciiTheme="minorHAnsi" w:hAnsiTheme="minorHAnsi"/>
          <w:sz w:val="18"/>
          <w:szCs w:val="18"/>
        </w:rPr>
      </w:pPr>
      <w:r w:rsidRPr="0073530B">
        <w:rPr>
          <w:rStyle w:val="FootnoteReference"/>
          <w:rFonts w:asciiTheme="minorHAnsi" w:hAnsiTheme="minorHAnsi"/>
          <w:sz w:val="18"/>
          <w:szCs w:val="18"/>
        </w:rPr>
        <w:footnoteRef/>
      </w:r>
      <w:r w:rsidRPr="0073530B">
        <w:rPr>
          <w:rFonts w:asciiTheme="minorHAnsi" w:hAnsiTheme="minorHAnsi"/>
          <w:sz w:val="18"/>
          <w:szCs w:val="18"/>
        </w:rPr>
        <w:t xml:space="preserve"> The Code of Practice at </w:t>
      </w:r>
      <w:proofErr w:type="spellStart"/>
      <w:r w:rsidRPr="0073530B">
        <w:rPr>
          <w:rFonts w:asciiTheme="minorHAnsi" w:hAnsiTheme="minorHAnsi"/>
          <w:sz w:val="18"/>
          <w:szCs w:val="18"/>
        </w:rPr>
        <w:t>para</w:t>
      </w:r>
      <w:proofErr w:type="spellEnd"/>
      <w:r w:rsidRPr="0073530B">
        <w:rPr>
          <w:rFonts w:asciiTheme="minorHAnsi" w:hAnsiTheme="minorHAnsi"/>
          <w:sz w:val="18"/>
          <w:szCs w:val="18"/>
        </w:rPr>
        <w:t xml:space="preserve"> 4.11 recognises that an impairment or disturbance may be identified without any disorder, examples including concussion and the symptoms of drug or alcohol use. </w:t>
      </w:r>
    </w:p>
    <w:p w:rsidR="00237841" w:rsidRPr="0073530B" w:rsidRDefault="00237841">
      <w:pPr>
        <w:pStyle w:val="FootnoteText"/>
        <w:rPr>
          <w:rFonts w:asciiTheme="minorHAnsi" w:hAnsiTheme="minorHAnsi"/>
          <w:sz w:val="18"/>
          <w:szCs w:val="18"/>
        </w:rPr>
      </w:pPr>
    </w:p>
  </w:footnote>
  <w:footnote w:id="11">
    <w:p w:rsidR="00237841" w:rsidRPr="0073530B" w:rsidRDefault="00237841" w:rsidP="003C6A92">
      <w:pPr>
        <w:rPr>
          <w:sz w:val="18"/>
          <w:szCs w:val="18"/>
        </w:rPr>
      </w:pPr>
      <w:r w:rsidRPr="0073530B">
        <w:rPr>
          <w:rStyle w:val="FootnoteReference"/>
          <w:sz w:val="18"/>
          <w:szCs w:val="18"/>
        </w:rPr>
        <w:footnoteRef/>
      </w:r>
      <w:r w:rsidRPr="0073530B">
        <w:rPr>
          <w:sz w:val="18"/>
          <w:szCs w:val="18"/>
        </w:rPr>
        <w:t xml:space="preserve"> B. Clough, ‘People Like That:  Realising the Social Model in Mental Capacity Jurisprudence.’ (2014) 23(1) Med LR 53 at 56. </w:t>
      </w:r>
    </w:p>
  </w:footnote>
  <w:footnote w:id="12">
    <w:p w:rsidR="006D3CD9" w:rsidRPr="0073530B" w:rsidRDefault="006D3CD9">
      <w:pPr>
        <w:pStyle w:val="FootnoteText"/>
        <w:rPr>
          <w:rFonts w:asciiTheme="minorHAnsi" w:hAnsiTheme="minorHAnsi"/>
          <w:sz w:val="18"/>
          <w:szCs w:val="18"/>
        </w:rPr>
      </w:pPr>
      <w:r w:rsidRPr="0073530B">
        <w:rPr>
          <w:rStyle w:val="FootnoteReference"/>
          <w:rFonts w:asciiTheme="minorHAnsi" w:hAnsiTheme="minorHAnsi"/>
          <w:sz w:val="18"/>
          <w:szCs w:val="18"/>
        </w:rPr>
        <w:footnoteRef/>
      </w:r>
      <w:r w:rsidRPr="0073530B">
        <w:rPr>
          <w:rFonts w:asciiTheme="minorHAnsi" w:hAnsiTheme="minorHAnsi"/>
          <w:sz w:val="18"/>
          <w:szCs w:val="18"/>
        </w:rPr>
        <w:t xml:space="preserve"> Re C [1994] 1 WLR 290.</w:t>
      </w:r>
    </w:p>
    <w:p w:rsidR="006D3CD9" w:rsidRPr="0073530B" w:rsidRDefault="006D3CD9">
      <w:pPr>
        <w:pStyle w:val="FootnoteText"/>
        <w:rPr>
          <w:rFonts w:asciiTheme="minorHAnsi" w:hAnsiTheme="minorHAnsi"/>
          <w:sz w:val="18"/>
          <w:szCs w:val="18"/>
        </w:rPr>
      </w:pPr>
    </w:p>
  </w:footnote>
  <w:footnote w:id="13">
    <w:p w:rsidR="00E7631A" w:rsidRPr="0073530B" w:rsidRDefault="00E7631A" w:rsidP="00E7631A">
      <w:pPr>
        <w:pStyle w:val="FootnoteText"/>
        <w:rPr>
          <w:rFonts w:asciiTheme="minorHAnsi" w:hAnsiTheme="minorHAnsi"/>
          <w:sz w:val="18"/>
          <w:szCs w:val="18"/>
        </w:rPr>
      </w:pPr>
      <w:r w:rsidRPr="0073530B">
        <w:rPr>
          <w:rStyle w:val="FootnoteReference"/>
          <w:rFonts w:asciiTheme="minorHAnsi" w:hAnsiTheme="minorHAnsi"/>
          <w:sz w:val="18"/>
          <w:szCs w:val="18"/>
        </w:rPr>
        <w:footnoteRef/>
      </w:r>
      <w:r w:rsidRPr="0073530B">
        <w:rPr>
          <w:rFonts w:asciiTheme="minorHAnsi" w:hAnsiTheme="minorHAnsi"/>
          <w:sz w:val="18"/>
          <w:szCs w:val="18"/>
        </w:rPr>
        <w:t xml:space="preserve"> </w:t>
      </w:r>
      <w:r w:rsidRPr="0073530B">
        <w:rPr>
          <w:rFonts w:asciiTheme="minorHAnsi" w:hAnsiTheme="minorHAnsi"/>
          <w:i/>
          <w:sz w:val="18"/>
          <w:szCs w:val="18"/>
        </w:rPr>
        <w:t>Local Authority X v MM</w:t>
      </w:r>
      <w:r w:rsidRPr="0073530B">
        <w:rPr>
          <w:rFonts w:asciiTheme="minorHAnsi" w:hAnsiTheme="minorHAnsi"/>
          <w:sz w:val="18"/>
          <w:szCs w:val="18"/>
        </w:rPr>
        <w:t xml:space="preserve"> [2007] EWHC 2003,per </w:t>
      </w:r>
      <w:proofErr w:type="spellStart"/>
      <w:r w:rsidRPr="0073530B">
        <w:rPr>
          <w:rFonts w:asciiTheme="minorHAnsi" w:hAnsiTheme="minorHAnsi"/>
          <w:sz w:val="18"/>
          <w:szCs w:val="18"/>
        </w:rPr>
        <w:t>Munby</w:t>
      </w:r>
      <w:proofErr w:type="spellEnd"/>
      <w:r w:rsidRPr="0073530B">
        <w:rPr>
          <w:rFonts w:asciiTheme="minorHAnsi" w:hAnsiTheme="minorHAnsi"/>
          <w:sz w:val="18"/>
          <w:szCs w:val="18"/>
        </w:rPr>
        <w:t xml:space="preserve"> J at [81]. And for further discussion of the contentious ‘belief’ criterion, see N. Allen, ‘Is Capacity Insight?’ (2009) </w:t>
      </w:r>
      <w:r w:rsidRPr="0073530B">
        <w:rPr>
          <w:rFonts w:asciiTheme="minorHAnsi" w:hAnsiTheme="minorHAnsi"/>
          <w:i/>
          <w:sz w:val="18"/>
          <w:szCs w:val="18"/>
        </w:rPr>
        <w:t>J Mental Health L</w:t>
      </w:r>
      <w:r w:rsidR="004A4299" w:rsidRPr="0073530B">
        <w:rPr>
          <w:rFonts w:asciiTheme="minorHAnsi" w:hAnsiTheme="minorHAnsi"/>
          <w:sz w:val="18"/>
          <w:szCs w:val="18"/>
        </w:rPr>
        <w:t xml:space="preserve"> 165. </w:t>
      </w:r>
    </w:p>
    <w:p w:rsidR="00E7631A" w:rsidRPr="0073530B" w:rsidRDefault="00E7631A" w:rsidP="00E7631A">
      <w:pPr>
        <w:pStyle w:val="FootnoteText"/>
        <w:rPr>
          <w:rFonts w:asciiTheme="minorHAnsi" w:hAnsiTheme="minorHAnsi"/>
          <w:sz w:val="18"/>
          <w:szCs w:val="18"/>
        </w:rPr>
      </w:pPr>
    </w:p>
  </w:footnote>
  <w:footnote w:id="14">
    <w:p w:rsidR="00237841" w:rsidRPr="0073530B" w:rsidRDefault="00237841" w:rsidP="00532A31">
      <w:pPr>
        <w:spacing w:line="240" w:lineRule="auto"/>
        <w:jc w:val="both"/>
        <w:rPr>
          <w:i/>
          <w:sz w:val="18"/>
          <w:szCs w:val="18"/>
        </w:rPr>
      </w:pPr>
      <w:r w:rsidRPr="0073530B">
        <w:rPr>
          <w:rStyle w:val="FootnoteReference"/>
          <w:sz w:val="18"/>
          <w:szCs w:val="18"/>
        </w:rPr>
        <w:footnoteRef/>
      </w:r>
      <w:r w:rsidRPr="0073530B">
        <w:rPr>
          <w:sz w:val="18"/>
          <w:szCs w:val="18"/>
        </w:rPr>
        <w:t xml:space="preserve"> </w:t>
      </w:r>
      <w:r w:rsidRPr="0073530B">
        <w:rPr>
          <w:color w:val="000000"/>
          <w:sz w:val="18"/>
          <w:szCs w:val="18"/>
          <w:lang w:eastAsia="en-GB"/>
        </w:rPr>
        <w:t xml:space="preserve">At n.12 above. </w:t>
      </w:r>
      <w:r w:rsidRPr="0073530B">
        <w:rPr>
          <w:sz w:val="18"/>
          <w:szCs w:val="18"/>
        </w:rPr>
        <w:t xml:space="preserve">And again in </w:t>
      </w:r>
      <w:r w:rsidRPr="0073530B">
        <w:rPr>
          <w:i/>
          <w:sz w:val="18"/>
          <w:szCs w:val="18"/>
        </w:rPr>
        <w:t xml:space="preserve">CC v </w:t>
      </w:r>
      <w:r w:rsidRPr="0073530B">
        <w:rPr>
          <w:i/>
          <w:color w:val="000000"/>
          <w:sz w:val="18"/>
          <w:szCs w:val="18"/>
          <w:lang w:eastAsia="en-GB"/>
        </w:rPr>
        <w:t xml:space="preserve">STCC </w:t>
      </w:r>
      <w:r w:rsidRPr="0073530B">
        <w:rPr>
          <w:color w:val="000000"/>
          <w:sz w:val="18"/>
          <w:szCs w:val="18"/>
          <w:lang w:eastAsia="en-GB"/>
        </w:rPr>
        <w:t xml:space="preserve">[2012] EWCOP 2136 </w:t>
      </w:r>
      <w:r w:rsidRPr="0073530B">
        <w:rPr>
          <w:color w:val="000000"/>
          <w:sz w:val="18"/>
          <w:szCs w:val="18"/>
        </w:rPr>
        <w:t>at [84]</w:t>
      </w:r>
      <w:r w:rsidRPr="0073530B">
        <w:rPr>
          <w:sz w:val="18"/>
          <w:szCs w:val="18"/>
        </w:rPr>
        <w:t>:’ I acknowledge that there is consensus amongst the professionals who gave evidence that KK has lost the   capacity   to make decisions concerning her residence. These opinions are of course important evidence, but as stated above it is the court alone that is in the position to weigh up all the evidence as to the functional test and thus it is the court that must make the ultimate decision</w:t>
      </w:r>
      <w:r w:rsidRPr="0073530B">
        <w:rPr>
          <w:color w:val="000000"/>
          <w:sz w:val="18"/>
          <w:szCs w:val="18"/>
          <w:lang w:eastAsia="en-GB"/>
        </w:rPr>
        <w:t xml:space="preserve">.’ Finally in </w:t>
      </w:r>
      <w:r w:rsidRPr="0073530B">
        <w:rPr>
          <w:i/>
          <w:color w:val="000000"/>
          <w:sz w:val="18"/>
          <w:szCs w:val="18"/>
          <w:lang w:eastAsia="en-GB"/>
        </w:rPr>
        <w:t xml:space="preserve">London Borough of Islington v QR </w:t>
      </w:r>
      <w:r w:rsidRPr="0073530B">
        <w:rPr>
          <w:color w:val="000000"/>
          <w:sz w:val="18"/>
          <w:szCs w:val="18"/>
          <w:lang w:eastAsia="en-GB"/>
        </w:rPr>
        <w:t>[2014] EWCOP 26</w:t>
      </w:r>
      <w:r w:rsidRPr="0073530B">
        <w:rPr>
          <w:sz w:val="18"/>
          <w:szCs w:val="18"/>
        </w:rPr>
        <w:t>: ‘</w:t>
      </w:r>
      <w:bookmarkStart w:id="1" w:name="para84"/>
      <w:r w:rsidRPr="0073530B">
        <w:rPr>
          <w:color w:val="000000"/>
          <w:sz w:val="18"/>
          <w:szCs w:val="18"/>
        </w:rPr>
        <w:t>The decision on capacity is one for the judge to make</w:t>
      </w:r>
      <w:bookmarkEnd w:id="1"/>
      <w:r w:rsidRPr="0073530B">
        <w:rPr>
          <w:color w:val="000000"/>
          <w:sz w:val="18"/>
          <w:szCs w:val="18"/>
        </w:rPr>
        <w:t>’.</w:t>
      </w:r>
    </w:p>
  </w:footnote>
  <w:footnote w:id="15">
    <w:p w:rsidR="00237841" w:rsidRPr="0073530B" w:rsidRDefault="00237841" w:rsidP="00F7300A">
      <w:pPr>
        <w:pStyle w:val="FootnoteText"/>
        <w:rPr>
          <w:rFonts w:asciiTheme="minorHAnsi" w:hAnsiTheme="minorHAnsi"/>
          <w:sz w:val="18"/>
          <w:szCs w:val="18"/>
        </w:rPr>
      </w:pPr>
      <w:r w:rsidRPr="0073530B">
        <w:rPr>
          <w:rStyle w:val="FootnoteReference"/>
          <w:rFonts w:asciiTheme="minorHAnsi" w:hAnsiTheme="minorHAnsi"/>
          <w:sz w:val="18"/>
          <w:szCs w:val="18"/>
        </w:rPr>
        <w:footnoteRef/>
      </w:r>
      <w:r w:rsidRPr="0073530B">
        <w:rPr>
          <w:rFonts w:asciiTheme="minorHAnsi" w:hAnsiTheme="minorHAnsi"/>
          <w:sz w:val="18"/>
          <w:szCs w:val="18"/>
        </w:rPr>
        <w:t xml:space="preserve"> Some of the broader implications are explored by the author in ‘Negotiating the Domain of Mental Capacity: Clinical Judgement or Judicial Diagnosis?’ (awaiting publication).</w:t>
      </w:r>
    </w:p>
    <w:p w:rsidR="00237841" w:rsidRPr="0073530B" w:rsidRDefault="00237841" w:rsidP="00F7300A">
      <w:pPr>
        <w:pStyle w:val="FootnoteText"/>
        <w:rPr>
          <w:rFonts w:asciiTheme="minorHAnsi" w:hAnsiTheme="minorHAnsi"/>
          <w:sz w:val="18"/>
          <w:szCs w:val="18"/>
        </w:rPr>
      </w:pPr>
    </w:p>
  </w:footnote>
  <w:footnote w:id="16">
    <w:p w:rsidR="00237841" w:rsidRPr="0073530B" w:rsidRDefault="00237841">
      <w:pPr>
        <w:pStyle w:val="FootnoteText"/>
        <w:rPr>
          <w:rFonts w:asciiTheme="minorHAnsi" w:hAnsiTheme="minorHAnsi"/>
          <w:sz w:val="18"/>
          <w:szCs w:val="18"/>
        </w:rPr>
      </w:pPr>
      <w:r w:rsidRPr="0073530B">
        <w:rPr>
          <w:rStyle w:val="FootnoteReference"/>
          <w:rFonts w:asciiTheme="minorHAnsi" w:hAnsiTheme="minorHAnsi"/>
          <w:sz w:val="18"/>
          <w:szCs w:val="18"/>
        </w:rPr>
        <w:footnoteRef/>
      </w:r>
      <w:r w:rsidRPr="0073530B">
        <w:rPr>
          <w:rFonts w:asciiTheme="minorHAnsi" w:hAnsiTheme="minorHAnsi"/>
          <w:sz w:val="18"/>
          <w:szCs w:val="18"/>
        </w:rPr>
        <w:t xml:space="preserve"> See e.g. the excellent piece by N. Allen, ‘Is Capacity Insight?’ (2009) </w:t>
      </w:r>
      <w:r w:rsidRPr="0073530B">
        <w:rPr>
          <w:rFonts w:asciiTheme="minorHAnsi" w:hAnsiTheme="minorHAnsi"/>
          <w:i/>
          <w:sz w:val="18"/>
          <w:szCs w:val="18"/>
        </w:rPr>
        <w:t>J Mental Health L</w:t>
      </w:r>
      <w:r w:rsidRPr="0073530B">
        <w:rPr>
          <w:rFonts w:asciiTheme="minorHAnsi" w:hAnsiTheme="minorHAnsi"/>
          <w:sz w:val="18"/>
          <w:szCs w:val="18"/>
        </w:rPr>
        <w:t xml:space="preserve"> 165. </w:t>
      </w:r>
    </w:p>
    <w:p w:rsidR="00237841" w:rsidRPr="0073530B" w:rsidRDefault="00237841">
      <w:pPr>
        <w:pStyle w:val="FootnoteText"/>
        <w:rPr>
          <w:rFonts w:asciiTheme="minorHAnsi" w:hAnsiTheme="minorHAnsi"/>
          <w:sz w:val="18"/>
          <w:szCs w:val="18"/>
        </w:rPr>
      </w:pPr>
      <w:r w:rsidRPr="0073530B">
        <w:rPr>
          <w:rFonts w:asciiTheme="minorHAnsi" w:hAnsiTheme="minorHAnsi"/>
          <w:sz w:val="18"/>
          <w:szCs w:val="18"/>
        </w:rPr>
        <w:t xml:space="preserve"> </w:t>
      </w:r>
    </w:p>
  </w:footnote>
  <w:footnote w:id="17">
    <w:p w:rsidR="00237841" w:rsidRPr="0073530B" w:rsidRDefault="00237841" w:rsidP="00E5098A">
      <w:pPr>
        <w:pStyle w:val="FootnoteText"/>
        <w:rPr>
          <w:rFonts w:asciiTheme="minorHAnsi" w:hAnsiTheme="minorHAnsi"/>
          <w:sz w:val="18"/>
          <w:szCs w:val="18"/>
        </w:rPr>
      </w:pPr>
      <w:r w:rsidRPr="0073530B">
        <w:rPr>
          <w:rStyle w:val="FootnoteReference"/>
          <w:rFonts w:asciiTheme="minorHAnsi" w:hAnsiTheme="minorHAnsi"/>
          <w:sz w:val="18"/>
          <w:szCs w:val="18"/>
        </w:rPr>
        <w:footnoteRef/>
      </w:r>
      <w:r w:rsidRPr="0073530B">
        <w:rPr>
          <w:rFonts w:asciiTheme="minorHAnsi" w:hAnsiTheme="minorHAnsi"/>
          <w:sz w:val="18"/>
          <w:szCs w:val="18"/>
        </w:rPr>
        <w:t xml:space="preserve"> The lack of definition has been regarded as problematic in other places –see e.g. J. </w:t>
      </w:r>
      <w:proofErr w:type="spellStart"/>
      <w:r w:rsidRPr="0073530B">
        <w:rPr>
          <w:rFonts w:asciiTheme="minorHAnsi" w:hAnsiTheme="minorHAnsi"/>
          <w:sz w:val="18"/>
          <w:szCs w:val="18"/>
        </w:rPr>
        <w:t>Peay</w:t>
      </w:r>
      <w:proofErr w:type="spellEnd"/>
      <w:r w:rsidRPr="0073530B">
        <w:rPr>
          <w:rFonts w:asciiTheme="minorHAnsi" w:hAnsiTheme="minorHAnsi"/>
          <w:sz w:val="18"/>
          <w:szCs w:val="18"/>
        </w:rPr>
        <w:t xml:space="preserve">, </w:t>
      </w:r>
      <w:r w:rsidRPr="0073530B">
        <w:rPr>
          <w:rFonts w:asciiTheme="minorHAnsi" w:hAnsiTheme="minorHAnsi"/>
          <w:i/>
          <w:sz w:val="18"/>
          <w:szCs w:val="18"/>
        </w:rPr>
        <w:t>Tribunals on Trial</w:t>
      </w:r>
      <w:r w:rsidRPr="0073530B">
        <w:rPr>
          <w:rFonts w:asciiTheme="minorHAnsi" w:hAnsiTheme="minorHAnsi"/>
          <w:sz w:val="18"/>
          <w:szCs w:val="18"/>
        </w:rPr>
        <w:t xml:space="preserve"> (Clarendon Press, 1989) where ‘insight’ is mentioned as the first in a number of recurrent themes in mental health tribunal decision making (see particularly pp.142-3). See also academics </w:t>
      </w:r>
      <w:proofErr w:type="spellStart"/>
      <w:r w:rsidRPr="0073530B">
        <w:rPr>
          <w:rFonts w:asciiTheme="minorHAnsi" w:hAnsiTheme="minorHAnsi"/>
          <w:sz w:val="18"/>
          <w:szCs w:val="18"/>
        </w:rPr>
        <w:t>Diesfield</w:t>
      </w:r>
      <w:proofErr w:type="spellEnd"/>
      <w:r w:rsidRPr="0073530B">
        <w:rPr>
          <w:rFonts w:asciiTheme="minorHAnsi" w:hAnsiTheme="minorHAnsi"/>
          <w:sz w:val="18"/>
          <w:szCs w:val="18"/>
        </w:rPr>
        <w:t xml:space="preserve"> and McKenna commenting on the prevalence of its use in mental health review tribunals in New Zealand, despite the absence of a definition. K. </w:t>
      </w:r>
      <w:proofErr w:type="spellStart"/>
      <w:r w:rsidRPr="0073530B">
        <w:rPr>
          <w:rFonts w:asciiTheme="minorHAnsi" w:hAnsiTheme="minorHAnsi"/>
          <w:sz w:val="18"/>
          <w:szCs w:val="18"/>
        </w:rPr>
        <w:t>Diesfield</w:t>
      </w:r>
      <w:proofErr w:type="spellEnd"/>
      <w:r w:rsidRPr="0073530B">
        <w:rPr>
          <w:rFonts w:asciiTheme="minorHAnsi" w:hAnsiTheme="minorHAnsi"/>
          <w:sz w:val="18"/>
          <w:szCs w:val="18"/>
        </w:rPr>
        <w:t xml:space="preserve"> and B. McKenna,</w:t>
      </w:r>
      <w:r w:rsidRPr="0073530B">
        <w:rPr>
          <w:rFonts w:asciiTheme="minorHAnsi" w:hAnsiTheme="minorHAnsi"/>
          <w:i/>
          <w:sz w:val="18"/>
          <w:szCs w:val="18"/>
        </w:rPr>
        <w:t xml:space="preserve"> Insight and Other Puzzles: Undefined terms in the New Zealand Mental Health Review Tribunal </w:t>
      </w:r>
      <w:r w:rsidRPr="0073530B">
        <w:rPr>
          <w:rFonts w:asciiTheme="minorHAnsi" w:hAnsiTheme="minorHAnsi"/>
          <w:sz w:val="18"/>
          <w:szCs w:val="18"/>
        </w:rPr>
        <w:t xml:space="preserve">(Mental Health Commission, 2005). </w:t>
      </w:r>
    </w:p>
    <w:p w:rsidR="00237841" w:rsidRPr="0073530B" w:rsidRDefault="00237841" w:rsidP="00E5098A">
      <w:pPr>
        <w:pStyle w:val="FootnoteText"/>
        <w:rPr>
          <w:rFonts w:asciiTheme="minorHAnsi" w:hAnsiTheme="minorHAnsi"/>
          <w:sz w:val="18"/>
          <w:szCs w:val="18"/>
        </w:rPr>
      </w:pPr>
    </w:p>
  </w:footnote>
  <w:footnote w:id="18">
    <w:p w:rsidR="00237841" w:rsidRPr="0073530B" w:rsidRDefault="00237841" w:rsidP="004461A6">
      <w:pPr>
        <w:pStyle w:val="FootnoteText"/>
        <w:rPr>
          <w:rFonts w:asciiTheme="minorHAnsi" w:hAnsiTheme="minorHAnsi"/>
          <w:i/>
          <w:sz w:val="18"/>
          <w:szCs w:val="18"/>
        </w:rPr>
      </w:pPr>
      <w:r w:rsidRPr="0073530B">
        <w:rPr>
          <w:rStyle w:val="FootnoteReference"/>
          <w:rFonts w:asciiTheme="minorHAnsi" w:hAnsiTheme="minorHAnsi"/>
          <w:sz w:val="18"/>
          <w:szCs w:val="18"/>
        </w:rPr>
        <w:footnoteRef/>
      </w:r>
      <w:r w:rsidRPr="0073530B">
        <w:rPr>
          <w:rFonts w:asciiTheme="minorHAnsi" w:hAnsiTheme="minorHAnsi"/>
          <w:sz w:val="18"/>
          <w:szCs w:val="18"/>
        </w:rPr>
        <w:t xml:space="preserve"> G. Owen et al ‘Mental capacity and decision autonomy: an interdisciplinary challenge.’ (2009) 51(1) </w:t>
      </w:r>
      <w:r w:rsidRPr="0073530B">
        <w:rPr>
          <w:rFonts w:asciiTheme="minorHAnsi" w:hAnsiTheme="minorHAnsi"/>
          <w:i/>
          <w:sz w:val="18"/>
          <w:szCs w:val="18"/>
        </w:rPr>
        <w:t xml:space="preserve">Inquiry </w:t>
      </w:r>
      <w:r w:rsidRPr="0073530B">
        <w:rPr>
          <w:rFonts w:asciiTheme="minorHAnsi" w:hAnsiTheme="minorHAnsi"/>
          <w:sz w:val="18"/>
          <w:szCs w:val="18"/>
        </w:rPr>
        <w:t>79</w:t>
      </w:r>
      <w:r w:rsidRPr="0073530B">
        <w:rPr>
          <w:rFonts w:asciiTheme="minorHAnsi" w:hAnsiTheme="minorHAnsi"/>
          <w:i/>
          <w:sz w:val="18"/>
          <w:szCs w:val="18"/>
        </w:rPr>
        <w:t>.</w:t>
      </w:r>
    </w:p>
    <w:p w:rsidR="00237841" w:rsidRPr="0073530B" w:rsidRDefault="00237841" w:rsidP="004461A6">
      <w:pPr>
        <w:pStyle w:val="FootnoteText"/>
        <w:rPr>
          <w:rFonts w:asciiTheme="minorHAnsi" w:hAnsiTheme="minorHAnsi"/>
          <w:sz w:val="18"/>
          <w:szCs w:val="18"/>
        </w:rPr>
      </w:pPr>
    </w:p>
  </w:footnote>
  <w:footnote w:id="19">
    <w:p w:rsidR="00237841" w:rsidRPr="0073530B" w:rsidRDefault="00237841" w:rsidP="004461A6">
      <w:pPr>
        <w:pStyle w:val="FootnoteText"/>
        <w:rPr>
          <w:rFonts w:asciiTheme="minorHAnsi" w:hAnsiTheme="minorHAnsi"/>
          <w:sz w:val="18"/>
          <w:szCs w:val="18"/>
        </w:rPr>
      </w:pPr>
      <w:r w:rsidRPr="0073530B">
        <w:rPr>
          <w:rStyle w:val="FootnoteReference"/>
          <w:rFonts w:asciiTheme="minorHAnsi" w:hAnsiTheme="minorHAnsi"/>
          <w:sz w:val="18"/>
          <w:szCs w:val="18"/>
        </w:rPr>
        <w:footnoteRef/>
      </w:r>
      <w:r w:rsidRPr="0073530B">
        <w:rPr>
          <w:rFonts w:asciiTheme="minorHAnsi" w:hAnsiTheme="minorHAnsi"/>
          <w:sz w:val="18"/>
          <w:szCs w:val="18"/>
        </w:rPr>
        <w:t xml:space="preserve"> S. </w:t>
      </w:r>
      <w:proofErr w:type="spellStart"/>
      <w:r w:rsidRPr="0073530B">
        <w:rPr>
          <w:rFonts w:asciiTheme="minorHAnsi" w:hAnsiTheme="minorHAnsi"/>
          <w:sz w:val="18"/>
          <w:szCs w:val="18"/>
        </w:rPr>
        <w:t>Chaudhry</w:t>
      </w:r>
      <w:proofErr w:type="spellEnd"/>
      <w:r w:rsidRPr="0073530B">
        <w:rPr>
          <w:rFonts w:asciiTheme="minorHAnsi" w:hAnsiTheme="minorHAnsi"/>
          <w:sz w:val="18"/>
          <w:szCs w:val="18"/>
        </w:rPr>
        <w:t xml:space="preserve"> et al, ‘Insight in Psychiatry: a Review.’ (2014) 1(1) </w:t>
      </w:r>
      <w:r w:rsidRPr="0073530B">
        <w:rPr>
          <w:rFonts w:asciiTheme="minorHAnsi" w:hAnsiTheme="minorHAnsi"/>
          <w:i/>
          <w:sz w:val="18"/>
          <w:szCs w:val="18"/>
        </w:rPr>
        <w:t xml:space="preserve">Universal Research Journal of Medical Sciences. </w:t>
      </w:r>
      <w:r w:rsidRPr="0073530B">
        <w:rPr>
          <w:rFonts w:asciiTheme="minorHAnsi" w:hAnsiTheme="minorHAnsi"/>
          <w:sz w:val="18"/>
          <w:szCs w:val="18"/>
        </w:rPr>
        <w:t>22</w:t>
      </w:r>
    </w:p>
    <w:p w:rsidR="00237841" w:rsidRPr="0073530B" w:rsidRDefault="00237841" w:rsidP="004461A6">
      <w:pPr>
        <w:pStyle w:val="FootnoteText"/>
        <w:rPr>
          <w:rFonts w:asciiTheme="minorHAnsi" w:hAnsiTheme="minorHAnsi"/>
          <w:sz w:val="18"/>
          <w:szCs w:val="18"/>
        </w:rPr>
      </w:pPr>
    </w:p>
  </w:footnote>
  <w:footnote w:id="20">
    <w:p w:rsidR="00237841" w:rsidRPr="0073530B" w:rsidRDefault="00237841" w:rsidP="004461A6">
      <w:pPr>
        <w:pStyle w:val="FootnoteText"/>
        <w:rPr>
          <w:rStyle w:val="cit-fpage"/>
          <w:rFonts w:asciiTheme="minorHAnsi" w:hAnsiTheme="minorHAnsi"/>
          <w:sz w:val="18"/>
          <w:szCs w:val="18"/>
          <w:bdr w:val="none" w:sz="0" w:space="0" w:color="auto" w:frame="1"/>
          <w:shd w:val="clear" w:color="auto" w:fill="FFFFFF"/>
        </w:rPr>
      </w:pPr>
      <w:r w:rsidRPr="0073530B">
        <w:rPr>
          <w:rStyle w:val="FootnoteReference"/>
          <w:rFonts w:asciiTheme="minorHAnsi" w:hAnsiTheme="minorHAnsi"/>
          <w:sz w:val="18"/>
          <w:szCs w:val="18"/>
        </w:rPr>
        <w:footnoteRef/>
      </w:r>
      <w:r w:rsidRPr="0073530B">
        <w:rPr>
          <w:rFonts w:asciiTheme="minorHAnsi" w:hAnsiTheme="minorHAnsi"/>
          <w:sz w:val="18"/>
          <w:szCs w:val="18"/>
        </w:rPr>
        <w:t xml:space="preserve"> A. Beck-Sander,</w:t>
      </w:r>
      <w:r w:rsidRPr="0073530B">
        <w:rPr>
          <w:rStyle w:val="Strong"/>
          <w:rFonts w:asciiTheme="minorHAnsi" w:hAnsiTheme="minorHAnsi"/>
          <w:sz w:val="18"/>
          <w:szCs w:val="18"/>
          <w:bdr w:val="none" w:sz="0" w:space="0" w:color="auto" w:frame="1"/>
          <w:shd w:val="clear" w:color="auto" w:fill="FFFFFF"/>
        </w:rPr>
        <w:t xml:space="preserve"> ‘</w:t>
      </w:r>
      <w:r w:rsidRPr="0073530B">
        <w:rPr>
          <w:rFonts w:asciiTheme="minorHAnsi" w:hAnsiTheme="minorHAnsi"/>
          <w:sz w:val="18"/>
          <w:szCs w:val="18"/>
          <w:shd w:val="clear" w:color="auto" w:fill="FFFFFF"/>
        </w:rPr>
        <w:t xml:space="preserve">Is insight into psychosis meaningful?’ </w:t>
      </w:r>
      <w:r w:rsidRPr="0073530B">
        <w:rPr>
          <w:rStyle w:val="cit-pub-date"/>
          <w:rFonts w:asciiTheme="minorHAnsi" w:hAnsiTheme="minorHAnsi"/>
          <w:sz w:val="18"/>
          <w:szCs w:val="18"/>
          <w:bdr w:val="none" w:sz="0" w:space="0" w:color="auto" w:frame="1"/>
          <w:shd w:val="clear" w:color="auto" w:fill="FFFFFF"/>
        </w:rPr>
        <w:t>(1998)</w:t>
      </w:r>
      <w:r w:rsidRPr="0073530B">
        <w:rPr>
          <w:rStyle w:val="apple-converted-space"/>
          <w:rFonts w:asciiTheme="minorHAnsi" w:hAnsiTheme="minorHAnsi"/>
          <w:sz w:val="18"/>
          <w:szCs w:val="18"/>
          <w:shd w:val="clear" w:color="auto" w:fill="FFFFFF"/>
        </w:rPr>
        <w:t> </w:t>
      </w:r>
      <w:r w:rsidRPr="0073530B">
        <w:rPr>
          <w:rStyle w:val="cit-source"/>
          <w:rFonts w:asciiTheme="minorHAnsi" w:hAnsiTheme="minorHAnsi"/>
          <w:i/>
          <w:iCs/>
          <w:sz w:val="18"/>
          <w:szCs w:val="18"/>
          <w:bdr w:val="none" w:sz="0" w:space="0" w:color="auto" w:frame="1"/>
          <w:shd w:val="clear" w:color="auto" w:fill="FFFFFF"/>
        </w:rPr>
        <w:t>Journal of Mental Health</w:t>
      </w:r>
      <w:r w:rsidRPr="0073530B">
        <w:rPr>
          <w:rStyle w:val="apple-converted-space"/>
          <w:rFonts w:asciiTheme="minorHAnsi" w:hAnsiTheme="minorHAnsi"/>
          <w:sz w:val="18"/>
          <w:szCs w:val="18"/>
          <w:shd w:val="clear" w:color="auto" w:fill="FFFFFF"/>
        </w:rPr>
        <w:t> </w:t>
      </w:r>
      <w:r w:rsidRPr="0073530B">
        <w:rPr>
          <w:rStyle w:val="cit-fpage"/>
          <w:rFonts w:asciiTheme="minorHAnsi" w:hAnsiTheme="minorHAnsi"/>
          <w:sz w:val="18"/>
          <w:szCs w:val="18"/>
          <w:bdr w:val="none" w:sz="0" w:space="0" w:color="auto" w:frame="1"/>
          <w:shd w:val="clear" w:color="auto" w:fill="FFFFFF"/>
        </w:rPr>
        <w:t>25 at 31.</w:t>
      </w:r>
    </w:p>
    <w:p w:rsidR="00237841" w:rsidRPr="0073530B" w:rsidRDefault="00237841" w:rsidP="004461A6">
      <w:pPr>
        <w:pStyle w:val="FootnoteText"/>
        <w:rPr>
          <w:rFonts w:asciiTheme="minorHAnsi" w:hAnsiTheme="minorHAnsi"/>
          <w:sz w:val="18"/>
          <w:szCs w:val="18"/>
        </w:rPr>
      </w:pPr>
    </w:p>
  </w:footnote>
  <w:footnote w:id="21">
    <w:p w:rsidR="00237841" w:rsidRPr="0073530B" w:rsidRDefault="00237841" w:rsidP="00BB01EA">
      <w:pPr>
        <w:pStyle w:val="FootnoteText"/>
        <w:rPr>
          <w:rFonts w:asciiTheme="minorHAnsi" w:hAnsiTheme="minorHAnsi"/>
          <w:sz w:val="18"/>
          <w:szCs w:val="18"/>
        </w:rPr>
      </w:pPr>
      <w:r w:rsidRPr="0073530B">
        <w:rPr>
          <w:rStyle w:val="FootnoteReference"/>
          <w:rFonts w:asciiTheme="minorHAnsi" w:hAnsiTheme="minorHAnsi"/>
          <w:sz w:val="18"/>
          <w:szCs w:val="18"/>
        </w:rPr>
        <w:footnoteRef/>
      </w:r>
      <w:r w:rsidRPr="0073530B">
        <w:rPr>
          <w:rFonts w:asciiTheme="minorHAnsi" w:hAnsiTheme="minorHAnsi"/>
          <w:sz w:val="18"/>
          <w:szCs w:val="18"/>
        </w:rPr>
        <w:t xml:space="preserve"> R. Perkins and P. </w:t>
      </w:r>
      <w:proofErr w:type="spellStart"/>
      <w:r w:rsidRPr="0073530B">
        <w:rPr>
          <w:rFonts w:asciiTheme="minorHAnsi" w:hAnsiTheme="minorHAnsi"/>
          <w:sz w:val="18"/>
          <w:szCs w:val="18"/>
        </w:rPr>
        <w:t>Moodley</w:t>
      </w:r>
      <w:proofErr w:type="spellEnd"/>
      <w:r w:rsidRPr="0073530B">
        <w:rPr>
          <w:rFonts w:asciiTheme="minorHAnsi" w:hAnsiTheme="minorHAnsi"/>
          <w:sz w:val="18"/>
          <w:szCs w:val="18"/>
        </w:rPr>
        <w:t>, ‘The arrogance of insight.’ (1993) 17</w:t>
      </w:r>
      <w:r w:rsidRPr="0073530B">
        <w:rPr>
          <w:rFonts w:asciiTheme="minorHAnsi" w:hAnsiTheme="minorHAnsi"/>
          <w:i/>
          <w:sz w:val="18"/>
          <w:szCs w:val="18"/>
        </w:rPr>
        <w:t xml:space="preserve"> Psychiatric Bulletin</w:t>
      </w:r>
      <w:r w:rsidRPr="0073530B">
        <w:rPr>
          <w:rFonts w:asciiTheme="minorHAnsi" w:hAnsiTheme="minorHAnsi"/>
          <w:sz w:val="18"/>
          <w:szCs w:val="18"/>
        </w:rPr>
        <w:t xml:space="preserve"> 233.</w:t>
      </w:r>
    </w:p>
    <w:p w:rsidR="00237841" w:rsidRPr="0073530B" w:rsidRDefault="00237841" w:rsidP="00BB01EA">
      <w:pPr>
        <w:pStyle w:val="FootnoteText"/>
        <w:rPr>
          <w:rFonts w:asciiTheme="minorHAnsi" w:hAnsiTheme="minorHAnsi"/>
          <w:sz w:val="18"/>
          <w:szCs w:val="18"/>
        </w:rPr>
      </w:pPr>
    </w:p>
  </w:footnote>
  <w:footnote w:id="22">
    <w:p w:rsidR="00237841" w:rsidRPr="0073530B" w:rsidRDefault="00237841" w:rsidP="00E5098A">
      <w:pPr>
        <w:pStyle w:val="FootnoteText"/>
        <w:rPr>
          <w:rFonts w:asciiTheme="minorHAnsi" w:hAnsiTheme="minorHAnsi"/>
          <w:sz w:val="18"/>
          <w:szCs w:val="18"/>
        </w:rPr>
      </w:pPr>
      <w:r w:rsidRPr="0073530B">
        <w:rPr>
          <w:rStyle w:val="FootnoteReference"/>
          <w:rFonts w:asciiTheme="minorHAnsi" w:hAnsiTheme="minorHAnsi"/>
          <w:sz w:val="18"/>
          <w:szCs w:val="18"/>
        </w:rPr>
        <w:footnoteRef/>
      </w:r>
      <w:r w:rsidRPr="0073530B">
        <w:rPr>
          <w:rFonts w:asciiTheme="minorHAnsi" w:hAnsiTheme="minorHAnsi"/>
          <w:sz w:val="18"/>
          <w:szCs w:val="18"/>
        </w:rPr>
        <w:t xml:space="preserve"> DSM-V. </w:t>
      </w:r>
    </w:p>
    <w:p w:rsidR="00237841" w:rsidRPr="0073530B" w:rsidRDefault="00237841" w:rsidP="00E5098A">
      <w:pPr>
        <w:pStyle w:val="FootnoteText"/>
        <w:rPr>
          <w:rFonts w:asciiTheme="minorHAnsi" w:hAnsiTheme="minorHAnsi"/>
          <w:sz w:val="18"/>
          <w:szCs w:val="18"/>
        </w:rPr>
      </w:pPr>
    </w:p>
  </w:footnote>
  <w:footnote w:id="23">
    <w:p w:rsidR="00237841" w:rsidRPr="0073530B" w:rsidRDefault="00237841" w:rsidP="00843F44">
      <w:pPr>
        <w:pStyle w:val="Heading1"/>
        <w:shd w:val="clear" w:color="auto" w:fill="FFFFFF"/>
        <w:spacing w:before="90" w:beforeAutospacing="0" w:after="90" w:afterAutospacing="0" w:line="270" w:lineRule="atLeast"/>
        <w:rPr>
          <w:rFonts w:asciiTheme="minorHAnsi" w:hAnsiTheme="minorHAnsi" w:cs="Arial"/>
          <w:b w:val="0"/>
          <w:color w:val="000000"/>
          <w:sz w:val="18"/>
          <w:szCs w:val="18"/>
        </w:rPr>
      </w:pPr>
      <w:r w:rsidRPr="0073530B">
        <w:rPr>
          <w:rStyle w:val="FootnoteReference"/>
          <w:rFonts w:asciiTheme="minorHAnsi" w:hAnsiTheme="minorHAnsi"/>
          <w:b w:val="0"/>
          <w:sz w:val="18"/>
          <w:szCs w:val="18"/>
        </w:rPr>
        <w:footnoteRef/>
      </w:r>
      <w:r w:rsidRPr="0073530B">
        <w:rPr>
          <w:rFonts w:asciiTheme="minorHAnsi" w:hAnsiTheme="minorHAnsi"/>
          <w:b w:val="0"/>
          <w:sz w:val="18"/>
          <w:szCs w:val="18"/>
        </w:rPr>
        <w:t xml:space="preserve"> R. </w:t>
      </w:r>
      <w:proofErr w:type="spellStart"/>
      <w:r w:rsidRPr="0073530B">
        <w:rPr>
          <w:rFonts w:asciiTheme="minorHAnsi" w:hAnsiTheme="minorHAnsi"/>
          <w:b w:val="0"/>
          <w:sz w:val="18"/>
          <w:szCs w:val="18"/>
        </w:rPr>
        <w:t>Arbel</w:t>
      </w:r>
      <w:proofErr w:type="spellEnd"/>
      <w:r w:rsidRPr="0073530B">
        <w:rPr>
          <w:rFonts w:asciiTheme="minorHAnsi" w:hAnsiTheme="minorHAnsi"/>
          <w:b w:val="0"/>
          <w:sz w:val="18"/>
          <w:szCs w:val="18"/>
        </w:rPr>
        <w:t xml:space="preserve"> et al, ‘</w:t>
      </w:r>
      <w:r w:rsidRPr="0073530B">
        <w:rPr>
          <w:rFonts w:asciiTheme="minorHAnsi" w:hAnsiTheme="minorHAnsi" w:cs="Arial"/>
          <w:b w:val="0"/>
          <w:color w:val="000000"/>
          <w:sz w:val="18"/>
          <w:szCs w:val="18"/>
        </w:rPr>
        <w:t xml:space="preserve">The </w:t>
      </w:r>
      <w:proofErr w:type="spellStart"/>
      <w:r w:rsidRPr="0073530B">
        <w:rPr>
          <w:rFonts w:asciiTheme="minorHAnsi" w:hAnsiTheme="minorHAnsi" w:cs="Arial"/>
          <w:b w:val="0"/>
          <w:color w:val="000000"/>
          <w:sz w:val="18"/>
          <w:szCs w:val="18"/>
        </w:rPr>
        <w:t>neurocognitive</w:t>
      </w:r>
      <w:proofErr w:type="spellEnd"/>
      <w:r w:rsidRPr="0073530B">
        <w:rPr>
          <w:rFonts w:asciiTheme="minorHAnsi" w:hAnsiTheme="minorHAnsi" w:cs="Arial"/>
          <w:b w:val="0"/>
          <w:color w:val="000000"/>
          <w:sz w:val="18"/>
          <w:szCs w:val="18"/>
        </w:rPr>
        <w:t xml:space="preserve"> basis of insight into illness in anorexia nervosa: a pilot </w:t>
      </w:r>
      <w:proofErr w:type="spellStart"/>
      <w:r w:rsidRPr="0073530B">
        <w:rPr>
          <w:rFonts w:asciiTheme="minorHAnsi" w:hAnsiTheme="minorHAnsi" w:cs="Arial"/>
          <w:b w:val="0"/>
          <w:color w:val="000000"/>
          <w:sz w:val="18"/>
          <w:szCs w:val="18"/>
        </w:rPr>
        <w:t>metacognitive</w:t>
      </w:r>
      <w:proofErr w:type="spellEnd"/>
      <w:r w:rsidRPr="0073530B">
        <w:rPr>
          <w:rFonts w:asciiTheme="minorHAnsi" w:hAnsiTheme="minorHAnsi" w:cs="Arial"/>
          <w:b w:val="0"/>
          <w:color w:val="000000"/>
          <w:sz w:val="18"/>
          <w:szCs w:val="18"/>
        </w:rPr>
        <w:t xml:space="preserve"> study.’ (2013) 209 </w:t>
      </w:r>
      <w:r w:rsidRPr="0073530B">
        <w:rPr>
          <w:rFonts w:asciiTheme="minorHAnsi" w:hAnsiTheme="minorHAnsi" w:cs="Arial"/>
          <w:b w:val="0"/>
          <w:i/>
          <w:color w:val="000000"/>
          <w:sz w:val="18"/>
          <w:szCs w:val="18"/>
        </w:rPr>
        <w:t xml:space="preserve">Psych Res </w:t>
      </w:r>
      <w:r w:rsidRPr="0073530B">
        <w:rPr>
          <w:rFonts w:asciiTheme="minorHAnsi" w:hAnsiTheme="minorHAnsi" w:cs="Arial"/>
          <w:b w:val="0"/>
          <w:color w:val="000000"/>
          <w:sz w:val="18"/>
          <w:szCs w:val="18"/>
        </w:rPr>
        <w:t>604.</w:t>
      </w:r>
    </w:p>
    <w:p w:rsidR="00237841" w:rsidRPr="0073530B" w:rsidRDefault="00237841">
      <w:pPr>
        <w:pStyle w:val="FootnoteText"/>
        <w:rPr>
          <w:rFonts w:asciiTheme="minorHAnsi" w:hAnsiTheme="minorHAnsi"/>
          <w:sz w:val="18"/>
          <w:szCs w:val="18"/>
        </w:rPr>
      </w:pPr>
    </w:p>
  </w:footnote>
  <w:footnote w:id="24">
    <w:p w:rsidR="00237841" w:rsidRPr="0073530B" w:rsidRDefault="00237841" w:rsidP="004948D1">
      <w:pPr>
        <w:pStyle w:val="FootnoteText"/>
        <w:rPr>
          <w:rFonts w:asciiTheme="minorHAnsi" w:hAnsiTheme="minorHAnsi"/>
          <w:sz w:val="18"/>
          <w:szCs w:val="18"/>
        </w:rPr>
      </w:pPr>
      <w:r w:rsidRPr="0073530B">
        <w:rPr>
          <w:rStyle w:val="FootnoteReference"/>
          <w:rFonts w:asciiTheme="minorHAnsi" w:hAnsiTheme="minorHAnsi"/>
          <w:sz w:val="18"/>
          <w:szCs w:val="18"/>
        </w:rPr>
        <w:footnoteRef/>
      </w:r>
      <w:r w:rsidRPr="0073530B">
        <w:rPr>
          <w:rFonts w:asciiTheme="minorHAnsi" w:hAnsiTheme="minorHAnsi"/>
          <w:sz w:val="18"/>
          <w:szCs w:val="18"/>
        </w:rPr>
        <w:t xml:space="preserve"> For its increasingly common use in the context of dementia, see J. Bond et al, ‘</w:t>
      </w:r>
      <w:proofErr w:type="spellStart"/>
      <w:r w:rsidRPr="0073530B">
        <w:rPr>
          <w:rFonts w:asciiTheme="minorHAnsi" w:hAnsiTheme="minorHAnsi"/>
          <w:sz w:val="18"/>
          <w:szCs w:val="18"/>
        </w:rPr>
        <w:t>Medicalization</w:t>
      </w:r>
      <w:proofErr w:type="spellEnd"/>
      <w:r w:rsidRPr="0073530B">
        <w:rPr>
          <w:rFonts w:asciiTheme="minorHAnsi" w:hAnsiTheme="minorHAnsi"/>
          <w:sz w:val="18"/>
          <w:szCs w:val="18"/>
        </w:rPr>
        <w:t xml:space="preserve"> of insight and caregivers’ responses to risk in dementia.’ (2002) 1(3) </w:t>
      </w:r>
      <w:r w:rsidRPr="0073530B">
        <w:rPr>
          <w:rFonts w:asciiTheme="minorHAnsi" w:hAnsiTheme="minorHAnsi"/>
          <w:i/>
          <w:sz w:val="18"/>
          <w:szCs w:val="18"/>
        </w:rPr>
        <w:t xml:space="preserve">Dementia </w:t>
      </w:r>
      <w:r w:rsidRPr="0073530B">
        <w:rPr>
          <w:rFonts w:asciiTheme="minorHAnsi" w:hAnsiTheme="minorHAnsi"/>
          <w:sz w:val="18"/>
          <w:szCs w:val="18"/>
        </w:rPr>
        <w:t>313.</w:t>
      </w:r>
    </w:p>
    <w:p w:rsidR="00237841" w:rsidRPr="0073530B" w:rsidRDefault="00237841" w:rsidP="004948D1">
      <w:pPr>
        <w:pStyle w:val="FootnoteText"/>
        <w:rPr>
          <w:rFonts w:asciiTheme="minorHAnsi" w:hAnsiTheme="minorHAnsi"/>
          <w:sz w:val="18"/>
          <w:szCs w:val="18"/>
        </w:rPr>
      </w:pPr>
    </w:p>
  </w:footnote>
  <w:footnote w:id="25">
    <w:p w:rsidR="00237841" w:rsidRPr="0073530B" w:rsidRDefault="00237841" w:rsidP="00632BB3">
      <w:pPr>
        <w:pStyle w:val="Heading1"/>
        <w:shd w:val="clear" w:color="auto" w:fill="FFFFFF"/>
        <w:spacing w:before="90" w:beforeAutospacing="0" w:after="90" w:afterAutospacing="0" w:line="270" w:lineRule="atLeast"/>
        <w:rPr>
          <w:rFonts w:asciiTheme="minorHAnsi" w:hAnsiTheme="minorHAnsi" w:cs="Arial"/>
          <w:b w:val="0"/>
          <w:color w:val="000000"/>
          <w:sz w:val="18"/>
          <w:szCs w:val="18"/>
        </w:rPr>
      </w:pPr>
      <w:r w:rsidRPr="0073530B">
        <w:rPr>
          <w:rStyle w:val="FootnoteReference"/>
          <w:rFonts w:asciiTheme="minorHAnsi" w:hAnsiTheme="minorHAnsi"/>
          <w:b w:val="0"/>
          <w:sz w:val="18"/>
          <w:szCs w:val="18"/>
        </w:rPr>
        <w:footnoteRef/>
      </w:r>
      <w:r w:rsidRPr="0073530B">
        <w:rPr>
          <w:rFonts w:asciiTheme="minorHAnsi" w:hAnsiTheme="minorHAnsi"/>
          <w:b w:val="0"/>
          <w:sz w:val="18"/>
          <w:szCs w:val="18"/>
        </w:rPr>
        <w:t xml:space="preserve"> E.g. A. Ho, ‘</w:t>
      </w:r>
      <w:r w:rsidRPr="0073530B">
        <w:rPr>
          <w:rFonts w:asciiTheme="minorHAnsi" w:hAnsiTheme="minorHAnsi" w:cs="Arial"/>
          <w:b w:val="0"/>
          <w:color w:val="000000"/>
          <w:sz w:val="18"/>
          <w:szCs w:val="18"/>
        </w:rPr>
        <w:t xml:space="preserve">Huntington's disease patients have selective problems with insight.’ (2006) 21(3) </w:t>
      </w:r>
      <w:proofErr w:type="spellStart"/>
      <w:r w:rsidRPr="0073530B">
        <w:rPr>
          <w:rFonts w:asciiTheme="minorHAnsi" w:hAnsiTheme="minorHAnsi" w:cs="Arial"/>
          <w:b w:val="0"/>
          <w:i/>
          <w:color w:val="000000"/>
          <w:sz w:val="18"/>
          <w:szCs w:val="18"/>
        </w:rPr>
        <w:t>Mov</w:t>
      </w:r>
      <w:proofErr w:type="spellEnd"/>
      <w:r w:rsidRPr="0073530B">
        <w:rPr>
          <w:rFonts w:asciiTheme="minorHAnsi" w:hAnsiTheme="minorHAnsi" w:cs="Arial"/>
          <w:b w:val="0"/>
          <w:i/>
          <w:color w:val="000000"/>
          <w:sz w:val="18"/>
          <w:szCs w:val="18"/>
        </w:rPr>
        <w:t xml:space="preserve"> </w:t>
      </w:r>
      <w:proofErr w:type="spellStart"/>
      <w:r w:rsidRPr="0073530B">
        <w:rPr>
          <w:rFonts w:asciiTheme="minorHAnsi" w:hAnsiTheme="minorHAnsi" w:cs="Arial"/>
          <w:b w:val="0"/>
          <w:i/>
          <w:color w:val="000000"/>
          <w:sz w:val="18"/>
          <w:szCs w:val="18"/>
        </w:rPr>
        <w:t>Disord</w:t>
      </w:r>
      <w:proofErr w:type="spellEnd"/>
      <w:r w:rsidRPr="0073530B">
        <w:rPr>
          <w:rFonts w:asciiTheme="minorHAnsi" w:hAnsiTheme="minorHAnsi" w:cs="Arial"/>
          <w:b w:val="0"/>
          <w:i/>
          <w:color w:val="000000"/>
          <w:sz w:val="18"/>
          <w:szCs w:val="18"/>
        </w:rPr>
        <w:t xml:space="preserve"> </w:t>
      </w:r>
      <w:r w:rsidRPr="0073530B">
        <w:rPr>
          <w:rFonts w:asciiTheme="minorHAnsi" w:hAnsiTheme="minorHAnsi" w:cs="Arial"/>
          <w:b w:val="0"/>
          <w:color w:val="000000"/>
          <w:sz w:val="18"/>
          <w:szCs w:val="18"/>
        </w:rPr>
        <w:t>385.</w:t>
      </w:r>
    </w:p>
    <w:p w:rsidR="00237841" w:rsidRPr="0073530B" w:rsidRDefault="00237841">
      <w:pPr>
        <w:pStyle w:val="FootnoteText"/>
        <w:rPr>
          <w:rFonts w:asciiTheme="minorHAnsi" w:hAnsiTheme="minorHAnsi"/>
          <w:sz w:val="18"/>
          <w:szCs w:val="18"/>
        </w:rPr>
      </w:pPr>
    </w:p>
  </w:footnote>
  <w:footnote w:id="26">
    <w:p w:rsidR="00237841" w:rsidRPr="0073530B" w:rsidRDefault="00237841">
      <w:pPr>
        <w:pStyle w:val="FootnoteText"/>
        <w:rPr>
          <w:rFonts w:asciiTheme="minorHAnsi" w:hAnsiTheme="minorHAnsi"/>
          <w:sz w:val="18"/>
          <w:szCs w:val="18"/>
        </w:rPr>
      </w:pPr>
      <w:r w:rsidRPr="0073530B">
        <w:rPr>
          <w:rStyle w:val="FootnoteReference"/>
          <w:rFonts w:asciiTheme="minorHAnsi" w:hAnsiTheme="minorHAnsi"/>
          <w:sz w:val="18"/>
          <w:szCs w:val="18"/>
        </w:rPr>
        <w:footnoteRef/>
      </w:r>
      <w:r w:rsidRPr="0073530B">
        <w:rPr>
          <w:rFonts w:asciiTheme="minorHAnsi" w:hAnsiTheme="minorHAnsi"/>
          <w:sz w:val="18"/>
          <w:szCs w:val="18"/>
        </w:rPr>
        <w:t xml:space="preserve"> S. </w:t>
      </w:r>
      <w:proofErr w:type="spellStart"/>
      <w:r w:rsidRPr="0073530B">
        <w:rPr>
          <w:rFonts w:asciiTheme="minorHAnsi" w:hAnsiTheme="minorHAnsi"/>
          <w:sz w:val="18"/>
          <w:szCs w:val="18"/>
        </w:rPr>
        <w:t>Chaudhry</w:t>
      </w:r>
      <w:proofErr w:type="spellEnd"/>
      <w:r w:rsidRPr="0073530B">
        <w:rPr>
          <w:rFonts w:asciiTheme="minorHAnsi" w:hAnsiTheme="minorHAnsi"/>
          <w:sz w:val="18"/>
          <w:szCs w:val="18"/>
        </w:rPr>
        <w:t xml:space="preserve"> et al, ‘Insight in Psychiatry: a Review.’ (2014) 1(1) </w:t>
      </w:r>
      <w:r w:rsidRPr="0073530B">
        <w:rPr>
          <w:rFonts w:asciiTheme="minorHAnsi" w:hAnsiTheme="minorHAnsi"/>
          <w:i/>
          <w:sz w:val="18"/>
          <w:szCs w:val="18"/>
        </w:rPr>
        <w:t xml:space="preserve">Universal Research Journal of Medical Sciences. </w:t>
      </w:r>
      <w:r w:rsidRPr="0073530B">
        <w:rPr>
          <w:rFonts w:asciiTheme="minorHAnsi" w:hAnsiTheme="minorHAnsi"/>
          <w:sz w:val="18"/>
          <w:szCs w:val="18"/>
        </w:rPr>
        <w:t>22.</w:t>
      </w:r>
    </w:p>
    <w:p w:rsidR="00237841" w:rsidRPr="0073530B" w:rsidRDefault="00237841">
      <w:pPr>
        <w:pStyle w:val="FootnoteText"/>
        <w:rPr>
          <w:rFonts w:asciiTheme="minorHAnsi" w:hAnsiTheme="minorHAnsi"/>
          <w:sz w:val="18"/>
          <w:szCs w:val="18"/>
        </w:rPr>
      </w:pPr>
    </w:p>
  </w:footnote>
  <w:footnote w:id="27">
    <w:p w:rsidR="00237841" w:rsidRPr="0073530B" w:rsidRDefault="00237841" w:rsidP="00E5098A">
      <w:pPr>
        <w:pStyle w:val="FootnoteText"/>
        <w:rPr>
          <w:rFonts w:asciiTheme="minorHAnsi" w:hAnsiTheme="minorHAnsi"/>
          <w:sz w:val="18"/>
          <w:szCs w:val="18"/>
        </w:rPr>
      </w:pPr>
      <w:r w:rsidRPr="0073530B">
        <w:rPr>
          <w:rStyle w:val="FootnoteReference"/>
          <w:rFonts w:asciiTheme="minorHAnsi" w:hAnsiTheme="minorHAnsi"/>
          <w:sz w:val="18"/>
          <w:szCs w:val="18"/>
        </w:rPr>
        <w:footnoteRef/>
      </w:r>
      <w:r w:rsidRPr="0073530B">
        <w:rPr>
          <w:rFonts w:asciiTheme="minorHAnsi" w:hAnsiTheme="minorHAnsi"/>
          <w:sz w:val="18"/>
          <w:szCs w:val="18"/>
        </w:rPr>
        <w:t xml:space="preserve"> See e.g. the ‘socio-cultural’ explanation offered by B. </w:t>
      </w:r>
      <w:proofErr w:type="spellStart"/>
      <w:r w:rsidRPr="0073530B">
        <w:rPr>
          <w:rFonts w:asciiTheme="minorHAnsi" w:hAnsiTheme="minorHAnsi"/>
          <w:sz w:val="18"/>
          <w:szCs w:val="18"/>
        </w:rPr>
        <w:t>Saravanan</w:t>
      </w:r>
      <w:proofErr w:type="spellEnd"/>
      <w:r w:rsidRPr="0073530B">
        <w:rPr>
          <w:rFonts w:asciiTheme="minorHAnsi" w:hAnsiTheme="minorHAnsi"/>
          <w:sz w:val="18"/>
          <w:szCs w:val="18"/>
        </w:rPr>
        <w:t xml:space="preserve"> et al, ‘Culture and insight revisited’ (2004) 184 </w:t>
      </w:r>
      <w:r w:rsidRPr="0073530B">
        <w:rPr>
          <w:rFonts w:asciiTheme="minorHAnsi" w:hAnsiTheme="minorHAnsi"/>
          <w:i/>
          <w:sz w:val="18"/>
          <w:szCs w:val="18"/>
        </w:rPr>
        <w:t xml:space="preserve">Brit J Psych. </w:t>
      </w:r>
      <w:r w:rsidRPr="0073530B">
        <w:rPr>
          <w:rFonts w:asciiTheme="minorHAnsi" w:hAnsiTheme="minorHAnsi"/>
          <w:sz w:val="18"/>
          <w:szCs w:val="18"/>
        </w:rPr>
        <w:t>107.</w:t>
      </w:r>
    </w:p>
    <w:p w:rsidR="00237841" w:rsidRPr="0073530B" w:rsidRDefault="00237841" w:rsidP="00E5098A">
      <w:pPr>
        <w:pStyle w:val="FootnoteText"/>
        <w:rPr>
          <w:rFonts w:asciiTheme="minorHAnsi" w:hAnsiTheme="minorHAnsi"/>
          <w:sz w:val="18"/>
          <w:szCs w:val="18"/>
        </w:rPr>
      </w:pPr>
    </w:p>
  </w:footnote>
  <w:footnote w:id="28">
    <w:p w:rsidR="00237841" w:rsidRPr="0073530B" w:rsidRDefault="00237841" w:rsidP="00E5098A">
      <w:pPr>
        <w:pStyle w:val="FootnoteText"/>
        <w:rPr>
          <w:rFonts w:asciiTheme="minorHAnsi" w:hAnsiTheme="minorHAnsi"/>
          <w:sz w:val="18"/>
          <w:szCs w:val="18"/>
        </w:rPr>
      </w:pPr>
      <w:r w:rsidRPr="0073530B">
        <w:rPr>
          <w:rStyle w:val="FootnoteReference"/>
          <w:rFonts w:asciiTheme="minorHAnsi" w:hAnsiTheme="minorHAnsi"/>
          <w:sz w:val="18"/>
          <w:szCs w:val="18"/>
        </w:rPr>
        <w:footnoteRef/>
      </w:r>
      <w:r w:rsidRPr="0073530B">
        <w:rPr>
          <w:rFonts w:asciiTheme="minorHAnsi" w:hAnsiTheme="minorHAnsi"/>
          <w:sz w:val="18"/>
          <w:szCs w:val="18"/>
        </w:rPr>
        <w:t xml:space="preserve"> E.g. A. Carroll et al, ‘Insight and hopelessness in forensic patients with schizophrenia’ (2004) 38(3) </w:t>
      </w:r>
      <w:r w:rsidRPr="0073530B">
        <w:rPr>
          <w:rFonts w:asciiTheme="minorHAnsi" w:hAnsiTheme="minorHAnsi"/>
          <w:i/>
          <w:sz w:val="18"/>
          <w:szCs w:val="18"/>
        </w:rPr>
        <w:t xml:space="preserve">Australia and New Zealand Journal of Psychiatry </w:t>
      </w:r>
      <w:r w:rsidRPr="0073530B">
        <w:rPr>
          <w:rFonts w:asciiTheme="minorHAnsi" w:hAnsiTheme="minorHAnsi"/>
          <w:sz w:val="18"/>
          <w:szCs w:val="18"/>
        </w:rPr>
        <w:t>169.</w:t>
      </w:r>
    </w:p>
    <w:p w:rsidR="00237841" w:rsidRPr="0073530B" w:rsidRDefault="00237841" w:rsidP="00E5098A">
      <w:pPr>
        <w:pStyle w:val="FootnoteText"/>
        <w:rPr>
          <w:rFonts w:asciiTheme="minorHAnsi" w:hAnsiTheme="minorHAnsi"/>
          <w:sz w:val="18"/>
          <w:szCs w:val="18"/>
        </w:rPr>
      </w:pPr>
    </w:p>
  </w:footnote>
  <w:footnote w:id="29">
    <w:p w:rsidR="00237841" w:rsidRPr="0073530B" w:rsidRDefault="00237841" w:rsidP="00E5098A">
      <w:pPr>
        <w:pStyle w:val="FootnoteText"/>
        <w:rPr>
          <w:rFonts w:asciiTheme="minorHAnsi" w:hAnsiTheme="minorHAnsi"/>
          <w:sz w:val="18"/>
          <w:szCs w:val="18"/>
        </w:rPr>
      </w:pPr>
      <w:r w:rsidRPr="0073530B">
        <w:rPr>
          <w:rStyle w:val="FootnoteReference"/>
          <w:rFonts w:asciiTheme="minorHAnsi" w:hAnsiTheme="minorHAnsi"/>
          <w:sz w:val="18"/>
          <w:szCs w:val="18"/>
        </w:rPr>
        <w:footnoteRef/>
      </w:r>
      <w:r w:rsidRPr="0073530B">
        <w:rPr>
          <w:rFonts w:asciiTheme="minorHAnsi" w:hAnsiTheme="minorHAnsi"/>
          <w:sz w:val="18"/>
          <w:szCs w:val="18"/>
        </w:rPr>
        <w:t xml:space="preserve"> M. </w:t>
      </w:r>
      <w:proofErr w:type="spellStart"/>
      <w:r w:rsidRPr="0073530B">
        <w:rPr>
          <w:rFonts w:asciiTheme="minorHAnsi" w:hAnsiTheme="minorHAnsi"/>
          <w:sz w:val="18"/>
          <w:szCs w:val="18"/>
        </w:rPr>
        <w:t>Orfei</w:t>
      </w:r>
      <w:proofErr w:type="spellEnd"/>
      <w:r w:rsidRPr="0073530B">
        <w:rPr>
          <w:rFonts w:asciiTheme="minorHAnsi" w:hAnsiTheme="minorHAnsi"/>
          <w:sz w:val="18"/>
          <w:szCs w:val="18"/>
        </w:rPr>
        <w:t xml:space="preserve"> et al, ‘Unawareness of Illness in Neuropsychiatric Disorders: Phenomenological Certainty versus </w:t>
      </w:r>
      <w:proofErr w:type="spellStart"/>
      <w:r w:rsidRPr="0073530B">
        <w:rPr>
          <w:rFonts w:asciiTheme="minorHAnsi" w:hAnsiTheme="minorHAnsi"/>
          <w:sz w:val="18"/>
          <w:szCs w:val="18"/>
        </w:rPr>
        <w:t>Etiopathogenic</w:t>
      </w:r>
      <w:proofErr w:type="spellEnd"/>
      <w:r w:rsidRPr="0073530B">
        <w:rPr>
          <w:rFonts w:asciiTheme="minorHAnsi" w:hAnsiTheme="minorHAnsi"/>
          <w:sz w:val="18"/>
          <w:szCs w:val="18"/>
        </w:rPr>
        <w:t xml:space="preserve"> Vagueness.’ (2008) 14(2) </w:t>
      </w:r>
      <w:r w:rsidRPr="0073530B">
        <w:rPr>
          <w:rFonts w:asciiTheme="minorHAnsi" w:hAnsiTheme="minorHAnsi"/>
          <w:i/>
          <w:sz w:val="18"/>
          <w:szCs w:val="18"/>
        </w:rPr>
        <w:t xml:space="preserve">Neuroscientist </w:t>
      </w:r>
      <w:r w:rsidRPr="0073530B">
        <w:rPr>
          <w:rFonts w:asciiTheme="minorHAnsi" w:hAnsiTheme="minorHAnsi"/>
          <w:sz w:val="18"/>
          <w:szCs w:val="18"/>
        </w:rPr>
        <w:t>203.</w:t>
      </w:r>
    </w:p>
  </w:footnote>
  <w:footnote w:id="30">
    <w:p w:rsidR="00237841" w:rsidRPr="0073530B" w:rsidRDefault="00237841" w:rsidP="00E5098A">
      <w:pPr>
        <w:pStyle w:val="FootnoteText"/>
        <w:rPr>
          <w:rFonts w:asciiTheme="minorHAnsi" w:hAnsiTheme="minorHAnsi"/>
          <w:i/>
          <w:sz w:val="18"/>
          <w:szCs w:val="18"/>
        </w:rPr>
      </w:pPr>
    </w:p>
    <w:p w:rsidR="00237841" w:rsidRPr="0073530B" w:rsidRDefault="00237841" w:rsidP="00E5098A">
      <w:pPr>
        <w:pStyle w:val="FootnoteText"/>
        <w:rPr>
          <w:rFonts w:asciiTheme="minorHAnsi" w:hAnsiTheme="minorHAnsi"/>
          <w:sz w:val="18"/>
          <w:szCs w:val="18"/>
        </w:rPr>
      </w:pPr>
      <w:r w:rsidRPr="0073530B">
        <w:rPr>
          <w:rStyle w:val="FootnoteReference"/>
          <w:rFonts w:asciiTheme="minorHAnsi" w:hAnsiTheme="minorHAnsi"/>
          <w:sz w:val="18"/>
          <w:szCs w:val="18"/>
        </w:rPr>
        <w:footnoteRef/>
      </w:r>
      <w:r w:rsidRPr="0073530B">
        <w:rPr>
          <w:rFonts w:asciiTheme="minorHAnsi" w:hAnsiTheme="minorHAnsi"/>
          <w:sz w:val="18"/>
          <w:szCs w:val="18"/>
        </w:rPr>
        <w:t xml:space="preserve"> M. </w:t>
      </w:r>
      <w:r w:rsidRPr="0073530B">
        <w:rPr>
          <w:rFonts w:asciiTheme="minorHAnsi" w:hAnsiTheme="minorHAnsi" w:cs="Arial"/>
          <w:sz w:val="18"/>
          <w:szCs w:val="18"/>
          <w:shd w:val="clear" w:color="auto" w:fill="FFFFFF"/>
        </w:rPr>
        <w:t>Cooke et al, ‘Disease, deficit or denial? Models of poor insight in psychosis.’</w:t>
      </w:r>
      <w:r w:rsidRPr="0073530B">
        <w:rPr>
          <w:rStyle w:val="apple-converted-space"/>
          <w:rFonts w:asciiTheme="minorHAnsi" w:hAnsiTheme="minorHAnsi" w:cs="Arial"/>
          <w:sz w:val="18"/>
          <w:szCs w:val="18"/>
          <w:shd w:val="clear" w:color="auto" w:fill="FFFFFF"/>
        </w:rPr>
        <w:t xml:space="preserve"> (2005) 112 </w:t>
      </w:r>
      <w:proofErr w:type="spellStart"/>
      <w:r w:rsidRPr="0073530B">
        <w:rPr>
          <w:rStyle w:val="ref-journal"/>
          <w:rFonts w:asciiTheme="minorHAnsi" w:hAnsiTheme="minorHAnsi" w:cs="Arial"/>
          <w:i/>
          <w:sz w:val="18"/>
          <w:szCs w:val="18"/>
          <w:shd w:val="clear" w:color="auto" w:fill="FFFFFF"/>
        </w:rPr>
        <w:t>Acta</w:t>
      </w:r>
      <w:proofErr w:type="spellEnd"/>
      <w:r w:rsidRPr="0073530B">
        <w:rPr>
          <w:rStyle w:val="ref-journal"/>
          <w:rFonts w:asciiTheme="minorHAnsi" w:hAnsiTheme="minorHAnsi" w:cs="Arial"/>
          <w:i/>
          <w:sz w:val="18"/>
          <w:szCs w:val="18"/>
          <w:shd w:val="clear" w:color="auto" w:fill="FFFFFF"/>
        </w:rPr>
        <w:t xml:space="preserve"> </w:t>
      </w:r>
      <w:proofErr w:type="spellStart"/>
      <w:r w:rsidRPr="0073530B">
        <w:rPr>
          <w:rStyle w:val="ref-journal"/>
          <w:rFonts w:asciiTheme="minorHAnsi" w:hAnsiTheme="minorHAnsi" w:cs="Arial"/>
          <w:i/>
          <w:sz w:val="18"/>
          <w:szCs w:val="18"/>
          <w:shd w:val="clear" w:color="auto" w:fill="FFFFFF"/>
        </w:rPr>
        <w:t>Psychiatr</w:t>
      </w:r>
      <w:proofErr w:type="spellEnd"/>
      <w:r w:rsidRPr="0073530B">
        <w:rPr>
          <w:rStyle w:val="ref-journal"/>
          <w:rFonts w:asciiTheme="minorHAnsi" w:hAnsiTheme="minorHAnsi" w:cs="Arial"/>
          <w:i/>
          <w:sz w:val="18"/>
          <w:szCs w:val="18"/>
          <w:shd w:val="clear" w:color="auto" w:fill="FFFFFF"/>
        </w:rPr>
        <w:t xml:space="preserve">. Scand  </w:t>
      </w:r>
      <w:r w:rsidRPr="0073530B">
        <w:rPr>
          <w:rStyle w:val="ref-journal"/>
          <w:rFonts w:asciiTheme="minorHAnsi" w:hAnsiTheme="minorHAnsi" w:cs="Arial"/>
          <w:sz w:val="18"/>
          <w:szCs w:val="18"/>
          <w:shd w:val="clear" w:color="auto" w:fill="FFFFFF"/>
        </w:rPr>
        <w:t>4</w:t>
      </w:r>
      <w:r w:rsidRPr="0073530B">
        <w:rPr>
          <w:rFonts w:asciiTheme="minorHAnsi" w:hAnsiTheme="minorHAnsi" w:cs="Arial"/>
          <w:sz w:val="18"/>
          <w:szCs w:val="18"/>
          <w:shd w:val="clear" w:color="auto" w:fill="FFFFFF"/>
        </w:rPr>
        <w:t xml:space="preserve">. Although there are studies which did not reach a positive correlation between lack of insight and performance in this test: e.g. S. </w:t>
      </w:r>
      <w:proofErr w:type="spellStart"/>
      <w:r w:rsidRPr="0073530B">
        <w:rPr>
          <w:rStyle w:val="Strong"/>
          <w:rFonts w:asciiTheme="minorHAnsi" w:hAnsiTheme="minorHAnsi"/>
          <w:b w:val="0"/>
          <w:sz w:val="18"/>
          <w:szCs w:val="18"/>
          <w:bdr w:val="none" w:sz="0" w:space="0" w:color="auto" w:frame="1"/>
          <w:shd w:val="clear" w:color="auto" w:fill="FFFFFF"/>
        </w:rPr>
        <w:t>Rossell</w:t>
      </w:r>
      <w:proofErr w:type="spellEnd"/>
      <w:r w:rsidRPr="0073530B">
        <w:rPr>
          <w:rStyle w:val="apple-converted-space"/>
          <w:rFonts w:asciiTheme="minorHAnsi" w:hAnsiTheme="minorHAnsi"/>
          <w:sz w:val="18"/>
          <w:szCs w:val="18"/>
          <w:bdr w:val="none" w:sz="0" w:space="0" w:color="auto" w:frame="1"/>
          <w:shd w:val="clear" w:color="auto" w:fill="FFFFFF"/>
        </w:rPr>
        <w:t> </w:t>
      </w:r>
      <w:r w:rsidRPr="0073530B">
        <w:rPr>
          <w:rStyle w:val="Emphasis"/>
          <w:rFonts w:asciiTheme="minorHAnsi" w:hAnsiTheme="minorHAnsi"/>
          <w:bCs/>
          <w:sz w:val="18"/>
          <w:szCs w:val="18"/>
          <w:bdr w:val="none" w:sz="0" w:space="0" w:color="auto" w:frame="1"/>
          <w:shd w:val="clear" w:color="auto" w:fill="FFFFFF"/>
        </w:rPr>
        <w:t>et al</w:t>
      </w:r>
      <w:r w:rsidRPr="0073530B">
        <w:rPr>
          <w:rStyle w:val="apple-converted-space"/>
          <w:rFonts w:asciiTheme="minorHAnsi" w:hAnsiTheme="minorHAnsi"/>
          <w:sz w:val="18"/>
          <w:szCs w:val="18"/>
          <w:bdr w:val="none" w:sz="0" w:space="0" w:color="auto" w:frame="1"/>
          <w:shd w:val="clear" w:color="auto" w:fill="FFFFFF"/>
        </w:rPr>
        <w:t> </w:t>
      </w:r>
      <w:r w:rsidRPr="0073530B">
        <w:rPr>
          <w:rStyle w:val="Strong"/>
          <w:rFonts w:asciiTheme="minorHAnsi" w:hAnsiTheme="minorHAnsi"/>
          <w:b w:val="0"/>
          <w:sz w:val="18"/>
          <w:szCs w:val="18"/>
          <w:bdr w:val="none" w:sz="0" w:space="0" w:color="auto" w:frame="1"/>
          <w:shd w:val="clear" w:color="auto" w:fill="FFFFFF"/>
        </w:rPr>
        <w:t>(</w:t>
      </w:r>
      <w:r w:rsidRPr="0073530B">
        <w:rPr>
          <w:rStyle w:val="cit-pub-date"/>
          <w:rFonts w:asciiTheme="minorHAnsi" w:hAnsiTheme="minorHAnsi"/>
          <w:sz w:val="18"/>
          <w:szCs w:val="18"/>
          <w:bdr w:val="none" w:sz="0" w:space="0" w:color="auto" w:frame="1"/>
          <w:shd w:val="clear" w:color="auto" w:fill="FFFFFF"/>
        </w:rPr>
        <w:t>2003</w:t>
      </w:r>
      <w:r w:rsidRPr="0073530B">
        <w:rPr>
          <w:rStyle w:val="Strong"/>
          <w:rFonts w:asciiTheme="minorHAnsi" w:hAnsiTheme="minorHAnsi"/>
          <w:b w:val="0"/>
          <w:sz w:val="18"/>
          <w:szCs w:val="18"/>
          <w:bdr w:val="none" w:sz="0" w:space="0" w:color="auto" w:frame="1"/>
          <w:shd w:val="clear" w:color="auto" w:fill="FFFFFF"/>
        </w:rPr>
        <w:t>)</w:t>
      </w:r>
      <w:r w:rsidRPr="0073530B">
        <w:rPr>
          <w:rStyle w:val="apple-converted-space"/>
          <w:rFonts w:asciiTheme="minorHAnsi" w:hAnsiTheme="minorHAnsi"/>
          <w:sz w:val="18"/>
          <w:szCs w:val="18"/>
          <w:shd w:val="clear" w:color="auto" w:fill="FFFFFF"/>
        </w:rPr>
        <w:t> ‘</w:t>
      </w:r>
      <w:r w:rsidRPr="0073530B">
        <w:rPr>
          <w:rFonts w:asciiTheme="minorHAnsi" w:hAnsiTheme="minorHAnsi"/>
          <w:sz w:val="18"/>
          <w:szCs w:val="18"/>
          <w:shd w:val="clear" w:color="auto" w:fill="FFFFFF"/>
        </w:rPr>
        <w:t>Insight: its relationship with cognitive function, brain volume and symptoms in schizophrenia.’</w:t>
      </w:r>
      <w:r w:rsidRPr="0073530B">
        <w:rPr>
          <w:rStyle w:val="apple-converted-space"/>
          <w:rFonts w:asciiTheme="minorHAnsi" w:hAnsiTheme="minorHAnsi"/>
          <w:sz w:val="18"/>
          <w:szCs w:val="18"/>
          <w:shd w:val="clear" w:color="auto" w:fill="FFFFFF"/>
        </w:rPr>
        <w:t> </w:t>
      </w:r>
      <w:r w:rsidRPr="0073530B">
        <w:rPr>
          <w:rStyle w:val="cit-source"/>
          <w:rFonts w:asciiTheme="minorHAnsi" w:hAnsiTheme="minorHAnsi"/>
          <w:i/>
          <w:iCs/>
          <w:sz w:val="18"/>
          <w:szCs w:val="18"/>
          <w:bdr w:val="none" w:sz="0" w:space="0" w:color="auto" w:frame="1"/>
          <w:shd w:val="clear" w:color="auto" w:fill="FFFFFF"/>
        </w:rPr>
        <w:t>Psychological Medicine</w:t>
      </w:r>
      <w:r w:rsidRPr="0073530B">
        <w:rPr>
          <w:rFonts w:asciiTheme="minorHAnsi" w:hAnsiTheme="minorHAnsi"/>
          <w:sz w:val="18"/>
          <w:szCs w:val="18"/>
          <w:shd w:val="clear" w:color="auto" w:fill="FFFFFF"/>
        </w:rPr>
        <w:t>,</w:t>
      </w:r>
      <w:r w:rsidRPr="0073530B">
        <w:rPr>
          <w:rStyle w:val="apple-converted-space"/>
          <w:rFonts w:asciiTheme="minorHAnsi" w:hAnsiTheme="minorHAnsi"/>
          <w:sz w:val="18"/>
          <w:szCs w:val="18"/>
          <w:shd w:val="clear" w:color="auto" w:fill="FFFFFF"/>
        </w:rPr>
        <w:t> </w:t>
      </w:r>
      <w:r w:rsidRPr="0073530B">
        <w:rPr>
          <w:rStyle w:val="cit-vol"/>
          <w:rFonts w:asciiTheme="minorHAnsi" w:hAnsiTheme="minorHAnsi"/>
          <w:bCs/>
          <w:sz w:val="18"/>
          <w:szCs w:val="18"/>
          <w:bdr w:val="none" w:sz="0" w:space="0" w:color="auto" w:frame="1"/>
          <w:shd w:val="clear" w:color="auto" w:fill="FFFFFF"/>
        </w:rPr>
        <w:t>33</w:t>
      </w:r>
      <w:r w:rsidRPr="0073530B">
        <w:rPr>
          <w:rFonts w:asciiTheme="minorHAnsi" w:hAnsiTheme="minorHAnsi"/>
          <w:sz w:val="18"/>
          <w:szCs w:val="18"/>
          <w:shd w:val="clear" w:color="auto" w:fill="FFFFFF"/>
        </w:rPr>
        <w:t>,</w:t>
      </w:r>
      <w:r w:rsidRPr="0073530B">
        <w:rPr>
          <w:rStyle w:val="apple-converted-space"/>
          <w:rFonts w:asciiTheme="minorHAnsi" w:hAnsiTheme="minorHAnsi"/>
          <w:sz w:val="18"/>
          <w:szCs w:val="18"/>
          <w:shd w:val="clear" w:color="auto" w:fill="FFFFFF"/>
        </w:rPr>
        <w:t> </w:t>
      </w:r>
      <w:r w:rsidRPr="0073530B">
        <w:rPr>
          <w:rStyle w:val="cit-fpage"/>
          <w:rFonts w:asciiTheme="minorHAnsi" w:hAnsiTheme="minorHAnsi"/>
          <w:sz w:val="18"/>
          <w:szCs w:val="18"/>
          <w:bdr w:val="none" w:sz="0" w:space="0" w:color="auto" w:frame="1"/>
          <w:shd w:val="clear" w:color="auto" w:fill="FFFFFF"/>
        </w:rPr>
        <w:t>111</w:t>
      </w:r>
      <w:r w:rsidRPr="0073530B">
        <w:rPr>
          <w:rStyle w:val="apple-converted-space"/>
          <w:rFonts w:asciiTheme="minorHAnsi" w:hAnsiTheme="minorHAnsi"/>
          <w:sz w:val="18"/>
          <w:szCs w:val="18"/>
          <w:shd w:val="clear" w:color="auto" w:fill="FFFFFF"/>
        </w:rPr>
        <w:t> </w:t>
      </w:r>
      <w:r w:rsidRPr="0073530B">
        <w:rPr>
          <w:rFonts w:asciiTheme="minorHAnsi" w:hAnsiTheme="minorHAnsi"/>
          <w:sz w:val="18"/>
          <w:szCs w:val="18"/>
          <w:shd w:val="clear" w:color="auto" w:fill="FFFFFF"/>
        </w:rPr>
        <w:t>-119.</w:t>
      </w:r>
    </w:p>
  </w:footnote>
  <w:footnote w:id="31">
    <w:p w:rsidR="00237841" w:rsidRPr="0073530B" w:rsidRDefault="00237841" w:rsidP="00E5098A">
      <w:pPr>
        <w:pStyle w:val="Heading1"/>
        <w:shd w:val="clear" w:color="auto" w:fill="FFFFFF"/>
        <w:spacing w:before="240" w:beforeAutospacing="0" w:after="120" w:afterAutospacing="0"/>
        <w:rPr>
          <w:rFonts w:asciiTheme="minorHAnsi" w:hAnsiTheme="minorHAnsi" w:cs="Arial"/>
          <w:b w:val="0"/>
          <w:sz w:val="18"/>
          <w:szCs w:val="18"/>
        </w:rPr>
      </w:pPr>
      <w:r w:rsidRPr="0073530B">
        <w:rPr>
          <w:rStyle w:val="FootnoteReference"/>
          <w:rFonts w:asciiTheme="minorHAnsi" w:hAnsiTheme="minorHAnsi"/>
          <w:b w:val="0"/>
          <w:sz w:val="18"/>
          <w:szCs w:val="18"/>
        </w:rPr>
        <w:footnoteRef/>
      </w:r>
      <w:r w:rsidRPr="0073530B">
        <w:rPr>
          <w:rFonts w:asciiTheme="minorHAnsi" w:hAnsiTheme="minorHAnsi"/>
          <w:b w:val="0"/>
          <w:sz w:val="18"/>
          <w:szCs w:val="18"/>
        </w:rPr>
        <w:t xml:space="preserve"> D. </w:t>
      </w:r>
      <w:r w:rsidRPr="0073530B">
        <w:rPr>
          <w:rFonts w:asciiTheme="minorHAnsi" w:hAnsiTheme="minorHAnsi"/>
          <w:b w:val="0"/>
          <w:sz w:val="18"/>
          <w:szCs w:val="18"/>
          <w:shd w:val="clear" w:color="auto" w:fill="FFFFFF"/>
        </w:rPr>
        <w:t>Antonius, et al, ‘White matter integrity and lack of insight in schizophrenia and schizoaffective disorder.’</w:t>
      </w:r>
      <w:r w:rsidRPr="0073530B">
        <w:rPr>
          <w:rStyle w:val="apple-converted-space"/>
          <w:rFonts w:asciiTheme="minorHAnsi" w:hAnsiTheme="minorHAnsi"/>
          <w:b w:val="0"/>
          <w:sz w:val="18"/>
          <w:szCs w:val="18"/>
          <w:shd w:val="clear" w:color="auto" w:fill="FFFFFF"/>
        </w:rPr>
        <w:t> (2011)</w:t>
      </w:r>
      <w:r w:rsidRPr="0073530B">
        <w:rPr>
          <w:rStyle w:val="apple-converted-space"/>
          <w:rFonts w:asciiTheme="minorHAnsi" w:hAnsiTheme="minorHAnsi"/>
          <w:sz w:val="18"/>
          <w:szCs w:val="18"/>
          <w:shd w:val="clear" w:color="auto" w:fill="FFFFFF"/>
        </w:rPr>
        <w:t xml:space="preserve"> </w:t>
      </w:r>
      <w:r w:rsidRPr="0073530B">
        <w:rPr>
          <w:rStyle w:val="ref-vol"/>
          <w:rFonts w:asciiTheme="minorHAnsi" w:hAnsiTheme="minorHAnsi"/>
          <w:b w:val="0"/>
          <w:sz w:val="18"/>
          <w:szCs w:val="18"/>
          <w:shd w:val="clear" w:color="auto" w:fill="FFFFFF"/>
        </w:rPr>
        <w:t>128</w:t>
      </w:r>
      <w:r w:rsidRPr="0073530B">
        <w:rPr>
          <w:rStyle w:val="apple-converted-space"/>
          <w:rFonts w:asciiTheme="minorHAnsi" w:hAnsiTheme="minorHAnsi"/>
          <w:sz w:val="18"/>
          <w:szCs w:val="18"/>
          <w:shd w:val="clear" w:color="auto" w:fill="FFFFFF"/>
        </w:rPr>
        <w:t xml:space="preserve"> </w:t>
      </w:r>
      <w:proofErr w:type="spellStart"/>
      <w:r w:rsidRPr="0073530B">
        <w:rPr>
          <w:rStyle w:val="ref-journal"/>
          <w:rFonts w:asciiTheme="minorHAnsi" w:hAnsiTheme="minorHAnsi"/>
          <w:b w:val="0"/>
          <w:i/>
          <w:sz w:val="18"/>
          <w:szCs w:val="18"/>
          <w:shd w:val="clear" w:color="auto" w:fill="FFFFFF"/>
        </w:rPr>
        <w:t>Schizophr</w:t>
      </w:r>
      <w:proofErr w:type="spellEnd"/>
      <w:r w:rsidRPr="0073530B">
        <w:rPr>
          <w:rStyle w:val="ref-journal"/>
          <w:rFonts w:asciiTheme="minorHAnsi" w:hAnsiTheme="minorHAnsi"/>
          <w:b w:val="0"/>
          <w:i/>
          <w:sz w:val="18"/>
          <w:szCs w:val="18"/>
          <w:shd w:val="clear" w:color="auto" w:fill="FFFFFF"/>
        </w:rPr>
        <w:t>. Res.</w:t>
      </w:r>
      <w:r w:rsidRPr="0073530B">
        <w:rPr>
          <w:rStyle w:val="apple-converted-space"/>
          <w:rFonts w:asciiTheme="minorHAnsi" w:hAnsiTheme="minorHAnsi"/>
          <w:sz w:val="18"/>
          <w:szCs w:val="18"/>
          <w:shd w:val="clear" w:color="auto" w:fill="FFFFFF"/>
        </w:rPr>
        <w:t> </w:t>
      </w:r>
      <w:r w:rsidRPr="0073530B">
        <w:rPr>
          <w:rStyle w:val="ref-vol"/>
          <w:rFonts w:asciiTheme="minorHAnsi" w:hAnsiTheme="minorHAnsi"/>
          <w:b w:val="0"/>
          <w:sz w:val="18"/>
          <w:szCs w:val="18"/>
          <w:shd w:val="clear" w:color="auto" w:fill="FFFFFF"/>
        </w:rPr>
        <w:t xml:space="preserve"> </w:t>
      </w:r>
      <w:r w:rsidRPr="0073530B">
        <w:rPr>
          <w:rFonts w:asciiTheme="minorHAnsi" w:hAnsiTheme="minorHAnsi"/>
          <w:b w:val="0"/>
          <w:sz w:val="18"/>
          <w:szCs w:val="18"/>
          <w:shd w:val="clear" w:color="auto" w:fill="FFFFFF"/>
        </w:rPr>
        <w:t xml:space="preserve">76; </w:t>
      </w:r>
      <w:r w:rsidRPr="0073530B">
        <w:rPr>
          <w:rFonts w:asciiTheme="minorHAnsi" w:hAnsiTheme="minorHAnsi"/>
          <w:b w:val="0"/>
          <w:sz w:val="18"/>
          <w:szCs w:val="18"/>
        </w:rPr>
        <w:t>M. Cooke et al, ‘</w:t>
      </w:r>
      <w:r w:rsidRPr="0073530B">
        <w:rPr>
          <w:rFonts w:asciiTheme="minorHAnsi" w:hAnsiTheme="minorHAnsi" w:cs="Arial"/>
          <w:b w:val="0"/>
          <w:sz w:val="18"/>
          <w:szCs w:val="18"/>
        </w:rPr>
        <w:t xml:space="preserve">Neurological basis of poor insight in psychosis: A </w:t>
      </w:r>
      <w:proofErr w:type="spellStart"/>
      <w:r w:rsidRPr="0073530B">
        <w:rPr>
          <w:rFonts w:asciiTheme="minorHAnsi" w:hAnsiTheme="minorHAnsi" w:cs="Arial"/>
          <w:b w:val="0"/>
          <w:sz w:val="18"/>
          <w:szCs w:val="18"/>
        </w:rPr>
        <w:t>voxel</w:t>
      </w:r>
      <w:proofErr w:type="spellEnd"/>
      <w:r w:rsidRPr="0073530B">
        <w:rPr>
          <w:rFonts w:asciiTheme="minorHAnsi" w:hAnsiTheme="minorHAnsi" w:cs="Arial"/>
          <w:b w:val="0"/>
          <w:sz w:val="18"/>
          <w:szCs w:val="18"/>
        </w:rPr>
        <w:t>-based MRI study</w:t>
      </w:r>
      <w:r w:rsidRPr="0073530B">
        <w:rPr>
          <w:rFonts w:asciiTheme="minorHAnsi" w:hAnsiTheme="minorHAnsi"/>
          <w:b w:val="0"/>
          <w:sz w:val="18"/>
          <w:szCs w:val="18"/>
        </w:rPr>
        <w:t xml:space="preserve">.’ (2008) 103 </w:t>
      </w:r>
      <w:proofErr w:type="spellStart"/>
      <w:r w:rsidRPr="0073530B">
        <w:rPr>
          <w:rFonts w:asciiTheme="minorHAnsi" w:hAnsiTheme="minorHAnsi" w:cs="Arial"/>
          <w:b w:val="0"/>
          <w:i/>
          <w:sz w:val="18"/>
          <w:szCs w:val="18"/>
          <w:shd w:val="clear" w:color="auto" w:fill="FFFFFF"/>
        </w:rPr>
        <w:t>Schizophr</w:t>
      </w:r>
      <w:proofErr w:type="spellEnd"/>
      <w:r w:rsidRPr="0073530B">
        <w:rPr>
          <w:rFonts w:asciiTheme="minorHAnsi" w:hAnsiTheme="minorHAnsi" w:cs="Arial"/>
          <w:b w:val="0"/>
          <w:i/>
          <w:sz w:val="18"/>
          <w:szCs w:val="18"/>
          <w:shd w:val="clear" w:color="auto" w:fill="FFFFFF"/>
        </w:rPr>
        <w:t xml:space="preserve"> Res</w:t>
      </w:r>
      <w:r w:rsidRPr="0073530B">
        <w:rPr>
          <w:rFonts w:asciiTheme="minorHAnsi" w:hAnsiTheme="minorHAnsi" w:cs="Arial"/>
          <w:b w:val="0"/>
          <w:sz w:val="18"/>
          <w:szCs w:val="18"/>
          <w:shd w:val="clear" w:color="auto" w:fill="FFFFFF"/>
        </w:rPr>
        <w:t>. 40; N. Bedford et al, ‘</w:t>
      </w:r>
      <w:r w:rsidRPr="0073530B">
        <w:rPr>
          <w:rFonts w:asciiTheme="minorHAnsi" w:hAnsiTheme="minorHAnsi" w:cs="Arial"/>
          <w:b w:val="0"/>
          <w:sz w:val="18"/>
          <w:szCs w:val="18"/>
        </w:rPr>
        <w:t xml:space="preserve">Self-evaluation in schizophrenia: an </w:t>
      </w:r>
      <w:proofErr w:type="spellStart"/>
      <w:r w:rsidRPr="0073530B">
        <w:rPr>
          <w:rFonts w:asciiTheme="minorHAnsi" w:hAnsiTheme="minorHAnsi" w:cs="Arial"/>
          <w:b w:val="0"/>
          <w:sz w:val="18"/>
          <w:szCs w:val="18"/>
        </w:rPr>
        <w:t>fMRI</w:t>
      </w:r>
      <w:proofErr w:type="spellEnd"/>
      <w:r w:rsidRPr="0073530B">
        <w:rPr>
          <w:rFonts w:asciiTheme="minorHAnsi" w:hAnsiTheme="minorHAnsi" w:cs="Arial"/>
          <w:b w:val="0"/>
          <w:sz w:val="18"/>
          <w:szCs w:val="18"/>
        </w:rPr>
        <w:t xml:space="preserve"> study with implications for the understanding of insight.’ (2012) 12 </w:t>
      </w:r>
      <w:r w:rsidRPr="0073530B">
        <w:rPr>
          <w:rFonts w:asciiTheme="minorHAnsi" w:hAnsiTheme="minorHAnsi" w:cs="Arial"/>
          <w:b w:val="0"/>
          <w:i/>
          <w:sz w:val="18"/>
          <w:szCs w:val="18"/>
        </w:rPr>
        <w:t xml:space="preserve">BMC Psychiatry </w:t>
      </w:r>
      <w:r w:rsidRPr="0073530B">
        <w:rPr>
          <w:rFonts w:asciiTheme="minorHAnsi" w:hAnsiTheme="minorHAnsi" w:cs="Arial"/>
          <w:b w:val="0"/>
          <w:sz w:val="18"/>
          <w:szCs w:val="18"/>
        </w:rPr>
        <w:t>106.</w:t>
      </w:r>
      <w:r w:rsidRPr="0073530B">
        <w:rPr>
          <w:rFonts w:asciiTheme="minorHAnsi" w:hAnsiTheme="minorHAnsi"/>
          <w:b w:val="0"/>
          <w:sz w:val="18"/>
          <w:szCs w:val="18"/>
        </w:rPr>
        <w:t xml:space="preserve"> </w:t>
      </w:r>
    </w:p>
  </w:footnote>
  <w:footnote w:id="32">
    <w:p w:rsidR="00237841" w:rsidRPr="0073530B" w:rsidRDefault="00237841" w:rsidP="004464DC">
      <w:pPr>
        <w:pStyle w:val="FootnoteText"/>
        <w:rPr>
          <w:rFonts w:asciiTheme="minorHAnsi" w:hAnsiTheme="minorHAnsi"/>
          <w:sz w:val="18"/>
          <w:szCs w:val="18"/>
        </w:rPr>
      </w:pPr>
      <w:r w:rsidRPr="0073530B">
        <w:rPr>
          <w:rStyle w:val="FootnoteReference"/>
          <w:rFonts w:asciiTheme="minorHAnsi" w:hAnsiTheme="minorHAnsi"/>
          <w:sz w:val="18"/>
          <w:szCs w:val="18"/>
        </w:rPr>
        <w:footnoteRef/>
      </w:r>
      <w:r w:rsidRPr="0073530B">
        <w:rPr>
          <w:rFonts w:asciiTheme="minorHAnsi" w:hAnsiTheme="minorHAnsi"/>
          <w:sz w:val="18"/>
          <w:szCs w:val="18"/>
        </w:rPr>
        <w:t xml:space="preserve"> M. Cooke et al above (n.30) suggesting that the paucity of evidence leans towards the conclusion that insight deficit is </w:t>
      </w:r>
      <w:proofErr w:type="spellStart"/>
      <w:r w:rsidRPr="0073530B">
        <w:rPr>
          <w:rFonts w:asciiTheme="minorHAnsi" w:hAnsiTheme="minorHAnsi"/>
          <w:sz w:val="18"/>
          <w:szCs w:val="18"/>
        </w:rPr>
        <w:t>multifactorial</w:t>
      </w:r>
      <w:proofErr w:type="spellEnd"/>
      <w:r w:rsidRPr="0073530B">
        <w:rPr>
          <w:rFonts w:asciiTheme="minorHAnsi" w:hAnsiTheme="minorHAnsi"/>
          <w:sz w:val="18"/>
          <w:szCs w:val="18"/>
        </w:rPr>
        <w:t xml:space="preserve">. </w:t>
      </w:r>
    </w:p>
    <w:p w:rsidR="00237841" w:rsidRPr="0073530B" w:rsidRDefault="00237841" w:rsidP="004464DC">
      <w:pPr>
        <w:pStyle w:val="FootnoteText"/>
        <w:rPr>
          <w:rFonts w:asciiTheme="minorHAnsi" w:hAnsiTheme="minorHAnsi"/>
          <w:sz w:val="18"/>
          <w:szCs w:val="18"/>
        </w:rPr>
      </w:pPr>
    </w:p>
  </w:footnote>
  <w:footnote w:id="33">
    <w:p w:rsidR="00237841" w:rsidRPr="0073530B" w:rsidRDefault="00237841">
      <w:pPr>
        <w:pStyle w:val="FootnoteText"/>
        <w:rPr>
          <w:rFonts w:asciiTheme="minorHAnsi" w:hAnsiTheme="minorHAnsi"/>
          <w:sz w:val="18"/>
          <w:szCs w:val="18"/>
        </w:rPr>
      </w:pPr>
      <w:r w:rsidRPr="0073530B">
        <w:rPr>
          <w:rStyle w:val="FootnoteReference"/>
          <w:rFonts w:asciiTheme="minorHAnsi" w:hAnsiTheme="minorHAnsi"/>
          <w:sz w:val="18"/>
          <w:szCs w:val="18"/>
        </w:rPr>
        <w:footnoteRef/>
      </w:r>
      <w:r w:rsidRPr="0073530B">
        <w:rPr>
          <w:rFonts w:asciiTheme="minorHAnsi" w:hAnsiTheme="minorHAnsi"/>
          <w:sz w:val="18"/>
          <w:szCs w:val="18"/>
        </w:rPr>
        <w:t xml:space="preserve"> E.g. note that some of the expert witnesses refer to the organic ‘causes’ of insight deficit – e.g. in </w:t>
      </w:r>
      <w:r w:rsidRPr="0073530B">
        <w:rPr>
          <w:rFonts w:asciiTheme="minorHAnsi" w:hAnsiTheme="minorHAnsi"/>
          <w:i/>
          <w:color w:val="000000"/>
          <w:sz w:val="18"/>
          <w:szCs w:val="18"/>
          <w:lang w:eastAsia="en-GB"/>
        </w:rPr>
        <w:t xml:space="preserve">GW v A Local Authority &amp; </w:t>
      </w:r>
      <w:proofErr w:type="spellStart"/>
      <w:r w:rsidRPr="0073530B">
        <w:rPr>
          <w:rFonts w:asciiTheme="minorHAnsi" w:hAnsiTheme="minorHAnsi"/>
          <w:i/>
          <w:color w:val="000000"/>
          <w:sz w:val="18"/>
          <w:szCs w:val="18"/>
          <w:lang w:eastAsia="en-GB"/>
        </w:rPr>
        <w:t>Anor</w:t>
      </w:r>
      <w:proofErr w:type="spellEnd"/>
      <w:r w:rsidRPr="0073530B">
        <w:rPr>
          <w:rFonts w:asciiTheme="minorHAnsi" w:hAnsiTheme="minorHAnsi"/>
          <w:color w:val="000000"/>
          <w:sz w:val="18"/>
          <w:szCs w:val="18"/>
          <w:lang w:eastAsia="en-GB"/>
        </w:rPr>
        <w:t xml:space="preserve"> [2014] EWCOP 20</w:t>
      </w:r>
      <w:r w:rsidRPr="0073530B">
        <w:rPr>
          <w:rFonts w:asciiTheme="minorHAnsi" w:hAnsiTheme="minorHAnsi"/>
          <w:sz w:val="18"/>
          <w:szCs w:val="18"/>
        </w:rPr>
        <w:t>: ‘</w:t>
      </w:r>
      <w:r w:rsidRPr="0073530B">
        <w:rPr>
          <w:rFonts w:asciiTheme="minorHAnsi" w:hAnsiTheme="minorHAnsi"/>
          <w:color w:val="000000"/>
          <w:sz w:val="18"/>
          <w:szCs w:val="18"/>
        </w:rPr>
        <w:t>Dr Moore observed that difficulties with insight and awareness in HD are thought to be caused primarily by the degeneration of frontal-basal ganglia brain pathways and to a lesser extent the emotional impact of loss relating to the condition’ (at [28]).</w:t>
      </w:r>
    </w:p>
    <w:p w:rsidR="00237841" w:rsidRPr="0073530B" w:rsidRDefault="00237841">
      <w:pPr>
        <w:pStyle w:val="FootnoteText"/>
        <w:rPr>
          <w:rFonts w:asciiTheme="minorHAnsi" w:hAnsiTheme="minorHAnsi"/>
          <w:sz w:val="18"/>
          <w:szCs w:val="18"/>
        </w:rPr>
      </w:pPr>
    </w:p>
  </w:footnote>
  <w:footnote w:id="34">
    <w:p w:rsidR="00237841" w:rsidRPr="0073530B" w:rsidRDefault="00237841" w:rsidP="00E5098A">
      <w:pPr>
        <w:pStyle w:val="FootnoteText"/>
        <w:rPr>
          <w:rFonts w:asciiTheme="minorHAnsi" w:hAnsiTheme="minorHAnsi"/>
          <w:sz w:val="18"/>
          <w:szCs w:val="18"/>
        </w:rPr>
      </w:pPr>
      <w:r w:rsidRPr="0073530B">
        <w:rPr>
          <w:rStyle w:val="FootnoteReference"/>
          <w:rFonts w:asciiTheme="minorHAnsi" w:hAnsiTheme="minorHAnsi"/>
          <w:sz w:val="18"/>
          <w:szCs w:val="18"/>
        </w:rPr>
        <w:footnoteRef/>
      </w:r>
      <w:r w:rsidRPr="0073530B">
        <w:rPr>
          <w:rFonts w:asciiTheme="minorHAnsi" w:hAnsiTheme="minorHAnsi"/>
          <w:sz w:val="18"/>
          <w:szCs w:val="18"/>
        </w:rPr>
        <w:t xml:space="preserve"> Biological explanations for behaviour tend to entrench </w:t>
      </w:r>
      <w:proofErr w:type="spellStart"/>
      <w:r w:rsidRPr="0073530B">
        <w:rPr>
          <w:rFonts w:asciiTheme="minorHAnsi" w:hAnsiTheme="minorHAnsi"/>
          <w:sz w:val="18"/>
          <w:szCs w:val="18"/>
        </w:rPr>
        <w:t>medicalisation</w:t>
      </w:r>
      <w:proofErr w:type="spellEnd"/>
      <w:r w:rsidRPr="0073530B">
        <w:rPr>
          <w:rFonts w:asciiTheme="minorHAnsi" w:hAnsiTheme="minorHAnsi"/>
          <w:sz w:val="18"/>
          <w:szCs w:val="18"/>
        </w:rPr>
        <w:t xml:space="preserve"> – see e.g. P. Conrad and </w:t>
      </w:r>
      <w:proofErr w:type="spellStart"/>
      <w:r w:rsidRPr="0073530B">
        <w:rPr>
          <w:rFonts w:asciiTheme="minorHAnsi" w:hAnsiTheme="minorHAnsi"/>
          <w:sz w:val="18"/>
          <w:szCs w:val="18"/>
        </w:rPr>
        <w:t>J.Schneider</w:t>
      </w:r>
      <w:proofErr w:type="spellEnd"/>
      <w:r w:rsidRPr="0073530B">
        <w:rPr>
          <w:rFonts w:asciiTheme="minorHAnsi" w:hAnsiTheme="minorHAnsi"/>
          <w:sz w:val="18"/>
          <w:szCs w:val="18"/>
        </w:rPr>
        <w:t xml:space="preserve">, </w:t>
      </w:r>
      <w:proofErr w:type="spellStart"/>
      <w:r w:rsidRPr="0073530B">
        <w:rPr>
          <w:rFonts w:asciiTheme="minorHAnsi" w:hAnsiTheme="minorHAnsi"/>
          <w:i/>
          <w:sz w:val="18"/>
          <w:szCs w:val="18"/>
        </w:rPr>
        <w:t>Medicalization</w:t>
      </w:r>
      <w:proofErr w:type="spellEnd"/>
      <w:r w:rsidRPr="0073530B">
        <w:rPr>
          <w:rFonts w:asciiTheme="minorHAnsi" w:hAnsiTheme="minorHAnsi"/>
          <w:i/>
          <w:sz w:val="18"/>
          <w:szCs w:val="18"/>
        </w:rPr>
        <w:t xml:space="preserve"> of Deviance: From Badness to Sickness </w:t>
      </w:r>
      <w:r w:rsidRPr="0073530B">
        <w:rPr>
          <w:rFonts w:asciiTheme="minorHAnsi" w:hAnsiTheme="minorHAnsi"/>
          <w:sz w:val="18"/>
          <w:szCs w:val="18"/>
        </w:rPr>
        <w:t>(Temple University Press, 1992).</w:t>
      </w:r>
    </w:p>
    <w:p w:rsidR="00237841" w:rsidRPr="0073530B" w:rsidRDefault="00237841" w:rsidP="00E5098A">
      <w:pPr>
        <w:pStyle w:val="FootnoteText"/>
        <w:rPr>
          <w:rFonts w:asciiTheme="minorHAnsi" w:hAnsiTheme="minorHAnsi"/>
          <w:sz w:val="18"/>
          <w:szCs w:val="18"/>
        </w:rPr>
      </w:pPr>
    </w:p>
  </w:footnote>
  <w:footnote w:id="35">
    <w:p w:rsidR="00237841" w:rsidRPr="0073530B" w:rsidRDefault="00237841" w:rsidP="00FE3D37">
      <w:pPr>
        <w:autoSpaceDE w:val="0"/>
        <w:autoSpaceDN w:val="0"/>
        <w:adjustRightInd w:val="0"/>
        <w:rPr>
          <w:sz w:val="18"/>
          <w:szCs w:val="18"/>
        </w:rPr>
      </w:pPr>
      <w:r w:rsidRPr="0073530B">
        <w:rPr>
          <w:rStyle w:val="FootnoteReference"/>
          <w:sz w:val="18"/>
          <w:szCs w:val="18"/>
        </w:rPr>
        <w:footnoteRef/>
      </w:r>
      <w:r w:rsidRPr="0073530B">
        <w:rPr>
          <w:sz w:val="18"/>
          <w:szCs w:val="18"/>
        </w:rPr>
        <w:t xml:space="preserve"> A. Lewis, ‘</w:t>
      </w:r>
      <w:r w:rsidRPr="0073530B">
        <w:rPr>
          <w:rFonts w:cs="Times-Roman"/>
          <w:sz w:val="18"/>
          <w:szCs w:val="18"/>
        </w:rPr>
        <w:t xml:space="preserve">The psychopathology of insight.’ (1934)  </w:t>
      </w:r>
      <w:r w:rsidRPr="0073530B">
        <w:rPr>
          <w:rFonts w:cs="Times-Italic"/>
          <w:i/>
          <w:iCs/>
          <w:sz w:val="18"/>
          <w:szCs w:val="18"/>
        </w:rPr>
        <w:t>British Journal of Medical Psychology</w:t>
      </w:r>
      <w:r w:rsidRPr="0073530B">
        <w:rPr>
          <w:rFonts w:cs="Times-Roman"/>
          <w:sz w:val="18"/>
          <w:szCs w:val="18"/>
        </w:rPr>
        <w:t xml:space="preserve"> 332</w:t>
      </w:r>
      <w:r w:rsidRPr="0073530B">
        <w:rPr>
          <w:sz w:val="18"/>
          <w:szCs w:val="18"/>
        </w:rPr>
        <w:t xml:space="preserve"> (emphasis added). </w:t>
      </w:r>
    </w:p>
  </w:footnote>
  <w:footnote w:id="36">
    <w:p w:rsidR="00237841" w:rsidRPr="0073530B" w:rsidRDefault="00237841">
      <w:pPr>
        <w:pStyle w:val="FootnoteText"/>
        <w:rPr>
          <w:rFonts w:asciiTheme="minorHAnsi" w:hAnsiTheme="minorHAnsi"/>
          <w:sz w:val="18"/>
          <w:szCs w:val="18"/>
        </w:rPr>
      </w:pPr>
      <w:r w:rsidRPr="0073530B">
        <w:rPr>
          <w:rStyle w:val="FootnoteReference"/>
          <w:rFonts w:asciiTheme="minorHAnsi" w:hAnsiTheme="minorHAnsi"/>
          <w:sz w:val="18"/>
          <w:szCs w:val="18"/>
        </w:rPr>
        <w:footnoteRef/>
      </w:r>
      <w:r w:rsidRPr="0073530B">
        <w:rPr>
          <w:rFonts w:asciiTheme="minorHAnsi" w:hAnsiTheme="minorHAnsi"/>
          <w:sz w:val="18"/>
          <w:szCs w:val="18"/>
        </w:rPr>
        <w:t xml:space="preserve"> E.g. consider the validity and reliability problems widely recognised as affecting psychiatric diagnoses and the celebrated study by D. </w:t>
      </w:r>
      <w:proofErr w:type="spellStart"/>
      <w:r w:rsidRPr="0073530B">
        <w:rPr>
          <w:rFonts w:asciiTheme="minorHAnsi" w:hAnsiTheme="minorHAnsi"/>
          <w:sz w:val="18"/>
          <w:szCs w:val="18"/>
        </w:rPr>
        <w:t>Rosenhan</w:t>
      </w:r>
      <w:proofErr w:type="spellEnd"/>
      <w:r w:rsidRPr="0073530B">
        <w:rPr>
          <w:rFonts w:asciiTheme="minorHAnsi" w:hAnsiTheme="minorHAnsi"/>
          <w:sz w:val="18"/>
          <w:szCs w:val="18"/>
        </w:rPr>
        <w:t xml:space="preserve">, ‘Being Sane in Insane Places.’ (1973) 179 </w:t>
      </w:r>
      <w:r w:rsidRPr="0073530B">
        <w:rPr>
          <w:rFonts w:asciiTheme="minorHAnsi" w:hAnsiTheme="minorHAnsi"/>
          <w:i/>
          <w:sz w:val="18"/>
          <w:szCs w:val="18"/>
        </w:rPr>
        <w:t xml:space="preserve">Science </w:t>
      </w:r>
      <w:r w:rsidRPr="0073530B">
        <w:rPr>
          <w:rFonts w:asciiTheme="minorHAnsi" w:hAnsiTheme="minorHAnsi"/>
          <w:sz w:val="18"/>
          <w:szCs w:val="18"/>
        </w:rPr>
        <w:t>250.</w:t>
      </w:r>
    </w:p>
    <w:p w:rsidR="00237841" w:rsidRPr="0073530B" w:rsidRDefault="00237841">
      <w:pPr>
        <w:pStyle w:val="FootnoteText"/>
        <w:rPr>
          <w:rFonts w:asciiTheme="minorHAnsi" w:hAnsiTheme="minorHAnsi"/>
          <w:sz w:val="18"/>
          <w:szCs w:val="18"/>
        </w:rPr>
      </w:pPr>
    </w:p>
  </w:footnote>
  <w:footnote w:id="37">
    <w:p w:rsidR="00237841" w:rsidRPr="0073530B" w:rsidRDefault="00237841" w:rsidP="00FE3D37">
      <w:pPr>
        <w:pStyle w:val="FootnoteText"/>
        <w:rPr>
          <w:rFonts w:asciiTheme="minorHAnsi" w:hAnsiTheme="minorHAnsi"/>
          <w:sz w:val="18"/>
          <w:szCs w:val="18"/>
        </w:rPr>
      </w:pPr>
      <w:r w:rsidRPr="0073530B">
        <w:rPr>
          <w:rStyle w:val="FootnoteReference"/>
          <w:rFonts w:asciiTheme="minorHAnsi" w:hAnsiTheme="minorHAnsi"/>
          <w:sz w:val="18"/>
          <w:szCs w:val="18"/>
        </w:rPr>
        <w:footnoteRef/>
      </w:r>
      <w:r w:rsidRPr="0073530B">
        <w:rPr>
          <w:rFonts w:asciiTheme="minorHAnsi" w:hAnsiTheme="minorHAnsi"/>
          <w:sz w:val="18"/>
          <w:szCs w:val="18"/>
        </w:rPr>
        <w:t xml:space="preserve"> A. S. David, ‘Insight and Psychosis’ (1990) </w:t>
      </w:r>
      <w:r w:rsidRPr="0073530B">
        <w:rPr>
          <w:rFonts w:asciiTheme="minorHAnsi" w:hAnsiTheme="minorHAnsi"/>
          <w:i/>
          <w:sz w:val="18"/>
          <w:szCs w:val="18"/>
        </w:rPr>
        <w:t>Brit J Psych</w:t>
      </w:r>
      <w:r w:rsidRPr="0073530B">
        <w:rPr>
          <w:rFonts w:asciiTheme="minorHAnsi" w:hAnsiTheme="minorHAnsi"/>
          <w:sz w:val="18"/>
          <w:szCs w:val="18"/>
        </w:rPr>
        <w:t xml:space="preserve"> 798. </w:t>
      </w:r>
    </w:p>
    <w:p w:rsidR="00237841" w:rsidRPr="0073530B" w:rsidRDefault="00237841" w:rsidP="00FE3D37">
      <w:pPr>
        <w:pStyle w:val="FootnoteText"/>
        <w:rPr>
          <w:rFonts w:asciiTheme="minorHAnsi" w:hAnsiTheme="minorHAnsi"/>
          <w:sz w:val="18"/>
          <w:szCs w:val="18"/>
        </w:rPr>
      </w:pPr>
    </w:p>
  </w:footnote>
  <w:footnote w:id="38">
    <w:p w:rsidR="00237841" w:rsidRPr="0073530B" w:rsidRDefault="00237841" w:rsidP="00FE3D37">
      <w:pPr>
        <w:pStyle w:val="FootnoteText"/>
        <w:rPr>
          <w:rFonts w:asciiTheme="minorHAnsi" w:hAnsiTheme="minorHAnsi"/>
          <w:sz w:val="18"/>
          <w:szCs w:val="18"/>
        </w:rPr>
      </w:pPr>
      <w:r w:rsidRPr="0073530B">
        <w:rPr>
          <w:rStyle w:val="FootnoteReference"/>
          <w:rFonts w:asciiTheme="minorHAnsi" w:hAnsiTheme="minorHAnsi"/>
          <w:sz w:val="18"/>
          <w:szCs w:val="18"/>
        </w:rPr>
        <w:footnoteRef/>
      </w:r>
      <w:r w:rsidRPr="0073530B">
        <w:rPr>
          <w:rFonts w:asciiTheme="minorHAnsi" w:hAnsiTheme="minorHAnsi"/>
          <w:sz w:val="18"/>
          <w:szCs w:val="18"/>
        </w:rPr>
        <w:t xml:space="preserve"> For other examples of connecting insight with compliance see: X. Amador, </w:t>
      </w:r>
      <w:r w:rsidRPr="0073530B">
        <w:rPr>
          <w:rFonts w:asciiTheme="minorHAnsi" w:hAnsiTheme="minorHAnsi"/>
          <w:i/>
          <w:sz w:val="18"/>
          <w:szCs w:val="18"/>
        </w:rPr>
        <w:t>Special Report - Poor Insight in Schizophrenia: Overview and Impact on Medication Compliance</w:t>
      </w:r>
      <w:r w:rsidRPr="0073530B">
        <w:rPr>
          <w:rFonts w:asciiTheme="minorHAnsi" w:hAnsiTheme="minorHAnsi"/>
          <w:sz w:val="18"/>
          <w:szCs w:val="18"/>
        </w:rPr>
        <w:t xml:space="preserve"> (2003) available at http://mentalillnesspolicy.org/medical/lack-of-insight-schizoprhenia.pdf; R. Kemp and A. David,</w:t>
      </w:r>
      <w:r w:rsidRPr="0073530B">
        <w:rPr>
          <w:rStyle w:val="Strong"/>
          <w:rFonts w:asciiTheme="minorHAnsi" w:hAnsiTheme="minorHAnsi"/>
          <w:sz w:val="18"/>
          <w:szCs w:val="18"/>
          <w:bdr w:val="none" w:sz="0" w:space="0" w:color="auto" w:frame="1"/>
          <w:shd w:val="clear" w:color="auto" w:fill="FFFFFF"/>
        </w:rPr>
        <w:t xml:space="preserve"> ‘</w:t>
      </w:r>
      <w:r w:rsidRPr="0073530B">
        <w:rPr>
          <w:rFonts w:asciiTheme="minorHAnsi" w:hAnsiTheme="minorHAnsi"/>
          <w:sz w:val="18"/>
          <w:szCs w:val="18"/>
          <w:shd w:val="clear" w:color="auto" w:fill="FFFFFF"/>
        </w:rPr>
        <w:t>Insight and compliance’ in</w:t>
      </w:r>
      <w:r w:rsidRPr="0073530B">
        <w:rPr>
          <w:rStyle w:val="apple-converted-space"/>
          <w:rFonts w:asciiTheme="minorHAnsi" w:hAnsiTheme="minorHAnsi"/>
          <w:sz w:val="18"/>
          <w:szCs w:val="18"/>
          <w:shd w:val="clear" w:color="auto" w:fill="FFFFFF"/>
        </w:rPr>
        <w:t> </w:t>
      </w:r>
      <w:r w:rsidRPr="0073530B">
        <w:rPr>
          <w:rFonts w:asciiTheme="minorHAnsi" w:hAnsiTheme="minorHAnsi"/>
          <w:sz w:val="18"/>
          <w:szCs w:val="18"/>
          <w:shd w:val="clear" w:color="auto" w:fill="FFFFFF"/>
        </w:rPr>
        <w:t>(B. Blackwell (</w:t>
      </w:r>
      <w:proofErr w:type="spellStart"/>
      <w:r w:rsidRPr="0073530B">
        <w:rPr>
          <w:rFonts w:asciiTheme="minorHAnsi" w:hAnsiTheme="minorHAnsi"/>
          <w:sz w:val="18"/>
          <w:szCs w:val="18"/>
          <w:shd w:val="clear" w:color="auto" w:fill="FFFFFF"/>
        </w:rPr>
        <w:t>eds</w:t>
      </w:r>
      <w:proofErr w:type="spellEnd"/>
      <w:r w:rsidRPr="0073530B">
        <w:rPr>
          <w:rFonts w:asciiTheme="minorHAnsi" w:hAnsiTheme="minorHAnsi"/>
          <w:sz w:val="18"/>
          <w:szCs w:val="18"/>
          <w:shd w:val="clear" w:color="auto" w:fill="FFFFFF"/>
        </w:rPr>
        <w:t xml:space="preserve">)) </w:t>
      </w:r>
      <w:r w:rsidRPr="0073530B">
        <w:rPr>
          <w:rStyle w:val="cit-source"/>
          <w:rFonts w:asciiTheme="minorHAnsi" w:hAnsiTheme="minorHAnsi"/>
          <w:i/>
          <w:iCs/>
          <w:sz w:val="18"/>
          <w:szCs w:val="18"/>
          <w:bdr w:val="none" w:sz="0" w:space="0" w:color="auto" w:frame="1"/>
          <w:shd w:val="clear" w:color="auto" w:fill="FFFFFF"/>
        </w:rPr>
        <w:t xml:space="preserve">Treatment Compliance and the Therapeutic Alliance </w:t>
      </w:r>
      <w:r w:rsidRPr="0073530B">
        <w:rPr>
          <w:rStyle w:val="cit-source"/>
          <w:rFonts w:asciiTheme="minorHAnsi" w:hAnsiTheme="minorHAnsi"/>
          <w:iCs/>
          <w:sz w:val="18"/>
          <w:szCs w:val="18"/>
          <w:bdr w:val="none" w:sz="0" w:space="0" w:color="auto" w:frame="1"/>
          <w:shd w:val="clear" w:color="auto" w:fill="FFFFFF"/>
        </w:rPr>
        <w:t>(Harwood,</w:t>
      </w:r>
      <w:r w:rsidRPr="0073530B">
        <w:rPr>
          <w:rStyle w:val="Strong"/>
          <w:rFonts w:asciiTheme="minorHAnsi" w:hAnsiTheme="minorHAnsi"/>
          <w:sz w:val="18"/>
          <w:szCs w:val="18"/>
          <w:bdr w:val="none" w:sz="0" w:space="0" w:color="auto" w:frame="1"/>
          <w:shd w:val="clear" w:color="auto" w:fill="FFFFFF"/>
        </w:rPr>
        <w:t xml:space="preserve"> </w:t>
      </w:r>
      <w:r w:rsidRPr="0073530B">
        <w:rPr>
          <w:rStyle w:val="cit-pub-date"/>
          <w:rFonts w:asciiTheme="minorHAnsi" w:hAnsiTheme="minorHAnsi"/>
          <w:sz w:val="18"/>
          <w:szCs w:val="18"/>
          <w:bdr w:val="none" w:sz="0" w:space="0" w:color="auto" w:frame="1"/>
          <w:shd w:val="clear" w:color="auto" w:fill="FFFFFF"/>
        </w:rPr>
        <w:t>1997)</w:t>
      </w:r>
      <w:r w:rsidRPr="0073530B">
        <w:rPr>
          <w:rStyle w:val="apple-converted-space"/>
          <w:rFonts w:asciiTheme="minorHAnsi" w:hAnsiTheme="minorHAnsi"/>
          <w:sz w:val="18"/>
          <w:szCs w:val="18"/>
          <w:shd w:val="clear" w:color="auto" w:fill="FFFFFF"/>
        </w:rPr>
        <w:t> </w:t>
      </w:r>
      <w:r w:rsidRPr="0073530B">
        <w:rPr>
          <w:rStyle w:val="cit-fpage"/>
          <w:rFonts w:asciiTheme="minorHAnsi" w:hAnsiTheme="minorHAnsi"/>
          <w:sz w:val="18"/>
          <w:szCs w:val="18"/>
          <w:bdr w:val="none" w:sz="0" w:space="0" w:color="auto" w:frame="1"/>
          <w:shd w:val="clear" w:color="auto" w:fill="FFFFFF"/>
        </w:rPr>
        <w:t>61</w:t>
      </w:r>
      <w:r w:rsidRPr="0073530B">
        <w:rPr>
          <w:rFonts w:asciiTheme="minorHAnsi" w:hAnsiTheme="minorHAnsi"/>
          <w:sz w:val="18"/>
          <w:szCs w:val="18"/>
          <w:shd w:val="clear" w:color="auto" w:fill="FFFFFF"/>
        </w:rPr>
        <w:t xml:space="preserve">. </w:t>
      </w:r>
      <w:r w:rsidRPr="0073530B">
        <w:rPr>
          <w:rFonts w:asciiTheme="minorHAnsi" w:hAnsiTheme="minorHAnsi"/>
          <w:sz w:val="18"/>
          <w:szCs w:val="18"/>
        </w:rPr>
        <w:t>Note however that the Cooke study referred to above (n. 30) tended to dispute any connection between ‘compliance’ in schizophrenia patients and grey matter volume.</w:t>
      </w:r>
    </w:p>
    <w:p w:rsidR="00237841" w:rsidRPr="0073530B" w:rsidRDefault="00237841" w:rsidP="00FE3D37">
      <w:pPr>
        <w:pStyle w:val="FootnoteText"/>
        <w:rPr>
          <w:rFonts w:asciiTheme="minorHAnsi" w:hAnsiTheme="minorHAnsi"/>
          <w:sz w:val="18"/>
          <w:szCs w:val="18"/>
        </w:rPr>
      </w:pPr>
    </w:p>
  </w:footnote>
  <w:footnote w:id="39">
    <w:p w:rsidR="00237841" w:rsidRPr="0073530B" w:rsidRDefault="00237841" w:rsidP="000959DD">
      <w:pPr>
        <w:jc w:val="both"/>
        <w:rPr>
          <w:sz w:val="18"/>
          <w:szCs w:val="18"/>
        </w:rPr>
      </w:pPr>
      <w:r w:rsidRPr="0073530B">
        <w:rPr>
          <w:rStyle w:val="FootnoteReference"/>
          <w:sz w:val="18"/>
          <w:szCs w:val="18"/>
        </w:rPr>
        <w:footnoteRef/>
      </w:r>
      <w:r w:rsidRPr="0073530B">
        <w:rPr>
          <w:sz w:val="18"/>
          <w:szCs w:val="18"/>
        </w:rPr>
        <w:t xml:space="preserve"> J. Donovan, &amp; D. Blake ‘Patient non-compliance: deviance or reasoned decision making?’ (1992) 34 </w:t>
      </w:r>
      <w:r w:rsidRPr="0073530B">
        <w:rPr>
          <w:i/>
          <w:sz w:val="18"/>
          <w:szCs w:val="18"/>
        </w:rPr>
        <w:t xml:space="preserve">Social Science and Medicine </w:t>
      </w:r>
      <w:r w:rsidRPr="0073530B">
        <w:rPr>
          <w:sz w:val="18"/>
          <w:szCs w:val="18"/>
        </w:rPr>
        <w:t>507.</w:t>
      </w:r>
    </w:p>
  </w:footnote>
  <w:footnote w:id="40">
    <w:p w:rsidR="00237841" w:rsidRPr="0073530B" w:rsidRDefault="00237841" w:rsidP="00E611CD">
      <w:pPr>
        <w:pStyle w:val="FootnoteText"/>
        <w:jc w:val="both"/>
        <w:rPr>
          <w:rFonts w:asciiTheme="minorHAnsi" w:hAnsiTheme="minorHAnsi"/>
          <w:i/>
          <w:sz w:val="18"/>
          <w:szCs w:val="18"/>
        </w:rPr>
      </w:pPr>
      <w:r w:rsidRPr="0073530B">
        <w:rPr>
          <w:rStyle w:val="FootnoteReference"/>
          <w:rFonts w:asciiTheme="minorHAnsi" w:hAnsiTheme="minorHAnsi"/>
          <w:sz w:val="18"/>
          <w:szCs w:val="18"/>
        </w:rPr>
        <w:footnoteRef/>
      </w:r>
      <w:r w:rsidRPr="0073530B">
        <w:rPr>
          <w:rFonts w:asciiTheme="minorHAnsi" w:hAnsiTheme="minorHAnsi"/>
          <w:sz w:val="18"/>
          <w:szCs w:val="18"/>
        </w:rPr>
        <w:t xml:space="preserve"> J. </w:t>
      </w:r>
      <w:proofErr w:type="spellStart"/>
      <w:r w:rsidRPr="0073530B">
        <w:rPr>
          <w:rFonts w:asciiTheme="minorHAnsi" w:hAnsiTheme="minorHAnsi"/>
          <w:sz w:val="18"/>
          <w:szCs w:val="18"/>
        </w:rPr>
        <w:t>Trostle</w:t>
      </w:r>
      <w:proofErr w:type="spellEnd"/>
      <w:r w:rsidRPr="0073530B">
        <w:rPr>
          <w:rFonts w:asciiTheme="minorHAnsi" w:hAnsiTheme="minorHAnsi"/>
          <w:sz w:val="18"/>
          <w:szCs w:val="18"/>
        </w:rPr>
        <w:t xml:space="preserve">, ‘Medical compliance as ideology.’ (1988) 27 </w:t>
      </w:r>
      <w:r w:rsidRPr="0073530B">
        <w:rPr>
          <w:rFonts w:asciiTheme="minorHAnsi" w:hAnsiTheme="minorHAnsi"/>
          <w:i/>
          <w:sz w:val="18"/>
          <w:szCs w:val="18"/>
        </w:rPr>
        <w:t xml:space="preserve">Social Science and Medicine </w:t>
      </w:r>
      <w:r w:rsidRPr="0073530B">
        <w:rPr>
          <w:rFonts w:asciiTheme="minorHAnsi" w:hAnsiTheme="minorHAnsi"/>
          <w:sz w:val="18"/>
          <w:szCs w:val="18"/>
        </w:rPr>
        <w:t>1299</w:t>
      </w:r>
      <w:r w:rsidRPr="0073530B">
        <w:rPr>
          <w:rFonts w:asciiTheme="minorHAnsi" w:hAnsiTheme="minorHAnsi"/>
          <w:i/>
          <w:sz w:val="18"/>
          <w:szCs w:val="18"/>
        </w:rPr>
        <w:t>.</w:t>
      </w:r>
    </w:p>
    <w:p w:rsidR="00237841" w:rsidRPr="0073530B" w:rsidRDefault="00237841" w:rsidP="00E611CD">
      <w:pPr>
        <w:pStyle w:val="FootnoteText"/>
        <w:jc w:val="both"/>
        <w:rPr>
          <w:rFonts w:asciiTheme="minorHAnsi" w:hAnsiTheme="minorHAnsi"/>
          <w:i/>
          <w:sz w:val="18"/>
          <w:szCs w:val="18"/>
        </w:rPr>
      </w:pPr>
    </w:p>
  </w:footnote>
  <w:footnote w:id="41">
    <w:p w:rsidR="00237841" w:rsidRPr="0073530B" w:rsidRDefault="00237841" w:rsidP="00E611CD">
      <w:pPr>
        <w:pStyle w:val="FootnoteText"/>
        <w:jc w:val="both"/>
        <w:rPr>
          <w:rFonts w:asciiTheme="minorHAnsi" w:hAnsiTheme="minorHAnsi"/>
          <w:sz w:val="18"/>
          <w:szCs w:val="18"/>
        </w:rPr>
      </w:pPr>
      <w:r w:rsidRPr="0073530B">
        <w:rPr>
          <w:rStyle w:val="FootnoteReference"/>
          <w:rFonts w:asciiTheme="minorHAnsi" w:hAnsiTheme="minorHAnsi"/>
          <w:sz w:val="18"/>
          <w:szCs w:val="18"/>
        </w:rPr>
        <w:footnoteRef/>
      </w:r>
      <w:r w:rsidRPr="0073530B">
        <w:rPr>
          <w:rFonts w:asciiTheme="minorHAnsi" w:hAnsiTheme="minorHAnsi"/>
          <w:sz w:val="18"/>
          <w:szCs w:val="18"/>
        </w:rPr>
        <w:t xml:space="preserve">  See e.g. in the specific context of schizophrenia, </w:t>
      </w:r>
      <w:proofErr w:type="spellStart"/>
      <w:r w:rsidRPr="0073530B">
        <w:rPr>
          <w:rFonts w:asciiTheme="minorHAnsi" w:hAnsiTheme="minorHAnsi"/>
          <w:sz w:val="18"/>
          <w:szCs w:val="18"/>
        </w:rPr>
        <w:t>J.McEvoy</w:t>
      </w:r>
      <w:proofErr w:type="spellEnd"/>
      <w:r w:rsidRPr="0073530B">
        <w:rPr>
          <w:rFonts w:asciiTheme="minorHAnsi" w:hAnsiTheme="minorHAnsi"/>
          <w:sz w:val="18"/>
          <w:szCs w:val="18"/>
        </w:rPr>
        <w:t xml:space="preserve"> on ‘The relationship between insight in psychosis and compliance with medications’ in X. Amador and A. David, (</w:t>
      </w:r>
      <w:proofErr w:type="spellStart"/>
      <w:r w:rsidRPr="0073530B">
        <w:rPr>
          <w:rFonts w:asciiTheme="minorHAnsi" w:hAnsiTheme="minorHAnsi"/>
          <w:sz w:val="18"/>
          <w:szCs w:val="18"/>
        </w:rPr>
        <w:t>eds</w:t>
      </w:r>
      <w:proofErr w:type="spellEnd"/>
      <w:r w:rsidRPr="0073530B">
        <w:rPr>
          <w:rFonts w:asciiTheme="minorHAnsi" w:hAnsiTheme="minorHAnsi"/>
          <w:sz w:val="18"/>
          <w:szCs w:val="18"/>
        </w:rPr>
        <w:t xml:space="preserve">) </w:t>
      </w:r>
      <w:r w:rsidRPr="0073530B">
        <w:rPr>
          <w:rFonts w:asciiTheme="minorHAnsi" w:hAnsiTheme="minorHAnsi"/>
          <w:i/>
          <w:sz w:val="18"/>
          <w:szCs w:val="18"/>
        </w:rPr>
        <w:t>Insight and Psychosis</w:t>
      </w:r>
      <w:r w:rsidRPr="0073530B">
        <w:rPr>
          <w:rFonts w:asciiTheme="minorHAnsi" w:hAnsiTheme="minorHAnsi"/>
          <w:sz w:val="18"/>
          <w:szCs w:val="18"/>
        </w:rPr>
        <w:t xml:space="preserve"> (OUP, 2008). But </w:t>
      </w:r>
      <w:proofErr w:type="spellStart"/>
      <w:r w:rsidRPr="0073530B">
        <w:rPr>
          <w:rFonts w:asciiTheme="minorHAnsi" w:hAnsiTheme="minorHAnsi"/>
          <w:sz w:val="18"/>
          <w:szCs w:val="18"/>
        </w:rPr>
        <w:t>cf</w:t>
      </w:r>
      <w:proofErr w:type="spellEnd"/>
      <w:r w:rsidRPr="0073530B">
        <w:rPr>
          <w:rFonts w:asciiTheme="minorHAnsi" w:hAnsiTheme="minorHAnsi"/>
          <w:sz w:val="18"/>
          <w:szCs w:val="18"/>
        </w:rPr>
        <w:t xml:space="preserve"> research such as that by R. McCabe et al, ‘Is there a role for compliance in the assessment of insight in chronic schizophrenia?’ (2000) 5(2) </w:t>
      </w:r>
      <w:r w:rsidRPr="0073530B">
        <w:rPr>
          <w:rFonts w:asciiTheme="minorHAnsi" w:hAnsiTheme="minorHAnsi"/>
          <w:i/>
          <w:sz w:val="18"/>
          <w:szCs w:val="18"/>
        </w:rPr>
        <w:t>Psychiatry, Health and Medicine</w:t>
      </w:r>
      <w:r w:rsidRPr="0073530B">
        <w:rPr>
          <w:rFonts w:asciiTheme="minorHAnsi" w:hAnsiTheme="minorHAnsi"/>
          <w:sz w:val="18"/>
          <w:szCs w:val="18"/>
        </w:rPr>
        <w:t xml:space="preserve"> 173 which suggests only a weak connection between insight and compliance.</w:t>
      </w:r>
    </w:p>
    <w:p w:rsidR="00237841" w:rsidRPr="0073530B" w:rsidRDefault="00237841" w:rsidP="004B737B">
      <w:pPr>
        <w:pStyle w:val="FootnoteText"/>
        <w:rPr>
          <w:rFonts w:asciiTheme="minorHAnsi" w:hAnsiTheme="minorHAnsi"/>
          <w:sz w:val="18"/>
          <w:szCs w:val="18"/>
        </w:rPr>
      </w:pPr>
    </w:p>
  </w:footnote>
  <w:footnote w:id="42">
    <w:p w:rsidR="00237841" w:rsidRPr="0073530B" w:rsidRDefault="00237841" w:rsidP="00E5098A">
      <w:pPr>
        <w:pStyle w:val="FootnoteText"/>
        <w:rPr>
          <w:rFonts w:asciiTheme="minorHAnsi" w:hAnsiTheme="minorHAnsi"/>
          <w:sz w:val="18"/>
          <w:szCs w:val="18"/>
        </w:rPr>
      </w:pPr>
      <w:r w:rsidRPr="0073530B">
        <w:rPr>
          <w:rStyle w:val="FootnoteReference"/>
          <w:rFonts w:asciiTheme="minorHAnsi" w:hAnsiTheme="minorHAnsi"/>
          <w:sz w:val="18"/>
          <w:szCs w:val="18"/>
        </w:rPr>
        <w:footnoteRef/>
      </w:r>
      <w:r w:rsidRPr="0073530B">
        <w:rPr>
          <w:rFonts w:asciiTheme="minorHAnsi" w:hAnsiTheme="minorHAnsi"/>
          <w:sz w:val="18"/>
          <w:szCs w:val="18"/>
        </w:rPr>
        <w:t xml:space="preserve"> E.g. </w:t>
      </w:r>
      <w:r w:rsidRPr="0073530B">
        <w:rPr>
          <w:rFonts w:asciiTheme="minorHAnsi" w:hAnsiTheme="minorHAnsi"/>
          <w:i/>
          <w:sz w:val="18"/>
          <w:szCs w:val="18"/>
        </w:rPr>
        <w:t xml:space="preserve">SCC v LM &amp; Others </w:t>
      </w:r>
      <w:r w:rsidRPr="0073530B">
        <w:rPr>
          <w:rFonts w:asciiTheme="minorHAnsi" w:hAnsiTheme="minorHAnsi"/>
          <w:sz w:val="18"/>
          <w:szCs w:val="18"/>
        </w:rPr>
        <w:t>[2013] EWCOP 1137 (consistent with Alzheimer’s/vascular dementia).</w:t>
      </w:r>
    </w:p>
    <w:p w:rsidR="00237841" w:rsidRPr="0073530B" w:rsidRDefault="00237841" w:rsidP="00E5098A">
      <w:pPr>
        <w:pStyle w:val="FootnoteText"/>
        <w:rPr>
          <w:rFonts w:asciiTheme="minorHAnsi" w:hAnsiTheme="minorHAnsi"/>
          <w:sz w:val="18"/>
          <w:szCs w:val="18"/>
        </w:rPr>
      </w:pPr>
    </w:p>
  </w:footnote>
  <w:footnote w:id="43">
    <w:p w:rsidR="00237841" w:rsidRPr="0073530B" w:rsidRDefault="00237841" w:rsidP="00E5098A">
      <w:pPr>
        <w:pStyle w:val="FootnoteText"/>
        <w:rPr>
          <w:rFonts w:asciiTheme="minorHAnsi" w:hAnsiTheme="minorHAnsi"/>
          <w:sz w:val="18"/>
          <w:szCs w:val="18"/>
        </w:rPr>
      </w:pPr>
      <w:r w:rsidRPr="0073530B">
        <w:rPr>
          <w:rStyle w:val="FootnoteReference"/>
          <w:rFonts w:asciiTheme="minorHAnsi" w:hAnsiTheme="minorHAnsi"/>
          <w:sz w:val="18"/>
          <w:szCs w:val="18"/>
        </w:rPr>
        <w:footnoteRef/>
      </w:r>
      <w:r w:rsidRPr="0073530B">
        <w:rPr>
          <w:rFonts w:asciiTheme="minorHAnsi" w:hAnsiTheme="minorHAnsi"/>
          <w:sz w:val="18"/>
          <w:szCs w:val="18"/>
        </w:rPr>
        <w:t xml:space="preserve"> </w:t>
      </w:r>
      <w:r w:rsidRPr="0073530B">
        <w:rPr>
          <w:rFonts w:asciiTheme="minorHAnsi" w:hAnsiTheme="minorHAnsi"/>
          <w:i/>
          <w:sz w:val="18"/>
          <w:szCs w:val="18"/>
        </w:rPr>
        <w:t xml:space="preserve"> </w:t>
      </w:r>
      <w:r w:rsidRPr="0073530B">
        <w:rPr>
          <w:rFonts w:asciiTheme="minorHAnsi" w:hAnsiTheme="minorHAnsi"/>
          <w:sz w:val="18"/>
          <w:szCs w:val="18"/>
        </w:rPr>
        <w:t>[2014] EWCOP 342.</w:t>
      </w:r>
    </w:p>
  </w:footnote>
  <w:footnote w:id="44">
    <w:p w:rsidR="00237841" w:rsidRPr="0073530B" w:rsidRDefault="00237841" w:rsidP="00FE3D37">
      <w:pPr>
        <w:spacing w:before="100" w:beforeAutospacing="1" w:after="100" w:afterAutospacing="1"/>
        <w:rPr>
          <w:sz w:val="18"/>
          <w:szCs w:val="18"/>
        </w:rPr>
      </w:pPr>
      <w:r w:rsidRPr="0073530B">
        <w:rPr>
          <w:rStyle w:val="FootnoteReference"/>
          <w:sz w:val="18"/>
          <w:szCs w:val="18"/>
        </w:rPr>
        <w:footnoteRef/>
      </w:r>
      <w:r w:rsidRPr="0073530B">
        <w:rPr>
          <w:sz w:val="18"/>
          <w:szCs w:val="18"/>
        </w:rPr>
        <w:t xml:space="preserve"> For a similar conclusion outside of the health and welfare context see the fascinating judgment in: </w:t>
      </w:r>
      <w:r w:rsidRPr="0073530B">
        <w:rPr>
          <w:i/>
          <w:sz w:val="18"/>
          <w:szCs w:val="18"/>
        </w:rPr>
        <w:t>Re P</w:t>
      </w:r>
      <w:r w:rsidRPr="0073530B">
        <w:rPr>
          <w:rFonts w:eastAsia="Times New Roman" w:cs="Times New Roman"/>
          <w:i/>
          <w:color w:val="000000"/>
          <w:sz w:val="18"/>
          <w:szCs w:val="18"/>
          <w:lang w:eastAsia="en-GB"/>
        </w:rPr>
        <w:t xml:space="preserve"> (capacity to tithe inheritance)</w:t>
      </w:r>
      <w:r w:rsidRPr="0073530B">
        <w:rPr>
          <w:rFonts w:eastAsia="Times New Roman" w:cs="Times New Roman"/>
          <w:color w:val="000000"/>
          <w:sz w:val="18"/>
          <w:szCs w:val="18"/>
          <w:lang w:eastAsia="en-GB"/>
        </w:rPr>
        <w:t xml:space="preserve"> [2014] EWCOP B14.</w:t>
      </w:r>
    </w:p>
  </w:footnote>
  <w:footnote w:id="45">
    <w:p w:rsidR="00237841" w:rsidRPr="0073530B" w:rsidRDefault="00237841" w:rsidP="00A20FDB">
      <w:pPr>
        <w:pStyle w:val="FootnoteText"/>
        <w:rPr>
          <w:rFonts w:asciiTheme="minorHAnsi" w:hAnsiTheme="minorHAnsi"/>
          <w:sz w:val="18"/>
          <w:szCs w:val="18"/>
        </w:rPr>
      </w:pPr>
      <w:r w:rsidRPr="0073530B">
        <w:rPr>
          <w:rStyle w:val="FootnoteReference"/>
          <w:rFonts w:asciiTheme="minorHAnsi" w:hAnsiTheme="minorHAnsi"/>
          <w:sz w:val="18"/>
          <w:szCs w:val="18"/>
        </w:rPr>
        <w:footnoteRef/>
      </w:r>
      <w:r w:rsidRPr="0073530B">
        <w:rPr>
          <w:rFonts w:asciiTheme="minorHAnsi" w:hAnsiTheme="minorHAnsi"/>
          <w:sz w:val="18"/>
          <w:szCs w:val="18"/>
        </w:rPr>
        <w:t xml:space="preserve"> </w:t>
      </w:r>
      <w:r w:rsidRPr="0073530B">
        <w:rPr>
          <w:rFonts w:asciiTheme="minorHAnsi" w:hAnsiTheme="minorHAnsi"/>
          <w:color w:val="000000"/>
          <w:sz w:val="18"/>
          <w:szCs w:val="18"/>
          <w:lang w:eastAsia="en-GB"/>
        </w:rPr>
        <w:t>[2012] EWCOP 2136.</w:t>
      </w:r>
    </w:p>
    <w:p w:rsidR="00237841" w:rsidRPr="0073530B" w:rsidRDefault="00237841" w:rsidP="00A20FDB">
      <w:pPr>
        <w:pStyle w:val="FootnoteText"/>
        <w:rPr>
          <w:rFonts w:asciiTheme="minorHAnsi" w:hAnsiTheme="minorHAnsi"/>
          <w:sz w:val="18"/>
          <w:szCs w:val="18"/>
        </w:rPr>
      </w:pPr>
    </w:p>
  </w:footnote>
  <w:footnote w:id="46">
    <w:p w:rsidR="00237841" w:rsidRPr="0073530B" w:rsidRDefault="00237841" w:rsidP="00455F29">
      <w:pPr>
        <w:pStyle w:val="FootnoteText"/>
        <w:rPr>
          <w:rFonts w:asciiTheme="minorHAnsi" w:hAnsiTheme="minorHAnsi"/>
          <w:sz w:val="18"/>
          <w:szCs w:val="18"/>
          <w:lang w:eastAsia="en-GB"/>
        </w:rPr>
      </w:pPr>
      <w:r w:rsidRPr="0073530B">
        <w:rPr>
          <w:rStyle w:val="FootnoteReference"/>
          <w:rFonts w:asciiTheme="minorHAnsi" w:hAnsiTheme="minorHAnsi"/>
          <w:sz w:val="18"/>
          <w:szCs w:val="18"/>
        </w:rPr>
        <w:footnoteRef/>
      </w:r>
      <w:r w:rsidRPr="0073530B">
        <w:rPr>
          <w:rFonts w:asciiTheme="minorHAnsi" w:hAnsiTheme="minorHAnsi"/>
          <w:sz w:val="18"/>
          <w:szCs w:val="18"/>
        </w:rPr>
        <w:t xml:space="preserve"> See also </w:t>
      </w:r>
      <w:r w:rsidRPr="0073530B">
        <w:rPr>
          <w:rFonts w:asciiTheme="minorHAnsi" w:hAnsiTheme="minorHAnsi"/>
          <w:i/>
          <w:sz w:val="18"/>
          <w:szCs w:val="18"/>
          <w:lang w:eastAsia="en-GB"/>
        </w:rPr>
        <w:t>A Local Authority v TZ</w:t>
      </w:r>
      <w:r w:rsidRPr="0073530B">
        <w:rPr>
          <w:rFonts w:asciiTheme="minorHAnsi" w:hAnsiTheme="minorHAnsi"/>
          <w:sz w:val="18"/>
          <w:szCs w:val="18"/>
          <w:lang w:eastAsia="en-GB"/>
        </w:rPr>
        <w:t xml:space="preserve"> [2013] EWCOP 2322 where the judge refers to TZ’s insight into sexual relations (seemingly as a substitute for ‘understanding’) as indicating capacity: ‘</w:t>
      </w:r>
      <w:r w:rsidRPr="0073530B">
        <w:rPr>
          <w:rFonts w:asciiTheme="minorHAnsi" w:hAnsiTheme="minorHAnsi"/>
          <w:sz w:val="18"/>
          <w:szCs w:val="18"/>
        </w:rPr>
        <w:t>sometimes it's easy to make the right choice, sometimes it isn't, but I would try to make the right choice." This insight seemed to me to be well above the level of "rudimentary" ability required’</w:t>
      </w:r>
      <w:r w:rsidRPr="0073530B">
        <w:rPr>
          <w:rFonts w:asciiTheme="minorHAnsi" w:hAnsiTheme="minorHAnsi"/>
          <w:sz w:val="18"/>
          <w:szCs w:val="18"/>
          <w:lang w:eastAsia="en-GB"/>
        </w:rPr>
        <w:t>.</w:t>
      </w:r>
    </w:p>
    <w:p w:rsidR="00237841" w:rsidRPr="0073530B" w:rsidRDefault="00237841" w:rsidP="00455F29">
      <w:pPr>
        <w:pStyle w:val="FootnoteText"/>
        <w:rPr>
          <w:rFonts w:asciiTheme="minorHAnsi" w:hAnsiTheme="minorHAnsi"/>
          <w:sz w:val="18"/>
          <w:szCs w:val="18"/>
        </w:rPr>
      </w:pPr>
    </w:p>
  </w:footnote>
  <w:footnote w:id="47">
    <w:p w:rsidR="00237841" w:rsidRPr="0073530B" w:rsidRDefault="00237841" w:rsidP="00CE3F20">
      <w:pPr>
        <w:pStyle w:val="FootnoteText"/>
        <w:rPr>
          <w:rFonts w:asciiTheme="minorHAnsi" w:hAnsiTheme="minorHAnsi"/>
          <w:color w:val="000000"/>
          <w:sz w:val="18"/>
          <w:szCs w:val="18"/>
          <w:lang w:eastAsia="en-GB"/>
        </w:rPr>
      </w:pPr>
      <w:r w:rsidRPr="0073530B">
        <w:rPr>
          <w:rStyle w:val="FootnoteReference"/>
          <w:rFonts w:asciiTheme="minorHAnsi" w:hAnsiTheme="minorHAnsi"/>
          <w:sz w:val="18"/>
          <w:szCs w:val="18"/>
        </w:rPr>
        <w:footnoteRef/>
      </w:r>
      <w:r w:rsidRPr="0073530B">
        <w:rPr>
          <w:rFonts w:asciiTheme="minorHAnsi" w:hAnsiTheme="minorHAnsi"/>
          <w:sz w:val="18"/>
          <w:szCs w:val="18"/>
        </w:rPr>
        <w:t xml:space="preserve"> </w:t>
      </w:r>
      <w:r w:rsidRPr="0073530B">
        <w:rPr>
          <w:rFonts w:asciiTheme="minorHAnsi" w:hAnsiTheme="minorHAnsi"/>
          <w:color w:val="000000"/>
          <w:sz w:val="18"/>
          <w:szCs w:val="18"/>
          <w:lang w:eastAsia="en-GB"/>
        </w:rPr>
        <w:t>[2011] EWCOP 1704.</w:t>
      </w:r>
    </w:p>
    <w:p w:rsidR="00237841" w:rsidRPr="0073530B" w:rsidRDefault="00237841" w:rsidP="00CE3F20">
      <w:pPr>
        <w:pStyle w:val="FootnoteText"/>
        <w:rPr>
          <w:rFonts w:asciiTheme="minorHAnsi" w:hAnsiTheme="minorHAnsi"/>
          <w:sz w:val="18"/>
          <w:szCs w:val="18"/>
        </w:rPr>
      </w:pPr>
    </w:p>
  </w:footnote>
  <w:footnote w:id="48">
    <w:p w:rsidR="00237841" w:rsidRPr="0073530B" w:rsidRDefault="00237841">
      <w:pPr>
        <w:pStyle w:val="FootnoteText"/>
        <w:rPr>
          <w:rFonts w:asciiTheme="minorHAnsi" w:hAnsiTheme="minorHAnsi"/>
          <w:color w:val="000000"/>
          <w:sz w:val="18"/>
          <w:szCs w:val="18"/>
          <w:lang w:eastAsia="en-GB"/>
        </w:rPr>
      </w:pPr>
      <w:r w:rsidRPr="0073530B">
        <w:rPr>
          <w:rStyle w:val="FootnoteReference"/>
          <w:rFonts w:asciiTheme="minorHAnsi" w:hAnsiTheme="minorHAnsi"/>
          <w:sz w:val="18"/>
          <w:szCs w:val="18"/>
        </w:rPr>
        <w:footnoteRef/>
      </w:r>
      <w:r w:rsidRPr="0073530B">
        <w:rPr>
          <w:rFonts w:asciiTheme="minorHAnsi" w:hAnsiTheme="minorHAnsi"/>
          <w:sz w:val="18"/>
          <w:szCs w:val="18"/>
        </w:rPr>
        <w:t xml:space="preserve"> </w:t>
      </w:r>
      <w:r w:rsidRPr="0073530B">
        <w:rPr>
          <w:rFonts w:asciiTheme="minorHAnsi" w:hAnsiTheme="minorHAnsi"/>
          <w:color w:val="000000"/>
          <w:sz w:val="18"/>
          <w:szCs w:val="18"/>
          <w:lang w:eastAsia="en-GB"/>
        </w:rPr>
        <w:t>under s.21A of the MCA.</w:t>
      </w:r>
    </w:p>
    <w:p w:rsidR="00237841" w:rsidRPr="0073530B" w:rsidRDefault="00237841">
      <w:pPr>
        <w:pStyle w:val="FootnoteText"/>
        <w:rPr>
          <w:rFonts w:asciiTheme="minorHAnsi" w:hAnsiTheme="minorHAnsi"/>
          <w:sz w:val="18"/>
          <w:szCs w:val="18"/>
        </w:rPr>
      </w:pPr>
    </w:p>
  </w:footnote>
  <w:footnote w:id="49">
    <w:p w:rsidR="00DE039C" w:rsidRPr="0073530B" w:rsidRDefault="00DE039C">
      <w:pPr>
        <w:pStyle w:val="FootnoteText"/>
        <w:rPr>
          <w:rFonts w:asciiTheme="minorHAnsi" w:hAnsiTheme="minorHAnsi"/>
          <w:sz w:val="18"/>
          <w:szCs w:val="18"/>
        </w:rPr>
      </w:pPr>
      <w:r w:rsidRPr="0073530B">
        <w:rPr>
          <w:rStyle w:val="FootnoteReference"/>
          <w:rFonts w:asciiTheme="minorHAnsi" w:hAnsiTheme="minorHAnsi"/>
          <w:sz w:val="18"/>
          <w:szCs w:val="18"/>
        </w:rPr>
        <w:footnoteRef/>
      </w:r>
      <w:r w:rsidRPr="0073530B">
        <w:rPr>
          <w:rFonts w:asciiTheme="minorHAnsi" w:hAnsiTheme="minorHAnsi"/>
          <w:sz w:val="18"/>
          <w:szCs w:val="18"/>
        </w:rPr>
        <w:t xml:space="preserve"> [2011] EWCOP 1704 at [48].  </w:t>
      </w:r>
    </w:p>
    <w:p w:rsidR="00DE039C" w:rsidRPr="0073530B" w:rsidRDefault="00DE039C">
      <w:pPr>
        <w:pStyle w:val="FootnoteText"/>
        <w:rPr>
          <w:rFonts w:asciiTheme="minorHAnsi" w:hAnsiTheme="minorHAnsi"/>
          <w:sz w:val="18"/>
          <w:szCs w:val="18"/>
        </w:rPr>
      </w:pPr>
    </w:p>
  </w:footnote>
  <w:footnote w:id="50">
    <w:p w:rsidR="00237841" w:rsidRPr="0073530B" w:rsidRDefault="00237841" w:rsidP="00BD1223">
      <w:pPr>
        <w:pStyle w:val="FootnoteText"/>
        <w:rPr>
          <w:rFonts w:asciiTheme="minorHAnsi" w:hAnsiTheme="minorHAnsi"/>
          <w:sz w:val="18"/>
          <w:szCs w:val="18"/>
        </w:rPr>
      </w:pPr>
      <w:r w:rsidRPr="0073530B">
        <w:rPr>
          <w:rStyle w:val="FootnoteReference"/>
          <w:rFonts w:asciiTheme="minorHAnsi" w:hAnsiTheme="minorHAnsi"/>
          <w:sz w:val="18"/>
          <w:szCs w:val="18"/>
        </w:rPr>
        <w:footnoteRef/>
      </w:r>
      <w:r w:rsidRPr="0073530B">
        <w:rPr>
          <w:rFonts w:asciiTheme="minorHAnsi" w:hAnsiTheme="minorHAnsi"/>
          <w:sz w:val="18"/>
          <w:szCs w:val="18"/>
        </w:rPr>
        <w:t xml:space="preserve"> </w:t>
      </w:r>
      <w:r w:rsidR="00DE039C" w:rsidRPr="0073530B">
        <w:rPr>
          <w:rFonts w:asciiTheme="minorHAnsi" w:hAnsiTheme="minorHAnsi"/>
          <w:sz w:val="18"/>
          <w:szCs w:val="18"/>
        </w:rPr>
        <w:t>[2011] EWCOP 1704 at [</w:t>
      </w:r>
      <w:r w:rsidRPr="0073530B">
        <w:rPr>
          <w:rFonts w:asciiTheme="minorHAnsi" w:hAnsiTheme="minorHAnsi"/>
          <w:sz w:val="18"/>
          <w:szCs w:val="18"/>
        </w:rPr>
        <w:t>26].</w:t>
      </w:r>
    </w:p>
    <w:p w:rsidR="00237841" w:rsidRPr="0073530B" w:rsidRDefault="00237841" w:rsidP="00BD1223">
      <w:pPr>
        <w:pStyle w:val="FootnoteText"/>
        <w:rPr>
          <w:rFonts w:asciiTheme="minorHAnsi" w:hAnsiTheme="minorHAnsi"/>
          <w:sz w:val="18"/>
          <w:szCs w:val="18"/>
        </w:rPr>
      </w:pPr>
    </w:p>
  </w:footnote>
  <w:footnote w:id="51">
    <w:p w:rsidR="00237841" w:rsidRPr="0073530B" w:rsidRDefault="00237841">
      <w:pPr>
        <w:pStyle w:val="FootnoteText"/>
        <w:rPr>
          <w:rFonts w:asciiTheme="minorHAnsi" w:hAnsiTheme="minorHAnsi"/>
          <w:sz w:val="18"/>
          <w:szCs w:val="18"/>
        </w:rPr>
      </w:pPr>
      <w:r w:rsidRPr="0073530B">
        <w:rPr>
          <w:rStyle w:val="FootnoteReference"/>
          <w:rFonts w:asciiTheme="minorHAnsi" w:hAnsiTheme="minorHAnsi"/>
          <w:sz w:val="18"/>
          <w:szCs w:val="18"/>
        </w:rPr>
        <w:footnoteRef/>
      </w:r>
      <w:r w:rsidRPr="0073530B">
        <w:rPr>
          <w:rFonts w:asciiTheme="minorHAnsi" w:hAnsiTheme="minorHAnsi"/>
          <w:sz w:val="18"/>
          <w:szCs w:val="18"/>
        </w:rPr>
        <w:t xml:space="preserve"> </w:t>
      </w:r>
      <w:r w:rsidRPr="0073530B">
        <w:rPr>
          <w:rFonts w:asciiTheme="minorHAnsi" w:hAnsiTheme="minorHAnsi"/>
          <w:i/>
          <w:color w:val="000000"/>
          <w:sz w:val="18"/>
          <w:szCs w:val="18"/>
          <w:lang w:eastAsia="en-GB"/>
        </w:rPr>
        <w:t>Heart of England NHS Foundation Trust v JB</w:t>
      </w:r>
      <w:r w:rsidRPr="0073530B">
        <w:rPr>
          <w:rFonts w:asciiTheme="minorHAnsi" w:hAnsiTheme="minorHAnsi"/>
          <w:color w:val="000000"/>
          <w:sz w:val="18"/>
          <w:szCs w:val="18"/>
          <w:lang w:eastAsia="en-GB"/>
        </w:rPr>
        <w:t xml:space="preserve"> [2014] EWCOP 342 </w:t>
      </w:r>
      <w:r w:rsidRPr="0073530B">
        <w:rPr>
          <w:rFonts w:asciiTheme="minorHAnsi" w:hAnsiTheme="minorHAnsi"/>
          <w:sz w:val="18"/>
          <w:szCs w:val="18"/>
        </w:rPr>
        <w:t>at [39].</w:t>
      </w:r>
    </w:p>
    <w:p w:rsidR="00237841" w:rsidRPr="0073530B" w:rsidRDefault="00237841">
      <w:pPr>
        <w:pStyle w:val="FootnoteText"/>
        <w:rPr>
          <w:rFonts w:asciiTheme="minorHAnsi" w:hAnsiTheme="minorHAnsi"/>
          <w:sz w:val="18"/>
          <w:szCs w:val="18"/>
        </w:rPr>
      </w:pPr>
    </w:p>
  </w:footnote>
  <w:footnote w:id="52">
    <w:p w:rsidR="00237841" w:rsidRPr="0073530B" w:rsidRDefault="00237841">
      <w:pPr>
        <w:pStyle w:val="FootnoteText"/>
        <w:rPr>
          <w:rFonts w:asciiTheme="minorHAnsi" w:hAnsiTheme="minorHAnsi"/>
          <w:sz w:val="18"/>
          <w:szCs w:val="18"/>
        </w:rPr>
      </w:pPr>
      <w:r w:rsidRPr="0073530B">
        <w:rPr>
          <w:rStyle w:val="FootnoteReference"/>
          <w:rFonts w:asciiTheme="minorHAnsi" w:hAnsiTheme="minorHAnsi"/>
          <w:sz w:val="18"/>
          <w:szCs w:val="18"/>
        </w:rPr>
        <w:footnoteRef/>
      </w:r>
      <w:r w:rsidRPr="0073530B">
        <w:rPr>
          <w:rFonts w:asciiTheme="minorHAnsi" w:hAnsiTheme="minorHAnsi"/>
          <w:sz w:val="18"/>
          <w:szCs w:val="18"/>
        </w:rPr>
        <w:t xml:space="preserve"> E.g. the guidance issued by Dame Butler-</w:t>
      </w:r>
      <w:proofErr w:type="spellStart"/>
      <w:r w:rsidRPr="0073530B">
        <w:rPr>
          <w:rFonts w:asciiTheme="minorHAnsi" w:hAnsiTheme="minorHAnsi"/>
          <w:sz w:val="18"/>
          <w:szCs w:val="18"/>
        </w:rPr>
        <w:t>Sloss</w:t>
      </w:r>
      <w:proofErr w:type="spellEnd"/>
      <w:r w:rsidRPr="0073530B">
        <w:rPr>
          <w:rFonts w:asciiTheme="minorHAnsi" w:hAnsiTheme="minorHAnsi"/>
          <w:sz w:val="18"/>
          <w:szCs w:val="18"/>
        </w:rPr>
        <w:t xml:space="preserve"> (as she was then) in </w:t>
      </w:r>
      <w:r w:rsidRPr="0073530B">
        <w:rPr>
          <w:rFonts w:asciiTheme="minorHAnsi" w:hAnsiTheme="minorHAnsi"/>
          <w:i/>
          <w:sz w:val="18"/>
          <w:szCs w:val="18"/>
        </w:rPr>
        <w:t>Ms B v An NHS Trust</w:t>
      </w:r>
      <w:r w:rsidRPr="0073530B">
        <w:rPr>
          <w:rFonts w:asciiTheme="minorHAnsi" w:hAnsiTheme="minorHAnsi"/>
          <w:sz w:val="18"/>
          <w:szCs w:val="18"/>
        </w:rPr>
        <w:t xml:space="preserve"> [2002] EWHC 429 at [100]: ‘</w:t>
      </w:r>
      <w:r w:rsidRPr="0073530B">
        <w:rPr>
          <w:rFonts w:asciiTheme="minorHAnsi" w:hAnsiTheme="minorHAnsi"/>
          <w:color w:val="000000"/>
          <w:sz w:val="18"/>
          <w:szCs w:val="18"/>
          <w:shd w:val="clear" w:color="auto" w:fill="FFFFFF"/>
        </w:rPr>
        <w:t>Considerations that the best interests of the patient would indicate that the decision should be to consent to treatment are irrelevant.’</w:t>
      </w:r>
    </w:p>
    <w:p w:rsidR="00237841" w:rsidRPr="0073530B" w:rsidRDefault="00237841">
      <w:pPr>
        <w:pStyle w:val="FootnoteText"/>
        <w:rPr>
          <w:rFonts w:asciiTheme="minorHAnsi" w:hAnsiTheme="minorHAnsi"/>
          <w:sz w:val="18"/>
          <w:szCs w:val="18"/>
        </w:rPr>
      </w:pPr>
    </w:p>
  </w:footnote>
  <w:footnote w:id="53">
    <w:p w:rsidR="00237841" w:rsidRPr="0073530B" w:rsidRDefault="00237841" w:rsidP="00796DD8">
      <w:pPr>
        <w:rPr>
          <w:sz w:val="18"/>
          <w:szCs w:val="18"/>
        </w:rPr>
      </w:pPr>
      <w:r w:rsidRPr="0073530B">
        <w:rPr>
          <w:rStyle w:val="FootnoteReference"/>
          <w:sz w:val="18"/>
          <w:szCs w:val="18"/>
        </w:rPr>
        <w:footnoteRef/>
      </w:r>
      <w:r w:rsidRPr="0073530B">
        <w:rPr>
          <w:sz w:val="18"/>
          <w:szCs w:val="18"/>
        </w:rPr>
        <w:t xml:space="preserve"> V. Williams et al, </w:t>
      </w:r>
      <w:r w:rsidRPr="0073530B">
        <w:rPr>
          <w:i/>
          <w:sz w:val="18"/>
          <w:szCs w:val="18"/>
        </w:rPr>
        <w:t xml:space="preserve">Making Best Interest Decisions: People and Processes </w:t>
      </w:r>
      <w:r w:rsidRPr="0073530B">
        <w:rPr>
          <w:sz w:val="18"/>
          <w:szCs w:val="18"/>
        </w:rPr>
        <w:t>(Mental Health Organisation, 2012) at 3.2.</w:t>
      </w:r>
    </w:p>
  </w:footnote>
  <w:footnote w:id="54">
    <w:p w:rsidR="00237841" w:rsidRPr="0073530B" w:rsidRDefault="00237841">
      <w:pPr>
        <w:pStyle w:val="FootnoteText"/>
        <w:rPr>
          <w:rFonts w:asciiTheme="minorHAnsi" w:hAnsiTheme="minorHAnsi"/>
          <w:sz w:val="18"/>
          <w:szCs w:val="18"/>
        </w:rPr>
      </w:pPr>
      <w:r w:rsidRPr="0073530B">
        <w:rPr>
          <w:rStyle w:val="FootnoteReference"/>
          <w:rFonts w:asciiTheme="minorHAnsi" w:hAnsiTheme="minorHAnsi"/>
          <w:sz w:val="18"/>
          <w:szCs w:val="18"/>
        </w:rPr>
        <w:footnoteRef/>
      </w:r>
      <w:r w:rsidRPr="0073530B">
        <w:rPr>
          <w:rFonts w:asciiTheme="minorHAnsi" w:hAnsiTheme="minorHAnsi"/>
          <w:sz w:val="18"/>
          <w:szCs w:val="18"/>
        </w:rPr>
        <w:t xml:space="preserve"> </w:t>
      </w:r>
      <w:r w:rsidRPr="0073530B">
        <w:rPr>
          <w:rFonts w:asciiTheme="minorHAnsi" w:hAnsiTheme="minorHAnsi"/>
          <w:color w:val="000000"/>
          <w:sz w:val="18"/>
          <w:szCs w:val="18"/>
        </w:rPr>
        <w:t xml:space="preserve"> [2014] EWCA </w:t>
      </w:r>
      <w:proofErr w:type="spellStart"/>
      <w:r w:rsidRPr="0073530B">
        <w:rPr>
          <w:rFonts w:asciiTheme="minorHAnsi" w:hAnsiTheme="minorHAnsi"/>
          <w:color w:val="000000"/>
          <w:sz w:val="18"/>
          <w:szCs w:val="18"/>
        </w:rPr>
        <w:t>Civ</w:t>
      </w:r>
      <w:proofErr w:type="spellEnd"/>
      <w:r w:rsidRPr="0073530B">
        <w:rPr>
          <w:rFonts w:asciiTheme="minorHAnsi" w:hAnsiTheme="minorHAnsi"/>
          <w:color w:val="000000"/>
          <w:sz w:val="18"/>
          <w:szCs w:val="18"/>
        </w:rPr>
        <w:t xml:space="preserve"> 561.</w:t>
      </w:r>
    </w:p>
  </w:footnote>
  <w:footnote w:id="55">
    <w:p w:rsidR="00237841" w:rsidRPr="0073530B" w:rsidRDefault="00237841">
      <w:pPr>
        <w:pStyle w:val="FootnoteText"/>
        <w:rPr>
          <w:rFonts w:asciiTheme="minorHAnsi" w:hAnsiTheme="minorHAnsi"/>
          <w:sz w:val="18"/>
          <w:szCs w:val="18"/>
        </w:rPr>
      </w:pPr>
    </w:p>
    <w:p w:rsidR="00237841" w:rsidRPr="0073530B" w:rsidRDefault="00237841">
      <w:pPr>
        <w:pStyle w:val="FootnoteText"/>
        <w:rPr>
          <w:rFonts w:asciiTheme="minorHAnsi" w:hAnsiTheme="minorHAnsi"/>
          <w:color w:val="000000"/>
          <w:sz w:val="18"/>
          <w:szCs w:val="18"/>
        </w:rPr>
      </w:pPr>
      <w:r w:rsidRPr="0073530B">
        <w:rPr>
          <w:rStyle w:val="FootnoteReference"/>
          <w:rFonts w:asciiTheme="minorHAnsi" w:hAnsiTheme="minorHAnsi"/>
          <w:sz w:val="18"/>
          <w:szCs w:val="18"/>
        </w:rPr>
        <w:footnoteRef/>
      </w:r>
      <w:r w:rsidRPr="0073530B">
        <w:rPr>
          <w:rFonts w:asciiTheme="minorHAnsi" w:hAnsiTheme="minorHAnsi"/>
          <w:sz w:val="18"/>
          <w:szCs w:val="18"/>
        </w:rPr>
        <w:t xml:space="preserve"> </w:t>
      </w:r>
      <w:r w:rsidR="004A4299" w:rsidRPr="0073530B">
        <w:rPr>
          <w:rFonts w:asciiTheme="minorHAnsi" w:hAnsiTheme="minorHAnsi"/>
          <w:sz w:val="18"/>
          <w:szCs w:val="18"/>
        </w:rPr>
        <w:t xml:space="preserve"> Ibid. a</w:t>
      </w:r>
      <w:r w:rsidRPr="0073530B">
        <w:rPr>
          <w:rFonts w:asciiTheme="minorHAnsi" w:hAnsiTheme="minorHAnsi"/>
          <w:color w:val="000000"/>
          <w:sz w:val="18"/>
          <w:szCs w:val="18"/>
        </w:rPr>
        <w:t>t [45], emphasis added.</w:t>
      </w:r>
    </w:p>
    <w:p w:rsidR="00237841" w:rsidRPr="0073530B" w:rsidRDefault="00237841">
      <w:pPr>
        <w:pStyle w:val="FootnoteText"/>
        <w:rPr>
          <w:rFonts w:asciiTheme="minorHAnsi" w:hAnsiTheme="minorHAnsi"/>
          <w:sz w:val="18"/>
          <w:szCs w:val="18"/>
        </w:rPr>
      </w:pPr>
    </w:p>
  </w:footnote>
  <w:footnote w:id="56">
    <w:p w:rsidR="00237841" w:rsidRPr="0073530B" w:rsidRDefault="00237841">
      <w:pPr>
        <w:pStyle w:val="FootnoteText"/>
        <w:rPr>
          <w:rFonts w:asciiTheme="minorHAnsi" w:hAnsiTheme="minorHAnsi"/>
          <w:sz w:val="18"/>
          <w:szCs w:val="18"/>
        </w:rPr>
      </w:pPr>
      <w:r w:rsidRPr="0073530B">
        <w:rPr>
          <w:rStyle w:val="FootnoteReference"/>
          <w:rFonts w:asciiTheme="minorHAnsi" w:hAnsiTheme="minorHAnsi"/>
          <w:sz w:val="18"/>
          <w:szCs w:val="18"/>
        </w:rPr>
        <w:footnoteRef/>
      </w:r>
      <w:r w:rsidRPr="0073530B">
        <w:rPr>
          <w:rFonts w:asciiTheme="minorHAnsi" w:hAnsiTheme="minorHAnsi"/>
          <w:sz w:val="18"/>
          <w:szCs w:val="18"/>
        </w:rPr>
        <w:t xml:space="preserve"> [2014] EWCOP 990.</w:t>
      </w:r>
    </w:p>
    <w:p w:rsidR="00237841" w:rsidRPr="0073530B" w:rsidRDefault="00237841">
      <w:pPr>
        <w:pStyle w:val="FootnoteText"/>
        <w:rPr>
          <w:rFonts w:asciiTheme="minorHAnsi" w:hAnsiTheme="minorHAnsi"/>
          <w:sz w:val="18"/>
          <w:szCs w:val="18"/>
        </w:rPr>
      </w:pPr>
    </w:p>
  </w:footnote>
  <w:footnote w:id="57">
    <w:p w:rsidR="00237841" w:rsidRPr="0073530B" w:rsidRDefault="00237841">
      <w:pPr>
        <w:pStyle w:val="FootnoteText"/>
        <w:rPr>
          <w:rFonts w:asciiTheme="minorHAnsi" w:hAnsiTheme="minorHAnsi"/>
          <w:sz w:val="18"/>
          <w:szCs w:val="18"/>
        </w:rPr>
      </w:pPr>
      <w:r w:rsidRPr="0073530B">
        <w:rPr>
          <w:rStyle w:val="FootnoteReference"/>
          <w:rFonts w:asciiTheme="minorHAnsi" w:hAnsiTheme="minorHAnsi"/>
          <w:sz w:val="18"/>
          <w:szCs w:val="18"/>
        </w:rPr>
        <w:footnoteRef/>
      </w:r>
      <w:r w:rsidRPr="0073530B">
        <w:rPr>
          <w:rFonts w:asciiTheme="minorHAnsi" w:hAnsiTheme="minorHAnsi"/>
          <w:sz w:val="18"/>
          <w:szCs w:val="18"/>
        </w:rPr>
        <w:t xml:space="preserve"> At [45] and [51].</w:t>
      </w:r>
    </w:p>
    <w:p w:rsidR="00237841" w:rsidRPr="0073530B" w:rsidRDefault="00237841">
      <w:pPr>
        <w:pStyle w:val="FootnoteText"/>
        <w:rPr>
          <w:rFonts w:asciiTheme="minorHAnsi" w:hAnsiTheme="minorHAnsi"/>
          <w:sz w:val="18"/>
          <w:szCs w:val="18"/>
        </w:rPr>
      </w:pPr>
    </w:p>
  </w:footnote>
  <w:footnote w:id="58">
    <w:p w:rsidR="00237841" w:rsidRPr="0073530B" w:rsidRDefault="00237841" w:rsidP="00DF69CC">
      <w:pPr>
        <w:jc w:val="both"/>
        <w:rPr>
          <w:sz w:val="18"/>
          <w:szCs w:val="18"/>
        </w:rPr>
      </w:pPr>
      <w:r w:rsidRPr="0073530B">
        <w:rPr>
          <w:rStyle w:val="FootnoteReference"/>
          <w:sz w:val="18"/>
          <w:szCs w:val="18"/>
        </w:rPr>
        <w:footnoteRef/>
      </w:r>
      <w:r w:rsidRPr="0073530B">
        <w:rPr>
          <w:sz w:val="18"/>
          <w:szCs w:val="18"/>
        </w:rPr>
        <w:t xml:space="preserve"> </w:t>
      </w:r>
      <w:r w:rsidRPr="0073530B">
        <w:rPr>
          <w:color w:val="000000"/>
          <w:sz w:val="18"/>
          <w:szCs w:val="18"/>
          <w:lang w:eastAsia="en-GB"/>
        </w:rPr>
        <w:t>At [65].</w:t>
      </w:r>
    </w:p>
  </w:footnote>
  <w:footnote w:id="59">
    <w:p w:rsidR="00237841" w:rsidRPr="0073530B" w:rsidRDefault="00237841" w:rsidP="00E5098A">
      <w:pPr>
        <w:pStyle w:val="FootnoteText"/>
        <w:rPr>
          <w:rFonts w:asciiTheme="minorHAnsi" w:hAnsiTheme="minorHAnsi"/>
          <w:sz w:val="18"/>
          <w:szCs w:val="18"/>
          <w:lang w:eastAsia="en-GB"/>
        </w:rPr>
      </w:pPr>
      <w:r w:rsidRPr="0073530B">
        <w:rPr>
          <w:rStyle w:val="FootnoteReference"/>
          <w:rFonts w:asciiTheme="minorHAnsi" w:hAnsiTheme="minorHAnsi"/>
          <w:sz w:val="18"/>
          <w:szCs w:val="18"/>
        </w:rPr>
        <w:footnoteRef/>
      </w:r>
      <w:r w:rsidRPr="0073530B">
        <w:rPr>
          <w:rFonts w:asciiTheme="minorHAnsi" w:hAnsiTheme="minorHAnsi"/>
          <w:sz w:val="18"/>
          <w:szCs w:val="18"/>
        </w:rPr>
        <w:t xml:space="preserve"> </w:t>
      </w:r>
      <w:r w:rsidRPr="0073530B">
        <w:rPr>
          <w:rFonts w:asciiTheme="minorHAnsi" w:hAnsiTheme="minorHAnsi"/>
          <w:sz w:val="18"/>
          <w:szCs w:val="18"/>
          <w:lang w:eastAsia="en-GB"/>
        </w:rPr>
        <w:t>[2014] EWCOP 26.</w:t>
      </w:r>
    </w:p>
    <w:p w:rsidR="00237841" w:rsidRPr="0073530B" w:rsidRDefault="00237841" w:rsidP="00E5098A">
      <w:pPr>
        <w:pStyle w:val="FootnoteText"/>
        <w:rPr>
          <w:rFonts w:asciiTheme="minorHAnsi" w:hAnsiTheme="minorHAnsi"/>
          <w:sz w:val="18"/>
          <w:szCs w:val="18"/>
        </w:rPr>
      </w:pPr>
    </w:p>
  </w:footnote>
  <w:footnote w:id="60">
    <w:p w:rsidR="00237841" w:rsidRPr="0073530B" w:rsidRDefault="00237841">
      <w:pPr>
        <w:pStyle w:val="FootnoteText"/>
        <w:rPr>
          <w:rFonts w:asciiTheme="minorHAnsi" w:hAnsiTheme="minorHAnsi"/>
          <w:sz w:val="18"/>
          <w:szCs w:val="18"/>
        </w:rPr>
      </w:pPr>
      <w:r w:rsidRPr="0073530B">
        <w:rPr>
          <w:rStyle w:val="FootnoteReference"/>
          <w:rFonts w:asciiTheme="minorHAnsi" w:hAnsiTheme="minorHAnsi"/>
          <w:sz w:val="18"/>
          <w:szCs w:val="18"/>
        </w:rPr>
        <w:footnoteRef/>
      </w:r>
      <w:r w:rsidRPr="0073530B">
        <w:rPr>
          <w:rFonts w:asciiTheme="minorHAnsi" w:hAnsiTheme="minorHAnsi"/>
          <w:sz w:val="18"/>
          <w:szCs w:val="18"/>
        </w:rPr>
        <w:t xml:space="preserve"> At [115], applying the test in </w:t>
      </w:r>
      <w:proofErr w:type="spellStart"/>
      <w:r w:rsidRPr="0073530B">
        <w:rPr>
          <w:rFonts w:asciiTheme="minorHAnsi" w:hAnsiTheme="minorHAnsi"/>
          <w:i/>
          <w:sz w:val="18"/>
          <w:szCs w:val="18"/>
        </w:rPr>
        <w:t>Masterman</w:t>
      </w:r>
      <w:proofErr w:type="spellEnd"/>
      <w:r w:rsidRPr="0073530B">
        <w:rPr>
          <w:rFonts w:asciiTheme="minorHAnsi" w:hAnsiTheme="minorHAnsi"/>
          <w:i/>
          <w:sz w:val="18"/>
          <w:szCs w:val="18"/>
        </w:rPr>
        <w:t xml:space="preserve">-Lister v </w:t>
      </w:r>
      <w:proofErr w:type="spellStart"/>
      <w:r w:rsidRPr="0073530B">
        <w:rPr>
          <w:rFonts w:asciiTheme="minorHAnsi" w:hAnsiTheme="minorHAnsi"/>
          <w:i/>
          <w:sz w:val="18"/>
          <w:szCs w:val="18"/>
        </w:rPr>
        <w:t>Brutton</w:t>
      </w:r>
      <w:proofErr w:type="spellEnd"/>
      <w:r w:rsidRPr="0073530B">
        <w:rPr>
          <w:rFonts w:asciiTheme="minorHAnsi" w:hAnsiTheme="minorHAnsi"/>
          <w:sz w:val="18"/>
          <w:szCs w:val="18"/>
        </w:rPr>
        <w:t xml:space="preserve"> </w:t>
      </w:r>
      <w:r w:rsidRPr="0073530B">
        <w:rPr>
          <w:rFonts w:asciiTheme="minorHAnsi" w:hAnsiTheme="minorHAnsi"/>
          <w:i/>
          <w:sz w:val="18"/>
          <w:szCs w:val="18"/>
        </w:rPr>
        <w:t xml:space="preserve">&amp; Co </w:t>
      </w:r>
      <w:r w:rsidRPr="0073530B">
        <w:rPr>
          <w:rFonts w:asciiTheme="minorHAnsi" w:hAnsiTheme="minorHAnsi"/>
          <w:sz w:val="18"/>
          <w:szCs w:val="18"/>
        </w:rPr>
        <w:t>[2003] 1 WLR  1511.</w:t>
      </w:r>
    </w:p>
    <w:p w:rsidR="00237841" w:rsidRPr="0073530B" w:rsidRDefault="00237841">
      <w:pPr>
        <w:pStyle w:val="FootnoteText"/>
        <w:rPr>
          <w:rFonts w:asciiTheme="minorHAnsi" w:hAnsiTheme="minorHAnsi"/>
          <w:sz w:val="18"/>
          <w:szCs w:val="18"/>
        </w:rPr>
      </w:pPr>
    </w:p>
  </w:footnote>
  <w:footnote w:id="61">
    <w:p w:rsidR="00237841" w:rsidRPr="0073530B" w:rsidRDefault="00237841">
      <w:pPr>
        <w:pStyle w:val="FootnoteText"/>
        <w:rPr>
          <w:rFonts w:asciiTheme="minorHAnsi" w:hAnsiTheme="minorHAnsi"/>
          <w:sz w:val="18"/>
          <w:szCs w:val="18"/>
        </w:rPr>
      </w:pPr>
      <w:r w:rsidRPr="0073530B">
        <w:rPr>
          <w:rStyle w:val="FootnoteReference"/>
          <w:rFonts w:asciiTheme="minorHAnsi" w:hAnsiTheme="minorHAnsi"/>
          <w:sz w:val="18"/>
          <w:szCs w:val="18"/>
        </w:rPr>
        <w:footnoteRef/>
      </w:r>
      <w:r w:rsidRPr="0073530B">
        <w:rPr>
          <w:rFonts w:asciiTheme="minorHAnsi" w:hAnsiTheme="minorHAnsi"/>
          <w:sz w:val="18"/>
          <w:szCs w:val="18"/>
        </w:rPr>
        <w:t xml:space="preserve"> At [98].</w:t>
      </w:r>
    </w:p>
    <w:p w:rsidR="00237841" w:rsidRPr="0073530B" w:rsidRDefault="00237841">
      <w:pPr>
        <w:pStyle w:val="FootnoteText"/>
        <w:rPr>
          <w:rFonts w:asciiTheme="minorHAnsi" w:hAnsiTheme="minorHAnsi"/>
          <w:sz w:val="18"/>
          <w:szCs w:val="18"/>
        </w:rPr>
      </w:pPr>
    </w:p>
  </w:footnote>
  <w:footnote w:id="62">
    <w:p w:rsidR="00237841" w:rsidRPr="0073530B" w:rsidRDefault="00237841">
      <w:pPr>
        <w:pStyle w:val="FootnoteText"/>
        <w:rPr>
          <w:rFonts w:asciiTheme="minorHAnsi" w:hAnsiTheme="minorHAnsi"/>
          <w:sz w:val="18"/>
          <w:szCs w:val="18"/>
        </w:rPr>
      </w:pPr>
      <w:r w:rsidRPr="0073530B">
        <w:rPr>
          <w:rStyle w:val="FootnoteReference"/>
          <w:rFonts w:asciiTheme="minorHAnsi" w:hAnsiTheme="minorHAnsi"/>
          <w:sz w:val="18"/>
          <w:szCs w:val="18"/>
        </w:rPr>
        <w:footnoteRef/>
      </w:r>
      <w:r w:rsidRPr="0073530B">
        <w:rPr>
          <w:rFonts w:asciiTheme="minorHAnsi" w:hAnsiTheme="minorHAnsi"/>
          <w:sz w:val="18"/>
          <w:szCs w:val="18"/>
        </w:rPr>
        <w:t xml:space="preserve"> At [45].</w:t>
      </w:r>
    </w:p>
    <w:p w:rsidR="00237841" w:rsidRPr="0073530B" w:rsidRDefault="00237841">
      <w:pPr>
        <w:pStyle w:val="FootnoteText"/>
        <w:rPr>
          <w:rFonts w:asciiTheme="minorHAnsi" w:hAnsiTheme="minorHAnsi"/>
          <w:sz w:val="18"/>
          <w:szCs w:val="18"/>
        </w:rPr>
      </w:pPr>
    </w:p>
  </w:footnote>
  <w:footnote w:id="63">
    <w:p w:rsidR="00237841" w:rsidRPr="0073530B" w:rsidRDefault="00237841">
      <w:pPr>
        <w:pStyle w:val="FootnoteText"/>
        <w:rPr>
          <w:rFonts w:asciiTheme="minorHAnsi" w:hAnsiTheme="minorHAnsi"/>
          <w:sz w:val="18"/>
          <w:szCs w:val="18"/>
        </w:rPr>
      </w:pPr>
      <w:r w:rsidRPr="0073530B">
        <w:rPr>
          <w:rStyle w:val="FootnoteReference"/>
          <w:rFonts w:asciiTheme="minorHAnsi" w:hAnsiTheme="minorHAnsi"/>
          <w:sz w:val="18"/>
          <w:szCs w:val="18"/>
        </w:rPr>
        <w:footnoteRef/>
      </w:r>
      <w:r w:rsidRPr="0073530B">
        <w:rPr>
          <w:rFonts w:asciiTheme="minorHAnsi" w:hAnsiTheme="minorHAnsi"/>
          <w:sz w:val="18"/>
          <w:szCs w:val="18"/>
        </w:rPr>
        <w:t xml:space="preserve"> </w:t>
      </w:r>
      <w:r w:rsidRPr="0073530B">
        <w:rPr>
          <w:rFonts w:asciiTheme="minorHAnsi" w:hAnsiTheme="minorHAnsi"/>
          <w:i/>
          <w:sz w:val="18"/>
          <w:szCs w:val="18"/>
        </w:rPr>
        <w:t>Ibid.</w:t>
      </w:r>
      <w:r w:rsidRPr="0073530B">
        <w:rPr>
          <w:rFonts w:asciiTheme="minorHAnsi" w:hAnsiTheme="minorHAnsi"/>
          <w:sz w:val="18"/>
          <w:szCs w:val="18"/>
        </w:rPr>
        <w:t xml:space="preserve"> </w:t>
      </w:r>
    </w:p>
    <w:p w:rsidR="00237841" w:rsidRPr="0073530B" w:rsidRDefault="00237841">
      <w:pPr>
        <w:pStyle w:val="FootnoteText"/>
        <w:rPr>
          <w:rFonts w:asciiTheme="minorHAnsi" w:hAnsiTheme="minorHAnsi"/>
          <w:sz w:val="18"/>
          <w:szCs w:val="18"/>
        </w:rPr>
      </w:pPr>
    </w:p>
  </w:footnote>
  <w:footnote w:id="64">
    <w:p w:rsidR="00237841" w:rsidRPr="0073530B" w:rsidRDefault="00237841" w:rsidP="00B36A7D">
      <w:pPr>
        <w:pStyle w:val="FootnoteText"/>
        <w:rPr>
          <w:rFonts w:asciiTheme="minorHAnsi" w:hAnsiTheme="minorHAnsi"/>
          <w:sz w:val="18"/>
          <w:szCs w:val="18"/>
        </w:rPr>
      </w:pPr>
      <w:r w:rsidRPr="0073530B">
        <w:rPr>
          <w:rStyle w:val="FootnoteReference"/>
          <w:rFonts w:asciiTheme="minorHAnsi" w:hAnsiTheme="minorHAnsi"/>
          <w:sz w:val="18"/>
          <w:szCs w:val="18"/>
        </w:rPr>
        <w:footnoteRef/>
      </w:r>
      <w:r w:rsidRPr="0073530B">
        <w:rPr>
          <w:rFonts w:asciiTheme="minorHAnsi" w:hAnsiTheme="minorHAnsi"/>
          <w:sz w:val="18"/>
          <w:szCs w:val="18"/>
        </w:rPr>
        <w:t xml:space="preserve"> At [101]-[102].</w:t>
      </w:r>
    </w:p>
    <w:p w:rsidR="00237841" w:rsidRPr="0073530B" w:rsidRDefault="00237841" w:rsidP="00B36A7D">
      <w:pPr>
        <w:pStyle w:val="FootnoteText"/>
        <w:rPr>
          <w:rFonts w:asciiTheme="minorHAnsi" w:hAnsiTheme="minorHAnsi"/>
          <w:sz w:val="18"/>
          <w:szCs w:val="18"/>
        </w:rPr>
      </w:pPr>
    </w:p>
  </w:footnote>
  <w:footnote w:id="65">
    <w:p w:rsidR="00237841" w:rsidRPr="0073530B" w:rsidRDefault="00237841" w:rsidP="00A33199">
      <w:pPr>
        <w:pStyle w:val="FootnoteText"/>
        <w:rPr>
          <w:rFonts w:asciiTheme="minorHAnsi" w:hAnsiTheme="minorHAnsi"/>
          <w:sz w:val="18"/>
          <w:szCs w:val="18"/>
        </w:rPr>
      </w:pPr>
      <w:r w:rsidRPr="0073530B">
        <w:rPr>
          <w:rStyle w:val="FootnoteReference"/>
          <w:rFonts w:asciiTheme="minorHAnsi" w:hAnsiTheme="minorHAnsi"/>
          <w:sz w:val="18"/>
          <w:szCs w:val="18"/>
        </w:rPr>
        <w:footnoteRef/>
      </w:r>
      <w:r w:rsidRPr="0073530B">
        <w:rPr>
          <w:rFonts w:asciiTheme="minorHAnsi" w:hAnsiTheme="minorHAnsi"/>
          <w:sz w:val="18"/>
          <w:szCs w:val="18"/>
        </w:rPr>
        <w:t xml:space="preserve"> At [106].</w:t>
      </w:r>
    </w:p>
    <w:p w:rsidR="00237841" w:rsidRPr="0073530B" w:rsidRDefault="00237841" w:rsidP="00A33199">
      <w:pPr>
        <w:pStyle w:val="FootnoteText"/>
        <w:rPr>
          <w:rFonts w:asciiTheme="minorHAnsi" w:hAnsiTheme="minorHAnsi"/>
          <w:sz w:val="18"/>
          <w:szCs w:val="18"/>
        </w:rPr>
      </w:pPr>
    </w:p>
  </w:footnote>
  <w:footnote w:id="66">
    <w:p w:rsidR="00237841" w:rsidRPr="0073530B" w:rsidRDefault="00237841" w:rsidP="00A33199">
      <w:pPr>
        <w:pStyle w:val="FootnoteText"/>
        <w:rPr>
          <w:rFonts w:asciiTheme="minorHAnsi" w:hAnsiTheme="minorHAnsi"/>
          <w:sz w:val="18"/>
          <w:szCs w:val="18"/>
        </w:rPr>
      </w:pPr>
      <w:r w:rsidRPr="0073530B">
        <w:rPr>
          <w:rStyle w:val="FootnoteReference"/>
          <w:rFonts w:asciiTheme="minorHAnsi" w:hAnsiTheme="minorHAnsi"/>
          <w:sz w:val="18"/>
          <w:szCs w:val="18"/>
        </w:rPr>
        <w:footnoteRef/>
      </w:r>
      <w:r w:rsidRPr="0073530B">
        <w:rPr>
          <w:rFonts w:asciiTheme="minorHAnsi" w:hAnsiTheme="minorHAnsi"/>
          <w:sz w:val="18"/>
          <w:szCs w:val="18"/>
        </w:rPr>
        <w:t xml:space="preserve"> See e.g. </w:t>
      </w:r>
      <w:r w:rsidRPr="0073530B">
        <w:rPr>
          <w:rFonts w:asciiTheme="minorHAnsi" w:hAnsiTheme="minorHAnsi"/>
          <w:i/>
          <w:sz w:val="18"/>
          <w:szCs w:val="18"/>
        </w:rPr>
        <w:t xml:space="preserve">Re C </w:t>
      </w:r>
      <w:r w:rsidRPr="0073530B">
        <w:rPr>
          <w:rFonts w:asciiTheme="minorHAnsi" w:hAnsiTheme="minorHAnsi"/>
          <w:sz w:val="18"/>
          <w:szCs w:val="18"/>
        </w:rPr>
        <w:t xml:space="preserve">[1994] 1 WLR 290 – C’s reasons for refusing amputation included religious beliefs which placed importance on being buried ‘whole’, beliefs which were unrelated to his disorder. CF the case of </w:t>
      </w:r>
      <w:r w:rsidRPr="0073530B">
        <w:rPr>
          <w:rFonts w:asciiTheme="minorHAnsi" w:hAnsiTheme="minorHAnsi"/>
          <w:i/>
          <w:sz w:val="18"/>
          <w:szCs w:val="18"/>
        </w:rPr>
        <w:t>An NHS Trust v Ms T</w:t>
      </w:r>
      <w:r w:rsidRPr="0073530B">
        <w:rPr>
          <w:rFonts w:asciiTheme="minorHAnsi" w:hAnsiTheme="minorHAnsi"/>
          <w:sz w:val="18"/>
          <w:szCs w:val="18"/>
        </w:rPr>
        <w:t xml:space="preserve"> [2004] EWHC 1279. T was  found to lack capacity to refuse blood transfusions. If Ms T’s borderline personality disorder was removed from the equation, there was no evidence of Ms T having any coherent reason for refusing treatment (the reason for needing transfusion was the self harm associated with her disorder and her reasons for refusal seemed based in part on her ‘misconception of reality’ that her blood was evil but also her wish to end the cycle of hospital admission that her disorder had caused). </w:t>
      </w:r>
    </w:p>
    <w:p w:rsidR="00237841" w:rsidRPr="0073530B" w:rsidRDefault="00237841" w:rsidP="00A33199">
      <w:pPr>
        <w:pStyle w:val="FootnoteText"/>
        <w:rPr>
          <w:rFonts w:asciiTheme="minorHAnsi" w:hAnsiTheme="minorHAnsi"/>
          <w:sz w:val="18"/>
          <w:szCs w:val="18"/>
        </w:rPr>
      </w:pPr>
    </w:p>
  </w:footnote>
  <w:footnote w:id="67">
    <w:p w:rsidR="00237841" w:rsidRPr="0073530B" w:rsidRDefault="00237841" w:rsidP="00A33199">
      <w:pPr>
        <w:pStyle w:val="FootnoteText"/>
        <w:rPr>
          <w:rFonts w:asciiTheme="minorHAnsi" w:hAnsiTheme="minorHAnsi"/>
          <w:sz w:val="18"/>
          <w:szCs w:val="18"/>
        </w:rPr>
      </w:pPr>
      <w:r w:rsidRPr="0073530B">
        <w:rPr>
          <w:rStyle w:val="FootnoteReference"/>
          <w:rFonts w:asciiTheme="minorHAnsi" w:hAnsiTheme="minorHAnsi"/>
          <w:sz w:val="18"/>
          <w:szCs w:val="18"/>
        </w:rPr>
        <w:footnoteRef/>
      </w:r>
      <w:r w:rsidRPr="0073530B">
        <w:rPr>
          <w:rFonts w:asciiTheme="minorHAnsi" w:hAnsiTheme="minorHAnsi"/>
          <w:sz w:val="18"/>
          <w:szCs w:val="18"/>
        </w:rPr>
        <w:t xml:space="preserve"> </w:t>
      </w:r>
      <w:r w:rsidRPr="0073530B">
        <w:rPr>
          <w:rFonts w:asciiTheme="minorHAnsi" w:hAnsiTheme="minorHAnsi"/>
          <w:i/>
          <w:color w:val="000000"/>
          <w:sz w:val="18"/>
          <w:szCs w:val="18"/>
          <w:lang w:eastAsia="en-GB"/>
        </w:rPr>
        <w:t>Re</w:t>
      </w:r>
      <w:r w:rsidRPr="0073530B">
        <w:rPr>
          <w:rFonts w:asciiTheme="minorHAnsi" w:hAnsiTheme="minorHAnsi"/>
          <w:color w:val="000000"/>
          <w:sz w:val="18"/>
          <w:szCs w:val="18"/>
          <w:lang w:eastAsia="en-GB"/>
        </w:rPr>
        <w:t xml:space="preserve"> </w:t>
      </w:r>
      <w:r w:rsidRPr="0073530B">
        <w:rPr>
          <w:rFonts w:asciiTheme="minorHAnsi" w:hAnsiTheme="minorHAnsi"/>
          <w:i/>
          <w:color w:val="000000"/>
          <w:sz w:val="18"/>
          <w:szCs w:val="18"/>
          <w:lang w:eastAsia="en-GB"/>
        </w:rPr>
        <w:t xml:space="preserve">SB </w:t>
      </w:r>
      <w:r w:rsidRPr="0073530B">
        <w:rPr>
          <w:rFonts w:asciiTheme="minorHAnsi" w:hAnsiTheme="minorHAnsi"/>
          <w:color w:val="000000"/>
          <w:sz w:val="18"/>
          <w:szCs w:val="18"/>
          <w:lang w:eastAsia="en-GB"/>
        </w:rPr>
        <w:t>[2013] EWCOP 1417.</w:t>
      </w:r>
    </w:p>
    <w:p w:rsidR="00237841" w:rsidRPr="0073530B" w:rsidRDefault="00237841" w:rsidP="00A33199">
      <w:pPr>
        <w:pStyle w:val="FootnoteText"/>
        <w:rPr>
          <w:rFonts w:asciiTheme="minorHAnsi" w:hAnsiTheme="minorHAnsi"/>
          <w:sz w:val="18"/>
          <w:szCs w:val="18"/>
        </w:rPr>
      </w:pPr>
    </w:p>
  </w:footnote>
  <w:footnote w:id="68">
    <w:p w:rsidR="00237841" w:rsidRPr="0073530B" w:rsidRDefault="00237841" w:rsidP="00A33199">
      <w:pPr>
        <w:pStyle w:val="FootnoteText"/>
        <w:rPr>
          <w:rFonts w:asciiTheme="minorHAnsi" w:hAnsiTheme="minorHAnsi"/>
          <w:sz w:val="18"/>
          <w:szCs w:val="18"/>
        </w:rPr>
      </w:pPr>
      <w:r w:rsidRPr="0073530B">
        <w:rPr>
          <w:rStyle w:val="FootnoteReference"/>
          <w:rFonts w:asciiTheme="minorHAnsi" w:hAnsiTheme="minorHAnsi"/>
          <w:sz w:val="18"/>
          <w:szCs w:val="18"/>
        </w:rPr>
        <w:footnoteRef/>
      </w:r>
      <w:r w:rsidRPr="0073530B">
        <w:rPr>
          <w:rFonts w:asciiTheme="minorHAnsi" w:hAnsiTheme="minorHAnsi"/>
          <w:sz w:val="18"/>
          <w:szCs w:val="18"/>
        </w:rPr>
        <w:t xml:space="preserve"> At [41]. </w:t>
      </w:r>
    </w:p>
    <w:p w:rsidR="00237841" w:rsidRPr="0073530B" w:rsidRDefault="00237841" w:rsidP="00A33199">
      <w:pPr>
        <w:pStyle w:val="FootnoteText"/>
        <w:rPr>
          <w:rFonts w:asciiTheme="minorHAnsi" w:hAnsiTheme="minorHAnsi"/>
          <w:sz w:val="18"/>
          <w:szCs w:val="18"/>
        </w:rPr>
      </w:pPr>
    </w:p>
  </w:footnote>
  <w:footnote w:id="69">
    <w:p w:rsidR="00237841" w:rsidRPr="0073530B" w:rsidRDefault="00237841" w:rsidP="008630AA">
      <w:pPr>
        <w:pStyle w:val="FootnoteText"/>
        <w:rPr>
          <w:rStyle w:val="st1"/>
          <w:rFonts w:asciiTheme="minorHAnsi" w:hAnsiTheme="minorHAnsi"/>
          <w:sz w:val="18"/>
          <w:szCs w:val="18"/>
        </w:rPr>
      </w:pPr>
      <w:r w:rsidRPr="0073530B">
        <w:rPr>
          <w:rStyle w:val="FootnoteReference"/>
          <w:rFonts w:asciiTheme="minorHAnsi" w:hAnsiTheme="minorHAnsi"/>
          <w:sz w:val="18"/>
          <w:szCs w:val="18"/>
        </w:rPr>
        <w:footnoteRef/>
      </w:r>
      <w:r w:rsidRPr="0073530B">
        <w:rPr>
          <w:rFonts w:asciiTheme="minorHAnsi" w:hAnsiTheme="minorHAnsi"/>
          <w:sz w:val="18"/>
          <w:szCs w:val="18"/>
        </w:rPr>
        <w:t xml:space="preserve"> A. E. </w:t>
      </w:r>
      <w:r w:rsidRPr="0073530B">
        <w:rPr>
          <w:rStyle w:val="st1"/>
          <w:rFonts w:asciiTheme="minorHAnsi" w:hAnsiTheme="minorHAnsi"/>
          <w:bCs/>
          <w:sz w:val="18"/>
          <w:szCs w:val="18"/>
        </w:rPr>
        <w:t>Morris, ‘Selective treatment</w:t>
      </w:r>
      <w:r w:rsidRPr="0073530B">
        <w:rPr>
          <w:rStyle w:val="st1"/>
          <w:rFonts w:asciiTheme="minorHAnsi" w:hAnsiTheme="minorHAnsi"/>
          <w:sz w:val="18"/>
          <w:szCs w:val="18"/>
        </w:rPr>
        <w:t xml:space="preserve"> of irreversibly impaired infants: decision-making at the threshold’ (2009) 17(3) Med L Rev 347.</w:t>
      </w:r>
    </w:p>
    <w:p w:rsidR="00237841" w:rsidRPr="0073530B" w:rsidRDefault="00237841" w:rsidP="008630AA">
      <w:pPr>
        <w:pStyle w:val="FootnoteText"/>
        <w:rPr>
          <w:rFonts w:asciiTheme="minorHAnsi" w:hAnsiTheme="minorHAnsi"/>
          <w:sz w:val="18"/>
          <w:szCs w:val="18"/>
        </w:rPr>
      </w:pPr>
    </w:p>
  </w:footnote>
  <w:footnote w:id="70">
    <w:p w:rsidR="00237841" w:rsidRPr="0073530B" w:rsidRDefault="00237841" w:rsidP="00C231AD">
      <w:pPr>
        <w:pStyle w:val="FootnoteText"/>
        <w:rPr>
          <w:rFonts w:asciiTheme="minorHAnsi" w:hAnsiTheme="minorHAnsi"/>
          <w:color w:val="000000"/>
          <w:sz w:val="18"/>
          <w:szCs w:val="18"/>
        </w:rPr>
      </w:pPr>
      <w:r w:rsidRPr="0073530B">
        <w:rPr>
          <w:rStyle w:val="FootnoteReference"/>
          <w:rFonts w:asciiTheme="minorHAnsi" w:hAnsiTheme="minorHAnsi"/>
          <w:sz w:val="18"/>
          <w:szCs w:val="18"/>
        </w:rPr>
        <w:footnoteRef/>
      </w:r>
      <w:r w:rsidRPr="0073530B">
        <w:rPr>
          <w:rFonts w:asciiTheme="minorHAnsi" w:hAnsiTheme="minorHAnsi"/>
          <w:sz w:val="18"/>
          <w:szCs w:val="18"/>
        </w:rPr>
        <w:t xml:space="preserve"> </w:t>
      </w:r>
      <w:r w:rsidRPr="0073530B">
        <w:rPr>
          <w:rFonts w:asciiTheme="minorHAnsi" w:hAnsiTheme="minorHAnsi"/>
          <w:color w:val="000000"/>
          <w:sz w:val="18"/>
          <w:szCs w:val="18"/>
        </w:rPr>
        <w:t>[2014] UKSC 18 at [2], emphasis added.</w:t>
      </w:r>
    </w:p>
    <w:p w:rsidR="00237841" w:rsidRPr="0073530B" w:rsidRDefault="00237841" w:rsidP="00C231AD">
      <w:pPr>
        <w:pStyle w:val="FootnoteText"/>
        <w:rPr>
          <w:rFonts w:asciiTheme="minorHAnsi" w:hAnsiTheme="minorHAnsi"/>
          <w:sz w:val="18"/>
          <w:szCs w:val="18"/>
        </w:rPr>
      </w:pPr>
    </w:p>
  </w:footnote>
  <w:footnote w:id="71">
    <w:p w:rsidR="00DE039C" w:rsidRPr="0073530B" w:rsidRDefault="00DE039C">
      <w:pPr>
        <w:pStyle w:val="FootnoteText"/>
        <w:rPr>
          <w:rFonts w:asciiTheme="minorHAnsi" w:hAnsiTheme="minorHAnsi"/>
          <w:sz w:val="18"/>
          <w:szCs w:val="18"/>
        </w:rPr>
      </w:pPr>
      <w:r w:rsidRPr="0073530B">
        <w:rPr>
          <w:rStyle w:val="FootnoteReference"/>
          <w:rFonts w:asciiTheme="minorHAnsi" w:hAnsiTheme="minorHAnsi"/>
          <w:sz w:val="18"/>
          <w:szCs w:val="18"/>
        </w:rPr>
        <w:footnoteRef/>
      </w:r>
      <w:r w:rsidRPr="0073530B">
        <w:rPr>
          <w:rFonts w:asciiTheme="minorHAnsi" w:hAnsiTheme="minorHAnsi"/>
          <w:sz w:val="18"/>
          <w:szCs w:val="18"/>
        </w:rPr>
        <w:t xml:space="preserve"> [2014] EWCOP 990 at [6]. </w:t>
      </w:r>
    </w:p>
    <w:p w:rsidR="00510EEC" w:rsidRPr="0073530B" w:rsidRDefault="00510EEC">
      <w:pPr>
        <w:pStyle w:val="FootnoteText"/>
        <w:rPr>
          <w:rFonts w:asciiTheme="minorHAnsi" w:hAnsiTheme="minorHAnsi"/>
          <w:sz w:val="18"/>
          <w:szCs w:val="18"/>
        </w:rPr>
      </w:pPr>
    </w:p>
  </w:footnote>
  <w:footnote w:id="72">
    <w:p w:rsidR="00237841" w:rsidRPr="0073530B" w:rsidRDefault="00237841">
      <w:pPr>
        <w:pStyle w:val="FootnoteText"/>
        <w:rPr>
          <w:rFonts w:asciiTheme="minorHAnsi" w:hAnsiTheme="minorHAnsi"/>
          <w:sz w:val="18"/>
          <w:szCs w:val="18"/>
        </w:rPr>
      </w:pPr>
      <w:r w:rsidRPr="0073530B">
        <w:rPr>
          <w:rStyle w:val="FootnoteReference"/>
          <w:rFonts w:asciiTheme="minorHAnsi" w:hAnsiTheme="minorHAnsi"/>
          <w:sz w:val="18"/>
          <w:szCs w:val="18"/>
        </w:rPr>
        <w:footnoteRef/>
      </w:r>
      <w:r w:rsidRPr="0073530B">
        <w:rPr>
          <w:rFonts w:asciiTheme="minorHAnsi" w:hAnsiTheme="minorHAnsi"/>
          <w:sz w:val="18"/>
          <w:szCs w:val="18"/>
        </w:rPr>
        <w:t xml:space="preserve"> [2013] EWCA </w:t>
      </w:r>
      <w:proofErr w:type="spellStart"/>
      <w:r w:rsidRPr="0073530B">
        <w:rPr>
          <w:rFonts w:asciiTheme="minorHAnsi" w:hAnsiTheme="minorHAnsi"/>
          <w:sz w:val="18"/>
          <w:szCs w:val="18"/>
        </w:rPr>
        <w:t>Civ</w:t>
      </w:r>
      <w:proofErr w:type="spellEnd"/>
      <w:r w:rsidRPr="0073530B">
        <w:rPr>
          <w:rFonts w:asciiTheme="minorHAnsi" w:hAnsiTheme="minorHAnsi"/>
          <w:sz w:val="18"/>
          <w:szCs w:val="18"/>
        </w:rPr>
        <w:t xml:space="preserve"> 478  at [60].</w:t>
      </w:r>
    </w:p>
    <w:p w:rsidR="00237841" w:rsidRPr="0073530B" w:rsidRDefault="00237841">
      <w:pPr>
        <w:pStyle w:val="FootnoteText"/>
        <w:rPr>
          <w:rFonts w:asciiTheme="minorHAnsi" w:hAnsiTheme="minorHAnsi"/>
          <w:sz w:val="18"/>
          <w:szCs w:val="18"/>
        </w:rPr>
      </w:pPr>
    </w:p>
  </w:footnote>
  <w:footnote w:id="73">
    <w:p w:rsidR="00237841" w:rsidRPr="0073530B" w:rsidRDefault="00237841" w:rsidP="00C231AD">
      <w:pPr>
        <w:pStyle w:val="FootnoteText"/>
        <w:rPr>
          <w:rFonts w:asciiTheme="minorHAnsi" w:hAnsiTheme="minorHAnsi"/>
          <w:sz w:val="18"/>
          <w:szCs w:val="18"/>
        </w:rPr>
      </w:pPr>
      <w:r w:rsidRPr="0073530B">
        <w:rPr>
          <w:rStyle w:val="FootnoteReference"/>
          <w:rFonts w:asciiTheme="minorHAnsi" w:hAnsiTheme="minorHAnsi"/>
          <w:sz w:val="18"/>
          <w:szCs w:val="18"/>
        </w:rPr>
        <w:footnoteRef/>
      </w:r>
      <w:r w:rsidRPr="0073530B">
        <w:rPr>
          <w:rFonts w:asciiTheme="minorHAnsi" w:hAnsiTheme="minorHAnsi"/>
          <w:sz w:val="18"/>
          <w:szCs w:val="18"/>
        </w:rPr>
        <w:t xml:space="preserve"> Oxford English Dictionary.</w:t>
      </w:r>
    </w:p>
    <w:p w:rsidR="00237841" w:rsidRPr="0073530B" w:rsidRDefault="00237841" w:rsidP="00C231AD">
      <w:pPr>
        <w:pStyle w:val="FootnoteText"/>
        <w:rPr>
          <w:rFonts w:asciiTheme="minorHAnsi" w:hAnsiTheme="minorHAnsi"/>
          <w:sz w:val="18"/>
          <w:szCs w:val="18"/>
        </w:rPr>
      </w:pPr>
    </w:p>
  </w:footnote>
  <w:footnote w:id="74">
    <w:p w:rsidR="00237841" w:rsidRPr="0073530B" w:rsidRDefault="00237841" w:rsidP="00C231AD">
      <w:pPr>
        <w:pStyle w:val="FootnoteText"/>
        <w:rPr>
          <w:rFonts w:asciiTheme="minorHAnsi" w:hAnsiTheme="minorHAnsi"/>
          <w:sz w:val="18"/>
          <w:szCs w:val="18"/>
        </w:rPr>
      </w:pPr>
      <w:r w:rsidRPr="0073530B">
        <w:rPr>
          <w:rStyle w:val="FootnoteReference"/>
          <w:rFonts w:asciiTheme="minorHAnsi" w:hAnsiTheme="minorHAnsi"/>
          <w:sz w:val="18"/>
          <w:szCs w:val="18"/>
        </w:rPr>
        <w:footnoteRef/>
      </w:r>
      <w:r w:rsidRPr="0073530B">
        <w:rPr>
          <w:rFonts w:asciiTheme="minorHAnsi" w:hAnsiTheme="minorHAnsi"/>
          <w:sz w:val="18"/>
          <w:szCs w:val="18"/>
        </w:rPr>
        <w:t xml:space="preserve"> </w:t>
      </w:r>
      <w:proofErr w:type="spellStart"/>
      <w:r w:rsidRPr="0073530B">
        <w:rPr>
          <w:rFonts w:asciiTheme="minorHAnsi" w:hAnsiTheme="minorHAnsi"/>
          <w:sz w:val="18"/>
          <w:szCs w:val="18"/>
        </w:rPr>
        <w:t>Macur</w:t>
      </w:r>
      <w:proofErr w:type="spellEnd"/>
      <w:r w:rsidRPr="0073530B">
        <w:rPr>
          <w:rFonts w:asciiTheme="minorHAnsi" w:hAnsiTheme="minorHAnsi"/>
          <w:sz w:val="18"/>
          <w:szCs w:val="18"/>
        </w:rPr>
        <w:t xml:space="preserve"> J in</w:t>
      </w:r>
      <w:r w:rsidRPr="0073530B">
        <w:rPr>
          <w:rFonts w:asciiTheme="minorHAnsi" w:hAnsiTheme="minorHAnsi"/>
          <w:i/>
          <w:sz w:val="18"/>
          <w:szCs w:val="18"/>
        </w:rPr>
        <w:t xml:space="preserve"> </w:t>
      </w:r>
      <w:r w:rsidRPr="0073530B">
        <w:rPr>
          <w:rFonts w:asciiTheme="minorHAnsi" w:hAnsiTheme="minorHAnsi"/>
          <w:i/>
          <w:iCs/>
          <w:sz w:val="18"/>
          <w:szCs w:val="18"/>
          <w:lang w:eastAsia="en-GB"/>
        </w:rPr>
        <w:t xml:space="preserve">LBJ v RYJ </w:t>
      </w:r>
      <w:r w:rsidRPr="0073530B">
        <w:rPr>
          <w:rFonts w:asciiTheme="minorHAnsi" w:hAnsiTheme="minorHAnsi"/>
          <w:iCs/>
          <w:sz w:val="18"/>
          <w:szCs w:val="18"/>
          <w:lang w:eastAsia="en-GB"/>
        </w:rPr>
        <w:t>[2010] EWHC 2665.</w:t>
      </w:r>
    </w:p>
    <w:p w:rsidR="00237841" w:rsidRPr="0073530B" w:rsidRDefault="00237841" w:rsidP="00C231AD">
      <w:pPr>
        <w:pStyle w:val="FootnoteText"/>
        <w:rPr>
          <w:rFonts w:asciiTheme="minorHAnsi" w:hAnsiTheme="minorHAnsi"/>
          <w:sz w:val="18"/>
          <w:szCs w:val="18"/>
        </w:rPr>
      </w:pPr>
    </w:p>
  </w:footnote>
  <w:footnote w:id="75">
    <w:p w:rsidR="00237841" w:rsidRPr="0073530B" w:rsidRDefault="00237841">
      <w:pPr>
        <w:pStyle w:val="FootnoteText"/>
        <w:rPr>
          <w:rFonts w:asciiTheme="minorHAnsi" w:hAnsiTheme="minorHAnsi"/>
          <w:sz w:val="18"/>
          <w:szCs w:val="18"/>
        </w:rPr>
      </w:pPr>
      <w:r w:rsidRPr="0073530B">
        <w:rPr>
          <w:rStyle w:val="FootnoteReference"/>
          <w:rFonts w:asciiTheme="minorHAnsi" w:hAnsiTheme="minorHAnsi"/>
          <w:sz w:val="18"/>
          <w:szCs w:val="18"/>
        </w:rPr>
        <w:footnoteRef/>
      </w:r>
      <w:r w:rsidRPr="0073530B">
        <w:rPr>
          <w:rFonts w:asciiTheme="minorHAnsi" w:hAnsiTheme="minorHAnsi"/>
          <w:sz w:val="18"/>
          <w:szCs w:val="18"/>
        </w:rPr>
        <w:t xml:space="preserve"> </w:t>
      </w:r>
      <w:r w:rsidRPr="0073530B">
        <w:rPr>
          <w:rFonts w:asciiTheme="minorHAnsi" w:hAnsiTheme="minorHAnsi" w:cs="Arial"/>
          <w:i/>
          <w:sz w:val="18"/>
          <w:szCs w:val="18"/>
          <w:shd w:val="clear" w:color="auto" w:fill="FFFFFF"/>
        </w:rPr>
        <w:t xml:space="preserve">Sheffield City Council v E &amp; </w:t>
      </w:r>
      <w:proofErr w:type="spellStart"/>
      <w:r w:rsidRPr="0073530B">
        <w:rPr>
          <w:rFonts w:asciiTheme="minorHAnsi" w:hAnsiTheme="minorHAnsi" w:cs="Arial"/>
          <w:i/>
          <w:sz w:val="18"/>
          <w:szCs w:val="18"/>
          <w:shd w:val="clear" w:color="auto" w:fill="FFFFFF"/>
        </w:rPr>
        <w:t>Anr</w:t>
      </w:r>
      <w:proofErr w:type="spellEnd"/>
      <w:r w:rsidRPr="0073530B">
        <w:rPr>
          <w:rFonts w:asciiTheme="minorHAnsi" w:hAnsiTheme="minorHAnsi" w:cs="Arial"/>
          <w:sz w:val="18"/>
          <w:szCs w:val="18"/>
          <w:shd w:val="clear" w:color="auto" w:fill="FFFFFF"/>
        </w:rPr>
        <w:t xml:space="preserve"> [2005] 2 WLR 953 </w:t>
      </w:r>
      <w:r w:rsidRPr="0073530B">
        <w:rPr>
          <w:rFonts w:asciiTheme="minorHAnsi" w:hAnsiTheme="minorHAnsi" w:cs="Arial"/>
          <w:i/>
          <w:sz w:val="18"/>
          <w:szCs w:val="18"/>
          <w:shd w:val="clear" w:color="auto" w:fill="FFFFFF"/>
        </w:rPr>
        <w:t>per</w:t>
      </w:r>
      <w:r w:rsidRPr="0073530B">
        <w:rPr>
          <w:rFonts w:asciiTheme="minorHAnsi" w:hAnsiTheme="minorHAnsi" w:cs="Arial"/>
          <w:sz w:val="18"/>
          <w:szCs w:val="18"/>
          <w:shd w:val="clear" w:color="auto" w:fill="FFFFFF"/>
        </w:rPr>
        <w:t xml:space="preserve"> </w:t>
      </w:r>
      <w:proofErr w:type="spellStart"/>
      <w:r w:rsidRPr="0073530B">
        <w:rPr>
          <w:rFonts w:asciiTheme="minorHAnsi" w:hAnsiTheme="minorHAnsi" w:cs="Arial"/>
          <w:sz w:val="18"/>
          <w:szCs w:val="18"/>
          <w:shd w:val="clear" w:color="auto" w:fill="FFFFFF"/>
        </w:rPr>
        <w:t>Munby</w:t>
      </w:r>
      <w:proofErr w:type="spellEnd"/>
      <w:r w:rsidRPr="0073530B">
        <w:rPr>
          <w:rFonts w:asciiTheme="minorHAnsi" w:hAnsiTheme="minorHAnsi" w:cs="Arial"/>
          <w:sz w:val="18"/>
          <w:szCs w:val="18"/>
          <w:shd w:val="clear" w:color="auto" w:fill="FFFFFF"/>
        </w:rPr>
        <w:t xml:space="preserve"> J at [144]. </w:t>
      </w:r>
    </w:p>
    <w:p w:rsidR="00237841" w:rsidRPr="0073530B" w:rsidRDefault="00237841">
      <w:pPr>
        <w:pStyle w:val="FootnoteText"/>
        <w:rPr>
          <w:rFonts w:asciiTheme="minorHAnsi" w:hAnsiTheme="minorHAnsi"/>
          <w:sz w:val="18"/>
          <w:szCs w:val="18"/>
        </w:rPr>
      </w:pPr>
    </w:p>
  </w:footnote>
  <w:footnote w:id="76">
    <w:p w:rsidR="00237841" w:rsidRPr="0073530B" w:rsidRDefault="00237841" w:rsidP="00063CAE">
      <w:pPr>
        <w:pStyle w:val="FootnoteText"/>
        <w:jc w:val="both"/>
        <w:rPr>
          <w:rFonts w:asciiTheme="minorHAnsi" w:hAnsiTheme="minorHAnsi"/>
          <w:sz w:val="18"/>
          <w:szCs w:val="18"/>
        </w:rPr>
      </w:pPr>
      <w:r w:rsidRPr="0073530B">
        <w:rPr>
          <w:rStyle w:val="FootnoteReference"/>
          <w:rFonts w:asciiTheme="minorHAnsi" w:hAnsiTheme="minorHAnsi"/>
          <w:sz w:val="18"/>
          <w:szCs w:val="18"/>
        </w:rPr>
        <w:footnoteRef/>
      </w:r>
      <w:r w:rsidRPr="0073530B">
        <w:rPr>
          <w:rFonts w:asciiTheme="minorHAnsi" w:hAnsiTheme="minorHAnsi"/>
          <w:sz w:val="18"/>
          <w:szCs w:val="18"/>
        </w:rPr>
        <w:t xml:space="preserve"> E.g. G. Sayers in ‘Non-Voluntary Passive Euthanasia: The Social Consequences of Euphemisms’ (2007) 14 </w:t>
      </w:r>
      <w:r w:rsidRPr="0073530B">
        <w:rPr>
          <w:rFonts w:asciiTheme="minorHAnsi" w:hAnsiTheme="minorHAnsi"/>
          <w:i/>
          <w:sz w:val="18"/>
          <w:szCs w:val="18"/>
        </w:rPr>
        <w:t>EJHL</w:t>
      </w:r>
      <w:r w:rsidRPr="0073530B">
        <w:rPr>
          <w:rFonts w:asciiTheme="minorHAnsi" w:hAnsiTheme="minorHAnsi"/>
          <w:iCs/>
          <w:sz w:val="18"/>
          <w:szCs w:val="18"/>
        </w:rPr>
        <w:t xml:space="preserve"> 221; </w:t>
      </w:r>
      <w:r w:rsidRPr="0073530B">
        <w:rPr>
          <w:rFonts w:asciiTheme="minorHAnsi" w:hAnsiTheme="minorHAnsi" w:cstheme="minorHAnsi"/>
          <w:sz w:val="18"/>
          <w:szCs w:val="18"/>
        </w:rPr>
        <w:t xml:space="preserve">A. Fenwick, ‘Applying best interests to persistent vegetative state – a principled distortion?’ 24 (1998) JME 86 referencing the use of judicial semantics to support a delusion about the objectives and consequences of ‘ceasing treatment’. </w:t>
      </w:r>
      <w:r w:rsidRPr="0073530B">
        <w:rPr>
          <w:rFonts w:asciiTheme="minorHAnsi" w:hAnsiTheme="minorHAnsi"/>
          <w:sz w:val="18"/>
          <w:szCs w:val="18"/>
        </w:rPr>
        <w:t xml:space="preserve">See also e.g. Lord Goff’s judgment in </w:t>
      </w:r>
      <w:r w:rsidRPr="0073530B">
        <w:rPr>
          <w:rFonts w:asciiTheme="minorHAnsi" w:hAnsiTheme="minorHAnsi"/>
          <w:i/>
          <w:sz w:val="18"/>
          <w:szCs w:val="18"/>
        </w:rPr>
        <w:t xml:space="preserve">Airedale NHS Trust v Bland </w:t>
      </w:r>
      <w:r w:rsidRPr="0073530B">
        <w:rPr>
          <w:rFonts w:asciiTheme="minorHAnsi" w:hAnsiTheme="minorHAnsi"/>
          <w:sz w:val="18"/>
          <w:szCs w:val="18"/>
        </w:rPr>
        <w:t xml:space="preserve">[1993] AC 789 which can be argued to </w:t>
      </w:r>
      <w:proofErr w:type="spellStart"/>
      <w:r w:rsidRPr="0073530B">
        <w:rPr>
          <w:rFonts w:asciiTheme="minorHAnsi" w:hAnsiTheme="minorHAnsi"/>
          <w:sz w:val="18"/>
          <w:szCs w:val="18"/>
        </w:rPr>
        <w:t>medicalise</w:t>
      </w:r>
      <w:proofErr w:type="spellEnd"/>
      <w:r w:rsidRPr="0073530B">
        <w:rPr>
          <w:rFonts w:asciiTheme="minorHAnsi" w:hAnsiTheme="minorHAnsi"/>
          <w:sz w:val="18"/>
          <w:szCs w:val="18"/>
        </w:rPr>
        <w:t xml:space="preserve"> the decision by reducing the issue of best interests to the clinical issue of whether treatment is considered ‘futile.’ On debate as to who decides ‘futility’, see H. </w:t>
      </w:r>
      <w:r w:rsidRPr="0073530B">
        <w:rPr>
          <w:rFonts w:asciiTheme="minorHAnsi" w:hAnsiTheme="minorHAnsi"/>
          <w:color w:val="000000"/>
          <w:sz w:val="18"/>
          <w:szCs w:val="18"/>
          <w:shd w:val="clear" w:color="auto" w:fill="FFFFFF"/>
        </w:rPr>
        <w:t xml:space="preserve">Brody, ‘The physician's role in determining futility.’ (1994) 42(8) </w:t>
      </w:r>
      <w:r w:rsidRPr="0073530B">
        <w:rPr>
          <w:rStyle w:val="apple-converted-space"/>
          <w:rFonts w:asciiTheme="minorHAnsi" w:hAnsiTheme="minorHAnsi"/>
          <w:color w:val="000000"/>
          <w:sz w:val="18"/>
          <w:szCs w:val="18"/>
          <w:shd w:val="clear" w:color="auto" w:fill="FFFFFF"/>
        </w:rPr>
        <w:t> </w:t>
      </w:r>
      <w:r w:rsidRPr="0073530B">
        <w:rPr>
          <w:rStyle w:val="ref-journal"/>
          <w:rFonts w:asciiTheme="minorHAnsi" w:hAnsiTheme="minorHAnsi"/>
          <w:i/>
          <w:color w:val="000000"/>
          <w:sz w:val="18"/>
          <w:szCs w:val="18"/>
          <w:shd w:val="clear" w:color="auto" w:fill="FFFFFF"/>
        </w:rPr>
        <w:t xml:space="preserve">J Am </w:t>
      </w:r>
      <w:proofErr w:type="spellStart"/>
      <w:r w:rsidRPr="0073530B">
        <w:rPr>
          <w:rStyle w:val="ref-journal"/>
          <w:rFonts w:asciiTheme="minorHAnsi" w:hAnsiTheme="minorHAnsi"/>
          <w:i/>
          <w:color w:val="000000"/>
          <w:sz w:val="18"/>
          <w:szCs w:val="18"/>
          <w:shd w:val="clear" w:color="auto" w:fill="FFFFFF"/>
        </w:rPr>
        <w:t>Geriatr</w:t>
      </w:r>
      <w:proofErr w:type="spellEnd"/>
      <w:r w:rsidRPr="0073530B">
        <w:rPr>
          <w:rStyle w:val="ref-journal"/>
          <w:rFonts w:asciiTheme="minorHAnsi" w:hAnsiTheme="minorHAnsi"/>
          <w:i/>
          <w:color w:val="000000"/>
          <w:sz w:val="18"/>
          <w:szCs w:val="18"/>
          <w:shd w:val="clear" w:color="auto" w:fill="FFFFFF"/>
        </w:rPr>
        <w:t xml:space="preserve"> Soc.</w:t>
      </w:r>
      <w:r w:rsidRPr="0073530B">
        <w:rPr>
          <w:rStyle w:val="apple-converted-space"/>
          <w:rFonts w:asciiTheme="minorHAnsi" w:hAnsiTheme="minorHAnsi"/>
          <w:color w:val="000000"/>
          <w:sz w:val="18"/>
          <w:szCs w:val="18"/>
          <w:shd w:val="clear" w:color="auto" w:fill="FFFFFF"/>
        </w:rPr>
        <w:t> </w:t>
      </w:r>
      <w:r w:rsidRPr="0073530B">
        <w:rPr>
          <w:rFonts w:asciiTheme="minorHAnsi" w:hAnsiTheme="minorHAnsi"/>
          <w:color w:val="000000"/>
          <w:sz w:val="18"/>
          <w:szCs w:val="18"/>
          <w:shd w:val="clear" w:color="auto" w:fill="FFFFFF"/>
        </w:rPr>
        <w:t xml:space="preserve">875; R. </w:t>
      </w:r>
      <w:proofErr w:type="spellStart"/>
      <w:r w:rsidRPr="0073530B">
        <w:rPr>
          <w:rFonts w:asciiTheme="minorHAnsi" w:hAnsiTheme="minorHAnsi"/>
          <w:color w:val="000000"/>
          <w:sz w:val="18"/>
          <w:szCs w:val="18"/>
          <w:shd w:val="clear" w:color="auto" w:fill="FFFFFF"/>
        </w:rPr>
        <w:t>Mohindra</w:t>
      </w:r>
      <w:proofErr w:type="spellEnd"/>
      <w:r w:rsidRPr="0073530B">
        <w:rPr>
          <w:rFonts w:asciiTheme="minorHAnsi" w:hAnsiTheme="minorHAnsi"/>
          <w:color w:val="000000"/>
          <w:sz w:val="18"/>
          <w:szCs w:val="18"/>
          <w:shd w:val="clear" w:color="auto" w:fill="FFFFFF"/>
        </w:rPr>
        <w:t>, ‘</w:t>
      </w:r>
      <w:r w:rsidRPr="0073530B">
        <w:rPr>
          <w:rStyle w:val="apple-converted-space"/>
          <w:rFonts w:asciiTheme="minorHAnsi" w:hAnsiTheme="minorHAnsi"/>
          <w:color w:val="000000"/>
          <w:sz w:val="18"/>
          <w:szCs w:val="18"/>
          <w:shd w:val="clear" w:color="auto" w:fill="FFFFFF"/>
        </w:rPr>
        <w:t xml:space="preserve">Medical futility: a conceptual model.’ (2007) 33(2) </w:t>
      </w:r>
      <w:r w:rsidRPr="0073530B">
        <w:rPr>
          <w:rStyle w:val="apple-converted-space"/>
          <w:rFonts w:asciiTheme="minorHAnsi" w:hAnsiTheme="minorHAnsi"/>
          <w:i/>
          <w:color w:val="000000"/>
          <w:sz w:val="18"/>
          <w:szCs w:val="18"/>
          <w:shd w:val="clear" w:color="auto" w:fill="FFFFFF"/>
        </w:rPr>
        <w:t xml:space="preserve">JME </w:t>
      </w:r>
      <w:r w:rsidRPr="0073530B">
        <w:rPr>
          <w:rStyle w:val="apple-converted-space"/>
          <w:rFonts w:asciiTheme="minorHAnsi" w:hAnsiTheme="minorHAnsi"/>
          <w:color w:val="000000"/>
          <w:sz w:val="18"/>
          <w:szCs w:val="18"/>
          <w:shd w:val="clear" w:color="auto" w:fill="FFFFFF"/>
        </w:rPr>
        <w:t xml:space="preserve">71. R. Forde, ‘Who is to define the futility of treatment – the patient or the physician?’ </w:t>
      </w:r>
      <w:proofErr w:type="spellStart"/>
      <w:r w:rsidRPr="0073530B">
        <w:rPr>
          <w:rStyle w:val="apple-converted-space"/>
          <w:rFonts w:asciiTheme="minorHAnsi" w:hAnsiTheme="minorHAnsi"/>
          <w:color w:val="000000"/>
          <w:sz w:val="18"/>
          <w:szCs w:val="18"/>
          <w:shd w:val="clear" w:color="auto" w:fill="FFFFFF"/>
        </w:rPr>
        <w:t>Cf</w:t>
      </w:r>
      <w:proofErr w:type="spellEnd"/>
      <w:r w:rsidRPr="0073530B">
        <w:rPr>
          <w:rStyle w:val="apple-converted-space"/>
          <w:rFonts w:asciiTheme="minorHAnsi" w:hAnsiTheme="minorHAnsi"/>
          <w:color w:val="000000"/>
          <w:sz w:val="18"/>
          <w:szCs w:val="18"/>
          <w:shd w:val="clear" w:color="auto" w:fill="FFFFFF"/>
        </w:rPr>
        <w:t xml:space="preserve"> </w:t>
      </w:r>
      <w:r w:rsidRPr="0073530B">
        <w:rPr>
          <w:rFonts w:asciiTheme="minorHAnsi" w:hAnsiTheme="minorHAnsi"/>
          <w:sz w:val="18"/>
          <w:szCs w:val="18"/>
        </w:rPr>
        <w:t xml:space="preserve">the encouraging summary of Dr Danbury’s evidence in </w:t>
      </w:r>
      <w:r w:rsidRPr="0073530B">
        <w:rPr>
          <w:rFonts w:asciiTheme="minorHAnsi" w:hAnsiTheme="minorHAnsi"/>
          <w:i/>
          <w:sz w:val="18"/>
          <w:szCs w:val="18"/>
        </w:rPr>
        <w:t xml:space="preserve">An NHS Trust v DJ </w:t>
      </w:r>
      <w:r w:rsidRPr="0073530B">
        <w:rPr>
          <w:rFonts w:asciiTheme="minorHAnsi" w:hAnsiTheme="minorHAnsi"/>
          <w:bCs/>
          <w:color w:val="000000"/>
          <w:sz w:val="18"/>
          <w:szCs w:val="18"/>
        </w:rPr>
        <w:t xml:space="preserve">[2012] EWCOP 3524 </w:t>
      </w:r>
      <w:r w:rsidRPr="0073530B">
        <w:rPr>
          <w:rFonts w:asciiTheme="minorHAnsi" w:hAnsiTheme="minorHAnsi"/>
          <w:sz w:val="18"/>
          <w:szCs w:val="18"/>
        </w:rPr>
        <w:t>at [55]-[56] and critical reading of the concept by Ward LJ in</w:t>
      </w:r>
      <w:r w:rsidRPr="0073530B">
        <w:rPr>
          <w:rFonts w:asciiTheme="minorHAnsi" w:hAnsiTheme="minorHAnsi"/>
          <w:i/>
          <w:sz w:val="18"/>
          <w:szCs w:val="18"/>
        </w:rPr>
        <w:t xml:space="preserve"> Aintree University Hospitals Foundation NHS Trust v DJ</w:t>
      </w:r>
      <w:r w:rsidRPr="0073530B">
        <w:rPr>
          <w:rFonts w:asciiTheme="minorHAnsi" w:hAnsiTheme="minorHAnsi"/>
          <w:sz w:val="18"/>
          <w:szCs w:val="18"/>
        </w:rPr>
        <w:t xml:space="preserve"> [2013] EWCA 65 at [33] – [38].</w:t>
      </w:r>
    </w:p>
    <w:p w:rsidR="00237841" w:rsidRPr="0073530B" w:rsidRDefault="00237841" w:rsidP="000F4339">
      <w:pPr>
        <w:pStyle w:val="FootnoteText"/>
        <w:rPr>
          <w:rFonts w:asciiTheme="minorHAnsi" w:hAnsiTheme="minorHAnsi"/>
          <w:sz w:val="18"/>
          <w:szCs w:val="18"/>
        </w:rPr>
      </w:pPr>
    </w:p>
  </w:footnote>
  <w:footnote w:id="77">
    <w:p w:rsidR="00237841" w:rsidRPr="0073530B" w:rsidRDefault="00237841" w:rsidP="000F4339">
      <w:pPr>
        <w:pStyle w:val="FootnoteText"/>
        <w:spacing w:line="360" w:lineRule="auto"/>
        <w:ind w:right="284"/>
        <w:jc w:val="both"/>
        <w:rPr>
          <w:rFonts w:asciiTheme="minorHAnsi" w:hAnsiTheme="minorHAnsi"/>
          <w:sz w:val="18"/>
          <w:szCs w:val="18"/>
        </w:rPr>
      </w:pPr>
      <w:r w:rsidRPr="0073530B">
        <w:rPr>
          <w:rStyle w:val="FootnoteReference"/>
          <w:rFonts w:asciiTheme="minorHAnsi" w:hAnsiTheme="minorHAnsi"/>
          <w:sz w:val="18"/>
          <w:szCs w:val="18"/>
        </w:rPr>
        <w:footnoteRef/>
      </w:r>
      <w:r w:rsidRPr="0073530B">
        <w:rPr>
          <w:rFonts w:asciiTheme="minorHAnsi" w:hAnsiTheme="minorHAnsi"/>
          <w:sz w:val="18"/>
          <w:szCs w:val="18"/>
        </w:rPr>
        <w:t xml:space="preserve">  S. Nettleton, </w:t>
      </w:r>
      <w:r w:rsidRPr="0073530B">
        <w:rPr>
          <w:rFonts w:asciiTheme="minorHAnsi" w:hAnsiTheme="minorHAnsi"/>
          <w:i/>
          <w:sz w:val="18"/>
          <w:szCs w:val="18"/>
        </w:rPr>
        <w:t xml:space="preserve">Sociology of Health &amp; Illness. </w:t>
      </w:r>
      <w:r w:rsidRPr="0073530B">
        <w:rPr>
          <w:rFonts w:asciiTheme="minorHAnsi" w:hAnsiTheme="minorHAnsi"/>
          <w:sz w:val="18"/>
          <w:szCs w:val="18"/>
        </w:rPr>
        <w:t>3</w:t>
      </w:r>
      <w:r w:rsidRPr="0073530B">
        <w:rPr>
          <w:rFonts w:asciiTheme="minorHAnsi" w:hAnsiTheme="minorHAnsi"/>
          <w:sz w:val="18"/>
          <w:szCs w:val="18"/>
          <w:vertAlign w:val="superscript"/>
        </w:rPr>
        <w:t>rd</w:t>
      </w:r>
      <w:r w:rsidRPr="0073530B">
        <w:rPr>
          <w:rFonts w:asciiTheme="minorHAnsi" w:hAnsiTheme="minorHAnsi"/>
          <w:sz w:val="18"/>
          <w:szCs w:val="18"/>
        </w:rPr>
        <w:t xml:space="preserve"> </w:t>
      </w:r>
      <w:proofErr w:type="spellStart"/>
      <w:r w:rsidRPr="0073530B">
        <w:rPr>
          <w:rFonts w:asciiTheme="minorHAnsi" w:hAnsiTheme="minorHAnsi"/>
          <w:sz w:val="18"/>
          <w:szCs w:val="18"/>
        </w:rPr>
        <w:t>Edn</w:t>
      </w:r>
      <w:proofErr w:type="spellEnd"/>
      <w:r w:rsidRPr="0073530B">
        <w:rPr>
          <w:rFonts w:asciiTheme="minorHAnsi" w:hAnsiTheme="minorHAnsi"/>
          <w:sz w:val="18"/>
          <w:szCs w:val="18"/>
        </w:rPr>
        <w:t>,</w:t>
      </w:r>
      <w:r w:rsidRPr="0073530B">
        <w:rPr>
          <w:rFonts w:asciiTheme="minorHAnsi" w:hAnsiTheme="minorHAnsi"/>
          <w:i/>
          <w:sz w:val="18"/>
          <w:szCs w:val="18"/>
        </w:rPr>
        <w:t xml:space="preserve"> </w:t>
      </w:r>
      <w:r w:rsidRPr="0073530B">
        <w:rPr>
          <w:rFonts w:asciiTheme="minorHAnsi" w:hAnsiTheme="minorHAnsi"/>
          <w:sz w:val="18"/>
          <w:szCs w:val="18"/>
        </w:rPr>
        <w:t>(Polity Press, Cambridge, 2013) p.7.</w:t>
      </w:r>
    </w:p>
    <w:p w:rsidR="004A4299" w:rsidRPr="0073530B" w:rsidRDefault="004A4299" w:rsidP="000F4339">
      <w:pPr>
        <w:pStyle w:val="FootnoteText"/>
        <w:spacing w:line="360" w:lineRule="auto"/>
        <w:ind w:right="284"/>
        <w:jc w:val="both"/>
        <w:rPr>
          <w:rFonts w:asciiTheme="minorHAnsi" w:hAnsiTheme="minorHAnsi"/>
          <w:sz w:val="18"/>
          <w:szCs w:val="18"/>
        </w:rPr>
      </w:pPr>
    </w:p>
  </w:footnote>
  <w:footnote w:id="78">
    <w:p w:rsidR="00237841" w:rsidRPr="0073530B" w:rsidRDefault="00237841" w:rsidP="00EE11D9">
      <w:pPr>
        <w:pStyle w:val="FootnoteText"/>
        <w:rPr>
          <w:rFonts w:asciiTheme="minorHAnsi" w:hAnsiTheme="minorHAnsi"/>
          <w:sz w:val="18"/>
          <w:szCs w:val="18"/>
        </w:rPr>
      </w:pPr>
      <w:r w:rsidRPr="0073530B">
        <w:rPr>
          <w:rStyle w:val="FootnoteReference"/>
          <w:rFonts w:asciiTheme="minorHAnsi" w:hAnsiTheme="minorHAnsi"/>
          <w:sz w:val="18"/>
          <w:szCs w:val="18"/>
        </w:rPr>
        <w:footnoteRef/>
      </w:r>
      <w:r w:rsidRPr="0073530B">
        <w:rPr>
          <w:rFonts w:asciiTheme="minorHAnsi" w:hAnsiTheme="minorHAnsi"/>
          <w:sz w:val="18"/>
          <w:szCs w:val="18"/>
        </w:rPr>
        <w:t xml:space="preserve"> C. Foster and J. </w:t>
      </w:r>
      <w:proofErr w:type="spellStart"/>
      <w:r w:rsidRPr="0073530B">
        <w:rPr>
          <w:rFonts w:asciiTheme="minorHAnsi" w:hAnsiTheme="minorHAnsi"/>
          <w:sz w:val="18"/>
          <w:szCs w:val="18"/>
        </w:rPr>
        <w:t>Miola</w:t>
      </w:r>
      <w:proofErr w:type="spellEnd"/>
      <w:r w:rsidRPr="0073530B">
        <w:rPr>
          <w:rFonts w:asciiTheme="minorHAnsi" w:hAnsiTheme="minorHAnsi"/>
          <w:sz w:val="18"/>
          <w:szCs w:val="18"/>
        </w:rPr>
        <w:t>, ‘Who’s in Charge? The relationship between medical law, medical ethics and medical morality? (2015) Med L R – published online first.</w:t>
      </w:r>
    </w:p>
    <w:p w:rsidR="00237841" w:rsidRPr="0073530B" w:rsidRDefault="00237841" w:rsidP="00EE11D9">
      <w:pPr>
        <w:pStyle w:val="FootnoteText"/>
        <w:rPr>
          <w:rFonts w:asciiTheme="minorHAnsi" w:hAnsiTheme="minorHAnsi"/>
          <w:sz w:val="18"/>
          <w:szCs w:val="18"/>
        </w:rPr>
      </w:pPr>
    </w:p>
  </w:footnote>
  <w:footnote w:id="79">
    <w:p w:rsidR="00237841" w:rsidRPr="0073530B" w:rsidRDefault="00237841" w:rsidP="00EE11D9">
      <w:pPr>
        <w:pStyle w:val="FootnoteText"/>
        <w:rPr>
          <w:rFonts w:asciiTheme="minorHAnsi" w:hAnsiTheme="minorHAnsi"/>
          <w:sz w:val="18"/>
          <w:szCs w:val="18"/>
        </w:rPr>
      </w:pPr>
      <w:r w:rsidRPr="0073530B">
        <w:rPr>
          <w:rStyle w:val="FootnoteReference"/>
          <w:rFonts w:asciiTheme="minorHAnsi" w:hAnsiTheme="minorHAnsi"/>
          <w:sz w:val="18"/>
          <w:szCs w:val="18"/>
        </w:rPr>
        <w:footnoteRef/>
      </w:r>
      <w:r w:rsidRPr="0073530B">
        <w:rPr>
          <w:rFonts w:asciiTheme="minorHAnsi" w:hAnsiTheme="minorHAnsi"/>
          <w:sz w:val="18"/>
          <w:szCs w:val="18"/>
        </w:rPr>
        <w:t xml:space="preserve"> B. Secker, ‘</w:t>
      </w:r>
      <w:proofErr w:type="spellStart"/>
      <w:r w:rsidRPr="0073530B">
        <w:rPr>
          <w:rFonts w:asciiTheme="minorHAnsi" w:hAnsiTheme="minorHAnsi"/>
          <w:sz w:val="18"/>
          <w:szCs w:val="18"/>
        </w:rPr>
        <w:t>Labeling</w:t>
      </w:r>
      <w:proofErr w:type="spellEnd"/>
      <w:r w:rsidRPr="0073530B">
        <w:rPr>
          <w:rFonts w:asciiTheme="minorHAnsi" w:hAnsiTheme="minorHAnsi"/>
          <w:sz w:val="18"/>
          <w:szCs w:val="18"/>
        </w:rPr>
        <w:t xml:space="preserve"> Patient (In)Competence: A Feminist Analysis of Medico-Legal Discourse.’ (1999) 30(2) </w:t>
      </w:r>
      <w:r w:rsidRPr="0073530B">
        <w:rPr>
          <w:rFonts w:asciiTheme="minorHAnsi" w:hAnsiTheme="minorHAnsi"/>
          <w:i/>
          <w:sz w:val="18"/>
          <w:szCs w:val="18"/>
        </w:rPr>
        <w:t>J Soc Phil</w:t>
      </w:r>
      <w:r w:rsidRPr="0073530B">
        <w:rPr>
          <w:rFonts w:asciiTheme="minorHAnsi" w:hAnsiTheme="minorHAnsi"/>
          <w:sz w:val="18"/>
          <w:szCs w:val="18"/>
        </w:rPr>
        <w:t xml:space="preserve"> 295.</w:t>
      </w:r>
    </w:p>
    <w:p w:rsidR="00237841" w:rsidRPr="0073530B" w:rsidRDefault="00237841" w:rsidP="00EE11D9">
      <w:pPr>
        <w:pStyle w:val="FootnoteText"/>
        <w:rPr>
          <w:rFonts w:asciiTheme="minorHAnsi" w:hAnsiTheme="minorHAnsi"/>
          <w:sz w:val="18"/>
          <w:szCs w:val="18"/>
        </w:rPr>
      </w:pPr>
    </w:p>
  </w:footnote>
  <w:footnote w:id="80">
    <w:p w:rsidR="00237841" w:rsidRPr="0073530B" w:rsidRDefault="00237841" w:rsidP="00EE11D9">
      <w:pPr>
        <w:pStyle w:val="OmniPage3593"/>
        <w:ind w:left="0"/>
        <w:rPr>
          <w:rFonts w:asciiTheme="minorHAnsi" w:hAnsiTheme="minorHAnsi"/>
          <w:sz w:val="18"/>
          <w:szCs w:val="18"/>
        </w:rPr>
      </w:pPr>
      <w:r w:rsidRPr="0073530B">
        <w:rPr>
          <w:rStyle w:val="FootnoteReference"/>
          <w:rFonts w:asciiTheme="minorHAnsi" w:hAnsiTheme="minorHAnsi"/>
          <w:sz w:val="18"/>
          <w:szCs w:val="18"/>
        </w:rPr>
        <w:footnoteRef/>
      </w:r>
      <w:r w:rsidRPr="0073530B">
        <w:rPr>
          <w:rFonts w:asciiTheme="minorHAnsi" w:hAnsiTheme="minorHAnsi"/>
          <w:sz w:val="18"/>
          <w:szCs w:val="18"/>
        </w:rPr>
        <w:t xml:space="preserve"> </w:t>
      </w:r>
      <w:r w:rsidRPr="0073530B">
        <w:rPr>
          <w:rFonts w:asciiTheme="minorHAnsi" w:hAnsiTheme="minorHAnsi"/>
          <w:i/>
          <w:sz w:val="18"/>
          <w:szCs w:val="18"/>
        </w:rPr>
        <w:t xml:space="preserve">Re S </w:t>
      </w:r>
      <w:r w:rsidRPr="0073530B">
        <w:rPr>
          <w:rFonts w:asciiTheme="minorHAnsi" w:hAnsiTheme="minorHAnsi"/>
          <w:sz w:val="18"/>
          <w:szCs w:val="18"/>
        </w:rPr>
        <w:t>[2001] Fam 15: ‘</w:t>
      </w:r>
      <w:r w:rsidRPr="0073530B">
        <w:rPr>
          <w:rFonts w:asciiTheme="minorHAnsi" w:hAnsiTheme="minorHAnsi"/>
          <w:noProof w:val="0"/>
          <w:sz w:val="18"/>
          <w:szCs w:val="18"/>
        </w:rPr>
        <w:t xml:space="preserve">'…it is for the court to decide what is in the best interests of S. The medical advice the court receives is, of course, of the greatest importance - but it is that, namely advice.' </w:t>
      </w:r>
      <w:r w:rsidRPr="0073530B">
        <w:rPr>
          <w:rFonts w:asciiTheme="minorHAnsi" w:hAnsiTheme="minorHAnsi"/>
          <w:i/>
          <w:noProof w:val="0"/>
          <w:sz w:val="18"/>
          <w:szCs w:val="18"/>
        </w:rPr>
        <w:t xml:space="preserve">(per </w:t>
      </w:r>
      <w:r w:rsidRPr="0073530B">
        <w:rPr>
          <w:rFonts w:asciiTheme="minorHAnsi" w:hAnsiTheme="minorHAnsi"/>
          <w:noProof w:val="0"/>
          <w:sz w:val="18"/>
          <w:szCs w:val="18"/>
        </w:rPr>
        <w:t>Butler</w:t>
      </w:r>
      <w:r w:rsidRPr="0073530B">
        <w:rPr>
          <w:rFonts w:asciiTheme="minorHAnsi" w:hAnsiTheme="minorHAnsi"/>
          <w:noProof w:val="0"/>
          <w:sz w:val="18"/>
          <w:szCs w:val="18"/>
        </w:rPr>
        <w:noBreakHyphen/>
      </w:r>
      <w:proofErr w:type="spellStart"/>
      <w:r w:rsidRPr="0073530B">
        <w:rPr>
          <w:rFonts w:asciiTheme="minorHAnsi" w:hAnsiTheme="minorHAnsi"/>
          <w:noProof w:val="0"/>
          <w:sz w:val="18"/>
          <w:szCs w:val="18"/>
        </w:rPr>
        <w:t>Sloss</w:t>
      </w:r>
      <w:proofErr w:type="spellEnd"/>
      <w:r w:rsidRPr="0073530B">
        <w:rPr>
          <w:rFonts w:asciiTheme="minorHAnsi" w:hAnsiTheme="minorHAnsi"/>
          <w:noProof w:val="0"/>
          <w:sz w:val="18"/>
          <w:szCs w:val="18"/>
        </w:rPr>
        <w:t xml:space="preserve"> LJ at 22).</w:t>
      </w:r>
    </w:p>
    <w:p w:rsidR="00237841" w:rsidRPr="0073530B" w:rsidRDefault="00237841" w:rsidP="00EE11D9">
      <w:pPr>
        <w:pStyle w:val="FootnoteText"/>
        <w:rPr>
          <w:rFonts w:asciiTheme="minorHAnsi" w:hAnsiTheme="minorHAnsi"/>
          <w:sz w:val="18"/>
          <w:szCs w:val="18"/>
        </w:rPr>
      </w:pPr>
    </w:p>
  </w:footnote>
  <w:footnote w:id="81">
    <w:p w:rsidR="00237841" w:rsidRPr="0073530B" w:rsidRDefault="00237841" w:rsidP="00EE11D9">
      <w:pPr>
        <w:pStyle w:val="FootnoteText"/>
        <w:rPr>
          <w:rFonts w:asciiTheme="minorHAnsi" w:hAnsiTheme="minorHAnsi"/>
          <w:sz w:val="18"/>
          <w:szCs w:val="18"/>
        </w:rPr>
      </w:pPr>
      <w:r w:rsidRPr="0073530B">
        <w:rPr>
          <w:rStyle w:val="FootnoteReference"/>
          <w:rFonts w:asciiTheme="minorHAnsi" w:hAnsiTheme="minorHAnsi"/>
          <w:sz w:val="18"/>
          <w:szCs w:val="18"/>
        </w:rPr>
        <w:footnoteRef/>
      </w:r>
      <w:r w:rsidRPr="0073530B">
        <w:rPr>
          <w:rFonts w:asciiTheme="minorHAnsi" w:hAnsiTheme="minorHAnsi"/>
          <w:sz w:val="18"/>
          <w:szCs w:val="18"/>
        </w:rPr>
        <w:t xml:space="preserve"> M. </w:t>
      </w:r>
      <w:proofErr w:type="spellStart"/>
      <w:r w:rsidRPr="0073530B">
        <w:rPr>
          <w:rFonts w:asciiTheme="minorHAnsi" w:hAnsiTheme="minorHAnsi"/>
          <w:sz w:val="18"/>
          <w:szCs w:val="18"/>
        </w:rPr>
        <w:t>Kapp</w:t>
      </w:r>
      <w:proofErr w:type="spellEnd"/>
      <w:r w:rsidRPr="0073530B">
        <w:rPr>
          <w:rFonts w:asciiTheme="minorHAnsi" w:hAnsiTheme="minorHAnsi"/>
          <w:sz w:val="18"/>
          <w:szCs w:val="18"/>
        </w:rPr>
        <w:t xml:space="preserve"> and D. Mossman, ‘Measuring decisional capacity: cautions on the construction of a </w:t>
      </w:r>
      <w:proofErr w:type="spellStart"/>
      <w:r w:rsidRPr="0073530B">
        <w:rPr>
          <w:rFonts w:asciiTheme="minorHAnsi" w:hAnsiTheme="minorHAnsi"/>
          <w:sz w:val="18"/>
          <w:szCs w:val="18"/>
        </w:rPr>
        <w:t>capacimeter</w:t>
      </w:r>
      <w:proofErr w:type="spellEnd"/>
      <w:r w:rsidRPr="0073530B">
        <w:rPr>
          <w:rFonts w:asciiTheme="minorHAnsi" w:hAnsiTheme="minorHAnsi"/>
          <w:sz w:val="18"/>
          <w:szCs w:val="18"/>
        </w:rPr>
        <w:t xml:space="preserve">.’ (1996) 2 </w:t>
      </w:r>
      <w:r w:rsidRPr="0073530B">
        <w:rPr>
          <w:rFonts w:asciiTheme="minorHAnsi" w:hAnsiTheme="minorHAnsi"/>
          <w:i/>
          <w:sz w:val="18"/>
          <w:szCs w:val="18"/>
        </w:rPr>
        <w:t xml:space="preserve">Psych, Pub </w:t>
      </w:r>
      <w:proofErr w:type="spellStart"/>
      <w:r w:rsidRPr="0073530B">
        <w:rPr>
          <w:rFonts w:asciiTheme="minorHAnsi" w:hAnsiTheme="minorHAnsi"/>
          <w:i/>
          <w:sz w:val="18"/>
          <w:szCs w:val="18"/>
        </w:rPr>
        <w:t>Pol</w:t>
      </w:r>
      <w:proofErr w:type="spellEnd"/>
      <w:r w:rsidRPr="0073530B">
        <w:rPr>
          <w:rFonts w:asciiTheme="minorHAnsi" w:hAnsiTheme="minorHAnsi"/>
          <w:i/>
          <w:sz w:val="18"/>
          <w:szCs w:val="18"/>
        </w:rPr>
        <w:t xml:space="preserve"> and Law</w:t>
      </w:r>
      <w:r w:rsidRPr="0073530B">
        <w:rPr>
          <w:rFonts w:asciiTheme="minorHAnsi" w:hAnsiTheme="minorHAnsi"/>
          <w:sz w:val="18"/>
          <w:szCs w:val="18"/>
        </w:rPr>
        <w:t xml:space="preserve"> 73. </w:t>
      </w:r>
    </w:p>
    <w:p w:rsidR="00237841" w:rsidRPr="0073530B" w:rsidRDefault="00237841" w:rsidP="00EE11D9">
      <w:pPr>
        <w:pStyle w:val="FootnoteText"/>
        <w:rPr>
          <w:rFonts w:asciiTheme="minorHAnsi" w:hAnsiTheme="minorHAnsi"/>
          <w:sz w:val="18"/>
          <w:szCs w:val="18"/>
        </w:rPr>
      </w:pPr>
    </w:p>
  </w:footnote>
  <w:footnote w:id="82">
    <w:p w:rsidR="00237841" w:rsidRPr="0073530B" w:rsidRDefault="00237841" w:rsidP="00EE11D9">
      <w:pPr>
        <w:pStyle w:val="FootnoteText"/>
        <w:rPr>
          <w:rFonts w:asciiTheme="minorHAnsi" w:hAnsiTheme="minorHAnsi"/>
          <w:sz w:val="18"/>
          <w:szCs w:val="18"/>
        </w:rPr>
      </w:pPr>
      <w:r w:rsidRPr="0073530B">
        <w:rPr>
          <w:rStyle w:val="FootnoteReference"/>
          <w:rFonts w:asciiTheme="minorHAnsi" w:hAnsiTheme="minorHAnsi"/>
          <w:sz w:val="18"/>
          <w:szCs w:val="18"/>
        </w:rPr>
        <w:footnoteRef/>
      </w:r>
      <w:r w:rsidRPr="0073530B">
        <w:rPr>
          <w:rFonts w:asciiTheme="minorHAnsi" w:hAnsiTheme="minorHAnsi"/>
          <w:sz w:val="18"/>
          <w:szCs w:val="18"/>
        </w:rPr>
        <w:t xml:space="preserve"> E.g. the conventional sum (then £15,000) for the infringement of autonomy in </w:t>
      </w:r>
      <w:r w:rsidRPr="0073530B">
        <w:rPr>
          <w:rFonts w:asciiTheme="minorHAnsi" w:hAnsiTheme="minorHAnsi"/>
          <w:i/>
          <w:sz w:val="18"/>
          <w:szCs w:val="18"/>
        </w:rPr>
        <w:t xml:space="preserve">Rees v Darlington Memorial Hospital NHS Trust </w:t>
      </w:r>
      <w:r w:rsidRPr="0073530B">
        <w:rPr>
          <w:rFonts w:asciiTheme="minorHAnsi" w:hAnsiTheme="minorHAnsi"/>
          <w:sz w:val="18"/>
          <w:szCs w:val="18"/>
        </w:rPr>
        <w:t>[2003] UKHL 52.</w:t>
      </w:r>
    </w:p>
    <w:p w:rsidR="00237841" w:rsidRPr="0073530B" w:rsidRDefault="00237841" w:rsidP="00EE11D9">
      <w:pPr>
        <w:pStyle w:val="FootnoteText"/>
        <w:rPr>
          <w:rFonts w:asciiTheme="minorHAnsi" w:hAnsiTheme="minorHAnsi"/>
          <w:sz w:val="18"/>
          <w:szCs w:val="18"/>
        </w:rPr>
      </w:pPr>
    </w:p>
  </w:footnote>
  <w:footnote w:id="83">
    <w:p w:rsidR="00237841" w:rsidRPr="0073530B" w:rsidRDefault="00237841" w:rsidP="00EE11D9">
      <w:pPr>
        <w:pStyle w:val="FootnoteText"/>
        <w:rPr>
          <w:rFonts w:asciiTheme="minorHAnsi" w:hAnsiTheme="minorHAnsi"/>
          <w:sz w:val="18"/>
          <w:szCs w:val="18"/>
        </w:rPr>
      </w:pPr>
      <w:r w:rsidRPr="0073530B">
        <w:rPr>
          <w:rStyle w:val="FootnoteReference"/>
          <w:rFonts w:asciiTheme="minorHAnsi" w:hAnsiTheme="minorHAnsi"/>
          <w:sz w:val="18"/>
          <w:szCs w:val="18"/>
        </w:rPr>
        <w:footnoteRef/>
      </w:r>
      <w:r w:rsidRPr="0073530B">
        <w:rPr>
          <w:rFonts w:asciiTheme="minorHAnsi" w:hAnsiTheme="minorHAnsi"/>
          <w:sz w:val="18"/>
          <w:szCs w:val="18"/>
        </w:rPr>
        <w:t xml:space="preserve"> E.g. T. </w:t>
      </w:r>
      <w:proofErr w:type="spellStart"/>
      <w:r w:rsidRPr="0073530B">
        <w:rPr>
          <w:rFonts w:asciiTheme="minorHAnsi" w:hAnsiTheme="minorHAnsi"/>
          <w:sz w:val="18"/>
          <w:szCs w:val="18"/>
        </w:rPr>
        <w:t>Grisso</w:t>
      </w:r>
      <w:proofErr w:type="spellEnd"/>
      <w:r w:rsidRPr="0073530B">
        <w:rPr>
          <w:rFonts w:asciiTheme="minorHAnsi" w:hAnsiTheme="minorHAnsi"/>
          <w:sz w:val="18"/>
          <w:szCs w:val="18"/>
        </w:rPr>
        <w:t xml:space="preserve"> and P. </w:t>
      </w:r>
      <w:proofErr w:type="spellStart"/>
      <w:r w:rsidRPr="0073530B">
        <w:rPr>
          <w:rFonts w:asciiTheme="minorHAnsi" w:hAnsiTheme="minorHAnsi"/>
          <w:sz w:val="18"/>
          <w:szCs w:val="18"/>
        </w:rPr>
        <w:t>Appelbaum</w:t>
      </w:r>
      <w:proofErr w:type="spellEnd"/>
      <w:r w:rsidRPr="0073530B">
        <w:rPr>
          <w:rFonts w:asciiTheme="minorHAnsi" w:hAnsiTheme="minorHAnsi"/>
          <w:sz w:val="18"/>
          <w:szCs w:val="18"/>
        </w:rPr>
        <w:t xml:space="preserve">, </w:t>
      </w:r>
      <w:r w:rsidRPr="0073530B">
        <w:rPr>
          <w:rFonts w:asciiTheme="minorHAnsi" w:hAnsiTheme="minorHAnsi"/>
          <w:i/>
          <w:sz w:val="18"/>
          <w:szCs w:val="18"/>
        </w:rPr>
        <w:t xml:space="preserve">Assessing Competence to Consent to Treatment </w:t>
      </w:r>
      <w:r w:rsidRPr="0073530B">
        <w:rPr>
          <w:rFonts w:asciiTheme="minorHAnsi" w:hAnsiTheme="minorHAnsi"/>
          <w:sz w:val="18"/>
          <w:szCs w:val="18"/>
        </w:rPr>
        <w:t xml:space="preserve">(OUP, 1998) at p.66: physicians were criticised for their willingness to overlook nearly any degree or impairment provided P agreed with their suggested treatment regime. See also </w:t>
      </w:r>
      <w:proofErr w:type="spellStart"/>
      <w:r w:rsidRPr="0073530B">
        <w:rPr>
          <w:rFonts w:asciiTheme="minorHAnsi" w:hAnsiTheme="minorHAnsi"/>
          <w:sz w:val="18"/>
          <w:szCs w:val="18"/>
        </w:rPr>
        <w:t>Kapp</w:t>
      </w:r>
      <w:proofErr w:type="spellEnd"/>
      <w:r w:rsidRPr="0073530B">
        <w:rPr>
          <w:rFonts w:asciiTheme="minorHAnsi" w:hAnsiTheme="minorHAnsi"/>
          <w:sz w:val="18"/>
          <w:szCs w:val="18"/>
        </w:rPr>
        <w:t xml:space="preserve"> and Mossman above at n.80, ‘formal assessments almost invariably take place only when a patient refuses to accede to a medical recommendation.’ </w:t>
      </w:r>
    </w:p>
    <w:p w:rsidR="00237841" w:rsidRPr="0073530B" w:rsidRDefault="00237841" w:rsidP="00EE11D9">
      <w:pPr>
        <w:pStyle w:val="FootnoteText"/>
        <w:rPr>
          <w:rFonts w:asciiTheme="minorHAnsi" w:hAnsiTheme="minorHAnsi"/>
          <w:sz w:val="18"/>
          <w:szCs w:val="18"/>
        </w:rPr>
      </w:pPr>
    </w:p>
  </w:footnote>
  <w:footnote w:id="84">
    <w:p w:rsidR="00237841" w:rsidRPr="0073530B" w:rsidRDefault="00237841" w:rsidP="00EE11D9">
      <w:pPr>
        <w:pStyle w:val="FootnoteText"/>
        <w:rPr>
          <w:rFonts w:asciiTheme="minorHAnsi" w:hAnsiTheme="minorHAnsi"/>
          <w:sz w:val="18"/>
          <w:szCs w:val="18"/>
        </w:rPr>
      </w:pPr>
      <w:r w:rsidRPr="0073530B">
        <w:rPr>
          <w:rStyle w:val="FootnoteReference"/>
          <w:rFonts w:asciiTheme="minorHAnsi" w:hAnsiTheme="minorHAnsi"/>
          <w:sz w:val="18"/>
          <w:szCs w:val="18"/>
        </w:rPr>
        <w:footnoteRef/>
      </w:r>
      <w:r w:rsidRPr="0073530B">
        <w:rPr>
          <w:rFonts w:asciiTheme="minorHAnsi" w:hAnsiTheme="minorHAnsi"/>
          <w:sz w:val="18"/>
          <w:szCs w:val="18"/>
        </w:rPr>
        <w:t xml:space="preserve"> </w:t>
      </w:r>
      <w:r w:rsidRPr="0073530B">
        <w:rPr>
          <w:rFonts w:asciiTheme="minorHAnsi" w:hAnsiTheme="minorHAnsi"/>
          <w:i/>
          <w:sz w:val="18"/>
          <w:szCs w:val="18"/>
        </w:rPr>
        <w:t xml:space="preserve">Mental Capacity Act 2005: Post-legislative scrutiny </w:t>
      </w:r>
      <w:r w:rsidRPr="0073530B">
        <w:rPr>
          <w:rFonts w:asciiTheme="minorHAnsi" w:hAnsiTheme="minorHAnsi"/>
          <w:sz w:val="18"/>
          <w:szCs w:val="18"/>
        </w:rPr>
        <w:t xml:space="preserve">(House of Lords Select Committee on the Mental Capacity Act 2005, 2013-14) at 75. </w:t>
      </w:r>
    </w:p>
    <w:p w:rsidR="00237841" w:rsidRPr="0073530B" w:rsidRDefault="00237841" w:rsidP="00EE11D9">
      <w:pPr>
        <w:pStyle w:val="FootnoteText"/>
        <w:rPr>
          <w:rFonts w:asciiTheme="minorHAnsi" w:hAnsiTheme="minorHAnsi"/>
          <w:sz w:val="18"/>
          <w:szCs w:val="18"/>
        </w:rPr>
      </w:pPr>
    </w:p>
  </w:footnote>
  <w:footnote w:id="85">
    <w:p w:rsidR="00237841" w:rsidRPr="0073530B" w:rsidRDefault="00237841" w:rsidP="00EE11D9">
      <w:pPr>
        <w:rPr>
          <w:sz w:val="18"/>
          <w:szCs w:val="18"/>
        </w:rPr>
      </w:pPr>
      <w:r w:rsidRPr="0073530B">
        <w:rPr>
          <w:rStyle w:val="FootnoteReference"/>
          <w:sz w:val="18"/>
          <w:szCs w:val="18"/>
        </w:rPr>
        <w:footnoteRef/>
      </w:r>
      <w:r w:rsidRPr="0073530B">
        <w:rPr>
          <w:sz w:val="18"/>
          <w:szCs w:val="18"/>
        </w:rPr>
        <w:t xml:space="preserve"> I. </w:t>
      </w:r>
      <w:proofErr w:type="spellStart"/>
      <w:r w:rsidRPr="0073530B">
        <w:rPr>
          <w:sz w:val="18"/>
          <w:szCs w:val="18"/>
        </w:rPr>
        <w:t>Sleeman</w:t>
      </w:r>
      <w:proofErr w:type="spellEnd"/>
      <w:r w:rsidRPr="0073530B">
        <w:rPr>
          <w:sz w:val="18"/>
          <w:szCs w:val="18"/>
        </w:rPr>
        <w:t xml:space="preserve"> and K. Saunders, </w:t>
      </w:r>
      <w:r w:rsidRPr="0073530B">
        <w:rPr>
          <w:i/>
          <w:sz w:val="18"/>
          <w:szCs w:val="18"/>
        </w:rPr>
        <w:t>‘</w:t>
      </w:r>
      <w:r w:rsidRPr="0073530B">
        <w:rPr>
          <w:sz w:val="18"/>
          <w:szCs w:val="18"/>
        </w:rPr>
        <w:t xml:space="preserve">An audit of mental capacity assessment on general medical wards.’ (2013) 8 </w:t>
      </w:r>
      <w:r w:rsidRPr="0073530B">
        <w:rPr>
          <w:i/>
          <w:sz w:val="18"/>
          <w:szCs w:val="18"/>
        </w:rPr>
        <w:t xml:space="preserve">Clinical Ethics </w:t>
      </w:r>
      <w:r w:rsidRPr="0073530B">
        <w:rPr>
          <w:sz w:val="18"/>
          <w:szCs w:val="18"/>
        </w:rPr>
        <w:t>47.</w:t>
      </w:r>
    </w:p>
  </w:footnote>
  <w:footnote w:id="86">
    <w:p w:rsidR="00237841" w:rsidRPr="0073530B" w:rsidRDefault="00237841" w:rsidP="00331869">
      <w:pPr>
        <w:rPr>
          <w:sz w:val="18"/>
          <w:szCs w:val="18"/>
        </w:rPr>
      </w:pPr>
      <w:r w:rsidRPr="0073530B">
        <w:rPr>
          <w:rStyle w:val="FootnoteReference"/>
          <w:sz w:val="18"/>
          <w:szCs w:val="18"/>
        </w:rPr>
        <w:footnoteRef/>
      </w:r>
      <w:r w:rsidRPr="0073530B">
        <w:rPr>
          <w:sz w:val="18"/>
          <w:szCs w:val="18"/>
        </w:rPr>
        <w:t xml:space="preserve"> V. Williams et al, </w:t>
      </w:r>
      <w:r w:rsidRPr="0073530B">
        <w:rPr>
          <w:i/>
          <w:sz w:val="18"/>
          <w:szCs w:val="18"/>
        </w:rPr>
        <w:t xml:space="preserve">Making Best Interest Decisions: People and Processes </w:t>
      </w:r>
      <w:r w:rsidRPr="0073530B">
        <w:rPr>
          <w:sz w:val="18"/>
          <w:szCs w:val="18"/>
        </w:rPr>
        <w:t>(Mental Health Organisation, 2012).</w:t>
      </w:r>
    </w:p>
  </w:footnote>
  <w:footnote w:id="87">
    <w:p w:rsidR="00237841" w:rsidRPr="0073530B" w:rsidRDefault="00237841" w:rsidP="00125660">
      <w:pPr>
        <w:autoSpaceDE w:val="0"/>
        <w:autoSpaceDN w:val="0"/>
        <w:adjustRightInd w:val="0"/>
        <w:spacing w:after="0" w:line="240" w:lineRule="auto"/>
        <w:rPr>
          <w:sz w:val="18"/>
          <w:szCs w:val="18"/>
        </w:rPr>
      </w:pPr>
      <w:r w:rsidRPr="0073530B">
        <w:rPr>
          <w:rStyle w:val="FootnoteReference"/>
          <w:sz w:val="18"/>
          <w:szCs w:val="18"/>
        </w:rPr>
        <w:footnoteRef/>
      </w:r>
      <w:r w:rsidRPr="0073530B">
        <w:rPr>
          <w:sz w:val="18"/>
          <w:szCs w:val="18"/>
        </w:rPr>
        <w:t xml:space="preserve"> ‘Homeward Bound </w:t>
      </w:r>
      <w:r w:rsidRPr="0073530B">
        <w:rPr>
          <w:rFonts w:cs="AdvTT5235d5a9"/>
          <w:sz w:val="18"/>
          <w:szCs w:val="18"/>
        </w:rPr>
        <w:t>or bound for a home? Assessing the capacity of dementia patients to make decisions about hospital discharge: Comparing practice with legal standards</w:t>
      </w:r>
      <w:r w:rsidRPr="0073530B">
        <w:rPr>
          <w:sz w:val="18"/>
          <w:szCs w:val="18"/>
        </w:rPr>
        <w:t xml:space="preserve">’ (2013) </w:t>
      </w:r>
      <w:proofErr w:type="spellStart"/>
      <w:r w:rsidRPr="0073530B">
        <w:rPr>
          <w:i/>
          <w:sz w:val="18"/>
          <w:szCs w:val="18"/>
        </w:rPr>
        <w:t>Int</w:t>
      </w:r>
      <w:proofErr w:type="spellEnd"/>
      <w:r w:rsidRPr="0073530B">
        <w:rPr>
          <w:i/>
          <w:sz w:val="18"/>
          <w:szCs w:val="18"/>
        </w:rPr>
        <w:t xml:space="preserve"> Journal of Law and Psychiatry </w:t>
      </w:r>
      <w:r w:rsidRPr="0073530B">
        <w:rPr>
          <w:sz w:val="18"/>
          <w:szCs w:val="18"/>
        </w:rPr>
        <w:t xml:space="preserve">72 </w:t>
      </w:r>
      <w:r w:rsidRPr="0073530B">
        <w:rPr>
          <w:i/>
          <w:sz w:val="18"/>
          <w:szCs w:val="18"/>
        </w:rPr>
        <w:t>a</w:t>
      </w:r>
      <w:r w:rsidRPr="0073530B">
        <w:rPr>
          <w:sz w:val="18"/>
          <w:szCs w:val="18"/>
        </w:rPr>
        <w:t xml:space="preserve">t 76. </w:t>
      </w:r>
    </w:p>
    <w:p w:rsidR="00237841" w:rsidRPr="0073530B" w:rsidRDefault="00237841">
      <w:pPr>
        <w:pStyle w:val="FootnoteText"/>
        <w:rPr>
          <w:rFonts w:asciiTheme="minorHAnsi" w:hAnsiTheme="minorHAnsi"/>
          <w:sz w:val="18"/>
          <w:szCs w:val="18"/>
        </w:rPr>
      </w:pPr>
    </w:p>
  </w:footnote>
  <w:footnote w:id="88">
    <w:p w:rsidR="00237841" w:rsidRPr="0073530B" w:rsidRDefault="00237841" w:rsidP="00EE11D9">
      <w:pPr>
        <w:pStyle w:val="FootnoteText"/>
        <w:rPr>
          <w:rFonts w:asciiTheme="minorHAnsi" w:hAnsiTheme="minorHAnsi"/>
          <w:sz w:val="18"/>
          <w:szCs w:val="18"/>
        </w:rPr>
      </w:pPr>
      <w:r w:rsidRPr="0073530B">
        <w:rPr>
          <w:rStyle w:val="FootnoteReference"/>
          <w:rFonts w:asciiTheme="minorHAnsi" w:hAnsiTheme="minorHAnsi"/>
          <w:sz w:val="18"/>
          <w:szCs w:val="18"/>
        </w:rPr>
        <w:footnoteRef/>
      </w:r>
      <w:r w:rsidRPr="0073530B">
        <w:rPr>
          <w:rFonts w:asciiTheme="minorHAnsi" w:hAnsiTheme="minorHAnsi"/>
          <w:sz w:val="18"/>
          <w:szCs w:val="18"/>
        </w:rPr>
        <w:t xml:space="preserve"> S.1(4) MCA 2005.</w:t>
      </w:r>
    </w:p>
    <w:p w:rsidR="00237841" w:rsidRPr="0073530B" w:rsidRDefault="00237841" w:rsidP="00EE11D9">
      <w:pPr>
        <w:pStyle w:val="FootnoteText"/>
        <w:rPr>
          <w:rFonts w:asciiTheme="minorHAnsi" w:hAnsiTheme="minorHAnsi"/>
          <w:sz w:val="18"/>
          <w:szCs w:val="18"/>
        </w:rPr>
      </w:pPr>
    </w:p>
  </w:footnote>
  <w:footnote w:id="89">
    <w:p w:rsidR="00237841" w:rsidRPr="0073530B" w:rsidRDefault="00237841" w:rsidP="00EE11D9">
      <w:pPr>
        <w:pStyle w:val="FootnoteText"/>
        <w:rPr>
          <w:rFonts w:asciiTheme="minorHAnsi" w:hAnsiTheme="minorHAnsi"/>
          <w:sz w:val="18"/>
          <w:szCs w:val="18"/>
        </w:rPr>
      </w:pPr>
      <w:r w:rsidRPr="0073530B">
        <w:rPr>
          <w:rStyle w:val="FootnoteReference"/>
          <w:rFonts w:asciiTheme="minorHAnsi" w:hAnsiTheme="minorHAnsi"/>
          <w:sz w:val="18"/>
          <w:szCs w:val="18"/>
        </w:rPr>
        <w:footnoteRef/>
      </w:r>
      <w:r w:rsidRPr="0073530B">
        <w:rPr>
          <w:rFonts w:asciiTheme="minorHAnsi" w:hAnsiTheme="minorHAnsi"/>
          <w:sz w:val="18"/>
          <w:szCs w:val="18"/>
        </w:rPr>
        <w:t xml:space="preserve"> From Lord Donaldson’s judgment in </w:t>
      </w:r>
      <w:r w:rsidRPr="0073530B">
        <w:rPr>
          <w:rFonts w:asciiTheme="minorHAnsi" w:hAnsiTheme="minorHAnsi"/>
          <w:i/>
          <w:sz w:val="18"/>
          <w:szCs w:val="18"/>
        </w:rPr>
        <w:t xml:space="preserve">Re W </w:t>
      </w:r>
      <w:r w:rsidRPr="0073530B">
        <w:rPr>
          <w:rFonts w:asciiTheme="minorHAnsi" w:hAnsiTheme="minorHAnsi"/>
          <w:sz w:val="18"/>
          <w:szCs w:val="18"/>
        </w:rPr>
        <w:t xml:space="preserve">[1993] </w:t>
      </w:r>
      <w:proofErr w:type="spellStart"/>
      <w:r w:rsidRPr="0073530B">
        <w:rPr>
          <w:rFonts w:asciiTheme="minorHAnsi" w:hAnsiTheme="minorHAnsi"/>
          <w:sz w:val="18"/>
          <w:szCs w:val="18"/>
        </w:rPr>
        <w:t>Fam</w:t>
      </w:r>
      <w:proofErr w:type="spellEnd"/>
      <w:r w:rsidRPr="0073530B">
        <w:rPr>
          <w:rFonts w:asciiTheme="minorHAnsi" w:hAnsiTheme="minorHAnsi"/>
          <w:sz w:val="18"/>
          <w:szCs w:val="18"/>
        </w:rPr>
        <w:t xml:space="preserve"> 64 at 76.</w:t>
      </w:r>
    </w:p>
    <w:p w:rsidR="00237841" w:rsidRPr="0073530B" w:rsidRDefault="00237841" w:rsidP="00EE11D9">
      <w:pPr>
        <w:pStyle w:val="FootnoteText"/>
        <w:rPr>
          <w:rFonts w:asciiTheme="minorHAnsi" w:hAnsiTheme="minorHAnsi"/>
          <w:sz w:val="18"/>
          <w:szCs w:val="18"/>
        </w:rPr>
      </w:pPr>
    </w:p>
  </w:footnote>
  <w:footnote w:id="90">
    <w:p w:rsidR="00237841" w:rsidRPr="0073530B" w:rsidRDefault="00237841" w:rsidP="00E42177">
      <w:pPr>
        <w:pStyle w:val="FootnoteText"/>
        <w:rPr>
          <w:rFonts w:asciiTheme="minorHAnsi" w:hAnsiTheme="minorHAnsi"/>
          <w:sz w:val="18"/>
          <w:szCs w:val="18"/>
        </w:rPr>
      </w:pPr>
      <w:r w:rsidRPr="0073530B">
        <w:rPr>
          <w:rStyle w:val="FootnoteReference"/>
          <w:rFonts w:asciiTheme="minorHAnsi" w:hAnsiTheme="minorHAnsi"/>
          <w:sz w:val="18"/>
          <w:szCs w:val="18"/>
        </w:rPr>
        <w:footnoteRef/>
      </w:r>
      <w:r w:rsidRPr="0073530B">
        <w:rPr>
          <w:rFonts w:asciiTheme="minorHAnsi" w:hAnsiTheme="minorHAnsi"/>
          <w:sz w:val="18"/>
          <w:szCs w:val="18"/>
        </w:rPr>
        <w:t xml:space="preserve"> E.g. </w:t>
      </w:r>
      <w:r w:rsidRPr="0073530B">
        <w:rPr>
          <w:rFonts w:asciiTheme="minorHAnsi" w:hAnsiTheme="minorHAnsi"/>
          <w:i/>
          <w:sz w:val="18"/>
          <w:szCs w:val="18"/>
        </w:rPr>
        <w:t xml:space="preserve">V </w:t>
      </w:r>
      <w:proofErr w:type="spellStart"/>
      <w:r w:rsidRPr="0073530B">
        <w:rPr>
          <w:rFonts w:asciiTheme="minorHAnsi" w:hAnsiTheme="minorHAnsi"/>
          <w:i/>
          <w:sz w:val="18"/>
          <w:szCs w:val="18"/>
        </w:rPr>
        <w:t>v</w:t>
      </w:r>
      <w:proofErr w:type="spellEnd"/>
      <w:r w:rsidRPr="0073530B">
        <w:rPr>
          <w:rFonts w:asciiTheme="minorHAnsi" w:hAnsiTheme="minorHAnsi"/>
          <w:i/>
          <w:sz w:val="18"/>
          <w:szCs w:val="18"/>
        </w:rPr>
        <w:t xml:space="preserve"> R</w:t>
      </w:r>
      <w:r w:rsidRPr="0073530B">
        <w:rPr>
          <w:rFonts w:asciiTheme="minorHAnsi" w:hAnsiTheme="minorHAnsi"/>
          <w:sz w:val="18"/>
          <w:szCs w:val="18"/>
        </w:rPr>
        <w:t xml:space="preserve"> [2011] EWHC 822 - recognising that with family support P could have capacity to make her own decisions.</w:t>
      </w:r>
    </w:p>
    <w:p w:rsidR="00237841" w:rsidRPr="0073530B" w:rsidRDefault="00237841" w:rsidP="00E42177">
      <w:pPr>
        <w:pStyle w:val="FootnoteText"/>
        <w:rPr>
          <w:rFonts w:asciiTheme="minorHAnsi" w:hAnsiTheme="minorHAnsi"/>
          <w:sz w:val="18"/>
          <w:szCs w:val="18"/>
        </w:rPr>
      </w:pPr>
    </w:p>
  </w:footnote>
  <w:footnote w:id="91">
    <w:p w:rsidR="00237841" w:rsidRPr="0062734B" w:rsidRDefault="00237841" w:rsidP="00E42177">
      <w:pPr>
        <w:jc w:val="both"/>
        <w:rPr>
          <w:sz w:val="18"/>
          <w:szCs w:val="18"/>
        </w:rPr>
      </w:pPr>
      <w:r w:rsidRPr="0073530B">
        <w:rPr>
          <w:rStyle w:val="FootnoteReference"/>
          <w:sz w:val="18"/>
          <w:szCs w:val="18"/>
        </w:rPr>
        <w:footnoteRef/>
      </w:r>
      <w:r w:rsidRPr="0073530B">
        <w:rPr>
          <w:sz w:val="18"/>
          <w:szCs w:val="18"/>
        </w:rPr>
        <w:t xml:space="preserve"> M. </w:t>
      </w:r>
      <w:proofErr w:type="spellStart"/>
      <w:r w:rsidRPr="0073530B">
        <w:rPr>
          <w:sz w:val="18"/>
          <w:szCs w:val="18"/>
        </w:rPr>
        <w:t>Silberfeld</w:t>
      </w:r>
      <w:proofErr w:type="spellEnd"/>
      <w:r w:rsidRPr="0073530B">
        <w:rPr>
          <w:sz w:val="18"/>
          <w:szCs w:val="18"/>
        </w:rPr>
        <w:t xml:space="preserve"> and D. </w:t>
      </w:r>
      <w:proofErr w:type="spellStart"/>
      <w:r w:rsidRPr="0073530B">
        <w:rPr>
          <w:sz w:val="18"/>
          <w:szCs w:val="18"/>
        </w:rPr>
        <w:t>Checkland</w:t>
      </w:r>
      <w:proofErr w:type="spellEnd"/>
      <w:r w:rsidRPr="0073530B">
        <w:rPr>
          <w:sz w:val="18"/>
          <w:szCs w:val="18"/>
        </w:rPr>
        <w:t xml:space="preserve">, ‘Faulty Judgment, Expert Opinion and Decision Making Capacity.’ (1999) 20 </w:t>
      </w:r>
      <w:r w:rsidRPr="0073530B">
        <w:rPr>
          <w:i/>
          <w:sz w:val="18"/>
          <w:szCs w:val="18"/>
        </w:rPr>
        <w:t xml:space="preserve">Theoretical Medicine and Bioethics </w:t>
      </w:r>
      <w:r w:rsidRPr="0073530B">
        <w:rPr>
          <w:sz w:val="18"/>
          <w:szCs w:val="18"/>
        </w:rPr>
        <w:t>377 at 378.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841" w:rsidRDefault="0023784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841" w:rsidRDefault="0023784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841" w:rsidRDefault="002378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BEE9B80"/>
    <w:lvl w:ilvl="0">
      <w:numFmt w:val="decimal"/>
      <w:lvlText w:val="*"/>
      <w:lvlJc w:val="left"/>
    </w:lvl>
  </w:abstractNum>
  <w:abstractNum w:abstractNumId="1">
    <w:nsid w:val="092917B8"/>
    <w:multiLevelType w:val="hybridMultilevel"/>
    <w:tmpl w:val="384AC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A373B3"/>
    <w:multiLevelType w:val="hybridMultilevel"/>
    <w:tmpl w:val="B2B8E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757098"/>
    <w:multiLevelType w:val="hybridMultilevel"/>
    <w:tmpl w:val="85DA7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F22997"/>
    <w:multiLevelType w:val="hybridMultilevel"/>
    <w:tmpl w:val="98D6EF9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AA358E"/>
    <w:multiLevelType w:val="hybridMultilevel"/>
    <w:tmpl w:val="848EC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5C5605"/>
    <w:multiLevelType w:val="hybridMultilevel"/>
    <w:tmpl w:val="AE1C0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732921"/>
    <w:multiLevelType w:val="hybridMultilevel"/>
    <w:tmpl w:val="466E6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1616D0"/>
    <w:multiLevelType w:val="hybridMultilevel"/>
    <w:tmpl w:val="CC440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B1D110D"/>
    <w:multiLevelType w:val="multilevel"/>
    <w:tmpl w:val="8E8C0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CB3593E"/>
    <w:multiLevelType w:val="hybridMultilevel"/>
    <w:tmpl w:val="BC2C7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24F06E4"/>
    <w:multiLevelType w:val="multilevel"/>
    <w:tmpl w:val="EEB2C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5982CC5"/>
    <w:multiLevelType w:val="hybridMultilevel"/>
    <w:tmpl w:val="CFC2D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D5E468F"/>
    <w:multiLevelType w:val="hybridMultilevel"/>
    <w:tmpl w:val="57803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4812207"/>
    <w:multiLevelType w:val="hybridMultilevel"/>
    <w:tmpl w:val="3C421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5BF552F"/>
    <w:multiLevelType w:val="hybridMultilevel"/>
    <w:tmpl w:val="6D748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1BB1DA3"/>
    <w:multiLevelType w:val="hybridMultilevel"/>
    <w:tmpl w:val="60BA5E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1FD78B2"/>
    <w:multiLevelType w:val="hybridMultilevel"/>
    <w:tmpl w:val="11B83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58F3D44"/>
    <w:multiLevelType w:val="hybridMultilevel"/>
    <w:tmpl w:val="6544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81E7B9B"/>
    <w:multiLevelType w:val="hybridMultilevel"/>
    <w:tmpl w:val="6F20B0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9"/>
    <w:lvlOverride w:ilvl="0">
      <w:startOverride w:val="101"/>
    </w:lvlOverride>
  </w:num>
  <w:num w:numId="3">
    <w:abstractNumId w:val="9"/>
    <w:lvlOverride w:ilvl="0">
      <w:startOverride w:val="102"/>
    </w:lvlOverride>
  </w:num>
  <w:num w:numId="4">
    <w:abstractNumId w:val="16"/>
  </w:num>
  <w:num w:numId="5">
    <w:abstractNumId w:val="10"/>
  </w:num>
  <w:num w:numId="6">
    <w:abstractNumId w:val="6"/>
  </w:num>
  <w:num w:numId="7">
    <w:abstractNumId w:val="2"/>
  </w:num>
  <w:num w:numId="8">
    <w:abstractNumId w:val="18"/>
  </w:num>
  <w:num w:numId="9">
    <w:abstractNumId w:val="14"/>
  </w:num>
  <w:num w:numId="10">
    <w:abstractNumId w:val="8"/>
  </w:num>
  <w:num w:numId="11">
    <w:abstractNumId w:val="1"/>
  </w:num>
  <w:num w:numId="12">
    <w:abstractNumId w:val="12"/>
  </w:num>
  <w:num w:numId="13">
    <w:abstractNumId w:val="5"/>
  </w:num>
  <w:num w:numId="14">
    <w:abstractNumId w:val="11"/>
    <w:lvlOverride w:ilvl="0">
      <w:startOverride w:val="87"/>
    </w:lvlOverride>
  </w:num>
  <w:num w:numId="15">
    <w:abstractNumId w:val="13"/>
  </w:num>
  <w:num w:numId="16">
    <w:abstractNumId w:val="4"/>
  </w:num>
  <w:num w:numId="17">
    <w:abstractNumId w:val="15"/>
  </w:num>
  <w:num w:numId="18">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19">
    <w:abstractNumId w:val="19"/>
  </w:num>
  <w:num w:numId="20">
    <w:abstractNumId w:val="7"/>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14338"/>
  </w:hdrShapeDefaults>
  <w:footnotePr>
    <w:footnote w:id="-1"/>
    <w:footnote w:id="0"/>
  </w:footnotePr>
  <w:endnotePr>
    <w:endnote w:id="-1"/>
    <w:endnote w:id="0"/>
  </w:endnotePr>
  <w:compat/>
  <w:rsids>
    <w:rsidRoot w:val="00C47F95"/>
    <w:rsid w:val="00003634"/>
    <w:rsid w:val="0000449F"/>
    <w:rsid w:val="000074BA"/>
    <w:rsid w:val="00014969"/>
    <w:rsid w:val="0001649C"/>
    <w:rsid w:val="00022DCE"/>
    <w:rsid w:val="000233B8"/>
    <w:rsid w:val="00023E38"/>
    <w:rsid w:val="00024F1F"/>
    <w:rsid w:val="000278AF"/>
    <w:rsid w:val="00027E40"/>
    <w:rsid w:val="00041E8C"/>
    <w:rsid w:val="000477CC"/>
    <w:rsid w:val="00047A54"/>
    <w:rsid w:val="0005125E"/>
    <w:rsid w:val="000574E8"/>
    <w:rsid w:val="00062620"/>
    <w:rsid w:val="00063CAE"/>
    <w:rsid w:val="00072CB3"/>
    <w:rsid w:val="0007387E"/>
    <w:rsid w:val="00077883"/>
    <w:rsid w:val="000778BF"/>
    <w:rsid w:val="00082379"/>
    <w:rsid w:val="00083C23"/>
    <w:rsid w:val="00086ADA"/>
    <w:rsid w:val="00086FD3"/>
    <w:rsid w:val="000879F5"/>
    <w:rsid w:val="000923BF"/>
    <w:rsid w:val="00092AE6"/>
    <w:rsid w:val="00092BF7"/>
    <w:rsid w:val="00094317"/>
    <w:rsid w:val="000959DD"/>
    <w:rsid w:val="000A6182"/>
    <w:rsid w:val="000B062E"/>
    <w:rsid w:val="000B1633"/>
    <w:rsid w:val="000B71A2"/>
    <w:rsid w:val="000B75EB"/>
    <w:rsid w:val="000C49B5"/>
    <w:rsid w:val="000C539A"/>
    <w:rsid w:val="000C5808"/>
    <w:rsid w:val="000C5F66"/>
    <w:rsid w:val="000C7D46"/>
    <w:rsid w:val="000C7F82"/>
    <w:rsid w:val="000D11B3"/>
    <w:rsid w:val="000D1739"/>
    <w:rsid w:val="000D40FB"/>
    <w:rsid w:val="000D4B46"/>
    <w:rsid w:val="000D5949"/>
    <w:rsid w:val="000D641D"/>
    <w:rsid w:val="000D6FBA"/>
    <w:rsid w:val="000E0000"/>
    <w:rsid w:val="000E77FA"/>
    <w:rsid w:val="000F04AE"/>
    <w:rsid w:val="000F1082"/>
    <w:rsid w:val="000F1AE5"/>
    <w:rsid w:val="000F2F70"/>
    <w:rsid w:val="000F4339"/>
    <w:rsid w:val="000F704B"/>
    <w:rsid w:val="0010189B"/>
    <w:rsid w:val="00101D58"/>
    <w:rsid w:val="00104912"/>
    <w:rsid w:val="00104F56"/>
    <w:rsid w:val="0011769A"/>
    <w:rsid w:val="001200BA"/>
    <w:rsid w:val="00121591"/>
    <w:rsid w:val="001243AA"/>
    <w:rsid w:val="00125660"/>
    <w:rsid w:val="00126F86"/>
    <w:rsid w:val="00127CE0"/>
    <w:rsid w:val="00133996"/>
    <w:rsid w:val="00133FB1"/>
    <w:rsid w:val="00135695"/>
    <w:rsid w:val="001403B8"/>
    <w:rsid w:val="00141ED6"/>
    <w:rsid w:val="00143358"/>
    <w:rsid w:val="001518C5"/>
    <w:rsid w:val="00151B28"/>
    <w:rsid w:val="001559DB"/>
    <w:rsid w:val="0015700D"/>
    <w:rsid w:val="00163A85"/>
    <w:rsid w:val="00175E8B"/>
    <w:rsid w:val="001806F5"/>
    <w:rsid w:val="00181F64"/>
    <w:rsid w:val="00183144"/>
    <w:rsid w:val="00187AFE"/>
    <w:rsid w:val="00191F8B"/>
    <w:rsid w:val="001932F4"/>
    <w:rsid w:val="001949CD"/>
    <w:rsid w:val="00196067"/>
    <w:rsid w:val="00197DA8"/>
    <w:rsid w:val="001A0A9A"/>
    <w:rsid w:val="001A281C"/>
    <w:rsid w:val="001A6A17"/>
    <w:rsid w:val="001B0B5E"/>
    <w:rsid w:val="001B48D6"/>
    <w:rsid w:val="001B49E0"/>
    <w:rsid w:val="001B6403"/>
    <w:rsid w:val="001C083C"/>
    <w:rsid w:val="001C122F"/>
    <w:rsid w:val="001C6883"/>
    <w:rsid w:val="001C79B1"/>
    <w:rsid w:val="001D1478"/>
    <w:rsid w:val="001D4B36"/>
    <w:rsid w:val="001D65A7"/>
    <w:rsid w:val="001E113C"/>
    <w:rsid w:val="001E268D"/>
    <w:rsid w:val="001E2F4C"/>
    <w:rsid w:val="001E3177"/>
    <w:rsid w:val="001E5105"/>
    <w:rsid w:val="001E5ABF"/>
    <w:rsid w:val="001E5AEF"/>
    <w:rsid w:val="001E623A"/>
    <w:rsid w:val="00201E01"/>
    <w:rsid w:val="002033F1"/>
    <w:rsid w:val="00203A23"/>
    <w:rsid w:val="00205800"/>
    <w:rsid w:val="00206CFF"/>
    <w:rsid w:val="00215126"/>
    <w:rsid w:val="00217D1F"/>
    <w:rsid w:val="00220D9D"/>
    <w:rsid w:val="00225EB9"/>
    <w:rsid w:val="0022790A"/>
    <w:rsid w:val="00231DB4"/>
    <w:rsid w:val="002333CD"/>
    <w:rsid w:val="00237841"/>
    <w:rsid w:val="00241CCC"/>
    <w:rsid w:val="00243316"/>
    <w:rsid w:val="00243F48"/>
    <w:rsid w:val="00244524"/>
    <w:rsid w:val="0025311A"/>
    <w:rsid w:val="00253123"/>
    <w:rsid w:val="00274018"/>
    <w:rsid w:val="00295DEA"/>
    <w:rsid w:val="00297AD0"/>
    <w:rsid w:val="002A0222"/>
    <w:rsid w:val="002A1525"/>
    <w:rsid w:val="002A5D5C"/>
    <w:rsid w:val="002A650B"/>
    <w:rsid w:val="002A7A18"/>
    <w:rsid w:val="002A7C63"/>
    <w:rsid w:val="002B0BB7"/>
    <w:rsid w:val="002B522A"/>
    <w:rsid w:val="002B6877"/>
    <w:rsid w:val="002B6B28"/>
    <w:rsid w:val="002B6C54"/>
    <w:rsid w:val="002C3A68"/>
    <w:rsid w:val="002C7C82"/>
    <w:rsid w:val="002D032C"/>
    <w:rsid w:val="002D6BD5"/>
    <w:rsid w:val="002E52C7"/>
    <w:rsid w:val="002E708E"/>
    <w:rsid w:val="002E7337"/>
    <w:rsid w:val="002F0AD0"/>
    <w:rsid w:val="002F3AC6"/>
    <w:rsid w:val="002F418F"/>
    <w:rsid w:val="002F4A21"/>
    <w:rsid w:val="002F4BC1"/>
    <w:rsid w:val="002F4F24"/>
    <w:rsid w:val="00302372"/>
    <w:rsid w:val="003028F8"/>
    <w:rsid w:val="003029B9"/>
    <w:rsid w:val="00311D59"/>
    <w:rsid w:val="00314EDC"/>
    <w:rsid w:val="00315225"/>
    <w:rsid w:val="00324718"/>
    <w:rsid w:val="0033155E"/>
    <w:rsid w:val="00331668"/>
    <w:rsid w:val="00331869"/>
    <w:rsid w:val="0033559B"/>
    <w:rsid w:val="00341C2A"/>
    <w:rsid w:val="003457D7"/>
    <w:rsid w:val="00346174"/>
    <w:rsid w:val="00346991"/>
    <w:rsid w:val="00347A8C"/>
    <w:rsid w:val="00350353"/>
    <w:rsid w:val="00350D36"/>
    <w:rsid w:val="00355A39"/>
    <w:rsid w:val="00356522"/>
    <w:rsid w:val="00356CC9"/>
    <w:rsid w:val="00360681"/>
    <w:rsid w:val="00363453"/>
    <w:rsid w:val="00365D6C"/>
    <w:rsid w:val="00366657"/>
    <w:rsid w:val="00375391"/>
    <w:rsid w:val="00375EE0"/>
    <w:rsid w:val="00376C6D"/>
    <w:rsid w:val="00376EC1"/>
    <w:rsid w:val="003833E0"/>
    <w:rsid w:val="0038452D"/>
    <w:rsid w:val="003849C6"/>
    <w:rsid w:val="00386072"/>
    <w:rsid w:val="00395185"/>
    <w:rsid w:val="00397A0A"/>
    <w:rsid w:val="003A126F"/>
    <w:rsid w:val="003A1793"/>
    <w:rsid w:val="003A23A9"/>
    <w:rsid w:val="003A5FB3"/>
    <w:rsid w:val="003A63D9"/>
    <w:rsid w:val="003B150D"/>
    <w:rsid w:val="003B2D6F"/>
    <w:rsid w:val="003C26C0"/>
    <w:rsid w:val="003C3CD5"/>
    <w:rsid w:val="003C401B"/>
    <w:rsid w:val="003C46C6"/>
    <w:rsid w:val="003C61EE"/>
    <w:rsid w:val="003C6A92"/>
    <w:rsid w:val="003C7202"/>
    <w:rsid w:val="003C74BC"/>
    <w:rsid w:val="003D11B0"/>
    <w:rsid w:val="003D24B8"/>
    <w:rsid w:val="003D2C1B"/>
    <w:rsid w:val="003D724A"/>
    <w:rsid w:val="003F2A7E"/>
    <w:rsid w:val="003F38D6"/>
    <w:rsid w:val="003F4340"/>
    <w:rsid w:val="003F5E6B"/>
    <w:rsid w:val="00400612"/>
    <w:rsid w:val="0040462E"/>
    <w:rsid w:val="00404C21"/>
    <w:rsid w:val="004057E7"/>
    <w:rsid w:val="00415EE1"/>
    <w:rsid w:val="00417090"/>
    <w:rsid w:val="004243AD"/>
    <w:rsid w:val="00425C81"/>
    <w:rsid w:val="004301ED"/>
    <w:rsid w:val="00432AD3"/>
    <w:rsid w:val="0043712A"/>
    <w:rsid w:val="004412E4"/>
    <w:rsid w:val="0044286A"/>
    <w:rsid w:val="00445481"/>
    <w:rsid w:val="004461A6"/>
    <w:rsid w:val="004464DC"/>
    <w:rsid w:val="00447253"/>
    <w:rsid w:val="00453D6E"/>
    <w:rsid w:val="00455A86"/>
    <w:rsid w:val="00455F29"/>
    <w:rsid w:val="004569F1"/>
    <w:rsid w:val="00463677"/>
    <w:rsid w:val="004638BE"/>
    <w:rsid w:val="0046514B"/>
    <w:rsid w:val="00466447"/>
    <w:rsid w:val="00467E89"/>
    <w:rsid w:val="004741DA"/>
    <w:rsid w:val="004745BC"/>
    <w:rsid w:val="004825BC"/>
    <w:rsid w:val="0048341B"/>
    <w:rsid w:val="00485537"/>
    <w:rsid w:val="00485730"/>
    <w:rsid w:val="00487DB2"/>
    <w:rsid w:val="004948D1"/>
    <w:rsid w:val="00497E05"/>
    <w:rsid w:val="004A2ACB"/>
    <w:rsid w:val="004A4299"/>
    <w:rsid w:val="004B189A"/>
    <w:rsid w:val="004B2F34"/>
    <w:rsid w:val="004B737B"/>
    <w:rsid w:val="004D1021"/>
    <w:rsid w:val="004D3168"/>
    <w:rsid w:val="004D4CEF"/>
    <w:rsid w:val="004E2F0D"/>
    <w:rsid w:val="004E4CD1"/>
    <w:rsid w:val="004E6D70"/>
    <w:rsid w:val="004F1F07"/>
    <w:rsid w:val="004F449D"/>
    <w:rsid w:val="004F6267"/>
    <w:rsid w:val="00501A61"/>
    <w:rsid w:val="005022BA"/>
    <w:rsid w:val="00502680"/>
    <w:rsid w:val="005033DC"/>
    <w:rsid w:val="00510EEC"/>
    <w:rsid w:val="005127A3"/>
    <w:rsid w:val="005138E8"/>
    <w:rsid w:val="00515F3D"/>
    <w:rsid w:val="0051727D"/>
    <w:rsid w:val="00520FCF"/>
    <w:rsid w:val="005223E6"/>
    <w:rsid w:val="00523BCA"/>
    <w:rsid w:val="00524EB2"/>
    <w:rsid w:val="005258C3"/>
    <w:rsid w:val="0052710B"/>
    <w:rsid w:val="00530EC4"/>
    <w:rsid w:val="00532831"/>
    <w:rsid w:val="00532A31"/>
    <w:rsid w:val="00534B94"/>
    <w:rsid w:val="0054094C"/>
    <w:rsid w:val="00541F99"/>
    <w:rsid w:val="00545062"/>
    <w:rsid w:val="00546407"/>
    <w:rsid w:val="00547B1C"/>
    <w:rsid w:val="00550ACC"/>
    <w:rsid w:val="0055135F"/>
    <w:rsid w:val="00552011"/>
    <w:rsid w:val="00560636"/>
    <w:rsid w:val="00566FDB"/>
    <w:rsid w:val="005736DA"/>
    <w:rsid w:val="00576406"/>
    <w:rsid w:val="00576B85"/>
    <w:rsid w:val="005827D9"/>
    <w:rsid w:val="00583099"/>
    <w:rsid w:val="00584DFE"/>
    <w:rsid w:val="0058741A"/>
    <w:rsid w:val="00587EE1"/>
    <w:rsid w:val="0059276D"/>
    <w:rsid w:val="00596E94"/>
    <w:rsid w:val="005A32B3"/>
    <w:rsid w:val="005A555B"/>
    <w:rsid w:val="005A73F0"/>
    <w:rsid w:val="005B13DF"/>
    <w:rsid w:val="005B61BD"/>
    <w:rsid w:val="005C24A1"/>
    <w:rsid w:val="005C256C"/>
    <w:rsid w:val="005C6E45"/>
    <w:rsid w:val="005C78C5"/>
    <w:rsid w:val="005D149A"/>
    <w:rsid w:val="005D4068"/>
    <w:rsid w:val="005D41BF"/>
    <w:rsid w:val="005E126E"/>
    <w:rsid w:val="005E2427"/>
    <w:rsid w:val="005E24B4"/>
    <w:rsid w:val="005E3032"/>
    <w:rsid w:val="005E7A94"/>
    <w:rsid w:val="006015BA"/>
    <w:rsid w:val="006032EF"/>
    <w:rsid w:val="0061187D"/>
    <w:rsid w:val="00613D8E"/>
    <w:rsid w:val="00621716"/>
    <w:rsid w:val="00621CFC"/>
    <w:rsid w:val="0062539F"/>
    <w:rsid w:val="0062734B"/>
    <w:rsid w:val="0062767D"/>
    <w:rsid w:val="006316AF"/>
    <w:rsid w:val="00632BB3"/>
    <w:rsid w:val="0063305E"/>
    <w:rsid w:val="006462D5"/>
    <w:rsid w:val="00647583"/>
    <w:rsid w:val="00647A57"/>
    <w:rsid w:val="00650DA3"/>
    <w:rsid w:val="006535C9"/>
    <w:rsid w:val="00654ECE"/>
    <w:rsid w:val="00656970"/>
    <w:rsid w:val="00665527"/>
    <w:rsid w:val="006664EB"/>
    <w:rsid w:val="00667EB4"/>
    <w:rsid w:val="00667F22"/>
    <w:rsid w:val="006701BE"/>
    <w:rsid w:val="00671980"/>
    <w:rsid w:val="0067380E"/>
    <w:rsid w:val="00673D23"/>
    <w:rsid w:val="00681ADC"/>
    <w:rsid w:val="00682DB4"/>
    <w:rsid w:val="006865E9"/>
    <w:rsid w:val="0069152A"/>
    <w:rsid w:val="00692F2E"/>
    <w:rsid w:val="006932C8"/>
    <w:rsid w:val="00694C8D"/>
    <w:rsid w:val="006951DE"/>
    <w:rsid w:val="006A000D"/>
    <w:rsid w:val="006A5C59"/>
    <w:rsid w:val="006B165C"/>
    <w:rsid w:val="006B25DB"/>
    <w:rsid w:val="006B3AFF"/>
    <w:rsid w:val="006B67D0"/>
    <w:rsid w:val="006C3535"/>
    <w:rsid w:val="006D05E3"/>
    <w:rsid w:val="006D0EAF"/>
    <w:rsid w:val="006D3CD9"/>
    <w:rsid w:val="006D5C90"/>
    <w:rsid w:val="006D62FE"/>
    <w:rsid w:val="006E4582"/>
    <w:rsid w:val="006F3BF8"/>
    <w:rsid w:val="006F52EC"/>
    <w:rsid w:val="006F536B"/>
    <w:rsid w:val="00701456"/>
    <w:rsid w:val="0070236A"/>
    <w:rsid w:val="007046F7"/>
    <w:rsid w:val="007061A3"/>
    <w:rsid w:val="0070676C"/>
    <w:rsid w:val="00710293"/>
    <w:rsid w:val="00712BE6"/>
    <w:rsid w:val="0071321A"/>
    <w:rsid w:val="007178DB"/>
    <w:rsid w:val="00726315"/>
    <w:rsid w:val="00726F56"/>
    <w:rsid w:val="00726F6F"/>
    <w:rsid w:val="00732CBE"/>
    <w:rsid w:val="0073530B"/>
    <w:rsid w:val="00737EAD"/>
    <w:rsid w:val="0074522F"/>
    <w:rsid w:val="0074598E"/>
    <w:rsid w:val="007560E7"/>
    <w:rsid w:val="007625BE"/>
    <w:rsid w:val="00762B07"/>
    <w:rsid w:val="00763F2D"/>
    <w:rsid w:val="00765BC8"/>
    <w:rsid w:val="0076723B"/>
    <w:rsid w:val="007737D9"/>
    <w:rsid w:val="007843E9"/>
    <w:rsid w:val="00784C9B"/>
    <w:rsid w:val="007853DD"/>
    <w:rsid w:val="00785A90"/>
    <w:rsid w:val="007864CD"/>
    <w:rsid w:val="0078677A"/>
    <w:rsid w:val="007867F6"/>
    <w:rsid w:val="00793506"/>
    <w:rsid w:val="00793BF1"/>
    <w:rsid w:val="00796DD8"/>
    <w:rsid w:val="007975DD"/>
    <w:rsid w:val="007B26DA"/>
    <w:rsid w:val="007B76B9"/>
    <w:rsid w:val="007C1AE7"/>
    <w:rsid w:val="007C4A15"/>
    <w:rsid w:val="007C784E"/>
    <w:rsid w:val="007D0E4C"/>
    <w:rsid w:val="007D3512"/>
    <w:rsid w:val="007D35B9"/>
    <w:rsid w:val="007D406D"/>
    <w:rsid w:val="007D5BF3"/>
    <w:rsid w:val="007D7718"/>
    <w:rsid w:val="007E0BCC"/>
    <w:rsid w:val="007E3E83"/>
    <w:rsid w:val="007E4776"/>
    <w:rsid w:val="007E5B71"/>
    <w:rsid w:val="007E6344"/>
    <w:rsid w:val="007F29ED"/>
    <w:rsid w:val="007F3DD2"/>
    <w:rsid w:val="007F7A3F"/>
    <w:rsid w:val="008034CA"/>
    <w:rsid w:val="00803512"/>
    <w:rsid w:val="00804A5F"/>
    <w:rsid w:val="00812A9F"/>
    <w:rsid w:val="00813006"/>
    <w:rsid w:val="00815D6E"/>
    <w:rsid w:val="00822B26"/>
    <w:rsid w:val="00822DC3"/>
    <w:rsid w:val="00825336"/>
    <w:rsid w:val="00833AA7"/>
    <w:rsid w:val="00837B93"/>
    <w:rsid w:val="0084292B"/>
    <w:rsid w:val="008433EA"/>
    <w:rsid w:val="00843790"/>
    <w:rsid w:val="00843F44"/>
    <w:rsid w:val="00845B9E"/>
    <w:rsid w:val="00846A7E"/>
    <w:rsid w:val="008475A1"/>
    <w:rsid w:val="008505E1"/>
    <w:rsid w:val="00854B7C"/>
    <w:rsid w:val="00856184"/>
    <w:rsid w:val="008630AA"/>
    <w:rsid w:val="00863F8E"/>
    <w:rsid w:val="00865763"/>
    <w:rsid w:val="008675CC"/>
    <w:rsid w:val="008705EB"/>
    <w:rsid w:val="00870B60"/>
    <w:rsid w:val="008713B5"/>
    <w:rsid w:val="008736E3"/>
    <w:rsid w:val="00873743"/>
    <w:rsid w:val="00876AEC"/>
    <w:rsid w:val="00883906"/>
    <w:rsid w:val="008864DF"/>
    <w:rsid w:val="00886C07"/>
    <w:rsid w:val="008913E8"/>
    <w:rsid w:val="00891D51"/>
    <w:rsid w:val="008920E0"/>
    <w:rsid w:val="00893098"/>
    <w:rsid w:val="00894B31"/>
    <w:rsid w:val="008957EC"/>
    <w:rsid w:val="00895F6E"/>
    <w:rsid w:val="008965E8"/>
    <w:rsid w:val="008A24CC"/>
    <w:rsid w:val="008A4602"/>
    <w:rsid w:val="008A7926"/>
    <w:rsid w:val="008B09EE"/>
    <w:rsid w:val="008B1B79"/>
    <w:rsid w:val="008B1D4E"/>
    <w:rsid w:val="008C0064"/>
    <w:rsid w:val="008C0B9C"/>
    <w:rsid w:val="008C32C7"/>
    <w:rsid w:val="008C345E"/>
    <w:rsid w:val="008C7C13"/>
    <w:rsid w:val="008D35C0"/>
    <w:rsid w:val="008D4679"/>
    <w:rsid w:val="008D6254"/>
    <w:rsid w:val="008D6FAB"/>
    <w:rsid w:val="008E0D0A"/>
    <w:rsid w:val="008E1702"/>
    <w:rsid w:val="008F1891"/>
    <w:rsid w:val="008F3152"/>
    <w:rsid w:val="008F36E4"/>
    <w:rsid w:val="008F6737"/>
    <w:rsid w:val="00903A48"/>
    <w:rsid w:val="00904AA2"/>
    <w:rsid w:val="00906DAF"/>
    <w:rsid w:val="0091276F"/>
    <w:rsid w:val="00922A87"/>
    <w:rsid w:val="009262E2"/>
    <w:rsid w:val="00930868"/>
    <w:rsid w:val="00932430"/>
    <w:rsid w:val="00932C19"/>
    <w:rsid w:val="00932E40"/>
    <w:rsid w:val="00933FB2"/>
    <w:rsid w:val="009343B1"/>
    <w:rsid w:val="009374DD"/>
    <w:rsid w:val="00942317"/>
    <w:rsid w:val="00946D4E"/>
    <w:rsid w:val="00947B42"/>
    <w:rsid w:val="00960CCF"/>
    <w:rsid w:val="009653DC"/>
    <w:rsid w:val="009666EF"/>
    <w:rsid w:val="0096751B"/>
    <w:rsid w:val="0097335C"/>
    <w:rsid w:val="009815A6"/>
    <w:rsid w:val="00981EC9"/>
    <w:rsid w:val="009822B4"/>
    <w:rsid w:val="0098273E"/>
    <w:rsid w:val="00983A2E"/>
    <w:rsid w:val="0098407F"/>
    <w:rsid w:val="00990791"/>
    <w:rsid w:val="009919BB"/>
    <w:rsid w:val="00991C08"/>
    <w:rsid w:val="0099297B"/>
    <w:rsid w:val="00993AAD"/>
    <w:rsid w:val="00993FAA"/>
    <w:rsid w:val="00995E54"/>
    <w:rsid w:val="009A043A"/>
    <w:rsid w:val="009A25E1"/>
    <w:rsid w:val="009A6AF5"/>
    <w:rsid w:val="009B2D62"/>
    <w:rsid w:val="009B4F55"/>
    <w:rsid w:val="009B5F65"/>
    <w:rsid w:val="009B745C"/>
    <w:rsid w:val="009C38BF"/>
    <w:rsid w:val="009C5F1F"/>
    <w:rsid w:val="009C678C"/>
    <w:rsid w:val="009C6849"/>
    <w:rsid w:val="009D000D"/>
    <w:rsid w:val="009D22F9"/>
    <w:rsid w:val="009D2B15"/>
    <w:rsid w:val="009D38D6"/>
    <w:rsid w:val="009D40BF"/>
    <w:rsid w:val="009E0DD5"/>
    <w:rsid w:val="009E102B"/>
    <w:rsid w:val="009E31BB"/>
    <w:rsid w:val="009E4114"/>
    <w:rsid w:val="009E7835"/>
    <w:rsid w:val="009F3F7E"/>
    <w:rsid w:val="009F6192"/>
    <w:rsid w:val="009F7550"/>
    <w:rsid w:val="00A01C57"/>
    <w:rsid w:val="00A033A4"/>
    <w:rsid w:val="00A066DC"/>
    <w:rsid w:val="00A1024E"/>
    <w:rsid w:val="00A138B0"/>
    <w:rsid w:val="00A1437C"/>
    <w:rsid w:val="00A15151"/>
    <w:rsid w:val="00A2028A"/>
    <w:rsid w:val="00A2038C"/>
    <w:rsid w:val="00A20FDB"/>
    <w:rsid w:val="00A21DDD"/>
    <w:rsid w:val="00A22EB1"/>
    <w:rsid w:val="00A23E90"/>
    <w:rsid w:val="00A33199"/>
    <w:rsid w:val="00A33F36"/>
    <w:rsid w:val="00A37C74"/>
    <w:rsid w:val="00A53281"/>
    <w:rsid w:val="00A54188"/>
    <w:rsid w:val="00A55F7F"/>
    <w:rsid w:val="00A562F1"/>
    <w:rsid w:val="00A57BAB"/>
    <w:rsid w:val="00A6749E"/>
    <w:rsid w:val="00A704B5"/>
    <w:rsid w:val="00A71B9E"/>
    <w:rsid w:val="00A7278E"/>
    <w:rsid w:val="00A733A5"/>
    <w:rsid w:val="00A80366"/>
    <w:rsid w:val="00A8112A"/>
    <w:rsid w:val="00A8415A"/>
    <w:rsid w:val="00A84375"/>
    <w:rsid w:val="00A84960"/>
    <w:rsid w:val="00A865BD"/>
    <w:rsid w:val="00A903C4"/>
    <w:rsid w:val="00A94A0A"/>
    <w:rsid w:val="00AA228C"/>
    <w:rsid w:val="00AA2F8D"/>
    <w:rsid w:val="00AA37BB"/>
    <w:rsid w:val="00AB3429"/>
    <w:rsid w:val="00AB4FE8"/>
    <w:rsid w:val="00AC25DC"/>
    <w:rsid w:val="00AC364B"/>
    <w:rsid w:val="00AC4ABE"/>
    <w:rsid w:val="00AD0961"/>
    <w:rsid w:val="00AD1A55"/>
    <w:rsid w:val="00AD1B7D"/>
    <w:rsid w:val="00AD5962"/>
    <w:rsid w:val="00AD63DD"/>
    <w:rsid w:val="00AD74C9"/>
    <w:rsid w:val="00AD7521"/>
    <w:rsid w:val="00AE1232"/>
    <w:rsid w:val="00AE175E"/>
    <w:rsid w:val="00AE2228"/>
    <w:rsid w:val="00AE3D27"/>
    <w:rsid w:val="00AE5563"/>
    <w:rsid w:val="00AF24C8"/>
    <w:rsid w:val="00B01C9F"/>
    <w:rsid w:val="00B025FD"/>
    <w:rsid w:val="00B119D7"/>
    <w:rsid w:val="00B121AD"/>
    <w:rsid w:val="00B13F00"/>
    <w:rsid w:val="00B16233"/>
    <w:rsid w:val="00B17CC7"/>
    <w:rsid w:val="00B21F96"/>
    <w:rsid w:val="00B223A4"/>
    <w:rsid w:val="00B263C5"/>
    <w:rsid w:val="00B2656A"/>
    <w:rsid w:val="00B26A89"/>
    <w:rsid w:val="00B26E62"/>
    <w:rsid w:val="00B3141A"/>
    <w:rsid w:val="00B317C0"/>
    <w:rsid w:val="00B36761"/>
    <w:rsid w:val="00B36A7D"/>
    <w:rsid w:val="00B4172B"/>
    <w:rsid w:val="00B439D8"/>
    <w:rsid w:val="00B45CC9"/>
    <w:rsid w:val="00B52BD7"/>
    <w:rsid w:val="00B531B5"/>
    <w:rsid w:val="00B53CB7"/>
    <w:rsid w:val="00B543A3"/>
    <w:rsid w:val="00B55CA9"/>
    <w:rsid w:val="00B57B4A"/>
    <w:rsid w:val="00B602C9"/>
    <w:rsid w:val="00B67DC9"/>
    <w:rsid w:val="00B739CA"/>
    <w:rsid w:val="00B74844"/>
    <w:rsid w:val="00B75439"/>
    <w:rsid w:val="00B76C56"/>
    <w:rsid w:val="00B779D3"/>
    <w:rsid w:val="00B77AAD"/>
    <w:rsid w:val="00B82720"/>
    <w:rsid w:val="00B82DC3"/>
    <w:rsid w:val="00B83CC3"/>
    <w:rsid w:val="00B84D11"/>
    <w:rsid w:val="00B873EE"/>
    <w:rsid w:val="00B8742D"/>
    <w:rsid w:val="00B87D70"/>
    <w:rsid w:val="00B94609"/>
    <w:rsid w:val="00B95E7C"/>
    <w:rsid w:val="00B96EEB"/>
    <w:rsid w:val="00BA0E21"/>
    <w:rsid w:val="00BA1EFD"/>
    <w:rsid w:val="00BB01EA"/>
    <w:rsid w:val="00BB1679"/>
    <w:rsid w:val="00BB18ED"/>
    <w:rsid w:val="00BB3886"/>
    <w:rsid w:val="00BB40E9"/>
    <w:rsid w:val="00BB651A"/>
    <w:rsid w:val="00BC0876"/>
    <w:rsid w:val="00BC1121"/>
    <w:rsid w:val="00BC2260"/>
    <w:rsid w:val="00BC3295"/>
    <w:rsid w:val="00BD1223"/>
    <w:rsid w:val="00BD2CFC"/>
    <w:rsid w:val="00BD5F0A"/>
    <w:rsid w:val="00BD5F2B"/>
    <w:rsid w:val="00BD7781"/>
    <w:rsid w:val="00BD796E"/>
    <w:rsid w:val="00BE3F76"/>
    <w:rsid w:val="00BE54B2"/>
    <w:rsid w:val="00BE78BD"/>
    <w:rsid w:val="00BF09B3"/>
    <w:rsid w:val="00BF38A6"/>
    <w:rsid w:val="00BF3F53"/>
    <w:rsid w:val="00C02C9C"/>
    <w:rsid w:val="00C02ED4"/>
    <w:rsid w:val="00C05CC0"/>
    <w:rsid w:val="00C1030D"/>
    <w:rsid w:val="00C1115C"/>
    <w:rsid w:val="00C1213B"/>
    <w:rsid w:val="00C1306D"/>
    <w:rsid w:val="00C13CFA"/>
    <w:rsid w:val="00C14E08"/>
    <w:rsid w:val="00C15957"/>
    <w:rsid w:val="00C22C50"/>
    <w:rsid w:val="00C22F1B"/>
    <w:rsid w:val="00C231AD"/>
    <w:rsid w:val="00C322C9"/>
    <w:rsid w:val="00C3460F"/>
    <w:rsid w:val="00C47F95"/>
    <w:rsid w:val="00C47FBF"/>
    <w:rsid w:val="00C512AA"/>
    <w:rsid w:val="00C51D45"/>
    <w:rsid w:val="00C529A7"/>
    <w:rsid w:val="00C5366F"/>
    <w:rsid w:val="00C548CE"/>
    <w:rsid w:val="00C626E6"/>
    <w:rsid w:val="00C6501E"/>
    <w:rsid w:val="00C661F8"/>
    <w:rsid w:val="00C66E34"/>
    <w:rsid w:val="00C8611B"/>
    <w:rsid w:val="00C86BD3"/>
    <w:rsid w:val="00C911F6"/>
    <w:rsid w:val="00C92E46"/>
    <w:rsid w:val="00C92F03"/>
    <w:rsid w:val="00C93916"/>
    <w:rsid w:val="00C93BCE"/>
    <w:rsid w:val="00C96B18"/>
    <w:rsid w:val="00CA049E"/>
    <w:rsid w:val="00CA7A44"/>
    <w:rsid w:val="00CB43A9"/>
    <w:rsid w:val="00CC575B"/>
    <w:rsid w:val="00CD6D24"/>
    <w:rsid w:val="00CE062B"/>
    <w:rsid w:val="00CE1717"/>
    <w:rsid w:val="00CE3F20"/>
    <w:rsid w:val="00CE62E0"/>
    <w:rsid w:val="00CE7E27"/>
    <w:rsid w:val="00CE7FFE"/>
    <w:rsid w:val="00CF01A2"/>
    <w:rsid w:val="00CF1179"/>
    <w:rsid w:val="00CF303A"/>
    <w:rsid w:val="00CF423D"/>
    <w:rsid w:val="00CF55BE"/>
    <w:rsid w:val="00D0480F"/>
    <w:rsid w:val="00D06109"/>
    <w:rsid w:val="00D0634A"/>
    <w:rsid w:val="00D101BD"/>
    <w:rsid w:val="00D14BB4"/>
    <w:rsid w:val="00D20081"/>
    <w:rsid w:val="00D20A9A"/>
    <w:rsid w:val="00D20B80"/>
    <w:rsid w:val="00D21A43"/>
    <w:rsid w:val="00D25E11"/>
    <w:rsid w:val="00D27A91"/>
    <w:rsid w:val="00D33CDB"/>
    <w:rsid w:val="00D33F88"/>
    <w:rsid w:val="00D352FB"/>
    <w:rsid w:val="00D4499B"/>
    <w:rsid w:val="00D4555B"/>
    <w:rsid w:val="00D45C86"/>
    <w:rsid w:val="00D50DEB"/>
    <w:rsid w:val="00D56DC9"/>
    <w:rsid w:val="00D572B0"/>
    <w:rsid w:val="00D61760"/>
    <w:rsid w:val="00D62639"/>
    <w:rsid w:val="00D62EE6"/>
    <w:rsid w:val="00D633E3"/>
    <w:rsid w:val="00D652F2"/>
    <w:rsid w:val="00D66757"/>
    <w:rsid w:val="00D76206"/>
    <w:rsid w:val="00D762ED"/>
    <w:rsid w:val="00D84984"/>
    <w:rsid w:val="00D93050"/>
    <w:rsid w:val="00D962AA"/>
    <w:rsid w:val="00DA0E85"/>
    <w:rsid w:val="00DA284C"/>
    <w:rsid w:val="00DA5E78"/>
    <w:rsid w:val="00DA7CFA"/>
    <w:rsid w:val="00DB202C"/>
    <w:rsid w:val="00DB3745"/>
    <w:rsid w:val="00DB4250"/>
    <w:rsid w:val="00DB4883"/>
    <w:rsid w:val="00DB5778"/>
    <w:rsid w:val="00DB6114"/>
    <w:rsid w:val="00DD073D"/>
    <w:rsid w:val="00DD4310"/>
    <w:rsid w:val="00DD6AA4"/>
    <w:rsid w:val="00DE0225"/>
    <w:rsid w:val="00DE039C"/>
    <w:rsid w:val="00DE0F51"/>
    <w:rsid w:val="00DE2915"/>
    <w:rsid w:val="00DE2FC8"/>
    <w:rsid w:val="00DF3F2B"/>
    <w:rsid w:val="00DF69CC"/>
    <w:rsid w:val="00DF6B49"/>
    <w:rsid w:val="00DF7BAD"/>
    <w:rsid w:val="00E01157"/>
    <w:rsid w:val="00E0124F"/>
    <w:rsid w:val="00E04D81"/>
    <w:rsid w:val="00E055EA"/>
    <w:rsid w:val="00E05923"/>
    <w:rsid w:val="00E128DE"/>
    <w:rsid w:val="00E15CD7"/>
    <w:rsid w:val="00E23B72"/>
    <w:rsid w:val="00E25E38"/>
    <w:rsid w:val="00E260DE"/>
    <w:rsid w:val="00E306D7"/>
    <w:rsid w:val="00E30AFC"/>
    <w:rsid w:val="00E314C7"/>
    <w:rsid w:val="00E32436"/>
    <w:rsid w:val="00E329CC"/>
    <w:rsid w:val="00E40D27"/>
    <w:rsid w:val="00E42177"/>
    <w:rsid w:val="00E44147"/>
    <w:rsid w:val="00E5098A"/>
    <w:rsid w:val="00E527B5"/>
    <w:rsid w:val="00E5736C"/>
    <w:rsid w:val="00E611CD"/>
    <w:rsid w:val="00E6147C"/>
    <w:rsid w:val="00E7202E"/>
    <w:rsid w:val="00E73C05"/>
    <w:rsid w:val="00E73C53"/>
    <w:rsid w:val="00E76047"/>
    <w:rsid w:val="00E7631A"/>
    <w:rsid w:val="00E93049"/>
    <w:rsid w:val="00E9757A"/>
    <w:rsid w:val="00E97672"/>
    <w:rsid w:val="00EA0DD4"/>
    <w:rsid w:val="00EA1922"/>
    <w:rsid w:val="00EA2D21"/>
    <w:rsid w:val="00EA34B4"/>
    <w:rsid w:val="00EA5DD9"/>
    <w:rsid w:val="00EB272D"/>
    <w:rsid w:val="00EB2D73"/>
    <w:rsid w:val="00EB4EE3"/>
    <w:rsid w:val="00EB5C87"/>
    <w:rsid w:val="00EC4A8B"/>
    <w:rsid w:val="00ED0ADE"/>
    <w:rsid w:val="00ED2E1E"/>
    <w:rsid w:val="00EE11D9"/>
    <w:rsid w:val="00EE3140"/>
    <w:rsid w:val="00EE4839"/>
    <w:rsid w:val="00EE6E3B"/>
    <w:rsid w:val="00EE7871"/>
    <w:rsid w:val="00EF194C"/>
    <w:rsid w:val="00EF2036"/>
    <w:rsid w:val="00EF3E27"/>
    <w:rsid w:val="00EF4EB5"/>
    <w:rsid w:val="00EF73BE"/>
    <w:rsid w:val="00F0120A"/>
    <w:rsid w:val="00F04B0B"/>
    <w:rsid w:val="00F07DB4"/>
    <w:rsid w:val="00F224C6"/>
    <w:rsid w:val="00F2591F"/>
    <w:rsid w:val="00F36FBC"/>
    <w:rsid w:val="00F37776"/>
    <w:rsid w:val="00F41278"/>
    <w:rsid w:val="00F4242B"/>
    <w:rsid w:val="00F42653"/>
    <w:rsid w:val="00F534D5"/>
    <w:rsid w:val="00F53C23"/>
    <w:rsid w:val="00F56D9D"/>
    <w:rsid w:val="00F63A94"/>
    <w:rsid w:val="00F63AB2"/>
    <w:rsid w:val="00F7300A"/>
    <w:rsid w:val="00F767AC"/>
    <w:rsid w:val="00F77168"/>
    <w:rsid w:val="00F77198"/>
    <w:rsid w:val="00F77DDD"/>
    <w:rsid w:val="00F83039"/>
    <w:rsid w:val="00F87158"/>
    <w:rsid w:val="00F91EA6"/>
    <w:rsid w:val="00F93B35"/>
    <w:rsid w:val="00F942F7"/>
    <w:rsid w:val="00F94952"/>
    <w:rsid w:val="00FA2BBC"/>
    <w:rsid w:val="00FA5D3B"/>
    <w:rsid w:val="00FB018C"/>
    <w:rsid w:val="00FB0C85"/>
    <w:rsid w:val="00FB1AAF"/>
    <w:rsid w:val="00FB2C33"/>
    <w:rsid w:val="00FB417D"/>
    <w:rsid w:val="00FB43FB"/>
    <w:rsid w:val="00FB5736"/>
    <w:rsid w:val="00FC2247"/>
    <w:rsid w:val="00FC317B"/>
    <w:rsid w:val="00FD324D"/>
    <w:rsid w:val="00FD4705"/>
    <w:rsid w:val="00FD5D96"/>
    <w:rsid w:val="00FE3D37"/>
    <w:rsid w:val="00FE719B"/>
    <w:rsid w:val="00FE7775"/>
    <w:rsid w:val="00FF0371"/>
    <w:rsid w:val="00FF1021"/>
    <w:rsid w:val="00FF1197"/>
    <w:rsid w:val="00FF3FC4"/>
    <w:rsid w:val="00FF4F0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4C7"/>
  </w:style>
  <w:style w:type="paragraph" w:styleId="Heading1">
    <w:name w:val="heading 1"/>
    <w:basedOn w:val="Normal"/>
    <w:link w:val="Heading1Char"/>
    <w:uiPriority w:val="9"/>
    <w:qFormat/>
    <w:rsid w:val="00E509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F77168"/>
    <w:pPr>
      <w:keepNext/>
      <w:keepLines/>
      <w:spacing w:before="200" w:after="0"/>
      <w:outlineLvl w:val="1"/>
    </w:pPr>
    <w:rPr>
      <w:rFonts w:asciiTheme="majorHAnsi" w:eastAsiaTheme="majorEastAsia" w:hAnsiTheme="majorHAnsi" w:cstheme="majorBidi"/>
      <w:b/>
      <w:bCs/>
      <w:color w:val="A9A57C" w:themeColor="accent1"/>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098A"/>
    <w:rPr>
      <w:rFonts w:ascii="Times New Roman" w:eastAsia="Times New Roman" w:hAnsi="Times New Roman" w:cs="Times New Roman"/>
      <w:b/>
      <w:bCs/>
      <w:kern w:val="36"/>
      <w:sz w:val="48"/>
      <w:szCs w:val="48"/>
      <w:lang w:eastAsia="en-GB"/>
    </w:rPr>
  </w:style>
  <w:style w:type="paragraph" w:styleId="FootnoteText">
    <w:name w:val="footnote text"/>
    <w:basedOn w:val="Normal"/>
    <w:link w:val="FootnoteTextChar"/>
    <w:unhideWhenUsed/>
    <w:rsid w:val="00E5098A"/>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rsid w:val="00E5098A"/>
    <w:rPr>
      <w:rFonts w:ascii="Arial" w:eastAsia="Times New Roman" w:hAnsi="Arial" w:cs="Times New Roman"/>
      <w:sz w:val="20"/>
      <w:szCs w:val="20"/>
    </w:rPr>
  </w:style>
  <w:style w:type="character" w:styleId="FootnoteReference">
    <w:name w:val="footnote reference"/>
    <w:basedOn w:val="DefaultParagraphFont"/>
    <w:uiPriority w:val="99"/>
    <w:unhideWhenUsed/>
    <w:rsid w:val="00E5098A"/>
    <w:rPr>
      <w:vertAlign w:val="superscript"/>
    </w:rPr>
  </w:style>
  <w:style w:type="character" w:customStyle="1" w:styleId="apple-converted-space">
    <w:name w:val="apple-converted-space"/>
    <w:basedOn w:val="DefaultParagraphFont"/>
    <w:rsid w:val="00E5098A"/>
  </w:style>
  <w:style w:type="character" w:styleId="Emphasis">
    <w:name w:val="Emphasis"/>
    <w:basedOn w:val="DefaultParagraphFont"/>
    <w:uiPriority w:val="20"/>
    <w:qFormat/>
    <w:rsid w:val="00E5098A"/>
    <w:rPr>
      <w:i/>
      <w:iCs/>
    </w:rPr>
  </w:style>
  <w:style w:type="character" w:styleId="Strong">
    <w:name w:val="Strong"/>
    <w:basedOn w:val="DefaultParagraphFont"/>
    <w:uiPriority w:val="22"/>
    <w:qFormat/>
    <w:rsid w:val="00E5098A"/>
    <w:rPr>
      <w:b/>
      <w:bCs/>
    </w:rPr>
  </w:style>
  <w:style w:type="character" w:customStyle="1" w:styleId="ref-journal">
    <w:name w:val="ref-journal"/>
    <w:basedOn w:val="DefaultParagraphFont"/>
    <w:rsid w:val="00E5098A"/>
  </w:style>
  <w:style w:type="character" w:customStyle="1" w:styleId="ref-vol">
    <w:name w:val="ref-vol"/>
    <w:basedOn w:val="DefaultParagraphFont"/>
    <w:rsid w:val="00E5098A"/>
  </w:style>
  <w:style w:type="character" w:customStyle="1" w:styleId="cit-pub-date">
    <w:name w:val="cit-pub-date"/>
    <w:basedOn w:val="DefaultParagraphFont"/>
    <w:rsid w:val="00E5098A"/>
  </w:style>
  <w:style w:type="character" w:customStyle="1" w:styleId="cit-source">
    <w:name w:val="cit-source"/>
    <w:basedOn w:val="DefaultParagraphFont"/>
    <w:rsid w:val="00E5098A"/>
  </w:style>
  <w:style w:type="character" w:customStyle="1" w:styleId="cit-fpage">
    <w:name w:val="cit-fpage"/>
    <w:basedOn w:val="DefaultParagraphFont"/>
    <w:rsid w:val="00E5098A"/>
  </w:style>
  <w:style w:type="character" w:customStyle="1" w:styleId="cit-vol">
    <w:name w:val="cit-vol"/>
    <w:basedOn w:val="DefaultParagraphFont"/>
    <w:rsid w:val="00E5098A"/>
  </w:style>
  <w:style w:type="paragraph" w:styleId="BalloonText">
    <w:name w:val="Balloon Text"/>
    <w:basedOn w:val="Normal"/>
    <w:link w:val="BalloonTextChar"/>
    <w:uiPriority w:val="99"/>
    <w:semiHidden/>
    <w:unhideWhenUsed/>
    <w:rsid w:val="00E509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98A"/>
    <w:rPr>
      <w:rFonts w:ascii="Tahoma" w:hAnsi="Tahoma" w:cs="Tahoma"/>
      <w:sz w:val="16"/>
      <w:szCs w:val="16"/>
    </w:rPr>
  </w:style>
  <w:style w:type="paragraph" w:styleId="Header">
    <w:name w:val="header"/>
    <w:basedOn w:val="Normal"/>
    <w:link w:val="HeaderChar"/>
    <w:uiPriority w:val="99"/>
    <w:semiHidden/>
    <w:unhideWhenUsed/>
    <w:rsid w:val="00534B9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34B94"/>
  </w:style>
  <w:style w:type="paragraph" w:styleId="Footer">
    <w:name w:val="footer"/>
    <w:basedOn w:val="Normal"/>
    <w:link w:val="FooterChar"/>
    <w:uiPriority w:val="99"/>
    <w:unhideWhenUsed/>
    <w:rsid w:val="00534B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B94"/>
  </w:style>
  <w:style w:type="paragraph" w:styleId="ListParagraph">
    <w:name w:val="List Paragraph"/>
    <w:basedOn w:val="Normal"/>
    <w:uiPriority w:val="34"/>
    <w:qFormat/>
    <w:rsid w:val="00363453"/>
    <w:pPr>
      <w:ind w:left="720"/>
      <w:contextualSpacing/>
    </w:pPr>
  </w:style>
  <w:style w:type="character" w:styleId="Hyperlink">
    <w:name w:val="Hyperlink"/>
    <w:basedOn w:val="DefaultParagraphFont"/>
    <w:uiPriority w:val="99"/>
    <w:unhideWhenUsed/>
    <w:rsid w:val="00B75439"/>
    <w:rPr>
      <w:color w:val="D25814" w:themeColor="hyperlink"/>
      <w:u w:val="single"/>
    </w:rPr>
  </w:style>
  <w:style w:type="character" w:customStyle="1" w:styleId="st1">
    <w:name w:val="st1"/>
    <w:basedOn w:val="DefaultParagraphFont"/>
    <w:rsid w:val="0033559B"/>
  </w:style>
  <w:style w:type="paragraph" w:customStyle="1" w:styleId="Default">
    <w:name w:val="Default"/>
    <w:rsid w:val="00F94952"/>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7D35B9"/>
    <w:rPr>
      <w:sz w:val="16"/>
      <w:szCs w:val="16"/>
    </w:rPr>
  </w:style>
  <w:style w:type="paragraph" w:styleId="CommentText">
    <w:name w:val="annotation text"/>
    <w:basedOn w:val="Normal"/>
    <w:link w:val="CommentTextChar"/>
    <w:uiPriority w:val="99"/>
    <w:unhideWhenUsed/>
    <w:rsid w:val="007D35B9"/>
    <w:pPr>
      <w:spacing w:line="240" w:lineRule="auto"/>
    </w:pPr>
    <w:rPr>
      <w:sz w:val="20"/>
      <w:szCs w:val="20"/>
    </w:rPr>
  </w:style>
  <w:style w:type="character" w:customStyle="1" w:styleId="CommentTextChar">
    <w:name w:val="Comment Text Char"/>
    <w:basedOn w:val="DefaultParagraphFont"/>
    <w:link w:val="CommentText"/>
    <w:uiPriority w:val="99"/>
    <w:rsid w:val="007D35B9"/>
    <w:rPr>
      <w:sz w:val="20"/>
      <w:szCs w:val="20"/>
    </w:rPr>
  </w:style>
  <w:style w:type="paragraph" w:styleId="CommentSubject">
    <w:name w:val="annotation subject"/>
    <w:basedOn w:val="CommentText"/>
    <w:next w:val="CommentText"/>
    <w:link w:val="CommentSubjectChar"/>
    <w:uiPriority w:val="99"/>
    <w:semiHidden/>
    <w:unhideWhenUsed/>
    <w:rsid w:val="007D35B9"/>
    <w:rPr>
      <w:b/>
      <w:bCs/>
    </w:rPr>
  </w:style>
  <w:style w:type="character" w:customStyle="1" w:styleId="CommentSubjectChar">
    <w:name w:val="Comment Subject Char"/>
    <w:basedOn w:val="CommentTextChar"/>
    <w:link w:val="CommentSubject"/>
    <w:uiPriority w:val="99"/>
    <w:semiHidden/>
    <w:rsid w:val="007D35B9"/>
    <w:rPr>
      <w:b/>
      <w:bCs/>
      <w:sz w:val="20"/>
      <w:szCs w:val="20"/>
    </w:rPr>
  </w:style>
  <w:style w:type="character" w:styleId="FollowedHyperlink">
    <w:name w:val="FollowedHyperlink"/>
    <w:basedOn w:val="DefaultParagraphFont"/>
    <w:uiPriority w:val="99"/>
    <w:semiHidden/>
    <w:unhideWhenUsed/>
    <w:rsid w:val="00E30AFC"/>
    <w:rPr>
      <w:color w:val="849A0A" w:themeColor="followedHyperlink"/>
      <w:u w:val="single"/>
    </w:rPr>
  </w:style>
  <w:style w:type="character" w:customStyle="1" w:styleId="Heading2Char">
    <w:name w:val="Heading 2 Char"/>
    <w:basedOn w:val="DefaultParagraphFont"/>
    <w:link w:val="Heading2"/>
    <w:uiPriority w:val="9"/>
    <w:rsid w:val="00F77168"/>
    <w:rPr>
      <w:rFonts w:asciiTheme="majorHAnsi" w:eastAsiaTheme="majorEastAsia" w:hAnsiTheme="majorHAnsi" w:cstheme="majorBidi"/>
      <w:b/>
      <w:bCs/>
      <w:color w:val="A9A57C" w:themeColor="accent1"/>
      <w:sz w:val="26"/>
      <w:szCs w:val="26"/>
      <w:lang w:eastAsia="en-GB"/>
    </w:rPr>
  </w:style>
  <w:style w:type="paragraph" w:customStyle="1" w:styleId="OmniPage3593">
    <w:name w:val="OmniPage #3593"/>
    <w:basedOn w:val="Normal"/>
    <w:rsid w:val="00AD1B7D"/>
    <w:pPr>
      <w:overflowPunct w:val="0"/>
      <w:autoSpaceDE w:val="0"/>
      <w:autoSpaceDN w:val="0"/>
      <w:adjustRightInd w:val="0"/>
      <w:spacing w:after="0" w:line="240" w:lineRule="auto"/>
      <w:ind w:left="819" w:right="150"/>
      <w:jc w:val="both"/>
      <w:textAlignment w:val="baseline"/>
    </w:pPr>
    <w:rPr>
      <w:rFonts w:ascii="Times New Roman" w:eastAsia="Times New Roman" w:hAnsi="Times New Roman" w:cs="Times New Roman"/>
      <w:noProof/>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2210967">
      <w:bodyDiv w:val="1"/>
      <w:marLeft w:val="0"/>
      <w:marRight w:val="0"/>
      <w:marTop w:val="0"/>
      <w:marBottom w:val="0"/>
      <w:divBdr>
        <w:top w:val="none" w:sz="0" w:space="0" w:color="auto"/>
        <w:left w:val="none" w:sz="0" w:space="0" w:color="auto"/>
        <w:bottom w:val="none" w:sz="0" w:space="0" w:color="auto"/>
        <w:right w:val="none" w:sz="0" w:space="0" w:color="auto"/>
      </w:divBdr>
    </w:div>
    <w:div w:id="157577191">
      <w:bodyDiv w:val="1"/>
      <w:marLeft w:val="0"/>
      <w:marRight w:val="0"/>
      <w:marTop w:val="0"/>
      <w:marBottom w:val="0"/>
      <w:divBdr>
        <w:top w:val="none" w:sz="0" w:space="0" w:color="auto"/>
        <w:left w:val="none" w:sz="0" w:space="0" w:color="auto"/>
        <w:bottom w:val="none" w:sz="0" w:space="0" w:color="auto"/>
        <w:right w:val="none" w:sz="0" w:space="0" w:color="auto"/>
      </w:divBdr>
    </w:div>
    <w:div w:id="230390092">
      <w:bodyDiv w:val="1"/>
      <w:marLeft w:val="0"/>
      <w:marRight w:val="0"/>
      <w:marTop w:val="0"/>
      <w:marBottom w:val="0"/>
      <w:divBdr>
        <w:top w:val="none" w:sz="0" w:space="0" w:color="auto"/>
        <w:left w:val="none" w:sz="0" w:space="0" w:color="auto"/>
        <w:bottom w:val="none" w:sz="0" w:space="0" w:color="auto"/>
        <w:right w:val="none" w:sz="0" w:space="0" w:color="auto"/>
      </w:divBdr>
    </w:div>
    <w:div w:id="869610679">
      <w:bodyDiv w:val="1"/>
      <w:marLeft w:val="0"/>
      <w:marRight w:val="0"/>
      <w:marTop w:val="0"/>
      <w:marBottom w:val="0"/>
      <w:divBdr>
        <w:top w:val="none" w:sz="0" w:space="0" w:color="auto"/>
        <w:left w:val="none" w:sz="0" w:space="0" w:color="auto"/>
        <w:bottom w:val="none" w:sz="0" w:space="0" w:color="auto"/>
        <w:right w:val="none" w:sz="0" w:space="0" w:color="auto"/>
      </w:divBdr>
      <w:divsChild>
        <w:div w:id="108813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8452239">
      <w:bodyDiv w:val="1"/>
      <w:marLeft w:val="0"/>
      <w:marRight w:val="0"/>
      <w:marTop w:val="0"/>
      <w:marBottom w:val="0"/>
      <w:divBdr>
        <w:top w:val="none" w:sz="0" w:space="0" w:color="auto"/>
        <w:left w:val="none" w:sz="0" w:space="0" w:color="auto"/>
        <w:bottom w:val="none" w:sz="0" w:space="0" w:color="auto"/>
        <w:right w:val="none" w:sz="0" w:space="0" w:color="auto"/>
      </w:divBdr>
    </w:div>
    <w:div w:id="1267421238">
      <w:bodyDiv w:val="1"/>
      <w:marLeft w:val="0"/>
      <w:marRight w:val="0"/>
      <w:marTop w:val="0"/>
      <w:marBottom w:val="0"/>
      <w:divBdr>
        <w:top w:val="none" w:sz="0" w:space="0" w:color="auto"/>
        <w:left w:val="none" w:sz="0" w:space="0" w:color="auto"/>
        <w:bottom w:val="none" w:sz="0" w:space="0" w:color="auto"/>
        <w:right w:val="none" w:sz="0" w:space="0" w:color="auto"/>
      </w:divBdr>
    </w:div>
    <w:div w:id="1331786670">
      <w:bodyDiv w:val="1"/>
      <w:marLeft w:val="0"/>
      <w:marRight w:val="0"/>
      <w:marTop w:val="0"/>
      <w:marBottom w:val="0"/>
      <w:divBdr>
        <w:top w:val="none" w:sz="0" w:space="0" w:color="auto"/>
        <w:left w:val="none" w:sz="0" w:space="0" w:color="auto"/>
        <w:bottom w:val="none" w:sz="0" w:space="0" w:color="auto"/>
        <w:right w:val="none" w:sz="0" w:space="0" w:color="auto"/>
      </w:divBdr>
    </w:div>
    <w:div w:id="1499224627">
      <w:bodyDiv w:val="1"/>
      <w:marLeft w:val="0"/>
      <w:marRight w:val="0"/>
      <w:marTop w:val="0"/>
      <w:marBottom w:val="0"/>
      <w:divBdr>
        <w:top w:val="none" w:sz="0" w:space="0" w:color="auto"/>
        <w:left w:val="none" w:sz="0" w:space="0" w:color="auto"/>
        <w:bottom w:val="none" w:sz="0" w:space="0" w:color="auto"/>
        <w:right w:val="none" w:sz="0" w:space="0" w:color="auto"/>
      </w:divBdr>
    </w:div>
    <w:div w:id="1906452137">
      <w:bodyDiv w:val="1"/>
      <w:marLeft w:val="0"/>
      <w:marRight w:val="0"/>
      <w:marTop w:val="0"/>
      <w:marBottom w:val="0"/>
      <w:divBdr>
        <w:top w:val="none" w:sz="0" w:space="0" w:color="auto"/>
        <w:left w:val="none" w:sz="0" w:space="0" w:color="auto"/>
        <w:bottom w:val="none" w:sz="0" w:space="0" w:color="auto"/>
        <w:right w:val="none" w:sz="0" w:space="0" w:color="auto"/>
      </w:divBdr>
    </w:div>
    <w:div w:id="1943610789">
      <w:bodyDiv w:val="1"/>
      <w:marLeft w:val="0"/>
      <w:marRight w:val="0"/>
      <w:marTop w:val="0"/>
      <w:marBottom w:val="0"/>
      <w:divBdr>
        <w:top w:val="none" w:sz="0" w:space="0" w:color="auto"/>
        <w:left w:val="none" w:sz="0" w:space="0" w:color="auto"/>
        <w:bottom w:val="none" w:sz="0" w:space="0" w:color="auto"/>
        <w:right w:val="none" w:sz="0" w:space="0" w:color="auto"/>
      </w:divBdr>
    </w:div>
    <w:div w:id="211131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1270E0-A5DF-4025-850E-70D1098A9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23</Pages>
  <Words>7501</Words>
  <Characters>42759</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The Mental Capacity Act: Ten Years On</vt:lpstr>
    </vt:vector>
  </TitlesOfParts>
  <Company>University of Liverpool - Computing Services</Company>
  <LinksUpToDate>false</LinksUpToDate>
  <CharactersWithSpaces>50160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Mental Capacity Act: Ten Years On</dc:title>
  <dc:creator>Paula</dc:creator>
  <cp:lastModifiedBy>Paula</cp:lastModifiedBy>
  <cp:revision>13</cp:revision>
  <cp:lastPrinted>2015-06-10T13:11:00Z</cp:lastPrinted>
  <dcterms:created xsi:type="dcterms:W3CDTF">2016-03-29T10:07:00Z</dcterms:created>
  <dcterms:modified xsi:type="dcterms:W3CDTF">2016-07-02T20:01:00Z</dcterms:modified>
</cp:coreProperties>
</file>