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E1" w:rsidRPr="00650116" w:rsidRDefault="007667E1" w:rsidP="007667E1">
      <w:pPr>
        <w:spacing w:line="360" w:lineRule="auto"/>
        <w:contextualSpacing/>
        <w:jc w:val="both"/>
        <w:rPr>
          <w:rFonts w:asciiTheme="majorHAnsi" w:hAnsiTheme="majorHAnsi"/>
          <w:b/>
          <w:sz w:val="22"/>
          <w:szCs w:val="22"/>
        </w:rPr>
      </w:pPr>
      <w:r w:rsidRPr="00650116">
        <w:rPr>
          <w:rFonts w:asciiTheme="majorHAnsi" w:hAnsiTheme="majorHAnsi"/>
          <w:b/>
          <w:sz w:val="22"/>
          <w:szCs w:val="22"/>
        </w:rPr>
        <w:t xml:space="preserve">Screening </w:t>
      </w:r>
      <w:r w:rsidR="00CD5B5A">
        <w:rPr>
          <w:rFonts w:asciiTheme="majorHAnsi" w:hAnsiTheme="majorHAnsi"/>
          <w:b/>
          <w:sz w:val="22"/>
          <w:szCs w:val="22"/>
        </w:rPr>
        <w:t xml:space="preserve">for Distress using the </w:t>
      </w:r>
      <w:r w:rsidRPr="00650116">
        <w:rPr>
          <w:rFonts w:asciiTheme="majorHAnsi" w:hAnsiTheme="majorHAnsi"/>
          <w:b/>
          <w:sz w:val="22"/>
          <w:szCs w:val="22"/>
        </w:rPr>
        <w:t xml:space="preserve">Distress </w:t>
      </w:r>
      <w:r w:rsidR="00CD5B5A">
        <w:rPr>
          <w:rFonts w:asciiTheme="majorHAnsi" w:hAnsiTheme="majorHAnsi"/>
          <w:b/>
          <w:sz w:val="22"/>
          <w:szCs w:val="22"/>
        </w:rPr>
        <w:t xml:space="preserve">Thermometer and the University of Washington Quality of Life </w:t>
      </w:r>
      <w:r w:rsidRPr="00650116">
        <w:rPr>
          <w:rFonts w:asciiTheme="majorHAnsi" w:hAnsiTheme="majorHAnsi"/>
          <w:b/>
          <w:sz w:val="22"/>
          <w:szCs w:val="22"/>
        </w:rPr>
        <w:t>in Post-treatment Head &amp; Neck Cancer Survivors</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u w:val="single"/>
        </w:rPr>
      </w:pPr>
      <w:r w:rsidRPr="00650116">
        <w:rPr>
          <w:rFonts w:asciiTheme="majorHAnsi" w:hAnsiTheme="majorHAnsi"/>
          <w:sz w:val="22"/>
          <w:szCs w:val="22"/>
          <w:u w:val="single"/>
        </w:rPr>
        <w:t>Authors:</w:t>
      </w: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Naseem Ghazali</w:t>
      </w:r>
      <w:r w:rsidRPr="00650116">
        <w:rPr>
          <w:rFonts w:asciiTheme="majorHAnsi" w:hAnsiTheme="majorHAnsi"/>
          <w:sz w:val="22"/>
          <w:szCs w:val="22"/>
          <w:vertAlign w:val="superscript"/>
        </w:rPr>
        <w:t>1,2</w:t>
      </w:r>
      <w:r w:rsidRPr="00650116">
        <w:rPr>
          <w:rFonts w:asciiTheme="majorHAnsi" w:hAnsiTheme="majorHAnsi"/>
          <w:sz w:val="22"/>
          <w:szCs w:val="22"/>
        </w:rPr>
        <w:t>, Brenda Roe</w:t>
      </w:r>
      <w:r w:rsidRPr="00650116">
        <w:rPr>
          <w:rFonts w:asciiTheme="majorHAnsi" w:hAnsiTheme="majorHAnsi"/>
          <w:sz w:val="22"/>
          <w:szCs w:val="22"/>
          <w:vertAlign w:val="superscript"/>
        </w:rPr>
        <w:t>3</w:t>
      </w:r>
      <w:r w:rsidRPr="00650116">
        <w:rPr>
          <w:rFonts w:asciiTheme="majorHAnsi" w:hAnsiTheme="majorHAnsi"/>
          <w:sz w:val="22"/>
          <w:szCs w:val="22"/>
        </w:rPr>
        <w:t>, Derek Lowe</w:t>
      </w:r>
      <w:r w:rsidRPr="00650116">
        <w:rPr>
          <w:rFonts w:asciiTheme="majorHAnsi" w:hAnsiTheme="majorHAnsi"/>
          <w:sz w:val="22"/>
          <w:szCs w:val="22"/>
          <w:vertAlign w:val="superscript"/>
        </w:rPr>
        <w:t>2,3</w:t>
      </w:r>
      <w:r w:rsidRPr="00650116">
        <w:rPr>
          <w:rFonts w:asciiTheme="majorHAnsi" w:hAnsiTheme="majorHAnsi"/>
          <w:sz w:val="22"/>
          <w:szCs w:val="22"/>
        </w:rPr>
        <w:t>, Sank Tandon</w:t>
      </w:r>
      <w:r w:rsidRPr="00650116">
        <w:rPr>
          <w:rFonts w:asciiTheme="majorHAnsi" w:hAnsiTheme="majorHAnsi"/>
          <w:sz w:val="22"/>
          <w:szCs w:val="22"/>
          <w:vertAlign w:val="superscript"/>
        </w:rPr>
        <w:t>4</w:t>
      </w:r>
      <w:r w:rsidRPr="00650116">
        <w:rPr>
          <w:rFonts w:asciiTheme="majorHAnsi" w:hAnsiTheme="majorHAnsi"/>
          <w:sz w:val="22"/>
          <w:szCs w:val="22"/>
        </w:rPr>
        <w:t>, Terry Jones</w:t>
      </w:r>
      <w:r w:rsidRPr="00650116">
        <w:rPr>
          <w:rFonts w:asciiTheme="majorHAnsi" w:hAnsiTheme="majorHAnsi"/>
          <w:sz w:val="22"/>
          <w:szCs w:val="22"/>
          <w:vertAlign w:val="superscript"/>
        </w:rPr>
        <w:t>1,4</w:t>
      </w:r>
      <w:r w:rsidRPr="00650116">
        <w:rPr>
          <w:rFonts w:asciiTheme="majorHAnsi" w:hAnsiTheme="majorHAnsi"/>
          <w:sz w:val="22"/>
          <w:szCs w:val="22"/>
        </w:rPr>
        <w:t>, James Brown</w:t>
      </w:r>
      <w:r w:rsidRPr="00650116">
        <w:rPr>
          <w:rFonts w:asciiTheme="majorHAnsi" w:hAnsiTheme="majorHAnsi"/>
          <w:sz w:val="22"/>
          <w:szCs w:val="22"/>
          <w:vertAlign w:val="superscript"/>
        </w:rPr>
        <w:t>2</w:t>
      </w:r>
      <w:r w:rsidRPr="00650116">
        <w:rPr>
          <w:rFonts w:asciiTheme="majorHAnsi" w:hAnsiTheme="majorHAnsi"/>
          <w:sz w:val="22"/>
          <w:szCs w:val="22"/>
        </w:rPr>
        <w:t>, Richard Shaw</w:t>
      </w:r>
      <w:r w:rsidRPr="00650116">
        <w:rPr>
          <w:rFonts w:asciiTheme="majorHAnsi" w:hAnsiTheme="majorHAnsi"/>
          <w:sz w:val="22"/>
          <w:szCs w:val="22"/>
          <w:vertAlign w:val="superscript"/>
        </w:rPr>
        <w:t>1,2,</w:t>
      </w:r>
      <w:r w:rsidRPr="00650116">
        <w:rPr>
          <w:rFonts w:asciiTheme="majorHAnsi" w:hAnsiTheme="majorHAnsi"/>
          <w:sz w:val="22"/>
          <w:szCs w:val="22"/>
        </w:rPr>
        <w:t>, Janet Risk</w:t>
      </w:r>
      <w:r w:rsidRPr="00650116">
        <w:rPr>
          <w:rFonts w:asciiTheme="majorHAnsi" w:hAnsiTheme="majorHAnsi"/>
          <w:sz w:val="22"/>
          <w:szCs w:val="22"/>
          <w:vertAlign w:val="superscript"/>
        </w:rPr>
        <w:t>1</w:t>
      </w:r>
      <w:r w:rsidRPr="00650116">
        <w:rPr>
          <w:rFonts w:asciiTheme="majorHAnsi" w:hAnsiTheme="majorHAnsi"/>
          <w:sz w:val="22"/>
          <w:szCs w:val="22"/>
        </w:rPr>
        <w:t xml:space="preserve"> and Simon N Rogers</w:t>
      </w:r>
      <w:r w:rsidRPr="00650116">
        <w:rPr>
          <w:rFonts w:asciiTheme="majorHAnsi" w:hAnsiTheme="majorHAnsi"/>
          <w:sz w:val="22"/>
          <w:szCs w:val="22"/>
          <w:vertAlign w:val="superscript"/>
        </w:rPr>
        <w:t>2,3</w:t>
      </w:r>
      <w:r w:rsidRPr="00650116">
        <w:rPr>
          <w:rFonts w:asciiTheme="majorHAnsi" w:hAnsiTheme="majorHAnsi"/>
          <w:sz w:val="22"/>
          <w:szCs w:val="22"/>
        </w:rPr>
        <w:t>.</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u w:val="single"/>
        </w:rPr>
      </w:pPr>
      <w:r w:rsidRPr="00650116">
        <w:rPr>
          <w:rFonts w:asciiTheme="majorHAnsi" w:hAnsiTheme="majorHAnsi"/>
          <w:sz w:val="22"/>
          <w:szCs w:val="22"/>
          <w:u w:val="single"/>
        </w:rPr>
        <w:t>Institutions:</w:t>
      </w:r>
    </w:p>
    <w:p w:rsidR="007667E1" w:rsidRPr="00650116" w:rsidRDefault="007667E1" w:rsidP="007667E1">
      <w:pPr>
        <w:spacing w:line="360" w:lineRule="auto"/>
        <w:contextualSpacing/>
        <w:jc w:val="both"/>
        <w:rPr>
          <w:rFonts w:asciiTheme="majorHAnsi" w:hAnsiTheme="majorHAnsi"/>
          <w:sz w:val="22"/>
          <w:szCs w:val="22"/>
          <w:lang w:val="en-GB"/>
        </w:rPr>
      </w:pPr>
      <w:r w:rsidRPr="00650116">
        <w:rPr>
          <w:rFonts w:asciiTheme="majorHAnsi" w:hAnsiTheme="majorHAnsi"/>
          <w:bCs/>
          <w:sz w:val="22"/>
          <w:szCs w:val="22"/>
          <w:lang w:val="en-GB"/>
        </w:rPr>
        <w:t>1. Department of Molecular &amp; Clinical Cancer Medicine, Institute of Translational Medicine, University of Liverpool, Liverpool.</w:t>
      </w:r>
    </w:p>
    <w:p w:rsidR="007667E1" w:rsidRPr="00650116" w:rsidRDefault="007667E1" w:rsidP="007667E1">
      <w:pPr>
        <w:spacing w:line="360" w:lineRule="auto"/>
        <w:contextualSpacing/>
        <w:jc w:val="both"/>
        <w:rPr>
          <w:rFonts w:asciiTheme="majorHAnsi" w:hAnsiTheme="majorHAnsi"/>
          <w:bCs/>
          <w:sz w:val="22"/>
          <w:szCs w:val="22"/>
          <w:lang w:val="en-GB"/>
        </w:rPr>
      </w:pPr>
      <w:r w:rsidRPr="00650116">
        <w:rPr>
          <w:rFonts w:asciiTheme="majorHAnsi" w:hAnsiTheme="majorHAnsi"/>
          <w:bCs/>
          <w:sz w:val="22"/>
          <w:szCs w:val="22"/>
          <w:lang w:val="en-GB"/>
        </w:rPr>
        <w:t>2.</w:t>
      </w:r>
      <w:r w:rsidRPr="00650116">
        <w:rPr>
          <w:rFonts w:asciiTheme="majorHAnsi" w:hAnsiTheme="majorHAnsi"/>
          <w:bCs/>
          <w:sz w:val="22"/>
          <w:szCs w:val="22"/>
          <w:vertAlign w:val="superscript"/>
          <w:lang w:val="en-GB"/>
        </w:rPr>
        <w:t xml:space="preserve"> </w:t>
      </w:r>
      <w:r w:rsidRPr="00650116">
        <w:rPr>
          <w:rFonts w:asciiTheme="majorHAnsi" w:hAnsiTheme="majorHAnsi"/>
          <w:bCs/>
          <w:sz w:val="22"/>
          <w:szCs w:val="22"/>
          <w:lang w:val="en-GB"/>
        </w:rPr>
        <w:t>Regional Maxillofacial Unit, Aintree University Hospitals NHS Trust, Liverpool.</w:t>
      </w:r>
    </w:p>
    <w:p w:rsidR="007667E1" w:rsidRPr="00650116" w:rsidRDefault="007667E1" w:rsidP="007667E1">
      <w:pPr>
        <w:spacing w:line="360" w:lineRule="auto"/>
        <w:contextualSpacing/>
        <w:jc w:val="both"/>
        <w:rPr>
          <w:rFonts w:asciiTheme="majorHAnsi" w:hAnsiTheme="majorHAnsi"/>
          <w:sz w:val="22"/>
          <w:szCs w:val="22"/>
          <w:lang w:val="en-GB"/>
        </w:rPr>
      </w:pPr>
      <w:r w:rsidRPr="00650116">
        <w:rPr>
          <w:rFonts w:asciiTheme="majorHAnsi" w:hAnsiTheme="majorHAnsi"/>
          <w:bCs/>
          <w:sz w:val="22"/>
          <w:szCs w:val="22"/>
          <w:lang w:val="en-GB"/>
        </w:rPr>
        <w:t>3.</w:t>
      </w:r>
      <w:r w:rsidRPr="00650116">
        <w:rPr>
          <w:rFonts w:asciiTheme="majorHAnsi" w:hAnsiTheme="majorHAnsi"/>
          <w:bCs/>
          <w:sz w:val="22"/>
          <w:szCs w:val="22"/>
          <w:vertAlign w:val="superscript"/>
          <w:lang w:val="en-GB"/>
        </w:rPr>
        <w:t xml:space="preserve"> </w:t>
      </w:r>
      <w:r w:rsidRPr="00650116">
        <w:rPr>
          <w:rFonts w:asciiTheme="majorHAnsi" w:hAnsiTheme="majorHAnsi"/>
          <w:bCs/>
          <w:sz w:val="22"/>
          <w:szCs w:val="22"/>
        </w:rPr>
        <w:t>Evidence-Based Practice Research Centre, Faculty of Health and Social Care, Edge Hill University, Omskirk.</w:t>
      </w:r>
    </w:p>
    <w:p w:rsidR="007667E1" w:rsidRPr="00650116" w:rsidRDefault="007667E1" w:rsidP="007667E1">
      <w:pPr>
        <w:spacing w:line="360" w:lineRule="auto"/>
        <w:contextualSpacing/>
        <w:jc w:val="both"/>
        <w:rPr>
          <w:rFonts w:asciiTheme="majorHAnsi" w:hAnsiTheme="majorHAnsi"/>
          <w:sz w:val="22"/>
          <w:szCs w:val="22"/>
          <w:lang w:val="en-GB"/>
        </w:rPr>
      </w:pPr>
      <w:r w:rsidRPr="00650116">
        <w:rPr>
          <w:rFonts w:asciiTheme="majorHAnsi" w:hAnsiTheme="majorHAnsi"/>
          <w:bCs/>
          <w:sz w:val="22"/>
          <w:szCs w:val="22"/>
        </w:rPr>
        <w:t>4.</w:t>
      </w:r>
      <w:r w:rsidRPr="00650116">
        <w:rPr>
          <w:rFonts w:asciiTheme="majorHAnsi" w:hAnsiTheme="majorHAnsi"/>
          <w:bCs/>
          <w:sz w:val="22"/>
          <w:szCs w:val="22"/>
          <w:vertAlign w:val="superscript"/>
        </w:rPr>
        <w:t xml:space="preserve"> </w:t>
      </w:r>
      <w:r w:rsidRPr="00650116">
        <w:rPr>
          <w:rFonts w:asciiTheme="majorHAnsi" w:hAnsiTheme="majorHAnsi"/>
          <w:bCs/>
          <w:sz w:val="22"/>
          <w:szCs w:val="22"/>
          <w:lang w:val="en-GB"/>
        </w:rPr>
        <w:t>ENT Unit, Aintree University Hospitals NHS Trust, Liverpool.</w:t>
      </w:r>
    </w:p>
    <w:p w:rsidR="007667E1" w:rsidRPr="00650116" w:rsidRDefault="007667E1" w:rsidP="007667E1">
      <w:pPr>
        <w:spacing w:line="360" w:lineRule="auto"/>
        <w:contextualSpacing/>
        <w:jc w:val="both"/>
        <w:rPr>
          <w:rFonts w:asciiTheme="majorHAnsi" w:hAnsiTheme="majorHAnsi"/>
          <w:sz w:val="22"/>
          <w:szCs w:val="22"/>
          <w:lang w:val="en-GB"/>
        </w:rPr>
      </w:pPr>
    </w:p>
    <w:p w:rsidR="007667E1" w:rsidRPr="00650116" w:rsidRDefault="007667E1" w:rsidP="007667E1">
      <w:pPr>
        <w:spacing w:line="360" w:lineRule="auto"/>
        <w:contextualSpacing/>
        <w:jc w:val="both"/>
        <w:rPr>
          <w:rFonts w:asciiTheme="majorHAnsi" w:hAnsiTheme="majorHAnsi"/>
          <w:sz w:val="22"/>
          <w:szCs w:val="22"/>
          <w:u w:val="single"/>
        </w:rPr>
      </w:pPr>
      <w:r w:rsidRPr="00650116">
        <w:rPr>
          <w:rFonts w:asciiTheme="majorHAnsi" w:hAnsiTheme="majorHAnsi"/>
          <w:sz w:val="22"/>
          <w:szCs w:val="22"/>
          <w:u w:val="single"/>
        </w:rPr>
        <w:t>Author for correspondence:</w:t>
      </w:r>
    </w:p>
    <w:p w:rsidR="007667E1" w:rsidRPr="00650116" w:rsidRDefault="007667E1" w:rsidP="007667E1">
      <w:pPr>
        <w:spacing w:line="360" w:lineRule="auto"/>
        <w:contextualSpacing/>
        <w:jc w:val="both"/>
        <w:rPr>
          <w:rFonts w:asciiTheme="majorHAnsi" w:hAnsiTheme="majorHAnsi"/>
          <w:sz w:val="22"/>
          <w:szCs w:val="22"/>
        </w:rPr>
      </w:pPr>
      <w:r>
        <w:rPr>
          <w:rFonts w:asciiTheme="majorHAnsi" w:hAnsiTheme="majorHAnsi"/>
          <w:sz w:val="22"/>
          <w:szCs w:val="22"/>
        </w:rPr>
        <w:t>Miss Naseem Ghazali</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u w:val="single"/>
        </w:rPr>
      </w:pPr>
      <w:r w:rsidRPr="00650116">
        <w:rPr>
          <w:rFonts w:asciiTheme="majorHAnsi" w:hAnsiTheme="majorHAnsi"/>
          <w:sz w:val="22"/>
          <w:szCs w:val="22"/>
          <w:u w:val="single"/>
        </w:rPr>
        <w:t>Address for correspondence:</w:t>
      </w: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Regional Maxillofacial Unit</w:t>
      </w: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University Hospital Aintree</w:t>
      </w: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Lower Lane</w:t>
      </w: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Liverpool L9 7AL</w:t>
      </w: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UNITED KINGDOM</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ind w:right="480"/>
        <w:contextualSpacing/>
        <w:jc w:val="both"/>
        <w:rPr>
          <w:rFonts w:asciiTheme="majorHAnsi" w:hAnsiTheme="majorHAnsi"/>
          <w:sz w:val="22"/>
          <w:szCs w:val="22"/>
        </w:rPr>
      </w:pPr>
      <w:r w:rsidRPr="00650116">
        <w:rPr>
          <w:rFonts w:asciiTheme="majorHAnsi" w:hAnsiTheme="majorHAnsi"/>
          <w:sz w:val="22"/>
          <w:szCs w:val="22"/>
        </w:rPr>
        <w:t>Telephone number: 0151 529 5287</w:t>
      </w:r>
    </w:p>
    <w:p w:rsidR="007667E1" w:rsidRPr="00650116" w:rsidRDefault="007667E1" w:rsidP="007667E1">
      <w:pPr>
        <w:spacing w:line="360" w:lineRule="auto"/>
        <w:ind w:right="480"/>
        <w:contextualSpacing/>
        <w:jc w:val="both"/>
        <w:rPr>
          <w:rFonts w:asciiTheme="majorHAnsi" w:hAnsiTheme="majorHAnsi"/>
          <w:sz w:val="22"/>
          <w:szCs w:val="22"/>
        </w:rPr>
      </w:pPr>
      <w:r w:rsidRPr="00650116">
        <w:rPr>
          <w:rFonts w:asciiTheme="majorHAnsi" w:hAnsiTheme="majorHAnsi"/>
          <w:sz w:val="22"/>
          <w:szCs w:val="22"/>
        </w:rPr>
        <w:t>Fax number: 0151 529 5288</w:t>
      </w:r>
    </w:p>
    <w:p w:rsidR="007667E1" w:rsidRPr="00650116" w:rsidRDefault="007667E1" w:rsidP="007667E1">
      <w:pPr>
        <w:spacing w:line="360" w:lineRule="auto"/>
        <w:ind w:right="480"/>
        <w:contextualSpacing/>
        <w:rPr>
          <w:rFonts w:asciiTheme="majorHAnsi" w:hAnsiTheme="majorHAnsi"/>
          <w:sz w:val="22"/>
          <w:szCs w:val="22"/>
        </w:rPr>
      </w:pPr>
      <w:r w:rsidRPr="00650116">
        <w:rPr>
          <w:rFonts w:asciiTheme="majorHAnsi" w:hAnsiTheme="majorHAnsi"/>
          <w:sz w:val="22"/>
          <w:szCs w:val="22"/>
        </w:rPr>
        <w:t xml:space="preserve">Email: </w:t>
      </w:r>
      <w:r>
        <w:rPr>
          <w:rFonts w:asciiTheme="majorHAnsi" w:hAnsiTheme="majorHAnsi"/>
          <w:sz w:val="22"/>
          <w:szCs w:val="22"/>
        </w:rPr>
        <w:t>naseemghazali@doctors.org.uk</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b/>
          <w:bCs/>
          <w:sz w:val="22"/>
          <w:szCs w:val="22"/>
        </w:rPr>
        <w:lastRenderedPageBreak/>
        <w:t xml:space="preserve">Conflict of interest: </w:t>
      </w:r>
      <w:r w:rsidRPr="00650116">
        <w:rPr>
          <w:rFonts w:asciiTheme="majorHAnsi" w:hAnsiTheme="majorHAnsi"/>
          <w:sz w:val="22"/>
          <w:szCs w:val="22"/>
        </w:rPr>
        <w:t>The authors have no conflict of interest to declare.</w:t>
      </w:r>
    </w:p>
    <w:p w:rsidR="007667E1" w:rsidRDefault="007667E1">
      <w:pPr>
        <w:rPr>
          <w:rFonts w:asciiTheme="majorHAnsi" w:hAnsiTheme="majorHAnsi"/>
          <w:b/>
          <w:sz w:val="22"/>
          <w:szCs w:val="22"/>
        </w:rPr>
      </w:pPr>
      <w:r>
        <w:rPr>
          <w:rFonts w:asciiTheme="majorHAnsi" w:hAnsiTheme="majorHAnsi"/>
          <w:b/>
          <w:sz w:val="22"/>
          <w:szCs w:val="22"/>
        </w:rPr>
        <w:br w:type="page"/>
      </w:r>
    </w:p>
    <w:p w:rsidR="007667E1" w:rsidRDefault="007667E1" w:rsidP="007667E1"/>
    <w:p w:rsidR="007667E1" w:rsidRPr="00650116" w:rsidRDefault="007667E1" w:rsidP="00A6070F">
      <w:pPr>
        <w:rPr>
          <w:rFonts w:asciiTheme="majorHAnsi" w:hAnsiTheme="majorHAnsi"/>
          <w:b/>
          <w:sz w:val="22"/>
          <w:szCs w:val="22"/>
        </w:rPr>
      </w:pPr>
      <w:r w:rsidRPr="00650116">
        <w:rPr>
          <w:rFonts w:asciiTheme="majorHAnsi" w:hAnsiTheme="majorHAnsi"/>
          <w:b/>
          <w:sz w:val="22"/>
          <w:szCs w:val="22"/>
        </w:rPr>
        <w:t>Abstract:</w:t>
      </w: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ab/>
        <w:t xml:space="preserve"> </w:t>
      </w: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Objectives: </w:t>
      </w:r>
      <w:r w:rsidRPr="00650116">
        <w:rPr>
          <w:rFonts w:asciiTheme="majorHAnsi" w:hAnsiTheme="majorHAnsi"/>
          <w:sz w:val="22"/>
          <w:szCs w:val="22"/>
        </w:rPr>
        <w:tab/>
      </w:r>
      <w:r w:rsidRPr="00650116">
        <w:rPr>
          <w:rFonts w:asciiTheme="majorHAnsi" w:hAnsiTheme="majorHAnsi"/>
          <w:sz w:val="22"/>
          <w:szCs w:val="22"/>
        </w:rPr>
        <w:tab/>
        <w:t>The primary aim was to determine the efficacy of the Distress Thermometer (DT) in screening for anxiety and mood problems against the University of Washington Quality of Life, version 4 (UWQOL). Secondary aims were to evaluate the association between demographic, clinical and health-related QOL variables with significant distress.</w:t>
      </w: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Methods: </w:t>
      </w:r>
      <w:r w:rsidRPr="00650116">
        <w:rPr>
          <w:rFonts w:asciiTheme="majorHAnsi" w:hAnsiTheme="majorHAnsi"/>
          <w:sz w:val="22"/>
          <w:szCs w:val="22"/>
        </w:rPr>
        <w:tab/>
        <w:t xml:space="preserve">261 disease-free HNC ambulatory patients attending routine follow up clinics were prospectively recruited. Both DT and UWQOL were completed pre-consultation. </w:t>
      </w: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Results: </w:t>
      </w:r>
      <w:r w:rsidRPr="00650116">
        <w:rPr>
          <w:rFonts w:asciiTheme="majorHAnsi" w:hAnsiTheme="majorHAnsi"/>
          <w:sz w:val="22"/>
          <w:szCs w:val="22"/>
        </w:rPr>
        <w:tab/>
      </w:r>
      <w:r w:rsidRPr="00650116">
        <w:rPr>
          <w:rFonts w:asciiTheme="majorHAnsi" w:hAnsiTheme="majorHAnsi" w:cs="Times New Roman"/>
          <w:color w:val="231F20"/>
          <w:sz w:val="22"/>
          <w:szCs w:val="22"/>
        </w:rPr>
        <w:t>Receiver operating characteristic (ROC) curve analyses of DT score</w:t>
      </w:r>
      <w:r w:rsidRPr="00650116">
        <w:rPr>
          <w:rFonts w:asciiTheme="majorHAnsi" w:hAnsiTheme="majorHAnsi" w:cs="Times New Roman"/>
          <w:sz w:val="22"/>
          <w:szCs w:val="22"/>
        </w:rPr>
        <w:t xml:space="preserve"> for anxiety dysfunction yielded an </w:t>
      </w:r>
      <w:r w:rsidRPr="00650116">
        <w:rPr>
          <w:rFonts w:asciiTheme="majorHAnsi" w:hAnsiTheme="majorHAnsi" w:cs="Times New Roman"/>
          <w:color w:val="231F20"/>
          <w:sz w:val="22"/>
          <w:szCs w:val="22"/>
        </w:rPr>
        <w:t>area under the curve (</w:t>
      </w:r>
      <w:r w:rsidRPr="00650116">
        <w:rPr>
          <w:rFonts w:asciiTheme="majorHAnsi" w:hAnsiTheme="majorHAnsi" w:cs="Times New Roman"/>
          <w:sz w:val="22"/>
          <w:szCs w:val="22"/>
        </w:rPr>
        <w:t xml:space="preserve">AUC) of </w:t>
      </w:r>
      <w:r w:rsidR="00BA749B">
        <w:rPr>
          <w:rFonts w:asciiTheme="majorHAnsi" w:hAnsiTheme="majorHAnsi" w:cs="Times New Roman"/>
          <w:sz w:val="22"/>
          <w:szCs w:val="22"/>
        </w:rPr>
        <w:t>0.877</w:t>
      </w:r>
      <w:r w:rsidRPr="00650116">
        <w:rPr>
          <w:rFonts w:asciiTheme="majorHAnsi" w:hAnsiTheme="majorHAnsi" w:cs="Times New Roman"/>
          <w:sz w:val="22"/>
          <w:szCs w:val="22"/>
        </w:rPr>
        <w:t xml:space="preserve">, with a sensitivity of 84% (43/51) and specificity of 76% (159/210) for a DT cut-off of ≥4; with a corresponding AUC of 0.825 for mood with sensitivity 78% (28/36) and specificity 71% (159/225). Treatment with radiotherapy and a longer consultation time were associated with significant distress. Significant distress was also reported in </w:t>
      </w:r>
      <w:r w:rsidRPr="00650116">
        <w:rPr>
          <w:rFonts w:asciiTheme="majorHAnsi" w:hAnsiTheme="majorHAnsi"/>
          <w:sz w:val="22"/>
          <w:szCs w:val="22"/>
        </w:rPr>
        <w:t>two-thirds of those reporting less than “Good” overall QOL. Distress levels were particularly associated with poorer Social-Emotional function, more so than the association seen with poorer Physical function.</w:t>
      </w: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sz w:val="22"/>
          <w:szCs w:val="22"/>
        </w:rPr>
      </w:pPr>
      <w:r w:rsidRPr="00650116">
        <w:rPr>
          <w:rFonts w:asciiTheme="majorHAnsi" w:hAnsiTheme="majorHAnsi"/>
          <w:sz w:val="22"/>
          <w:szCs w:val="22"/>
        </w:rPr>
        <w:t>Outcomes:</w:t>
      </w:r>
      <w:r w:rsidRPr="00650116">
        <w:rPr>
          <w:rFonts w:asciiTheme="majorHAnsi" w:hAnsiTheme="majorHAnsi"/>
          <w:sz w:val="22"/>
          <w:szCs w:val="22"/>
        </w:rPr>
        <w:tab/>
        <w:t xml:space="preserve">DT is a reasonable screening tool for distress in the HNC population. The DT </w:t>
      </w:r>
      <w:r w:rsidRPr="00650116">
        <w:rPr>
          <w:rFonts w:asciiTheme="majorHAnsi" w:hAnsiTheme="majorHAnsi" w:cs="Times New Roman"/>
          <w:color w:val="231F20"/>
          <w:sz w:val="22"/>
          <w:szCs w:val="22"/>
        </w:rPr>
        <w:t>cut-off score</w:t>
      </w:r>
      <w:r w:rsidRPr="00650116">
        <w:rPr>
          <w:rFonts w:asciiTheme="majorHAnsi" w:hAnsiTheme="majorHAnsi" w:cs="Times New Roman"/>
          <w:sz w:val="22"/>
          <w:szCs w:val="22"/>
        </w:rPr>
        <w:t xml:space="preserve"> ≥4 </w:t>
      </w:r>
      <w:r w:rsidRPr="00650116">
        <w:rPr>
          <w:rFonts w:asciiTheme="majorHAnsi" w:hAnsiTheme="majorHAnsi"/>
          <w:sz w:val="22"/>
          <w:szCs w:val="22"/>
        </w:rPr>
        <w:t xml:space="preserve">was effective in identifying those with significant distress. Significant distress is associated in survivors with poorer HRQOL, those who received radiotherapy and patients who have longer consultation times in clinic. </w:t>
      </w: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 </w:t>
      </w:r>
    </w:p>
    <w:p w:rsidR="007667E1" w:rsidRPr="00650116" w:rsidRDefault="007667E1" w:rsidP="007667E1">
      <w:pPr>
        <w:spacing w:line="360" w:lineRule="auto"/>
        <w:contextualSpacing/>
        <w:jc w:val="both"/>
        <w:rPr>
          <w:rFonts w:asciiTheme="majorHAnsi" w:hAnsiTheme="majorHAnsi"/>
          <w:b/>
          <w:sz w:val="22"/>
          <w:szCs w:val="22"/>
        </w:rPr>
      </w:pPr>
    </w:p>
    <w:p w:rsidR="007667E1" w:rsidRPr="00650116" w:rsidRDefault="007667E1" w:rsidP="007667E1">
      <w:pPr>
        <w:spacing w:line="360" w:lineRule="auto"/>
        <w:contextualSpacing/>
        <w:jc w:val="both"/>
        <w:rPr>
          <w:rFonts w:asciiTheme="majorHAnsi" w:hAnsiTheme="majorHAnsi"/>
          <w:b/>
          <w:sz w:val="22"/>
          <w:szCs w:val="22"/>
        </w:rPr>
      </w:pPr>
      <w:r w:rsidRPr="00650116">
        <w:rPr>
          <w:rFonts w:asciiTheme="majorHAnsi" w:hAnsiTheme="majorHAnsi"/>
          <w:b/>
          <w:sz w:val="22"/>
          <w:szCs w:val="22"/>
        </w:rPr>
        <w:t xml:space="preserve">Keywords: </w:t>
      </w:r>
      <w:r w:rsidRPr="00650116">
        <w:rPr>
          <w:rFonts w:asciiTheme="majorHAnsi" w:hAnsiTheme="majorHAnsi"/>
          <w:sz w:val="22"/>
          <w:szCs w:val="22"/>
        </w:rPr>
        <w:t>Distress - Head and Neck Cancer – University of Washington Quality of Life – Distress Thermometer - Screening</w:t>
      </w:r>
    </w:p>
    <w:p w:rsidR="007667E1" w:rsidRPr="00650116" w:rsidRDefault="007667E1" w:rsidP="007667E1">
      <w:pPr>
        <w:spacing w:line="360" w:lineRule="auto"/>
        <w:contextualSpacing/>
        <w:rPr>
          <w:rFonts w:asciiTheme="majorHAnsi" w:hAnsiTheme="majorHAnsi"/>
          <w:b/>
          <w:sz w:val="22"/>
          <w:szCs w:val="22"/>
        </w:rPr>
      </w:pPr>
      <w:r w:rsidRPr="00650116">
        <w:rPr>
          <w:rFonts w:asciiTheme="majorHAnsi" w:hAnsiTheme="majorHAnsi"/>
          <w:b/>
          <w:sz w:val="22"/>
          <w:szCs w:val="22"/>
        </w:rPr>
        <w:br w:type="page"/>
      </w:r>
    </w:p>
    <w:p w:rsidR="007667E1" w:rsidRPr="00650116" w:rsidRDefault="007667E1" w:rsidP="007667E1">
      <w:pPr>
        <w:spacing w:line="360" w:lineRule="auto"/>
        <w:contextualSpacing/>
        <w:jc w:val="both"/>
        <w:rPr>
          <w:rFonts w:asciiTheme="majorHAnsi" w:hAnsiTheme="majorHAnsi"/>
          <w:b/>
          <w:sz w:val="22"/>
          <w:szCs w:val="22"/>
        </w:rPr>
      </w:pPr>
      <w:r w:rsidRPr="00650116">
        <w:rPr>
          <w:rFonts w:asciiTheme="majorHAnsi" w:hAnsiTheme="majorHAnsi"/>
          <w:b/>
          <w:sz w:val="22"/>
          <w:szCs w:val="22"/>
        </w:rPr>
        <w:lastRenderedPageBreak/>
        <w:t>Background</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cs="Times New Roman"/>
          <w:sz w:val="22"/>
          <w:szCs w:val="22"/>
        </w:rPr>
      </w:pPr>
      <w:r w:rsidRPr="00650116">
        <w:rPr>
          <w:rFonts w:asciiTheme="majorHAnsi" w:hAnsiTheme="majorHAnsi"/>
          <w:sz w:val="22"/>
          <w:szCs w:val="22"/>
        </w:rPr>
        <w:t xml:space="preserve">Cancer-related distress is </w:t>
      </w:r>
      <w:r w:rsidRPr="00650116">
        <w:rPr>
          <w:rFonts w:asciiTheme="majorHAnsi" w:hAnsiTheme="majorHAnsi"/>
          <w:i/>
          <w:iCs/>
          <w:sz w:val="22"/>
          <w:szCs w:val="22"/>
        </w:rPr>
        <w:t>‘a multifactorial, unpleasant experience of a psychological,</w:t>
      </w:r>
      <w:r w:rsidRPr="00650116">
        <w:rPr>
          <w:rFonts w:asciiTheme="majorHAnsi" w:hAnsiTheme="majorHAnsi"/>
          <w:sz w:val="22"/>
          <w:szCs w:val="22"/>
        </w:rPr>
        <w:t xml:space="preserve"> </w:t>
      </w:r>
      <w:r w:rsidRPr="00650116">
        <w:rPr>
          <w:rFonts w:asciiTheme="majorHAnsi" w:hAnsiTheme="majorHAnsi"/>
          <w:i/>
          <w:iCs/>
          <w:sz w:val="22"/>
          <w:szCs w:val="22"/>
        </w:rPr>
        <w:t>social or spiritual nature, that interferes with the ability to cope with cancer treatment, its physical symptoms and its treatment. Distress extends along a continuum from common normal feelings of vulnerability, sadness and fear, to disabling problems, such as true depression, anxiety, panic and feeling isolated or in a spiritual crisis’</w:t>
      </w:r>
      <w:r w:rsidRPr="00650116">
        <w:rPr>
          <w:rFonts w:asciiTheme="majorHAnsi" w:hAnsiTheme="majorHAnsi"/>
          <w:sz w:val="22"/>
          <w:szCs w:val="22"/>
        </w:rPr>
        <w:t xml:space="preserve"> </w:t>
      </w:r>
      <w:r w:rsidRPr="00650116">
        <w:rPr>
          <w:rFonts w:asciiTheme="majorHAnsi" w:hAnsiTheme="majorHAnsi"/>
          <w:sz w:val="22"/>
          <w:szCs w:val="22"/>
          <w:vertAlign w:val="superscript"/>
        </w:rPr>
        <w:t>1</w:t>
      </w:r>
      <w:r w:rsidRPr="00650116">
        <w:rPr>
          <w:rFonts w:asciiTheme="majorHAnsi" w:hAnsiTheme="majorHAnsi"/>
          <w:sz w:val="22"/>
          <w:szCs w:val="22"/>
        </w:rPr>
        <w:t>.</w:t>
      </w:r>
      <w:r w:rsidRPr="00650116">
        <w:rPr>
          <w:rFonts w:asciiTheme="majorHAnsi" w:hAnsiTheme="majorHAnsi"/>
          <w:sz w:val="22"/>
          <w:szCs w:val="22"/>
          <w:lang w:val="en-GB"/>
        </w:rPr>
        <w:t xml:space="preserve"> </w:t>
      </w:r>
      <w:r w:rsidRPr="00650116">
        <w:rPr>
          <w:rFonts w:asciiTheme="majorHAnsi" w:hAnsiTheme="majorHAnsi"/>
          <w:sz w:val="22"/>
          <w:szCs w:val="22"/>
        </w:rPr>
        <w:t>Cancer-related distress is common</w:t>
      </w:r>
      <w:r w:rsidRPr="00650116">
        <w:rPr>
          <w:rFonts w:asciiTheme="majorHAnsi" w:hAnsiTheme="majorHAnsi"/>
          <w:sz w:val="22"/>
          <w:szCs w:val="22"/>
          <w:vertAlign w:val="superscript"/>
        </w:rPr>
        <w:t>2</w:t>
      </w:r>
      <w:r w:rsidRPr="00650116">
        <w:rPr>
          <w:rFonts w:asciiTheme="majorHAnsi" w:hAnsiTheme="majorHAnsi"/>
          <w:sz w:val="22"/>
          <w:szCs w:val="22"/>
        </w:rPr>
        <w:t xml:space="preserve">. It is reported that 35-70% of cancer patients experience distress at some time during their cancer journey </w:t>
      </w:r>
      <w:r w:rsidRPr="00650116">
        <w:rPr>
          <w:rFonts w:asciiTheme="majorHAnsi" w:hAnsiTheme="majorHAnsi"/>
          <w:sz w:val="22"/>
          <w:szCs w:val="22"/>
          <w:vertAlign w:val="superscript"/>
        </w:rPr>
        <w:t>2</w:t>
      </w:r>
      <w:r w:rsidRPr="00650116">
        <w:rPr>
          <w:rFonts w:asciiTheme="majorHAnsi" w:hAnsiTheme="majorHAnsi"/>
          <w:sz w:val="22"/>
          <w:szCs w:val="22"/>
        </w:rPr>
        <w:t xml:space="preserve">. Between </w:t>
      </w:r>
      <w:r w:rsidRPr="00650116">
        <w:rPr>
          <w:rFonts w:asciiTheme="majorHAnsi" w:hAnsiTheme="majorHAnsi" w:cs="Times New Roman"/>
          <w:sz w:val="22"/>
          <w:szCs w:val="22"/>
        </w:rPr>
        <w:t xml:space="preserve">20–44% head and neck cancer (HNC) survivors will experience clinically significant depressive or anxiety symptoms at least once during the course of their illness </w:t>
      </w:r>
      <w:r w:rsidRPr="00650116">
        <w:rPr>
          <w:rFonts w:asciiTheme="majorHAnsi" w:hAnsiTheme="majorHAnsi" w:cs="Times New Roman"/>
          <w:sz w:val="22"/>
          <w:szCs w:val="22"/>
          <w:vertAlign w:val="superscript"/>
        </w:rPr>
        <w:t>3,4</w:t>
      </w:r>
      <w:r w:rsidRPr="00650116">
        <w:rPr>
          <w:rFonts w:asciiTheme="majorHAnsi" w:hAnsiTheme="majorHAnsi" w:cs="Times New Roman"/>
          <w:sz w:val="22"/>
          <w:szCs w:val="22"/>
        </w:rPr>
        <w:t xml:space="preserve">. </w:t>
      </w:r>
    </w:p>
    <w:p w:rsidR="007667E1" w:rsidRPr="00650116" w:rsidRDefault="007667E1" w:rsidP="007667E1">
      <w:pPr>
        <w:spacing w:line="360" w:lineRule="auto"/>
        <w:contextualSpacing/>
        <w:jc w:val="both"/>
        <w:rPr>
          <w:rFonts w:asciiTheme="majorHAnsi" w:hAnsiTheme="majorHAnsi" w:cs="Times New Roman"/>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Longitudinal studies report cancer survivors may experience the trajectory of distress differently, and different factors, including demographic, clinical and social parameters, can influence the severity and consequential effects of distress </w:t>
      </w:r>
      <w:r w:rsidRPr="00650116">
        <w:rPr>
          <w:rFonts w:asciiTheme="majorHAnsi" w:hAnsiTheme="majorHAnsi"/>
          <w:sz w:val="22"/>
          <w:szCs w:val="22"/>
          <w:vertAlign w:val="superscript"/>
        </w:rPr>
        <w:t>5</w:t>
      </w:r>
      <w:r w:rsidRPr="00650116">
        <w:rPr>
          <w:rFonts w:asciiTheme="majorHAnsi" w:hAnsiTheme="majorHAnsi"/>
          <w:sz w:val="22"/>
          <w:szCs w:val="22"/>
        </w:rPr>
        <w:t xml:space="preserve">. </w:t>
      </w:r>
      <w:r w:rsidRPr="00650116">
        <w:rPr>
          <w:rFonts w:asciiTheme="majorHAnsi" w:hAnsiTheme="majorHAnsi" w:cs="Times New Roman"/>
          <w:sz w:val="22"/>
          <w:szCs w:val="22"/>
        </w:rPr>
        <w:t xml:space="preserve">Head and neck cancer (HNC) patients are prone to psychological problems because social interactions and emotional expression depends largely upon the structural and functional integrity of the HN region </w:t>
      </w:r>
      <w:r w:rsidRPr="00650116">
        <w:rPr>
          <w:rFonts w:asciiTheme="majorHAnsi" w:hAnsiTheme="majorHAnsi" w:cs="Times New Roman"/>
          <w:sz w:val="22"/>
          <w:szCs w:val="22"/>
          <w:vertAlign w:val="superscript"/>
        </w:rPr>
        <w:t>6</w:t>
      </w:r>
      <w:r w:rsidRPr="00650116">
        <w:rPr>
          <w:rFonts w:asciiTheme="majorHAnsi" w:hAnsiTheme="majorHAnsi" w:cs="Times New Roman"/>
          <w:sz w:val="22"/>
          <w:szCs w:val="22"/>
        </w:rPr>
        <w:t xml:space="preserve">. Those with preexisting psychological morbidity, serious comorbidity, or are socially isolated, are particularly at risk of psychological distress </w:t>
      </w:r>
      <w:r w:rsidRPr="00650116">
        <w:rPr>
          <w:rFonts w:asciiTheme="majorHAnsi" w:hAnsiTheme="majorHAnsi" w:cs="Times New Roman"/>
          <w:sz w:val="22"/>
          <w:szCs w:val="22"/>
          <w:vertAlign w:val="superscript"/>
        </w:rPr>
        <w:t>6</w:t>
      </w:r>
      <w:r w:rsidRPr="00650116">
        <w:rPr>
          <w:rFonts w:asciiTheme="majorHAnsi" w:hAnsiTheme="majorHAnsi" w:cs="Times New Roman"/>
          <w:sz w:val="22"/>
          <w:szCs w:val="22"/>
        </w:rPr>
        <w:t xml:space="preserve">. This population demonstrates a high incidence of anxiety immediately post-diagnosis while depression peaks approximately 3 months post-completion of treatment, and levels for both constructs tend to return to pre-treatment levels by 12 months post-treatment completion </w:t>
      </w:r>
      <w:r w:rsidRPr="00650116">
        <w:rPr>
          <w:rFonts w:asciiTheme="majorHAnsi" w:hAnsiTheme="majorHAnsi" w:cs="Times New Roman"/>
          <w:sz w:val="22"/>
          <w:szCs w:val="22"/>
          <w:vertAlign w:val="superscript"/>
        </w:rPr>
        <w:t>7,8</w:t>
      </w:r>
      <w:r w:rsidRPr="00650116">
        <w:rPr>
          <w:rFonts w:asciiTheme="majorHAnsi" w:hAnsiTheme="majorHAnsi" w:cs="Times New Roman"/>
          <w:sz w:val="22"/>
          <w:szCs w:val="22"/>
        </w:rPr>
        <w:t xml:space="preserve">. In addition, fear of cancer recurrence (FoR) is the most common concern of disease-free HNC survivors </w:t>
      </w:r>
      <w:r w:rsidRPr="00A6070F">
        <w:rPr>
          <w:rFonts w:asciiTheme="majorHAnsi" w:hAnsiTheme="majorHAnsi" w:cs="Times New Roman"/>
          <w:sz w:val="22"/>
          <w:szCs w:val="22"/>
          <w:vertAlign w:val="superscript"/>
        </w:rPr>
        <w:t>9,10</w:t>
      </w:r>
      <w:r w:rsidRPr="00650116">
        <w:rPr>
          <w:rFonts w:asciiTheme="majorHAnsi" w:hAnsiTheme="majorHAnsi" w:cs="Times New Roman"/>
          <w:sz w:val="22"/>
          <w:szCs w:val="22"/>
        </w:rPr>
        <w:t xml:space="preserve"> and can cause severe psychological morbidity </w:t>
      </w:r>
      <w:r w:rsidRPr="00650116">
        <w:rPr>
          <w:rFonts w:asciiTheme="majorHAnsi" w:hAnsiTheme="majorHAnsi" w:cs="Times New Roman"/>
          <w:sz w:val="22"/>
          <w:szCs w:val="22"/>
          <w:vertAlign w:val="superscript"/>
        </w:rPr>
        <w:t>11</w:t>
      </w:r>
      <w:r w:rsidRPr="00650116">
        <w:rPr>
          <w:rFonts w:asciiTheme="majorHAnsi" w:hAnsiTheme="majorHAnsi" w:cs="Times New Roman"/>
          <w:sz w:val="22"/>
          <w:szCs w:val="22"/>
        </w:rPr>
        <w:t xml:space="preserve">. Longitudinal follow-up suggests that screening for mood and anxiety may help identify those with persistent significant FoR due to its close association </w:t>
      </w:r>
      <w:r w:rsidRPr="00650116">
        <w:rPr>
          <w:rFonts w:asciiTheme="majorHAnsi" w:hAnsiTheme="majorHAnsi" w:cs="Times New Roman"/>
          <w:sz w:val="22"/>
          <w:szCs w:val="22"/>
          <w:vertAlign w:val="superscript"/>
        </w:rPr>
        <w:t>12</w:t>
      </w:r>
      <w:r w:rsidRPr="00650116">
        <w:rPr>
          <w:rFonts w:asciiTheme="majorHAnsi" w:hAnsiTheme="majorHAnsi" w:cs="Times New Roman"/>
          <w:sz w:val="22"/>
          <w:szCs w:val="22"/>
        </w:rPr>
        <w:t>.</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rPr>
      </w:pPr>
      <w:r w:rsidRPr="00650116">
        <w:rPr>
          <w:rFonts w:asciiTheme="majorHAnsi" w:hAnsiTheme="majorHAnsi" w:cs="Times New Roman"/>
          <w:sz w:val="22"/>
          <w:szCs w:val="22"/>
        </w:rPr>
        <w:t xml:space="preserve">Distress impacts negatively on cancer care and outcomes, namely, quality of life (QOL) </w:t>
      </w:r>
      <w:r w:rsidRPr="00650116">
        <w:rPr>
          <w:rFonts w:asciiTheme="majorHAnsi" w:hAnsiTheme="majorHAnsi" w:cs="Times New Roman"/>
          <w:sz w:val="22"/>
          <w:szCs w:val="22"/>
          <w:vertAlign w:val="superscript"/>
        </w:rPr>
        <w:t>13,14</w:t>
      </w:r>
      <w:r w:rsidRPr="00650116">
        <w:rPr>
          <w:rFonts w:asciiTheme="majorHAnsi" w:hAnsiTheme="majorHAnsi" w:cs="Times New Roman"/>
          <w:sz w:val="22"/>
          <w:szCs w:val="22"/>
        </w:rPr>
        <w:t xml:space="preserve">, treatment adherence </w:t>
      </w:r>
      <w:r w:rsidRPr="00650116">
        <w:rPr>
          <w:rFonts w:asciiTheme="majorHAnsi" w:hAnsiTheme="majorHAnsi" w:cs="Times New Roman"/>
          <w:sz w:val="22"/>
          <w:szCs w:val="22"/>
          <w:vertAlign w:val="superscript"/>
        </w:rPr>
        <w:t>15</w:t>
      </w:r>
      <w:r w:rsidRPr="00650116">
        <w:rPr>
          <w:rFonts w:asciiTheme="majorHAnsi" w:hAnsiTheme="majorHAnsi" w:cs="Times New Roman"/>
          <w:sz w:val="22"/>
          <w:szCs w:val="22"/>
        </w:rPr>
        <w:t xml:space="preserve">, satisfaction with care </w:t>
      </w:r>
      <w:r w:rsidRPr="00650116">
        <w:rPr>
          <w:rFonts w:asciiTheme="majorHAnsi" w:hAnsiTheme="majorHAnsi" w:cs="Times New Roman"/>
          <w:sz w:val="22"/>
          <w:szCs w:val="22"/>
          <w:vertAlign w:val="superscript"/>
        </w:rPr>
        <w:t>16</w:t>
      </w:r>
      <w:r w:rsidRPr="00650116">
        <w:rPr>
          <w:rFonts w:asciiTheme="majorHAnsi" w:hAnsiTheme="majorHAnsi" w:cs="Times New Roman"/>
          <w:sz w:val="22"/>
          <w:szCs w:val="22"/>
        </w:rPr>
        <w:t xml:space="preserve">, and survival </w:t>
      </w:r>
      <w:r w:rsidRPr="00650116">
        <w:rPr>
          <w:rFonts w:asciiTheme="majorHAnsi" w:hAnsiTheme="majorHAnsi" w:cs="Times New Roman"/>
          <w:sz w:val="22"/>
          <w:szCs w:val="22"/>
          <w:vertAlign w:val="superscript"/>
        </w:rPr>
        <w:t>17</w:t>
      </w:r>
      <w:r w:rsidRPr="00650116">
        <w:rPr>
          <w:rFonts w:asciiTheme="majorHAnsi" w:hAnsiTheme="majorHAnsi" w:cs="Times New Roman"/>
          <w:sz w:val="22"/>
          <w:szCs w:val="22"/>
        </w:rPr>
        <w:t xml:space="preserve">. Distress levels in HNC patients have also been shown to relate negatively with QOL </w:t>
      </w:r>
      <w:r w:rsidRPr="00650116">
        <w:rPr>
          <w:rFonts w:asciiTheme="majorHAnsi" w:hAnsiTheme="majorHAnsi" w:cs="Times New Roman"/>
          <w:sz w:val="22"/>
          <w:szCs w:val="22"/>
          <w:vertAlign w:val="superscript"/>
        </w:rPr>
        <w:t>18</w:t>
      </w:r>
      <w:r w:rsidRPr="00650116">
        <w:rPr>
          <w:rFonts w:asciiTheme="majorHAnsi" w:hAnsiTheme="majorHAnsi" w:cs="Times New Roman"/>
          <w:sz w:val="22"/>
          <w:szCs w:val="22"/>
        </w:rPr>
        <w:t xml:space="preserve"> and predicts survival in HNC patients </w:t>
      </w:r>
      <w:r w:rsidRPr="00650116">
        <w:rPr>
          <w:rFonts w:asciiTheme="majorHAnsi" w:hAnsiTheme="majorHAnsi" w:cs="Times New Roman"/>
          <w:sz w:val="22"/>
          <w:szCs w:val="22"/>
          <w:vertAlign w:val="superscript"/>
        </w:rPr>
        <w:t>19</w:t>
      </w:r>
      <w:r w:rsidRPr="00650116">
        <w:rPr>
          <w:rFonts w:asciiTheme="majorHAnsi" w:hAnsiTheme="majorHAnsi" w:cs="Times New Roman"/>
          <w:sz w:val="22"/>
          <w:szCs w:val="22"/>
        </w:rPr>
        <w:t xml:space="preserve">. Screening for distress is the first vital step in identifying patients who may be vulnerable to the damaging impact of chronic and/or significant distress </w:t>
      </w:r>
      <w:r w:rsidRPr="00650116">
        <w:rPr>
          <w:rFonts w:asciiTheme="majorHAnsi" w:hAnsiTheme="majorHAnsi" w:cs="Times New Roman"/>
          <w:sz w:val="22"/>
          <w:szCs w:val="22"/>
          <w:vertAlign w:val="superscript"/>
        </w:rPr>
        <w:t>2,5</w:t>
      </w:r>
      <w:r w:rsidRPr="00650116">
        <w:rPr>
          <w:rFonts w:asciiTheme="majorHAnsi" w:hAnsiTheme="majorHAnsi" w:cs="Times New Roman"/>
          <w:sz w:val="22"/>
          <w:szCs w:val="22"/>
        </w:rPr>
        <w:t xml:space="preserve">. This sign-posting exercise may also aid professionals in developing with HNC survivors an individualized supportive care plan, incorporating various services including physical rehabilitation </w:t>
      </w:r>
      <w:r w:rsidRPr="00650116">
        <w:rPr>
          <w:rFonts w:asciiTheme="majorHAnsi" w:hAnsiTheme="majorHAnsi" w:cs="Times New Roman"/>
          <w:sz w:val="22"/>
          <w:szCs w:val="22"/>
          <w:vertAlign w:val="superscript"/>
        </w:rPr>
        <w:t>20</w:t>
      </w:r>
      <w:r w:rsidRPr="00650116">
        <w:rPr>
          <w:rFonts w:asciiTheme="majorHAnsi" w:hAnsiTheme="majorHAnsi" w:cs="Times New Roman"/>
          <w:sz w:val="22"/>
          <w:szCs w:val="22"/>
        </w:rPr>
        <w:t xml:space="preserve">, social support </w:t>
      </w:r>
      <w:r w:rsidRPr="00650116">
        <w:rPr>
          <w:rFonts w:asciiTheme="majorHAnsi" w:hAnsiTheme="majorHAnsi" w:cs="Times New Roman"/>
          <w:sz w:val="22"/>
          <w:szCs w:val="22"/>
          <w:vertAlign w:val="superscript"/>
        </w:rPr>
        <w:t>6</w:t>
      </w:r>
      <w:r w:rsidRPr="00650116">
        <w:rPr>
          <w:rFonts w:asciiTheme="majorHAnsi" w:hAnsiTheme="majorHAnsi" w:cs="Times New Roman"/>
          <w:sz w:val="22"/>
          <w:szCs w:val="22"/>
        </w:rPr>
        <w:t xml:space="preserve"> and psychosocial interventions </w:t>
      </w:r>
      <w:r w:rsidRPr="00650116">
        <w:rPr>
          <w:rFonts w:asciiTheme="majorHAnsi" w:hAnsiTheme="majorHAnsi" w:cs="Times New Roman"/>
          <w:sz w:val="22"/>
          <w:szCs w:val="22"/>
          <w:vertAlign w:val="superscript"/>
        </w:rPr>
        <w:t>21</w:t>
      </w:r>
      <w:r w:rsidRPr="00650116">
        <w:rPr>
          <w:rFonts w:asciiTheme="majorHAnsi" w:hAnsiTheme="majorHAnsi" w:cs="Times New Roman"/>
          <w:sz w:val="22"/>
          <w:szCs w:val="22"/>
        </w:rPr>
        <w:t xml:space="preserve">, because cancer-related distress is explicitly tied to a number of common practical, physical, and psychological problems/concerns </w:t>
      </w:r>
      <w:r w:rsidRPr="00650116">
        <w:rPr>
          <w:rFonts w:asciiTheme="majorHAnsi" w:hAnsiTheme="majorHAnsi" w:cs="Times New Roman"/>
          <w:sz w:val="22"/>
          <w:szCs w:val="22"/>
          <w:vertAlign w:val="superscript"/>
        </w:rPr>
        <w:t>5</w:t>
      </w:r>
      <w:r w:rsidRPr="00650116">
        <w:rPr>
          <w:rFonts w:asciiTheme="majorHAnsi" w:hAnsiTheme="majorHAnsi"/>
          <w:sz w:val="22"/>
          <w:szCs w:val="22"/>
        </w:rPr>
        <w:t xml:space="preserve">. </w:t>
      </w: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rPr>
      </w:pP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rPr>
      </w:pPr>
      <w:r w:rsidRPr="00650116">
        <w:rPr>
          <w:rFonts w:asciiTheme="majorHAnsi" w:hAnsiTheme="majorHAnsi" w:cs="Times New Roman"/>
          <w:sz w:val="22"/>
          <w:szCs w:val="22"/>
        </w:rPr>
        <w:t xml:space="preserve">The Distress thermometer (DT) was introduced in 1998 as a rapid screening instrument for cancer-related distress </w:t>
      </w:r>
      <w:r w:rsidRPr="00650116">
        <w:rPr>
          <w:rFonts w:asciiTheme="majorHAnsi" w:hAnsiTheme="majorHAnsi" w:cs="Times New Roman"/>
          <w:sz w:val="22"/>
          <w:szCs w:val="22"/>
          <w:vertAlign w:val="superscript"/>
        </w:rPr>
        <w:t>22</w:t>
      </w:r>
      <w:r w:rsidRPr="00650116">
        <w:rPr>
          <w:rFonts w:asciiTheme="majorHAnsi" w:hAnsiTheme="majorHAnsi" w:cs="Times New Roman"/>
          <w:sz w:val="22"/>
          <w:szCs w:val="22"/>
        </w:rPr>
        <w:t xml:space="preserve"> and has been validated for various cancer types worldwide </w:t>
      </w:r>
      <w:r w:rsidRPr="00650116">
        <w:rPr>
          <w:rFonts w:asciiTheme="majorHAnsi" w:hAnsiTheme="majorHAnsi" w:cs="Times New Roman"/>
          <w:sz w:val="22"/>
          <w:szCs w:val="22"/>
          <w:vertAlign w:val="superscript"/>
        </w:rPr>
        <w:t>23</w:t>
      </w:r>
      <w:r w:rsidRPr="00650116">
        <w:rPr>
          <w:rFonts w:asciiTheme="majorHAnsi" w:hAnsiTheme="majorHAnsi" w:cs="Times New Roman"/>
          <w:sz w:val="22"/>
          <w:szCs w:val="22"/>
        </w:rPr>
        <w:t xml:space="preserve">, including the United Kingdom </w:t>
      </w:r>
      <w:r w:rsidRPr="00650116">
        <w:rPr>
          <w:rFonts w:asciiTheme="majorHAnsi" w:hAnsiTheme="majorHAnsi" w:cs="Times New Roman"/>
          <w:sz w:val="22"/>
          <w:szCs w:val="22"/>
          <w:vertAlign w:val="superscript"/>
        </w:rPr>
        <w:t>24</w:t>
      </w:r>
      <w:r w:rsidRPr="00650116">
        <w:rPr>
          <w:rFonts w:asciiTheme="majorHAnsi" w:hAnsiTheme="majorHAnsi" w:cs="Times New Roman"/>
          <w:sz w:val="22"/>
          <w:szCs w:val="22"/>
        </w:rPr>
        <w:t>. However, t</w:t>
      </w:r>
      <w:r w:rsidRPr="00650116">
        <w:rPr>
          <w:rFonts w:asciiTheme="majorHAnsi" w:hAnsiTheme="majorHAnsi"/>
          <w:sz w:val="22"/>
          <w:szCs w:val="22"/>
        </w:rPr>
        <w:t>he DT has never been used to determine distress in a HNC cohort. Screening for psychological distress in HNC has been carried using various tools, include</w:t>
      </w:r>
      <w:r w:rsidRPr="00650116">
        <w:rPr>
          <w:rFonts w:asciiTheme="majorHAnsi" w:hAnsiTheme="majorHAnsi" w:cs="Times New Roman"/>
          <w:sz w:val="22"/>
          <w:szCs w:val="22"/>
          <w:lang w:eastAsia="en-GB"/>
        </w:rPr>
        <w:t xml:space="preserve"> the General Health Questionnaire </w:t>
      </w:r>
      <w:r w:rsidRPr="00650116">
        <w:rPr>
          <w:rFonts w:asciiTheme="majorHAnsi" w:hAnsiTheme="majorHAnsi" w:cs="Times New Roman"/>
          <w:sz w:val="22"/>
          <w:szCs w:val="22"/>
          <w:vertAlign w:val="superscript"/>
          <w:lang w:eastAsia="en-GB"/>
        </w:rPr>
        <w:t>18,19</w:t>
      </w:r>
      <w:r w:rsidRPr="00650116">
        <w:rPr>
          <w:rFonts w:asciiTheme="majorHAnsi" w:hAnsiTheme="majorHAnsi" w:cs="Times New Roman"/>
          <w:sz w:val="22"/>
          <w:szCs w:val="22"/>
          <w:lang w:eastAsia="en-GB"/>
        </w:rPr>
        <w:t xml:space="preserve"> and</w:t>
      </w:r>
      <w:r w:rsidRPr="00650116">
        <w:rPr>
          <w:rFonts w:asciiTheme="majorHAnsi" w:hAnsiTheme="majorHAnsi"/>
          <w:sz w:val="22"/>
          <w:szCs w:val="22"/>
        </w:rPr>
        <w:t xml:space="preserve"> in particular, the </w:t>
      </w:r>
      <w:r w:rsidRPr="00650116">
        <w:rPr>
          <w:rFonts w:asciiTheme="majorHAnsi" w:hAnsiTheme="majorHAnsi" w:cs="Times New Roman"/>
          <w:sz w:val="22"/>
          <w:szCs w:val="22"/>
          <w:lang w:eastAsia="en-GB"/>
        </w:rPr>
        <w:t xml:space="preserve">Hospital Anxiety Depression Scale (HADS) </w:t>
      </w:r>
      <w:r w:rsidRPr="00650116">
        <w:rPr>
          <w:rFonts w:asciiTheme="majorHAnsi" w:hAnsiTheme="majorHAnsi" w:cs="Times New Roman"/>
          <w:sz w:val="22"/>
          <w:szCs w:val="22"/>
          <w:vertAlign w:val="superscript"/>
          <w:lang w:eastAsia="en-GB"/>
        </w:rPr>
        <w:t>7,8,25-28</w:t>
      </w:r>
      <w:r w:rsidRPr="00650116">
        <w:rPr>
          <w:rFonts w:asciiTheme="majorHAnsi" w:hAnsiTheme="majorHAnsi" w:cs="Times New Roman"/>
          <w:sz w:val="22"/>
          <w:szCs w:val="22"/>
          <w:lang w:eastAsia="en-GB"/>
        </w:rPr>
        <w:t xml:space="preserve">. Mood and Anxiety constructs were incorporated into the </w:t>
      </w:r>
      <w:r w:rsidRPr="00650116">
        <w:rPr>
          <w:rFonts w:asciiTheme="majorHAnsi" w:hAnsiTheme="majorHAnsi" w:cs="Times New Roman"/>
          <w:sz w:val="22"/>
          <w:szCs w:val="22"/>
        </w:rPr>
        <w:t xml:space="preserve">University of Washington Quality of Life (UWQOL), a widely used HNC-specific, validated health-related QOL measure </w:t>
      </w:r>
      <w:r w:rsidRPr="00650116">
        <w:rPr>
          <w:rFonts w:asciiTheme="majorHAnsi" w:hAnsiTheme="majorHAnsi" w:cs="Times New Roman"/>
          <w:sz w:val="22"/>
          <w:szCs w:val="22"/>
          <w:vertAlign w:val="superscript"/>
        </w:rPr>
        <w:t>29</w:t>
      </w:r>
      <w:r w:rsidRPr="00650116">
        <w:rPr>
          <w:rFonts w:asciiTheme="majorHAnsi" w:hAnsiTheme="majorHAnsi" w:cs="Times New Roman"/>
          <w:sz w:val="22"/>
          <w:szCs w:val="22"/>
        </w:rPr>
        <w:t xml:space="preserve">. The UWQOL is highly correlated with HADS </w:t>
      </w:r>
      <w:r w:rsidRPr="00650116">
        <w:rPr>
          <w:rFonts w:asciiTheme="majorHAnsi" w:hAnsiTheme="majorHAnsi" w:cs="Times New Roman"/>
          <w:sz w:val="22"/>
          <w:szCs w:val="22"/>
          <w:vertAlign w:val="superscript"/>
        </w:rPr>
        <w:t>27</w:t>
      </w:r>
      <w:r w:rsidRPr="00650116">
        <w:rPr>
          <w:rFonts w:asciiTheme="majorHAnsi" w:hAnsiTheme="majorHAnsi" w:cs="Times New Roman"/>
          <w:sz w:val="22"/>
          <w:szCs w:val="22"/>
        </w:rPr>
        <w:t xml:space="preserve"> and thus, UWQOL has been used in routine clinical practice as a tool to help screen for a significant problem in these two areas </w:t>
      </w:r>
      <w:r w:rsidRPr="00650116">
        <w:rPr>
          <w:rFonts w:asciiTheme="majorHAnsi" w:hAnsiTheme="majorHAnsi" w:cs="Times New Roman"/>
          <w:sz w:val="22"/>
          <w:szCs w:val="22"/>
          <w:vertAlign w:val="superscript"/>
        </w:rPr>
        <w:t>30</w:t>
      </w:r>
      <w:r w:rsidRPr="00650116">
        <w:rPr>
          <w:rFonts w:asciiTheme="majorHAnsi" w:hAnsiTheme="majorHAnsi" w:cs="Times New Roman"/>
          <w:sz w:val="22"/>
          <w:szCs w:val="22"/>
        </w:rPr>
        <w:t xml:space="preserve">. </w:t>
      </w: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rPr>
      </w:pP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rPr>
      </w:pPr>
      <w:r w:rsidRPr="00650116">
        <w:rPr>
          <w:rFonts w:asciiTheme="majorHAnsi" w:hAnsiTheme="majorHAnsi"/>
          <w:sz w:val="22"/>
          <w:szCs w:val="22"/>
        </w:rPr>
        <w:t>The primary objective of this study was to screen for distress in post-treatment HNC patients</w:t>
      </w:r>
      <w:r w:rsidRPr="00650116">
        <w:rPr>
          <w:rFonts w:asciiTheme="majorHAnsi" w:hAnsiTheme="majorHAnsi"/>
          <w:sz w:val="22"/>
          <w:szCs w:val="22"/>
          <w:lang w:val="en-GB"/>
        </w:rPr>
        <w:t xml:space="preserve"> using the DT and to determine an effective DT cut off score for this cohort. The secondary aims were to </w:t>
      </w:r>
      <w:r w:rsidRPr="00650116">
        <w:rPr>
          <w:rFonts w:asciiTheme="majorHAnsi" w:hAnsiTheme="majorHAnsi"/>
          <w:sz w:val="22"/>
          <w:szCs w:val="22"/>
        </w:rPr>
        <w:t>examine the relationship between significant distress with clinicopathological factors and quality of life.</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b/>
          <w:sz w:val="22"/>
          <w:szCs w:val="22"/>
        </w:rPr>
      </w:pPr>
      <w:r w:rsidRPr="00650116">
        <w:rPr>
          <w:rFonts w:asciiTheme="majorHAnsi" w:hAnsiTheme="majorHAnsi"/>
          <w:b/>
          <w:sz w:val="22"/>
          <w:szCs w:val="22"/>
        </w:rPr>
        <w:t>Materials and Methods</w:t>
      </w:r>
    </w:p>
    <w:p w:rsidR="007667E1" w:rsidRPr="00650116" w:rsidRDefault="007667E1" w:rsidP="007667E1">
      <w:pPr>
        <w:spacing w:line="360" w:lineRule="auto"/>
        <w:contextualSpacing/>
        <w:jc w:val="both"/>
        <w:rPr>
          <w:rFonts w:asciiTheme="majorHAnsi" w:hAnsiTheme="majorHAnsi"/>
          <w:bCs/>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bCs/>
          <w:sz w:val="22"/>
          <w:szCs w:val="22"/>
        </w:rPr>
        <w:t xml:space="preserve">This work is part of a wider prospective roll out study on the Patients Concerns Inventory </w:t>
      </w:r>
      <w:r w:rsidRPr="00650116">
        <w:rPr>
          <w:rFonts w:asciiTheme="majorHAnsi" w:hAnsiTheme="majorHAnsi"/>
          <w:bCs/>
          <w:sz w:val="22"/>
          <w:szCs w:val="22"/>
          <w:vertAlign w:val="superscript"/>
        </w:rPr>
        <w:t>31</w:t>
      </w:r>
      <w:r w:rsidRPr="00650116">
        <w:rPr>
          <w:rFonts w:asciiTheme="majorHAnsi" w:hAnsiTheme="majorHAnsi"/>
          <w:bCs/>
          <w:sz w:val="22"/>
          <w:szCs w:val="22"/>
        </w:rPr>
        <w:t xml:space="preserve"> and obtained research ethics approval from the North West Research ethics committee (study </w:t>
      </w:r>
      <w:r w:rsidRPr="00650116">
        <w:rPr>
          <w:rFonts w:asciiTheme="majorHAnsi" w:hAnsiTheme="majorHAnsi" w:cs="Times New Roman"/>
          <w:sz w:val="22"/>
          <w:szCs w:val="22"/>
        </w:rPr>
        <w:t xml:space="preserve">reference: </w:t>
      </w:r>
      <w:r w:rsidRPr="00650116">
        <w:rPr>
          <w:rFonts w:asciiTheme="majorHAnsi" w:hAnsiTheme="majorHAnsi" w:cs="Times New Roman"/>
          <w:sz w:val="22"/>
          <w:szCs w:val="22"/>
          <w:lang w:eastAsia="en-GB"/>
        </w:rPr>
        <w:t>11/H1002/7)</w:t>
      </w:r>
      <w:r w:rsidRPr="00650116">
        <w:rPr>
          <w:rFonts w:asciiTheme="majorHAnsi" w:hAnsiTheme="majorHAnsi"/>
          <w:sz w:val="22"/>
          <w:szCs w:val="22"/>
        </w:rPr>
        <w:t xml:space="preserve">. </w:t>
      </w:r>
    </w:p>
    <w:p w:rsidR="007667E1" w:rsidRPr="00650116" w:rsidRDefault="007667E1" w:rsidP="007667E1">
      <w:pPr>
        <w:spacing w:line="360" w:lineRule="auto"/>
        <w:contextualSpacing/>
        <w:jc w:val="both"/>
        <w:rPr>
          <w:rFonts w:asciiTheme="majorHAnsi" w:hAnsiTheme="majorHAnsi"/>
          <w:bCs/>
          <w:i/>
          <w:sz w:val="22"/>
          <w:szCs w:val="22"/>
        </w:rPr>
      </w:pPr>
    </w:p>
    <w:p w:rsidR="007667E1" w:rsidRPr="00650116" w:rsidRDefault="007667E1" w:rsidP="007667E1">
      <w:pPr>
        <w:spacing w:line="360" w:lineRule="auto"/>
        <w:contextualSpacing/>
        <w:jc w:val="both"/>
        <w:rPr>
          <w:rFonts w:asciiTheme="majorHAnsi" w:hAnsiTheme="majorHAnsi"/>
          <w:bCs/>
          <w:i/>
          <w:sz w:val="22"/>
          <w:szCs w:val="22"/>
        </w:rPr>
      </w:pPr>
      <w:r w:rsidRPr="00650116">
        <w:rPr>
          <w:rFonts w:asciiTheme="majorHAnsi" w:hAnsiTheme="majorHAnsi"/>
          <w:bCs/>
          <w:i/>
          <w:sz w:val="22"/>
          <w:szCs w:val="22"/>
        </w:rPr>
        <w:t xml:space="preserve">Subjects and </w:t>
      </w:r>
      <w:r w:rsidRPr="00650116">
        <w:rPr>
          <w:rFonts w:asciiTheme="majorHAnsi" w:hAnsiTheme="majorHAnsi"/>
          <w:i/>
          <w:sz w:val="22"/>
          <w:szCs w:val="22"/>
        </w:rPr>
        <w:t>recruitment</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Potential patients were derived from the outpatient clinic patient list of four participating HNC surgery consultants. These were two oral and maxillofacial/HNC surgeons (RJ, JB) and two otolaryngology/HNC surgeons (ST, TJ). </w:t>
      </w:r>
      <w:r w:rsidRPr="00650116">
        <w:rPr>
          <w:rFonts w:asciiTheme="majorHAnsi" w:hAnsiTheme="majorHAnsi"/>
          <w:iCs/>
          <w:sz w:val="22"/>
          <w:szCs w:val="22"/>
        </w:rPr>
        <w:t>The inclusion criteria for patient recruitment were d</w:t>
      </w:r>
      <w:r w:rsidRPr="00650116">
        <w:rPr>
          <w:rFonts w:asciiTheme="majorHAnsi" w:hAnsiTheme="majorHAnsi"/>
          <w:sz w:val="22"/>
          <w:szCs w:val="22"/>
        </w:rPr>
        <w:t>isease-free HNC survivors who had completed primary treatment of at least 6 weeks</w:t>
      </w:r>
      <w:r w:rsidRPr="00650116">
        <w:rPr>
          <w:rFonts w:asciiTheme="majorHAnsi" w:hAnsiTheme="majorHAnsi"/>
          <w:bCs/>
          <w:sz w:val="22"/>
          <w:szCs w:val="22"/>
        </w:rPr>
        <w:t xml:space="preserve">. The </w:t>
      </w:r>
      <w:r w:rsidRPr="00650116">
        <w:rPr>
          <w:rFonts w:asciiTheme="majorHAnsi" w:hAnsiTheme="majorHAnsi"/>
          <w:sz w:val="22"/>
          <w:szCs w:val="22"/>
        </w:rPr>
        <w:t>exclusion criteria included HNC patients who had active/recurrent disease, those at the pre-treatment or palliative stage of survivorship, and those unable to speak or read English.</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 All eligible patients were sent the study patient information sheet together with their clinic appointment letter 6 weeks before their appointment date. On the day of appointment, eligible patients were approached in the waiting area for recruitment.  Informed consent was sought and formalised. Recruitment opened on 15 June 2011 and patients were prospectively recruited consecutively according to the date and time of their clinic attendance. Recruitment closed on 9 January 2013. </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i/>
          <w:sz w:val="22"/>
          <w:szCs w:val="22"/>
        </w:rPr>
      </w:pPr>
      <w:r w:rsidRPr="00650116">
        <w:rPr>
          <w:rFonts w:asciiTheme="majorHAnsi" w:hAnsiTheme="majorHAnsi"/>
          <w:i/>
          <w:sz w:val="22"/>
          <w:szCs w:val="22"/>
        </w:rPr>
        <w:t>Study design</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Recruited patients completed the DT and UWQOL before their consultation. The consultation was audio-recorded as part of the wider Patient Concerns Inventory study. The digital audio-recording encompassed the entire consultation </w:t>
      </w:r>
      <w:r w:rsidRPr="00650116">
        <w:rPr>
          <w:rFonts w:asciiTheme="majorHAnsi" w:hAnsiTheme="majorHAnsi"/>
          <w:sz w:val="22"/>
          <w:szCs w:val="22"/>
          <w:vertAlign w:val="superscript"/>
        </w:rPr>
        <w:t>31</w:t>
      </w:r>
      <w:r w:rsidRPr="00650116">
        <w:rPr>
          <w:rFonts w:asciiTheme="majorHAnsi" w:hAnsiTheme="majorHAnsi"/>
          <w:sz w:val="22"/>
          <w:szCs w:val="22"/>
        </w:rPr>
        <w:t xml:space="preserve">. </w:t>
      </w:r>
    </w:p>
    <w:p w:rsidR="007667E1" w:rsidRPr="00650116" w:rsidRDefault="007667E1" w:rsidP="007667E1">
      <w:pPr>
        <w:spacing w:line="360" w:lineRule="auto"/>
        <w:contextualSpacing/>
        <w:jc w:val="both"/>
        <w:rPr>
          <w:rFonts w:asciiTheme="majorHAnsi" w:hAnsiTheme="majorHAnsi"/>
          <w:b/>
          <w:sz w:val="22"/>
          <w:szCs w:val="22"/>
        </w:rPr>
      </w:pPr>
    </w:p>
    <w:p w:rsidR="007667E1" w:rsidRPr="00650116" w:rsidRDefault="007667E1" w:rsidP="007667E1">
      <w:pPr>
        <w:spacing w:line="360" w:lineRule="auto"/>
        <w:contextualSpacing/>
        <w:jc w:val="both"/>
        <w:rPr>
          <w:rFonts w:asciiTheme="majorHAnsi" w:hAnsiTheme="majorHAnsi"/>
          <w:i/>
          <w:sz w:val="22"/>
          <w:szCs w:val="22"/>
        </w:rPr>
      </w:pPr>
      <w:r w:rsidRPr="00650116">
        <w:rPr>
          <w:rFonts w:asciiTheme="majorHAnsi" w:hAnsiTheme="majorHAnsi"/>
          <w:i/>
          <w:sz w:val="22"/>
          <w:szCs w:val="22"/>
        </w:rPr>
        <w:t>Measures</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University of Washington Quality of Life, version 4 (UWQOL)</w:t>
      </w:r>
    </w:p>
    <w:p w:rsidR="007667E1" w:rsidRPr="00650116" w:rsidRDefault="007667E1" w:rsidP="007667E1">
      <w:pPr>
        <w:spacing w:line="360" w:lineRule="auto"/>
        <w:contextualSpacing/>
        <w:jc w:val="both"/>
        <w:rPr>
          <w:rFonts w:asciiTheme="majorHAnsi" w:hAnsiTheme="majorHAnsi" w:cs="Times New Roman"/>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cs="Times New Roman"/>
          <w:sz w:val="22"/>
          <w:szCs w:val="22"/>
        </w:rPr>
        <w:t xml:space="preserve">The UWQOL comprises 12 domains, scaled from 0 (worst) to 100 (best) according to the hierarchy of response </w:t>
      </w:r>
      <w:r w:rsidRPr="00650116">
        <w:rPr>
          <w:rFonts w:asciiTheme="majorHAnsi" w:hAnsiTheme="majorHAnsi" w:cs="Times New Roman"/>
          <w:sz w:val="22"/>
          <w:szCs w:val="22"/>
          <w:vertAlign w:val="superscript"/>
        </w:rPr>
        <w:t>29</w:t>
      </w:r>
      <w:r w:rsidRPr="00650116">
        <w:rPr>
          <w:rFonts w:asciiTheme="majorHAnsi" w:hAnsiTheme="majorHAnsi" w:cs="Times New Roman"/>
          <w:sz w:val="22"/>
          <w:szCs w:val="22"/>
        </w:rPr>
        <w:t xml:space="preserve">. </w:t>
      </w:r>
      <w:r w:rsidRPr="00650116">
        <w:rPr>
          <w:rFonts w:asciiTheme="majorHAnsi" w:eastAsia="MS Mincho" w:hAnsiTheme="majorHAnsi"/>
          <w:sz w:val="22"/>
          <w:szCs w:val="22"/>
        </w:rPr>
        <w:t>The UWQOL has two subscale composite scores</w:t>
      </w:r>
      <w:r w:rsidRPr="00650116">
        <w:rPr>
          <w:rFonts w:asciiTheme="majorHAnsi" w:hAnsiTheme="majorHAnsi" w:cs="Times New Roman"/>
          <w:sz w:val="22"/>
          <w:szCs w:val="22"/>
          <w:vertAlign w:val="superscript"/>
        </w:rPr>
        <w:t xml:space="preserve"> </w:t>
      </w:r>
      <w:r w:rsidRPr="00650116">
        <w:rPr>
          <w:rFonts w:asciiTheme="majorHAnsi" w:eastAsia="MS Mincho" w:hAnsiTheme="majorHAnsi"/>
          <w:sz w:val="22"/>
          <w:szCs w:val="22"/>
        </w:rPr>
        <w:t>i.e. ‘Physical function’ and ‘Social-Emotional function’</w:t>
      </w:r>
      <w:r w:rsidRPr="00650116">
        <w:rPr>
          <w:rFonts w:asciiTheme="majorHAnsi" w:hAnsiTheme="majorHAnsi" w:cs="Times New Roman"/>
          <w:sz w:val="22"/>
          <w:szCs w:val="22"/>
        </w:rPr>
        <w:t xml:space="preserve"> </w:t>
      </w:r>
      <w:r w:rsidRPr="00650116">
        <w:rPr>
          <w:rFonts w:asciiTheme="majorHAnsi" w:eastAsia="MS Mincho" w:hAnsiTheme="majorHAnsi"/>
          <w:sz w:val="22"/>
          <w:szCs w:val="22"/>
        </w:rPr>
        <w:t xml:space="preserve">and a single six-point ‘overall’ QOL measure.  ‘Physical function’ is the simple average of the swallowing, chewing, speech, saliva, taste and appearance domain scores whilst ‘Social-Emotional function’ is the simple average of the activity, recreation, pain, mood, anxiety and shoulder domains. In regard to the single item overall QOL scale, respondents were asked to consider not only physical &amp; mental health, but also other factors, such as family, friends, spirituality or personal leisure activities important to their enjoyment of life.  </w:t>
      </w:r>
    </w:p>
    <w:p w:rsidR="007667E1" w:rsidRPr="00650116" w:rsidRDefault="007667E1" w:rsidP="007667E1">
      <w:pPr>
        <w:spacing w:line="360" w:lineRule="auto"/>
        <w:contextualSpacing/>
        <w:jc w:val="both"/>
        <w:rPr>
          <w:rFonts w:asciiTheme="majorHAnsi" w:hAnsiTheme="majorHAnsi" w:cs="Times New Roman"/>
          <w:sz w:val="22"/>
          <w:szCs w:val="22"/>
        </w:rPr>
      </w:pPr>
    </w:p>
    <w:p w:rsidR="007667E1" w:rsidRPr="00650116" w:rsidRDefault="007667E1" w:rsidP="007667E1">
      <w:pPr>
        <w:spacing w:line="360" w:lineRule="auto"/>
        <w:contextualSpacing/>
        <w:jc w:val="both"/>
        <w:rPr>
          <w:rFonts w:asciiTheme="majorHAnsi" w:hAnsiTheme="majorHAnsi" w:cs="Times New Roman"/>
          <w:sz w:val="22"/>
          <w:szCs w:val="22"/>
        </w:rPr>
      </w:pPr>
      <w:r w:rsidRPr="00650116">
        <w:rPr>
          <w:rFonts w:asciiTheme="majorHAnsi" w:hAnsiTheme="majorHAnsi" w:cs="Times New Roman"/>
          <w:sz w:val="22"/>
          <w:szCs w:val="22"/>
        </w:rPr>
        <w:t>To allow incorporation of UWQOL into routine clinical practice</w:t>
      </w:r>
      <w:r w:rsidRPr="00650116">
        <w:rPr>
          <w:rFonts w:asciiTheme="majorHAnsi" w:hAnsiTheme="majorHAnsi" w:cs="Times New Roman"/>
          <w:i/>
          <w:sz w:val="22"/>
          <w:szCs w:val="22"/>
        </w:rPr>
        <w:t xml:space="preserve"> viz. </w:t>
      </w:r>
      <w:r w:rsidRPr="00650116">
        <w:rPr>
          <w:rFonts w:asciiTheme="majorHAnsi" w:hAnsiTheme="majorHAnsi" w:cs="Times New Roman"/>
          <w:sz w:val="22"/>
          <w:szCs w:val="22"/>
        </w:rPr>
        <w:t xml:space="preserve">screening for dysfunction, a ‘significant problem’ was considered present in a particular UWQOL domain when it fulfills one of the following criteria: (1) scores beyond a cut-off point specified in a domain,  (2) (for some domains only) a score adjacent to the cut-off and respondents indicating the particular domain as being important during the previous week </w:t>
      </w:r>
      <w:r w:rsidRPr="00650116">
        <w:rPr>
          <w:rFonts w:asciiTheme="majorHAnsi" w:hAnsiTheme="majorHAnsi" w:cs="Times New Roman"/>
          <w:sz w:val="22"/>
          <w:szCs w:val="22"/>
          <w:vertAlign w:val="superscript"/>
        </w:rPr>
        <w:t>30</w:t>
      </w:r>
      <w:r w:rsidRPr="00650116">
        <w:rPr>
          <w:rFonts w:asciiTheme="majorHAnsi" w:hAnsiTheme="majorHAnsi" w:cs="Times New Roman"/>
          <w:sz w:val="22"/>
          <w:szCs w:val="22"/>
        </w:rPr>
        <w:t xml:space="preserve">. For example, a significant problem with Mood is triggered when the UWQOL Mood score was 0 or 25; or selection of Mood </w:t>
      </w:r>
      <w:r w:rsidRPr="00650116">
        <w:rPr>
          <w:rFonts w:asciiTheme="majorHAnsi" w:hAnsiTheme="majorHAnsi"/>
          <w:sz w:val="22"/>
          <w:szCs w:val="22"/>
          <w:lang w:val="en-GB"/>
        </w:rPr>
        <w:t xml:space="preserve">as being important in the past 7 days with a Mood score of 50. Furthermore, a significant problem with Anxiety is triggered when UWQOL Anxiety score was 0 or 30. </w:t>
      </w:r>
    </w:p>
    <w:p w:rsidR="007667E1" w:rsidRPr="00650116" w:rsidRDefault="007667E1" w:rsidP="007667E1">
      <w:pPr>
        <w:spacing w:line="360" w:lineRule="auto"/>
        <w:contextualSpacing/>
        <w:jc w:val="both"/>
        <w:rPr>
          <w:rFonts w:asciiTheme="majorHAnsi" w:hAnsiTheme="majorHAnsi"/>
          <w:i/>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Distress thermometer  (DT)</w:t>
      </w: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sz w:val="22"/>
          <w:szCs w:val="22"/>
        </w:rPr>
      </w:pP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lang w:eastAsia="en-GB"/>
        </w:rPr>
      </w:pPr>
      <w:r w:rsidRPr="00650116">
        <w:rPr>
          <w:rFonts w:asciiTheme="majorHAnsi" w:hAnsiTheme="majorHAnsi"/>
          <w:sz w:val="22"/>
          <w:szCs w:val="22"/>
        </w:rPr>
        <w:t>The DT is a</w:t>
      </w:r>
      <w:r w:rsidRPr="00650116">
        <w:rPr>
          <w:rFonts w:asciiTheme="majorHAnsi" w:hAnsiTheme="majorHAnsi" w:cs="Times New Roman"/>
          <w:sz w:val="22"/>
          <w:szCs w:val="22"/>
          <w:lang w:eastAsia="en-GB"/>
        </w:rPr>
        <w:t xml:space="preserve"> single item self-report measure of distress. This instrument has been used to screen for distress in various types of cancer diagnoses </w:t>
      </w:r>
      <w:r w:rsidRPr="00650116">
        <w:rPr>
          <w:rFonts w:asciiTheme="majorHAnsi" w:hAnsiTheme="majorHAnsi" w:cs="Times New Roman"/>
          <w:sz w:val="22"/>
          <w:szCs w:val="22"/>
          <w:vertAlign w:val="superscript"/>
          <w:lang w:eastAsia="en-GB"/>
        </w:rPr>
        <w:t>22-24,32,33</w:t>
      </w:r>
      <w:r w:rsidRPr="00650116">
        <w:rPr>
          <w:rFonts w:asciiTheme="majorHAnsi" w:hAnsiTheme="majorHAnsi" w:cs="Times New Roman"/>
          <w:sz w:val="22"/>
          <w:szCs w:val="22"/>
          <w:lang w:eastAsia="en-GB"/>
        </w:rPr>
        <w:t xml:space="preserve">. It is scaled from 0 (no distress) to 10 (severe distress) in a thermometer layout to rate the level of distress experienced.  A DT score </w:t>
      </w:r>
      <w:r w:rsidRPr="00650116">
        <w:rPr>
          <w:rFonts w:asciiTheme="majorHAnsi" w:hAnsiTheme="majorHAnsi"/>
          <w:sz w:val="22"/>
          <w:szCs w:val="22"/>
        </w:rPr>
        <w:t xml:space="preserve">of </w:t>
      </w:r>
      <w:r w:rsidRPr="00650116">
        <w:rPr>
          <w:rFonts w:asciiTheme="majorHAnsi" w:hAnsiTheme="majorHAnsi"/>
          <w:sz w:val="22"/>
          <w:szCs w:val="22"/>
          <w:lang w:val="en-GB"/>
        </w:rPr>
        <w:t xml:space="preserve">≥5 </w:t>
      </w:r>
      <w:r w:rsidRPr="00650116">
        <w:rPr>
          <w:rFonts w:asciiTheme="majorHAnsi" w:hAnsiTheme="majorHAnsi" w:cs="Times New Roman"/>
          <w:sz w:val="22"/>
          <w:szCs w:val="22"/>
          <w:lang w:eastAsia="en-GB"/>
        </w:rPr>
        <w:t xml:space="preserve">was originally recommended as denoting significant distress necessitating psychosocial referral </w:t>
      </w:r>
      <w:r w:rsidRPr="00650116">
        <w:rPr>
          <w:rFonts w:asciiTheme="majorHAnsi" w:hAnsiTheme="majorHAnsi" w:cs="Times New Roman"/>
          <w:sz w:val="22"/>
          <w:szCs w:val="22"/>
          <w:vertAlign w:val="superscript"/>
          <w:lang w:eastAsia="en-GB"/>
        </w:rPr>
        <w:t>34</w:t>
      </w:r>
      <w:r w:rsidRPr="00650116">
        <w:rPr>
          <w:rFonts w:asciiTheme="majorHAnsi" w:hAnsiTheme="majorHAnsi" w:cs="Times New Roman"/>
          <w:sz w:val="22"/>
          <w:szCs w:val="22"/>
          <w:lang w:eastAsia="en-GB"/>
        </w:rPr>
        <w:t xml:space="preserve">. However, a DT score </w:t>
      </w:r>
      <w:r w:rsidRPr="00650116">
        <w:rPr>
          <w:rFonts w:asciiTheme="majorHAnsi" w:hAnsiTheme="majorHAnsi"/>
          <w:sz w:val="22"/>
          <w:szCs w:val="22"/>
        </w:rPr>
        <w:t xml:space="preserve">of </w:t>
      </w:r>
      <w:r w:rsidRPr="00650116">
        <w:rPr>
          <w:rFonts w:asciiTheme="majorHAnsi" w:hAnsiTheme="majorHAnsi"/>
          <w:sz w:val="22"/>
          <w:szCs w:val="22"/>
          <w:lang w:val="en-GB"/>
        </w:rPr>
        <w:t xml:space="preserve">≥4 </w:t>
      </w:r>
      <w:r w:rsidRPr="00650116">
        <w:rPr>
          <w:rFonts w:asciiTheme="majorHAnsi" w:hAnsiTheme="majorHAnsi" w:cs="Times New Roman"/>
          <w:sz w:val="22"/>
          <w:szCs w:val="22"/>
          <w:lang w:eastAsia="en-GB"/>
        </w:rPr>
        <w:t xml:space="preserve">has been shown to correlate with optimal sensitivity and specificity to the HADS in various cross-cultural studies </w:t>
      </w:r>
      <w:r w:rsidRPr="00650116">
        <w:rPr>
          <w:rFonts w:asciiTheme="majorHAnsi" w:hAnsiTheme="majorHAnsi" w:cs="Times New Roman"/>
          <w:sz w:val="22"/>
          <w:szCs w:val="22"/>
          <w:vertAlign w:val="superscript"/>
          <w:lang w:eastAsia="en-GB"/>
        </w:rPr>
        <w:t>13,14,23,32</w:t>
      </w:r>
      <w:r w:rsidRPr="00650116">
        <w:rPr>
          <w:rFonts w:asciiTheme="majorHAnsi" w:hAnsiTheme="majorHAnsi" w:cs="Times New Roman"/>
          <w:sz w:val="22"/>
          <w:szCs w:val="22"/>
          <w:lang w:eastAsia="en-GB"/>
        </w:rPr>
        <w:t>.</w:t>
      </w: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lang w:eastAsia="en-GB"/>
        </w:rPr>
      </w:pPr>
      <w:r w:rsidRPr="00650116">
        <w:rPr>
          <w:rFonts w:asciiTheme="majorHAnsi" w:hAnsiTheme="majorHAnsi" w:cs="Times New Roman"/>
          <w:sz w:val="22"/>
          <w:szCs w:val="22"/>
          <w:lang w:eastAsia="en-GB"/>
        </w:rPr>
        <w:t xml:space="preserve"> </w:t>
      </w:r>
    </w:p>
    <w:p w:rsidR="007667E1" w:rsidRPr="00650116" w:rsidRDefault="007667E1" w:rsidP="007667E1">
      <w:pPr>
        <w:spacing w:line="360" w:lineRule="auto"/>
        <w:contextualSpacing/>
        <w:jc w:val="both"/>
        <w:rPr>
          <w:rFonts w:asciiTheme="majorHAnsi" w:hAnsiTheme="majorHAnsi"/>
          <w:bCs/>
          <w:i/>
          <w:sz w:val="22"/>
          <w:szCs w:val="22"/>
        </w:rPr>
      </w:pPr>
      <w:r w:rsidRPr="00650116">
        <w:rPr>
          <w:rFonts w:asciiTheme="majorHAnsi" w:hAnsiTheme="majorHAnsi"/>
          <w:bCs/>
          <w:i/>
          <w:sz w:val="22"/>
          <w:szCs w:val="22"/>
        </w:rPr>
        <w:t>Data analysis</w:t>
      </w:r>
      <w:r w:rsidRPr="00650116">
        <w:rPr>
          <w:rFonts w:asciiTheme="majorHAnsi" w:hAnsiTheme="majorHAnsi"/>
          <w:bCs/>
          <w:i/>
          <w:sz w:val="22"/>
          <w:szCs w:val="22"/>
        </w:rPr>
        <w:tab/>
        <w:t xml:space="preserve"> </w:t>
      </w:r>
    </w:p>
    <w:p w:rsidR="007667E1" w:rsidRPr="00650116" w:rsidRDefault="007667E1" w:rsidP="007667E1">
      <w:pPr>
        <w:spacing w:line="360" w:lineRule="auto"/>
        <w:contextualSpacing/>
        <w:jc w:val="both"/>
        <w:rPr>
          <w:rFonts w:asciiTheme="majorHAnsi" w:hAnsiTheme="majorHAnsi"/>
          <w:bCs/>
          <w:i/>
          <w:sz w:val="22"/>
          <w:szCs w:val="22"/>
        </w:rPr>
      </w:pP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rPr>
      </w:pPr>
      <w:r w:rsidRPr="00650116">
        <w:rPr>
          <w:rFonts w:asciiTheme="majorHAnsi" w:hAnsiTheme="majorHAnsi" w:cs="Times New Roman"/>
          <w:sz w:val="22"/>
          <w:szCs w:val="22"/>
        </w:rPr>
        <w:t xml:space="preserve">To examine the relationship between distress and other variables, the </w:t>
      </w:r>
      <w:r w:rsidRPr="00650116">
        <w:rPr>
          <w:rFonts w:asciiTheme="majorHAnsi" w:hAnsiTheme="majorHAnsi"/>
          <w:sz w:val="22"/>
          <w:szCs w:val="22"/>
        </w:rPr>
        <w:t xml:space="preserve">Fishers Exact test, Pearson’s chi-squared test or Kruskall-Wallis analysis were applied as appropriate.  Statistical significance was regarded as p&lt;0.01. </w:t>
      </w:r>
      <w:r w:rsidRPr="00650116">
        <w:rPr>
          <w:rFonts w:asciiTheme="majorHAnsi" w:hAnsiTheme="majorHAnsi" w:cs="Times New Roman"/>
          <w:sz w:val="22"/>
          <w:szCs w:val="22"/>
        </w:rPr>
        <w:t xml:space="preserve">Receiver operating characteristic (ROC) curve analyses were performed to identify a DT cut-off score that effectively detects cases of significant distress defined by the UWQOL screening for dysfunction in anxiety and mood from the UWQOL </w:t>
      </w:r>
      <w:r w:rsidRPr="00650116">
        <w:rPr>
          <w:rFonts w:asciiTheme="majorHAnsi" w:hAnsiTheme="majorHAnsi" w:cs="Times New Roman"/>
          <w:sz w:val="22"/>
          <w:szCs w:val="22"/>
          <w:vertAlign w:val="superscript"/>
        </w:rPr>
        <w:t>30</w:t>
      </w:r>
      <w:r w:rsidRPr="00650116">
        <w:rPr>
          <w:rFonts w:asciiTheme="majorHAnsi" w:hAnsiTheme="majorHAnsi" w:cs="Times New Roman"/>
          <w:sz w:val="22"/>
          <w:szCs w:val="22"/>
        </w:rPr>
        <w:t>. All statistical analysis was performed using the SPSS version 19.0 (SPSS Inc.).</w:t>
      </w:r>
    </w:p>
    <w:p w:rsidR="007667E1" w:rsidRPr="00650116" w:rsidRDefault="007667E1" w:rsidP="007667E1">
      <w:pPr>
        <w:spacing w:line="360" w:lineRule="auto"/>
        <w:contextualSpacing/>
        <w:jc w:val="both"/>
        <w:rPr>
          <w:rFonts w:asciiTheme="majorHAnsi" w:hAnsiTheme="majorHAnsi"/>
          <w:b/>
          <w:sz w:val="22"/>
          <w:szCs w:val="22"/>
        </w:rPr>
      </w:pPr>
    </w:p>
    <w:p w:rsidR="007667E1" w:rsidRPr="00650116" w:rsidRDefault="007667E1" w:rsidP="007667E1">
      <w:pPr>
        <w:spacing w:line="360" w:lineRule="auto"/>
        <w:contextualSpacing/>
        <w:rPr>
          <w:rFonts w:asciiTheme="majorHAnsi" w:hAnsiTheme="majorHAnsi"/>
          <w:b/>
          <w:sz w:val="22"/>
          <w:szCs w:val="22"/>
        </w:rPr>
      </w:pPr>
      <w:r w:rsidRPr="00650116">
        <w:rPr>
          <w:rFonts w:asciiTheme="majorHAnsi" w:hAnsiTheme="majorHAnsi"/>
          <w:b/>
          <w:sz w:val="22"/>
          <w:szCs w:val="22"/>
        </w:rPr>
        <w:t>Results</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lang w:val="en-GB"/>
        </w:rPr>
      </w:pPr>
      <w:r w:rsidRPr="00650116">
        <w:rPr>
          <w:rFonts w:asciiTheme="majorHAnsi" w:hAnsiTheme="majorHAnsi"/>
          <w:sz w:val="22"/>
          <w:szCs w:val="22"/>
        </w:rPr>
        <w:t xml:space="preserve">There were 261 patients recruited at 325 </w:t>
      </w:r>
      <w:r w:rsidRPr="00650116">
        <w:rPr>
          <w:rFonts w:asciiTheme="majorHAnsi" w:hAnsiTheme="majorHAnsi"/>
          <w:sz w:val="22"/>
          <w:szCs w:val="22"/>
        </w:rPr>
        <w:t>clinics</w:t>
      </w:r>
      <w:r w:rsidR="00BA749B">
        <w:rPr>
          <w:rFonts w:asciiTheme="majorHAnsi" w:hAnsiTheme="majorHAnsi"/>
          <w:sz w:val="22"/>
          <w:szCs w:val="22"/>
        </w:rPr>
        <w:t xml:space="preserve"> and data were analysed for the first clinic at which the PCI was used</w:t>
      </w:r>
      <w:r w:rsidRPr="00650116">
        <w:rPr>
          <w:rFonts w:asciiTheme="majorHAnsi" w:hAnsiTheme="majorHAnsi"/>
          <w:sz w:val="22"/>
          <w:szCs w:val="22"/>
        </w:rPr>
        <w:t xml:space="preserve">. </w:t>
      </w:r>
      <w:r w:rsidRPr="00650116">
        <w:rPr>
          <w:rFonts w:asciiTheme="majorHAnsi" w:hAnsiTheme="majorHAnsi"/>
          <w:sz w:val="22"/>
          <w:szCs w:val="22"/>
        </w:rPr>
        <w:t xml:space="preserve">Clinico-pathological characteristics of the patients recruited to this study are shown in Table 1. Overall the median (IQR) time from primary surgery (or from primary diagnosis if no surgery) to clinic attendance was </w:t>
      </w:r>
      <w:r w:rsidRPr="00650116">
        <w:rPr>
          <w:rFonts w:asciiTheme="majorHAnsi" w:hAnsiTheme="majorHAnsi"/>
          <w:sz w:val="22"/>
          <w:szCs w:val="22"/>
          <w:lang w:val="en-GB"/>
        </w:rPr>
        <w:t>2.2 (0.9-3.8) years, n=256. The median (IQR) length of consultation was 4.9 (3.2-7.4) minutes, n=213.</w:t>
      </w:r>
    </w:p>
    <w:p w:rsidR="007667E1" w:rsidRPr="00650116" w:rsidRDefault="007667E1" w:rsidP="007667E1">
      <w:pPr>
        <w:spacing w:line="360" w:lineRule="auto"/>
        <w:contextualSpacing/>
        <w:jc w:val="both"/>
        <w:rPr>
          <w:rFonts w:asciiTheme="majorHAnsi" w:hAnsiTheme="majorHAnsi"/>
          <w:sz w:val="22"/>
          <w:szCs w:val="22"/>
          <w:lang w:val="en-GB"/>
        </w:rPr>
      </w:pPr>
    </w:p>
    <w:p w:rsidR="007667E1" w:rsidRPr="00650116" w:rsidRDefault="007667E1" w:rsidP="007667E1">
      <w:pPr>
        <w:spacing w:line="360" w:lineRule="auto"/>
        <w:contextualSpacing/>
        <w:jc w:val="both"/>
        <w:rPr>
          <w:rFonts w:asciiTheme="majorHAnsi" w:hAnsiTheme="majorHAnsi"/>
          <w:i/>
          <w:sz w:val="22"/>
          <w:szCs w:val="22"/>
        </w:rPr>
      </w:pPr>
      <w:r w:rsidRPr="00650116">
        <w:rPr>
          <w:rFonts w:asciiTheme="majorHAnsi" w:hAnsiTheme="majorHAnsi"/>
          <w:i/>
          <w:sz w:val="22"/>
          <w:szCs w:val="22"/>
        </w:rPr>
        <w:t>Distress levels and</w:t>
      </w:r>
      <w:r w:rsidRPr="00650116">
        <w:rPr>
          <w:rFonts w:asciiTheme="majorHAnsi" w:hAnsiTheme="majorHAnsi" w:cs="Times New Roman"/>
          <w:i/>
          <w:sz w:val="22"/>
          <w:szCs w:val="22"/>
        </w:rPr>
        <w:t xml:space="preserve"> identification of the DT cutoff</w:t>
      </w: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rPr>
      </w:pP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sz w:val="22"/>
          <w:szCs w:val="22"/>
          <w:lang w:val="en-GB"/>
        </w:rPr>
      </w:pPr>
      <w:r w:rsidRPr="00650116">
        <w:rPr>
          <w:rFonts w:asciiTheme="majorHAnsi" w:hAnsiTheme="majorHAnsi" w:cs="Times New Roman"/>
          <w:sz w:val="22"/>
          <w:szCs w:val="22"/>
        </w:rPr>
        <w:t xml:space="preserve">The mean DT score overall was 2.9 </w:t>
      </w:r>
      <w:r w:rsidRPr="00650116">
        <w:rPr>
          <w:rFonts w:asciiTheme="majorHAnsi" w:hAnsiTheme="majorHAnsi"/>
          <w:sz w:val="22"/>
          <w:szCs w:val="22"/>
        </w:rPr>
        <w:t xml:space="preserve">and the median (IQR) was 2 (0-5) (Table 2). </w:t>
      </w:r>
      <w:r w:rsidRPr="00650116">
        <w:rPr>
          <w:rFonts w:asciiTheme="majorHAnsi" w:hAnsiTheme="majorHAnsi" w:cs="Times New Roman"/>
          <w:sz w:val="22"/>
          <w:szCs w:val="22"/>
        </w:rPr>
        <w:t xml:space="preserve">The overall rate of significant distress (defined by a DT cut-off score </w:t>
      </w:r>
      <w:r w:rsidRPr="00650116">
        <w:rPr>
          <w:rFonts w:asciiTheme="majorHAnsi" w:hAnsiTheme="majorHAnsi"/>
          <w:sz w:val="22"/>
          <w:szCs w:val="22"/>
        </w:rPr>
        <w:t xml:space="preserve">of </w:t>
      </w:r>
      <w:r w:rsidRPr="00650116">
        <w:rPr>
          <w:rFonts w:asciiTheme="majorHAnsi" w:hAnsiTheme="majorHAnsi"/>
          <w:sz w:val="22"/>
          <w:szCs w:val="22"/>
          <w:lang w:val="en-GB"/>
        </w:rPr>
        <w:t>≥4</w:t>
      </w:r>
      <w:r w:rsidRPr="00650116">
        <w:rPr>
          <w:rFonts w:asciiTheme="majorHAnsi" w:hAnsiTheme="majorHAnsi" w:cs="Times New Roman"/>
          <w:sz w:val="22"/>
          <w:szCs w:val="22"/>
        </w:rPr>
        <w:t xml:space="preserve">) was 36% (94/261). </w:t>
      </w:r>
      <w:r w:rsidRPr="00650116">
        <w:rPr>
          <w:rFonts w:asciiTheme="majorHAnsi" w:hAnsiTheme="majorHAnsi"/>
          <w:sz w:val="22"/>
          <w:szCs w:val="22"/>
          <w:lang w:val="en-GB"/>
        </w:rPr>
        <w:t xml:space="preserve">Thus, by this definition about two-thirds of this cohort at clinic did not report significant distress.  </w:t>
      </w: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rPr>
      </w:pP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rPr>
      </w:pPr>
      <w:r w:rsidRPr="00650116">
        <w:rPr>
          <w:rFonts w:asciiTheme="majorHAnsi" w:hAnsiTheme="majorHAnsi" w:cs="Times New Roman"/>
          <w:sz w:val="22"/>
          <w:szCs w:val="22"/>
        </w:rPr>
        <w:t>RO</w:t>
      </w:r>
      <w:r w:rsidR="00510737">
        <w:rPr>
          <w:rFonts w:asciiTheme="majorHAnsi" w:hAnsiTheme="majorHAnsi" w:cs="Times New Roman"/>
          <w:sz w:val="22"/>
          <w:szCs w:val="22"/>
        </w:rPr>
        <w:t>C</w:t>
      </w:r>
      <w:r w:rsidRPr="00650116">
        <w:rPr>
          <w:rFonts w:asciiTheme="majorHAnsi" w:hAnsiTheme="majorHAnsi" w:cs="Times New Roman"/>
          <w:sz w:val="22"/>
          <w:szCs w:val="22"/>
        </w:rPr>
        <w:t xml:space="preserve">S analysis was performed to identify suitable DT cut-off points for emotional distress as defined as a ‘significant problem’ in the UWQOL mood (14%, </w:t>
      </w:r>
      <w:r w:rsidR="00BA749B">
        <w:rPr>
          <w:rFonts w:asciiTheme="majorHAnsi" w:hAnsiTheme="majorHAnsi" w:cs="Times New Roman"/>
          <w:sz w:val="22"/>
          <w:szCs w:val="22"/>
        </w:rPr>
        <w:t>36/261</w:t>
      </w:r>
      <w:r w:rsidRPr="00650116">
        <w:rPr>
          <w:rFonts w:asciiTheme="majorHAnsi" w:hAnsiTheme="majorHAnsi" w:cs="Times New Roman"/>
          <w:sz w:val="22"/>
          <w:szCs w:val="22"/>
        </w:rPr>
        <w:t xml:space="preserve">) and anxiety (20%, 51/261) domains. Areas under the ROC curve (AUC) estimate the discriminative accuracy of cut-off scores in relation to a binary criterion, with a range from 1 (perfect discriminative accuracy) to 0.5 (poor discriminative accuracy) </w:t>
      </w:r>
      <w:r w:rsidRPr="00650116">
        <w:rPr>
          <w:rFonts w:asciiTheme="majorHAnsi" w:hAnsiTheme="majorHAnsi" w:cs="Times New Roman"/>
          <w:sz w:val="22"/>
          <w:szCs w:val="22"/>
          <w:vertAlign w:val="superscript"/>
        </w:rPr>
        <w:t>13</w:t>
      </w:r>
      <w:r w:rsidRPr="00650116">
        <w:rPr>
          <w:rFonts w:asciiTheme="majorHAnsi" w:hAnsiTheme="majorHAnsi" w:cs="Times New Roman"/>
          <w:sz w:val="22"/>
          <w:szCs w:val="22"/>
        </w:rPr>
        <w:t xml:space="preserve">. The ROC analyses showing the AUC using the DT </w:t>
      </w:r>
      <w:r w:rsidR="00BA749B">
        <w:rPr>
          <w:rFonts w:asciiTheme="majorHAnsi" w:hAnsiTheme="majorHAnsi" w:cs="Times New Roman"/>
          <w:sz w:val="22"/>
          <w:szCs w:val="22"/>
        </w:rPr>
        <w:t>as a predictor of</w:t>
      </w:r>
      <w:r w:rsidRPr="00650116">
        <w:rPr>
          <w:rFonts w:asciiTheme="majorHAnsi" w:hAnsiTheme="majorHAnsi" w:cs="Times New Roman"/>
          <w:sz w:val="22"/>
          <w:szCs w:val="22"/>
        </w:rPr>
        <w:t xml:space="preserve"> UWQOL </w:t>
      </w:r>
      <w:r w:rsidR="00BA749B">
        <w:rPr>
          <w:rFonts w:asciiTheme="majorHAnsi" w:hAnsiTheme="majorHAnsi" w:cs="Times New Roman"/>
          <w:sz w:val="22"/>
          <w:szCs w:val="22"/>
        </w:rPr>
        <w:t xml:space="preserve">dysfunction </w:t>
      </w:r>
      <w:r w:rsidRPr="00650116">
        <w:rPr>
          <w:rFonts w:asciiTheme="majorHAnsi" w:hAnsiTheme="majorHAnsi" w:cs="Times New Roman"/>
          <w:sz w:val="22"/>
          <w:szCs w:val="22"/>
        </w:rPr>
        <w:t xml:space="preserve">are summarised in Table 3 and higher areas </w:t>
      </w:r>
      <w:r w:rsidR="00BA749B">
        <w:rPr>
          <w:rFonts w:asciiTheme="majorHAnsi" w:hAnsiTheme="majorHAnsi" w:cs="Times New Roman"/>
          <w:sz w:val="22"/>
          <w:szCs w:val="22"/>
        </w:rPr>
        <w:t xml:space="preserve">under the curve </w:t>
      </w:r>
      <w:r w:rsidRPr="00650116">
        <w:rPr>
          <w:rFonts w:asciiTheme="majorHAnsi" w:hAnsiTheme="majorHAnsi" w:cs="Times New Roman"/>
          <w:sz w:val="22"/>
          <w:szCs w:val="22"/>
        </w:rPr>
        <w:t xml:space="preserve">are apparent towards dysfunction in domains within the social-emotional subscale of the UWQOL than for domains within the physical functioning subscale. The highest areas were for anxiety and mood dysfunction (Figure 1), and for these Table 4 shows sensitivity and specificity values for binary cut-offs within the distribution of DT scores. </w:t>
      </w: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rPr>
      </w:pP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cs="Times New Roman"/>
          <w:sz w:val="22"/>
          <w:szCs w:val="22"/>
        </w:rPr>
      </w:pPr>
      <w:r w:rsidRPr="00650116">
        <w:rPr>
          <w:rFonts w:asciiTheme="majorHAnsi" w:hAnsiTheme="majorHAnsi" w:cs="Times New Roman"/>
          <w:sz w:val="22"/>
          <w:szCs w:val="22"/>
        </w:rPr>
        <w:t xml:space="preserve">The ROC analyses offered support for cut-offs at ≥4 or ≥5. DT score yielded an AUC of </w:t>
      </w:r>
      <w:r w:rsidR="00BA749B">
        <w:rPr>
          <w:rFonts w:asciiTheme="majorHAnsi" w:hAnsiTheme="majorHAnsi" w:cs="Times New Roman"/>
          <w:sz w:val="22"/>
          <w:szCs w:val="22"/>
        </w:rPr>
        <w:t>0.877</w:t>
      </w:r>
      <w:r w:rsidRPr="00650116">
        <w:rPr>
          <w:rFonts w:asciiTheme="majorHAnsi" w:hAnsiTheme="majorHAnsi" w:cs="Times New Roman"/>
          <w:sz w:val="22"/>
          <w:szCs w:val="22"/>
        </w:rPr>
        <w:t xml:space="preserve"> for anxiety dysfunction with a cut-off of ≥4 giving a sensitivity of 84% (43/51)</w:t>
      </w:r>
      <w:r w:rsidR="00BA749B">
        <w:rPr>
          <w:rFonts w:asciiTheme="majorHAnsi" w:hAnsiTheme="majorHAnsi" w:cs="Times New Roman"/>
          <w:sz w:val="22"/>
          <w:szCs w:val="22"/>
        </w:rPr>
        <w:t xml:space="preserve">, </w:t>
      </w:r>
      <w:r w:rsidRPr="00650116">
        <w:rPr>
          <w:rFonts w:asciiTheme="majorHAnsi" w:hAnsiTheme="majorHAnsi" w:cs="Times New Roman"/>
          <w:sz w:val="22"/>
          <w:szCs w:val="22"/>
        </w:rPr>
        <w:t>specificity of 76% (159/210)</w:t>
      </w:r>
      <w:r w:rsidR="00BA749B">
        <w:rPr>
          <w:rFonts w:asciiTheme="majorHAnsi" w:hAnsiTheme="majorHAnsi" w:cs="Times New Roman"/>
          <w:sz w:val="22"/>
          <w:szCs w:val="22"/>
        </w:rPr>
        <w:t>, positive predictive value of 46% (43/94) and negative predictive value of 95% (159/167)</w:t>
      </w:r>
      <w:r w:rsidRPr="00650116">
        <w:rPr>
          <w:rFonts w:asciiTheme="majorHAnsi" w:hAnsiTheme="majorHAnsi" w:cs="Times New Roman"/>
          <w:sz w:val="22"/>
          <w:szCs w:val="22"/>
        </w:rPr>
        <w:t>; with a corresponding AUC of 0.825 for mood with sensitivity 78% (28/36)</w:t>
      </w:r>
      <w:r w:rsidR="00BA749B">
        <w:rPr>
          <w:rFonts w:asciiTheme="majorHAnsi" w:hAnsiTheme="majorHAnsi" w:cs="Times New Roman"/>
          <w:sz w:val="22"/>
          <w:szCs w:val="22"/>
        </w:rPr>
        <w:t xml:space="preserve">, </w:t>
      </w:r>
      <w:r w:rsidRPr="00650116">
        <w:rPr>
          <w:rFonts w:asciiTheme="majorHAnsi" w:hAnsiTheme="majorHAnsi" w:cs="Times New Roman"/>
          <w:sz w:val="22"/>
          <w:szCs w:val="22"/>
        </w:rPr>
        <w:t xml:space="preserve"> specificity 71% (159/225)</w:t>
      </w:r>
      <w:r w:rsidR="00BA749B" w:rsidRPr="00BA749B">
        <w:rPr>
          <w:rFonts w:asciiTheme="majorHAnsi" w:hAnsiTheme="majorHAnsi" w:cs="Times New Roman"/>
          <w:sz w:val="22"/>
          <w:szCs w:val="22"/>
        </w:rPr>
        <w:t xml:space="preserve"> </w:t>
      </w:r>
      <w:r w:rsidR="00BA749B">
        <w:rPr>
          <w:rFonts w:asciiTheme="majorHAnsi" w:hAnsiTheme="majorHAnsi" w:cs="Times New Roman"/>
          <w:sz w:val="22"/>
          <w:szCs w:val="22"/>
        </w:rPr>
        <w:t>positive predictive value of 30% (28/94) and negative predictive value of 95% (159/167).</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Defining significant distress by a DT score cut-off of </w:t>
      </w:r>
      <w:r w:rsidRPr="00650116">
        <w:rPr>
          <w:rFonts w:asciiTheme="majorHAnsi" w:hAnsiTheme="majorHAnsi" w:cs="Times New Roman"/>
          <w:sz w:val="22"/>
          <w:szCs w:val="22"/>
        </w:rPr>
        <w:t>≥5 gave a distress rate slightly lower at 31% (80/261). In predicting anxiety dysfunction it gave a sensitivity of 78% (40/51)</w:t>
      </w:r>
      <w:r w:rsidR="00BA749B">
        <w:rPr>
          <w:rFonts w:asciiTheme="majorHAnsi" w:hAnsiTheme="majorHAnsi" w:cs="Times New Roman"/>
          <w:sz w:val="22"/>
          <w:szCs w:val="22"/>
        </w:rPr>
        <w:t xml:space="preserve">, </w:t>
      </w:r>
      <w:r w:rsidRPr="00650116">
        <w:rPr>
          <w:rFonts w:asciiTheme="majorHAnsi" w:hAnsiTheme="majorHAnsi" w:cs="Times New Roman"/>
          <w:sz w:val="22"/>
          <w:szCs w:val="22"/>
        </w:rPr>
        <w:t xml:space="preserve"> specificity of 81% (170/210), </w:t>
      </w:r>
      <w:r w:rsidR="00BA749B">
        <w:rPr>
          <w:rFonts w:asciiTheme="majorHAnsi" w:hAnsiTheme="majorHAnsi" w:cs="Times New Roman"/>
          <w:sz w:val="22"/>
          <w:szCs w:val="22"/>
        </w:rPr>
        <w:t>positive predictive value of 50% (40/80) and negative predictive value of 94% (170/181)</w:t>
      </w:r>
      <w:r w:rsidR="00BA749B" w:rsidRPr="00650116">
        <w:rPr>
          <w:rFonts w:asciiTheme="majorHAnsi" w:hAnsiTheme="majorHAnsi" w:cs="Times New Roman"/>
          <w:sz w:val="22"/>
          <w:szCs w:val="22"/>
        </w:rPr>
        <w:t xml:space="preserve">; </w:t>
      </w:r>
      <w:r w:rsidRPr="00650116">
        <w:rPr>
          <w:rFonts w:asciiTheme="majorHAnsi" w:hAnsiTheme="majorHAnsi" w:cs="Times New Roman"/>
          <w:sz w:val="22"/>
          <w:szCs w:val="22"/>
        </w:rPr>
        <w:t>whilst in predicting mood dysfunction gave a sensitivity of 78% (28/36)</w:t>
      </w:r>
      <w:r w:rsidR="00BA749B">
        <w:rPr>
          <w:rFonts w:asciiTheme="majorHAnsi" w:hAnsiTheme="majorHAnsi" w:cs="Times New Roman"/>
          <w:sz w:val="22"/>
          <w:szCs w:val="22"/>
        </w:rPr>
        <w:t xml:space="preserve">, </w:t>
      </w:r>
      <w:r w:rsidRPr="00650116">
        <w:rPr>
          <w:rFonts w:asciiTheme="majorHAnsi" w:hAnsiTheme="majorHAnsi" w:cs="Times New Roman"/>
          <w:sz w:val="22"/>
          <w:szCs w:val="22"/>
        </w:rPr>
        <w:t>specificity 77% (173/225)</w:t>
      </w:r>
      <w:r w:rsidR="00BA749B">
        <w:rPr>
          <w:rFonts w:asciiTheme="majorHAnsi" w:hAnsiTheme="majorHAnsi" w:cs="Times New Roman"/>
          <w:sz w:val="22"/>
          <w:szCs w:val="22"/>
        </w:rPr>
        <w:t>, positive predictive value of 35% (28/80) and negative predictive value of 96% (173/181)</w:t>
      </w:r>
      <w:r w:rsidRPr="00650116">
        <w:rPr>
          <w:rFonts w:asciiTheme="majorHAnsi" w:hAnsiTheme="majorHAnsi" w:cs="Times New Roman"/>
          <w:sz w:val="22"/>
          <w:szCs w:val="22"/>
        </w:rPr>
        <w:t xml:space="preserve">. </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i/>
          <w:sz w:val="22"/>
          <w:szCs w:val="22"/>
        </w:rPr>
      </w:pPr>
      <w:r w:rsidRPr="00650116">
        <w:rPr>
          <w:rFonts w:asciiTheme="majorHAnsi" w:hAnsiTheme="majorHAnsi"/>
          <w:i/>
          <w:sz w:val="22"/>
          <w:szCs w:val="22"/>
        </w:rPr>
        <w:t>Relationship between DT score and clinicopathological variables</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The relationship between significant distress (DT score </w:t>
      </w:r>
      <w:r w:rsidRPr="00650116">
        <w:rPr>
          <w:rFonts w:asciiTheme="majorHAnsi" w:hAnsiTheme="majorHAnsi"/>
          <w:sz w:val="22"/>
          <w:szCs w:val="22"/>
          <w:lang w:val="en-GB"/>
        </w:rPr>
        <w:t>≥4)</w:t>
      </w:r>
      <w:r w:rsidRPr="00650116">
        <w:rPr>
          <w:rFonts w:asciiTheme="majorHAnsi" w:hAnsiTheme="majorHAnsi"/>
          <w:sz w:val="22"/>
          <w:szCs w:val="22"/>
        </w:rPr>
        <w:t xml:space="preserve"> and age at consultation, sex, surgical specialty, histology, primary site, tumour stage, treatment, length of consultation and length of follow up were evaluated. Only two variables showed a statistically significant association with significant distress, namely, length of consultation (Mann-Whitney test, p&lt;0.001) and treatment (Chi-square, p=0.01). For consultations lasting under 4 minutes the distress rate was 26% (22/85), between 4 and 8 minutes it was 34% (27/79) and for more than 8 minutes it was 57% (28/49).  For patients having had primary surgery alone the rate was 30% (34/114), for surgery with adjuvant RT it was 37% (37/100), and for RT/CT without surgery it was 56% (22/39). </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i/>
          <w:sz w:val="22"/>
          <w:szCs w:val="22"/>
        </w:rPr>
      </w:pPr>
      <w:r w:rsidRPr="00650116">
        <w:rPr>
          <w:rFonts w:asciiTheme="majorHAnsi" w:hAnsiTheme="majorHAnsi"/>
          <w:sz w:val="22"/>
          <w:szCs w:val="22"/>
        </w:rPr>
        <w:t xml:space="preserve">Other variables failed to demonstrate a statistically significant association with significant distress at p&lt;0.01, but age (p=0.04, Mann-Whitney) and overall P-stage (p=0.04, Chi-squared) were borderline associations, with higher distress rates noted for those aged under 55 years (51%, 27/53) and for those with advanced P-stage 4 tumours (48%, 33/77). </w:t>
      </w:r>
    </w:p>
    <w:p w:rsidR="007667E1" w:rsidRPr="00650116" w:rsidRDefault="007667E1" w:rsidP="007667E1">
      <w:pPr>
        <w:spacing w:line="360" w:lineRule="auto"/>
        <w:contextualSpacing/>
        <w:jc w:val="both"/>
        <w:rPr>
          <w:rFonts w:asciiTheme="majorHAnsi" w:hAnsiTheme="majorHAnsi"/>
          <w:b/>
          <w:sz w:val="22"/>
          <w:szCs w:val="22"/>
        </w:rPr>
      </w:pPr>
    </w:p>
    <w:p w:rsidR="007667E1" w:rsidRPr="00650116" w:rsidRDefault="007667E1" w:rsidP="007667E1">
      <w:pPr>
        <w:spacing w:line="360" w:lineRule="auto"/>
        <w:contextualSpacing/>
        <w:jc w:val="both"/>
        <w:rPr>
          <w:rFonts w:asciiTheme="majorHAnsi" w:hAnsiTheme="majorHAnsi"/>
          <w:i/>
          <w:sz w:val="22"/>
          <w:szCs w:val="22"/>
        </w:rPr>
      </w:pPr>
      <w:r w:rsidRPr="00650116">
        <w:rPr>
          <w:rFonts w:asciiTheme="majorHAnsi" w:hAnsiTheme="majorHAnsi"/>
          <w:i/>
          <w:sz w:val="22"/>
          <w:szCs w:val="22"/>
        </w:rPr>
        <w:t>Distress and quality of life</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lang w:val="en-GB"/>
        </w:rPr>
      </w:pPr>
      <w:r w:rsidRPr="00650116">
        <w:rPr>
          <w:rFonts w:asciiTheme="majorHAnsi" w:hAnsiTheme="majorHAnsi"/>
          <w:sz w:val="22"/>
          <w:szCs w:val="22"/>
        </w:rPr>
        <w:t>The DT scores correlated moderately (r</w:t>
      </w:r>
      <w:r w:rsidRPr="00650116">
        <w:rPr>
          <w:rFonts w:asciiTheme="majorHAnsi" w:hAnsiTheme="majorHAnsi"/>
          <w:sz w:val="22"/>
          <w:szCs w:val="22"/>
          <w:vertAlign w:val="subscript"/>
        </w:rPr>
        <w:t>s</w:t>
      </w:r>
      <w:r w:rsidRPr="00650116">
        <w:rPr>
          <w:rFonts w:asciiTheme="majorHAnsi" w:hAnsiTheme="majorHAnsi"/>
          <w:sz w:val="22"/>
          <w:szCs w:val="22"/>
        </w:rPr>
        <w:t>=-0.44) to UWQOL Physical subscale scores but more strongly (r</w:t>
      </w:r>
      <w:r w:rsidRPr="00650116">
        <w:rPr>
          <w:rFonts w:asciiTheme="majorHAnsi" w:hAnsiTheme="majorHAnsi"/>
          <w:sz w:val="22"/>
          <w:szCs w:val="22"/>
          <w:vertAlign w:val="subscript"/>
        </w:rPr>
        <w:t>s</w:t>
      </w:r>
      <w:r w:rsidRPr="00650116">
        <w:rPr>
          <w:rFonts w:asciiTheme="majorHAnsi" w:hAnsiTheme="majorHAnsi"/>
          <w:sz w:val="22"/>
          <w:szCs w:val="22"/>
        </w:rPr>
        <w:t>= -0.65) with the Social-Emotional subscale score. Those scoring under 50 on the Social-Emotional scale were notably distressed (85% 22/26), with the rate decreasing as the score increased – 61% (37/61) for 50-69 scores, 38% (20/52) for 70-79 scores and 12% (15/122) for 80-100 scores. For physical subscale scores under 50 the distress rate was 57% (13/23), with 47% (34/73) for scores 50-69, 53% (21/40) for scores 70-79 and 21% (26/125) for scores 80-100. Spearman correlation was r</w:t>
      </w:r>
      <w:r w:rsidRPr="00650116">
        <w:rPr>
          <w:rFonts w:asciiTheme="majorHAnsi" w:hAnsiTheme="majorHAnsi"/>
          <w:sz w:val="22"/>
          <w:szCs w:val="22"/>
          <w:vertAlign w:val="subscript"/>
        </w:rPr>
        <w:t>s</w:t>
      </w:r>
      <w:r w:rsidRPr="00650116">
        <w:rPr>
          <w:rFonts w:asciiTheme="majorHAnsi" w:hAnsiTheme="majorHAnsi"/>
          <w:sz w:val="22"/>
          <w:szCs w:val="22"/>
        </w:rPr>
        <w:t xml:space="preserve">=-0.52 with overall QOL and 95% (20/21) of those with ‘very poor’ or ‘poor’ QOL had significant DT distress, 60% (27/45) of those with ‘fair’ QOL, 34% (33/96) of those with ‘good’ QOL and 14% (14/99) of those with ‘very good’ or ‘outstanding’ QOL. </w:t>
      </w:r>
    </w:p>
    <w:p w:rsidR="007667E1" w:rsidRPr="00650116" w:rsidRDefault="007667E1" w:rsidP="007667E1">
      <w:pPr>
        <w:spacing w:line="360" w:lineRule="auto"/>
        <w:ind w:left="426"/>
        <w:contextualSpacing/>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lang w:val="en-GB"/>
        </w:rPr>
      </w:pPr>
      <w:r w:rsidRPr="00650116">
        <w:rPr>
          <w:rFonts w:asciiTheme="majorHAnsi" w:hAnsiTheme="majorHAnsi"/>
          <w:sz w:val="22"/>
          <w:szCs w:val="22"/>
        </w:rPr>
        <w:t>Using the UWQOL dysfunction algorithm, significant dysfunction in anxiety OR mood was reported in 24%, 63/261. In addition, patients with significant problems in areas of Pain, Activity, Recreation, Mood and Anxiety were more likely to report significant distress (Fisher exact test, p ≤ 0.001 in all)</w:t>
      </w:r>
      <w:r w:rsidRPr="00650116">
        <w:rPr>
          <w:rFonts w:asciiTheme="majorHAnsi" w:hAnsiTheme="majorHAnsi"/>
          <w:sz w:val="22"/>
          <w:szCs w:val="22"/>
          <w:lang w:val="en-GB"/>
        </w:rPr>
        <w:t>. The reported</w:t>
      </w:r>
      <w:r w:rsidRPr="00650116">
        <w:rPr>
          <w:rFonts w:asciiTheme="majorHAnsi" w:hAnsiTheme="majorHAnsi"/>
          <w:sz w:val="22"/>
          <w:szCs w:val="22"/>
        </w:rPr>
        <w:t xml:space="preserve"> importance of Pain, Mood and Anxiety in the past week was also associated with significant distress (p≤0.001).</w:t>
      </w:r>
    </w:p>
    <w:p w:rsidR="007667E1" w:rsidRPr="00650116" w:rsidRDefault="007667E1" w:rsidP="007667E1">
      <w:pPr>
        <w:spacing w:line="360" w:lineRule="auto"/>
        <w:contextualSpacing/>
        <w:jc w:val="both"/>
        <w:rPr>
          <w:rFonts w:asciiTheme="majorHAnsi" w:hAnsiTheme="majorHAnsi"/>
          <w:b/>
          <w:sz w:val="22"/>
          <w:szCs w:val="22"/>
        </w:rPr>
      </w:pPr>
    </w:p>
    <w:p w:rsidR="007667E1" w:rsidRPr="00650116" w:rsidRDefault="007667E1" w:rsidP="007667E1">
      <w:pPr>
        <w:spacing w:line="360" w:lineRule="auto"/>
        <w:contextualSpacing/>
        <w:jc w:val="both"/>
        <w:rPr>
          <w:rFonts w:asciiTheme="majorHAnsi" w:hAnsiTheme="majorHAnsi"/>
          <w:b/>
          <w:sz w:val="22"/>
          <w:szCs w:val="22"/>
        </w:rPr>
      </w:pPr>
      <w:r w:rsidRPr="00650116">
        <w:rPr>
          <w:rFonts w:asciiTheme="majorHAnsi" w:hAnsiTheme="majorHAnsi"/>
          <w:b/>
          <w:sz w:val="22"/>
          <w:szCs w:val="22"/>
        </w:rPr>
        <w:t>Discussion</w:t>
      </w: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sz w:val="22"/>
          <w:szCs w:val="22"/>
        </w:rPr>
      </w:pP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This study evaluated the efficaciousness of DT in screening for significant distress in a disease-free, post-treatment HNC survivors attending a routine outpatient clinic. According to NCCN guidelines </w:t>
      </w:r>
      <w:r w:rsidRPr="00650116">
        <w:rPr>
          <w:rFonts w:asciiTheme="majorHAnsi" w:hAnsiTheme="majorHAnsi"/>
          <w:sz w:val="22"/>
          <w:szCs w:val="22"/>
          <w:vertAlign w:val="superscript"/>
        </w:rPr>
        <w:t>34</w:t>
      </w:r>
      <w:r w:rsidRPr="00650116">
        <w:rPr>
          <w:rFonts w:asciiTheme="majorHAnsi" w:hAnsiTheme="majorHAnsi"/>
          <w:sz w:val="22"/>
          <w:szCs w:val="22"/>
        </w:rPr>
        <w:t xml:space="preserve">, those with a score of ≥ 5 would require a referral for psychosocial care team, based on the recommendation that this cut off represents the threshold for those who will benefit from psychiatric referral </w:t>
      </w:r>
      <w:r w:rsidRPr="00650116">
        <w:rPr>
          <w:rFonts w:asciiTheme="majorHAnsi" w:hAnsiTheme="majorHAnsi"/>
          <w:sz w:val="22"/>
          <w:szCs w:val="22"/>
          <w:vertAlign w:val="superscript"/>
        </w:rPr>
        <w:t>32</w:t>
      </w:r>
      <w:r w:rsidRPr="00650116">
        <w:rPr>
          <w:rFonts w:asciiTheme="majorHAnsi" w:hAnsiTheme="majorHAnsi"/>
          <w:sz w:val="22"/>
          <w:szCs w:val="22"/>
        </w:rPr>
        <w:t xml:space="preserve">.  Our study uses the UWQOL algorithm to attempts to provide empirical evidence for this type of clinical judgment in relation to the HNC cohort. </w:t>
      </w:r>
    </w:p>
    <w:p w:rsidR="007667E1" w:rsidRPr="00650116" w:rsidRDefault="007667E1" w:rsidP="007667E1">
      <w:pPr>
        <w:pStyle w:val="CommentText"/>
        <w:spacing w:line="360" w:lineRule="auto"/>
        <w:contextualSpacing/>
        <w:jc w:val="both"/>
        <w:rPr>
          <w:rFonts w:asciiTheme="majorHAnsi" w:hAnsiTheme="majorHAnsi" w:cs="Times New Roman"/>
          <w:color w:val="231F20"/>
          <w:sz w:val="22"/>
          <w:szCs w:val="22"/>
        </w:rPr>
      </w:pPr>
    </w:p>
    <w:p w:rsidR="007667E1" w:rsidRPr="00650116" w:rsidRDefault="007667E1" w:rsidP="007667E1">
      <w:pPr>
        <w:pStyle w:val="CommentText"/>
        <w:spacing w:line="360" w:lineRule="auto"/>
        <w:contextualSpacing/>
        <w:jc w:val="both"/>
        <w:rPr>
          <w:rFonts w:asciiTheme="majorHAnsi" w:hAnsiTheme="majorHAnsi"/>
          <w:sz w:val="22"/>
          <w:szCs w:val="22"/>
        </w:rPr>
      </w:pPr>
      <w:r w:rsidRPr="00650116">
        <w:rPr>
          <w:rFonts w:asciiTheme="majorHAnsi" w:hAnsiTheme="majorHAnsi" w:cs="Times New Roman"/>
          <w:color w:val="231F20"/>
          <w:sz w:val="22"/>
          <w:szCs w:val="22"/>
        </w:rPr>
        <w:t xml:space="preserve">Receiver operating characteristic analysis revealed that both DT cut-off scores ≥4 and ≥5 yielded AUC estimates indicating good overall accuracy relative to UWQOL dysfunction scores for Mood and Anxiety. However, </w:t>
      </w:r>
      <w:r w:rsidRPr="00650116">
        <w:rPr>
          <w:rFonts w:asciiTheme="majorHAnsi" w:hAnsiTheme="majorHAnsi"/>
          <w:sz w:val="22"/>
          <w:szCs w:val="22"/>
        </w:rPr>
        <w:t xml:space="preserve">the DT cut-off score </w:t>
      </w:r>
      <w:r w:rsidRPr="00650116">
        <w:rPr>
          <w:rFonts w:asciiTheme="majorHAnsi" w:hAnsiTheme="majorHAnsi" w:cs="Times New Roman"/>
          <w:color w:val="231F20"/>
          <w:sz w:val="22"/>
          <w:szCs w:val="22"/>
        </w:rPr>
        <w:t xml:space="preserve">≥4 </w:t>
      </w:r>
      <w:r w:rsidRPr="00650116">
        <w:rPr>
          <w:rFonts w:asciiTheme="majorHAnsi" w:hAnsiTheme="majorHAnsi"/>
          <w:sz w:val="22"/>
          <w:szCs w:val="22"/>
          <w:lang w:val="en-GB"/>
        </w:rPr>
        <w:t xml:space="preserve">was found to be more effective in discriminating those with significant emotional distress compared with a </w:t>
      </w:r>
      <w:r w:rsidRPr="00650116">
        <w:rPr>
          <w:rFonts w:asciiTheme="majorHAnsi" w:hAnsiTheme="majorHAnsi" w:cs="Times New Roman"/>
          <w:color w:val="231F20"/>
          <w:sz w:val="22"/>
          <w:szCs w:val="22"/>
        </w:rPr>
        <w:t>≥5 cut off score</w:t>
      </w:r>
      <w:r w:rsidRPr="00650116">
        <w:rPr>
          <w:rFonts w:asciiTheme="majorHAnsi" w:hAnsiTheme="majorHAnsi"/>
          <w:sz w:val="22"/>
          <w:szCs w:val="22"/>
          <w:lang w:val="en-GB"/>
        </w:rPr>
        <w:t xml:space="preserve">. </w:t>
      </w:r>
      <w:r w:rsidRPr="00650116">
        <w:rPr>
          <w:rFonts w:asciiTheme="majorHAnsi" w:hAnsiTheme="majorHAnsi"/>
          <w:sz w:val="22"/>
          <w:szCs w:val="22"/>
        </w:rPr>
        <w:t xml:space="preserve">In terms of predicting anxiety dysfunction, in choosing the </w:t>
      </w:r>
      <w:r w:rsidRPr="00650116">
        <w:rPr>
          <w:rFonts w:asciiTheme="majorHAnsi" w:hAnsiTheme="majorHAnsi" w:cs="Times New Roman"/>
          <w:color w:val="231F20"/>
          <w:sz w:val="22"/>
          <w:szCs w:val="22"/>
        </w:rPr>
        <w:t xml:space="preserve">≥4 over ≥5 cut-off score, there </w:t>
      </w:r>
      <w:r w:rsidRPr="00650116">
        <w:rPr>
          <w:rFonts w:asciiTheme="majorHAnsi" w:hAnsiTheme="majorHAnsi"/>
          <w:sz w:val="22"/>
          <w:szCs w:val="22"/>
        </w:rPr>
        <w:t xml:space="preserve">is a trade off i.e. there is better sensitivity with ≥4 (84% versus 78%) but worse specificity (76% versus 81%). In terms of predicting mood dysfunction, the ≥5 is only slightly more effective as the sensitivity rate is equal to the ≥4 cut off (i.e. 78%) but shows better specificity (77% versus 71%). Table 4 suggests that having a cut-off other than ≥4 or ≥5 reduces sensitivity or specificity quite considerably, and hence, the most optimal cut-off probably lies between 4 or 5. From a purely practical screening perspective of wanting to be inclusive and confident of capturing cases of dysfunction, the clinical choice would be to use ≥4 rather than ≥5.  This is may be the reason why both cut-offs have been suggested in the literature. </w:t>
      </w:r>
      <w:r w:rsidRPr="00650116">
        <w:rPr>
          <w:rFonts w:asciiTheme="majorHAnsi" w:hAnsiTheme="majorHAnsi" w:cs="Times New Roman"/>
          <w:sz w:val="22"/>
          <w:szCs w:val="22"/>
        </w:rPr>
        <w:t xml:space="preserve">While HADS was not used in this study, </w:t>
      </w:r>
      <w:r w:rsidRPr="00650116">
        <w:rPr>
          <w:rFonts w:asciiTheme="majorHAnsi" w:hAnsiTheme="majorHAnsi"/>
          <w:sz w:val="22"/>
          <w:szCs w:val="22"/>
          <w:lang w:val="en-GB"/>
        </w:rPr>
        <w:t xml:space="preserve">our results echo the findings of other studies that have evaluated a DT cut-off score </w:t>
      </w:r>
      <w:r w:rsidRPr="00650116">
        <w:rPr>
          <w:rFonts w:asciiTheme="majorHAnsi" w:hAnsiTheme="majorHAnsi"/>
          <w:sz w:val="22"/>
          <w:szCs w:val="22"/>
        </w:rPr>
        <w:t xml:space="preserve">≥4 </w:t>
      </w:r>
      <w:r w:rsidRPr="00650116">
        <w:rPr>
          <w:rFonts w:asciiTheme="majorHAnsi" w:hAnsiTheme="majorHAnsi"/>
          <w:sz w:val="22"/>
          <w:szCs w:val="22"/>
          <w:lang w:val="en-GB"/>
        </w:rPr>
        <w:t xml:space="preserve">relative to HADS in cohorts at a similar plane on the cancer trajectory i.e. post-treatment cancer patients attending outpatient clinics </w:t>
      </w:r>
      <w:r w:rsidRPr="00650116">
        <w:rPr>
          <w:rFonts w:asciiTheme="majorHAnsi" w:hAnsiTheme="majorHAnsi" w:cs="Times New Roman"/>
          <w:sz w:val="22"/>
          <w:szCs w:val="22"/>
          <w:vertAlign w:val="superscript"/>
          <w:lang w:eastAsia="en-GB"/>
        </w:rPr>
        <w:t>23,32</w:t>
      </w:r>
      <w:r w:rsidRPr="00650116">
        <w:rPr>
          <w:rFonts w:asciiTheme="majorHAnsi" w:hAnsiTheme="majorHAnsi" w:cs="Times New Roman"/>
          <w:sz w:val="22"/>
          <w:szCs w:val="22"/>
          <w:lang w:eastAsia="en-GB"/>
        </w:rPr>
        <w:t xml:space="preserve">. Our finding may be related to the strong correlation between UWQOL with HADS </w:t>
      </w:r>
      <w:r w:rsidRPr="00650116">
        <w:rPr>
          <w:rFonts w:asciiTheme="majorHAnsi" w:hAnsiTheme="majorHAnsi" w:cs="Times New Roman"/>
          <w:sz w:val="22"/>
          <w:szCs w:val="22"/>
          <w:vertAlign w:val="superscript"/>
          <w:lang w:eastAsia="en-GB"/>
        </w:rPr>
        <w:t>27,30</w:t>
      </w:r>
      <w:r w:rsidRPr="00650116">
        <w:rPr>
          <w:rFonts w:asciiTheme="majorHAnsi" w:hAnsiTheme="majorHAnsi" w:cs="Times New Roman"/>
          <w:sz w:val="22"/>
          <w:szCs w:val="22"/>
          <w:lang w:eastAsia="en-GB"/>
        </w:rPr>
        <w:t xml:space="preserve">. </w:t>
      </w:r>
    </w:p>
    <w:p w:rsidR="007667E1" w:rsidRPr="00650116" w:rsidRDefault="007667E1" w:rsidP="007667E1">
      <w:pPr>
        <w:widowControl w:val="0"/>
        <w:autoSpaceDE w:val="0"/>
        <w:autoSpaceDN w:val="0"/>
        <w:adjustRightInd w:val="0"/>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Significant distress as determined by DT (cut-off score </w:t>
      </w:r>
      <w:r w:rsidRPr="00650116">
        <w:rPr>
          <w:rFonts w:asciiTheme="majorHAnsi" w:hAnsiTheme="majorHAnsi" w:cs="Times New Roman"/>
          <w:color w:val="231F20"/>
          <w:sz w:val="22"/>
          <w:szCs w:val="22"/>
        </w:rPr>
        <w:t>≥4)</w:t>
      </w:r>
      <w:r w:rsidRPr="00650116">
        <w:rPr>
          <w:rFonts w:asciiTheme="majorHAnsi" w:hAnsiTheme="majorHAnsi"/>
          <w:sz w:val="22"/>
          <w:szCs w:val="22"/>
        </w:rPr>
        <w:t xml:space="preserve"> was 36% in this cohort. When using the UWQOL algorithm, the significant mood and/or anxiety dysfunction rate was 24% (</w:t>
      </w:r>
      <w:r w:rsidR="00EA4396">
        <w:rPr>
          <w:rFonts w:asciiTheme="majorHAnsi" w:hAnsiTheme="majorHAnsi"/>
          <w:sz w:val="22"/>
          <w:szCs w:val="22"/>
        </w:rPr>
        <w:t>63/261</w:t>
      </w:r>
      <w:r w:rsidRPr="00650116">
        <w:rPr>
          <w:rFonts w:asciiTheme="majorHAnsi" w:hAnsiTheme="majorHAnsi"/>
          <w:sz w:val="22"/>
          <w:szCs w:val="22"/>
        </w:rPr>
        <w:t xml:space="preserve">), </w:t>
      </w:r>
      <w:r w:rsidRPr="00650116">
        <w:rPr>
          <w:rFonts w:asciiTheme="majorHAnsi" w:hAnsiTheme="majorHAnsi"/>
          <w:sz w:val="22"/>
          <w:szCs w:val="22"/>
        </w:rPr>
        <w:t xml:space="preserve">which is similar to that seen in our previous work in different group of post-treatment disease-free HNC, where the reported rate was 26% (116/454) </w:t>
      </w:r>
      <w:r w:rsidRPr="00650116">
        <w:rPr>
          <w:rFonts w:asciiTheme="majorHAnsi" w:hAnsiTheme="majorHAnsi"/>
          <w:sz w:val="22"/>
          <w:szCs w:val="22"/>
          <w:vertAlign w:val="superscript"/>
        </w:rPr>
        <w:t>4</w:t>
      </w:r>
      <w:r w:rsidRPr="00650116">
        <w:rPr>
          <w:rFonts w:asciiTheme="majorHAnsi" w:hAnsiTheme="majorHAnsi"/>
          <w:sz w:val="22"/>
          <w:szCs w:val="22"/>
        </w:rPr>
        <w:t xml:space="preserve">. When UWQOL was combined with the Patients Concerns Inventory, a patient-reported tool that aids patients in highlighting their concerns, the proportion of patients with significant mood and anxiety problems/concerns was higher i.e. 44% (89/204). </w:t>
      </w:r>
      <w:r w:rsidRPr="00650116">
        <w:rPr>
          <w:rFonts w:asciiTheme="majorHAnsi" w:hAnsiTheme="majorHAnsi" w:cs="Times New Roman"/>
          <w:color w:val="231F20"/>
          <w:sz w:val="22"/>
          <w:szCs w:val="22"/>
        </w:rPr>
        <w:t xml:space="preserve">In addition, </w:t>
      </w:r>
      <w:r w:rsidRPr="00650116">
        <w:rPr>
          <w:rFonts w:asciiTheme="majorHAnsi" w:hAnsiTheme="majorHAnsi"/>
          <w:sz w:val="22"/>
          <w:szCs w:val="22"/>
        </w:rPr>
        <w:t xml:space="preserve">those with had significant mood and anxiety problems identified by UWQOL alone and the UWQOL-PCI combination showed a higher onward referral rate for psychological support </w:t>
      </w:r>
      <w:r w:rsidRPr="00650116">
        <w:rPr>
          <w:rFonts w:asciiTheme="majorHAnsi" w:hAnsiTheme="majorHAnsi"/>
          <w:sz w:val="22"/>
          <w:szCs w:val="22"/>
          <w:vertAlign w:val="superscript"/>
        </w:rPr>
        <w:t>4</w:t>
      </w:r>
      <w:r w:rsidRPr="00650116">
        <w:rPr>
          <w:rFonts w:asciiTheme="majorHAnsi" w:hAnsiTheme="majorHAnsi"/>
          <w:sz w:val="22"/>
          <w:szCs w:val="22"/>
        </w:rPr>
        <w:t xml:space="preserve">. The pick up rate using the UWQOL-PCI combination is nearer to the rate reported with DT with cut-off score </w:t>
      </w:r>
      <w:r w:rsidRPr="00650116">
        <w:rPr>
          <w:rFonts w:asciiTheme="majorHAnsi" w:hAnsiTheme="majorHAnsi" w:cs="Times New Roman"/>
          <w:color w:val="231F20"/>
          <w:sz w:val="22"/>
          <w:szCs w:val="22"/>
        </w:rPr>
        <w:t xml:space="preserve">≥4. </w:t>
      </w:r>
      <w:r w:rsidRPr="00650116">
        <w:rPr>
          <w:rFonts w:asciiTheme="majorHAnsi" w:hAnsiTheme="majorHAnsi"/>
          <w:sz w:val="22"/>
          <w:szCs w:val="22"/>
        </w:rPr>
        <w:t xml:space="preserve">Based on this observation, we extrapolate that the DT cut-off score </w:t>
      </w:r>
      <w:r w:rsidRPr="00650116">
        <w:rPr>
          <w:rFonts w:asciiTheme="majorHAnsi" w:hAnsiTheme="majorHAnsi" w:cs="Times New Roman"/>
          <w:color w:val="231F20"/>
          <w:sz w:val="22"/>
          <w:szCs w:val="22"/>
        </w:rPr>
        <w:t>≥4</w:t>
      </w:r>
      <w:r w:rsidRPr="00650116">
        <w:rPr>
          <w:rFonts w:asciiTheme="majorHAnsi" w:hAnsiTheme="majorHAnsi"/>
          <w:sz w:val="22"/>
          <w:szCs w:val="22"/>
        </w:rPr>
        <w:t xml:space="preserve"> may be able to identify most of HNC patients with significant distress. </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cs="Times New Roman"/>
          <w:sz w:val="22"/>
          <w:szCs w:val="22"/>
          <w:lang w:eastAsia="en-GB"/>
        </w:rPr>
      </w:pPr>
      <w:r w:rsidRPr="00650116">
        <w:rPr>
          <w:rFonts w:asciiTheme="majorHAnsi" w:hAnsiTheme="majorHAnsi"/>
          <w:sz w:val="22"/>
          <w:szCs w:val="22"/>
          <w:lang w:val="en-GB"/>
        </w:rPr>
        <w:t xml:space="preserve">In this study, only two clinical-pathological variables, namely, treatment received and length of consultation, were associated with significant distress. In this cohort, RT as a single modality or within a multimodality approach is associated with significant distress. It is known that HNC patients experience increasing symptoms of depression during RT </w:t>
      </w:r>
      <w:r w:rsidRPr="00650116">
        <w:rPr>
          <w:rFonts w:asciiTheme="majorHAnsi" w:hAnsiTheme="majorHAnsi"/>
          <w:sz w:val="22"/>
          <w:szCs w:val="22"/>
          <w:vertAlign w:val="superscript"/>
          <w:lang w:val="en-GB"/>
        </w:rPr>
        <w:t>27</w:t>
      </w:r>
      <w:r w:rsidRPr="00650116">
        <w:rPr>
          <w:rFonts w:asciiTheme="majorHAnsi" w:hAnsiTheme="majorHAnsi"/>
          <w:sz w:val="22"/>
          <w:szCs w:val="22"/>
          <w:lang w:val="en-GB"/>
        </w:rPr>
        <w:t xml:space="preserve">. Depressive symptoms persist post-radiation </w:t>
      </w:r>
      <w:r w:rsidRPr="00650116">
        <w:rPr>
          <w:rFonts w:asciiTheme="majorHAnsi" w:hAnsiTheme="majorHAnsi"/>
          <w:sz w:val="22"/>
          <w:szCs w:val="22"/>
          <w:vertAlign w:val="superscript"/>
          <w:lang w:val="en-GB"/>
        </w:rPr>
        <w:t>3,8</w:t>
      </w:r>
      <w:r w:rsidRPr="00650116">
        <w:rPr>
          <w:rFonts w:asciiTheme="majorHAnsi" w:hAnsiTheme="majorHAnsi"/>
          <w:sz w:val="22"/>
          <w:szCs w:val="22"/>
          <w:lang w:val="en-GB"/>
        </w:rPr>
        <w:t xml:space="preserve"> and while there is slight improvement with time, depression levels remain worse than at pre-treatment </w:t>
      </w:r>
      <w:r w:rsidRPr="00650116">
        <w:rPr>
          <w:rFonts w:asciiTheme="majorHAnsi" w:hAnsiTheme="majorHAnsi"/>
          <w:sz w:val="22"/>
          <w:szCs w:val="22"/>
          <w:vertAlign w:val="superscript"/>
          <w:lang w:val="en-GB"/>
        </w:rPr>
        <w:t>35</w:t>
      </w:r>
      <w:r w:rsidRPr="00650116">
        <w:rPr>
          <w:rFonts w:asciiTheme="majorHAnsi" w:hAnsiTheme="majorHAnsi"/>
          <w:sz w:val="22"/>
          <w:szCs w:val="22"/>
          <w:lang w:val="en-GB"/>
        </w:rPr>
        <w:t xml:space="preserve">. This is also reported by those irradiated post-surgery </w:t>
      </w:r>
      <w:r w:rsidRPr="00650116">
        <w:rPr>
          <w:rFonts w:asciiTheme="majorHAnsi" w:hAnsiTheme="majorHAnsi"/>
          <w:sz w:val="22"/>
          <w:szCs w:val="22"/>
          <w:vertAlign w:val="superscript"/>
          <w:lang w:val="en-GB"/>
        </w:rPr>
        <w:t>3,36</w:t>
      </w:r>
      <w:r w:rsidRPr="00650116">
        <w:rPr>
          <w:rFonts w:asciiTheme="majorHAnsi" w:hAnsiTheme="majorHAnsi"/>
          <w:sz w:val="22"/>
          <w:szCs w:val="22"/>
          <w:lang w:val="en-GB"/>
        </w:rPr>
        <w:t xml:space="preserve">. In contrast, anxiety is less pronounced in HNC patients during RT, which improves after completion of RT </w:t>
      </w:r>
      <w:r w:rsidRPr="00650116">
        <w:rPr>
          <w:rFonts w:asciiTheme="majorHAnsi" w:hAnsiTheme="majorHAnsi"/>
          <w:sz w:val="22"/>
          <w:szCs w:val="22"/>
          <w:vertAlign w:val="superscript"/>
          <w:lang w:val="en-GB"/>
        </w:rPr>
        <w:t>8</w:t>
      </w:r>
      <w:r w:rsidRPr="00650116">
        <w:rPr>
          <w:rFonts w:asciiTheme="majorHAnsi" w:hAnsiTheme="majorHAnsi"/>
          <w:sz w:val="22"/>
          <w:szCs w:val="22"/>
          <w:lang w:val="en-GB"/>
        </w:rPr>
        <w:t xml:space="preserve">. RT-related distress is purportedly related to symptoms burden from side-effects of RT </w:t>
      </w:r>
      <w:r w:rsidRPr="00650116">
        <w:rPr>
          <w:rFonts w:asciiTheme="majorHAnsi" w:hAnsiTheme="majorHAnsi"/>
          <w:sz w:val="22"/>
          <w:szCs w:val="22"/>
          <w:vertAlign w:val="superscript"/>
          <w:lang w:val="en-GB"/>
        </w:rPr>
        <w:t>8</w:t>
      </w:r>
      <w:r w:rsidRPr="00650116">
        <w:rPr>
          <w:rFonts w:asciiTheme="majorHAnsi" w:hAnsiTheme="majorHAnsi"/>
          <w:sz w:val="22"/>
          <w:szCs w:val="22"/>
          <w:lang w:val="en-GB"/>
        </w:rPr>
        <w:t xml:space="preserve"> particularly pain and fatigue in the acute stage, and xerostomia, trismus and osteoradionecrosis in the long-term. This could account for the higher referral rates for psychological support in irradiated HNC patients compared with other cancer types receiving RT </w:t>
      </w:r>
      <w:r w:rsidRPr="00650116">
        <w:rPr>
          <w:rFonts w:asciiTheme="majorHAnsi" w:hAnsiTheme="majorHAnsi"/>
          <w:sz w:val="22"/>
          <w:szCs w:val="22"/>
          <w:vertAlign w:val="superscript"/>
          <w:lang w:val="en-GB"/>
        </w:rPr>
        <w:t>37</w:t>
      </w:r>
      <w:r w:rsidRPr="00650116">
        <w:rPr>
          <w:rFonts w:asciiTheme="majorHAnsi" w:hAnsiTheme="majorHAnsi"/>
          <w:sz w:val="22"/>
          <w:szCs w:val="22"/>
          <w:lang w:val="en-GB"/>
        </w:rPr>
        <w:t>.</w:t>
      </w:r>
      <w:r w:rsidR="00587B8C">
        <w:rPr>
          <w:rFonts w:asciiTheme="majorHAnsi" w:hAnsiTheme="majorHAnsi"/>
          <w:sz w:val="22"/>
          <w:szCs w:val="22"/>
          <w:lang w:val="en-GB"/>
        </w:rPr>
        <w:t xml:space="preserve"> It is surprising that the tumour stage did not directly relate to distress because tumours with larger dimensions tend to cause more dysfunction due to the extent and combination of treatment rendered. This</w:t>
      </w:r>
      <w:r w:rsidR="00535FFD">
        <w:rPr>
          <w:rFonts w:asciiTheme="majorHAnsi" w:hAnsiTheme="majorHAnsi"/>
          <w:sz w:val="22"/>
          <w:szCs w:val="22"/>
          <w:lang w:val="en-GB"/>
        </w:rPr>
        <w:t xml:space="preserve"> may be due to the manner by which the analysis was undertaken. </w:t>
      </w:r>
    </w:p>
    <w:p w:rsidR="007667E1" w:rsidRPr="00650116" w:rsidRDefault="007667E1" w:rsidP="007667E1">
      <w:pPr>
        <w:spacing w:line="360" w:lineRule="auto"/>
        <w:contextualSpacing/>
        <w:jc w:val="both"/>
        <w:rPr>
          <w:rFonts w:asciiTheme="majorHAnsi" w:hAnsiTheme="majorHAnsi"/>
          <w:sz w:val="22"/>
          <w:szCs w:val="22"/>
          <w:lang w:val="en-GB"/>
        </w:rPr>
      </w:pPr>
    </w:p>
    <w:p w:rsidR="007667E1" w:rsidRPr="00650116" w:rsidRDefault="007667E1" w:rsidP="007667E1">
      <w:pPr>
        <w:spacing w:line="360" w:lineRule="auto"/>
        <w:contextualSpacing/>
        <w:jc w:val="both"/>
        <w:rPr>
          <w:rFonts w:asciiTheme="majorHAnsi" w:hAnsiTheme="majorHAnsi"/>
          <w:sz w:val="22"/>
          <w:szCs w:val="22"/>
          <w:lang w:val="en-GB"/>
        </w:rPr>
      </w:pPr>
      <w:r w:rsidRPr="00650116">
        <w:rPr>
          <w:rFonts w:asciiTheme="majorHAnsi" w:hAnsiTheme="majorHAnsi"/>
          <w:sz w:val="22"/>
          <w:szCs w:val="22"/>
          <w:lang w:val="en-GB"/>
        </w:rPr>
        <w:t xml:space="preserve">A longer consultation time was associated with significant distress in this study. Consultation comprises of proportional time dedicated to HN examination, inspection of surgical wounds/dressing and patient-doctor discussions on a range of topics that may be related or otherwise to HNC. Any concerning issue(s) could result in an increase in the overall consultation time, e.g. through having extensive physical examinations and/or longer discussions. This may be relevant as </w:t>
      </w:r>
      <w:r w:rsidRPr="00650116">
        <w:rPr>
          <w:rFonts w:asciiTheme="majorHAnsi" w:hAnsiTheme="majorHAnsi"/>
          <w:sz w:val="22"/>
          <w:szCs w:val="22"/>
        </w:rPr>
        <w:t>the number and severity of cancer patients’ concerns</w:t>
      </w:r>
      <w:r w:rsidRPr="00650116">
        <w:rPr>
          <w:rFonts w:asciiTheme="majorHAnsi" w:hAnsiTheme="majorHAnsi"/>
          <w:sz w:val="22"/>
          <w:szCs w:val="22"/>
          <w:lang w:val="en-GB"/>
        </w:rPr>
        <w:t xml:space="preserve"> are </w:t>
      </w:r>
      <w:r w:rsidRPr="00650116">
        <w:rPr>
          <w:rFonts w:asciiTheme="majorHAnsi" w:hAnsiTheme="majorHAnsi"/>
          <w:sz w:val="22"/>
          <w:szCs w:val="22"/>
        </w:rPr>
        <w:t xml:space="preserve">associated with the development of distress </w:t>
      </w:r>
      <w:r w:rsidRPr="00650116">
        <w:rPr>
          <w:rFonts w:asciiTheme="majorHAnsi" w:hAnsiTheme="majorHAnsi"/>
          <w:sz w:val="22"/>
          <w:szCs w:val="22"/>
          <w:vertAlign w:val="superscript"/>
        </w:rPr>
        <w:t>38</w:t>
      </w:r>
      <w:r w:rsidRPr="00650116">
        <w:rPr>
          <w:rFonts w:asciiTheme="majorHAnsi" w:hAnsiTheme="majorHAnsi"/>
          <w:sz w:val="22"/>
          <w:szCs w:val="22"/>
        </w:rPr>
        <w:t xml:space="preserve">. </w:t>
      </w:r>
      <w:r w:rsidRPr="00650116">
        <w:rPr>
          <w:rFonts w:asciiTheme="majorHAnsi" w:hAnsiTheme="majorHAnsi"/>
          <w:sz w:val="22"/>
          <w:szCs w:val="22"/>
          <w:lang w:val="en-GB"/>
        </w:rPr>
        <w:t xml:space="preserve">Distress during routine oncology consultations is frequently associated with FoR </w:t>
      </w:r>
      <w:r w:rsidRPr="00650116">
        <w:rPr>
          <w:rFonts w:asciiTheme="majorHAnsi" w:hAnsiTheme="majorHAnsi"/>
          <w:sz w:val="22"/>
          <w:szCs w:val="22"/>
          <w:vertAlign w:val="superscript"/>
          <w:lang w:val="en-GB"/>
        </w:rPr>
        <w:t>11</w:t>
      </w:r>
      <w:r w:rsidRPr="00650116">
        <w:rPr>
          <w:rFonts w:asciiTheme="majorHAnsi" w:hAnsiTheme="majorHAnsi"/>
          <w:sz w:val="22"/>
          <w:szCs w:val="22"/>
          <w:lang w:val="en-GB"/>
        </w:rPr>
        <w:t xml:space="preserve">, which is the most common concern in HNC clinic visits </w:t>
      </w:r>
      <w:r w:rsidRPr="00650116">
        <w:rPr>
          <w:rFonts w:asciiTheme="majorHAnsi" w:hAnsiTheme="majorHAnsi"/>
          <w:sz w:val="22"/>
          <w:szCs w:val="22"/>
          <w:vertAlign w:val="superscript"/>
          <w:lang w:val="en-GB"/>
        </w:rPr>
        <w:t>9,10,12</w:t>
      </w:r>
      <w:r w:rsidRPr="00650116">
        <w:rPr>
          <w:rFonts w:asciiTheme="majorHAnsi" w:hAnsiTheme="majorHAnsi"/>
          <w:sz w:val="22"/>
          <w:szCs w:val="22"/>
          <w:lang w:val="en-GB"/>
        </w:rPr>
        <w:t xml:space="preserve">. Patients find physical examination and direct reference to issues surrounding cancer recurrence during clinic appointment discussions reassuring </w:t>
      </w:r>
      <w:r w:rsidRPr="00650116">
        <w:rPr>
          <w:rFonts w:asciiTheme="majorHAnsi" w:hAnsiTheme="majorHAnsi"/>
          <w:sz w:val="22"/>
          <w:szCs w:val="22"/>
          <w:vertAlign w:val="superscript"/>
          <w:lang w:val="en-GB"/>
        </w:rPr>
        <w:t>39</w:t>
      </w:r>
      <w:r w:rsidRPr="00650116">
        <w:rPr>
          <w:rFonts w:asciiTheme="majorHAnsi" w:hAnsiTheme="majorHAnsi"/>
          <w:sz w:val="22"/>
          <w:szCs w:val="22"/>
          <w:lang w:val="en-GB"/>
        </w:rPr>
        <w:t xml:space="preserve"> and this may account for longer consultations. Our previous work did not reveal any relationship between the number and type of patient concerns/issues with significant mood and/or anxiety problems </w:t>
      </w:r>
      <w:r w:rsidRPr="00650116">
        <w:rPr>
          <w:rFonts w:asciiTheme="majorHAnsi" w:hAnsiTheme="majorHAnsi"/>
          <w:sz w:val="22"/>
          <w:szCs w:val="22"/>
          <w:vertAlign w:val="superscript"/>
          <w:lang w:val="en-GB"/>
        </w:rPr>
        <w:t>4</w:t>
      </w:r>
      <w:r w:rsidRPr="00650116">
        <w:rPr>
          <w:rFonts w:asciiTheme="majorHAnsi" w:hAnsiTheme="majorHAnsi"/>
          <w:sz w:val="22"/>
          <w:szCs w:val="22"/>
          <w:lang w:val="en-GB"/>
        </w:rPr>
        <w:t xml:space="preserve">, but this is the subject of further data analysis in this current cohort (in press). In a study of adjuncts in facilitating oncology consultations e.g. prompt sheet for patients, higher levels of distress were related to longer consultation times and this was attributed to the contents of the prompt sheet, which include prompts to difficult questions, e.g. prognosis </w:t>
      </w:r>
      <w:r w:rsidRPr="00650116">
        <w:rPr>
          <w:rFonts w:asciiTheme="majorHAnsi" w:hAnsiTheme="majorHAnsi"/>
          <w:sz w:val="22"/>
          <w:szCs w:val="22"/>
          <w:vertAlign w:val="superscript"/>
          <w:lang w:val="en-GB"/>
        </w:rPr>
        <w:t>40</w:t>
      </w:r>
      <w:r w:rsidRPr="00650116">
        <w:rPr>
          <w:rFonts w:asciiTheme="majorHAnsi" w:hAnsiTheme="majorHAnsi"/>
          <w:sz w:val="22"/>
          <w:szCs w:val="22"/>
          <w:lang w:val="en-GB"/>
        </w:rPr>
        <w:t xml:space="preserve">. Associations between younger age, gender, performance status, and tumour characteristics with significant distress in HNC patients evident elsewhere </w:t>
      </w:r>
      <w:r w:rsidRPr="00650116">
        <w:rPr>
          <w:rFonts w:asciiTheme="majorHAnsi" w:hAnsiTheme="majorHAnsi"/>
          <w:sz w:val="22"/>
          <w:szCs w:val="22"/>
          <w:vertAlign w:val="superscript"/>
          <w:lang w:val="en-GB"/>
        </w:rPr>
        <w:t>7,25,26</w:t>
      </w:r>
      <w:r w:rsidRPr="00650116">
        <w:rPr>
          <w:rFonts w:asciiTheme="majorHAnsi" w:hAnsiTheme="majorHAnsi"/>
          <w:sz w:val="22"/>
          <w:szCs w:val="22"/>
          <w:lang w:val="en-GB"/>
        </w:rPr>
        <w:t xml:space="preserve"> were not noted in our study.</w:t>
      </w: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The association between HRQOL with significant distress was evaluated. In our cohort, significant distress was experienced in two-thirds reporting less than “Good” overall QOL, suggesting an association between significant distress and poorer HRQOL, which is not unexpected, and in accordance to previous work </w:t>
      </w:r>
      <w:r w:rsidRPr="00650116">
        <w:rPr>
          <w:rFonts w:asciiTheme="majorHAnsi" w:hAnsiTheme="majorHAnsi"/>
          <w:sz w:val="22"/>
          <w:szCs w:val="22"/>
          <w:vertAlign w:val="superscript"/>
        </w:rPr>
        <w:t>7,8,25</w:t>
      </w:r>
      <w:r w:rsidRPr="00650116">
        <w:rPr>
          <w:rFonts w:asciiTheme="majorHAnsi" w:hAnsiTheme="majorHAnsi"/>
          <w:sz w:val="22"/>
          <w:szCs w:val="22"/>
        </w:rPr>
        <w:t xml:space="preserve">. Distress levels were particularly associated with poorer Social-Emotional function, more so than the association seen with poorer Physical function. This may be related to the additional finding of patients with significant problems in the individual areas of Pain, Activity, Recreation, Mood and Anxiety (i.e. components of the Social-Emotional function subscale) were more likely to report significant distress. Physical functioning showed moderate correlation to significant distress. There is an existing body of literature that supports the notion that both psychosocial and physical correlates contribute towards psychological distress and impacts upon HRQOL </w:t>
      </w:r>
      <w:r w:rsidRPr="00650116">
        <w:rPr>
          <w:rFonts w:asciiTheme="majorHAnsi" w:hAnsiTheme="majorHAnsi"/>
          <w:sz w:val="22"/>
          <w:szCs w:val="22"/>
          <w:vertAlign w:val="superscript"/>
        </w:rPr>
        <w:t>20</w:t>
      </w:r>
      <w:r w:rsidRPr="00650116">
        <w:rPr>
          <w:rFonts w:asciiTheme="majorHAnsi" w:hAnsiTheme="majorHAnsi"/>
          <w:sz w:val="22"/>
          <w:szCs w:val="22"/>
        </w:rPr>
        <w:t xml:space="preserve">. </w:t>
      </w:r>
    </w:p>
    <w:p w:rsidR="007667E1" w:rsidRPr="00650116" w:rsidRDefault="007667E1" w:rsidP="007667E1">
      <w:pPr>
        <w:spacing w:line="360" w:lineRule="auto"/>
        <w:contextualSpacing/>
        <w:rPr>
          <w:rFonts w:asciiTheme="majorHAnsi" w:hAnsiTheme="majorHAnsi"/>
          <w:b/>
          <w:sz w:val="22"/>
          <w:szCs w:val="22"/>
        </w:rPr>
      </w:pPr>
    </w:p>
    <w:p w:rsidR="007667E1" w:rsidRPr="00650116" w:rsidRDefault="007667E1" w:rsidP="007667E1">
      <w:pPr>
        <w:spacing w:line="360" w:lineRule="auto"/>
        <w:contextualSpacing/>
        <w:jc w:val="both"/>
        <w:rPr>
          <w:rFonts w:asciiTheme="majorHAnsi" w:hAnsiTheme="majorHAnsi"/>
          <w:sz w:val="22"/>
          <w:szCs w:val="22"/>
        </w:rPr>
      </w:pPr>
      <w:r w:rsidRPr="00650116">
        <w:rPr>
          <w:rFonts w:asciiTheme="majorHAnsi" w:hAnsiTheme="majorHAnsi"/>
          <w:sz w:val="22"/>
          <w:szCs w:val="22"/>
        </w:rPr>
        <w:t xml:space="preserve">This study may be limited by not including a validated screening tool for anxiety and depression, such as the HADS. The addition of a psychological screening tool may speculatively enhance the overall accuracy, including the sensitivity and specificity of the DT cut-off score identified for a HNC cohort. Another limitation relates to the sample lacking diversity, where patients outside the defined cancer trajectory were excluded i.e. pre-treatment, active treatment and palliative stages, and this may influence generalizability of the DT cut-off score identified. Furthermore, the DT cut off score of </w:t>
      </w:r>
      <w:r w:rsidRPr="00650116">
        <w:rPr>
          <w:rFonts w:asciiTheme="majorHAnsi" w:hAnsiTheme="majorHAnsi" w:cs="Times New Roman"/>
          <w:color w:val="231F20"/>
          <w:sz w:val="22"/>
          <w:szCs w:val="22"/>
        </w:rPr>
        <w:t xml:space="preserve">≥4 was not cross-validated in a second sample, which may provide additional assurances particularly as a validated psychological screening tool was not used. This study did not evaluate other recognised factors related to distress, including performance status, comorbidity and other sociodemographic data e.g. education and employment. This current paper is unable to comment on the beneficial outcomes of distress screening, which is a subject of another publication (in press). </w:t>
      </w:r>
    </w:p>
    <w:p w:rsidR="007667E1" w:rsidRPr="00650116" w:rsidRDefault="007667E1" w:rsidP="007667E1">
      <w:pPr>
        <w:spacing w:line="360" w:lineRule="auto"/>
        <w:contextualSpacing/>
        <w:rPr>
          <w:rFonts w:asciiTheme="majorHAnsi" w:hAnsiTheme="majorHAnsi"/>
          <w:b/>
          <w:sz w:val="22"/>
          <w:szCs w:val="22"/>
        </w:rPr>
      </w:pPr>
    </w:p>
    <w:p w:rsidR="007667E1" w:rsidRPr="00650116" w:rsidRDefault="007667E1" w:rsidP="007667E1">
      <w:pPr>
        <w:spacing w:line="360" w:lineRule="auto"/>
        <w:contextualSpacing/>
        <w:rPr>
          <w:rFonts w:asciiTheme="majorHAnsi" w:hAnsiTheme="majorHAnsi"/>
          <w:b/>
          <w:sz w:val="22"/>
          <w:szCs w:val="22"/>
        </w:rPr>
      </w:pPr>
      <w:r w:rsidRPr="00650116">
        <w:rPr>
          <w:rFonts w:asciiTheme="majorHAnsi" w:hAnsiTheme="majorHAnsi"/>
          <w:b/>
          <w:sz w:val="22"/>
          <w:szCs w:val="22"/>
        </w:rPr>
        <w:t>Conclusions</w:t>
      </w: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lang w:val="en-GB"/>
        </w:rPr>
      </w:pPr>
      <w:r w:rsidRPr="00650116">
        <w:rPr>
          <w:rFonts w:asciiTheme="majorHAnsi" w:hAnsiTheme="majorHAnsi"/>
          <w:sz w:val="22"/>
          <w:szCs w:val="22"/>
        </w:rPr>
        <w:t xml:space="preserve">DT is a reasonable screening tool for distress in the HNC population. The DT </w:t>
      </w:r>
      <w:r w:rsidRPr="00650116">
        <w:rPr>
          <w:rFonts w:asciiTheme="majorHAnsi" w:hAnsiTheme="majorHAnsi" w:cs="Times New Roman"/>
          <w:color w:val="231F20"/>
          <w:sz w:val="22"/>
          <w:szCs w:val="22"/>
        </w:rPr>
        <w:t>cut-off score</w:t>
      </w:r>
      <w:r w:rsidRPr="00650116">
        <w:rPr>
          <w:rFonts w:asciiTheme="majorHAnsi" w:hAnsiTheme="majorHAnsi" w:cs="Times New Roman"/>
          <w:sz w:val="22"/>
          <w:szCs w:val="22"/>
        </w:rPr>
        <w:t xml:space="preserve"> ≥4 </w:t>
      </w:r>
      <w:r w:rsidRPr="00650116">
        <w:rPr>
          <w:rFonts w:asciiTheme="majorHAnsi" w:hAnsiTheme="majorHAnsi"/>
          <w:sz w:val="22"/>
          <w:szCs w:val="22"/>
        </w:rPr>
        <w:t>was effective in identifying those with significant distress. Significant distress is associated in survivors with poorer HRQOL, those who received radiotherapy and patients who have longer consultation times in clinic.</w:t>
      </w:r>
    </w:p>
    <w:p w:rsidR="007667E1" w:rsidRPr="00650116" w:rsidRDefault="007667E1" w:rsidP="007667E1">
      <w:pPr>
        <w:spacing w:line="360" w:lineRule="auto"/>
        <w:contextualSpacing/>
        <w:jc w:val="both"/>
        <w:rPr>
          <w:rFonts w:asciiTheme="majorHAnsi" w:hAnsiTheme="majorHAnsi"/>
          <w:b/>
          <w:sz w:val="22"/>
          <w:szCs w:val="22"/>
        </w:rPr>
      </w:pPr>
    </w:p>
    <w:p w:rsidR="007667E1" w:rsidRDefault="007667E1" w:rsidP="007667E1">
      <w:pPr>
        <w:spacing w:line="360" w:lineRule="auto"/>
        <w:contextualSpacing/>
        <w:jc w:val="both"/>
        <w:rPr>
          <w:rFonts w:asciiTheme="majorHAnsi" w:hAnsiTheme="majorHAnsi"/>
          <w:b/>
          <w:sz w:val="22"/>
          <w:szCs w:val="22"/>
        </w:rPr>
      </w:pPr>
    </w:p>
    <w:p w:rsidR="007667E1" w:rsidRPr="007667E1" w:rsidRDefault="007667E1" w:rsidP="007667E1">
      <w:pPr>
        <w:spacing w:line="360" w:lineRule="auto"/>
        <w:contextualSpacing/>
        <w:jc w:val="both"/>
        <w:rPr>
          <w:rFonts w:asciiTheme="majorHAnsi" w:hAnsiTheme="majorHAnsi"/>
          <w:b/>
          <w:sz w:val="22"/>
          <w:szCs w:val="22"/>
        </w:rPr>
      </w:pPr>
      <w:r>
        <w:rPr>
          <w:rFonts w:asciiTheme="majorHAnsi" w:hAnsiTheme="majorHAnsi"/>
          <w:b/>
          <w:sz w:val="22"/>
          <w:szCs w:val="22"/>
        </w:rPr>
        <w:t xml:space="preserve">Acknowledgement: </w:t>
      </w:r>
      <w:r w:rsidRPr="00650116">
        <w:rPr>
          <w:rFonts w:asciiTheme="majorHAnsi" w:hAnsiTheme="majorHAnsi"/>
          <w:sz w:val="22"/>
          <w:szCs w:val="22"/>
        </w:rPr>
        <w:t xml:space="preserve">This study was funded by the British Association of Oral &amp; Maxillofacial Surgeons’ Endowment funds. </w:t>
      </w:r>
    </w:p>
    <w:p w:rsidR="004B6834" w:rsidRDefault="004B6834" w:rsidP="007667E1">
      <w:pPr>
        <w:spacing w:line="360" w:lineRule="auto"/>
        <w:contextualSpacing/>
        <w:rPr>
          <w:rFonts w:asciiTheme="majorHAnsi" w:hAnsiTheme="majorHAnsi"/>
          <w:b/>
          <w:sz w:val="22"/>
          <w:szCs w:val="22"/>
        </w:rPr>
      </w:pPr>
    </w:p>
    <w:p w:rsidR="007667E1" w:rsidRPr="00650116" w:rsidRDefault="007667E1" w:rsidP="007667E1">
      <w:pPr>
        <w:spacing w:line="360" w:lineRule="auto"/>
        <w:contextualSpacing/>
        <w:rPr>
          <w:rFonts w:asciiTheme="majorHAnsi" w:hAnsiTheme="majorHAnsi"/>
          <w:sz w:val="22"/>
          <w:szCs w:val="22"/>
        </w:rPr>
      </w:pPr>
      <w:r w:rsidRPr="00650116">
        <w:rPr>
          <w:rFonts w:asciiTheme="majorHAnsi" w:hAnsiTheme="majorHAnsi"/>
          <w:b/>
          <w:sz w:val="22"/>
          <w:szCs w:val="22"/>
        </w:rPr>
        <w:t>References:</w:t>
      </w:r>
    </w:p>
    <w:p w:rsidR="007667E1" w:rsidRPr="00650116" w:rsidRDefault="007667E1" w:rsidP="007667E1">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Holland JC, Bultz BD. The NCCN guideline for distress management: A case for making distress the sixth vital sign. </w:t>
      </w:r>
      <w:r w:rsidRPr="00650116">
        <w:rPr>
          <w:rFonts w:asciiTheme="majorHAnsi" w:hAnsiTheme="majorHAnsi" w:cs="Times New Roman"/>
          <w:i/>
        </w:rPr>
        <w:t>J Natl Compr Canc Netw.</w:t>
      </w:r>
      <w:r w:rsidRPr="00650116">
        <w:rPr>
          <w:rFonts w:asciiTheme="majorHAnsi" w:hAnsiTheme="majorHAnsi" w:cs="Times New Roman"/>
        </w:rPr>
        <w:t xml:space="preserve"> 2007; </w:t>
      </w:r>
      <w:r w:rsidRPr="00650116">
        <w:rPr>
          <w:rFonts w:asciiTheme="majorHAnsi" w:hAnsiTheme="majorHAnsi" w:cs="Times New Roman"/>
          <w:b/>
        </w:rPr>
        <w:t>5</w:t>
      </w:r>
      <w:r w:rsidRPr="00650116">
        <w:rPr>
          <w:rFonts w:asciiTheme="majorHAnsi" w:hAnsiTheme="majorHAnsi" w:cs="Times New Roman"/>
        </w:rPr>
        <w:t xml:space="preserve">:3-7. </w:t>
      </w:r>
    </w:p>
    <w:p w:rsidR="007667E1" w:rsidRPr="00650116" w:rsidRDefault="007667E1" w:rsidP="007667E1">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Bultz B, Johansen C: Screening for distress, the 6th vital sign: Where are we, and where are we going? </w:t>
      </w:r>
      <w:r w:rsidRPr="00650116">
        <w:rPr>
          <w:rFonts w:asciiTheme="majorHAnsi" w:hAnsiTheme="majorHAnsi" w:cs="Times New Roman"/>
          <w:i/>
        </w:rPr>
        <w:t>Psychooncology.</w:t>
      </w:r>
      <w:r w:rsidRPr="00650116">
        <w:rPr>
          <w:rFonts w:asciiTheme="majorHAnsi" w:hAnsiTheme="majorHAnsi" w:cs="Times New Roman"/>
        </w:rPr>
        <w:t xml:space="preserve"> 2011; </w:t>
      </w:r>
      <w:r w:rsidRPr="00650116">
        <w:rPr>
          <w:rFonts w:asciiTheme="majorHAnsi" w:hAnsiTheme="majorHAnsi" w:cs="Times New Roman"/>
          <w:b/>
        </w:rPr>
        <w:t>20</w:t>
      </w:r>
      <w:r w:rsidRPr="00650116">
        <w:rPr>
          <w:rFonts w:asciiTheme="majorHAnsi" w:hAnsiTheme="majorHAnsi" w:cs="Times New Roman"/>
        </w:rPr>
        <w:t>:569-571.</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Katz MR, Kopek N, Waldron J, Devins GM, Tomlinson G. Screening for depression in head and neck cancer. </w:t>
      </w:r>
      <w:r w:rsidRPr="00650116">
        <w:rPr>
          <w:rFonts w:asciiTheme="majorHAnsi" w:hAnsiTheme="majorHAnsi" w:cs="Times New Roman"/>
          <w:i/>
        </w:rPr>
        <w:t>Psychooncology</w:t>
      </w:r>
      <w:r w:rsidRPr="00650116">
        <w:rPr>
          <w:rFonts w:asciiTheme="majorHAnsi" w:hAnsiTheme="majorHAnsi" w:cs="Times New Roman"/>
        </w:rPr>
        <w:t xml:space="preserve"> 2004; </w:t>
      </w:r>
      <w:r w:rsidRPr="00650116">
        <w:rPr>
          <w:rFonts w:asciiTheme="majorHAnsi" w:hAnsiTheme="majorHAnsi" w:cs="Times New Roman"/>
          <w:b/>
        </w:rPr>
        <w:t>13</w:t>
      </w:r>
      <w:r w:rsidRPr="00650116">
        <w:rPr>
          <w:rFonts w:asciiTheme="majorHAnsi" w:hAnsiTheme="majorHAnsi" w:cs="Times New Roman"/>
        </w:rPr>
        <w:t>:269–80.</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Kanatas A, Ghazali N, Lowe D, Rogers SN. The identification of mood and anxiety concerns using the Patients Concerns Inventory following head and neck cancer. </w:t>
      </w:r>
      <w:r w:rsidRPr="00650116">
        <w:rPr>
          <w:rFonts w:asciiTheme="majorHAnsi" w:hAnsiTheme="majorHAnsi" w:cs="Times New Roman"/>
          <w:i/>
        </w:rPr>
        <w:t xml:space="preserve">Int J Oral Maxillofac Surg. </w:t>
      </w:r>
      <w:r w:rsidRPr="00650116">
        <w:rPr>
          <w:rFonts w:asciiTheme="majorHAnsi" w:hAnsiTheme="majorHAnsi" w:cs="Times New Roman"/>
        </w:rPr>
        <w:t xml:space="preserve">2012; </w:t>
      </w:r>
      <w:r w:rsidRPr="00650116">
        <w:rPr>
          <w:rFonts w:asciiTheme="majorHAnsi" w:hAnsiTheme="majorHAnsi" w:cs="Times New Roman"/>
          <w:b/>
        </w:rPr>
        <w:t>41</w:t>
      </w:r>
      <w:r w:rsidRPr="00650116">
        <w:rPr>
          <w:rFonts w:asciiTheme="majorHAnsi" w:hAnsiTheme="majorHAnsi" w:cs="Times New Roman"/>
        </w:rPr>
        <w:t>: 429–436.</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Carlson LE, Waller A, Mitchell AJ. Screening for Distress and Unmet Needs in Patients With Cancer: Review and Recommendations. </w:t>
      </w:r>
      <w:r w:rsidRPr="00650116">
        <w:rPr>
          <w:rFonts w:asciiTheme="majorHAnsi" w:hAnsiTheme="majorHAnsi" w:cs="Times New Roman"/>
          <w:i/>
        </w:rPr>
        <w:t xml:space="preserve">J Clin Oncol. </w:t>
      </w:r>
      <w:r w:rsidRPr="00650116">
        <w:rPr>
          <w:rFonts w:asciiTheme="majorHAnsi" w:hAnsiTheme="majorHAnsi" w:cs="Times New Roman"/>
        </w:rPr>
        <w:t>2012; 30:1160-1177.</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de Leeuw JR, de Graeff A, Ros WJ, Blijham GH, Hordijk GJ, Winnubst JA. Prediction of depressive symptomatology after treatment of head and neck cancer:  the influence of pre-treatment physical and depressive symptoms, coping, and social support. </w:t>
      </w:r>
      <w:r w:rsidRPr="00650116">
        <w:rPr>
          <w:rFonts w:asciiTheme="majorHAnsi" w:hAnsiTheme="majorHAnsi" w:cs="Courier"/>
          <w:i/>
        </w:rPr>
        <w:t>Head Neck.</w:t>
      </w:r>
      <w:r w:rsidRPr="00650116">
        <w:rPr>
          <w:rFonts w:asciiTheme="majorHAnsi" w:hAnsiTheme="majorHAnsi" w:cs="Courier"/>
        </w:rPr>
        <w:t xml:space="preserve"> 2000; </w:t>
      </w:r>
      <w:r w:rsidRPr="00650116">
        <w:rPr>
          <w:rFonts w:asciiTheme="majorHAnsi" w:hAnsiTheme="majorHAnsi" w:cs="Courier"/>
          <w:b/>
        </w:rPr>
        <w:t>22</w:t>
      </w:r>
      <w:r w:rsidRPr="00650116">
        <w:rPr>
          <w:rFonts w:asciiTheme="majorHAnsi" w:hAnsiTheme="majorHAnsi" w:cs="Courier"/>
        </w:rPr>
        <w:t xml:space="preserve">: 799-807. </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Hammerlid E, Ahlner-Elmqvist M, Bjordal K, Biojrklund A, Evensen J, Boysen M, et al. A prospective multicentre study in Sweden and Norway of mental distress and psychiatric morbidity in head and neck cancer patients. </w:t>
      </w:r>
      <w:r w:rsidRPr="00650116">
        <w:rPr>
          <w:rFonts w:asciiTheme="majorHAnsi" w:hAnsiTheme="majorHAnsi" w:cs="Times New Roman"/>
          <w:i/>
        </w:rPr>
        <w:t>Br J Cancer.</w:t>
      </w:r>
      <w:r w:rsidRPr="00650116">
        <w:rPr>
          <w:rFonts w:asciiTheme="majorHAnsi" w:hAnsiTheme="majorHAnsi" w:cs="Times New Roman"/>
        </w:rPr>
        <w:t xml:space="preserve"> 1999; </w:t>
      </w:r>
      <w:r w:rsidRPr="00650116">
        <w:rPr>
          <w:rFonts w:asciiTheme="majorHAnsi" w:hAnsiTheme="majorHAnsi" w:cs="Times New Roman"/>
          <w:b/>
        </w:rPr>
        <w:t>80</w:t>
      </w:r>
      <w:r w:rsidRPr="00650116">
        <w:rPr>
          <w:rFonts w:asciiTheme="majorHAnsi" w:hAnsiTheme="majorHAnsi" w:cs="Times New Roman"/>
        </w:rPr>
        <w:t>:766–74.</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Kohda T, Otsubo K, Kuwakado Y, Tanaka K, Kitahara T, Yoshimura K, et al. Prospective studies on mental status and quality of life in patients with head and neck cancer treated by radiation. </w:t>
      </w:r>
      <w:r w:rsidRPr="00650116">
        <w:rPr>
          <w:rFonts w:asciiTheme="majorHAnsi" w:hAnsiTheme="majorHAnsi" w:cs="Times New Roman"/>
          <w:i/>
        </w:rPr>
        <w:t>Psychooncology.</w:t>
      </w:r>
      <w:r w:rsidRPr="00650116">
        <w:rPr>
          <w:rFonts w:asciiTheme="majorHAnsi" w:hAnsiTheme="majorHAnsi" w:cs="Times New Roman"/>
        </w:rPr>
        <w:t xml:space="preserve"> 2005; </w:t>
      </w:r>
      <w:r w:rsidRPr="00650116">
        <w:rPr>
          <w:rFonts w:asciiTheme="majorHAnsi" w:hAnsiTheme="majorHAnsi" w:cs="Times New Roman"/>
          <w:b/>
        </w:rPr>
        <w:t>14</w:t>
      </w:r>
      <w:r w:rsidRPr="00650116">
        <w:rPr>
          <w:rFonts w:asciiTheme="majorHAnsi" w:hAnsiTheme="majorHAnsi" w:cs="Times New Roman"/>
        </w:rPr>
        <w:t>:331–6.</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Rogers SN, El-Sheikha J, Lowe D. The development of a Patients Concerns Inventory (PCI) to help reveal patients concerns in the head and neck clinic. </w:t>
      </w:r>
      <w:r w:rsidRPr="00650116">
        <w:rPr>
          <w:rFonts w:asciiTheme="majorHAnsi" w:hAnsiTheme="majorHAnsi" w:cs="Times New Roman"/>
          <w:i/>
        </w:rPr>
        <w:t>Oral Oncol.</w:t>
      </w:r>
      <w:r w:rsidRPr="00650116">
        <w:rPr>
          <w:rFonts w:asciiTheme="majorHAnsi" w:hAnsiTheme="majorHAnsi" w:cs="Times New Roman"/>
        </w:rPr>
        <w:t xml:space="preserve"> 2009; </w:t>
      </w:r>
      <w:r w:rsidRPr="00650116">
        <w:rPr>
          <w:rFonts w:asciiTheme="majorHAnsi" w:hAnsiTheme="majorHAnsi" w:cs="Times New Roman"/>
          <w:b/>
        </w:rPr>
        <w:t>45</w:t>
      </w:r>
      <w:r w:rsidRPr="00650116">
        <w:rPr>
          <w:rFonts w:asciiTheme="majorHAnsi" w:hAnsiTheme="majorHAnsi" w:cs="Times New Roman"/>
        </w:rPr>
        <w:t xml:space="preserve">: 555-61. </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Rogers SN, Scott B, Lowe D, Ozakinci G, Humphris GM. Fear of recurrence following head and neck cancer in the outpatient clinic. </w:t>
      </w:r>
      <w:r w:rsidRPr="00650116">
        <w:rPr>
          <w:rFonts w:asciiTheme="majorHAnsi" w:hAnsiTheme="majorHAnsi" w:cs="Times New Roman"/>
          <w:i/>
        </w:rPr>
        <w:t>Eur Arch Otorhinolaryngol.</w:t>
      </w:r>
      <w:r w:rsidRPr="00650116">
        <w:rPr>
          <w:rFonts w:asciiTheme="majorHAnsi" w:hAnsiTheme="majorHAnsi" w:cs="Times New Roman"/>
        </w:rPr>
        <w:t xml:space="preserve"> 2011; </w:t>
      </w:r>
      <w:r w:rsidRPr="00650116">
        <w:rPr>
          <w:rFonts w:asciiTheme="majorHAnsi" w:hAnsiTheme="majorHAnsi" w:cs="Times New Roman"/>
          <w:b/>
        </w:rPr>
        <w:t>267</w:t>
      </w:r>
      <w:r w:rsidRPr="00650116">
        <w:rPr>
          <w:rFonts w:asciiTheme="majorHAnsi" w:hAnsiTheme="majorHAnsi" w:cs="Times New Roman"/>
        </w:rPr>
        <w:t>:1943–9.</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Hodges LJ, Humphris GM. Fear of recurrence and psychological distress in head and neck cancer patients and their carers. </w:t>
      </w:r>
      <w:r w:rsidRPr="00650116">
        <w:rPr>
          <w:rFonts w:asciiTheme="majorHAnsi" w:hAnsiTheme="majorHAnsi" w:cs="Times New Roman"/>
          <w:i/>
        </w:rPr>
        <w:t>Psychooncology.</w:t>
      </w:r>
      <w:r w:rsidRPr="00650116">
        <w:rPr>
          <w:rFonts w:asciiTheme="majorHAnsi" w:hAnsiTheme="majorHAnsi" w:cs="Times New Roman"/>
        </w:rPr>
        <w:t xml:space="preserve"> 2009; </w:t>
      </w:r>
      <w:r w:rsidRPr="00650116">
        <w:rPr>
          <w:rFonts w:asciiTheme="majorHAnsi" w:hAnsiTheme="majorHAnsi" w:cs="Times New Roman"/>
          <w:b/>
        </w:rPr>
        <w:t>18</w:t>
      </w:r>
      <w:r w:rsidRPr="00650116">
        <w:rPr>
          <w:rFonts w:asciiTheme="majorHAnsi" w:hAnsiTheme="majorHAnsi" w:cs="Times New Roman"/>
        </w:rPr>
        <w:t>:841–8.</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Arial"/>
        </w:rPr>
        <w:t xml:space="preserve">Ghazali N, Cadwallader E, Lowe D, Humphris G, Ozakinci G, Rogers SN. Fear of Recurrence Amongst Head and Neck Cancer Survivors: Longitudinal Trends. </w:t>
      </w:r>
      <w:r w:rsidRPr="00650116">
        <w:rPr>
          <w:rFonts w:asciiTheme="majorHAnsi" w:hAnsiTheme="majorHAnsi" w:cs="Arial"/>
          <w:i/>
        </w:rPr>
        <w:t xml:space="preserve">Psychooncology. </w:t>
      </w:r>
      <w:r w:rsidRPr="00650116">
        <w:rPr>
          <w:rFonts w:asciiTheme="majorHAnsi" w:hAnsiTheme="majorHAnsi" w:cs="Courier"/>
        </w:rPr>
        <w:t xml:space="preserve">2013; </w:t>
      </w:r>
      <w:r w:rsidRPr="00650116">
        <w:rPr>
          <w:rFonts w:asciiTheme="majorHAnsi" w:hAnsiTheme="majorHAnsi" w:cs="Courier"/>
          <w:b/>
        </w:rPr>
        <w:t>22</w:t>
      </w:r>
      <w:r w:rsidRPr="00650116">
        <w:rPr>
          <w:rFonts w:asciiTheme="majorHAnsi" w:hAnsiTheme="majorHAnsi" w:cs="Courier"/>
        </w:rPr>
        <w:t>:807-13</w:t>
      </w:r>
      <w:r w:rsidRPr="00650116">
        <w:rPr>
          <w:rFonts w:asciiTheme="majorHAnsi" w:hAnsiTheme="majorHAnsi" w:cs="Arial"/>
        </w:rPr>
        <w:t>.</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Shim EJ, Mehnert A, Koyama A et al. Health-related quality of life in breast cancer: cross-cultural survey of German, Japanese, and South Korean patients. </w:t>
      </w:r>
      <w:r w:rsidRPr="00650116">
        <w:rPr>
          <w:rFonts w:asciiTheme="majorHAnsi" w:hAnsiTheme="majorHAnsi" w:cs="Times New Roman"/>
          <w:i/>
        </w:rPr>
        <w:t xml:space="preserve">Breast Cancer Res Treat </w:t>
      </w:r>
      <w:r w:rsidRPr="00650116">
        <w:rPr>
          <w:rFonts w:asciiTheme="majorHAnsi" w:hAnsiTheme="majorHAnsi" w:cs="Times New Roman"/>
        </w:rPr>
        <w:t xml:space="preserve">2006; </w:t>
      </w:r>
      <w:r w:rsidRPr="00650116">
        <w:rPr>
          <w:rFonts w:asciiTheme="majorHAnsi" w:hAnsiTheme="majorHAnsi" w:cs="Times New Roman"/>
          <w:b/>
        </w:rPr>
        <w:t>99</w:t>
      </w:r>
      <w:r w:rsidRPr="00650116">
        <w:rPr>
          <w:rFonts w:asciiTheme="majorHAnsi" w:hAnsiTheme="majorHAnsi" w:cs="Times New Roman"/>
        </w:rPr>
        <w:t>:341–350.</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Ozalp E, Cankurtaran ES, Soygur H, Ozdemir Geyik P, Jacobsen PB. Screening for psychological distress in Turkish cancer patients. </w:t>
      </w:r>
      <w:r w:rsidRPr="00650116">
        <w:rPr>
          <w:rFonts w:asciiTheme="majorHAnsi" w:hAnsiTheme="majorHAnsi" w:cs="Times New Roman"/>
          <w:i/>
        </w:rPr>
        <w:t>Psychooncology.</w:t>
      </w:r>
      <w:r w:rsidRPr="00650116">
        <w:rPr>
          <w:rFonts w:asciiTheme="majorHAnsi" w:hAnsiTheme="majorHAnsi" w:cs="Times New Roman"/>
        </w:rPr>
        <w:t xml:space="preserve"> 2007; </w:t>
      </w:r>
      <w:r w:rsidRPr="00650116">
        <w:rPr>
          <w:rFonts w:asciiTheme="majorHAnsi" w:hAnsiTheme="majorHAnsi" w:cs="Times New Roman"/>
          <w:b/>
        </w:rPr>
        <w:t>16</w:t>
      </w:r>
      <w:r w:rsidRPr="00650116">
        <w:rPr>
          <w:rFonts w:asciiTheme="majorHAnsi" w:hAnsiTheme="majorHAnsi" w:cs="Times New Roman"/>
        </w:rPr>
        <w:t>: 304–311.</w:t>
      </w:r>
      <w:r w:rsidRPr="00650116">
        <w:rPr>
          <w:rFonts w:asciiTheme="majorHAnsi" w:hAnsiTheme="majorHAnsi"/>
        </w:rPr>
        <w:t xml:space="preserve"> </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DiMatteo MR, Lepper HS, Croghan TW. Depression is a risk factor for noncompliance with medical treatment: meta-analysis of the effects of anxiety and depression on patient adherence. </w:t>
      </w:r>
      <w:r w:rsidRPr="00650116">
        <w:rPr>
          <w:rFonts w:asciiTheme="majorHAnsi" w:hAnsiTheme="majorHAnsi" w:cs="Times New Roman"/>
          <w:i/>
        </w:rPr>
        <w:t>Arch Int Med.</w:t>
      </w:r>
      <w:r w:rsidRPr="00650116">
        <w:rPr>
          <w:rFonts w:asciiTheme="majorHAnsi" w:hAnsiTheme="majorHAnsi" w:cs="Times New Roman"/>
        </w:rPr>
        <w:t xml:space="preserve"> 2000;</w:t>
      </w:r>
      <w:r w:rsidRPr="00650116">
        <w:rPr>
          <w:rFonts w:asciiTheme="majorHAnsi" w:hAnsiTheme="majorHAnsi" w:cs="Times New Roman"/>
          <w:b/>
        </w:rPr>
        <w:t xml:space="preserve"> 160</w:t>
      </w:r>
      <w:r w:rsidRPr="00650116">
        <w:rPr>
          <w:rFonts w:asciiTheme="majorHAnsi" w:hAnsiTheme="majorHAnsi" w:cs="Times New Roman"/>
        </w:rPr>
        <w:t>: 2101-7.</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Han WT, Collie K, Koopman C, Azarow J, Classen C et al. Breast cancer and problems with medical interactions: relationships with traumatic stress, emotional self-efficacy, and social support.</w:t>
      </w:r>
      <w:r w:rsidRPr="00650116">
        <w:rPr>
          <w:rFonts w:asciiTheme="majorHAnsi" w:hAnsiTheme="majorHAnsi" w:cs="Times New Roman"/>
          <w:i/>
        </w:rPr>
        <w:t xml:space="preserve"> Psychooncology. </w:t>
      </w:r>
      <w:r w:rsidRPr="00650116">
        <w:rPr>
          <w:rFonts w:asciiTheme="majorHAnsi" w:hAnsiTheme="majorHAnsi" w:cs="Times New Roman"/>
        </w:rPr>
        <w:t xml:space="preserve">2005; </w:t>
      </w:r>
      <w:r w:rsidRPr="00650116">
        <w:rPr>
          <w:rFonts w:asciiTheme="majorHAnsi" w:hAnsiTheme="majorHAnsi" w:cs="Times New Roman"/>
          <w:b/>
        </w:rPr>
        <w:t>14</w:t>
      </w:r>
      <w:r w:rsidRPr="00650116">
        <w:rPr>
          <w:rFonts w:asciiTheme="majorHAnsi" w:hAnsiTheme="majorHAnsi" w:cs="Times New Roman"/>
        </w:rPr>
        <w:t>:318–30.</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Hamer M, Chida Y, Molloy GJ. Psychological distress and cancer mortality.</w:t>
      </w:r>
      <w:r w:rsidRPr="00650116">
        <w:rPr>
          <w:rFonts w:asciiTheme="majorHAnsi" w:hAnsiTheme="majorHAnsi" w:cs="Times New Roman"/>
          <w:i/>
        </w:rPr>
        <w:t xml:space="preserve"> J Psychosom Res. </w:t>
      </w:r>
      <w:r w:rsidRPr="00650116">
        <w:rPr>
          <w:rFonts w:asciiTheme="majorHAnsi" w:hAnsiTheme="majorHAnsi" w:cs="Times New Roman"/>
        </w:rPr>
        <w:t xml:space="preserve">2009; </w:t>
      </w:r>
      <w:r w:rsidRPr="00650116">
        <w:rPr>
          <w:rFonts w:asciiTheme="majorHAnsi" w:hAnsiTheme="majorHAnsi" w:cs="Times New Roman"/>
          <w:b/>
        </w:rPr>
        <w:t>66</w:t>
      </w:r>
      <w:r w:rsidRPr="00650116">
        <w:rPr>
          <w:rFonts w:asciiTheme="majorHAnsi" w:hAnsiTheme="majorHAnsi" w:cs="Times New Roman"/>
        </w:rPr>
        <w:t xml:space="preserve">:255-58. </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Aarstad AK, Beisland E, Osthus AA, Aarstad HJ. Distress, quality of life, neuroticism and psychological coping are related in head and neck cancer patients during follow-up. </w:t>
      </w:r>
      <w:r w:rsidRPr="00650116">
        <w:rPr>
          <w:rFonts w:asciiTheme="majorHAnsi" w:hAnsiTheme="majorHAnsi" w:cs="Courier"/>
          <w:i/>
        </w:rPr>
        <w:t>Acta Oncol.</w:t>
      </w:r>
      <w:r w:rsidRPr="00650116">
        <w:rPr>
          <w:rFonts w:asciiTheme="majorHAnsi" w:hAnsiTheme="majorHAnsi" w:cs="Courier"/>
        </w:rPr>
        <w:t xml:space="preserve"> 2011; </w:t>
      </w:r>
      <w:r w:rsidRPr="00650116">
        <w:rPr>
          <w:rFonts w:asciiTheme="majorHAnsi" w:hAnsiTheme="majorHAnsi" w:cs="Courier"/>
          <w:b/>
        </w:rPr>
        <w:t>50</w:t>
      </w:r>
      <w:r w:rsidRPr="00650116">
        <w:rPr>
          <w:rFonts w:asciiTheme="majorHAnsi" w:hAnsiTheme="majorHAnsi" w:cs="Courier"/>
        </w:rPr>
        <w:t xml:space="preserve">: 390-8. </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Aarstad HJ, Osthus AA, Olofsson J, Aarstad AK. Level of distress predicts subsequent survival in successfully treated head and neck cancer patients: a prospective cohort study. </w:t>
      </w:r>
      <w:r w:rsidRPr="00650116">
        <w:rPr>
          <w:rFonts w:asciiTheme="majorHAnsi" w:hAnsiTheme="majorHAnsi" w:cs="Courier"/>
          <w:i/>
        </w:rPr>
        <w:t>Acta Otolaryngol.</w:t>
      </w:r>
      <w:r w:rsidRPr="00650116">
        <w:rPr>
          <w:rFonts w:asciiTheme="majorHAnsi" w:hAnsiTheme="majorHAnsi" w:cs="Courier"/>
        </w:rPr>
        <w:t xml:space="preserve"> 2014; </w:t>
      </w:r>
      <w:r w:rsidRPr="00650116">
        <w:rPr>
          <w:rFonts w:asciiTheme="majorHAnsi" w:hAnsiTheme="majorHAnsi" w:cs="Courier"/>
          <w:b/>
        </w:rPr>
        <w:t>134</w:t>
      </w:r>
      <w:r w:rsidRPr="00650116">
        <w:rPr>
          <w:rFonts w:asciiTheme="majorHAnsi" w:hAnsiTheme="majorHAnsi" w:cs="Courier"/>
        </w:rPr>
        <w:t>: 211-9.</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De Boer MF, McCormick LK, Pruyn JF, Ryckman RM, van den Borne BW. Physical and psychosocial correlates of head and neck cancer: a review of the literature. </w:t>
      </w:r>
      <w:r w:rsidRPr="00650116">
        <w:rPr>
          <w:rFonts w:asciiTheme="majorHAnsi" w:hAnsiTheme="majorHAnsi" w:cs="Courier"/>
          <w:i/>
        </w:rPr>
        <w:t>Otolaryngol Head Neck Surg.</w:t>
      </w:r>
      <w:r w:rsidRPr="00650116">
        <w:rPr>
          <w:rFonts w:asciiTheme="majorHAnsi" w:hAnsiTheme="majorHAnsi" w:cs="Courier"/>
        </w:rPr>
        <w:t xml:space="preserve"> 1999; </w:t>
      </w:r>
      <w:r w:rsidRPr="00650116">
        <w:rPr>
          <w:rFonts w:asciiTheme="majorHAnsi" w:hAnsiTheme="majorHAnsi" w:cs="Courier"/>
          <w:b/>
        </w:rPr>
        <w:t>120</w:t>
      </w:r>
      <w:r w:rsidRPr="00650116">
        <w:rPr>
          <w:rFonts w:asciiTheme="majorHAnsi" w:hAnsiTheme="majorHAnsi" w:cs="Courier"/>
        </w:rPr>
        <w:t>:427-36.</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Reich M, Leemans CR, Vermorken JB, Bernier J, Licitra L, Parmar S, Golusinski W, Lefebvre JL. Best practices in the management of the psycho-oncologic aspects of head and neck cancer patients: recommendations from the European Head and Neck Cancer Society Make Sense Campaign. </w:t>
      </w:r>
      <w:r w:rsidRPr="00650116">
        <w:rPr>
          <w:rFonts w:asciiTheme="majorHAnsi" w:hAnsiTheme="majorHAnsi" w:cs="Courier"/>
          <w:i/>
        </w:rPr>
        <w:t>Ann Oncol.</w:t>
      </w:r>
      <w:r w:rsidRPr="00650116">
        <w:rPr>
          <w:rFonts w:asciiTheme="majorHAnsi" w:hAnsiTheme="majorHAnsi" w:cs="Courier"/>
        </w:rPr>
        <w:t xml:space="preserve"> 2014 [In press]. </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Roth AJ, Kornblith AB, Batel-Copel L, Peabody E, Scher HI, Holland JC. Rapid screening for psychologic distress in men with prostate carcinoma. </w:t>
      </w:r>
      <w:r w:rsidRPr="00650116">
        <w:rPr>
          <w:rFonts w:asciiTheme="majorHAnsi" w:hAnsiTheme="majorHAnsi" w:cs="Times New Roman"/>
          <w:i/>
        </w:rPr>
        <w:t xml:space="preserve">Cancer. </w:t>
      </w:r>
      <w:r w:rsidRPr="00650116">
        <w:rPr>
          <w:rFonts w:asciiTheme="majorHAnsi" w:hAnsiTheme="majorHAnsi" w:cs="Times New Roman"/>
        </w:rPr>
        <w:t xml:space="preserve">1998, </w:t>
      </w:r>
      <w:r w:rsidRPr="00650116">
        <w:rPr>
          <w:rFonts w:asciiTheme="majorHAnsi" w:hAnsiTheme="majorHAnsi" w:cs="Times New Roman"/>
          <w:b/>
        </w:rPr>
        <w:t>82</w:t>
      </w:r>
      <w:r w:rsidRPr="00650116">
        <w:rPr>
          <w:rFonts w:asciiTheme="majorHAnsi" w:hAnsiTheme="majorHAnsi" w:cs="Times New Roman"/>
        </w:rPr>
        <w:t>:1904-1908.</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Grassi L, Johansen C, Annunziata MA, Capovilla E, Costantini A, Gritti P, Torta R, Bellani M; Italian Society of Psycho-Oncology Distress Thermometer Study Group. Screening for distress in cancer patients: a multicenter, nationwide study in Italy. </w:t>
      </w:r>
      <w:r w:rsidRPr="00650116">
        <w:rPr>
          <w:rFonts w:asciiTheme="majorHAnsi" w:hAnsiTheme="majorHAnsi" w:cs="Courier"/>
          <w:i/>
        </w:rPr>
        <w:t>Cancer.</w:t>
      </w:r>
      <w:r w:rsidRPr="00650116">
        <w:rPr>
          <w:rFonts w:asciiTheme="majorHAnsi" w:hAnsiTheme="majorHAnsi" w:cs="Courier"/>
        </w:rPr>
        <w:t xml:space="preserve"> 2013; </w:t>
      </w:r>
      <w:r w:rsidRPr="00650116">
        <w:rPr>
          <w:rFonts w:asciiTheme="majorHAnsi" w:hAnsiTheme="majorHAnsi" w:cs="Courier"/>
          <w:b/>
        </w:rPr>
        <w:t>119</w:t>
      </w:r>
      <w:r w:rsidRPr="00650116">
        <w:rPr>
          <w:rFonts w:asciiTheme="majorHAnsi" w:hAnsiTheme="majorHAnsi" w:cs="Courier"/>
        </w:rPr>
        <w:t xml:space="preserve">: 1714-21. </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Gessler S, Low J, Daniells E, Williams R, Brough V, Tookman A, Jones L. Screening for distress in cancer patients: is the distress thermometer a valid measure in the UK and does it measure change over time? A prospective validation study. </w:t>
      </w:r>
      <w:r w:rsidRPr="00650116">
        <w:rPr>
          <w:rFonts w:asciiTheme="majorHAnsi" w:hAnsiTheme="majorHAnsi" w:cs="Courier"/>
          <w:i/>
        </w:rPr>
        <w:t>Psychooncology.</w:t>
      </w:r>
      <w:r w:rsidRPr="00650116">
        <w:rPr>
          <w:rFonts w:asciiTheme="majorHAnsi" w:hAnsiTheme="majorHAnsi" w:cs="Courier"/>
        </w:rPr>
        <w:t xml:space="preserve"> 2008; </w:t>
      </w:r>
      <w:r w:rsidRPr="00650116">
        <w:rPr>
          <w:rFonts w:asciiTheme="majorHAnsi" w:hAnsiTheme="majorHAnsi" w:cs="Courier"/>
          <w:b/>
        </w:rPr>
        <w:t>17</w:t>
      </w:r>
      <w:r w:rsidRPr="00650116">
        <w:rPr>
          <w:rFonts w:asciiTheme="majorHAnsi" w:hAnsiTheme="majorHAnsi" w:cs="Courier"/>
        </w:rPr>
        <w:t>:538-47.</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Chen SC, Liao CT, Lin CC, Chang JT, Lai YH. Distress and care needs in newly diagnosed oral cavity cancer patients receiving surgery. </w:t>
      </w:r>
      <w:r w:rsidRPr="00650116">
        <w:rPr>
          <w:rFonts w:asciiTheme="majorHAnsi" w:hAnsiTheme="majorHAnsi" w:cs="Courier"/>
          <w:i/>
        </w:rPr>
        <w:t>Oral Oncol.</w:t>
      </w:r>
      <w:r w:rsidRPr="00650116">
        <w:rPr>
          <w:rFonts w:asciiTheme="majorHAnsi" w:hAnsiTheme="majorHAnsi" w:cs="Courier"/>
        </w:rPr>
        <w:t xml:space="preserve"> 2009; </w:t>
      </w:r>
      <w:r w:rsidRPr="00650116">
        <w:rPr>
          <w:rFonts w:asciiTheme="majorHAnsi" w:hAnsiTheme="majorHAnsi" w:cs="Courier"/>
          <w:b/>
        </w:rPr>
        <w:t>45</w:t>
      </w:r>
      <w:r w:rsidRPr="00650116">
        <w:rPr>
          <w:rFonts w:asciiTheme="majorHAnsi" w:hAnsiTheme="majorHAnsi" w:cs="Courier"/>
        </w:rPr>
        <w:t>:815-20.</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Verdonck-de Leeuw IM, de Bree R, Keizer AL, Houffelaar T, Cuijpers P, van der Linden MH, Leemans CR. Computerized prospective screening for high levels of emotional distress in head and neck cancer patients and referral rate to psychosocial care. </w:t>
      </w:r>
      <w:r w:rsidRPr="00650116">
        <w:rPr>
          <w:rFonts w:asciiTheme="majorHAnsi" w:hAnsiTheme="majorHAnsi" w:cs="Courier"/>
          <w:i/>
        </w:rPr>
        <w:t>Oral Oncol.</w:t>
      </w:r>
      <w:r w:rsidRPr="00650116">
        <w:rPr>
          <w:rFonts w:asciiTheme="majorHAnsi" w:hAnsiTheme="majorHAnsi" w:cs="Courier"/>
        </w:rPr>
        <w:t xml:space="preserve"> 2009; </w:t>
      </w:r>
      <w:r w:rsidRPr="00650116">
        <w:rPr>
          <w:rFonts w:asciiTheme="majorHAnsi" w:hAnsiTheme="majorHAnsi" w:cs="Courier"/>
          <w:b/>
        </w:rPr>
        <w:t>45</w:t>
      </w:r>
      <w:r w:rsidRPr="00650116">
        <w:rPr>
          <w:rFonts w:asciiTheme="majorHAnsi" w:hAnsiTheme="majorHAnsi" w:cs="Courier"/>
        </w:rPr>
        <w:t>:e129-33.</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Kelly C, Paleri V, Downs C, Shah R. Deterioration in quality of life and depressive symptoms during radiation therapy for head and neck cancer. </w:t>
      </w:r>
      <w:r w:rsidRPr="00650116">
        <w:rPr>
          <w:rFonts w:asciiTheme="majorHAnsi" w:hAnsiTheme="majorHAnsi" w:cs="Courier"/>
          <w:i/>
        </w:rPr>
        <w:t xml:space="preserve">Otolaryngol Head Neck Surg. </w:t>
      </w:r>
      <w:r w:rsidRPr="00650116">
        <w:rPr>
          <w:rFonts w:asciiTheme="majorHAnsi" w:hAnsiTheme="majorHAnsi" w:cs="Courier"/>
        </w:rPr>
        <w:t xml:space="preserve">2007; </w:t>
      </w:r>
      <w:r w:rsidRPr="00650116">
        <w:rPr>
          <w:rFonts w:asciiTheme="majorHAnsi" w:hAnsiTheme="majorHAnsi" w:cs="Courier"/>
          <w:b/>
        </w:rPr>
        <w:t>136</w:t>
      </w:r>
      <w:r w:rsidRPr="00650116">
        <w:rPr>
          <w:rFonts w:asciiTheme="majorHAnsi" w:hAnsiTheme="majorHAnsi" w:cs="Courier"/>
        </w:rPr>
        <w:t>:108-11.</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Pandey M, Devi N, Thomas BC, Kumar SV, Krishnan R, Ramdas K. Distress overlaps with anxiety and depression in patients with head and neck cancer. </w:t>
      </w:r>
      <w:r w:rsidRPr="00650116">
        <w:rPr>
          <w:rFonts w:asciiTheme="majorHAnsi" w:hAnsiTheme="majorHAnsi" w:cs="Courier"/>
          <w:i/>
        </w:rPr>
        <w:t>Psychooncology.</w:t>
      </w:r>
      <w:r w:rsidRPr="00650116">
        <w:rPr>
          <w:rFonts w:asciiTheme="majorHAnsi" w:hAnsiTheme="majorHAnsi" w:cs="Courier"/>
        </w:rPr>
        <w:t xml:space="preserve"> 2007; </w:t>
      </w:r>
      <w:r w:rsidRPr="00650116">
        <w:rPr>
          <w:rFonts w:asciiTheme="majorHAnsi" w:hAnsiTheme="majorHAnsi" w:cs="Courier"/>
          <w:b/>
        </w:rPr>
        <w:t>16</w:t>
      </w:r>
      <w:r w:rsidRPr="00650116">
        <w:rPr>
          <w:rFonts w:asciiTheme="majorHAnsi" w:hAnsiTheme="majorHAnsi" w:cs="Courier"/>
        </w:rPr>
        <w:t>:582-6.</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Rogers SN, Gwane S, Lowe D, </w:t>
      </w:r>
      <w:r w:rsidRPr="00650116">
        <w:rPr>
          <w:rFonts w:asciiTheme="majorHAnsi" w:hAnsiTheme="majorHAnsi" w:cs="Arial"/>
        </w:rPr>
        <w:t>Humphris G, Yueh B, Weymuller EA Jr.</w:t>
      </w:r>
      <w:r w:rsidRPr="00650116">
        <w:rPr>
          <w:rFonts w:asciiTheme="majorHAnsi" w:hAnsiTheme="majorHAnsi" w:cs="Times New Roman"/>
        </w:rPr>
        <w:t xml:space="preserve"> The addition of mood and anxiety domains to the University of Washington Quality of Life Scale. </w:t>
      </w:r>
      <w:r w:rsidRPr="00650116">
        <w:rPr>
          <w:rFonts w:asciiTheme="majorHAnsi" w:hAnsiTheme="majorHAnsi" w:cs="Times New Roman"/>
          <w:i/>
        </w:rPr>
        <w:t>Head Neck.</w:t>
      </w:r>
      <w:r w:rsidRPr="00650116">
        <w:rPr>
          <w:rFonts w:asciiTheme="majorHAnsi" w:hAnsiTheme="majorHAnsi" w:cs="Times New Roman"/>
        </w:rPr>
        <w:t xml:space="preserve"> 2002; </w:t>
      </w:r>
      <w:r w:rsidRPr="00650116">
        <w:rPr>
          <w:rFonts w:asciiTheme="majorHAnsi" w:hAnsiTheme="majorHAnsi" w:cs="Times New Roman"/>
          <w:b/>
        </w:rPr>
        <w:t>24</w:t>
      </w:r>
      <w:r w:rsidRPr="00650116">
        <w:rPr>
          <w:rFonts w:asciiTheme="majorHAnsi" w:hAnsiTheme="majorHAnsi" w:cs="Times New Roman"/>
        </w:rPr>
        <w:t>: 521-29.</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Rogers SN, Lowe D. Screening for dysfunction to promote multidisciplinary intervention by using the University of Washington Quality of Life questionnaire. </w:t>
      </w:r>
      <w:r w:rsidRPr="00650116">
        <w:rPr>
          <w:rFonts w:asciiTheme="majorHAnsi" w:hAnsiTheme="majorHAnsi" w:cs="Times New Roman"/>
          <w:i/>
        </w:rPr>
        <w:t>Arch Otolaryngol Head Neck Surg.</w:t>
      </w:r>
      <w:r w:rsidRPr="00650116">
        <w:rPr>
          <w:rFonts w:asciiTheme="majorHAnsi" w:hAnsiTheme="majorHAnsi" w:cs="Times New Roman"/>
        </w:rPr>
        <w:t xml:space="preserve"> 2009; </w:t>
      </w:r>
      <w:r w:rsidRPr="00650116">
        <w:rPr>
          <w:rFonts w:asciiTheme="majorHAnsi" w:hAnsiTheme="majorHAnsi" w:cs="Times New Roman"/>
          <w:b/>
        </w:rPr>
        <w:t>135</w:t>
      </w:r>
      <w:r w:rsidRPr="00650116">
        <w:rPr>
          <w:rFonts w:asciiTheme="majorHAnsi" w:hAnsiTheme="majorHAnsi" w:cs="Times New Roman"/>
        </w:rPr>
        <w:t>: 369-75</w:t>
      </w:r>
      <w:r w:rsidRPr="00650116">
        <w:rPr>
          <w:rFonts w:asciiTheme="majorHAnsi" w:hAnsiTheme="majorHAnsi" w:cs="Courier"/>
        </w:rPr>
        <w:t>.</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Ghazali N, Roe B, Lowe D, Rogers SN. </w:t>
      </w:r>
      <w:r w:rsidRPr="00650116">
        <w:rPr>
          <w:rFonts w:asciiTheme="majorHAnsi" w:hAnsiTheme="majorHAnsi" w:cs="Times New Roman"/>
          <w:bCs/>
        </w:rPr>
        <w:t xml:space="preserve">Uncovering Patient Agendas in Routine Head and Neck Oncology Follow up Clinics: An Exploratory Study. </w:t>
      </w:r>
      <w:r w:rsidRPr="00650116">
        <w:rPr>
          <w:rFonts w:asciiTheme="majorHAnsi" w:hAnsiTheme="majorHAnsi" w:cs="Times New Roman"/>
          <w:bCs/>
          <w:i/>
        </w:rPr>
        <w:t>Br J Oral Maxfac Surg.</w:t>
      </w:r>
      <w:r w:rsidRPr="00650116">
        <w:rPr>
          <w:rFonts w:asciiTheme="majorHAnsi" w:hAnsiTheme="majorHAnsi" w:cs="Times New Roman"/>
          <w:bCs/>
        </w:rPr>
        <w:t xml:space="preserve"> 2012; </w:t>
      </w:r>
      <w:r w:rsidRPr="00650116">
        <w:rPr>
          <w:rFonts w:asciiTheme="majorHAnsi" w:hAnsiTheme="majorHAnsi" w:cs="Courier"/>
          <w:b/>
          <w:lang w:val="en-US"/>
        </w:rPr>
        <w:t>51</w:t>
      </w:r>
      <w:r w:rsidRPr="00650116">
        <w:rPr>
          <w:rFonts w:asciiTheme="majorHAnsi" w:hAnsiTheme="majorHAnsi" w:cs="Courier"/>
          <w:lang w:val="en-US"/>
        </w:rPr>
        <w:t>:294-300.</w:t>
      </w:r>
      <w:r w:rsidRPr="00650116">
        <w:rPr>
          <w:rFonts w:asciiTheme="majorHAnsi" w:hAnsiTheme="majorHAnsi" w:cs="Arial"/>
          <w:color w:val="000000"/>
        </w:rPr>
        <w:t xml:space="preserve"> </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Jacobsen PB, Donovan KA, Trask PC, Fleishman SB, Zabora J, Baker F, Holland JC. Screening for psychologic distress in ambulatory cancer patients. </w:t>
      </w:r>
      <w:r w:rsidRPr="00650116">
        <w:rPr>
          <w:rFonts w:asciiTheme="majorHAnsi" w:hAnsiTheme="majorHAnsi" w:cs="Courier"/>
          <w:i/>
        </w:rPr>
        <w:t xml:space="preserve">Cancer. </w:t>
      </w:r>
      <w:r w:rsidRPr="00650116">
        <w:rPr>
          <w:rFonts w:asciiTheme="majorHAnsi" w:hAnsiTheme="majorHAnsi" w:cs="Courier"/>
        </w:rPr>
        <w:t xml:space="preserve">2005; </w:t>
      </w:r>
      <w:r w:rsidRPr="00650116">
        <w:rPr>
          <w:rFonts w:asciiTheme="majorHAnsi" w:hAnsiTheme="majorHAnsi" w:cs="Courier"/>
          <w:b/>
        </w:rPr>
        <w:t>103</w:t>
      </w:r>
      <w:r w:rsidRPr="00650116">
        <w:rPr>
          <w:rFonts w:asciiTheme="majorHAnsi" w:hAnsiTheme="majorHAnsi" w:cs="Courier"/>
        </w:rPr>
        <w:t xml:space="preserve">: 1494-502. </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Patrick-Miller LJ, Broccoli TL, Levine E, Much JK: Screening for psychosocial distress among ambulatory oncology patients: evaluation of the distress thermometer. </w:t>
      </w:r>
      <w:r w:rsidRPr="00650116">
        <w:rPr>
          <w:rFonts w:asciiTheme="majorHAnsi" w:hAnsiTheme="majorHAnsi" w:cs="Times New Roman"/>
          <w:i/>
        </w:rPr>
        <w:t>Psychooncology.</w:t>
      </w:r>
      <w:r w:rsidRPr="00650116">
        <w:rPr>
          <w:rFonts w:asciiTheme="majorHAnsi" w:hAnsiTheme="majorHAnsi" w:cs="Times New Roman"/>
        </w:rPr>
        <w:t xml:space="preserve"> 2004; </w:t>
      </w:r>
      <w:r w:rsidRPr="00650116">
        <w:rPr>
          <w:rFonts w:asciiTheme="majorHAnsi" w:hAnsiTheme="majorHAnsi" w:cs="Times New Roman"/>
          <w:b/>
        </w:rPr>
        <w:t>13</w:t>
      </w:r>
      <w:r w:rsidRPr="00650116">
        <w:rPr>
          <w:rFonts w:asciiTheme="majorHAnsi" w:hAnsiTheme="majorHAnsi" w:cs="Times New Roman"/>
        </w:rPr>
        <w:t>:S64-S65.</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National Comprehensive Cancer Network. Clinical practice guidelines in oncology-v.1.2005. Distress management: version1.2005.</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Chawla S, Mohanti BK, Rakshak M, Saxena S, Rath GK, Bahadur S. Temporal assessment of quality of life of head and neck cancer patients receiving radical radiotherapy. </w:t>
      </w:r>
      <w:r w:rsidRPr="00650116">
        <w:rPr>
          <w:rFonts w:asciiTheme="majorHAnsi" w:hAnsiTheme="majorHAnsi" w:cs="Courier"/>
          <w:i/>
        </w:rPr>
        <w:t>Qual Life Res.</w:t>
      </w:r>
      <w:r w:rsidRPr="00650116">
        <w:rPr>
          <w:rFonts w:asciiTheme="majorHAnsi" w:hAnsiTheme="majorHAnsi" w:cs="Courier"/>
        </w:rPr>
        <w:t xml:space="preserve"> 1999; </w:t>
      </w:r>
      <w:r w:rsidRPr="00650116">
        <w:rPr>
          <w:rFonts w:asciiTheme="majorHAnsi" w:hAnsiTheme="majorHAnsi" w:cs="Courier"/>
          <w:b/>
        </w:rPr>
        <w:t>8</w:t>
      </w:r>
      <w:r w:rsidRPr="00650116">
        <w:rPr>
          <w:rFonts w:asciiTheme="majorHAnsi" w:hAnsiTheme="majorHAnsi" w:cs="Courier"/>
        </w:rPr>
        <w:t xml:space="preserve">:73-8. </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de Graeff A, de Leeuw JR, Ros WJ, Hordijk GJ, Blijham GH, Winnubst JA. A prospective study on quality of life of patients with cancer of the oral cavity or oropharynx treated with surgery with or without radiotherapy. </w:t>
      </w:r>
      <w:r w:rsidRPr="00650116">
        <w:rPr>
          <w:rFonts w:asciiTheme="majorHAnsi" w:hAnsiTheme="majorHAnsi" w:cs="Courier"/>
          <w:i/>
        </w:rPr>
        <w:t>Oral Oncol.</w:t>
      </w:r>
      <w:r w:rsidRPr="00650116">
        <w:rPr>
          <w:rFonts w:asciiTheme="majorHAnsi" w:hAnsiTheme="majorHAnsi" w:cs="Courier"/>
        </w:rPr>
        <w:t xml:space="preserve"> 1999; </w:t>
      </w:r>
      <w:r w:rsidRPr="00650116">
        <w:rPr>
          <w:rFonts w:asciiTheme="majorHAnsi" w:hAnsiTheme="majorHAnsi" w:cs="Courier"/>
          <w:b/>
        </w:rPr>
        <w:t>35</w:t>
      </w:r>
      <w:r w:rsidRPr="00650116">
        <w:rPr>
          <w:rFonts w:asciiTheme="majorHAnsi" w:hAnsiTheme="majorHAnsi" w:cs="Courier"/>
        </w:rPr>
        <w:t xml:space="preserve">:27-32. </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w:color w:val="000000"/>
        </w:rPr>
        <w:t xml:space="preserve">Chiu NM, Sun TF, Wu CK, Leung SW, Wang CJ, Wen JK. Clinical characteristics of outpatients at a psycho-oncology clinic in a radiation oncology department. </w:t>
      </w:r>
      <w:r w:rsidRPr="00650116">
        <w:rPr>
          <w:rFonts w:asciiTheme="majorHAnsi" w:hAnsiTheme="majorHAnsi" w:cs="Times"/>
          <w:i/>
          <w:color w:val="000000"/>
        </w:rPr>
        <w:t xml:space="preserve">Chang Gung Med J. </w:t>
      </w:r>
      <w:r w:rsidRPr="00650116">
        <w:rPr>
          <w:rFonts w:asciiTheme="majorHAnsi" w:hAnsiTheme="majorHAnsi" w:cs="Times"/>
          <w:color w:val="000000"/>
        </w:rPr>
        <w:t xml:space="preserve">2001; </w:t>
      </w:r>
      <w:r w:rsidRPr="00650116">
        <w:rPr>
          <w:rFonts w:asciiTheme="majorHAnsi" w:hAnsiTheme="majorHAnsi" w:cs="Times"/>
          <w:b/>
          <w:color w:val="000000"/>
        </w:rPr>
        <w:t>24</w:t>
      </w:r>
      <w:r w:rsidRPr="00650116">
        <w:rPr>
          <w:rFonts w:asciiTheme="majorHAnsi" w:hAnsiTheme="majorHAnsi" w:cs="Times"/>
          <w:color w:val="000000"/>
        </w:rPr>
        <w:t>: 181–187.</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Courier"/>
        </w:rPr>
        <w:t xml:space="preserve">Chaturvedi SK, Shenoy A, Prasad KM, Senthilnathan SM, Premlatha BS. Concerns, coping and quality of life in head and neck cancer patients. </w:t>
      </w:r>
      <w:r w:rsidRPr="00650116">
        <w:rPr>
          <w:rFonts w:asciiTheme="majorHAnsi" w:hAnsiTheme="majorHAnsi" w:cs="Courier"/>
          <w:i/>
        </w:rPr>
        <w:t>Support Care Cancer.</w:t>
      </w:r>
      <w:r w:rsidRPr="00650116">
        <w:rPr>
          <w:rFonts w:asciiTheme="majorHAnsi" w:hAnsiTheme="majorHAnsi" w:cs="Courier"/>
        </w:rPr>
        <w:t xml:space="preserve"> 1996; </w:t>
      </w:r>
      <w:r w:rsidRPr="00650116">
        <w:rPr>
          <w:rFonts w:asciiTheme="majorHAnsi" w:hAnsiTheme="majorHAnsi" w:cs="Courier"/>
          <w:b/>
        </w:rPr>
        <w:t>4</w:t>
      </w:r>
      <w:r w:rsidRPr="00650116">
        <w:rPr>
          <w:rFonts w:asciiTheme="majorHAnsi" w:hAnsiTheme="majorHAnsi" w:cs="Courier"/>
        </w:rPr>
        <w:t>:186-90.</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cs="Times New Roman"/>
        </w:rPr>
        <w:t xml:space="preserve">Ghazali N, Kanatas A, Bekiroglu F, Scott B, Lowe D, Rogers SN. </w:t>
      </w:r>
      <w:r w:rsidRPr="00650116">
        <w:rPr>
          <w:rFonts w:asciiTheme="majorHAnsi" w:hAnsiTheme="majorHAnsi" w:cs="Times"/>
        </w:rPr>
        <w:t>The Patient Concerns Inventory: A Tool to Uncover Unmet Needs in a Cancer Outpatient Clinic.</w:t>
      </w:r>
      <w:r w:rsidRPr="00650116">
        <w:rPr>
          <w:rFonts w:asciiTheme="majorHAnsi" w:hAnsiTheme="majorHAnsi" w:cs="Times New Roman"/>
        </w:rPr>
        <w:t xml:space="preserve"> </w:t>
      </w:r>
      <w:r w:rsidRPr="00650116">
        <w:rPr>
          <w:rFonts w:asciiTheme="majorHAnsi" w:hAnsiTheme="majorHAnsi" w:cs="Times"/>
          <w:i/>
        </w:rPr>
        <w:t>Bul RCS Eng.</w:t>
      </w:r>
      <w:r w:rsidRPr="00650116">
        <w:rPr>
          <w:rFonts w:asciiTheme="majorHAnsi" w:hAnsiTheme="majorHAnsi" w:cs="Times"/>
        </w:rPr>
        <w:t xml:space="preserve"> </w:t>
      </w:r>
      <w:r w:rsidRPr="00650116">
        <w:rPr>
          <w:rFonts w:asciiTheme="majorHAnsi" w:hAnsiTheme="majorHAnsi" w:cs="Times"/>
          <w:color w:val="222121"/>
        </w:rPr>
        <w:t xml:space="preserve">2013; </w:t>
      </w:r>
      <w:r w:rsidRPr="00650116">
        <w:rPr>
          <w:rFonts w:asciiTheme="majorHAnsi" w:hAnsiTheme="majorHAnsi" w:cs="Times"/>
          <w:b/>
          <w:color w:val="222121"/>
        </w:rPr>
        <w:t>95</w:t>
      </w:r>
      <w:r w:rsidRPr="00650116">
        <w:rPr>
          <w:rFonts w:asciiTheme="majorHAnsi" w:hAnsiTheme="majorHAnsi" w:cs="Times"/>
          <w:color w:val="222121"/>
        </w:rPr>
        <w:t>: 1-6.</w:t>
      </w:r>
    </w:p>
    <w:p w:rsidR="007667E1" w:rsidRPr="00650116" w:rsidRDefault="007667E1" w:rsidP="007667E1">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650116">
        <w:rPr>
          <w:rFonts w:asciiTheme="majorHAnsi" w:hAnsiTheme="majorHAnsi"/>
        </w:rPr>
        <w:t xml:space="preserve">Brown RF, Butow PN, Dunn SM, Tattersall MHN.  </w:t>
      </w:r>
      <w:r w:rsidRPr="00650116">
        <w:rPr>
          <w:rFonts w:asciiTheme="majorHAnsi" w:hAnsiTheme="majorHAnsi"/>
          <w:bCs/>
          <w:color w:val="000000"/>
        </w:rPr>
        <w:t xml:space="preserve">Promoting patient participation and shortening cancer consultations: a randomised trial. </w:t>
      </w:r>
      <w:r w:rsidRPr="00650116">
        <w:rPr>
          <w:rFonts w:asciiTheme="majorHAnsi" w:hAnsiTheme="majorHAnsi"/>
          <w:i/>
        </w:rPr>
        <w:t>Br J Canc.</w:t>
      </w:r>
      <w:r w:rsidRPr="00650116">
        <w:rPr>
          <w:rFonts w:asciiTheme="majorHAnsi" w:hAnsiTheme="majorHAnsi"/>
        </w:rPr>
        <w:t xml:space="preserve"> 2001; </w:t>
      </w:r>
      <w:r w:rsidRPr="00650116">
        <w:rPr>
          <w:rFonts w:asciiTheme="majorHAnsi" w:hAnsiTheme="majorHAnsi"/>
          <w:b/>
        </w:rPr>
        <w:t>85</w:t>
      </w:r>
      <w:r w:rsidRPr="00650116">
        <w:rPr>
          <w:rFonts w:asciiTheme="majorHAnsi" w:hAnsiTheme="majorHAnsi"/>
        </w:rPr>
        <w:t>: 1273-9.</w:t>
      </w:r>
    </w:p>
    <w:p w:rsidR="007667E1" w:rsidRPr="00650116" w:rsidRDefault="007667E1" w:rsidP="007667E1">
      <w:pPr>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jc w:val="both"/>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cs="Times New Roman"/>
          <w:sz w:val="22"/>
          <w:szCs w:val="22"/>
          <w:lang w:val="en-GB"/>
        </w:rPr>
      </w:pPr>
    </w:p>
    <w:p w:rsidR="007667E1" w:rsidRPr="00650116" w:rsidRDefault="007667E1" w:rsidP="007667E1">
      <w:pPr>
        <w:spacing w:line="360" w:lineRule="auto"/>
        <w:contextualSpacing/>
        <w:rPr>
          <w:rFonts w:asciiTheme="majorHAnsi" w:hAnsiTheme="majorHAnsi"/>
          <w:b/>
          <w:sz w:val="22"/>
          <w:szCs w:val="22"/>
        </w:rPr>
      </w:pPr>
      <w:r w:rsidRPr="00650116">
        <w:rPr>
          <w:rFonts w:asciiTheme="majorHAnsi" w:hAnsiTheme="majorHAnsi"/>
          <w:b/>
          <w:sz w:val="22"/>
          <w:szCs w:val="22"/>
        </w:rPr>
        <w:br w:type="page"/>
      </w:r>
    </w:p>
    <w:p w:rsidR="007667E1" w:rsidRPr="00650116" w:rsidRDefault="007667E1" w:rsidP="007667E1">
      <w:pPr>
        <w:spacing w:line="360" w:lineRule="auto"/>
        <w:contextualSpacing/>
        <w:rPr>
          <w:rFonts w:asciiTheme="majorHAnsi" w:hAnsiTheme="majorHAnsi"/>
          <w:sz w:val="22"/>
          <w:szCs w:val="22"/>
        </w:rPr>
      </w:pPr>
      <w:r w:rsidRPr="00650116">
        <w:rPr>
          <w:rFonts w:asciiTheme="majorHAnsi" w:hAnsiTheme="majorHAnsi"/>
          <w:b/>
          <w:sz w:val="22"/>
          <w:szCs w:val="22"/>
        </w:rPr>
        <w:t>Table 1: Clinicopathological characteristics of 261 patients at first study clinic</w:t>
      </w: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r w:rsidRPr="00650116">
        <w:rPr>
          <w:rFonts w:asciiTheme="majorHAnsi" w:hAnsiTheme="majorHAnsi"/>
          <w:sz w:val="22"/>
          <w:szCs w:val="22"/>
        </w:rPr>
        <w:t xml:space="preserve">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1515"/>
        <w:gridCol w:w="2026"/>
        <w:gridCol w:w="4074"/>
      </w:tblGrid>
      <w:tr w:rsidR="007667E1" w:rsidRPr="00650116" w:rsidTr="004B6834">
        <w:tc>
          <w:tcPr>
            <w:tcW w:w="1515" w:type="dxa"/>
            <w:tcBorders>
              <w:bottom w:val="single" w:sz="4" w:space="0" w:color="auto"/>
            </w:tcBorders>
            <w:shd w:val="clear" w:color="auto" w:fill="C6D9F1" w:themeFill="text2" w:themeFillTint="33"/>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bottom w:val="single" w:sz="4" w:space="0" w:color="auto"/>
            </w:tcBorders>
            <w:shd w:val="clear" w:color="auto" w:fill="C6D9F1" w:themeFill="text2" w:themeFillTint="33"/>
          </w:tcPr>
          <w:p w:rsidR="007667E1" w:rsidRPr="00650116" w:rsidRDefault="007667E1" w:rsidP="00CD5B5A">
            <w:pPr>
              <w:pStyle w:val="ListParagraph"/>
              <w:spacing w:after="0" w:line="240" w:lineRule="auto"/>
              <w:ind w:left="0"/>
              <w:contextualSpacing/>
              <w:rPr>
                <w:rFonts w:asciiTheme="majorHAnsi" w:hAnsiTheme="majorHAnsi"/>
              </w:rPr>
            </w:pPr>
          </w:p>
        </w:tc>
        <w:tc>
          <w:tcPr>
            <w:tcW w:w="4074" w:type="dxa"/>
            <w:tcBorders>
              <w:bottom w:val="single" w:sz="4" w:space="0" w:color="auto"/>
            </w:tcBorders>
            <w:shd w:val="clear" w:color="auto" w:fill="C6D9F1" w:themeFill="text2" w:themeFillTint="33"/>
          </w:tcPr>
          <w:p w:rsidR="007667E1" w:rsidRPr="00650116" w:rsidRDefault="007667E1" w:rsidP="00CD5B5A">
            <w:pPr>
              <w:contextualSpacing/>
              <w:jc w:val="center"/>
              <w:rPr>
                <w:rFonts w:asciiTheme="majorHAnsi" w:hAnsiTheme="majorHAnsi"/>
              </w:rPr>
            </w:pPr>
            <w:r w:rsidRPr="00650116">
              <w:rPr>
                <w:rFonts w:asciiTheme="majorHAnsi" w:hAnsiTheme="majorHAnsi"/>
              </w:rPr>
              <w:t>All patients</w:t>
            </w:r>
          </w:p>
          <w:p w:rsidR="007667E1" w:rsidRPr="00650116" w:rsidRDefault="007667E1" w:rsidP="00CD5B5A">
            <w:pPr>
              <w:contextualSpacing/>
              <w:jc w:val="center"/>
              <w:rPr>
                <w:rFonts w:asciiTheme="majorHAnsi" w:hAnsiTheme="majorHAnsi"/>
              </w:rPr>
            </w:pPr>
            <w:r w:rsidRPr="00650116">
              <w:rPr>
                <w:rFonts w:asciiTheme="majorHAnsi" w:hAnsiTheme="majorHAnsi"/>
              </w:rPr>
              <w:t>(n=261)</w:t>
            </w:r>
          </w:p>
        </w:tc>
      </w:tr>
      <w:tr w:rsidR="007667E1" w:rsidRPr="00650116" w:rsidTr="004B6834">
        <w:tc>
          <w:tcPr>
            <w:tcW w:w="1515"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Sex</w:t>
            </w:r>
          </w:p>
        </w:tc>
        <w:tc>
          <w:tcPr>
            <w:tcW w:w="2026"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Male</w:t>
            </w:r>
          </w:p>
        </w:tc>
        <w:tc>
          <w:tcPr>
            <w:tcW w:w="4074" w:type="dxa"/>
            <w:tcBorders>
              <w:top w:val="single" w:sz="4" w:space="0" w:color="auto"/>
              <w:bottom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68% (175)</w:t>
            </w:r>
          </w:p>
        </w:tc>
      </w:tr>
      <w:tr w:rsidR="007667E1" w:rsidRPr="00650116" w:rsidTr="004B6834">
        <w:tc>
          <w:tcPr>
            <w:tcW w:w="1515"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Female</w:t>
            </w:r>
          </w:p>
        </w:tc>
        <w:tc>
          <w:tcPr>
            <w:tcW w:w="4074" w:type="dxa"/>
            <w:tcBorders>
              <w:top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32% (83)</w:t>
            </w:r>
          </w:p>
        </w:tc>
      </w:tr>
      <w:tr w:rsidR="007667E1" w:rsidRPr="00650116" w:rsidTr="004B6834">
        <w:tc>
          <w:tcPr>
            <w:tcW w:w="1515"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Not known</w:t>
            </w:r>
          </w:p>
        </w:tc>
        <w:tc>
          <w:tcPr>
            <w:tcW w:w="4074" w:type="dxa"/>
            <w:tcBorders>
              <w:bottom w:val="single" w:sz="4" w:space="0" w:color="auto"/>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1% (3)</w:t>
            </w:r>
          </w:p>
        </w:tc>
      </w:tr>
      <w:tr w:rsidR="007667E1" w:rsidRPr="00650116" w:rsidTr="004B6834">
        <w:tc>
          <w:tcPr>
            <w:tcW w:w="1515"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Age</w:t>
            </w:r>
          </w:p>
        </w:tc>
        <w:tc>
          <w:tcPr>
            <w:tcW w:w="2026"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Mean (SD)</w:t>
            </w:r>
          </w:p>
        </w:tc>
        <w:tc>
          <w:tcPr>
            <w:tcW w:w="4074" w:type="dxa"/>
            <w:tcBorders>
              <w:top w:val="single" w:sz="4" w:space="0" w:color="auto"/>
              <w:bottom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63.0 (12.4)</w:t>
            </w:r>
          </w:p>
        </w:tc>
      </w:tr>
      <w:tr w:rsidR="007667E1" w:rsidRPr="00650116" w:rsidTr="004B6834">
        <w:tc>
          <w:tcPr>
            <w:tcW w:w="1515" w:type="dxa"/>
            <w:tcBorders>
              <w:top w:val="nil"/>
              <w:bottom w:val="nil"/>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top w:val="nil"/>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Median (IQR)</w:t>
            </w:r>
          </w:p>
        </w:tc>
        <w:tc>
          <w:tcPr>
            <w:tcW w:w="4074" w:type="dxa"/>
            <w:tcBorders>
              <w:top w:val="nil"/>
              <w:bottom w:val="single" w:sz="4" w:space="0" w:color="auto"/>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63 (57-71)</w:t>
            </w:r>
          </w:p>
        </w:tc>
      </w:tr>
      <w:tr w:rsidR="007667E1" w:rsidRPr="00650116" w:rsidTr="004B6834">
        <w:tc>
          <w:tcPr>
            <w:tcW w:w="1515"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&lt;55</w:t>
            </w:r>
          </w:p>
        </w:tc>
        <w:tc>
          <w:tcPr>
            <w:tcW w:w="4074" w:type="dxa"/>
            <w:tcBorders>
              <w:top w:val="single" w:sz="4" w:space="0" w:color="auto"/>
              <w:bottom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20% (53)</w:t>
            </w:r>
          </w:p>
        </w:tc>
      </w:tr>
      <w:tr w:rsidR="007667E1" w:rsidRPr="00650116" w:rsidTr="004B6834">
        <w:tc>
          <w:tcPr>
            <w:tcW w:w="1515" w:type="dxa"/>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55-64</w:t>
            </w:r>
          </w:p>
        </w:tc>
        <w:tc>
          <w:tcPr>
            <w:tcW w:w="4074" w:type="dxa"/>
            <w:tcBorders>
              <w:top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34% (89)</w:t>
            </w:r>
          </w:p>
        </w:tc>
      </w:tr>
      <w:tr w:rsidR="007667E1" w:rsidRPr="00650116" w:rsidTr="004B6834">
        <w:tc>
          <w:tcPr>
            <w:tcW w:w="1515" w:type="dxa"/>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65-74</w:t>
            </w:r>
          </w:p>
        </w:tc>
        <w:tc>
          <w:tcPr>
            <w:tcW w:w="4074" w:type="dxa"/>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30% (77)</w:t>
            </w:r>
          </w:p>
        </w:tc>
      </w:tr>
      <w:tr w:rsidR="007667E1" w:rsidRPr="00650116" w:rsidTr="004B6834">
        <w:tc>
          <w:tcPr>
            <w:tcW w:w="1515" w:type="dxa"/>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75+</w:t>
            </w:r>
          </w:p>
        </w:tc>
        <w:tc>
          <w:tcPr>
            <w:tcW w:w="4074" w:type="dxa"/>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14% (37)</w:t>
            </w:r>
          </w:p>
        </w:tc>
      </w:tr>
      <w:tr w:rsidR="007667E1" w:rsidRPr="00650116" w:rsidTr="004B6834">
        <w:tc>
          <w:tcPr>
            <w:tcW w:w="1515"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Not known</w:t>
            </w:r>
          </w:p>
        </w:tc>
        <w:tc>
          <w:tcPr>
            <w:tcW w:w="4074" w:type="dxa"/>
            <w:tcBorders>
              <w:bottom w:val="single" w:sz="4" w:space="0" w:color="auto"/>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2% (5)</w:t>
            </w:r>
          </w:p>
        </w:tc>
      </w:tr>
      <w:tr w:rsidR="007667E1" w:rsidRPr="00650116" w:rsidTr="004B6834">
        <w:tc>
          <w:tcPr>
            <w:tcW w:w="1515"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Specialty</w:t>
            </w:r>
          </w:p>
        </w:tc>
        <w:tc>
          <w:tcPr>
            <w:tcW w:w="2026"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MFU</w:t>
            </w:r>
          </w:p>
        </w:tc>
        <w:tc>
          <w:tcPr>
            <w:tcW w:w="4074" w:type="dxa"/>
            <w:tcBorders>
              <w:top w:val="single" w:sz="4" w:space="0" w:color="auto"/>
              <w:bottom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52% (136)</w:t>
            </w:r>
          </w:p>
        </w:tc>
      </w:tr>
      <w:tr w:rsidR="007667E1" w:rsidRPr="00650116" w:rsidTr="004B6834">
        <w:tc>
          <w:tcPr>
            <w:tcW w:w="1515"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ENT</w:t>
            </w:r>
          </w:p>
        </w:tc>
        <w:tc>
          <w:tcPr>
            <w:tcW w:w="4074" w:type="dxa"/>
            <w:tcBorders>
              <w:top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48% (124)</w:t>
            </w:r>
          </w:p>
        </w:tc>
      </w:tr>
      <w:tr w:rsidR="007667E1" w:rsidRPr="00650116" w:rsidTr="004B6834">
        <w:tc>
          <w:tcPr>
            <w:tcW w:w="1515"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Not known</w:t>
            </w:r>
          </w:p>
        </w:tc>
        <w:tc>
          <w:tcPr>
            <w:tcW w:w="4074" w:type="dxa"/>
            <w:tcBorders>
              <w:bottom w:val="single" w:sz="4" w:space="0" w:color="auto"/>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0.4% (1)</w:t>
            </w:r>
          </w:p>
        </w:tc>
      </w:tr>
      <w:tr w:rsidR="007667E1" w:rsidRPr="00650116" w:rsidTr="004B6834">
        <w:tc>
          <w:tcPr>
            <w:tcW w:w="1515"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Tumour site</w:t>
            </w:r>
          </w:p>
        </w:tc>
        <w:tc>
          <w:tcPr>
            <w:tcW w:w="2026"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Oral</w:t>
            </w:r>
          </w:p>
        </w:tc>
        <w:tc>
          <w:tcPr>
            <w:tcW w:w="4074" w:type="dxa"/>
            <w:tcBorders>
              <w:top w:val="single" w:sz="4" w:space="0" w:color="auto"/>
              <w:bottom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34% (90)</w:t>
            </w:r>
          </w:p>
        </w:tc>
      </w:tr>
      <w:tr w:rsidR="007667E1" w:rsidRPr="00650116" w:rsidTr="004B6834">
        <w:tc>
          <w:tcPr>
            <w:tcW w:w="1515"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Oro-pharyngeal</w:t>
            </w:r>
          </w:p>
        </w:tc>
        <w:tc>
          <w:tcPr>
            <w:tcW w:w="4074" w:type="dxa"/>
            <w:tcBorders>
              <w:top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21% (55)</w:t>
            </w:r>
          </w:p>
        </w:tc>
      </w:tr>
      <w:tr w:rsidR="007667E1" w:rsidRPr="00650116" w:rsidTr="004B6834">
        <w:tc>
          <w:tcPr>
            <w:tcW w:w="1515" w:type="dxa"/>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Laryngeal</w:t>
            </w:r>
          </w:p>
        </w:tc>
        <w:tc>
          <w:tcPr>
            <w:tcW w:w="4074" w:type="dxa"/>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20% (52)</w:t>
            </w:r>
          </w:p>
        </w:tc>
      </w:tr>
      <w:tr w:rsidR="007667E1" w:rsidRPr="00650116" w:rsidTr="004B6834">
        <w:tc>
          <w:tcPr>
            <w:tcW w:w="1515"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Other</w:t>
            </w:r>
          </w:p>
        </w:tc>
        <w:tc>
          <w:tcPr>
            <w:tcW w:w="4074" w:type="dxa"/>
            <w:tcBorders>
              <w:bottom w:val="single" w:sz="4" w:space="0" w:color="auto"/>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25% (64)</w:t>
            </w:r>
          </w:p>
        </w:tc>
      </w:tr>
      <w:tr w:rsidR="007667E1" w:rsidRPr="00650116" w:rsidTr="004B6834">
        <w:tc>
          <w:tcPr>
            <w:tcW w:w="1515"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Histology</w:t>
            </w:r>
          </w:p>
        </w:tc>
        <w:tc>
          <w:tcPr>
            <w:tcW w:w="2026"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SCC</w:t>
            </w:r>
          </w:p>
        </w:tc>
        <w:tc>
          <w:tcPr>
            <w:tcW w:w="4074" w:type="dxa"/>
            <w:tcBorders>
              <w:top w:val="single" w:sz="4" w:space="0" w:color="auto"/>
              <w:bottom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83% (217)</w:t>
            </w:r>
          </w:p>
        </w:tc>
      </w:tr>
      <w:tr w:rsidR="007667E1" w:rsidRPr="00650116" w:rsidTr="004B6834">
        <w:tc>
          <w:tcPr>
            <w:tcW w:w="1515"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Not SCC</w:t>
            </w:r>
          </w:p>
        </w:tc>
        <w:tc>
          <w:tcPr>
            <w:tcW w:w="4074" w:type="dxa"/>
            <w:tcBorders>
              <w:top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16% (43)</w:t>
            </w:r>
          </w:p>
        </w:tc>
      </w:tr>
      <w:tr w:rsidR="007667E1" w:rsidRPr="00650116" w:rsidTr="004B6834">
        <w:tc>
          <w:tcPr>
            <w:tcW w:w="1515"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Not known</w:t>
            </w:r>
          </w:p>
        </w:tc>
        <w:tc>
          <w:tcPr>
            <w:tcW w:w="4074" w:type="dxa"/>
            <w:tcBorders>
              <w:bottom w:val="single" w:sz="4" w:space="0" w:color="auto"/>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0.4% (1)</w:t>
            </w:r>
          </w:p>
        </w:tc>
      </w:tr>
      <w:tr w:rsidR="007667E1" w:rsidRPr="00650116" w:rsidTr="004B6834">
        <w:tc>
          <w:tcPr>
            <w:tcW w:w="1515"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 xml:space="preserve">Overall </w:t>
            </w:r>
          </w:p>
        </w:tc>
        <w:tc>
          <w:tcPr>
            <w:tcW w:w="2026"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1</w:t>
            </w:r>
          </w:p>
        </w:tc>
        <w:tc>
          <w:tcPr>
            <w:tcW w:w="4074" w:type="dxa"/>
            <w:tcBorders>
              <w:top w:val="single" w:sz="4" w:space="0" w:color="auto"/>
              <w:bottom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28% (73)</w:t>
            </w:r>
          </w:p>
        </w:tc>
      </w:tr>
      <w:tr w:rsidR="007667E1" w:rsidRPr="00650116" w:rsidTr="004B6834">
        <w:tc>
          <w:tcPr>
            <w:tcW w:w="1515" w:type="dxa"/>
            <w:tcBorders>
              <w:top w:val="nil"/>
            </w:tcBorders>
          </w:tcPr>
          <w:p w:rsidR="007667E1" w:rsidRPr="00650116" w:rsidRDefault="004B6834" w:rsidP="00CD5B5A">
            <w:pPr>
              <w:pStyle w:val="ListParagraph"/>
              <w:spacing w:after="0" w:line="240" w:lineRule="auto"/>
              <w:ind w:left="0"/>
              <w:contextualSpacing/>
              <w:rPr>
                <w:rFonts w:asciiTheme="majorHAnsi" w:hAnsiTheme="majorHAnsi"/>
              </w:rPr>
            </w:pPr>
            <w:r>
              <w:rPr>
                <w:rFonts w:asciiTheme="majorHAnsi" w:hAnsiTheme="majorHAnsi"/>
              </w:rPr>
              <w:t>pTNM</w:t>
            </w:r>
            <w:r w:rsidR="007667E1" w:rsidRPr="00650116">
              <w:rPr>
                <w:rFonts w:asciiTheme="majorHAnsi" w:hAnsiTheme="majorHAnsi"/>
              </w:rPr>
              <w:t xml:space="preserve"> stage</w:t>
            </w:r>
          </w:p>
        </w:tc>
        <w:tc>
          <w:tcPr>
            <w:tcW w:w="2026"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2</w:t>
            </w:r>
          </w:p>
        </w:tc>
        <w:tc>
          <w:tcPr>
            <w:tcW w:w="4074" w:type="dxa"/>
            <w:tcBorders>
              <w:top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25% (66)</w:t>
            </w:r>
          </w:p>
        </w:tc>
      </w:tr>
      <w:tr w:rsidR="007667E1" w:rsidRPr="00650116" w:rsidTr="004B6834">
        <w:tc>
          <w:tcPr>
            <w:tcW w:w="1515" w:type="dxa"/>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3</w:t>
            </w:r>
          </w:p>
        </w:tc>
        <w:tc>
          <w:tcPr>
            <w:tcW w:w="4074" w:type="dxa"/>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11% (29)</w:t>
            </w:r>
          </w:p>
        </w:tc>
      </w:tr>
      <w:tr w:rsidR="007667E1" w:rsidRPr="00650116" w:rsidTr="004B6834">
        <w:tc>
          <w:tcPr>
            <w:tcW w:w="1515" w:type="dxa"/>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4</w:t>
            </w:r>
          </w:p>
        </w:tc>
        <w:tc>
          <w:tcPr>
            <w:tcW w:w="4074" w:type="dxa"/>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20% (52)</w:t>
            </w:r>
          </w:p>
        </w:tc>
      </w:tr>
      <w:tr w:rsidR="007667E1" w:rsidRPr="00650116" w:rsidTr="004B6834">
        <w:tc>
          <w:tcPr>
            <w:tcW w:w="1515"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Not known</w:t>
            </w:r>
          </w:p>
        </w:tc>
        <w:tc>
          <w:tcPr>
            <w:tcW w:w="4074" w:type="dxa"/>
            <w:tcBorders>
              <w:bottom w:val="single" w:sz="4" w:space="0" w:color="auto"/>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16% (41)</w:t>
            </w:r>
          </w:p>
        </w:tc>
      </w:tr>
      <w:tr w:rsidR="007667E1" w:rsidRPr="00650116" w:rsidTr="004B6834">
        <w:tc>
          <w:tcPr>
            <w:tcW w:w="1515"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Primary</w:t>
            </w:r>
          </w:p>
        </w:tc>
        <w:tc>
          <w:tcPr>
            <w:tcW w:w="2026"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Surgery only</w:t>
            </w:r>
          </w:p>
        </w:tc>
        <w:tc>
          <w:tcPr>
            <w:tcW w:w="4074" w:type="dxa"/>
            <w:tcBorders>
              <w:top w:val="single" w:sz="4" w:space="0" w:color="auto"/>
              <w:bottom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44% (114)</w:t>
            </w:r>
          </w:p>
        </w:tc>
      </w:tr>
      <w:tr w:rsidR="007667E1" w:rsidRPr="00650116" w:rsidTr="004B6834">
        <w:tc>
          <w:tcPr>
            <w:tcW w:w="1515"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Treatment</w:t>
            </w:r>
          </w:p>
        </w:tc>
        <w:tc>
          <w:tcPr>
            <w:tcW w:w="2026"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Surgery + RT/CRT</w:t>
            </w:r>
          </w:p>
        </w:tc>
        <w:tc>
          <w:tcPr>
            <w:tcW w:w="4074" w:type="dxa"/>
            <w:tcBorders>
              <w:top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38% (100)</w:t>
            </w:r>
          </w:p>
        </w:tc>
      </w:tr>
      <w:tr w:rsidR="007667E1" w:rsidRPr="00650116" w:rsidTr="004B6834">
        <w:tc>
          <w:tcPr>
            <w:tcW w:w="1515" w:type="dxa"/>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RT/CRT only</w:t>
            </w:r>
          </w:p>
        </w:tc>
        <w:tc>
          <w:tcPr>
            <w:tcW w:w="4074" w:type="dxa"/>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15% (39)</w:t>
            </w:r>
          </w:p>
        </w:tc>
      </w:tr>
      <w:tr w:rsidR="007667E1" w:rsidRPr="00650116" w:rsidTr="004B6834">
        <w:tc>
          <w:tcPr>
            <w:tcW w:w="1515"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bottom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Not known</w:t>
            </w:r>
          </w:p>
        </w:tc>
        <w:tc>
          <w:tcPr>
            <w:tcW w:w="4074" w:type="dxa"/>
            <w:tcBorders>
              <w:bottom w:val="single" w:sz="4" w:space="0" w:color="auto"/>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3% (8)</w:t>
            </w:r>
          </w:p>
        </w:tc>
      </w:tr>
      <w:tr w:rsidR="007667E1" w:rsidRPr="00650116" w:rsidTr="004B6834">
        <w:tc>
          <w:tcPr>
            <w:tcW w:w="1515" w:type="dxa"/>
            <w:vMerge w:val="restart"/>
            <w:tcBorders>
              <w:top w:val="single" w:sz="4" w:space="0" w:color="auto"/>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Free-flap</w:t>
            </w:r>
          </w:p>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(214 surgery)</w:t>
            </w:r>
          </w:p>
        </w:tc>
        <w:tc>
          <w:tcPr>
            <w:tcW w:w="2026" w:type="dxa"/>
            <w:tcBorders>
              <w:top w:val="single" w:sz="4" w:space="0" w:color="auto"/>
              <w:bottom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Surgery without FF</w:t>
            </w:r>
          </w:p>
        </w:tc>
        <w:tc>
          <w:tcPr>
            <w:tcW w:w="4074" w:type="dxa"/>
            <w:tcBorders>
              <w:top w:val="single" w:sz="4" w:space="0" w:color="auto"/>
              <w:bottom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70% (149)</w:t>
            </w:r>
          </w:p>
        </w:tc>
      </w:tr>
      <w:tr w:rsidR="007667E1" w:rsidRPr="00650116" w:rsidTr="004B6834">
        <w:tc>
          <w:tcPr>
            <w:tcW w:w="1515" w:type="dxa"/>
            <w:vMerge/>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Borders>
              <w:top w:val="nil"/>
            </w:tcBorders>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Surgery with FF</w:t>
            </w:r>
          </w:p>
        </w:tc>
        <w:tc>
          <w:tcPr>
            <w:tcW w:w="4074" w:type="dxa"/>
            <w:tcBorders>
              <w:top w:val="nil"/>
            </w:tcBorders>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29% (63)</w:t>
            </w:r>
          </w:p>
        </w:tc>
      </w:tr>
      <w:tr w:rsidR="007667E1" w:rsidRPr="00650116" w:rsidTr="004B6834">
        <w:tc>
          <w:tcPr>
            <w:tcW w:w="1515" w:type="dxa"/>
          </w:tcPr>
          <w:p w:rsidR="007667E1" w:rsidRPr="00650116" w:rsidRDefault="007667E1" w:rsidP="00CD5B5A">
            <w:pPr>
              <w:pStyle w:val="ListParagraph"/>
              <w:spacing w:after="0" w:line="240" w:lineRule="auto"/>
              <w:ind w:left="0"/>
              <w:contextualSpacing/>
              <w:rPr>
                <w:rFonts w:asciiTheme="majorHAnsi" w:hAnsiTheme="majorHAnsi"/>
              </w:rPr>
            </w:pPr>
          </w:p>
        </w:tc>
        <w:tc>
          <w:tcPr>
            <w:tcW w:w="2026" w:type="dxa"/>
          </w:tcPr>
          <w:p w:rsidR="007667E1" w:rsidRPr="00650116" w:rsidRDefault="007667E1" w:rsidP="00CD5B5A">
            <w:pPr>
              <w:pStyle w:val="ListParagraph"/>
              <w:spacing w:after="0" w:line="240" w:lineRule="auto"/>
              <w:ind w:left="0"/>
              <w:contextualSpacing/>
              <w:rPr>
                <w:rFonts w:asciiTheme="majorHAnsi" w:hAnsiTheme="majorHAnsi"/>
              </w:rPr>
            </w:pPr>
            <w:r w:rsidRPr="00650116">
              <w:rPr>
                <w:rFonts w:asciiTheme="majorHAnsi" w:hAnsiTheme="majorHAnsi"/>
              </w:rPr>
              <w:t>Not known</w:t>
            </w:r>
          </w:p>
        </w:tc>
        <w:tc>
          <w:tcPr>
            <w:tcW w:w="4074" w:type="dxa"/>
          </w:tcPr>
          <w:p w:rsidR="007667E1" w:rsidRPr="00650116" w:rsidRDefault="007667E1" w:rsidP="00CD5B5A">
            <w:pPr>
              <w:pStyle w:val="ListParagraph"/>
              <w:spacing w:after="0" w:line="240" w:lineRule="auto"/>
              <w:ind w:left="0"/>
              <w:contextualSpacing/>
              <w:jc w:val="center"/>
              <w:rPr>
                <w:rFonts w:asciiTheme="majorHAnsi" w:hAnsiTheme="majorHAnsi"/>
              </w:rPr>
            </w:pPr>
            <w:r w:rsidRPr="00650116">
              <w:rPr>
                <w:rFonts w:asciiTheme="majorHAnsi" w:hAnsiTheme="majorHAnsi"/>
              </w:rPr>
              <w:t>1% (2)</w:t>
            </w:r>
          </w:p>
        </w:tc>
      </w:tr>
    </w:tbl>
    <w:p w:rsidR="007667E1" w:rsidRPr="00650116" w:rsidRDefault="007667E1" w:rsidP="007667E1">
      <w:pPr>
        <w:widowControl w:val="0"/>
        <w:autoSpaceDE w:val="0"/>
        <w:autoSpaceDN w:val="0"/>
        <w:adjustRightInd w:val="0"/>
        <w:spacing w:line="360" w:lineRule="auto"/>
        <w:contextualSpacing/>
        <w:rPr>
          <w:rFonts w:asciiTheme="majorHAnsi" w:hAnsiTheme="majorHAnsi" w:cs="Times New Roman"/>
          <w:b/>
          <w:sz w:val="22"/>
          <w:szCs w:val="22"/>
        </w:rPr>
      </w:pPr>
    </w:p>
    <w:p w:rsidR="007667E1" w:rsidRPr="00650116" w:rsidRDefault="007667E1" w:rsidP="007667E1">
      <w:pPr>
        <w:spacing w:line="360" w:lineRule="auto"/>
        <w:contextualSpacing/>
        <w:rPr>
          <w:rFonts w:asciiTheme="majorHAnsi" w:hAnsiTheme="majorHAnsi" w:cs="Times New Roman"/>
          <w:b/>
          <w:sz w:val="22"/>
          <w:szCs w:val="22"/>
        </w:rPr>
      </w:pPr>
    </w:p>
    <w:p w:rsidR="007667E1" w:rsidRDefault="007667E1" w:rsidP="007667E1">
      <w:pPr>
        <w:rPr>
          <w:rFonts w:asciiTheme="majorHAnsi" w:hAnsiTheme="majorHAnsi" w:cs="Times New Roman"/>
          <w:b/>
          <w:sz w:val="22"/>
          <w:szCs w:val="22"/>
        </w:rPr>
      </w:pPr>
      <w:r>
        <w:rPr>
          <w:rFonts w:asciiTheme="majorHAnsi" w:hAnsiTheme="majorHAnsi" w:cs="Times New Roman"/>
          <w:b/>
          <w:sz w:val="22"/>
          <w:szCs w:val="22"/>
        </w:rPr>
        <w:br w:type="page"/>
      </w:r>
    </w:p>
    <w:p w:rsidR="007667E1" w:rsidRPr="00650116" w:rsidRDefault="007667E1" w:rsidP="007667E1">
      <w:pPr>
        <w:widowControl w:val="0"/>
        <w:autoSpaceDE w:val="0"/>
        <w:autoSpaceDN w:val="0"/>
        <w:adjustRightInd w:val="0"/>
        <w:spacing w:line="360" w:lineRule="auto"/>
        <w:contextualSpacing/>
        <w:rPr>
          <w:rFonts w:asciiTheme="majorHAnsi" w:hAnsiTheme="majorHAnsi" w:cs="Times New Roman"/>
          <w:b/>
          <w:sz w:val="22"/>
          <w:szCs w:val="22"/>
        </w:rPr>
      </w:pPr>
      <w:r w:rsidRPr="00650116">
        <w:rPr>
          <w:rFonts w:asciiTheme="majorHAnsi" w:hAnsiTheme="majorHAnsi" w:cs="Times New Roman"/>
          <w:b/>
          <w:sz w:val="22"/>
          <w:szCs w:val="22"/>
        </w:rPr>
        <w:t xml:space="preserve">Table 2: Level of reported distress </w:t>
      </w:r>
      <w:r w:rsidRPr="00650116">
        <w:rPr>
          <w:rFonts w:asciiTheme="majorHAnsi" w:hAnsiTheme="majorHAnsi" w:cs="Times New Roman"/>
          <w:b/>
          <w:sz w:val="22"/>
          <w:szCs w:val="22"/>
        </w:rPr>
        <w:t xml:space="preserve">at </w:t>
      </w:r>
      <w:r w:rsidR="00EA4396">
        <w:rPr>
          <w:rFonts w:asciiTheme="majorHAnsi" w:hAnsiTheme="majorHAnsi" w:cs="Times New Roman"/>
          <w:b/>
          <w:sz w:val="22"/>
          <w:szCs w:val="22"/>
        </w:rPr>
        <w:t xml:space="preserve">first study </w:t>
      </w:r>
      <w:r w:rsidRPr="00650116">
        <w:rPr>
          <w:rFonts w:asciiTheme="majorHAnsi" w:hAnsiTheme="majorHAnsi" w:cs="Times New Roman"/>
          <w:b/>
          <w:sz w:val="22"/>
          <w:szCs w:val="22"/>
        </w:rPr>
        <w:t>clinic prior to consultation</w:t>
      </w:r>
    </w:p>
    <w:p w:rsidR="007667E1" w:rsidRPr="00650116" w:rsidRDefault="007667E1" w:rsidP="007667E1">
      <w:pPr>
        <w:widowControl w:val="0"/>
        <w:autoSpaceDE w:val="0"/>
        <w:autoSpaceDN w:val="0"/>
        <w:adjustRightInd w:val="0"/>
        <w:spacing w:line="360" w:lineRule="auto"/>
        <w:contextualSpacing/>
        <w:rPr>
          <w:rFonts w:asciiTheme="majorHAnsi" w:hAnsiTheme="majorHAnsi" w:cs="Times New Roman"/>
          <w:sz w:val="22"/>
          <w:szCs w:val="22"/>
        </w:rPr>
      </w:pPr>
    </w:p>
    <w:tbl>
      <w:tblPr>
        <w:tblStyle w:val="TableGrid"/>
        <w:tblW w:w="6618" w:type="dxa"/>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082"/>
        <w:gridCol w:w="4536"/>
      </w:tblGrid>
      <w:tr w:rsidR="007667E1" w:rsidRPr="00650116" w:rsidTr="00CD5B5A">
        <w:trPr>
          <w:trHeight w:val="20"/>
        </w:trPr>
        <w:tc>
          <w:tcPr>
            <w:tcW w:w="2082" w:type="dxa"/>
            <w:shd w:val="clear" w:color="auto" w:fill="B8CCE4" w:themeFill="accent1" w:themeFillTint="66"/>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DT score</w:t>
            </w:r>
          </w:p>
        </w:tc>
        <w:tc>
          <w:tcPr>
            <w:tcW w:w="4536" w:type="dxa"/>
            <w:shd w:val="clear" w:color="auto" w:fill="B8CCE4" w:themeFill="accent1" w:themeFillTint="66"/>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All clinics</w:t>
            </w:r>
          </w:p>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(n=261)</w:t>
            </w:r>
          </w:p>
        </w:tc>
      </w:tr>
      <w:tr w:rsidR="007667E1" w:rsidRPr="00650116" w:rsidTr="00CD5B5A">
        <w:trPr>
          <w:trHeight w:val="20"/>
        </w:trPr>
        <w:tc>
          <w:tcPr>
            <w:tcW w:w="2082" w:type="dxa"/>
          </w:tcPr>
          <w:p w:rsidR="007667E1" w:rsidRPr="00650116" w:rsidRDefault="007667E1" w:rsidP="00CD5B5A">
            <w:pPr>
              <w:pStyle w:val="ListParagraph"/>
              <w:spacing w:after="0" w:line="360" w:lineRule="auto"/>
              <w:ind w:left="0"/>
              <w:contextualSpacing/>
              <w:rPr>
                <w:rFonts w:asciiTheme="majorHAnsi" w:hAnsiTheme="majorHAnsi"/>
              </w:rPr>
            </w:pPr>
            <w:r w:rsidRPr="00650116">
              <w:rPr>
                <w:rFonts w:asciiTheme="majorHAnsi" w:hAnsiTheme="majorHAnsi"/>
              </w:rPr>
              <w:t>0 No distress</w:t>
            </w:r>
          </w:p>
        </w:tc>
        <w:tc>
          <w:tcPr>
            <w:tcW w:w="4536"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32% (84)</w:t>
            </w:r>
          </w:p>
        </w:tc>
      </w:tr>
      <w:tr w:rsidR="007667E1" w:rsidRPr="00650116" w:rsidTr="00CD5B5A">
        <w:trPr>
          <w:trHeight w:val="20"/>
        </w:trPr>
        <w:tc>
          <w:tcPr>
            <w:tcW w:w="2082"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1</w:t>
            </w:r>
          </w:p>
        </w:tc>
        <w:tc>
          <w:tcPr>
            <w:tcW w:w="4536"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10% (27)</w:t>
            </w:r>
          </w:p>
        </w:tc>
      </w:tr>
      <w:tr w:rsidR="007667E1" w:rsidRPr="00650116" w:rsidTr="00CD5B5A">
        <w:trPr>
          <w:trHeight w:val="20"/>
        </w:trPr>
        <w:tc>
          <w:tcPr>
            <w:tcW w:w="2082"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2</w:t>
            </w:r>
          </w:p>
        </w:tc>
        <w:tc>
          <w:tcPr>
            <w:tcW w:w="4536"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 xml:space="preserve">12% (31) </w:t>
            </w:r>
          </w:p>
        </w:tc>
      </w:tr>
      <w:tr w:rsidR="007667E1" w:rsidRPr="00650116" w:rsidTr="00CD5B5A">
        <w:trPr>
          <w:trHeight w:val="20"/>
        </w:trPr>
        <w:tc>
          <w:tcPr>
            <w:tcW w:w="2082"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3</w:t>
            </w:r>
          </w:p>
        </w:tc>
        <w:tc>
          <w:tcPr>
            <w:tcW w:w="4536"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10% (25)</w:t>
            </w:r>
          </w:p>
        </w:tc>
      </w:tr>
      <w:tr w:rsidR="007667E1" w:rsidRPr="00650116" w:rsidTr="00CD5B5A">
        <w:trPr>
          <w:trHeight w:val="20"/>
        </w:trPr>
        <w:tc>
          <w:tcPr>
            <w:tcW w:w="2082"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4</w:t>
            </w:r>
          </w:p>
        </w:tc>
        <w:tc>
          <w:tcPr>
            <w:tcW w:w="4536"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5% (14)</w:t>
            </w:r>
          </w:p>
        </w:tc>
      </w:tr>
      <w:tr w:rsidR="007667E1" w:rsidRPr="00650116" w:rsidTr="00CD5B5A">
        <w:trPr>
          <w:trHeight w:val="20"/>
        </w:trPr>
        <w:tc>
          <w:tcPr>
            <w:tcW w:w="2082"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5</w:t>
            </w:r>
          </w:p>
        </w:tc>
        <w:tc>
          <w:tcPr>
            <w:tcW w:w="4536"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9% (23)</w:t>
            </w:r>
          </w:p>
        </w:tc>
      </w:tr>
      <w:tr w:rsidR="007667E1" w:rsidRPr="00650116" w:rsidTr="00CD5B5A">
        <w:trPr>
          <w:trHeight w:val="20"/>
        </w:trPr>
        <w:tc>
          <w:tcPr>
            <w:tcW w:w="2082"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6</w:t>
            </w:r>
          </w:p>
        </w:tc>
        <w:tc>
          <w:tcPr>
            <w:tcW w:w="4536"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5% (14)</w:t>
            </w:r>
          </w:p>
        </w:tc>
      </w:tr>
      <w:tr w:rsidR="007667E1" w:rsidRPr="00650116" w:rsidTr="00CD5B5A">
        <w:trPr>
          <w:trHeight w:val="20"/>
        </w:trPr>
        <w:tc>
          <w:tcPr>
            <w:tcW w:w="2082"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7</w:t>
            </w:r>
          </w:p>
        </w:tc>
        <w:tc>
          <w:tcPr>
            <w:tcW w:w="4536"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8% (20)</w:t>
            </w:r>
          </w:p>
        </w:tc>
      </w:tr>
      <w:tr w:rsidR="007667E1" w:rsidRPr="00650116" w:rsidTr="00CD5B5A">
        <w:trPr>
          <w:trHeight w:val="20"/>
        </w:trPr>
        <w:tc>
          <w:tcPr>
            <w:tcW w:w="2082"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8</w:t>
            </w:r>
          </w:p>
        </w:tc>
        <w:tc>
          <w:tcPr>
            <w:tcW w:w="4536"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5% (12)</w:t>
            </w:r>
          </w:p>
        </w:tc>
      </w:tr>
      <w:tr w:rsidR="007667E1" w:rsidRPr="00650116" w:rsidTr="00CD5B5A">
        <w:trPr>
          <w:trHeight w:val="20"/>
        </w:trPr>
        <w:tc>
          <w:tcPr>
            <w:tcW w:w="2082"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9</w:t>
            </w:r>
          </w:p>
        </w:tc>
        <w:tc>
          <w:tcPr>
            <w:tcW w:w="4536" w:type="dxa"/>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1% (2)</w:t>
            </w:r>
          </w:p>
        </w:tc>
      </w:tr>
      <w:tr w:rsidR="007667E1" w:rsidRPr="00650116" w:rsidTr="00CD5B5A">
        <w:trPr>
          <w:trHeight w:val="20"/>
        </w:trPr>
        <w:tc>
          <w:tcPr>
            <w:tcW w:w="2082" w:type="dxa"/>
            <w:tcBorders>
              <w:bottom w:val="single" w:sz="4" w:space="0" w:color="A6A6A6" w:themeColor="background1" w:themeShade="A6"/>
            </w:tcBorders>
          </w:tcPr>
          <w:p w:rsidR="007667E1" w:rsidRPr="00650116" w:rsidRDefault="007667E1" w:rsidP="00CD5B5A">
            <w:pPr>
              <w:pStyle w:val="ListParagraph"/>
              <w:spacing w:after="0" w:line="360" w:lineRule="auto"/>
              <w:ind w:left="0"/>
              <w:contextualSpacing/>
              <w:rPr>
                <w:rFonts w:asciiTheme="majorHAnsi" w:hAnsiTheme="majorHAnsi"/>
              </w:rPr>
            </w:pPr>
            <w:r w:rsidRPr="00650116">
              <w:rPr>
                <w:rFonts w:asciiTheme="majorHAnsi" w:hAnsiTheme="majorHAnsi"/>
              </w:rPr>
              <w:t>10 Extreme distress</w:t>
            </w:r>
          </w:p>
        </w:tc>
        <w:tc>
          <w:tcPr>
            <w:tcW w:w="4536" w:type="dxa"/>
            <w:tcBorders>
              <w:bottom w:val="single" w:sz="4" w:space="0" w:color="A6A6A6" w:themeColor="background1" w:themeShade="A6"/>
            </w:tcBorders>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3% (9)</w:t>
            </w:r>
          </w:p>
        </w:tc>
      </w:tr>
      <w:tr w:rsidR="007667E1" w:rsidRPr="00650116" w:rsidTr="00CD5B5A">
        <w:trPr>
          <w:trHeight w:val="20"/>
        </w:trPr>
        <w:tc>
          <w:tcPr>
            <w:tcW w:w="2082" w:type="dxa"/>
            <w:tcBorders>
              <w:top w:val="single" w:sz="4" w:space="0" w:color="A6A6A6" w:themeColor="background1" w:themeShade="A6"/>
              <w:bottom w:val="single" w:sz="4" w:space="0" w:color="A6A6A6" w:themeColor="background1" w:themeShade="A6"/>
            </w:tcBorders>
          </w:tcPr>
          <w:p w:rsidR="007667E1" w:rsidRPr="00650116" w:rsidRDefault="007667E1" w:rsidP="00CD5B5A">
            <w:pPr>
              <w:pStyle w:val="ListParagraph"/>
              <w:spacing w:after="0" w:line="360" w:lineRule="auto"/>
              <w:ind w:left="0"/>
              <w:contextualSpacing/>
              <w:jc w:val="right"/>
              <w:rPr>
                <w:rFonts w:asciiTheme="majorHAnsi" w:hAnsiTheme="majorHAnsi"/>
              </w:rPr>
            </w:pPr>
            <w:r w:rsidRPr="00650116">
              <w:rPr>
                <w:rFonts w:asciiTheme="majorHAnsi" w:hAnsiTheme="majorHAnsi"/>
              </w:rPr>
              <w:t>Mean</w:t>
            </w:r>
          </w:p>
        </w:tc>
        <w:tc>
          <w:tcPr>
            <w:tcW w:w="4536" w:type="dxa"/>
            <w:tcBorders>
              <w:top w:val="single" w:sz="4" w:space="0" w:color="A6A6A6" w:themeColor="background1" w:themeShade="A6"/>
              <w:bottom w:val="single" w:sz="4" w:space="0" w:color="A6A6A6" w:themeColor="background1" w:themeShade="A6"/>
            </w:tcBorders>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2.9</w:t>
            </w:r>
          </w:p>
        </w:tc>
      </w:tr>
      <w:tr w:rsidR="007667E1" w:rsidRPr="00650116" w:rsidTr="00CD5B5A">
        <w:trPr>
          <w:trHeight w:val="20"/>
        </w:trPr>
        <w:tc>
          <w:tcPr>
            <w:tcW w:w="2082" w:type="dxa"/>
            <w:tcBorders>
              <w:top w:val="single" w:sz="4" w:space="0" w:color="A6A6A6" w:themeColor="background1" w:themeShade="A6"/>
            </w:tcBorders>
          </w:tcPr>
          <w:p w:rsidR="007667E1" w:rsidRPr="00650116" w:rsidRDefault="007667E1" w:rsidP="00CD5B5A">
            <w:pPr>
              <w:pStyle w:val="ListParagraph"/>
              <w:spacing w:after="0" w:line="360" w:lineRule="auto"/>
              <w:ind w:left="0"/>
              <w:contextualSpacing/>
              <w:jc w:val="right"/>
              <w:rPr>
                <w:rFonts w:asciiTheme="majorHAnsi" w:hAnsiTheme="majorHAnsi"/>
              </w:rPr>
            </w:pPr>
            <w:r w:rsidRPr="00650116">
              <w:rPr>
                <w:rFonts w:asciiTheme="majorHAnsi" w:hAnsiTheme="majorHAnsi"/>
              </w:rPr>
              <w:t>Median (IQR)</w:t>
            </w:r>
          </w:p>
        </w:tc>
        <w:tc>
          <w:tcPr>
            <w:tcW w:w="4536" w:type="dxa"/>
            <w:tcBorders>
              <w:top w:val="single" w:sz="4" w:space="0" w:color="A6A6A6" w:themeColor="background1" w:themeShade="A6"/>
            </w:tcBorders>
          </w:tcPr>
          <w:p w:rsidR="007667E1" w:rsidRPr="00650116" w:rsidRDefault="007667E1" w:rsidP="00CD5B5A">
            <w:pPr>
              <w:pStyle w:val="ListParagraph"/>
              <w:spacing w:after="0" w:line="360" w:lineRule="auto"/>
              <w:ind w:left="0"/>
              <w:contextualSpacing/>
              <w:jc w:val="center"/>
              <w:rPr>
                <w:rFonts w:asciiTheme="majorHAnsi" w:hAnsiTheme="majorHAnsi"/>
              </w:rPr>
            </w:pPr>
            <w:r w:rsidRPr="00650116">
              <w:rPr>
                <w:rFonts w:asciiTheme="majorHAnsi" w:hAnsiTheme="majorHAnsi"/>
              </w:rPr>
              <w:t>2 (0-5)</w:t>
            </w:r>
          </w:p>
        </w:tc>
      </w:tr>
    </w:tbl>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rPr>
          <w:rFonts w:asciiTheme="majorHAnsi" w:hAnsiTheme="majorHAnsi"/>
          <w:b/>
          <w:sz w:val="22"/>
          <w:szCs w:val="22"/>
        </w:rPr>
      </w:pPr>
      <w:r w:rsidRPr="00650116">
        <w:rPr>
          <w:rFonts w:asciiTheme="majorHAnsi" w:hAnsiTheme="majorHAnsi"/>
          <w:b/>
          <w:sz w:val="22"/>
          <w:szCs w:val="22"/>
        </w:rPr>
        <w:br w:type="page"/>
      </w:r>
    </w:p>
    <w:p w:rsidR="007667E1" w:rsidRPr="00650116" w:rsidRDefault="007667E1" w:rsidP="007667E1">
      <w:pPr>
        <w:autoSpaceDE w:val="0"/>
        <w:autoSpaceDN w:val="0"/>
        <w:adjustRightInd w:val="0"/>
        <w:spacing w:line="360" w:lineRule="auto"/>
        <w:contextualSpacing/>
        <w:rPr>
          <w:rFonts w:asciiTheme="majorHAnsi" w:hAnsiTheme="majorHAnsi" w:cs="Arial"/>
          <w:b/>
          <w:bCs/>
          <w:color w:val="000000"/>
          <w:sz w:val="22"/>
          <w:szCs w:val="22"/>
        </w:rPr>
      </w:pPr>
      <w:r w:rsidRPr="00650116">
        <w:rPr>
          <w:rFonts w:asciiTheme="majorHAnsi" w:hAnsiTheme="majorHAnsi"/>
          <w:b/>
          <w:sz w:val="22"/>
          <w:szCs w:val="22"/>
        </w:rPr>
        <w:t xml:space="preserve">Table 3: </w:t>
      </w:r>
      <w:r w:rsidR="00EA4396">
        <w:rPr>
          <w:rFonts w:asciiTheme="majorHAnsi" w:hAnsiTheme="majorHAnsi" w:cs="Arial"/>
          <w:b/>
          <w:bCs/>
          <w:color w:val="000000"/>
          <w:sz w:val="22"/>
          <w:szCs w:val="22"/>
        </w:rPr>
        <w:t>Area under the Receiver Operative Curve (AUC) for DT score predicting a significant problem (dysfunction) in UWQOL domains</w:t>
      </w:r>
      <w:r w:rsidRPr="00650116">
        <w:rPr>
          <w:rFonts w:asciiTheme="majorHAnsi" w:hAnsiTheme="majorHAnsi" w:cs="Arial"/>
          <w:b/>
          <w:bCs/>
          <w:color w:val="000000"/>
          <w:sz w:val="22"/>
          <w:szCs w:val="22"/>
        </w:rPr>
        <w:t xml:space="preserve">  </w:t>
      </w: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410"/>
        <w:gridCol w:w="1586"/>
        <w:gridCol w:w="2242"/>
        <w:gridCol w:w="1587"/>
      </w:tblGrid>
      <w:tr w:rsidR="007667E1" w:rsidRPr="00650116" w:rsidTr="004B6834">
        <w:tc>
          <w:tcPr>
            <w:tcW w:w="2410" w:type="dxa"/>
            <w:tcBorders>
              <w:bottom w:val="single" w:sz="4" w:space="0" w:color="auto"/>
            </w:tcBorders>
            <w:vAlign w:val="center"/>
          </w:tcPr>
          <w:p w:rsidR="007667E1" w:rsidRPr="00650116" w:rsidRDefault="007667E1" w:rsidP="004B6834">
            <w:pPr>
              <w:autoSpaceDE w:val="0"/>
              <w:autoSpaceDN w:val="0"/>
              <w:adjustRightInd w:val="0"/>
              <w:spacing w:line="276" w:lineRule="auto"/>
              <w:contextualSpacing/>
              <w:jc w:val="center"/>
              <w:rPr>
                <w:rFonts w:asciiTheme="majorHAnsi" w:hAnsiTheme="majorHAnsi" w:cs="Arial"/>
                <w:bCs/>
                <w:color w:val="000000"/>
              </w:rPr>
            </w:pPr>
            <w:r w:rsidRPr="00650116">
              <w:rPr>
                <w:rFonts w:asciiTheme="majorHAnsi" w:hAnsiTheme="majorHAnsi" w:cs="Arial"/>
                <w:bCs/>
                <w:color w:val="000000"/>
              </w:rPr>
              <w:t>Domains in the Physical Function subscale of the UWQOL</w:t>
            </w:r>
          </w:p>
        </w:tc>
        <w:tc>
          <w:tcPr>
            <w:tcW w:w="1586" w:type="dxa"/>
            <w:tcBorders>
              <w:bottom w:val="single" w:sz="4" w:space="0" w:color="auto"/>
            </w:tcBorders>
            <w:vAlign w:val="center"/>
          </w:tcPr>
          <w:p w:rsidR="007667E1" w:rsidRPr="00650116" w:rsidRDefault="007667E1" w:rsidP="004B6834">
            <w:pPr>
              <w:autoSpaceDE w:val="0"/>
              <w:autoSpaceDN w:val="0"/>
              <w:adjustRightInd w:val="0"/>
              <w:spacing w:line="276" w:lineRule="auto"/>
              <w:contextualSpacing/>
              <w:jc w:val="center"/>
              <w:rPr>
                <w:rFonts w:asciiTheme="majorHAnsi" w:hAnsiTheme="majorHAnsi" w:cs="Arial"/>
                <w:bCs/>
                <w:color w:val="000000"/>
              </w:rPr>
            </w:pPr>
            <w:r w:rsidRPr="00650116">
              <w:rPr>
                <w:rFonts w:asciiTheme="majorHAnsi" w:hAnsiTheme="majorHAnsi" w:cs="Arial"/>
                <w:bCs/>
                <w:color w:val="000000"/>
              </w:rPr>
              <w:t>Area under Curve</w:t>
            </w:r>
          </w:p>
        </w:tc>
        <w:tc>
          <w:tcPr>
            <w:tcW w:w="2242" w:type="dxa"/>
            <w:tcBorders>
              <w:bottom w:val="single" w:sz="4" w:space="0" w:color="auto"/>
            </w:tcBorders>
            <w:vAlign w:val="center"/>
          </w:tcPr>
          <w:p w:rsidR="007667E1" w:rsidRPr="00650116" w:rsidRDefault="007667E1" w:rsidP="004B6834">
            <w:pPr>
              <w:autoSpaceDE w:val="0"/>
              <w:autoSpaceDN w:val="0"/>
              <w:adjustRightInd w:val="0"/>
              <w:spacing w:line="276" w:lineRule="auto"/>
              <w:contextualSpacing/>
              <w:jc w:val="center"/>
              <w:rPr>
                <w:rFonts w:asciiTheme="majorHAnsi" w:hAnsiTheme="majorHAnsi" w:cs="Arial"/>
                <w:bCs/>
                <w:color w:val="000000"/>
              </w:rPr>
            </w:pPr>
            <w:r w:rsidRPr="00650116">
              <w:rPr>
                <w:rFonts w:asciiTheme="majorHAnsi" w:hAnsiTheme="majorHAnsi" w:cs="Arial"/>
                <w:bCs/>
                <w:color w:val="000000"/>
              </w:rPr>
              <w:t>Domains in the Social-Emotional subscale of the UWQOL</w:t>
            </w:r>
          </w:p>
        </w:tc>
        <w:tc>
          <w:tcPr>
            <w:tcW w:w="1587" w:type="dxa"/>
            <w:tcBorders>
              <w:bottom w:val="single" w:sz="4" w:space="0" w:color="auto"/>
            </w:tcBorders>
            <w:vAlign w:val="center"/>
          </w:tcPr>
          <w:p w:rsidR="007667E1" w:rsidRPr="00650116" w:rsidRDefault="007667E1" w:rsidP="004B6834">
            <w:pPr>
              <w:autoSpaceDE w:val="0"/>
              <w:autoSpaceDN w:val="0"/>
              <w:adjustRightInd w:val="0"/>
              <w:spacing w:line="276" w:lineRule="auto"/>
              <w:contextualSpacing/>
              <w:jc w:val="center"/>
              <w:rPr>
                <w:rFonts w:asciiTheme="majorHAnsi" w:hAnsiTheme="majorHAnsi" w:cs="Arial"/>
                <w:bCs/>
                <w:color w:val="000000"/>
              </w:rPr>
            </w:pPr>
            <w:r w:rsidRPr="00650116">
              <w:rPr>
                <w:rFonts w:asciiTheme="majorHAnsi" w:hAnsiTheme="majorHAnsi" w:cs="Arial"/>
                <w:bCs/>
                <w:color w:val="000000"/>
              </w:rPr>
              <w:t>Area under curve</w:t>
            </w:r>
          </w:p>
        </w:tc>
        <w:bookmarkStart w:id="0" w:name="_GoBack"/>
        <w:bookmarkEnd w:id="0"/>
      </w:tr>
      <w:tr w:rsidR="007667E1" w:rsidRPr="00650116" w:rsidTr="004B6834">
        <w:tc>
          <w:tcPr>
            <w:tcW w:w="2410" w:type="dxa"/>
            <w:tcBorders>
              <w:top w:val="single" w:sz="4" w:space="0" w:color="auto"/>
              <w:bottom w:val="nil"/>
            </w:tcBorders>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Appearance</w:t>
            </w:r>
          </w:p>
        </w:tc>
        <w:tc>
          <w:tcPr>
            <w:tcW w:w="1586" w:type="dxa"/>
            <w:tcBorders>
              <w:top w:val="single" w:sz="4" w:space="0" w:color="auto"/>
              <w:bottom w:val="nil"/>
            </w:tcBorders>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.628</w:t>
            </w:r>
          </w:p>
        </w:tc>
        <w:tc>
          <w:tcPr>
            <w:tcW w:w="2242" w:type="dxa"/>
            <w:tcBorders>
              <w:top w:val="single" w:sz="4" w:space="0" w:color="auto"/>
              <w:bottom w:val="nil"/>
            </w:tcBorders>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Pain</w:t>
            </w:r>
          </w:p>
        </w:tc>
        <w:tc>
          <w:tcPr>
            <w:tcW w:w="1587" w:type="dxa"/>
            <w:tcBorders>
              <w:top w:val="single" w:sz="4" w:space="0" w:color="auto"/>
              <w:bottom w:val="nil"/>
            </w:tcBorders>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.763</w:t>
            </w:r>
          </w:p>
        </w:tc>
      </w:tr>
      <w:tr w:rsidR="007667E1" w:rsidRPr="00650116" w:rsidTr="004B6834">
        <w:tc>
          <w:tcPr>
            <w:tcW w:w="2410" w:type="dxa"/>
            <w:tcBorders>
              <w:top w:val="nil"/>
            </w:tcBorders>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Swallowing</w:t>
            </w:r>
          </w:p>
        </w:tc>
        <w:tc>
          <w:tcPr>
            <w:tcW w:w="1586" w:type="dxa"/>
            <w:tcBorders>
              <w:top w:val="nil"/>
            </w:tcBorders>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.668</w:t>
            </w:r>
          </w:p>
        </w:tc>
        <w:tc>
          <w:tcPr>
            <w:tcW w:w="2242" w:type="dxa"/>
            <w:tcBorders>
              <w:top w:val="nil"/>
            </w:tcBorders>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Activity</w:t>
            </w:r>
          </w:p>
        </w:tc>
        <w:tc>
          <w:tcPr>
            <w:tcW w:w="1587" w:type="dxa"/>
            <w:tcBorders>
              <w:top w:val="nil"/>
            </w:tcBorders>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.755</w:t>
            </w:r>
          </w:p>
        </w:tc>
      </w:tr>
      <w:tr w:rsidR="007667E1" w:rsidRPr="00650116" w:rsidTr="004B6834">
        <w:tc>
          <w:tcPr>
            <w:tcW w:w="2410"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Chewing</w:t>
            </w:r>
          </w:p>
        </w:tc>
        <w:tc>
          <w:tcPr>
            <w:tcW w:w="1586"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.618</w:t>
            </w:r>
          </w:p>
        </w:tc>
        <w:tc>
          <w:tcPr>
            <w:tcW w:w="2242"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Recreation</w:t>
            </w:r>
          </w:p>
        </w:tc>
        <w:tc>
          <w:tcPr>
            <w:tcW w:w="1587"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.795</w:t>
            </w:r>
          </w:p>
        </w:tc>
      </w:tr>
      <w:tr w:rsidR="007667E1" w:rsidRPr="00650116" w:rsidTr="004B6834">
        <w:tc>
          <w:tcPr>
            <w:tcW w:w="2410"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Speech</w:t>
            </w:r>
          </w:p>
        </w:tc>
        <w:tc>
          <w:tcPr>
            <w:tcW w:w="1586"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.691</w:t>
            </w:r>
          </w:p>
        </w:tc>
        <w:tc>
          <w:tcPr>
            <w:tcW w:w="2242"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Shoulder</w:t>
            </w:r>
          </w:p>
        </w:tc>
        <w:tc>
          <w:tcPr>
            <w:tcW w:w="1587"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.674</w:t>
            </w:r>
          </w:p>
        </w:tc>
      </w:tr>
      <w:tr w:rsidR="007667E1" w:rsidRPr="00650116" w:rsidTr="004B6834">
        <w:tc>
          <w:tcPr>
            <w:tcW w:w="2410"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Taste</w:t>
            </w:r>
          </w:p>
        </w:tc>
        <w:tc>
          <w:tcPr>
            <w:tcW w:w="1586"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.626</w:t>
            </w:r>
          </w:p>
        </w:tc>
        <w:tc>
          <w:tcPr>
            <w:tcW w:w="2242"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Mood</w:t>
            </w:r>
          </w:p>
        </w:tc>
        <w:tc>
          <w:tcPr>
            <w:tcW w:w="1587"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.825</w:t>
            </w:r>
          </w:p>
        </w:tc>
      </w:tr>
      <w:tr w:rsidR="007667E1" w:rsidRPr="00650116" w:rsidTr="004B6834">
        <w:tc>
          <w:tcPr>
            <w:tcW w:w="2410"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Saliva</w:t>
            </w:r>
          </w:p>
        </w:tc>
        <w:tc>
          <w:tcPr>
            <w:tcW w:w="1586"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.66</w:t>
            </w:r>
            <w:r w:rsidR="005A668F">
              <w:rPr>
                <w:rFonts w:asciiTheme="majorHAnsi" w:hAnsiTheme="majorHAnsi" w:cs="Arial"/>
                <w:bCs/>
                <w:color w:val="000000"/>
              </w:rPr>
              <w:t>2</w:t>
            </w:r>
          </w:p>
        </w:tc>
        <w:tc>
          <w:tcPr>
            <w:tcW w:w="2242"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Anxiety</w:t>
            </w:r>
          </w:p>
        </w:tc>
        <w:tc>
          <w:tcPr>
            <w:tcW w:w="1587" w:type="dxa"/>
          </w:tcPr>
          <w:p w:rsidR="007667E1" w:rsidRPr="00650116" w:rsidRDefault="007667E1" w:rsidP="00CD5B5A">
            <w:pPr>
              <w:autoSpaceDE w:val="0"/>
              <w:autoSpaceDN w:val="0"/>
              <w:adjustRightInd w:val="0"/>
              <w:spacing w:line="360" w:lineRule="auto"/>
              <w:contextualSpacing/>
              <w:jc w:val="center"/>
              <w:rPr>
                <w:rFonts w:asciiTheme="majorHAnsi" w:hAnsiTheme="majorHAnsi" w:cs="Arial"/>
                <w:bCs/>
                <w:color w:val="000000"/>
              </w:rPr>
            </w:pPr>
            <w:r w:rsidRPr="00650116">
              <w:rPr>
                <w:rFonts w:asciiTheme="majorHAnsi" w:hAnsiTheme="majorHAnsi" w:cs="Arial"/>
                <w:bCs/>
                <w:color w:val="000000"/>
              </w:rPr>
              <w:t>.877</w:t>
            </w:r>
          </w:p>
        </w:tc>
      </w:tr>
    </w:tbl>
    <w:p w:rsidR="007667E1" w:rsidRPr="00650116" w:rsidRDefault="007667E1" w:rsidP="007667E1">
      <w:pPr>
        <w:spacing w:line="360" w:lineRule="auto"/>
        <w:contextualSpacing/>
        <w:rPr>
          <w:rFonts w:asciiTheme="majorHAnsi" w:hAnsiTheme="majorHAnsi" w:cs="Arial"/>
          <w:bCs/>
          <w:color w:val="000000"/>
          <w:sz w:val="22"/>
          <w:szCs w:val="22"/>
        </w:rPr>
      </w:pPr>
    </w:p>
    <w:p w:rsidR="007667E1" w:rsidRPr="00650116" w:rsidRDefault="007667E1" w:rsidP="007667E1">
      <w:pPr>
        <w:spacing w:line="360" w:lineRule="auto"/>
        <w:contextualSpacing/>
        <w:rPr>
          <w:rFonts w:asciiTheme="majorHAnsi" w:hAnsiTheme="majorHAnsi"/>
          <w:sz w:val="22"/>
          <w:szCs w:val="22"/>
        </w:rPr>
      </w:pPr>
      <w:r w:rsidRPr="00650116">
        <w:rPr>
          <w:rFonts w:asciiTheme="majorHAnsi" w:hAnsiTheme="majorHAnsi" w:cs="Arial"/>
          <w:bCs/>
          <w:color w:val="000000"/>
          <w:sz w:val="22"/>
          <w:szCs w:val="22"/>
        </w:rPr>
        <w:t>The AUC can be used as a summary measure of how well the DT predicts a binary outcome i.e. having a significant problem as derived from the UWQOL algorithm</w:t>
      </w: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r w:rsidRPr="00650116">
        <w:rPr>
          <w:rFonts w:asciiTheme="majorHAnsi" w:hAnsiTheme="majorHAnsi"/>
          <w:sz w:val="22"/>
          <w:szCs w:val="22"/>
        </w:rPr>
        <w:br w:type="page"/>
      </w:r>
    </w:p>
    <w:p w:rsidR="007667E1" w:rsidRPr="00650116" w:rsidRDefault="007667E1" w:rsidP="007667E1">
      <w:pPr>
        <w:spacing w:line="360" w:lineRule="auto"/>
        <w:contextualSpacing/>
        <w:rPr>
          <w:rFonts w:asciiTheme="majorHAnsi" w:hAnsiTheme="majorHAnsi"/>
          <w:b/>
          <w:sz w:val="22"/>
          <w:szCs w:val="22"/>
        </w:rPr>
      </w:pPr>
      <w:r w:rsidRPr="00650116">
        <w:rPr>
          <w:rFonts w:asciiTheme="majorHAnsi" w:hAnsiTheme="majorHAnsi"/>
          <w:b/>
          <w:sz w:val="22"/>
          <w:szCs w:val="22"/>
        </w:rPr>
        <w:t>Table 4:</w:t>
      </w:r>
      <w:r w:rsidRPr="00650116">
        <w:rPr>
          <w:rFonts w:asciiTheme="majorHAnsi" w:hAnsiTheme="majorHAnsi" w:cs="Times New Roman"/>
          <w:b/>
          <w:sz w:val="22"/>
          <w:szCs w:val="22"/>
        </w:rPr>
        <w:t xml:space="preserve"> Sensitivity and specificity values for binary cut-offs within the distribution of DT scores in regard to UWQOL anxiety and mood dysfunction.</w:t>
      </w:r>
    </w:p>
    <w:p w:rsidR="007667E1" w:rsidRPr="00650116" w:rsidRDefault="007667E1" w:rsidP="007667E1">
      <w:pPr>
        <w:spacing w:line="360" w:lineRule="auto"/>
        <w:contextualSpacing/>
        <w:rPr>
          <w:rFonts w:asciiTheme="majorHAnsi" w:hAnsiTheme="maj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02"/>
        <w:gridCol w:w="1703"/>
        <w:gridCol w:w="1703"/>
        <w:gridCol w:w="1704"/>
        <w:gridCol w:w="1704"/>
      </w:tblGrid>
      <w:tr w:rsidR="007667E1" w:rsidRPr="00650116" w:rsidTr="00CD5B5A">
        <w:tc>
          <w:tcPr>
            <w:tcW w:w="1704" w:type="dxa"/>
          </w:tcPr>
          <w:p w:rsidR="007667E1" w:rsidRPr="00650116" w:rsidRDefault="007667E1" w:rsidP="00CD5B5A">
            <w:pPr>
              <w:spacing w:line="360" w:lineRule="auto"/>
              <w:contextualSpacing/>
              <w:rPr>
                <w:rFonts w:asciiTheme="majorHAnsi" w:hAnsiTheme="majorHAnsi"/>
              </w:rPr>
            </w:pPr>
          </w:p>
        </w:tc>
        <w:tc>
          <w:tcPr>
            <w:tcW w:w="3408" w:type="dxa"/>
            <w:gridSpan w:val="2"/>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Anxiety</w:t>
            </w:r>
          </w:p>
        </w:tc>
        <w:tc>
          <w:tcPr>
            <w:tcW w:w="3410" w:type="dxa"/>
            <w:gridSpan w:val="2"/>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Mood</w:t>
            </w:r>
          </w:p>
        </w:tc>
      </w:tr>
      <w:tr w:rsidR="007667E1" w:rsidRPr="00650116" w:rsidTr="00CD5B5A">
        <w:tc>
          <w:tcPr>
            <w:tcW w:w="1704" w:type="dxa"/>
            <w:tcBorders>
              <w:bottom w:val="single" w:sz="4" w:space="0" w:color="auto"/>
            </w:tcBorders>
          </w:tcPr>
          <w:p w:rsidR="007667E1" w:rsidRPr="00650116" w:rsidRDefault="007667E1" w:rsidP="00CD5B5A">
            <w:pPr>
              <w:spacing w:line="360" w:lineRule="auto"/>
              <w:contextualSpacing/>
              <w:rPr>
                <w:rFonts w:asciiTheme="majorHAnsi" w:hAnsiTheme="majorHAnsi"/>
              </w:rPr>
            </w:pPr>
            <w:r w:rsidRPr="00650116">
              <w:rPr>
                <w:rFonts w:asciiTheme="majorHAnsi" w:hAnsiTheme="majorHAnsi"/>
              </w:rPr>
              <w:t>Cut-off  DT score</w:t>
            </w:r>
          </w:p>
        </w:tc>
        <w:tc>
          <w:tcPr>
            <w:tcW w:w="1704" w:type="dxa"/>
            <w:tcBorders>
              <w:bottom w:val="single" w:sz="4" w:space="0" w:color="auto"/>
            </w:tcBorders>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%Sensitivity</w:t>
            </w:r>
          </w:p>
        </w:tc>
        <w:tc>
          <w:tcPr>
            <w:tcW w:w="1704" w:type="dxa"/>
            <w:tcBorders>
              <w:bottom w:val="single" w:sz="4" w:space="0" w:color="auto"/>
            </w:tcBorders>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%Specificity</w:t>
            </w:r>
          </w:p>
        </w:tc>
        <w:tc>
          <w:tcPr>
            <w:tcW w:w="1705" w:type="dxa"/>
            <w:tcBorders>
              <w:bottom w:val="single" w:sz="4" w:space="0" w:color="auto"/>
            </w:tcBorders>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%Sensitivity</w:t>
            </w:r>
          </w:p>
        </w:tc>
        <w:tc>
          <w:tcPr>
            <w:tcW w:w="1705" w:type="dxa"/>
            <w:tcBorders>
              <w:bottom w:val="single" w:sz="4" w:space="0" w:color="auto"/>
            </w:tcBorders>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%Specificity</w:t>
            </w:r>
          </w:p>
        </w:tc>
      </w:tr>
      <w:tr w:rsidR="007667E1" w:rsidRPr="00650116" w:rsidTr="00CD5B5A">
        <w:tc>
          <w:tcPr>
            <w:tcW w:w="1704" w:type="dxa"/>
            <w:tcBorders>
              <w:top w:val="single" w:sz="4" w:space="0" w:color="auto"/>
              <w:bottom w:val="nil"/>
            </w:tcBorders>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≥1</w:t>
            </w:r>
          </w:p>
        </w:tc>
        <w:tc>
          <w:tcPr>
            <w:tcW w:w="1704" w:type="dxa"/>
            <w:tcBorders>
              <w:top w:val="single" w:sz="4" w:space="0" w:color="auto"/>
              <w:bottom w:val="nil"/>
            </w:tcBorders>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100</w:t>
            </w:r>
          </w:p>
        </w:tc>
        <w:tc>
          <w:tcPr>
            <w:tcW w:w="1704" w:type="dxa"/>
            <w:tcBorders>
              <w:top w:val="single" w:sz="4" w:space="0" w:color="auto"/>
              <w:bottom w:val="nil"/>
            </w:tcBorders>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40</w:t>
            </w:r>
          </w:p>
        </w:tc>
        <w:tc>
          <w:tcPr>
            <w:tcW w:w="1705" w:type="dxa"/>
            <w:tcBorders>
              <w:top w:val="single" w:sz="4" w:space="0" w:color="auto"/>
              <w:bottom w:val="nil"/>
            </w:tcBorders>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97</w:t>
            </w:r>
          </w:p>
        </w:tc>
        <w:tc>
          <w:tcPr>
            <w:tcW w:w="1705" w:type="dxa"/>
            <w:tcBorders>
              <w:top w:val="single" w:sz="4" w:space="0" w:color="auto"/>
              <w:bottom w:val="nil"/>
            </w:tcBorders>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37</w:t>
            </w:r>
          </w:p>
        </w:tc>
      </w:tr>
      <w:tr w:rsidR="007667E1" w:rsidRPr="00650116" w:rsidTr="00CD5B5A">
        <w:tc>
          <w:tcPr>
            <w:tcW w:w="1704" w:type="dxa"/>
            <w:tcBorders>
              <w:top w:val="nil"/>
            </w:tcBorders>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≥2</w:t>
            </w:r>
          </w:p>
        </w:tc>
        <w:tc>
          <w:tcPr>
            <w:tcW w:w="1704" w:type="dxa"/>
            <w:tcBorders>
              <w:top w:val="nil"/>
            </w:tcBorders>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96</w:t>
            </w:r>
          </w:p>
        </w:tc>
        <w:tc>
          <w:tcPr>
            <w:tcW w:w="1704" w:type="dxa"/>
            <w:tcBorders>
              <w:top w:val="nil"/>
            </w:tcBorders>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52</w:t>
            </w:r>
          </w:p>
        </w:tc>
        <w:tc>
          <w:tcPr>
            <w:tcW w:w="1705" w:type="dxa"/>
            <w:tcBorders>
              <w:top w:val="nil"/>
            </w:tcBorders>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92</w:t>
            </w:r>
          </w:p>
        </w:tc>
        <w:tc>
          <w:tcPr>
            <w:tcW w:w="1705" w:type="dxa"/>
            <w:tcBorders>
              <w:top w:val="nil"/>
            </w:tcBorders>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48</w:t>
            </w:r>
          </w:p>
        </w:tc>
      </w:tr>
      <w:tr w:rsidR="007667E1" w:rsidRPr="00650116" w:rsidTr="00CD5B5A">
        <w:tc>
          <w:tcPr>
            <w:tcW w:w="1704" w:type="dxa"/>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≥3</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88</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65</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86</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61</w:t>
            </w:r>
          </w:p>
        </w:tc>
      </w:tr>
      <w:tr w:rsidR="007667E1" w:rsidRPr="00650116" w:rsidTr="00CD5B5A">
        <w:tc>
          <w:tcPr>
            <w:tcW w:w="1704" w:type="dxa"/>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≥4</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84</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76</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78</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71</w:t>
            </w:r>
          </w:p>
        </w:tc>
      </w:tr>
      <w:tr w:rsidR="007667E1" w:rsidRPr="00650116" w:rsidTr="00CD5B5A">
        <w:tc>
          <w:tcPr>
            <w:tcW w:w="1704" w:type="dxa"/>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≥5</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78</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81</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78</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77</w:t>
            </w:r>
          </w:p>
        </w:tc>
      </w:tr>
      <w:tr w:rsidR="007667E1" w:rsidRPr="00650116" w:rsidTr="00CD5B5A">
        <w:tc>
          <w:tcPr>
            <w:tcW w:w="1704" w:type="dxa"/>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≥6</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65</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89</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64</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85</w:t>
            </w:r>
          </w:p>
        </w:tc>
      </w:tr>
      <w:tr w:rsidR="007667E1" w:rsidRPr="00650116" w:rsidTr="00CD5B5A">
        <w:tc>
          <w:tcPr>
            <w:tcW w:w="1704" w:type="dxa"/>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≥7</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53</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92</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50</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89</w:t>
            </w:r>
          </w:p>
        </w:tc>
      </w:tr>
      <w:tr w:rsidR="007667E1" w:rsidRPr="00650116" w:rsidTr="00CD5B5A">
        <w:tc>
          <w:tcPr>
            <w:tcW w:w="1704" w:type="dxa"/>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≥8</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35</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98</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33</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95</w:t>
            </w:r>
          </w:p>
        </w:tc>
      </w:tr>
      <w:tr w:rsidR="007667E1" w:rsidRPr="00650116" w:rsidTr="00CD5B5A">
        <w:tc>
          <w:tcPr>
            <w:tcW w:w="1704" w:type="dxa"/>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≥9</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18</w:t>
            </w:r>
          </w:p>
        </w:tc>
        <w:tc>
          <w:tcPr>
            <w:tcW w:w="1704"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99</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14</w:t>
            </w:r>
          </w:p>
        </w:tc>
        <w:tc>
          <w:tcPr>
            <w:tcW w:w="1705" w:type="dxa"/>
            <w:vAlign w:val="center"/>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97</w:t>
            </w:r>
          </w:p>
        </w:tc>
      </w:tr>
    </w:tbl>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eastAsiaTheme="minorHAnsi" w:hAnsiTheme="majorHAnsi"/>
          <w:sz w:val="22"/>
          <w:szCs w:val="22"/>
          <w:lang w:val="en-GB"/>
        </w:rPr>
      </w:pPr>
      <w:r w:rsidRPr="00650116">
        <w:rPr>
          <w:rFonts w:asciiTheme="majorHAnsi" w:eastAsiaTheme="minorHAnsi" w:hAnsiTheme="majorHAnsi"/>
          <w:sz w:val="22"/>
          <w:szCs w:val="22"/>
          <w:lang w:val="en-GB"/>
        </w:rPr>
        <w:br w:type="page"/>
      </w:r>
    </w:p>
    <w:p w:rsidR="007667E1" w:rsidRPr="00650116" w:rsidRDefault="007667E1" w:rsidP="007667E1">
      <w:pPr>
        <w:tabs>
          <w:tab w:val="left" w:pos="4678"/>
        </w:tabs>
        <w:spacing w:line="360" w:lineRule="auto"/>
        <w:contextualSpacing/>
        <w:rPr>
          <w:rFonts w:asciiTheme="majorHAnsi" w:hAnsiTheme="majorHAnsi"/>
          <w:b/>
          <w:sz w:val="22"/>
          <w:szCs w:val="22"/>
        </w:rPr>
      </w:pPr>
      <w:r w:rsidRPr="00650116">
        <w:rPr>
          <w:rFonts w:asciiTheme="majorHAnsi" w:hAnsiTheme="majorHAnsi"/>
          <w:b/>
          <w:sz w:val="22"/>
          <w:szCs w:val="22"/>
        </w:rPr>
        <w:t xml:space="preserve">Figure 1: ROC comparing DT score with UWQOL anxiety and mood dysfunction </w:t>
      </w:r>
    </w:p>
    <w:p w:rsidR="007667E1" w:rsidRPr="00650116" w:rsidRDefault="007667E1" w:rsidP="007667E1">
      <w:pPr>
        <w:spacing w:line="360" w:lineRule="auto"/>
        <w:contextualSpacing/>
        <w:rPr>
          <w:rFonts w:asciiTheme="majorHAnsi" w:hAnsiTheme="majorHAnsi"/>
          <w:sz w:val="22"/>
          <w:szCs w:val="22"/>
        </w:rPr>
      </w:pPr>
      <w:r w:rsidRPr="00650116">
        <w:rPr>
          <w:rFonts w:asciiTheme="majorHAnsi" w:hAnsiTheme="majorHAnsi"/>
          <w:noProof/>
          <w:sz w:val="22"/>
          <w:szCs w:val="22"/>
          <w:lang w:val="en-GB" w:eastAsia="en-GB"/>
        </w:rPr>
        <w:t xml:space="preserve"> </w:t>
      </w: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noProof/>
          <w:sz w:val="22"/>
          <w:szCs w:val="22"/>
          <w:lang w:val="en-GB" w:eastAsia="en-GB"/>
        </w:rPr>
      </w:pPr>
      <w:r w:rsidRPr="00650116">
        <w:rPr>
          <w:rFonts w:asciiTheme="majorHAnsi" w:hAnsiTheme="majorHAnsi"/>
          <w:sz w:val="22"/>
          <w:szCs w:val="22"/>
        </w:rPr>
        <w:t xml:space="preserve">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7667E1" w:rsidRPr="00650116" w:rsidTr="00CD5B5A">
        <w:tc>
          <w:tcPr>
            <w:tcW w:w="4590" w:type="dxa"/>
          </w:tcPr>
          <w:p w:rsidR="007667E1" w:rsidRPr="00650116" w:rsidRDefault="00D86FAA" w:rsidP="00CD5B5A">
            <w:pPr>
              <w:spacing w:line="360" w:lineRule="auto"/>
              <w:contextualSpacing/>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1066165</wp:posOffset>
                      </wp:positionH>
                      <wp:positionV relativeFrom="paragraph">
                        <wp:posOffset>478155</wp:posOffset>
                      </wp:positionV>
                      <wp:extent cx="123190" cy="70485"/>
                      <wp:effectExtent l="76200" t="76200" r="80010" b="132715"/>
                      <wp:wrapNone/>
                      <wp:docPr id="2" name="Lef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0061">
                                <a:off x="0" y="0"/>
                                <a:ext cx="123190" cy="70485"/>
                              </a:xfrm>
                              <a:prstGeom prst="leftArrow">
                                <a:avLst>
                                  <a:gd name="adj1" fmla="val 50000"/>
                                  <a:gd name="adj2" fmla="val 49997"/>
                                </a:avLst>
                              </a:prstGeom>
                              <a:solidFill>
                                <a:srgbClr val="FF0000"/>
                              </a:solidFill>
                              <a:ln w="9525">
                                <a:solidFill>
                                  <a:srgbClr val="FF0000"/>
                                </a:solidFill>
                                <a:miter lim="800000"/>
                                <a:headEnd/>
                                <a:tailEnd/>
                              </a:ln>
                              <a:effectLst>
                                <a:outerShdw blurRad="63500" dist="23000" dir="5400000" rotWithShape="0">
                                  <a:srgbClr val="000000">
                                    <a:alpha val="34998"/>
                                  </a:srgbClr>
                                </a:outerShdw>
                              </a:effectLst>
                            </wps:spPr>
                            <wps:txbx>
                              <w:txbxContent>
                                <w:p w:rsidR="00A6070F" w:rsidRDefault="00A6070F" w:rsidP="007667E1">
                                  <w:pPr>
                                    <w:rPr>
                                      <w:rFonts w:eastAsia="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 o:spid="_x0000_s1026" type="#_x0000_t66" style="position:absolute;margin-left:83.95pt;margin-top:37.65pt;width:9.7pt;height:5.55pt;rotation:23812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" adj="6179" fillcolor="red" strokecolor="red">
                      <v:shadow on="t" color="black" opacity="22936f" origin=",.5" offset="0,.63889mm"/>
                      <v:textbox>
                        <w:txbxContent>
                          <w:p w:rsidR="00A6070F" w:rsidRDefault="00A6070F" w:rsidP="007667E1">
                            <w:pPr>
                              <w:rPr>
                                <w:rFonts w:eastAsia="Times New Roman" w:cs="Times New Roman"/>
                              </w:rPr>
                            </w:pPr>
                          </w:p>
                        </w:txbxContent>
                      </v:textbox>
                    </v:shape>
                  </w:pict>
                </mc:Fallback>
              </mc:AlternateContent>
            </w:r>
            <w:r>
              <w:rPr>
                <w:rFonts w:asciiTheme="majorHAnsi" w:hAnsi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1149985</wp:posOffset>
                      </wp:positionH>
                      <wp:positionV relativeFrom="paragraph">
                        <wp:posOffset>446405</wp:posOffset>
                      </wp:positionV>
                      <wp:extent cx="579755" cy="33972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755" cy="339725"/>
                              </a:xfrm>
                              <a:prstGeom prst="rect">
                                <a:avLst/>
                              </a:prstGeom>
                              <a:noFill/>
                              <a:ln>
                                <a:noFill/>
                              </a:ln>
                            </wps:spPr>
                            <wps:txbx>
                              <w:txbxContent>
                                <w:p w:rsidR="00A6070F" w:rsidRPr="004E4BD3" w:rsidRDefault="00A6070F" w:rsidP="007667E1">
                                  <w:pPr>
                                    <w:pStyle w:val="NormalWeb"/>
                                    <w:spacing w:before="0" w:beforeAutospacing="0" w:after="0" w:afterAutospacing="0"/>
                                    <w:rPr>
                                      <w:rFonts w:asciiTheme="majorHAnsi" w:hAnsiTheme="majorHAnsi"/>
                                      <w:sz w:val="12"/>
                                    </w:rPr>
                                  </w:pPr>
                                  <w:r w:rsidRPr="004E4BD3">
                                    <w:rPr>
                                      <w:rFonts w:asciiTheme="majorHAnsi" w:hAnsiTheme="majorHAnsi" w:cstheme="minorBidi"/>
                                      <w:color w:val="000000" w:themeColor="text1"/>
                                      <w:kern w:val="24"/>
                                      <w:sz w:val="16"/>
                                      <w:szCs w:val="24"/>
                                      <w:lang w:val="en-US"/>
                                    </w:rPr>
                                    <w:t>D</w:t>
                                  </w:r>
                                  <w:r>
                                    <w:rPr>
                                      <w:rFonts w:asciiTheme="majorHAnsi" w:hAnsiTheme="majorHAnsi" w:cstheme="minorBidi"/>
                                      <w:color w:val="000000" w:themeColor="text1"/>
                                      <w:kern w:val="24"/>
                                      <w:sz w:val="16"/>
                                      <w:szCs w:val="24"/>
                                      <w:lang w:val="en-US"/>
                                    </w:rPr>
                                    <w:t>T&gt;=4 cut-off</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0.55pt;margin-top:35.15pt;width:45.6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" filled="f" stroked="f">
                      <v:path arrowok="t"/>
                      <v:textbox style="mso-fit-shape-to-text:t">
                        <w:txbxContent>
                          <w:p w:rsidR="00A6070F" w:rsidRPr="004E4BD3" w:rsidRDefault="00A6070F" w:rsidP="007667E1">
                            <w:pPr>
                              <w:pStyle w:val="NormalWeb"/>
                              <w:spacing w:before="0" w:beforeAutospacing="0" w:after="0" w:afterAutospacing="0"/>
                              <w:rPr>
                                <w:rFonts w:asciiTheme="majorHAnsi" w:hAnsiTheme="majorHAnsi"/>
                                <w:sz w:val="12"/>
                              </w:rPr>
                            </w:pPr>
                            <w:r w:rsidRPr="004E4BD3">
                              <w:rPr>
                                <w:rFonts w:asciiTheme="majorHAnsi" w:hAnsiTheme="majorHAnsi" w:cstheme="minorBidi"/>
                                <w:color w:val="000000" w:themeColor="text1"/>
                                <w:kern w:val="24"/>
                                <w:sz w:val="16"/>
                                <w:szCs w:val="24"/>
                                <w:lang w:val="en-US"/>
                              </w:rPr>
                              <w:t>D</w:t>
                            </w:r>
                            <w:r>
                              <w:rPr>
                                <w:rFonts w:asciiTheme="majorHAnsi" w:hAnsiTheme="majorHAnsi" w:cstheme="minorBidi"/>
                                <w:color w:val="000000" w:themeColor="text1"/>
                                <w:kern w:val="24"/>
                                <w:sz w:val="16"/>
                                <w:szCs w:val="24"/>
                                <w:lang w:val="en-US"/>
                              </w:rPr>
                              <w:t>T&gt;=4 cut-off</w:t>
                            </w:r>
                          </w:p>
                        </w:txbxContent>
                      </v:textbox>
                    </v:shape>
                  </w:pict>
                </mc:Fallback>
              </mc:AlternateContent>
            </w:r>
            <w:r w:rsidR="007667E1" w:rsidRPr="00650116">
              <w:rPr>
                <w:rFonts w:asciiTheme="majorHAnsi" w:hAnsiTheme="majorHAnsi"/>
                <w:noProof/>
                <w:lang w:eastAsia="en-GB"/>
              </w:rPr>
              <w:drawing>
                <wp:inline distT="0" distB="0" distL="0" distR="0">
                  <wp:extent cx="2768580" cy="221841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71231" cy="2220539"/>
                          </a:xfrm>
                          <a:prstGeom prst="rect">
                            <a:avLst/>
                          </a:prstGeom>
                        </pic:spPr>
                      </pic:pic>
                    </a:graphicData>
                  </a:graphic>
                </wp:inline>
              </w:drawing>
            </w:r>
          </w:p>
        </w:tc>
        <w:tc>
          <w:tcPr>
            <w:tcW w:w="4590" w:type="dxa"/>
          </w:tcPr>
          <w:p w:rsidR="007667E1" w:rsidRPr="00650116" w:rsidRDefault="00D86FAA" w:rsidP="00CD5B5A">
            <w:pPr>
              <w:spacing w:line="360" w:lineRule="auto"/>
              <w:contextualSpacing/>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1226185</wp:posOffset>
                      </wp:positionH>
                      <wp:positionV relativeFrom="paragraph">
                        <wp:posOffset>584200</wp:posOffset>
                      </wp:positionV>
                      <wp:extent cx="640080" cy="33337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 cy="333375"/>
                              </a:xfrm>
                              <a:prstGeom prst="rect">
                                <a:avLst/>
                              </a:prstGeom>
                              <a:noFill/>
                              <a:ln>
                                <a:noFill/>
                              </a:ln>
                            </wps:spPr>
                            <wps:txbx>
                              <w:txbxContent>
                                <w:p w:rsidR="00A6070F" w:rsidRDefault="00A6070F" w:rsidP="007667E1">
                                  <w:pPr>
                                    <w:pStyle w:val="NormalWeb"/>
                                    <w:spacing w:before="0" w:beforeAutospacing="0" w:after="0" w:afterAutospacing="0"/>
                                    <w:rPr>
                                      <w:rFonts w:asciiTheme="majorHAnsi" w:hAnsiTheme="majorHAnsi" w:cstheme="minorBidi"/>
                                      <w:color w:val="000000" w:themeColor="text1"/>
                                      <w:kern w:val="24"/>
                                      <w:sz w:val="16"/>
                                      <w:szCs w:val="24"/>
                                      <w:lang w:val="en-US"/>
                                    </w:rPr>
                                  </w:pPr>
                                  <w:r w:rsidRPr="004E4BD3">
                                    <w:rPr>
                                      <w:rFonts w:asciiTheme="majorHAnsi" w:hAnsiTheme="majorHAnsi" w:cstheme="minorBidi"/>
                                      <w:color w:val="000000" w:themeColor="text1"/>
                                      <w:kern w:val="24"/>
                                      <w:sz w:val="16"/>
                                      <w:szCs w:val="24"/>
                                      <w:lang w:val="en-US"/>
                                    </w:rPr>
                                    <w:t>D</w:t>
                                  </w:r>
                                  <w:r>
                                    <w:rPr>
                                      <w:rFonts w:asciiTheme="majorHAnsi" w:hAnsiTheme="majorHAnsi" w:cstheme="minorBidi"/>
                                      <w:color w:val="000000" w:themeColor="text1"/>
                                      <w:kern w:val="24"/>
                                      <w:sz w:val="16"/>
                                      <w:szCs w:val="24"/>
                                      <w:lang w:val="en-US"/>
                                    </w:rPr>
                                    <w:t xml:space="preserve">T&gt;=4 </w:t>
                                  </w:r>
                                </w:p>
                                <w:p w:rsidR="00A6070F" w:rsidRPr="004E4BD3" w:rsidRDefault="00A6070F" w:rsidP="007667E1">
                                  <w:pPr>
                                    <w:pStyle w:val="NormalWeb"/>
                                    <w:spacing w:before="0" w:beforeAutospacing="0" w:after="0" w:afterAutospacing="0"/>
                                    <w:rPr>
                                      <w:rFonts w:asciiTheme="majorHAnsi" w:hAnsiTheme="majorHAnsi"/>
                                      <w:sz w:val="12"/>
                                    </w:rPr>
                                  </w:pPr>
                                  <w:r>
                                    <w:rPr>
                                      <w:rFonts w:asciiTheme="majorHAnsi" w:hAnsiTheme="majorHAnsi" w:cstheme="minorBidi"/>
                                      <w:color w:val="000000" w:themeColor="text1"/>
                                      <w:kern w:val="24"/>
                                      <w:sz w:val="16"/>
                                      <w:szCs w:val="24"/>
                                      <w:lang w:val="en-US"/>
                                    </w:rPr>
                                    <w:t>cut-off</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6.55pt;margin-top:46pt;width:50.4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" filled="f" stroked="f">
                      <v:path arrowok="t"/>
                      <v:textbox>
                        <w:txbxContent>
                          <w:p w:rsidR="00A6070F" w:rsidRDefault="00A6070F" w:rsidP="007667E1">
                            <w:pPr>
                              <w:pStyle w:val="NormalWeb"/>
                              <w:spacing w:before="0" w:beforeAutospacing="0" w:after="0" w:afterAutospacing="0"/>
                              <w:rPr>
                                <w:rFonts w:asciiTheme="majorHAnsi" w:hAnsiTheme="majorHAnsi" w:cstheme="minorBidi"/>
                                <w:color w:val="000000" w:themeColor="text1"/>
                                <w:kern w:val="24"/>
                                <w:sz w:val="16"/>
                                <w:szCs w:val="24"/>
                                <w:lang w:val="en-US"/>
                              </w:rPr>
                            </w:pPr>
                            <w:r w:rsidRPr="004E4BD3">
                              <w:rPr>
                                <w:rFonts w:asciiTheme="majorHAnsi" w:hAnsiTheme="majorHAnsi" w:cstheme="minorBidi"/>
                                <w:color w:val="000000" w:themeColor="text1"/>
                                <w:kern w:val="24"/>
                                <w:sz w:val="16"/>
                                <w:szCs w:val="24"/>
                                <w:lang w:val="en-US"/>
                              </w:rPr>
                              <w:t>D</w:t>
                            </w:r>
                            <w:r>
                              <w:rPr>
                                <w:rFonts w:asciiTheme="majorHAnsi" w:hAnsiTheme="majorHAnsi" w:cstheme="minorBidi"/>
                                <w:color w:val="000000" w:themeColor="text1"/>
                                <w:kern w:val="24"/>
                                <w:sz w:val="16"/>
                                <w:szCs w:val="24"/>
                                <w:lang w:val="en-US"/>
                              </w:rPr>
                              <w:t xml:space="preserve">T&gt;=4 </w:t>
                            </w:r>
                          </w:p>
                          <w:p w:rsidR="00A6070F" w:rsidRPr="004E4BD3" w:rsidRDefault="00A6070F" w:rsidP="007667E1">
                            <w:pPr>
                              <w:pStyle w:val="NormalWeb"/>
                              <w:spacing w:before="0" w:beforeAutospacing="0" w:after="0" w:afterAutospacing="0"/>
                              <w:rPr>
                                <w:rFonts w:asciiTheme="majorHAnsi" w:hAnsiTheme="majorHAnsi"/>
                                <w:sz w:val="12"/>
                              </w:rPr>
                            </w:pPr>
                            <w:r>
                              <w:rPr>
                                <w:rFonts w:asciiTheme="majorHAnsi" w:hAnsiTheme="majorHAnsi" w:cstheme="minorBidi"/>
                                <w:color w:val="000000" w:themeColor="text1"/>
                                <w:kern w:val="24"/>
                                <w:sz w:val="16"/>
                                <w:szCs w:val="24"/>
                                <w:lang w:val="en-US"/>
                              </w:rPr>
                              <w:t>cut-off</w:t>
                            </w:r>
                          </w:p>
                        </w:txbxContent>
                      </v:textbox>
                    </v:shape>
                  </w:pict>
                </mc:Fallback>
              </mc:AlternateContent>
            </w: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1096010</wp:posOffset>
                      </wp:positionH>
                      <wp:positionV relativeFrom="paragraph">
                        <wp:posOffset>610870</wp:posOffset>
                      </wp:positionV>
                      <wp:extent cx="123825" cy="70485"/>
                      <wp:effectExtent l="76200" t="76200" r="79375" b="132715"/>
                      <wp:wrapNone/>
                      <wp:docPr id="3" name="Lef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0061">
                                <a:off x="0" y="0"/>
                                <a:ext cx="123825" cy="70485"/>
                              </a:xfrm>
                              <a:prstGeom prst="leftArrow">
                                <a:avLst>
                                  <a:gd name="adj1" fmla="val 50000"/>
                                  <a:gd name="adj2" fmla="val 50255"/>
                                </a:avLst>
                              </a:prstGeom>
                              <a:solidFill>
                                <a:srgbClr val="FF0000"/>
                              </a:solidFill>
                              <a:ln w="9525">
                                <a:solidFill>
                                  <a:srgbClr val="FF0000"/>
                                </a:solidFill>
                                <a:miter lim="800000"/>
                                <a:headEnd/>
                                <a:tailEnd/>
                              </a:ln>
                              <a:effectLst>
                                <a:outerShdw blurRad="63500" dist="23000" dir="5400000" rotWithShape="0">
                                  <a:srgbClr val="000000">
                                    <a:alpha val="34998"/>
                                  </a:srgbClr>
                                </a:outerShdw>
                              </a:effectLst>
                            </wps:spPr>
                            <wps:txbx>
                              <w:txbxContent>
                                <w:p w:rsidR="00A6070F" w:rsidRDefault="00A6070F" w:rsidP="007667E1">
                                  <w:pPr>
                                    <w:rPr>
                                      <w:rFonts w:eastAsia="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ft Arrow 6" o:spid="_x0000_s1029" type="#_x0000_t66" style="position:absolute;margin-left:86.3pt;margin-top:48.1pt;width:9.75pt;height:5.55pt;rotation:23812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" adj="6179" fillcolor="red" strokecolor="red">
                      <v:shadow on="t" color="black" opacity="22936f" origin=",.5" offset="0,.63889mm"/>
                      <v:textbox>
                        <w:txbxContent>
                          <w:p w:rsidR="00A6070F" w:rsidRDefault="00A6070F" w:rsidP="007667E1">
                            <w:pPr>
                              <w:rPr>
                                <w:rFonts w:eastAsia="Times New Roman" w:cs="Times New Roman"/>
                              </w:rPr>
                            </w:pPr>
                          </w:p>
                        </w:txbxContent>
                      </v:textbox>
                    </v:shape>
                  </w:pict>
                </mc:Fallback>
              </mc:AlternateContent>
            </w:r>
            <w:r w:rsidR="007667E1" w:rsidRPr="00650116">
              <w:rPr>
                <w:rFonts w:asciiTheme="majorHAnsi" w:hAnsiTheme="majorHAnsi"/>
                <w:noProof/>
                <w:lang w:eastAsia="en-GB"/>
              </w:rPr>
              <w:drawing>
                <wp:inline distT="0" distB="0" distL="0" distR="0">
                  <wp:extent cx="2768580" cy="221841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72670" cy="2221691"/>
                          </a:xfrm>
                          <a:prstGeom prst="rect">
                            <a:avLst/>
                          </a:prstGeom>
                        </pic:spPr>
                      </pic:pic>
                    </a:graphicData>
                  </a:graphic>
                </wp:inline>
              </w:drawing>
            </w:r>
          </w:p>
        </w:tc>
      </w:tr>
      <w:tr w:rsidR="007667E1" w:rsidRPr="00650116" w:rsidTr="00CD5B5A">
        <w:tc>
          <w:tcPr>
            <w:tcW w:w="4590" w:type="dxa"/>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AUC with Anxiety</w:t>
            </w:r>
          </w:p>
        </w:tc>
        <w:tc>
          <w:tcPr>
            <w:tcW w:w="4590" w:type="dxa"/>
          </w:tcPr>
          <w:p w:rsidR="007667E1" w:rsidRPr="00650116" w:rsidRDefault="007667E1" w:rsidP="00CD5B5A">
            <w:pPr>
              <w:spacing w:line="360" w:lineRule="auto"/>
              <w:contextualSpacing/>
              <w:jc w:val="center"/>
              <w:rPr>
                <w:rFonts w:asciiTheme="majorHAnsi" w:hAnsiTheme="majorHAnsi"/>
              </w:rPr>
            </w:pPr>
            <w:r w:rsidRPr="00650116">
              <w:rPr>
                <w:rFonts w:asciiTheme="majorHAnsi" w:hAnsiTheme="majorHAnsi"/>
              </w:rPr>
              <w:t>AUC with Mood</w:t>
            </w:r>
          </w:p>
        </w:tc>
      </w:tr>
    </w:tbl>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pStyle w:val="ListParagraph"/>
        <w:widowControl w:val="0"/>
        <w:autoSpaceDE w:val="0"/>
        <w:autoSpaceDN w:val="0"/>
        <w:adjustRightInd w:val="0"/>
        <w:spacing w:line="360" w:lineRule="auto"/>
        <w:contextualSpacing/>
        <w:jc w:val="both"/>
        <w:rPr>
          <w:rFonts w:asciiTheme="majorHAnsi" w:hAnsiTheme="majorHAnsi" w:cs="Times New Roman"/>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Pr="00650116" w:rsidRDefault="007667E1" w:rsidP="007667E1">
      <w:pPr>
        <w:spacing w:line="360" w:lineRule="auto"/>
        <w:contextualSpacing/>
        <w:rPr>
          <w:rFonts w:asciiTheme="majorHAnsi" w:hAnsiTheme="majorHAnsi"/>
          <w:sz w:val="22"/>
          <w:szCs w:val="22"/>
        </w:rPr>
      </w:pPr>
    </w:p>
    <w:p w:rsidR="007667E1" w:rsidRDefault="007667E1"/>
    <w:sectPr w:rsidR="007667E1" w:rsidSect="007E70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0F0"/>
    <w:multiLevelType w:val="hybridMultilevel"/>
    <w:tmpl w:val="F4D0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6497F"/>
    <w:multiLevelType w:val="hybridMultilevel"/>
    <w:tmpl w:val="BF52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2E11"/>
    <w:multiLevelType w:val="hybridMultilevel"/>
    <w:tmpl w:val="A9F6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55B27"/>
    <w:multiLevelType w:val="hybridMultilevel"/>
    <w:tmpl w:val="41885A06"/>
    <w:lvl w:ilvl="0" w:tplc="237A460E">
      <w:start w:val="1"/>
      <w:numFmt w:val="bullet"/>
      <w:lvlText w:val="•"/>
      <w:lvlJc w:val="left"/>
      <w:pPr>
        <w:tabs>
          <w:tab w:val="num" w:pos="720"/>
        </w:tabs>
        <w:ind w:left="720" w:hanging="360"/>
      </w:pPr>
      <w:rPr>
        <w:rFonts w:ascii="Arial" w:hAnsi="Arial" w:hint="default"/>
      </w:rPr>
    </w:lvl>
    <w:lvl w:ilvl="1" w:tplc="EDE049D8">
      <w:start w:val="1"/>
      <w:numFmt w:val="bullet"/>
      <w:lvlText w:val="•"/>
      <w:lvlJc w:val="left"/>
      <w:pPr>
        <w:tabs>
          <w:tab w:val="num" w:pos="1440"/>
        </w:tabs>
        <w:ind w:left="1440" w:hanging="360"/>
      </w:pPr>
      <w:rPr>
        <w:rFonts w:ascii="Arial" w:hAnsi="Arial" w:hint="default"/>
      </w:rPr>
    </w:lvl>
    <w:lvl w:ilvl="2" w:tplc="63949086" w:tentative="1">
      <w:start w:val="1"/>
      <w:numFmt w:val="bullet"/>
      <w:lvlText w:val="•"/>
      <w:lvlJc w:val="left"/>
      <w:pPr>
        <w:tabs>
          <w:tab w:val="num" w:pos="2160"/>
        </w:tabs>
        <w:ind w:left="2160" w:hanging="360"/>
      </w:pPr>
      <w:rPr>
        <w:rFonts w:ascii="Arial" w:hAnsi="Arial" w:hint="default"/>
      </w:rPr>
    </w:lvl>
    <w:lvl w:ilvl="3" w:tplc="D8501BC4" w:tentative="1">
      <w:start w:val="1"/>
      <w:numFmt w:val="bullet"/>
      <w:lvlText w:val="•"/>
      <w:lvlJc w:val="left"/>
      <w:pPr>
        <w:tabs>
          <w:tab w:val="num" w:pos="2880"/>
        </w:tabs>
        <w:ind w:left="2880" w:hanging="360"/>
      </w:pPr>
      <w:rPr>
        <w:rFonts w:ascii="Arial" w:hAnsi="Arial" w:hint="default"/>
      </w:rPr>
    </w:lvl>
    <w:lvl w:ilvl="4" w:tplc="9574FB62" w:tentative="1">
      <w:start w:val="1"/>
      <w:numFmt w:val="bullet"/>
      <w:lvlText w:val="•"/>
      <w:lvlJc w:val="left"/>
      <w:pPr>
        <w:tabs>
          <w:tab w:val="num" w:pos="3600"/>
        </w:tabs>
        <w:ind w:left="3600" w:hanging="360"/>
      </w:pPr>
      <w:rPr>
        <w:rFonts w:ascii="Arial" w:hAnsi="Arial" w:hint="default"/>
      </w:rPr>
    </w:lvl>
    <w:lvl w:ilvl="5" w:tplc="A5923E0A" w:tentative="1">
      <w:start w:val="1"/>
      <w:numFmt w:val="bullet"/>
      <w:lvlText w:val="•"/>
      <w:lvlJc w:val="left"/>
      <w:pPr>
        <w:tabs>
          <w:tab w:val="num" w:pos="4320"/>
        </w:tabs>
        <w:ind w:left="4320" w:hanging="360"/>
      </w:pPr>
      <w:rPr>
        <w:rFonts w:ascii="Arial" w:hAnsi="Arial" w:hint="default"/>
      </w:rPr>
    </w:lvl>
    <w:lvl w:ilvl="6" w:tplc="89F06270" w:tentative="1">
      <w:start w:val="1"/>
      <w:numFmt w:val="bullet"/>
      <w:lvlText w:val="•"/>
      <w:lvlJc w:val="left"/>
      <w:pPr>
        <w:tabs>
          <w:tab w:val="num" w:pos="5040"/>
        </w:tabs>
        <w:ind w:left="5040" w:hanging="360"/>
      </w:pPr>
      <w:rPr>
        <w:rFonts w:ascii="Arial" w:hAnsi="Arial" w:hint="default"/>
      </w:rPr>
    </w:lvl>
    <w:lvl w:ilvl="7" w:tplc="D276ADC0" w:tentative="1">
      <w:start w:val="1"/>
      <w:numFmt w:val="bullet"/>
      <w:lvlText w:val="•"/>
      <w:lvlJc w:val="left"/>
      <w:pPr>
        <w:tabs>
          <w:tab w:val="num" w:pos="5760"/>
        </w:tabs>
        <w:ind w:left="5760" w:hanging="360"/>
      </w:pPr>
      <w:rPr>
        <w:rFonts w:ascii="Arial" w:hAnsi="Arial" w:hint="default"/>
      </w:rPr>
    </w:lvl>
    <w:lvl w:ilvl="8" w:tplc="28583D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BD4477"/>
    <w:multiLevelType w:val="hybridMultilevel"/>
    <w:tmpl w:val="5DECC3B6"/>
    <w:lvl w:ilvl="0" w:tplc="5812FBE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169D2B48"/>
    <w:multiLevelType w:val="hybridMultilevel"/>
    <w:tmpl w:val="807C77F4"/>
    <w:lvl w:ilvl="0" w:tplc="68ACFB6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85195"/>
    <w:multiLevelType w:val="hybridMultilevel"/>
    <w:tmpl w:val="0F3E104C"/>
    <w:lvl w:ilvl="0" w:tplc="C9CAD604">
      <w:start w:val="1"/>
      <w:numFmt w:val="lowerLetter"/>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7" w15:restartNumberingAfterBreak="0">
    <w:nsid w:val="2A36175F"/>
    <w:multiLevelType w:val="hybridMultilevel"/>
    <w:tmpl w:val="972275D2"/>
    <w:lvl w:ilvl="0" w:tplc="6316B9F8">
      <w:start w:val="1"/>
      <w:numFmt w:val="bullet"/>
      <w:lvlText w:val="•"/>
      <w:lvlJc w:val="left"/>
      <w:pPr>
        <w:tabs>
          <w:tab w:val="num" w:pos="720"/>
        </w:tabs>
        <w:ind w:left="720" w:hanging="360"/>
      </w:pPr>
      <w:rPr>
        <w:rFonts w:ascii="Arial" w:hAnsi="Arial" w:hint="default"/>
      </w:rPr>
    </w:lvl>
    <w:lvl w:ilvl="1" w:tplc="D7BCD984" w:tentative="1">
      <w:start w:val="1"/>
      <w:numFmt w:val="bullet"/>
      <w:lvlText w:val="•"/>
      <w:lvlJc w:val="left"/>
      <w:pPr>
        <w:tabs>
          <w:tab w:val="num" w:pos="1440"/>
        </w:tabs>
        <w:ind w:left="1440" w:hanging="360"/>
      </w:pPr>
      <w:rPr>
        <w:rFonts w:ascii="Arial" w:hAnsi="Arial" w:hint="default"/>
      </w:rPr>
    </w:lvl>
    <w:lvl w:ilvl="2" w:tplc="4ED4A6E2" w:tentative="1">
      <w:start w:val="1"/>
      <w:numFmt w:val="bullet"/>
      <w:lvlText w:val="•"/>
      <w:lvlJc w:val="left"/>
      <w:pPr>
        <w:tabs>
          <w:tab w:val="num" w:pos="2160"/>
        </w:tabs>
        <w:ind w:left="2160" w:hanging="360"/>
      </w:pPr>
      <w:rPr>
        <w:rFonts w:ascii="Arial" w:hAnsi="Arial" w:hint="default"/>
      </w:rPr>
    </w:lvl>
    <w:lvl w:ilvl="3" w:tplc="9AF8941C">
      <w:start w:val="1"/>
      <w:numFmt w:val="bullet"/>
      <w:lvlText w:val="•"/>
      <w:lvlJc w:val="left"/>
      <w:pPr>
        <w:tabs>
          <w:tab w:val="num" w:pos="2880"/>
        </w:tabs>
        <w:ind w:left="2880" w:hanging="360"/>
      </w:pPr>
      <w:rPr>
        <w:rFonts w:ascii="Arial" w:hAnsi="Arial" w:hint="default"/>
      </w:rPr>
    </w:lvl>
    <w:lvl w:ilvl="4" w:tplc="8644440E" w:tentative="1">
      <w:start w:val="1"/>
      <w:numFmt w:val="bullet"/>
      <w:lvlText w:val="•"/>
      <w:lvlJc w:val="left"/>
      <w:pPr>
        <w:tabs>
          <w:tab w:val="num" w:pos="3600"/>
        </w:tabs>
        <w:ind w:left="3600" w:hanging="360"/>
      </w:pPr>
      <w:rPr>
        <w:rFonts w:ascii="Arial" w:hAnsi="Arial" w:hint="default"/>
      </w:rPr>
    </w:lvl>
    <w:lvl w:ilvl="5" w:tplc="37BA3F90" w:tentative="1">
      <w:start w:val="1"/>
      <w:numFmt w:val="bullet"/>
      <w:lvlText w:val="•"/>
      <w:lvlJc w:val="left"/>
      <w:pPr>
        <w:tabs>
          <w:tab w:val="num" w:pos="4320"/>
        </w:tabs>
        <w:ind w:left="4320" w:hanging="360"/>
      </w:pPr>
      <w:rPr>
        <w:rFonts w:ascii="Arial" w:hAnsi="Arial" w:hint="default"/>
      </w:rPr>
    </w:lvl>
    <w:lvl w:ilvl="6" w:tplc="EFBA57B0" w:tentative="1">
      <w:start w:val="1"/>
      <w:numFmt w:val="bullet"/>
      <w:lvlText w:val="•"/>
      <w:lvlJc w:val="left"/>
      <w:pPr>
        <w:tabs>
          <w:tab w:val="num" w:pos="5040"/>
        </w:tabs>
        <w:ind w:left="5040" w:hanging="360"/>
      </w:pPr>
      <w:rPr>
        <w:rFonts w:ascii="Arial" w:hAnsi="Arial" w:hint="default"/>
      </w:rPr>
    </w:lvl>
    <w:lvl w:ilvl="7" w:tplc="90569586" w:tentative="1">
      <w:start w:val="1"/>
      <w:numFmt w:val="bullet"/>
      <w:lvlText w:val="•"/>
      <w:lvlJc w:val="left"/>
      <w:pPr>
        <w:tabs>
          <w:tab w:val="num" w:pos="5760"/>
        </w:tabs>
        <w:ind w:left="5760" w:hanging="360"/>
      </w:pPr>
      <w:rPr>
        <w:rFonts w:ascii="Arial" w:hAnsi="Arial" w:hint="default"/>
      </w:rPr>
    </w:lvl>
    <w:lvl w:ilvl="8" w:tplc="B2FAAD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EC3A6D"/>
    <w:multiLevelType w:val="hybridMultilevel"/>
    <w:tmpl w:val="1CB6C0C4"/>
    <w:lvl w:ilvl="0" w:tplc="6172B6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8E7311"/>
    <w:multiLevelType w:val="hybridMultilevel"/>
    <w:tmpl w:val="25A459D6"/>
    <w:lvl w:ilvl="0" w:tplc="CFB02514">
      <w:start w:val="1"/>
      <w:numFmt w:val="bullet"/>
      <w:lvlText w:val="•"/>
      <w:lvlJc w:val="left"/>
      <w:pPr>
        <w:tabs>
          <w:tab w:val="num" w:pos="720"/>
        </w:tabs>
        <w:ind w:left="720" w:hanging="360"/>
      </w:pPr>
      <w:rPr>
        <w:rFonts w:ascii="Arial" w:hAnsi="Arial" w:hint="default"/>
      </w:rPr>
    </w:lvl>
    <w:lvl w:ilvl="1" w:tplc="C444203E" w:tentative="1">
      <w:start w:val="1"/>
      <w:numFmt w:val="bullet"/>
      <w:lvlText w:val="•"/>
      <w:lvlJc w:val="left"/>
      <w:pPr>
        <w:tabs>
          <w:tab w:val="num" w:pos="1440"/>
        </w:tabs>
        <w:ind w:left="1440" w:hanging="360"/>
      </w:pPr>
      <w:rPr>
        <w:rFonts w:ascii="Arial" w:hAnsi="Arial" w:hint="default"/>
      </w:rPr>
    </w:lvl>
    <w:lvl w:ilvl="2" w:tplc="4ECEBD52" w:tentative="1">
      <w:start w:val="1"/>
      <w:numFmt w:val="bullet"/>
      <w:lvlText w:val="•"/>
      <w:lvlJc w:val="left"/>
      <w:pPr>
        <w:tabs>
          <w:tab w:val="num" w:pos="2160"/>
        </w:tabs>
        <w:ind w:left="2160" w:hanging="360"/>
      </w:pPr>
      <w:rPr>
        <w:rFonts w:ascii="Arial" w:hAnsi="Arial" w:hint="default"/>
      </w:rPr>
    </w:lvl>
    <w:lvl w:ilvl="3" w:tplc="9DF8E496" w:tentative="1">
      <w:start w:val="1"/>
      <w:numFmt w:val="bullet"/>
      <w:lvlText w:val="•"/>
      <w:lvlJc w:val="left"/>
      <w:pPr>
        <w:tabs>
          <w:tab w:val="num" w:pos="2880"/>
        </w:tabs>
        <w:ind w:left="2880" w:hanging="360"/>
      </w:pPr>
      <w:rPr>
        <w:rFonts w:ascii="Arial" w:hAnsi="Arial" w:hint="default"/>
      </w:rPr>
    </w:lvl>
    <w:lvl w:ilvl="4" w:tplc="CD2E0F52" w:tentative="1">
      <w:start w:val="1"/>
      <w:numFmt w:val="bullet"/>
      <w:lvlText w:val="•"/>
      <w:lvlJc w:val="left"/>
      <w:pPr>
        <w:tabs>
          <w:tab w:val="num" w:pos="3600"/>
        </w:tabs>
        <w:ind w:left="3600" w:hanging="360"/>
      </w:pPr>
      <w:rPr>
        <w:rFonts w:ascii="Arial" w:hAnsi="Arial" w:hint="default"/>
      </w:rPr>
    </w:lvl>
    <w:lvl w:ilvl="5" w:tplc="051EA7F8" w:tentative="1">
      <w:start w:val="1"/>
      <w:numFmt w:val="bullet"/>
      <w:lvlText w:val="•"/>
      <w:lvlJc w:val="left"/>
      <w:pPr>
        <w:tabs>
          <w:tab w:val="num" w:pos="4320"/>
        </w:tabs>
        <w:ind w:left="4320" w:hanging="360"/>
      </w:pPr>
      <w:rPr>
        <w:rFonts w:ascii="Arial" w:hAnsi="Arial" w:hint="default"/>
      </w:rPr>
    </w:lvl>
    <w:lvl w:ilvl="6" w:tplc="694AC7C8" w:tentative="1">
      <w:start w:val="1"/>
      <w:numFmt w:val="bullet"/>
      <w:lvlText w:val="•"/>
      <w:lvlJc w:val="left"/>
      <w:pPr>
        <w:tabs>
          <w:tab w:val="num" w:pos="5040"/>
        </w:tabs>
        <w:ind w:left="5040" w:hanging="360"/>
      </w:pPr>
      <w:rPr>
        <w:rFonts w:ascii="Arial" w:hAnsi="Arial" w:hint="default"/>
      </w:rPr>
    </w:lvl>
    <w:lvl w:ilvl="7" w:tplc="00C8474C" w:tentative="1">
      <w:start w:val="1"/>
      <w:numFmt w:val="bullet"/>
      <w:lvlText w:val="•"/>
      <w:lvlJc w:val="left"/>
      <w:pPr>
        <w:tabs>
          <w:tab w:val="num" w:pos="5760"/>
        </w:tabs>
        <w:ind w:left="5760" w:hanging="360"/>
      </w:pPr>
      <w:rPr>
        <w:rFonts w:ascii="Arial" w:hAnsi="Arial" w:hint="default"/>
      </w:rPr>
    </w:lvl>
    <w:lvl w:ilvl="8" w:tplc="85FC8E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5B0290"/>
    <w:multiLevelType w:val="hybridMultilevel"/>
    <w:tmpl w:val="F282ED34"/>
    <w:lvl w:ilvl="0" w:tplc="9A426CDE">
      <w:start w:val="1"/>
      <w:numFmt w:val="bullet"/>
      <w:lvlText w:val="•"/>
      <w:lvlJc w:val="left"/>
      <w:pPr>
        <w:tabs>
          <w:tab w:val="num" w:pos="720"/>
        </w:tabs>
        <w:ind w:left="720" w:hanging="360"/>
      </w:pPr>
      <w:rPr>
        <w:rFonts w:ascii="Arial" w:hAnsi="Arial" w:hint="default"/>
      </w:rPr>
    </w:lvl>
    <w:lvl w:ilvl="1" w:tplc="E0885C88">
      <w:start w:val="1"/>
      <w:numFmt w:val="bullet"/>
      <w:lvlText w:val="•"/>
      <w:lvlJc w:val="left"/>
      <w:pPr>
        <w:tabs>
          <w:tab w:val="num" w:pos="1440"/>
        </w:tabs>
        <w:ind w:left="1440" w:hanging="360"/>
      </w:pPr>
      <w:rPr>
        <w:rFonts w:ascii="Arial" w:hAnsi="Arial" w:hint="default"/>
      </w:rPr>
    </w:lvl>
    <w:lvl w:ilvl="2" w:tplc="6A7A5C94" w:tentative="1">
      <w:start w:val="1"/>
      <w:numFmt w:val="bullet"/>
      <w:lvlText w:val="•"/>
      <w:lvlJc w:val="left"/>
      <w:pPr>
        <w:tabs>
          <w:tab w:val="num" w:pos="2160"/>
        </w:tabs>
        <w:ind w:left="2160" w:hanging="360"/>
      </w:pPr>
      <w:rPr>
        <w:rFonts w:ascii="Arial" w:hAnsi="Arial" w:hint="default"/>
      </w:rPr>
    </w:lvl>
    <w:lvl w:ilvl="3" w:tplc="29BC7760" w:tentative="1">
      <w:start w:val="1"/>
      <w:numFmt w:val="bullet"/>
      <w:lvlText w:val="•"/>
      <w:lvlJc w:val="left"/>
      <w:pPr>
        <w:tabs>
          <w:tab w:val="num" w:pos="2880"/>
        </w:tabs>
        <w:ind w:left="2880" w:hanging="360"/>
      </w:pPr>
      <w:rPr>
        <w:rFonts w:ascii="Arial" w:hAnsi="Arial" w:hint="default"/>
      </w:rPr>
    </w:lvl>
    <w:lvl w:ilvl="4" w:tplc="401A7F78" w:tentative="1">
      <w:start w:val="1"/>
      <w:numFmt w:val="bullet"/>
      <w:lvlText w:val="•"/>
      <w:lvlJc w:val="left"/>
      <w:pPr>
        <w:tabs>
          <w:tab w:val="num" w:pos="3600"/>
        </w:tabs>
        <w:ind w:left="3600" w:hanging="360"/>
      </w:pPr>
      <w:rPr>
        <w:rFonts w:ascii="Arial" w:hAnsi="Arial" w:hint="default"/>
      </w:rPr>
    </w:lvl>
    <w:lvl w:ilvl="5" w:tplc="907EDC2E" w:tentative="1">
      <w:start w:val="1"/>
      <w:numFmt w:val="bullet"/>
      <w:lvlText w:val="•"/>
      <w:lvlJc w:val="left"/>
      <w:pPr>
        <w:tabs>
          <w:tab w:val="num" w:pos="4320"/>
        </w:tabs>
        <w:ind w:left="4320" w:hanging="360"/>
      </w:pPr>
      <w:rPr>
        <w:rFonts w:ascii="Arial" w:hAnsi="Arial" w:hint="default"/>
      </w:rPr>
    </w:lvl>
    <w:lvl w:ilvl="6" w:tplc="8B66405C" w:tentative="1">
      <w:start w:val="1"/>
      <w:numFmt w:val="bullet"/>
      <w:lvlText w:val="•"/>
      <w:lvlJc w:val="left"/>
      <w:pPr>
        <w:tabs>
          <w:tab w:val="num" w:pos="5040"/>
        </w:tabs>
        <w:ind w:left="5040" w:hanging="360"/>
      </w:pPr>
      <w:rPr>
        <w:rFonts w:ascii="Arial" w:hAnsi="Arial" w:hint="default"/>
      </w:rPr>
    </w:lvl>
    <w:lvl w:ilvl="7" w:tplc="6672786C" w:tentative="1">
      <w:start w:val="1"/>
      <w:numFmt w:val="bullet"/>
      <w:lvlText w:val="•"/>
      <w:lvlJc w:val="left"/>
      <w:pPr>
        <w:tabs>
          <w:tab w:val="num" w:pos="5760"/>
        </w:tabs>
        <w:ind w:left="5760" w:hanging="360"/>
      </w:pPr>
      <w:rPr>
        <w:rFonts w:ascii="Arial" w:hAnsi="Arial" w:hint="default"/>
      </w:rPr>
    </w:lvl>
    <w:lvl w:ilvl="8" w:tplc="678004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515607"/>
    <w:multiLevelType w:val="hybridMultilevel"/>
    <w:tmpl w:val="864C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64F55"/>
    <w:multiLevelType w:val="hybridMultilevel"/>
    <w:tmpl w:val="A9F6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85D81"/>
    <w:multiLevelType w:val="hybridMultilevel"/>
    <w:tmpl w:val="A9F6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60A83"/>
    <w:multiLevelType w:val="hybridMultilevel"/>
    <w:tmpl w:val="D9E4A41A"/>
    <w:lvl w:ilvl="0" w:tplc="EC1EC866">
      <w:start w:val="1"/>
      <w:numFmt w:val="bullet"/>
      <w:lvlText w:val="•"/>
      <w:lvlJc w:val="left"/>
      <w:pPr>
        <w:tabs>
          <w:tab w:val="num" w:pos="720"/>
        </w:tabs>
        <w:ind w:left="720" w:hanging="360"/>
      </w:pPr>
      <w:rPr>
        <w:rFonts w:ascii="Arial" w:hAnsi="Arial" w:hint="default"/>
      </w:rPr>
    </w:lvl>
    <w:lvl w:ilvl="1" w:tplc="74427B04">
      <w:start w:val="1"/>
      <w:numFmt w:val="bullet"/>
      <w:lvlText w:val="•"/>
      <w:lvlJc w:val="left"/>
      <w:pPr>
        <w:tabs>
          <w:tab w:val="num" w:pos="1440"/>
        </w:tabs>
        <w:ind w:left="1440" w:hanging="360"/>
      </w:pPr>
      <w:rPr>
        <w:rFonts w:ascii="Arial" w:hAnsi="Arial" w:hint="default"/>
      </w:rPr>
    </w:lvl>
    <w:lvl w:ilvl="2" w:tplc="C3262CB4">
      <w:start w:val="1"/>
      <w:numFmt w:val="bullet"/>
      <w:lvlText w:val="•"/>
      <w:lvlJc w:val="left"/>
      <w:pPr>
        <w:tabs>
          <w:tab w:val="num" w:pos="2160"/>
        </w:tabs>
        <w:ind w:left="2160" w:hanging="360"/>
      </w:pPr>
      <w:rPr>
        <w:rFonts w:ascii="Arial" w:hAnsi="Arial" w:hint="default"/>
      </w:rPr>
    </w:lvl>
    <w:lvl w:ilvl="3" w:tplc="84042BC0" w:tentative="1">
      <w:start w:val="1"/>
      <w:numFmt w:val="bullet"/>
      <w:lvlText w:val="•"/>
      <w:lvlJc w:val="left"/>
      <w:pPr>
        <w:tabs>
          <w:tab w:val="num" w:pos="2880"/>
        </w:tabs>
        <w:ind w:left="2880" w:hanging="360"/>
      </w:pPr>
      <w:rPr>
        <w:rFonts w:ascii="Arial" w:hAnsi="Arial" w:hint="default"/>
      </w:rPr>
    </w:lvl>
    <w:lvl w:ilvl="4" w:tplc="E8C80762" w:tentative="1">
      <w:start w:val="1"/>
      <w:numFmt w:val="bullet"/>
      <w:lvlText w:val="•"/>
      <w:lvlJc w:val="left"/>
      <w:pPr>
        <w:tabs>
          <w:tab w:val="num" w:pos="3600"/>
        </w:tabs>
        <w:ind w:left="3600" w:hanging="360"/>
      </w:pPr>
      <w:rPr>
        <w:rFonts w:ascii="Arial" w:hAnsi="Arial" w:hint="default"/>
      </w:rPr>
    </w:lvl>
    <w:lvl w:ilvl="5" w:tplc="88300F8A" w:tentative="1">
      <w:start w:val="1"/>
      <w:numFmt w:val="bullet"/>
      <w:lvlText w:val="•"/>
      <w:lvlJc w:val="left"/>
      <w:pPr>
        <w:tabs>
          <w:tab w:val="num" w:pos="4320"/>
        </w:tabs>
        <w:ind w:left="4320" w:hanging="360"/>
      </w:pPr>
      <w:rPr>
        <w:rFonts w:ascii="Arial" w:hAnsi="Arial" w:hint="default"/>
      </w:rPr>
    </w:lvl>
    <w:lvl w:ilvl="6" w:tplc="70A4B804" w:tentative="1">
      <w:start w:val="1"/>
      <w:numFmt w:val="bullet"/>
      <w:lvlText w:val="•"/>
      <w:lvlJc w:val="left"/>
      <w:pPr>
        <w:tabs>
          <w:tab w:val="num" w:pos="5040"/>
        </w:tabs>
        <w:ind w:left="5040" w:hanging="360"/>
      </w:pPr>
      <w:rPr>
        <w:rFonts w:ascii="Arial" w:hAnsi="Arial" w:hint="default"/>
      </w:rPr>
    </w:lvl>
    <w:lvl w:ilvl="7" w:tplc="1C74CF18" w:tentative="1">
      <w:start w:val="1"/>
      <w:numFmt w:val="bullet"/>
      <w:lvlText w:val="•"/>
      <w:lvlJc w:val="left"/>
      <w:pPr>
        <w:tabs>
          <w:tab w:val="num" w:pos="5760"/>
        </w:tabs>
        <w:ind w:left="5760" w:hanging="360"/>
      </w:pPr>
      <w:rPr>
        <w:rFonts w:ascii="Arial" w:hAnsi="Arial" w:hint="default"/>
      </w:rPr>
    </w:lvl>
    <w:lvl w:ilvl="8" w:tplc="659C74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022B3B"/>
    <w:multiLevelType w:val="hybridMultilevel"/>
    <w:tmpl w:val="70C8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95ED0"/>
    <w:multiLevelType w:val="hybridMultilevel"/>
    <w:tmpl w:val="2A404D6E"/>
    <w:lvl w:ilvl="0" w:tplc="CB32D3A0">
      <w:start w:val="1"/>
      <w:numFmt w:val="bullet"/>
      <w:lvlText w:val="•"/>
      <w:lvlJc w:val="left"/>
      <w:pPr>
        <w:tabs>
          <w:tab w:val="num" w:pos="720"/>
        </w:tabs>
        <w:ind w:left="720" w:hanging="360"/>
      </w:pPr>
      <w:rPr>
        <w:rFonts w:ascii="Arial" w:hAnsi="Arial" w:hint="default"/>
      </w:rPr>
    </w:lvl>
    <w:lvl w:ilvl="1" w:tplc="57D4EFC4" w:tentative="1">
      <w:start w:val="1"/>
      <w:numFmt w:val="bullet"/>
      <w:lvlText w:val="•"/>
      <w:lvlJc w:val="left"/>
      <w:pPr>
        <w:tabs>
          <w:tab w:val="num" w:pos="1440"/>
        </w:tabs>
        <w:ind w:left="1440" w:hanging="360"/>
      </w:pPr>
      <w:rPr>
        <w:rFonts w:ascii="Arial" w:hAnsi="Arial" w:hint="default"/>
      </w:rPr>
    </w:lvl>
    <w:lvl w:ilvl="2" w:tplc="B40A5256">
      <w:start w:val="1"/>
      <w:numFmt w:val="bullet"/>
      <w:lvlText w:val="•"/>
      <w:lvlJc w:val="left"/>
      <w:pPr>
        <w:tabs>
          <w:tab w:val="num" w:pos="2160"/>
        </w:tabs>
        <w:ind w:left="2160" w:hanging="360"/>
      </w:pPr>
      <w:rPr>
        <w:rFonts w:ascii="Arial" w:hAnsi="Arial" w:hint="default"/>
      </w:rPr>
    </w:lvl>
    <w:lvl w:ilvl="3" w:tplc="46662A6A" w:tentative="1">
      <w:start w:val="1"/>
      <w:numFmt w:val="bullet"/>
      <w:lvlText w:val="•"/>
      <w:lvlJc w:val="left"/>
      <w:pPr>
        <w:tabs>
          <w:tab w:val="num" w:pos="2880"/>
        </w:tabs>
        <w:ind w:left="2880" w:hanging="360"/>
      </w:pPr>
      <w:rPr>
        <w:rFonts w:ascii="Arial" w:hAnsi="Arial" w:hint="default"/>
      </w:rPr>
    </w:lvl>
    <w:lvl w:ilvl="4" w:tplc="6B1ECAA2" w:tentative="1">
      <w:start w:val="1"/>
      <w:numFmt w:val="bullet"/>
      <w:lvlText w:val="•"/>
      <w:lvlJc w:val="left"/>
      <w:pPr>
        <w:tabs>
          <w:tab w:val="num" w:pos="3600"/>
        </w:tabs>
        <w:ind w:left="3600" w:hanging="360"/>
      </w:pPr>
      <w:rPr>
        <w:rFonts w:ascii="Arial" w:hAnsi="Arial" w:hint="default"/>
      </w:rPr>
    </w:lvl>
    <w:lvl w:ilvl="5" w:tplc="2A30E5C4" w:tentative="1">
      <w:start w:val="1"/>
      <w:numFmt w:val="bullet"/>
      <w:lvlText w:val="•"/>
      <w:lvlJc w:val="left"/>
      <w:pPr>
        <w:tabs>
          <w:tab w:val="num" w:pos="4320"/>
        </w:tabs>
        <w:ind w:left="4320" w:hanging="360"/>
      </w:pPr>
      <w:rPr>
        <w:rFonts w:ascii="Arial" w:hAnsi="Arial" w:hint="default"/>
      </w:rPr>
    </w:lvl>
    <w:lvl w:ilvl="6" w:tplc="29E45354" w:tentative="1">
      <w:start w:val="1"/>
      <w:numFmt w:val="bullet"/>
      <w:lvlText w:val="•"/>
      <w:lvlJc w:val="left"/>
      <w:pPr>
        <w:tabs>
          <w:tab w:val="num" w:pos="5040"/>
        </w:tabs>
        <w:ind w:left="5040" w:hanging="360"/>
      </w:pPr>
      <w:rPr>
        <w:rFonts w:ascii="Arial" w:hAnsi="Arial" w:hint="default"/>
      </w:rPr>
    </w:lvl>
    <w:lvl w:ilvl="7" w:tplc="4DBC8208" w:tentative="1">
      <w:start w:val="1"/>
      <w:numFmt w:val="bullet"/>
      <w:lvlText w:val="•"/>
      <w:lvlJc w:val="left"/>
      <w:pPr>
        <w:tabs>
          <w:tab w:val="num" w:pos="5760"/>
        </w:tabs>
        <w:ind w:left="5760" w:hanging="360"/>
      </w:pPr>
      <w:rPr>
        <w:rFonts w:ascii="Arial" w:hAnsi="Arial" w:hint="default"/>
      </w:rPr>
    </w:lvl>
    <w:lvl w:ilvl="8" w:tplc="F0B28B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1142F5"/>
    <w:multiLevelType w:val="hybridMultilevel"/>
    <w:tmpl w:val="DA6607B8"/>
    <w:lvl w:ilvl="0" w:tplc="6E6E10B2">
      <w:start w:val="1"/>
      <w:numFmt w:val="bullet"/>
      <w:lvlText w:val="•"/>
      <w:lvlJc w:val="left"/>
      <w:pPr>
        <w:tabs>
          <w:tab w:val="num" w:pos="720"/>
        </w:tabs>
        <w:ind w:left="720" w:hanging="360"/>
      </w:pPr>
      <w:rPr>
        <w:rFonts w:ascii="Arial" w:hAnsi="Arial" w:hint="default"/>
      </w:rPr>
    </w:lvl>
    <w:lvl w:ilvl="1" w:tplc="E3781318">
      <w:start w:val="1"/>
      <w:numFmt w:val="bullet"/>
      <w:lvlText w:val="•"/>
      <w:lvlJc w:val="left"/>
      <w:pPr>
        <w:tabs>
          <w:tab w:val="num" w:pos="1440"/>
        </w:tabs>
        <w:ind w:left="1440" w:hanging="360"/>
      </w:pPr>
      <w:rPr>
        <w:rFonts w:ascii="Arial" w:hAnsi="Arial" w:hint="default"/>
      </w:rPr>
    </w:lvl>
    <w:lvl w:ilvl="2" w:tplc="E4F63BA2" w:tentative="1">
      <w:start w:val="1"/>
      <w:numFmt w:val="bullet"/>
      <w:lvlText w:val="•"/>
      <w:lvlJc w:val="left"/>
      <w:pPr>
        <w:tabs>
          <w:tab w:val="num" w:pos="2160"/>
        </w:tabs>
        <w:ind w:left="2160" w:hanging="360"/>
      </w:pPr>
      <w:rPr>
        <w:rFonts w:ascii="Arial" w:hAnsi="Arial" w:hint="default"/>
      </w:rPr>
    </w:lvl>
    <w:lvl w:ilvl="3" w:tplc="3D9006FA" w:tentative="1">
      <w:start w:val="1"/>
      <w:numFmt w:val="bullet"/>
      <w:lvlText w:val="•"/>
      <w:lvlJc w:val="left"/>
      <w:pPr>
        <w:tabs>
          <w:tab w:val="num" w:pos="2880"/>
        </w:tabs>
        <w:ind w:left="2880" w:hanging="360"/>
      </w:pPr>
      <w:rPr>
        <w:rFonts w:ascii="Arial" w:hAnsi="Arial" w:hint="default"/>
      </w:rPr>
    </w:lvl>
    <w:lvl w:ilvl="4" w:tplc="21F03D50" w:tentative="1">
      <w:start w:val="1"/>
      <w:numFmt w:val="bullet"/>
      <w:lvlText w:val="•"/>
      <w:lvlJc w:val="left"/>
      <w:pPr>
        <w:tabs>
          <w:tab w:val="num" w:pos="3600"/>
        </w:tabs>
        <w:ind w:left="3600" w:hanging="360"/>
      </w:pPr>
      <w:rPr>
        <w:rFonts w:ascii="Arial" w:hAnsi="Arial" w:hint="default"/>
      </w:rPr>
    </w:lvl>
    <w:lvl w:ilvl="5" w:tplc="B36CA40E" w:tentative="1">
      <w:start w:val="1"/>
      <w:numFmt w:val="bullet"/>
      <w:lvlText w:val="•"/>
      <w:lvlJc w:val="left"/>
      <w:pPr>
        <w:tabs>
          <w:tab w:val="num" w:pos="4320"/>
        </w:tabs>
        <w:ind w:left="4320" w:hanging="360"/>
      </w:pPr>
      <w:rPr>
        <w:rFonts w:ascii="Arial" w:hAnsi="Arial" w:hint="default"/>
      </w:rPr>
    </w:lvl>
    <w:lvl w:ilvl="6" w:tplc="1A404EBC" w:tentative="1">
      <w:start w:val="1"/>
      <w:numFmt w:val="bullet"/>
      <w:lvlText w:val="•"/>
      <w:lvlJc w:val="left"/>
      <w:pPr>
        <w:tabs>
          <w:tab w:val="num" w:pos="5040"/>
        </w:tabs>
        <w:ind w:left="5040" w:hanging="360"/>
      </w:pPr>
      <w:rPr>
        <w:rFonts w:ascii="Arial" w:hAnsi="Arial" w:hint="default"/>
      </w:rPr>
    </w:lvl>
    <w:lvl w:ilvl="7" w:tplc="1498623C" w:tentative="1">
      <w:start w:val="1"/>
      <w:numFmt w:val="bullet"/>
      <w:lvlText w:val="•"/>
      <w:lvlJc w:val="left"/>
      <w:pPr>
        <w:tabs>
          <w:tab w:val="num" w:pos="5760"/>
        </w:tabs>
        <w:ind w:left="5760" w:hanging="360"/>
      </w:pPr>
      <w:rPr>
        <w:rFonts w:ascii="Arial" w:hAnsi="Arial" w:hint="default"/>
      </w:rPr>
    </w:lvl>
    <w:lvl w:ilvl="8" w:tplc="1312FA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73C8C"/>
    <w:multiLevelType w:val="hybridMultilevel"/>
    <w:tmpl w:val="17CAE8C2"/>
    <w:lvl w:ilvl="0" w:tplc="ECF28718">
      <w:start w:val="1"/>
      <w:numFmt w:val="bullet"/>
      <w:lvlText w:val="•"/>
      <w:lvlJc w:val="left"/>
      <w:pPr>
        <w:tabs>
          <w:tab w:val="num" w:pos="720"/>
        </w:tabs>
        <w:ind w:left="720" w:hanging="360"/>
      </w:pPr>
      <w:rPr>
        <w:rFonts w:ascii="Arial" w:hAnsi="Arial" w:hint="default"/>
      </w:rPr>
    </w:lvl>
    <w:lvl w:ilvl="1" w:tplc="2DF20060">
      <w:start w:val="1"/>
      <w:numFmt w:val="bullet"/>
      <w:lvlText w:val="•"/>
      <w:lvlJc w:val="left"/>
      <w:pPr>
        <w:tabs>
          <w:tab w:val="num" w:pos="1440"/>
        </w:tabs>
        <w:ind w:left="1440" w:hanging="360"/>
      </w:pPr>
      <w:rPr>
        <w:rFonts w:ascii="Arial" w:hAnsi="Arial" w:hint="default"/>
      </w:rPr>
    </w:lvl>
    <w:lvl w:ilvl="2" w:tplc="D840B37C" w:tentative="1">
      <w:start w:val="1"/>
      <w:numFmt w:val="bullet"/>
      <w:lvlText w:val="•"/>
      <w:lvlJc w:val="left"/>
      <w:pPr>
        <w:tabs>
          <w:tab w:val="num" w:pos="2160"/>
        </w:tabs>
        <w:ind w:left="2160" w:hanging="360"/>
      </w:pPr>
      <w:rPr>
        <w:rFonts w:ascii="Arial" w:hAnsi="Arial" w:hint="default"/>
      </w:rPr>
    </w:lvl>
    <w:lvl w:ilvl="3" w:tplc="0F76A930" w:tentative="1">
      <w:start w:val="1"/>
      <w:numFmt w:val="bullet"/>
      <w:lvlText w:val="•"/>
      <w:lvlJc w:val="left"/>
      <w:pPr>
        <w:tabs>
          <w:tab w:val="num" w:pos="2880"/>
        </w:tabs>
        <w:ind w:left="2880" w:hanging="360"/>
      </w:pPr>
      <w:rPr>
        <w:rFonts w:ascii="Arial" w:hAnsi="Arial" w:hint="default"/>
      </w:rPr>
    </w:lvl>
    <w:lvl w:ilvl="4" w:tplc="39D2900C" w:tentative="1">
      <w:start w:val="1"/>
      <w:numFmt w:val="bullet"/>
      <w:lvlText w:val="•"/>
      <w:lvlJc w:val="left"/>
      <w:pPr>
        <w:tabs>
          <w:tab w:val="num" w:pos="3600"/>
        </w:tabs>
        <w:ind w:left="3600" w:hanging="360"/>
      </w:pPr>
      <w:rPr>
        <w:rFonts w:ascii="Arial" w:hAnsi="Arial" w:hint="default"/>
      </w:rPr>
    </w:lvl>
    <w:lvl w:ilvl="5" w:tplc="BCC43268" w:tentative="1">
      <w:start w:val="1"/>
      <w:numFmt w:val="bullet"/>
      <w:lvlText w:val="•"/>
      <w:lvlJc w:val="left"/>
      <w:pPr>
        <w:tabs>
          <w:tab w:val="num" w:pos="4320"/>
        </w:tabs>
        <w:ind w:left="4320" w:hanging="360"/>
      </w:pPr>
      <w:rPr>
        <w:rFonts w:ascii="Arial" w:hAnsi="Arial" w:hint="default"/>
      </w:rPr>
    </w:lvl>
    <w:lvl w:ilvl="6" w:tplc="3C783E56" w:tentative="1">
      <w:start w:val="1"/>
      <w:numFmt w:val="bullet"/>
      <w:lvlText w:val="•"/>
      <w:lvlJc w:val="left"/>
      <w:pPr>
        <w:tabs>
          <w:tab w:val="num" w:pos="5040"/>
        </w:tabs>
        <w:ind w:left="5040" w:hanging="360"/>
      </w:pPr>
      <w:rPr>
        <w:rFonts w:ascii="Arial" w:hAnsi="Arial" w:hint="default"/>
      </w:rPr>
    </w:lvl>
    <w:lvl w:ilvl="7" w:tplc="B5AAD874" w:tentative="1">
      <w:start w:val="1"/>
      <w:numFmt w:val="bullet"/>
      <w:lvlText w:val="•"/>
      <w:lvlJc w:val="left"/>
      <w:pPr>
        <w:tabs>
          <w:tab w:val="num" w:pos="5760"/>
        </w:tabs>
        <w:ind w:left="5760" w:hanging="360"/>
      </w:pPr>
      <w:rPr>
        <w:rFonts w:ascii="Arial" w:hAnsi="Arial" w:hint="default"/>
      </w:rPr>
    </w:lvl>
    <w:lvl w:ilvl="8" w:tplc="78DC34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7978CD"/>
    <w:multiLevelType w:val="multilevel"/>
    <w:tmpl w:val="26AA92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CD0111"/>
    <w:multiLevelType w:val="hybridMultilevel"/>
    <w:tmpl w:val="11C65AE4"/>
    <w:lvl w:ilvl="0" w:tplc="76309CA2">
      <w:start w:val="1"/>
      <w:numFmt w:val="bullet"/>
      <w:lvlText w:val="•"/>
      <w:lvlJc w:val="left"/>
      <w:pPr>
        <w:tabs>
          <w:tab w:val="num" w:pos="720"/>
        </w:tabs>
        <w:ind w:left="720" w:hanging="360"/>
      </w:pPr>
      <w:rPr>
        <w:rFonts w:ascii="Arial" w:hAnsi="Arial" w:hint="default"/>
      </w:rPr>
    </w:lvl>
    <w:lvl w:ilvl="1" w:tplc="97DAEEE6">
      <w:numFmt w:val="bullet"/>
      <w:lvlText w:val="•"/>
      <w:lvlJc w:val="left"/>
      <w:pPr>
        <w:tabs>
          <w:tab w:val="num" w:pos="1440"/>
        </w:tabs>
        <w:ind w:left="1440" w:hanging="360"/>
      </w:pPr>
      <w:rPr>
        <w:rFonts w:ascii="Arial" w:hAnsi="Arial" w:hint="default"/>
      </w:rPr>
    </w:lvl>
    <w:lvl w:ilvl="2" w:tplc="8AE890DE">
      <w:start w:val="1"/>
      <w:numFmt w:val="bullet"/>
      <w:lvlText w:val="•"/>
      <w:lvlJc w:val="left"/>
      <w:pPr>
        <w:tabs>
          <w:tab w:val="num" w:pos="2160"/>
        </w:tabs>
        <w:ind w:left="2160" w:hanging="360"/>
      </w:pPr>
      <w:rPr>
        <w:rFonts w:ascii="Arial" w:hAnsi="Arial" w:hint="default"/>
      </w:rPr>
    </w:lvl>
    <w:lvl w:ilvl="3" w:tplc="3362A004" w:tentative="1">
      <w:start w:val="1"/>
      <w:numFmt w:val="bullet"/>
      <w:lvlText w:val="•"/>
      <w:lvlJc w:val="left"/>
      <w:pPr>
        <w:tabs>
          <w:tab w:val="num" w:pos="2880"/>
        </w:tabs>
        <w:ind w:left="2880" w:hanging="360"/>
      </w:pPr>
      <w:rPr>
        <w:rFonts w:ascii="Arial" w:hAnsi="Arial" w:hint="default"/>
      </w:rPr>
    </w:lvl>
    <w:lvl w:ilvl="4" w:tplc="2F180F90">
      <w:numFmt w:val="bullet"/>
      <w:lvlText w:val="•"/>
      <w:lvlJc w:val="left"/>
      <w:pPr>
        <w:tabs>
          <w:tab w:val="num" w:pos="3600"/>
        </w:tabs>
        <w:ind w:left="3600" w:hanging="360"/>
      </w:pPr>
      <w:rPr>
        <w:rFonts w:ascii="Arial" w:hAnsi="Arial" w:hint="default"/>
      </w:rPr>
    </w:lvl>
    <w:lvl w:ilvl="5" w:tplc="5F16372C" w:tentative="1">
      <w:start w:val="1"/>
      <w:numFmt w:val="bullet"/>
      <w:lvlText w:val="•"/>
      <w:lvlJc w:val="left"/>
      <w:pPr>
        <w:tabs>
          <w:tab w:val="num" w:pos="4320"/>
        </w:tabs>
        <w:ind w:left="4320" w:hanging="360"/>
      </w:pPr>
      <w:rPr>
        <w:rFonts w:ascii="Arial" w:hAnsi="Arial" w:hint="default"/>
      </w:rPr>
    </w:lvl>
    <w:lvl w:ilvl="6" w:tplc="F4EC977A">
      <w:numFmt w:val="bullet"/>
      <w:lvlText w:val="•"/>
      <w:lvlJc w:val="left"/>
      <w:pPr>
        <w:tabs>
          <w:tab w:val="num" w:pos="5040"/>
        </w:tabs>
        <w:ind w:left="5040" w:hanging="360"/>
      </w:pPr>
      <w:rPr>
        <w:rFonts w:ascii="Arial" w:hAnsi="Arial" w:hint="default"/>
      </w:rPr>
    </w:lvl>
    <w:lvl w:ilvl="7" w:tplc="95008810" w:tentative="1">
      <w:start w:val="1"/>
      <w:numFmt w:val="bullet"/>
      <w:lvlText w:val="•"/>
      <w:lvlJc w:val="left"/>
      <w:pPr>
        <w:tabs>
          <w:tab w:val="num" w:pos="5760"/>
        </w:tabs>
        <w:ind w:left="5760" w:hanging="360"/>
      </w:pPr>
      <w:rPr>
        <w:rFonts w:ascii="Arial" w:hAnsi="Arial" w:hint="default"/>
      </w:rPr>
    </w:lvl>
    <w:lvl w:ilvl="8" w:tplc="2FBA70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5C6E36"/>
    <w:multiLevelType w:val="hybridMultilevel"/>
    <w:tmpl w:val="D1DA1078"/>
    <w:lvl w:ilvl="0" w:tplc="4E882384">
      <w:start w:val="1"/>
      <w:numFmt w:val="bullet"/>
      <w:lvlText w:val="•"/>
      <w:lvlJc w:val="left"/>
      <w:pPr>
        <w:tabs>
          <w:tab w:val="num" w:pos="720"/>
        </w:tabs>
        <w:ind w:left="720" w:hanging="360"/>
      </w:pPr>
      <w:rPr>
        <w:rFonts w:ascii="Arial" w:hAnsi="Arial" w:hint="default"/>
      </w:rPr>
    </w:lvl>
    <w:lvl w:ilvl="1" w:tplc="F6F22A7A" w:tentative="1">
      <w:start w:val="1"/>
      <w:numFmt w:val="bullet"/>
      <w:lvlText w:val="•"/>
      <w:lvlJc w:val="left"/>
      <w:pPr>
        <w:tabs>
          <w:tab w:val="num" w:pos="1440"/>
        </w:tabs>
        <w:ind w:left="1440" w:hanging="360"/>
      </w:pPr>
      <w:rPr>
        <w:rFonts w:ascii="Arial" w:hAnsi="Arial" w:hint="default"/>
      </w:rPr>
    </w:lvl>
    <w:lvl w:ilvl="2" w:tplc="13EA494C" w:tentative="1">
      <w:start w:val="1"/>
      <w:numFmt w:val="bullet"/>
      <w:lvlText w:val="•"/>
      <w:lvlJc w:val="left"/>
      <w:pPr>
        <w:tabs>
          <w:tab w:val="num" w:pos="2160"/>
        </w:tabs>
        <w:ind w:left="2160" w:hanging="360"/>
      </w:pPr>
      <w:rPr>
        <w:rFonts w:ascii="Arial" w:hAnsi="Arial" w:hint="default"/>
      </w:rPr>
    </w:lvl>
    <w:lvl w:ilvl="3" w:tplc="34E8F376" w:tentative="1">
      <w:start w:val="1"/>
      <w:numFmt w:val="bullet"/>
      <w:lvlText w:val="•"/>
      <w:lvlJc w:val="left"/>
      <w:pPr>
        <w:tabs>
          <w:tab w:val="num" w:pos="2880"/>
        </w:tabs>
        <w:ind w:left="2880" w:hanging="360"/>
      </w:pPr>
      <w:rPr>
        <w:rFonts w:ascii="Arial" w:hAnsi="Arial" w:hint="default"/>
      </w:rPr>
    </w:lvl>
    <w:lvl w:ilvl="4" w:tplc="9274EAE2" w:tentative="1">
      <w:start w:val="1"/>
      <w:numFmt w:val="bullet"/>
      <w:lvlText w:val="•"/>
      <w:lvlJc w:val="left"/>
      <w:pPr>
        <w:tabs>
          <w:tab w:val="num" w:pos="3600"/>
        </w:tabs>
        <w:ind w:left="3600" w:hanging="360"/>
      </w:pPr>
      <w:rPr>
        <w:rFonts w:ascii="Arial" w:hAnsi="Arial" w:hint="default"/>
      </w:rPr>
    </w:lvl>
    <w:lvl w:ilvl="5" w:tplc="A5D8D832" w:tentative="1">
      <w:start w:val="1"/>
      <w:numFmt w:val="bullet"/>
      <w:lvlText w:val="•"/>
      <w:lvlJc w:val="left"/>
      <w:pPr>
        <w:tabs>
          <w:tab w:val="num" w:pos="4320"/>
        </w:tabs>
        <w:ind w:left="4320" w:hanging="360"/>
      </w:pPr>
      <w:rPr>
        <w:rFonts w:ascii="Arial" w:hAnsi="Arial" w:hint="default"/>
      </w:rPr>
    </w:lvl>
    <w:lvl w:ilvl="6" w:tplc="8A9CFB0E" w:tentative="1">
      <w:start w:val="1"/>
      <w:numFmt w:val="bullet"/>
      <w:lvlText w:val="•"/>
      <w:lvlJc w:val="left"/>
      <w:pPr>
        <w:tabs>
          <w:tab w:val="num" w:pos="5040"/>
        </w:tabs>
        <w:ind w:left="5040" w:hanging="360"/>
      </w:pPr>
      <w:rPr>
        <w:rFonts w:ascii="Arial" w:hAnsi="Arial" w:hint="default"/>
      </w:rPr>
    </w:lvl>
    <w:lvl w:ilvl="7" w:tplc="D4B6E5A4" w:tentative="1">
      <w:start w:val="1"/>
      <w:numFmt w:val="bullet"/>
      <w:lvlText w:val="•"/>
      <w:lvlJc w:val="left"/>
      <w:pPr>
        <w:tabs>
          <w:tab w:val="num" w:pos="5760"/>
        </w:tabs>
        <w:ind w:left="5760" w:hanging="360"/>
      </w:pPr>
      <w:rPr>
        <w:rFonts w:ascii="Arial" w:hAnsi="Arial" w:hint="default"/>
      </w:rPr>
    </w:lvl>
    <w:lvl w:ilvl="8" w:tplc="7242AE6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6"/>
  </w:num>
  <w:num w:numId="4">
    <w:abstractNumId w:val="19"/>
  </w:num>
  <w:num w:numId="5">
    <w:abstractNumId w:val="15"/>
  </w:num>
  <w:num w:numId="6">
    <w:abstractNumId w:val="21"/>
  </w:num>
  <w:num w:numId="7">
    <w:abstractNumId w:val="18"/>
  </w:num>
  <w:num w:numId="8">
    <w:abstractNumId w:val="3"/>
  </w:num>
  <w:num w:numId="9">
    <w:abstractNumId w:val="7"/>
  </w:num>
  <w:num w:numId="10">
    <w:abstractNumId w:val="17"/>
  </w:num>
  <w:num w:numId="11">
    <w:abstractNumId w:val="10"/>
  </w:num>
  <w:num w:numId="12">
    <w:abstractNumId w:val="13"/>
  </w:num>
  <w:num w:numId="13">
    <w:abstractNumId w:val="5"/>
  </w:num>
  <w:num w:numId="14">
    <w:abstractNumId w:val="14"/>
  </w:num>
  <w:num w:numId="15">
    <w:abstractNumId w:val="16"/>
  </w:num>
  <w:num w:numId="16">
    <w:abstractNumId w:val="9"/>
  </w:num>
  <w:num w:numId="17">
    <w:abstractNumId w:val="20"/>
  </w:num>
  <w:num w:numId="18">
    <w:abstractNumId w:val="0"/>
  </w:num>
  <w:num w:numId="19">
    <w:abstractNumId w:val="11"/>
  </w:num>
  <w:num w:numId="20">
    <w:abstractNumId w:val="2"/>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E1"/>
    <w:rsid w:val="00364130"/>
    <w:rsid w:val="004B6834"/>
    <w:rsid w:val="00510737"/>
    <w:rsid w:val="00535FFD"/>
    <w:rsid w:val="00587B8C"/>
    <w:rsid w:val="005A4333"/>
    <w:rsid w:val="005A668F"/>
    <w:rsid w:val="00674A01"/>
    <w:rsid w:val="007667E1"/>
    <w:rsid w:val="007E7081"/>
    <w:rsid w:val="00903720"/>
    <w:rsid w:val="00A6070F"/>
    <w:rsid w:val="00BA749B"/>
    <w:rsid w:val="00BB2512"/>
    <w:rsid w:val="00C82252"/>
    <w:rsid w:val="00CD5B5A"/>
    <w:rsid w:val="00D40A9C"/>
    <w:rsid w:val="00D86FAA"/>
    <w:rsid w:val="00EA4396"/>
    <w:rsid w:val="00FF16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BC65824-482F-4DFD-AC6D-27AFDD76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7E1"/>
    <w:rPr>
      <w:rFonts w:ascii="Lucida Grande" w:hAnsi="Lucida Grande" w:cs="Lucida Grande"/>
      <w:sz w:val="18"/>
      <w:szCs w:val="18"/>
    </w:rPr>
  </w:style>
  <w:style w:type="paragraph" w:styleId="ListParagraph">
    <w:name w:val="List Paragraph"/>
    <w:basedOn w:val="Normal"/>
    <w:uiPriority w:val="34"/>
    <w:qFormat/>
    <w:rsid w:val="007667E1"/>
    <w:pPr>
      <w:spacing w:after="200" w:line="276" w:lineRule="auto"/>
      <w:ind w:left="720"/>
    </w:pPr>
    <w:rPr>
      <w:rFonts w:ascii="Calibri" w:hAnsi="Calibri" w:cs="Calibri"/>
      <w:sz w:val="22"/>
      <w:szCs w:val="22"/>
      <w:lang w:val="en-GB"/>
    </w:rPr>
  </w:style>
  <w:style w:type="character" w:styleId="CommentReference">
    <w:name w:val="annotation reference"/>
    <w:basedOn w:val="DefaultParagraphFont"/>
    <w:uiPriority w:val="99"/>
    <w:semiHidden/>
    <w:unhideWhenUsed/>
    <w:rsid w:val="007667E1"/>
    <w:rPr>
      <w:sz w:val="16"/>
      <w:szCs w:val="16"/>
    </w:rPr>
  </w:style>
  <w:style w:type="paragraph" w:styleId="CommentText">
    <w:name w:val="annotation text"/>
    <w:basedOn w:val="Normal"/>
    <w:link w:val="CommentTextChar"/>
    <w:uiPriority w:val="99"/>
    <w:unhideWhenUsed/>
    <w:rsid w:val="007667E1"/>
    <w:rPr>
      <w:sz w:val="20"/>
      <w:szCs w:val="20"/>
    </w:rPr>
  </w:style>
  <w:style w:type="character" w:customStyle="1" w:styleId="CommentTextChar">
    <w:name w:val="Comment Text Char"/>
    <w:basedOn w:val="DefaultParagraphFont"/>
    <w:link w:val="CommentText"/>
    <w:uiPriority w:val="99"/>
    <w:rsid w:val="007667E1"/>
    <w:rPr>
      <w:sz w:val="20"/>
      <w:szCs w:val="20"/>
    </w:rPr>
  </w:style>
  <w:style w:type="table" w:styleId="TableGrid">
    <w:name w:val="Table Grid"/>
    <w:basedOn w:val="TableNormal"/>
    <w:uiPriority w:val="59"/>
    <w:rsid w:val="007667E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67E1"/>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667E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667E1"/>
    <w:rPr>
      <w:b/>
      <w:bCs/>
    </w:rPr>
  </w:style>
  <w:style w:type="character" w:customStyle="1" w:styleId="CommentSubjectChar">
    <w:name w:val="Comment Subject Char"/>
    <w:basedOn w:val="CommentTextChar"/>
    <w:link w:val="CommentSubject"/>
    <w:uiPriority w:val="99"/>
    <w:semiHidden/>
    <w:rsid w:val="007667E1"/>
    <w:rPr>
      <w:b/>
      <w:bCs/>
      <w:sz w:val="20"/>
      <w:szCs w:val="20"/>
    </w:rPr>
  </w:style>
  <w:style w:type="paragraph" w:styleId="Revision">
    <w:name w:val="Revision"/>
    <w:hidden/>
    <w:uiPriority w:val="99"/>
    <w:semiHidden/>
    <w:rsid w:val="0076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5190</Words>
  <Characters>29586</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Naseem Ghazali</dc:creator>
  <cp:lastModifiedBy>Risk, Janet</cp:lastModifiedBy>
  <cp:revision>2</cp:revision>
  <dcterms:created xsi:type="dcterms:W3CDTF">2017-03-07T16:05:00Z</dcterms:created>
  <dcterms:modified xsi:type="dcterms:W3CDTF">2017-03-07T16:05:00Z</dcterms:modified>
</cp:coreProperties>
</file>