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8324C" w14:textId="77777777" w:rsidR="00B62FBD" w:rsidRPr="00520B73" w:rsidRDefault="00A30497" w:rsidP="00015CD9">
      <w:pPr>
        <w:spacing w:line="276" w:lineRule="auto"/>
        <w:jc w:val="both"/>
        <w:rPr>
          <w:rFonts w:asciiTheme="minorHAnsi" w:hAnsiTheme="minorHAnsi" w:cstheme="minorHAnsi"/>
          <w:b/>
          <w:sz w:val="22"/>
        </w:rPr>
      </w:pPr>
      <w:r w:rsidRPr="00520B73">
        <w:rPr>
          <w:rFonts w:asciiTheme="minorHAnsi" w:hAnsiTheme="minorHAnsi" w:cstheme="minorHAnsi"/>
          <w:b/>
          <w:sz w:val="26"/>
        </w:rPr>
        <w:t>S</w:t>
      </w:r>
      <w:r w:rsidR="00B62FBD" w:rsidRPr="00520B73">
        <w:rPr>
          <w:rFonts w:asciiTheme="minorHAnsi" w:hAnsiTheme="minorHAnsi" w:cstheme="minorHAnsi"/>
          <w:b/>
          <w:sz w:val="26"/>
        </w:rPr>
        <w:t>mall-area income</w:t>
      </w:r>
      <w:r w:rsidR="004860B5" w:rsidRPr="00520B73">
        <w:rPr>
          <w:rFonts w:asciiTheme="minorHAnsi" w:hAnsiTheme="minorHAnsi" w:cstheme="minorHAnsi"/>
          <w:b/>
          <w:sz w:val="26"/>
        </w:rPr>
        <w:t>s</w:t>
      </w:r>
      <w:r w:rsidR="00B62FBD" w:rsidRPr="00520B73">
        <w:rPr>
          <w:rFonts w:asciiTheme="minorHAnsi" w:hAnsiTheme="minorHAnsi" w:cstheme="minorHAnsi"/>
          <w:b/>
          <w:sz w:val="26"/>
        </w:rPr>
        <w:t xml:space="preserve">: </w:t>
      </w:r>
      <w:r w:rsidR="004860B5" w:rsidRPr="00520B73">
        <w:rPr>
          <w:rFonts w:asciiTheme="minorHAnsi" w:hAnsiTheme="minorHAnsi" w:cstheme="minorHAnsi"/>
          <w:b/>
          <w:sz w:val="26"/>
        </w:rPr>
        <w:t xml:space="preserve">their spatial variability and </w:t>
      </w:r>
      <w:r w:rsidR="00B62FBD" w:rsidRPr="00520B73">
        <w:rPr>
          <w:rFonts w:asciiTheme="minorHAnsi" w:hAnsiTheme="minorHAnsi" w:cstheme="minorHAnsi"/>
          <w:b/>
          <w:sz w:val="26"/>
        </w:rPr>
        <w:t>the relative efficacy of prox</w:t>
      </w:r>
      <w:r w:rsidR="004860B5" w:rsidRPr="00520B73">
        <w:rPr>
          <w:rFonts w:asciiTheme="minorHAnsi" w:hAnsiTheme="minorHAnsi" w:cstheme="minorHAnsi"/>
          <w:b/>
          <w:sz w:val="26"/>
        </w:rPr>
        <w:t>y</w:t>
      </w:r>
      <w:r w:rsidR="00B62FBD" w:rsidRPr="00520B73">
        <w:rPr>
          <w:rFonts w:asciiTheme="minorHAnsi" w:hAnsiTheme="minorHAnsi" w:cstheme="minorHAnsi"/>
          <w:b/>
          <w:sz w:val="26"/>
        </w:rPr>
        <w:t xml:space="preserve">, </w:t>
      </w:r>
      <w:proofErr w:type="spellStart"/>
      <w:r w:rsidR="004860B5" w:rsidRPr="00520B73">
        <w:rPr>
          <w:rFonts w:asciiTheme="minorHAnsi" w:hAnsiTheme="minorHAnsi" w:cstheme="minorHAnsi"/>
          <w:b/>
          <w:sz w:val="26"/>
        </w:rPr>
        <w:t>geodemographic</w:t>
      </w:r>
      <w:proofErr w:type="spellEnd"/>
      <w:r w:rsidRPr="00520B73">
        <w:rPr>
          <w:rFonts w:asciiTheme="minorHAnsi" w:hAnsiTheme="minorHAnsi" w:cstheme="minorHAnsi"/>
          <w:b/>
          <w:sz w:val="26"/>
        </w:rPr>
        <w:t xml:space="preserve">, </w:t>
      </w:r>
      <w:proofErr w:type="gramStart"/>
      <w:r w:rsidR="00363D7C" w:rsidRPr="00520B73">
        <w:rPr>
          <w:rFonts w:asciiTheme="minorHAnsi" w:hAnsiTheme="minorHAnsi" w:cstheme="minorHAnsi"/>
          <w:b/>
          <w:sz w:val="26"/>
        </w:rPr>
        <w:t>imputed</w:t>
      </w:r>
      <w:proofErr w:type="gramEnd"/>
      <w:r w:rsidR="00363D7C" w:rsidRPr="00520B73">
        <w:rPr>
          <w:rFonts w:asciiTheme="minorHAnsi" w:hAnsiTheme="minorHAnsi" w:cstheme="minorHAnsi"/>
          <w:b/>
          <w:sz w:val="26"/>
        </w:rPr>
        <w:t xml:space="preserve"> and </w:t>
      </w:r>
      <w:r w:rsidRPr="00520B73">
        <w:rPr>
          <w:rFonts w:asciiTheme="minorHAnsi" w:hAnsiTheme="minorHAnsi" w:cstheme="minorHAnsi"/>
          <w:b/>
          <w:sz w:val="26"/>
        </w:rPr>
        <w:t xml:space="preserve">model-based </w:t>
      </w:r>
      <w:r w:rsidR="004860B5" w:rsidRPr="00520B73">
        <w:rPr>
          <w:rFonts w:asciiTheme="minorHAnsi" w:hAnsiTheme="minorHAnsi" w:cstheme="minorHAnsi"/>
          <w:b/>
          <w:sz w:val="26"/>
        </w:rPr>
        <w:t>estimates</w:t>
      </w:r>
    </w:p>
    <w:p w14:paraId="6A9E608D" w14:textId="77777777" w:rsidR="00833545" w:rsidRPr="00520B73" w:rsidRDefault="00833545" w:rsidP="00015CD9">
      <w:pPr>
        <w:spacing w:line="276" w:lineRule="auto"/>
        <w:jc w:val="both"/>
        <w:rPr>
          <w:rFonts w:asciiTheme="minorHAnsi" w:hAnsiTheme="minorHAnsi" w:cstheme="minorHAnsi"/>
          <w:b/>
          <w:sz w:val="22"/>
        </w:rPr>
      </w:pPr>
    </w:p>
    <w:p w14:paraId="58EB0459" w14:textId="77777777" w:rsidR="00520B73" w:rsidRPr="00520B73" w:rsidRDefault="00520B73" w:rsidP="00015CD9">
      <w:pPr>
        <w:spacing w:line="276" w:lineRule="auto"/>
        <w:jc w:val="both"/>
        <w:rPr>
          <w:rFonts w:asciiTheme="minorHAnsi" w:hAnsiTheme="minorHAnsi" w:cstheme="minorHAnsi"/>
          <w:b/>
          <w:sz w:val="22"/>
        </w:rPr>
      </w:pPr>
    </w:p>
    <w:p w14:paraId="4B129F3A" w14:textId="77777777" w:rsidR="00252582" w:rsidRDefault="00252582" w:rsidP="00015CD9">
      <w:pPr>
        <w:spacing w:line="276" w:lineRule="auto"/>
        <w:jc w:val="both"/>
        <w:rPr>
          <w:rFonts w:asciiTheme="minorHAnsi" w:hAnsiTheme="minorHAnsi" w:cstheme="minorHAnsi"/>
          <w:b/>
          <w:sz w:val="22"/>
        </w:rPr>
      </w:pPr>
    </w:p>
    <w:p w14:paraId="24734632" w14:textId="77777777" w:rsidR="00252582" w:rsidRDefault="00252582" w:rsidP="00015CD9">
      <w:pPr>
        <w:spacing w:line="276" w:lineRule="auto"/>
        <w:jc w:val="both"/>
        <w:rPr>
          <w:rFonts w:asciiTheme="minorHAnsi" w:hAnsiTheme="minorHAnsi" w:cstheme="minorHAnsi"/>
          <w:b/>
          <w:sz w:val="22"/>
        </w:rPr>
      </w:pPr>
    </w:p>
    <w:p w14:paraId="7558A2A2" w14:textId="77777777" w:rsidR="00252582" w:rsidRDefault="00252582" w:rsidP="00015CD9">
      <w:pPr>
        <w:spacing w:line="276" w:lineRule="auto"/>
        <w:jc w:val="both"/>
        <w:rPr>
          <w:rFonts w:asciiTheme="minorHAnsi" w:hAnsiTheme="minorHAnsi" w:cstheme="minorHAnsi"/>
          <w:b/>
          <w:sz w:val="22"/>
        </w:rPr>
      </w:pPr>
    </w:p>
    <w:p w14:paraId="64642313" w14:textId="77777777" w:rsidR="00252582" w:rsidRDefault="00252582" w:rsidP="00015CD9">
      <w:pPr>
        <w:spacing w:line="276" w:lineRule="auto"/>
        <w:jc w:val="both"/>
        <w:rPr>
          <w:rFonts w:asciiTheme="minorHAnsi" w:hAnsiTheme="minorHAnsi" w:cstheme="minorHAnsi"/>
          <w:b/>
          <w:sz w:val="22"/>
        </w:rPr>
      </w:pPr>
    </w:p>
    <w:p w14:paraId="70A2846A" w14:textId="77777777" w:rsidR="00252582" w:rsidRDefault="00252582" w:rsidP="00015CD9">
      <w:pPr>
        <w:spacing w:line="276" w:lineRule="auto"/>
        <w:jc w:val="both"/>
        <w:rPr>
          <w:rFonts w:asciiTheme="minorHAnsi" w:hAnsiTheme="minorHAnsi" w:cstheme="minorHAnsi"/>
          <w:b/>
          <w:sz w:val="22"/>
        </w:rPr>
      </w:pPr>
    </w:p>
    <w:p w14:paraId="25BEC1A8" w14:textId="77777777" w:rsidR="00252582" w:rsidRDefault="00252582" w:rsidP="00015CD9">
      <w:pPr>
        <w:spacing w:line="276" w:lineRule="auto"/>
        <w:jc w:val="both"/>
        <w:rPr>
          <w:rFonts w:asciiTheme="minorHAnsi" w:hAnsiTheme="minorHAnsi" w:cstheme="minorHAnsi"/>
          <w:b/>
          <w:sz w:val="22"/>
        </w:rPr>
      </w:pPr>
    </w:p>
    <w:p w14:paraId="22181A48" w14:textId="77777777" w:rsidR="00252582" w:rsidRDefault="00252582" w:rsidP="00015CD9">
      <w:pPr>
        <w:spacing w:line="276" w:lineRule="auto"/>
        <w:jc w:val="both"/>
        <w:rPr>
          <w:rFonts w:asciiTheme="minorHAnsi" w:hAnsiTheme="minorHAnsi" w:cstheme="minorHAnsi"/>
          <w:b/>
          <w:sz w:val="22"/>
        </w:rPr>
      </w:pPr>
    </w:p>
    <w:p w14:paraId="11B5043E" w14:textId="77777777" w:rsidR="00252582" w:rsidRDefault="00252582" w:rsidP="00015CD9">
      <w:pPr>
        <w:spacing w:line="276" w:lineRule="auto"/>
        <w:jc w:val="both"/>
        <w:rPr>
          <w:rFonts w:asciiTheme="minorHAnsi" w:hAnsiTheme="minorHAnsi" w:cstheme="minorHAnsi"/>
          <w:b/>
          <w:sz w:val="22"/>
        </w:rPr>
      </w:pPr>
    </w:p>
    <w:p w14:paraId="687067F5" w14:textId="79CFEE37" w:rsidR="00B039F5" w:rsidRPr="00520B73" w:rsidRDefault="00917DE9" w:rsidP="00015CD9">
      <w:pPr>
        <w:spacing w:line="276" w:lineRule="auto"/>
        <w:jc w:val="both"/>
        <w:rPr>
          <w:rFonts w:asciiTheme="minorHAnsi" w:hAnsiTheme="minorHAnsi" w:cstheme="minorHAnsi"/>
          <w:b/>
          <w:sz w:val="22"/>
        </w:rPr>
      </w:pPr>
      <w:r>
        <w:rPr>
          <w:rFonts w:asciiTheme="minorHAnsi" w:hAnsiTheme="minorHAnsi" w:cstheme="minorHAnsi"/>
          <w:b/>
          <w:sz w:val="22"/>
        </w:rPr>
        <w:t>Abstract</w:t>
      </w:r>
      <w:r w:rsidR="00B039F5" w:rsidRPr="00520B73">
        <w:rPr>
          <w:rFonts w:asciiTheme="minorHAnsi" w:hAnsiTheme="minorHAnsi" w:cstheme="minorHAnsi"/>
          <w:b/>
          <w:sz w:val="22"/>
        </w:rPr>
        <w:t xml:space="preserve">. </w:t>
      </w:r>
      <w:r w:rsidR="00C5280B" w:rsidRPr="00520B73">
        <w:rPr>
          <w:rFonts w:asciiTheme="minorHAnsi" w:hAnsiTheme="minorHAnsi" w:cstheme="minorHAnsi"/>
          <w:sz w:val="22"/>
        </w:rPr>
        <w:t xml:space="preserve">This paper uses data from a UK Census Rehearsal to explore the problem of small-area income estimation. </w:t>
      </w:r>
      <w:r w:rsidR="00B039F5" w:rsidRPr="00520B73">
        <w:rPr>
          <w:rFonts w:asciiTheme="minorHAnsi" w:hAnsiTheme="minorHAnsi" w:cstheme="minorHAnsi"/>
          <w:sz w:val="22"/>
        </w:rPr>
        <w:t xml:space="preserve">First, the nature of the problem </w:t>
      </w:r>
      <w:r w:rsidR="00C5280B" w:rsidRPr="00520B73">
        <w:rPr>
          <w:rFonts w:asciiTheme="minorHAnsi" w:hAnsiTheme="minorHAnsi" w:cstheme="minorHAnsi"/>
          <w:sz w:val="22"/>
        </w:rPr>
        <w:t>is revisited through an examination</w:t>
      </w:r>
      <w:r w:rsidR="00B039F5" w:rsidRPr="00520B73">
        <w:rPr>
          <w:rFonts w:asciiTheme="minorHAnsi" w:hAnsiTheme="minorHAnsi" w:cstheme="minorHAnsi"/>
          <w:sz w:val="22"/>
        </w:rPr>
        <w:t xml:space="preserve"> of the way in which incomes vary spatially. Residential rather than labour market sorting is found to be the dominant driver; and the rich are found to exhibit greater spatial segregation than the poor. </w:t>
      </w:r>
      <w:r w:rsidR="00C5280B" w:rsidRPr="00520B73">
        <w:rPr>
          <w:rFonts w:asciiTheme="minorHAnsi" w:hAnsiTheme="minorHAnsi" w:cstheme="minorHAnsi"/>
          <w:sz w:val="22"/>
        </w:rPr>
        <w:t xml:space="preserve">Even so, </w:t>
      </w:r>
      <w:r w:rsidR="00B92600" w:rsidRPr="00520B73">
        <w:rPr>
          <w:rFonts w:asciiTheme="minorHAnsi" w:hAnsiTheme="minorHAnsi" w:cstheme="minorHAnsi"/>
          <w:sz w:val="22"/>
        </w:rPr>
        <w:t xml:space="preserve">location is </w:t>
      </w:r>
      <w:r w:rsidR="00B14908">
        <w:rPr>
          <w:rFonts w:asciiTheme="minorHAnsi" w:hAnsiTheme="minorHAnsi" w:cstheme="minorHAnsi"/>
          <w:sz w:val="22"/>
        </w:rPr>
        <w:t>shown</w:t>
      </w:r>
      <w:r w:rsidR="00B92600" w:rsidRPr="00520B73">
        <w:rPr>
          <w:rFonts w:asciiTheme="minorHAnsi" w:hAnsiTheme="minorHAnsi" w:cstheme="minorHAnsi"/>
          <w:sz w:val="22"/>
        </w:rPr>
        <w:t xml:space="preserve"> to capture </w:t>
      </w:r>
      <w:r w:rsidR="00C5280B" w:rsidRPr="00520B73">
        <w:rPr>
          <w:rFonts w:asciiTheme="minorHAnsi" w:hAnsiTheme="minorHAnsi" w:cstheme="minorHAnsi"/>
          <w:sz w:val="22"/>
        </w:rPr>
        <w:t xml:space="preserve">only a small fraction of the overall variation in incomes. </w:t>
      </w:r>
      <w:r w:rsidR="00B039F5" w:rsidRPr="00520B73">
        <w:rPr>
          <w:rFonts w:asciiTheme="minorHAnsi" w:hAnsiTheme="minorHAnsi" w:cstheme="minorHAnsi"/>
          <w:sz w:val="22"/>
        </w:rPr>
        <w:t xml:space="preserve">Second, the performance of competing </w:t>
      </w:r>
      <w:r w:rsidR="00C5280B" w:rsidRPr="00520B73">
        <w:rPr>
          <w:rFonts w:asciiTheme="minorHAnsi" w:hAnsiTheme="minorHAnsi" w:cstheme="minorHAnsi"/>
          <w:sz w:val="22"/>
        </w:rPr>
        <w:t xml:space="preserve">small-area estimation </w:t>
      </w:r>
      <w:r w:rsidR="00B039F5" w:rsidRPr="00520B73">
        <w:rPr>
          <w:rFonts w:asciiTheme="minorHAnsi" w:hAnsiTheme="minorHAnsi" w:cstheme="minorHAnsi"/>
          <w:sz w:val="22"/>
        </w:rPr>
        <w:t xml:space="preserve">strategies </w:t>
      </w:r>
      <w:r w:rsidR="00C5280B" w:rsidRPr="00520B73">
        <w:rPr>
          <w:rFonts w:asciiTheme="minorHAnsi" w:hAnsiTheme="minorHAnsi" w:cstheme="minorHAnsi"/>
          <w:sz w:val="22"/>
        </w:rPr>
        <w:t>is</w:t>
      </w:r>
      <w:r w:rsidR="00B039F5" w:rsidRPr="00520B73">
        <w:rPr>
          <w:rFonts w:asciiTheme="minorHAnsi" w:hAnsiTheme="minorHAnsi" w:cstheme="minorHAnsi"/>
          <w:sz w:val="22"/>
        </w:rPr>
        <w:t xml:space="preserve"> assessed, uniquely comparing pr</w:t>
      </w:r>
      <w:r w:rsidR="005F265A">
        <w:rPr>
          <w:rFonts w:asciiTheme="minorHAnsi" w:hAnsiTheme="minorHAnsi" w:cstheme="minorHAnsi"/>
          <w:sz w:val="22"/>
        </w:rPr>
        <w:t xml:space="preserve">oxy, </w:t>
      </w:r>
      <w:proofErr w:type="spellStart"/>
      <w:r w:rsidR="005F265A">
        <w:rPr>
          <w:rFonts w:asciiTheme="minorHAnsi" w:hAnsiTheme="minorHAnsi" w:cstheme="minorHAnsi"/>
          <w:sz w:val="22"/>
        </w:rPr>
        <w:t>geodemographic</w:t>
      </w:r>
      <w:proofErr w:type="spellEnd"/>
      <w:r w:rsidR="005F265A">
        <w:rPr>
          <w:rFonts w:asciiTheme="minorHAnsi" w:hAnsiTheme="minorHAnsi" w:cstheme="minorHAnsi"/>
          <w:sz w:val="22"/>
        </w:rPr>
        <w:t>, imputation</w:t>
      </w:r>
      <w:bookmarkStart w:id="0" w:name="_GoBack"/>
      <w:bookmarkEnd w:id="0"/>
      <w:r w:rsidR="00B039F5" w:rsidRPr="00520B73">
        <w:rPr>
          <w:rFonts w:asciiTheme="minorHAnsi" w:hAnsiTheme="minorHAnsi" w:cstheme="minorHAnsi"/>
          <w:sz w:val="22"/>
        </w:rPr>
        <w:t xml:space="preserve"> and model-based estimates; and validating all </w:t>
      </w:r>
      <w:r w:rsidR="00B92600" w:rsidRPr="00520B73">
        <w:rPr>
          <w:rFonts w:asciiTheme="minorHAnsi" w:hAnsiTheme="minorHAnsi" w:cstheme="minorHAnsi"/>
          <w:sz w:val="22"/>
        </w:rPr>
        <w:t xml:space="preserve">of these </w:t>
      </w:r>
      <w:r w:rsidR="00B039F5" w:rsidRPr="00520B73">
        <w:rPr>
          <w:rFonts w:asciiTheme="minorHAnsi" w:hAnsiTheme="minorHAnsi" w:cstheme="minorHAnsi"/>
          <w:sz w:val="22"/>
        </w:rPr>
        <w:t>against direct</w:t>
      </w:r>
      <w:r w:rsidR="00B92600" w:rsidRPr="00520B73">
        <w:rPr>
          <w:rFonts w:asciiTheme="minorHAnsi" w:hAnsiTheme="minorHAnsi" w:cstheme="minorHAnsi"/>
          <w:sz w:val="22"/>
        </w:rPr>
        <w:t>ly observed</w:t>
      </w:r>
      <w:r w:rsidR="00B039F5" w:rsidRPr="00520B73">
        <w:rPr>
          <w:rFonts w:asciiTheme="minorHAnsi" w:hAnsiTheme="minorHAnsi" w:cstheme="minorHAnsi"/>
          <w:sz w:val="22"/>
        </w:rPr>
        <w:t xml:space="preserve"> values. </w:t>
      </w:r>
      <w:r w:rsidR="00F07550">
        <w:rPr>
          <w:rFonts w:asciiTheme="minorHAnsi" w:hAnsiTheme="minorHAnsi" w:cstheme="minorHAnsi"/>
          <w:sz w:val="22"/>
        </w:rPr>
        <w:t>An area-level model, e</w:t>
      </w:r>
      <w:r w:rsidR="00B039F5" w:rsidRPr="00520B73">
        <w:rPr>
          <w:rFonts w:asciiTheme="minorHAnsi" w:hAnsiTheme="minorHAnsi" w:cstheme="minorHAnsi"/>
          <w:sz w:val="22"/>
        </w:rPr>
        <w:t>cological regression</w:t>
      </w:r>
      <w:r w:rsidR="00F07550">
        <w:rPr>
          <w:rFonts w:asciiTheme="minorHAnsi" w:hAnsiTheme="minorHAnsi" w:cstheme="minorHAnsi"/>
          <w:sz w:val="22"/>
        </w:rPr>
        <w:t>,</w:t>
      </w:r>
      <w:r w:rsidR="00B039F5" w:rsidRPr="00520B73">
        <w:rPr>
          <w:rFonts w:asciiTheme="minorHAnsi" w:hAnsiTheme="minorHAnsi" w:cstheme="minorHAnsi"/>
          <w:sz w:val="22"/>
        </w:rPr>
        <w:t xml:space="preserve"> </w:t>
      </w:r>
      <w:r w:rsidR="00F07550">
        <w:rPr>
          <w:rFonts w:asciiTheme="minorHAnsi" w:hAnsiTheme="minorHAnsi" w:cstheme="minorHAnsi"/>
          <w:sz w:val="22"/>
        </w:rPr>
        <w:t>performs best. U</w:t>
      </w:r>
      <w:r w:rsidR="00B039F5" w:rsidRPr="00520B73">
        <w:rPr>
          <w:rFonts w:asciiTheme="minorHAnsi" w:hAnsiTheme="minorHAnsi" w:cstheme="minorHAnsi"/>
          <w:sz w:val="22"/>
        </w:rPr>
        <w:t xml:space="preserve">nit-record imputation approaches </w:t>
      </w:r>
      <w:r w:rsidR="00456CB2">
        <w:rPr>
          <w:rFonts w:asciiTheme="minorHAnsi" w:hAnsiTheme="minorHAnsi" w:cstheme="minorHAnsi"/>
          <w:sz w:val="22"/>
        </w:rPr>
        <w:t xml:space="preserve">capture similar levels of spatial variation in mean income, but </w:t>
      </w:r>
      <w:r w:rsidR="00F07550">
        <w:rPr>
          <w:rFonts w:asciiTheme="minorHAnsi" w:hAnsiTheme="minorHAnsi" w:cstheme="minorHAnsi"/>
          <w:sz w:val="22"/>
        </w:rPr>
        <w:t>have higher variances and greater systematic biases.</w:t>
      </w:r>
      <w:r w:rsidR="00B039F5" w:rsidRPr="00520B73">
        <w:rPr>
          <w:rFonts w:asciiTheme="minorHAnsi" w:hAnsiTheme="minorHAnsi" w:cstheme="minorHAnsi"/>
          <w:sz w:val="22"/>
        </w:rPr>
        <w:t xml:space="preserve"> </w:t>
      </w:r>
      <w:r w:rsidR="00456CB2">
        <w:rPr>
          <w:rFonts w:asciiTheme="minorHAnsi" w:hAnsiTheme="minorHAnsi" w:cstheme="minorHAnsi"/>
          <w:sz w:val="22"/>
        </w:rPr>
        <w:t>The same can be said of a</w:t>
      </w:r>
      <w:r w:rsidR="00F07550">
        <w:rPr>
          <w:rFonts w:asciiTheme="minorHAnsi" w:hAnsiTheme="minorHAnsi" w:cstheme="minorHAnsi"/>
          <w:sz w:val="22"/>
        </w:rPr>
        <w:t xml:space="preserve"> simple </w:t>
      </w:r>
      <w:proofErr w:type="spellStart"/>
      <w:r w:rsidR="00456CB2">
        <w:rPr>
          <w:rFonts w:asciiTheme="minorHAnsi" w:hAnsiTheme="minorHAnsi" w:cstheme="minorHAnsi"/>
          <w:sz w:val="22"/>
        </w:rPr>
        <w:t>univariate</w:t>
      </w:r>
      <w:proofErr w:type="spellEnd"/>
      <w:r w:rsidR="00456CB2">
        <w:rPr>
          <w:rFonts w:asciiTheme="minorHAnsi" w:hAnsiTheme="minorHAnsi" w:cstheme="minorHAnsi"/>
          <w:sz w:val="22"/>
        </w:rPr>
        <w:t xml:space="preserve"> proxy (% professionals), which</w:t>
      </w:r>
      <w:r w:rsidR="00B039F5" w:rsidRPr="00520B73">
        <w:rPr>
          <w:rFonts w:asciiTheme="minorHAnsi" w:hAnsiTheme="minorHAnsi" w:cstheme="minorHAnsi"/>
          <w:sz w:val="22"/>
        </w:rPr>
        <w:t xml:space="preserve"> </w:t>
      </w:r>
      <w:r w:rsidR="00456CB2">
        <w:rPr>
          <w:rFonts w:asciiTheme="minorHAnsi" w:hAnsiTheme="minorHAnsi" w:cstheme="minorHAnsi"/>
          <w:sz w:val="22"/>
        </w:rPr>
        <w:t xml:space="preserve">even so </w:t>
      </w:r>
      <w:r w:rsidR="00F07550">
        <w:rPr>
          <w:rFonts w:asciiTheme="minorHAnsi" w:hAnsiTheme="minorHAnsi" w:cstheme="minorHAnsi"/>
          <w:sz w:val="22"/>
        </w:rPr>
        <w:t xml:space="preserve">proves </w:t>
      </w:r>
      <w:r w:rsidR="00B039F5" w:rsidRPr="00520B73">
        <w:rPr>
          <w:rFonts w:asciiTheme="minorHAnsi" w:hAnsiTheme="minorHAnsi" w:cstheme="minorHAnsi"/>
          <w:sz w:val="22"/>
        </w:rPr>
        <w:t xml:space="preserve">surprisingly </w:t>
      </w:r>
      <w:r w:rsidR="00F07550">
        <w:rPr>
          <w:rFonts w:asciiTheme="minorHAnsi" w:hAnsiTheme="minorHAnsi" w:cstheme="minorHAnsi"/>
          <w:sz w:val="22"/>
        </w:rPr>
        <w:t>effective</w:t>
      </w:r>
      <w:r w:rsidR="00B039F5" w:rsidRPr="00520B73">
        <w:rPr>
          <w:rFonts w:asciiTheme="minorHAnsi" w:hAnsiTheme="minorHAnsi" w:cstheme="minorHAnsi"/>
          <w:sz w:val="22"/>
        </w:rPr>
        <w:t>.</w:t>
      </w:r>
    </w:p>
    <w:p w14:paraId="3B510D01" w14:textId="77777777" w:rsidR="005E6B4B" w:rsidRPr="00520B73" w:rsidRDefault="005E6B4B" w:rsidP="00015CD9">
      <w:pPr>
        <w:spacing w:line="276" w:lineRule="auto"/>
        <w:jc w:val="both"/>
        <w:rPr>
          <w:rFonts w:asciiTheme="minorHAnsi" w:hAnsiTheme="minorHAnsi" w:cstheme="minorHAnsi"/>
          <w:b/>
          <w:sz w:val="22"/>
        </w:rPr>
      </w:pPr>
    </w:p>
    <w:p w14:paraId="2F6CA187" w14:textId="77777777" w:rsidR="005E6B4B" w:rsidRPr="00520B73" w:rsidRDefault="005E6B4B" w:rsidP="00015CD9">
      <w:pPr>
        <w:spacing w:line="276" w:lineRule="auto"/>
        <w:jc w:val="both"/>
        <w:rPr>
          <w:rFonts w:asciiTheme="minorHAnsi" w:hAnsiTheme="minorHAnsi" w:cstheme="minorHAnsi"/>
          <w:sz w:val="22"/>
        </w:rPr>
      </w:pPr>
      <w:r w:rsidRPr="00520B73">
        <w:rPr>
          <w:rFonts w:asciiTheme="minorHAnsi" w:hAnsiTheme="minorHAnsi" w:cstheme="minorHAnsi"/>
          <w:i/>
          <w:sz w:val="22"/>
        </w:rPr>
        <w:t>Keywords</w:t>
      </w:r>
      <w:r w:rsidR="00B039F5" w:rsidRPr="00520B73">
        <w:rPr>
          <w:rFonts w:asciiTheme="minorHAnsi" w:hAnsiTheme="minorHAnsi" w:cstheme="minorHAnsi"/>
          <w:sz w:val="22"/>
        </w:rPr>
        <w:t xml:space="preserve">: income distribution; income segregation; </w:t>
      </w:r>
      <w:r w:rsidR="00C5280B" w:rsidRPr="00520B73">
        <w:rPr>
          <w:rFonts w:asciiTheme="minorHAnsi" w:hAnsiTheme="minorHAnsi" w:cstheme="minorHAnsi"/>
          <w:sz w:val="22"/>
        </w:rPr>
        <w:t xml:space="preserve">imputation; </w:t>
      </w:r>
      <w:r w:rsidR="00B039F5" w:rsidRPr="00520B73">
        <w:rPr>
          <w:rFonts w:asciiTheme="minorHAnsi" w:hAnsiTheme="minorHAnsi" w:cstheme="minorHAnsi"/>
          <w:sz w:val="22"/>
        </w:rPr>
        <w:t>synthetic estimate; ecolo</w:t>
      </w:r>
      <w:r w:rsidR="00917DE9">
        <w:rPr>
          <w:rFonts w:asciiTheme="minorHAnsi" w:hAnsiTheme="minorHAnsi" w:cstheme="minorHAnsi"/>
          <w:sz w:val="22"/>
        </w:rPr>
        <w:t>gical regression</w:t>
      </w:r>
    </w:p>
    <w:p w14:paraId="757D7A6D" w14:textId="77777777" w:rsidR="005E6B4B" w:rsidRPr="00520B73" w:rsidRDefault="005E6B4B" w:rsidP="00015CD9">
      <w:pPr>
        <w:spacing w:line="276" w:lineRule="auto"/>
        <w:jc w:val="both"/>
        <w:rPr>
          <w:rFonts w:asciiTheme="minorHAnsi" w:hAnsiTheme="minorHAnsi" w:cstheme="minorHAnsi"/>
          <w:sz w:val="22"/>
        </w:rPr>
      </w:pPr>
    </w:p>
    <w:p w14:paraId="69CEA540" w14:textId="77777777" w:rsidR="005E6B4B" w:rsidRPr="00520B73" w:rsidRDefault="005E6B4B" w:rsidP="00015CD9">
      <w:pPr>
        <w:spacing w:line="276" w:lineRule="auto"/>
        <w:jc w:val="both"/>
        <w:rPr>
          <w:rFonts w:asciiTheme="minorHAnsi" w:hAnsiTheme="minorHAnsi" w:cstheme="minorHAnsi"/>
          <w:b/>
          <w:sz w:val="22"/>
        </w:rPr>
      </w:pPr>
    </w:p>
    <w:p w14:paraId="37A6799E" w14:textId="77777777" w:rsidR="00B62FBD" w:rsidRPr="007E6F4D" w:rsidRDefault="00B62FBD" w:rsidP="00015CD9">
      <w:pPr>
        <w:spacing w:line="276" w:lineRule="auto"/>
        <w:jc w:val="both"/>
        <w:rPr>
          <w:rFonts w:asciiTheme="minorHAnsi" w:hAnsiTheme="minorHAnsi" w:cstheme="minorHAnsi"/>
          <w:b/>
          <w:sz w:val="26"/>
        </w:rPr>
      </w:pPr>
      <w:r w:rsidRPr="007E6F4D">
        <w:rPr>
          <w:rFonts w:asciiTheme="minorHAnsi" w:hAnsiTheme="minorHAnsi" w:cstheme="minorHAnsi"/>
          <w:b/>
          <w:sz w:val="26"/>
        </w:rPr>
        <w:t>1. Introduction</w:t>
      </w:r>
    </w:p>
    <w:p w14:paraId="0894756C" w14:textId="77777777" w:rsidR="00EB07FC" w:rsidRPr="00520B73" w:rsidRDefault="00EB07FC" w:rsidP="00015CD9">
      <w:pPr>
        <w:spacing w:line="276" w:lineRule="auto"/>
        <w:jc w:val="both"/>
        <w:rPr>
          <w:rFonts w:asciiTheme="minorHAnsi" w:hAnsiTheme="minorHAnsi" w:cstheme="minorHAnsi"/>
          <w:sz w:val="22"/>
        </w:rPr>
      </w:pPr>
    </w:p>
    <w:p w14:paraId="42696D9A" w14:textId="77777777" w:rsidR="00D7763B" w:rsidRPr="00520B73" w:rsidRDefault="0035608E" w:rsidP="00015CD9">
      <w:pPr>
        <w:spacing w:line="276" w:lineRule="auto"/>
        <w:jc w:val="both"/>
        <w:rPr>
          <w:rFonts w:asciiTheme="minorHAnsi" w:hAnsiTheme="minorHAnsi" w:cstheme="minorHAnsi"/>
          <w:sz w:val="22"/>
        </w:rPr>
      </w:pPr>
      <w:r>
        <w:rPr>
          <w:rFonts w:asciiTheme="minorHAnsi" w:hAnsiTheme="minorHAnsi" w:cstheme="minorHAnsi"/>
          <w:sz w:val="22"/>
        </w:rPr>
        <w:t>It is becoming</w:t>
      </w:r>
      <w:r w:rsidR="00732560" w:rsidRPr="00520B73">
        <w:rPr>
          <w:rFonts w:asciiTheme="minorHAnsi" w:hAnsiTheme="minorHAnsi" w:cstheme="minorHAnsi"/>
          <w:sz w:val="22"/>
        </w:rPr>
        <w:t xml:space="preserve"> increasingly </w:t>
      </w:r>
      <w:r w:rsidR="00421639">
        <w:rPr>
          <w:rFonts w:asciiTheme="minorHAnsi" w:hAnsiTheme="minorHAnsi" w:cstheme="minorHAnsi"/>
          <w:sz w:val="22"/>
        </w:rPr>
        <w:t>apparent</w:t>
      </w:r>
      <w:r w:rsidR="00732560" w:rsidRPr="00520B73">
        <w:rPr>
          <w:rFonts w:asciiTheme="minorHAnsi" w:hAnsiTheme="minorHAnsi" w:cstheme="minorHAnsi"/>
          <w:sz w:val="22"/>
        </w:rPr>
        <w:t xml:space="preserve"> that inequalities in income underpin a wide range of social phenomena, from voting and leisure habits, through to </w:t>
      </w:r>
      <w:proofErr w:type="gramStart"/>
      <w:r w:rsidR="00732560" w:rsidRPr="00520B73">
        <w:rPr>
          <w:rFonts w:asciiTheme="minorHAnsi" w:hAnsiTheme="minorHAnsi" w:cstheme="minorHAnsi"/>
          <w:sz w:val="22"/>
        </w:rPr>
        <w:t>long term</w:t>
      </w:r>
      <w:proofErr w:type="gramEnd"/>
      <w:r w:rsidR="00732560" w:rsidRPr="00520B73">
        <w:rPr>
          <w:rFonts w:asciiTheme="minorHAnsi" w:hAnsiTheme="minorHAnsi" w:cstheme="minorHAnsi"/>
          <w:sz w:val="22"/>
        </w:rPr>
        <w:t xml:space="preserve"> health prospects and, ultimately, life expectancy (Dorling, 1999</w:t>
      </w:r>
      <w:r w:rsidR="00E37F0C" w:rsidRPr="00520B73">
        <w:rPr>
          <w:rFonts w:asciiTheme="minorHAnsi" w:hAnsiTheme="minorHAnsi" w:cstheme="minorHAnsi"/>
          <w:sz w:val="22"/>
        </w:rPr>
        <w:t xml:space="preserve">; </w:t>
      </w:r>
      <w:r w:rsidR="006E4C4F" w:rsidRPr="00520B73">
        <w:rPr>
          <w:rFonts w:asciiTheme="minorHAnsi" w:hAnsiTheme="minorHAnsi" w:cstheme="minorHAnsi"/>
          <w:sz w:val="22"/>
        </w:rPr>
        <w:t>Wilkinson and Pickett, 2009</w:t>
      </w:r>
      <w:r w:rsidR="00732560" w:rsidRPr="00520B73">
        <w:rPr>
          <w:rFonts w:asciiTheme="minorHAnsi" w:hAnsiTheme="minorHAnsi" w:cstheme="minorHAnsi"/>
          <w:sz w:val="22"/>
        </w:rPr>
        <w:t xml:space="preserve">).  For this reason, and notwithstanding </w:t>
      </w:r>
      <w:r w:rsidR="0097515F" w:rsidRPr="00520B73">
        <w:rPr>
          <w:rFonts w:asciiTheme="minorHAnsi" w:hAnsiTheme="minorHAnsi" w:cstheme="minorHAnsi"/>
          <w:sz w:val="22"/>
        </w:rPr>
        <w:t xml:space="preserve">debates about the </w:t>
      </w:r>
      <w:r w:rsidR="00D7763B" w:rsidRPr="00520B73">
        <w:rPr>
          <w:rFonts w:asciiTheme="minorHAnsi" w:hAnsiTheme="minorHAnsi" w:cstheme="minorHAnsi"/>
          <w:sz w:val="22"/>
        </w:rPr>
        <w:t>mismatch between measures</w:t>
      </w:r>
      <w:r w:rsidR="0097515F" w:rsidRPr="00520B73">
        <w:rPr>
          <w:rFonts w:asciiTheme="minorHAnsi" w:hAnsiTheme="minorHAnsi" w:cstheme="minorHAnsi"/>
          <w:sz w:val="22"/>
        </w:rPr>
        <w:t xml:space="preserve"> of </w:t>
      </w:r>
      <w:r w:rsidR="00732560" w:rsidRPr="00520B73">
        <w:rPr>
          <w:rFonts w:asciiTheme="minorHAnsi" w:hAnsiTheme="minorHAnsi" w:cstheme="minorHAnsi"/>
          <w:sz w:val="22"/>
        </w:rPr>
        <w:t>income, deprivation and wealth (</w:t>
      </w:r>
      <w:r w:rsidR="006E4C4F" w:rsidRPr="00520B73">
        <w:rPr>
          <w:rFonts w:asciiTheme="minorHAnsi" w:hAnsiTheme="minorHAnsi" w:cstheme="minorHAnsi"/>
          <w:sz w:val="22"/>
        </w:rPr>
        <w:t xml:space="preserve">Gordon </w:t>
      </w:r>
      <w:r w:rsidR="007A1451" w:rsidRPr="007A1451">
        <w:rPr>
          <w:rFonts w:asciiTheme="minorHAnsi" w:hAnsiTheme="minorHAnsi" w:cstheme="minorHAnsi"/>
          <w:i/>
          <w:sz w:val="22"/>
        </w:rPr>
        <w:t>et al</w:t>
      </w:r>
      <w:r w:rsidR="006E4C4F" w:rsidRPr="00520B73">
        <w:rPr>
          <w:rFonts w:asciiTheme="minorHAnsi" w:hAnsiTheme="minorHAnsi" w:cstheme="minorHAnsi"/>
          <w:sz w:val="22"/>
        </w:rPr>
        <w:t>, 2000</w:t>
      </w:r>
      <w:r w:rsidR="00732560" w:rsidRPr="00520B73">
        <w:rPr>
          <w:rFonts w:asciiTheme="minorHAnsi" w:hAnsiTheme="minorHAnsi" w:cstheme="minorHAnsi"/>
          <w:sz w:val="22"/>
        </w:rPr>
        <w:t>), there remains strong user demand for information on the spatial distribution of incomes.</w:t>
      </w:r>
      <w:r w:rsidR="00E37F0C" w:rsidRPr="00520B73">
        <w:rPr>
          <w:rFonts w:asciiTheme="minorHAnsi" w:hAnsiTheme="minorHAnsi" w:cstheme="minorHAnsi"/>
          <w:sz w:val="22"/>
        </w:rPr>
        <w:t xml:space="preserve"> </w:t>
      </w:r>
      <w:r w:rsidR="00D7763B" w:rsidRPr="00520B73">
        <w:rPr>
          <w:rFonts w:asciiTheme="minorHAnsi" w:hAnsiTheme="minorHAnsi" w:cstheme="minorHAnsi"/>
          <w:sz w:val="22"/>
        </w:rPr>
        <w:t>This was evidenced in the</w:t>
      </w:r>
      <w:r w:rsidR="007067FB" w:rsidRPr="00520B73">
        <w:rPr>
          <w:rFonts w:asciiTheme="minorHAnsi" w:hAnsiTheme="minorHAnsi" w:cstheme="minorHAnsi"/>
          <w:sz w:val="22"/>
        </w:rPr>
        <w:t xml:space="preserve"> UK during the run-up to both the 2001 and 2011 UK Censuses</w:t>
      </w:r>
      <w:r w:rsidR="00D7763B" w:rsidRPr="00520B73">
        <w:rPr>
          <w:rFonts w:asciiTheme="minorHAnsi" w:hAnsiTheme="minorHAnsi" w:cstheme="minorHAnsi"/>
          <w:sz w:val="22"/>
        </w:rPr>
        <w:t>, when consultation</w:t>
      </w:r>
      <w:r w:rsidR="007067FB" w:rsidRPr="00520B73">
        <w:rPr>
          <w:rFonts w:asciiTheme="minorHAnsi" w:hAnsiTheme="minorHAnsi" w:cstheme="minorHAnsi"/>
          <w:sz w:val="22"/>
        </w:rPr>
        <w:t xml:space="preserve"> revealed overwhelming user support for the addition of a census question on income (</w:t>
      </w:r>
      <w:r w:rsidR="00FB6B87" w:rsidRPr="00520B73">
        <w:rPr>
          <w:rFonts w:asciiTheme="minorHAnsi" w:hAnsiTheme="minorHAnsi" w:cstheme="minorHAnsi"/>
          <w:sz w:val="22"/>
        </w:rPr>
        <w:t>Moss, 1999</w:t>
      </w:r>
      <w:r w:rsidR="007067FB" w:rsidRPr="00520B73">
        <w:rPr>
          <w:rFonts w:asciiTheme="minorHAnsi" w:hAnsiTheme="minorHAnsi" w:cstheme="minorHAnsi"/>
          <w:sz w:val="22"/>
        </w:rPr>
        <w:t xml:space="preserve">; Rees, 1998; </w:t>
      </w:r>
      <w:r w:rsidR="00FB6B87" w:rsidRPr="00520B73">
        <w:rPr>
          <w:rFonts w:asciiTheme="minorHAnsi" w:hAnsiTheme="minorHAnsi" w:cstheme="minorHAnsi"/>
          <w:sz w:val="22"/>
        </w:rPr>
        <w:t>ONS, 2006</w:t>
      </w:r>
      <w:r w:rsidR="007067FB" w:rsidRPr="00520B73">
        <w:rPr>
          <w:rFonts w:asciiTheme="minorHAnsi" w:hAnsiTheme="minorHAnsi" w:cstheme="minorHAnsi"/>
          <w:sz w:val="22"/>
        </w:rPr>
        <w:t xml:space="preserve">).  This demand came from commercial companies, national and local government agencies, campaigning groups and academia. </w:t>
      </w:r>
      <w:r w:rsidR="00802670">
        <w:rPr>
          <w:rFonts w:asciiTheme="minorHAnsi" w:hAnsiTheme="minorHAnsi" w:cstheme="minorHAnsi"/>
          <w:sz w:val="22"/>
        </w:rPr>
        <w:t xml:space="preserve">Potential uses cited included the allocation of public resources; equality monitoring; identification of areas where housing affordability or fuel poverty is an issue; and the location of commercial retail outlets. </w:t>
      </w:r>
      <w:r w:rsidR="007067FB" w:rsidRPr="00520B73">
        <w:rPr>
          <w:rFonts w:asciiTheme="minorHAnsi" w:hAnsiTheme="minorHAnsi" w:cstheme="minorHAnsi"/>
          <w:sz w:val="22"/>
        </w:rPr>
        <w:t xml:space="preserve">Even so, following pre-testing income was dropped from the final version of the Census form used, </w:t>
      </w:r>
      <w:r w:rsidR="003C0124" w:rsidRPr="00520B73">
        <w:rPr>
          <w:rFonts w:asciiTheme="minorHAnsi" w:hAnsiTheme="minorHAnsi" w:cstheme="minorHAnsi"/>
          <w:sz w:val="22"/>
        </w:rPr>
        <w:t xml:space="preserve">both in 2001 and 2011, </w:t>
      </w:r>
      <w:r w:rsidR="0097515F" w:rsidRPr="00520B73">
        <w:rPr>
          <w:rFonts w:asciiTheme="minorHAnsi" w:hAnsiTheme="minorHAnsi" w:cstheme="minorHAnsi"/>
          <w:sz w:val="22"/>
        </w:rPr>
        <w:t>in the main</w:t>
      </w:r>
      <w:r w:rsidR="007067FB" w:rsidRPr="00520B73">
        <w:rPr>
          <w:rFonts w:asciiTheme="minorHAnsi" w:hAnsiTheme="minorHAnsi" w:cstheme="minorHAnsi"/>
          <w:sz w:val="22"/>
        </w:rPr>
        <w:t xml:space="preserve"> due to concerns about </w:t>
      </w:r>
      <w:r w:rsidR="00421639">
        <w:rPr>
          <w:rFonts w:asciiTheme="minorHAnsi" w:hAnsiTheme="minorHAnsi" w:cstheme="minorHAnsi"/>
          <w:sz w:val="22"/>
        </w:rPr>
        <w:t xml:space="preserve">the </w:t>
      </w:r>
      <w:r w:rsidR="007067FB" w:rsidRPr="00520B73">
        <w:rPr>
          <w:rFonts w:asciiTheme="minorHAnsi" w:hAnsiTheme="minorHAnsi" w:cstheme="minorHAnsi"/>
          <w:sz w:val="22"/>
        </w:rPr>
        <w:t xml:space="preserve">potential negative impacts on response rates, </w:t>
      </w:r>
      <w:r w:rsidR="0097515F" w:rsidRPr="00520B73">
        <w:rPr>
          <w:rFonts w:asciiTheme="minorHAnsi" w:hAnsiTheme="minorHAnsi" w:cstheme="minorHAnsi"/>
          <w:sz w:val="22"/>
        </w:rPr>
        <w:lastRenderedPageBreak/>
        <w:t xml:space="preserve">and </w:t>
      </w:r>
      <w:r w:rsidR="007067FB" w:rsidRPr="00520B73">
        <w:rPr>
          <w:rFonts w:asciiTheme="minorHAnsi" w:hAnsiTheme="minorHAnsi" w:cstheme="minorHAnsi"/>
          <w:sz w:val="22"/>
        </w:rPr>
        <w:t xml:space="preserve">in part due to concerns about the quality and bias of </w:t>
      </w:r>
      <w:r w:rsidR="003A2F3A">
        <w:rPr>
          <w:rFonts w:asciiTheme="minorHAnsi" w:hAnsiTheme="minorHAnsi" w:cstheme="minorHAnsi"/>
          <w:sz w:val="22"/>
        </w:rPr>
        <w:t xml:space="preserve">the </w:t>
      </w:r>
      <w:r w:rsidR="007067FB" w:rsidRPr="00520B73">
        <w:rPr>
          <w:rFonts w:asciiTheme="minorHAnsi" w:hAnsiTheme="minorHAnsi" w:cstheme="minorHAnsi"/>
          <w:sz w:val="22"/>
        </w:rPr>
        <w:t>responses that would be obtained</w:t>
      </w:r>
      <w:r w:rsidR="0097515F" w:rsidRPr="00520B73">
        <w:rPr>
          <w:rFonts w:asciiTheme="minorHAnsi" w:hAnsiTheme="minorHAnsi" w:cstheme="minorHAnsi"/>
          <w:sz w:val="22"/>
        </w:rPr>
        <w:t xml:space="preserve"> (</w:t>
      </w:r>
      <w:r w:rsidR="00421639">
        <w:rPr>
          <w:rFonts w:asciiTheme="minorHAnsi" w:hAnsiTheme="minorHAnsi" w:cstheme="minorHAnsi"/>
          <w:sz w:val="22"/>
        </w:rPr>
        <w:t xml:space="preserve">Moss, 1999; </w:t>
      </w:r>
      <w:r w:rsidR="003C0124" w:rsidRPr="00520B73">
        <w:rPr>
          <w:rFonts w:asciiTheme="minorHAnsi" w:hAnsiTheme="minorHAnsi" w:cstheme="minorHAnsi"/>
          <w:sz w:val="22"/>
        </w:rPr>
        <w:t>Collins, undated</w:t>
      </w:r>
      <w:r w:rsidR="0097515F" w:rsidRPr="00520B73">
        <w:rPr>
          <w:rFonts w:asciiTheme="minorHAnsi" w:hAnsiTheme="minorHAnsi" w:cstheme="minorHAnsi"/>
          <w:sz w:val="22"/>
        </w:rPr>
        <w:t>)</w:t>
      </w:r>
      <w:r w:rsidR="003C0124" w:rsidRPr="00520B73">
        <w:rPr>
          <w:rFonts w:asciiTheme="minorHAnsi" w:hAnsiTheme="minorHAnsi" w:cstheme="minorHAnsi"/>
          <w:sz w:val="22"/>
        </w:rPr>
        <w:t>.</w:t>
      </w:r>
    </w:p>
    <w:p w14:paraId="619E7DB7" w14:textId="77777777" w:rsidR="00D7763B" w:rsidRPr="00520B73" w:rsidRDefault="00D7763B" w:rsidP="00015CD9">
      <w:pPr>
        <w:spacing w:line="276" w:lineRule="auto"/>
        <w:jc w:val="both"/>
        <w:rPr>
          <w:rFonts w:asciiTheme="minorHAnsi" w:hAnsiTheme="minorHAnsi" w:cstheme="minorHAnsi"/>
          <w:sz w:val="22"/>
        </w:rPr>
      </w:pPr>
    </w:p>
    <w:p w14:paraId="1849CE58" w14:textId="77777777" w:rsidR="00E37F0C" w:rsidRPr="00520B73" w:rsidRDefault="00D7763B"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However, </w:t>
      </w:r>
      <w:r w:rsidR="00421639">
        <w:rPr>
          <w:rFonts w:asciiTheme="minorHAnsi" w:hAnsiTheme="minorHAnsi" w:cstheme="minorHAnsi"/>
          <w:sz w:val="22"/>
        </w:rPr>
        <w:t xml:space="preserve">lack of small-area income data </w:t>
      </w:r>
      <w:r w:rsidRPr="00520B73">
        <w:rPr>
          <w:rFonts w:asciiTheme="minorHAnsi" w:hAnsiTheme="minorHAnsi" w:cstheme="minorHAnsi"/>
          <w:sz w:val="22"/>
        </w:rPr>
        <w:t xml:space="preserve">is not just a UK issue. </w:t>
      </w:r>
      <w:r w:rsidR="0035608E">
        <w:rPr>
          <w:rFonts w:asciiTheme="minorHAnsi" w:hAnsiTheme="minorHAnsi" w:cstheme="minorHAnsi"/>
          <w:sz w:val="22"/>
        </w:rPr>
        <w:t>G</w:t>
      </w:r>
      <w:r w:rsidR="00732560" w:rsidRPr="00520B73">
        <w:rPr>
          <w:rFonts w:asciiTheme="minorHAnsi" w:hAnsiTheme="minorHAnsi" w:cstheme="minorHAnsi"/>
          <w:sz w:val="22"/>
        </w:rPr>
        <w:t>overnment-sponsored surveys</w:t>
      </w:r>
      <w:r w:rsidR="00586D88">
        <w:rPr>
          <w:rFonts w:asciiTheme="minorHAnsi" w:hAnsiTheme="minorHAnsi" w:cstheme="minorHAnsi"/>
          <w:sz w:val="22"/>
        </w:rPr>
        <w:t>, censuses</w:t>
      </w:r>
      <w:r w:rsidR="00E35463">
        <w:rPr>
          <w:rFonts w:asciiTheme="minorHAnsi" w:hAnsiTheme="minorHAnsi" w:cstheme="minorHAnsi"/>
          <w:sz w:val="22"/>
        </w:rPr>
        <w:t xml:space="preserve"> and population registers </w:t>
      </w:r>
      <w:r w:rsidR="003A2F3A">
        <w:rPr>
          <w:rFonts w:asciiTheme="minorHAnsi" w:hAnsiTheme="minorHAnsi" w:cstheme="minorHAnsi"/>
          <w:sz w:val="22"/>
        </w:rPr>
        <w:t>can</w:t>
      </w:r>
      <w:r w:rsidR="00E37F0C" w:rsidRPr="00520B73">
        <w:rPr>
          <w:rFonts w:asciiTheme="minorHAnsi" w:hAnsiTheme="minorHAnsi" w:cstheme="minorHAnsi"/>
          <w:sz w:val="22"/>
        </w:rPr>
        <w:t xml:space="preserve"> </w:t>
      </w:r>
      <w:r w:rsidR="00732560" w:rsidRPr="00520B73">
        <w:rPr>
          <w:rFonts w:asciiTheme="minorHAnsi" w:hAnsiTheme="minorHAnsi" w:cstheme="minorHAnsi"/>
          <w:sz w:val="22"/>
        </w:rPr>
        <w:t>fail to satisfy user needs in one or more ways</w:t>
      </w:r>
      <w:r w:rsidR="00FF0355" w:rsidRPr="00520B73">
        <w:rPr>
          <w:rFonts w:asciiTheme="minorHAnsi" w:hAnsiTheme="minorHAnsi" w:cstheme="minorHAnsi"/>
          <w:sz w:val="22"/>
        </w:rPr>
        <w:t xml:space="preserve"> –</w:t>
      </w:r>
      <w:r w:rsidR="00732560" w:rsidRPr="00520B73">
        <w:rPr>
          <w:rFonts w:asciiTheme="minorHAnsi" w:hAnsiTheme="minorHAnsi" w:cstheme="minorHAnsi"/>
          <w:sz w:val="22"/>
        </w:rPr>
        <w:t xml:space="preserve"> partial coverage of the population (e.g. earners only), insufficient sample size</w:t>
      </w:r>
      <w:r w:rsidR="003A2F3A">
        <w:rPr>
          <w:rFonts w:asciiTheme="minorHAnsi" w:hAnsiTheme="minorHAnsi" w:cstheme="minorHAnsi"/>
          <w:sz w:val="22"/>
        </w:rPr>
        <w:t>,</w:t>
      </w:r>
      <w:r w:rsidR="00732560" w:rsidRPr="00520B73">
        <w:rPr>
          <w:rFonts w:asciiTheme="minorHAnsi" w:hAnsiTheme="minorHAnsi" w:cstheme="minorHAnsi"/>
          <w:sz w:val="22"/>
        </w:rPr>
        <w:t xml:space="preserve"> </w:t>
      </w:r>
      <w:r w:rsidR="00E35463">
        <w:rPr>
          <w:rFonts w:asciiTheme="minorHAnsi" w:hAnsiTheme="minorHAnsi" w:cstheme="minorHAnsi"/>
          <w:sz w:val="22"/>
        </w:rPr>
        <w:t xml:space="preserve">lack of detail due to disclosure control measures, </w:t>
      </w:r>
      <w:r w:rsidR="00E35463" w:rsidRPr="00520B73">
        <w:rPr>
          <w:rFonts w:asciiTheme="minorHAnsi" w:hAnsiTheme="minorHAnsi" w:cstheme="minorHAnsi"/>
          <w:sz w:val="22"/>
        </w:rPr>
        <w:t>lack of spatial coding</w:t>
      </w:r>
      <w:r w:rsidR="00E35463">
        <w:rPr>
          <w:rFonts w:asciiTheme="minorHAnsi" w:hAnsiTheme="minorHAnsi" w:cstheme="minorHAnsi"/>
          <w:sz w:val="22"/>
        </w:rPr>
        <w:t xml:space="preserve">, </w:t>
      </w:r>
      <w:r w:rsidR="003A2F3A">
        <w:rPr>
          <w:rFonts w:asciiTheme="minorHAnsi" w:hAnsiTheme="minorHAnsi" w:cstheme="minorHAnsi"/>
          <w:sz w:val="22"/>
        </w:rPr>
        <w:t xml:space="preserve">and </w:t>
      </w:r>
      <w:r w:rsidR="00B85E7C">
        <w:rPr>
          <w:rFonts w:asciiTheme="minorHAnsi" w:hAnsiTheme="minorHAnsi" w:cstheme="minorHAnsi"/>
          <w:sz w:val="22"/>
        </w:rPr>
        <w:t>lack of timelines</w:t>
      </w:r>
      <w:r w:rsidR="00E35463">
        <w:rPr>
          <w:rFonts w:asciiTheme="minorHAnsi" w:hAnsiTheme="minorHAnsi" w:cstheme="minorHAnsi"/>
          <w:sz w:val="22"/>
        </w:rPr>
        <w:t>s</w:t>
      </w:r>
      <w:r w:rsidR="00B85E7C">
        <w:rPr>
          <w:rFonts w:asciiTheme="minorHAnsi" w:hAnsiTheme="minorHAnsi" w:cstheme="minorHAnsi"/>
          <w:sz w:val="22"/>
        </w:rPr>
        <w:t>, especially for inter-</w:t>
      </w:r>
      <w:proofErr w:type="spellStart"/>
      <w:r w:rsidR="00B85E7C">
        <w:rPr>
          <w:rFonts w:asciiTheme="minorHAnsi" w:hAnsiTheme="minorHAnsi" w:cstheme="minorHAnsi"/>
          <w:sz w:val="22"/>
        </w:rPr>
        <w:t>censal</w:t>
      </w:r>
      <w:proofErr w:type="spellEnd"/>
      <w:r w:rsidR="00B85E7C">
        <w:rPr>
          <w:rFonts w:asciiTheme="minorHAnsi" w:hAnsiTheme="minorHAnsi" w:cstheme="minorHAnsi"/>
          <w:sz w:val="22"/>
        </w:rPr>
        <w:t xml:space="preserve"> periods. At the</w:t>
      </w:r>
      <w:r w:rsidR="00A27356">
        <w:rPr>
          <w:rFonts w:asciiTheme="minorHAnsi" w:hAnsiTheme="minorHAnsi" w:cstheme="minorHAnsi"/>
          <w:sz w:val="22"/>
        </w:rPr>
        <w:t xml:space="preserve"> </w:t>
      </w:r>
      <w:r w:rsidR="00B85E7C">
        <w:rPr>
          <w:rFonts w:asciiTheme="minorHAnsi" w:hAnsiTheme="minorHAnsi" w:cstheme="minorHAnsi"/>
          <w:sz w:val="22"/>
        </w:rPr>
        <w:t xml:space="preserve">same time </w:t>
      </w:r>
      <w:r w:rsidR="007067FB" w:rsidRPr="00520B73">
        <w:rPr>
          <w:rFonts w:asciiTheme="minorHAnsi" w:hAnsiTheme="minorHAnsi" w:cstheme="minorHAnsi"/>
          <w:sz w:val="22"/>
        </w:rPr>
        <w:t xml:space="preserve">alternative commercial sources of spatially detailed income data suffer from problems of access </w:t>
      </w:r>
      <w:r w:rsidR="00E37F0C" w:rsidRPr="00520B73">
        <w:rPr>
          <w:rFonts w:asciiTheme="minorHAnsi" w:hAnsiTheme="minorHAnsi" w:cstheme="minorHAnsi"/>
          <w:sz w:val="22"/>
        </w:rPr>
        <w:t>(</w:t>
      </w:r>
      <w:r w:rsidR="00FF0355" w:rsidRPr="00520B73">
        <w:rPr>
          <w:rFonts w:asciiTheme="minorHAnsi" w:hAnsiTheme="minorHAnsi" w:cstheme="minorHAnsi"/>
          <w:sz w:val="22"/>
        </w:rPr>
        <w:t xml:space="preserve">notably </w:t>
      </w:r>
      <w:r w:rsidR="00E37F0C" w:rsidRPr="00520B73">
        <w:rPr>
          <w:rFonts w:asciiTheme="minorHAnsi" w:hAnsiTheme="minorHAnsi" w:cstheme="minorHAnsi"/>
          <w:sz w:val="22"/>
        </w:rPr>
        <w:t xml:space="preserve">cost barriers) </w:t>
      </w:r>
      <w:r w:rsidR="007067FB" w:rsidRPr="00520B73">
        <w:rPr>
          <w:rFonts w:asciiTheme="minorHAnsi" w:hAnsiTheme="minorHAnsi" w:cstheme="minorHAnsi"/>
          <w:sz w:val="22"/>
        </w:rPr>
        <w:t>and sampling bias</w:t>
      </w:r>
      <w:r w:rsidR="00E37F0C" w:rsidRPr="00520B73">
        <w:rPr>
          <w:rFonts w:asciiTheme="minorHAnsi" w:hAnsiTheme="minorHAnsi" w:cstheme="minorHAnsi"/>
          <w:sz w:val="22"/>
        </w:rPr>
        <w:t xml:space="preserve"> arising</w:t>
      </w:r>
      <w:r w:rsidR="007067FB" w:rsidRPr="00520B73">
        <w:rPr>
          <w:rFonts w:asciiTheme="minorHAnsi" w:hAnsiTheme="minorHAnsi" w:cstheme="minorHAnsi"/>
          <w:sz w:val="22"/>
        </w:rPr>
        <w:t xml:space="preserve"> </w:t>
      </w:r>
      <w:r w:rsidR="00E37F0C" w:rsidRPr="00520B73">
        <w:rPr>
          <w:rFonts w:asciiTheme="minorHAnsi" w:hAnsiTheme="minorHAnsi" w:cstheme="minorHAnsi"/>
          <w:sz w:val="22"/>
        </w:rPr>
        <w:t>from</w:t>
      </w:r>
      <w:r w:rsidR="007067FB" w:rsidRPr="00520B73">
        <w:rPr>
          <w:rFonts w:asciiTheme="minorHAnsi" w:hAnsiTheme="minorHAnsi" w:cstheme="minorHAnsi"/>
          <w:sz w:val="22"/>
        </w:rPr>
        <w:t xml:space="preserve"> to the way in which data are collected (</w:t>
      </w:r>
      <w:proofErr w:type="spellStart"/>
      <w:r w:rsidR="007067FB" w:rsidRPr="00520B73">
        <w:rPr>
          <w:rFonts w:asciiTheme="minorHAnsi" w:hAnsiTheme="minorHAnsi" w:cstheme="minorHAnsi"/>
          <w:sz w:val="22"/>
        </w:rPr>
        <w:t>Birkin</w:t>
      </w:r>
      <w:proofErr w:type="spellEnd"/>
      <w:r w:rsidR="007067FB" w:rsidRPr="00520B73">
        <w:rPr>
          <w:rFonts w:asciiTheme="minorHAnsi" w:hAnsiTheme="minorHAnsi" w:cstheme="minorHAnsi"/>
          <w:sz w:val="22"/>
        </w:rPr>
        <w:t xml:space="preserve"> and Clarke, 1995; </w:t>
      </w:r>
      <w:proofErr w:type="spellStart"/>
      <w:r w:rsidR="007E6F4D">
        <w:rPr>
          <w:rFonts w:asciiTheme="minorHAnsi" w:hAnsiTheme="minorHAnsi" w:cstheme="minorHAnsi"/>
          <w:sz w:val="22"/>
        </w:rPr>
        <w:t>Longhurst</w:t>
      </w:r>
      <w:proofErr w:type="spellEnd"/>
      <w:r w:rsidR="007E6F4D">
        <w:rPr>
          <w:rFonts w:asciiTheme="minorHAnsi" w:hAnsiTheme="minorHAnsi" w:cstheme="minorHAnsi"/>
          <w:sz w:val="22"/>
        </w:rPr>
        <w:t xml:space="preserve"> </w:t>
      </w:r>
      <w:r w:rsidR="007E6F4D" w:rsidRPr="007E6F4D">
        <w:rPr>
          <w:rFonts w:asciiTheme="minorHAnsi" w:hAnsiTheme="minorHAnsi" w:cstheme="minorHAnsi"/>
          <w:i/>
          <w:sz w:val="22"/>
        </w:rPr>
        <w:t>et al</w:t>
      </w:r>
      <w:r w:rsidR="007E6F4D">
        <w:rPr>
          <w:rFonts w:asciiTheme="minorHAnsi" w:hAnsiTheme="minorHAnsi" w:cstheme="minorHAnsi"/>
          <w:sz w:val="22"/>
        </w:rPr>
        <w:t>, 2004b</w:t>
      </w:r>
      <w:r w:rsidR="007067FB" w:rsidRPr="00520B73">
        <w:rPr>
          <w:rFonts w:asciiTheme="minorHAnsi" w:hAnsiTheme="minorHAnsi" w:cstheme="minorHAnsi"/>
          <w:sz w:val="22"/>
        </w:rPr>
        <w:t>).</w:t>
      </w:r>
      <w:r w:rsidR="00732560" w:rsidRPr="00520B73">
        <w:rPr>
          <w:rFonts w:asciiTheme="minorHAnsi" w:hAnsiTheme="minorHAnsi" w:cstheme="minorHAnsi"/>
          <w:sz w:val="22"/>
        </w:rPr>
        <w:t xml:space="preserve"> </w:t>
      </w:r>
      <w:r w:rsidR="00C565F9" w:rsidRPr="00520B73">
        <w:rPr>
          <w:rFonts w:asciiTheme="minorHAnsi" w:hAnsiTheme="minorHAnsi" w:cstheme="minorHAnsi"/>
          <w:sz w:val="22"/>
        </w:rPr>
        <w:t xml:space="preserve"> </w:t>
      </w:r>
      <w:r w:rsidR="0035608E">
        <w:rPr>
          <w:rFonts w:asciiTheme="minorHAnsi" w:hAnsiTheme="minorHAnsi" w:cstheme="minorHAnsi"/>
          <w:sz w:val="22"/>
        </w:rPr>
        <w:t xml:space="preserve">As a result </w:t>
      </w:r>
      <w:r w:rsidR="00B85E7C">
        <w:rPr>
          <w:rFonts w:asciiTheme="minorHAnsi" w:hAnsiTheme="minorHAnsi" w:cstheme="minorHAnsi"/>
          <w:sz w:val="22"/>
        </w:rPr>
        <w:t xml:space="preserve">many </w:t>
      </w:r>
      <w:r w:rsidR="007E6F4D">
        <w:rPr>
          <w:rFonts w:asciiTheme="minorHAnsi" w:hAnsiTheme="minorHAnsi" w:cstheme="minorHAnsi"/>
          <w:sz w:val="22"/>
        </w:rPr>
        <w:t xml:space="preserve">researchers and </w:t>
      </w:r>
      <w:r w:rsidR="00C565F9" w:rsidRPr="00520B73">
        <w:rPr>
          <w:rFonts w:asciiTheme="minorHAnsi" w:hAnsiTheme="minorHAnsi" w:cstheme="minorHAnsi"/>
          <w:sz w:val="22"/>
        </w:rPr>
        <w:t xml:space="preserve">organisations </w:t>
      </w:r>
      <w:r w:rsidR="007E6F4D">
        <w:rPr>
          <w:rFonts w:asciiTheme="minorHAnsi" w:hAnsiTheme="minorHAnsi" w:cstheme="minorHAnsi"/>
          <w:sz w:val="22"/>
        </w:rPr>
        <w:t>around</w:t>
      </w:r>
      <w:r w:rsidR="0035608E">
        <w:rPr>
          <w:rFonts w:asciiTheme="minorHAnsi" w:hAnsiTheme="minorHAnsi" w:cstheme="minorHAnsi"/>
          <w:sz w:val="22"/>
        </w:rPr>
        <w:t xml:space="preserve"> the world </w:t>
      </w:r>
      <w:r w:rsidR="00421639">
        <w:rPr>
          <w:rFonts w:asciiTheme="minorHAnsi" w:hAnsiTheme="minorHAnsi" w:cstheme="minorHAnsi"/>
          <w:sz w:val="22"/>
        </w:rPr>
        <w:t xml:space="preserve">are actively </w:t>
      </w:r>
      <w:r w:rsidR="0035608E">
        <w:rPr>
          <w:rFonts w:asciiTheme="minorHAnsi" w:hAnsiTheme="minorHAnsi" w:cstheme="minorHAnsi"/>
          <w:sz w:val="22"/>
        </w:rPr>
        <w:t>involved in the production of</w:t>
      </w:r>
      <w:r w:rsidR="00C565F9" w:rsidRPr="00520B73">
        <w:rPr>
          <w:rFonts w:asciiTheme="minorHAnsi" w:hAnsiTheme="minorHAnsi" w:cstheme="minorHAnsi"/>
          <w:sz w:val="22"/>
        </w:rPr>
        <w:t xml:space="preserve"> small-area estimates of average (mean) incomes. These include academics (Lee</w:t>
      </w:r>
      <w:r w:rsidR="003C0124" w:rsidRPr="00520B73">
        <w:rPr>
          <w:rFonts w:asciiTheme="minorHAnsi" w:hAnsiTheme="minorHAnsi" w:cstheme="minorHAnsi"/>
          <w:sz w:val="22"/>
        </w:rPr>
        <w:t xml:space="preserve"> </w:t>
      </w:r>
      <w:r w:rsidR="007E6F4D" w:rsidRPr="007E6F4D">
        <w:rPr>
          <w:rFonts w:asciiTheme="minorHAnsi" w:hAnsiTheme="minorHAnsi" w:cstheme="minorHAnsi"/>
          <w:i/>
          <w:sz w:val="22"/>
        </w:rPr>
        <w:t>et al</w:t>
      </w:r>
      <w:r w:rsidR="003C0124" w:rsidRPr="00520B73">
        <w:rPr>
          <w:rFonts w:asciiTheme="minorHAnsi" w:hAnsiTheme="minorHAnsi" w:cstheme="minorHAnsi"/>
          <w:sz w:val="22"/>
        </w:rPr>
        <w:t>, 1995</w:t>
      </w:r>
      <w:r w:rsidR="00C565F9" w:rsidRPr="00520B73">
        <w:rPr>
          <w:rFonts w:asciiTheme="minorHAnsi" w:hAnsiTheme="minorHAnsi" w:cstheme="minorHAnsi"/>
          <w:sz w:val="22"/>
        </w:rPr>
        <w:t xml:space="preserve">; </w:t>
      </w:r>
      <w:proofErr w:type="spellStart"/>
      <w:r w:rsidR="00C565F9" w:rsidRPr="00520B73">
        <w:rPr>
          <w:rFonts w:asciiTheme="minorHAnsi" w:hAnsiTheme="minorHAnsi" w:cstheme="minorHAnsi"/>
          <w:sz w:val="22"/>
        </w:rPr>
        <w:t>Jargowsky</w:t>
      </w:r>
      <w:proofErr w:type="spellEnd"/>
      <w:r w:rsidR="009F042B" w:rsidRPr="00520B73">
        <w:rPr>
          <w:rFonts w:asciiTheme="minorHAnsi" w:hAnsiTheme="minorHAnsi" w:cstheme="minorHAnsi"/>
          <w:sz w:val="22"/>
        </w:rPr>
        <w:t>, 199</w:t>
      </w:r>
      <w:r w:rsidR="00C256F7">
        <w:rPr>
          <w:rFonts w:asciiTheme="minorHAnsi" w:hAnsiTheme="minorHAnsi" w:cstheme="minorHAnsi"/>
          <w:sz w:val="22"/>
        </w:rPr>
        <w:t>6</w:t>
      </w:r>
      <w:r w:rsidR="009F042B" w:rsidRPr="00520B73">
        <w:rPr>
          <w:rFonts w:asciiTheme="minorHAnsi" w:hAnsiTheme="minorHAnsi" w:cstheme="minorHAnsi"/>
          <w:sz w:val="22"/>
        </w:rPr>
        <w:t>;</w:t>
      </w:r>
      <w:r w:rsidR="00C565F9" w:rsidRPr="00520B73">
        <w:rPr>
          <w:rFonts w:asciiTheme="minorHAnsi" w:hAnsiTheme="minorHAnsi" w:cstheme="minorHAnsi"/>
          <w:sz w:val="22"/>
        </w:rPr>
        <w:t xml:space="preserve"> </w:t>
      </w:r>
      <w:proofErr w:type="spellStart"/>
      <w:r w:rsidR="00C565F9" w:rsidRPr="00520B73">
        <w:rPr>
          <w:rFonts w:asciiTheme="minorHAnsi" w:hAnsiTheme="minorHAnsi" w:cstheme="minorHAnsi"/>
          <w:sz w:val="22"/>
        </w:rPr>
        <w:t>Cloutier</w:t>
      </w:r>
      <w:proofErr w:type="spellEnd"/>
      <w:r w:rsidR="009F042B" w:rsidRPr="00520B73">
        <w:rPr>
          <w:rFonts w:asciiTheme="minorHAnsi" w:hAnsiTheme="minorHAnsi" w:cstheme="minorHAnsi"/>
          <w:sz w:val="22"/>
        </w:rPr>
        <w:t>, 1997</w:t>
      </w:r>
      <w:r w:rsidR="00C565F9" w:rsidRPr="00520B73">
        <w:rPr>
          <w:rFonts w:asciiTheme="minorHAnsi" w:hAnsiTheme="minorHAnsi" w:cstheme="minorHAnsi"/>
          <w:sz w:val="22"/>
        </w:rPr>
        <w:t>)</w:t>
      </w:r>
      <w:proofErr w:type="gramStart"/>
      <w:r w:rsidR="00C565F9" w:rsidRPr="00520B73">
        <w:rPr>
          <w:rFonts w:asciiTheme="minorHAnsi" w:hAnsiTheme="minorHAnsi" w:cstheme="minorHAnsi"/>
          <w:sz w:val="22"/>
        </w:rPr>
        <w:t>;</w:t>
      </w:r>
      <w:proofErr w:type="gramEnd"/>
      <w:r w:rsidR="00C565F9" w:rsidRPr="00520B73">
        <w:rPr>
          <w:rFonts w:asciiTheme="minorHAnsi" w:hAnsiTheme="minorHAnsi" w:cstheme="minorHAnsi"/>
          <w:sz w:val="22"/>
        </w:rPr>
        <w:t xml:space="preserve"> commercial ‘lifestyle’ companies (</w:t>
      </w:r>
      <w:r w:rsidR="009F042B" w:rsidRPr="00520B73">
        <w:rPr>
          <w:rFonts w:asciiTheme="minorHAnsi" w:hAnsiTheme="minorHAnsi" w:cstheme="minorHAnsi"/>
          <w:sz w:val="22"/>
        </w:rPr>
        <w:t xml:space="preserve">CACI, 1999; </w:t>
      </w:r>
      <w:r w:rsidR="003C0124" w:rsidRPr="00520B73">
        <w:rPr>
          <w:rFonts w:asciiTheme="minorHAnsi" w:hAnsiTheme="minorHAnsi" w:cstheme="minorHAnsi"/>
          <w:sz w:val="22"/>
        </w:rPr>
        <w:t>Experian, 2005</w:t>
      </w:r>
      <w:r w:rsidR="00C565F9" w:rsidRPr="00520B73">
        <w:rPr>
          <w:rFonts w:asciiTheme="minorHAnsi" w:hAnsiTheme="minorHAnsi" w:cstheme="minorHAnsi"/>
          <w:sz w:val="22"/>
        </w:rPr>
        <w:t>) and national statistical organisations (</w:t>
      </w:r>
      <w:r w:rsidR="009F042B" w:rsidRPr="00520B73">
        <w:rPr>
          <w:rFonts w:asciiTheme="minorHAnsi" w:hAnsiTheme="minorHAnsi" w:cstheme="minorHAnsi"/>
          <w:sz w:val="22"/>
        </w:rPr>
        <w:t>Bond and Campos, 2010</w:t>
      </w:r>
      <w:r w:rsidR="00C565F9" w:rsidRPr="00520B73">
        <w:rPr>
          <w:rFonts w:asciiTheme="minorHAnsi" w:hAnsiTheme="minorHAnsi" w:cstheme="minorHAnsi"/>
          <w:sz w:val="22"/>
        </w:rPr>
        <w:t xml:space="preserve">; </w:t>
      </w:r>
      <w:r w:rsidR="003C0124" w:rsidRPr="00520B73">
        <w:rPr>
          <w:rFonts w:asciiTheme="minorHAnsi" w:hAnsiTheme="minorHAnsi" w:cstheme="minorHAnsi"/>
          <w:sz w:val="22"/>
        </w:rPr>
        <w:t>The EURAREA Consortium, 2004</w:t>
      </w:r>
      <w:r w:rsidR="00C565F9" w:rsidRPr="00520B73">
        <w:rPr>
          <w:rFonts w:asciiTheme="minorHAnsi" w:hAnsiTheme="minorHAnsi" w:cstheme="minorHAnsi"/>
          <w:sz w:val="22"/>
        </w:rPr>
        <w:t xml:space="preserve">). </w:t>
      </w:r>
      <w:r w:rsidR="00E37F0C" w:rsidRPr="00520B73">
        <w:rPr>
          <w:rFonts w:asciiTheme="minorHAnsi" w:hAnsiTheme="minorHAnsi" w:cstheme="minorHAnsi"/>
          <w:sz w:val="22"/>
        </w:rPr>
        <w:t xml:space="preserve">In this context, a ‘small area’ is </w:t>
      </w:r>
      <w:r w:rsidR="00421639">
        <w:rPr>
          <w:rFonts w:asciiTheme="minorHAnsi" w:hAnsiTheme="minorHAnsi" w:cstheme="minorHAnsi"/>
          <w:sz w:val="22"/>
        </w:rPr>
        <w:t xml:space="preserve">defined as </w:t>
      </w:r>
      <w:r w:rsidR="00E37F0C" w:rsidRPr="00520B73">
        <w:rPr>
          <w:rFonts w:asciiTheme="minorHAnsi" w:hAnsiTheme="minorHAnsi" w:cstheme="minorHAnsi"/>
          <w:sz w:val="22"/>
        </w:rPr>
        <w:t xml:space="preserve">any spatial unit lacking </w:t>
      </w:r>
      <w:r w:rsidR="00293A74">
        <w:rPr>
          <w:rFonts w:asciiTheme="minorHAnsi" w:hAnsiTheme="minorHAnsi" w:cstheme="minorHAnsi"/>
          <w:sz w:val="22"/>
        </w:rPr>
        <w:t>a timely and</w:t>
      </w:r>
      <w:r w:rsidR="00E37F0C" w:rsidRPr="00520B73">
        <w:rPr>
          <w:rFonts w:asciiTheme="minorHAnsi" w:hAnsiTheme="minorHAnsi" w:cstheme="minorHAnsi"/>
          <w:sz w:val="22"/>
        </w:rPr>
        <w:t xml:space="preserve"> reliable survey-</w:t>
      </w:r>
      <w:r w:rsidR="00E35463">
        <w:rPr>
          <w:rFonts w:asciiTheme="minorHAnsi" w:hAnsiTheme="minorHAnsi" w:cstheme="minorHAnsi"/>
          <w:sz w:val="22"/>
        </w:rPr>
        <w:t xml:space="preserve"> (or register-) based estimate.</w:t>
      </w:r>
    </w:p>
    <w:p w14:paraId="627DB8EB" w14:textId="77777777" w:rsidR="0097024E" w:rsidRPr="00520B73" w:rsidRDefault="0097024E" w:rsidP="00015CD9">
      <w:pPr>
        <w:spacing w:line="276" w:lineRule="auto"/>
        <w:jc w:val="both"/>
        <w:rPr>
          <w:rFonts w:asciiTheme="minorHAnsi" w:hAnsiTheme="minorHAnsi" w:cstheme="minorHAnsi"/>
          <w:sz w:val="22"/>
        </w:rPr>
      </w:pPr>
    </w:p>
    <w:p w14:paraId="0C2BFCFF" w14:textId="77777777" w:rsidR="00A92278" w:rsidRDefault="00B85E7C" w:rsidP="00015CD9">
      <w:pPr>
        <w:spacing w:line="276" w:lineRule="auto"/>
        <w:jc w:val="both"/>
        <w:rPr>
          <w:rFonts w:asciiTheme="minorHAnsi" w:hAnsiTheme="minorHAnsi" w:cstheme="minorHAnsi"/>
          <w:sz w:val="22"/>
        </w:rPr>
      </w:pPr>
      <w:r>
        <w:rPr>
          <w:rFonts w:asciiTheme="minorHAnsi" w:hAnsiTheme="minorHAnsi" w:cstheme="minorHAnsi"/>
          <w:sz w:val="22"/>
        </w:rPr>
        <w:t xml:space="preserve">The first hurdle to be overcome in producing effective small-area estimates of income is an understanding of the nature of estimation problem. </w:t>
      </w:r>
      <w:r w:rsidR="00421639">
        <w:rPr>
          <w:rFonts w:asciiTheme="minorHAnsi" w:hAnsiTheme="minorHAnsi" w:cstheme="minorHAnsi"/>
          <w:sz w:val="22"/>
        </w:rPr>
        <w:t>Therefore</w:t>
      </w:r>
      <w:r w:rsidR="00856E5A" w:rsidRPr="00520B73">
        <w:rPr>
          <w:rFonts w:asciiTheme="minorHAnsi" w:hAnsiTheme="minorHAnsi" w:cstheme="minorHAnsi"/>
          <w:sz w:val="22"/>
        </w:rPr>
        <w:t xml:space="preserve"> the first question this paper explores is the scale(s) at which income appears to concentrate. </w:t>
      </w:r>
      <w:r w:rsidR="0018002F">
        <w:rPr>
          <w:rFonts w:asciiTheme="minorHAnsi" w:hAnsiTheme="minorHAnsi" w:cstheme="minorHAnsi"/>
          <w:sz w:val="22"/>
        </w:rPr>
        <w:t xml:space="preserve">The paper extends the work of others by examining this question for </w:t>
      </w:r>
      <w:r>
        <w:rPr>
          <w:rFonts w:asciiTheme="minorHAnsi" w:hAnsiTheme="minorHAnsi" w:cstheme="minorHAnsi"/>
          <w:sz w:val="22"/>
        </w:rPr>
        <w:t xml:space="preserve">both </w:t>
      </w:r>
      <w:r w:rsidR="0018002F">
        <w:rPr>
          <w:rFonts w:asciiTheme="minorHAnsi" w:hAnsiTheme="minorHAnsi" w:cstheme="minorHAnsi"/>
          <w:sz w:val="22"/>
        </w:rPr>
        <w:t xml:space="preserve">a wider range of spatial scales and </w:t>
      </w:r>
      <w:r>
        <w:rPr>
          <w:rFonts w:asciiTheme="minorHAnsi" w:hAnsiTheme="minorHAnsi" w:cstheme="minorHAnsi"/>
          <w:sz w:val="22"/>
        </w:rPr>
        <w:t xml:space="preserve">a greater variety of </w:t>
      </w:r>
      <w:r w:rsidR="0018002F">
        <w:rPr>
          <w:rFonts w:asciiTheme="minorHAnsi" w:hAnsiTheme="minorHAnsi" w:cstheme="minorHAnsi"/>
          <w:sz w:val="22"/>
        </w:rPr>
        <w:t xml:space="preserve">measures of income (individual, household and </w:t>
      </w:r>
      <w:proofErr w:type="spellStart"/>
      <w:r w:rsidR="0018002F">
        <w:rPr>
          <w:rFonts w:asciiTheme="minorHAnsi" w:hAnsiTheme="minorHAnsi" w:cstheme="minorHAnsi"/>
          <w:sz w:val="22"/>
        </w:rPr>
        <w:t>equivalised</w:t>
      </w:r>
      <w:proofErr w:type="spellEnd"/>
      <w:r w:rsidR="0018002F">
        <w:rPr>
          <w:rFonts w:asciiTheme="minorHAnsi" w:hAnsiTheme="minorHAnsi" w:cstheme="minorHAnsi"/>
          <w:sz w:val="22"/>
        </w:rPr>
        <w:t xml:space="preserve">). </w:t>
      </w:r>
      <w:r w:rsidR="00E35463">
        <w:rPr>
          <w:rFonts w:asciiTheme="minorHAnsi" w:hAnsiTheme="minorHAnsi" w:cstheme="minorHAnsi"/>
          <w:sz w:val="22"/>
        </w:rPr>
        <w:t xml:space="preserve">The results presented </w:t>
      </w:r>
      <w:r w:rsidR="00856E5A" w:rsidRPr="00520B73">
        <w:rPr>
          <w:rFonts w:asciiTheme="minorHAnsi" w:hAnsiTheme="minorHAnsi" w:cstheme="minorHAnsi"/>
          <w:sz w:val="22"/>
        </w:rPr>
        <w:t xml:space="preserve">add to the mounting evidence that </w:t>
      </w:r>
      <w:r w:rsidR="00E35463">
        <w:rPr>
          <w:rFonts w:asciiTheme="minorHAnsi" w:hAnsiTheme="minorHAnsi" w:cstheme="minorHAnsi"/>
          <w:sz w:val="22"/>
        </w:rPr>
        <w:t xml:space="preserve">in neoliberal market economies </w:t>
      </w:r>
      <w:r w:rsidR="00856E5A" w:rsidRPr="00520B73">
        <w:rPr>
          <w:rFonts w:asciiTheme="minorHAnsi" w:hAnsiTheme="minorHAnsi" w:cstheme="minorHAnsi"/>
          <w:sz w:val="22"/>
        </w:rPr>
        <w:t>the poor are less spatially segregated than the rich</w:t>
      </w:r>
      <w:r w:rsidR="00293A74">
        <w:rPr>
          <w:rFonts w:asciiTheme="minorHAnsi" w:hAnsiTheme="minorHAnsi" w:cstheme="minorHAnsi"/>
          <w:sz w:val="22"/>
        </w:rPr>
        <w:t xml:space="preserve"> (Dorling </w:t>
      </w:r>
      <w:r w:rsidR="007E6F4D" w:rsidRPr="007E6F4D">
        <w:rPr>
          <w:rFonts w:asciiTheme="minorHAnsi" w:hAnsiTheme="minorHAnsi" w:cstheme="minorHAnsi"/>
          <w:i/>
          <w:sz w:val="22"/>
        </w:rPr>
        <w:t>et al</w:t>
      </w:r>
      <w:r w:rsidR="00293A74">
        <w:rPr>
          <w:rFonts w:asciiTheme="minorHAnsi" w:hAnsiTheme="minorHAnsi" w:cstheme="minorHAnsi"/>
          <w:sz w:val="22"/>
        </w:rPr>
        <w:t>, 2007; Berthoud, 2008), and that residential rather than labour-market sorting is the key driver of spatial variations in income</w:t>
      </w:r>
      <w:r w:rsidR="00856E5A" w:rsidRPr="00520B73">
        <w:rPr>
          <w:rFonts w:asciiTheme="minorHAnsi" w:hAnsiTheme="minorHAnsi" w:cstheme="minorHAnsi"/>
          <w:sz w:val="22"/>
        </w:rPr>
        <w:t>.</w:t>
      </w:r>
      <w:r w:rsidR="0018002F">
        <w:rPr>
          <w:rFonts w:asciiTheme="minorHAnsi" w:hAnsiTheme="minorHAnsi" w:cstheme="minorHAnsi"/>
          <w:sz w:val="22"/>
        </w:rPr>
        <w:t xml:space="preserve"> </w:t>
      </w:r>
      <w:r w:rsidR="004C7866">
        <w:rPr>
          <w:rFonts w:asciiTheme="minorHAnsi" w:hAnsiTheme="minorHAnsi" w:cstheme="minorHAnsi"/>
          <w:sz w:val="22"/>
        </w:rPr>
        <w:t xml:space="preserve">It is further shown that </w:t>
      </w:r>
      <w:r w:rsidR="004C7866" w:rsidRPr="00520B73">
        <w:rPr>
          <w:rFonts w:asciiTheme="minorHAnsi" w:hAnsiTheme="minorHAnsi" w:cstheme="minorHAnsi"/>
          <w:sz w:val="22"/>
        </w:rPr>
        <w:t>location capture</w:t>
      </w:r>
      <w:r w:rsidR="004C7866">
        <w:rPr>
          <w:rFonts w:asciiTheme="minorHAnsi" w:hAnsiTheme="minorHAnsi" w:cstheme="minorHAnsi"/>
          <w:sz w:val="22"/>
        </w:rPr>
        <w:t>s</w:t>
      </w:r>
      <w:r w:rsidR="004C7866" w:rsidRPr="00520B73">
        <w:rPr>
          <w:rFonts w:asciiTheme="minorHAnsi" w:hAnsiTheme="minorHAnsi" w:cstheme="minorHAnsi"/>
          <w:sz w:val="22"/>
        </w:rPr>
        <w:t xml:space="preserve"> only a small fraction of t</w:t>
      </w:r>
      <w:r w:rsidR="004C7866">
        <w:rPr>
          <w:rFonts w:asciiTheme="minorHAnsi" w:hAnsiTheme="minorHAnsi" w:cstheme="minorHAnsi"/>
          <w:sz w:val="22"/>
        </w:rPr>
        <w:t>he overall variation in incomes; and that even this ‘area effect’ disappears once sufficient account is taken of local population composition.  This provides hope that an adequately specified small-area estimation strategy should be able to capture a significant element of the observed spatial variation in incomes.</w:t>
      </w:r>
    </w:p>
    <w:p w14:paraId="0E956C26" w14:textId="77777777" w:rsidR="00293A74" w:rsidRDefault="00293A74" w:rsidP="00015CD9">
      <w:pPr>
        <w:spacing w:line="276" w:lineRule="auto"/>
        <w:jc w:val="both"/>
        <w:rPr>
          <w:rFonts w:asciiTheme="minorHAnsi" w:hAnsiTheme="minorHAnsi" w:cstheme="minorHAnsi"/>
          <w:sz w:val="22"/>
        </w:rPr>
      </w:pPr>
    </w:p>
    <w:p w14:paraId="1562B969" w14:textId="2661D729" w:rsidR="00C565F9" w:rsidRPr="00520B73" w:rsidRDefault="00A92278"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The second focus of this paper is upon </w:t>
      </w:r>
      <w:r w:rsidRPr="00123D69">
        <w:rPr>
          <w:rFonts w:asciiTheme="minorHAnsi" w:hAnsiTheme="minorHAnsi" w:cstheme="minorHAnsi"/>
          <w:sz w:val="22"/>
        </w:rPr>
        <w:t xml:space="preserve">the efficacy of alternative </w:t>
      </w:r>
      <w:r w:rsidR="00B748E6">
        <w:rPr>
          <w:rFonts w:asciiTheme="minorHAnsi" w:hAnsiTheme="minorHAnsi" w:cstheme="minorHAnsi"/>
          <w:sz w:val="22"/>
        </w:rPr>
        <w:t xml:space="preserve">strategies for </w:t>
      </w:r>
      <w:r w:rsidRPr="00123D69">
        <w:rPr>
          <w:rFonts w:asciiTheme="minorHAnsi" w:hAnsiTheme="minorHAnsi" w:cstheme="minorHAnsi"/>
          <w:sz w:val="22"/>
        </w:rPr>
        <w:t>est</w:t>
      </w:r>
      <w:r w:rsidR="00B748E6">
        <w:rPr>
          <w:rFonts w:asciiTheme="minorHAnsi" w:hAnsiTheme="minorHAnsi" w:cstheme="minorHAnsi"/>
          <w:sz w:val="22"/>
        </w:rPr>
        <w:t>imating</w:t>
      </w:r>
      <w:r w:rsidRPr="00123D69">
        <w:rPr>
          <w:rFonts w:asciiTheme="minorHAnsi" w:hAnsiTheme="minorHAnsi" w:cstheme="minorHAnsi"/>
          <w:sz w:val="22"/>
        </w:rPr>
        <w:t xml:space="preserve"> </w:t>
      </w:r>
      <w:r w:rsidR="007067FB" w:rsidRPr="00123D69">
        <w:rPr>
          <w:rFonts w:asciiTheme="minorHAnsi" w:hAnsiTheme="minorHAnsi" w:cstheme="minorHAnsi"/>
          <w:sz w:val="22"/>
        </w:rPr>
        <w:t xml:space="preserve">average (mean) </w:t>
      </w:r>
      <w:r w:rsidRPr="00123D69">
        <w:rPr>
          <w:rFonts w:asciiTheme="minorHAnsi" w:hAnsiTheme="minorHAnsi" w:cstheme="minorHAnsi"/>
          <w:sz w:val="22"/>
        </w:rPr>
        <w:t>small area incomes</w:t>
      </w:r>
      <w:r w:rsidR="0097024E" w:rsidRPr="00123D69">
        <w:rPr>
          <w:rFonts w:asciiTheme="minorHAnsi" w:hAnsiTheme="minorHAnsi" w:cstheme="minorHAnsi"/>
          <w:sz w:val="22"/>
        </w:rPr>
        <w:t>.</w:t>
      </w:r>
      <w:r w:rsidRPr="00123D69">
        <w:rPr>
          <w:rFonts w:asciiTheme="minorHAnsi" w:hAnsiTheme="minorHAnsi" w:cstheme="minorHAnsi"/>
          <w:sz w:val="22"/>
        </w:rPr>
        <w:t xml:space="preserve"> </w:t>
      </w:r>
      <w:r w:rsidR="000F3E76" w:rsidRPr="00123D69">
        <w:rPr>
          <w:rFonts w:asciiTheme="minorHAnsi" w:hAnsiTheme="minorHAnsi" w:cstheme="minorHAnsi"/>
          <w:sz w:val="22"/>
        </w:rPr>
        <w:t>These include</w:t>
      </w:r>
      <w:r w:rsidRPr="00123D69">
        <w:rPr>
          <w:rFonts w:asciiTheme="minorHAnsi" w:hAnsiTheme="minorHAnsi" w:cstheme="minorHAnsi"/>
          <w:sz w:val="22"/>
        </w:rPr>
        <w:t xml:space="preserve"> </w:t>
      </w:r>
      <w:proofErr w:type="spellStart"/>
      <w:r w:rsidRPr="00123D69">
        <w:rPr>
          <w:rFonts w:asciiTheme="minorHAnsi" w:hAnsiTheme="minorHAnsi" w:cstheme="minorHAnsi"/>
          <w:sz w:val="22"/>
        </w:rPr>
        <w:t>univariate</w:t>
      </w:r>
      <w:proofErr w:type="spellEnd"/>
      <w:r w:rsidRPr="00123D69">
        <w:rPr>
          <w:rFonts w:asciiTheme="minorHAnsi" w:hAnsiTheme="minorHAnsi" w:cstheme="minorHAnsi"/>
          <w:sz w:val="22"/>
        </w:rPr>
        <w:t xml:space="preserve"> and multivariate </w:t>
      </w:r>
      <w:r w:rsidRPr="00123D69">
        <w:rPr>
          <w:rFonts w:asciiTheme="minorHAnsi" w:hAnsiTheme="minorHAnsi" w:cstheme="minorHAnsi"/>
          <w:i/>
          <w:sz w:val="22"/>
        </w:rPr>
        <w:t>proxies</w:t>
      </w:r>
      <w:r w:rsidRPr="00123D69">
        <w:rPr>
          <w:rFonts w:asciiTheme="minorHAnsi" w:hAnsiTheme="minorHAnsi" w:cstheme="minorHAnsi"/>
          <w:sz w:val="22"/>
        </w:rPr>
        <w:t xml:space="preserve"> (indices), </w:t>
      </w:r>
      <w:r w:rsidR="00B748E6">
        <w:rPr>
          <w:rFonts w:asciiTheme="minorHAnsi" w:hAnsiTheme="minorHAnsi" w:cstheme="minorHAnsi"/>
          <w:sz w:val="22"/>
        </w:rPr>
        <w:t xml:space="preserve">and a range of synthetic estimates, including </w:t>
      </w:r>
      <w:proofErr w:type="spellStart"/>
      <w:r w:rsidRPr="00123D69">
        <w:rPr>
          <w:rFonts w:asciiTheme="minorHAnsi" w:hAnsiTheme="minorHAnsi" w:cstheme="minorHAnsi"/>
          <w:i/>
          <w:sz w:val="22"/>
        </w:rPr>
        <w:t>geodemographic</w:t>
      </w:r>
      <w:proofErr w:type="spellEnd"/>
      <w:r w:rsidRPr="00123D69">
        <w:rPr>
          <w:rFonts w:asciiTheme="minorHAnsi" w:hAnsiTheme="minorHAnsi" w:cstheme="minorHAnsi"/>
          <w:sz w:val="22"/>
        </w:rPr>
        <w:t xml:space="preserve"> classification (mean income given area type), </w:t>
      </w:r>
      <w:r w:rsidRPr="00123D69">
        <w:rPr>
          <w:rFonts w:asciiTheme="minorHAnsi" w:hAnsiTheme="minorHAnsi" w:cstheme="minorHAnsi"/>
          <w:i/>
          <w:sz w:val="22"/>
        </w:rPr>
        <w:t>imputation</w:t>
      </w:r>
      <w:r w:rsidRPr="00123D69">
        <w:rPr>
          <w:rFonts w:asciiTheme="minorHAnsi" w:hAnsiTheme="minorHAnsi" w:cstheme="minorHAnsi"/>
          <w:sz w:val="22"/>
        </w:rPr>
        <w:t xml:space="preserve"> (</w:t>
      </w:r>
      <w:r w:rsidR="00772CAE">
        <w:rPr>
          <w:rFonts w:asciiTheme="minorHAnsi" w:hAnsiTheme="minorHAnsi" w:cstheme="minorHAnsi"/>
          <w:sz w:val="22"/>
        </w:rPr>
        <w:t>unit</w:t>
      </w:r>
      <w:r w:rsidR="00A51C63">
        <w:rPr>
          <w:rFonts w:asciiTheme="minorHAnsi" w:hAnsiTheme="minorHAnsi" w:cstheme="minorHAnsi"/>
          <w:sz w:val="22"/>
        </w:rPr>
        <w:t xml:space="preserve">-level </w:t>
      </w:r>
      <w:r w:rsidR="00B748E6">
        <w:rPr>
          <w:rFonts w:asciiTheme="minorHAnsi" w:hAnsiTheme="minorHAnsi" w:cstheme="minorHAnsi"/>
          <w:sz w:val="22"/>
        </w:rPr>
        <w:t>models</w:t>
      </w:r>
      <w:r w:rsidRPr="00123D69">
        <w:rPr>
          <w:rFonts w:asciiTheme="minorHAnsi" w:hAnsiTheme="minorHAnsi" w:cstheme="minorHAnsi"/>
          <w:sz w:val="22"/>
        </w:rPr>
        <w:t xml:space="preserve">) and </w:t>
      </w:r>
      <w:r w:rsidR="00A51C63">
        <w:rPr>
          <w:rFonts w:asciiTheme="minorHAnsi" w:hAnsiTheme="minorHAnsi" w:cstheme="minorHAnsi"/>
          <w:i/>
          <w:sz w:val="22"/>
        </w:rPr>
        <w:t xml:space="preserve">ecological regression </w:t>
      </w:r>
      <w:r w:rsidRPr="00123D69">
        <w:rPr>
          <w:rFonts w:asciiTheme="minorHAnsi" w:hAnsiTheme="minorHAnsi" w:cstheme="minorHAnsi"/>
          <w:sz w:val="22"/>
        </w:rPr>
        <w:t>(</w:t>
      </w:r>
      <w:r w:rsidR="00B748E6">
        <w:rPr>
          <w:rFonts w:asciiTheme="minorHAnsi" w:hAnsiTheme="minorHAnsi" w:cstheme="minorHAnsi"/>
          <w:sz w:val="22"/>
        </w:rPr>
        <w:t>area-based</w:t>
      </w:r>
      <w:r w:rsidRPr="00123D69">
        <w:rPr>
          <w:rFonts w:asciiTheme="minorHAnsi" w:hAnsiTheme="minorHAnsi" w:cstheme="minorHAnsi"/>
          <w:sz w:val="22"/>
        </w:rPr>
        <w:t xml:space="preserve"> </w:t>
      </w:r>
      <w:r w:rsidR="00B748E6">
        <w:rPr>
          <w:rFonts w:asciiTheme="minorHAnsi" w:hAnsiTheme="minorHAnsi" w:cstheme="minorHAnsi"/>
          <w:sz w:val="22"/>
        </w:rPr>
        <w:t>models</w:t>
      </w:r>
      <w:r w:rsidRPr="00123D69">
        <w:rPr>
          <w:rFonts w:asciiTheme="minorHAnsi" w:hAnsiTheme="minorHAnsi" w:cstheme="minorHAnsi"/>
          <w:sz w:val="22"/>
        </w:rPr>
        <w:t xml:space="preserve">). </w:t>
      </w:r>
      <w:r w:rsidR="008B05CD" w:rsidRPr="00123D69">
        <w:rPr>
          <w:rFonts w:asciiTheme="minorHAnsi" w:hAnsiTheme="minorHAnsi" w:cstheme="minorHAnsi"/>
          <w:sz w:val="22"/>
        </w:rPr>
        <w:t xml:space="preserve">This </w:t>
      </w:r>
      <w:r w:rsidR="000F3E76" w:rsidRPr="00123D69">
        <w:rPr>
          <w:rFonts w:asciiTheme="minorHAnsi" w:hAnsiTheme="minorHAnsi" w:cstheme="minorHAnsi"/>
          <w:sz w:val="22"/>
        </w:rPr>
        <w:t xml:space="preserve">coverage </w:t>
      </w:r>
      <w:r w:rsidR="008B05CD" w:rsidRPr="00123D69">
        <w:rPr>
          <w:rFonts w:asciiTheme="minorHAnsi" w:hAnsiTheme="minorHAnsi" w:cstheme="minorHAnsi"/>
          <w:sz w:val="22"/>
        </w:rPr>
        <w:t xml:space="preserve">contrasts </w:t>
      </w:r>
      <w:r w:rsidR="000F3E76" w:rsidRPr="00123D69">
        <w:rPr>
          <w:rFonts w:asciiTheme="minorHAnsi" w:hAnsiTheme="minorHAnsi" w:cstheme="minorHAnsi"/>
          <w:sz w:val="22"/>
        </w:rPr>
        <w:t>with</w:t>
      </w:r>
      <w:r w:rsidR="008B05CD" w:rsidRPr="00123D69">
        <w:rPr>
          <w:rFonts w:asciiTheme="minorHAnsi" w:hAnsiTheme="minorHAnsi" w:cstheme="minorHAnsi"/>
          <w:sz w:val="22"/>
        </w:rPr>
        <w:t xml:space="preserve"> previous studies addressing the issue of estimate</w:t>
      </w:r>
      <w:r w:rsidR="008B05CD" w:rsidRPr="00520B73">
        <w:rPr>
          <w:rFonts w:asciiTheme="minorHAnsi" w:hAnsiTheme="minorHAnsi" w:cstheme="minorHAnsi"/>
          <w:sz w:val="22"/>
        </w:rPr>
        <w:t xml:space="preserve"> validation, all of which have been restricted to </w:t>
      </w:r>
      <w:r w:rsidR="00B85E7C">
        <w:rPr>
          <w:rFonts w:asciiTheme="minorHAnsi" w:hAnsiTheme="minorHAnsi" w:cstheme="minorHAnsi"/>
          <w:sz w:val="22"/>
        </w:rPr>
        <w:t xml:space="preserve">considering </w:t>
      </w:r>
      <w:r w:rsidR="008B05CD" w:rsidRPr="00520B73">
        <w:rPr>
          <w:rFonts w:asciiTheme="minorHAnsi" w:hAnsiTheme="minorHAnsi" w:cstheme="minorHAnsi"/>
          <w:sz w:val="22"/>
        </w:rPr>
        <w:t>only one of the above four approaches</w:t>
      </w:r>
      <w:r w:rsidR="00B456A0">
        <w:rPr>
          <w:rFonts w:asciiTheme="minorHAnsi" w:hAnsiTheme="minorHAnsi" w:cstheme="minorHAnsi"/>
          <w:sz w:val="22"/>
        </w:rPr>
        <w:t xml:space="preserve">. Further, data limitations have caused </w:t>
      </w:r>
      <w:r w:rsidR="000F3E76" w:rsidRPr="00520B73">
        <w:rPr>
          <w:rFonts w:asciiTheme="minorHAnsi" w:hAnsiTheme="minorHAnsi" w:cstheme="minorHAnsi"/>
          <w:sz w:val="22"/>
        </w:rPr>
        <w:t xml:space="preserve">many </w:t>
      </w:r>
      <w:r w:rsidR="00B456A0">
        <w:rPr>
          <w:rFonts w:asciiTheme="minorHAnsi" w:hAnsiTheme="minorHAnsi" w:cstheme="minorHAnsi"/>
          <w:sz w:val="22"/>
        </w:rPr>
        <w:t xml:space="preserve">previous evaluations to compare estimates only against </w:t>
      </w:r>
      <w:r w:rsidR="008B05CD" w:rsidRPr="00520B73">
        <w:rPr>
          <w:rFonts w:asciiTheme="minorHAnsi" w:hAnsiTheme="minorHAnsi" w:cstheme="minorHAnsi"/>
          <w:sz w:val="22"/>
        </w:rPr>
        <w:t>other</w:t>
      </w:r>
      <w:r w:rsidR="00B456A0">
        <w:rPr>
          <w:rFonts w:asciiTheme="minorHAnsi" w:hAnsiTheme="minorHAnsi" w:cstheme="minorHAnsi"/>
          <w:sz w:val="22"/>
        </w:rPr>
        <w:t xml:space="preserve"> measures that are not quite equivalent </w:t>
      </w:r>
      <w:r w:rsidR="008B05CD" w:rsidRPr="00520B73">
        <w:rPr>
          <w:rFonts w:asciiTheme="minorHAnsi" w:hAnsiTheme="minorHAnsi" w:cstheme="minorHAnsi"/>
          <w:sz w:val="22"/>
        </w:rPr>
        <w:t xml:space="preserve">– </w:t>
      </w:r>
      <w:r w:rsidR="00B85E7C" w:rsidRPr="00520B73">
        <w:rPr>
          <w:rFonts w:asciiTheme="minorHAnsi" w:hAnsiTheme="minorHAnsi" w:cstheme="minorHAnsi"/>
          <w:sz w:val="22"/>
        </w:rPr>
        <w:t>such the socio-economic composition of the local population</w:t>
      </w:r>
      <w:r w:rsidR="00B85E7C">
        <w:rPr>
          <w:rFonts w:asciiTheme="minorHAnsi" w:hAnsiTheme="minorHAnsi" w:cstheme="minorHAnsi"/>
          <w:sz w:val="22"/>
        </w:rPr>
        <w:t xml:space="preserve">, or </w:t>
      </w:r>
      <w:r w:rsidR="008B05CD" w:rsidRPr="00520B73">
        <w:rPr>
          <w:rFonts w:asciiTheme="minorHAnsi" w:hAnsiTheme="minorHAnsi" w:cstheme="minorHAnsi"/>
          <w:sz w:val="22"/>
        </w:rPr>
        <w:t xml:space="preserve">the </w:t>
      </w:r>
      <w:r w:rsidR="00B85E7C">
        <w:rPr>
          <w:rFonts w:asciiTheme="minorHAnsi" w:hAnsiTheme="minorHAnsi" w:cstheme="minorHAnsi"/>
          <w:sz w:val="22"/>
        </w:rPr>
        <w:t>incomes of those known not to be fully representative</w:t>
      </w:r>
      <w:r w:rsidR="00B85E7C" w:rsidRPr="00520B73">
        <w:rPr>
          <w:rFonts w:asciiTheme="minorHAnsi" w:hAnsiTheme="minorHAnsi" w:cstheme="minorHAnsi"/>
          <w:sz w:val="22"/>
        </w:rPr>
        <w:t xml:space="preserve"> </w:t>
      </w:r>
      <w:r w:rsidR="00B85E7C">
        <w:rPr>
          <w:rFonts w:asciiTheme="minorHAnsi" w:hAnsiTheme="minorHAnsi" w:cstheme="minorHAnsi"/>
          <w:sz w:val="22"/>
        </w:rPr>
        <w:t>of the whole population</w:t>
      </w:r>
      <w:r w:rsidR="00B456A0">
        <w:rPr>
          <w:rFonts w:asciiTheme="minorHAnsi" w:hAnsiTheme="minorHAnsi" w:cstheme="minorHAnsi"/>
          <w:sz w:val="22"/>
        </w:rPr>
        <w:t xml:space="preserve"> (e.g. </w:t>
      </w:r>
      <w:r w:rsidR="008B05CD" w:rsidRPr="00520B73">
        <w:rPr>
          <w:rFonts w:asciiTheme="minorHAnsi" w:hAnsiTheme="minorHAnsi" w:cstheme="minorHAnsi"/>
          <w:sz w:val="22"/>
        </w:rPr>
        <w:t xml:space="preserve">bank account holders </w:t>
      </w:r>
      <w:r w:rsidR="00B85E7C">
        <w:rPr>
          <w:rFonts w:asciiTheme="minorHAnsi" w:hAnsiTheme="minorHAnsi" w:cstheme="minorHAnsi"/>
          <w:sz w:val="22"/>
        </w:rPr>
        <w:t>and</w:t>
      </w:r>
      <w:r w:rsidR="008B05CD" w:rsidRPr="00520B73">
        <w:rPr>
          <w:rFonts w:asciiTheme="minorHAnsi" w:hAnsiTheme="minorHAnsi" w:cstheme="minorHAnsi"/>
          <w:sz w:val="22"/>
        </w:rPr>
        <w:t xml:space="preserve"> tax-payers</w:t>
      </w:r>
      <w:r w:rsidR="00B456A0">
        <w:rPr>
          <w:rFonts w:asciiTheme="minorHAnsi" w:hAnsiTheme="minorHAnsi" w:cstheme="minorHAnsi"/>
          <w:sz w:val="22"/>
        </w:rPr>
        <w:t xml:space="preserve">). Nor has any previous evaluation </w:t>
      </w:r>
      <w:r w:rsidR="000F3E76" w:rsidRPr="00520B73">
        <w:rPr>
          <w:rFonts w:asciiTheme="minorHAnsi" w:hAnsiTheme="minorHAnsi" w:cstheme="minorHAnsi"/>
          <w:sz w:val="22"/>
        </w:rPr>
        <w:t xml:space="preserve">considered the </w:t>
      </w:r>
      <w:r w:rsidR="008B05CD" w:rsidRPr="00520B73">
        <w:rPr>
          <w:rFonts w:asciiTheme="minorHAnsi" w:hAnsiTheme="minorHAnsi" w:cstheme="minorHAnsi"/>
          <w:sz w:val="22"/>
        </w:rPr>
        <w:t xml:space="preserve">performance of </w:t>
      </w:r>
      <w:r w:rsidR="00B456A0">
        <w:rPr>
          <w:rFonts w:asciiTheme="minorHAnsi" w:hAnsiTheme="minorHAnsi" w:cstheme="minorHAnsi"/>
          <w:sz w:val="22"/>
        </w:rPr>
        <w:t>income</w:t>
      </w:r>
      <w:r w:rsidR="008B05CD" w:rsidRPr="00520B73">
        <w:rPr>
          <w:rFonts w:asciiTheme="minorHAnsi" w:hAnsiTheme="minorHAnsi" w:cstheme="minorHAnsi"/>
          <w:sz w:val="22"/>
        </w:rPr>
        <w:t xml:space="preserve"> estimates in</w:t>
      </w:r>
      <w:r w:rsidR="00B456A0">
        <w:rPr>
          <w:rFonts w:asciiTheme="minorHAnsi" w:hAnsiTheme="minorHAnsi" w:cstheme="minorHAnsi"/>
          <w:sz w:val="22"/>
        </w:rPr>
        <w:t xml:space="preserve"> relation to </w:t>
      </w:r>
      <w:r w:rsidR="00994D9C">
        <w:rPr>
          <w:rFonts w:asciiTheme="minorHAnsi" w:hAnsiTheme="minorHAnsi" w:cstheme="minorHAnsi"/>
          <w:sz w:val="22"/>
        </w:rPr>
        <w:t>arguably the</w:t>
      </w:r>
      <w:r w:rsidR="00B456A0">
        <w:rPr>
          <w:rFonts w:asciiTheme="minorHAnsi" w:hAnsiTheme="minorHAnsi" w:cstheme="minorHAnsi"/>
          <w:sz w:val="22"/>
        </w:rPr>
        <w:t xml:space="preserve"> most common policy-relevant goal – </w:t>
      </w:r>
      <w:proofErr w:type="gramStart"/>
      <w:r w:rsidR="00B456A0">
        <w:rPr>
          <w:rFonts w:asciiTheme="minorHAnsi" w:hAnsiTheme="minorHAnsi" w:cstheme="minorHAnsi"/>
          <w:sz w:val="22"/>
        </w:rPr>
        <w:t>the  correct</w:t>
      </w:r>
      <w:proofErr w:type="gramEnd"/>
      <w:r w:rsidR="008B05CD" w:rsidRPr="00520B73">
        <w:rPr>
          <w:rFonts w:asciiTheme="minorHAnsi" w:hAnsiTheme="minorHAnsi" w:cstheme="minorHAnsi"/>
          <w:sz w:val="22"/>
        </w:rPr>
        <w:t xml:space="preserve"> ranking </w:t>
      </w:r>
      <w:r w:rsidR="00B456A0">
        <w:rPr>
          <w:rFonts w:asciiTheme="minorHAnsi" w:hAnsiTheme="minorHAnsi" w:cstheme="minorHAnsi"/>
          <w:sz w:val="22"/>
        </w:rPr>
        <w:t xml:space="preserve">of </w:t>
      </w:r>
      <w:r w:rsidR="008B05CD" w:rsidRPr="00520B73">
        <w:rPr>
          <w:rFonts w:asciiTheme="minorHAnsi" w:hAnsiTheme="minorHAnsi" w:cstheme="minorHAnsi"/>
          <w:sz w:val="22"/>
        </w:rPr>
        <w:t>areas</w:t>
      </w:r>
      <w:r w:rsidR="00B456A0">
        <w:rPr>
          <w:rFonts w:asciiTheme="minorHAnsi" w:hAnsiTheme="minorHAnsi" w:cstheme="minorHAnsi"/>
          <w:sz w:val="22"/>
        </w:rPr>
        <w:t xml:space="preserve"> by income</w:t>
      </w:r>
      <w:r w:rsidR="000F3E76" w:rsidRPr="00520B73">
        <w:rPr>
          <w:rFonts w:asciiTheme="minorHAnsi" w:hAnsiTheme="minorHAnsi" w:cstheme="minorHAnsi"/>
          <w:sz w:val="22"/>
        </w:rPr>
        <w:t>.</w:t>
      </w:r>
      <w:r w:rsidR="00C565F9" w:rsidRPr="00520B73">
        <w:rPr>
          <w:rFonts w:asciiTheme="minorHAnsi" w:hAnsiTheme="minorHAnsi" w:cstheme="minorHAnsi"/>
          <w:sz w:val="22"/>
        </w:rPr>
        <w:t xml:space="preserve"> </w:t>
      </w:r>
      <w:r w:rsidR="00994D9C">
        <w:rPr>
          <w:rFonts w:asciiTheme="minorHAnsi" w:hAnsiTheme="minorHAnsi" w:cstheme="minorHAnsi"/>
          <w:sz w:val="22"/>
        </w:rPr>
        <w:t xml:space="preserve">The evaluation reported in this paper addresses </w:t>
      </w:r>
      <w:r w:rsidR="00C25CF4">
        <w:rPr>
          <w:rFonts w:asciiTheme="minorHAnsi" w:hAnsiTheme="minorHAnsi" w:cstheme="minorHAnsi"/>
          <w:sz w:val="22"/>
        </w:rPr>
        <w:t>all</w:t>
      </w:r>
      <w:r w:rsidR="00B456A0">
        <w:rPr>
          <w:rFonts w:asciiTheme="minorHAnsi" w:hAnsiTheme="minorHAnsi" w:cstheme="minorHAnsi"/>
          <w:sz w:val="22"/>
        </w:rPr>
        <w:t xml:space="preserve"> of these shortcomings. </w:t>
      </w:r>
      <w:r w:rsidR="00C565F9" w:rsidRPr="00520B73">
        <w:rPr>
          <w:rFonts w:asciiTheme="minorHAnsi" w:hAnsiTheme="minorHAnsi" w:cstheme="minorHAnsi"/>
          <w:sz w:val="22"/>
        </w:rPr>
        <w:t xml:space="preserve">In a UK context, the findings </w:t>
      </w:r>
      <w:r w:rsidR="00123D69">
        <w:rPr>
          <w:rFonts w:asciiTheme="minorHAnsi" w:hAnsiTheme="minorHAnsi" w:cstheme="minorHAnsi"/>
          <w:sz w:val="22"/>
        </w:rPr>
        <w:t xml:space="preserve">of </w:t>
      </w:r>
      <w:r w:rsidR="00B456A0">
        <w:rPr>
          <w:rFonts w:asciiTheme="minorHAnsi" w:hAnsiTheme="minorHAnsi" w:cstheme="minorHAnsi"/>
          <w:sz w:val="22"/>
        </w:rPr>
        <w:t>the</w:t>
      </w:r>
      <w:r w:rsidR="00123D69">
        <w:rPr>
          <w:rFonts w:asciiTheme="minorHAnsi" w:hAnsiTheme="minorHAnsi" w:cstheme="minorHAnsi"/>
          <w:sz w:val="22"/>
        </w:rPr>
        <w:t xml:space="preserve"> evaluation </w:t>
      </w:r>
      <w:r w:rsidR="00C565F9" w:rsidRPr="00520B73">
        <w:rPr>
          <w:rFonts w:asciiTheme="minorHAnsi" w:hAnsiTheme="minorHAnsi" w:cstheme="minorHAnsi"/>
          <w:sz w:val="22"/>
        </w:rPr>
        <w:t>suggest clear ways forward for producing census-based estimates of small-area incom</w:t>
      </w:r>
      <w:r w:rsidR="00C565F9" w:rsidRPr="00F759A0">
        <w:rPr>
          <w:rFonts w:asciiTheme="minorHAnsi" w:hAnsiTheme="minorHAnsi" w:cstheme="minorHAnsi"/>
          <w:sz w:val="22"/>
        </w:rPr>
        <w:t>es using results from the 2011 Census</w:t>
      </w:r>
      <w:r w:rsidR="00F759A0">
        <w:rPr>
          <w:rFonts w:asciiTheme="minorHAnsi" w:hAnsiTheme="minorHAnsi" w:cstheme="minorHAnsi"/>
          <w:sz w:val="22"/>
        </w:rPr>
        <w:t xml:space="preserve">; and subsequently as these Census data begin to age. </w:t>
      </w:r>
      <w:r w:rsidR="00C565F9" w:rsidRPr="00F759A0">
        <w:rPr>
          <w:rFonts w:asciiTheme="minorHAnsi" w:hAnsiTheme="minorHAnsi" w:cstheme="minorHAnsi"/>
          <w:sz w:val="22"/>
        </w:rPr>
        <w:t xml:space="preserve"> </w:t>
      </w:r>
      <w:r w:rsidR="00F759A0">
        <w:rPr>
          <w:rFonts w:asciiTheme="minorHAnsi" w:hAnsiTheme="minorHAnsi" w:cstheme="minorHAnsi"/>
          <w:sz w:val="22"/>
        </w:rPr>
        <w:t xml:space="preserve">In </w:t>
      </w:r>
      <w:r w:rsidR="0018002F">
        <w:rPr>
          <w:rFonts w:asciiTheme="minorHAnsi" w:hAnsiTheme="minorHAnsi" w:cstheme="minorHAnsi"/>
          <w:sz w:val="22"/>
        </w:rPr>
        <w:t>a</w:t>
      </w:r>
      <w:r w:rsidR="00F759A0">
        <w:rPr>
          <w:rFonts w:asciiTheme="minorHAnsi" w:hAnsiTheme="minorHAnsi" w:cstheme="minorHAnsi"/>
          <w:sz w:val="22"/>
        </w:rPr>
        <w:t xml:space="preserve"> wider international context </w:t>
      </w:r>
      <w:r w:rsidR="00F759A0" w:rsidRPr="00F759A0">
        <w:rPr>
          <w:rFonts w:asciiTheme="minorHAnsi" w:hAnsiTheme="minorHAnsi" w:cstheme="minorHAnsi"/>
          <w:sz w:val="22"/>
        </w:rPr>
        <w:t>the precise way in which incomes segregate spatially will clearly be country-specific</w:t>
      </w:r>
      <w:r w:rsidR="00F759A0">
        <w:rPr>
          <w:rFonts w:asciiTheme="minorHAnsi" w:hAnsiTheme="minorHAnsi" w:cstheme="minorHAnsi"/>
          <w:sz w:val="22"/>
        </w:rPr>
        <w:t xml:space="preserve">. Even so the </w:t>
      </w:r>
      <w:r w:rsidR="00F759A0" w:rsidRPr="00F759A0">
        <w:rPr>
          <w:rFonts w:asciiTheme="minorHAnsi" w:hAnsiTheme="minorHAnsi" w:cstheme="minorHAnsi"/>
          <w:sz w:val="22"/>
        </w:rPr>
        <w:t>relative efficacy of alternative estimation approaches</w:t>
      </w:r>
      <w:r w:rsidR="00F759A0">
        <w:rPr>
          <w:rFonts w:asciiTheme="minorHAnsi" w:hAnsiTheme="minorHAnsi" w:cstheme="minorHAnsi"/>
          <w:sz w:val="22"/>
        </w:rPr>
        <w:t xml:space="preserve"> </w:t>
      </w:r>
      <w:r w:rsidR="00F759A0">
        <w:rPr>
          <w:rFonts w:asciiTheme="minorHAnsi" w:hAnsiTheme="minorHAnsi" w:cstheme="minorHAnsi"/>
          <w:sz w:val="22"/>
        </w:rPr>
        <w:lastRenderedPageBreak/>
        <w:t xml:space="preserve">identified </w:t>
      </w:r>
      <w:r w:rsidR="0018002F">
        <w:rPr>
          <w:rFonts w:asciiTheme="minorHAnsi" w:hAnsiTheme="minorHAnsi" w:cstheme="minorHAnsi"/>
          <w:sz w:val="22"/>
        </w:rPr>
        <w:t>by</w:t>
      </w:r>
      <w:r w:rsidR="00F759A0">
        <w:rPr>
          <w:rFonts w:asciiTheme="minorHAnsi" w:hAnsiTheme="minorHAnsi" w:cstheme="minorHAnsi"/>
          <w:sz w:val="22"/>
        </w:rPr>
        <w:t xml:space="preserve"> this paper </w:t>
      </w:r>
      <w:r w:rsidR="00994D9C">
        <w:rPr>
          <w:rFonts w:asciiTheme="minorHAnsi" w:hAnsiTheme="minorHAnsi" w:cstheme="minorHAnsi"/>
          <w:sz w:val="22"/>
        </w:rPr>
        <w:t>is</w:t>
      </w:r>
      <w:r w:rsidR="00F759A0">
        <w:rPr>
          <w:rFonts w:asciiTheme="minorHAnsi" w:hAnsiTheme="minorHAnsi" w:cstheme="minorHAnsi"/>
          <w:sz w:val="22"/>
        </w:rPr>
        <w:t xml:space="preserve"> likely to be </w:t>
      </w:r>
      <w:proofErr w:type="spellStart"/>
      <w:r w:rsidR="00F759A0">
        <w:rPr>
          <w:rFonts w:asciiTheme="minorHAnsi" w:hAnsiTheme="minorHAnsi" w:cstheme="minorHAnsi"/>
          <w:sz w:val="22"/>
        </w:rPr>
        <w:t>generalisable</w:t>
      </w:r>
      <w:proofErr w:type="spellEnd"/>
      <w:r w:rsidR="00F759A0">
        <w:rPr>
          <w:rFonts w:asciiTheme="minorHAnsi" w:hAnsiTheme="minorHAnsi" w:cstheme="minorHAnsi"/>
          <w:sz w:val="22"/>
        </w:rPr>
        <w:t xml:space="preserve">, in particular with regards to which strategies are most and least sensitive to changes in spatial scale and </w:t>
      </w:r>
      <w:r w:rsidR="00421639">
        <w:rPr>
          <w:rFonts w:asciiTheme="minorHAnsi" w:hAnsiTheme="minorHAnsi" w:cstheme="minorHAnsi"/>
          <w:sz w:val="22"/>
        </w:rPr>
        <w:t xml:space="preserve">type of </w:t>
      </w:r>
      <w:r w:rsidR="00F759A0">
        <w:rPr>
          <w:rFonts w:asciiTheme="minorHAnsi" w:hAnsiTheme="minorHAnsi" w:cstheme="minorHAnsi"/>
          <w:sz w:val="22"/>
        </w:rPr>
        <w:t>income unit (person or household)</w:t>
      </w:r>
      <w:r w:rsidR="0018002F">
        <w:rPr>
          <w:rFonts w:asciiTheme="minorHAnsi" w:hAnsiTheme="minorHAnsi" w:cstheme="minorHAnsi"/>
          <w:sz w:val="22"/>
        </w:rPr>
        <w:t>.</w:t>
      </w:r>
    </w:p>
    <w:p w14:paraId="076FAF30" w14:textId="77777777" w:rsidR="00A67B61" w:rsidRPr="00520B73" w:rsidRDefault="00A67B61" w:rsidP="00015CD9">
      <w:pPr>
        <w:spacing w:line="276" w:lineRule="auto"/>
        <w:jc w:val="both"/>
        <w:rPr>
          <w:rFonts w:asciiTheme="minorHAnsi" w:hAnsiTheme="minorHAnsi" w:cstheme="minorHAnsi"/>
          <w:sz w:val="22"/>
        </w:rPr>
      </w:pPr>
    </w:p>
    <w:p w14:paraId="62A08732" w14:textId="77777777" w:rsidR="004770DD" w:rsidRDefault="00615876"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The structure of this paper is as follows. Section </w:t>
      </w:r>
      <w:r w:rsidR="00C565F9" w:rsidRPr="00520B73">
        <w:rPr>
          <w:rFonts w:asciiTheme="minorHAnsi" w:hAnsiTheme="minorHAnsi" w:cstheme="minorHAnsi"/>
          <w:sz w:val="22"/>
        </w:rPr>
        <w:t>2</w:t>
      </w:r>
      <w:r w:rsidRPr="00520B73">
        <w:rPr>
          <w:rFonts w:asciiTheme="minorHAnsi" w:hAnsiTheme="minorHAnsi" w:cstheme="minorHAnsi"/>
          <w:sz w:val="22"/>
        </w:rPr>
        <w:t xml:space="preserve"> </w:t>
      </w:r>
      <w:r w:rsidR="00D32854">
        <w:rPr>
          <w:rFonts w:asciiTheme="minorHAnsi" w:hAnsiTheme="minorHAnsi" w:cstheme="minorHAnsi"/>
          <w:sz w:val="22"/>
        </w:rPr>
        <w:t>introduces the Census Rehearsal dataset and some of the methodological issues associated with its analysis. Section 3 uses the Rehearsal data to explore the ways in which incomes vary spatially. Section 4 reviews the nature and limitation of the f</w:t>
      </w:r>
      <w:r w:rsidR="00D32854" w:rsidRPr="00520B73">
        <w:rPr>
          <w:rFonts w:asciiTheme="minorHAnsi" w:hAnsiTheme="minorHAnsi" w:cstheme="minorHAnsi"/>
          <w:sz w:val="22"/>
        </w:rPr>
        <w:t xml:space="preserve">our main approaches to small-area income estimation: proxy indicators; </w:t>
      </w:r>
      <w:proofErr w:type="spellStart"/>
      <w:r w:rsidR="00D32854" w:rsidRPr="00520B73">
        <w:rPr>
          <w:rFonts w:asciiTheme="minorHAnsi" w:hAnsiTheme="minorHAnsi" w:cstheme="minorHAnsi"/>
          <w:sz w:val="22"/>
        </w:rPr>
        <w:t>geodemographic</w:t>
      </w:r>
      <w:proofErr w:type="spellEnd"/>
      <w:r w:rsidR="00D32854" w:rsidRPr="00520B73">
        <w:rPr>
          <w:rFonts w:asciiTheme="minorHAnsi" w:hAnsiTheme="minorHAnsi" w:cstheme="minorHAnsi"/>
          <w:sz w:val="22"/>
        </w:rPr>
        <w:t xml:space="preserve"> classification; imput</w:t>
      </w:r>
      <w:r w:rsidR="00D32854">
        <w:rPr>
          <w:rFonts w:asciiTheme="minorHAnsi" w:hAnsiTheme="minorHAnsi" w:cstheme="minorHAnsi"/>
          <w:sz w:val="22"/>
        </w:rPr>
        <w:t>ation and model-based estimates.</w:t>
      </w:r>
      <w:r w:rsidR="00D32854" w:rsidRPr="00520B73">
        <w:rPr>
          <w:rFonts w:asciiTheme="minorHAnsi" w:hAnsiTheme="minorHAnsi" w:cstheme="minorHAnsi"/>
          <w:sz w:val="22"/>
        </w:rPr>
        <w:t xml:space="preserve"> </w:t>
      </w:r>
      <w:r w:rsidR="004770DD">
        <w:rPr>
          <w:rFonts w:asciiTheme="minorHAnsi" w:hAnsiTheme="minorHAnsi" w:cstheme="minorHAnsi"/>
          <w:sz w:val="22"/>
        </w:rPr>
        <w:t xml:space="preserve">This section also </w:t>
      </w:r>
      <w:r w:rsidR="00D32854">
        <w:rPr>
          <w:rFonts w:asciiTheme="minorHAnsi" w:hAnsiTheme="minorHAnsi" w:cstheme="minorHAnsi"/>
          <w:sz w:val="22"/>
        </w:rPr>
        <w:t xml:space="preserve">details </w:t>
      </w:r>
      <w:r w:rsidR="004770DD">
        <w:rPr>
          <w:rFonts w:asciiTheme="minorHAnsi" w:hAnsiTheme="minorHAnsi" w:cstheme="minorHAnsi"/>
          <w:sz w:val="22"/>
        </w:rPr>
        <w:t xml:space="preserve">how </w:t>
      </w:r>
      <w:r w:rsidR="00421639">
        <w:rPr>
          <w:rFonts w:asciiTheme="minorHAnsi" w:hAnsiTheme="minorHAnsi" w:cstheme="minorHAnsi"/>
          <w:sz w:val="22"/>
        </w:rPr>
        <w:t>each</w:t>
      </w:r>
      <w:r w:rsidR="004770DD">
        <w:rPr>
          <w:rFonts w:asciiTheme="minorHAnsi" w:hAnsiTheme="minorHAnsi" w:cstheme="minorHAnsi"/>
          <w:sz w:val="22"/>
        </w:rPr>
        <w:t xml:space="preserve"> </w:t>
      </w:r>
      <w:r w:rsidR="00421639">
        <w:rPr>
          <w:rFonts w:asciiTheme="minorHAnsi" w:hAnsiTheme="minorHAnsi" w:cstheme="minorHAnsi"/>
          <w:sz w:val="22"/>
        </w:rPr>
        <w:t>strategy</w:t>
      </w:r>
      <w:r w:rsidR="00D32854">
        <w:rPr>
          <w:rFonts w:asciiTheme="minorHAnsi" w:hAnsiTheme="minorHAnsi" w:cstheme="minorHAnsi"/>
          <w:sz w:val="22"/>
        </w:rPr>
        <w:t xml:space="preserve"> </w:t>
      </w:r>
      <w:r w:rsidR="00421639">
        <w:rPr>
          <w:rFonts w:asciiTheme="minorHAnsi" w:hAnsiTheme="minorHAnsi" w:cstheme="minorHAnsi"/>
          <w:sz w:val="22"/>
        </w:rPr>
        <w:t>was</w:t>
      </w:r>
      <w:r w:rsidR="004770DD">
        <w:rPr>
          <w:rFonts w:asciiTheme="minorHAnsi" w:hAnsiTheme="minorHAnsi" w:cstheme="minorHAnsi"/>
          <w:sz w:val="22"/>
        </w:rPr>
        <w:t xml:space="preserve"> implemented </w:t>
      </w:r>
      <w:r w:rsidR="00D32854">
        <w:rPr>
          <w:rFonts w:asciiTheme="minorHAnsi" w:hAnsiTheme="minorHAnsi" w:cstheme="minorHAnsi"/>
          <w:sz w:val="22"/>
        </w:rPr>
        <w:t xml:space="preserve">to provide </w:t>
      </w:r>
      <w:r w:rsidR="00D32854" w:rsidRPr="00520B73">
        <w:rPr>
          <w:rFonts w:asciiTheme="minorHAnsi" w:hAnsiTheme="minorHAnsi" w:cstheme="minorHAnsi"/>
          <w:sz w:val="22"/>
        </w:rPr>
        <w:t>a series of rival small-area estimates</w:t>
      </w:r>
      <w:r w:rsidR="00D32854">
        <w:rPr>
          <w:rFonts w:asciiTheme="minorHAnsi" w:hAnsiTheme="minorHAnsi" w:cstheme="minorHAnsi"/>
          <w:sz w:val="22"/>
        </w:rPr>
        <w:t>.</w:t>
      </w:r>
      <w:r w:rsidR="004770DD">
        <w:rPr>
          <w:rFonts w:asciiTheme="minorHAnsi" w:hAnsiTheme="minorHAnsi" w:cstheme="minorHAnsi"/>
          <w:sz w:val="22"/>
        </w:rPr>
        <w:t xml:space="preserve"> </w:t>
      </w:r>
      <w:r w:rsidR="00856E5A" w:rsidRPr="00520B73">
        <w:rPr>
          <w:rFonts w:asciiTheme="minorHAnsi" w:hAnsiTheme="minorHAnsi" w:cstheme="minorHAnsi"/>
          <w:sz w:val="22"/>
        </w:rPr>
        <w:t xml:space="preserve">Section </w:t>
      </w:r>
      <w:r w:rsidR="004770DD">
        <w:rPr>
          <w:rFonts w:asciiTheme="minorHAnsi" w:hAnsiTheme="minorHAnsi" w:cstheme="minorHAnsi"/>
          <w:sz w:val="22"/>
        </w:rPr>
        <w:t>5</w:t>
      </w:r>
      <w:r w:rsidR="00856E5A" w:rsidRPr="00520B73">
        <w:rPr>
          <w:rFonts w:asciiTheme="minorHAnsi" w:hAnsiTheme="minorHAnsi" w:cstheme="minorHAnsi"/>
          <w:sz w:val="22"/>
        </w:rPr>
        <w:t xml:space="preserve"> </w:t>
      </w:r>
      <w:r w:rsidR="004770DD">
        <w:rPr>
          <w:rFonts w:asciiTheme="minorHAnsi" w:hAnsiTheme="minorHAnsi" w:cstheme="minorHAnsi"/>
          <w:sz w:val="22"/>
        </w:rPr>
        <w:t>evaluates the relative efficacy of these competing estimates, and considers the extent to which they are ‘fit-for-purpose’ by examining their relative accuracy at ranking areas. Section 6 concludes by summarising the main findings of the paper and reviewing their relevance to current UK and wider international debates.</w:t>
      </w:r>
    </w:p>
    <w:p w14:paraId="436F834C" w14:textId="77777777" w:rsidR="006A21CD" w:rsidRPr="004770DD" w:rsidRDefault="006A21CD" w:rsidP="00015CD9">
      <w:pPr>
        <w:spacing w:line="276" w:lineRule="auto"/>
        <w:jc w:val="both"/>
        <w:rPr>
          <w:rFonts w:asciiTheme="minorHAnsi" w:hAnsiTheme="minorHAnsi" w:cstheme="minorHAnsi"/>
          <w:sz w:val="22"/>
        </w:rPr>
      </w:pPr>
    </w:p>
    <w:p w14:paraId="280CD74C" w14:textId="77777777" w:rsidR="00C555CE" w:rsidRPr="007E6F4D" w:rsidRDefault="007B648A" w:rsidP="00015CD9">
      <w:pPr>
        <w:spacing w:line="276" w:lineRule="auto"/>
        <w:jc w:val="both"/>
        <w:rPr>
          <w:rFonts w:asciiTheme="minorHAnsi" w:hAnsiTheme="minorHAnsi" w:cstheme="minorHAnsi"/>
          <w:b/>
          <w:sz w:val="26"/>
        </w:rPr>
      </w:pPr>
      <w:r w:rsidRPr="007E6F4D">
        <w:rPr>
          <w:rFonts w:asciiTheme="minorHAnsi" w:hAnsiTheme="minorHAnsi" w:cstheme="minorHAnsi"/>
          <w:b/>
          <w:sz w:val="26"/>
        </w:rPr>
        <w:t>2</w:t>
      </w:r>
      <w:r w:rsidR="00C555CE" w:rsidRPr="007E6F4D">
        <w:rPr>
          <w:rFonts w:asciiTheme="minorHAnsi" w:hAnsiTheme="minorHAnsi" w:cstheme="minorHAnsi"/>
          <w:b/>
          <w:sz w:val="26"/>
        </w:rPr>
        <w:t xml:space="preserve">. </w:t>
      </w:r>
      <w:r w:rsidR="00623FDD" w:rsidRPr="007E6F4D">
        <w:rPr>
          <w:rFonts w:asciiTheme="minorHAnsi" w:hAnsiTheme="minorHAnsi" w:cstheme="minorHAnsi"/>
          <w:b/>
          <w:sz w:val="26"/>
        </w:rPr>
        <w:t xml:space="preserve">The </w:t>
      </w:r>
      <w:r w:rsidR="00182A60" w:rsidRPr="007E6F4D">
        <w:rPr>
          <w:rFonts w:asciiTheme="minorHAnsi" w:hAnsiTheme="minorHAnsi" w:cstheme="minorHAnsi"/>
          <w:b/>
          <w:sz w:val="26"/>
        </w:rPr>
        <w:t xml:space="preserve">Census Rehearsal </w:t>
      </w:r>
      <w:r w:rsidR="00623FDD" w:rsidRPr="007E6F4D">
        <w:rPr>
          <w:rFonts w:asciiTheme="minorHAnsi" w:hAnsiTheme="minorHAnsi" w:cstheme="minorHAnsi"/>
          <w:b/>
          <w:sz w:val="26"/>
        </w:rPr>
        <w:t>data</w:t>
      </w:r>
      <w:r w:rsidR="0033398E" w:rsidRPr="007E6F4D">
        <w:rPr>
          <w:rFonts w:asciiTheme="minorHAnsi" w:hAnsiTheme="minorHAnsi" w:cstheme="minorHAnsi"/>
          <w:b/>
          <w:sz w:val="26"/>
        </w:rPr>
        <w:t>set and associated methodological issues</w:t>
      </w:r>
    </w:p>
    <w:p w14:paraId="0FAC4C8A" w14:textId="77777777" w:rsidR="00CB0ECC" w:rsidRPr="00520B73" w:rsidRDefault="00CB0ECC" w:rsidP="00015CD9">
      <w:pPr>
        <w:spacing w:line="276" w:lineRule="auto"/>
        <w:jc w:val="both"/>
        <w:rPr>
          <w:rFonts w:asciiTheme="minorHAnsi" w:hAnsiTheme="minorHAnsi" w:cstheme="minorHAnsi"/>
          <w:sz w:val="22"/>
        </w:rPr>
      </w:pPr>
    </w:p>
    <w:p w14:paraId="6000FA03" w14:textId="77777777" w:rsidR="006D6FED" w:rsidRDefault="00B748E6"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To undertake this research a unique data resource was exploited: the </w:t>
      </w:r>
      <w:r>
        <w:rPr>
          <w:rFonts w:asciiTheme="minorHAnsi" w:hAnsiTheme="minorHAnsi" w:cstheme="minorHAnsi"/>
          <w:sz w:val="22"/>
        </w:rPr>
        <w:t>1999</w:t>
      </w:r>
      <w:r w:rsidRPr="00520B73">
        <w:rPr>
          <w:rFonts w:asciiTheme="minorHAnsi" w:hAnsiTheme="minorHAnsi" w:cstheme="minorHAnsi"/>
          <w:sz w:val="22"/>
        </w:rPr>
        <w:t xml:space="preserve"> UK Census Rehearsal</w:t>
      </w:r>
      <w:r>
        <w:rPr>
          <w:rFonts w:asciiTheme="minorHAnsi" w:hAnsiTheme="minorHAnsi" w:cstheme="minorHAnsi"/>
          <w:sz w:val="22"/>
        </w:rPr>
        <w:t xml:space="preserve"> – a survey</w:t>
      </w:r>
      <w:r w:rsidRPr="00520B73">
        <w:rPr>
          <w:rFonts w:asciiTheme="minorHAnsi" w:hAnsiTheme="minorHAnsi" w:cstheme="minorHAnsi"/>
          <w:sz w:val="22"/>
        </w:rPr>
        <w:t xml:space="preserve"> of </w:t>
      </w:r>
      <w:r>
        <w:rPr>
          <w:rFonts w:asciiTheme="minorHAnsi" w:hAnsiTheme="minorHAnsi" w:cstheme="minorHAnsi"/>
          <w:sz w:val="22"/>
        </w:rPr>
        <w:t>nearly 150,000</w:t>
      </w:r>
      <w:r w:rsidRPr="00520B73">
        <w:rPr>
          <w:rFonts w:asciiTheme="minorHAnsi" w:hAnsiTheme="minorHAnsi" w:cstheme="minorHAnsi"/>
          <w:sz w:val="22"/>
        </w:rPr>
        <w:t xml:space="preserve"> households </w:t>
      </w:r>
      <w:r w:rsidR="00DE4A04">
        <w:rPr>
          <w:rFonts w:asciiTheme="minorHAnsi" w:hAnsiTheme="minorHAnsi" w:cstheme="minorHAnsi"/>
          <w:sz w:val="22"/>
        </w:rPr>
        <w:t xml:space="preserve">sampled from parts of Angus, Bournemouth, Ceredigion, Dundee City, Gwynedd, and Leeds. The rehearsal </w:t>
      </w:r>
      <w:r w:rsidRPr="00520B73">
        <w:rPr>
          <w:rFonts w:asciiTheme="minorHAnsi" w:hAnsiTheme="minorHAnsi" w:cstheme="minorHAnsi"/>
          <w:sz w:val="22"/>
        </w:rPr>
        <w:t xml:space="preserve">supplemented the standard set of census questions with a </w:t>
      </w:r>
      <w:r w:rsidR="00D472CC">
        <w:rPr>
          <w:rFonts w:asciiTheme="minorHAnsi" w:hAnsiTheme="minorHAnsi" w:cstheme="minorHAnsi"/>
          <w:sz w:val="22"/>
        </w:rPr>
        <w:t xml:space="preserve">question </w:t>
      </w:r>
      <w:r w:rsidR="001C71AE">
        <w:rPr>
          <w:rFonts w:asciiTheme="minorHAnsi" w:hAnsiTheme="minorHAnsi" w:cstheme="minorHAnsi"/>
          <w:sz w:val="22"/>
        </w:rPr>
        <w:t xml:space="preserve">on gross income from all sources. This question was addressed separately to each household member </w:t>
      </w:r>
      <w:r w:rsidR="00487DC2">
        <w:rPr>
          <w:rFonts w:asciiTheme="minorHAnsi" w:hAnsiTheme="minorHAnsi" w:cstheme="minorHAnsi"/>
          <w:sz w:val="22"/>
        </w:rPr>
        <w:t xml:space="preserve">and used </w:t>
      </w:r>
      <w:r w:rsidR="001C71AE">
        <w:rPr>
          <w:rFonts w:asciiTheme="minorHAnsi" w:hAnsiTheme="minorHAnsi" w:cstheme="minorHAnsi"/>
          <w:sz w:val="22"/>
        </w:rPr>
        <w:t xml:space="preserve">a closed set of income bands. </w:t>
      </w:r>
      <w:r w:rsidR="000F218C">
        <w:rPr>
          <w:rFonts w:asciiTheme="minorHAnsi" w:hAnsiTheme="minorHAnsi" w:cstheme="minorHAnsi"/>
          <w:sz w:val="22"/>
        </w:rPr>
        <w:t>Q</w:t>
      </w:r>
      <w:r w:rsidR="001C71AE">
        <w:rPr>
          <w:rFonts w:asciiTheme="minorHAnsi" w:hAnsiTheme="minorHAnsi" w:cstheme="minorHAnsi"/>
          <w:sz w:val="22"/>
        </w:rPr>
        <w:t>uestion</w:t>
      </w:r>
      <w:r w:rsidR="000F218C">
        <w:rPr>
          <w:rFonts w:asciiTheme="minorHAnsi" w:hAnsiTheme="minorHAnsi" w:cstheme="minorHAnsi"/>
          <w:sz w:val="22"/>
        </w:rPr>
        <w:t>s of this type</w:t>
      </w:r>
      <w:r w:rsidR="001C71AE">
        <w:rPr>
          <w:rFonts w:asciiTheme="minorHAnsi" w:hAnsiTheme="minorHAnsi" w:cstheme="minorHAnsi"/>
          <w:sz w:val="22"/>
        </w:rPr>
        <w:t xml:space="preserve"> </w:t>
      </w:r>
      <w:r w:rsidR="001D141B">
        <w:rPr>
          <w:rFonts w:asciiTheme="minorHAnsi" w:hAnsiTheme="minorHAnsi" w:cstheme="minorHAnsi"/>
          <w:sz w:val="22"/>
        </w:rPr>
        <w:t>can be expected to</w:t>
      </w:r>
      <w:r w:rsidR="001C71AE">
        <w:rPr>
          <w:rFonts w:asciiTheme="minorHAnsi" w:hAnsiTheme="minorHAnsi" w:cstheme="minorHAnsi"/>
          <w:sz w:val="22"/>
        </w:rPr>
        <w:t xml:space="preserve"> </w:t>
      </w:r>
      <w:r w:rsidR="00D472CC">
        <w:rPr>
          <w:rFonts w:asciiTheme="minorHAnsi" w:hAnsiTheme="minorHAnsi" w:cstheme="minorHAnsi"/>
          <w:sz w:val="22"/>
        </w:rPr>
        <w:t>provide</w:t>
      </w:r>
      <w:r w:rsidRPr="00520B73">
        <w:rPr>
          <w:rFonts w:asciiTheme="minorHAnsi" w:hAnsiTheme="minorHAnsi" w:cstheme="minorHAnsi"/>
          <w:sz w:val="22"/>
        </w:rPr>
        <w:t xml:space="preserve"> </w:t>
      </w:r>
      <w:r w:rsidR="00D472CC">
        <w:rPr>
          <w:rFonts w:asciiTheme="minorHAnsi" w:hAnsiTheme="minorHAnsi" w:cstheme="minorHAnsi"/>
          <w:sz w:val="22"/>
        </w:rPr>
        <w:t>results</w:t>
      </w:r>
      <w:r w:rsidRPr="00520B73">
        <w:rPr>
          <w:rFonts w:asciiTheme="minorHAnsi" w:hAnsiTheme="minorHAnsi" w:cstheme="minorHAnsi"/>
          <w:sz w:val="22"/>
        </w:rPr>
        <w:t xml:space="preserve"> broadly in line with </w:t>
      </w:r>
      <w:r w:rsidR="00D472CC">
        <w:rPr>
          <w:rFonts w:asciiTheme="minorHAnsi" w:hAnsiTheme="minorHAnsi" w:cstheme="minorHAnsi"/>
          <w:sz w:val="22"/>
        </w:rPr>
        <w:t xml:space="preserve">those </w:t>
      </w:r>
      <w:r w:rsidR="001C71AE">
        <w:rPr>
          <w:rFonts w:asciiTheme="minorHAnsi" w:hAnsiTheme="minorHAnsi" w:cstheme="minorHAnsi"/>
          <w:sz w:val="22"/>
        </w:rPr>
        <w:t xml:space="preserve">obtained from a </w:t>
      </w:r>
      <w:r w:rsidR="00D472CC">
        <w:rPr>
          <w:rFonts w:asciiTheme="minorHAnsi" w:hAnsiTheme="minorHAnsi" w:cstheme="minorHAnsi"/>
          <w:sz w:val="22"/>
        </w:rPr>
        <w:t>more</w:t>
      </w:r>
      <w:r w:rsidRPr="00520B73">
        <w:rPr>
          <w:rFonts w:asciiTheme="minorHAnsi" w:hAnsiTheme="minorHAnsi" w:cstheme="minorHAnsi"/>
          <w:sz w:val="22"/>
        </w:rPr>
        <w:t xml:space="preserve"> detailed investigation</w:t>
      </w:r>
      <w:r w:rsidR="000F218C">
        <w:rPr>
          <w:rFonts w:asciiTheme="minorHAnsi" w:hAnsiTheme="minorHAnsi" w:cstheme="minorHAnsi"/>
          <w:sz w:val="22"/>
        </w:rPr>
        <w:t xml:space="preserve"> into </w:t>
      </w:r>
      <w:proofErr w:type="spellStart"/>
      <w:r w:rsidR="000F218C">
        <w:rPr>
          <w:rFonts w:asciiTheme="minorHAnsi" w:hAnsiTheme="minorHAnsi" w:cstheme="minorHAnsi"/>
          <w:sz w:val="22"/>
        </w:rPr>
        <w:t>unbanded</w:t>
      </w:r>
      <w:proofErr w:type="spellEnd"/>
      <w:r w:rsidR="000F218C">
        <w:rPr>
          <w:rFonts w:asciiTheme="minorHAnsi" w:hAnsiTheme="minorHAnsi" w:cstheme="minorHAnsi"/>
          <w:sz w:val="22"/>
        </w:rPr>
        <w:t xml:space="preserve"> income (</w:t>
      </w:r>
      <w:proofErr w:type="spellStart"/>
      <w:r w:rsidR="000F218C" w:rsidRPr="00520B73">
        <w:rPr>
          <w:rFonts w:asciiTheme="minorHAnsi" w:hAnsiTheme="minorHAnsi" w:cstheme="minorHAnsi"/>
          <w:sz w:val="22"/>
        </w:rPr>
        <w:t>Micklewright</w:t>
      </w:r>
      <w:proofErr w:type="spellEnd"/>
      <w:r w:rsidR="000F218C" w:rsidRPr="00520B73">
        <w:rPr>
          <w:rFonts w:asciiTheme="minorHAnsi" w:hAnsiTheme="minorHAnsi" w:cstheme="minorHAnsi"/>
          <w:sz w:val="22"/>
        </w:rPr>
        <w:t xml:space="preserve"> and </w:t>
      </w:r>
      <w:proofErr w:type="spellStart"/>
      <w:r w:rsidR="000F218C" w:rsidRPr="00520B73">
        <w:rPr>
          <w:rFonts w:asciiTheme="minorHAnsi" w:hAnsiTheme="minorHAnsi" w:cstheme="minorHAnsi"/>
          <w:sz w:val="22"/>
        </w:rPr>
        <w:t>Schnepf</w:t>
      </w:r>
      <w:proofErr w:type="spellEnd"/>
      <w:r w:rsidR="000F218C">
        <w:rPr>
          <w:rFonts w:asciiTheme="minorHAnsi" w:hAnsiTheme="minorHAnsi" w:cstheme="minorHAnsi"/>
          <w:sz w:val="22"/>
        </w:rPr>
        <w:t xml:space="preserve">, </w:t>
      </w:r>
      <w:r w:rsidR="000F218C" w:rsidRPr="00520B73">
        <w:rPr>
          <w:rFonts w:asciiTheme="minorHAnsi" w:hAnsiTheme="minorHAnsi" w:cstheme="minorHAnsi"/>
          <w:sz w:val="22"/>
        </w:rPr>
        <w:t>2010)</w:t>
      </w:r>
      <w:r w:rsidRPr="00520B73">
        <w:rPr>
          <w:rFonts w:asciiTheme="minorHAnsi" w:hAnsiTheme="minorHAnsi" w:cstheme="minorHAnsi"/>
          <w:sz w:val="22"/>
        </w:rPr>
        <w:t>.</w:t>
      </w:r>
    </w:p>
    <w:p w14:paraId="2084218E" w14:textId="77777777" w:rsidR="006D6FED" w:rsidRDefault="006D6FED" w:rsidP="00015CD9">
      <w:pPr>
        <w:spacing w:line="276" w:lineRule="auto"/>
        <w:jc w:val="both"/>
        <w:rPr>
          <w:rFonts w:asciiTheme="minorHAnsi" w:hAnsiTheme="minorHAnsi" w:cstheme="minorHAnsi"/>
          <w:sz w:val="22"/>
        </w:rPr>
      </w:pPr>
    </w:p>
    <w:p w14:paraId="0807FD9C" w14:textId="77777777" w:rsidR="00B748E6" w:rsidRDefault="00AE2FAD" w:rsidP="00015CD9">
      <w:pPr>
        <w:spacing w:line="276" w:lineRule="auto"/>
        <w:jc w:val="both"/>
        <w:rPr>
          <w:rFonts w:asciiTheme="minorHAnsi" w:hAnsiTheme="minorHAnsi" w:cstheme="minorHAnsi"/>
          <w:sz w:val="22"/>
        </w:rPr>
      </w:pPr>
      <w:r>
        <w:rPr>
          <w:rFonts w:asciiTheme="minorHAnsi" w:hAnsiTheme="minorHAnsi" w:cstheme="minorHAnsi"/>
          <w:sz w:val="22"/>
        </w:rPr>
        <w:t>T</w:t>
      </w:r>
      <w:r w:rsidR="00B748E6">
        <w:rPr>
          <w:rFonts w:asciiTheme="minorHAnsi" w:hAnsiTheme="minorHAnsi" w:cstheme="minorHAnsi"/>
          <w:sz w:val="22"/>
        </w:rPr>
        <w:t>hree</w:t>
      </w:r>
      <w:r w:rsidR="00B748E6" w:rsidRPr="00520B73">
        <w:rPr>
          <w:rFonts w:asciiTheme="minorHAnsi" w:hAnsiTheme="minorHAnsi" w:cstheme="minorHAnsi"/>
          <w:sz w:val="22"/>
        </w:rPr>
        <w:t xml:space="preserve"> aspects of the Census Rehearsal </w:t>
      </w:r>
      <w:r w:rsidR="00B748E6">
        <w:rPr>
          <w:rFonts w:asciiTheme="minorHAnsi" w:hAnsiTheme="minorHAnsi" w:cstheme="minorHAnsi"/>
          <w:sz w:val="22"/>
        </w:rPr>
        <w:t>make</w:t>
      </w:r>
      <w:r w:rsidR="00B748E6" w:rsidRPr="00520B73">
        <w:rPr>
          <w:rFonts w:asciiTheme="minorHAnsi" w:hAnsiTheme="minorHAnsi" w:cstheme="minorHAnsi"/>
          <w:sz w:val="22"/>
        </w:rPr>
        <w:t xml:space="preserve"> it uniquely suitable for </w:t>
      </w:r>
      <w:r w:rsidR="00B748E6">
        <w:rPr>
          <w:rFonts w:asciiTheme="minorHAnsi" w:hAnsiTheme="minorHAnsi" w:cstheme="minorHAnsi"/>
          <w:sz w:val="22"/>
        </w:rPr>
        <w:t xml:space="preserve">the </w:t>
      </w:r>
      <w:r w:rsidR="00B748E6" w:rsidRPr="00520B73">
        <w:rPr>
          <w:rFonts w:asciiTheme="minorHAnsi" w:hAnsiTheme="minorHAnsi" w:cstheme="minorHAnsi"/>
          <w:sz w:val="22"/>
        </w:rPr>
        <w:t xml:space="preserve">task </w:t>
      </w:r>
      <w:r w:rsidR="00B748E6">
        <w:rPr>
          <w:rFonts w:asciiTheme="minorHAnsi" w:hAnsiTheme="minorHAnsi" w:cstheme="minorHAnsi"/>
          <w:sz w:val="22"/>
        </w:rPr>
        <w:t xml:space="preserve">of exploring the </w:t>
      </w:r>
      <w:r w:rsidR="00B748E6" w:rsidRPr="0044180C">
        <w:rPr>
          <w:rFonts w:asciiTheme="minorHAnsi" w:hAnsiTheme="minorHAnsi" w:cstheme="minorHAnsi"/>
          <w:sz w:val="22"/>
        </w:rPr>
        <w:t xml:space="preserve">spatial variability </w:t>
      </w:r>
      <w:r w:rsidR="00B748E6">
        <w:rPr>
          <w:rFonts w:asciiTheme="minorHAnsi" w:hAnsiTheme="minorHAnsi" w:cstheme="minorHAnsi"/>
          <w:sz w:val="22"/>
        </w:rPr>
        <w:t xml:space="preserve">of income </w:t>
      </w:r>
      <w:r w:rsidR="00B748E6" w:rsidRPr="0044180C">
        <w:rPr>
          <w:rFonts w:asciiTheme="minorHAnsi" w:hAnsiTheme="minorHAnsi" w:cstheme="minorHAnsi"/>
          <w:sz w:val="22"/>
        </w:rPr>
        <w:t xml:space="preserve">and </w:t>
      </w:r>
      <w:r w:rsidR="00B748E6">
        <w:rPr>
          <w:rFonts w:asciiTheme="minorHAnsi" w:hAnsiTheme="minorHAnsi" w:cstheme="minorHAnsi"/>
          <w:sz w:val="22"/>
        </w:rPr>
        <w:t xml:space="preserve">the </w:t>
      </w:r>
      <w:r w:rsidR="00B748E6" w:rsidRPr="0044180C">
        <w:rPr>
          <w:rFonts w:asciiTheme="minorHAnsi" w:hAnsiTheme="minorHAnsi" w:cstheme="minorHAnsi"/>
          <w:sz w:val="22"/>
        </w:rPr>
        <w:t xml:space="preserve">relative efficacy of </w:t>
      </w:r>
      <w:r w:rsidR="00B748E6">
        <w:rPr>
          <w:rFonts w:asciiTheme="minorHAnsi" w:hAnsiTheme="minorHAnsi" w:cstheme="minorHAnsi"/>
          <w:sz w:val="22"/>
        </w:rPr>
        <w:t>alternative small-area estimation strategies.</w:t>
      </w:r>
      <w:r w:rsidR="00B748E6" w:rsidRPr="0044180C">
        <w:rPr>
          <w:rFonts w:asciiTheme="minorHAnsi" w:hAnsiTheme="minorHAnsi" w:cstheme="minorHAnsi"/>
          <w:sz w:val="22"/>
        </w:rPr>
        <w:t xml:space="preserve"> </w:t>
      </w:r>
      <w:r w:rsidR="00B748E6">
        <w:rPr>
          <w:rFonts w:asciiTheme="minorHAnsi" w:hAnsiTheme="minorHAnsi" w:cstheme="minorHAnsi"/>
          <w:sz w:val="22"/>
        </w:rPr>
        <w:t xml:space="preserve"> First, the available geo-coding allows respondents to be located to the nearest unit postcode (blocks of c. 15 households). Second, this</w:t>
      </w:r>
      <w:r w:rsidR="00B748E6" w:rsidRPr="00520B73">
        <w:rPr>
          <w:rFonts w:asciiTheme="minorHAnsi" w:hAnsiTheme="minorHAnsi" w:cstheme="minorHAnsi"/>
          <w:sz w:val="22"/>
        </w:rPr>
        <w:t xml:space="preserve"> information was collected from spatially contiguous households spread across relatively large a</w:t>
      </w:r>
      <w:r w:rsidR="00B748E6">
        <w:rPr>
          <w:rFonts w:asciiTheme="minorHAnsi" w:hAnsiTheme="minorHAnsi" w:cstheme="minorHAnsi"/>
          <w:sz w:val="22"/>
        </w:rPr>
        <w:t xml:space="preserve">reas (wards or groups of wards). Third, the Rehearsal has a </w:t>
      </w:r>
      <w:proofErr w:type="gramStart"/>
      <w:r w:rsidR="00B748E6" w:rsidRPr="00520B73">
        <w:rPr>
          <w:rFonts w:asciiTheme="minorHAnsi" w:hAnsiTheme="minorHAnsi" w:cstheme="minorHAnsi"/>
          <w:sz w:val="22"/>
        </w:rPr>
        <w:t>high achieved</w:t>
      </w:r>
      <w:proofErr w:type="gramEnd"/>
      <w:r w:rsidR="00B748E6" w:rsidRPr="00520B73">
        <w:rPr>
          <w:rFonts w:asciiTheme="minorHAnsi" w:hAnsiTheme="minorHAnsi" w:cstheme="minorHAnsi"/>
          <w:sz w:val="22"/>
        </w:rPr>
        <w:t xml:space="preserve"> sample size</w:t>
      </w:r>
      <w:r w:rsidR="00B748E6">
        <w:rPr>
          <w:rFonts w:asciiTheme="minorHAnsi" w:hAnsiTheme="minorHAnsi" w:cstheme="minorHAnsi"/>
          <w:sz w:val="22"/>
        </w:rPr>
        <w:t xml:space="preserve"> – some 53% of the total population living in the areas surveyed. As a result Rehearsal data can be used to calculate rates and averages for a wide range of nested spatial units</w:t>
      </w:r>
      <w:r w:rsidR="00B748E6" w:rsidRPr="00520B73">
        <w:rPr>
          <w:rFonts w:asciiTheme="minorHAnsi" w:hAnsiTheme="minorHAnsi" w:cstheme="minorHAnsi"/>
          <w:sz w:val="22"/>
        </w:rPr>
        <w:t xml:space="preserve">. </w:t>
      </w:r>
      <w:r w:rsidR="00B748E6">
        <w:rPr>
          <w:rFonts w:asciiTheme="minorHAnsi" w:hAnsiTheme="minorHAnsi" w:cstheme="minorHAnsi"/>
          <w:sz w:val="22"/>
        </w:rPr>
        <w:t xml:space="preserve"> This contrasts with, for example, the Family Resources Survey </w:t>
      </w:r>
      <w:r>
        <w:rPr>
          <w:rFonts w:asciiTheme="minorHAnsi" w:hAnsiTheme="minorHAnsi" w:cstheme="minorHAnsi"/>
          <w:sz w:val="22"/>
        </w:rPr>
        <w:t xml:space="preserve">(FRS) </w:t>
      </w:r>
      <w:r w:rsidR="00B748E6">
        <w:rPr>
          <w:rFonts w:asciiTheme="minorHAnsi" w:hAnsiTheme="minorHAnsi" w:cstheme="minorHAnsi"/>
          <w:sz w:val="22"/>
        </w:rPr>
        <w:t xml:space="preserve">used by Berthoud (2008) and </w:t>
      </w:r>
      <w:proofErr w:type="spellStart"/>
      <w:r w:rsidR="00B748E6" w:rsidRPr="00553767">
        <w:rPr>
          <w:rFonts w:asciiTheme="minorHAnsi" w:hAnsiTheme="minorHAnsi" w:cstheme="minorHAnsi"/>
          <w:sz w:val="22"/>
        </w:rPr>
        <w:t>Guangquan</w:t>
      </w:r>
      <w:proofErr w:type="spellEnd"/>
      <w:r w:rsidR="00B748E6">
        <w:rPr>
          <w:rFonts w:asciiTheme="minorHAnsi" w:hAnsiTheme="minorHAnsi" w:cstheme="minorHAnsi"/>
          <w:sz w:val="22"/>
        </w:rPr>
        <w:t xml:space="preserve"> (2011), which locates respondents only to the nearest postcode sector (blocks of c. 2,600 households), lacks spatial contiguity and has a low achieved sample size (15 households per postcode sector).</w:t>
      </w:r>
    </w:p>
    <w:p w14:paraId="359905EA" w14:textId="77777777" w:rsidR="00230B31" w:rsidRPr="00520B73" w:rsidRDefault="00230B31" w:rsidP="00015CD9">
      <w:pPr>
        <w:spacing w:line="276" w:lineRule="auto"/>
        <w:jc w:val="both"/>
        <w:rPr>
          <w:rFonts w:asciiTheme="minorHAnsi" w:hAnsiTheme="minorHAnsi" w:cstheme="minorHAnsi"/>
          <w:sz w:val="22"/>
        </w:rPr>
      </w:pPr>
    </w:p>
    <w:p w14:paraId="4A84BD58" w14:textId="77777777" w:rsidR="00AD567C" w:rsidRDefault="00487DC2" w:rsidP="005549A1">
      <w:pPr>
        <w:spacing w:line="276" w:lineRule="auto"/>
        <w:jc w:val="both"/>
        <w:rPr>
          <w:rFonts w:asciiTheme="minorHAnsi" w:hAnsiTheme="minorHAnsi" w:cstheme="minorHAnsi"/>
          <w:sz w:val="22"/>
        </w:rPr>
      </w:pPr>
      <w:r>
        <w:rPr>
          <w:rFonts w:asciiTheme="minorHAnsi" w:hAnsiTheme="minorHAnsi" w:cstheme="minorHAnsi"/>
          <w:sz w:val="22"/>
        </w:rPr>
        <w:t>As a check against non-response bias, s</w:t>
      </w:r>
      <w:r w:rsidRPr="00520B73">
        <w:rPr>
          <w:rFonts w:asciiTheme="minorHAnsi" w:hAnsiTheme="minorHAnsi" w:cstheme="minorHAnsi"/>
          <w:sz w:val="22"/>
        </w:rPr>
        <w:t xml:space="preserve">elected indicators from the 1999 Rehearsal </w:t>
      </w:r>
      <w:r>
        <w:rPr>
          <w:rFonts w:asciiTheme="minorHAnsi" w:hAnsiTheme="minorHAnsi" w:cstheme="minorHAnsi"/>
          <w:sz w:val="22"/>
        </w:rPr>
        <w:t>we</w:t>
      </w:r>
      <w:r w:rsidRPr="00520B73">
        <w:rPr>
          <w:rFonts w:asciiTheme="minorHAnsi" w:hAnsiTheme="minorHAnsi" w:cstheme="minorHAnsi"/>
          <w:sz w:val="22"/>
        </w:rPr>
        <w:t xml:space="preserve">re compared with their 1991 Census equivalents. </w:t>
      </w:r>
      <w:r>
        <w:rPr>
          <w:rFonts w:asciiTheme="minorHAnsi" w:hAnsiTheme="minorHAnsi" w:cstheme="minorHAnsi"/>
          <w:sz w:val="22"/>
        </w:rPr>
        <w:t>M</w:t>
      </w:r>
      <w:r w:rsidRPr="00520B73">
        <w:rPr>
          <w:rFonts w:asciiTheme="minorHAnsi" w:hAnsiTheme="minorHAnsi" w:cstheme="minorHAnsi"/>
          <w:sz w:val="22"/>
        </w:rPr>
        <w:t>aking due allowance for the passage of time</w:t>
      </w:r>
      <w:r>
        <w:rPr>
          <w:rFonts w:asciiTheme="minorHAnsi" w:hAnsiTheme="minorHAnsi" w:cstheme="minorHAnsi"/>
          <w:sz w:val="22"/>
        </w:rPr>
        <w:t>, the two datasets were found to be strongly correlated.</w:t>
      </w:r>
      <w:r w:rsidRPr="00520B73">
        <w:rPr>
          <w:rFonts w:asciiTheme="minorHAnsi" w:hAnsiTheme="minorHAnsi" w:cstheme="minorHAnsi"/>
          <w:sz w:val="22"/>
        </w:rPr>
        <w:t xml:space="preserve"> </w:t>
      </w:r>
      <w:r w:rsidR="005549A1">
        <w:rPr>
          <w:rFonts w:asciiTheme="minorHAnsi" w:hAnsiTheme="minorHAnsi" w:cstheme="minorHAnsi"/>
          <w:sz w:val="22"/>
        </w:rPr>
        <w:t xml:space="preserve">To further guard </w:t>
      </w:r>
      <w:r w:rsidR="00E66448" w:rsidRPr="00520B73">
        <w:rPr>
          <w:rFonts w:asciiTheme="minorHAnsi" w:hAnsiTheme="minorHAnsi" w:cstheme="minorHAnsi"/>
          <w:sz w:val="22"/>
        </w:rPr>
        <w:t>against non-response</w:t>
      </w:r>
      <w:r w:rsidR="005549A1">
        <w:rPr>
          <w:rFonts w:asciiTheme="minorHAnsi" w:hAnsiTheme="minorHAnsi" w:cstheme="minorHAnsi"/>
          <w:sz w:val="22"/>
        </w:rPr>
        <w:t xml:space="preserve"> bias</w:t>
      </w:r>
      <w:r w:rsidR="00F6324D" w:rsidRPr="00520B73">
        <w:rPr>
          <w:rFonts w:asciiTheme="minorHAnsi" w:hAnsiTheme="minorHAnsi" w:cstheme="minorHAnsi"/>
          <w:sz w:val="22"/>
        </w:rPr>
        <w:t xml:space="preserve">, all analyses in this paper have been repeated for sub-sets of </w:t>
      </w:r>
      <w:r w:rsidR="00AE2FAD">
        <w:rPr>
          <w:rFonts w:asciiTheme="minorHAnsi" w:hAnsiTheme="minorHAnsi" w:cstheme="minorHAnsi"/>
          <w:sz w:val="22"/>
        </w:rPr>
        <w:t xml:space="preserve">the </w:t>
      </w:r>
      <w:r w:rsidR="00F6324D" w:rsidRPr="00520B73">
        <w:rPr>
          <w:rFonts w:asciiTheme="minorHAnsi" w:hAnsiTheme="minorHAnsi" w:cstheme="minorHAnsi"/>
          <w:sz w:val="22"/>
        </w:rPr>
        <w:t xml:space="preserve">survey data </w:t>
      </w:r>
      <w:r>
        <w:rPr>
          <w:rFonts w:asciiTheme="minorHAnsi" w:hAnsiTheme="minorHAnsi" w:cstheme="minorHAnsi"/>
          <w:sz w:val="22"/>
        </w:rPr>
        <w:t>ranging</w:t>
      </w:r>
      <w:r w:rsidR="00F6324D" w:rsidRPr="00520B73">
        <w:rPr>
          <w:rFonts w:asciiTheme="minorHAnsi" w:hAnsiTheme="minorHAnsi" w:cstheme="minorHAnsi"/>
          <w:sz w:val="22"/>
        </w:rPr>
        <w:t xml:space="preserve"> </w:t>
      </w:r>
      <w:r w:rsidR="00AE2FAD">
        <w:rPr>
          <w:rFonts w:asciiTheme="minorHAnsi" w:hAnsiTheme="minorHAnsi" w:cstheme="minorHAnsi"/>
          <w:sz w:val="22"/>
        </w:rPr>
        <w:t xml:space="preserve">from </w:t>
      </w:r>
      <w:r w:rsidR="00F6324D" w:rsidRPr="00520B73">
        <w:rPr>
          <w:rFonts w:asciiTheme="minorHAnsi" w:hAnsiTheme="minorHAnsi" w:cstheme="minorHAnsi"/>
          <w:sz w:val="22"/>
        </w:rPr>
        <w:t xml:space="preserve">all individuals </w:t>
      </w:r>
      <w:r w:rsidR="00AE2FAD">
        <w:rPr>
          <w:rFonts w:asciiTheme="minorHAnsi" w:hAnsiTheme="minorHAnsi" w:cstheme="minorHAnsi"/>
          <w:sz w:val="22"/>
        </w:rPr>
        <w:t>with any valid responses,</w:t>
      </w:r>
      <w:r w:rsidR="00F6324D" w:rsidRPr="00520B73">
        <w:rPr>
          <w:rFonts w:asciiTheme="minorHAnsi" w:hAnsiTheme="minorHAnsi" w:cstheme="minorHAnsi"/>
          <w:sz w:val="22"/>
        </w:rPr>
        <w:t xml:space="preserve"> through to </w:t>
      </w:r>
      <w:r>
        <w:rPr>
          <w:rFonts w:asciiTheme="minorHAnsi" w:hAnsiTheme="minorHAnsi" w:cstheme="minorHAnsi"/>
          <w:sz w:val="22"/>
        </w:rPr>
        <w:t xml:space="preserve">a </w:t>
      </w:r>
      <w:r w:rsidR="00F6324D" w:rsidRPr="00520B73">
        <w:rPr>
          <w:rFonts w:asciiTheme="minorHAnsi" w:hAnsiTheme="minorHAnsi" w:cstheme="minorHAnsi"/>
          <w:sz w:val="22"/>
        </w:rPr>
        <w:t xml:space="preserve">sub-set comprising only households </w:t>
      </w:r>
      <w:r w:rsidR="00AE2FAD">
        <w:rPr>
          <w:rFonts w:asciiTheme="minorHAnsi" w:hAnsiTheme="minorHAnsi" w:cstheme="minorHAnsi"/>
          <w:sz w:val="22"/>
        </w:rPr>
        <w:t>supplying</w:t>
      </w:r>
      <w:r w:rsidR="00F6324D" w:rsidRPr="00520B73">
        <w:rPr>
          <w:rFonts w:asciiTheme="minorHAnsi" w:hAnsiTheme="minorHAnsi" w:cstheme="minorHAnsi"/>
          <w:sz w:val="22"/>
        </w:rPr>
        <w:t xml:space="preserve"> complete informa</w:t>
      </w:r>
      <w:r>
        <w:rPr>
          <w:rFonts w:asciiTheme="minorHAnsi" w:hAnsiTheme="minorHAnsi" w:cstheme="minorHAnsi"/>
          <w:sz w:val="22"/>
        </w:rPr>
        <w:t>tion for all household members.</w:t>
      </w:r>
      <w:r w:rsidR="000F218C">
        <w:rPr>
          <w:rFonts w:asciiTheme="minorHAnsi" w:hAnsiTheme="minorHAnsi" w:cstheme="minorHAnsi"/>
          <w:sz w:val="22"/>
        </w:rPr>
        <w:t xml:space="preserve"> No differences of substance were found, so the results presented in this paper are based on analysis of the full set of rehearsal responses.</w:t>
      </w:r>
    </w:p>
    <w:p w14:paraId="6160C2EA" w14:textId="77777777" w:rsidR="00230B31" w:rsidRPr="00520B73" w:rsidRDefault="00230B31" w:rsidP="00015CD9">
      <w:pPr>
        <w:spacing w:line="276" w:lineRule="auto"/>
        <w:jc w:val="both"/>
        <w:rPr>
          <w:rFonts w:asciiTheme="minorHAnsi" w:hAnsiTheme="minorHAnsi" w:cstheme="minorHAnsi"/>
          <w:sz w:val="22"/>
        </w:rPr>
      </w:pPr>
    </w:p>
    <w:p w14:paraId="58228511" w14:textId="77777777" w:rsidR="00D84B40" w:rsidRPr="00520B73" w:rsidRDefault="005549A1" w:rsidP="00015CD9">
      <w:pPr>
        <w:spacing w:line="276" w:lineRule="auto"/>
        <w:jc w:val="both"/>
        <w:rPr>
          <w:rFonts w:asciiTheme="minorHAnsi" w:hAnsiTheme="minorHAnsi" w:cstheme="minorHAnsi"/>
          <w:sz w:val="22"/>
        </w:rPr>
      </w:pPr>
      <w:r>
        <w:rPr>
          <w:rFonts w:asciiTheme="minorHAnsi" w:hAnsiTheme="minorHAnsi" w:cstheme="minorHAnsi"/>
          <w:sz w:val="22"/>
        </w:rPr>
        <w:t>To enable the calculation of mean incomes</w:t>
      </w:r>
      <w:r w:rsidR="00AE2FAD">
        <w:rPr>
          <w:rFonts w:asciiTheme="minorHAnsi" w:hAnsiTheme="minorHAnsi" w:cstheme="minorHAnsi"/>
          <w:sz w:val="22"/>
        </w:rPr>
        <w:t xml:space="preserve"> by area</w:t>
      </w:r>
      <w:r>
        <w:rPr>
          <w:rFonts w:asciiTheme="minorHAnsi" w:hAnsiTheme="minorHAnsi" w:cstheme="minorHAnsi"/>
          <w:sz w:val="22"/>
        </w:rPr>
        <w:t xml:space="preserve">, </w:t>
      </w:r>
      <w:r w:rsidR="00AD567C" w:rsidRPr="00520B73">
        <w:rPr>
          <w:rFonts w:asciiTheme="minorHAnsi" w:hAnsiTheme="minorHAnsi" w:cstheme="minorHAnsi"/>
          <w:sz w:val="22"/>
        </w:rPr>
        <w:t>the income bands recorded in the survey</w:t>
      </w:r>
      <w:r>
        <w:rPr>
          <w:rFonts w:asciiTheme="minorHAnsi" w:hAnsiTheme="minorHAnsi" w:cstheme="minorHAnsi"/>
          <w:sz w:val="22"/>
        </w:rPr>
        <w:t xml:space="preserve"> had to be replaced with a set of imputed values</w:t>
      </w:r>
      <w:r w:rsidR="00AD567C" w:rsidRPr="00520B73">
        <w:rPr>
          <w:rFonts w:asciiTheme="minorHAnsi" w:hAnsiTheme="minorHAnsi" w:cstheme="minorHAnsi"/>
          <w:sz w:val="22"/>
        </w:rPr>
        <w:t xml:space="preserve">.  </w:t>
      </w:r>
      <w:r w:rsidR="00C745EF">
        <w:rPr>
          <w:rFonts w:asciiTheme="minorHAnsi" w:hAnsiTheme="minorHAnsi" w:cstheme="minorHAnsi"/>
          <w:sz w:val="22"/>
        </w:rPr>
        <w:t xml:space="preserve">Analysis of the </w:t>
      </w:r>
      <w:r w:rsidR="00AE2FAD">
        <w:rPr>
          <w:rFonts w:asciiTheme="minorHAnsi" w:hAnsiTheme="minorHAnsi" w:cstheme="minorHAnsi"/>
          <w:sz w:val="22"/>
        </w:rPr>
        <w:t xml:space="preserve">1998 </w:t>
      </w:r>
      <w:r w:rsidR="00C745EF">
        <w:rPr>
          <w:rFonts w:asciiTheme="minorHAnsi" w:hAnsiTheme="minorHAnsi" w:cstheme="minorHAnsi"/>
          <w:sz w:val="22"/>
        </w:rPr>
        <w:t xml:space="preserve">FRS revealed </w:t>
      </w:r>
      <w:r w:rsidR="00D84B40" w:rsidRPr="00520B73">
        <w:rPr>
          <w:rFonts w:asciiTheme="minorHAnsi" w:hAnsiTheme="minorHAnsi" w:cstheme="minorHAnsi"/>
          <w:sz w:val="22"/>
        </w:rPr>
        <w:t xml:space="preserve">that variation </w:t>
      </w:r>
      <w:r w:rsidR="00C745EF">
        <w:rPr>
          <w:rFonts w:asciiTheme="minorHAnsi" w:hAnsiTheme="minorHAnsi" w:cstheme="minorHAnsi"/>
          <w:sz w:val="22"/>
        </w:rPr>
        <w:t xml:space="preserve">in </w:t>
      </w:r>
      <w:r w:rsidR="00C745EF">
        <w:rPr>
          <w:rFonts w:asciiTheme="minorHAnsi" w:hAnsiTheme="minorHAnsi" w:cstheme="minorHAnsi"/>
          <w:sz w:val="22"/>
        </w:rPr>
        <w:lastRenderedPageBreak/>
        <w:t xml:space="preserve">income-band means was minimal </w:t>
      </w:r>
      <w:r w:rsidR="00D84B40" w:rsidRPr="00520B73">
        <w:rPr>
          <w:rFonts w:asciiTheme="minorHAnsi" w:hAnsiTheme="minorHAnsi" w:cstheme="minorHAnsi"/>
          <w:sz w:val="22"/>
        </w:rPr>
        <w:t>between population sub-groups</w:t>
      </w:r>
      <w:r w:rsidR="000F218C">
        <w:rPr>
          <w:rFonts w:asciiTheme="minorHAnsi" w:hAnsiTheme="minorHAnsi" w:cstheme="minorHAnsi"/>
          <w:sz w:val="22"/>
        </w:rPr>
        <w:t xml:space="preserve"> (social strata)</w:t>
      </w:r>
      <w:r w:rsidR="00230B31" w:rsidRPr="00520B73">
        <w:rPr>
          <w:rFonts w:asciiTheme="minorHAnsi" w:hAnsiTheme="minorHAnsi" w:cstheme="minorHAnsi"/>
          <w:sz w:val="22"/>
        </w:rPr>
        <w:t xml:space="preserve">, except </w:t>
      </w:r>
      <w:r w:rsidR="00D84B40" w:rsidRPr="00520B73">
        <w:rPr>
          <w:rFonts w:asciiTheme="minorHAnsi" w:hAnsiTheme="minorHAnsi" w:cstheme="minorHAnsi"/>
          <w:sz w:val="22"/>
        </w:rPr>
        <w:t xml:space="preserve">for the </w:t>
      </w:r>
      <w:r w:rsidR="00AE2FAD">
        <w:rPr>
          <w:rFonts w:asciiTheme="minorHAnsi" w:hAnsiTheme="minorHAnsi" w:cstheme="minorHAnsi"/>
          <w:sz w:val="22"/>
        </w:rPr>
        <w:t>bottom</w:t>
      </w:r>
      <w:r w:rsidR="00230B31" w:rsidRPr="00520B73">
        <w:rPr>
          <w:rFonts w:asciiTheme="minorHAnsi" w:hAnsiTheme="minorHAnsi" w:cstheme="minorHAnsi"/>
          <w:sz w:val="22"/>
        </w:rPr>
        <w:t xml:space="preserve"> (non-zero)</w:t>
      </w:r>
      <w:r w:rsidR="00D84B40" w:rsidRPr="00520B73">
        <w:rPr>
          <w:rFonts w:asciiTheme="minorHAnsi" w:hAnsiTheme="minorHAnsi" w:cstheme="minorHAnsi"/>
          <w:sz w:val="22"/>
        </w:rPr>
        <w:t xml:space="preserve"> and top (open) income bands. </w:t>
      </w:r>
      <w:r w:rsidR="00C25CF4">
        <w:rPr>
          <w:rFonts w:asciiTheme="minorHAnsi" w:hAnsiTheme="minorHAnsi" w:cstheme="minorHAnsi"/>
          <w:sz w:val="22"/>
        </w:rPr>
        <w:t>Consequently</w:t>
      </w:r>
      <w:r w:rsidR="00D84B40" w:rsidRPr="00520B73">
        <w:rPr>
          <w:rFonts w:asciiTheme="minorHAnsi" w:hAnsiTheme="minorHAnsi" w:cstheme="minorHAnsi"/>
          <w:sz w:val="22"/>
        </w:rPr>
        <w:t xml:space="preserve"> the income value associated with each income band was imputed using the national mean </w:t>
      </w:r>
      <w:r w:rsidR="00994D9C">
        <w:rPr>
          <w:rFonts w:asciiTheme="minorHAnsi" w:hAnsiTheme="minorHAnsi" w:cstheme="minorHAnsi"/>
          <w:sz w:val="22"/>
        </w:rPr>
        <w:t>value for that band</w:t>
      </w:r>
      <w:r w:rsidR="00D84B40" w:rsidRPr="00520B73">
        <w:rPr>
          <w:rFonts w:asciiTheme="minorHAnsi" w:hAnsiTheme="minorHAnsi" w:cstheme="minorHAnsi"/>
          <w:sz w:val="22"/>
        </w:rPr>
        <w:t xml:space="preserve"> observed in</w:t>
      </w:r>
      <w:r w:rsidR="007D4235" w:rsidRPr="00520B73">
        <w:rPr>
          <w:rFonts w:asciiTheme="minorHAnsi" w:hAnsiTheme="minorHAnsi" w:cstheme="minorHAnsi"/>
          <w:sz w:val="22"/>
        </w:rPr>
        <w:t xml:space="preserve"> </w:t>
      </w:r>
      <w:r w:rsidR="00D84B40" w:rsidRPr="00520B73">
        <w:rPr>
          <w:rFonts w:asciiTheme="minorHAnsi" w:hAnsiTheme="minorHAnsi" w:cstheme="minorHAnsi"/>
          <w:sz w:val="22"/>
        </w:rPr>
        <w:t xml:space="preserve">the FRS. To check the sensitivity of results to this imputation strategy, the income value associated with </w:t>
      </w:r>
      <w:r w:rsidR="00AE2FAD">
        <w:rPr>
          <w:rFonts w:asciiTheme="minorHAnsi" w:hAnsiTheme="minorHAnsi" w:cstheme="minorHAnsi"/>
          <w:sz w:val="22"/>
        </w:rPr>
        <w:t>the bottom and top bands</w:t>
      </w:r>
      <w:r w:rsidR="00D84B40" w:rsidRPr="00520B73">
        <w:rPr>
          <w:rFonts w:asciiTheme="minorHAnsi" w:hAnsiTheme="minorHAnsi" w:cstheme="minorHAnsi"/>
          <w:sz w:val="22"/>
        </w:rPr>
        <w:t xml:space="preserve"> were also imputed using a log-normal modelling approach </w:t>
      </w:r>
      <w:r w:rsidR="000F218C">
        <w:rPr>
          <w:rFonts w:asciiTheme="minorHAnsi" w:hAnsiTheme="minorHAnsi" w:cstheme="minorHAnsi"/>
          <w:sz w:val="22"/>
        </w:rPr>
        <w:t>which adjusted the imputed mid-point to reflect the shape of the local income distribution</w:t>
      </w:r>
      <w:r>
        <w:rPr>
          <w:rFonts w:asciiTheme="minorHAnsi" w:hAnsiTheme="minorHAnsi" w:cstheme="minorHAnsi"/>
          <w:sz w:val="22"/>
        </w:rPr>
        <w:t xml:space="preserve">. </w:t>
      </w:r>
      <w:r w:rsidR="00755C35" w:rsidRPr="00520B73">
        <w:rPr>
          <w:rFonts w:asciiTheme="minorHAnsi" w:hAnsiTheme="minorHAnsi" w:cstheme="minorHAnsi"/>
          <w:sz w:val="22"/>
        </w:rPr>
        <w:t xml:space="preserve">Although this alternative imputation strategy led to more pronounced between-area differences, it did not lead to any change in </w:t>
      </w:r>
      <w:r w:rsidR="00C745EF">
        <w:rPr>
          <w:rFonts w:asciiTheme="minorHAnsi" w:hAnsiTheme="minorHAnsi" w:cstheme="minorHAnsi"/>
          <w:sz w:val="22"/>
        </w:rPr>
        <w:t xml:space="preserve">the </w:t>
      </w:r>
      <w:r w:rsidR="00755C35" w:rsidRPr="00520B73">
        <w:rPr>
          <w:rFonts w:asciiTheme="minorHAnsi" w:hAnsiTheme="minorHAnsi" w:cstheme="minorHAnsi"/>
          <w:sz w:val="22"/>
        </w:rPr>
        <w:t>overall conclusions</w:t>
      </w:r>
      <w:r w:rsidR="00C745EF">
        <w:rPr>
          <w:rFonts w:asciiTheme="minorHAnsi" w:hAnsiTheme="minorHAnsi" w:cstheme="minorHAnsi"/>
          <w:sz w:val="22"/>
        </w:rPr>
        <w:t xml:space="preserve"> reported in this paper</w:t>
      </w:r>
      <w:r w:rsidR="00755C35" w:rsidRPr="00520B73">
        <w:rPr>
          <w:rFonts w:asciiTheme="minorHAnsi" w:hAnsiTheme="minorHAnsi" w:cstheme="minorHAnsi"/>
          <w:sz w:val="22"/>
        </w:rPr>
        <w:t xml:space="preserve">. Given mixed evidence about the relative merits of the two imputation strategies, results </w:t>
      </w:r>
      <w:r w:rsidR="00807F01" w:rsidRPr="00520B73">
        <w:rPr>
          <w:rFonts w:asciiTheme="minorHAnsi" w:hAnsiTheme="minorHAnsi" w:cstheme="minorHAnsi"/>
          <w:sz w:val="22"/>
        </w:rPr>
        <w:t>throughout this</w:t>
      </w:r>
      <w:r w:rsidR="00755C35" w:rsidRPr="00520B73">
        <w:rPr>
          <w:rFonts w:asciiTheme="minorHAnsi" w:hAnsiTheme="minorHAnsi" w:cstheme="minorHAnsi"/>
          <w:sz w:val="22"/>
        </w:rPr>
        <w:t xml:space="preserve"> paper are based upon imputation using the more conservative </w:t>
      </w:r>
      <w:r w:rsidR="000F218C">
        <w:rPr>
          <w:rFonts w:asciiTheme="minorHAnsi" w:hAnsiTheme="minorHAnsi" w:cstheme="minorHAnsi"/>
          <w:sz w:val="22"/>
        </w:rPr>
        <w:t xml:space="preserve">strategy of </w:t>
      </w:r>
      <w:r w:rsidR="00755C35" w:rsidRPr="00520B73">
        <w:rPr>
          <w:rFonts w:asciiTheme="minorHAnsi" w:hAnsiTheme="minorHAnsi" w:cstheme="minorHAnsi"/>
          <w:sz w:val="22"/>
        </w:rPr>
        <w:t>national band mean</w:t>
      </w:r>
      <w:r w:rsidR="00994D9C">
        <w:rPr>
          <w:rFonts w:asciiTheme="minorHAnsi" w:hAnsiTheme="minorHAnsi" w:cstheme="minorHAnsi"/>
          <w:sz w:val="22"/>
        </w:rPr>
        <w:t>s</w:t>
      </w:r>
      <w:r w:rsidR="00755C35" w:rsidRPr="00520B73">
        <w:rPr>
          <w:rFonts w:asciiTheme="minorHAnsi" w:hAnsiTheme="minorHAnsi" w:cstheme="minorHAnsi"/>
          <w:sz w:val="22"/>
        </w:rPr>
        <w:t>.</w:t>
      </w:r>
    </w:p>
    <w:p w14:paraId="3F57B2E5" w14:textId="77777777" w:rsidR="00AD567C" w:rsidRPr="00520B73" w:rsidRDefault="00AD567C" w:rsidP="00015CD9">
      <w:pPr>
        <w:spacing w:line="276" w:lineRule="auto"/>
        <w:jc w:val="both"/>
        <w:rPr>
          <w:rFonts w:asciiTheme="minorHAnsi" w:hAnsiTheme="minorHAnsi" w:cstheme="minorHAnsi"/>
          <w:sz w:val="22"/>
        </w:rPr>
      </w:pPr>
    </w:p>
    <w:p w14:paraId="2276CD3D" w14:textId="77777777" w:rsidR="000B6CA5" w:rsidRPr="00520B73" w:rsidRDefault="000B6CA5" w:rsidP="00015CD9">
      <w:pPr>
        <w:spacing w:line="276" w:lineRule="auto"/>
        <w:jc w:val="both"/>
        <w:rPr>
          <w:rFonts w:asciiTheme="minorHAnsi" w:hAnsiTheme="minorHAnsi" w:cstheme="minorHAnsi"/>
          <w:sz w:val="22"/>
        </w:rPr>
      </w:pPr>
      <w:r w:rsidRPr="00520B73">
        <w:rPr>
          <w:rFonts w:asciiTheme="minorHAnsi" w:hAnsiTheme="minorHAnsi" w:cstheme="minorHAnsi"/>
          <w:sz w:val="22"/>
        </w:rPr>
        <w:t>For the smallest spatial units, and for certain non-rehearsal geographies, the number of rehearsal respondents is so small that any results obtained must be treated with caution. For this reason all spatial units with responses from fewer than 10 households or 25 residents have been excluded from the analys</w:t>
      </w:r>
      <w:r w:rsidR="00994D9C">
        <w:rPr>
          <w:rFonts w:asciiTheme="minorHAnsi" w:hAnsiTheme="minorHAnsi" w:cstheme="minorHAnsi"/>
          <w:sz w:val="22"/>
        </w:rPr>
        <w:t>es reported in this paper. When</w:t>
      </w:r>
      <w:r w:rsidRPr="00520B73">
        <w:rPr>
          <w:rFonts w:asciiTheme="minorHAnsi" w:hAnsiTheme="minorHAnsi" w:cstheme="minorHAnsi"/>
          <w:sz w:val="22"/>
        </w:rPr>
        <w:t xml:space="preserve"> appropriate</w:t>
      </w:r>
      <w:r w:rsidR="005549A1">
        <w:rPr>
          <w:rFonts w:asciiTheme="minorHAnsi" w:hAnsiTheme="minorHAnsi" w:cstheme="minorHAnsi"/>
          <w:sz w:val="22"/>
        </w:rPr>
        <w:t>,</w:t>
      </w:r>
      <w:r w:rsidRPr="00520B73">
        <w:rPr>
          <w:rFonts w:asciiTheme="minorHAnsi" w:hAnsiTheme="minorHAnsi" w:cstheme="minorHAnsi"/>
          <w:sz w:val="22"/>
        </w:rPr>
        <w:t xml:space="preserve"> areas containing fewer than 25 adults with known income bands have also been excluded. </w:t>
      </w:r>
      <w:r w:rsidR="00C745EF">
        <w:rPr>
          <w:rFonts w:asciiTheme="minorHAnsi" w:hAnsiTheme="minorHAnsi" w:cstheme="minorHAnsi"/>
          <w:sz w:val="22"/>
        </w:rPr>
        <w:t>R</w:t>
      </w:r>
      <w:r w:rsidR="00A058E3" w:rsidRPr="00520B73">
        <w:rPr>
          <w:rFonts w:asciiTheme="minorHAnsi" w:hAnsiTheme="minorHAnsi" w:cstheme="minorHAnsi"/>
          <w:sz w:val="22"/>
        </w:rPr>
        <w:t>e-run</w:t>
      </w:r>
      <w:r w:rsidR="00C745EF">
        <w:rPr>
          <w:rFonts w:asciiTheme="minorHAnsi" w:hAnsiTheme="minorHAnsi" w:cstheme="minorHAnsi"/>
          <w:sz w:val="22"/>
        </w:rPr>
        <w:t>ning the analyses</w:t>
      </w:r>
      <w:r w:rsidR="00A058E3" w:rsidRPr="00520B73">
        <w:rPr>
          <w:rFonts w:asciiTheme="minorHAnsi" w:hAnsiTheme="minorHAnsi" w:cstheme="minorHAnsi"/>
          <w:sz w:val="22"/>
        </w:rPr>
        <w:t xml:space="preserve"> </w:t>
      </w:r>
      <w:r w:rsidRPr="00520B73">
        <w:rPr>
          <w:rFonts w:asciiTheme="minorHAnsi" w:hAnsiTheme="minorHAnsi" w:cstheme="minorHAnsi"/>
          <w:sz w:val="22"/>
        </w:rPr>
        <w:t>including all a</w:t>
      </w:r>
      <w:r w:rsidR="00C745EF">
        <w:rPr>
          <w:rFonts w:asciiTheme="minorHAnsi" w:hAnsiTheme="minorHAnsi" w:cstheme="minorHAnsi"/>
          <w:sz w:val="22"/>
        </w:rPr>
        <w:t xml:space="preserve">reas, regardless of sample size, leaves the conclusions drawn </w:t>
      </w:r>
      <w:r w:rsidR="00994D9C">
        <w:rPr>
          <w:rFonts w:asciiTheme="minorHAnsi" w:hAnsiTheme="minorHAnsi" w:cstheme="minorHAnsi"/>
          <w:sz w:val="22"/>
        </w:rPr>
        <w:t xml:space="preserve">in this paper </w:t>
      </w:r>
      <w:r w:rsidR="00C745EF">
        <w:rPr>
          <w:rFonts w:asciiTheme="minorHAnsi" w:hAnsiTheme="minorHAnsi" w:cstheme="minorHAnsi"/>
          <w:sz w:val="22"/>
        </w:rPr>
        <w:t>unchanged.</w:t>
      </w:r>
    </w:p>
    <w:p w14:paraId="42AC7307" w14:textId="77777777" w:rsidR="000B6CA5" w:rsidRPr="00520B73" w:rsidRDefault="000B6CA5" w:rsidP="00015CD9">
      <w:pPr>
        <w:spacing w:line="276" w:lineRule="auto"/>
        <w:jc w:val="both"/>
        <w:rPr>
          <w:rFonts w:asciiTheme="minorHAnsi" w:hAnsiTheme="minorHAnsi" w:cstheme="minorHAnsi"/>
          <w:sz w:val="22"/>
        </w:rPr>
      </w:pPr>
    </w:p>
    <w:p w14:paraId="6CC5B386" w14:textId="77777777" w:rsidR="000B6CA5" w:rsidRPr="00520B73" w:rsidRDefault="00A058E3" w:rsidP="00015CD9">
      <w:pPr>
        <w:spacing w:line="276" w:lineRule="auto"/>
        <w:jc w:val="both"/>
        <w:rPr>
          <w:rFonts w:asciiTheme="minorHAnsi" w:hAnsiTheme="minorHAnsi" w:cstheme="minorHAnsi"/>
          <w:sz w:val="22"/>
        </w:rPr>
      </w:pPr>
      <w:r w:rsidRPr="00520B73">
        <w:rPr>
          <w:rFonts w:asciiTheme="minorHAnsi" w:hAnsiTheme="minorHAnsi" w:cstheme="minorHAnsi"/>
          <w:sz w:val="22"/>
        </w:rPr>
        <w:t>Th</w:t>
      </w:r>
      <w:r w:rsidR="00816413">
        <w:rPr>
          <w:rFonts w:asciiTheme="minorHAnsi" w:hAnsiTheme="minorHAnsi" w:cstheme="minorHAnsi"/>
          <w:sz w:val="22"/>
        </w:rPr>
        <w:t>e</w:t>
      </w:r>
      <w:r w:rsidRPr="00520B73">
        <w:rPr>
          <w:rFonts w:asciiTheme="minorHAnsi" w:hAnsiTheme="minorHAnsi" w:cstheme="minorHAnsi"/>
          <w:sz w:val="22"/>
        </w:rPr>
        <w:t xml:space="preserve"> ‘Modifiable Areal Unit Problem’ was tackled by repeating analyses of the Census Rehearsal using the 1991 Census and </w:t>
      </w:r>
      <w:r w:rsidR="00421639">
        <w:rPr>
          <w:rFonts w:asciiTheme="minorHAnsi" w:hAnsiTheme="minorHAnsi" w:cstheme="minorHAnsi"/>
          <w:sz w:val="22"/>
        </w:rPr>
        <w:t>1999</w:t>
      </w:r>
      <w:r w:rsidRPr="00520B73">
        <w:rPr>
          <w:rFonts w:asciiTheme="minorHAnsi" w:hAnsiTheme="minorHAnsi" w:cstheme="minorHAnsi"/>
          <w:sz w:val="22"/>
        </w:rPr>
        <w:t xml:space="preserve"> Census Rehearsal geographies, which differed at the district, ward and enumeration district levels. It was found that the change of geographies made no substantive difference in results. </w:t>
      </w:r>
      <w:r w:rsidR="00F04B94" w:rsidRPr="00520B73">
        <w:rPr>
          <w:rFonts w:asciiTheme="minorHAnsi" w:hAnsiTheme="minorHAnsi" w:cstheme="minorHAnsi"/>
          <w:sz w:val="22"/>
        </w:rPr>
        <w:t>F</w:t>
      </w:r>
      <w:r w:rsidRPr="00520B73">
        <w:rPr>
          <w:rFonts w:asciiTheme="minorHAnsi" w:hAnsiTheme="minorHAnsi" w:cstheme="minorHAnsi"/>
          <w:sz w:val="22"/>
        </w:rPr>
        <w:t xml:space="preserve">or the sake of clarity, </w:t>
      </w:r>
      <w:r w:rsidR="00F04B94" w:rsidRPr="00520B73">
        <w:rPr>
          <w:rFonts w:asciiTheme="minorHAnsi" w:hAnsiTheme="minorHAnsi" w:cstheme="minorHAnsi"/>
          <w:sz w:val="22"/>
        </w:rPr>
        <w:t xml:space="preserve">therefore, </w:t>
      </w:r>
      <w:r w:rsidRPr="00520B73">
        <w:rPr>
          <w:rFonts w:asciiTheme="minorHAnsi" w:hAnsiTheme="minorHAnsi" w:cstheme="minorHAnsi"/>
          <w:sz w:val="22"/>
        </w:rPr>
        <w:t xml:space="preserve">all of the results reported in this paper are based solely </w:t>
      </w:r>
      <w:r w:rsidR="00994D9C">
        <w:rPr>
          <w:rFonts w:asciiTheme="minorHAnsi" w:hAnsiTheme="minorHAnsi" w:cstheme="minorHAnsi"/>
          <w:sz w:val="22"/>
        </w:rPr>
        <w:t xml:space="preserve">on </w:t>
      </w:r>
      <w:r w:rsidRPr="00520B73">
        <w:rPr>
          <w:rFonts w:asciiTheme="minorHAnsi" w:hAnsiTheme="minorHAnsi" w:cstheme="minorHAnsi"/>
          <w:sz w:val="22"/>
        </w:rPr>
        <w:t xml:space="preserve">the </w:t>
      </w:r>
      <w:r w:rsidR="00421639">
        <w:rPr>
          <w:rFonts w:asciiTheme="minorHAnsi" w:hAnsiTheme="minorHAnsi" w:cstheme="minorHAnsi"/>
          <w:sz w:val="22"/>
        </w:rPr>
        <w:t>1999</w:t>
      </w:r>
      <w:r w:rsidRPr="00520B73">
        <w:rPr>
          <w:rFonts w:asciiTheme="minorHAnsi" w:hAnsiTheme="minorHAnsi" w:cstheme="minorHAnsi"/>
          <w:sz w:val="22"/>
        </w:rPr>
        <w:t xml:space="preserve"> Rehearsal geography. </w:t>
      </w:r>
      <w:r w:rsidR="00F04B94" w:rsidRPr="00520B73">
        <w:rPr>
          <w:rFonts w:asciiTheme="minorHAnsi" w:hAnsiTheme="minorHAnsi" w:cstheme="minorHAnsi"/>
          <w:sz w:val="22"/>
        </w:rPr>
        <w:t xml:space="preserve">The full set of spatial units analysed are reported in </w:t>
      </w:r>
      <w:r w:rsidRPr="00520B73">
        <w:rPr>
          <w:rFonts w:asciiTheme="minorHAnsi" w:hAnsiTheme="minorHAnsi" w:cstheme="minorHAnsi"/>
          <w:sz w:val="22"/>
        </w:rPr>
        <w:t xml:space="preserve">Table </w:t>
      </w:r>
      <w:r w:rsidR="00AE2FAD">
        <w:rPr>
          <w:rFonts w:asciiTheme="minorHAnsi" w:hAnsiTheme="minorHAnsi" w:cstheme="minorHAnsi"/>
          <w:sz w:val="22"/>
        </w:rPr>
        <w:t>1</w:t>
      </w:r>
      <w:r w:rsidRPr="00520B73">
        <w:rPr>
          <w:rFonts w:asciiTheme="minorHAnsi" w:hAnsiTheme="minorHAnsi" w:cstheme="minorHAnsi"/>
          <w:sz w:val="22"/>
        </w:rPr>
        <w:t xml:space="preserve">, </w:t>
      </w:r>
      <w:r w:rsidR="00F04B94" w:rsidRPr="00520B73">
        <w:rPr>
          <w:rFonts w:asciiTheme="minorHAnsi" w:hAnsiTheme="minorHAnsi" w:cstheme="minorHAnsi"/>
          <w:sz w:val="22"/>
        </w:rPr>
        <w:t xml:space="preserve">alongside </w:t>
      </w:r>
      <w:r w:rsidRPr="00520B73">
        <w:rPr>
          <w:rFonts w:asciiTheme="minorHAnsi" w:hAnsiTheme="minorHAnsi" w:cstheme="minorHAnsi"/>
          <w:sz w:val="22"/>
        </w:rPr>
        <w:t xml:space="preserve">an indication of their </w:t>
      </w:r>
      <w:r w:rsidR="00F04B94" w:rsidRPr="00520B73">
        <w:rPr>
          <w:rFonts w:asciiTheme="minorHAnsi" w:hAnsiTheme="minorHAnsi" w:cstheme="minorHAnsi"/>
          <w:sz w:val="22"/>
        </w:rPr>
        <w:t xml:space="preserve">number and </w:t>
      </w:r>
      <w:r w:rsidRPr="00520B73">
        <w:rPr>
          <w:rFonts w:asciiTheme="minorHAnsi" w:hAnsiTheme="minorHAnsi" w:cstheme="minorHAnsi"/>
          <w:sz w:val="22"/>
        </w:rPr>
        <w:t>average size.</w:t>
      </w:r>
    </w:p>
    <w:p w14:paraId="77850FAA" w14:textId="77777777" w:rsidR="00A01822" w:rsidRPr="00520B73" w:rsidRDefault="00A01822" w:rsidP="00015CD9">
      <w:pPr>
        <w:spacing w:line="276" w:lineRule="auto"/>
        <w:jc w:val="both"/>
        <w:rPr>
          <w:rFonts w:asciiTheme="minorHAnsi" w:hAnsiTheme="minorHAnsi" w:cstheme="minorHAnsi"/>
          <w:sz w:val="22"/>
        </w:rPr>
      </w:pPr>
    </w:p>
    <w:p w14:paraId="46B6F3DA" w14:textId="77777777" w:rsidR="00A01822" w:rsidRPr="00520B73" w:rsidRDefault="00AE2FAD" w:rsidP="00015CD9">
      <w:pPr>
        <w:spacing w:line="276" w:lineRule="auto"/>
        <w:jc w:val="both"/>
        <w:rPr>
          <w:rFonts w:asciiTheme="minorHAnsi" w:hAnsiTheme="minorHAnsi" w:cstheme="minorHAnsi"/>
          <w:sz w:val="22"/>
        </w:rPr>
      </w:pPr>
      <w:r>
        <w:rPr>
          <w:rFonts w:asciiTheme="minorHAnsi" w:hAnsiTheme="minorHAnsi" w:cstheme="minorHAnsi"/>
          <w:sz w:val="22"/>
        </w:rPr>
        <w:t>TABLE 1</w:t>
      </w:r>
      <w:r w:rsidR="00321E49" w:rsidRPr="00520B73">
        <w:rPr>
          <w:rFonts w:asciiTheme="minorHAnsi" w:hAnsiTheme="minorHAnsi" w:cstheme="minorHAnsi"/>
          <w:sz w:val="22"/>
        </w:rPr>
        <w:t xml:space="preserve"> Census Rehearsal </w:t>
      </w:r>
      <w:r w:rsidR="00994D9C">
        <w:rPr>
          <w:rFonts w:asciiTheme="minorHAnsi" w:hAnsiTheme="minorHAnsi" w:cstheme="minorHAnsi"/>
          <w:sz w:val="22"/>
        </w:rPr>
        <w:t>respondents</w:t>
      </w:r>
      <w:r w:rsidR="000B6CA5" w:rsidRPr="00520B73">
        <w:rPr>
          <w:rFonts w:asciiTheme="minorHAnsi" w:hAnsiTheme="minorHAnsi" w:cstheme="minorHAnsi"/>
          <w:sz w:val="22"/>
        </w:rPr>
        <w:t xml:space="preserve"> [ABOUT HERE]</w:t>
      </w:r>
    </w:p>
    <w:p w14:paraId="73B5DF37" w14:textId="77777777" w:rsidR="00765532" w:rsidRPr="00520B73" w:rsidRDefault="00765532" w:rsidP="00015CD9">
      <w:pPr>
        <w:spacing w:line="276" w:lineRule="auto"/>
        <w:jc w:val="both"/>
        <w:rPr>
          <w:rFonts w:asciiTheme="minorHAnsi" w:hAnsiTheme="minorHAnsi" w:cstheme="minorHAnsi"/>
          <w:sz w:val="22"/>
        </w:rPr>
      </w:pPr>
    </w:p>
    <w:p w14:paraId="234125D6" w14:textId="77777777" w:rsidR="00833545" w:rsidRPr="007E6F4D" w:rsidRDefault="00370789" w:rsidP="00015CD9">
      <w:pPr>
        <w:spacing w:line="276" w:lineRule="auto"/>
        <w:jc w:val="both"/>
        <w:rPr>
          <w:rFonts w:asciiTheme="minorHAnsi" w:hAnsiTheme="minorHAnsi" w:cstheme="minorHAnsi"/>
          <w:b/>
          <w:sz w:val="26"/>
        </w:rPr>
      </w:pPr>
      <w:r w:rsidRPr="007E6F4D">
        <w:rPr>
          <w:rFonts w:asciiTheme="minorHAnsi" w:hAnsiTheme="minorHAnsi" w:cstheme="minorHAnsi"/>
          <w:b/>
          <w:sz w:val="26"/>
        </w:rPr>
        <w:t>3</w:t>
      </w:r>
      <w:r w:rsidR="00CB0ECC" w:rsidRPr="007E6F4D">
        <w:rPr>
          <w:rFonts w:asciiTheme="minorHAnsi" w:hAnsiTheme="minorHAnsi" w:cstheme="minorHAnsi"/>
          <w:b/>
          <w:sz w:val="26"/>
        </w:rPr>
        <w:t xml:space="preserve">. </w:t>
      </w:r>
      <w:r w:rsidR="00230B31" w:rsidRPr="007E6F4D">
        <w:rPr>
          <w:rFonts w:asciiTheme="minorHAnsi" w:hAnsiTheme="minorHAnsi" w:cstheme="minorHAnsi"/>
          <w:b/>
          <w:sz w:val="26"/>
        </w:rPr>
        <w:t>The spatial variability of incomes</w:t>
      </w:r>
    </w:p>
    <w:p w14:paraId="1555491A" w14:textId="77777777" w:rsidR="0033398E" w:rsidRPr="00520B73" w:rsidRDefault="0033398E" w:rsidP="00015CD9">
      <w:pPr>
        <w:spacing w:line="276" w:lineRule="auto"/>
        <w:jc w:val="both"/>
        <w:rPr>
          <w:rFonts w:asciiTheme="minorHAnsi" w:hAnsiTheme="minorHAnsi" w:cstheme="minorHAnsi"/>
          <w:sz w:val="22"/>
        </w:rPr>
      </w:pPr>
    </w:p>
    <w:p w14:paraId="03E2336E" w14:textId="77777777" w:rsidR="00370789" w:rsidRPr="00520B73" w:rsidRDefault="00370789"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The Census Rehearsal </w:t>
      </w:r>
      <w:r w:rsidRPr="003575C7">
        <w:rPr>
          <w:rFonts w:asciiTheme="minorHAnsi" w:hAnsiTheme="minorHAnsi" w:cstheme="minorHAnsi"/>
          <w:sz w:val="22"/>
        </w:rPr>
        <w:t>datas</w:t>
      </w:r>
      <w:r w:rsidR="007E6F4D" w:rsidRPr="003575C7">
        <w:rPr>
          <w:rFonts w:asciiTheme="minorHAnsi" w:hAnsiTheme="minorHAnsi" w:cstheme="minorHAnsi"/>
          <w:sz w:val="22"/>
        </w:rPr>
        <w:t>et al</w:t>
      </w:r>
      <w:r w:rsidRPr="003575C7">
        <w:rPr>
          <w:rFonts w:asciiTheme="minorHAnsi" w:hAnsiTheme="minorHAnsi" w:cstheme="minorHAnsi"/>
          <w:sz w:val="22"/>
        </w:rPr>
        <w:t>lows</w:t>
      </w:r>
      <w:r w:rsidRPr="00520B73">
        <w:rPr>
          <w:rFonts w:asciiTheme="minorHAnsi" w:hAnsiTheme="minorHAnsi" w:cstheme="minorHAnsi"/>
          <w:sz w:val="22"/>
        </w:rPr>
        <w:t xml:space="preserve"> the spatial variability of incomes to be investigated from </w:t>
      </w:r>
      <w:r w:rsidR="00E65738" w:rsidRPr="00520B73">
        <w:rPr>
          <w:rFonts w:asciiTheme="minorHAnsi" w:hAnsiTheme="minorHAnsi" w:cstheme="minorHAnsi"/>
          <w:sz w:val="22"/>
        </w:rPr>
        <w:t>four</w:t>
      </w:r>
      <w:r w:rsidRPr="00520B73">
        <w:rPr>
          <w:rFonts w:asciiTheme="minorHAnsi" w:hAnsiTheme="minorHAnsi" w:cstheme="minorHAnsi"/>
          <w:sz w:val="22"/>
        </w:rPr>
        <w:t xml:space="preserve"> different </w:t>
      </w:r>
      <w:r w:rsidR="007B1964" w:rsidRPr="00520B73">
        <w:rPr>
          <w:rFonts w:asciiTheme="minorHAnsi" w:hAnsiTheme="minorHAnsi" w:cstheme="minorHAnsi"/>
          <w:sz w:val="22"/>
        </w:rPr>
        <w:t>angles: c</w:t>
      </w:r>
      <w:r w:rsidRPr="00520B73">
        <w:rPr>
          <w:rFonts w:asciiTheme="minorHAnsi" w:hAnsiTheme="minorHAnsi" w:cstheme="minorHAnsi"/>
          <w:sz w:val="22"/>
        </w:rPr>
        <w:t xml:space="preserve">hanges in variability with </w:t>
      </w:r>
      <w:r w:rsidRPr="00553767">
        <w:rPr>
          <w:rFonts w:asciiTheme="minorHAnsi" w:hAnsiTheme="minorHAnsi" w:cstheme="minorHAnsi"/>
          <w:i/>
          <w:sz w:val="22"/>
        </w:rPr>
        <w:t>scale</w:t>
      </w:r>
      <w:r w:rsidR="00807F01" w:rsidRPr="00520B73">
        <w:rPr>
          <w:rFonts w:asciiTheme="minorHAnsi" w:hAnsiTheme="minorHAnsi" w:cstheme="minorHAnsi"/>
          <w:sz w:val="22"/>
        </w:rPr>
        <w:t xml:space="preserve"> and</w:t>
      </w:r>
      <w:r w:rsidR="00994D9C">
        <w:rPr>
          <w:rFonts w:asciiTheme="minorHAnsi" w:hAnsiTheme="minorHAnsi" w:cstheme="minorHAnsi"/>
          <w:sz w:val="22"/>
        </w:rPr>
        <w:t xml:space="preserve"> with</w:t>
      </w:r>
      <w:r w:rsidR="00807F01" w:rsidRPr="00520B73">
        <w:rPr>
          <w:rFonts w:asciiTheme="minorHAnsi" w:hAnsiTheme="minorHAnsi" w:cstheme="minorHAnsi"/>
          <w:sz w:val="22"/>
        </w:rPr>
        <w:t xml:space="preserve"> </w:t>
      </w:r>
      <w:r w:rsidR="00807F01" w:rsidRPr="00553767">
        <w:rPr>
          <w:rFonts w:asciiTheme="minorHAnsi" w:hAnsiTheme="minorHAnsi" w:cstheme="minorHAnsi"/>
          <w:i/>
          <w:sz w:val="22"/>
        </w:rPr>
        <w:t>unit of measurement</w:t>
      </w:r>
      <w:r w:rsidRPr="00520B73">
        <w:rPr>
          <w:rFonts w:asciiTheme="minorHAnsi" w:hAnsiTheme="minorHAnsi" w:cstheme="minorHAnsi"/>
          <w:sz w:val="22"/>
        </w:rPr>
        <w:t xml:space="preserve">; the extent to which variability in incomes is explained by </w:t>
      </w:r>
      <w:r w:rsidR="007B1964" w:rsidRPr="00553767">
        <w:rPr>
          <w:rFonts w:asciiTheme="minorHAnsi" w:hAnsiTheme="minorHAnsi" w:cstheme="minorHAnsi"/>
          <w:i/>
          <w:sz w:val="22"/>
        </w:rPr>
        <w:t>variation between areas</w:t>
      </w:r>
      <w:r w:rsidRPr="00520B73">
        <w:rPr>
          <w:rFonts w:asciiTheme="minorHAnsi" w:hAnsiTheme="minorHAnsi" w:cstheme="minorHAnsi"/>
          <w:sz w:val="22"/>
        </w:rPr>
        <w:t xml:space="preserve">; and the extent to which </w:t>
      </w:r>
      <w:r w:rsidR="00765532" w:rsidRPr="00553767">
        <w:rPr>
          <w:rFonts w:asciiTheme="minorHAnsi" w:hAnsiTheme="minorHAnsi" w:cstheme="minorHAnsi"/>
          <w:i/>
          <w:sz w:val="22"/>
        </w:rPr>
        <w:t>spatial segregation</w:t>
      </w:r>
      <w:r w:rsidR="00765532" w:rsidRPr="00520B73">
        <w:rPr>
          <w:rFonts w:asciiTheme="minorHAnsi" w:hAnsiTheme="minorHAnsi" w:cstheme="minorHAnsi"/>
          <w:sz w:val="22"/>
        </w:rPr>
        <w:t xml:space="preserve"> varies </w:t>
      </w:r>
      <w:r w:rsidR="007B1964" w:rsidRPr="00520B73">
        <w:rPr>
          <w:rFonts w:asciiTheme="minorHAnsi" w:hAnsiTheme="minorHAnsi" w:cstheme="minorHAnsi"/>
          <w:sz w:val="22"/>
        </w:rPr>
        <w:t>with income</w:t>
      </w:r>
      <w:r w:rsidR="00765532" w:rsidRPr="00520B73">
        <w:rPr>
          <w:rFonts w:asciiTheme="minorHAnsi" w:hAnsiTheme="minorHAnsi" w:cstheme="minorHAnsi"/>
          <w:sz w:val="22"/>
        </w:rPr>
        <w:t>.</w:t>
      </w:r>
    </w:p>
    <w:p w14:paraId="17DBB34B" w14:textId="77777777" w:rsidR="00A22982" w:rsidRPr="00520B73" w:rsidRDefault="00A22982" w:rsidP="00015CD9">
      <w:pPr>
        <w:spacing w:line="276" w:lineRule="auto"/>
        <w:jc w:val="both"/>
        <w:rPr>
          <w:rFonts w:asciiTheme="minorHAnsi" w:hAnsiTheme="minorHAnsi" w:cstheme="minorHAnsi"/>
          <w:sz w:val="22"/>
        </w:rPr>
      </w:pPr>
    </w:p>
    <w:p w14:paraId="6279FDCA" w14:textId="77777777" w:rsidR="007B1964" w:rsidRPr="00520B73" w:rsidRDefault="007B1964" w:rsidP="00015CD9">
      <w:pPr>
        <w:spacing w:line="276" w:lineRule="auto"/>
        <w:jc w:val="both"/>
        <w:rPr>
          <w:rFonts w:asciiTheme="minorHAnsi" w:hAnsiTheme="minorHAnsi" w:cstheme="minorHAnsi"/>
          <w:i/>
          <w:sz w:val="22"/>
        </w:rPr>
      </w:pPr>
      <w:r w:rsidRPr="00520B73">
        <w:rPr>
          <w:rFonts w:asciiTheme="minorHAnsi" w:hAnsiTheme="minorHAnsi" w:cstheme="minorHAnsi"/>
          <w:i/>
          <w:sz w:val="22"/>
        </w:rPr>
        <w:t>3.</w:t>
      </w:r>
      <w:r w:rsidR="00807F01" w:rsidRPr="00520B73">
        <w:rPr>
          <w:rFonts w:asciiTheme="minorHAnsi" w:hAnsiTheme="minorHAnsi" w:cstheme="minorHAnsi"/>
          <w:i/>
          <w:sz w:val="22"/>
        </w:rPr>
        <w:t>1 Measure</w:t>
      </w:r>
      <w:r w:rsidR="00E65738" w:rsidRPr="00520B73">
        <w:rPr>
          <w:rFonts w:asciiTheme="minorHAnsi" w:hAnsiTheme="minorHAnsi" w:cstheme="minorHAnsi"/>
          <w:i/>
          <w:sz w:val="22"/>
        </w:rPr>
        <w:t>ment</w:t>
      </w:r>
      <w:r w:rsidR="00807F01" w:rsidRPr="00520B73">
        <w:rPr>
          <w:rFonts w:asciiTheme="minorHAnsi" w:hAnsiTheme="minorHAnsi" w:cstheme="minorHAnsi"/>
          <w:i/>
          <w:sz w:val="22"/>
        </w:rPr>
        <w:t xml:space="preserve"> </w:t>
      </w:r>
      <w:r w:rsidRPr="00520B73">
        <w:rPr>
          <w:rFonts w:asciiTheme="minorHAnsi" w:hAnsiTheme="minorHAnsi" w:cstheme="minorHAnsi"/>
          <w:i/>
          <w:sz w:val="22"/>
        </w:rPr>
        <w:t>effects</w:t>
      </w:r>
    </w:p>
    <w:p w14:paraId="7D0A1B66" w14:textId="77777777" w:rsidR="007E6F4D" w:rsidRDefault="007E6F4D" w:rsidP="00015CD9">
      <w:pPr>
        <w:spacing w:line="276" w:lineRule="auto"/>
        <w:jc w:val="both"/>
        <w:rPr>
          <w:rFonts w:asciiTheme="minorHAnsi" w:hAnsiTheme="minorHAnsi" w:cstheme="minorHAnsi"/>
          <w:sz w:val="22"/>
        </w:rPr>
      </w:pPr>
    </w:p>
    <w:p w14:paraId="07CA2346" w14:textId="77777777" w:rsidR="00A22982" w:rsidRPr="00520B73" w:rsidRDefault="00A22982"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Analytical interest may lie in the spatial distribution of individual, household or </w:t>
      </w:r>
      <w:proofErr w:type="spellStart"/>
      <w:r w:rsidRPr="00520B73">
        <w:rPr>
          <w:rFonts w:asciiTheme="minorHAnsi" w:hAnsiTheme="minorHAnsi" w:cstheme="minorHAnsi"/>
          <w:sz w:val="22"/>
        </w:rPr>
        <w:t>equivalised</w:t>
      </w:r>
      <w:proofErr w:type="spellEnd"/>
      <w:r w:rsidRPr="00520B73">
        <w:rPr>
          <w:rFonts w:asciiTheme="minorHAnsi" w:hAnsiTheme="minorHAnsi" w:cstheme="minorHAnsi"/>
          <w:sz w:val="22"/>
        </w:rPr>
        <w:t xml:space="preserve"> household i</w:t>
      </w:r>
      <w:r w:rsidR="00816413">
        <w:rPr>
          <w:rFonts w:asciiTheme="minorHAnsi" w:hAnsiTheme="minorHAnsi" w:cstheme="minorHAnsi"/>
          <w:sz w:val="22"/>
        </w:rPr>
        <w:t>ncomes. For this reason Figure 1</w:t>
      </w:r>
      <w:r w:rsidRPr="00520B73">
        <w:rPr>
          <w:rFonts w:asciiTheme="minorHAnsi" w:hAnsiTheme="minorHAnsi" w:cstheme="minorHAnsi"/>
          <w:sz w:val="22"/>
        </w:rPr>
        <w:t xml:space="preserve">a shows the </w:t>
      </w:r>
      <w:r w:rsidR="003E47AB" w:rsidRPr="00520B73">
        <w:rPr>
          <w:rFonts w:asciiTheme="minorHAnsi" w:hAnsiTheme="minorHAnsi" w:cstheme="minorHAnsi"/>
          <w:sz w:val="22"/>
        </w:rPr>
        <w:t>distribution of</w:t>
      </w:r>
      <w:r w:rsidRPr="00520B73">
        <w:rPr>
          <w:rFonts w:asciiTheme="minorHAnsi" w:hAnsiTheme="minorHAnsi" w:cstheme="minorHAnsi"/>
          <w:sz w:val="22"/>
        </w:rPr>
        <w:t xml:space="preserve"> mean</w:t>
      </w:r>
      <w:r w:rsidR="003E47AB" w:rsidRPr="00520B73">
        <w:rPr>
          <w:rFonts w:asciiTheme="minorHAnsi" w:hAnsiTheme="minorHAnsi" w:cstheme="minorHAnsi"/>
          <w:sz w:val="22"/>
        </w:rPr>
        <w:t xml:space="preserve"> incomes per Enumeration District (ED)</w:t>
      </w:r>
      <w:r w:rsidRPr="00520B73">
        <w:rPr>
          <w:rFonts w:asciiTheme="minorHAnsi" w:hAnsiTheme="minorHAnsi" w:cstheme="minorHAnsi"/>
          <w:sz w:val="22"/>
        </w:rPr>
        <w:t xml:space="preserve"> for a </w:t>
      </w:r>
      <w:r w:rsidR="003E47AB" w:rsidRPr="00520B73">
        <w:rPr>
          <w:rFonts w:asciiTheme="minorHAnsi" w:hAnsiTheme="minorHAnsi" w:cstheme="minorHAnsi"/>
          <w:sz w:val="22"/>
        </w:rPr>
        <w:t>variety</w:t>
      </w:r>
      <w:r w:rsidRPr="00520B73">
        <w:rPr>
          <w:rFonts w:asciiTheme="minorHAnsi" w:hAnsiTheme="minorHAnsi" w:cstheme="minorHAnsi"/>
          <w:sz w:val="22"/>
        </w:rPr>
        <w:t xml:space="preserve"> of income measures.  Of the numerous household equivalence scales in circulation, only two were chosen.  The</w:t>
      </w:r>
      <w:r w:rsidR="00553767">
        <w:rPr>
          <w:rFonts w:asciiTheme="minorHAnsi" w:hAnsiTheme="minorHAnsi" w:cstheme="minorHAnsi"/>
          <w:sz w:val="22"/>
        </w:rPr>
        <w:t>se were the</w:t>
      </w:r>
      <w:r w:rsidRPr="00520B73">
        <w:rPr>
          <w:rFonts w:asciiTheme="minorHAnsi" w:hAnsiTheme="minorHAnsi" w:cstheme="minorHAnsi"/>
          <w:sz w:val="22"/>
        </w:rPr>
        <w:t xml:space="preserve"> </w:t>
      </w:r>
      <w:proofErr w:type="spellStart"/>
      <w:r w:rsidRPr="00520B73">
        <w:rPr>
          <w:rFonts w:asciiTheme="minorHAnsi" w:hAnsiTheme="minorHAnsi" w:cstheme="minorHAnsi"/>
          <w:sz w:val="22"/>
        </w:rPr>
        <w:t>McClements</w:t>
      </w:r>
      <w:proofErr w:type="spellEnd"/>
      <w:r w:rsidRPr="00520B73">
        <w:rPr>
          <w:rFonts w:asciiTheme="minorHAnsi" w:hAnsiTheme="minorHAnsi" w:cstheme="minorHAnsi"/>
          <w:sz w:val="22"/>
        </w:rPr>
        <w:t xml:space="preserve"> scale, the </w:t>
      </w:r>
      <w:r w:rsidRPr="00520B73">
        <w:rPr>
          <w:rFonts w:asciiTheme="minorHAnsi" w:hAnsiTheme="minorHAnsi" w:cstheme="minorHAnsi"/>
          <w:i/>
          <w:iCs/>
          <w:sz w:val="22"/>
        </w:rPr>
        <w:t>de facto</w:t>
      </w:r>
      <w:r w:rsidRPr="00520B73">
        <w:rPr>
          <w:rFonts w:asciiTheme="minorHAnsi" w:hAnsiTheme="minorHAnsi" w:cstheme="minorHAnsi"/>
          <w:sz w:val="22"/>
        </w:rPr>
        <w:t xml:space="preserve"> scale of choice within the Office for National Statistics until </w:t>
      </w:r>
      <w:r w:rsidR="00796072" w:rsidRPr="00520B73">
        <w:rPr>
          <w:rFonts w:asciiTheme="minorHAnsi" w:hAnsiTheme="minorHAnsi" w:cstheme="minorHAnsi"/>
          <w:sz w:val="22"/>
        </w:rPr>
        <w:t>c. 2007</w:t>
      </w:r>
      <w:r w:rsidRPr="00520B73">
        <w:rPr>
          <w:rFonts w:asciiTheme="minorHAnsi" w:hAnsiTheme="minorHAnsi" w:cstheme="minorHAnsi"/>
          <w:sz w:val="22"/>
        </w:rPr>
        <w:t xml:space="preserve">, and the modified OECD scale, subsequently adopted by the ONS and already used widely by analysts around the world. Similar </w:t>
      </w:r>
      <w:r w:rsidR="00B33927" w:rsidRPr="00520B73">
        <w:rPr>
          <w:rFonts w:asciiTheme="minorHAnsi" w:hAnsiTheme="minorHAnsi" w:cstheme="minorHAnsi"/>
          <w:sz w:val="22"/>
        </w:rPr>
        <w:t xml:space="preserve">spatial </w:t>
      </w:r>
      <w:r w:rsidRPr="00520B73">
        <w:rPr>
          <w:rFonts w:asciiTheme="minorHAnsi" w:hAnsiTheme="minorHAnsi" w:cstheme="minorHAnsi"/>
          <w:sz w:val="22"/>
        </w:rPr>
        <w:t xml:space="preserve">variability is found for all income </w:t>
      </w:r>
      <w:r w:rsidR="00B33927" w:rsidRPr="00520B73">
        <w:rPr>
          <w:rFonts w:asciiTheme="minorHAnsi" w:hAnsiTheme="minorHAnsi" w:cstheme="minorHAnsi"/>
          <w:sz w:val="22"/>
        </w:rPr>
        <w:t xml:space="preserve">measures </w:t>
      </w:r>
      <w:r w:rsidRPr="00520B73">
        <w:rPr>
          <w:rFonts w:asciiTheme="minorHAnsi" w:hAnsiTheme="minorHAnsi" w:cstheme="minorHAnsi"/>
          <w:sz w:val="22"/>
        </w:rPr>
        <w:t xml:space="preserve">except </w:t>
      </w:r>
      <w:r w:rsidR="003E47AB" w:rsidRPr="00520B73">
        <w:rPr>
          <w:rFonts w:asciiTheme="minorHAnsi" w:hAnsiTheme="minorHAnsi" w:cstheme="minorHAnsi"/>
          <w:sz w:val="22"/>
        </w:rPr>
        <w:t>T</w:t>
      </w:r>
      <w:r w:rsidRPr="00520B73">
        <w:rPr>
          <w:rFonts w:asciiTheme="minorHAnsi" w:hAnsiTheme="minorHAnsi" w:cstheme="minorHAnsi"/>
          <w:sz w:val="22"/>
        </w:rPr>
        <w:t xml:space="preserve">otal and </w:t>
      </w:r>
      <w:proofErr w:type="spellStart"/>
      <w:r w:rsidRPr="00520B73">
        <w:rPr>
          <w:rFonts w:asciiTheme="minorHAnsi" w:hAnsiTheme="minorHAnsi" w:cstheme="minorHAnsi"/>
          <w:sz w:val="22"/>
        </w:rPr>
        <w:t>McClements-equivalised</w:t>
      </w:r>
      <w:proofErr w:type="spellEnd"/>
      <w:r w:rsidRPr="00520B73">
        <w:rPr>
          <w:rFonts w:asciiTheme="minorHAnsi" w:hAnsiTheme="minorHAnsi" w:cstheme="minorHAnsi"/>
          <w:sz w:val="22"/>
        </w:rPr>
        <w:t xml:space="preserve"> household income, </w:t>
      </w:r>
      <w:r w:rsidR="003E47AB" w:rsidRPr="00520B73">
        <w:rPr>
          <w:rFonts w:asciiTheme="minorHAnsi" w:hAnsiTheme="minorHAnsi" w:cstheme="minorHAnsi"/>
          <w:sz w:val="22"/>
        </w:rPr>
        <w:t xml:space="preserve">both of which </w:t>
      </w:r>
      <w:r w:rsidRPr="00520B73">
        <w:rPr>
          <w:rFonts w:asciiTheme="minorHAnsi" w:hAnsiTheme="minorHAnsi" w:cstheme="minorHAnsi"/>
          <w:sz w:val="22"/>
        </w:rPr>
        <w:t>show considerably greater variability</w:t>
      </w:r>
      <w:r w:rsidR="003E47AB" w:rsidRPr="00520B73">
        <w:rPr>
          <w:rFonts w:asciiTheme="minorHAnsi" w:hAnsiTheme="minorHAnsi" w:cstheme="minorHAnsi"/>
          <w:sz w:val="22"/>
        </w:rPr>
        <w:t>, the latter strikingly so</w:t>
      </w:r>
      <w:r w:rsidRPr="00520B73">
        <w:rPr>
          <w:rFonts w:asciiTheme="minorHAnsi" w:hAnsiTheme="minorHAnsi" w:cstheme="minorHAnsi"/>
          <w:sz w:val="22"/>
        </w:rPr>
        <w:t xml:space="preserve">. This </w:t>
      </w:r>
      <w:r w:rsidR="008C369B" w:rsidRPr="00520B73">
        <w:rPr>
          <w:rFonts w:asciiTheme="minorHAnsi" w:hAnsiTheme="minorHAnsi" w:cstheme="minorHAnsi"/>
          <w:sz w:val="22"/>
        </w:rPr>
        <w:t>accords with</w:t>
      </w:r>
      <w:r w:rsidRPr="00520B73">
        <w:rPr>
          <w:rFonts w:asciiTheme="minorHAnsi" w:hAnsiTheme="minorHAnsi" w:cstheme="minorHAnsi"/>
          <w:sz w:val="22"/>
        </w:rPr>
        <w:t xml:space="preserve"> Berthoud’s finding</w:t>
      </w:r>
      <w:r w:rsidR="00C41834" w:rsidRPr="00520B73">
        <w:rPr>
          <w:rFonts w:asciiTheme="minorHAnsi" w:hAnsiTheme="minorHAnsi" w:cstheme="minorHAnsi"/>
          <w:sz w:val="22"/>
        </w:rPr>
        <w:t>, based upon an analysis of the 1994 and 1995 FRS,</w:t>
      </w:r>
      <w:r w:rsidRPr="00520B73">
        <w:rPr>
          <w:rFonts w:asciiTheme="minorHAnsi" w:hAnsiTheme="minorHAnsi" w:cstheme="minorHAnsi"/>
          <w:sz w:val="22"/>
        </w:rPr>
        <w:t xml:space="preserve"> </w:t>
      </w:r>
      <w:r w:rsidR="003E47AB" w:rsidRPr="00520B73">
        <w:rPr>
          <w:rFonts w:asciiTheme="minorHAnsi" w:hAnsiTheme="minorHAnsi" w:cstheme="minorHAnsi"/>
          <w:sz w:val="22"/>
        </w:rPr>
        <w:t xml:space="preserve">that </w:t>
      </w:r>
      <w:proofErr w:type="spellStart"/>
      <w:r w:rsidR="003E47AB" w:rsidRPr="00520B73">
        <w:rPr>
          <w:rFonts w:asciiTheme="minorHAnsi" w:hAnsiTheme="minorHAnsi" w:cstheme="minorHAnsi"/>
          <w:sz w:val="22"/>
        </w:rPr>
        <w:lastRenderedPageBreak/>
        <w:t>McClements-equivalised</w:t>
      </w:r>
      <w:proofErr w:type="spellEnd"/>
      <w:r w:rsidR="003E47AB" w:rsidRPr="00520B73">
        <w:rPr>
          <w:rFonts w:asciiTheme="minorHAnsi" w:hAnsiTheme="minorHAnsi" w:cstheme="minorHAnsi"/>
          <w:sz w:val="22"/>
        </w:rPr>
        <w:t xml:space="preserve"> </w:t>
      </w:r>
      <w:r w:rsidR="003E47AB" w:rsidRPr="00520B73">
        <w:rPr>
          <w:rFonts w:asciiTheme="minorHAnsi" w:hAnsiTheme="minorHAnsi" w:cstheme="minorHAnsi"/>
          <w:i/>
          <w:sz w:val="22"/>
        </w:rPr>
        <w:t>net</w:t>
      </w:r>
      <w:r w:rsidR="003E47AB" w:rsidRPr="00520B73">
        <w:rPr>
          <w:rFonts w:asciiTheme="minorHAnsi" w:hAnsiTheme="minorHAnsi" w:cstheme="minorHAnsi"/>
          <w:sz w:val="22"/>
        </w:rPr>
        <w:t xml:space="preserve"> household income displayed a wider range of variation between </w:t>
      </w:r>
      <w:r w:rsidR="008C369B" w:rsidRPr="00520B73">
        <w:rPr>
          <w:rFonts w:asciiTheme="minorHAnsi" w:hAnsiTheme="minorHAnsi" w:cstheme="minorHAnsi"/>
          <w:sz w:val="22"/>
        </w:rPr>
        <w:t>Postcode</w:t>
      </w:r>
      <w:r w:rsidR="003E47AB" w:rsidRPr="00520B73">
        <w:rPr>
          <w:rFonts w:asciiTheme="minorHAnsi" w:hAnsiTheme="minorHAnsi" w:cstheme="minorHAnsi"/>
          <w:sz w:val="22"/>
        </w:rPr>
        <w:t xml:space="preserve"> </w:t>
      </w:r>
      <w:r w:rsidR="008C369B" w:rsidRPr="00520B73">
        <w:rPr>
          <w:rFonts w:asciiTheme="minorHAnsi" w:hAnsiTheme="minorHAnsi" w:cstheme="minorHAnsi"/>
          <w:sz w:val="22"/>
        </w:rPr>
        <w:t>S</w:t>
      </w:r>
      <w:r w:rsidR="003E47AB" w:rsidRPr="00520B73">
        <w:rPr>
          <w:rFonts w:asciiTheme="minorHAnsi" w:hAnsiTheme="minorHAnsi" w:cstheme="minorHAnsi"/>
          <w:sz w:val="22"/>
        </w:rPr>
        <w:t xml:space="preserve">ectors than </w:t>
      </w:r>
      <w:r w:rsidR="008C369B" w:rsidRPr="00520B73">
        <w:rPr>
          <w:rFonts w:asciiTheme="minorHAnsi" w:hAnsiTheme="minorHAnsi" w:cstheme="minorHAnsi"/>
          <w:sz w:val="22"/>
        </w:rPr>
        <w:t xml:space="preserve">any other </w:t>
      </w:r>
      <w:r w:rsidR="00C41834" w:rsidRPr="00520B73">
        <w:rPr>
          <w:rFonts w:asciiTheme="minorHAnsi" w:hAnsiTheme="minorHAnsi" w:cstheme="minorHAnsi"/>
          <w:sz w:val="22"/>
        </w:rPr>
        <w:t xml:space="preserve">income </w:t>
      </w:r>
      <w:r w:rsidR="008C369B" w:rsidRPr="00520B73">
        <w:rPr>
          <w:rFonts w:asciiTheme="minorHAnsi" w:hAnsiTheme="minorHAnsi" w:cstheme="minorHAnsi"/>
          <w:sz w:val="22"/>
        </w:rPr>
        <w:t xml:space="preserve">measure </w:t>
      </w:r>
      <w:r w:rsidR="003E47AB" w:rsidRPr="00520B73">
        <w:rPr>
          <w:rFonts w:asciiTheme="minorHAnsi" w:hAnsiTheme="minorHAnsi" w:cstheme="minorHAnsi"/>
          <w:sz w:val="22"/>
        </w:rPr>
        <w:t>(Berthoud, 2008).</w:t>
      </w:r>
      <w:r w:rsidR="00B33927" w:rsidRPr="00520B73">
        <w:rPr>
          <w:rFonts w:asciiTheme="minorHAnsi" w:hAnsiTheme="minorHAnsi" w:cstheme="minorHAnsi"/>
          <w:sz w:val="22"/>
        </w:rPr>
        <w:t xml:space="preserve"> </w:t>
      </w:r>
    </w:p>
    <w:p w14:paraId="70B7FAC9" w14:textId="77777777" w:rsidR="008C369B" w:rsidRPr="00520B73" w:rsidRDefault="008C369B" w:rsidP="00015CD9">
      <w:pPr>
        <w:spacing w:line="276" w:lineRule="auto"/>
        <w:jc w:val="both"/>
        <w:rPr>
          <w:rFonts w:asciiTheme="minorHAnsi" w:hAnsiTheme="minorHAnsi" w:cstheme="minorHAnsi"/>
          <w:sz w:val="22"/>
        </w:rPr>
      </w:pPr>
    </w:p>
    <w:p w14:paraId="5D1CE05D" w14:textId="77777777" w:rsidR="00EE74DB" w:rsidRPr="00520B73" w:rsidRDefault="00EE74DB"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FIGURE </w:t>
      </w:r>
      <w:r w:rsidR="00816413">
        <w:rPr>
          <w:rFonts w:asciiTheme="minorHAnsi" w:hAnsiTheme="minorHAnsi" w:cstheme="minorHAnsi"/>
          <w:sz w:val="22"/>
        </w:rPr>
        <w:t>1</w:t>
      </w:r>
      <w:r w:rsidRPr="00520B73">
        <w:rPr>
          <w:rFonts w:asciiTheme="minorHAnsi" w:hAnsiTheme="minorHAnsi" w:cstheme="minorHAnsi"/>
          <w:sz w:val="22"/>
        </w:rPr>
        <w:t xml:space="preserve"> </w:t>
      </w:r>
      <w:proofErr w:type="gramStart"/>
      <w:r w:rsidRPr="00520B73">
        <w:rPr>
          <w:rFonts w:asciiTheme="minorHAnsi" w:hAnsiTheme="minorHAnsi" w:cstheme="minorHAnsi"/>
          <w:sz w:val="22"/>
        </w:rPr>
        <w:t>The</w:t>
      </w:r>
      <w:proofErr w:type="gramEnd"/>
      <w:r w:rsidRPr="00520B73">
        <w:rPr>
          <w:rFonts w:asciiTheme="minorHAnsi" w:hAnsiTheme="minorHAnsi" w:cstheme="minorHAnsi"/>
          <w:sz w:val="22"/>
        </w:rPr>
        <w:t xml:space="preserve"> spatial variability of mean </w:t>
      </w:r>
      <w:r w:rsidR="00994D9C">
        <w:rPr>
          <w:rFonts w:asciiTheme="minorHAnsi" w:hAnsiTheme="minorHAnsi" w:cstheme="minorHAnsi"/>
          <w:sz w:val="22"/>
        </w:rPr>
        <w:t xml:space="preserve">area </w:t>
      </w:r>
      <w:r w:rsidRPr="00520B73">
        <w:rPr>
          <w:rFonts w:asciiTheme="minorHAnsi" w:hAnsiTheme="minorHAnsi" w:cstheme="minorHAnsi"/>
          <w:sz w:val="22"/>
        </w:rPr>
        <w:t xml:space="preserve">incomes (£ per week, </w:t>
      </w:r>
      <w:r w:rsidR="00994D9C">
        <w:rPr>
          <w:rFonts w:asciiTheme="minorHAnsi" w:hAnsiTheme="minorHAnsi" w:cstheme="minorHAnsi"/>
          <w:sz w:val="22"/>
        </w:rPr>
        <w:t>g</w:t>
      </w:r>
      <w:r w:rsidRPr="00520B73">
        <w:rPr>
          <w:rFonts w:asciiTheme="minorHAnsi" w:hAnsiTheme="minorHAnsi" w:cstheme="minorHAnsi"/>
          <w:sz w:val="22"/>
        </w:rPr>
        <w:t>ross) [ABOUT HERE]</w:t>
      </w:r>
    </w:p>
    <w:p w14:paraId="37D826A1" w14:textId="77777777" w:rsidR="00EE74DB" w:rsidRPr="00520B73" w:rsidRDefault="00EE74DB" w:rsidP="00015CD9">
      <w:pPr>
        <w:spacing w:line="276" w:lineRule="auto"/>
        <w:jc w:val="both"/>
        <w:rPr>
          <w:rFonts w:asciiTheme="minorHAnsi" w:hAnsiTheme="minorHAnsi" w:cstheme="minorHAnsi"/>
          <w:sz w:val="22"/>
        </w:rPr>
      </w:pPr>
    </w:p>
    <w:p w14:paraId="7A4EB5F7" w14:textId="77777777" w:rsidR="00EE74DB" w:rsidRPr="00520B73" w:rsidRDefault="00C41834"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Berthoud’s finding serves </w:t>
      </w:r>
      <w:r w:rsidR="00A918F4" w:rsidRPr="00520B73">
        <w:rPr>
          <w:rFonts w:asciiTheme="minorHAnsi" w:hAnsiTheme="minorHAnsi" w:cstheme="minorHAnsi"/>
          <w:sz w:val="22"/>
        </w:rPr>
        <w:t xml:space="preserve">as a reminder </w:t>
      </w:r>
      <w:r w:rsidRPr="00520B73">
        <w:rPr>
          <w:rFonts w:asciiTheme="minorHAnsi" w:hAnsiTheme="minorHAnsi" w:cstheme="minorHAnsi"/>
          <w:sz w:val="22"/>
        </w:rPr>
        <w:t xml:space="preserve">that the Rehearsal measured gross rather than net incomes. Given that gross incomes include state welfare transfers, the spatial variability in incomes reported in </w:t>
      </w:r>
      <w:r w:rsidR="00B33927" w:rsidRPr="00520B73">
        <w:rPr>
          <w:rFonts w:asciiTheme="minorHAnsi" w:hAnsiTheme="minorHAnsi" w:cstheme="minorHAnsi"/>
          <w:sz w:val="22"/>
        </w:rPr>
        <w:t xml:space="preserve">Figure </w:t>
      </w:r>
      <w:r w:rsidR="00816413">
        <w:rPr>
          <w:rFonts w:asciiTheme="minorHAnsi" w:hAnsiTheme="minorHAnsi" w:cstheme="minorHAnsi"/>
          <w:sz w:val="22"/>
        </w:rPr>
        <w:t>1</w:t>
      </w:r>
      <w:r w:rsidR="00B33927" w:rsidRPr="00520B73">
        <w:rPr>
          <w:rFonts w:asciiTheme="minorHAnsi" w:hAnsiTheme="minorHAnsi" w:cstheme="minorHAnsi"/>
          <w:sz w:val="22"/>
        </w:rPr>
        <w:t>, and throughout the remainder of this paper,</w:t>
      </w:r>
      <w:r w:rsidRPr="00520B73">
        <w:rPr>
          <w:rFonts w:asciiTheme="minorHAnsi" w:hAnsiTheme="minorHAnsi" w:cstheme="minorHAnsi"/>
          <w:sz w:val="22"/>
        </w:rPr>
        <w:t xml:space="preserve"> could be viewed as an upper limit, likely to be reduced following the taxation of high income individuals</w:t>
      </w:r>
      <w:r w:rsidR="00B33927" w:rsidRPr="00520B73">
        <w:rPr>
          <w:rFonts w:asciiTheme="minorHAnsi" w:hAnsiTheme="minorHAnsi" w:cstheme="minorHAnsi"/>
          <w:sz w:val="22"/>
        </w:rPr>
        <w:t xml:space="preserve"> – assuming that they are spatially clustered</w:t>
      </w:r>
      <w:r w:rsidRPr="00520B73">
        <w:rPr>
          <w:rFonts w:asciiTheme="minorHAnsi" w:hAnsiTheme="minorHAnsi" w:cstheme="minorHAnsi"/>
          <w:sz w:val="22"/>
        </w:rPr>
        <w:t xml:space="preserve">. </w:t>
      </w:r>
      <w:r w:rsidR="00816413">
        <w:rPr>
          <w:rFonts w:asciiTheme="minorHAnsi" w:hAnsiTheme="minorHAnsi" w:cstheme="minorHAnsi"/>
          <w:sz w:val="22"/>
        </w:rPr>
        <w:t>That said</w:t>
      </w:r>
      <w:r w:rsidRPr="00520B73">
        <w:rPr>
          <w:rFonts w:asciiTheme="minorHAnsi" w:hAnsiTheme="minorHAnsi" w:cstheme="minorHAnsi"/>
          <w:sz w:val="22"/>
        </w:rPr>
        <w:t xml:space="preserve">, Berthoud reported finding greater </w:t>
      </w:r>
      <w:r w:rsidR="00B33927" w:rsidRPr="00520B73">
        <w:rPr>
          <w:rFonts w:asciiTheme="minorHAnsi" w:hAnsiTheme="minorHAnsi" w:cstheme="minorHAnsi"/>
          <w:sz w:val="22"/>
        </w:rPr>
        <w:t xml:space="preserve">spatial </w:t>
      </w:r>
      <w:r w:rsidRPr="00520B73">
        <w:rPr>
          <w:rFonts w:asciiTheme="minorHAnsi" w:hAnsiTheme="minorHAnsi" w:cstheme="minorHAnsi"/>
          <w:sz w:val="22"/>
        </w:rPr>
        <w:t>variability between net rather than gross household incomes</w:t>
      </w:r>
      <w:r w:rsidR="00816413">
        <w:rPr>
          <w:rFonts w:asciiTheme="minorHAnsi" w:hAnsiTheme="minorHAnsi" w:cstheme="minorHAnsi"/>
          <w:sz w:val="22"/>
        </w:rPr>
        <w:t>, perhaps due to temporal lags between current incomes and earlier housing choices</w:t>
      </w:r>
      <w:r w:rsidRPr="00520B73">
        <w:rPr>
          <w:rFonts w:asciiTheme="minorHAnsi" w:hAnsiTheme="minorHAnsi" w:cstheme="minorHAnsi"/>
          <w:sz w:val="22"/>
        </w:rPr>
        <w:t>. The banded nature of the income question used by the Rehearsal will also act to dampen ob</w:t>
      </w:r>
      <w:r w:rsidR="00EE74DB" w:rsidRPr="00520B73">
        <w:rPr>
          <w:rFonts w:asciiTheme="minorHAnsi" w:hAnsiTheme="minorHAnsi" w:cstheme="minorHAnsi"/>
          <w:sz w:val="22"/>
        </w:rPr>
        <w:t>served between-area variability.</w:t>
      </w:r>
    </w:p>
    <w:p w14:paraId="38A7CFE0" w14:textId="77777777" w:rsidR="00C41834" w:rsidRPr="00520B73" w:rsidRDefault="00C41834" w:rsidP="00015CD9">
      <w:pPr>
        <w:spacing w:line="276" w:lineRule="auto"/>
        <w:jc w:val="both"/>
        <w:rPr>
          <w:rFonts w:asciiTheme="minorHAnsi" w:hAnsiTheme="minorHAnsi" w:cstheme="minorHAnsi"/>
          <w:sz w:val="22"/>
        </w:rPr>
      </w:pPr>
    </w:p>
    <w:p w14:paraId="18DE83B1" w14:textId="77777777" w:rsidR="00A22982" w:rsidRPr="00520B73" w:rsidRDefault="00D868D4" w:rsidP="00015CD9">
      <w:pPr>
        <w:spacing w:line="276" w:lineRule="auto"/>
        <w:jc w:val="both"/>
        <w:rPr>
          <w:rFonts w:asciiTheme="minorHAnsi" w:hAnsiTheme="minorHAnsi" w:cstheme="minorHAnsi"/>
          <w:sz w:val="22"/>
        </w:rPr>
      </w:pPr>
      <w:r w:rsidRPr="00520B73">
        <w:rPr>
          <w:rFonts w:asciiTheme="minorHAnsi" w:hAnsiTheme="minorHAnsi" w:cstheme="minorHAnsi"/>
          <w:sz w:val="22"/>
        </w:rPr>
        <w:t>For all income measures the</w:t>
      </w:r>
      <w:r w:rsidR="00BA7865" w:rsidRPr="00520B73">
        <w:rPr>
          <w:rFonts w:asciiTheme="minorHAnsi" w:hAnsiTheme="minorHAnsi" w:cstheme="minorHAnsi"/>
          <w:sz w:val="22"/>
        </w:rPr>
        <w:t xml:space="preserve"> </w:t>
      </w:r>
      <w:r w:rsidRPr="00520B73">
        <w:rPr>
          <w:rFonts w:asciiTheme="minorHAnsi" w:hAnsiTheme="minorHAnsi" w:cstheme="minorHAnsi"/>
          <w:sz w:val="22"/>
        </w:rPr>
        <w:t>average (</w:t>
      </w:r>
      <w:r w:rsidR="00BA7865" w:rsidRPr="00520B73">
        <w:rPr>
          <w:rFonts w:asciiTheme="minorHAnsi" w:hAnsiTheme="minorHAnsi" w:cstheme="minorHAnsi"/>
          <w:sz w:val="22"/>
        </w:rPr>
        <w:t>mean</w:t>
      </w:r>
      <w:r w:rsidRPr="00520B73">
        <w:rPr>
          <w:rFonts w:asciiTheme="minorHAnsi" w:hAnsiTheme="minorHAnsi" w:cstheme="minorHAnsi"/>
          <w:sz w:val="22"/>
        </w:rPr>
        <w:t>)</w:t>
      </w:r>
      <w:r w:rsidR="00BA7865" w:rsidRPr="00520B73">
        <w:rPr>
          <w:rFonts w:asciiTheme="minorHAnsi" w:hAnsiTheme="minorHAnsi" w:cstheme="minorHAnsi"/>
          <w:sz w:val="22"/>
        </w:rPr>
        <w:t xml:space="preserve"> income per ED</w:t>
      </w:r>
      <w:r w:rsidRPr="00520B73">
        <w:rPr>
          <w:rFonts w:asciiTheme="minorHAnsi" w:hAnsiTheme="minorHAnsi" w:cstheme="minorHAnsi"/>
          <w:sz w:val="22"/>
        </w:rPr>
        <w:t xml:space="preserve"> is positively skewed. As a result EDs with the very highest average incomes lie much further from the national average than EDs with the lowest incomes. This </w:t>
      </w:r>
      <w:r w:rsidR="00A918F4" w:rsidRPr="00520B73">
        <w:rPr>
          <w:rFonts w:asciiTheme="minorHAnsi" w:hAnsiTheme="minorHAnsi" w:cstheme="minorHAnsi"/>
          <w:sz w:val="22"/>
        </w:rPr>
        <w:t>would appear to reflect</w:t>
      </w:r>
      <w:r w:rsidRPr="00520B73">
        <w:rPr>
          <w:rFonts w:asciiTheme="minorHAnsi" w:hAnsiTheme="minorHAnsi" w:cstheme="minorHAnsi"/>
          <w:sz w:val="22"/>
        </w:rPr>
        <w:t xml:space="preserve"> in part the safety net </w:t>
      </w:r>
      <w:r w:rsidR="00A918F4" w:rsidRPr="00520B73">
        <w:rPr>
          <w:rFonts w:asciiTheme="minorHAnsi" w:hAnsiTheme="minorHAnsi" w:cstheme="minorHAnsi"/>
          <w:sz w:val="22"/>
        </w:rPr>
        <w:t>offered by</w:t>
      </w:r>
      <w:r w:rsidRPr="00520B73">
        <w:rPr>
          <w:rFonts w:asciiTheme="minorHAnsi" w:hAnsiTheme="minorHAnsi" w:cstheme="minorHAnsi"/>
          <w:sz w:val="22"/>
        </w:rPr>
        <w:t xml:space="preserve"> the British welfare state (a floor to how low incomes can go); and in part the structure of labour market opportunities (no income ceiling). Whether this positive skew is also reflective of the rich showing more spatial clustering than the poor is a question </w:t>
      </w:r>
      <w:r w:rsidR="00A918F4" w:rsidRPr="00520B73">
        <w:rPr>
          <w:rFonts w:asciiTheme="minorHAnsi" w:hAnsiTheme="minorHAnsi" w:cstheme="minorHAnsi"/>
          <w:sz w:val="22"/>
        </w:rPr>
        <w:t xml:space="preserve">deferred until </w:t>
      </w:r>
      <w:r w:rsidRPr="00520B73">
        <w:rPr>
          <w:rFonts w:asciiTheme="minorHAnsi" w:hAnsiTheme="minorHAnsi" w:cstheme="minorHAnsi"/>
          <w:sz w:val="22"/>
        </w:rPr>
        <w:t>Section 3</w:t>
      </w:r>
      <w:r w:rsidR="00A918F4" w:rsidRPr="00520B73">
        <w:rPr>
          <w:rFonts w:asciiTheme="minorHAnsi" w:hAnsiTheme="minorHAnsi" w:cstheme="minorHAnsi"/>
          <w:sz w:val="22"/>
        </w:rPr>
        <w:t>.3</w:t>
      </w:r>
      <w:r w:rsidRPr="00520B73">
        <w:rPr>
          <w:rFonts w:asciiTheme="minorHAnsi" w:hAnsiTheme="minorHAnsi" w:cstheme="minorHAnsi"/>
          <w:sz w:val="22"/>
        </w:rPr>
        <w:t xml:space="preserve">. Household incomes also show greater spatial variability than adult incomes – </w:t>
      </w:r>
      <w:r w:rsidR="00E65738" w:rsidRPr="00520B73">
        <w:rPr>
          <w:rFonts w:asciiTheme="minorHAnsi" w:hAnsiTheme="minorHAnsi" w:cstheme="minorHAnsi"/>
          <w:sz w:val="22"/>
        </w:rPr>
        <w:t>wider</w:t>
      </w:r>
      <w:r w:rsidRPr="00520B73">
        <w:rPr>
          <w:rFonts w:asciiTheme="minorHAnsi" w:hAnsiTheme="minorHAnsi" w:cstheme="minorHAnsi"/>
          <w:sz w:val="22"/>
        </w:rPr>
        <w:t xml:space="preserve"> overall and inter-quartile ranges – </w:t>
      </w:r>
      <w:r w:rsidR="00E65738" w:rsidRPr="00520B73">
        <w:rPr>
          <w:rFonts w:asciiTheme="minorHAnsi" w:hAnsiTheme="minorHAnsi" w:cstheme="minorHAnsi"/>
          <w:sz w:val="22"/>
        </w:rPr>
        <w:t>suggesting</w:t>
      </w:r>
      <w:r w:rsidRPr="00520B73">
        <w:rPr>
          <w:rFonts w:asciiTheme="minorHAnsi" w:hAnsiTheme="minorHAnsi" w:cstheme="minorHAnsi"/>
          <w:sz w:val="22"/>
        </w:rPr>
        <w:t xml:space="preserve"> that spatial sorting is driven more by household than by individual incomes, </w:t>
      </w:r>
      <w:r w:rsidR="00E65738" w:rsidRPr="00520B73">
        <w:rPr>
          <w:rFonts w:asciiTheme="minorHAnsi" w:hAnsiTheme="minorHAnsi" w:cstheme="minorHAnsi"/>
          <w:sz w:val="22"/>
        </w:rPr>
        <w:t>with</w:t>
      </w:r>
      <w:r w:rsidRPr="00520B73">
        <w:rPr>
          <w:rFonts w:asciiTheme="minorHAnsi" w:hAnsiTheme="minorHAnsi" w:cstheme="minorHAnsi"/>
          <w:sz w:val="22"/>
        </w:rPr>
        <w:t xml:space="preserve"> household</w:t>
      </w:r>
      <w:r w:rsidR="00A918F4" w:rsidRPr="00520B73">
        <w:rPr>
          <w:rFonts w:asciiTheme="minorHAnsi" w:hAnsiTheme="minorHAnsi" w:cstheme="minorHAnsi"/>
          <w:sz w:val="22"/>
        </w:rPr>
        <w:t>s</w:t>
      </w:r>
      <w:r w:rsidRPr="00520B73">
        <w:rPr>
          <w:rFonts w:asciiTheme="minorHAnsi" w:hAnsiTheme="minorHAnsi" w:cstheme="minorHAnsi"/>
          <w:sz w:val="22"/>
        </w:rPr>
        <w:t xml:space="preserve"> pooling resources to meet their housing costs.</w:t>
      </w:r>
    </w:p>
    <w:p w14:paraId="2B6EE36F" w14:textId="77777777" w:rsidR="00A918F4" w:rsidRPr="00520B73" w:rsidRDefault="00A918F4" w:rsidP="00015CD9">
      <w:pPr>
        <w:spacing w:line="276" w:lineRule="auto"/>
        <w:jc w:val="both"/>
        <w:rPr>
          <w:rFonts w:asciiTheme="minorHAnsi" w:hAnsiTheme="minorHAnsi" w:cstheme="minorHAnsi"/>
          <w:sz w:val="22"/>
        </w:rPr>
      </w:pPr>
    </w:p>
    <w:p w14:paraId="5817F3C3" w14:textId="77777777" w:rsidR="00BA7865" w:rsidRPr="00520B73" w:rsidRDefault="00E65738" w:rsidP="00015CD9">
      <w:pPr>
        <w:spacing w:line="276" w:lineRule="auto"/>
        <w:jc w:val="both"/>
        <w:rPr>
          <w:rFonts w:asciiTheme="minorHAnsi" w:hAnsiTheme="minorHAnsi" w:cstheme="minorHAnsi"/>
          <w:i/>
          <w:sz w:val="22"/>
        </w:rPr>
      </w:pPr>
      <w:r w:rsidRPr="00520B73">
        <w:rPr>
          <w:rFonts w:asciiTheme="minorHAnsi" w:hAnsiTheme="minorHAnsi" w:cstheme="minorHAnsi"/>
          <w:i/>
          <w:sz w:val="22"/>
        </w:rPr>
        <w:t xml:space="preserve">3.2 </w:t>
      </w:r>
      <w:r w:rsidR="00F45645" w:rsidRPr="00520B73">
        <w:rPr>
          <w:rFonts w:asciiTheme="minorHAnsi" w:hAnsiTheme="minorHAnsi" w:cstheme="minorHAnsi"/>
          <w:i/>
          <w:sz w:val="22"/>
        </w:rPr>
        <w:t>Between-area variation</w:t>
      </w:r>
    </w:p>
    <w:p w14:paraId="29EF62E6" w14:textId="77777777" w:rsidR="0007030F" w:rsidRPr="00520B73" w:rsidRDefault="0007030F" w:rsidP="00015CD9">
      <w:pPr>
        <w:spacing w:line="276" w:lineRule="auto"/>
        <w:jc w:val="both"/>
        <w:rPr>
          <w:rFonts w:asciiTheme="minorHAnsi" w:hAnsiTheme="minorHAnsi" w:cstheme="minorHAnsi"/>
          <w:sz w:val="22"/>
        </w:rPr>
      </w:pPr>
    </w:p>
    <w:p w14:paraId="5FB1C9F9" w14:textId="77777777" w:rsidR="00636059" w:rsidRPr="00520B73" w:rsidRDefault="00636059"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Figure </w:t>
      </w:r>
      <w:r w:rsidR="00816413">
        <w:rPr>
          <w:rFonts w:asciiTheme="minorHAnsi" w:hAnsiTheme="minorHAnsi" w:cstheme="minorHAnsi"/>
          <w:sz w:val="22"/>
        </w:rPr>
        <w:t>1</w:t>
      </w:r>
      <w:r w:rsidRPr="00520B73">
        <w:rPr>
          <w:rFonts w:asciiTheme="minorHAnsi" w:hAnsiTheme="minorHAnsi" w:cstheme="minorHAnsi"/>
          <w:sz w:val="22"/>
        </w:rPr>
        <w:t>b explores the impact of spatial scale on the observed variability in mean adult income</w:t>
      </w:r>
      <w:r w:rsidR="00553767">
        <w:rPr>
          <w:rFonts w:asciiTheme="minorHAnsi" w:hAnsiTheme="minorHAnsi" w:cstheme="minorHAnsi"/>
          <w:sz w:val="22"/>
        </w:rPr>
        <w:t>s</w:t>
      </w:r>
      <w:r w:rsidRPr="00520B73">
        <w:rPr>
          <w:rFonts w:asciiTheme="minorHAnsi" w:hAnsiTheme="minorHAnsi" w:cstheme="minorHAnsi"/>
          <w:sz w:val="22"/>
        </w:rPr>
        <w:t xml:space="preserve">. As might be expected, the smaller the </w:t>
      </w:r>
      <w:r w:rsidR="007742FD" w:rsidRPr="00520B73">
        <w:rPr>
          <w:rFonts w:asciiTheme="minorHAnsi" w:hAnsiTheme="minorHAnsi" w:cstheme="minorHAnsi"/>
          <w:sz w:val="22"/>
        </w:rPr>
        <w:t>spatial unit</w:t>
      </w:r>
      <w:r w:rsidRPr="00520B73">
        <w:rPr>
          <w:rFonts w:asciiTheme="minorHAnsi" w:hAnsiTheme="minorHAnsi" w:cstheme="minorHAnsi"/>
          <w:sz w:val="22"/>
        </w:rPr>
        <w:t xml:space="preserve">, the greater the </w:t>
      </w:r>
      <w:r w:rsidR="007742FD" w:rsidRPr="00520B73">
        <w:rPr>
          <w:rFonts w:asciiTheme="minorHAnsi" w:hAnsiTheme="minorHAnsi" w:cstheme="minorHAnsi"/>
          <w:sz w:val="22"/>
        </w:rPr>
        <w:t xml:space="preserve">observed </w:t>
      </w:r>
      <w:r w:rsidRPr="00520B73">
        <w:rPr>
          <w:rFonts w:asciiTheme="minorHAnsi" w:hAnsiTheme="minorHAnsi" w:cstheme="minorHAnsi"/>
          <w:sz w:val="22"/>
        </w:rPr>
        <w:t xml:space="preserve">diversity </w:t>
      </w:r>
      <w:r w:rsidR="007742FD" w:rsidRPr="00520B73">
        <w:rPr>
          <w:rFonts w:asciiTheme="minorHAnsi" w:hAnsiTheme="minorHAnsi" w:cstheme="minorHAnsi"/>
          <w:sz w:val="22"/>
        </w:rPr>
        <w:t>in mean incomes between areas</w:t>
      </w:r>
      <w:r w:rsidRPr="00520B73">
        <w:rPr>
          <w:rFonts w:asciiTheme="minorHAnsi" w:hAnsiTheme="minorHAnsi" w:cstheme="minorHAnsi"/>
          <w:sz w:val="22"/>
        </w:rPr>
        <w:t>. Even ignoring outliers the inter-quartile range of observed small-area incomes increases as the size (population) of the unit of analysis decreases</w:t>
      </w:r>
      <w:r w:rsidR="00EE74DB" w:rsidRPr="00520B73">
        <w:rPr>
          <w:rFonts w:asciiTheme="minorHAnsi" w:hAnsiTheme="minorHAnsi" w:cstheme="minorHAnsi"/>
          <w:sz w:val="22"/>
        </w:rPr>
        <w:t xml:space="preserve">. </w:t>
      </w:r>
      <w:r w:rsidR="00520416" w:rsidRPr="00520B73">
        <w:rPr>
          <w:rFonts w:asciiTheme="minorHAnsi" w:hAnsiTheme="minorHAnsi" w:cstheme="minorHAnsi"/>
          <w:sz w:val="22"/>
        </w:rPr>
        <w:t>A similar pattern</w:t>
      </w:r>
      <w:r w:rsidR="00EE74DB" w:rsidRPr="00520B73">
        <w:rPr>
          <w:rFonts w:asciiTheme="minorHAnsi" w:hAnsiTheme="minorHAnsi" w:cstheme="minorHAnsi"/>
          <w:sz w:val="22"/>
        </w:rPr>
        <w:t xml:space="preserve"> (not shown) </w:t>
      </w:r>
      <w:r w:rsidR="00520416" w:rsidRPr="00520B73">
        <w:rPr>
          <w:rFonts w:asciiTheme="minorHAnsi" w:hAnsiTheme="minorHAnsi" w:cstheme="minorHAnsi"/>
          <w:sz w:val="22"/>
        </w:rPr>
        <w:t>was</w:t>
      </w:r>
      <w:r w:rsidR="00EE74DB" w:rsidRPr="00520B73">
        <w:rPr>
          <w:rFonts w:asciiTheme="minorHAnsi" w:hAnsiTheme="minorHAnsi" w:cstheme="minorHAnsi"/>
          <w:sz w:val="22"/>
        </w:rPr>
        <w:t xml:space="preserve"> found for all of </w:t>
      </w:r>
      <w:r w:rsidR="00553767">
        <w:rPr>
          <w:rFonts w:asciiTheme="minorHAnsi" w:hAnsiTheme="minorHAnsi" w:cstheme="minorHAnsi"/>
          <w:sz w:val="22"/>
        </w:rPr>
        <w:t xml:space="preserve">the measures of </w:t>
      </w:r>
      <w:r w:rsidR="00EE74DB" w:rsidRPr="00520B73">
        <w:rPr>
          <w:rFonts w:asciiTheme="minorHAnsi" w:hAnsiTheme="minorHAnsi" w:cstheme="minorHAnsi"/>
          <w:sz w:val="22"/>
        </w:rPr>
        <w:t>income</w:t>
      </w:r>
      <w:r w:rsidR="00553767">
        <w:rPr>
          <w:rFonts w:asciiTheme="minorHAnsi" w:hAnsiTheme="minorHAnsi" w:cstheme="minorHAnsi"/>
          <w:sz w:val="22"/>
        </w:rPr>
        <w:t xml:space="preserve"> considered in Figure </w:t>
      </w:r>
      <w:r w:rsidR="00816413">
        <w:rPr>
          <w:rFonts w:asciiTheme="minorHAnsi" w:hAnsiTheme="minorHAnsi" w:cstheme="minorHAnsi"/>
          <w:sz w:val="22"/>
        </w:rPr>
        <w:t>1</w:t>
      </w:r>
      <w:r w:rsidR="00553767">
        <w:rPr>
          <w:rFonts w:asciiTheme="minorHAnsi" w:hAnsiTheme="minorHAnsi" w:cstheme="minorHAnsi"/>
          <w:sz w:val="22"/>
        </w:rPr>
        <w:t>a</w:t>
      </w:r>
      <w:r w:rsidR="00EE74DB" w:rsidRPr="00520B73">
        <w:rPr>
          <w:rFonts w:asciiTheme="minorHAnsi" w:hAnsiTheme="minorHAnsi" w:cstheme="minorHAnsi"/>
          <w:sz w:val="22"/>
        </w:rPr>
        <w:t>.</w:t>
      </w:r>
      <w:r w:rsidR="00100E2B" w:rsidRPr="00520B73">
        <w:rPr>
          <w:rFonts w:asciiTheme="minorHAnsi" w:hAnsiTheme="minorHAnsi" w:cstheme="minorHAnsi"/>
          <w:sz w:val="22"/>
        </w:rPr>
        <w:t xml:space="preserve"> </w:t>
      </w:r>
      <w:r w:rsidR="007742FD" w:rsidRPr="00520B73">
        <w:rPr>
          <w:rFonts w:asciiTheme="minorHAnsi" w:hAnsiTheme="minorHAnsi" w:cstheme="minorHAnsi"/>
          <w:sz w:val="22"/>
        </w:rPr>
        <w:t xml:space="preserve">At its most extreme, the mean adult income for the most affluent Unit Postcode was 15 times that of the least affluent; whilst the mean income </w:t>
      </w:r>
      <w:r w:rsidR="00520416" w:rsidRPr="00520B73">
        <w:rPr>
          <w:rFonts w:asciiTheme="minorHAnsi" w:hAnsiTheme="minorHAnsi" w:cstheme="minorHAnsi"/>
          <w:sz w:val="22"/>
        </w:rPr>
        <w:t>of the most affluent district (</w:t>
      </w:r>
      <w:r w:rsidR="007742FD" w:rsidRPr="00520B73">
        <w:rPr>
          <w:rFonts w:asciiTheme="minorHAnsi" w:hAnsiTheme="minorHAnsi" w:cstheme="minorHAnsi"/>
          <w:sz w:val="22"/>
        </w:rPr>
        <w:t>Bournemouth</w:t>
      </w:r>
      <w:r w:rsidR="00520416" w:rsidRPr="00520B73">
        <w:rPr>
          <w:rFonts w:asciiTheme="minorHAnsi" w:hAnsiTheme="minorHAnsi" w:cstheme="minorHAnsi"/>
          <w:sz w:val="22"/>
        </w:rPr>
        <w:t>)</w:t>
      </w:r>
      <w:r w:rsidR="007742FD" w:rsidRPr="00520B73">
        <w:rPr>
          <w:rFonts w:asciiTheme="minorHAnsi" w:hAnsiTheme="minorHAnsi" w:cstheme="minorHAnsi"/>
          <w:sz w:val="22"/>
        </w:rPr>
        <w:t xml:space="preserve"> was </w:t>
      </w:r>
      <w:r w:rsidR="00553767">
        <w:rPr>
          <w:rFonts w:asciiTheme="minorHAnsi" w:hAnsiTheme="minorHAnsi" w:cstheme="minorHAnsi"/>
          <w:sz w:val="22"/>
        </w:rPr>
        <w:t>one-third</w:t>
      </w:r>
      <w:r w:rsidR="007742FD" w:rsidRPr="00520B73">
        <w:rPr>
          <w:rFonts w:asciiTheme="minorHAnsi" w:hAnsiTheme="minorHAnsi" w:cstheme="minorHAnsi"/>
          <w:sz w:val="22"/>
        </w:rPr>
        <w:t xml:space="preserve"> higher than that of </w:t>
      </w:r>
      <w:r w:rsidR="00520416" w:rsidRPr="00520B73">
        <w:rPr>
          <w:rFonts w:asciiTheme="minorHAnsi" w:hAnsiTheme="minorHAnsi" w:cstheme="minorHAnsi"/>
          <w:sz w:val="22"/>
        </w:rPr>
        <w:t>the least affluent (</w:t>
      </w:r>
      <w:r w:rsidR="007742FD" w:rsidRPr="00520B73">
        <w:rPr>
          <w:rFonts w:asciiTheme="minorHAnsi" w:hAnsiTheme="minorHAnsi" w:cstheme="minorHAnsi"/>
          <w:sz w:val="22"/>
        </w:rPr>
        <w:t>Leeds</w:t>
      </w:r>
      <w:r w:rsidR="00520416" w:rsidRPr="00520B73">
        <w:rPr>
          <w:rFonts w:asciiTheme="minorHAnsi" w:hAnsiTheme="minorHAnsi" w:cstheme="minorHAnsi"/>
          <w:sz w:val="22"/>
        </w:rPr>
        <w:t>)</w:t>
      </w:r>
      <w:r w:rsidR="007742FD" w:rsidRPr="00520B73">
        <w:rPr>
          <w:rFonts w:asciiTheme="minorHAnsi" w:hAnsiTheme="minorHAnsi" w:cstheme="minorHAnsi"/>
          <w:sz w:val="22"/>
        </w:rPr>
        <w:t>.</w:t>
      </w:r>
      <w:r w:rsidRPr="00520B73">
        <w:rPr>
          <w:rFonts w:asciiTheme="minorHAnsi" w:hAnsiTheme="minorHAnsi" w:cstheme="minorHAnsi"/>
          <w:sz w:val="22"/>
        </w:rPr>
        <w:t xml:space="preserve"> But even at </w:t>
      </w:r>
      <w:r w:rsidR="007742FD" w:rsidRPr="00520B73">
        <w:rPr>
          <w:rFonts w:asciiTheme="minorHAnsi" w:hAnsiTheme="minorHAnsi" w:cstheme="minorHAnsi"/>
          <w:sz w:val="22"/>
        </w:rPr>
        <w:t>district</w:t>
      </w:r>
      <w:r w:rsidRPr="00520B73">
        <w:rPr>
          <w:rFonts w:asciiTheme="minorHAnsi" w:hAnsiTheme="minorHAnsi" w:cstheme="minorHAnsi"/>
          <w:sz w:val="22"/>
        </w:rPr>
        <w:t xml:space="preserve"> </w:t>
      </w:r>
      <w:r w:rsidR="007742FD" w:rsidRPr="00520B73">
        <w:rPr>
          <w:rFonts w:asciiTheme="minorHAnsi" w:hAnsiTheme="minorHAnsi" w:cstheme="minorHAnsi"/>
          <w:sz w:val="22"/>
        </w:rPr>
        <w:t>level</w:t>
      </w:r>
      <w:r w:rsidRPr="00520B73">
        <w:rPr>
          <w:rFonts w:asciiTheme="minorHAnsi" w:hAnsiTheme="minorHAnsi" w:cstheme="minorHAnsi"/>
          <w:sz w:val="22"/>
        </w:rPr>
        <w:t xml:space="preserve"> the </w:t>
      </w:r>
      <w:r w:rsidR="00520416" w:rsidRPr="00520B73">
        <w:rPr>
          <w:rFonts w:asciiTheme="minorHAnsi" w:hAnsiTheme="minorHAnsi" w:cstheme="minorHAnsi"/>
          <w:sz w:val="22"/>
        </w:rPr>
        <w:t xml:space="preserve">apparently narrow range of </w:t>
      </w:r>
      <w:r w:rsidR="00994D9C">
        <w:rPr>
          <w:rFonts w:asciiTheme="minorHAnsi" w:hAnsiTheme="minorHAnsi" w:cstheme="minorHAnsi"/>
          <w:sz w:val="22"/>
        </w:rPr>
        <w:t>between</w:t>
      </w:r>
      <w:r w:rsidR="00520416" w:rsidRPr="00520B73">
        <w:rPr>
          <w:rFonts w:asciiTheme="minorHAnsi" w:hAnsiTheme="minorHAnsi" w:cstheme="minorHAnsi"/>
          <w:sz w:val="22"/>
        </w:rPr>
        <w:t>-district differences masks considerable within</w:t>
      </w:r>
      <w:r w:rsidRPr="00520B73">
        <w:rPr>
          <w:rFonts w:asciiTheme="minorHAnsi" w:hAnsiTheme="minorHAnsi" w:cstheme="minorHAnsi"/>
          <w:sz w:val="22"/>
        </w:rPr>
        <w:t>-district variability</w:t>
      </w:r>
      <w:r w:rsidR="00520416" w:rsidRPr="00520B73">
        <w:rPr>
          <w:rFonts w:asciiTheme="minorHAnsi" w:hAnsiTheme="minorHAnsi" w:cstheme="minorHAnsi"/>
          <w:sz w:val="22"/>
        </w:rPr>
        <w:t xml:space="preserve">. </w:t>
      </w:r>
      <w:r w:rsidRPr="00520B73">
        <w:rPr>
          <w:rFonts w:asciiTheme="minorHAnsi" w:hAnsiTheme="minorHAnsi" w:cstheme="minorHAnsi"/>
          <w:sz w:val="22"/>
        </w:rPr>
        <w:t xml:space="preserve">Leeds, for example, </w:t>
      </w:r>
      <w:r w:rsidR="00520416" w:rsidRPr="00520B73">
        <w:rPr>
          <w:rFonts w:asciiTheme="minorHAnsi" w:hAnsiTheme="minorHAnsi" w:cstheme="minorHAnsi"/>
          <w:sz w:val="22"/>
        </w:rPr>
        <w:t xml:space="preserve">was </w:t>
      </w:r>
      <w:r w:rsidRPr="00520B73">
        <w:rPr>
          <w:rFonts w:asciiTheme="minorHAnsi" w:hAnsiTheme="minorHAnsi" w:cstheme="minorHAnsi"/>
          <w:sz w:val="22"/>
        </w:rPr>
        <w:t xml:space="preserve">home to the </w:t>
      </w:r>
      <w:r w:rsidR="00520416" w:rsidRPr="00520B73">
        <w:rPr>
          <w:rFonts w:asciiTheme="minorHAnsi" w:hAnsiTheme="minorHAnsi" w:cstheme="minorHAnsi"/>
          <w:sz w:val="22"/>
        </w:rPr>
        <w:t xml:space="preserve">Rehearsal EDs with the </w:t>
      </w:r>
      <w:r w:rsidRPr="00520B73">
        <w:rPr>
          <w:rFonts w:asciiTheme="minorHAnsi" w:hAnsiTheme="minorHAnsi" w:cstheme="minorHAnsi"/>
          <w:sz w:val="22"/>
        </w:rPr>
        <w:t xml:space="preserve">highest and lowest mean incomes. The distribution of </w:t>
      </w:r>
      <w:r w:rsidR="00520416" w:rsidRPr="00520B73">
        <w:rPr>
          <w:rFonts w:asciiTheme="minorHAnsi" w:hAnsiTheme="minorHAnsi" w:cstheme="minorHAnsi"/>
          <w:sz w:val="22"/>
        </w:rPr>
        <w:t xml:space="preserve">mean ED </w:t>
      </w:r>
      <w:r w:rsidRPr="00520B73">
        <w:rPr>
          <w:rFonts w:asciiTheme="minorHAnsi" w:hAnsiTheme="minorHAnsi" w:cstheme="minorHAnsi"/>
          <w:sz w:val="22"/>
        </w:rPr>
        <w:t>incomes also varie</w:t>
      </w:r>
      <w:r w:rsidR="00601DA9" w:rsidRPr="00520B73">
        <w:rPr>
          <w:rFonts w:asciiTheme="minorHAnsi" w:hAnsiTheme="minorHAnsi" w:cstheme="minorHAnsi"/>
          <w:sz w:val="22"/>
        </w:rPr>
        <w:t>s</w:t>
      </w:r>
      <w:r w:rsidRPr="00520B73">
        <w:rPr>
          <w:rFonts w:asciiTheme="minorHAnsi" w:hAnsiTheme="minorHAnsi" w:cstheme="minorHAnsi"/>
          <w:sz w:val="22"/>
        </w:rPr>
        <w:t xml:space="preserve">. </w:t>
      </w:r>
      <w:r w:rsidR="00520416" w:rsidRPr="00520B73">
        <w:rPr>
          <w:rFonts w:asciiTheme="minorHAnsi" w:hAnsiTheme="minorHAnsi" w:cstheme="minorHAnsi"/>
          <w:sz w:val="22"/>
        </w:rPr>
        <w:t>Leeds, for example,</w:t>
      </w:r>
      <w:r w:rsidRPr="00520B73">
        <w:rPr>
          <w:rFonts w:asciiTheme="minorHAnsi" w:hAnsiTheme="minorHAnsi" w:cstheme="minorHAnsi"/>
          <w:sz w:val="22"/>
        </w:rPr>
        <w:t xml:space="preserve"> </w:t>
      </w:r>
      <w:r w:rsidR="00520416" w:rsidRPr="00520B73">
        <w:rPr>
          <w:rFonts w:asciiTheme="minorHAnsi" w:hAnsiTheme="minorHAnsi" w:cstheme="minorHAnsi"/>
          <w:sz w:val="22"/>
        </w:rPr>
        <w:t xml:space="preserve">followed the national pattern with a clear </w:t>
      </w:r>
      <w:r w:rsidRPr="00520B73">
        <w:rPr>
          <w:rFonts w:asciiTheme="minorHAnsi" w:hAnsiTheme="minorHAnsi" w:cstheme="minorHAnsi"/>
          <w:sz w:val="22"/>
        </w:rPr>
        <w:t xml:space="preserve">positive skew to its distribution of mean ED incomes, whilst Gwynedd, a </w:t>
      </w:r>
      <w:r w:rsidR="009A1E48">
        <w:rPr>
          <w:rFonts w:asciiTheme="minorHAnsi" w:hAnsiTheme="minorHAnsi" w:cstheme="minorHAnsi"/>
          <w:sz w:val="22"/>
        </w:rPr>
        <w:t>mostly rural</w:t>
      </w:r>
      <w:r w:rsidRPr="00520B73">
        <w:rPr>
          <w:rFonts w:asciiTheme="minorHAnsi" w:hAnsiTheme="minorHAnsi" w:cstheme="minorHAnsi"/>
          <w:sz w:val="22"/>
        </w:rPr>
        <w:t xml:space="preserve"> area in Wales, show</w:t>
      </w:r>
      <w:r w:rsidR="00520416" w:rsidRPr="00520B73">
        <w:rPr>
          <w:rFonts w:asciiTheme="minorHAnsi" w:hAnsiTheme="minorHAnsi" w:cstheme="minorHAnsi"/>
          <w:sz w:val="22"/>
        </w:rPr>
        <w:t>ed</w:t>
      </w:r>
      <w:r w:rsidRPr="00520B73">
        <w:rPr>
          <w:rFonts w:asciiTheme="minorHAnsi" w:hAnsiTheme="minorHAnsi" w:cstheme="minorHAnsi"/>
          <w:sz w:val="22"/>
        </w:rPr>
        <w:t xml:space="preserve"> a marked negative skew.</w:t>
      </w:r>
    </w:p>
    <w:p w14:paraId="429E4D0B" w14:textId="77777777" w:rsidR="00425121" w:rsidRPr="00520B73" w:rsidRDefault="00425121" w:rsidP="00015CD9">
      <w:pPr>
        <w:spacing w:line="276" w:lineRule="auto"/>
        <w:jc w:val="both"/>
        <w:rPr>
          <w:rFonts w:asciiTheme="minorHAnsi" w:hAnsiTheme="minorHAnsi" w:cstheme="minorHAnsi"/>
          <w:sz w:val="22"/>
        </w:rPr>
      </w:pPr>
    </w:p>
    <w:p w14:paraId="4DFE74F0" w14:textId="77777777" w:rsidR="00631ABE" w:rsidRPr="00520B73" w:rsidRDefault="00666770" w:rsidP="00015CD9">
      <w:pPr>
        <w:spacing w:line="276" w:lineRule="auto"/>
        <w:jc w:val="both"/>
        <w:rPr>
          <w:rFonts w:asciiTheme="minorHAnsi" w:hAnsiTheme="minorHAnsi" w:cstheme="minorHAnsi"/>
          <w:sz w:val="22"/>
        </w:rPr>
      </w:pPr>
      <w:r w:rsidRPr="00520B73">
        <w:rPr>
          <w:rFonts w:asciiTheme="minorHAnsi" w:hAnsiTheme="minorHAnsi" w:cstheme="minorHAnsi"/>
          <w:sz w:val="22"/>
        </w:rPr>
        <w:t>Following Berthoud (2008) i</w:t>
      </w:r>
      <w:r w:rsidR="005B15A7" w:rsidRPr="00520B73">
        <w:rPr>
          <w:rFonts w:asciiTheme="minorHAnsi" w:hAnsiTheme="minorHAnsi" w:cstheme="minorHAnsi"/>
          <w:sz w:val="22"/>
        </w:rPr>
        <w:t xml:space="preserve">t is also possible to assess the </w:t>
      </w:r>
      <w:r w:rsidR="00631ABE" w:rsidRPr="00520B73">
        <w:rPr>
          <w:rFonts w:asciiTheme="minorHAnsi" w:hAnsiTheme="minorHAnsi" w:cstheme="minorHAnsi"/>
          <w:sz w:val="22"/>
        </w:rPr>
        <w:t xml:space="preserve">spatial sorting of incomes </w:t>
      </w:r>
      <w:r w:rsidR="005B15A7" w:rsidRPr="00520B73">
        <w:rPr>
          <w:rFonts w:asciiTheme="minorHAnsi" w:hAnsiTheme="minorHAnsi" w:cstheme="minorHAnsi"/>
          <w:sz w:val="22"/>
        </w:rPr>
        <w:t>more formally, via an analysis of variance.</w:t>
      </w:r>
      <w:r w:rsidR="00631ABE" w:rsidRPr="00520B73">
        <w:rPr>
          <w:rFonts w:asciiTheme="minorHAnsi" w:hAnsiTheme="minorHAnsi" w:cstheme="minorHAnsi"/>
          <w:sz w:val="22"/>
        </w:rPr>
        <w:t xml:space="preserve"> </w:t>
      </w:r>
      <w:r w:rsidR="005B15A7" w:rsidRPr="00520B73">
        <w:rPr>
          <w:rFonts w:asciiTheme="minorHAnsi" w:hAnsiTheme="minorHAnsi" w:cstheme="minorHAnsi"/>
          <w:sz w:val="22"/>
        </w:rPr>
        <w:t xml:space="preserve">The outcomes of this analysis are presented in Table </w:t>
      </w:r>
      <w:r w:rsidR="00DE4A04">
        <w:rPr>
          <w:rFonts w:asciiTheme="minorHAnsi" w:hAnsiTheme="minorHAnsi" w:cstheme="minorHAnsi"/>
          <w:sz w:val="22"/>
        </w:rPr>
        <w:t>2</w:t>
      </w:r>
      <w:r w:rsidRPr="00520B73">
        <w:rPr>
          <w:rFonts w:asciiTheme="minorHAnsi" w:hAnsiTheme="minorHAnsi" w:cstheme="minorHAnsi"/>
          <w:sz w:val="22"/>
        </w:rPr>
        <w:t xml:space="preserve">. </w:t>
      </w:r>
      <w:r w:rsidR="006E458C" w:rsidRPr="00520B73">
        <w:rPr>
          <w:rFonts w:asciiTheme="minorHAnsi" w:hAnsiTheme="minorHAnsi" w:cstheme="minorHAnsi"/>
          <w:sz w:val="22"/>
        </w:rPr>
        <w:t>This</w:t>
      </w:r>
      <w:r w:rsidRPr="00520B73">
        <w:rPr>
          <w:rFonts w:asciiTheme="minorHAnsi" w:hAnsiTheme="minorHAnsi" w:cstheme="minorHAnsi"/>
          <w:sz w:val="22"/>
        </w:rPr>
        <w:t xml:space="preserve"> extend</w:t>
      </w:r>
      <w:r w:rsidR="00994D9C">
        <w:rPr>
          <w:rFonts w:asciiTheme="minorHAnsi" w:hAnsiTheme="minorHAnsi" w:cstheme="minorHAnsi"/>
          <w:sz w:val="22"/>
        </w:rPr>
        <w:t>s</w:t>
      </w:r>
      <w:r w:rsidRPr="00520B73">
        <w:rPr>
          <w:rFonts w:asciiTheme="minorHAnsi" w:hAnsiTheme="minorHAnsi" w:cstheme="minorHAnsi"/>
          <w:sz w:val="22"/>
        </w:rPr>
        <w:t xml:space="preserve"> </w:t>
      </w:r>
      <w:r w:rsidR="00631ABE" w:rsidRPr="00520B73">
        <w:rPr>
          <w:rFonts w:asciiTheme="minorHAnsi" w:hAnsiTheme="minorHAnsi" w:cstheme="minorHAnsi"/>
          <w:sz w:val="22"/>
        </w:rPr>
        <w:t>Berthoud</w:t>
      </w:r>
      <w:r w:rsidRPr="00520B73">
        <w:rPr>
          <w:rFonts w:asciiTheme="minorHAnsi" w:hAnsiTheme="minorHAnsi" w:cstheme="minorHAnsi"/>
          <w:sz w:val="22"/>
        </w:rPr>
        <w:t>’s work (which was based upon an an</w:t>
      </w:r>
      <w:r w:rsidR="00D97E8B" w:rsidRPr="00520B73">
        <w:rPr>
          <w:rFonts w:asciiTheme="minorHAnsi" w:hAnsiTheme="minorHAnsi" w:cstheme="minorHAnsi"/>
          <w:sz w:val="22"/>
        </w:rPr>
        <w:t>a</w:t>
      </w:r>
      <w:r w:rsidRPr="00520B73">
        <w:rPr>
          <w:rFonts w:asciiTheme="minorHAnsi" w:hAnsiTheme="minorHAnsi" w:cstheme="minorHAnsi"/>
          <w:sz w:val="22"/>
        </w:rPr>
        <w:t xml:space="preserve">lysis of the FRS) </w:t>
      </w:r>
      <w:r w:rsidR="00631ABE" w:rsidRPr="00520B73">
        <w:rPr>
          <w:rFonts w:asciiTheme="minorHAnsi" w:hAnsiTheme="minorHAnsi" w:cstheme="minorHAnsi"/>
          <w:sz w:val="22"/>
        </w:rPr>
        <w:t xml:space="preserve">by presenting equivalent results for adult as well as household incomes, for spatial units smaller than postal sectors, and by taking </w:t>
      </w:r>
      <w:r w:rsidR="00631ABE" w:rsidRPr="00520B73">
        <w:rPr>
          <w:rFonts w:asciiTheme="minorHAnsi" w:hAnsiTheme="minorHAnsi" w:cstheme="minorHAnsi"/>
          <w:sz w:val="22"/>
        </w:rPr>
        <w:lastRenderedPageBreak/>
        <w:t xml:space="preserve">account </w:t>
      </w:r>
      <w:r w:rsidR="00C25CF4">
        <w:rPr>
          <w:rFonts w:asciiTheme="minorHAnsi" w:hAnsiTheme="minorHAnsi" w:cstheme="minorHAnsi"/>
          <w:sz w:val="22"/>
        </w:rPr>
        <w:t xml:space="preserve">of </w:t>
      </w:r>
      <w:r w:rsidR="00631ABE" w:rsidRPr="00520B73">
        <w:rPr>
          <w:rFonts w:asciiTheme="minorHAnsi" w:hAnsiTheme="minorHAnsi" w:cstheme="minorHAnsi"/>
          <w:sz w:val="22"/>
        </w:rPr>
        <w:t xml:space="preserve">the extent to which between-area variations in income are a structurally inherent by-product of the interaction between income </w:t>
      </w:r>
      <w:r w:rsidR="00D97E8B" w:rsidRPr="00520B73">
        <w:rPr>
          <w:rFonts w:asciiTheme="minorHAnsi" w:hAnsiTheme="minorHAnsi" w:cstheme="minorHAnsi"/>
          <w:sz w:val="22"/>
        </w:rPr>
        <w:t xml:space="preserve">banding </w:t>
      </w:r>
      <w:r w:rsidR="00631ABE" w:rsidRPr="00520B73">
        <w:rPr>
          <w:rFonts w:asciiTheme="minorHAnsi" w:hAnsiTheme="minorHAnsi" w:cstheme="minorHAnsi"/>
          <w:sz w:val="22"/>
        </w:rPr>
        <w:t>and shrinking sample size</w:t>
      </w:r>
      <w:r w:rsidR="00631ABE" w:rsidRPr="00520B73">
        <w:rPr>
          <w:rStyle w:val="FootnoteReference"/>
          <w:rFonts w:asciiTheme="minorHAnsi" w:hAnsiTheme="minorHAnsi" w:cstheme="minorHAnsi"/>
          <w:sz w:val="22"/>
        </w:rPr>
        <w:footnoteReference w:id="1"/>
      </w:r>
      <w:r w:rsidR="00631ABE" w:rsidRPr="00520B73">
        <w:rPr>
          <w:rFonts w:asciiTheme="minorHAnsi" w:hAnsiTheme="minorHAnsi" w:cstheme="minorHAnsi"/>
          <w:sz w:val="22"/>
        </w:rPr>
        <w:t>.</w:t>
      </w:r>
    </w:p>
    <w:p w14:paraId="35D90224" w14:textId="77777777" w:rsidR="00FA1856" w:rsidRDefault="00FA1856"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TABLE </w:t>
      </w:r>
      <w:r w:rsidR="00DE4A04">
        <w:rPr>
          <w:rFonts w:asciiTheme="minorHAnsi" w:hAnsiTheme="minorHAnsi" w:cstheme="minorHAnsi"/>
          <w:sz w:val="22"/>
        </w:rPr>
        <w:t>2</w:t>
      </w:r>
      <w:r w:rsidRPr="00520B73">
        <w:rPr>
          <w:rFonts w:asciiTheme="minorHAnsi" w:hAnsiTheme="minorHAnsi" w:cstheme="minorHAnsi"/>
          <w:b/>
          <w:sz w:val="22"/>
        </w:rPr>
        <w:t xml:space="preserve"> </w:t>
      </w:r>
      <w:proofErr w:type="gramStart"/>
      <w:r w:rsidRPr="00520B73">
        <w:rPr>
          <w:rFonts w:asciiTheme="minorHAnsi" w:hAnsiTheme="minorHAnsi" w:cstheme="minorHAnsi"/>
          <w:sz w:val="22"/>
        </w:rPr>
        <w:t>The</w:t>
      </w:r>
      <w:proofErr w:type="gramEnd"/>
      <w:r w:rsidRPr="00520B73">
        <w:rPr>
          <w:rFonts w:asciiTheme="minorHAnsi" w:hAnsiTheme="minorHAnsi" w:cstheme="minorHAnsi"/>
          <w:sz w:val="22"/>
        </w:rPr>
        <w:t xml:space="preserve"> spatial </w:t>
      </w:r>
      <w:r w:rsidR="00994D9C">
        <w:rPr>
          <w:rFonts w:asciiTheme="minorHAnsi" w:hAnsiTheme="minorHAnsi" w:cstheme="minorHAnsi"/>
          <w:sz w:val="22"/>
        </w:rPr>
        <w:t>component of</w:t>
      </w:r>
      <w:r w:rsidRPr="00520B73">
        <w:rPr>
          <w:rFonts w:asciiTheme="minorHAnsi" w:hAnsiTheme="minorHAnsi" w:cstheme="minorHAnsi"/>
          <w:sz w:val="22"/>
        </w:rPr>
        <w:t xml:space="preserve"> income variability  [ABOUT HERE]</w:t>
      </w:r>
    </w:p>
    <w:p w14:paraId="6133E895" w14:textId="77777777" w:rsidR="00994D9C" w:rsidRPr="00520B73" w:rsidRDefault="00994D9C" w:rsidP="00015CD9">
      <w:pPr>
        <w:spacing w:line="276" w:lineRule="auto"/>
        <w:jc w:val="both"/>
        <w:rPr>
          <w:rFonts w:asciiTheme="minorHAnsi" w:hAnsiTheme="minorHAnsi" w:cstheme="minorHAnsi"/>
          <w:b/>
          <w:sz w:val="22"/>
        </w:rPr>
      </w:pPr>
    </w:p>
    <w:p w14:paraId="1F6E7D3D" w14:textId="77777777" w:rsidR="005B15A7" w:rsidRPr="00520B73" w:rsidRDefault="005B15A7"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The first </w:t>
      </w:r>
      <w:r w:rsidR="00666770" w:rsidRPr="00520B73">
        <w:rPr>
          <w:rFonts w:asciiTheme="minorHAnsi" w:hAnsiTheme="minorHAnsi" w:cstheme="minorHAnsi"/>
          <w:sz w:val="22"/>
        </w:rPr>
        <w:t xml:space="preserve">point to draw out from Table </w:t>
      </w:r>
      <w:r w:rsidR="00DE4A04">
        <w:rPr>
          <w:rFonts w:asciiTheme="minorHAnsi" w:hAnsiTheme="minorHAnsi" w:cstheme="minorHAnsi"/>
          <w:sz w:val="22"/>
        </w:rPr>
        <w:t>2</w:t>
      </w:r>
      <w:r w:rsidR="00666770" w:rsidRPr="00520B73">
        <w:rPr>
          <w:rFonts w:asciiTheme="minorHAnsi" w:hAnsiTheme="minorHAnsi" w:cstheme="minorHAnsi"/>
          <w:sz w:val="22"/>
        </w:rPr>
        <w:t xml:space="preserve"> </w:t>
      </w:r>
      <w:r w:rsidRPr="00520B73">
        <w:rPr>
          <w:rFonts w:asciiTheme="minorHAnsi" w:hAnsiTheme="minorHAnsi" w:cstheme="minorHAnsi"/>
          <w:sz w:val="22"/>
        </w:rPr>
        <w:t xml:space="preserve">is that </w:t>
      </w:r>
      <w:r w:rsidR="00666770" w:rsidRPr="00520B73">
        <w:rPr>
          <w:rFonts w:asciiTheme="minorHAnsi" w:hAnsiTheme="minorHAnsi" w:cstheme="minorHAnsi"/>
          <w:sz w:val="22"/>
        </w:rPr>
        <w:t xml:space="preserve">the structural component of observed between-area variations in income (adult or household) </w:t>
      </w:r>
      <w:r w:rsidR="006E458C" w:rsidRPr="00520B73">
        <w:rPr>
          <w:rFonts w:asciiTheme="minorHAnsi" w:hAnsiTheme="minorHAnsi" w:cstheme="minorHAnsi"/>
          <w:sz w:val="22"/>
        </w:rPr>
        <w:t>is</w:t>
      </w:r>
      <w:r w:rsidRPr="00520B73">
        <w:rPr>
          <w:rFonts w:asciiTheme="minorHAnsi" w:hAnsiTheme="minorHAnsi" w:cstheme="minorHAnsi"/>
          <w:sz w:val="22"/>
        </w:rPr>
        <w:t xml:space="preserve"> negli</w:t>
      </w:r>
      <w:r w:rsidR="00F555A4" w:rsidRPr="00520B73">
        <w:rPr>
          <w:rFonts w:asciiTheme="minorHAnsi" w:hAnsiTheme="minorHAnsi" w:cstheme="minorHAnsi"/>
          <w:sz w:val="22"/>
        </w:rPr>
        <w:t>g</w:t>
      </w:r>
      <w:r w:rsidRPr="00520B73">
        <w:rPr>
          <w:rFonts w:asciiTheme="minorHAnsi" w:hAnsiTheme="minorHAnsi" w:cstheme="minorHAnsi"/>
          <w:sz w:val="22"/>
        </w:rPr>
        <w:t xml:space="preserve">ible for </w:t>
      </w:r>
      <w:r w:rsidR="00666770" w:rsidRPr="00520B73">
        <w:rPr>
          <w:rFonts w:asciiTheme="minorHAnsi" w:hAnsiTheme="minorHAnsi" w:cstheme="minorHAnsi"/>
          <w:sz w:val="22"/>
        </w:rPr>
        <w:t xml:space="preserve">spatial units of </w:t>
      </w:r>
      <w:r w:rsidRPr="00520B73">
        <w:rPr>
          <w:rFonts w:asciiTheme="minorHAnsi" w:hAnsiTheme="minorHAnsi" w:cstheme="minorHAnsi"/>
          <w:sz w:val="22"/>
        </w:rPr>
        <w:t>ED</w:t>
      </w:r>
      <w:r w:rsidR="00666770" w:rsidRPr="00520B73">
        <w:rPr>
          <w:rFonts w:asciiTheme="minorHAnsi" w:hAnsiTheme="minorHAnsi" w:cstheme="minorHAnsi"/>
          <w:sz w:val="22"/>
        </w:rPr>
        <w:t xml:space="preserve"> size and </w:t>
      </w:r>
      <w:r w:rsidRPr="00520B73">
        <w:rPr>
          <w:rFonts w:asciiTheme="minorHAnsi" w:hAnsiTheme="minorHAnsi" w:cstheme="minorHAnsi"/>
          <w:sz w:val="22"/>
        </w:rPr>
        <w:t>above</w:t>
      </w:r>
      <w:r w:rsidR="00666770" w:rsidRPr="00520B73">
        <w:rPr>
          <w:rFonts w:asciiTheme="minorHAnsi" w:hAnsiTheme="minorHAnsi" w:cstheme="minorHAnsi"/>
          <w:sz w:val="22"/>
        </w:rPr>
        <w:t xml:space="preserve">; </w:t>
      </w:r>
      <w:r w:rsidRPr="00520B73">
        <w:rPr>
          <w:rFonts w:asciiTheme="minorHAnsi" w:hAnsiTheme="minorHAnsi" w:cstheme="minorHAnsi"/>
          <w:sz w:val="22"/>
        </w:rPr>
        <w:t xml:space="preserve">but </w:t>
      </w:r>
      <w:r w:rsidR="00666770" w:rsidRPr="00520B73">
        <w:rPr>
          <w:rFonts w:asciiTheme="minorHAnsi" w:hAnsiTheme="minorHAnsi" w:cstheme="minorHAnsi"/>
          <w:sz w:val="22"/>
        </w:rPr>
        <w:t>account</w:t>
      </w:r>
      <w:r w:rsidR="00966F01" w:rsidRPr="00520B73">
        <w:rPr>
          <w:rFonts w:asciiTheme="minorHAnsi" w:hAnsiTheme="minorHAnsi" w:cstheme="minorHAnsi"/>
          <w:sz w:val="22"/>
        </w:rPr>
        <w:t>s</w:t>
      </w:r>
      <w:r w:rsidRPr="00520B73">
        <w:rPr>
          <w:rFonts w:asciiTheme="minorHAnsi" w:hAnsiTheme="minorHAnsi" w:cstheme="minorHAnsi"/>
          <w:sz w:val="22"/>
        </w:rPr>
        <w:t xml:space="preserve"> for fully </w:t>
      </w:r>
      <w:r w:rsidR="00553767">
        <w:rPr>
          <w:rFonts w:asciiTheme="minorHAnsi" w:hAnsiTheme="minorHAnsi" w:cstheme="minorHAnsi"/>
          <w:sz w:val="22"/>
        </w:rPr>
        <w:t>one-fifth</w:t>
      </w:r>
      <w:r w:rsidRPr="00520B73">
        <w:rPr>
          <w:rFonts w:asciiTheme="minorHAnsi" w:hAnsiTheme="minorHAnsi" w:cstheme="minorHAnsi"/>
          <w:sz w:val="22"/>
        </w:rPr>
        <w:t xml:space="preserve"> of the empirically observed </w:t>
      </w:r>
      <w:r w:rsidR="00666770" w:rsidRPr="00520B73">
        <w:rPr>
          <w:rFonts w:asciiTheme="minorHAnsi" w:hAnsiTheme="minorHAnsi" w:cstheme="minorHAnsi"/>
          <w:sz w:val="22"/>
        </w:rPr>
        <w:t xml:space="preserve">between-postcode </w:t>
      </w:r>
      <w:r w:rsidR="00F555A4" w:rsidRPr="00520B73">
        <w:rPr>
          <w:rFonts w:asciiTheme="minorHAnsi" w:hAnsiTheme="minorHAnsi" w:cstheme="minorHAnsi"/>
          <w:sz w:val="22"/>
        </w:rPr>
        <w:t>variation</w:t>
      </w:r>
      <w:r w:rsidR="00666770" w:rsidRPr="00520B73">
        <w:rPr>
          <w:rFonts w:asciiTheme="minorHAnsi" w:hAnsiTheme="minorHAnsi" w:cstheme="minorHAnsi"/>
          <w:sz w:val="22"/>
        </w:rPr>
        <w:t>s</w:t>
      </w:r>
      <w:r w:rsidR="00F555A4" w:rsidRPr="00520B73">
        <w:rPr>
          <w:rFonts w:asciiTheme="minorHAnsi" w:hAnsiTheme="minorHAnsi" w:cstheme="minorHAnsi"/>
          <w:sz w:val="22"/>
        </w:rPr>
        <w:t xml:space="preserve"> in </w:t>
      </w:r>
      <w:r w:rsidR="0099044A" w:rsidRPr="00520B73">
        <w:rPr>
          <w:rFonts w:asciiTheme="minorHAnsi" w:hAnsiTheme="minorHAnsi" w:cstheme="minorHAnsi"/>
          <w:sz w:val="22"/>
        </w:rPr>
        <w:t>income.</w:t>
      </w:r>
    </w:p>
    <w:p w14:paraId="6CC75038" w14:textId="77777777" w:rsidR="005B15A7" w:rsidRPr="00520B73" w:rsidRDefault="005B15A7" w:rsidP="00015CD9">
      <w:pPr>
        <w:spacing w:line="276" w:lineRule="auto"/>
        <w:jc w:val="both"/>
        <w:rPr>
          <w:rFonts w:asciiTheme="minorHAnsi" w:hAnsiTheme="minorHAnsi" w:cstheme="minorHAnsi"/>
          <w:sz w:val="22"/>
        </w:rPr>
      </w:pPr>
    </w:p>
    <w:p w14:paraId="355D63FD" w14:textId="77777777" w:rsidR="00E31F73" w:rsidRPr="00520B73" w:rsidRDefault="006E458C"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The second message of Table </w:t>
      </w:r>
      <w:r w:rsidR="00DE4A04">
        <w:rPr>
          <w:rFonts w:asciiTheme="minorHAnsi" w:hAnsiTheme="minorHAnsi" w:cstheme="minorHAnsi"/>
          <w:sz w:val="22"/>
        </w:rPr>
        <w:t>2</w:t>
      </w:r>
      <w:r w:rsidRPr="00520B73">
        <w:rPr>
          <w:rFonts w:asciiTheme="minorHAnsi" w:hAnsiTheme="minorHAnsi" w:cstheme="minorHAnsi"/>
          <w:sz w:val="22"/>
        </w:rPr>
        <w:t xml:space="preserve"> is that </w:t>
      </w:r>
      <w:r w:rsidR="00E31F73" w:rsidRPr="00520B73">
        <w:rPr>
          <w:rFonts w:asciiTheme="minorHAnsi" w:hAnsiTheme="minorHAnsi" w:cstheme="minorHAnsi"/>
          <w:sz w:val="22"/>
        </w:rPr>
        <w:t>the spatial segregation of incomes is dominated by the smallest geographies</w:t>
      </w:r>
      <w:r w:rsidRPr="00520B73">
        <w:rPr>
          <w:rFonts w:asciiTheme="minorHAnsi" w:hAnsiTheme="minorHAnsi" w:cstheme="minorHAnsi"/>
          <w:sz w:val="22"/>
        </w:rPr>
        <w:t>. This</w:t>
      </w:r>
      <w:r w:rsidR="00E31F73" w:rsidRPr="00520B73">
        <w:rPr>
          <w:rFonts w:asciiTheme="minorHAnsi" w:hAnsiTheme="minorHAnsi" w:cstheme="minorHAnsi"/>
          <w:sz w:val="22"/>
        </w:rPr>
        <w:t xml:space="preserve"> </w:t>
      </w:r>
      <w:r w:rsidRPr="00520B73">
        <w:rPr>
          <w:rFonts w:asciiTheme="minorHAnsi" w:hAnsiTheme="minorHAnsi" w:cstheme="minorHAnsi"/>
          <w:sz w:val="22"/>
        </w:rPr>
        <w:t xml:space="preserve">finding </w:t>
      </w:r>
      <w:r w:rsidR="00E31F73" w:rsidRPr="00520B73">
        <w:rPr>
          <w:rFonts w:asciiTheme="minorHAnsi" w:hAnsiTheme="minorHAnsi" w:cstheme="minorHAnsi"/>
          <w:sz w:val="22"/>
        </w:rPr>
        <w:t xml:space="preserve">supports the view that residential sorting, rather than </w:t>
      </w:r>
      <w:r w:rsidR="00966F01" w:rsidRPr="00520B73">
        <w:rPr>
          <w:rFonts w:asciiTheme="minorHAnsi" w:hAnsiTheme="minorHAnsi" w:cstheme="minorHAnsi"/>
          <w:sz w:val="22"/>
        </w:rPr>
        <w:t xml:space="preserve">larger-scale </w:t>
      </w:r>
      <w:r w:rsidR="00553767">
        <w:rPr>
          <w:rFonts w:asciiTheme="minorHAnsi" w:hAnsiTheme="minorHAnsi" w:cstheme="minorHAnsi"/>
          <w:sz w:val="22"/>
        </w:rPr>
        <w:t xml:space="preserve">structural </w:t>
      </w:r>
      <w:r w:rsidR="00966F01" w:rsidRPr="00520B73">
        <w:rPr>
          <w:rFonts w:asciiTheme="minorHAnsi" w:hAnsiTheme="minorHAnsi" w:cstheme="minorHAnsi"/>
          <w:sz w:val="22"/>
        </w:rPr>
        <w:t>differences</w:t>
      </w:r>
      <w:r w:rsidR="00553767">
        <w:rPr>
          <w:rFonts w:asciiTheme="minorHAnsi" w:hAnsiTheme="minorHAnsi" w:cstheme="minorHAnsi"/>
          <w:sz w:val="22"/>
        </w:rPr>
        <w:t xml:space="preserve"> between labour markets</w:t>
      </w:r>
      <w:r w:rsidRPr="00520B73">
        <w:rPr>
          <w:rFonts w:asciiTheme="minorHAnsi" w:hAnsiTheme="minorHAnsi" w:cstheme="minorHAnsi"/>
          <w:sz w:val="22"/>
        </w:rPr>
        <w:t>,</w:t>
      </w:r>
      <w:r w:rsidR="00E31F73" w:rsidRPr="00520B73">
        <w:rPr>
          <w:rFonts w:asciiTheme="minorHAnsi" w:hAnsiTheme="minorHAnsi" w:cstheme="minorHAnsi"/>
          <w:sz w:val="22"/>
        </w:rPr>
        <w:t xml:space="preserve"> dominate</w:t>
      </w:r>
      <w:r w:rsidR="00994D9C">
        <w:rPr>
          <w:rFonts w:asciiTheme="minorHAnsi" w:hAnsiTheme="minorHAnsi" w:cstheme="minorHAnsi"/>
          <w:sz w:val="22"/>
        </w:rPr>
        <w:t>s</w:t>
      </w:r>
      <w:r w:rsidR="00E31F73" w:rsidRPr="00520B73">
        <w:rPr>
          <w:rFonts w:asciiTheme="minorHAnsi" w:hAnsiTheme="minorHAnsi" w:cstheme="minorHAnsi"/>
          <w:sz w:val="22"/>
        </w:rPr>
        <w:t xml:space="preserve"> the spatial d</w:t>
      </w:r>
      <w:r w:rsidR="0099044A" w:rsidRPr="00520B73">
        <w:rPr>
          <w:rFonts w:asciiTheme="minorHAnsi" w:hAnsiTheme="minorHAnsi" w:cstheme="minorHAnsi"/>
          <w:sz w:val="22"/>
        </w:rPr>
        <w:t xml:space="preserve">istribution of personal incomes. </w:t>
      </w:r>
      <w:r w:rsidR="00966F01" w:rsidRPr="00520B73">
        <w:rPr>
          <w:rFonts w:asciiTheme="minorHAnsi" w:hAnsiTheme="minorHAnsi" w:cstheme="minorHAnsi"/>
          <w:sz w:val="22"/>
        </w:rPr>
        <w:t>This suggests that</w:t>
      </w:r>
      <w:r w:rsidRPr="00520B73">
        <w:rPr>
          <w:rFonts w:asciiTheme="minorHAnsi" w:hAnsiTheme="minorHAnsi" w:cstheme="minorHAnsi"/>
          <w:sz w:val="22"/>
        </w:rPr>
        <w:t xml:space="preserve"> </w:t>
      </w:r>
      <w:r w:rsidR="00FA1856" w:rsidRPr="00520B73">
        <w:rPr>
          <w:rFonts w:asciiTheme="minorHAnsi" w:hAnsiTheme="minorHAnsi" w:cstheme="minorHAnsi"/>
          <w:sz w:val="22"/>
        </w:rPr>
        <w:t>as spatial units decrease in size they increase in population homogeneity, leading</w:t>
      </w:r>
      <w:r w:rsidR="00E31F73" w:rsidRPr="00520B73">
        <w:rPr>
          <w:rFonts w:asciiTheme="minorHAnsi" w:hAnsiTheme="minorHAnsi" w:cstheme="minorHAnsi"/>
          <w:sz w:val="22"/>
        </w:rPr>
        <w:t xml:space="preserve"> to increasing</w:t>
      </w:r>
      <w:r w:rsidR="00FA1856" w:rsidRPr="00520B73">
        <w:rPr>
          <w:rFonts w:asciiTheme="minorHAnsi" w:hAnsiTheme="minorHAnsi" w:cstheme="minorHAnsi"/>
          <w:sz w:val="22"/>
        </w:rPr>
        <w:t xml:space="preserve"> spatial segregation of incomes and, therefore, increasing</w:t>
      </w:r>
      <w:r w:rsidR="00E31F73" w:rsidRPr="00520B73">
        <w:rPr>
          <w:rFonts w:asciiTheme="minorHAnsi" w:hAnsiTheme="minorHAnsi" w:cstheme="minorHAnsi"/>
          <w:sz w:val="22"/>
        </w:rPr>
        <w:t xml:space="preserve"> diversity of mean incomes between areas. But homogeneity is a relative term. Even </w:t>
      </w:r>
      <w:r w:rsidR="00966F01" w:rsidRPr="00520B73">
        <w:rPr>
          <w:rFonts w:asciiTheme="minorHAnsi" w:hAnsiTheme="minorHAnsi" w:cstheme="minorHAnsi"/>
          <w:sz w:val="22"/>
        </w:rPr>
        <w:t xml:space="preserve">at </w:t>
      </w:r>
      <w:r w:rsidRPr="00520B73">
        <w:rPr>
          <w:rFonts w:asciiTheme="minorHAnsi" w:hAnsiTheme="minorHAnsi" w:cstheme="minorHAnsi"/>
          <w:sz w:val="22"/>
        </w:rPr>
        <w:t>post</w:t>
      </w:r>
      <w:r w:rsidR="00966F01" w:rsidRPr="00520B73">
        <w:rPr>
          <w:rFonts w:asciiTheme="minorHAnsi" w:hAnsiTheme="minorHAnsi" w:cstheme="minorHAnsi"/>
          <w:sz w:val="22"/>
        </w:rPr>
        <w:t>code-</w:t>
      </w:r>
      <w:r w:rsidRPr="00520B73">
        <w:rPr>
          <w:rFonts w:asciiTheme="minorHAnsi" w:hAnsiTheme="minorHAnsi" w:cstheme="minorHAnsi"/>
          <w:sz w:val="22"/>
        </w:rPr>
        <w:t>unit</w:t>
      </w:r>
      <w:r w:rsidR="00966F01" w:rsidRPr="00520B73">
        <w:rPr>
          <w:rFonts w:asciiTheme="minorHAnsi" w:hAnsiTheme="minorHAnsi" w:cstheme="minorHAnsi"/>
          <w:sz w:val="22"/>
        </w:rPr>
        <w:t xml:space="preserve"> level location </w:t>
      </w:r>
      <w:r w:rsidRPr="00520B73">
        <w:rPr>
          <w:rFonts w:asciiTheme="minorHAnsi" w:hAnsiTheme="minorHAnsi" w:cstheme="minorHAnsi"/>
          <w:sz w:val="22"/>
        </w:rPr>
        <w:t>account</w:t>
      </w:r>
      <w:r w:rsidR="00966F01" w:rsidRPr="00520B73">
        <w:rPr>
          <w:rFonts w:asciiTheme="minorHAnsi" w:hAnsiTheme="minorHAnsi" w:cstheme="minorHAnsi"/>
          <w:sz w:val="22"/>
        </w:rPr>
        <w:t>s</w:t>
      </w:r>
      <w:r w:rsidRPr="00520B73">
        <w:rPr>
          <w:rFonts w:asciiTheme="minorHAnsi" w:hAnsiTheme="minorHAnsi" w:cstheme="minorHAnsi"/>
          <w:sz w:val="22"/>
        </w:rPr>
        <w:t xml:space="preserve"> for</w:t>
      </w:r>
      <w:r w:rsidR="00E31F73" w:rsidRPr="00520B73">
        <w:rPr>
          <w:rFonts w:asciiTheme="minorHAnsi" w:hAnsiTheme="minorHAnsi" w:cstheme="minorHAnsi"/>
          <w:sz w:val="22"/>
        </w:rPr>
        <w:t xml:space="preserve"> only 11% of the </w:t>
      </w:r>
      <w:r w:rsidRPr="00520B73">
        <w:rPr>
          <w:rFonts w:asciiTheme="minorHAnsi" w:hAnsiTheme="minorHAnsi" w:cstheme="minorHAnsi"/>
          <w:sz w:val="22"/>
        </w:rPr>
        <w:t xml:space="preserve">non-structural </w:t>
      </w:r>
      <w:r w:rsidR="00E31F73" w:rsidRPr="00520B73">
        <w:rPr>
          <w:rFonts w:asciiTheme="minorHAnsi" w:hAnsiTheme="minorHAnsi" w:cstheme="minorHAnsi"/>
          <w:sz w:val="22"/>
        </w:rPr>
        <w:t xml:space="preserve">variability in individual incomes and 20% of </w:t>
      </w:r>
      <w:r w:rsidRPr="00520B73">
        <w:rPr>
          <w:rFonts w:asciiTheme="minorHAnsi" w:hAnsiTheme="minorHAnsi" w:cstheme="minorHAnsi"/>
          <w:sz w:val="22"/>
        </w:rPr>
        <w:t xml:space="preserve">the variability in </w:t>
      </w:r>
      <w:r w:rsidR="00E31F73" w:rsidRPr="00520B73">
        <w:rPr>
          <w:rFonts w:asciiTheme="minorHAnsi" w:hAnsiTheme="minorHAnsi" w:cstheme="minorHAnsi"/>
          <w:sz w:val="22"/>
        </w:rPr>
        <w:t xml:space="preserve">household incomes. </w:t>
      </w:r>
      <w:r w:rsidR="00FA1856" w:rsidRPr="00520B73">
        <w:rPr>
          <w:rFonts w:asciiTheme="minorHAnsi" w:hAnsiTheme="minorHAnsi" w:cstheme="minorHAnsi"/>
          <w:sz w:val="22"/>
        </w:rPr>
        <w:t xml:space="preserve">In </w:t>
      </w:r>
      <w:r w:rsidR="00966F01" w:rsidRPr="00520B73">
        <w:rPr>
          <w:rFonts w:asciiTheme="minorHAnsi" w:hAnsiTheme="minorHAnsi" w:cstheme="minorHAnsi"/>
          <w:sz w:val="22"/>
        </w:rPr>
        <w:t>short</w:t>
      </w:r>
      <w:r w:rsidR="00FA1856" w:rsidRPr="00520B73">
        <w:rPr>
          <w:rFonts w:asciiTheme="minorHAnsi" w:hAnsiTheme="minorHAnsi" w:cstheme="minorHAnsi"/>
          <w:sz w:val="22"/>
        </w:rPr>
        <w:t xml:space="preserve">, the vast majority of the variation in incomes is </w:t>
      </w:r>
      <w:proofErr w:type="gramStart"/>
      <w:r w:rsidR="00FA1856" w:rsidRPr="00520B73">
        <w:rPr>
          <w:rFonts w:asciiTheme="minorHAnsi" w:hAnsiTheme="minorHAnsi" w:cstheme="minorHAnsi"/>
          <w:sz w:val="22"/>
        </w:rPr>
        <w:t>attributable</w:t>
      </w:r>
      <w:proofErr w:type="gramEnd"/>
      <w:r w:rsidR="00FA1856" w:rsidRPr="00520B73">
        <w:rPr>
          <w:rFonts w:asciiTheme="minorHAnsi" w:hAnsiTheme="minorHAnsi" w:cstheme="minorHAnsi"/>
          <w:sz w:val="22"/>
        </w:rPr>
        <w:t xml:space="preserve"> </w:t>
      </w:r>
      <w:r w:rsidR="00966F01" w:rsidRPr="00520B73">
        <w:rPr>
          <w:rFonts w:asciiTheme="minorHAnsi" w:hAnsiTheme="minorHAnsi" w:cstheme="minorHAnsi"/>
          <w:sz w:val="22"/>
        </w:rPr>
        <w:t xml:space="preserve">not </w:t>
      </w:r>
      <w:r w:rsidR="00FA1856" w:rsidRPr="00520B73">
        <w:rPr>
          <w:rFonts w:asciiTheme="minorHAnsi" w:hAnsiTheme="minorHAnsi" w:cstheme="minorHAnsi"/>
          <w:sz w:val="22"/>
        </w:rPr>
        <w:t xml:space="preserve">to spatial location, but to other causes. </w:t>
      </w:r>
      <w:r w:rsidR="00E31F73" w:rsidRPr="00520B73">
        <w:rPr>
          <w:rFonts w:asciiTheme="minorHAnsi" w:hAnsiTheme="minorHAnsi" w:cstheme="minorHAnsi"/>
          <w:sz w:val="22"/>
        </w:rPr>
        <w:t xml:space="preserve">This </w:t>
      </w:r>
      <w:r w:rsidR="00FA1856" w:rsidRPr="00520B73">
        <w:rPr>
          <w:rFonts w:asciiTheme="minorHAnsi" w:hAnsiTheme="minorHAnsi" w:cstheme="minorHAnsi"/>
          <w:sz w:val="22"/>
        </w:rPr>
        <w:t xml:space="preserve">finding </w:t>
      </w:r>
      <w:r w:rsidRPr="00520B73">
        <w:rPr>
          <w:rFonts w:asciiTheme="minorHAnsi" w:hAnsiTheme="minorHAnsi" w:cstheme="minorHAnsi"/>
          <w:sz w:val="22"/>
        </w:rPr>
        <w:t>is line with</w:t>
      </w:r>
      <w:r w:rsidR="00E31F73" w:rsidRPr="00520B73">
        <w:rPr>
          <w:rFonts w:asciiTheme="minorHAnsi" w:hAnsiTheme="minorHAnsi" w:cstheme="minorHAnsi"/>
          <w:sz w:val="22"/>
        </w:rPr>
        <w:t xml:space="preserve"> Berthoud’s observation that only a small minority (10%) of the total variance in </w:t>
      </w:r>
      <w:r w:rsidR="00E31F73" w:rsidRPr="00520B73">
        <w:rPr>
          <w:rFonts w:asciiTheme="minorHAnsi" w:hAnsiTheme="minorHAnsi" w:cstheme="minorHAnsi"/>
          <w:i/>
          <w:sz w:val="22"/>
        </w:rPr>
        <w:t>net</w:t>
      </w:r>
      <w:r w:rsidR="00E31F73" w:rsidRPr="00520B73">
        <w:rPr>
          <w:rFonts w:asciiTheme="minorHAnsi" w:hAnsiTheme="minorHAnsi" w:cstheme="minorHAnsi"/>
          <w:sz w:val="22"/>
        </w:rPr>
        <w:t xml:space="preserve"> household incomes is explained by their spatial sorting across postcode sectors.</w:t>
      </w:r>
      <w:r w:rsidR="0099044A" w:rsidRPr="00520B73">
        <w:rPr>
          <w:rFonts w:asciiTheme="minorHAnsi" w:hAnsiTheme="minorHAnsi" w:cstheme="minorHAnsi"/>
          <w:sz w:val="22"/>
        </w:rPr>
        <w:t xml:space="preserve"> </w:t>
      </w:r>
    </w:p>
    <w:p w14:paraId="5AD1AD43" w14:textId="77777777" w:rsidR="00E31F73" w:rsidRPr="00520B73" w:rsidRDefault="00E31F73" w:rsidP="00015CD9">
      <w:pPr>
        <w:spacing w:line="276" w:lineRule="auto"/>
        <w:jc w:val="both"/>
        <w:rPr>
          <w:rFonts w:asciiTheme="minorHAnsi" w:hAnsiTheme="minorHAnsi" w:cstheme="minorHAnsi"/>
          <w:sz w:val="22"/>
        </w:rPr>
      </w:pPr>
    </w:p>
    <w:p w14:paraId="38F0C0B4" w14:textId="77777777" w:rsidR="005B15A7" w:rsidRPr="00520B73" w:rsidRDefault="00FA1856"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Finally, Table </w:t>
      </w:r>
      <w:r w:rsidR="00DE4A04">
        <w:rPr>
          <w:rFonts w:asciiTheme="minorHAnsi" w:hAnsiTheme="minorHAnsi" w:cstheme="minorHAnsi"/>
          <w:sz w:val="22"/>
        </w:rPr>
        <w:t>2</w:t>
      </w:r>
      <w:r w:rsidRPr="00520B73">
        <w:rPr>
          <w:rFonts w:asciiTheme="minorHAnsi" w:hAnsiTheme="minorHAnsi" w:cstheme="minorHAnsi"/>
          <w:sz w:val="22"/>
        </w:rPr>
        <w:t xml:space="preserve"> </w:t>
      </w:r>
      <w:r w:rsidR="00966F01" w:rsidRPr="00520B73">
        <w:rPr>
          <w:rFonts w:asciiTheme="minorHAnsi" w:hAnsiTheme="minorHAnsi" w:cstheme="minorHAnsi"/>
          <w:sz w:val="22"/>
        </w:rPr>
        <w:t xml:space="preserve">reports </w:t>
      </w:r>
      <w:r w:rsidR="00F555A4" w:rsidRPr="00520B73">
        <w:rPr>
          <w:rFonts w:asciiTheme="minorHAnsi" w:hAnsiTheme="minorHAnsi" w:cstheme="minorHAnsi"/>
          <w:sz w:val="22"/>
        </w:rPr>
        <w:t xml:space="preserve">the </w:t>
      </w:r>
      <w:r w:rsidR="006E458C" w:rsidRPr="00520B73">
        <w:rPr>
          <w:rFonts w:asciiTheme="minorHAnsi" w:hAnsiTheme="minorHAnsi" w:cstheme="minorHAnsi"/>
          <w:sz w:val="22"/>
        </w:rPr>
        <w:t xml:space="preserve">relative </w:t>
      </w:r>
      <w:r w:rsidR="00F555A4" w:rsidRPr="00520B73">
        <w:rPr>
          <w:rFonts w:asciiTheme="minorHAnsi" w:hAnsiTheme="minorHAnsi" w:cstheme="minorHAnsi"/>
          <w:sz w:val="22"/>
        </w:rPr>
        <w:t>contribution</w:t>
      </w:r>
      <w:r w:rsidR="006E458C" w:rsidRPr="00520B73">
        <w:rPr>
          <w:rFonts w:asciiTheme="minorHAnsi" w:hAnsiTheme="minorHAnsi" w:cstheme="minorHAnsi"/>
          <w:sz w:val="22"/>
        </w:rPr>
        <w:t>s of each spatial scale to the overall level of spatial sorting</w:t>
      </w:r>
      <w:r w:rsidRPr="00520B73">
        <w:rPr>
          <w:rFonts w:asciiTheme="minorHAnsi" w:hAnsiTheme="minorHAnsi" w:cstheme="minorHAnsi"/>
          <w:sz w:val="22"/>
        </w:rPr>
        <w:t xml:space="preserve"> observed at postcode-unit level</w:t>
      </w:r>
      <w:r w:rsidR="00994D9C">
        <w:rPr>
          <w:rFonts w:asciiTheme="minorHAnsi" w:hAnsiTheme="minorHAnsi" w:cstheme="minorHAnsi"/>
          <w:sz w:val="22"/>
        </w:rPr>
        <w:t>. To do so</w:t>
      </w:r>
      <w:r w:rsidR="006E458C" w:rsidRPr="00520B73">
        <w:rPr>
          <w:rFonts w:asciiTheme="minorHAnsi" w:hAnsiTheme="minorHAnsi" w:cstheme="minorHAnsi"/>
          <w:sz w:val="22"/>
        </w:rPr>
        <w:t xml:space="preserve"> it </w:t>
      </w:r>
      <w:r w:rsidR="00966F01" w:rsidRPr="00520B73">
        <w:rPr>
          <w:rFonts w:asciiTheme="minorHAnsi" w:hAnsiTheme="minorHAnsi" w:cstheme="minorHAnsi"/>
          <w:sz w:val="22"/>
        </w:rPr>
        <w:t>is</w:t>
      </w:r>
      <w:r w:rsidR="006E458C" w:rsidRPr="00520B73">
        <w:rPr>
          <w:rFonts w:asciiTheme="minorHAnsi" w:hAnsiTheme="minorHAnsi" w:cstheme="minorHAnsi"/>
          <w:sz w:val="22"/>
        </w:rPr>
        <w:t xml:space="preserve"> </w:t>
      </w:r>
      <w:r w:rsidR="00F555A4" w:rsidRPr="00520B73">
        <w:rPr>
          <w:rFonts w:asciiTheme="minorHAnsi" w:hAnsiTheme="minorHAnsi" w:cstheme="minorHAnsi"/>
          <w:sz w:val="22"/>
        </w:rPr>
        <w:t>assumed</w:t>
      </w:r>
      <w:r w:rsidR="00994D9C">
        <w:rPr>
          <w:rFonts w:asciiTheme="minorHAnsi" w:hAnsiTheme="minorHAnsi" w:cstheme="minorHAnsi"/>
          <w:sz w:val="22"/>
        </w:rPr>
        <w:t xml:space="preserve">, </w:t>
      </w:r>
      <w:r w:rsidR="00994D9C" w:rsidRPr="00520B73">
        <w:rPr>
          <w:rFonts w:asciiTheme="minorHAnsi" w:hAnsiTheme="minorHAnsi" w:cstheme="minorHAnsi"/>
          <w:sz w:val="22"/>
        </w:rPr>
        <w:t>following Berthoud</w:t>
      </w:r>
      <w:proofErr w:type="gramStart"/>
      <w:r w:rsidR="00994D9C" w:rsidRPr="00520B73">
        <w:rPr>
          <w:rFonts w:asciiTheme="minorHAnsi" w:hAnsiTheme="minorHAnsi" w:cstheme="minorHAnsi"/>
          <w:sz w:val="22"/>
        </w:rPr>
        <w:t xml:space="preserve">, </w:t>
      </w:r>
      <w:r w:rsidR="00F555A4" w:rsidRPr="00520B73">
        <w:rPr>
          <w:rFonts w:asciiTheme="minorHAnsi" w:hAnsiTheme="minorHAnsi" w:cstheme="minorHAnsi"/>
          <w:sz w:val="22"/>
        </w:rPr>
        <w:t xml:space="preserve"> that</w:t>
      </w:r>
      <w:proofErr w:type="gramEnd"/>
      <w:r w:rsidR="00F555A4" w:rsidRPr="00520B73">
        <w:rPr>
          <w:rFonts w:asciiTheme="minorHAnsi" w:hAnsiTheme="minorHAnsi" w:cstheme="minorHAnsi"/>
          <w:sz w:val="22"/>
        </w:rPr>
        <w:t xml:space="preserve"> the spatial units under consideration are nested, such that their spatial contributions to the overall variation in incomes are, for all practical purposes, independent of one another. </w:t>
      </w:r>
      <w:r w:rsidR="00966F01" w:rsidRPr="00520B73">
        <w:rPr>
          <w:rFonts w:asciiTheme="minorHAnsi" w:hAnsiTheme="minorHAnsi" w:cstheme="minorHAnsi"/>
          <w:sz w:val="22"/>
        </w:rPr>
        <w:t>The outcome is that f</w:t>
      </w:r>
      <w:r w:rsidR="00631ABE" w:rsidRPr="00520B73">
        <w:rPr>
          <w:rFonts w:asciiTheme="minorHAnsi" w:hAnsiTheme="minorHAnsi" w:cstheme="minorHAnsi"/>
          <w:sz w:val="22"/>
        </w:rPr>
        <w:t xml:space="preserve">or both adult and household incomes, once inherent structural variability is taken into account, the key scale for the spatial concentration of incomes is the enumeration district, </w:t>
      </w:r>
      <w:r w:rsidR="00966F01" w:rsidRPr="00520B73">
        <w:rPr>
          <w:rFonts w:asciiTheme="minorHAnsi" w:hAnsiTheme="minorHAnsi" w:cstheme="minorHAnsi"/>
          <w:sz w:val="22"/>
        </w:rPr>
        <w:t>which accounts</w:t>
      </w:r>
      <w:r w:rsidR="00631ABE" w:rsidRPr="00520B73">
        <w:rPr>
          <w:rFonts w:asciiTheme="minorHAnsi" w:hAnsiTheme="minorHAnsi" w:cstheme="minorHAnsi"/>
          <w:sz w:val="22"/>
        </w:rPr>
        <w:t xml:space="preserve"> for around </w:t>
      </w:r>
      <w:r w:rsidR="00553767">
        <w:rPr>
          <w:rFonts w:asciiTheme="minorHAnsi" w:hAnsiTheme="minorHAnsi" w:cstheme="minorHAnsi"/>
          <w:sz w:val="22"/>
        </w:rPr>
        <w:t>two-fifths</w:t>
      </w:r>
      <w:r w:rsidR="00631ABE" w:rsidRPr="00520B73">
        <w:rPr>
          <w:rFonts w:asciiTheme="minorHAnsi" w:hAnsiTheme="minorHAnsi" w:cstheme="minorHAnsi"/>
          <w:sz w:val="22"/>
        </w:rPr>
        <w:t xml:space="preserve"> of </w:t>
      </w:r>
      <w:r w:rsidR="00553767">
        <w:rPr>
          <w:rFonts w:asciiTheme="minorHAnsi" w:hAnsiTheme="minorHAnsi" w:cstheme="minorHAnsi"/>
          <w:sz w:val="22"/>
        </w:rPr>
        <w:t xml:space="preserve">the </w:t>
      </w:r>
      <w:r w:rsidR="00631ABE" w:rsidRPr="00520B73">
        <w:rPr>
          <w:rFonts w:asciiTheme="minorHAnsi" w:hAnsiTheme="minorHAnsi" w:cstheme="minorHAnsi"/>
          <w:sz w:val="22"/>
        </w:rPr>
        <w:t>overall spatial concentration of in</w:t>
      </w:r>
      <w:r w:rsidR="00E31F73" w:rsidRPr="00520B73">
        <w:rPr>
          <w:rFonts w:asciiTheme="minorHAnsi" w:hAnsiTheme="minorHAnsi" w:cstheme="minorHAnsi"/>
          <w:sz w:val="22"/>
        </w:rPr>
        <w:t>c</w:t>
      </w:r>
      <w:r w:rsidR="00631ABE" w:rsidRPr="00520B73">
        <w:rPr>
          <w:rFonts w:asciiTheme="minorHAnsi" w:hAnsiTheme="minorHAnsi" w:cstheme="minorHAnsi"/>
          <w:sz w:val="22"/>
        </w:rPr>
        <w:t xml:space="preserve">omes. </w:t>
      </w:r>
      <w:r w:rsidR="00E31F73" w:rsidRPr="00520B73">
        <w:rPr>
          <w:rFonts w:asciiTheme="minorHAnsi" w:hAnsiTheme="minorHAnsi" w:cstheme="minorHAnsi"/>
          <w:sz w:val="22"/>
        </w:rPr>
        <w:t xml:space="preserve">A further </w:t>
      </w:r>
      <w:r w:rsidR="00553767">
        <w:rPr>
          <w:rFonts w:asciiTheme="minorHAnsi" w:hAnsiTheme="minorHAnsi" w:cstheme="minorHAnsi"/>
          <w:sz w:val="22"/>
        </w:rPr>
        <w:t>two-fifths</w:t>
      </w:r>
      <w:r w:rsidR="00E31F73" w:rsidRPr="00520B73">
        <w:rPr>
          <w:rFonts w:asciiTheme="minorHAnsi" w:hAnsiTheme="minorHAnsi" w:cstheme="minorHAnsi"/>
          <w:sz w:val="22"/>
        </w:rPr>
        <w:t xml:space="preserve"> is split between post</w:t>
      </w:r>
      <w:r w:rsidR="00966F01" w:rsidRPr="00520B73">
        <w:rPr>
          <w:rFonts w:asciiTheme="minorHAnsi" w:hAnsiTheme="minorHAnsi" w:cstheme="minorHAnsi"/>
          <w:sz w:val="22"/>
        </w:rPr>
        <w:t xml:space="preserve">code units and postcode sectors, whilst districts (a reasonable surrogate for any labour market effect) account for only </w:t>
      </w:r>
      <w:r w:rsidR="00553767">
        <w:rPr>
          <w:rFonts w:asciiTheme="minorHAnsi" w:hAnsiTheme="minorHAnsi" w:cstheme="minorHAnsi"/>
          <w:sz w:val="22"/>
        </w:rPr>
        <w:t>one-twentieth</w:t>
      </w:r>
      <w:r w:rsidR="00966F01" w:rsidRPr="00520B73">
        <w:rPr>
          <w:rFonts w:asciiTheme="minorHAnsi" w:hAnsiTheme="minorHAnsi" w:cstheme="minorHAnsi"/>
          <w:sz w:val="22"/>
        </w:rPr>
        <w:t>.</w:t>
      </w:r>
    </w:p>
    <w:p w14:paraId="071D794F" w14:textId="77777777" w:rsidR="003806B1" w:rsidRPr="00520B73" w:rsidRDefault="003806B1" w:rsidP="00015CD9">
      <w:pPr>
        <w:spacing w:line="276" w:lineRule="auto"/>
        <w:jc w:val="both"/>
        <w:rPr>
          <w:rFonts w:asciiTheme="minorHAnsi" w:hAnsiTheme="minorHAnsi" w:cstheme="minorHAnsi"/>
          <w:sz w:val="22"/>
        </w:rPr>
      </w:pPr>
    </w:p>
    <w:p w14:paraId="10C37CDB" w14:textId="77777777" w:rsidR="008C1424" w:rsidRPr="00520B73" w:rsidRDefault="008C1424" w:rsidP="00015CD9">
      <w:pPr>
        <w:spacing w:line="276" w:lineRule="auto"/>
        <w:jc w:val="both"/>
        <w:rPr>
          <w:rFonts w:asciiTheme="minorHAnsi" w:hAnsiTheme="minorHAnsi" w:cstheme="minorHAnsi"/>
          <w:i/>
          <w:sz w:val="22"/>
        </w:rPr>
      </w:pPr>
      <w:r w:rsidRPr="00520B73">
        <w:rPr>
          <w:rFonts w:asciiTheme="minorHAnsi" w:hAnsiTheme="minorHAnsi" w:cstheme="minorHAnsi"/>
          <w:i/>
          <w:sz w:val="22"/>
        </w:rPr>
        <w:t xml:space="preserve">3.3 </w:t>
      </w:r>
      <w:r w:rsidR="00C701FF" w:rsidRPr="00520B73">
        <w:rPr>
          <w:rFonts w:asciiTheme="minorHAnsi" w:hAnsiTheme="minorHAnsi" w:cstheme="minorHAnsi"/>
          <w:i/>
          <w:sz w:val="22"/>
        </w:rPr>
        <w:t>Disentangling p</w:t>
      </w:r>
      <w:r w:rsidRPr="00520B73">
        <w:rPr>
          <w:rFonts w:asciiTheme="minorHAnsi" w:hAnsiTheme="minorHAnsi" w:cstheme="minorHAnsi"/>
          <w:i/>
          <w:sz w:val="22"/>
        </w:rPr>
        <w:t xml:space="preserve">opulation composition </w:t>
      </w:r>
      <w:r w:rsidR="00C701FF" w:rsidRPr="00520B73">
        <w:rPr>
          <w:rFonts w:asciiTheme="minorHAnsi" w:hAnsiTheme="minorHAnsi" w:cstheme="minorHAnsi"/>
          <w:i/>
          <w:sz w:val="22"/>
        </w:rPr>
        <w:t>and</w:t>
      </w:r>
      <w:r w:rsidRPr="00520B73">
        <w:rPr>
          <w:rFonts w:asciiTheme="minorHAnsi" w:hAnsiTheme="minorHAnsi" w:cstheme="minorHAnsi"/>
          <w:i/>
          <w:sz w:val="22"/>
        </w:rPr>
        <w:t xml:space="preserve"> spatial context</w:t>
      </w:r>
    </w:p>
    <w:p w14:paraId="36999708" w14:textId="77777777" w:rsidR="008C1424" w:rsidRPr="00520B73" w:rsidRDefault="008C1424" w:rsidP="00015CD9">
      <w:pPr>
        <w:spacing w:line="276" w:lineRule="auto"/>
        <w:jc w:val="both"/>
        <w:rPr>
          <w:rFonts w:asciiTheme="minorHAnsi" w:hAnsiTheme="minorHAnsi" w:cstheme="minorHAnsi"/>
          <w:sz w:val="22"/>
        </w:rPr>
      </w:pPr>
    </w:p>
    <w:p w14:paraId="3D43CD99" w14:textId="77777777" w:rsidR="008C1424" w:rsidRPr="00520B73" w:rsidRDefault="008C1424" w:rsidP="00015CD9">
      <w:pPr>
        <w:spacing w:line="276" w:lineRule="auto"/>
        <w:jc w:val="both"/>
        <w:rPr>
          <w:rFonts w:asciiTheme="minorHAnsi" w:hAnsiTheme="minorHAnsi" w:cstheme="minorHAnsi"/>
          <w:sz w:val="22"/>
        </w:rPr>
      </w:pPr>
      <w:r w:rsidRPr="00520B73">
        <w:rPr>
          <w:rFonts w:asciiTheme="minorHAnsi" w:hAnsiTheme="minorHAnsi" w:cstheme="minorHAnsi"/>
          <w:sz w:val="22"/>
        </w:rPr>
        <w:t>The results presented in</w:t>
      </w:r>
      <w:r w:rsidR="009A1E48">
        <w:rPr>
          <w:rFonts w:asciiTheme="minorHAnsi" w:hAnsiTheme="minorHAnsi" w:cstheme="minorHAnsi"/>
          <w:sz w:val="22"/>
        </w:rPr>
        <w:t xml:space="preserve"> Table </w:t>
      </w:r>
      <w:r w:rsidR="00DE4A04">
        <w:rPr>
          <w:rFonts w:asciiTheme="minorHAnsi" w:hAnsiTheme="minorHAnsi" w:cstheme="minorHAnsi"/>
          <w:sz w:val="22"/>
        </w:rPr>
        <w:t>2</w:t>
      </w:r>
      <w:r w:rsidR="000F1F18" w:rsidRPr="00520B73">
        <w:rPr>
          <w:rFonts w:asciiTheme="minorHAnsi" w:hAnsiTheme="minorHAnsi" w:cstheme="minorHAnsi"/>
          <w:sz w:val="22"/>
        </w:rPr>
        <w:t>, if read naively,</w:t>
      </w:r>
      <w:r w:rsidRPr="00520B73">
        <w:rPr>
          <w:rFonts w:asciiTheme="minorHAnsi" w:hAnsiTheme="minorHAnsi" w:cstheme="minorHAnsi"/>
          <w:sz w:val="22"/>
        </w:rPr>
        <w:t xml:space="preserve"> suggest that incomes are, </w:t>
      </w:r>
      <w:r w:rsidR="00553767">
        <w:rPr>
          <w:rFonts w:asciiTheme="minorHAnsi" w:hAnsiTheme="minorHAnsi" w:cstheme="minorHAnsi"/>
          <w:sz w:val="22"/>
        </w:rPr>
        <w:t xml:space="preserve">at least </w:t>
      </w:r>
      <w:r w:rsidRPr="00520B73">
        <w:rPr>
          <w:rFonts w:asciiTheme="minorHAnsi" w:hAnsiTheme="minorHAnsi" w:cstheme="minorHAnsi"/>
          <w:sz w:val="22"/>
        </w:rPr>
        <w:t xml:space="preserve">to some extent, </w:t>
      </w:r>
      <w:r w:rsidR="000F1F18" w:rsidRPr="00520B73">
        <w:rPr>
          <w:rFonts w:asciiTheme="minorHAnsi" w:hAnsiTheme="minorHAnsi" w:cstheme="minorHAnsi"/>
          <w:sz w:val="22"/>
        </w:rPr>
        <w:t>‘</w:t>
      </w:r>
      <w:r w:rsidRPr="00520B73">
        <w:rPr>
          <w:rFonts w:asciiTheme="minorHAnsi" w:hAnsiTheme="minorHAnsi" w:cstheme="minorHAnsi"/>
          <w:sz w:val="22"/>
        </w:rPr>
        <w:t>spatially determined</w:t>
      </w:r>
      <w:r w:rsidR="000F1F18" w:rsidRPr="00520B73">
        <w:rPr>
          <w:rFonts w:asciiTheme="minorHAnsi" w:hAnsiTheme="minorHAnsi" w:cstheme="minorHAnsi"/>
          <w:sz w:val="22"/>
        </w:rPr>
        <w:t>’</w:t>
      </w:r>
      <w:r w:rsidRPr="00520B73">
        <w:rPr>
          <w:rFonts w:asciiTheme="minorHAnsi" w:hAnsiTheme="minorHAnsi" w:cstheme="minorHAnsi"/>
          <w:sz w:val="22"/>
        </w:rPr>
        <w:t xml:space="preserve">. </w:t>
      </w:r>
      <w:r w:rsidR="000F1F18" w:rsidRPr="00520B73">
        <w:rPr>
          <w:rFonts w:asciiTheme="minorHAnsi" w:hAnsiTheme="minorHAnsi" w:cstheme="minorHAnsi"/>
          <w:sz w:val="22"/>
        </w:rPr>
        <w:t>But, as Mitchell (2001) points out, people within an area do not all live their lives with</w:t>
      </w:r>
      <w:r w:rsidR="00994D9C">
        <w:rPr>
          <w:rFonts w:asciiTheme="minorHAnsi" w:hAnsiTheme="minorHAnsi" w:cstheme="minorHAnsi"/>
          <w:sz w:val="22"/>
        </w:rPr>
        <w:t>in</w:t>
      </w:r>
      <w:r w:rsidR="000F1F18" w:rsidRPr="00520B73">
        <w:rPr>
          <w:rFonts w:asciiTheme="minorHAnsi" w:hAnsiTheme="minorHAnsi" w:cstheme="minorHAnsi"/>
          <w:sz w:val="22"/>
        </w:rPr>
        <w:t xml:space="preserve"> the same fixed spatial hierarchy</w:t>
      </w:r>
      <w:r w:rsidR="00553767">
        <w:rPr>
          <w:rFonts w:asciiTheme="minorHAnsi" w:hAnsiTheme="minorHAnsi" w:cstheme="minorHAnsi"/>
          <w:sz w:val="22"/>
        </w:rPr>
        <w:t>. This brings</w:t>
      </w:r>
      <w:r w:rsidR="000F1F18" w:rsidRPr="00520B73">
        <w:rPr>
          <w:rFonts w:asciiTheme="minorHAnsi" w:hAnsiTheme="minorHAnsi" w:cstheme="minorHAnsi"/>
          <w:sz w:val="22"/>
        </w:rPr>
        <w:t xml:space="preserve"> into question precisely what </w:t>
      </w:r>
      <w:r w:rsidR="00553767">
        <w:rPr>
          <w:rFonts w:asciiTheme="minorHAnsi" w:hAnsiTheme="minorHAnsi" w:cstheme="minorHAnsi"/>
          <w:sz w:val="22"/>
        </w:rPr>
        <w:t>any</w:t>
      </w:r>
      <w:r w:rsidR="000F1F18" w:rsidRPr="00520B73">
        <w:rPr>
          <w:rFonts w:asciiTheme="minorHAnsi" w:hAnsiTheme="minorHAnsi" w:cstheme="minorHAnsi"/>
          <w:sz w:val="22"/>
        </w:rPr>
        <w:t xml:space="preserve"> ‘area’ effect is really capturing.  In addition, it is clear that observed area </w:t>
      </w:r>
      <w:proofErr w:type="gramStart"/>
      <w:r w:rsidR="000F1F18" w:rsidRPr="00520B73">
        <w:rPr>
          <w:rFonts w:asciiTheme="minorHAnsi" w:hAnsiTheme="minorHAnsi" w:cstheme="minorHAnsi"/>
          <w:sz w:val="22"/>
        </w:rPr>
        <w:t>effect</w:t>
      </w:r>
      <w:r w:rsidR="00553767">
        <w:rPr>
          <w:rFonts w:asciiTheme="minorHAnsi" w:hAnsiTheme="minorHAnsi" w:cstheme="minorHAnsi"/>
          <w:sz w:val="22"/>
        </w:rPr>
        <w:t>s</w:t>
      </w:r>
      <w:proofErr w:type="gramEnd"/>
      <w:r w:rsidR="000F1F18" w:rsidRPr="00520B73">
        <w:rPr>
          <w:rFonts w:asciiTheme="minorHAnsi" w:hAnsiTheme="minorHAnsi" w:cstheme="minorHAnsi"/>
          <w:sz w:val="22"/>
        </w:rPr>
        <w:t xml:space="preserve"> </w:t>
      </w:r>
      <w:r w:rsidRPr="00520B73">
        <w:rPr>
          <w:rFonts w:asciiTheme="minorHAnsi" w:hAnsiTheme="minorHAnsi" w:cstheme="minorHAnsi"/>
          <w:sz w:val="22"/>
        </w:rPr>
        <w:t xml:space="preserve">might simply be </w:t>
      </w:r>
      <w:proofErr w:type="gramStart"/>
      <w:r w:rsidRPr="00520B73">
        <w:rPr>
          <w:rFonts w:asciiTheme="minorHAnsi" w:hAnsiTheme="minorHAnsi" w:cstheme="minorHAnsi"/>
          <w:sz w:val="22"/>
        </w:rPr>
        <w:t>an artefact of failing to control sufficiently for the influence of local population composition</w:t>
      </w:r>
      <w:proofErr w:type="gramEnd"/>
      <w:r w:rsidRPr="00520B73">
        <w:rPr>
          <w:rFonts w:asciiTheme="minorHAnsi" w:hAnsiTheme="minorHAnsi" w:cstheme="minorHAnsi"/>
          <w:sz w:val="22"/>
        </w:rPr>
        <w:t xml:space="preserve">. </w:t>
      </w:r>
      <w:r w:rsidR="00553767">
        <w:rPr>
          <w:rFonts w:asciiTheme="minorHAnsi" w:hAnsiTheme="minorHAnsi" w:cstheme="minorHAnsi"/>
          <w:sz w:val="22"/>
        </w:rPr>
        <w:t>Therefore, t</w:t>
      </w:r>
      <w:r w:rsidRPr="00520B73">
        <w:rPr>
          <w:rFonts w:asciiTheme="minorHAnsi" w:hAnsiTheme="minorHAnsi" w:cstheme="minorHAnsi"/>
          <w:sz w:val="22"/>
        </w:rPr>
        <w:t xml:space="preserve">o further evaluate the relative importance of individual and ecological factors on income levels, a </w:t>
      </w:r>
      <w:r w:rsidRPr="00520B73">
        <w:rPr>
          <w:rFonts w:asciiTheme="minorHAnsi" w:hAnsiTheme="minorHAnsi" w:cstheme="minorHAnsi"/>
          <w:sz w:val="22"/>
        </w:rPr>
        <w:lastRenderedPageBreak/>
        <w:t xml:space="preserve">range of multi-level models were fitted to </w:t>
      </w:r>
      <w:r w:rsidR="000F1F18" w:rsidRPr="00520B73">
        <w:rPr>
          <w:rFonts w:asciiTheme="minorHAnsi" w:hAnsiTheme="minorHAnsi" w:cstheme="minorHAnsi"/>
          <w:sz w:val="22"/>
        </w:rPr>
        <w:t xml:space="preserve">the </w:t>
      </w:r>
      <w:r w:rsidRPr="00520B73">
        <w:rPr>
          <w:rFonts w:asciiTheme="minorHAnsi" w:hAnsiTheme="minorHAnsi" w:cstheme="minorHAnsi"/>
          <w:sz w:val="22"/>
        </w:rPr>
        <w:t xml:space="preserve">Census Rehearsal data, based on a set of individual-level regression models introduced in section </w:t>
      </w:r>
      <w:r w:rsidR="009A1E48">
        <w:rPr>
          <w:rFonts w:asciiTheme="minorHAnsi" w:hAnsiTheme="minorHAnsi" w:cstheme="minorHAnsi"/>
          <w:sz w:val="22"/>
        </w:rPr>
        <w:t>4</w:t>
      </w:r>
      <w:r w:rsidRPr="00520B73">
        <w:rPr>
          <w:rFonts w:asciiTheme="minorHAnsi" w:hAnsiTheme="minorHAnsi" w:cstheme="minorHAnsi"/>
          <w:sz w:val="22"/>
        </w:rPr>
        <w:t xml:space="preserve"> of this paper, but with random intercepts for each of person, household, enumeration district and ward level.  Reduced versions of the basic regression model were fitted to sub-sets of the Rehearsal data, split along the dimensions of persons/earner/non-earner and persons/adults/household representatives. House prices were estimated, for England and Wales only, using data supplied by Experian </w:t>
      </w:r>
      <w:r w:rsidR="00553767">
        <w:rPr>
          <w:rFonts w:asciiTheme="minorHAnsi" w:hAnsiTheme="minorHAnsi" w:cstheme="minorHAnsi"/>
          <w:sz w:val="22"/>
        </w:rPr>
        <w:t xml:space="preserve">based </w:t>
      </w:r>
      <w:r w:rsidRPr="00520B73">
        <w:rPr>
          <w:rFonts w:asciiTheme="minorHAnsi" w:hAnsiTheme="minorHAnsi" w:cstheme="minorHAnsi"/>
          <w:sz w:val="22"/>
        </w:rPr>
        <w:t xml:space="preserve">on 3-year average postal sector house prices, disaggregated by household type (detached, semi, terraced, flat). </w:t>
      </w:r>
      <w:proofErr w:type="gramStart"/>
      <w:r w:rsidRPr="00520B73">
        <w:rPr>
          <w:rFonts w:asciiTheme="minorHAnsi" w:hAnsiTheme="minorHAnsi" w:cstheme="minorHAnsi"/>
          <w:sz w:val="22"/>
        </w:rPr>
        <w:t>The relative importance of house price effects was investigated by adding and removing measures of house price at the household level (mean house price for houses of the same type in that postal sector) and enumeration district level</w:t>
      </w:r>
      <w:proofErr w:type="gramEnd"/>
      <w:r w:rsidRPr="00520B73">
        <w:rPr>
          <w:rFonts w:asciiTheme="minorHAnsi" w:hAnsiTheme="minorHAnsi" w:cstheme="minorHAnsi"/>
          <w:sz w:val="22"/>
        </w:rPr>
        <w:t xml:space="preserve"> (mean price of houses in that ED).  For households in Leeds council-tax band data were also available, in the form of mean council-tax band by postcode unit.  Treating council-tax band as an ordinal variable, council tax was added at household and enumeration district level as for house price.</w:t>
      </w:r>
    </w:p>
    <w:p w14:paraId="6D332931" w14:textId="77777777" w:rsidR="000A6C3D" w:rsidRPr="00520B73" w:rsidRDefault="000A6C3D" w:rsidP="00015CD9">
      <w:pPr>
        <w:spacing w:line="276" w:lineRule="auto"/>
        <w:jc w:val="both"/>
        <w:rPr>
          <w:rFonts w:asciiTheme="minorHAnsi" w:hAnsiTheme="minorHAnsi" w:cstheme="minorHAnsi"/>
          <w:sz w:val="22"/>
        </w:rPr>
      </w:pPr>
    </w:p>
    <w:p w14:paraId="5EC028FF" w14:textId="77777777" w:rsidR="008C1424" w:rsidRPr="00520B73" w:rsidRDefault="008C1424"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The vast majority of unexplained between-adult variation </w:t>
      </w:r>
      <w:r w:rsidR="000A6C3D" w:rsidRPr="00520B73">
        <w:rPr>
          <w:rFonts w:asciiTheme="minorHAnsi" w:hAnsiTheme="minorHAnsi" w:cstheme="minorHAnsi"/>
          <w:sz w:val="22"/>
        </w:rPr>
        <w:t>in incomes was found to arise</w:t>
      </w:r>
      <w:r w:rsidRPr="00520B73">
        <w:rPr>
          <w:rFonts w:asciiTheme="minorHAnsi" w:hAnsiTheme="minorHAnsi" w:cstheme="minorHAnsi"/>
          <w:sz w:val="22"/>
        </w:rPr>
        <w:t xml:space="preserve"> at the individual (85-90%) or household (10-15%) level, leaving less than 1% attributable to location by district, ward or enumeration-district. </w:t>
      </w:r>
      <w:r w:rsidR="000A6C3D" w:rsidRPr="00520B73">
        <w:rPr>
          <w:rFonts w:asciiTheme="minorHAnsi" w:hAnsiTheme="minorHAnsi" w:cstheme="minorHAnsi"/>
          <w:sz w:val="22"/>
        </w:rPr>
        <w:t>For this reason t</w:t>
      </w:r>
      <w:r w:rsidRPr="00520B73">
        <w:rPr>
          <w:rFonts w:asciiTheme="minorHAnsi" w:hAnsiTheme="minorHAnsi" w:cstheme="minorHAnsi"/>
          <w:sz w:val="22"/>
        </w:rPr>
        <w:t>he inclusion of house value and area affluence (mean income)</w:t>
      </w:r>
      <w:r w:rsidR="000A6C3D" w:rsidRPr="00520B73">
        <w:rPr>
          <w:rFonts w:asciiTheme="minorHAnsi" w:hAnsiTheme="minorHAnsi" w:cstheme="minorHAnsi"/>
          <w:sz w:val="22"/>
        </w:rPr>
        <w:t>, although statistically significant at the enumeration district level,</w:t>
      </w:r>
      <w:r w:rsidRPr="00520B73">
        <w:rPr>
          <w:rFonts w:asciiTheme="minorHAnsi" w:hAnsiTheme="minorHAnsi" w:cstheme="minorHAnsi"/>
          <w:sz w:val="22"/>
        </w:rPr>
        <w:t xml:space="preserve"> made </w:t>
      </w:r>
      <w:r w:rsidR="000A6C3D" w:rsidRPr="00520B73">
        <w:rPr>
          <w:rFonts w:asciiTheme="minorHAnsi" w:hAnsiTheme="minorHAnsi" w:cstheme="minorHAnsi"/>
          <w:sz w:val="22"/>
        </w:rPr>
        <w:t xml:space="preserve">very </w:t>
      </w:r>
      <w:r w:rsidRPr="00520B73">
        <w:rPr>
          <w:rFonts w:asciiTheme="minorHAnsi" w:hAnsiTheme="minorHAnsi" w:cstheme="minorHAnsi"/>
          <w:sz w:val="22"/>
        </w:rPr>
        <w:t>little overall impact on levels of unexplained variation. Estimated house price</w:t>
      </w:r>
      <w:r w:rsidR="00553767">
        <w:rPr>
          <w:rFonts w:asciiTheme="minorHAnsi" w:hAnsiTheme="minorHAnsi" w:cstheme="minorHAnsi"/>
          <w:sz w:val="22"/>
        </w:rPr>
        <w:t>s</w:t>
      </w:r>
      <w:r w:rsidRPr="00520B73">
        <w:rPr>
          <w:rFonts w:asciiTheme="minorHAnsi" w:hAnsiTheme="minorHAnsi" w:cstheme="minorHAnsi"/>
          <w:sz w:val="22"/>
        </w:rPr>
        <w:t xml:space="preserve"> </w:t>
      </w:r>
      <w:r w:rsidR="000A6C3D" w:rsidRPr="00520B73">
        <w:rPr>
          <w:rFonts w:asciiTheme="minorHAnsi" w:hAnsiTheme="minorHAnsi" w:cstheme="minorHAnsi"/>
          <w:sz w:val="22"/>
        </w:rPr>
        <w:t>were found to be</w:t>
      </w:r>
      <w:r w:rsidRPr="00520B73">
        <w:rPr>
          <w:rFonts w:asciiTheme="minorHAnsi" w:hAnsiTheme="minorHAnsi" w:cstheme="minorHAnsi"/>
          <w:sz w:val="22"/>
        </w:rPr>
        <w:t xml:space="preserve"> statistically non-significant at every level, </w:t>
      </w:r>
      <w:r w:rsidR="000A6C3D" w:rsidRPr="00520B73">
        <w:rPr>
          <w:rFonts w:asciiTheme="minorHAnsi" w:hAnsiTheme="minorHAnsi" w:cstheme="minorHAnsi"/>
          <w:sz w:val="22"/>
        </w:rPr>
        <w:t xml:space="preserve">although this might </w:t>
      </w:r>
      <w:r w:rsidRPr="00520B73">
        <w:rPr>
          <w:rFonts w:asciiTheme="minorHAnsi" w:hAnsiTheme="minorHAnsi" w:cstheme="minorHAnsi"/>
          <w:sz w:val="22"/>
        </w:rPr>
        <w:t xml:space="preserve">possibly </w:t>
      </w:r>
      <w:r w:rsidR="000A6C3D" w:rsidRPr="00520B73">
        <w:rPr>
          <w:rFonts w:asciiTheme="minorHAnsi" w:hAnsiTheme="minorHAnsi" w:cstheme="minorHAnsi"/>
          <w:sz w:val="22"/>
        </w:rPr>
        <w:t xml:space="preserve">be </w:t>
      </w:r>
      <w:r w:rsidRPr="00520B73">
        <w:rPr>
          <w:rFonts w:asciiTheme="minorHAnsi" w:hAnsiTheme="minorHAnsi" w:cstheme="minorHAnsi"/>
          <w:sz w:val="22"/>
        </w:rPr>
        <w:t xml:space="preserve">an artefact of the way </w:t>
      </w:r>
      <w:r w:rsidR="000A6C3D" w:rsidRPr="00520B73">
        <w:rPr>
          <w:rFonts w:asciiTheme="minorHAnsi" w:hAnsiTheme="minorHAnsi" w:cstheme="minorHAnsi"/>
          <w:sz w:val="22"/>
        </w:rPr>
        <w:t>prices</w:t>
      </w:r>
      <w:r w:rsidRPr="00520B73">
        <w:rPr>
          <w:rFonts w:asciiTheme="minorHAnsi" w:hAnsiTheme="minorHAnsi" w:cstheme="minorHAnsi"/>
          <w:sz w:val="22"/>
        </w:rPr>
        <w:t xml:space="preserve"> had to be estimated from ward-level averages.</w:t>
      </w:r>
      <w:r w:rsidR="000A6C3D" w:rsidRPr="00520B73">
        <w:rPr>
          <w:rFonts w:asciiTheme="minorHAnsi" w:hAnsiTheme="minorHAnsi" w:cstheme="minorHAnsi"/>
          <w:sz w:val="22"/>
        </w:rPr>
        <w:t xml:space="preserve"> These findings accord with research by McCulloch (2001) who found that ecological associations of various indicators of individual adversity with a census-based indicator of deprivation were largely, if not entirely, accounted for by household and individual characteristics</w:t>
      </w:r>
      <w:r w:rsidR="00553767">
        <w:rPr>
          <w:rFonts w:asciiTheme="minorHAnsi" w:hAnsiTheme="minorHAnsi" w:cstheme="minorHAnsi"/>
          <w:sz w:val="22"/>
        </w:rPr>
        <w:t xml:space="preserve">; and with </w:t>
      </w:r>
      <w:r w:rsidR="00553767" w:rsidRPr="00553767">
        <w:rPr>
          <w:rFonts w:asciiTheme="minorHAnsi" w:hAnsiTheme="minorHAnsi" w:cstheme="minorHAnsi"/>
          <w:sz w:val="22"/>
        </w:rPr>
        <w:t xml:space="preserve">Gibbons </w:t>
      </w:r>
      <w:r w:rsidR="00553767" w:rsidRPr="00553767">
        <w:rPr>
          <w:rFonts w:asciiTheme="minorHAnsi" w:hAnsiTheme="minorHAnsi" w:cstheme="minorHAnsi"/>
          <w:i/>
          <w:sz w:val="22"/>
        </w:rPr>
        <w:t>et al</w:t>
      </w:r>
      <w:r w:rsidR="00553767">
        <w:rPr>
          <w:rFonts w:asciiTheme="minorHAnsi" w:hAnsiTheme="minorHAnsi" w:cstheme="minorHAnsi"/>
          <w:sz w:val="22"/>
        </w:rPr>
        <w:t xml:space="preserve"> (2010)</w:t>
      </w:r>
      <w:r w:rsidR="00553767" w:rsidRPr="00553767">
        <w:rPr>
          <w:rFonts w:asciiTheme="minorHAnsi" w:hAnsiTheme="minorHAnsi" w:cstheme="minorHAnsi"/>
          <w:sz w:val="22"/>
        </w:rPr>
        <w:t xml:space="preserve"> who found when analysing UK earnings data that labour market effects make a very small contribution (&lt;1%) to the overall variation in observed incomes.</w:t>
      </w:r>
      <w:r w:rsidR="009A1E48">
        <w:rPr>
          <w:rFonts w:asciiTheme="minorHAnsi" w:hAnsiTheme="minorHAnsi" w:cstheme="minorHAnsi"/>
          <w:sz w:val="22"/>
        </w:rPr>
        <w:t xml:space="preserve"> The implication is that any small-area estimation strategy that adequately controls for the local population composition should be able to </w:t>
      </w:r>
      <w:r w:rsidR="00015CD9">
        <w:rPr>
          <w:rFonts w:asciiTheme="minorHAnsi" w:hAnsiTheme="minorHAnsi" w:cstheme="minorHAnsi"/>
          <w:sz w:val="22"/>
        </w:rPr>
        <w:t>provide reasonable estimates of local incomes.</w:t>
      </w:r>
    </w:p>
    <w:p w14:paraId="0CF1A392" w14:textId="77777777" w:rsidR="008C1424" w:rsidRPr="00520B73" w:rsidRDefault="008C1424" w:rsidP="00015CD9">
      <w:pPr>
        <w:spacing w:line="276" w:lineRule="auto"/>
        <w:jc w:val="both"/>
        <w:rPr>
          <w:rFonts w:asciiTheme="minorHAnsi" w:hAnsiTheme="minorHAnsi" w:cstheme="minorHAnsi"/>
          <w:sz w:val="22"/>
        </w:rPr>
      </w:pPr>
    </w:p>
    <w:p w14:paraId="2D1CBEDA" w14:textId="77777777" w:rsidR="004D4B54" w:rsidRPr="00520B73" w:rsidRDefault="00370789" w:rsidP="00015CD9">
      <w:pPr>
        <w:spacing w:line="276" w:lineRule="auto"/>
        <w:jc w:val="both"/>
        <w:rPr>
          <w:rFonts w:asciiTheme="minorHAnsi" w:hAnsiTheme="minorHAnsi" w:cstheme="minorHAnsi"/>
          <w:i/>
          <w:sz w:val="22"/>
        </w:rPr>
      </w:pPr>
      <w:r w:rsidRPr="00520B73">
        <w:rPr>
          <w:rFonts w:asciiTheme="minorHAnsi" w:hAnsiTheme="minorHAnsi" w:cstheme="minorHAnsi"/>
          <w:i/>
          <w:sz w:val="22"/>
        </w:rPr>
        <w:t>3</w:t>
      </w:r>
      <w:r w:rsidR="004D4B54" w:rsidRPr="00520B73">
        <w:rPr>
          <w:rFonts w:asciiTheme="minorHAnsi" w:hAnsiTheme="minorHAnsi" w:cstheme="minorHAnsi"/>
          <w:i/>
          <w:sz w:val="22"/>
        </w:rPr>
        <w:t>.</w:t>
      </w:r>
      <w:r w:rsidR="008C1424" w:rsidRPr="00520B73">
        <w:rPr>
          <w:rFonts w:asciiTheme="minorHAnsi" w:hAnsiTheme="minorHAnsi" w:cstheme="minorHAnsi"/>
          <w:i/>
          <w:sz w:val="22"/>
        </w:rPr>
        <w:t>4</w:t>
      </w:r>
      <w:r w:rsidR="004D4B54" w:rsidRPr="00520B73">
        <w:rPr>
          <w:rFonts w:asciiTheme="minorHAnsi" w:hAnsiTheme="minorHAnsi" w:cstheme="minorHAnsi"/>
          <w:i/>
          <w:sz w:val="22"/>
        </w:rPr>
        <w:t xml:space="preserve"> </w:t>
      </w:r>
      <w:r w:rsidR="0007030F" w:rsidRPr="00520B73">
        <w:rPr>
          <w:rFonts w:asciiTheme="minorHAnsi" w:hAnsiTheme="minorHAnsi" w:cstheme="minorHAnsi"/>
          <w:i/>
          <w:sz w:val="22"/>
        </w:rPr>
        <w:t>Distributional aspects of income segregation</w:t>
      </w:r>
    </w:p>
    <w:p w14:paraId="42D28E7B" w14:textId="77777777" w:rsidR="004D4B54" w:rsidRPr="00520B73" w:rsidRDefault="004D4B54" w:rsidP="00015CD9">
      <w:pPr>
        <w:spacing w:line="276" w:lineRule="auto"/>
        <w:jc w:val="both"/>
        <w:rPr>
          <w:rFonts w:asciiTheme="minorHAnsi" w:hAnsiTheme="minorHAnsi" w:cstheme="minorHAnsi"/>
          <w:sz w:val="22"/>
        </w:rPr>
      </w:pPr>
    </w:p>
    <w:p w14:paraId="22B0E3FF" w14:textId="77777777" w:rsidR="002F3CE4" w:rsidRPr="00520B73" w:rsidRDefault="004D00C2" w:rsidP="00015CD9">
      <w:pPr>
        <w:spacing w:line="276" w:lineRule="auto"/>
        <w:jc w:val="both"/>
        <w:rPr>
          <w:rFonts w:asciiTheme="minorHAnsi" w:hAnsiTheme="minorHAnsi" w:cstheme="minorHAnsi"/>
          <w:sz w:val="22"/>
        </w:rPr>
      </w:pPr>
      <w:r w:rsidRPr="00520B73">
        <w:rPr>
          <w:rFonts w:asciiTheme="minorHAnsi" w:hAnsiTheme="minorHAnsi" w:cstheme="minorHAnsi"/>
          <w:sz w:val="22"/>
        </w:rPr>
        <w:t>One final aspect of the spatial variability of incomes remains to be considered – the extent to which spatial segregation varies across the income distribution.</w:t>
      </w:r>
      <w:r w:rsidR="000833CE" w:rsidRPr="00520B73">
        <w:rPr>
          <w:rFonts w:asciiTheme="minorHAnsi" w:hAnsiTheme="minorHAnsi" w:cstheme="minorHAnsi"/>
          <w:sz w:val="22"/>
        </w:rPr>
        <w:t xml:space="preserve"> </w:t>
      </w:r>
      <w:r w:rsidRPr="00520B73">
        <w:rPr>
          <w:rFonts w:asciiTheme="minorHAnsi" w:hAnsiTheme="minorHAnsi" w:cstheme="minorHAnsi"/>
          <w:sz w:val="22"/>
        </w:rPr>
        <w:t xml:space="preserve">In other words, is it the rich or the poor who are most spatially segregated? </w:t>
      </w:r>
      <w:r w:rsidR="00102E4E" w:rsidRPr="00520B73">
        <w:rPr>
          <w:rFonts w:asciiTheme="minorHAnsi" w:hAnsiTheme="minorHAnsi" w:cstheme="minorHAnsi"/>
          <w:sz w:val="22"/>
        </w:rPr>
        <w:t xml:space="preserve">The Census Rehearsal </w:t>
      </w:r>
      <w:r w:rsidR="00E03006">
        <w:rPr>
          <w:rFonts w:asciiTheme="minorHAnsi" w:hAnsiTheme="minorHAnsi" w:cstheme="minorHAnsi"/>
          <w:sz w:val="22"/>
        </w:rPr>
        <w:t>directly</w:t>
      </w:r>
      <w:r w:rsidR="00102E4E" w:rsidRPr="00520B73">
        <w:rPr>
          <w:rFonts w:asciiTheme="minorHAnsi" w:hAnsiTheme="minorHAnsi" w:cstheme="minorHAnsi"/>
          <w:sz w:val="22"/>
        </w:rPr>
        <w:t xml:space="preserve"> captured the distribution of individuals by income band. </w:t>
      </w:r>
      <w:r w:rsidRPr="00520B73">
        <w:rPr>
          <w:rFonts w:asciiTheme="minorHAnsi" w:hAnsiTheme="minorHAnsi" w:cstheme="minorHAnsi"/>
          <w:sz w:val="22"/>
        </w:rPr>
        <w:t xml:space="preserve">This </w:t>
      </w:r>
      <w:r w:rsidR="00102E4E" w:rsidRPr="00520B73">
        <w:rPr>
          <w:rFonts w:asciiTheme="minorHAnsi" w:hAnsiTheme="minorHAnsi" w:cstheme="minorHAnsi"/>
          <w:sz w:val="22"/>
        </w:rPr>
        <w:t xml:space="preserve">information </w:t>
      </w:r>
      <w:r w:rsidR="00E03006">
        <w:rPr>
          <w:rFonts w:asciiTheme="minorHAnsi" w:hAnsiTheme="minorHAnsi" w:cstheme="minorHAnsi"/>
          <w:sz w:val="22"/>
        </w:rPr>
        <w:t xml:space="preserve">was </w:t>
      </w:r>
      <w:r w:rsidRPr="00520B73">
        <w:rPr>
          <w:rFonts w:asciiTheme="minorHAnsi" w:hAnsiTheme="minorHAnsi" w:cstheme="minorHAnsi"/>
          <w:sz w:val="22"/>
        </w:rPr>
        <w:t>supplemented by placing households</w:t>
      </w:r>
      <w:r w:rsidR="00102E4E" w:rsidRPr="00520B73">
        <w:rPr>
          <w:rFonts w:asciiTheme="minorHAnsi" w:hAnsiTheme="minorHAnsi" w:cstheme="minorHAnsi"/>
          <w:sz w:val="22"/>
        </w:rPr>
        <w:t xml:space="preserve"> into income bands, </w:t>
      </w:r>
      <w:r w:rsidRPr="00520B73">
        <w:rPr>
          <w:rFonts w:asciiTheme="minorHAnsi" w:hAnsiTheme="minorHAnsi" w:cstheme="minorHAnsi"/>
          <w:sz w:val="22"/>
        </w:rPr>
        <w:t xml:space="preserve">arbitrarily defined as </w:t>
      </w:r>
      <w:proofErr w:type="spellStart"/>
      <w:r w:rsidR="00F069A1" w:rsidRPr="00520B73">
        <w:rPr>
          <w:rFonts w:asciiTheme="minorHAnsi" w:hAnsiTheme="minorHAnsi" w:cstheme="minorHAnsi"/>
          <w:sz w:val="22"/>
        </w:rPr>
        <w:t>deciles</w:t>
      </w:r>
      <w:proofErr w:type="spellEnd"/>
      <w:r w:rsidR="00F069A1" w:rsidRPr="00520B73">
        <w:rPr>
          <w:rFonts w:asciiTheme="minorHAnsi" w:hAnsiTheme="minorHAnsi" w:cstheme="minorHAnsi"/>
          <w:sz w:val="22"/>
        </w:rPr>
        <w:t xml:space="preserve"> of the household income distribution</w:t>
      </w:r>
      <w:r w:rsidR="00E03006">
        <w:rPr>
          <w:rFonts w:asciiTheme="minorHAnsi" w:hAnsiTheme="minorHAnsi" w:cstheme="minorHAnsi"/>
          <w:sz w:val="22"/>
        </w:rPr>
        <w:t>. To do so</w:t>
      </w:r>
      <w:r w:rsidR="00102E4E" w:rsidRPr="00520B73">
        <w:rPr>
          <w:rFonts w:asciiTheme="minorHAnsi" w:hAnsiTheme="minorHAnsi" w:cstheme="minorHAnsi"/>
          <w:sz w:val="22"/>
        </w:rPr>
        <w:t xml:space="preserve">, imputed respondent incomes </w:t>
      </w:r>
      <w:r w:rsidR="00E03006">
        <w:rPr>
          <w:rFonts w:asciiTheme="minorHAnsi" w:hAnsiTheme="minorHAnsi" w:cstheme="minorHAnsi"/>
          <w:sz w:val="22"/>
        </w:rPr>
        <w:t xml:space="preserve">were summed </w:t>
      </w:r>
      <w:r w:rsidR="00102E4E" w:rsidRPr="00520B73">
        <w:rPr>
          <w:rFonts w:asciiTheme="minorHAnsi" w:hAnsiTheme="minorHAnsi" w:cstheme="minorHAnsi"/>
          <w:sz w:val="22"/>
        </w:rPr>
        <w:t xml:space="preserve">at </w:t>
      </w:r>
      <w:r w:rsidR="000833CE" w:rsidRPr="00520B73">
        <w:rPr>
          <w:rFonts w:asciiTheme="minorHAnsi" w:hAnsiTheme="minorHAnsi" w:cstheme="minorHAnsi"/>
          <w:sz w:val="22"/>
        </w:rPr>
        <w:t>household level</w:t>
      </w:r>
      <w:r w:rsidR="00F069A1" w:rsidRPr="00520B73">
        <w:rPr>
          <w:rFonts w:asciiTheme="minorHAnsi" w:hAnsiTheme="minorHAnsi" w:cstheme="minorHAnsi"/>
          <w:sz w:val="22"/>
        </w:rPr>
        <w:t>.</w:t>
      </w:r>
      <w:r w:rsidR="000833CE" w:rsidRPr="00520B73">
        <w:rPr>
          <w:rFonts w:asciiTheme="minorHAnsi" w:hAnsiTheme="minorHAnsi" w:cstheme="minorHAnsi"/>
          <w:sz w:val="22"/>
        </w:rPr>
        <w:t xml:space="preserve"> </w:t>
      </w:r>
      <w:r w:rsidR="00F069A1" w:rsidRPr="00520B73">
        <w:rPr>
          <w:rFonts w:asciiTheme="minorHAnsi" w:hAnsiTheme="minorHAnsi" w:cstheme="minorHAnsi"/>
          <w:sz w:val="22"/>
        </w:rPr>
        <w:t>Using the</w:t>
      </w:r>
      <w:r w:rsidR="00102E4E" w:rsidRPr="00520B73">
        <w:rPr>
          <w:rFonts w:asciiTheme="minorHAnsi" w:hAnsiTheme="minorHAnsi" w:cstheme="minorHAnsi"/>
          <w:sz w:val="22"/>
        </w:rPr>
        <w:t xml:space="preserve"> percentage</w:t>
      </w:r>
      <w:r w:rsidR="004D4B54" w:rsidRPr="00520B73">
        <w:rPr>
          <w:rFonts w:asciiTheme="minorHAnsi" w:hAnsiTheme="minorHAnsi" w:cstheme="minorHAnsi"/>
          <w:sz w:val="22"/>
        </w:rPr>
        <w:t xml:space="preserve"> </w:t>
      </w:r>
      <w:r w:rsidR="00F069A1" w:rsidRPr="00520B73">
        <w:rPr>
          <w:rFonts w:asciiTheme="minorHAnsi" w:hAnsiTheme="minorHAnsi" w:cstheme="minorHAnsi"/>
          <w:sz w:val="22"/>
        </w:rPr>
        <w:t xml:space="preserve">of respondents (or households) in each income band </w:t>
      </w:r>
      <w:r w:rsidR="004D4B54" w:rsidRPr="00520B73">
        <w:rPr>
          <w:rFonts w:asciiTheme="minorHAnsi" w:hAnsiTheme="minorHAnsi" w:cstheme="minorHAnsi"/>
          <w:sz w:val="22"/>
        </w:rPr>
        <w:t xml:space="preserve">it is possible to compute </w:t>
      </w:r>
      <w:r w:rsidR="00102E4E" w:rsidRPr="00520B73">
        <w:rPr>
          <w:rFonts w:asciiTheme="minorHAnsi" w:hAnsiTheme="minorHAnsi" w:cstheme="minorHAnsi"/>
          <w:sz w:val="22"/>
        </w:rPr>
        <w:t xml:space="preserve">a measure of segregation – </w:t>
      </w:r>
      <w:r w:rsidR="004D4B54" w:rsidRPr="00520B73">
        <w:rPr>
          <w:rFonts w:asciiTheme="minorHAnsi" w:hAnsiTheme="minorHAnsi" w:cstheme="minorHAnsi"/>
          <w:sz w:val="22"/>
        </w:rPr>
        <w:t>the index of dissimilarity</w:t>
      </w:r>
      <w:r w:rsidR="00994D9C">
        <w:rPr>
          <w:rFonts w:asciiTheme="minorHAnsi" w:hAnsiTheme="minorHAnsi" w:cstheme="minorHAnsi"/>
          <w:sz w:val="22"/>
        </w:rPr>
        <w:t xml:space="preserve"> (</w:t>
      </w:r>
      <w:r w:rsidR="004D4B54" w:rsidRPr="00520B73">
        <w:rPr>
          <w:rFonts w:asciiTheme="minorHAnsi" w:hAnsiTheme="minorHAnsi" w:cstheme="minorHAnsi"/>
          <w:sz w:val="22"/>
        </w:rPr>
        <w:t>D</w:t>
      </w:r>
      <w:r w:rsidR="00994D9C">
        <w:rPr>
          <w:rFonts w:asciiTheme="minorHAnsi" w:hAnsiTheme="minorHAnsi" w:cstheme="minorHAnsi"/>
          <w:sz w:val="22"/>
        </w:rPr>
        <w:t>)</w:t>
      </w:r>
      <w:r w:rsidR="00102E4E" w:rsidRPr="00520B73">
        <w:rPr>
          <w:rFonts w:asciiTheme="minorHAnsi" w:hAnsiTheme="minorHAnsi" w:cstheme="minorHAnsi"/>
          <w:sz w:val="22"/>
        </w:rPr>
        <w:t xml:space="preserve"> – for </w:t>
      </w:r>
      <w:r w:rsidR="004D4B54" w:rsidRPr="00520B73">
        <w:rPr>
          <w:rFonts w:asciiTheme="minorHAnsi" w:hAnsiTheme="minorHAnsi" w:cstheme="minorHAnsi"/>
          <w:sz w:val="22"/>
        </w:rPr>
        <w:t>each income band, for each type of spatial unit. For this index, a value of 1 indicates complete segregation (all of the persons associated with that band live in the same area), whilst a value of 0 indicates complete mixing (persons associated with that income band are equally spread across all areas).</w:t>
      </w:r>
      <w:r w:rsidR="002F3CE4" w:rsidRPr="00520B73">
        <w:rPr>
          <w:rFonts w:asciiTheme="minorHAnsi" w:hAnsiTheme="minorHAnsi" w:cstheme="minorHAnsi"/>
          <w:sz w:val="22"/>
        </w:rPr>
        <w:t xml:space="preserve"> The outcomes are illustrated in Figure </w:t>
      </w:r>
      <w:r w:rsidR="00DE4A04">
        <w:rPr>
          <w:rFonts w:asciiTheme="minorHAnsi" w:hAnsiTheme="minorHAnsi" w:cstheme="minorHAnsi"/>
          <w:sz w:val="22"/>
        </w:rPr>
        <w:t>2</w:t>
      </w:r>
      <w:r w:rsidR="002F3CE4" w:rsidRPr="00520B73">
        <w:rPr>
          <w:rFonts w:asciiTheme="minorHAnsi" w:hAnsiTheme="minorHAnsi" w:cstheme="minorHAnsi"/>
          <w:sz w:val="22"/>
        </w:rPr>
        <w:t xml:space="preserve">, for a range of spatial scales. Several points of note emerge. First, regardless of income band, the level of spatial segregation increases as the size (population) of the spatial unit decreases. Second, at all spatial scales the vast bulk of segregation of incomes is associated with those </w:t>
      </w:r>
      <w:r w:rsidR="00F069A1" w:rsidRPr="00520B73">
        <w:rPr>
          <w:rFonts w:asciiTheme="minorHAnsi" w:hAnsiTheme="minorHAnsi" w:cstheme="minorHAnsi"/>
          <w:sz w:val="22"/>
        </w:rPr>
        <w:t xml:space="preserve">persons (and households) </w:t>
      </w:r>
      <w:r w:rsidR="002F3CE4" w:rsidRPr="00520B73">
        <w:rPr>
          <w:rFonts w:asciiTheme="minorHAnsi" w:hAnsiTheme="minorHAnsi" w:cstheme="minorHAnsi"/>
          <w:sz w:val="22"/>
        </w:rPr>
        <w:t xml:space="preserve">in the highest income </w:t>
      </w:r>
      <w:r w:rsidR="002F3CE4" w:rsidRPr="00520B73">
        <w:rPr>
          <w:rFonts w:asciiTheme="minorHAnsi" w:hAnsiTheme="minorHAnsi" w:cstheme="minorHAnsi"/>
          <w:sz w:val="22"/>
        </w:rPr>
        <w:lastRenderedPageBreak/>
        <w:t xml:space="preserve">bands, most notably those in the top (open) income band.  In </w:t>
      </w:r>
      <w:r w:rsidR="00182A60" w:rsidRPr="00520B73">
        <w:rPr>
          <w:rFonts w:asciiTheme="minorHAnsi" w:hAnsiTheme="minorHAnsi" w:cstheme="minorHAnsi"/>
          <w:sz w:val="22"/>
        </w:rPr>
        <w:t>contrast</w:t>
      </w:r>
      <w:r w:rsidR="002F3CE4" w:rsidRPr="00520B73">
        <w:rPr>
          <w:rFonts w:asciiTheme="minorHAnsi" w:hAnsiTheme="minorHAnsi" w:cstheme="minorHAnsi"/>
          <w:sz w:val="22"/>
        </w:rPr>
        <w:t xml:space="preserve"> the pattern of segregation for those in paid employment (</w:t>
      </w:r>
      <w:r w:rsidR="00E31F73" w:rsidRPr="00520B73">
        <w:rPr>
          <w:rFonts w:asciiTheme="minorHAnsi" w:hAnsiTheme="minorHAnsi" w:cstheme="minorHAnsi"/>
          <w:sz w:val="22"/>
        </w:rPr>
        <w:t>not shown</w:t>
      </w:r>
      <w:r w:rsidR="002F3CE4" w:rsidRPr="00520B73">
        <w:rPr>
          <w:rFonts w:asciiTheme="minorHAnsi" w:hAnsiTheme="minorHAnsi" w:cstheme="minorHAnsi"/>
          <w:sz w:val="22"/>
        </w:rPr>
        <w:t xml:space="preserve">) is </w:t>
      </w:r>
      <w:r w:rsidR="00015CD9">
        <w:rPr>
          <w:rFonts w:asciiTheme="minorHAnsi" w:hAnsiTheme="minorHAnsi" w:cstheme="minorHAnsi"/>
          <w:sz w:val="22"/>
        </w:rPr>
        <w:t xml:space="preserve">more clearly </w:t>
      </w:r>
      <w:r w:rsidR="002F3CE4" w:rsidRPr="00520B73">
        <w:rPr>
          <w:rFonts w:asciiTheme="minorHAnsi" w:hAnsiTheme="minorHAnsi" w:cstheme="minorHAnsi"/>
          <w:sz w:val="22"/>
        </w:rPr>
        <w:t xml:space="preserve">U-shaped, </w:t>
      </w:r>
      <w:r w:rsidR="00E03006">
        <w:rPr>
          <w:rFonts w:asciiTheme="minorHAnsi" w:hAnsiTheme="minorHAnsi" w:cstheme="minorHAnsi"/>
          <w:sz w:val="22"/>
        </w:rPr>
        <w:t>with</w:t>
      </w:r>
      <w:r w:rsidR="002F3CE4" w:rsidRPr="00520B73">
        <w:rPr>
          <w:rFonts w:asciiTheme="minorHAnsi" w:hAnsiTheme="minorHAnsi" w:cstheme="minorHAnsi"/>
          <w:sz w:val="22"/>
        </w:rPr>
        <w:t xml:space="preserve"> high observed levels of segregation for those earners reporting themselves as being in one of the two lowest income bands, </w:t>
      </w:r>
      <w:r w:rsidR="00E03006">
        <w:rPr>
          <w:rFonts w:asciiTheme="minorHAnsi" w:hAnsiTheme="minorHAnsi" w:cstheme="minorHAnsi"/>
          <w:sz w:val="22"/>
        </w:rPr>
        <w:t>decreasing</w:t>
      </w:r>
      <w:r w:rsidR="002F3CE4" w:rsidRPr="00520B73">
        <w:rPr>
          <w:rFonts w:asciiTheme="minorHAnsi" w:hAnsiTheme="minorHAnsi" w:cstheme="minorHAnsi"/>
          <w:sz w:val="22"/>
        </w:rPr>
        <w:t xml:space="preserve"> for those in middle income bands before rising again for those in the top income bands.</w:t>
      </w:r>
      <w:r w:rsidR="001338F8" w:rsidRPr="00520B73">
        <w:rPr>
          <w:rFonts w:asciiTheme="minorHAnsi" w:hAnsiTheme="minorHAnsi" w:cstheme="minorHAnsi"/>
          <w:sz w:val="22"/>
        </w:rPr>
        <w:t xml:space="preserve"> Similar patterns of segregation are found </w:t>
      </w:r>
      <w:r w:rsidR="00015CD9">
        <w:rPr>
          <w:rFonts w:asciiTheme="minorHAnsi" w:hAnsiTheme="minorHAnsi" w:cstheme="minorHAnsi"/>
          <w:sz w:val="22"/>
        </w:rPr>
        <w:t>within each district</w:t>
      </w:r>
      <w:r w:rsidR="001338F8" w:rsidRPr="00520B73">
        <w:rPr>
          <w:rFonts w:asciiTheme="minorHAnsi" w:hAnsiTheme="minorHAnsi" w:cstheme="minorHAnsi"/>
          <w:sz w:val="22"/>
        </w:rPr>
        <w:t>, although the greatest levels of segregation amongst top-band in</w:t>
      </w:r>
      <w:r w:rsidR="00E31F73" w:rsidRPr="00520B73">
        <w:rPr>
          <w:rFonts w:asciiTheme="minorHAnsi" w:hAnsiTheme="minorHAnsi" w:cstheme="minorHAnsi"/>
          <w:sz w:val="22"/>
        </w:rPr>
        <w:t>c</w:t>
      </w:r>
      <w:r w:rsidR="001338F8" w:rsidRPr="00520B73">
        <w:rPr>
          <w:rFonts w:asciiTheme="minorHAnsi" w:hAnsiTheme="minorHAnsi" w:cstheme="minorHAnsi"/>
          <w:sz w:val="22"/>
        </w:rPr>
        <w:t>ome</w:t>
      </w:r>
      <w:r w:rsidR="00015CD9">
        <w:rPr>
          <w:rFonts w:asciiTheme="minorHAnsi" w:hAnsiTheme="minorHAnsi" w:cstheme="minorHAnsi"/>
          <w:sz w:val="22"/>
        </w:rPr>
        <w:t xml:space="preserve">s </w:t>
      </w:r>
      <w:r w:rsidR="00E03006">
        <w:rPr>
          <w:rFonts w:asciiTheme="minorHAnsi" w:hAnsiTheme="minorHAnsi" w:cstheme="minorHAnsi"/>
          <w:sz w:val="22"/>
        </w:rPr>
        <w:t>were</w:t>
      </w:r>
      <w:r w:rsidR="00015CD9">
        <w:rPr>
          <w:rFonts w:asciiTheme="minorHAnsi" w:hAnsiTheme="minorHAnsi" w:cstheme="minorHAnsi"/>
          <w:sz w:val="22"/>
        </w:rPr>
        <w:t xml:space="preserve"> found in Leeds and Bournem</w:t>
      </w:r>
      <w:r w:rsidR="00771029" w:rsidRPr="00520B73">
        <w:rPr>
          <w:rFonts w:asciiTheme="minorHAnsi" w:hAnsiTheme="minorHAnsi" w:cstheme="minorHAnsi"/>
          <w:sz w:val="22"/>
        </w:rPr>
        <w:t>outh.</w:t>
      </w:r>
    </w:p>
    <w:p w14:paraId="772762E8" w14:textId="77777777" w:rsidR="00DE4A04" w:rsidRDefault="00DE4A04" w:rsidP="00015CD9">
      <w:pPr>
        <w:spacing w:line="276" w:lineRule="auto"/>
        <w:jc w:val="both"/>
        <w:rPr>
          <w:rFonts w:asciiTheme="minorHAnsi" w:hAnsiTheme="minorHAnsi" w:cstheme="minorHAnsi"/>
          <w:sz w:val="22"/>
        </w:rPr>
      </w:pPr>
    </w:p>
    <w:p w14:paraId="3D0A641B" w14:textId="77777777" w:rsidR="00856F69" w:rsidRDefault="00856F69" w:rsidP="00015CD9">
      <w:pPr>
        <w:spacing w:line="276" w:lineRule="auto"/>
        <w:jc w:val="both"/>
        <w:rPr>
          <w:rFonts w:asciiTheme="minorHAnsi" w:hAnsiTheme="minorHAnsi" w:cstheme="minorHAnsi"/>
          <w:sz w:val="22"/>
        </w:rPr>
      </w:pPr>
      <w:r>
        <w:rPr>
          <w:rFonts w:asciiTheme="minorHAnsi" w:hAnsiTheme="minorHAnsi" w:cstheme="minorHAnsi"/>
          <w:sz w:val="22"/>
        </w:rPr>
        <w:t xml:space="preserve">FIGURE </w:t>
      </w:r>
      <w:proofErr w:type="gramStart"/>
      <w:r w:rsidR="00DE4A04">
        <w:rPr>
          <w:rFonts w:asciiTheme="minorHAnsi" w:hAnsiTheme="minorHAnsi" w:cstheme="minorHAnsi"/>
          <w:sz w:val="22"/>
        </w:rPr>
        <w:t>2</w:t>
      </w:r>
      <w:r>
        <w:rPr>
          <w:rFonts w:asciiTheme="minorHAnsi" w:hAnsiTheme="minorHAnsi" w:cstheme="minorHAnsi"/>
          <w:sz w:val="22"/>
        </w:rPr>
        <w:t xml:space="preserve"> Income segregation</w:t>
      </w:r>
      <w:proofErr w:type="gramEnd"/>
      <w:r>
        <w:rPr>
          <w:rFonts w:asciiTheme="minorHAnsi" w:hAnsiTheme="minorHAnsi" w:cstheme="minorHAnsi"/>
          <w:sz w:val="22"/>
        </w:rPr>
        <w:t xml:space="preserve"> [ABOUT HERE]</w:t>
      </w:r>
    </w:p>
    <w:p w14:paraId="52AF232B" w14:textId="77777777" w:rsidR="00856F69" w:rsidRPr="00520B73" w:rsidRDefault="00856F69" w:rsidP="00015CD9">
      <w:pPr>
        <w:spacing w:line="276" w:lineRule="auto"/>
        <w:jc w:val="both"/>
        <w:rPr>
          <w:rFonts w:asciiTheme="minorHAnsi" w:hAnsiTheme="minorHAnsi" w:cstheme="minorHAnsi"/>
          <w:sz w:val="22"/>
        </w:rPr>
      </w:pPr>
    </w:p>
    <w:p w14:paraId="23E50DC7" w14:textId="77777777" w:rsidR="00631ABE" w:rsidRPr="00520B73" w:rsidRDefault="00631ABE"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To further disentangle the </w:t>
      </w:r>
      <w:r w:rsidR="00E03006">
        <w:rPr>
          <w:rFonts w:asciiTheme="minorHAnsi" w:hAnsiTheme="minorHAnsi" w:cstheme="minorHAnsi"/>
          <w:sz w:val="22"/>
        </w:rPr>
        <w:t>influence</w:t>
      </w:r>
      <w:r w:rsidRPr="00520B73">
        <w:rPr>
          <w:rFonts w:asciiTheme="minorHAnsi" w:hAnsiTheme="minorHAnsi" w:cstheme="minorHAnsi"/>
          <w:sz w:val="22"/>
        </w:rPr>
        <w:t xml:space="preserve"> of spatial scale </w:t>
      </w:r>
      <w:r w:rsidR="00E03006">
        <w:rPr>
          <w:rFonts w:asciiTheme="minorHAnsi" w:hAnsiTheme="minorHAnsi" w:cstheme="minorHAnsi"/>
          <w:sz w:val="22"/>
        </w:rPr>
        <w:t>o</w:t>
      </w:r>
      <w:r w:rsidRPr="00520B73">
        <w:rPr>
          <w:rFonts w:asciiTheme="minorHAnsi" w:hAnsiTheme="minorHAnsi" w:cstheme="minorHAnsi"/>
          <w:sz w:val="22"/>
        </w:rPr>
        <w:t>n income segregation</w:t>
      </w:r>
      <w:r w:rsidR="00015CD9">
        <w:rPr>
          <w:rFonts w:asciiTheme="minorHAnsi" w:hAnsiTheme="minorHAnsi" w:cstheme="minorHAnsi"/>
          <w:sz w:val="22"/>
        </w:rPr>
        <w:t xml:space="preserve"> it is possible</w:t>
      </w:r>
      <w:r w:rsidRPr="00520B73">
        <w:rPr>
          <w:rFonts w:asciiTheme="minorHAnsi" w:hAnsiTheme="minorHAnsi" w:cstheme="minorHAnsi"/>
          <w:sz w:val="22"/>
        </w:rPr>
        <w:t xml:space="preserve">, following </w:t>
      </w:r>
      <w:proofErr w:type="spellStart"/>
      <w:r w:rsidRPr="00520B73">
        <w:rPr>
          <w:rFonts w:asciiTheme="minorHAnsi" w:hAnsiTheme="minorHAnsi" w:cstheme="minorHAnsi"/>
          <w:sz w:val="22"/>
        </w:rPr>
        <w:t>Voas</w:t>
      </w:r>
      <w:proofErr w:type="spellEnd"/>
      <w:r w:rsidRPr="00520B73">
        <w:rPr>
          <w:rFonts w:asciiTheme="minorHAnsi" w:hAnsiTheme="minorHAnsi" w:cstheme="minorHAnsi"/>
          <w:sz w:val="22"/>
        </w:rPr>
        <w:t xml:space="preserve"> and Williamson (</w:t>
      </w:r>
      <w:r w:rsidR="003C0124" w:rsidRPr="00520B73">
        <w:rPr>
          <w:rFonts w:asciiTheme="minorHAnsi" w:hAnsiTheme="minorHAnsi" w:cstheme="minorHAnsi"/>
          <w:sz w:val="22"/>
        </w:rPr>
        <w:t>2000</w:t>
      </w:r>
      <w:r w:rsidR="00015CD9">
        <w:rPr>
          <w:rFonts w:asciiTheme="minorHAnsi" w:hAnsiTheme="minorHAnsi" w:cstheme="minorHAnsi"/>
          <w:sz w:val="22"/>
        </w:rPr>
        <w:t xml:space="preserve">), </w:t>
      </w:r>
      <w:r w:rsidRPr="00520B73">
        <w:rPr>
          <w:rFonts w:asciiTheme="minorHAnsi" w:hAnsiTheme="minorHAnsi" w:cstheme="minorHAnsi"/>
          <w:sz w:val="22"/>
        </w:rPr>
        <w:t>to calculate the contributions to dissimilarity associated with each spatial scale</w:t>
      </w:r>
      <w:r w:rsidR="00102E4E" w:rsidRPr="00520B73">
        <w:rPr>
          <w:rFonts w:asciiTheme="minorHAnsi" w:hAnsiTheme="minorHAnsi" w:cstheme="minorHAnsi"/>
          <w:sz w:val="22"/>
        </w:rPr>
        <w:t xml:space="preserve"> (again assuming spatial nesting)</w:t>
      </w:r>
      <w:r w:rsidRPr="00520B73">
        <w:rPr>
          <w:rFonts w:asciiTheme="minorHAnsi" w:hAnsiTheme="minorHAnsi" w:cstheme="minorHAnsi"/>
          <w:sz w:val="22"/>
        </w:rPr>
        <w:t xml:space="preserve">. </w:t>
      </w:r>
      <w:r w:rsidR="00015CD9">
        <w:rPr>
          <w:rFonts w:asciiTheme="minorHAnsi" w:hAnsiTheme="minorHAnsi" w:cstheme="minorHAnsi"/>
          <w:sz w:val="22"/>
        </w:rPr>
        <w:t>The</w:t>
      </w:r>
      <w:r w:rsidR="00102E4E" w:rsidRPr="00520B73">
        <w:rPr>
          <w:rFonts w:asciiTheme="minorHAnsi" w:hAnsiTheme="minorHAnsi" w:cstheme="minorHAnsi"/>
          <w:sz w:val="22"/>
        </w:rPr>
        <w:t xml:space="preserve"> result, as</w:t>
      </w:r>
      <w:r w:rsidRPr="00520B73">
        <w:rPr>
          <w:rFonts w:asciiTheme="minorHAnsi" w:hAnsiTheme="minorHAnsi" w:cstheme="minorHAnsi"/>
          <w:sz w:val="22"/>
        </w:rPr>
        <w:t xml:space="preserve"> </w:t>
      </w:r>
      <w:r w:rsidR="00F069A1" w:rsidRPr="00520B73">
        <w:rPr>
          <w:rFonts w:asciiTheme="minorHAnsi" w:hAnsiTheme="minorHAnsi" w:cstheme="minorHAnsi"/>
          <w:sz w:val="22"/>
        </w:rPr>
        <w:t xml:space="preserve">Figure </w:t>
      </w:r>
      <w:r w:rsidR="00DE4A04">
        <w:rPr>
          <w:rFonts w:asciiTheme="minorHAnsi" w:hAnsiTheme="minorHAnsi" w:cstheme="minorHAnsi"/>
          <w:sz w:val="22"/>
        </w:rPr>
        <w:t>2</w:t>
      </w:r>
      <w:r w:rsidR="00F069A1" w:rsidRPr="00520B73">
        <w:rPr>
          <w:rFonts w:asciiTheme="minorHAnsi" w:hAnsiTheme="minorHAnsi" w:cstheme="minorHAnsi"/>
          <w:sz w:val="22"/>
        </w:rPr>
        <w:t xml:space="preserve"> </w:t>
      </w:r>
      <w:r w:rsidRPr="00520B73">
        <w:rPr>
          <w:rFonts w:asciiTheme="minorHAnsi" w:hAnsiTheme="minorHAnsi" w:cstheme="minorHAnsi"/>
          <w:sz w:val="22"/>
        </w:rPr>
        <w:t>show</w:t>
      </w:r>
      <w:r w:rsidR="00102E4E" w:rsidRPr="00520B73">
        <w:rPr>
          <w:rFonts w:asciiTheme="minorHAnsi" w:hAnsiTheme="minorHAnsi" w:cstheme="minorHAnsi"/>
          <w:sz w:val="22"/>
        </w:rPr>
        <w:t>s, is</w:t>
      </w:r>
      <w:r w:rsidRPr="00520B73">
        <w:rPr>
          <w:rFonts w:asciiTheme="minorHAnsi" w:hAnsiTheme="minorHAnsi" w:cstheme="minorHAnsi"/>
          <w:sz w:val="22"/>
        </w:rPr>
        <w:t xml:space="preserve"> that the vast majority of segregation by income takes place at the level of the enumeration district or postcode unit. However, the role of district of residence becomes more significant in influencing the spatial segregation of those with the highest incomes. </w:t>
      </w:r>
      <w:r w:rsidR="00E03006" w:rsidRPr="00520B73">
        <w:rPr>
          <w:rFonts w:asciiTheme="minorHAnsi" w:hAnsiTheme="minorHAnsi" w:cstheme="minorHAnsi"/>
          <w:sz w:val="22"/>
        </w:rPr>
        <w:t>Similar findings apply for the distribution of earner incomes.</w:t>
      </w:r>
      <w:r w:rsidR="00E03006">
        <w:rPr>
          <w:rFonts w:asciiTheme="minorHAnsi" w:hAnsiTheme="minorHAnsi" w:cstheme="minorHAnsi"/>
          <w:sz w:val="22"/>
        </w:rPr>
        <w:t xml:space="preserve"> </w:t>
      </w:r>
      <w:r w:rsidRPr="00520B73">
        <w:rPr>
          <w:rFonts w:asciiTheme="minorHAnsi" w:hAnsiTheme="minorHAnsi" w:cstheme="minorHAnsi"/>
          <w:sz w:val="22"/>
        </w:rPr>
        <w:t xml:space="preserve">Had the </w:t>
      </w:r>
      <w:r w:rsidR="00994D9C">
        <w:rPr>
          <w:rFonts w:asciiTheme="minorHAnsi" w:hAnsiTheme="minorHAnsi" w:cstheme="minorHAnsi"/>
          <w:sz w:val="22"/>
        </w:rPr>
        <w:t>R</w:t>
      </w:r>
      <w:r w:rsidRPr="00520B73">
        <w:rPr>
          <w:rFonts w:asciiTheme="minorHAnsi" w:hAnsiTheme="minorHAnsi" w:cstheme="minorHAnsi"/>
          <w:sz w:val="22"/>
        </w:rPr>
        <w:t xml:space="preserve">ehearsal included coverage of parts of London or the South East it is possible that the role of district-level geographies would </w:t>
      </w:r>
      <w:r w:rsidR="00E03006">
        <w:rPr>
          <w:rFonts w:asciiTheme="minorHAnsi" w:hAnsiTheme="minorHAnsi" w:cstheme="minorHAnsi"/>
          <w:sz w:val="22"/>
        </w:rPr>
        <w:t xml:space="preserve">have </w:t>
      </w:r>
      <w:r w:rsidRPr="00520B73">
        <w:rPr>
          <w:rFonts w:asciiTheme="minorHAnsi" w:hAnsiTheme="minorHAnsi" w:cstheme="minorHAnsi"/>
          <w:sz w:val="22"/>
        </w:rPr>
        <w:t xml:space="preserve">become even more influential, at least for the highest incomes; but as </w:t>
      </w:r>
      <w:r w:rsidR="00015CD9">
        <w:rPr>
          <w:rFonts w:asciiTheme="minorHAnsi" w:hAnsiTheme="minorHAnsi" w:cstheme="minorHAnsi"/>
          <w:sz w:val="22"/>
        </w:rPr>
        <w:t>two-thirds</w:t>
      </w:r>
      <w:r w:rsidRPr="00520B73">
        <w:rPr>
          <w:rFonts w:asciiTheme="minorHAnsi" w:hAnsiTheme="minorHAnsi" w:cstheme="minorHAnsi"/>
          <w:sz w:val="22"/>
        </w:rPr>
        <w:t xml:space="preserve"> of the segregation of those on the highest incomes is explained by social sorting across postcode units and enumeration districts, it is unlikely </w:t>
      </w:r>
      <w:r w:rsidR="00E03006">
        <w:rPr>
          <w:rFonts w:asciiTheme="minorHAnsi" w:hAnsiTheme="minorHAnsi" w:cstheme="minorHAnsi"/>
          <w:sz w:val="22"/>
        </w:rPr>
        <w:t>that even this ‘capital region’ effect</w:t>
      </w:r>
      <w:r w:rsidRPr="00520B73">
        <w:rPr>
          <w:rFonts w:asciiTheme="minorHAnsi" w:hAnsiTheme="minorHAnsi" w:cstheme="minorHAnsi"/>
          <w:sz w:val="22"/>
        </w:rPr>
        <w:t xml:space="preserve"> would dominate the observed </w:t>
      </w:r>
      <w:r w:rsidR="00102E4E" w:rsidRPr="00520B73">
        <w:rPr>
          <w:rFonts w:asciiTheme="minorHAnsi" w:hAnsiTheme="minorHAnsi" w:cstheme="minorHAnsi"/>
          <w:sz w:val="22"/>
        </w:rPr>
        <w:t>residential</w:t>
      </w:r>
      <w:r w:rsidRPr="00520B73">
        <w:rPr>
          <w:rFonts w:asciiTheme="minorHAnsi" w:hAnsiTheme="minorHAnsi" w:cstheme="minorHAnsi"/>
          <w:sz w:val="22"/>
        </w:rPr>
        <w:t xml:space="preserve"> sorting effects. </w:t>
      </w:r>
    </w:p>
    <w:p w14:paraId="254E4703" w14:textId="77777777" w:rsidR="00545C02" w:rsidRDefault="00545C02" w:rsidP="00015CD9">
      <w:pPr>
        <w:spacing w:line="276" w:lineRule="auto"/>
        <w:jc w:val="both"/>
        <w:rPr>
          <w:rFonts w:asciiTheme="minorHAnsi" w:hAnsiTheme="minorHAnsi" w:cstheme="minorHAnsi"/>
          <w:b/>
          <w:sz w:val="22"/>
        </w:rPr>
      </w:pPr>
    </w:p>
    <w:p w14:paraId="47070F03" w14:textId="77777777" w:rsidR="007B648A" w:rsidRPr="007E6F4D" w:rsidRDefault="00D97E8B" w:rsidP="00015CD9">
      <w:pPr>
        <w:spacing w:line="276" w:lineRule="auto"/>
        <w:jc w:val="both"/>
        <w:rPr>
          <w:rFonts w:asciiTheme="minorHAnsi" w:hAnsiTheme="minorHAnsi" w:cstheme="minorHAnsi"/>
          <w:b/>
          <w:sz w:val="26"/>
        </w:rPr>
      </w:pPr>
      <w:r w:rsidRPr="007E6F4D">
        <w:rPr>
          <w:rFonts w:asciiTheme="minorHAnsi" w:hAnsiTheme="minorHAnsi" w:cstheme="minorHAnsi"/>
          <w:b/>
          <w:sz w:val="26"/>
        </w:rPr>
        <w:t>4</w:t>
      </w:r>
      <w:r w:rsidR="007B648A" w:rsidRPr="007E6F4D">
        <w:rPr>
          <w:rFonts w:asciiTheme="minorHAnsi" w:hAnsiTheme="minorHAnsi" w:cstheme="minorHAnsi"/>
          <w:b/>
          <w:sz w:val="26"/>
        </w:rPr>
        <w:t xml:space="preserve">. </w:t>
      </w:r>
      <w:r w:rsidR="004F7D18" w:rsidRPr="007E6F4D">
        <w:rPr>
          <w:rFonts w:asciiTheme="minorHAnsi" w:hAnsiTheme="minorHAnsi" w:cstheme="minorHAnsi"/>
          <w:b/>
          <w:sz w:val="26"/>
        </w:rPr>
        <w:t>Small-area income estimation strategies</w:t>
      </w:r>
    </w:p>
    <w:p w14:paraId="74D7C685" w14:textId="77777777" w:rsidR="007B648A" w:rsidRPr="00520B73" w:rsidRDefault="007B648A" w:rsidP="00015CD9">
      <w:pPr>
        <w:spacing w:line="276" w:lineRule="auto"/>
        <w:jc w:val="both"/>
        <w:rPr>
          <w:rFonts w:asciiTheme="minorHAnsi" w:hAnsiTheme="minorHAnsi" w:cstheme="minorHAnsi"/>
          <w:sz w:val="22"/>
        </w:rPr>
      </w:pPr>
    </w:p>
    <w:p w14:paraId="14E7D3C1" w14:textId="77777777" w:rsidR="003D3EF8" w:rsidRPr="00520B73" w:rsidRDefault="0016330E" w:rsidP="00015CD9">
      <w:pPr>
        <w:spacing w:line="276" w:lineRule="auto"/>
        <w:jc w:val="both"/>
        <w:rPr>
          <w:rFonts w:asciiTheme="minorHAnsi" w:hAnsiTheme="minorHAnsi" w:cstheme="minorHAnsi"/>
          <w:sz w:val="22"/>
        </w:rPr>
      </w:pPr>
      <w:r w:rsidRPr="00520B73">
        <w:rPr>
          <w:rFonts w:asciiTheme="minorHAnsi" w:hAnsiTheme="minorHAnsi" w:cstheme="minorHAnsi"/>
          <w:sz w:val="22"/>
        </w:rPr>
        <w:t>Analysis of the Census Rehearsal has allowed us to establish that average incomes are spatially highly variable; that this spatial variability is most pronounced for the smallest spatial units</w:t>
      </w:r>
      <w:r w:rsidR="0042209D" w:rsidRPr="00520B73">
        <w:rPr>
          <w:rFonts w:asciiTheme="minorHAnsi" w:hAnsiTheme="minorHAnsi" w:cstheme="minorHAnsi"/>
          <w:sz w:val="22"/>
        </w:rPr>
        <w:t xml:space="preserve">; and that it is those </w:t>
      </w:r>
      <w:r w:rsidRPr="00520B73">
        <w:rPr>
          <w:rFonts w:asciiTheme="minorHAnsi" w:hAnsiTheme="minorHAnsi" w:cstheme="minorHAnsi"/>
          <w:sz w:val="22"/>
        </w:rPr>
        <w:t>persons and households</w:t>
      </w:r>
      <w:r w:rsidR="0042209D" w:rsidRPr="00520B73">
        <w:rPr>
          <w:rFonts w:asciiTheme="minorHAnsi" w:hAnsiTheme="minorHAnsi" w:cstheme="minorHAnsi"/>
          <w:sz w:val="22"/>
        </w:rPr>
        <w:t xml:space="preserve"> with the highest incomes that are most spatially segregated</w:t>
      </w:r>
      <w:r w:rsidRPr="00520B73">
        <w:rPr>
          <w:rFonts w:asciiTheme="minorHAnsi" w:hAnsiTheme="minorHAnsi" w:cstheme="minorHAnsi"/>
          <w:sz w:val="22"/>
        </w:rPr>
        <w:t xml:space="preserve">. </w:t>
      </w:r>
      <w:r w:rsidR="005C6A94">
        <w:rPr>
          <w:rFonts w:asciiTheme="minorHAnsi" w:hAnsiTheme="minorHAnsi" w:cstheme="minorHAnsi"/>
          <w:sz w:val="22"/>
        </w:rPr>
        <w:t>It is now</w:t>
      </w:r>
      <w:r w:rsidR="002518AC" w:rsidRPr="00520B73">
        <w:rPr>
          <w:rFonts w:asciiTheme="minorHAnsi" w:hAnsiTheme="minorHAnsi" w:cstheme="minorHAnsi"/>
          <w:sz w:val="22"/>
        </w:rPr>
        <w:t xml:space="preserve"> time to turn </w:t>
      </w:r>
      <w:r w:rsidR="005C6A94">
        <w:rPr>
          <w:rFonts w:asciiTheme="minorHAnsi" w:hAnsiTheme="minorHAnsi" w:cstheme="minorHAnsi"/>
          <w:sz w:val="22"/>
        </w:rPr>
        <w:t xml:space="preserve">our </w:t>
      </w:r>
      <w:r w:rsidR="002518AC" w:rsidRPr="00520B73">
        <w:rPr>
          <w:rFonts w:asciiTheme="minorHAnsi" w:hAnsiTheme="minorHAnsi" w:cstheme="minorHAnsi"/>
          <w:sz w:val="22"/>
        </w:rPr>
        <w:t xml:space="preserve">attention to the most effective methods of capturing this spatial variability. Four main approaches to small-area income estimation </w:t>
      </w:r>
      <w:r w:rsidR="00A22208">
        <w:rPr>
          <w:rFonts w:asciiTheme="minorHAnsi" w:hAnsiTheme="minorHAnsi" w:cstheme="minorHAnsi"/>
          <w:sz w:val="22"/>
        </w:rPr>
        <w:t>are considered</w:t>
      </w:r>
      <w:r w:rsidR="002518AC" w:rsidRPr="00520B73">
        <w:rPr>
          <w:rFonts w:asciiTheme="minorHAnsi" w:hAnsiTheme="minorHAnsi" w:cstheme="minorHAnsi"/>
          <w:sz w:val="22"/>
        </w:rPr>
        <w:t xml:space="preserve">: the use of proxy indicators; </w:t>
      </w:r>
      <w:proofErr w:type="spellStart"/>
      <w:r w:rsidR="002518AC" w:rsidRPr="00520B73">
        <w:rPr>
          <w:rFonts w:asciiTheme="minorHAnsi" w:hAnsiTheme="minorHAnsi" w:cstheme="minorHAnsi"/>
          <w:sz w:val="22"/>
        </w:rPr>
        <w:t>geodemographic</w:t>
      </w:r>
      <w:proofErr w:type="spellEnd"/>
      <w:r w:rsidR="002518AC" w:rsidRPr="00520B73">
        <w:rPr>
          <w:rFonts w:asciiTheme="minorHAnsi" w:hAnsiTheme="minorHAnsi" w:cstheme="minorHAnsi"/>
          <w:sz w:val="22"/>
        </w:rPr>
        <w:t xml:space="preserve"> classification; </w:t>
      </w:r>
      <w:r w:rsidR="00A22208">
        <w:rPr>
          <w:rFonts w:asciiTheme="minorHAnsi" w:hAnsiTheme="minorHAnsi" w:cstheme="minorHAnsi"/>
          <w:sz w:val="22"/>
        </w:rPr>
        <w:t xml:space="preserve">unit-level </w:t>
      </w:r>
      <w:r w:rsidR="002518AC" w:rsidRPr="00520B73">
        <w:rPr>
          <w:rFonts w:asciiTheme="minorHAnsi" w:hAnsiTheme="minorHAnsi" w:cstheme="minorHAnsi"/>
          <w:sz w:val="22"/>
        </w:rPr>
        <w:t xml:space="preserve">imputation and </w:t>
      </w:r>
      <w:r w:rsidR="00A22208">
        <w:rPr>
          <w:rFonts w:asciiTheme="minorHAnsi" w:hAnsiTheme="minorHAnsi" w:cstheme="minorHAnsi"/>
          <w:sz w:val="22"/>
        </w:rPr>
        <w:t>ecological regression</w:t>
      </w:r>
      <w:r w:rsidR="002518AC" w:rsidRPr="00520B73">
        <w:rPr>
          <w:rFonts w:asciiTheme="minorHAnsi" w:hAnsiTheme="minorHAnsi" w:cstheme="minorHAnsi"/>
          <w:sz w:val="22"/>
        </w:rPr>
        <w:t xml:space="preserve">. In this section </w:t>
      </w:r>
      <w:r w:rsidR="003D3EF8" w:rsidRPr="00520B73">
        <w:rPr>
          <w:rFonts w:asciiTheme="minorHAnsi" w:hAnsiTheme="minorHAnsi" w:cstheme="minorHAnsi"/>
          <w:sz w:val="22"/>
        </w:rPr>
        <w:t>the nature and limitations of these</w:t>
      </w:r>
      <w:r w:rsidR="002518AC" w:rsidRPr="00520B73">
        <w:rPr>
          <w:rFonts w:asciiTheme="minorHAnsi" w:hAnsiTheme="minorHAnsi" w:cstheme="minorHAnsi"/>
          <w:sz w:val="22"/>
        </w:rPr>
        <w:t xml:space="preserve"> competing strategies are reviewed</w:t>
      </w:r>
      <w:r w:rsidR="003D3EF8" w:rsidRPr="00520B73">
        <w:rPr>
          <w:rFonts w:asciiTheme="minorHAnsi" w:hAnsiTheme="minorHAnsi" w:cstheme="minorHAnsi"/>
          <w:sz w:val="22"/>
        </w:rPr>
        <w:t xml:space="preserve">. Details are also provided of </w:t>
      </w:r>
      <w:r w:rsidR="002518AC" w:rsidRPr="00520B73">
        <w:rPr>
          <w:rFonts w:asciiTheme="minorHAnsi" w:hAnsiTheme="minorHAnsi" w:cstheme="minorHAnsi"/>
          <w:sz w:val="22"/>
        </w:rPr>
        <w:t xml:space="preserve">how </w:t>
      </w:r>
      <w:r w:rsidR="003D3EF8" w:rsidRPr="00520B73">
        <w:rPr>
          <w:rFonts w:asciiTheme="minorHAnsi" w:hAnsiTheme="minorHAnsi" w:cstheme="minorHAnsi"/>
          <w:sz w:val="22"/>
        </w:rPr>
        <w:t xml:space="preserve">each strategy has </w:t>
      </w:r>
      <w:r w:rsidR="002518AC" w:rsidRPr="00520B73">
        <w:rPr>
          <w:rFonts w:asciiTheme="minorHAnsi" w:hAnsiTheme="minorHAnsi" w:cstheme="minorHAnsi"/>
          <w:sz w:val="22"/>
        </w:rPr>
        <w:t>been implemented</w:t>
      </w:r>
      <w:r w:rsidR="003D3EF8" w:rsidRPr="00520B73">
        <w:rPr>
          <w:rFonts w:asciiTheme="minorHAnsi" w:hAnsiTheme="minorHAnsi" w:cstheme="minorHAnsi"/>
          <w:sz w:val="22"/>
        </w:rPr>
        <w:t xml:space="preserve"> </w:t>
      </w:r>
      <w:r w:rsidR="005C6A94">
        <w:rPr>
          <w:rFonts w:asciiTheme="minorHAnsi" w:hAnsiTheme="minorHAnsi" w:cstheme="minorHAnsi"/>
          <w:sz w:val="22"/>
        </w:rPr>
        <w:t xml:space="preserve">for this paper </w:t>
      </w:r>
      <w:r w:rsidR="003D3EF8" w:rsidRPr="00520B73">
        <w:rPr>
          <w:rFonts w:asciiTheme="minorHAnsi" w:hAnsiTheme="minorHAnsi" w:cstheme="minorHAnsi"/>
          <w:sz w:val="22"/>
        </w:rPr>
        <w:t xml:space="preserve">in order to provide a series of </w:t>
      </w:r>
      <w:r w:rsidR="00AD14E9" w:rsidRPr="00520B73">
        <w:rPr>
          <w:rFonts w:asciiTheme="minorHAnsi" w:hAnsiTheme="minorHAnsi" w:cstheme="minorHAnsi"/>
          <w:sz w:val="22"/>
        </w:rPr>
        <w:t xml:space="preserve">rival </w:t>
      </w:r>
      <w:r w:rsidR="003D3EF8" w:rsidRPr="00520B73">
        <w:rPr>
          <w:rFonts w:asciiTheme="minorHAnsi" w:hAnsiTheme="minorHAnsi" w:cstheme="minorHAnsi"/>
          <w:sz w:val="22"/>
        </w:rPr>
        <w:t>small-area estimates</w:t>
      </w:r>
      <w:r w:rsidR="00900D17">
        <w:rPr>
          <w:rFonts w:asciiTheme="minorHAnsi" w:hAnsiTheme="minorHAnsi" w:cstheme="minorHAnsi"/>
          <w:sz w:val="22"/>
        </w:rPr>
        <w:t xml:space="preserve">. </w:t>
      </w:r>
      <w:r w:rsidR="00AD14E9" w:rsidRPr="00520B73">
        <w:rPr>
          <w:rFonts w:asciiTheme="minorHAnsi" w:hAnsiTheme="minorHAnsi" w:cstheme="minorHAnsi"/>
          <w:sz w:val="22"/>
        </w:rPr>
        <w:t xml:space="preserve">Subsequently (Section 5) data from the Census Rehearsal </w:t>
      </w:r>
      <w:r w:rsidR="005C6A94">
        <w:rPr>
          <w:rFonts w:asciiTheme="minorHAnsi" w:hAnsiTheme="minorHAnsi" w:cstheme="minorHAnsi"/>
          <w:sz w:val="22"/>
        </w:rPr>
        <w:t>will be</w:t>
      </w:r>
      <w:r w:rsidR="00AD14E9" w:rsidRPr="00520B73">
        <w:rPr>
          <w:rFonts w:asciiTheme="minorHAnsi" w:hAnsiTheme="minorHAnsi" w:cstheme="minorHAnsi"/>
          <w:sz w:val="22"/>
        </w:rPr>
        <w:t xml:space="preserve"> used to evaluate</w:t>
      </w:r>
      <w:r w:rsidR="003D3EF8" w:rsidRPr="00520B73">
        <w:rPr>
          <w:rFonts w:asciiTheme="minorHAnsi" w:hAnsiTheme="minorHAnsi" w:cstheme="minorHAnsi"/>
          <w:sz w:val="22"/>
        </w:rPr>
        <w:t xml:space="preserve"> </w:t>
      </w:r>
      <w:r w:rsidR="00AD14E9" w:rsidRPr="00520B73">
        <w:rPr>
          <w:rFonts w:asciiTheme="minorHAnsi" w:hAnsiTheme="minorHAnsi" w:cstheme="minorHAnsi"/>
          <w:sz w:val="22"/>
        </w:rPr>
        <w:t>t</w:t>
      </w:r>
      <w:r w:rsidR="003D3EF8" w:rsidRPr="00520B73">
        <w:rPr>
          <w:rFonts w:asciiTheme="minorHAnsi" w:hAnsiTheme="minorHAnsi" w:cstheme="minorHAnsi"/>
          <w:sz w:val="22"/>
        </w:rPr>
        <w:t>hese estimates</w:t>
      </w:r>
      <w:r w:rsidR="00AD14E9" w:rsidRPr="00520B73">
        <w:rPr>
          <w:rFonts w:asciiTheme="minorHAnsi" w:hAnsiTheme="minorHAnsi" w:cstheme="minorHAnsi"/>
          <w:sz w:val="22"/>
        </w:rPr>
        <w:t>.</w:t>
      </w:r>
    </w:p>
    <w:p w14:paraId="1CB35B46" w14:textId="77777777" w:rsidR="003D3EF8" w:rsidRPr="00520B73" w:rsidRDefault="003D3EF8" w:rsidP="00015CD9">
      <w:pPr>
        <w:spacing w:line="276" w:lineRule="auto"/>
        <w:jc w:val="both"/>
        <w:rPr>
          <w:rFonts w:asciiTheme="minorHAnsi" w:hAnsiTheme="minorHAnsi" w:cstheme="minorHAnsi"/>
          <w:sz w:val="22"/>
        </w:rPr>
      </w:pPr>
    </w:p>
    <w:p w14:paraId="27C13CD6" w14:textId="77777777" w:rsidR="007B648A" w:rsidRPr="00520B73" w:rsidRDefault="00D97E8B" w:rsidP="00015CD9">
      <w:pPr>
        <w:spacing w:line="276" w:lineRule="auto"/>
        <w:jc w:val="both"/>
        <w:rPr>
          <w:rFonts w:asciiTheme="minorHAnsi" w:hAnsiTheme="minorHAnsi" w:cstheme="minorHAnsi"/>
          <w:i/>
          <w:sz w:val="22"/>
        </w:rPr>
      </w:pPr>
      <w:r w:rsidRPr="00520B73">
        <w:rPr>
          <w:rFonts w:asciiTheme="minorHAnsi" w:hAnsiTheme="minorHAnsi" w:cstheme="minorHAnsi"/>
          <w:i/>
          <w:sz w:val="22"/>
        </w:rPr>
        <w:t>4</w:t>
      </w:r>
      <w:r w:rsidR="007B648A" w:rsidRPr="00520B73">
        <w:rPr>
          <w:rFonts w:asciiTheme="minorHAnsi" w:hAnsiTheme="minorHAnsi" w:cstheme="minorHAnsi"/>
          <w:i/>
          <w:sz w:val="22"/>
        </w:rPr>
        <w:t>.1 Proxy indicators</w:t>
      </w:r>
    </w:p>
    <w:p w14:paraId="3B479E42" w14:textId="77777777" w:rsidR="007B648A" w:rsidRPr="00520B73" w:rsidRDefault="007B648A" w:rsidP="00015CD9">
      <w:pPr>
        <w:spacing w:line="276" w:lineRule="auto"/>
        <w:jc w:val="both"/>
        <w:rPr>
          <w:rFonts w:asciiTheme="minorHAnsi" w:hAnsiTheme="minorHAnsi" w:cstheme="minorHAnsi"/>
          <w:sz w:val="22"/>
        </w:rPr>
      </w:pPr>
    </w:p>
    <w:p w14:paraId="458F0C83" w14:textId="77777777" w:rsidR="00AC10D7" w:rsidRPr="00520B73" w:rsidRDefault="007B648A"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Lee </w:t>
      </w:r>
      <w:r w:rsidR="007E6F4D" w:rsidRPr="007E6F4D">
        <w:rPr>
          <w:rFonts w:asciiTheme="minorHAnsi" w:hAnsiTheme="minorHAnsi" w:cstheme="minorHAnsi"/>
          <w:i/>
          <w:sz w:val="22"/>
        </w:rPr>
        <w:t>et al</w:t>
      </w:r>
      <w:r w:rsidRPr="00520B73">
        <w:rPr>
          <w:rFonts w:asciiTheme="minorHAnsi" w:hAnsiTheme="minorHAnsi" w:cstheme="minorHAnsi"/>
          <w:sz w:val="22"/>
        </w:rPr>
        <w:t xml:space="preserve"> (1995) provide a comprehensive review of </w:t>
      </w:r>
      <w:r w:rsidR="00AC10D7" w:rsidRPr="00520B73">
        <w:rPr>
          <w:rFonts w:asciiTheme="minorHAnsi" w:hAnsiTheme="minorHAnsi" w:cstheme="minorHAnsi"/>
          <w:sz w:val="22"/>
        </w:rPr>
        <w:t xml:space="preserve">the </w:t>
      </w:r>
      <w:r w:rsidR="0069783A" w:rsidRPr="00520B73">
        <w:rPr>
          <w:rFonts w:asciiTheme="minorHAnsi" w:hAnsiTheme="minorHAnsi" w:cstheme="minorHAnsi"/>
          <w:sz w:val="22"/>
        </w:rPr>
        <w:t>‘indicators’</w:t>
      </w:r>
      <w:r w:rsidRPr="00520B73">
        <w:rPr>
          <w:rFonts w:asciiTheme="minorHAnsi" w:hAnsiTheme="minorHAnsi" w:cstheme="minorHAnsi"/>
          <w:sz w:val="22"/>
        </w:rPr>
        <w:t xml:space="preserve"> </w:t>
      </w:r>
      <w:r w:rsidR="0069783A" w:rsidRPr="00520B73">
        <w:rPr>
          <w:rFonts w:asciiTheme="minorHAnsi" w:hAnsiTheme="minorHAnsi" w:cstheme="minorHAnsi"/>
          <w:sz w:val="22"/>
        </w:rPr>
        <w:t>of area deprivation</w:t>
      </w:r>
      <w:r w:rsidRPr="00520B73">
        <w:rPr>
          <w:rFonts w:asciiTheme="minorHAnsi" w:hAnsiTheme="minorHAnsi" w:cstheme="minorHAnsi"/>
          <w:sz w:val="22"/>
        </w:rPr>
        <w:t xml:space="preserve"> used in the UK, </w:t>
      </w:r>
      <w:r w:rsidR="0069783A" w:rsidRPr="00520B73">
        <w:rPr>
          <w:rFonts w:asciiTheme="minorHAnsi" w:hAnsiTheme="minorHAnsi" w:cstheme="minorHAnsi"/>
          <w:sz w:val="22"/>
        </w:rPr>
        <w:t>ranging from car-ownership (</w:t>
      </w:r>
      <w:proofErr w:type="spellStart"/>
      <w:r w:rsidR="0069783A" w:rsidRPr="00520B73">
        <w:rPr>
          <w:rFonts w:asciiTheme="minorHAnsi" w:hAnsiTheme="minorHAnsi" w:cstheme="minorHAnsi"/>
          <w:sz w:val="22"/>
        </w:rPr>
        <w:t>univariate</w:t>
      </w:r>
      <w:proofErr w:type="spellEnd"/>
      <w:r w:rsidR="0069783A" w:rsidRPr="00520B73">
        <w:rPr>
          <w:rFonts w:asciiTheme="minorHAnsi" w:hAnsiTheme="minorHAnsi" w:cstheme="minorHAnsi"/>
          <w:sz w:val="22"/>
        </w:rPr>
        <w:t xml:space="preserve">) through to the </w:t>
      </w:r>
      <w:proofErr w:type="gramStart"/>
      <w:r w:rsidRPr="00520B73">
        <w:rPr>
          <w:rFonts w:asciiTheme="minorHAnsi" w:hAnsiTheme="minorHAnsi" w:cstheme="minorHAnsi"/>
          <w:sz w:val="22"/>
        </w:rPr>
        <w:t>well known</w:t>
      </w:r>
      <w:proofErr w:type="gramEnd"/>
      <w:r w:rsidRPr="00520B73">
        <w:rPr>
          <w:rFonts w:asciiTheme="minorHAnsi" w:hAnsiTheme="minorHAnsi" w:cstheme="minorHAnsi"/>
          <w:sz w:val="22"/>
        </w:rPr>
        <w:t xml:space="preserve"> Townsend index</w:t>
      </w:r>
      <w:r w:rsidR="0069783A" w:rsidRPr="00520B73">
        <w:rPr>
          <w:rFonts w:asciiTheme="minorHAnsi" w:hAnsiTheme="minorHAnsi" w:cstheme="minorHAnsi"/>
          <w:sz w:val="22"/>
        </w:rPr>
        <w:t xml:space="preserve"> (multivariate)</w:t>
      </w:r>
      <w:r w:rsidRPr="00520B73">
        <w:rPr>
          <w:rFonts w:asciiTheme="minorHAnsi" w:hAnsiTheme="minorHAnsi" w:cstheme="minorHAnsi"/>
          <w:sz w:val="22"/>
        </w:rPr>
        <w:t xml:space="preserve">. </w:t>
      </w:r>
      <w:r w:rsidR="00AC10D7" w:rsidRPr="00520B73">
        <w:rPr>
          <w:rFonts w:asciiTheme="minorHAnsi" w:hAnsiTheme="minorHAnsi" w:cstheme="minorHAnsi"/>
          <w:sz w:val="22"/>
        </w:rPr>
        <w:t>Of course</w:t>
      </w:r>
      <w:r w:rsidRPr="00520B73">
        <w:rPr>
          <w:rFonts w:asciiTheme="minorHAnsi" w:hAnsiTheme="minorHAnsi" w:cstheme="minorHAnsi"/>
          <w:sz w:val="22"/>
        </w:rPr>
        <w:t xml:space="preserve">, as </w:t>
      </w:r>
      <w:r w:rsidR="003806B1" w:rsidRPr="00520B73">
        <w:rPr>
          <w:rFonts w:asciiTheme="minorHAnsi" w:hAnsiTheme="minorHAnsi" w:cstheme="minorHAnsi"/>
          <w:sz w:val="22"/>
        </w:rPr>
        <w:t xml:space="preserve">Gordon </w:t>
      </w:r>
      <w:r w:rsidR="007E6F4D" w:rsidRPr="007E6F4D">
        <w:rPr>
          <w:rFonts w:asciiTheme="minorHAnsi" w:hAnsiTheme="minorHAnsi" w:cstheme="minorHAnsi"/>
          <w:i/>
          <w:sz w:val="22"/>
        </w:rPr>
        <w:t>et al</w:t>
      </w:r>
      <w:r w:rsidR="003806B1" w:rsidRPr="00520B73">
        <w:rPr>
          <w:rFonts w:asciiTheme="minorHAnsi" w:hAnsiTheme="minorHAnsi" w:cstheme="minorHAnsi"/>
          <w:sz w:val="22"/>
        </w:rPr>
        <w:t xml:space="preserve"> (2000)</w:t>
      </w:r>
      <w:r w:rsidRPr="00520B73">
        <w:rPr>
          <w:rFonts w:asciiTheme="minorHAnsi" w:hAnsiTheme="minorHAnsi" w:cstheme="minorHAnsi"/>
          <w:sz w:val="22"/>
        </w:rPr>
        <w:t xml:space="preserve"> ha</w:t>
      </w:r>
      <w:r w:rsidR="003806B1" w:rsidRPr="00520B73">
        <w:rPr>
          <w:rFonts w:asciiTheme="minorHAnsi" w:hAnsiTheme="minorHAnsi" w:cstheme="minorHAnsi"/>
          <w:sz w:val="22"/>
        </w:rPr>
        <w:t>ve</w:t>
      </w:r>
      <w:r w:rsidRPr="00520B73">
        <w:rPr>
          <w:rFonts w:asciiTheme="minorHAnsi" w:hAnsiTheme="minorHAnsi" w:cstheme="minorHAnsi"/>
          <w:sz w:val="22"/>
        </w:rPr>
        <w:t xml:space="preserve"> </w:t>
      </w:r>
      <w:r w:rsidR="0069783A" w:rsidRPr="00520B73">
        <w:rPr>
          <w:rFonts w:asciiTheme="minorHAnsi" w:hAnsiTheme="minorHAnsi" w:cstheme="minorHAnsi"/>
          <w:sz w:val="22"/>
        </w:rPr>
        <w:t xml:space="preserve">ably </w:t>
      </w:r>
      <w:r w:rsidRPr="00520B73">
        <w:rPr>
          <w:rFonts w:asciiTheme="minorHAnsi" w:hAnsiTheme="minorHAnsi" w:cstheme="minorHAnsi"/>
          <w:sz w:val="22"/>
        </w:rPr>
        <w:t xml:space="preserve">shown, </w:t>
      </w:r>
      <w:r w:rsidR="0069783A" w:rsidRPr="00520B73">
        <w:rPr>
          <w:rFonts w:asciiTheme="minorHAnsi" w:hAnsiTheme="minorHAnsi" w:cstheme="minorHAnsi"/>
          <w:sz w:val="22"/>
        </w:rPr>
        <w:t xml:space="preserve">lack of income does not directly equate to material deprivation, in part because of lag effects, and in part </w:t>
      </w:r>
      <w:r w:rsidR="00994D9C">
        <w:rPr>
          <w:rFonts w:asciiTheme="minorHAnsi" w:hAnsiTheme="minorHAnsi" w:cstheme="minorHAnsi"/>
          <w:sz w:val="22"/>
        </w:rPr>
        <w:t xml:space="preserve">due </w:t>
      </w:r>
      <w:r w:rsidR="0069783A" w:rsidRPr="00520B73">
        <w:rPr>
          <w:rFonts w:asciiTheme="minorHAnsi" w:hAnsiTheme="minorHAnsi" w:cstheme="minorHAnsi"/>
          <w:sz w:val="22"/>
        </w:rPr>
        <w:t>to life</w:t>
      </w:r>
      <w:r w:rsidR="00AC10D7" w:rsidRPr="00520B73">
        <w:rPr>
          <w:rFonts w:asciiTheme="minorHAnsi" w:hAnsiTheme="minorHAnsi" w:cstheme="minorHAnsi"/>
          <w:sz w:val="22"/>
        </w:rPr>
        <w:t>-</w:t>
      </w:r>
      <w:r w:rsidR="0069783A" w:rsidRPr="00520B73">
        <w:rPr>
          <w:rFonts w:asciiTheme="minorHAnsi" w:hAnsiTheme="minorHAnsi" w:cstheme="minorHAnsi"/>
          <w:sz w:val="22"/>
        </w:rPr>
        <w:t>course effects (the retired typically have lower incomes but a lifetime of asset accumulation)</w:t>
      </w:r>
      <w:r w:rsidR="00AC10D7" w:rsidRPr="00520B73">
        <w:rPr>
          <w:rFonts w:asciiTheme="minorHAnsi" w:hAnsiTheme="minorHAnsi" w:cstheme="minorHAnsi"/>
          <w:sz w:val="22"/>
        </w:rPr>
        <w:t xml:space="preserve">. Even so the spatial patterns of low income and material deprivation are </w:t>
      </w:r>
      <w:r w:rsidRPr="00520B73">
        <w:rPr>
          <w:rFonts w:asciiTheme="minorHAnsi" w:hAnsiTheme="minorHAnsi" w:cstheme="minorHAnsi"/>
          <w:sz w:val="22"/>
        </w:rPr>
        <w:t>strongly linked (</w:t>
      </w:r>
      <w:r w:rsidR="00AE3DE9" w:rsidRPr="00520B73">
        <w:rPr>
          <w:rFonts w:asciiTheme="minorHAnsi" w:hAnsiTheme="minorHAnsi" w:cstheme="minorHAnsi"/>
          <w:sz w:val="22"/>
        </w:rPr>
        <w:t>Gordon and Forrest, 1995</w:t>
      </w:r>
      <w:r w:rsidRPr="00520B73">
        <w:rPr>
          <w:rFonts w:asciiTheme="minorHAnsi" w:hAnsiTheme="minorHAnsi" w:cstheme="minorHAnsi"/>
          <w:sz w:val="22"/>
        </w:rPr>
        <w:t xml:space="preserve">), meaning that deprivation indices </w:t>
      </w:r>
      <w:r w:rsidR="00AC10D7" w:rsidRPr="00520B73">
        <w:rPr>
          <w:rFonts w:asciiTheme="minorHAnsi" w:hAnsiTheme="minorHAnsi" w:cstheme="minorHAnsi"/>
          <w:sz w:val="22"/>
        </w:rPr>
        <w:t>still offer potentially</w:t>
      </w:r>
      <w:r w:rsidRPr="00520B73">
        <w:rPr>
          <w:rFonts w:asciiTheme="minorHAnsi" w:hAnsiTheme="minorHAnsi" w:cstheme="minorHAnsi"/>
          <w:sz w:val="22"/>
        </w:rPr>
        <w:t xml:space="preserve"> useful proxies for the relative rankings of small-area incomes. At the other end of the income spectrum, a multivariate census-based ‘wealth </w:t>
      </w:r>
      <w:r w:rsidRPr="00520B73">
        <w:rPr>
          <w:rFonts w:asciiTheme="minorHAnsi" w:hAnsiTheme="minorHAnsi" w:cstheme="minorHAnsi"/>
          <w:sz w:val="22"/>
        </w:rPr>
        <w:lastRenderedPageBreak/>
        <w:t xml:space="preserve">index’ </w:t>
      </w:r>
      <w:r w:rsidR="00AC10D7" w:rsidRPr="00520B73">
        <w:rPr>
          <w:rFonts w:asciiTheme="minorHAnsi" w:hAnsiTheme="minorHAnsi" w:cstheme="minorHAnsi"/>
          <w:sz w:val="22"/>
        </w:rPr>
        <w:t>has</w:t>
      </w:r>
      <w:r w:rsidRPr="00520B73">
        <w:rPr>
          <w:rFonts w:asciiTheme="minorHAnsi" w:hAnsiTheme="minorHAnsi" w:cstheme="minorHAnsi"/>
          <w:sz w:val="22"/>
        </w:rPr>
        <w:t xml:space="preserve"> been </w:t>
      </w:r>
      <w:r w:rsidR="00AC10D7" w:rsidRPr="00520B73">
        <w:rPr>
          <w:rFonts w:asciiTheme="minorHAnsi" w:hAnsiTheme="minorHAnsi" w:cstheme="minorHAnsi"/>
          <w:sz w:val="22"/>
        </w:rPr>
        <w:t xml:space="preserve">proposed </w:t>
      </w:r>
      <w:r w:rsidRPr="00520B73">
        <w:rPr>
          <w:rFonts w:asciiTheme="minorHAnsi" w:hAnsiTheme="minorHAnsi" w:cstheme="minorHAnsi"/>
          <w:sz w:val="22"/>
        </w:rPr>
        <w:t xml:space="preserve">by Green (1994), whilst Dorling </w:t>
      </w:r>
      <w:r w:rsidR="007E6F4D" w:rsidRPr="007E6F4D">
        <w:rPr>
          <w:rFonts w:asciiTheme="minorHAnsi" w:hAnsiTheme="minorHAnsi" w:cstheme="minorHAnsi"/>
          <w:i/>
          <w:sz w:val="22"/>
        </w:rPr>
        <w:t>et al</w:t>
      </w:r>
      <w:r w:rsidRPr="00520B73">
        <w:rPr>
          <w:rFonts w:asciiTheme="minorHAnsi" w:hAnsiTheme="minorHAnsi" w:cstheme="minorHAnsi"/>
          <w:sz w:val="22"/>
        </w:rPr>
        <w:t xml:space="preserve"> (2007) provide wealth estimates </w:t>
      </w:r>
      <w:r w:rsidR="0099044A" w:rsidRPr="00520B73">
        <w:rPr>
          <w:rFonts w:asciiTheme="minorHAnsi" w:hAnsiTheme="minorHAnsi" w:cstheme="minorHAnsi"/>
          <w:sz w:val="22"/>
        </w:rPr>
        <w:t>based on the type, tenure and price of local housing.</w:t>
      </w:r>
      <w:r w:rsidRPr="00520B73">
        <w:rPr>
          <w:rFonts w:asciiTheme="minorHAnsi" w:hAnsiTheme="minorHAnsi" w:cstheme="minorHAnsi"/>
          <w:sz w:val="22"/>
        </w:rPr>
        <w:t xml:space="preserve"> </w:t>
      </w:r>
    </w:p>
    <w:p w14:paraId="1BDFE2D2" w14:textId="77777777" w:rsidR="00AC10D7" w:rsidRPr="00520B73" w:rsidRDefault="00AC10D7" w:rsidP="00015CD9">
      <w:pPr>
        <w:spacing w:line="276" w:lineRule="auto"/>
        <w:jc w:val="both"/>
        <w:rPr>
          <w:rFonts w:asciiTheme="minorHAnsi" w:hAnsiTheme="minorHAnsi" w:cstheme="minorHAnsi"/>
          <w:sz w:val="22"/>
        </w:rPr>
      </w:pPr>
    </w:p>
    <w:p w14:paraId="770D54F9" w14:textId="77777777" w:rsidR="007B648A" w:rsidRPr="00520B73" w:rsidRDefault="00FB3299" w:rsidP="00015CD9">
      <w:pPr>
        <w:spacing w:line="276" w:lineRule="auto"/>
        <w:jc w:val="both"/>
        <w:rPr>
          <w:rFonts w:asciiTheme="minorHAnsi" w:hAnsiTheme="minorHAnsi" w:cstheme="minorHAnsi"/>
          <w:sz w:val="22"/>
        </w:rPr>
      </w:pPr>
      <w:r>
        <w:rPr>
          <w:rFonts w:asciiTheme="minorHAnsi" w:hAnsiTheme="minorHAnsi" w:cstheme="minorHAnsi"/>
          <w:sz w:val="22"/>
        </w:rPr>
        <w:t>A</w:t>
      </w:r>
      <w:r w:rsidRPr="00520B73">
        <w:rPr>
          <w:rFonts w:asciiTheme="minorHAnsi" w:hAnsiTheme="minorHAnsi" w:cstheme="minorHAnsi"/>
          <w:sz w:val="22"/>
        </w:rPr>
        <w:t xml:space="preserve">s </w:t>
      </w:r>
      <w:proofErr w:type="spellStart"/>
      <w:r w:rsidRPr="00520B73">
        <w:rPr>
          <w:rFonts w:asciiTheme="minorHAnsi" w:hAnsiTheme="minorHAnsi" w:cstheme="minorHAnsi"/>
          <w:sz w:val="22"/>
        </w:rPr>
        <w:t>Tunstall</w:t>
      </w:r>
      <w:proofErr w:type="spellEnd"/>
      <w:r w:rsidRPr="00520B73">
        <w:rPr>
          <w:rFonts w:asciiTheme="minorHAnsi" w:hAnsiTheme="minorHAnsi" w:cstheme="minorHAnsi"/>
          <w:sz w:val="22"/>
        </w:rPr>
        <w:t xml:space="preserve"> (2005) has observed, one problem with all proxies for income is that interactions between variables may well vary over space (e.g. the link between car ownership and income differs between central London and rural Scotland).</w:t>
      </w:r>
      <w:r>
        <w:rPr>
          <w:rFonts w:asciiTheme="minorHAnsi" w:hAnsiTheme="minorHAnsi" w:cstheme="minorHAnsi"/>
          <w:sz w:val="22"/>
        </w:rPr>
        <w:t xml:space="preserve"> This applies equally to a</w:t>
      </w:r>
      <w:r w:rsidR="007B648A" w:rsidRPr="00520B73">
        <w:rPr>
          <w:rFonts w:asciiTheme="minorHAnsi" w:hAnsiTheme="minorHAnsi" w:cstheme="minorHAnsi"/>
          <w:sz w:val="22"/>
        </w:rPr>
        <w:t xml:space="preserve"> more recent proxy indicator of income deprivation (DCLG, 2011)</w:t>
      </w:r>
      <w:r>
        <w:rPr>
          <w:rFonts w:asciiTheme="minorHAnsi" w:hAnsiTheme="minorHAnsi" w:cstheme="minorHAnsi"/>
          <w:sz w:val="22"/>
        </w:rPr>
        <w:t>,</w:t>
      </w:r>
      <w:r w:rsidR="007B648A" w:rsidRPr="00520B73">
        <w:rPr>
          <w:rFonts w:asciiTheme="minorHAnsi" w:hAnsiTheme="minorHAnsi" w:cstheme="minorHAnsi"/>
          <w:sz w:val="22"/>
        </w:rPr>
        <w:t xml:space="preserve"> based upon specially commissioned welfare claimant </w:t>
      </w:r>
      <w:r>
        <w:rPr>
          <w:rFonts w:asciiTheme="minorHAnsi" w:hAnsiTheme="minorHAnsi" w:cstheme="minorHAnsi"/>
          <w:sz w:val="22"/>
        </w:rPr>
        <w:t xml:space="preserve">(administrative) data, since there are </w:t>
      </w:r>
      <w:r w:rsidR="007B648A" w:rsidRPr="00520B73">
        <w:rPr>
          <w:rFonts w:asciiTheme="minorHAnsi" w:hAnsiTheme="minorHAnsi" w:cstheme="minorHAnsi"/>
          <w:sz w:val="22"/>
        </w:rPr>
        <w:t xml:space="preserve">known socio-demographic and spatial variations in the uptake of benefits (c.f. </w:t>
      </w:r>
      <w:proofErr w:type="spellStart"/>
      <w:r w:rsidR="007B648A" w:rsidRPr="00520B73">
        <w:rPr>
          <w:rFonts w:asciiTheme="minorHAnsi" w:hAnsiTheme="minorHAnsi" w:cstheme="minorHAnsi"/>
          <w:sz w:val="22"/>
        </w:rPr>
        <w:t>Bramley</w:t>
      </w:r>
      <w:proofErr w:type="spellEnd"/>
      <w:r w:rsidR="007B648A" w:rsidRPr="00520B73">
        <w:rPr>
          <w:rFonts w:asciiTheme="minorHAnsi" w:hAnsiTheme="minorHAnsi" w:cstheme="minorHAnsi"/>
          <w:sz w:val="22"/>
        </w:rPr>
        <w:t xml:space="preserve"> </w:t>
      </w:r>
      <w:r w:rsidR="007E6F4D" w:rsidRPr="007E6F4D">
        <w:rPr>
          <w:rFonts w:asciiTheme="minorHAnsi" w:hAnsiTheme="minorHAnsi" w:cstheme="minorHAnsi"/>
          <w:i/>
          <w:sz w:val="22"/>
        </w:rPr>
        <w:t>et al</w:t>
      </w:r>
      <w:r w:rsidR="007B648A" w:rsidRPr="00520B73">
        <w:rPr>
          <w:rFonts w:asciiTheme="minorHAnsi" w:hAnsiTheme="minorHAnsi" w:cstheme="minorHAnsi"/>
          <w:sz w:val="22"/>
        </w:rPr>
        <w:t xml:space="preserve"> 2000). </w:t>
      </w:r>
      <w:r w:rsidR="00877091">
        <w:rPr>
          <w:rFonts w:asciiTheme="minorHAnsi" w:hAnsiTheme="minorHAnsi" w:cstheme="minorHAnsi"/>
          <w:sz w:val="22"/>
        </w:rPr>
        <w:t>This proxy</w:t>
      </w:r>
      <w:r w:rsidR="007B648A" w:rsidRPr="00520B73">
        <w:rPr>
          <w:rFonts w:asciiTheme="minorHAnsi" w:hAnsiTheme="minorHAnsi" w:cstheme="minorHAnsi"/>
          <w:sz w:val="22"/>
        </w:rPr>
        <w:t xml:space="preserve"> has the </w:t>
      </w:r>
      <w:r w:rsidR="00877091">
        <w:rPr>
          <w:rFonts w:asciiTheme="minorHAnsi" w:hAnsiTheme="minorHAnsi" w:cstheme="minorHAnsi"/>
          <w:sz w:val="22"/>
        </w:rPr>
        <w:t xml:space="preserve">added </w:t>
      </w:r>
      <w:r w:rsidR="007B648A" w:rsidRPr="00520B73">
        <w:rPr>
          <w:rFonts w:asciiTheme="minorHAnsi" w:hAnsiTheme="minorHAnsi" w:cstheme="minorHAnsi"/>
          <w:sz w:val="22"/>
        </w:rPr>
        <w:t>disadvantage of focusing only on the lower tail of the income distribution, when high incomes may be the main drivers of between-pl</w:t>
      </w:r>
      <w:r w:rsidR="00AC10D7" w:rsidRPr="00520B73">
        <w:rPr>
          <w:rFonts w:asciiTheme="minorHAnsi" w:hAnsiTheme="minorHAnsi" w:cstheme="minorHAnsi"/>
          <w:sz w:val="22"/>
        </w:rPr>
        <w:t>ace differences in mean income.</w:t>
      </w:r>
      <w:r w:rsidR="00917729">
        <w:rPr>
          <w:rFonts w:asciiTheme="minorHAnsi" w:hAnsiTheme="minorHAnsi" w:cstheme="minorHAnsi"/>
          <w:sz w:val="22"/>
        </w:rPr>
        <w:t xml:space="preserve"> </w:t>
      </w:r>
      <w:r w:rsidR="00877091">
        <w:rPr>
          <w:rFonts w:asciiTheme="minorHAnsi" w:hAnsiTheme="minorHAnsi" w:cstheme="minorHAnsi"/>
          <w:sz w:val="22"/>
        </w:rPr>
        <w:t>M</w:t>
      </w:r>
      <w:r w:rsidR="00917729">
        <w:rPr>
          <w:rFonts w:asciiTheme="minorHAnsi" w:hAnsiTheme="minorHAnsi" w:cstheme="minorHAnsi"/>
          <w:sz w:val="22"/>
        </w:rPr>
        <w:t xml:space="preserve">ore directly relevant proxy administrative data </w:t>
      </w:r>
      <w:r w:rsidR="00877091">
        <w:rPr>
          <w:rFonts w:asciiTheme="minorHAnsi" w:hAnsiTheme="minorHAnsi" w:cstheme="minorHAnsi"/>
          <w:sz w:val="22"/>
        </w:rPr>
        <w:t xml:space="preserve">do </w:t>
      </w:r>
      <w:r w:rsidR="00917729">
        <w:rPr>
          <w:rFonts w:asciiTheme="minorHAnsi" w:hAnsiTheme="minorHAnsi" w:cstheme="minorHAnsi"/>
          <w:sz w:val="22"/>
        </w:rPr>
        <w:t>exist (e.g. ta</w:t>
      </w:r>
      <w:r>
        <w:rPr>
          <w:rFonts w:asciiTheme="minorHAnsi" w:hAnsiTheme="minorHAnsi" w:cstheme="minorHAnsi"/>
          <w:sz w:val="22"/>
        </w:rPr>
        <w:t xml:space="preserve">x records), but they </w:t>
      </w:r>
      <w:r w:rsidR="00917729">
        <w:rPr>
          <w:rFonts w:asciiTheme="minorHAnsi" w:hAnsiTheme="minorHAnsi" w:cstheme="minorHAnsi"/>
          <w:sz w:val="22"/>
        </w:rPr>
        <w:t>are not yet readily available for use in the construction of small-area estimates, at least within a UK context</w:t>
      </w:r>
      <w:r w:rsidR="00877091">
        <w:rPr>
          <w:rFonts w:asciiTheme="minorHAnsi" w:hAnsiTheme="minorHAnsi" w:cstheme="minorHAnsi"/>
          <w:sz w:val="22"/>
        </w:rPr>
        <w:t>; often lack full population coverage; and often have their own data quality issues</w:t>
      </w:r>
      <w:r w:rsidR="00917729">
        <w:rPr>
          <w:rFonts w:asciiTheme="minorHAnsi" w:hAnsiTheme="minorHAnsi" w:cstheme="minorHAnsi"/>
          <w:sz w:val="22"/>
        </w:rPr>
        <w:t>.</w:t>
      </w:r>
      <w:r>
        <w:rPr>
          <w:rFonts w:asciiTheme="minorHAnsi" w:hAnsiTheme="minorHAnsi" w:cstheme="minorHAnsi"/>
          <w:sz w:val="22"/>
        </w:rPr>
        <w:t xml:space="preserve"> </w:t>
      </w:r>
      <w:r w:rsidR="00877091">
        <w:rPr>
          <w:rFonts w:asciiTheme="minorHAnsi" w:hAnsiTheme="minorHAnsi" w:cstheme="minorHAnsi"/>
          <w:sz w:val="22"/>
        </w:rPr>
        <w:t>Similar issues apply to p</w:t>
      </w:r>
      <w:r>
        <w:rPr>
          <w:rFonts w:asciiTheme="minorHAnsi" w:hAnsiTheme="minorHAnsi" w:cstheme="minorHAnsi"/>
          <w:sz w:val="22"/>
        </w:rPr>
        <w:t>roxy data held by commercial companies, such as credit scores, supermarket spend or bank account turnover</w:t>
      </w:r>
      <w:r w:rsidR="00877091">
        <w:rPr>
          <w:rFonts w:asciiTheme="minorHAnsi" w:hAnsiTheme="minorHAnsi" w:cstheme="minorHAnsi"/>
          <w:sz w:val="22"/>
        </w:rPr>
        <w:t>.</w:t>
      </w:r>
    </w:p>
    <w:p w14:paraId="5581C79F" w14:textId="77777777" w:rsidR="007B648A" w:rsidRDefault="007B648A" w:rsidP="00015CD9">
      <w:pPr>
        <w:spacing w:line="276" w:lineRule="auto"/>
        <w:jc w:val="both"/>
        <w:rPr>
          <w:rFonts w:asciiTheme="minorHAnsi" w:hAnsiTheme="minorHAnsi" w:cstheme="minorHAnsi"/>
          <w:sz w:val="22"/>
        </w:rPr>
      </w:pPr>
    </w:p>
    <w:p w14:paraId="6ED3FFA4" w14:textId="77777777" w:rsidR="004F7D18" w:rsidRPr="00520B73" w:rsidRDefault="007F7BFE" w:rsidP="00015CD9">
      <w:pPr>
        <w:spacing w:line="276" w:lineRule="auto"/>
        <w:jc w:val="both"/>
        <w:rPr>
          <w:rFonts w:asciiTheme="minorHAnsi" w:hAnsiTheme="minorHAnsi" w:cstheme="minorHAnsi"/>
          <w:sz w:val="22"/>
        </w:rPr>
      </w:pPr>
      <w:r w:rsidRPr="00520B73">
        <w:rPr>
          <w:rFonts w:asciiTheme="minorHAnsi" w:hAnsiTheme="minorHAnsi" w:cstheme="minorHAnsi"/>
          <w:sz w:val="22"/>
        </w:rPr>
        <w:t>Drawing upon this literature a</w:t>
      </w:r>
      <w:r w:rsidR="004F7D18" w:rsidRPr="00520B73">
        <w:rPr>
          <w:rFonts w:asciiTheme="minorHAnsi" w:hAnsiTheme="minorHAnsi" w:cstheme="minorHAnsi"/>
          <w:sz w:val="22"/>
        </w:rPr>
        <w:t xml:space="preserve"> wide-range of </w:t>
      </w:r>
      <w:r w:rsidRPr="00520B73">
        <w:rPr>
          <w:rFonts w:asciiTheme="minorHAnsi" w:hAnsiTheme="minorHAnsi" w:cstheme="minorHAnsi"/>
          <w:sz w:val="22"/>
        </w:rPr>
        <w:t>potential and previously adopted</w:t>
      </w:r>
      <w:r w:rsidR="004F7D18" w:rsidRPr="00520B73">
        <w:rPr>
          <w:rFonts w:asciiTheme="minorHAnsi" w:hAnsiTheme="minorHAnsi" w:cstheme="minorHAnsi"/>
          <w:sz w:val="22"/>
        </w:rPr>
        <w:t xml:space="preserve"> </w:t>
      </w:r>
      <w:proofErr w:type="spellStart"/>
      <w:r w:rsidR="004F7D18" w:rsidRPr="00520B73">
        <w:rPr>
          <w:rFonts w:asciiTheme="minorHAnsi" w:hAnsiTheme="minorHAnsi" w:cstheme="minorHAnsi"/>
          <w:sz w:val="22"/>
        </w:rPr>
        <w:t>univariate</w:t>
      </w:r>
      <w:proofErr w:type="spellEnd"/>
      <w:r w:rsidR="004F7D18" w:rsidRPr="00520B73">
        <w:rPr>
          <w:rFonts w:asciiTheme="minorHAnsi" w:hAnsiTheme="minorHAnsi" w:cstheme="minorHAnsi"/>
          <w:sz w:val="22"/>
        </w:rPr>
        <w:t xml:space="preserve"> and multivariate surrogates for income were identified </w:t>
      </w:r>
      <w:r w:rsidRPr="00520B73">
        <w:rPr>
          <w:rFonts w:asciiTheme="minorHAnsi" w:hAnsiTheme="minorHAnsi" w:cstheme="minorHAnsi"/>
          <w:sz w:val="22"/>
        </w:rPr>
        <w:t>for evaluation using</w:t>
      </w:r>
      <w:r w:rsidR="004F7D18" w:rsidRPr="00520B73">
        <w:rPr>
          <w:rFonts w:asciiTheme="minorHAnsi" w:hAnsiTheme="minorHAnsi" w:cstheme="minorHAnsi"/>
          <w:sz w:val="22"/>
        </w:rPr>
        <w:t xml:space="preserve"> Census Rehearsal data.  </w:t>
      </w:r>
      <w:r w:rsidRPr="00520B73">
        <w:rPr>
          <w:rFonts w:asciiTheme="minorHAnsi" w:hAnsiTheme="minorHAnsi" w:cstheme="minorHAnsi"/>
          <w:sz w:val="22"/>
        </w:rPr>
        <w:t>A full list of those considered is provided in Table</w:t>
      </w:r>
      <w:r w:rsidR="0078659C" w:rsidRPr="00520B73">
        <w:rPr>
          <w:rFonts w:asciiTheme="minorHAnsi" w:hAnsiTheme="minorHAnsi" w:cstheme="minorHAnsi"/>
          <w:sz w:val="22"/>
        </w:rPr>
        <w:t>s</w:t>
      </w:r>
      <w:r w:rsidRPr="00520B73">
        <w:rPr>
          <w:rFonts w:asciiTheme="minorHAnsi" w:hAnsiTheme="minorHAnsi" w:cstheme="minorHAnsi"/>
          <w:sz w:val="22"/>
        </w:rPr>
        <w:t xml:space="preserve"> </w:t>
      </w:r>
      <w:r w:rsidR="00A22208">
        <w:rPr>
          <w:rFonts w:asciiTheme="minorHAnsi" w:hAnsiTheme="minorHAnsi" w:cstheme="minorHAnsi"/>
          <w:sz w:val="22"/>
        </w:rPr>
        <w:t>3</w:t>
      </w:r>
      <w:r w:rsidR="0078659C" w:rsidRPr="00520B73">
        <w:rPr>
          <w:rFonts w:asciiTheme="minorHAnsi" w:hAnsiTheme="minorHAnsi" w:cstheme="minorHAnsi"/>
          <w:sz w:val="22"/>
        </w:rPr>
        <w:t xml:space="preserve"> and </w:t>
      </w:r>
      <w:r w:rsidR="00A22208">
        <w:rPr>
          <w:rFonts w:asciiTheme="minorHAnsi" w:hAnsiTheme="minorHAnsi" w:cstheme="minorHAnsi"/>
          <w:sz w:val="22"/>
        </w:rPr>
        <w:t>4</w:t>
      </w:r>
      <w:r w:rsidRPr="00520B73">
        <w:rPr>
          <w:rFonts w:asciiTheme="minorHAnsi" w:hAnsiTheme="minorHAnsi" w:cstheme="minorHAnsi"/>
          <w:sz w:val="22"/>
        </w:rPr>
        <w:t>. It is important to reiterate that a number of these potential surrogates were originally devised for other purposes. Unfortunately lack of claimant data for the year of the Census Rehearsal debarred the evaluation of claimant-based proxies.</w:t>
      </w:r>
    </w:p>
    <w:p w14:paraId="56033176" w14:textId="77777777" w:rsidR="004F7D18" w:rsidRDefault="004F7D18" w:rsidP="00015CD9">
      <w:pPr>
        <w:spacing w:line="276" w:lineRule="auto"/>
        <w:jc w:val="both"/>
        <w:rPr>
          <w:rFonts w:asciiTheme="minorHAnsi" w:hAnsiTheme="minorHAnsi" w:cstheme="minorHAnsi"/>
          <w:sz w:val="22"/>
        </w:rPr>
      </w:pPr>
    </w:p>
    <w:p w14:paraId="538D5182" w14:textId="77777777" w:rsidR="00856F69" w:rsidRDefault="00856F69" w:rsidP="00015CD9">
      <w:pPr>
        <w:spacing w:line="276" w:lineRule="auto"/>
        <w:jc w:val="both"/>
        <w:rPr>
          <w:rFonts w:asciiTheme="minorHAnsi" w:hAnsiTheme="minorHAnsi" w:cstheme="minorHAnsi"/>
          <w:sz w:val="22"/>
        </w:rPr>
      </w:pPr>
      <w:r>
        <w:rPr>
          <w:rFonts w:asciiTheme="minorHAnsi" w:hAnsiTheme="minorHAnsi" w:cstheme="minorHAnsi"/>
          <w:sz w:val="22"/>
        </w:rPr>
        <w:t xml:space="preserve">TABLE </w:t>
      </w:r>
      <w:r w:rsidR="00A22208">
        <w:rPr>
          <w:rFonts w:asciiTheme="minorHAnsi" w:hAnsiTheme="minorHAnsi" w:cstheme="minorHAnsi"/>
          <w:sz w:val="22"/>
        </w:rPr>
        <w:t>3</w:t>
      </w:r>
      <w:r>
        <w:rPr>
          <w:rFonts w:asciiTheme="minorHAnsi" w:hAnsiTheme="minorHAnsi" w:cstheme="minorHAnsi"/>
          <w:sz w:val="22"/>
        </w:rPr>
        <w:t xml:space="preserve"> Efficacy of alternative small-area estimation strategies for the </w:t>
      </w:r>
      <w:r w:rsidR="00421639">
        <w:rPr>
          <w:rFonts w:asciiTheme="minorHAnsi" w:hAnsiTheme="minorHAnsi" w:cstheme="minorHAnsi"/>
          <w:sz w:val="22"/>
        </w:rPr>
        <w:t>1999</w:t>
      </w:r>
      <w:r>
        <w:rPr>
          <w:rFonts w:asciiTheme="minorHAnsi" w:hAnsiTheme="minorHAnsi" w:cstheme="minorHAnsi"/>
          <w:sz w:val="22"/>
        </w:rPr>
        <w:t xml:space="preserve"> Census Rehearsal Enumeration Districts [ABOUT HERE]</w:t>
      </w:r>
    </w:p>
    <w:p w14:paraId="6F7CD9AA" w14:textId="77777777" w:rsidR="00856F69" w:rsidRDefault="00856F69" w:rsidP="00015CD9">
      <w:pPr>
        <w:spacing w:line="276" w:lineRule="auto"/>
        <w:jc w:val="both"/>
        <w:rPr>
          <w:rFonts w:asciiTheme="minorHAnsi" w:hAnsiTheme="minorHAnsi" w:cstheme="minorHAnsi"/>
          <w:sz w:val="22"/>
        </w:rPr>
      </w:pPr>
    </w:p>
    <w:p w14:paraId="23B74F1D" w14:textId="77777777" w:rsidR="00856F69" w:rsidRDefault="00856F69" w:rsidP="00015CD9">
      <w:pPr>
        <w:spacing w:line="276" w:lineRule="auto"/>
        <w:jc w:val="both"/>
        <w:rPr>
          <w:rFonts w:asciiTheme="minorHAnsi" w:hAnsiTheme="minorHAnsi" w:cstheme="minorHAnsi"/>
          <w:sz w:val="22"/>
        </w:rPr>
      </w:pPr>
      <w:r>
        <w:rPr>
          <w:rFonts w:asciiTheme="minorHAnsi" w:hAnsiTheme="minorHAnsi" w:cstheme="minorHAnsi"/>
          <w:sz w:val="22"/>
        </w:rPr>
        <w:t xml:space="preserve">TABLE </w:t>
      </w:r>
      <w:r w:rsidR="00A22208">
        <w:rPr>
          <w:rFonts w:asciiTheme="minorHAnsi" w:hAnsiTheme="minorHAnsi" w:cstheme="minorHAnsi"/>
          <w:sz w:val="22"/>
        </w:rPr>
        <w:t>4</w:t>
      </w:r>
      <w:r>
        <w:rPr>
          <w:rFonts w:asciiTheme="minorHAnsi" w:hAnsiTheme="minorHAnsi" w:cstheme="minorHAnsi"/>
          <w:sz w:val="22"/>
        </w:rPr>
        <w:t xml:space="preserve"> Multivariate income surrogates</w:t>
      </w:r>
      <w:r w:rsidR="00994D9C">
        <w:rPr>
          <w:rFonts w:asciiTheme="minorHAnsi" w:hAnsiTheme="minorHAnsi" w:cstheme="minorHAnsi"/>
          <w:sz w:val="22"/>
        </w:rPr>
        <w:t xml:space="preserve"> (indices)</w:t>
      </w:r>
      <w:r>
        <w:rPr>
          <w:rFonts w:asciiTheme="minorHAnsi" w:hAnsiTheme="minorHAnsi" w:cstheme="minorHAnsi"/>
          <w:sz w:val="22"/>
        </w:rPr>
        <w:t xml:space="preserve"> [ABOUT HERE]</w:t>
      </w:r>
    </w:p>
    <w:p w14:paraId="4A62C4DB" w14:textId="77777777" w:rsidR="00856F69" w:rsidRPr="00520B73" w:rsidRDefault="00856F69" w:rsidP="00015CD9">
      <w:pPr>
        <w:spacing w:line="276" w:lineRule="auto"/>
        <w:jc w:val="both"/>
        <w:rPr>
          <w:rFonts w:asciiTheme="minorHAnsi" w:hAnsiTheme="minorHAnsi" w:cstheme="minorHAnsi"/>
          <w:sz w:val="22"/>
        </w:rPr>
      </w:pPr>
    </w:p>
    <w:p w14:paraId="4A26DDAD" w14:textId="77777777" w:rsidR="007B648A" w:rsidRPr="00520B73" w:rsidRDefault="00D97E8B" w:rsidP="00015CD9">
      <w:pPr>
        <w:spacing w:line="276" w:lineRule="auto"/>
        <w:jc w:val="both"/>
        <w:rPr>
          <w:rFonts w:asciiTheme="minorHAnsi" w:hAnsiTheme="minorHAnsi" w:cstheme="minorHAnsi"/>
          <w:i/>
          <w:sz w:val="22"/>
        </w:rPr>
      </w:pPr>
      <w:r w:rsidRPr="00520B73">
        <w:rPr>
          <w:rFonts w:asciiTheme="minorHAnsi" w:hAnsiTheme="minorHAnsi" w:cstheme="minorHAnsi"/>
          <w:i/>
          <w:sz w:val="22"/>
        </w:rPr>
        <w:t>4</w:t>
      </w:r>
      <w:r w:rsidR="007B648A" w:rsidRPr="00520B73">
        <w:rPr>
          <w:rFonts w:asciiTheme="minorHAnsi" w:hAnsiTheme="minorHAnsi" w:cstheme="minorHAnsi"/>
          <w:i/>
          <w:sz w:val="22"/>
        </w:rPr>
        <w:t>.</w:t>
      </w:r>
      <w:r w:rsidR="006458AF">
        <w:rPr>
          <w:rFonts w:asciiTheme="minorHAnsi" w:hAnsiTheme="minorHAnsi" w:cstheme="minorHAnsi"/>
          <w:i/>
          <w:sz w:val="22"/>
        </w:rPr>
        <w:t>2</w:t>
      </w:r>
      <w:r w:rsidR="007B648A" w:rsidRPr="00520B73">
        <w:rPr>
          <w:rFonts w:asciiTheme="minorHAnsi" w:hAnsiTheme="minorHAnsi" w:cstheme="minorHAnsi"/>
          <w:i/>
          <w:sz w:val="22"/>
        </w:rPr>
        <w:t xml:space="preserve"> </w:t>
      </w:r>
      <w:r w:rsidR="0002114A">
        <w:rPr>
          <w:rFonts w:asciiTheme="minorHAnsi" w:hAnsiTheme="minorHAnsi" w:cstheme="minorHAnsi"/>
          <w:i/>
          <w:sz w:val="22"/>
        </w:rPr>
        <w:t>Ecological regression</w:t>
      </w:r>
    </w:p>
    <w:p w14:paraId="501300B3" w14:textId="77777777" w:rsidR="007E6F4D" w:rsidRDefault="007E6F4D" w:rsidP="00015CD9">
      <w:pPr>
        <w:spacing w:line="276" w:lineRule="auto"/>
        <w:jc w:val="both"/>
        <w:rPr>
          <w:rFonts w:asciiTheme="minorHAnsi" w:hAnsiTheme="minorHAnsi" w:cstheme="minorHAnsi"/>
          <w:sz w:val="22"/>
        </w:rPr>
      </w:pPr>
    </w:p>
    <w:p w14:paraId="040EBE7A" w14:textId="77777777" w:rsidR="0014613D" w:rsidRPr="00520B73" w:rsidRDefault="007B648A" w:rsidP="00015CD9">
      <w:pPr>
        <w:spacing w:line="276" w:lineRule="auto"/>
        <w:jc w:val="both"/>
        <w:rPr>
          <w:rFonts w:asciiTheme="minorHAnsi" w:hAnsiTheme="minorHAnsi" w:cstheme="minorHAnsi"/>
          <w:sz w:val="22"/>
        </w:rPr>
      </w:pPr>
      <w:r w:rsidRPr="00520B73">
        <w:rPr>
          <w:rFonts w:asciiTheme="minorHAnsi" w:hAnsiTheme="minorHAnsi" w:cstheme="minorHAnsi"/>
          <w:sz w:val="22"/>
        </w:rPr>
        <w:t>Small-area income estimation has been the recent focus of three major European research projects (EURAREA; AMELI and SAMPLE) as well as a US National Research Council report (</w:t>
      </w:r>
      <w:r w:rsidR="003806B1" w:rsidRPr="00520B73">
        <w:rPr>
          <w:rFonts w:asciiTheme="minorHAnsi" w:hAnsiTheme="minorHAnsi" w:cstheme="minorHAnsi"/>
          <w:sz w:val="22"/>
        </w:rPr>
        <w:t>NRC, 2000</w:t>
      </w:r>
      <w:r w:rsidRPr="00520B73">
        <w:rPr>
          <w:rFonts w:asciiTheme="minorHAnsi" w:hAnsiTheme="minorHAnsi" w:cstheme="minorHAnsi"/>
          <w:sz w:val="22"/>
        </w:rPr>
        <w:t>). The EURAREA project compared performance of model- and design-based (survey-based) estimates, and concluded that model-based estimates were better, most noticeably so for the smallest spatial units</w:t>
      </w:r>
      <w:r w:rsidR="003D54D4" w:rsidRPr="00520B73">
        <w:rPr>
          <w:rFonts w:asciiTheme="minorHAnsi" w:hAnsiTheme="minorHAnsi" w:cstheme="minorHAnsi"/>
          <w:sz w:val="22"/>
        </w:rPr>
        <w:t xml:space="preserve"> (</w:t>
      </w:r>
      <w:r w:rsidR="00796072" w:rsidRPr="00520B73">
        <w:rPr>
          <w:rFonts w:asciiTheme="minorHAnsi" w:hAnsiTheme="minorHAnsi" w:cstheme="minorHAnsi"/>
          <w:sz w:val="22"/>
        </w:rPr>
        <w:t>The EURAREA Consortium, 2004</w:t>
      </w:r>
      <w:r w:rsidR="003D54D4" w:rsidRPr="00520B73">
        <w:rPr>
          <w:rFonts w:asciiTheme="minorHAnsi" w:hAnsiTheme="minorHAnsi" w:cstheme="minorHAnsi"/>
          <w:sz w:val="22"/>
        </w:rPr>
        <w:t>)</w:t>
      </w:r>
      <w:r w:rsidRPr="00520B73">
        <w:rPr>
          <w:rFonts w:asciiTheme="minorHAnsi" w:hAnsiTheme="minorHAnsi" w:cstheme="minorHAnsi"/>
          <w:sz w:val="22"/>
        </w:rPr>
        <w:t xml:space="preserve">. A subsequent European project, AMELI, extended the work of EURAREA to consider the robustness of these findings to outliers and alternative survey sampling schemes, and to outcomes other than mean incomes, such as the poverty rate and </w:t>
      </w:r>
      <w:proofErr w:type="spellStart"/>
      <w:r w:rsidRPr="00520B73">
        <w:rPr>
          <w:rFonts w:asciiTheme="minorHAnsi" w:hAnsiTheme="minorHAnsi" w:cstheme="minorHAnsi"/>
          <w:sz w:val="22"/>
        </w:rPr>
        <w:t>Gini</w:t>
      </w:r>
      <w:proofErr w:type="spellEnd"/>
      <w:r w:rsidRPr="00520B73">
        <w:rPr>
          <w:rFonts w:asciiTheme="minorHAnsi" w:hAnsiTheme="minorHAnsi" w:cstheme="minorHAnsi"/>
          <w:sz w:val="22"/>
        </w:rPr>
        <w:t xml:space="preserve"> </w:t>
      </w:r>
      <w:r w:rsidR="003D54D4" w:rsidRPr="00520B73">
        <w:rPr>
          <w:rFonts w:asciiTheme="minorHAnsi" w:hAnsiTheme="minorHAnsi" w:cstheme="minorHAnsi"/>
          <w:sz w:val="22"/>
        </w:rPr>
        <w:t>coefficient (</w:t>
      </w:r>
      <w:proofErr w:type="spellStart"/>
      <w:r w:rsidR="00FB6B87" w:rsidRPr="00520B73">
        <w:rPr>
          <w:rFonts w:asciiTheme="minorHAnsi" w:hAnsiTheme="minorHAnsi" w:cstheme="minorHAnsi"/>
          <w:sz w:val="22"/>
        </w:rPr>
        <w:t>Lehtonen</w:t>
      </w:r>
      <w:proofErr w:type="spellEnd"/>
      <w:r w:rsidR="00FB6B87" w:rsidRPr="00520B73">
        <w:rPr>
          <w:rFonts w:asciiTheme="minorHAnsi" w:hAnsiTheme="minorHAnsi" w:cstheme="minorHAnsi"/>
          <w:sz w:val="22"/>
        </w:rPr>
        <w:t xml:space="preserve"> </w:t>
      </w:r>
      <w:r w:rsidR="007E6F4D" w:rsidRPr="007E6F4D">
        <w:rPr>
          <w:rFonts w:asciiTheme="minorHAnsi" w:hAnsiTheme="minorHAnsi" w:cstheme="minorHAnsi"/>
          <w:i/>
          <w:sz w:val="22"/>
        </w:rPr>
        <w:t>et al</w:t>
      </w:r>
      <w:r w:rsidR="00FB6B87" w:rsidRPr="00520B73">
        <w:rPr>
          <w:rFonts w:asciiTheme="minorHAnsi" w:hAnsiTheme="minorHAnsi" w:cstheme="minorHAnsi"/>
          <w:sz w:val="22"/>
        </w:rPr>
        <w:t>, 2011</w:t>
      </w:r>
      <w:r w:rsidR="003D54D4" w:rsidRPr="00520B73">
        <w:rPr>
          <w:rFonts w:asciiTheme="minorHAnsi" w:hAnsiTheme="minorHAnsi" w:cstheme="minorHAnsi"/>
          <w:sz w:val="22"/>
        </w:rPr>
        <w:t>)</w:t>
      </w:r>
      <w:r w:rsidRPr="00520B73">
        <w:rPr>
          <w:rFonts w:asciiTheme="minorHAnsi" w:hAnsiTheme="minorHAnsi" w:cstheme="minorHAnsi"/>
          <w:sz w:val="22"/>
        </w:rPr>
        <w:t xml:space="preserve">. At the same time, building upon the work of </w:t>
      </w:r>
      <w:proofErr w:type="spellStart"/>
      <w:r w:rsidRPr="00520B73">
        <w:rPr>
          <w:rFonts w:asciiTheme="minorHAnsi" w:hAnsiTheme="minorHAnsi" w:cstheme="minorHAnsi"/>
          <w:sz w:val="22"/>
        </w:rPr>
        <w:t>T</w:t>
      </w:r>
      <w:r w:rsidR="007A1451">
        <w:rPr>
          <w:rFonts w:asciiTheme="minorHAnsi" w:hAnsiTheme="minorHAnsi" w:cstheme="minorHAnsi"/>
          <w:sz w:val="22"/>
        </w:rPr>
        <w:t>z</w:t>
      </w:r>
      <w:r w:rsidRPr="00520B73">
        <w:rPr>
          <w:rFonts w:asciiTheme="minorHAnsi" w:hAnsiTheme="minorHAnsi" w:cstheme="minorHAnsi"/>
          <w:sz w:val="22"/>
        </w:rPr>
        <w:t>avidis</w:t>
      </w:r>
      <w:proofErr w:type="spellEnd"/>
      <w:r w:rsidRPr="00520B73">
        <w:rPr>
          <w:rFonts w:asciiTheme="minorHAnsi" w:hAnsiTheme="minorHAnsi" w:cstheme="minorHAnsi"/>
          <w:sz w:val="22"/>
        </w:rPr>
        <w:t xml:space="preserve"> </w:t>
      </w:r>
      <w:r w:rsidR="007E6F4D" w:rsidRPr="007E6F4D">
        <w:rPr>
          <w:rFonts w:asciiTheme="minorHAnsi" w:hAnsiTheme="minorHAnsi" w:cstheme="minorHAnsi"/>
          <w:i/>
          <w:sz w:val="22"/>
        </w:rPr>
        <w:t>et al</w:t>
      </w:r>
      <w:r w:rsidR="003806B1" w:rsidRPr="00520B73">
        <w:rPr>
          <w:rFonts w:asciiTheme="minorHAnsi" w:hAnsiTheme="minorHAnsi" w:cstheme="minorHAnsi"/>
          <w:sz w:val="22"/>
        </w:rPr>
        <w:t xml:space="preserve"> </w:t>
      </w:r>
      <w:r w:rsidRPr="00520B73">
        <w:rPr>
          <w:rFonts w:asciiTheme="minorHAnsi" w:hAnsiTheme="minorHAnsi" w:cstheme="minorHAnsi"/>
          <w:sz w:val="22"/>
        </w:rPr>
        <w:t>(</w:t>
      </w:r>
      <w:r w:rsidR="003806B1" w:rsidRPr="00520B73">
        <w:rPr>
          <w:rFonts w:asciiTheme="minorHAnsi" w:hAnsiTheme="minorHAnsi" w:cstheme="minorHAnsi"/>
          <w:sz w:val="22"/>
        </w:rPr>
        <w:t>2008; 2010</w:t>
      </w:r>
      <w:r w:rsidRPr="00520B73">
        <w:rPr>
          <w:rFonts w:asciiTheme="minorHAnsi" w:hAnsiTheme="minorHAnsi" w:cstheme="minorHAnsi"/>
          <w:sz w:val="22"/>
        </w:rPr>
        <w:t>), another European project (SAMPLE) explored the role of M-</w:t>
      </w:r>
      <w:proofErr w:type="spellStart"/>
      <w:r w:rsidRPr="00520B73">
        <w:rPr>
          <w:rFonts w:asciiTheme="minorHAnsi" w:hAnsiTheme="minorHAnsi" w:cstheme="minorHAnsi"/>
          <w:sz w:val="22"/>
        </w:rPr>
        <w:t>Quantile</w:t>
      </w:r>
      <w:proofErr w:type="spellEnd"/>
      <w:r w:rsidRPr="00520B73">
        <w:rPr>
          <w:rFonts w:asciiTheme="minorHAnsi" w:hAnsiTheme="minorHAnsi" w:cstheme="minorHAnsi"/>
          <w:sz w:val="22"/>
        </w:rPr>
        <w:t xml:space="preserve"> regression in estimating distributional aspects of small-area incomes</w:t>
      </w:r>
      <w:r w:rsidR="003D54D4" w:rsidRPr="00520B73">
        <w:rPr>
          <w:rFonts w:asciiTheme="minorHAnsi" w:hAnsiTheme="minorHAnsi" w:cstheme="minorHAnsi"/>
          <w:sz w:val="22"/>
        </w:rPr>
        <w:t xml:space="preserve"> (</w:t>
      </w:r>
      <w:proofErr w:type="spellStart"/>
      <w:r w:rsidR="003806B1" w:rsidRPr="00520B73">
        <w:rPr>
          <w:rFonts w:asciiTheme="minorHAnsi" w:hAnsiTheme="minorHAnsi" w:cstheme="minorHAnsi"/>
          <w:sz w:val="22"/>
        </w:rPr>
        <w:t>Casarosa</w:t>
      </w:r>
      <w:proofErr w:type="spellEnd"/>
      <w:r w:rsidR="003806B1" w:rsidRPr="00520B73">
        <w:rPr>
          <w:rFonts w:asciiTheme="minorHAnsi" w:hAnsiTheme="minorHAnsi" w:cstheme="minorHAnsi"/>
          <w:sz w:val="22"/>
        </w:rPr>
        <w:t xml:space="preserve"> </w:t>
      </w:r>
      <w:r w:rsidR="007E6F4D" w:rsidRPr="007E6F4D">
        <w:rPr>
          <w:rFonts w:asciiTheme="minorHAnsi" w:hAnsiTheme="minorHAnsi" w:cstheme="minorHAnsi"/>
          <w:i/>
          <w:sz w:val="22"/>
        </w:rPr>
        <w:t>et al</w:t>
      </w:r>
      <w:r w:rsidR="005A26A6" w:rsidRPr="00520B73">
        <w:rPr>
          <w:rFonts w:asciiTheme="minorHAnsi" w:hAnsiTheme="minorHAnsi" w:cstheme="minorHAnsi"/>
          <w:sz w:val="22"/>
        </w:rPr>
        <w:t>, 2011</w:t>
      </w:r>
      <w:r w:rsidR="003D54D4" w:rsidRPr="00520B73">
        <w:rPr>
          <w:rFonts w:asciiTheme="minorHAnsi" w:hAnsiTheme="minorHAnsi" w:cstheme="minorHAnsi"/>
          <w:sz w:val="22"/>
        </w:rPr>
        <w:t>)</w:t>
      </w:r>
      <w:r w:rsidRPr="00520B73">
        <w:rPr>
          <w:rFonts w:asciiTheme="minorHAnsi" w:hAnsiTheme="minorHAnsi" w:cstheme="minorHAnsi"/>
          <w:sz w:val="22"/>
        </w:rPr>
        <w:t xml:space="preserve">. Unfortunately both AMELI and SAMPLE confined themselves to considering scenarios in which survey samples are available from all of the areas being estimated. Estimates for small areas unrepresented in the sample survey necessarily have to be derived using what Heady </w:t>
      </w:r>
      <w:r w:rsidR="005430EF" w:rsidRPr="00520B73">
        <w:rPr>
          <w:rFonts w:asciiTheme="minorHAnsi" w:hAnsiTheme="minorHAnsi" w:cstheme="minorHAnsi"/>
          <w:sz w:val="22"/>
        </w:rPr>
        <w:t xml:space="preserve">and Ralphs </w:t>
      </w:r>
      <w:r w:rsidRPr="00520B73">
        <w:rPr>
          <w:rFonts w:asciiTheme="minorHAnsi" w:hAnsiTheme="minorHAnsi" w:cstheme="minorHAnsi"/>
          <w:sz w:val="22"/>
        </w:rPr>
        <w:t>(</w:t>
      </w:r>
      <w:r w:rsidR="005430EF" w:rsidRPr="00520B73">
        <w:rPr>
          <w:rFonts w:asciiTheme="minorHAnsi" w:hAnsiTheme="minorHAnsi" w:cstheme="minorHAnsi"/>
          <w:sz w:val="22"/>
        </w:rPr>
        <w:t>2004) describe</w:t>
      </w:r>
      <w:r w:rsidRPr="00520B73">
        <w:rPr>
          <w:rFonts w:asciiTheme="minorHAnsi" w:hAnsiTheme="minorHAnsi" w:cstheme="minorHAnsi"/>
          <w:sz w:val="22"/>
        </w:rPr>
        <w:t xml:space="preserve"> as model-based</w:t>
      </w:r>
      <w:r w:rsidR="00EA7692" w:rsidRPr="00520B73">
        <w:rPr>
          <w:rFonts w:asciiTheme="minorHAnsi" w:hAnsiTheme="minorHAnsi" w:cstheme="minorHAnsi"/>
          <w:sz w:val="22"/>
        </w:rPr>
        <w:t xml:space="preserve"> (synthetic)</w:t>
      </w:r>
      <w:r w:rsidRPr="00520B73">
        <w:rPr>
          <w:rFonts w:asciiTheme="minorHAnsi" w:hAnsiTheme="minorHAnsi" w:cstheme="minorHAnsi"/>
          <w:sz w:val="22"/>
        </w:rPr>
        <w:t xml:space="preserve"> estimates. In this context a wide range of model-based approaches are possible (c.f. </w:t>
      </w:r>
      <w:proofErr w:type="spellStart"/>
      <w:r w:rsidRPr="00520B73">
        <w:rPr>
          <w:rFonts w:asciiTheme="minorHAnsi" w:hAnsiTheme="minorHAnsi" w:cstheme="minorHAnsi"/>
          <w:sz w:val="22"/>
        </w:rPr>
        <w:t>Rao</w:t>
      </w:r>
      <w:proofErr w:type="spellEnd"/>
      <w:r w:rsidR="003806B1" w:rsidRPr="00520B73">
        <w:rPr>
          <w:rFonts w:asciiTheme="minorHAnsi" w:hAnsiTheme="minorHAnsi" w:cstheme="minorHAnsi"/>
          <w:sz w:val="22"/>
        </w:rPr>
        <w:t>,</w:t>
      </w:r>
      <w:r w:rsidRPr="00520B73">
        <w:rPr>
          <w:rFonts w:asciiTheme="minorHAnsi" w:hAnsiTheme="minorHAnsi" w:cstheme="minorHAnsi"/>
          <w:sz w:val="22"/>
        </w:rPr>
        <w:t xml:space="preserve"> </w:t>
      </w:r>
      <w:r w:rsidR="003806B1" w:rsidRPr="00520B73">
        <w:rPr>
          <w:rFonts w:asciiTheme="minorHAnsi" w:hAnsiTheme="minorHAnsi" w:cstheme="minorHAnsi"/>
          <w:sz w:val="22"/>
        </w:rPr>
        <w:t>2003</w:t>
      </w:r>
      <w:r w:rsidRPr="00520B73">
        <w:rPr>
          <w:rFonts w:asciiTheme="minorHAnsi" w:hAnsiTheme="minorHAnsi" w:cstheme="minorHAnsi"/>
          <w:sz w:val="22"/>
        </w:rPr>
        <w:t xml:space="preserve">), the simplest of which is ‘ecological regression’, </w:t>
      </w:r>
      <w:r w:rsidR="0002114A">
        <w:rPr>
          <w:rFonts w:asciiTheme="minorHAnsi" w:hAnsiTheme="minorHAnsi" w:cstheme="minorHAnsi"/>
          <w:sz w:val="22"/>
        </w:rPr>
        <w:t xml:space="preserve">also known as the Fay-Herriot model, </w:t>
      </w:r>
      <w:r w:rsidR="006458AF">
        <w:rPr>
          <w:rFonts w:asciiTheme="minorHAnsi" w:hAnsiTheme="minorHAnsi" w:cstheme="minorHAnsi"/>
          <w:sz w:val="22"/>
        </w:rPr>
        <w:t>an area-</w:t>
      </w:r>
      <w:r w:rsidR="006458AF">
        <w:rPr>
          <w:rFonts w:asciiTheme="minorHAnsi" w:hAnsiTheme="minorHAnsi" w:cstheme="minorHAnsi"/>
          <w:sz w:val="22"/>
        </w:rPr>
        <w:lastRenderedPageBreak/>
        <w:t xml:space="preserve">level model </w:t>
      </w:r>
      <w:r w:rsidRPr="00520B73">
        <w:rPr>
          <w:rFonts w:asciiTheme="minorHAnsi" w:hAnsiTheme="minorHAnsi" w:cstheme="minorHAnsi"/>
          <w:sz w:val="22"/>
        </w:rPr>
        <w:t>in which the relationship between survey and area aggregates for sampled areas are used to estimate incomes</w:t>
      </w:r>
      <w:r w:rsidR="006458AF">
        <w:rPr>
          <w:rFonts w:asciiTheme="minorHAnsi" w:hAnsiTheme="minorHAnsi" w:cstheme="minorHAnsi"/>
          <w:sz w:val="22"/>
        </w:rPr>
        <w:t xml:space="preserve"> for areas lacking sample data.</w:t>
      </w:r>
    </w:p>
    <w:p w14:paraId="44AE13EE" w14:textId="77777777" w:rsidR="0014613D" w:rsidRPr="00520B73" w:rsidRDefault="0014613D" w:rsidP="00015CD9">
      <w:pPr>
        <w:spacing w:line="276" w:lineRule="auto"/>
        <w:jc w:val="both"/>
        <w:rPr>
          <w:rFonts w:asciiTheme="minorHAnsi" w:hAnsiTheme="minorHAnsi" w:cstheme="minorHAnsi"/>
          <w:sz w:val="22"/>
        </w:rPr>
      </w:pPr>
    </w:p>
    <w:p w14:paraId="653F617B" w14:textId="77777777" w:rsidR="0014613D" w:rsidRPr="00520B73" w:rsidRDefault="00E15D56" w:rsidP="00015CD9">
      <w:pPr>
        <w:spacing w:line="276" w:lineRule="auto"/>
        <w:jc w:val="both"/>
        <w:rPr>
          <w:rFonts w:asciiTheme="minorHAnsi" w:hAnsiTheme="minorHAnsi" w:cstheme="minorHAnsi"/>
          <w:sz w:val="22"/>
        </w:rPr>
      </w:pPr>
      <w:r w:rsidRPr="00520B73">
        <w:rPr>
          <w:rFonts w:asciiTheme="minorHAnsi" w:hAnsiTheme="minorHAnsi" w:cstheme="minorHAnsi"/>
          <w:sz w:val="22"/>
        </w:rPr>
        <w:t>Ecological regression</w:t>
      </w:r>
      <w:r w:rsidR="007B648A" w:rsidRPr="00520B73">
        <w:rPr>
          <w:rFonts w:asciiTheme="minorHAnsi" w:hAnsiTheme="minorHAnsi" w:cstheme="minorHAnsi"/>
          <w:sz w:val="22"/>
        </w:rPr>
        <w:t xml:space="preserve"> </w:t>
      </w:r>
      <w:r w:rsidRPr="00520B73">
        <w:rPr>
          <w:rFonts w:asciiTheme="minorHAnsi" w:hAnsiTheme="minorHAnsi" w:cstheme="minorHAnsi"/>
          <w:sz w:val="22"/>
        </w:rPr>
        <w:t>has been</w:t>
      </w:r>
      <w:r w:rsidR="007B648A" w:rsidRPr="00520B73">
        <w:rPr>
          <w:rFonts w:asciiTheme="minorHAnsi" w:hAnsiTheme="minorHAnsi" w:cstheme="minorHAnsi"/>
          <w:sz w:val="22"/>
        </w:rPr>
        <w:t xml:space="preserve"> found to provide effective </w:t>
      </w:r>
      <w:r w:rsidR="005430EF" w:rsidRPr="00520B73">
        <w:rPr>
          <w:rFonts w:asciiTheme="minorHAnsi" w:hAnsiTheme="minorHAnsi" w:cstheme="minorHAnsi"/>
          <w:sz w:val="22"/>
        </w:rPr>
        <w:t xml:space="preserve">small-area estimates for six different European countries </w:t>
      </w:r>
      <w:r w:rsidR="003D54D4" w:rsidRPr="00520B73">
        <w:rPr>
          <w:rFonts w:asciiTheme="minorHAnsi" w:hAnsiTheme="minorHAnsi" w:cstheme="minorHAnsi"/>
          <w:sz w:val="22"/>
        </w:rPr>
        <w:t>(</w:t>
      </w:r>
      <w:r w:rsidR="005430EF" w:rsidRPr="00520B73">
        <w:rPr>
          <w:rFonts w:asciiTheme="minorHAnsi" w:hAnsiTheme="minorHAnsi" w:cstheme="minorHAnsi"/>
          <w:sz w:val="22"/>
        </w:rPr>
        <w:t>The EURAREA Consortium, 2004</w:t>
      </w:r>
      <w:r w:rsidR="003D54D4" w:rsidRPr="00520B73">
        <w:rPr>
          <w:rFonts w:asciiTheme="minorHAnsi" w:hAnsiTheme="minorHAnsi" w:cstheme="minorHAnsi"/>
          <w:sz w:val="22"/>
        </w:rPr>
        <w:t>)</w:t>
      </w:r>
      <w:r w:rsidRPr="00520B73">
        <w:rPr>
          <w:rFonts w:asciiTheme="minorHAnsi" w:hAnsiTheme="minorHAnsi" w:cstheme="minorHAnsi"/>
          <w:sz w:val="22"/>
        </w:rPr>
        <w:t xml:space="preserve">; and is the approach currently adopted by the UK Office for National Statistics </w:t>
      </w:r>
      <w:r w:rsidR="0014613D" w:rsidRPr="00520B73">
        <w:rPr>
          <w:rFonts w:asciiTheme="minorHAnsi" w:hAnsiTheme="minorHAnsi" w:cstheme="minorHAnsi"/>
          <w:sz w:val="22"/>
        </w:rPr>
        <w:t>in producing a series of small-area income estimates (</w:t>
      </w:r>
      <w:proofErr w:type="spellStart"/>
      <w:r w:rsidR="0014613D" w:rsidRPr="00520B73">
        <w:rPr>
          <w:rFonts w:asciiTheme="minorHAnsi" w:hAnsiTheme="minorHAnsi" w:cstheme="minorHAnsi"/>
          <w:sz w:val="22"/>
        </w:rPr>
        <w:t>Longhurst</w:t>
      </w:r>
      <w:proofErr w:type="spellEnd"/>
      <w:r w:rsidR="0014613D" w:rsidRPr="00520B73">
        <w:rPr>
          <w:rFonts w:asciiTheme="minorHAnsi" w:hAnsiTheme="minorHAnsi" w:cstheme="minorHAnsi"/>
          <w:sz w:val="22"/>
        </w:rPr>
        <w:t xml:space="preserve"> </w:t>
      </w:r>
      <w:r w:rsidR="007E6F4D" w:rsidRPr="007E6F4D">
        <w:rPr>
          <w:rFonts w:asciiTheme="minorHAnsi" w:hAnsiTheme="minorHAnsi" w:cstheme="minorHAnsi"/>
          <w:i/>
          <w:sz w:val="22"/>
        </w:rPr>
        <w:t>et al</w:t>
      </w:r>
      <w:r w:rsidR="0014613D" w:rsidRPr="00520B73">
        <w:rPr>
          <w:rFonts w:asciiTheme="minorHAnsi" w:hAnsiTheme="minorHAnsi" w:cstheme="minorHAnsi"/>
          <w:sz w:val="22"/>
        </w:rPr>
        <w:t xml:space="preserve">, 2004a; White </w:t>
      </w:r>
      <w:r w:rsidR="007E6F4D" w:rsidRPr="007E6F4D">
        <w:rPr>
          <w:rFonts w:asciiTheme="minorHAnsi" w:hAnsiTheme="minorHAnsi" w:cstheme="minorHAnsi"/>
          <w:i/>
          <w:sz w:val="22"/>
        </w:rPr>
        <w:t>et al</w:t>
      </w:r>
      <w:r w:rsidR="0014613D" w:rsidRPr="00520B73">
        <w:rPr>
          <w:rFonts w:asciiTheme="minorHAnsi" w:hAnsiTheme="minorHAnsi" w:cstheme="minorHAnsi"/>
          <w:sz w:val="22"/>
        </w:rPr>
        <w:t xml:space="preserve">, 2009; Bond and Campos, 2010), most recently updated to provide estimates not only </w:t>
      </w:r>
      <w:r w:rsidR="005C6A94">
        <w:rPr>
          <w:rFonts w:asciiTheme="minorHAnsi" w:hAnsiTheme="minorHAnsi" w:cstheme="minorHAnsi"/>
          <w:sz w:val="22"/>
        </w:rPr>
        <w:t xml:space="preserve">of </w:t>
      </w:r>
      <w:r w:rsidR="0014613D" w:rsidRPr="00520B73">
        <w:rPr>
          <w:rFonts w:asciiTheme="minorHAnsi" w:hAnsiTheme="minorHAnsi" w:cstheme="minorHAnsi"/>
          <w:sz w:val="22"/>
        </w:rPr>
        <w:t xml:space="preserve">mean incomes but also </w:t>
      </w:r>
      <w:r w:rsidR="005C6A94">
        <w:rPr>
          <w:rFonts w:asciiTheme="minorHAnsi" w:hAnsiTheme="minorHAnsi" w:cstheme="minorHAnsi"/>
          <w:sz w:val="22"/>
        </w:rPr>
        <w:t xml:space="preserve">of </w:t>
      </w:r>
      <w:r w:rsidR="0014613D" w:rsidRPr="00520B73">
        <w:rPr>
          <w:rFonts w:asciiTheme="minorHAnsi" w:hAnsiTheme="minorHAnsi" w:cstheme="minorHAnsi"/>
          <w:sz w:val="22"/>
        </w:rPr>
        <w:t xml:space="preserve">poverty (Fry, 2011). Separate estimates are produced for four types of mean household income: gross; net; net </w:t>
      </w:r>
      <w:proofErr w:type="spellStart"/>
      <w:r w:rsidR="0014613D" w:rsidRPr="00520B73">
        <w:rPr>
          <w:rFonts w:asciiTheme="minorHAnsi" w:hAnsiTheme="minorHAnsi" w:cstheme="minorHAnsi"/>
          <w:sz w:val="22"/>
        </w:rPr>
        <w:t>equivalised</w:t>
      </w:r>
      <w:proofErr w:type="spellEnd"/>
      <w:r w:rsidR="0014613D" w:rsidRPr="00520B73">
        <w:rPr>
          <w:rFonts w:asciiTheme="minorHAnsi" w:hAnsiTheme="minorHAnsi" w:cstheme="minorHAnsi"/>
          <w:sz w:val="22"/>
        </w:rPr>
        <w:t xml:space="preserve"> before and after housing costs. Regional dummy variables are used to relax the assumption that nationally observed relationships between covariates apply locally. A priori this method is likely to work well, given that ONS reports that </w:t>
      </w:r>
      <w:r w:rsidR="005C6A94">
        <w:rPr>
          <w:rFonts w:asciiTheme="minorHAnsi" w:hAnsiTheme="minorHAnsi" w:cstheme="minorHAnsi"/>
          <w:sz w:val="22"/>
        </w:rPr>
        <w:t xml:space="preserve">their models </w:t>
      </w:r>
      <w:r w:rsidR="0014613D" w:rsidRPr="00520B73">
        <w:rPr>
          <w:rFonts w:asciiTheme="minorHAnsi" w:hAnsiTheme="minorHAnsi" w:cstheme="minorHAnsi"/>
          <w:sz w:val="22"/>
        </w:rPr>
        <w:t>capture around 90% of the spatial variation in mean incomes. From a user perspective the main problems with this approach are that the method is not publically replicable due to data access issues, restricting estimates to only those years and geographies for which ONS choose to produce estimates, and that the model for each inter-</w:t>
      </w:r>
      <w:proofErr w:type="spellStart"/>
      <w:r w:rsidR="0014613D" w:rsidRPr="00520B73">
        <w:rPr>
          <w:rFonts w:asciiTheme="minorHAnsi" w:hAnsiTheme="minorHAnsi" w:cstheme="minorHAnsi"/>
          <w:sz w:val="22"/>
        </w:rPr>
        <w:t>censal</w:t>
      </w:r>
      <w:proofErr w:type="spellEnd"/>
      <w:r w:rsidR="0014613D" w:rsidRPr="00520B73">
        <w:rPr>
          <w:rFonts w:asciiTheme="minorHAnsi" w:hAnsiTheme="minorHAnsi" w:cstheme="minorHAnsi"/>
          <w:sz w:val="22"/>
        </w:rPr>
        <w:t xml:space="preserve"> update uses a different set of covariates, rendering time-series analysis problematic.</w:t>
      </w:r>
    </w:p>
    <w:p w14:paraId="4B8BAB96" w14:textId="77777777" w:rsidR="0014613D" w:rsidRPr="00520B73" w:rsidRDefault="0014613D" w:rsidP="00015CD9">
      <w:pPr>
        <w:spacing w:line="276" w:lineRule="auto"/>
        <w:jc w:val="both"/>
        <w:rPr>
          <w:rFonts w:asciiTheme="minorHAnsi" w:hAnsiTheme="minorHAnsi" w:cstheme="minorHAnsi"/>
          <w:sz w:val="22"/>
        </w:rPr>
      </w:pPr>
    </w:p>
    <w:p w14:paraId="484275A7" w14:textId="77777777" w:rsidR="007B648A" w:rsidRDefault="007B648A" w:rsidP="00015CD9">
      <w:pPr>
        <w:spacing w:line="276" w:lineRule="auto"/>
        <w:jc w:val="both"/>
        <w:rPr>
          <w:rFonts w:asciiTheme="minorHAnsi" w:hAnsiTheme="minorHAnsi" w:cstheme="minorHAnsi"/>
          <w:sz w:val="22"/>
        </w:rPr>
      </w:pPr>
      <w:proofErr w:type="gramStart"/>
      <w:r w:rsidRPr="00520B73">
        <w:rPr>
          <w:rFonts w:asciiTheme="minorHAnsi" w:hAnsiTheme="minorHAnsi" w:cstheme="minorHAnsi"/>
          <w:sz w:val="22"/>
        </w:rPr>
        <w:t xml:space="preserve">An interesting alternative to the </w:t>
      </w:r>
      <w:r w:rsidR="0014613D" w:rsidRPr="00520B73">
        <w:rPr>
          <w:rFonts w:asciiTheme="minorHAnsi" w:hAnsiTheme="minorHAnsi" w:cstheme="minorHAnsi"/>
          <w:sz w:val="22"/>
        </w:rPr>
        <w:t xml:space="preserve">standard </w:t>
      </w:r>
      <w:r w:rsidR="00E15D56" w:rsidRPr="00520B73">
        <w:rPr>
          <w:rFonts w:asciiTheme="minorHAnsi" w:hAnsiTheme="minorHAnsi" w:cstheme="minorHAnsi"/>
          <w:sz w:val="22"/>
        </w:rPr>
        <w:t>ecological regression</w:t>
      </w:r>
      <w:r w:rsidR="0014613D" w:rsidRPr="00520B73">
        <w:rPr>
          <w:rFonts w:asciiTheme="minorHAnsi" w:hAnsiTheme="minorHAnsi" w:cstheme="minorHAnsi"/>
          <w:sz w:val="22"/>
        </w:rPr>
        <w:t xml:space="preserve"> has been </w:t>
      </w:r>
      <w:r w:rsidRPr="00520B73">
        <w:rPr>
          <w:rFonts w:asciiTheme="minorHAnsi" w:hAnsiTheme="minorHAnsi" w:cstheme="minorHAnsi"/>
          <w:sz w:val="22"/>
        </w:rPr>
        <w:t xml:space="preserve">adopted by Dorling </w:t>
      </w:r>
      <w:r w:rsidR="007E6F4D" w:rsidRPr="007E6F4D">
        <w:rPr>
          <w:rFonts w:asciiTheme="minorHAnsi" w:hAnsiTheme="minorHAnsi" w:cstheme="minorHAnsi"/>
          <w:i/>
          <w:sz w:val="22"/>
        </w:rPr>
        <w:t>et al</w:t>
      </w:r>
      <w:r w:rsidR="0014613D" w:rsidRPr="00520B73">
        <w:rPr>
          <w:rFonts w:asciiTheme="minorHAnsi" w:hAnsiTheme="minorHAnsi" w:cstheme="minorHAnsi"/>
          <w:sz w:val="22"/>
        </w:rPr>
        <w:t xml:space="preserve"> (2007) and </w:t>
      </w:r>
      <w:proofErr w:type="spellStart"/>
      <w:r w:rsidR="0014613D" w:rsidRPr="00520B73">
        <w:rPr>
          <w:rFonts w:asciiTheme="minorHAnsi" w:hAnsiTheme="minorHAnsi" w:cstheme="minorHAnsi"/>
          <w:sz w:val="22"/>
        </w:rPr>
        <w:t>Famhy</w:t>
      </w:r>
      <w:proofErr w:type="spellEnd"/>
      <w:r w:rsidR="0014613D" w:rsidRPr="00520B73">
        <w:rPr>
          <w:rFonts w:asciiTheme="minorHAnsi" w:hAnsiTheme="minorHAnsi" w:cstheme="minorHAnsi"/>
          <w:sz w:val="22"/>
        </w:rPr>
        <w:t xml:space="preserve"> </w:t>
      </w:r>
      <w:r w:rsidR="007E6F4D" w:rsidRPr="007E6F4D">
        <w:rPr>
          <w:rFonts w:asciiTheme="minorHAnsi" w:hAnsiTheme="minorHAnsi" w:cstheme="minorHAnsi"/>
          <w:i/>
          <w:sz w:val="22"/>
        </w:rPr>
        <w:t>et al</w:t>
      </w:r>
      <w:proofErr w:type="gramEnd"/>
      <w:r w:rsidR="0014613D" w:rsidRPr="00520B73">
        <w:rPr>
          <w:rFonts w:asciiTheme="minorHAnsi" w:hAnsiTheme="minorHAnsi" w:cstheme="minorHAnsi"/>
          <w:sz w:val="22"/>
        </w:rPr>
        <w:t xml:space="preserve"> (2011). In this mixed-level variant</w:t>
      </w:r>
      <w:r w:rsidR="00E15D56" w:rsidRPr="00520B73">
        <w:rPr>
          <w:rFonts w:asciiTheme="minorHAnsi" w:hAnsiTheme="minorHAnsi" w:cstheme="minorHAnsi"/>
          <w:sz w:val="22"/>
        </w:rPr>
        <w:t xml:space="preserve"> </w:t>
      </w:r>
      <w:r w:rsidRPr="00520B73">
        <w:rPr>
          <w:rFonts w:asciiTheme="minorHAnsi" w:hAnsiTheme="minorHAnsi" w:cstheme="minorHAnsi"/>
          <w:sz w:val="22"/>
        </w:rPr>
        <w:t xml:space="preserve">survey-based household-level </w:t>
      </w:r>
      <w:proofErr w:type="spellStart"/>
      <w:r w:rsidR="0014613D" w:rsidRPr="00520B73">
        <w:rPr>
          <w:rFonts w:asciiTheme="minorHAnsi" w:hAnsiTheme="minorHAnsi" w:cstheme="minorHAnsi"/>
          <w:sz w:val="22"/>
        </w:rPr>
        <w:t>logit</w:t>
      </w:r>
      <w:proofErr w:type="spellEnd"/>
      <w:r w:rsidR="0014613D" w:rsidRPr="00520B73">
        <w:rPr>
          <w:rFonts w:asciiTheme="minorHAnsi" w:hAnsiTheme="minorHAnsi" w:cstheme="minorHAnsi"/>
          <w:sz w:val="22"/>
        </w:rPr>
        <w:t>-</w:t>
      </w:r>
      <w:r w:rsidRPr="00520B73">
        <w:rPr>
          <w:rFonts w:asciiTheme="minorHAnsi" w:hAnsiTheme="minorHAnsi" w:cstheme="minorHAnsi"/>
          <w:sz w:val="22"/>
        </w:rPr>
        <w:t xml:space="preserve">regression models provide model coefficients </w:t>
      </w:r>
      <w:r w:rsidR="00E15D56" w:rsidRPr="00520B73">
        <w:rPr>
          <w:rFonts w:asciiTheme="minorHAnsi" w:hAnsiTheme="minorHAnsi" w:cstheme="minorHAnsi"/>
          <w:sz w:val="22"/>
        </w:rPr>
        <w:t xml:space="preserve">used </w:t>
      </w:r>
      <w:r w:rsidRPr="00520B73">
        <w:rPr>
          <w:rFonts w:asciiTheme="minorHAnsi" w:hAnsiTheme="minorHAnsi" w:cstheme="minorHAnsi"/>
          <w:sz w:val="22"/>
        </w:rPr>
        <w:t xml:space="preserve">to convert small-area aggregate counts into estimated counts of the poor (and rich). </w:t>
      </w:r>
      <w:r w:rsidR="00E15D56" w:rsidRPr="00520B73">
        <w:rPr>
          <w:rFonts w:asciiTheme="minorHAnsi" w:hAnsiTheme="minorHAnsi" w:cstheme="minorHAnsi"/>
          <w:sz w:val="22"/>
        </w:rPr>
        <w:t>A</w:t>
      </w:r>
      <w:r w:rsidRPr="00520B73">
        <w:rPr>
          <w:rFonts w:asciiTheme="minorHAnsi" w:hAnsiTheme="minorHAnsi" w:cstheme="minorHAnsi"/>
          <w:sz w:val="22"/>
        </w:rPr>
        <w:t>s implemented the</w:t>
      </w:r>
      <w:r w:rsidR="00E15D56" w:rsidRPr="00520B73">
        <w:rPr>
          <w:rFonts w:asciiTheme="minorHAnsi" w:hAnsiTheme="minorHAnsi" w:cstheme="minorHAnsi"/>
          <w:sz w:val="22"/>
        </w:rPr>
        <w:t xml:space="preserve"> </w:t>
      </w:r>
      <w:r w:rsidRPr="00520B73">
        <w:rPr>
          <w:rFonts w:asciiTheme="minorHAnsi" w:hAnsiTheme="minorHAnsi" w:cstheme="minorHAnsi"/>
          <w:sz w:val="22"/>
        </w:rPr>
        <w:t xml:space="preserve">focus </w:t>
      </w:r>
      <w:r w:rsidR="00E15D56" w:rsidRPr="00520B73">
        <w:rPr>
          <w:rFonts w:asciiTheme="minorHAnsi" w:hAnsiTheme="minorHAnsi" w:cstheme="minorHAnsi"/>
          <w:sz w:val="22"/>
        </w:rPr>
        <w:t xml:space="preserve">has been </w:t>
      </w:r>
      <w:r w:rsidR="0014613D" w:rsidRPr="00520B73">
        <w:rPr>
          <w:rFonts w:asciiTheme="minorHAnsi" w:hAnsiTheme="minorHAnsi" w:cstheme="minorHAnsi"/>
          <w:sz w:val="22"/>
        </w:rPr>
        <w:t xml:space="preserve">the creation of </w:t>
      </w:r>
      <w:r w:rsidRPr="00520B73">
        <w:rPr>
          <w:rFonts w:asciiTheme="minorHAnsi" w:hAnsiTheme="minorHAnsi" w:cstheme="minorHAnsi"/>
          <w:sz w:val="22"/>
        </w:rPr>
        <w:t>small-area estimates of material deprivation</w:t>
      </w:r>
      <w:r w:rsidR="00E15D56" w:rsidRPr="00520B73">
        <w:rPr>
          <w:rFonts w:asciiTheme="minorHAnsi" w:hAnsiTheme="minorHAnsi" w:cstheme="minorHAnsi"/>
          <w:sz w:val="22"/>
        </w:rPr>
        <w:t xml:space="preserve">, but </w:t>
      </w:r>
      <w:r w:rsidR="0014613D" w:rsidRPr="00520B73">
        <w:rPr>
          <w:rFonts w:asciiTheme="minorHAnsi" w:hAnsiTheme="minorHAnsi" w:cstheme="minorHAnsi"/>
          <w:sz w:val="22"/>
        </w:rPr>
        <w:t>the approach is</w:t>
      </w:r>
      <w:r w:rsidR="00E15D56" w:rsidRPr="00520B73">
        <w:rPr>
          <w:rFonts w:asciiTheme="minorHAnsi" w:hAnsiTheme="minorHAnsi" w:cstheme="minorHAnsi"/>
          <w:sz w:val="22"/>
        </w:rPr>
        <w:t xml:space="preserve"> </w:t>
      </w:r>
      <w:r w:rsidRPr="00520B73">
        <w:rPr>
          <w:rFonts w:asciiTheme="minorHAnsi" w:hAnsiTheme="minorHAnsi" w:cstheme="minorHAnsi"/>
          <w:sz w:val="22"/>
        </w:rPr>
        <w:t xml:space="preserve">readily extendable to </w:t>
      </w:r>
      <w:r w:rsidR="0014613D" w:rsidRPr="00520B73">
        <w:rPr>
          <w:rFonts w:asciiTheme="minorHAnsi" w:hAnsiTheme="minorHAnsi" w:cstheme="minorHAnsi"/>
          <w:sz w:val="22"/>
        </w:rPr>
        <w:t xml:space="preserve">provide </w:t>
      </w:r>
      <w:r w:rsidRPr="00520B73">
        <w:rPr>
          <w:rFonts w:asciiTheme="minorHAnsi" w:hAnsiTheme="minorHAnsi" w:cstheme="minorHAnsi"/>
          <w:sz w:val="22"/>
        </w:rPr>
        <w:t xml:space="preserve">small-area estimates of the % of the population falling below a given percentile of the national income distribution. </w:t>
      </w:r>
      <w:r w:rsidR="0014613D" w:rsidRPr="00520B73">
        <w:rPr>
          <w:rFonts w:asciiTheme="minorHAnsi" w:hAnsiTheme="minorHAnsi" w:cstheme="minorHAnsi"/>
          <w:sz w:val="22"/>
        </w:rPr>
        <w:t xml:space="preserve">The outcomes appear plausible. </w:t>
      </w:r>
      <w:r w:rsidRPr="00520B73">
        <w:rPr>
          <w:rFonts w:asciiTheme="minorHAnsi" w:hAnsiTheme="minorHAnsi" w:cstheme="minorHAnsi"/>
          <w:sz w:val="22"/>
        </w:rPr>
        <w:t xml:space="preserve">However, Heady and Ralphs (2004) considered and dismissed this approach as suffering from unacceptable </w:t>
      </w:r>
      <w:r w:rsidR="00796072" w:rsidRPr="00520B73">
        <w:rPr>
          <w:rFonts w:asciiTheme="minorHAnsi" w:hAnsiTheme="minorHAnsi" w:cstheme="minorHAnsi"/>
          <w:sz w:val="22"/>
        </w:rPr>
        <w:t>bias</w:t>
      </w:r>
      <w:r w:rsidRPr="00520B73">
        <w:rPr>
          <w:rFonts w:asciiTheme="minorHAnsi" w:hAnsiTheme="minorHAnsi" w:cstheme="minorHAnsi"/>
          <w:sz w:val="22"/>
        </w:rPr>
        <w:t xml:space="preserve"> due to </w:t>
      </w:r>
      <w:r w:rsidR="00796072" w:rsidRPr="00520B73">
        <w:rPr>
          <w:rFonts w:asciiTheme="minorHAnsi" w:hAnsiTheme="minorHAnsi" w:cstheme="minorHAnsi"/>
          <w:sz w:val="22"/>
        </w:rPr>
        <w:t xml:space="preserve">the </w:t>
      </w:r>
      <w:r w:rsidRPr="00520B73">
        <w:rPr>
          <w:rFonts w:asciiTheme="minorHAnsi" w:hAnsiTheme="minorHAnsi" w:cstheme="minorHAnsi"/>
          <w:sz w:val="22"/>
        </w:rPr>
        <w:t xml:space="preserve">ecological fallacy involved in assuming that relationships observed between households hold </w:t>
      </w:r>
      <w:r w:rsidR="00994D9C">
        <w:rPr>
          <w:rFonts w:asciiTheme="minorHAnsi" w:hAnsiTheme="minorHAnsi" w:cstheme="minorHAnsi"/>
          <w:sz w:val="22"/>
        </w:rPr>
        <w:t xml:space="preserve">for </w:t>
      </w:r>
      <w:r w:rsidRPr="00520B73">
        <w:rPr>
          <w:rFonts w:asciiTheme="minorHAnsi" w:hAnsiTheme="minorHAnsi" w:cstheme="minorHAnsi"/>
          <w:sz w:val="22"/>
        </w:rPr>
        <w:t xml:space="preserve">their </w:t>
      </w:r>
      <w:r w:rsidR="00994D9C">
        <w:rPr>
          <w:rFonts w:asciiTheme="minorHAnsi" w:hAnsiTheme="minorHAnsi" w:cstheme="minorHAnsi"/>
          <w:sz w:val="22"/>
        </w:rPr>
        <w:t>area aggregate</w:t>
      </w:r>
      <w:r w:rsidR="00A27356">
        <w:rPr>
          <w:rFonts w:asciiTheme="minorHAnsi" w:hAnsiTheme="minorHAnsi" w:cstheme="minorHAnsi"/>
          <w:sz w:val="22"/>
        </w:rPr>
        <w:t xml:space="preserve"> </w:t>
      </w:r>
      <w:r w:rsidR="00994D9C">
        <w:rPr>
          <w:rFonts w:asciiTheme="minorHAnsi" w:hAnsiTheme="minorHAnsi" w:cstheme="minorHAnsi"/>
          <w:sz w:val="22"/>
        </w:rPr>
        <w:t>counterparts</w:t>
      </w:r>
      <w:r w:rsidRPr="00520B73">
        <w:rPr>
          <w:rFonts w:asciiTheme="minorHAnsi" w:hAnsiTheme="minorHAnsi" w:cstheme="minorHAnsi"/>
          <w:sz w:val="22"/>
        </w:rPr>
        <w:t xml:space="preserve">. In any case the performance of estimates based upon </w:t>
      </w:r>
      <w:r w:rsidR="0014613D" w:rsidRPr="00520B73">
        <w:rPr>
          <w:rFonts w:asciiTheme="minorHAnsi" w:hAnsiTheme="minorHAnsi" w:cstheme="minorHAnsi"/>
          <w:sz w:val="22"/>
        </w:rPr>
        <w:t xml:space="preserve">a standard </w:t>
      </w:r>
      <w:r w:rsidRPr="00520B73">
        <w:rPr>
          <w:rFonts w:asciiTheme="minorHAnsi" w:hAnsiTheme="minorHAnsi" w:cstheme="minorHAnsi"/>
          <w:sz w:val="22"/>
        </w:rPr>
        <w:t xml:space="preserve">ecological regression </w:t>
      </w:r>
      <w:r w:rsidR="00F253E0" w:rsidRPr="00520B73">
        <w:rPr>
          <w:rFonts w:asciiTheme="minorHAnsi" w:hAnsiTheme="minorHAnsi" w:cstheme="minorHAnsi"/>
          <w:sz w:val="22"/>
        </w:rPr>
        <w:t>is</w:t>
      </w:r>
      <w:r w:rsidRPr="00520B73">
        <w:rPr>
          <w:rFonts w:asciiTheme="minorHAnsi" w:hAnsiTheme="minorHAnsi" w:cstheme="minorHAnsi"/>
          <w:sz w:val="22"/>
        </w:rPr>
        <w:t xml:space="preserve"> likely to provide the limiting case of how well </w:t>
      </w:r>
      <w:r w:rsidR="00F253E0" w:rsidRPr="00520B73">
        <w:rPr>
          <w:rFonts w:asciiTheme="minorHAnsi" w:hAnsiTheme="minorHAnsi" w:cstheme="minorHAnsi"/>
          <w:sz w:val="22"/>
        </w:rPr>
        <w:t xml:space="preserve">such a </w:t>
      </w:r>
      <w:r w:rsidRPr="00520B73">
        <w:rPr>
          <w:rFonts w:asciiTheme="minorHAnsi" w:hAnsiTheme="minorHAnsi" w:cstheme="minorHAnsi"/>
          <w:sz w:val="22"/>
        </w:rPr>
        <w:t>mixed-level modelling approach can perform.</w:t>
      </w:r>
    </w:p>
    <w:p w14:paraId="38A8718B" w14:textId="77777777" w:rsidR="006A21CD" w:rsidRPr="00520B73" w:rsidRDefault="006A21CD" w:rsidP="00015CD9">
      <w:pPr>
        <w:spacing w:line="276" w:lineRule="auto"/>
        <w:jc w:val="both"/>
        <w:rPr>
          <w:rFonts w:asciiTheme="minorHAnsi" w:hAnsiTheme="minorHAnsi" w:cstheme="minorHAnsi"/>
          <w:sz w:val="22"/>
        </w:rPr>
      </w:pPr>
    </w:p>
    <w:p w14:paraId="3118AE39" w14:textId="77777777" w:rsidR="004F7D18" w:rsidRDefault="004F7D18"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Lacking appropriate external data, an ecological regression model, predicting small-area incomes given area aggregates, was constructed directly from Census Rehearsal data. To </w:t>
      </w:r>
      <w:proofErr w:type="gramStart"/>
      <w:r w:rsidRPr="00520B73">
        <w:rPr>
          <w:rFonts w:asciiTheme="minorHAnsi" w:hAnsiTheme="minorHAnsi" w:cstheme="minorHAnsi"/>
          <w:sz w:val="22"/>
        </w:rPr>
        <w:t>mitigate</w:t>
      </w:r>
      <w:proofErr w:type="gramEnd"/>
      <w:r w:rsidRPr="00520B73">
        <w:rPr>
          <w:rFonts w:asciiTheme="minorHAnsi" w:hAnsiTheme="minorHAnsi" w:cstheme="minorHAnsi"/>
          <w:sz w:val="22"/>
        </w:rPr>
        <w:t xml:space="preserve"> against the dangers of over-fitting, variants of this model were evaluated using partitioned data and limited sets of predictor variables. Little difference was found. However, to err on the side of </w:t>
      </w:r>
      <w:r w:rsidR="005C6A94">
        <w:rPr>
          <w:rFonts w:asciiTheme="minorHAnsi" w:hAnsiTheme="minorHAnsi" w:cstheme="minorHAnsi"/>
          <w:sz w:val="22"/>
        </w:rPr>
        <w:t>caution</w:t>
      </w:r>
      <w:r w:rsidRPr="00520B73">
        <w:rPr>
          <w:rFonts w:asciiTheme="minorHAnsi" w:hAnsiTheme="minorHAnsi" w:cstheme="minorHAnsi"/>
          <w:sz w:val="22"/>
        </w:rPr>
        <w:t xml:space="preserve"> the results presented in this paper relate to ecological regressions restricted to only three </w:t>
      </w:r>
      <w:r w:rsidR="00F253E0" w:rsidRPr="00520B73">
        <w:rPr>
          <w:rFonts w:asciiTheme="minorHAnsi" w:hAnsiTheme="minorHAnsi" w:cstheme="minorHAnsi"/>
          <w:sz w:val="22"/>
        </w:rPr>
        <w:t>area-level covariates</w:t>
      </w:r>
      <w:r w:rsidRPr="00520B73">
        <w:rPr>
          <w:rFonts w:asciiTheme="minorHAnsi" w:hAnsiTheme="minorHAnsi" w:cstheme="minorHAnsi"/>
          <w:sz w:val="22"/>
        </w:rPr>
        <w:t xml:space="preserve">, albeit fitted to the entire dataset and with the precise combination of factors used tailored to suit the measure of income being predicted (see Table </w:t>
      </w:r>
      <w:r w:rsidR="00A22208">
        <w:rPr>
          <w:rFonts w:asciiTheme="minorHAnsi" w:hAnsiTheme="minorHAnsi" w:cstheme="minorHAnsi"/>
          <w:sz w:val="22"/>
        </w:rPr>
        <w:t>5</w:t>
      </w:r>
      <w:r w:rsidRPr="00520B73">
        <w:rPr>
          <w:rFonts w:asciiTheme="minorHAnsi" w:hAnsiTheme="minorHAnsi" w:cstheme="minorHAnsi"/>
          <w:sz w:val="22"/>
        </w:rPr>
        <w:t xml:space="preserve"> for details).</w:t>
      </w:r>
    </w:p>
    <w:p w14:paraId="1AE09A8C" w14:textId="77777777" w:rsidR="00316870" w:rsidRDefault="00316870" w:rsidP="00015CD9">
      <w:pPr>
        <w:spacing w:line="276" w:lineRule="auto"/>
        <w:jc w:val="both"/>
        <w:rPr>
          <w:rFonts w:asciiTheme="minorHAnsi" w:hAnsiTheme="minorHAnsi" w:cstheme="minorHAnsi"/>
          <w:sz w:val="22"/>
        </w:rPr>
      </w:pPr>
    </w:p>
    <w:p w14:paraId="3595BE88" w14:textId="77777777" w:rsidR="006458AF" w:rsidRPr="00520B73" w:rsidRDefault="006458AF" w:rsidP="006458AF">
      <w:pPr>
        <w:spacing w:line="276" w:lineRule="auto"/>
        <w:jc w:val="both"/>
        <w:rPr>
          <w:rFonts w:asciiTheme="minorHAnsi" w:hAnsiTheme="minorHAnsi" w:cstheme="minorHAnsi"/>
          <w:i/>
          <w:sz w:val="22"/>
        </w:rPr>
      </w:pPr>
      <w:r w:rsidRPr="00520B73">
        <w:rPr>
          <w:rFonts w:asciiTheme="minorHAnsi" w:hAnsiTheme="minorHAnsi" w:cstheme="minorHAnsi"/>
          <w:i/>
          <w:sz w:val="22"/>
        </w:rPr>
        <w:t>4.</w:t>
      </w:r>
      <w:r>
        <w:rPr>
          <w:rFonts w:asciiTheme="minorHAnsi" w:hAnsiTheme="minorHAnsi" w:cstheme="minorHAnsi"/>
          <w:i/>
          <w:sz w:val="22"/>
        </w:rPr>
        <w:t>3</w:t>
      </w:r>
      <w:r w:rsidRPr="00520B73">
        <w:rPr>
          <w:rFonts w:asciiTheme="minorHAnsi" w:hAnsiTheme="minorHAnsi" w:cstheme="minorHAnsi"/>
          <w:i/>
          <w:sz w:val="22"/>
        </w:rPr>
        <w:t xml:space="preserve"> </w:t>
      </w:r>
      <w:proofErr w:type="spellStart"/>
      <w:r w:rsidRPr="00520B73">
        <w:rPr>
          <w:rFonts w:asciiTheme="minorHAnsi" w:hAnsiTheme="minorHAnsi" w:cstheme="minorHAnsi"/>
          <w:i/>
          <w:sz w:val="22"/>
        </w:rPr>
        <w:t>Geodemographic</w:t>
      </w:r>
      <w:proofErr w:type="spellEnd"/>
    </w:p>
    <w:p w14:paraId="4CBB40CC" w14:textId="77777777" w:rsidR="006458AF" w:rsidRDefault="006458AF" w:rsidP="006458AF">
      <w:pPr>
        <w:spacing w:line="276" w:lineRule="auto"/>
        <w:jc w:val="both"/>
        <w:rPr>
          <w:rFonts w:asciiTheme="minorHAnsi" w:hAnsiTheme="minorHAnsi" w:cstheme="minorHAnsi"/>
          <w:sz w:val="22"/>
        </w:rPr>
      </w:pPr>
    </w:p>
    <w:p w14:paraId="46B1A056" w14:textId="77777777" w:rsidR="006458AF" w:rsidRPr="00520B73" w:rsidRDefault="006458AF" w:rsidP="006458AF">
      <w:pPr>
        <w:spacing w:line="276" w:lineRule="auto"/>
        <w:jc w:val="both"/>
        <w:rPr>
          <w:rFonts w:asciiTheme="minorHAnsi" w:hAnsiTheme="minorHAnsi" w:cstheme="minorHAnsi"/>
          <w:sz w:val="22"/>
        </w:rPr>
      </w:pPr>
      <w:proofErr w:type="spellStart"/>
      <w:r w:rsidRPr="00520B73">
        <w:rPr>
          <w:rFonts w:asciiTheme="minorHAnsi" w:hAnsiTheme="minorHAnsi" w:cstheme="minorHAnsi"/>
          <w:sz w:val="22"/>
        </w:rPr>
        <w:t>Geodemographic</w:t>
      </w:r>
      <w:proofErr w:type="spellEnd"/>
      <w:r w:rsidRPr="00520B73">
        <w:rPr>
          <w:rFonts w:asciiTheme="minorHAnsi" w:hAnsiTheme="minorHAnsi" w:cstheme="minorHAnsi"/>
          <w:sz w:val="22"/>
        </w:rPr>
        <w:t xml:space="preserve"> classification offers an alternative </w:t>
      </w:r>
      <w:r>
        <w:rPr>
          <w:rFonts w:asciiTheme="minorHAnsi" w:hAnsiTheme="minorHAnsi" w:cstheme="minorHAnsi"/>
          <w:sz w:val="22"/>
        </w:rPr>
        <w:t xml:space="preserve">area-level synthetic estimator. </w:t>
      </w:r>
      <w:r w:rsidRPr="00520B73">
        <w:rPr>
          <w:rFonts w:asciiTheme="minorHAnsi" w:hAnsiTheme="minorHAnsi" w:cstheme="minorHAnsi"/>
          <w:sz w:val="22"/>
        </w:rPr>
        <w:t xml:space="preserve">Areas are grouped into clusters based upon their similarity across a range of census (or other) variables (Vickers and Rees, 2006). If survey data, although stripped of much geographical information, is released tagged with the type of cluster that each survey respondent comes from, then it is possible to calculate the mean income of each cluster type; and to assume that this holds for all areas of that cluster type. For example Daniel and Bright (2011) examine the variation in differing aspects of </w:t>
      </w:r>
      <w:r w:rsidRPr="00520B73">
        <w:rPr>
          <w:rFonts w:asciiTheme="minorHAnsi" w:hAnsiTheme="minorHAnsi" w:cstheme="minorHAnsi"/>
          <w:sz w:val="22"/>
        </w:rPr>
        <w:lastRenderedPageBreak/>
        <w:t xml:space="preserve">wealth, including various elements of income, by </w:t>
      </w:r>
      <w:proofErr w:type="spellStart"/>
      <w:r w:rsidRPr="00520B73">
        <w:rPr>
          <w:rFonts w:asciiTheme="minorHAnsi" w:hAnsiTheme="minorHAnsi" w:cstheme="minorHAnsi"/>
          <w:sz w:val="22"/>
        </w:rPr>
        <w:t>geodemographic</w:t>
      </w:r>
      <w:proofErr w:type="spellEnd"/>
      <w:r w:rsidRPr="00520B73">
        <w:rPr>
          <w:rFonts w:asciiTheme="minorHAnsi" w:hAnsiTheme="minorHAnsi" w:cstheme="minorHAnsi"/>
          <w:sz w:val="22"/>
        </w:rPr>
        <w:t xml:space="preserve"> area-type (ONS Output Area Classification), although they do not take the next step of converting this into a set of small-area income estimates. </w:t>
      </w:r>
      <w:r>
        <w:rPr>
          <w:rFonts w:asciiTheme="minorHAnsi" w:hAnsiTheme="minorHAnsi" w:cstheme="minorHAnsi"/>
          <w:sz w:val="22"/>
        </w:rPr>
        <w:t xml:space="preserve">The </w:t>
      </w:r>
      <w:proofErr w:type="spellStart"/>
      <w:r>
        <w:rPr>
          <w:rFonts w:asciiTheme="minorHAnsi" w:hAnsiTheme="minorHAnsi" w:cstheme="minorHAnsi"/>
          <w:sz w:val="22"/>
        </w:rPr>
        <w:t>geodemographic</w:t>
      </w:r>
      <w:proofErr w:type="spellEnd"/>
      <w:r>
        <w:rPr>
          <w:rFonts w:asciiTheme="minorHAnsi" w:hAnsiTheme="minorHAnsi" w:cstheme="minorHAnsi"/>
          <w:sz w:val="22"/>
        </w:rPr>
        <w:t xml:space="preserve"> approach is an example of a classic area-level synthetic estimator (Gonzalez and </w:t>
      </w:r>
      <w:proofErr w:type="spellStart"/>
      <w:r>
        <w:rPr>
          <w:rFonts w:asciiTheme="minorHAnsi" w:hAnsiTheme="minorHAnsi" w:cstheme="minorHAnsi"/>
          <w:sz w:val="22"/>
        </w:rPr>
        <w:t>Hoza</w:t>
      </w:r>
      <w:proofErr w:type="spellEnd"/>
      <w:r>
        <w:rPr>
          <w:rFonts w:asciiTheme="minorHAnsi" w:hAnsiTheme="minorHAnsi" w:cstheme="minorHAnsi"/>
          <w:sz w:val="22"/>
        </w:rPr>
        <w:t xml:space="preserve">, 1978). </w:t>
      </w:r>
      <w:r w:rsidRPr="00520B73">
        <w:rPr>
          <w:rFonts w:asciiTheme="minorHAnsi" w:hAnsiTheme="minorHAnsi" w:cstheme="minorHAnsi"/>
          <w:sz w:val="22"/>
        </w:rPr>
        <w:t>The main shortcoming of this approach is the diversity of areas represented by a given area ‘type’ (</w:t>
      </w:r>
      <w:proofErr w:type="spellStart"/>
      <w:r w:rsidRPr="00520B73">
        <w:rPr>
          <w:rFonts w:asciiTheme="minorHAnsi" w:hAnsiTheme="minorHAnsi" w:cstheme="minorHAnsi"/>
          <w:sz w:val="22"/>
        </w:rPr>
        <w:t>Voas</w:t>
      </w:r>
      <w:proofErr w:type="spellEnd"/>
      <w:r w:rsidRPr="00520B73">
        <w:rPr>
          <w:rFonts w:asciiTheme="minorHAnsi" w:hAnsiTheme="minorHAnsi" w:cstheme="minorHAnsi"/>
          <w:sz w:val="22"/>
        </w:rPr>
        <w:t xml:space="preserve"> and Williamson, 2001), meaning that two areas with broadly similar incomes can end up allocated to different clusters, and hence estimated to have markedly different incomes</w:t>
      </w:r>
      <w:r>
        <w:rPr>
          <w:rFonts w:asciiTheme="minorHAnsi" w:hAnsiTheme="minorHAnsi" w:cstheme="minorHAnsi"/>
          <w:sz w:val="22"/>
        </w:rPr>
        <w:t>.</w:t>
      </w:r>
    </w:p>
    <w:p w14:paraId="2760CEFF" w14:textId="77777777" w:rsidR="006458AF" w:rsidRPr="00520B73" w:rsidRDefault="006458AF" w:rsidP="006458AF">
      <w:pPr>
        <w:spacing w:line="276" w:lineRule="auto"/>
        <w:jc w:val="both"/>
        <w:rPr>
          <w:rFonts w:asciiTheme="minorHAnsi" w:hAnsiTheme="minorHAnsi" w:cstheme="minorHAnsi"/>
          <w:sz w:val="22"/>
        </w:rPr>
      </w:pPr>
    </w:p>
    <w:p w14:paraId="47F1D89D" w14:textId="77777777" w:rsidR="006458AF" w:rsidRPr="00520B73" w:rsidRDefault="006458AF" w:rsidP="006458AF">
      <w:pPr>
        <w:spacing w:line="276" w:lineRule="auto"/>
        <w:jc w:val="both"/>
        <w:rPr>
          <w:rFonts w:asciiTheme="minorHAnsi" w:hAnsiTheme="minorHAnsi" w:cstheme="minorHAnsi"/>
          <w:sz w:val="22"/>
        </w:rPr>
      </w:pPr>
      <w:r w:rsidRPr="00520B73">
        <w:rPr>
          <w:rFonts w:asciiTheme="minorHAnsi" w:hAnsiTheme="minorHAnsi" w:cstheme="minorHAnsi"/>
          <w:sz w:val="22"/>
        </w:rPr>
        <w:t>Commerc</w:t>
      </w:r>
      <w:r>
        <w:rPr>
          <w:rFonts w:asciiTheme="minorHAnsi" w:hAnsiTheme="minorHAnsi" w:cstheme="minorHAnsi"/>
          <w:sz w:val="22"/>
        </w:rPr>
        <w:t>i</w:t>
      </w:r>
      <w:r w:rsidRPr="00520B73">
        <w:rPr>
          <w:rFonts w:asciiTheme="minorHAnsi" w:hAnsiTheme="minorHAnsi" w:cstheme="minorHAnsi"/>
          <w:sz w:val="22"/>
        </w:rPr>
        <w:t xml:space="preserve">ally available </w:t>
      </w:r>
      <w:proofErr w:type="spellStart"/>
      <w:r w:rsidRPr="00520B73">
        <w:rPr>
          <w:rFonts w:asciiTheme="minorHAnsi" w:hAnsiTheme="minorHAnsi" w:cstheme="minorHAnsi"/>
          <w:sz w:val="22"/>
        </w:rPr>
        <w:t>geodemographic</w:t>
      </w:r>
      <w:proofErr w:type="spellEnd"/>
      <w:r w:rsidRPr="00520B73">
        <w:rPr>
          <w:rFonts w:asciiTheme="minorHAnsi" w:hAnsiTheme="minorHAnsi" w:cstheme="minorHAnsi"/>
          <w:sz w:val="22"/>
        </w:rPr>
        <w:t xml:space="preserve"> classifications were too costly to procure for this project, and did not in any case cover all of the geographical levels of interest. Nor was direct replication of these commercial classifications possible using Census Rehearsal data alone, as they invariably draw upon additional non-census ‘lifestyle’ data that </w:t>
      </w:r>
      <w:r>
        <w:rPr>
          <w:rFonts w:asciiTheme="minorHAnsi" w:hAnsiTheme="minorHAnsi" w:cstheme="minorHAnsi"/>
          <w:sz w:val="22"/>
        </w:rPr>
        <w:t>are</w:t>
      </w:r>
      <w:r w:rsidRPr="00520B73">
        <w:rPr>
          <w:rFonts w:asciiTheme="minorHAnsi" w:hAnsiTheme="minorHAnsi" w:cstheme="minorHAnsi"/>
          <w:sz w:val="22"/>
        </w:rPr>
        <w:t xml:space="preserve"> not publical</w:t>
      </w:r>
      <w:r w:rsidR="009F0CAC">
        <w:rPr>
          <w:rFonts w:asciiTheme="minorHAnsi" w:hAnsiTheme="minorHAnsi" w:cstheme="minorHAnsi"/>
          <w:sz w:val="22"/>
        </w:rPr>
        <w:t>ly available.</w:t>
      </w:r>
      <w:r w:rsidR="00222DED">
        <w:rPr>
          <w:rFonts w:asciiTheme="minorHAnsi" w:hAnsiTheme="minorHAnsi" w:cstheme="minorHAnsi"/>
          <w:sz w:val="22"/>
        </w:rPr>
        <w:t xml:space="preserve"> Potentially the rehearsal data could have been aggregated to 2001 Census Output Areas, in order to utilise the</w:t>
      </w:r>
      <w:r w:rsidR="009F0CAC">
        <w:rPr>
          <w:rFonts w:asciiTheme="minorHAnsi" w:hAnsiTheme="minorHAnsi" w:cstheme="minorHAnsi"/>
          <w:sz w:val="22"/>
        </w:rPr>
        <w:t xml:space="preserve"> ONS 2001 Census Output Area Classif</w:t>
      </w:r>
      <w:r w:rsidR="00222DED">
        <w:rPr>
          <w:rFonts w:asciiTheme="minorHAnsi" w:hAnsiTheme="minorHAnsi" w:cstheme="minorHAnsi"/>
          <w:sz w:val="22"/>
        </w:rPr>
        <w:t>i</w:t>
      </w:r>
      <w:r w:rsidR="009F0CAC">
        <w:rPr>
          <w:rFonts w:asciiTheme="minorHAnsi" w:hAnsiTheme="minorHAnsi" w:cstheme="minorHAnsi"/>
          <w:sz w:val="22"/>
        </w:rPr>
        <w:t>cation (OAC)</w:t>
      </w:r>
      <w:r w:rsidR="00222DED">
        <w:rPr>
          <w:rFonts w:asciiTheme="minorHAnsi" w:hAnsiTheme="minorHAnsi" w:cstheme="minorHAnsi"/>
          <w:sz w:val="22"/>
        </w:rPr>
        <w:t xml:space="preserve">, but the </w:t>
      </w:r>
      <w:r w:rsidR="000253FD">
        <w:rPr>
          <w:rFonts w:asciiTheme="minorHAnsi" w:hAnsiTheme="minorHAnsi" w:cstheme="minorHAnsi"/>
          <w:sz w:val="22"/>
        </w:rPr>
        <w:t>required postcode to Output Area lookup table was unavailable.</w:t>
      </w:r>
      <w:r w:rsidR="00222DED">
        <w:rPr>
          <w:rFonts w:asciiTheme="minorHAnsi" w:hAnsiTheme="minorHAnsi" w:cstheme="minorHAnsi"/>
          <w:sz w:val="22"/>
        </w:rPr>
        <w:t xml:space="preserve"> </w:t>
      </w:r>
      <w:r w:rsidR="009F0CAC">
        <w:rPr>
          <w:rFonts w:asciiTheme="minorHAnsi" w:hAnsiTheme="minorHAnsi" w:cstheme="minorHAnsi"/>
          <w:sz w:val="22"/>
        </w:rPr>
        <w:t xml:space="preserve"> </w:t>
      </w:r>
      <w:r w:rsidRPr="00520B73">
        <w:rPr>
          <w:rFonts w:asciiTheme="minorHAnsi" w:hAnsiTheme="minorHAnsi" w:cstheme="minorHAnsi"/>
          <w:sz w:val="22"/>
        </w:rPr>
        <w:t xml:space="preserve">Instead, four new </w:t>
      </w:r>
      <w:proofErr w:type="spellStart"/>
      <w:r w:rsidRPr="00520B73">
        <w:rPr>
          <w:rFonts w:asciiTheme="minorHAnsi" w:hAnsiTheme="minorHAnsi" w:cstheme="minorHAnsi"/>
          <w:sz w:val="22"/>
        </w:rPr>
        <w:t>geodemographic</w:t>
      </w:r>
      <w:proofErr w:type="spellEnd"/>
      <w:r w:rsidRPr="00520B73">
        <w:rPr>
          <w:rFonts w:asciiTheme="minorHAnsi" w:hAnsiTheme="minorHAnsi" w:cstheme="minorHAnsi"/>
          <w:sz w:val="22"/>
        </w:rPr>
        <w:t xml:space="preserve"> classifications were produced</w:t>
      </w:r>
      <w:r>
        <w:rPr>
          <w:rFonts w:asciiTheme="minorHAnsi" w:hAnsiTheme="minorHAnsi" w:cstheme="minorHAnsi"/>
          <w:sz w:val="22"/>
        </w:rPr>
        <w:t xml:space="preserve"> (see Table 5)</w:t>
      </w:r>
      <w:r w:rsidRPr="00520B73">
        <w:rPr>
          <w:rFonts w:asciiTheme="minorHAnsi" w:hAnsiTheme="minorHAnsi" w:cstheme="minorHAnsi"/>
          <w:sz w:val="22"/>
        </w:rPr>
        <w:t xml:space="preserve">.  A first classification was based on sub-dividing areas into above and below median groups along a range of demographic and socio-economic dimensions, as suggested by </w:t>
      </w:r>
      <w:proofErr w:type="spellStart"/>
      <w:r w:rsidRPr="00520B73">
        <w:rPr>
          <w:rFonts w:asciiTheme="minorHAnsi" w:hAnsiTheme="minorHAnsi" w:cstheme="minorHAnsi"/>
          <w:sz w:val="22"/>
        </w:rPr>
        <w:t>Voas</w:t>
      </w:r>
      <w:proofErr w:type="spellEnd"/>
      <w:r w:rsidRPr="00520B73">
        <w:rPr>
          <w:rFonts w:asciiTheme="minorHAnsi" w:hAnsiTheme="minorHAnsi" w:cstheme="minorHAnsi"/>
          <w:sz w:val="22"/>
        </w:rPr>
        <w:t xml:space="preserve"> and Williamson (2001).  The remaining three classifications, following </w:t>
      </w:r>
      <w:proofErr w:type="spellStart"/>
      <w:r w:rsidRPr="00520B73">
        <w:rPr>
          <w:rFonts w:asciiTheme="minorHAnsi" w:hAnsiTheme="minorHAnsi" w:cstheme="minorHAnsi"/>
          <w:sz w:val="22"/>
        </w:rPr>
        <w:t>Openshaw</w:t>
      </w:r>
      <w:proofErr w:type="spellEnd"/>
      <w:r w:rsidRPr="00520B73">
        <w:rPr>
          <w:rFonts w:asciiTheme="minorHAnsi" w:hAnsiTheme="minorHAnsi" w:cstheme="minorHAnsi"/>
          <w:sz w:val="22"/>
        </w:rPr>
        <w:t xml:space="preserve"> and </w:t>
      </w:r>
      <w:proofErr w:type="spellStart"/>
      <w:r w:rsidRPr="00520B73">
        <w:rPr>
          <w:rFonts w:asciiTheme="minorHAnsi" w:hAnsiTheme="minorHAnsi" w:cstheme="minorHAnsi"/>
          <w:sz w:val="22"/>
        </w:rPr>
        <w:t>Wymer</w:t>
      </w:r>
      <w:proofErr w:type="spellEnd"/>
      <w:r w:rsidRPr="00520B73">
        <w:rPr>
          <w:rFonts w:asciiTheme="minorHAnsi" w:hAnsiTheme="minorHAnsi" w:cstheme="minorHAnsi"/>
          <w:sz w:val="22"/>
        </w:rPr>
        <w:t xml:space="preserve"> (1995), were based upon a Principal Components Analysis of a wide range of Rehearsal variables, clustered </w:t>
      </w:r>
      <w:r w:rsidR="000253FD">
        <w:rPr>
          <w:rFonts w:asciiTheme="minorHAnsi" w:hAnsiTheme="minorHAnsi" w:cstheme="minorHAnsi"/>
          <w:sz w:val="22"/>
        </w:rPr>
        <w:t xml:space="preserve">(using </w:t>
      </w:r>
      <w:r w:rsidR="000253FD" w:rsidRPr="009F0CAC">
        <w:rPr>
          <w:rFonts w:asciiTheme="minorHAnsi" w:hAnsiTheme="minorHAnsi" w:cstheme="minorHAnsi"/>
          <w:i/>
          <w:sz w:val="22"/>
        </w:rPr>
        <w:t>k</w:t>
      </w:r>
      <w:r w:rsidR="000253FD">
        <w:rPr>
          <w:rFonts w:asciiTheme="minorHAnsi" w:hAnsiTheme="minorHAnsi" w:cstheme="minorHAnsi"/>
          <w:sz w:val="22"/>
        </w:rPr>
        <w:t xml:space="preserve">-means) </w:t>
      </w:r>
      <w:r w:rsidRPr="00520B73">
        <w:rPr>
          <w:rFonts w:asciiTheme="minorHAnsi" w:hAnsiTheme="minorHAnsi" w:cstheme="minorHAnsi"/>
          <w:sz w:val="22"/>
        </w:rPr>
        <w:t xml:space="preserve">into 10, 40 and 96 area </w:t>
      </w:r>
      <w:proofErr w:type="gramStart"/>
      <w:r w:rsidRPr="00520B73">
        <w:rPr>
          <w:rFonts w:asciiTheme="minorHAnsi" w:hAnsiTheme="minorHAnsi" w:cstheme="minorHAnsi"/>
          <w:sz w:val="22"/>
        </w:rPr>
        <w:t xml:space="preserve">types </w:t>
      </w:r>
      <w:r w:rsidR="009F0CAC">
        <w:rPr>
          <w:rFonts w:asciiTheme="minorHAnsi" w:hAnsiTheme="minorHAnsi" w:cstheme="minorHAnsi"/>
          <w:sz w:val="22"/>
        </w:rPr>
        <w:t xml:space="preserve"> </w:t>
      </w:r>
      <w:r w:rsidRPr="00520B73">
        <w:rPr>
          <w:rFonts w:asciiTheme="minorHAnsi" w:hAnsiTheme="minorHAnsi" w:cstheme="minorHAnsi"/>
          <w:sz w:val="22"/>
        </w:rPr>
        <w:t>to</w:t>
      </w:r>
      <w:proofErr w:type="gramEnd"/>
      <w:r w:rsidRPr="00520B73">
        <w:rPr>
          <w:rFonts w:asciiTheme="minorHAnsi" w:hAnsiTheme="minorHAnsi" w:cstheme="minorHAnsi"/>
          <w:sz w:val="22"/>
        </w:rPr>
        <w:t xml:space="preserve"> reflect the number of categories typically available in </w:t>
      </w:r>
      <w:r w:rsidR="009F0CAC">
        <w:rPr>
          <w:rFonts w:asciiTheme="minorHAnsi" w:hAnsiTheme="minorHAnsi" w:cstheme="minorHAnsi"/>
          <w:sz w:val="22"/>
        </w:rPr>
        <w:t>alternative</w:t>
      </w:r>
      <w:r w:rsidRPr="00520B73">
        <w:rPr>
          <w:rFonts w:asciiTheme="minorHAnsi" w:hAnsiTheme="minorHAnsi" w:cstheme="minorHAnsi"/>
          <w:sz w:val="22"/>
        </w:rPr>
        <w:t xml:space="preserve"> classifications</w:t>
      </w:r>
      <w:r w:rsidR="009F0CAC">
        <w:rPr>
          <w:rFonts w:asciiTheme="minorHAnsi" w:hAnsiTheme="minorHAnsi" w:cstheme="minorHAnsi"/>
          <w:sz w:val="22"/>
        </w:rPr>
        <w:t xml:space="preserve"> –</w:t>
      </w:r>
      <w:r w:rsidR="000253FD">
        <w:rPr>
          <w:rFonts w:asciiTheme="minorHAnsi" w:hAnsiTheme="minorHAnsi" w:cstheme="minorHAnsi"/>
          <w:sz w:val="22"/>
        </w:rPr>
        <w:t xml:space="preserve"> mirroring the process used to produce</w:t>
      </w:r>
      <w:r w:rsidR="009F0CAC">
        <w:rPr>
          <w:rFonts w:asciiTheme="minorHAnsi" w:hAnsiTheme="minorHAnsi" w:cstheme="minorHAnsi"/>
          <w:sz w:val="22"/>
        </w:rPr>
        <w:t xml:space="preserve"> the ONS 2001 Census OAC</w:t>
      </w:r>
      <w:r w:rsidRPr="00520B73">
        <w:rPr>
          <w:rFonts w:asciiTheme="minorHAnsi" w:hAnsiTheme="minorHAnsi" w:cstheme="minorHAnsi"/>
          <w:sz w:val="22"/>
        </w:rPr>
        <w:t>.</w:t>
      </w:r>
    </w:p>
    <w:p w14:paraId="240FDFEB" w14:textId="77777777" w:rsidR="006458AF" w:rsidRDefault="006458AF" w:rsidP="006458AF">
      <w:pPr>
        <w:spacing w:line="276" w:lineRule="auto"/>
        <w:jc w:val="both"/>
        <w:rPr>
          <w:rFonts w:asciiTheme="minorHAnsi" w:hAnsiTheme="minorHAnsi" w:cstheme="minorHAnsi"/>
          <w:sz w:val="22"/>
        </w:rPr>
      </w:pPr>
    </w:p>
    <w:p w14:paraId="100E0EE5" w14:textId="77777777" w:rsidR="006458AF" w:rsidRDefault="006458AF" w:rsidP="006458AF">
      <w:pPr>
        <w:spacing w:line="276" w:lineRule="auto"/>
        <w:jc w:val="both"/>
        <w:rPr>
          <w:rFonts w:asciiTheme="minorHAnsi" w:hAnsiTheme="minorHAnsi" w:cstheme="minorHAnsi"/>
          <w:sz w:val="22"/>
        </w:rPr>
      </w:pPr>
      <w:r>
        <w:rPr>
          <w:rFonts w:asciiTheme="minorHAnsi" w:hAnsiTheme="minorHAnsi" w:cstheme="minorHAnsi"/>
          <w:sz w:val="22"/>
        </w:rPr>
        <w:t>TABLE 5 Imputation and model-based strategies [ABOUT HERE]</w:t>
      </w:r>
    </w:p>
    <w:p w14:paraId="065E167A" w14:textId="77777777" w:rsidR="006458AF" w:rsidRDefault="006458AF" w:rsidP="00015CD9">
      <w:pPr>
        <w:spacing w:line="276" w:lineRule="auto"/>
        <w:jc w:val="both"/>
        <w:rPr>
          <w:rFonts w:asciiTheme="minorHAnsi" w:hAnsiTheme="minorHAnsi" w:cstheme="minorHAnsi"/>
          <w:sz w:val="22"/>
        </w:rPr>
      </w:pPr>
    </w:p>
    <w:p w14:paraId="6290EB09" w14:textId="77777777" w:rsidR="00316870" w:rsidRDefault="00316870" w:rsidP="00316870">
      <w:pPr>
        <w:spacing w:line="276" w:lineRule="auto"/>
        <w:jc w:val="both"/>
        <w:rPr>
          <w:rFonts w:asciiTheme="minorHAnsi" w:hAnsiTheme="minorHAnsi" w:cstheme="minorHAnsi"/>
          <w:i/>
          <w:sz w:val="22"/>
        </w:rPr>
      </w:pPr>
      <w:r w:rsidRPr="00520B73">
        <w:rPr>
          <w:rFonts w:asciiTheme="minorHAnsi" w:hAnsiTheme="minorHAnsi" w:cstheme="minorHAnsi"/>
          <w:i/>
          <w:sz w:val="22"/>
        </w:rPr>
        <w:t>4.</w:t>
      </w:r>
      <w:r w:rsidR="006458AF">
        <w:rPr>
          <w:rFonts w:asciiTheme="minorHAnsi" w:hAnsiTheme="minorHAnsi" w:cstheme="minorHAnsi"/>
          <w:i/>
          <w:sz w:val="22"/>
        </w:rPr>
        <w:t>4</w:t>
      </w:r>
      <w:r w:rsidRPr="00520B73">
        <w:rPr>
          <w:rFonts w:asciiTheme="minorHAnsi" w:hAnsiTheme="minorHAnsi" w:cstheme="minorHAnsi"/>
          <w:i/>
          <w:sz w:val="22"/>
        </w:rPr>
        <w:t xml:space="preserve"> </w:t>
      </w:r>
      <w:r w:rsidR="006458AF">
        <w:rPr>
          <w:rFonts w:asciiTheme="minorHAnsi" w:hAnsiTheme="minorHAnsi" w:cstheme="minorHAnsi"/>
          <w:i/>
          <w:sz w:val="22"/>
        </w:rPr>
        <w:t xml:space="preserve">Unit-level </w:t>
      </w:r>
      <w:r w:rsidRPr="00520B73">
        <w:rPr>
          <w:rFonts w:asciiTheme="minorHAnsi" w:hAnsiTheme="minorHAnsi" w:cstheme="minorHAnsi"/>
          <w:i/>
          <w:sz w:val="22"/>
        </w:rPr>
        <w:t>Imputation</w:t>
      </w:r>
    </w:p>
    <w:p w14:paraId="6C959242" w14:textId="77777777" w:rsidR="00316870" w:rsidRPr="00CD2283" w:rsidRDefault="00316870" w:rsidP="00316870">
      <w:pPr>
        <w:spacing w:line="276" w:lineRule="auto"/>
        <w:jc w:val="both"/>
        <w:rPr>
          <w:rFonts w:asciiTheme="minorHAnsi" w:hAnsiTheme="minorHAnsi" w:cstheme="minorHAnsi"/>
          <w:sz w:val="22"/>
        </w:rPr>
      </w:pPr>
    </w:p>
    <w:p w14:paraId="4118CD96" w14:textId="77777777" w:rsidR="00316870" w:rsidRDefault="00316870" w:rsidP="00316870">
      <w:pPr>
        <w:spacing w:line="276" w:lineRule="auto"/>
        <w:jc w:val="both"/>
        <w:rPr>
          <w:rFonts w:asciiTheme="minorHAnsi" w:hAnsiTheme="minorHAnsi" w:cstheme="minorHAnsi"/>
          <w:sz w:val="22"/>
        </w:rPr>
      </w:pPr>
      <w:r>
        <w:rPr>
          <w:rFonts w:asciiTheme="minorHAnsi" w:hAnsiTheme="minorHAnsi" w:cstheme="minorHAnsi"/>
          <w:sz w:val="22"/>
        </w:rPr>
        <w:t>The term ‘imputation’ is used here as short-hand to describe the set of synthetic estimation techniques which involve the assignment (imputation) of income to individuals and households on the basis of their known characteristics, typically via a unit-level regression model, followed by the summation of these imputed incomes to area level. In practical terms, the regression model, once fitted, can be applied either directly to unit-level records with unknown incomes – e.g. respondents to the UK 2011 Census; or,</w:t>
      </w:r>
      <w:r w:rsidRPr="00D36247">
        <w:rPr>
          <w:rFonts w:asciiTheme="minorHAnsi" w:hAnsiTheme="minorHAnsi" w:cstheme="minorHAnsi"/>
          <w:sz w:val="22"/>
        </w:rPr>
        <w:t xml:space="preserve"> </w:t>
      </w:r>
      <w:r>
        <w:rPr>
          <w:rFonts w:asciiTheme="minorHAnsi" w:hAnsiTheme="minorHAnsi" w:cstheme="minorHAnsi"/>
          <w:sz w:val="22"/>
        </w:rPr>
        <w:t xml:space="preserve">when the unit-level regression model is relatively simple, indirectly </w:t>
      </w:r>
      <w:r w:rsidR="006458AF">
        <w:rPr>
          <w:rFonts w:asciiTheme="minorHAnsi" w:hAnsiTheme="minorHAnsi" w:cstheme="minorHAnsi"/>
          <w:sz w:val="22"/>
        </w:rPr>
        <w:t>using</w:t>
      </w:r>
      <w:r>
        <w:rPr>
          <w:rFonts w:asciiTheme="minorHAnsi" w:hAnsiTheme="minorHAnsi" w:cstheme="minorHAnsi"/>
          <w:sz w:val="22"/>
        </w:rPr>
        <w:t xml:space="preserve"> published tabulations of respondent characteristics. Not included here are synthetic </w:t>
      </w:r>
      <w:proofErr w:type="gramStart"/>
      <w:r>
        <w:rPr>
          <w:rFonts w:asciiTheme="minorHAnsi" w:hAnsiTheme="minorHAnsi" w:cstheme="minorHAnsi"/>
          <w:sz w:val="22"/>
        </w:rPr>
        <w:t>estimators which</w:t>
      </w:r>
      <w:proofErr w:type="gramEnd"/>
      <w:r>
        <w:rPr>
          <w:rFonts w:asciiTheme="minorHAnsi" w:hAnsiTheme="minorHAnsi" w:cstheme="minorHAnsi"/>
          <w:sz w:val="22"/>
        </w:rPr>
        <w:t xml:space="preserve">, in the absence of unit level records for an area, reduce to a simple area-level regression </w:t>
      </w:r>
      <w:r w:rsidR="006458AF">
        <w:rPr>
          <w:rFonts w:asciiTheme="minorHAnsi" w:hAnsiTheme="minorHAnsi" w:cstheme="minorHAnsi"/>
          <w:sz w:val="22"/>
        </w:rPr>
        <w:t>model.</w:t>
      </w:r>
    </w:p>
    <w:p w14:paraId="6F93C4A3" w14:textId="77777777" w:rsidR="00316870" w:rsidRDefault="00316870" w:rsidP="00316870">
      <w:pPr>
        <w:spacing w:line="276" w:lineRule="auto"/>
        <w:jc w:val="both"/>
        <w:rPr>
          <w:rFonts w:asciiTheme="minorHAnsi" w:hAnsiTheme="minorHAnsi" w:cstheme="minorHAnsi"/>
          <w:sz w:val="22"/>
        </w:rPr>
      </w:pPr>
    </w:p>
    <w:p w14:paraId="12EB968E" w14:textId="77777777" w:rsidR="00316870" w:rsidRPr="00520B73" w:rsidRDefault="00316870" w:rsidP="00316870">
      <w:pPr>
        <w:spacing w:line="276" w:lineRule="auto"/>
        <w:jc w:val="both"/>
        <w:rPr>
          <w:rFonts w:asciiTheme="minorHAnsi" w:hAnsiTheme="minorHAnsi" w:cstheme="minorHAnsi"/>
          <w:sz w:val="22"/>
        </w:rPr>
      </w:pPr>
      <w:r w:rsidRPr="00520B73">
        <w:rPr>
          <w:rFonts w:asciiTheme="minorHAnsi" w:hAnsiTheme="minorHAnsi" w:cstheme="minorHAnsi"/>
          <w:sz w:val="22"/>
        </w:rPr>
        <w:t xml:space="preserve">Both Lee </w:t>
      </w:r>
      <w:r w:rsidRPr="007E6F4D">
        <w:rPr>
          <w:rFonts w:asciiTheme="minorHAnsi" w:hAnsiTheme="minorHAnsi" w:cstheme="minorHAnsi"/>
          <w:i/>
          <w:sz w:val="22"/>
        </w:rPr>
        <w:t>et al</w:t>
      </w:r>
      <w:r w:rsidRPr="00520B73">
        <w:rPr>
          <w:rFonts w:asciiTheme="minorHAnsi" w:hAnsiTheme="minorHAnsi" w:cstheme="minorHAnsi"/>
          <w:sz w:val="22"/>
        </w:rPr>
        <w:t xml:space="preserve"> (1995) and Dale </w:t>
      </w:r>
      <w:r w:rsidRPr="007E6F4D">
        <w:rPr>
          <w:rFonts w:asciiTheme="minorHAnsi" w:hAnsiTheme="minorHAnsi" w:cstheme="minorHAnsi"/>
          <w:i/>
          <w:sz w:val="22"/>
        </w:rPr>
        <w:t>et al</w:t>
      </w:r>
      <w:r w:rsidRPr="00520B73">
        <w:rPr>
          <w:rFonts w:asciiTheme="minorHAnsi" w:hAnsiTheme="minorHAnsi" w:cstheme="minorHAnsi"/>
          <w:sz w:val="22"/>
        </w:rPr>
        <w:t xml:space="preserve"> (1995) have used the mean income recorded in a national survey, given occupation and other relevant factors, to impute the income of each person of equivalent type captured locally by the census. </w:t>
      </w:r>
      <w:proofErr w:type="spellStart"/>
      <w:r w:rsidRPr="00520B73">
        <w:rPr>
          <w:rFonts w:asciiTheme="minorHAnsi" w:hAnsiTheme="minorHAnsi" w:cstheme="minorHAnsi"/>
          <w:sz w:val="22"/>
        </w:rPr>
        <w:t>Birkin</w:t>
      </w:r>
      <w:proofErr w:type="spellEnd"/>
      <w:r w:rsidRPr="00520B73">
        <w:rPr>
          <w:rFonts w:asciiTheme="minorHAnsi" w:hAnsiTheme="minorHAnsi" w:cstheme="minorHAnsi"/>
          <w:sz w:val="22"/>
        </w:rPr>
        <w:t xml:space="preserve"> and Clarke (1989) have gone further, acknowledging the problem that, for a given occupation, inner city workers are likely to </w:t>
      </w:r>
      <w:r>
        <w:rPr>
          <w:rFonts w:asciiTheme="minorHAnsi" w:hAnsiTheme="minorHAnsi" w:cstheme="minorHAnsi"/>
          <w:sz w:val="22"/>
        </w:rPr>
        <w:t xml:space="preserve">be </w:t>
      </w:r>
      <w:r w:rsidRPr="00520B73">
        <w:rPr>
          <w:rFonts w:asciiTheme="minorHAnsi" w:hAnsiTheme="minorHAnsi" w:cstheme="minorHAnsi"/>
          <w:sz w:val="22"/>
        </w:rPr>
        <w:t xml:space="preserve">earning less than comparable workers in more affluent suburbs. For this reason they have proposed adjusting the imputed income to reflect the nature of the local occupational mix relative to the national one. For example, if an area contains more than the usual national share of high earning occupations, imputed incomes for all occupations in that area are inflated. Alternatively Davies </w:t>
      </w:r>
      <w:r w:rsidRPr="007E6F4D">
        <w:rPr>
          <w:rFonts w:asciiTheme="minorHAnsi" w:hAnsiTheme="minorHAnsi" w:cstheme="minorHAnsi"/>
          <w:i/>
          <w:sz w:val="22"/>
        </w:rPr>
        <w:t>et al</w:t>
      </w:r>
      <w:r w:rsidRPr="00520B73">
        <w:rPr>
          <w:rFonts w:asciiTheme="minorHAnsi" w:hAnsiTheme="minorHAnsi" w:cstheme="minorHAnsi"/>
          <w:sz w:val="22"/>
        </w:rPr>
        <w:t xml:space="preserve"> (1997) mooted the possibility of imputing </w:t>
      </w:r>
      <w:r>
        <w:rPr>
          <w:rFonts w:asciiTheme="minorHAnsi" w:hAnsiTheme="minorHAnsi" w:cstheme="minorHAnsi"/>
          <w:sz w:val="22"/>
        </w:rPr>
        <w:t xml:space="preserve">census respondent </w:t>
      </w:r>
      <w:r w:rsidRPr="00520B73">
        <w:rPr>
          <w:rFonts w:asciiTheme="minorHAnsi" w:hAnsiTheme="minorHAnsi" w:cstheme="minorHAnsi"/>
          <w:sz w:val="22"/>
        </w:rPr>
        <w:t xml:space="preserve">incomes on the basis of a </w:t>
      </w:r>
      <w:r>
        <w:rPr>
          <w:rFonts w:asciiTheme="minorHAnsi" w:hAnsiTheme="minorHAnsi" w:cstheme="minorHAnsi"/>
          <w:sz w:val="22"/>
        </w:rPr>
        <w:t xml:space="preserve">unit-level </w:t>
      </w:r>
      <w:r w:rsidRPr="00520B73">
        <w:rPr>
          <w:rFonts w:asciiTheme="minorHAnsi" w:hAnsiTheme="minorHAnsi" w:cstheme="minorHAnsi"/>
          <w:sz w:val="22"/>
        </w:rPr>
        <w:lastRenderedPageBreak/>
        <w:t>regression model. A further variant on imputation has been adopted by Anderson (201</w:t>
      </w:r>
      <w:r w:rsidR="00E315AF">
        <w:rPr>
          <w:rFonts w:asciiTheme="minorHAnsi" w:hAnsiTheme="minorHAnsi" w:cstheme="minorHAnsi"/>
          <w:sz w:val="22"/>
        </w:rPr>
        <w:t>3</w:t>
      </w:r>
      <w:r w:rsidRPr="00520B73">
        <w:rPr>
          <w:rFonts w:asciiTheme="minorHAnsi" w:hAnsiTheme="minorHAnsi" w:cstheme="minorHAnsi"/>
          <w:sz w:val="22"/>
        </w:rPr>
        <w:t xml:space="preserve">), who produced small-area household poverty estimates by weighting government survey data to fit </w:t>
      </w:r>
      <w:proofErr w:type="spellStart"/>
      <w:r w:rsidRPr="00520B73">
        <w:rPr>
          <w:rFonts w:asciiTheme="minorHAnsi" w:hAnsiTheme="minorHAnsi" w:cstheme="minorHAnsi"/>
          <w:sz w:val="22"/>
        </w:rPr>
        <w:t>univariate</w:t>
      </w:r>
      <w:proofErr w:type="spellEnd"/>
      <w:r w:rsidRPr="00520B73">
        <w:rPr>
          <w:rFonts w:asciiTheme="minorHAnsi" w:hAnsiTheme="minorHAnsi" w:cstheme="minorHAnsi"/>
          <w:sz w:val="22"/>
        </w:rPr>
        <w:t xml:space="preserve"> local area constraints given by the census. In all cases the accuracy of these small-area estimates rests heavily upon the assumption that the factors taken into account during the imputation or reweighting process capture all of the processes driving spatial variations in incomes; and that the relationship between these factors does not itself vary spatially.</w:t>
      </w:r>
    </w:p>
    <w:p w14:paraId="72FB8A71" w14:textId="77777777" w:rsidR="00316870" w:rsidRPr="00520B73" w:rsidRDefault="00316870" w:rsidP="00316870">
      <w:pPr>
        <w:spacing w:line="276" w:lineRule="auto"/>
        <w:jc w:val="both"/>
        <w:rPr>
          <w:rFonts w:asciiTheme="minorHAnsi" w:hAnsiTheme="minorHAnsi" w:cstheme="minorHAnsi"/>
          <w:sz w:val="22"/>
        </w:rPr>
      </w:pPr>
    </w:p>
    <w:p w14:paraId="36FB0E7B" w14:textId="77777777" w:rsidR="00316870" w:rsidRPr="00520B73" w:rsidRDefault="00316870" w:rsidP="00316870">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Table </w:t>
      </w:r>
      <w:r>
        <w:rPr>
          <w:rFonts w:asciiTheme="minorHAnsi" w:hAnsiTheme="minorHAnsi" w:cstheme="minorHAnsi"/>
          <w:sz w:val="22"/>
        </w:rPr>
        <w:t>5</w:t>
      </w:r>
      <w:r w:rsidRPr="00520B73">
        <w:rPr>
          <w:rFonts w:asciiTheme="minorHAnsi" w:hAnsiTheme="minorHAnsi" w:cstheme="minorHAnsi"/>
          <w:sz w:val="22"/>
        </w:rPr>
        <w:t xml:space="preserve"> provides details of the various imputation strategies evaluated for the purposes of this paper. Ideally, mean occupational incomes would have been derived from an external source. However, occupation in the Census Rehearsal was coded using SOC2000, whereas all other government social survey data </w:t>
      </w:r>
      <w:r>
        <w:rPr>
          <w:rFonts w:asciiTheme="minorHAnsi" w:hAnsiTheme="minorHAnsi" w:cstheme="minorHAnsi"/>
          <w:sz w:val="22"/>
        </w:rPr>
        <w:t xml:space="preserve">available for the same time period were </w:t>
      </w:r>
      <w:r w:rsidRPr="00520B73">
        <w:rPr>
          <w:rFonts w:asciiTheme="minorHAnsi" w:hAnsiTheme="minorHAnsi" w:cstheme="minorHAnsi"/>
          <w:sz w:val="22"/>
        </w:rPr>
        <w:t xml:space="preserve">coded occupation by SOC90.  As the two coding schemes do not map on to each other, the only solution was to estimate SOC2000 means from the Census Rehearsal itself, having first replaced reported income bands with imputed income values. This, in combination with the large number of sub-group means required (approximately 650 for Lee and 4800 for Dale), gave rise to a substantial danger of ‘over-fitting’.  As a precaution, therefore, the Census Rehearsal was partitioned.  Sub-group means calculated for one half of the dataset were then used to impute individual incomes in the other half. Partitioning was found to make no significant difference to the outcomes obtained. Therefore this paper presents only the results for models based on </w:t>
      </w:r>
      <w:proofErr w:type="spellStart"/>
      <w:r w:rsidRPr="00520B73">
        <w:rPr>
          <w:rFonts w:asciiTheme="minorHAnsi" w:hAnsiTheme="minorHAnsi" w:cstheme="minorHAnsi"/>
          <w:sz w:val="22"/>
        </w:rPr>
        <w:t>unpartitioned</w:t>
      </w:r>
      <w:proofErr w:type="spellEnd"/>
      <w:r w:rsidRPr="00520B73">
        <w:rPr>
          <w:rFonts w:asciiTheme="minorHAnsi" w:hAnsiTheme="minorHAnsi" w:cstheme="minorHAnsi"/>
          <w:sz w:val="22"/>
        </w:rPr>
        <w:t xml:space="preserve"> data. </w:t>
      </w:r>
    </w:p>
    <w:p w14:paraId="58676138" w14:textId="77777777" w:rsidR="00316870" w:rsidRPr="00520B73" w:rsidRDefault="00316870" w:rsidP="00316870">
      <w:pPr>
        <w:spacing w:line="276" w:lineRule="auto"/>
        <w:jc w:val="both"/>
        <w:rPr>
          <w:rFonts w:asciiTheme="minorHAnsi" w:hAnsiTheme="minorHAnsi" w:cstheme="minorHAnsi"/>
          <w:sz w:val="22"/>
        </w:rPr>
      </w:pPr>
    </w:p>
    <w:p w14:paraId="110987B3" w14:textId="77777777" w:rsidR="00316870" w:rsidRPr="00520B73" w:rsidRDefault="00316870" w:rsidP="00316870">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Three regression models were evaluated for imputation purposes (detailed in Table </w:t>
      </w:r>
      <w:r>
        <w:rPr>
          <w:rFonts w:asciiTheme="minorHAnsi" w:hAnsiTheme="minorHAnsi" w:cstheme="minorHAnsi"/>
          <w:sz w:val="22"/>
        </w:rPr>
        <w:t>5</w:t>
      </w:r>
      <w:r w:rsidRPr="00520B73">
        <w:rPr>
          <w:rFonts w:asciiTheme="minorHAnsi" w:hAnsiTheme="minorHAnsi" w:cstheme="minorHAnsi"/>
          <w:sz w:val="22"/>
        </w:rPr>
        <w:t xml:space="preserve">).  An adult and a household model were devised on the basis of extensive experimentation with data from the 1998 FRS. </w:t>
      </w:r>
      <w:r>
        <w:rPr>
          <w:rFonts w:asciiTheme="minorHAnsi" w:hAnsiTheme="minorHAnsi" w:cstheme="minorHAnsi"/>
          <w:sz w:val="22"/>
        </w:rPr>
        <w:t>Worthy of note in passing,</w:t>
      </w:r>
      <w:r w:rsidRPr="00520B73">
        <w:rPr>
          <w:rFonts w:asciiTheme="minorHAnsi" w:hAnsiTheme="minorHAnsi" w:cstheme="minorHAnsi"/>
          <w:sz w:val="22"/>
        </w:rPr>
        <w:t xml:space="preserve"> the impact of house price, as measured by council-tax band, was found to be statistically non-significant.  An innovative element </w:t>
      </w:r>
      <w:r>
        <w:rPr>
          <w:rFonts w:asciiTheme="minorHAnsi" w:hAnsiTheme="minorHAnsi" w:cstheme="minorHAnsi"/>
          <w:sz w:val="22"/>
        </w:rPr>
        <w:t>in</w:t>
      </w:r>
      <w:r w:rsidRPr="00520B73">
        <w:rPr>
          <w:rFonts w:asciiTheme="minorHAnsi" w:hAnsiTheme="minorHAnsi" w:cstheme="minorHAnsi"/>
          <w:sz w:val="22"/>
        </w:rPr>
        <w:t xml:space="preserve"> both models is the use of mean occupational and industry incomes in place of more conventional dummy variables.  At the household level the model published by Davies </w:t>
      </w:r>
      <w:r w:rsidRPr="007E6F4D">
        <w:rPr>
          <w:rFonts w:asciiTheme="minorHAnsi" w:hAnsiTheme="minorHAnsi" w:cstheme="minorHAnsi"/>
          <w:i/>
          <w:iCs/>
          <w:sz w:val="22"/>
        </w:rPr>
        <w:t>et al</w:t>
      </w:r>
      <w:r w:rsidRPr="00520B73">
        <w:rPr>
          <w:rFonts w:asciiTheme="minorHAnsi" w:hAnsiTheme="minorHAnsi" w:cstheme="minorHAnsi"/>
          <w:sz w:val="22"/>
        </w:rPr>
        <w:t xml:space="preserve">. (1997) was also replicated. The use of occupational mean incomes as predictor variables, allied with the possibility of non-response bias in the Census Rehearsal, meant all regression models had to be fitted using Rehearsal data.  </w:t>
      </w:r>
      <w:r>
        <w:rPr>
          <w:rFonts w:asciiTheme="minorHAnsi" w:hAnsiTheme="minorHAnsi" w:cstheme="minorHAnsi"/>
          <w:sz w:val="22"/>
        </w:rPr>
        <w:t>T</w:t>
      </w:r>
      <w:r w:rsidRPr="00520B73">
        <w:rPr>
          <w:rFonts w:asciiTheme="minorHAnsi" w:hAnsiTheme="minorHAnsi" w:cstheme="minorHAnsi"/>
          <w:sz w:val="22"/>
        </w:rPr>
        <w:t>he possibility of over-fitting</w:t>
      </w:r>
      <w:r>
        <w:rPr>
          <w:rFonts w:asciiTheme="minorHAnsi" w:hAnsiTheme="minorHAnsi" w:cstheme="minorHAnsi"/>
          <w:sz w:val="22"/>
        </w:rPr>
        <w:t xml:space="preserve"> was once again</w:t>
      </w:r>
      <w:r w:rsidRPr="00520B73">
        <w:rPr>
          <w:rFonts w:asciiTheme="minorHAnsi" w:hAnsiTheme="minorHAnsi" w:cstheme="minorHAnsi"/>
          <w:sz w:val="22"/>
        </w:rPr>
        <w:t xml:space="preserve"> addressed by data partitioning, with the same outcome (no difference of note).</w:t>
      </w:r>
    </w:p>
    <w:p w14:paraId="35A79626" w14:textId="77777777" w:rsidR="00316870" w:rsidRPr="00520B73" w:rsidRDefault="00316870" w:rsidP="00015CD9">
      <w:pPr>
        <w:spacing w:line="276" w:lineRule="auto"/>
        <w:jc w:val="both"/>
        <w:rPr>
          <w:rFonts w:asciiTheme="minorHAnsi" w:hAnsiTheme="minorHAnsi" w:cstheme="minorHAnsi"/>
          <w:sz w:val="22"/>
        </w:rPr>
      </w:pPr>
    </w:p>
    <w:p w14:paraId="79380B84" w14:textId="77777777" w:rsidR="007B648A" w:rsidRDefault="007B648A" w:rsidP="00015CD9">
      <w:pPr>
        <w:spacing w:line="276" w:lineRule="auto"/>
        <w:jc w:val="both"/>
        <w:rPr>
          <w:rFonts w:asciiTheme="minorHAnsi" w:hAnsiTheme="minorHAnsi" w:cstheme="minorHAnsi"/>
          <w:b/>
          <w:sz w:val="22"/>
        </w:rPr>
      </w:pPr>
    </w:p>
    <w:p w14:paraId="761EAD61" w14:textId="77777777" w:rsidR="00CB0ECC" w:rsidRPr="007E6F4D" w:rsidRDefault="004F7D18" w:rsidP="00015CD9">
      <w:pPr>
        <w:spacing w:line="276" w:lineRule="auto"/>
        <w:jc w:val="both"/>
        <w:rPr>
          <w:rFonts w:asciiTheme="minorHAnsi" w:hAnsiTheme="minorHAnsi" w:cstheme="minorHAnsi"/>
          <w:b/>
          <w:sz w:val="26"/>
        </w:rPr>
      </w:pPr>
      <w:r w:rsidRPr="007E6F4D">
        <w:rPr>
          <w:rFonts w:asciiTheme="minorHAnsi" w:hAnsiTheme="minorHAnsi" w:cstheme="minorHAnsi"/>
          <w:b/>
          <w:sz w:val="26"/>
        </w:rPr>
        <w:t>5</w:t>
      </w:r>
      <w:r w:rsidR="00CB0ECC" w:rsidRPr="007E6F4D">
        <w:rPr>
          <w:rFonts w:asciiTheme="minorHAnsi" w:hAnsiTheme="minorHAnsi" w:cstheme="minorHAnsi"/>
          <w:b/>
          <w:sz w:val="26"/>
        </w:rPr>
        <w:t>. The relative efficacy of alternative estimation strategies</w:t>
      </w:r>
    </w:p>
    <w:p w14:paraId="11EE47C5" w14:textId="77777777" w:rsidR="00833545" w:rsidRPr="00520B73" w:rsidRDefault="00833545" w:rsidP="00015CD9">
      <w:pPr>
        <w:spacing w:line="276" w:lineRule="auto"/>
        <w:jc w:val="both"/>
        <w:rPr>
          <w:rFonts w:asciiTheme="minorHAnsi" w:hAnsiTheme="minorHAnsi" w:cstheme="minorHAnsi"/>
          <w:sz w:val="22"/>
        </w:rPr>
      </w:pPr>
    </w:p>
    <w:p w14:paraId="7D4408D6" w14:textId="77777777" w:rsidR="00AD14E9" w:rsidRPr="00520B73" w:rsidRDefault="00AD14E9"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To date, a lack </w:t>
      </w:r>
      <w:r w:rsidR="00E315AF">
        <w:rPr>
          <w:rFonts w:asciiTheme="minorHAnsi" w:hAnsiTheme="minorHAnsi" w:cstheme="minorHAnsi"/>
          <w:sz w:val="22"/>
        </w:rPr>
        <w:t xml:space="preserve">of </w:t>
      </w:r>
      <w:r w:rsidRPr="00520B73">
        <w:rPr>
          <w:rFonts w:asciiTheme="minorHAnsi" w:hAnsiTheme="minorHAnsi" w:cstheme="minorHAnsi"/>
          <w:sz w:val="22"/>
        </w:rPr>
        <w:t xml:space="preserve">small-area income data has limited evaluation of the various estimation methods outlined in Section 4. In the main this has led to estimates being validated against income proxies or alternative estimates of limited comparability (c.f. </w:t>
      </w:r>
      <w:proofErr w:type="spellStart"/>
      <w:r w:rsidRPr="00520B73">
        <w:rPr>
          <w:rFonts w:asciiTheme="minorHAnsi" w:hAnsiTheme="minorHAnsi" w:cstheme="minorHAnsi"/>
          <w:sz w:val="22"/>
        </w:rPr>
        <w:t>Longhurst</w:t>
      </w:r>
      <w:proofErr w:type="spellEnd"/>
      <w:r w:rsidRPr="00520B73">
        <w:rPr>
          <w:rFonts w:asciiTheme="minorHAnsi" w:hAnsiTheme="minorHAnsi" w:cstheme="minorHAnsi"/>
          <w:sz w:val="22"/>
        </w:rPr>
        <w:t xml:space="preserve"> </w:t>
      </w:r>
      <w:r w:rsidR="007E6F4D" w:rsidRPr="007E6F4D">
        <w:rPr>
          <w:rFonts w:asciiTheme="minorHAnsi" w:hAnsiTheme="minorHAnsi" w:cstheme="minorHAnsi"/>
          <w:i/>
          <w:sz w:val="22"/>
        </w:rPr>
        <w:t>et al</w:t>
      </w:r>
      <w:r w:rsidRPr="00520B73">
        <w:rPr>
          <w:rFonts w:asciiTheme="minorHAnsi" w:hAnsiTheme="minorHAnsi" w:cstheme="minorHAnsi"/>
          <w:sz w:val="22"/>
        </w:rPr>
        <w:t xml:space="preserve">, 2004b). The one notable exception to this is EURAREA’s benchmarking of alternative model-based estimates against directly equivalent empirical data (The EURAREA Consortium, 2004). This served to show that ecological regression models perform well, but left unanswered the question of how they fare relative to proxy, </w:t>
      </w:r>
      <w:proofErr w:type="spellStart"/>
      <w:r w:rsidRPr="00520B73">
        <w:rPr>
          <w:rFonts w:asciiTheme="minorHAnsi" w:hAnsiTheme="minorHAnsi" w:cstheme="minorHAnsi"/>
          <w:sz w:val="22"/>
        </w:rPr>
        <w:t>geodemographic</w:t>
      </w:r>
      <w:proofErr w:type="spellEnd"/>
      <w:r w:rsidRPr="00520B73">
        <w:rPr>
          <w:rFonts w:asciiTheme="minorHAnsi" w:hAnsiTheme="minorHAnsi" w:cstheme="minorHAnsi"/>
          <w:sz w:val="22"/>
        </w:rPr>
        <w:t xml:space="preserve"> and imputation-based estimates. In addition no published validation has paid more than the scantest attention to the impact of scale, or to the measure of income used. Yet the spatial segregation of incomes varies with scale and type of income (c.f. Section </w:t>
      </w:r>
      <w:r w:rsidR="00015CD9">
        <w:rPr>
          <w:rFonts w:asciiTheme="minorHAnsi" w:hAnsiTheme="minorHAnsi" w:cstheme="minorHAnsi"/>
          <w:sz w:val="22"/>
        </w:rPr>
        <w:t>3</w:t>
      </w:r>
      <w:r w:rsidRPr="00520B73">
        <w:rPr>
          <w:rFonts w:asciiTheme="minorHAnsi" w:hAnsiTheme="minorHAnsi" w:cstheme="minorHAnsi"/>
          <w:sz w:val="22"/>
        </w:rPr>
        <w:t>), suggesting that the optimal estimation strategy may vary according to the areal unit and income measure for which small-area estimates are required.</w:t>
      </w:r>
    </w:p>
    <w:p w14:paraId="3613E364" w14:textId="77777777" w:rsidR="006B48D6" w:rsidRPr="00520B73" w:rsidRDefault="006B48D6" w:rsidP="00015CD9">
      <w:pPr>
        <w:spacing w:line="276" w:lineRule="auto"/>
        <w:jc w:val="both"/>
        <w:rPr>
          <w:rFonts w:asciiTheme="minorHAnsi" w:hAnsiTheme="minorHAnsi" w:cstheme="minorHAnsi"/>
          <w:sz w:val="22"/>
        </w:rPr>
      </w:pPr>
    </w:p>
    <w:p w14:paraId="340751AA" w14:textId="77777777" w:rsidR="00A70EC8" w:rsidRPr="00520B73" w:rsidRDefault="004F7D18" w:rsidP="00015CD9">
      <w:pPr>
        <w:spacing w:line="276" w:lineRule="auto"/>
        <w:jc w:val="both"/>
        <w:rPr>
          <w:rFonts w:asciiTheme="minorHAnsi" w:hAnsiTheme="minorHAnsi" w:cstheme="minorHAnsi"/>
          <w:i/>
          <w:sz w:val="22"/>
        </w:rPr>
      </w:pPr>
      <w:r w:rsidRPr="00520B73">
        <w:rPr>
          <w:rFonts w:asciiTheme="minorHAnsi" w:hAnsiTheme="minorHAnsi" w:cstheme="minorHAnsi"/>
          <w:i/>
          <w:sz w:val="22"/>
        </w:rPr>
        <w:t>5</w:t>
      </w:r>
      <w:r w:rsidR="00A70EC8" w:rsidRPr="00520B73">
        <w:rPr>
          <w:rFonts w:asciiTheme="minorHAnsi" w:hAnsiTheme="minorHAnsi" w:cstheme="minorHAnsi"/>
          <w:i/>
          <w:sz w:val="22"/>
        </w:rPr>
        <w:t xml:space="preserve">.1 </w:t>
      </w:r>
      <w:r w:rsidR="00D41FAA" w:rsidRPr="00520B73">
        <w:rPr>
          <w:rFonts w:asciiTheme="minorHAnsi" w:hAnsiTheme="minorHAnsi" w:cstheme="minorHAnsi"/>
          <w:i/>
          <w:sz w:val="22"/>
        </w:rPr>
        <w:t xml:space="preserve">Efficacy in capturing spatial variation in mean incomes </w:t>
      </w:r>
    </w:p>
    <w:p w14:paraId="17D4B489" w14:textId="77777777" w:rsidR="00A70EC8" w:rsidRPr="00520B73" w:rsidRDefault="00A70EC8" w:rsidP="00015CD9">
      <w:pPr>
        <w:spacing w:line="276" w:lineRule="auto"/>
        <w:jc w:val="both"/>
        <w:rPr>
          <w:rFonts w:asciiTheme="minorHAnsi" w:hAnsiTheme="minorHAnsi" w:cstheme="minorHAnsi"/>
          <w:sz w:val="22"/>
        </w:rPr>
      </w:pPr>
    </w:p>
    <w:p w14:paraId="561EB413" w14:textId="77777777" w:rsidR="00400134" w:rsidRDefault="001C60EC" w:rsidP="00015CD9">
      <w:pPr>
        <w:spacing w:line="276" w:lineRule="auto"/>
        <w:jc w:val="both"/>
        <w:rPr>
          <w:rFonts w:asciiTheme="minorHAnsi" w:hAnsiTheme="minorHAnsi" w:cstheme="minorHAnsi"/>
          <w:sz w:val="22"/>
        </w:rPr>
      </w:pPr>
      <w:r>
        <w:rPr>
          <w:rFonts w:asciiTheme="minorHAnsi" w:hAnsiTheme="minorHAnsi" w:cstheme="minorHAnsi"/>
          <w:sz w:val="22"/>
        </w:rPr>
        <w:t>Table 3 reports how well the various small-area estimation strategies capture the mean incomes of enumeration districts in the Census Rehearsal.</w:t>
      </w:r>
      <w:r w:rsidRPr="00520B73">
        <w:rPr>
          <w:rFonts w:asciiTheme="minorHAnsi" w:hAnsiTheme="minorHAnsi" w:cstheme="minorHAnsi"/>
          <w:sz w:val="22"/>
        </w:rPr>
        <w:t xml:space="preserve"> </w:t>
      </w:r>
      <w:r>
        <w:rPr>
          <w:rFonts w:asciiTheme="minorHAnsi" w:hAnsiTheme="minorHAnsi" w:cstheme="minorHAnsi"/>
          <w:sz w:val="22"/>
        </w:rPr>
        <w:t xml:space="preserve">Two measures are used. The coefficient of determination </w:t>
      </w:r>
      <w:r w:rsidR="00A433A5">
        <w:rPr>
          <w:rFonts w:asciiTheme="minorHAnsi" w:hAnsiTheme="minorHAnsi" w:cstheme="minorHAnsi"/>
          <w:sz w:val="22"/>
        </w:rPr>
        <w:t>(</w:t>
      </w:r>
      <w:r w:rsidR="00A433A5" w:rsidRPr="00A433A5">
        <w:rPr>
          <w:rFonts w:asciiTheme="minorHAnsi" w:hAnsiTheme="minorHAnsi" w:cstheme="minorHAnsi"/>
          <w:i/>
          <w:sz w:val="22"/>
        </w:rPr>
        <w:t>r</w:t>
      </w:r>
      <w:r w:rsidR="00A433A5" w:rsidRPr="00A433A5">
        <w:rPr>
          <w:rFonts w:asciiTheme="minorHAnsi" w:hAnsiTheme="minorHAnsi" w:cstheme="minorHAnsi"/>
          <w:sz w:val="22"/>
          <w:vertAlign w:val="superscript"/>
        </w:rPr>
        <w:t>2</w:t>
      </w:r>
      <w:r w:rsidR="00A433A5">
        <w:rPr>
          <w:rFonts w:asciiTheme="minorHAnsi" w:hAnsiTheme="minorHAnsi" w:cstheme="minorHAnsi"/>
          <w:sz w:val="22"/>
        </w:rPr>
        <w:t xml:space="preserve">) </w:t>
      </w:r>
      <w:r>
        <w:rPr>
          <w:rFonts w:asciiTheme="minorHAnsi" w:hAnsiTheme="minorHAnsi" w:cstheme="minorHAnsi"/>
          <w:sz w:val="22"/>
        </w:rPr>
        <w:t xml:space="preserve">reports </w:t>
      </w:r>
      <w:r w:rsidR="00115BEB">
        <w:rPr>
          <w:rFonts w:asciiTheme="minorHAnsi" w:hAnsiTheme="minorHAnsi" w:cstheme="minorHAnsi"/>
          <w:sz w:val="22"/>
        </w:rPr>
        <w:t>the</w:t>
      </w:r>
      <w:r>
        <w:rPr>
          <w:rFonts w:asciiTheme="minorHAnsi" w:hAnsiTheme="minorHAnsi" w:cstheme="minorHAnsi"/>
          <w:sz w:val="22"/>
        </w:rPr>
        <w:t xml:space="preserve"> percentage of the spatial variation in mean income captured</w:t>
      </w:r>
      <w:r w:rsidR="00861E0D">
        <w:rPr>
          <w:rFonts w:asciiTheme="minorHAnsi" w:hAnsiTheme="minorHAnsi" w:cstheme="minorHAnsi"/>
          <w:sz w:val="22"/>
        </w:rPr>
        <w:t xml:space="preserve"> by each estimate</w:t>
      </w:r>
      <w:r>
        <w:rPr>
          <w:rFonts w:asciiTheme="minorHAnsi" w:hAnsiTheme="minorHAnsi" w:cstheme="minorHAnsi"/>
          <w:sz w:val="22"/>
        </w:rPr>
        <w:t xml:space="preserve">. </w:t>
      </w:r>
      <w:r w:rsidR="00F06CA2">
        <w:rPr>
          <w:rFonts w:asciiTheme="minorHAnsi" w:hAnsiTheme="minorHAnsi" w:cstheme="minorHAnsi"/>
          <w:sz w:val="22"/>
        </w:rPr>
        <w:t>In contrast, t</w:t>
      </w:r>
      <w:r>
        <w:rPr>
          <w:rFonts w:asciiTheme="minorHAnsi" w:hAnsiTheme="minorHAnsi" w:cstheme="minorHAnsi"/>
          <w:sz w:val="22"/>
        </w:rPr>
        <w:t>he coefficient of variation</w:t>
      </w:r>
      <w:r w:rsidR="00115BEB">
        <w:rPr>
          <w:rFonts w:asciiTheme="minorHAnsi" w:hAnsiTheme="minorHAnsi" w:cstheme="minorHAnsi"/>
          <w:sz w:val="22"/>
        </w:rPr>
        <w:t xml:space="preserve"> </w:t>
      </w:r>
      <w:r w:rsidR="00A433A5">
        <w:rPr>
          <w:rFonts w:asciiTheme="minorHAnsi" w:hAnsiTheme="minorHAnsi" w:cstheme="minorHAnsi"/>
          <w:sz w:val="22"/>
        </w:rPr>
        <w:t xml:space="preserve">(CV) </w:t>
      </w:r>
      <w:r w:rsidR="00CC6EB5">
        <w:rPr>
          <w:rFonts w:asciiTheme="minorHAnsi" w:hAnsiTheme="minorHAnsi" w:cstheme="minorHAnsi"/>
          <w:sz w:val="22"/>
        </w:rPr>
        <w:t>reports</w:t>
      </w:r>
      <w:r w:rsidR="00115BEB">
        <w:rPr>
          <w:rFonts w:asciiTheme="minorHAnsi" w:hAnsiTheme="minorHAnsi" w:cstheme="minorHAnsi"/>
          <w:sz w:val="22"/>
        </w:rPr>
        <w:t xml:space="preserve"> the </w:t>
      </w:r>
      <w:r>
        <w:rPr>
          <w:rFonts w:asciiTheme="minorHAnsi" w:hAnsiTheme="minorHAnsi" w:cstheme="minorHAnsi"/>
          <w:sz w:val="22"/>
        </w:rPr>
        <w:t xml:space="preserve">root mean square error </w:t>
      </w:r>
      <w:r w:rsidR="00A433A5">
        <w:rPr>
          <w:rFonts w:asciiTheme="minorHAnsi" w:hAnsiTheme="minorHAnsi" w:cstheme="minorHAnsi"/>
          <w:sz w:val="22"/>
        </w:rPr>
        <w:t xml:space="preserve">(standard deviation) </w:t>
      </w:r>
      <w:r w:rsidR="00115BEB">
        <w:rPr>
          <w:rFonts w:asciiTheme="minorHAnsi" w:hAnsiTheme="minorHAnsi" w:cstheme="minorHAnsi"/>
          <w:sz w:val="22"/>
        </w:rPr>
        <w:t xml:space="preserve">of the </w:t>
      </w:r>
      <w:r w:rsidR="00A433A5">
        <w:rPr>
          <w:rFonts w:asciiTheme="minorHAnsi" w:hAnsiTheme="minorHAnsi" w:cstheme="minorHAnsi"/>
          <w:sz w:val="22"/>
        </w:rPr>
        <w:t>estimate error</w:t>
      </w:r>
      <w:r w:rsidR="00115BEB">
        <w:rPr>
          <w:rFonts w:asciiTheme="minorHAnsi" w:hAnsiTheme="minorHAnsi" w:cstheme="minorHAnsi"/>
          <w:sz w:val="22"/>
        </w:rPr>
        <w:t xml:space="preserve">, expressed </w:t>
      </w:r>
      <w:r>
        <w:rPr>
          <w:rFonts w:asciiTheme="minorHAnsi" w:hAnsiTheme="minorHAnsi" w:cstheme="minorHAnsi"/>
          <w:sz w:val="22"/>
        </w:rPr>
        <w:t>as a % of the value being estimated.</w:t>
      </w:r>
      <w:r w:rsidR="00B922FC">
        <w:rPr>
          <w:rFonts w:asciiTheme="minorHAnsi" w:hAnsiTheme="minorHAnsi" w:cstheme="minorHAnsi"/>
          <w:sz w:val="22"/>
        </w:rPr>
        <w:t xml:space="preserve"> Since surrogate measures </w:t>
      </w:r>
      <w:r w:rsidR="00F06CA2">
        <w:rPr>
          <w:rFonts w:asciiTheme="minorHAnsi" w:hAnsiTheme="minorHAnsi" w:cstheme="minorHAnsi"/>
          <w:sz w:val="22"/>
        </w:rPr>
        <w:t xml:space="preserve">such as the % unemployed </w:t>
      </w:r>
      <w:r w:rsidR="00B922FC">
        <w:rPr>
          <w:rFonts w:asciiTheme="minorHAnsi" w:hAnsiTheme="minorHAnsi" w:cstheme="minorHAnsi"/>
          <w:sz w:val="22"/>
        </w:rPr>
        <w:t xml:space="preserve">do not provide direct estimates of area incomes, indicative CVs were calculated once the </w:t>
      </w:r>
      <w:r w:rsidR="00F06CA2">
        <w:rPr>
          <w:rFonts w:asciiTheme="minorHAnsi" w:hAnsiTheme="minorHAnsi" w:cstheme="minorHAnsi"/>
          <w:sz w:val="22"/>
        </w:rPr>
        <w:t>surrogate</w:t>
      </w:r>
      <w:r w:rsidR="00B922FC">
        <w:rPr>
          <w:rFonts w:asciiTheme="minorHAnsi" w:hAnsiTheme="minorHAnsi" w:cstheme="minorHAnsi"/>
          <w:sz w:val="22"/>
        </w:rPr>
        <w:t xml:space="preserve"> estimates had been scaled to the observed range of area incomes using range standardisation.</w:t>
      </w:r>
      <w:r w:rsidR="00F06CA2">
        <w:rPr>
          <w:rFonts w:asciiTheme="minorHAnsi" w:hAnsiTheme="minorHAnsi" w:cstheme="minorHAnsi"/>
          <w:sz w:val="22"/>
        </w:rPr>
        <w:t xml:space="preserve"> A perfect estimate would have an </w:t>
      </w:r>
      <w:r w:rsidR="00F06CA2" w:rsidRPr="00C57191">
        <w:rPr>
          <w:rFonts w:asciiTheme="minorHAnsi" w:hAnsiTheme="minorHAnsi" w:cstheme="minorHAnsi"/>
          <w:i/>
          <w:sz w:val="22"/>
        </w:rPr>
        <w:t>r</w:t>
      </w:r>
      <w:r w:rsidR="00F06CA2" w:rsidRPr="00C57191">
        <w:rPr>
          <w:rFonts w:asciiTheme="minorHAnsi" w:hAnsiTheme="minorHAnsi" w:cstheme="minorHAnsi"/>
          <w:sz w:val="22"/>
          <w:vertAlign w:val="superscript"/>
        </w:rPr>
        <w:t>2</w:t>
      </w:r>
      <w:r w:rsidR="00F06CA2">
        <w:rPr>
          <w:rFonts w:asciiTheme="minorHAnsi" w:hAnsiTheme="minorHAnsi" w:cstheme="minorHAnsi"/>
          <w:sz w:val="22"/>
        </w:rPr>
        <w:t xml:space="preserve"> of 100% and a CV of 0%.</w:t>
      </w:r>
      <w:r w:rsidR="00A85598">
        <w:rPr>
          <w:rFonts w:asciiTheme="minorHAnsi" w:hAnsiTheme="minorHAnsi" w:cstheme="minorHAnsi"/>
          <w:sz w:val="22"/>
        </w:rPr>
        <w:t xml:space="preserve"> ONS (2013) </w:t>
      </w:r>
      <w:r w:rsidR="007D49BB">
        <w:rPr>
          <w:rFonts w:asciiTheme="minorHAnsi" w:hAnsiTheme="minorHAnsi" w:cstheme="minorHAnsi"/>
          <w:sz w:val="22"/>
        </w:rPr>
        <w:t>deems estimates with a CV of less than 20% to be ‘fit for purpose’.</w:t>
      </w:r>
    </w:p>
    <w:p w14:paraId="72EF219A" w14:textId="77777777" w:rsidR="00400134" w:rsidRDefault="00400134" w:rsidP="00015CD9">
      <w:pPr>
        <w:spacing w:line="276" w:lineRule="auto"/>
        <w:jc w:val="both"/>
        <w:rPr>
          <w:rFonts w:asciiTheme="minorHAnsi" w:hAnsiTheme="minorHAnsi" w:cstheme="minorHAnsi"/>
          <w:sz w:val="22"/>
        </w:rPr>
      </w:pPr>
    </w:p>
    <w:p w14:paraId="5AE915F1" w14:textId="77777777" w:rsidR="002054D6" w:rsidRPr="00520B73" w:rsidRDefault="000330B4"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The results presented </w:t>
      </w:r>
      <w:r w:rsidR="00C038AD" w:rsidRPr="00520B73">
        <w:rPr>
          <w:rFonts w:asciiTheme="minorHAnsi" w:hAnsiTheme="minorHAnsi" w:cstheme="minorHAnsi"/>
          <w:sz w:val="22"/>
        </w:rPr>
        <w:t xml:space="preserve">have been found to be insensitive to </w:t>
      </w:r>
      <w:r w:rsidR="006B48D6" w:rsidRPr="00520B73">
        <w:rPr>
          <w:rFonts w:asciiTheme="minorHAnsi" w:hAnsiTheme="minorHAnsi" w:cstheme="minorHAnsi"/>
          <w:sz w:val="22"/>
        </w:rPr>
        <w:t>(</w:t>
      </w:r>
      <w:proofErr w:type="spellStart"/>
      <w:r w:rsidR="006B48D6" w:rsidRPr="00520B73">
        <w:rPr>
          <w:rFonts w:asciiTheme="minorHAnsi" w:hAnsiTheme="minorHAnsi" w:cstheme="minorHAnsi"/>
          <w:sz w:val="22"/>
        </w:rPr>
        <w:t>i</w:t>
      </w:r>
      <w:proofErr w:type="spellEnd"/>
      <w:r w:rsidR="006B48D6" w:rsidRPr="00520B73">
        <w:rPr>
          <w:rFonts w:asciiTheme="minorHAnsi" w:hAnsiTheme="minorHAnsi" w:cstheme="minorHAnsi"/>
          <w:sz w:val="22"/>
        </w:rPr>
        <w:t>) Geography</w:t>
      </w:r>
      <w:r w:rsidR="00C038AD" w:rsidRPr="00520B73">
        <w:rPr>
          <w:rFonts w:asciiTheme="minorHAnsi" w:hAnsiTheme="minorHAnsi" w:cstheme="minorHAnsi"/>
          <w:sz w:val="22"/>
        </w:rPr>
        <w:t xml:space="preserve"> (1991 or </w:t>
      </w:r>
      <w:r w:rsidR="00421639">
        <w:rPr>
          <w:rFonts w:asciiTheme="minorHAnsi" w:hAnsiTheme="minorHAnsi" w:cstheme="minorHAnsi"/>
          <w:sz w:val="22"/>
        </w:rPr>
        <w:t>1999</w:t>
      </w:r>
      <w:r w:rsidR="002054D6" w:rsidRPr="00520B73">
        <w:rPr>
          <w:rFonts w:asciiTheme="minorHAnsi" w:hAnsiTheme="minorHAnsi" w:cstheme="minorHAnsi"/>
          <w:sz w:val="22"/>
        </w:rPr>
        <w:t xml:space="preserve"> boundaries</w:t>
      </w:r>
      <w:r w:rsidR="00C038AD" w:rsidRPr="00520B73">
        <w:rPr>
          <w:rFonts w:asciiTheme="minorHAnsi" w:hAnsiTheme="minorHAnsi" w:cstheme="minorHAnsi"/>
          <w:sz w:val="22"/>
        </w:rPr>
        <w:t>)</w:t>
      </w:r>
      <w:r w:rsidR="006B48D6" w:rsidRPr="00520B73">
        <w:rPr>
          <w:rFonts w:asciiTheme="minorHAnsi" w:hAnsiTheme="minorHAnsi" w:cstheme="minorHAnsi"/>
          <w:sz w:val="22"/>
        </w:rPr>
        <w:t>; (ii) Method of imputing top-band mean income; (iii) degree of ‘</w:t>
      </w:r>
      <w:proofErr w:type="spellStart"/>
      <w:r w:rsidR="006B48D6" w:rsidRPr="00520B73">
        <w:rPr>
          <w:rFonts w:asciiTheme="minorHAnsi" w:hAnsiTheme="minorHAnsi" w:cstheme="minorHAnsi"/>
          <w:sz w:val="22"/>
        </w:rPr>
        <w:t>missingness</w:t>
      </w:r>
      <w:proofErr w:type="spellEnd"/>
      <w:r w:rsidR="006B48D6" w:rsidRPr="00520B73">
        <w:rPr>
          <w:rFonts w:asciiTheme="minorHAnsi" w:hAnsiTheme="minorHAnsi" w:cstheme="minorHAnsi"/>
          <w:sz w:val="22"/>
        </w:rPr>
        <w:t xml:space="preserve">’ in </w:t>
      </w:r>
      <w:r w:rsidR="00F104EA">
        <w:rPr>
          <w:rFonts w:asciiTheme="minorHAnsi" w:hAnsiTheme="minorHAnsi" w:cstheme="minorHAnsi"/>
          <w:sz w:val="22"/>
        </w:rPr>
        <w:t xml:space="preserve">the </w:t>
      </w:r>
      <w:r w:rsidR="006B48D6" w:rsidRPr="00520B73">
        <w:rPr>
          <w:rFonts w:asciiTheme="minorHAnsi" w:hAnsiTheme="minorHAnsi" w:cstheme="minorHAnsi"/>
          <w:sz w:val="22"/>
        </w:rPr>
        <w:t>Rehearsal sub-set being analyse</w:t>
      </w:r>
      <w:r w:rsidR="00F104EA">
        <w:rPr>
          <w:rFonts w:asciiTheme="minorHAnsi" w:hAnsiTheme="minorHAnsi" w:cstheme="minorHAnsi"/>
          <w:sz w:val="22"/>
        </w:rPr>
        <w:t>d</w:t>
      </w:r>
      <w:r w:rsidR="006B48D6" w:rsidRPr="00520B73">
        <w:rPr>
          <w:rFonts w:asciiTheme="minorHAnsi" w:hAnsiTheme="minorHAnsi" w:cstheme="minorHAnsi"/>
          <w:sz w:val="22"/>
        </w:rPr>
        <w:t xml:space="preserve">; (iv) </w:t>
      </w:r>
      <w:r w:rsidRPr="00520B73">
        <w:rPr>
          <w:rFonts w:asciiTheme="minorHAnsi" w:hAnsiTheme="minorHAnsi" w:cstheme="minorHAnsi"/>
          <w:sz w:val="22"/>
        </w:rPr>
        <w:t xml:space="preserve">use of a full or </w:t>
      </w:r>
      <w:r w:rsidR="006B48D6" w:rsidRPr="00520B73">
        <w:rPr>
          <w:rFonts w:asciiTheme="minorHAnsi" w:hAnsiTheme="minorHAnsi" w:cstheme="minorHAnsi"/>
          <w:sz w:val="22"/>
        </w:rPr>
        <w:t xml:space="preserve">partitioned Rehearsal </w:t>
      </w:r>
      <w:r w:rsidRPr="00520B73">
        <w:rPr>
          <w:rFonts w:asciiTheme="minorHAnsi" w:hAnsiTheme="minorHAnsi" w:cstheme="minorHAnsi"/>
          <w:sz w:val="22"/>
        </w:rPr>
        <w:t>dataset to estimate model parameters</w:t>
      </w:r>
      <w:r w:rsidR="006B48D6" w:rsidRPr="00520B73">
        <w:rPr>
          <w:rFonts w:asciiTheme="minorHAnsi" w:hAnsiTheme="minorHAnsi" w:cstheme="minorHAnsi"/>
          <w:sz w:val="22"/>
        </w:rPr>
        <w:t>.  As a result, concerns over the possible impacts of the Modifiable Areal Unit Problem, the actual value of income for individuals within income bands, ques</w:t>
      </w:r>
      <w:r w:rsidR="002054D6" w:rsidRPr="00520B73">
        <w:rPr>
          <w:rFonts w:asciiTheme="minorHAnsi" w:hAnsiTheme="minorHAnsi" w:cstheme="minorHAnsi"/>
          <w:sz w:val="22"/>
        </w:rPr>
        <w:t>tion-specific non-response bias and</w:t>
      </w:r>
      <w:r w:rsidR="006B48D6" w:rsidRPr="00520B73">
        <w:rPr>
          <w:rFonts w:asciiTheme="minorHAnsi" w:hAnsiTheme="minorHAnsi" w:cstheme="minorHAnsi"/>
          <w:sz w:val="22"/>
        </w:rPr>
        <w:t xml:space="preserve"> data over-fitting can be dismissed.</w:t>
      </w:r>
      <w:r w:rsidR="002054D6" w:rsidRPr="00520B73">
        <w:rPr>
          <w:rFonts w:asciiTheme="minorHAnsi" w:hAnsiTheme="minorHAnsi" w:cstheme="minorHAnsi"/>
          <w:sz w:val="22"/>
        </w:rPr>
        <w:t xml:space="preserve"> </w:t>
      </w:r>
      <w:r w:rsidR="005E3B4B" w:rsidRPr="00520B73">
        <w:rPr>
          <w:rFonts w:asciiTheme="minorHAnsi" w:hAnsiTheme="minorHAnsi" w:cstheme="minorHAnsi"/>
          <w:sz w:val="22"/>
        </w:rPr>
        <w:t>Full discussion of t</w:t>
      </w:r>
      <w:r w:rsidR="002054D6" w:rsidRPr="00520B73">
        <w:rPr>
          <w:rFonts w:asciiTheme="minorHAnsi" w:hAnsiTheme="minorHAnsi" w:cstheme="minorHAnsi"/>
          <w:sz w:val="22"/>
        </w:rPr>
        <w:t xml:space="preserve">he influence of scale is </w:t>
      </w:r>
      <w:r w:rsidR="001568E7" w:rsidRPr="00520B73">
        <w:rPr>
          <w:rFonts w:asciiTheme="minorHAnsi" w:hAnsiTheme="minorHAnsi" w:cstheme="minorHAnsi"/>
          <w:sz w:val="22"/>
        </w:rPr>
        <w:t>deferred</w:t>
      </w:r>
      <w:r w:rsidR="005E3B4B" w:rsidRPr="00520B73">
        <w:rPr>
          <w:rFonts w:asciiTheme="minorHAnsi" w:hAnsiTheme="minorHAnsi" w:cstheme="minorHAnsi"/>
          <w:sz w:val="22"/>
        </w:rPr>
        <w:t xml:space="preserve"> for the moment</w:t>
      </w:r>
      <w:r w:rsidR="002054D6" w:rsidRPr="00520B73">
        <w:rPr>
          <w:rFonts w:asciiTheme="minorHAnsi" w:hAnsiTheme="minorHAnsi" w:cstheme="minorHAnsi"/>
          <w:sz w:val="22"/>
        </w:rPr>
        <w:t>, but in summary similar findings apply regardless of spatial scale</w:t>
      </w:r>
      <w:r w:rsidR="005E3B4B" w:rsidRPr="00520B73">
        <w:rPr>
          <w:rFonts w:asciiTheme="minorHAnsi" w:hAnsiTheme="minorHAnsi" w:cstheme="minorHAnsi"/>
          <w:sz w:val="22"/>
        </w:rPr>
        <w:t>.</w:t>
      </w:r>
    </w:p>
    <w:p w14:paraId="3AFBA846" w14:textId="77777777" w:rsidR="002054D6" w:rsidRPr="00520B73" w:rsidRDefault="002054D6" w:rsidP="00015CD9">
      <w:pPr>
        <w:spacing w:line="276" w:lineRule="auto"/>
        <w:jc w:val="both"/>
        <w:rPr>
          <w:rFonts w:asciiTheme="minorHAnsi" w:hAnsiTheme="minorHAnsi" w:cstheme="minorHAnsi"/>
          <w:sz w:val="22"/>
        </w:rPr>
      </w:pPr>
    </w:p>
    <w:p w14:paraId="63736A95" w14:textId="77777777" w:rsidR="00880611" w:rsidRPr="00520B73" w:rsidRDefault="00880611"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As can be seen from Table </w:t>
      </w:r>
      <w:r w:rsidR="00A433A5">
        <w:rPr>
          <w:rFonts w:asciiTheme="minorHAnsi" w:hAnsiTheme="minorHAnsi" w:cstheme="minorHAnsi"/>
          <w:sz w:val="22"/>
        </w:rPr>
        <w:t>3</w:t>
      </w:r>
      <w:r w:rsidRPr="00520B73">
        <w:rPr>
          <w:rFonts w:asciiTheme="minorHAnsi" w:hAnsiTheme="minorHAnsi" w:cstheme="minorHAnsi"/>
          <w:sz w:val="22"/>
        </w:rPr>
        <w:t>, b</w:t>
      </w:r>
      <w:r w:rsidR="006B48D6" w:rsidRPr="00520B73">
        <w:rPr>
          <w:rFonts w:asciiTheme="minorHAnsi" w:hAnsiTheme="minorHAnsi" w:cstheme="minorHAnsi"/>
          <w:sz w:val="22"/>
        </w:rPr>
        <w:t xml:space="preserve">y far the most effective </w:t>
      </w:r>
      <w:proofErr w:type="spellStart"/>
      <w:r w:rsidR="006B48D6" w:rsidRPr="00520B73">
        <w:rPr>
          <w:rFonts w:asciiTheme="minorHAnsi" w:hAnsiTheme="minorHAnsi" w:cstheme="minorHAnsi"/>
          <w:sz w:val="22"/>
        </w:rPr>
        <w:t>univariate</w:t>
      </w:r>
      <w:proofErr w:type="spellEnd"/>
      <w:r w:rsidR="006B48D6" w:rsidRPr="00520B73">
        <w:rPr>
          <w:rFonts w:asciiTheme="minorHAnsi" w:hAnsiTheme="minorHAnsi" w:cstheme="minorHAnsi"/>
          <w:sz w:val="22"/>
        </w:rPr>
        <w:t xml:space="preserve"> surrogate</w:t>
      </w:r>
      <w:r w:rsidR="001568E7" w:rsidRPr="00520B73">
        <w:rPr>
          <w:rFonts w:asciiTheme="minorHAnsi" w:hAnsiTheme="minorHAnsi" w:cstheme="minorHAnsi"/>
          <w:sz w:val="22"/>
        </w:rPr>
        <w:t xml:space="preserve"> for mean ED income</w:t>
      </w:r>
      <w:r w:rsidR="006B48D6" w:rsidRPr="00520B73">
        <w:rPr>
          <w:rFonts w:asciiTheme="minorHAnsi" w:hAnsiTheme="minorHAnsi" w:cstheme="minorHAnsi"/>
          <w:sz w:val="22"/>
        </w:rPr>
        <w:t xml:space="preserve">, across the full range of income measures, is PNSSEC12, the % of the economically active population in NS-SEC categories 1 + 2 (Managerial and Professional occupations).  This surrogate </w:t>
      </w:r>
      <w:r w:rsidR="009A047F">
        <w:rPr>
          <w:rFonts w:asciiTheme="minorHAnsi" w:hAnsiTheme="minorHAnsi" w:cstheme="minorHAnsi"/>
          <w:sz w:val="22"/>
        </w:rPr>
        <w:t>enjoys the lowest CV</w:t>
      </w:r>
      <w:r w:rsidR="00C57191">
        <w:rPr>
          <w:rFonts w:asciiTheme="minorHAnsi" w:hAnsiTheme="minorHAnsi" w:cstheme="minorHAnsi"/>
          <w:sz w:val="22"/>
        </w:rPr>
        <w:t>s</w:t>
      </w:r>
      <w:r w:rsidR="009A047F">
        <w:rPr>
          <w:rFonts w:asciiTheme="minorHAnsi" w:hAnsiTheme="minorHAnsi" w:cstheme="minorHAnsi"/>
          <w:sz w:val="22"/>
        </w:rPr>
        <w:t xml:space="preserve"> and </w:t>
      </w:r>
      <w:r w:rsidR="006B48D6" w:rsidRPr="00520B73">
        <w:rPr>
          <w:rFonts w:asciiTheme="minorHAnsi" w:hAnsiTheme="minorHAnsi" w:cstheme="minorHAnsi"/>
          <w:sz w:val="22"/>
        </w:rPr>
        <w:t xml:space="preserve">captures </w:t>
      </w:r>
      <w:r w:rsidRPr="00520B73">
        <w:rPr>
          <w:rFonts w:asciiTheme="minorHAnsi" w:hAnsiTheme="minorHAnsi" w:cstheme="minorHAnsi"/>
          <w:sz w:val="22"/>
        </w:rPr>
        <w:t>6</w:t>
      </w:r>
      <w:r w:rsidR="000C4B27">
        <w:rPr>
          <w:rFonts w:asciiTheme="minorHAnsi" w:hAnsiTheme="minorHAnsi" w:cstheme="minorHAnsi"/>
          <w:sz w:val="22"/>
        </w:rPr>
        <w:t>5</w:t>
      </w:r>
      <w:r w:rsidR="006B48D6" w:rsidRPr="00520B73">
        <w:rPr>
          <w:rFonts w:asciiTheme="minorHAnsi" w:hAnsiTheme="minorHAnsi" w:cstheme="minorHAnsi"/>
          <w:sz w:val="22"/>
        </w:rPr>
        <w:t xml:space="preserve"> to 8</w:t>
      </w:r>
      <w:r w:rsidR="000C4B27">
        <w:rPr>
          <w:rFonts w:asciiTheme="minorHAnsi" w:hAnsiTheme="minorHAnsi" w:cstheme="minorHAnsi"/>
          <w:sz w:val="22"/>
        </w:rPr>
        <w:t>3</w:t>
      </w:r>
      <w:r w:rsidR="006B48D6" w:rsidRPr="00520B73">
        <w:rPr>
          <w:rFonts w:asciiTheme="minorHAnsi" w:hAnsiTheme="minorHAnsi" w:cstheme="minorHAnsi"/>
          <w:sz w:val="22"/>
        </w:rPr>
        <w:t xml:space="preserve">% of the observed </w:t>
      </w:r>
      <w:r w:rsidR="00A433A5">
        <w:rPr>
          <w:rFonts w:asciiTheme="minorHAnsi" w:hAnsiTheme="minorHAnsi" w:cstheme="minorHAnsi"/>
          <w:sz w:val="22"/>
        </w:rPr>
        <w:t xml:space="preserve">spatial </w:t>
      </w:r>
      <w:r w:rsidR="006B48D6" w:rsidRPr="00520B73">
        <w:rPr>
          <w:rFonts w:asciiTheme="minorHAnsi" w:hAnsiTheme="minorHAnsi" w:cstheme="minorHAnsi"/>
          <w:sz w:val="22"/>
        </w:rPr>
        <w:t xml:space="preserve">variation in </w:t>
      </w:r>
      <w:r w:rsidRPr="00520B73">
        <w:rPr>
          <w:rFonts w:asciiTheme="minorHAnsi" w:hAnsiTheme="minorHAnsi" w:cstheme="minorHAnsi"/>
          <w:sz w:val="22"/>
        </w:rPr>
        <w:t>mean enumeration district incomes, dipping below 7</w:t>
      </w:r>
      <w:r w:rsidR="000C4B27">
        <w:rPr>
          <w:rFonts w:asciiTheme="minorHAnsi" w:hAnsiTheme="minorHAnsi" w:cstheme="minorHAnsi"/>
          <w:sz w:val="22"/>
        </w:rPr>
        <w:t>5</w:t>
      </w:r>
      <w:r w:rsidRPr="00520B73">
        <w:rPr>
          <w:rFonts w:asciiTheme="minorHAnsi" w:hAnsiTheme="minorHAnsi" w:cstheme="minorHAnsi"/>
          <w:sz w:val="22"/>
        </w:rPr>
        <w:t>% only for total household income</w:t>
      </w:r>
      <w:r w:rsidR="006B48D6" w:rsidRPr="00520B73">
        <w:rPr>
          <w:rFonts w:asciiTheme="minorHAnsi" w:hAnsiTheme="minorHAnsi" w:cstheme="minorHAnsi"/>
          <w:sz w:val="22"/>
        </w:rPr>
        <w:t>.</w:t>
      </w:r>
      <w:r w:rsidR="00A433A5" w:rsidRPr="00520B73">
        <w:rPr>
          <w:rFonts w:asciiTheme="minorHAnsi" w:hAnsiTheme="minorHAnsi" w:cstheme="minorHAnsi"/>
          <w:sz w:val="22"/>
        </w:rPr>
        <w:t xml:space="preserve"> </w:t>
      </w:r>
      <w:r w:rsidRPr="00520B73">
        <w:rPr>
          <w:rFonts w:asciiTheme="minorHAnsi" w:hAnsiTheme="minorHAnsi" w:cstheme="minorHAnsi"/>
          <w:sz w:val="22"/>
        </w:rPr>
        <w:t xml:space="preserve">Indeed, total household income is the only </w:t>
      </w:r>
      <w:r w:rsidR="006B48D6" w:rsidRPr="00520B73">
        <w:rPr>
          <w:rFonts w:asciiTheme="minorHAnsi" w:hAnsiTheme="minorHAnsi" w:cstheme="minorHAnsi"/>
          <w:sz w:val="22"/>
        </w:rPr>
        <w:t xml:space="preserve">income measure for which a </w:t>
      </w:r>
      <w:proofErr w:type="spellStart"/>
      <w:r w:rsidRPr="00520B73">
        <w:rPr>
          <w:rFonts w:asciiTheme="minorHAnsi" w:hAnsiTheme="minorHAnsi" w:cstheme="minorHAnsi"/>
          <w:sz w:val="22"/>
        </w:rPr>
        <w:t>univariate</w:t>
      </w:r>
      <w:proofErr w:type="spellEnd"/>
      <w:r w:rsidRPr="00520B73">
        <w:rPr>
          <w:rFonts w:asciiTheme="minorHAnsi" w:hAnsiTheme="minorHAnsi" w:cstheme="minorHAnsi"/>
          <w:sz w:val="22"/>
        </w:rPr>
        <w:t xml:space="preserve"> surrogate </w:t>
      </w:r>
      <w:r w:rsidR="001568E7" w:rsidRPr="00520B73">
        <w:rPr>
          <w:rFonts w:asciiTheme="minorHAnsi" w:hAnsiTheme="minorHAnsi" w:cstheme="minorHAnsi"/>
          <w:sz w:val="22"/>
        </w:rPr>
        <w:t xml:space="preserve">was found </w:t>
      </w:r>
      <w:r w:rsidR="009A047F">
        <w:rPr>
          <w:rFonts w:asciiTheme="minorHAnsi" w:hAnsiTheme="minorHAnsi" w:cstheme="minorHAnsi"/>
          <w:sz w:val="22"/>
        </w:rPr>
        <w:t xml:space="preserve">with a higher </w:t>
      </w:r>
      <w:r w:rsidR="009A047F" w:rsidRPr="009A047F">
        <w:rPr>
          <w:rFonts w:asciiTheme="minorHAnsi" w:hAnsiTheme="minorHAnsi" w:cstheme="minorHAnsi"/>
          <w:i/>
          <w:sz w:val="22"/>
        </w:rPr>
        <w:t>r</w:t>
      </w:r>
      <w:r w:rsidR="009A047F" w:rsidRPr="009A047F">
        <w:rPr>
          <w:rFonts w:asciiTheme="minorHAnsi" w:hAnsiTheme="minorHAnsi" w:cstheme="minorHAnsi"/>
          <w:sz w:val="22"/>
          <w:vertAlign w:val="superscript"/>
        </w:rPr>
        <w:t>2</w:t>
      </w:r>
      <w:r w:rsidR="009A047F">
        <w:rPr>
          <w:rFonts w:asciiTheme="minorHAnsi" w:hAnsiTheme="minorHAnsi" w:cstheme="minorHAnsi"/>
          <w:sz w:val="22"/>
        </w:rPr>
        <w:t xml:space="preserve"> </w:t>
      </w:r>
      <w:r w:rsidRPr="00520B73">
        <w:rPr>
          <w:rFonts w:asciiTheme="minorHAnsi" w:hAnsiTheme="minorHAnsi" w:cstheme="minorHAnsi"/>
          <w:sz w:val="22"/>
        </w:rPr>
        <w:t>(</w:t>
      </w:r>
      <w:r w:rsidR="006B48D6" w:rsidRPr="00520B73">
        <w:rPr>
          <w:rFonts w:asciiTheme="minorHAnsi" w:hAnsiTheme="minorHAnsi" w:cstheme="minorHAnsi"/>
          <w:sz w:val="22"/>
        </w:rPr>
        <w:t>% no car households</w:t>
      </w:r>
      <w:r w:rsidRPr="00520B73">
        <w:rPr>
          <w:rFonts w:asciiTheme="minorHAnsi" w:hAnsiTheme="minorHAnsi" w:cstheme="minorHAnsi"/>
          <w:sz w:val="22"/>
        </w:rPr>
        <w:t>)</w:t>
      </w:r>
      <w:r w:rsidR="00B922FC">
        <w:rPr>
          <w:rFonts w:asciiTheme="minorHAnsi" w:hAnsiTheme="minorHAnsi" w:cstheme="minorHAnsi"/>
          <w:sz w:val="22"/>
        </w:rPr>
        <w:t>; and even here PNSSEC12 had a much lower CV</w:t>
      </w:r>
      <w:r w:rsidR="00A433A5">
        <w:rPr>
          <w:rFonts w:asciiTheme="minorHAnsi" w:hAnsiTheme="minorHAnsi" w:cstheme="minorHAnsi"/>
          <w:sz w:val="22"/>
        </w:rPr>
        <w:t xml:space="preserve">. </w:t>
      </w:r>
      <w:r w:rsidRPr="00520B73">
        <w:rPr>
          <w:rFonts w:asciiTheme="minorHAnsi" w:hAnsiTheme="minorHAnsi" w:cstheme="minorHAnsi"/>
          <w:sz w:val="22"/>
        </w:rPr>
        <w:t xml:space="preserve">Of the multivariate surrogates considered </w:t>
      </w:r>
      <w:r w:rsidR="001568E7" w:rsidRPr="00520B73">
        <w:rPr>
          <w:rFonts w:asciiTheme="minorHAnsi" w:hAnsiTheme="minorHAnsi" w:cstheme="minorHAnsi"/>
          <w:sz w:val="22"/>
        </w:rPr>
        <w:t xml:space="preserve">the </w:t>
      </w:r>
      <w:r w:rsidR="009A047F">
        <w:rPr>
          <w:rFonts w:asciiTheme="minorHAnsi" w:hAnsiTheme="minorHAnsi" w:cstheme="minorHAnsi"/>
          <w:sz w:val="22"/>
        </w:rPr>
        <w:t>Wealth</w:t>
      </w:r>
      <w:r w:rsidRPr="00520B73">
        <w:rPr>
          <w:rFonts w:asciiTheme="minorHAnsi" w:hAnsiTheme="minorHAnsi" w:cstheme="minorHAnsi"/>
          <w:sz w:val="22"/>
        </w:rPr>
        <w:t xml:space="preserve"> Index </w:t>
      </w:r>
      <w:r w:rsidR="001568E7" w:rsidRPr="00520B73">
        <w:rPr>
          <w:rFonts w:asciiTheme="minorHAnsi" w:hAnsiTheme="minorHAnsi" w:cstheme="minorHAnsi"/>
          <w:sz w:val="22"/>
        </w:rPr>
        <w:t xml:space="preserve">proposed by Green </w:t>
      </w:r>
      <w:r w:rsidR="00B743A9" w:rsidRPr="00520B73">
        <w:rPr>
          <w:rFonts w:asciiTheme="minorHAnsi" w:hAnsiTheme="minorHAnsi" w:cstheme="minorHAnsi"/>
          <w:sz w:val="22"/>
        </w:rPr>
        <w:t>(19</w:t>
      </w:r>
      <w:r w:rsidR="00CA2E47">
        <w:rPr>
          <w:rFonts w:asciiTheme="minorHAnsi" w:hAnsiTheme="minorHAnsi" w:cstheme="minorHAnsi"/>
          <w:sz w:val="22"/>
        </w:rPr>
        <w:t>94</w:t>
      </w:r>
      <w:r w:rsidR="00F104EA">
        <w:rPr>
          <w:rFonts w:asciiTheme="minorHAnsi" w:hAnsiTheme="minorHAnsi" w:cstheme="minorHAnsi"/>
          <w:sz w:val="22"/>
        </w:rPr>
        <w:t>) [</w:t>
      </w:r>
      <w:r w:rsidR="00B743A9" w:rsidRPr="00520B73">
        <w:rPr>
          <w:rFonts w:asciiTheme="minorHAnsi" w:hAnsiTheme="minorHAnsi" w:cstheme="minorHAnsi"/>
          <w:sz w:val="22"/>
        </w:rPr>
        <w:t>GREEN</w:t>
      </w:r>
      <w:r w:rsidR="000C4B27">
        <w:rPr>
          <w:rFonts w:asciiTheme="minorHAnsi" w:hAnsiTheme="minorHAnsi" w:cstheme="minorHAnsi"/>
          <w:sz w:val="22"/>
        </w:rPr>
        <w:t>WTH</w:t>
      </w:r>
      <w:r w:rsidR="00F104EA">
        <w:rPr>
          <w:rFonts w:asciiTheme="minorHAnsi" w:hAnsiTheme="minorHAnsi" w:cstheme="minorHAnsi"/>
          <w:sz w:val="22"/>
        </w:rPr>
        <w:t>]</w:t>
      </w:r>
      <w:r w:rsidRPr="00520B73">
        <w:rPr>
          <w:rFonts w:asciiTheme="minorHAnsi" w:hAnsiTheme="minorHAnsi" w:cstheme="minorHAnsi"/>
          <w:sz w:val="22"/>
        </w:rPr>
        <w:t xml:space="preserve"> offers the best performance across all measures of income; but even this multivariate index is out-performed on all occasions by PNSSEC12</w:t>
      </w:r>
      <w:r w:rsidR="009A047F">
        <w:rPr>
          <w:rFonts w:asciiTheme="minorHAnsi" w:hAnsiTheme="minorHAnsi" w:cstheme="minorHAnsi"/>
          <w:sz w:val="22"/>
        </w:rPr>
        <w:t xml:space="preserve">, both in terms of </w:t>
      </w:r>
      <w:r w:rsidR="009A047F" w:rsidRPr="009A047F">
        <w:rPr>
          <w:rFonts w:asciiTheme="minorHAnsi" w:hAnsiTheme="minorHAnsi" w:cstheme="minorHAnsi"/>
          <w:i/>
          <w:sz w:val="22"/>
        </w:rPr>
        <w:t>r</w:t>
      </w:r>
      <w:r w:rsidR="009A047F" w:rsidRPr="009A047F">
        <w:rPr>
          <w:rFonts w:asciiTheme="minorHAnsi" w:hAnsiTheme="minorHAnsi" w:cstheme="minorHAnsi"/>
          <w:sz w:val="22"/>
          <w:vertAlign w:val="superscript"/>
        </w:rPr>
        <w:t>2</w:t>
      </w:r>
      <w:r w:rsidR="009A047F">
        <w:rPr>
          <w:rFonts w:asciiTheme="minorHAnsi" w:hAnsiTheme="minorHAnsi" w:cstheme="minorHAnsi"/>
          <w:sz w:val="22"/>
        </w:rPr>
        <w:t xml:space="preserve"> and CV</w:t>
      </w:r>
      <w:r w:rsidRPr="00520B73">
        <w:rPr>
          <w:rFonts w:asciiTheme="minorHAnsi" w:hAnsiTheme="minorHAnsi" w:cstheme="minorHAnsi"/>
          <w:sz w:val="22"/>
        </w:rPr>
        <w:t>.</w:t>
      </w:r>
    </w:p>
    <w:p w14:paraId="5DCCB835" w14:textId="77777777" w:rsidR="00873AC4" w:rsidRPr="00520B73" w:rsidRDefault="00873AC4" w:rsidP="00015CD9">
      <w:pPr>
        <w:spacing w:line="276" w:lineRule="auto"/>
        <w:jc w:val="both"/>
        <w:rPr>
          <w:rFonts w:asciiTheme="minorHAnsi" w:hAnsiTheme="minorHAnsi" w:cstheme="minorHAnsi"/>
          <w:sz w:val="22"/>
        </w:rPr>
      </w:pPr>
    </w:p>
    <w:p w14:paraId="11C3C08B" w14:textId="07A111E2" w:rsidR="00873AC4" w:rsidRDefault="00F06CA2" w:rsidP="00015CD9">
      <w:pPr>
        <w:spacing w:line="276" w:lineRule="auto"/>
        <w:jc w:val="both"/>
        <w:rPr>
          <w:rFonts w:asciiTheme="minorHAnsi" w:hAnsiTheme="minorHAnsi" w:cstheme="minorHAnsi"/>
          <w:sz w:val="22"/>
        </w:rPr>
      </w:pPr>
      <w:r>
        <w:rPr>
          <w:rFonts w:asciiTheme="minorHAnsi" w:hAnsiTheme="minorHAnsi" w:cstheme="minorHAnsi"/>
          <w:sz w:val="22"/>
        </w:rPr>
        <w:t xml:space="preserve">In general </w:t>
      </w:r>
      <w:r w:rsidR="00880611" w:rsidRPr="00520B73">
        <w:rPr>
          <w:rFonts w:asciiTheme="minorHAnsi" w:hAnsiTheme="minorHAnsi" w:cstheme="minorHAnsi"/>
          <w:sz w:val="22"/>
        </w:rPr>
        <w:t xml:space="preserve">the </w:t>
      </w:r>
      <w:r w:rsidR="000C4B27">
        <w:rPr>
          <w:rFonts w:asciiTheme="minorHAnsi" w:hAnsiTheme="minorHAnsi" w:cstheme="minorHAnsi"/>
          <w:sz w:val="22"/>
        </w:rPr>
        <w:t>synthetic estimation</w:t>
      </w:r>
      <w:r w:rsidR="00880611" w:rsidRPr="00520B73">
        <w:rPr>
          <w:rFonts w:asciiTheme="minorHAnsi" w:hAnsiTheme="minorHAnsi" w:cstheme="minorHAnsi"/>
          <w:sz w:val="22"/>
        </w:rPr>
        <w:t xml:space="preserve"> strategies considered are more successful</w:t>
      </w:r>
      <w:r>
        <w:rPr>
          <w:rFonts w:asciiTheme="minorHAnsi" w:hAnsiTheme="minorHAnsi" w:cstheme="minorHAnsi"/>
          <w:sz w:val="22"/>
        </w:rPr>
        <w:t xml:space="preserve"> at competing with PNSSEC12</w:t>
      </w:r>
      <w:r w:rsidR="00880611" w:rsidRPr="00520B73">
        <w:rPr>
          <w:rFonts w:asciiTheme="minorHAnsi" w:hAnsiTheme="minorHAnsi" w:cstheme="minorHAnsi"/>
          <w:sz w:val="22"/>
        </w:rPr>
        <w:t xml:space="preserve">. </w:t>
      </w:r>
      <w:r w:rsidR="00EA6B6F">
        <w:rPr>
          <w:rFonts w:asciiTheme="minorHAnsi" w:hAnsiTheme="minorHAnsi" w:cstheme="minorHAnsi"/>
          <w:sz w:val="22"/>
        </w:rPr>
        <w:t>Both estimates based upon the</w:t>
      </w:r>
      <w:r w:rsidR="006B48D6" w:rsidRPr="00520B73">
        <w:rPr>
          <w:rFonts w:asciiTheme="minorHAnsi" w:hAnsiTheme="minorHAnsi" w:cstheme="minorHAnsi"/>
          <w:sz w:val="22"/>
        </w:rPr>
        <w:t xml:space="preserve"> </w:t>
      </w:r>
      <w:r w:rsidR="00EA6B6F">
        <w:rPr>
          <w:rFonts w:asciiTheme="minorHAnsi" w:hAnsiTheme="minorHAnsi" w:cstheme="minorHAnsi"/>
          <w:sz w:val="22"/>
        </w:rPr>
        <w:t>imputation</w:t>
      </w:r>
      <w:r w:rsidR="00B8326C" w:rsidRPr="00520B73">
        <w:rPr>
          <w:rFonts w:asciiTheme="minorHAnsi" w:hAnsiTheme="minorHAnsi" w:cstheme="minorHAnsi"/>
          <w:sz w:val="22"/>
        </w:rPr>
        <w:t xml:space="preserve"> of occupational means perform</w:t>
      </w:r>
      <w:r w:rsidR="00873AC4">
        <w:rPr>
          <w:rFonts w:asciiTheme="minorHAnsi" w:hAnsiTheme="minorHAnsi" w:cstheme="minorHAnsi"/>
          <w:sz w:val="22"/>
        </w:rPr>
        <w:t>ed</w:t>
      </w:r>
      <w:r w:rsidR="00B8326C" w:rsidRPr="00520B73">
        <w:rPr>
          <w:rFonts w:asciiTheme="minorHAnsi" w:hAnsiTheme="minorHAnsi" w:cstheme="minorHAnsi"/>
          <w:sz w:val="22"/>
        </w:rPr>
        <w:t xml:space="preserve"> well, generally </w:t>
      </w:r>
      <w:r w:rsidR="006B48D6" w:rsidRPr="00520B73">
        <w:rPr>
          <w:rFonts w:asciiTheme="minorHAnsi" w:hAnsiTheme="minorHAnsi" w:cstheme="minorHAnsi"/>
          <w:sz w:val="22"/>
        </w:rPr>
        <w:t>match</w:t>
      </w:r>
      <w:r w:rsidR="00B8326C" w:rsidRPr="00520B73">
        <w:rPr>
          <w:rFonts w:asciiTheme="minorHAnsi" w:hAnsiTheme="minorHAnsi" w:cstheme="minorHAnsi"/>
          <w:sz w:val="22"/>
        </w:rPr>
        <w:t>ing</w:t>
      </w:r>
      <w:r w:rsidR="006B48D6" w:rsidRPr="00520B73">
        <w:rPr>
          <w:rFonts w:asciiTheme="minorHAnsi" w:hAnsiTheme="minorHAnsi" w:cstheme="minorHAnsi"/>
          <w:sz w:val="22"/>
        </w:rPr>
        <w:t xml:space="preserve"> and </w:t>
      </w:r>
      <w:r w:rsidR="001568E7" w:rsidRPr="00520B73">
        <w:rPr>
          <w:rFonts w:asciiTheme="minorHAnsi" w:hAnsiTheme="minorHAnsi" w:cstheme="minorHAnsi"/>
          <w:sz w:val="22"/>
        </w:rPr>
        <w:t>sometimes</w:t>
      </w:r>
      <w:r w:rsidR="006B48D6" w:rsidRPr="00520B73">
        <w:rPr>
          <w:rFonts w:asciiTheme="minorHAnsi" w:hAnsiTheme="minorHAnsi" w:cstheme="minorHAnsi"/>
          <w:sz w:val="22"/>
        </w:rPr>
        <w:t xml:space="preserve"> marginally out-perform</w:t>
      </w:r>
      <w:r w:rsidR="00F104EA">
        <w:rPr>
          <w:rFonts w:asciiTheme="minorHAnsi" w:hAnsiTheme="minorHAnsi" w:cstheme="minorHAnsi"/>
          <w:sz w:val="22"/>
        </w:rPr>
        <w:t>ing</w:t>
      </w:r>
      <w:r w:rsidR="006B48D6" w:rsidRPr="00520B73">
        <w:rPr>
          <w:rFonts w:asciiTheme="minorHAnsi" w:hAnsiTheme="minorHAnsi" w:cstheme="minorHAnsi"/>
          <w:sz w:val="22"/>
        </w:rPr>
        <w:t xml:space="preserve"> PNSSEC12.  The same </w:t>
      </w:r>
      <w:r w:rsidR="001568E7" w:rsidRPr="00520B73">
        <w:rPr>
          <w:rFonts w:asciiTheme="minorHAnsi" w:hAnsiTheme="minorHAnsi" w:cstheme="minorHAnsi"/>
          <w:sz w:val="22"/>
        </w:rPr>
        <w:t xml:space="preserve">is </w:t>
      </w:r>
      <w:r w:rsidR="006B48D6" w:rsidRPr="00520B73">
        <w:rPr>
          <w:rFonts w:asciiTheme="minorHAnsi" w:hAnsiTheme="minorHAnsi" w:cstheme="minorHAnsi"/>
          <w:sz w:val="22"/>
        </w:rPr>
        <w:t xml:space="preserve">true of </w:t>
      </w:r>
      <w:r w:rsidR="001568E7" w:rsidRPr="00520B73">
        <w:rPr>
          <w:rFonts w:asciiTheme="minorHAnsi" w:hAnsiTheme="minorHAnsi" w:cstheme="minorHAnsi"/>
          <w:sz w:val="22"/>
        </w:rPr>
        <w:t xml:space="preserve">the </w:t>
      </w:r>
      <w:r w:rsidR="00F104EA">
        <w:rPr>
          <w:rFonts w:asciiTheme="minorHAnsi" w:hAnsiTheme="minorHAnsi" w:cstheme="minorHAnsi"/>
          <w:sz w:val="22"/>
        </w:rPr>
        <w:t xml:space="preserve">individual and household level </w:t>
      </w:r>
      <w:r w:rsidR="006B48D6" w:rsidRPr="00520B73">
        <w:rPr>
          <w:rFonts w:asciiTheme="minorHAnsi" w:hAnsiTheme="minorHAnsi" w:cstheme="minorHAnsi"/>
          <w:sz w:val="22"/>
        </w:rPr>
        <w:t xml:space="preserve">regression-based approaches, </w:t>
      </w:r>
      <w:r w:rsidR="00873AC4">
        <w:rPr>
          <w:rFonts w:asciiTheme="minorHAnsi" w:hAnsiTheme="minorHAnsi" w:cstheme="minorHAnsi"/>
          <w:sz w:val="22"/>
        </w:rPr>
        <w:t xml:space="preserve">in terms of both </w:t>
      </w:r>
      <w:r w:rsidR="00873AC4" w:rsidRPr="00873AC4">
        <w:rPr>
          <w:rFonts w:asciiTheme="minorHAnsi" w:hAnsiTheme="minorHAnsi" w:cstheme="minorHAnsi"/>
          <w:i/>
          <w:sz w:val="22"/>
        </w:rPr>
        <w:t>r</w:t>
      </w:r>
      <w:r w:rsidR="00873AC4" w:rsidRPr="00873AC4">
        <w:rPr>
          <w:rFonts w:asciiTheme="minorHAnsi" w:hAnsiTheme="minorHAnsi" w:cstheme="minorHAnsi"/>
          <w:sz w:val="22"/>
          <w:vertAlign w:val="superscript"/>
        </w:rPr>
        <w:t>2</w:t>
      </w:r>
      <w:r w:rsidR="00873AC4">
        <w:rPr>
          <w:rFonts w:asciiTheme="minorHAnsi" w:hAnsiTheme="minorHAnsi" w:cstheme="minorHAnsi"/>
          <w:sz w:val="22"/>
        </w:rPr>
        <w:t xml:space="preserve"> and CV, </w:t>
      </w:r>
      <w:r w:rsidR="006B48D6" w:rsidRPr="00520B73">
        <w:rPr>
          <w:rFonts w:asciiTheme="minorHAnsi" w:hAnsiTheme="minorHAnsi" w:cstheme="minorHAnsi"/>
          <w:sz w:val="22"/>
        </w:rPr>
        <w:t xml:space="preserve">provided </w:t>
      </w:r>
      <w:r w:rsidR="001568E7" w:rsidRPr="00520B73">
        <w:rPr>
          <w:rFonts w:asciiTheme="minorHAnsi" w:hAnsiTheme="minorHAnsi" w:cstheme="minorHAnsi"/>
          <w:sz w:val="22"/>
        </w:rPr>
        <w:t xml:space="preserve">that </w:t>
      </w:r>
      <w:r w:rsidR="006B48D6" w:rsidRPr="00520B73">
        <w:rPr>
          <w:rFonts w:asciiTheme="minorHAnsi" w:hAnsiTheme="minorHAnsi" w:cstheme="minorHAnsi"/>
          <w:sz w:val="22"/>
        </w:rPr>
        <w:t>performance is considered only in relation to the relevant individual or household income measures.</w:t>
      </w:r>
      <w:r w:rsidR="00B8326C" w:rsidRPr="00520B73">
        <w:rPr>
          <w:rFonts w:asciiTheme="minorHAnsi" w:hAnsiTheme="minorHAnsi" w:cstheme="minorHAnsi"/>
          <w:sz w:val="22"/>
        </w:rPr>
        <w:t xml:space="preserve"> </w:t>
      </w:r>
      <w:r w:rsidR="00F104EA">
        <w:rPr>
          <w:rFonts w:asciiTheme="minorHAnsi" w:hAnsiTheme="minorHAnsi" w:cstheme="minorHAnsi"/>
          <w:sz w:val="22"/>
        </w:rPr>
        <w:t>Most notably</w:t>
      </w:r>
      <w:r w:rsidR="00B8326C" w:rsidRPr="00520B73">
        <w:rPr>
          <w:rFonts w:asciiTheme="minorHAnsi" w:hAnsiTheme="minorHAnsi" w:cstheme="minorHAnsi"/>
          <w:sz w:val="22"/>
        </w:rPr>
        <w:t xml:space="preserve">, a household-level regression model </w:t>
      </w:r>
      <w:r w:rsidR="00EA6B6F">
        <w:rPr>
          <w:rFonts w:asciiTheme="minorHAnsi" w:hAnsiTheme="minorHAnsi" w:cstheme="minorHAnsi"/>
          <w:sz w:val="22"/>
        </w:rPr>
        <w:t>(DAVIESHH) wa</w:t>
      </w:r>
      <w:r w:rsidR="00F104EA">
        <w:rPr>
          <w:rFonts w:asciiTheme="minorHAnsi" w:hAnsiTheme="minorHAnsi" w:cstheme="minorHAnsi"/>
          <w:sz w:val="22"/>
        </w:rPr>
        <w:t>s found to provide</w:t>
      </w:r>
      <w:r w:rsidR="00B8326C" w:rsidRPr="00520B73">
        <w:rPr>
          <w:rFonts w:asciiTheme="minorHAnsi" w:hAnsiTheme="minorHAnsi" w:cstheme="minorHAnsi"/>
          <w:sz w:val="22"/>
        </w:rPr>
        <w:t xml:space="preserve"> </w:t>
      </w:r>
      <w:r w:rsidR="001568E7" w:rsidRPr="00520B73">
        <w:rPr>
          <w:rFonts w:asciiTheme="minorHAnsi" w:hAnsiTheme="minorHAnsi" w:cstheme="minorHAnsi"/>
          <w:sz w:val="22"/>
        </w:rPr>
        <w:t>a better</w:t>
      </w:r>
      <w:r w:rsidR="00B8326C" w:rsidRPr="00520B73">
        <w:rPr>
          <w:rFonts w:asciiTheme="minorHAnsi" w:hAnsiTheme="minorHAnsi" w:cstheme="minorHAnsi"/>
          <w:sz w:val="22"/>
        </w:rPr>
        <w:t xml:space="preserve"> small-area estimate of mean hous</w:t>
      </w:r>
      <w:r w:rsidR="001568E7" w:rsidRPr="00520B73">
        <w:rPr>
          <w:rFonts w:asciiTheme="minorHAnsi" w:hAnsiTheme="minorHAnsi" w:cstheme="minorHAnsi"/>
          <w:sz w:val="22"/>
        </w:rPr>
        <w:t xml:space="preserve">ehold incomes than any other surrogate or </w:t>
      </w:r>
      <w:r w:rsidR="00772CAE">
        <w:rPr>
          <w:rFonts w:asciiTheme="minorHAnsi" w:hAnsiTheme="minorHAnsi" w:cstheme="minorHAnsi"/>
          <w:sz w:val="22"/>
        </w:rPr>
        <w:t>unit</w:t>
      </w:r>
      <w:r w:rsidR="00873AC4">
        <w:rPr>
          <w:rFonts w:asciiTheme="minorHAnsi" w:hAnsiTheme="minorHAnsi" w:cstheme="minorHAnsi"/>
          <w:sz w:val="22"/>
        </w:rPr>
        <w:t xml:space="preserve">-level synthetic estimation </w:t>
      </w:r>
      <w:r w:rsidR="001568E7" w:rsidRPr="00520B73">
        <w:rPr>
          <w:rFonts w:asciiTheme="minorHAnsi" w:hAnsiTheme="minorHAnsi" w:cstheme="minorHAnsi"/>
          <w:sz w:val="22"/>
        </w:rPr>
        <w:t>strategy considered</w:t>
      </w:r>
      <w:r w:rsidR="00B8326C" w:rsidRPr="00520B73">
        <w:rPr>
          <w:rFonts w:asciiTheme="minorHAnsi" w:hAnsiTheme="minorHAnsi" w:cstheme="minorHAnsi"/>
          <w:sz w:val="22"/>
        </w:rPr>
        <w:t xml:space="preserve">. </w:t>
      </w:r>
    </w:p>
    <w:p w14:paraId="1DBE4E91" w14:textId="77777777" w:rsidR="00873AC4" w:rsidRDefault="00873AC4" w:rsidP="00015CD9">
      <w:pPr>
        <w:spacing w:line="276" w:lineRule="auto"/>
        <w:jc w:val="both"/>
        <w:rPr>
          <w:rFonts w:asciiTheme="minorHAnsi" w:hAnsiTheme="minorHAnsi" w:cstheme="minorHAnsi"/>
          <w:sz w:val="22"/>
        </w:rPr>
      </w:pPr>
    </w:p>
    <w:p w14:paraId="28D8E1C0" w14:textId="78A5BBCF" w:rsidR="006B48D6" w:rsidRDefault="00873AC4" w:rsidP="00015CD9">
      <w:pPr>
        <w:spacing w:line="276" w:lineRule="auto"/>
        <w:jc w:val="both"/>
        <w:rPr>
          <w:rFonts w:asciiTheme="minorHAnsi" w:hAnsiTheme="minorHAnsi" w:cstheme="minorHAnsi"/>
          <w:sz w:val="22"/>
        </w:rPr>
      </w:pPr>
      <w:r>
        <w:rPr>
          <w:rFonts w:asciiTheme="minorHAnsi" w:hAnsiTheme="minorHAnsi" w:cstheme="minorHAnsi"/>
          <w:sz w:val="22"/>
        </w:rPr>
        <w:t xml:space="preserve">Turning to area-level synthetic estimates, </w:t>
      </w:r>
      <w:r w:rsidRPr="00520B73">
        <w:rPr>
          <w:rFonts w:asciiTheme="minorHAnsi" w:hAnsiTheme="minorHAnsi" w:cstheme="minorHAnsi"/>
          <w:sz w:val="22"/>
        </w:rPr>
        <w:t xml:space="preserve">the 96-fold </w:t>
      </w:r>
      <w:proofErr w:type="spellStart"/>
      <w:r w:rsidR="00EA6B6F">
        <w:rPr>
          <w:rFonts w:asciiTheme="minorHAnsi" w:hAnsiTheme="minorHAnsi" w:cstheme="minorHAnsi"/>
          <w:sz w:val="22"/>
        </w:rPr>
        <w:t>geodemographic</w:t>
      </w:r>
      <w:proofErr w:type="spellEnd"/>
      <w:r w:rsidR="00EA6B6F">
        <w:rPr>
          <w:rFonts w:asciiTheme="minorHAnsi" w:hAnsiTheme="minorHAnsi" w:cstheme="minorHAnsi"/>
          <w:sz w:val="22"/>
        </w:rPr>
        <w:t xml:space="preserve"> </w:t>
      </w:r>
      <w:r w:rsidRPr="00520B73">
        <w:rPr>
          <w:rFonts w:asciiTheme="minorHAnsi" w:hAnsiTheme="minorHAnsi" w:cstheme="minorHAnsi"/>
          <w:sz w:val="22"/>
        </w:rPr>
        <w:t xml:space="preserve">classification derived via principal component analysis </w:t>
      </w:r>
      <w:r w:rsidR="00C57191">
        <w:rPr>
          <w:rFonts w:asciiTheme="minorHAnsi" w:hAnsiTheme="minorHAnsi" w:cstheme="minorHAnsi"/>
          <w:sz w:val="22"/>
        </w:rPr>
        <w:t xml:space="preserve">showed only marginal gains compared to its 40-fold equivalent, but </w:t>
      </w:r>
      <w:r w:rsidR="00EA6B6F">
        <w:rPr>
          <w:rFonts w:asciiTheme="minorHAnsi" w:hAnsiTheme="minorHAnsi" w:cstheme="minorHAnsi"/>
          <w:sz w:val="22"/>
        </w:rPr>
        <w:t xml:space="preserve">significantly out-performed the 96-fold classification based upon </w:t>
      </w:r>
      <w:proofErr w:type="spellStart"/>
      <w:r w:rsidR="00EA6B6F">
        <w:rPr>
          <w:rFonts w:asciiTheme="minorHAnsi" w:hAnsiTheme="minorHAnsi" w:cstheme="minorHAnsi"/>
          <w:sz w:val="22"/>
        </w:rPr>
        <w:t>quantile</w:t>
      </w:r>
      <w:proofErr w:type="spellEnd"/>
      <w:r w:rsidR="00EA6B6F">
        <w:rPr>
          <w:rFonts w:asciiTheme="minorHAnsi" w:hAnsiTheme="minorHAnsi" w:cstheme="minorHAnsi"/>
          <w:sz w:val="22"/>
        </w:rPr>
        <w:t xml:space="preserve"> splits</w:t>
      </w:r>
      <w:r>
        <w:rPr>
          <w:rFonts w:asciiTheme="minorHAnsi" w:hAnsiTheme="minorHAnsi" w:cstheme="minorHAnsi"/>
          <w:sz w:val="22"/>
        </w:rPr>
        <w:t xml:space="preserve">. </w:t>
      </w:r>
      <w:r w:rsidR="00EA6B6F">
        <w:rPr>
          <w:rFonts w:asciiTheme="minorHAnsi" w:hAnsiTheme="minorHAnsi" w:cstheme="minorHAnsi"/>
          <w:sz w:val="22"/>
        </w:rPr>
        <w:t>It also out-performed PNSSEC12, particularly with regards to CV</w:t>
      </w:r>
      <w:r w:rsidR="00C57191">
        <w:rPr>
          <w:rFonts w:asciiTheme="minorHAnsi" w:hAnsiTheme="minorHAnsi" w:cstheme="minorHAnsi"/>
          <w:sz w:val="22"/>
        </w:rPr>
        <w:t xml:space="preserve"> and household incomes</w:t>
      </w:r>
      <w:r w:rsidR="00EA6B6F">
        <w:rPr>
          <w:rFonts w:asciiTheme="minorHAnsi" w:hAnsiTheme="minorHAnsi" w:cstheme="minorHAnsi"/>
          <w:sz w:val="22"/>
        </w:rPr>
        <w:t xml:space="preserve">. </w:t>
      </w:r>
      <w:r w:rsidR="00B8326C" w:rsidRPr="00520B73">
        <w:rPr>
          <w:rFonts w:asciiTheme="minorHAnsi" w:hAnsiTheme="minorHAnsi" w:cstheme="minorHAnsi"/>
          <w:sz w:val="22"/>
        </w:rPr>
        <w:t xml:space="preserve">However, </w:t>
      </w:r>
      <w:r w:rsidR="00B743A9" w:rsidRPr="00520B73">
        <w:rPr>
          <w:rFonts w:asciiTheme="minorHAnsi" w:hAnsiTheme="minorHAnsi" w:cstheme="minorHAnsi"/>
          <w:sz w:val="22"/>
        </w:rPr>
        <w:t xml:space="preserve">the </w:t>
      </w:r>
      <w:r w:rsidR="001568E7" w:rsidRPr="00520B73">
        <w:rPr>
          <w:rFonts w:asciiTheme="minorHAnsi" w:hAnsiTheme="minorHAnsi" w:cstheme="minorHAnsi"/>
          <w:sz w:val="22"/>
        </w:rPr>
        <w:t>single</w:t>
      </w:r>
      <w:r w:rsidR="00B8326C" w:rsidRPr="00520B73">
        <w:rPr>
          <w:rFonts w:asciiTheme="minorHAnsi" w:hAnsiTheme="minorHAnsi" w:cstheme="minorHAnsi"/>
          <w:sz w:val="22"/>
        </w:rPr>
        <w:t xml:space="preserve"> </w:t>
      </w:r>
      <w:r w:rsidR="00B8326C" w:rsidRPr="00520B73">
        <w:rPr>
          <w:rFonts w:asciiTheme="minorHAnsi" w:hAnsiTheme="minorHAnsi" w:cstheme="minorHAnsi"/>
          <w:sz w:val="22"/>
        </w:rPr>
        <w:lastRenderedPageBreak/>
        <w:t xml:space="preserve">best performing </w:t>
      </w:r>
      <w:r w:rsidR="001568E7" w:rsidRPr="00520B73">
        <w:rPr>
          <w:rFonts w:asciiTheme="minorHAnsi" w:hAnsiTheme="minorHAnsi" w:cstheme="minorHAnsi"/>
          <w:sz w:val="22"/>
        </w:rPr>
        <w:t xml:space="preserve">estimation strategy, </w:t>
      </w:r>
      <w:r w:rsidR="00B743A9" w:rsidRPr="00520B73">
        <w:rPr>
          <w:rFonts w:asciiTheme="minorHAnsi" w:hAnsiTheme="minorHAnsi" w:cstheme="minorHAnsi"/>
          <w:sz w:val="22"/>
        </w:rPr>
        <w:t xml:space="preserve">across all types of income </w:t>
      </w:r>
      <w:r w:rsidR="001568E7" w:rsidRPr="00520B73">
        <w:rPr>
          <w:rFonts w:asciiTheme="minorHAnsi" w:hAnsiTheme="minorHAnsi" w:cstheme="minorHAnsi"/>
          <w:sz w:val="22"/>
        </w:rPr>
        <w:t xml:space="preserve">measure, </w:t>
      </w:r>
      <w:r w:rsidR="00CC6EB5">
        <w:rPr>
          <w:rFonts w:asciiTheme="minorHAnsi" w:hAnsiTheme="minorHAnsi" w:cstheme="minorHAnsi"/>
          <w:sz w:val="22"/>
        </w:rPr>
        <w:t>proved</w:t>
      </w:r>
      <w:r w:rsidR="00B743A9" w:rsidRPr="00520B73">
        <w:rPr>
          <w:rFonts w:asciiTheme="minorHAnsi" w:hAnsiTheme="minorHAnsi" w:cstheme="minorHAnsi"/>
          <w:sz w:val="22"/>
        </w:rPr>
        <w:t xml:space="preserve"> to be a</w:t>
      </w:r>
      <w:r w:rsidR="00B8326C" w:rsidRPr="00520B73">
        <w:rPr>
          <w:rFonts w:asciiTheme="minorHAnsi" w:hAnsiTheme="minorHAnsi" w:cstheme="minorHAnsi"/>
          <w:sz w:val="22"/>
        </w:rPr>
        <w:t xml:space="preserve"> three-factor ecological regression model</w:t>
      </w:r>
      <w:r w:rsidR="00C57191">
        <w:rPr>
          <w:rFonts w:asciiTheme="minorHAnsi" w:hAnsiTheme="minorHAnsi" w:cstheme="minorHAnsi"/>
          <w:sz w:val="22"/>
        </w:rPr>
        <w:t xml:space="preserve">, in terms of both </w:t>
      </w:r>
      <w:r w:rsidR="00C57191" w:rsidRPr="00C57191">
        <w:rPr>
          <w:rFonts w:asciiTheme="minorHAnsi" w:hAnsiTheme="minorHAnsi" w:cstheme="minorHAnsi"/>
          <w:i/>
          <w:sz w:val="22"/>
        </w:rPr>
        <w:t>r</w:t>
      </w:r>
      <w:r w:rsidR="00C57191" w:rsidRPr="00C57191">
        <w:rPr>
          <w:rFonts w:asciiTheme="minorHAnsi" w:hAnsiTheme="minorHAnsi" w:cstheme="minorHAnsi"/>
          <w:sz w:val="22"/>
          <w:vertAlign w:val="superscript"/>
        </w:rPr>
        <w:t>2</w:t>
      </w:r>
      <w:r w:rsidR="00C57191">
        <w:rPr>
          <w:rFonts w:asciiTheme="minorHAnsi" w:hAnsiTheme="minorHAnsi" w:cstheme="minorHAnsi"/>
          <w:sz w:val="22"/>
        </w:rPr>
        <w:t xml:space="preserve"> and CV</w:t>
      </w:r>
      <w:r w:rsidR="00B8326C" w:rsidRPr="00520B73">
        <w:rPr>
          <w:rFonts w:asciiTheme="minorHAnsi" w:hAnsiTheme="minorHAnsi" w:cstheme="minorHAnsi"/>
          <w:sz w:val="22"/>
        </w:rPr>
        <w:t>.</w:t>
      </w:r>
      <w:r w:rsidR="00520B73" w:rsidRPr="00520B73">
        <w:rPr>
          <w:rFonts w:asciiTheme="minorHAnsi" w:hAnsiTheme="minorHAnsi" w:cstheme="minorHAnsi"/>
          <w:sz w:val="22"/>
        </w:rPr>
        <w:t xml:space="preserve"> This estimation strategy matches </w:t>
      </w:r>
      <w:r w:rsidR="00F104EA">
        <w:rPr>
          <w:rFonts w:asciiTheme="minorHAnsi" w:hAnsiTheme="minorHAnsi" w:cstheme="minorHAnsi"/>
          <w:sz w:val="22"/>
        </w:rPr>
        <w:t xml:space="preserve">whichever of the </w:t>
      </w:r>
      <w:r>
        <w:rPr>
          <w:rFonts w:asciiTheme="minorHAnsi" w:hAnsiTheme="minorHAnsi" w:cstheme="minorHAnsi"/>
          <w:sz w:val="22"/>
        </w:rPr>
        <w:t xml:space="preserve">other </w:t>
      </w:r>
      <w:r w:rsidR="00772CAE">
        <w:rPr>
          <w:rFonts w:asciiTheme="minorHAnsi" w:hAnsiTheme="minorHAnsi" w:cstheme="minorHAnsi"/>
          <w:sz w:val="22"/>
        </w:rPr>
        <w:t>unit</w:t>
      </w:r>
      <w:r>
        <w:rPr>
          <w:rFonts w:asciiTheme="minorHAnsi" w:hAnsiTheme="minorHAnsi" w:cstheme="minorHAnsi"/>
          <w:sz w:val="22"/>
        </w:rPr>
        <w:t xml:space="preserve">- and area-level synthetic estimation </w:t>
      </w:r>
      <w:r w:rsidR="00520B73" w:rsidRPr="00520B73">
        <w:rPr>
          <w:rFonts w:asciiTheme="minorHAnsi" w:hAnsiTheme="minorHAnsi" w:cstheme="minorHAnsi"/>
          <w:sz w:val="22"/>
        </w:rPr>
        <w:t xml:space="preserve">strategies perform </w:t>
      </w:r>
      <w:r w:rsidR="00F06CA2">
        <w:rPr>
          <w:rFonts w:asciiTheme="minorHAnsi" w:hAnsiTheme="minorHAnsi" w:cstheme="minorHAnsi"/>
          <w:sz w:val="22"/>
        </w:rPr>
        <w:t>best</w:t>
      </w:r>
      <w:r w:rsidR="00520B73" w:rsidRPr="00520B73">
        <w:rPr>
          <w:rFonts w:asciiTheme="minorHAnsi" w:hAnsiTheme="minorHAnsi" w:cstheme="minorHAnsi"/>
          <w:sz w:val="22"/>
        </w:rPr>
        <w:t xml:space="preserve"> for a given type of income measure, and significantly out-performs the various </w:t>
      </w:r>
      <w:proofErr w:type="spellStart"/>
      <w:r w:rsidR="00520B73" w:rsidRPr="00520B73">
        <w:rPr>
          <w:rFonts w:asciiTheme="minorHAnsi" w:hAnsiTheme="minorHAnsi" w:cstheme="minorHAnsi"/>
          <w:sz w:val="22"/>
        </w:rPr>
        <w:t>univariate</w:t>
      </w:r>
      <w:proofErr w:type="spellEnd"/>
      <w:r w:rsidR="00520B73" w:rsidRPr="00520B73">
        <w:rPr>
          <w:rFonts w:asciiTheme="minorHAnsi" w:hAnsiTheme="minorHAnsi" w:cstheme="minorHAnsi"/>
          <w:sz w:val="22"/>
        </w:rPr>
        <w:t xml:space="preserve"> or multivariate surrogates across all income types.</w:t>
      </w:r>
    </w:p>
    <w:p w14:paraId="23594AC2" w14:textId="77777777" w:rsidR="00873AC4" w:rsidRDefault="00873AC4" w:rsidP="00015CD9">
      <w:pPr>
        <w:spacing w:line="276" w:lineRule="auto"/>
        <w:jc w:val="both"/>
        <w:rPr>
          <w:rFonts w:asciiTheme="minorHAnsi" w:hAnsiTheme="minorHAnsi" w:cstheme="minorHAnsi"/>
          <w:sz w:val="22"/>
        </w:rPr>
      </w:pPr>
    </w:p>
    <w:p w14:paraId="3395BD4F" w14:textId="77777777" w:rsidR="00D554BE" w:rsidRDefault="00F104EA" w:rsidP="00015CD9">
      <w:pPr>
        <w:spacing w:line="276" w:lineRule="auto"/>
        <w:jc w:val="both"/>
        <w:rPr>
          <w:rFonts w:asciiTheme="minorHAnsi" w:hAnsiTheme="minorHAnsi" w:cstheme="minorHAnsi"/>
          <w:sz w:val="22"/>
        </w:rPr>
      </w:pPr>
      <w:r>
        <w:rPr>
          <w:rFonts w:asciiTheme="minorHAnsi" w:hAnsiTheme="minorHAnsi" w:cstheme="minorHAnsi"/>
          <w:sz w:val="22"/>
        </w:rPr>
        <w:t>O</w:t>
      </w:r>
      <w:r w:rsidR="00D554BE">
        <w:rPr>
          <w:rFonts w:asciiTheme="minorHAnsi" w:hAnsiTheme="minorHAnsi" w:cstheme="minorHAnsi"/>
          <w:sz w:val="22"/>
        </w:rPr>
        <w:t xml:space="preserve">f course, </w:t>
      </w:r>
      <w:r>
        <w:rPr>
          <w:rFonts w:asciiTheme="minorHAnsi" w:hAnsiTheme="minorHAnsi" w:cstheme="minorHAnsi"/>
          <w:sz w:val="22"/>
        </w:rPr>
        <w:t xml:space="preserve">it is </w:t>
      </w:r>
      <w:r w:rsidR="00D554BE">
        <w:rPr>
          <w:rFonts w:asciiTheme="minorHAnsi" w:hAnsiTheme="minorHAnsi" w:cstheme="minorHAnsi"/>
          <w:sz w:val="22"/>
        </w:rPr>
        <w:t xml:space="preserve">possible that an estimation strategy may offer good overall performance, but exhibit systematic patterns of local failure. To test for this, </w:t>
      </w:r>
      <w:r w:rsidR="001B67E7">
        <w:rPr>
          <w:rFonts w:asciiTheme="minorHAnsi" w:hAnsiTheme="minorHAnsi" w:cstheme="minorHAnsi"/>
          <w:sz w:val="22"/>
        </w:rPr>
        <w:t>those estimation strategies identified as most successful were examined further to see if their performance varied between districts, repeating th</w:t>
      </w:r>
      <w:r w:rsidR="00CC6EB5">
        <w:rPr>
          <w:rFonts w:asciiTheme="minorHAnsi" w:hAnsiTheme="minorHAnsi" w:cstheme="minorHAnsi"/>
          <w:sz w:val="22"/>
        </w:rPr>
        <w:t>e analysis summarised in Table 3</w:t>
      </w:r>
      <w:r w:rsidR="001B67E7">
        <w:rPr>
          <w:rFonts w:asciiTheme="minorHAnsi" w:hAnsiTheme="minorHAnsi" w:cstheme="minorHAnsi"/>
          <w:sz w:val="22"/>
        </w:rPr>
        <w:t>, but separately for the set of EDs located within each district.</w:t>
      </w:r>
      <w:r w:rsidR="00D554BE">
        <w:rPr>
          <w:rFonts w:asciiTheme="minorHAnsi" w:hAnsiTheme="minorHAnsi" w:cstheme="minorHAnsi"/>
          <w:sz w:val="22"/>
        </w:rPr>
        <w:t xml:space="preserve"> This further analysis reconfirmed the overall picture, with the performance of most estimates varying little between districts. Those </w:t>
      </w:r>
      <w:r w:rsidR="001B67E7">
        <w:rPr>
          <w:rFonts w:asciiTheme="minorHAnsi" w:hAnsiTheme="minorHAnsi" w:cstheme="minorHAnsi"/>
          <w:sz w:val="22"/>
        </w:rPr>
        <w:t xml:space="preserve">strategies </w:t>
      </w:r>
      <w:r w:rsidR="00D554BE">
        <w:rPr>
          <w:rFonts w:asciiTheme="minorHAnsi" w:hAnsiTheme="minorHAnsi" w:cstheme="minorHAnsi"/>
          <w:sz w:val="22"/>
        </w:rPr>
        <w:t>that proved most sensitive to district effects were the multiv</w:t>
      </w:r>
      <w:r w:rsidR="001B67E7">
        <w:rPr>
          <w:rFonts w:asciiTheme="minorHAnsi" w:hAnsiTheme="minorHAnsi" w:cstheme="minorHAnsi"/>
          <w:sz w:val="22"/>
        </w:rPr>
        <w:t xml:space="preserve">ariate index, GREENPOV, and the </w:t>
      </w:r>
      <w:proofErr w:type="spellStart"/>
      <w:r w:rsidR="001B67E7">
        <w:rPr>
          <w:rFonts w:asciiTheme="minorHAnsi" w:hAnsiTheme="minorHAnsi" w:cstheme="minorHAnsi"/>
          <w:sz w:val="22"/>
        </w:rPr>
        <w:t>geodemographic</w:t>
      </w:r>
      <w:proofErr w:type="spellEnd"/>
      <w:r w:rsidR="001B67E7">
        <w:rPr>
          <w:rFonts w:asciiTheme="minorHAnsi" w:hAnsiTheme="minorHAnsi" w:cstheme="minorHAnsi"/>
          <w:sz w:val="22"/>
        </w:rPr>
        <w:t xml:space="preserve"> classification, P10INC. Both provided notably poorer estimates for the mean income of EDs in Bournemouth (a seaside town with a </w:t>
      </w:r>
      <w:r w:rsidR="00207000">
        <w:rPr>
          <w:rFonts w:asciiTheme="minorHAnsi" w:hAnsiTheme="minorHAnsi" w:cstheme="minorHAnsi"/>
          <w:sz w:val="22"/>
        </w:rPr>
        <w:t>relatively</w:t>
      </w:r>
      <w:r w:rsidR="001B67E7">
        <w:rPr>
          <w:rFonts w:asciiTheme="minorHAnsi" w:hAnsiTheme="minorHAnsi" w:cstheme="minorHAnsi"/>
          <w:sz w:val="22"/>
        </w:rPr>
        <w:t xml:space="preserve"> elderly population) and for some of the more rural districts.</w:t>
      </w:r>
    </w:p>
    <w:p w14:paraId="128C4875" w14:textId="77777777" w:rsidR="00A70EC8" w:rsidRPr="00520B73" w:rsidRDefault="00A70EC8" w:rsidP="00015CD9">
      <w:pPr>
        <w:spacing w:line="276" w:lineRule="auto"/>
        <w:jc w:val="both"/>
        <w:rPr>
          <w:rFonts w:asciiTheme="minorHAnsi" w:hAnsiTheme="minorHAnsi" w:cstheme="minorHAnsi"/>
          <w:sz w:val="22"/>
        </w:rPr>
      </w:pPr>
    </w:p>
    <w:p w14:paraId="2AC4724B" w14:textId="77777777" w:rsidR="007B290C" w:rsidRDefault="007B290C" w:rsidP="00015CD9">
      <w:pPr>
        <w:spacing w:line="276" w:lineRule="auto"/>
        <w:jc w:val="both"/>
        <w:rPr>
          <w:rFonts w:asciiTheme="minorHAnsi" w:hAnsiTheme="minorHAnsi" w:cstheme="minorHAnsi"/>
          <w:i/>
          <w:sz w:val="22"/>
        </w:rPr>
      </w:pPr>
    </w:p>
    <w:p w14:paraId="4D616D27" w14:textId="77777777" w:rsidR="00D41FAA" w:rsidRPr="00520B73" w:rsidRDefault="004F7D18" w:rsidP="00015CD9">
      <w:pPr>
        <w:spacing w:line="276" w:lineRule="auto"/>
        <w:jc w:val="both"/>
        <w:rPr>
          <w:rFonts w:asciiTheme="minorHAnsi" w:hAnsiTheme="minorHAnsi" w:cstheme="minorHAnsi"/>
          <w:i/>
          <w:sz w:val="22"/>
        </w:rPr>
      </w:pPr>
      <w:r w:rsidRPr="00520B73">
        <w:rPr>
          <w:rFonts w:asciiTheme="minorHAnsi" w:hAnsiTheme="minorHAnsi" w:cstheme="minorHAnsi"/>
          <w:i/>
          <w:sz w:val="22"/>
        </w:rPr>
        <w:t>5</w:t>
      </w:r>
      <w:r w:rsidR="00D41FAA" w:rsidRPr="00520B73">
        <w:rPr>
          <w:rFonts w:asciiTheme="minorHAnsi" w:hAnsiTheme="minorHAnsi" w:cstheme="minorHAnsi"/>
          <w:i/>
          <w:sz w:val="22"/>
        </w:rPr>
        <w:t>.2 The influence of scale</w:t>
      </w:r>
    </w:p>
    <w:p w14:paraId="2DA55D11" w14:textId="77777777" w:rsidR="00D41FAA" w:rsidRPr="00520B73" w:rsidRDefault="00D41FAA" w:rsidP="00015CD9">
      <w:pPr>
        <w:spacing w:line="276" w:lineRule="auto"/>
        <w:jc w:val="both"/>
        <w:rPr>
          <w:rFonts w:asciiTheme="minorHAnsi" w:hAnsiTheme="minorHAnsi" w:cstheme="minorHAnsi"/>
          <w:sz w:val="22"/>
        </w:rPr>
      </w:pPr>
    </w:p>
    <w:p w14:paraId="3BF01E3B" w14:textId="77777777" w:rsidR="001568E7" w:rsidRPr="00520B73" w:rsidRDefault="001568E7"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It has already been indicated that the findings from Table 4 are reasonably robust to changes in the spatial unit for which estimates are required. The basis for this claim </w:t>
      </w:r>
      <w:r w:rsidR="003A5DBE" w:rsidRPr="00520B73">
        <w:rPr>
          <w:rFonts w:asciiTheme="minorHAnsi" w:hAnsiTheme="minorHAnsi" w:cstheme="minorHAnsi"/>
          <w:sz w:val="22"/>
        </w:rPr>
        <w:t xml:space="preserve">is summarised </w:t>
      </w:r>
      <w:r w:rsidRPr="00520B73">
        <w:rPr>
          <w:rFonts w:asciiTheme="minorHAnsi" w:hAnsiTheme="minorHAnsi" w:cstheme="minorHAnsi"/>
          <w:sz w:val="22"/>
        </w:rPr>
        <w:t xml:space="preserve">in Figure </w:t>
      </w:r>
      <w:r w:rsidR="00CC6EB5">
        <w:rPr>
          <w:rFonts w:asciiTheme="minorHAnsi" w:hAnsiTheme="minorHAnsi" w:cstheme="minorHAnsi"/>
          <w:sz w:val="22"/>
        </w:rPr>
        <w:t>3</w:t>
      </w:r>
      <w:r w:rsidR="003A5DBE" w:rsidRPr="00520B73">
        <w:rPr>
          <w:rFonts w:asciiTheme="minorHAnsi" w:hAnsiTheme="minorHAnsi" w:cstheme="minorHAnsi"/>
          <w:sz w:val="22"/>
        </w:rPr>
        <w:t xml:space="preserve">, which </w:t>
      </w:r>
      <w:r w:rsidRPr="00520B73">
        <w:rPr>
          <w:rFonts w:asciiTheme="minorHAnsi" w:hAnsiTheme="minorHAnsi" w:cstheme="minorHAnsi"/>
          <w:sz w:val="22"/>
        </w:rPr>
        <w:t>both confirm</w:t>
      </w:r>
      <w:r w:rsidR="003A5DBE" w:rsidRPr="00520B73">
        <w:rPr>
          <w:rFonts w:asciiTheme="minorHAnsi" w:hAnsiTheme="minorHAnsi" w:cstheme="minorHAnsi"/>
          <w:sz w:val="22"/>
        </w:rPr>
        <w:t>s and qualifies</w:t>
      </w:r>
      <w:r w:rsidRPr="00520B73">
        <w:rPr>
          <w:rFonts w:asciiTheme="minorHAnsi" w:hAnsiTheme="minorHAnsi" w:cstheme="minorHAnsi"/>
          <w:sz w:val="22"/>
        </w:rPr>
        <w:t xml:space="preserve"> this observation.</w:t>
      </w:r>
      <w:r w:rsidR="003A5DBE" w:rsidRPr="00520B73">
        <w:rPr>
          <w:rFonts w:asciiTheme="minorHAnsi" w:hAnsiTheme="minorHAnsi" w:cstheme="minorHAnsi"/>
          <w:sz w:val="22"/>
        </w:rPr>
        <w:t xml:space="preserve"> Figure </w:t>
      </w:r>
      <w:r w:rsidR="00C25CF4">
        <w:rPr>
          <w:rFonts w:asciiTheme="minorHAnsi" w:hAnsiTheme="minorHAnsi" w:cstheme="minorHAnsi"/>
          <w:sz w:val="22"/>
        </w:rPr>
        <w:t>3</w:t>
      </w:r>
      <w:r w:rsidR="003A5DBE" w:rsidRPr="00520B73">
        <w:rPr>
          <w:rFonts w:asciiTheme="minorHAnsi" w:hAnsiTheme="minorHAnsi" w:cstheme="minorHAnsi"/>
          <w:sz w:val="22"/>
        </w:rPr>
        <w:t xml:space="preserve"> </w:t>
      </w:r>
      <w:r w:rsidR="00207000">
        <w:rPr>
          <w:rFonts w:asciiTheme="minorHAnsi" w:hAnsiTheme="minorHAnsi" w:cstheme="minorHAnsi"/>
          <w:sz w:val="22"/>
        </w:rPr>
        <w:t xml:space="preserve">plots </w:t>
      </w:r>
      <w:r w:rsidR="00207000" w:rsidRPr="00207000">
        <w:rPr>
          <w:rFonts w:asciiTheme="minorHAnsi" w:hAnsiTheme="minorHAnsi" w:cstheme="minorHAnsi"/>
          <w:i/>
          <w:sz w:val="22"/>
        </w:rPr>
        <w:t>r</w:t>
      </w:r>
      <w:r w:rsidR="00207000" w:rsidRPr="00207000">
        <w:rPr>
          <w:rFonts w:asciiTheme="minorHAnsi" w:hAnsiTheme="minorHAnsi" w:cstheme="minorHAnsi"/>
          <w:sz w:val="22"/>
          <w:vertAlign w:val="superscript"/>
        </w:rPr>
        <w:t>2</w:t>
      </w:r>
      <w:r w:rsidR="00207000">
        <w:rPr>
          <w:rFonts w:asciiTheme="minorHAnsi" w:hAnsiTheme="minorHAnsi" w:cstheme="minorHAnsi"/>
          <w:sz w:val="22"/>
        </w:rPr>
        <w:t xml:space="preserve"> and CV for a </w:t>
      </w:r>
      <w:r w:rsidR="003A5DBE" w:rsidRPr="00520B73">
        <w:rPr>
          <w:rFonts w:asciiTheme="minorHAnsi" w:hAnsiTheme="minorHAnsi" w:cstheme="minorHAnsi"/>
          <w:sz w:val="22"/>
        </w:rPr>
        <w:t>selection of the best performing small-area estimation strategies</w:t>
      </w:r>
      <w:r w:rsidR="00207000">
        <w:rPr>
          <w:rFonts w:asciiTheme="minorHAnsi" w:hAnsiTheme="minorHAnsi" w:cstheme="minorHAnsi"/>
          <w:sz w:val="22"/>
        </w:rPr>
        <w:t>, at a variety of spatial scales</w:t>
      </w:r>
      <w:r w:rsidR="003A5DBE" w:rsidRPr="00520B73">
        <w:rPr>
          <w:rFonts w:asciiTheme="minorHAnsi" w:hAnsiTheme="minorHAnsi" w:cstheme="minorHAnsi"/>
          <w:sz w:val="22"/>
        </w:rPr>
        <w:t xml:space="preserve">. The larger the spatial unit, the greater </w:t>
      </w:r>
      <w:r w:rsidR="00F104EA">
        <w:rPr>
          <w:rFonts w:asciiTheme="minorHAnsi" w:hAnsiTheme="minorHAnsi" w:cstheme="minorHAnsi"/>
          <w:sz w:val="22"/>
        </w:rPr>
        <w:t>the spatial variation in income</w:t>
      </w:r>
      <w:r w:rsidR="003A5DBE" w:rsidRPr="00520B73">
        <w:rPr>
          <w:rFonts w:asciiTheme="minorHAnsi" w:hAnsiTheme="minorHAnsi" w:cstheme="minorHAnsi"/>
          <w:sz w:val="22"/>
        </w:rPr>
        <w:t xml:space="preserve"> that is captured, </w:t>
      </w:r>
      <w:r w:rsidR="00207000">
        <w:rPr>
          <w:rFonts w:asciiTheme="minorHAnsi" w:hAnsiTheme="minorHAnsi" w:cstheme="minorHAnsi"/>
          <w:sz w:val="22"/>
        </w:rPr>
        <w:t xml:space="preserve">and the lower the CV, </w:t>
      </w:r>
      <w:r w:rsidR="003A5DBE" w:rsidRPr="00520B73">
        <w:rPr>
          <w:rFonts w:asciiTheme="minorHAnsi" w:hAnsiTheme="minorHAnsi" w:cstheme="minorHAnsi"/>
          <w:sz w:val="22"/>
        </w:rPr>
        <w:t>with the notable exception of only one strategy (</w:t>
      </w:r>
      <w:r w:rsidR="00207000">
        <w:rPr>
          <w:rFonts w:asciiTheme="minorHAnsi" w:hAnsiTheme="minorHAnsi" w:cstheme="minorHAnsi"/>
          <w:sz w:val="22"/>
        </w:rPr>
        <w:t>GREENWTH</w:t>
      </w:r>
      <w:r w:rsidR="003A5DBE" w:rsidRPr="00520B73">
        <w:rPr>
          <w:rFonts w:asciiTheme="minorHAnsi" w:hAnsiTheme="minorHAnsi" w:cstheme="minorHAnsi"/>
          <w:sz w:val="22"/>
        </w:rPr>
        <w:t xml:space="preserve">). </w:t>
      </w:r>
      <w:r w:rsidR="00B5449D" w:rsidRPr="00520B73">
        <w:rPr>
          <w:rFonts w:asciiTheme="minorHAnsi" w:hAnsiTheme="minorHAnsi" w:cstheme="minorHAnsi"/>
          <w:sz w:val="22"/>
        </w:rPr>
        <w:t xml:space="preserve">The rank order of the estimate performances also proves to be remarkably resilient to changes in spatial scale. What is influenced by the change in spatial scale is the relative performance advantage of the differing strategies, with the performance gap narrowing as the spatial units increase in size. It is also noticeable that </w:t>
      </w:r>
      <w:r w:rsidR="005E3B4B" w:rsidRPr="00520B73">
        <w:rPr>
          <w:rFonts w:asciiTheme="minorHAnsi" w:hAnsiTheme="minorHAnsi" w:cstheme="minorHAnsi"/>
          <w:sz w:val="22"/>
        </w:rPr>
        <w:t xml:space="preserve">the </w:t>
      </w:r>
      <w:proofErr w:type="gramStart"/>
      <w:r w:rsidR="005E3B4B" w:rsidRPr="00520B73">
        <w:rPr>
          <w:rFonts w:asciiTheme="minorHAnsi" w:hAnsiTheme="minorHAnsi" w:cstheme="minorHAnsi"/>
          <w:sz w:val="22"/>
        </w:rPr>
        <w:t xml:space="preserve">performance of </w:t>
      </w:r>
      <w:r w:rsidR="00207000">
        <w:rPr>
          <w:rFonts w:asciiTheme="minorHAnsi" w:hAnsiTheme="minorHAnsi" w:cstheme="minorHAnsi"/>
          <w:sz w:val="22"/>
        </w:rPr>
        <w:t xml:space="preserve">synthetic estimation </w:t>
      </w:r>
      <w:r w:rsidR="005E3B4B" w:rsidRPr="00520B73">
        <w:rPr>
          <w:rFonts w:asciiTheme="minorHAnsi" w:hAnsiTheme="minorHAnsi" w:cstheme="minorHAnsi"/>
          <w:sz w:val="22"/>
        </w:rPr>
        <w:t xml:space="preserve">strategies involving </w:t>
      </w:r>
      <w:r w:rsidR="00B5449D" w:rsidRPr="00520B73">
        <w:rPr>
          <w:rFonts w:asciiTheme="minorHAnsi" w:hAnsiTheme="minorHAnsi" w:cstheme="minorHAnsi"/>
          <w:sz w:val="22"/>
        </w:rPr>
        <w:t>regression</w:t>
      </w:r>
      <w:r w:rsidR="005E3B4B" w:rsidRPr="00520B73">
        <w:rPr>
          <w:rFonts w:asciiTheme="minorHAnsi" w:hAnsiTheme="minorHAnsi" w:cstheme="minorHAnsi"/>
          <w:sz w:val="22"/>
        </w:rPr>
        <w:t xml:space="preserve"> or occupational </w:t>
      </w:r>
      <w:r w:rsidR="00B5449D" w:rsidRPr="00520B73">
        <w:rPr>
          <w:rFonts w:asciiTheme="minorHAnsi" w:hAnsiTheme="minorHAnsi" w:cstheme="minorHAnsi"/>
          <w:sz w:val="22"/>
        </w:rPr>
        <w:t>mean</w:t>
      </w:r>
      <w:r w:rsidR="005E3B4B" w:rsidRPr="00520B73">
        <w:rPr>
          <w:rFonts w:asciiTheme="minorHAnsi" w:hAnsiTheme="minorHAnsi" w:cstheme="minorHAnsi"/>
          <w:sz w:val="22"/>
        </w:rPr>
        <w:t>s</w:t>
      </w:r>
      <w:r w:rsidR="00B5449D" w:rsidRPr="00520B73">
        <w:rPr>
          <w:rFonts w:asciiTheme="minorHAnsi" w:hAnsiTheme="minorHAnsi" w:cstheme="minorHAnsi"/>
          <w:sz w:val="22"/>
        </w:rPr>
        <w:t xml:space="preserve"> </w:t>
      </w:r>
      <w:r w:rsidR="005E3B4B" w:rsidRPr="00520B73">
        <w:rPr>
          <w:rFonts w:asciiTheme="minorHAnsi" w:hAnsiTheme="minorHAnsi" w:cstheme="minorHAnsi"/>
          <w:sz w:val="22"/>
        </w:rPr>
        <w:t>are</w:t>
      </w:r>
      <w:proofErr w:type="gramEnd"/>
      <w:r w:rsidR="005E3B4B" w:rsidRPr="00520B73">
        <w:rPr>
          <w:rFonts w:asciiTheme="minorHAnsi" w:hAnsiTheme="minorHAnsi" w:cstheme="minorHAnsi"/>
          <w:sz w:val="22"/>
        </w:rPr>
        <w:t xml:space="preserve"> far less sensitive to changes in scale than the other approaches considered. Finally, it should be noted that for the very smallest spatial units (unit postcodes), the performance of the ecological regression approach degrades, falling below that achieved by the </w:t>
      </w:r>
      <w:r w:rsidR="00207000">
        <w:rPr>
          <w:rFonts w:asciiTheme="minorHAnsi" w:hAnsiTheme="minorHAnsi" w:cstheme="minorHAnsi"/>
          <w:sz w:val="22"/>
        </w:rPr>
        <w:t>most successful</w:t>
      </w:r>
      <w:r w:rsidR="00F104EA">
        <w:rPr>
          <w:rFonts w:asciiTheme="minorHAnsi" w:hAnsiTheme="minorHAnsi" w:cstheme="minorHAnsi"/>
          <w:sz w:val="22"/>
        </w:rPr>
        <w:t xml:space="preserve"> </w:t>
      </w:r>
      <w:r w:rsidR="005E3B4B" w:rsidRPr="00520B73">
        <w:rPr>
          <w:rFonts w:asciiTheme="minorHAnsi" w:hAnsiTheme="minorHAnsi" w:cstheme="minorHAnsi"/>
          <w:sz w:val="22"/>
        </w:rPr>
        <w:t>scale invariant strategies.</w:t>
      </w:r>
    </w:p>
    <w:p w14:paraId="05C49B19" w14:textId="77777777" w:rsidR="00D41FAA" w:rsidRDefault="00D41FAA" w:rsidP="00015CD9">
      <w:pPr>
        <w:spacing w:line="276" w:lineRule="auto"/>
        <w:jc w:val="both"/>
        <w:rPr>
          <w:rFonts w:asciiTheme="minorHAnsi" w:hAnsiTheme="minorHAnsi" w:cstheme="minorHAnsi"/>
          <w:sz w:val="22"/>
        </w:rPr>
      </w:pPr>
    </w:p>
    <w:p w14:paraId="627EC381" w14:textId="77777777" w:rsidR="00856F69" w:rsidRDefault="00856F69" w:rsidP="00015CD9">
      <w:pPr>
        <w:spacing w:line="276" w:lineRule="auto"/>
        <w:jc w:val="both"/>
        <w:rPr>
          <w:rFonts w:asciiTheme="minorHAnsi" w:hAnsiTheme="minorHAnsi" w:cstheme="minorHAnsi"/>
          <w:sz w:val="22"/>
        </w:rPr>
      </w:pPr>
      <w:r>
        <w:rPr>
          <w:rFonts w:asciiTheme="minorHAnsi" w:hAnsiTheme="minorHAnsi" w:cstheme="minorHAnsi"/>
          <w:sz w:val="22"/>
        </w:rPr>
        <w:t xml:space="preserve">FIGURE </w:t>
      </w:r>
      <w:r w:rsidR="001F47C3">
        <w:rPr>
          <w:rFonts w:asciiTheme="minorHAnsi" w:hAnsiTheme="minorHAnsi" w:cstheme="minorHAnsi"/>
          <w:sz w:val="22"/>
        </w:rPr>
        <w:t>3</w:t>
      </w:r>
      <w:r>
        <w:rPr>
          <w:rFonts w:asciiTheme="minorHAnsi" w:hAnsiTheme="minorHAnsi" w:cstheme="minorHAnsi"/>
          <w:sz w:val="22"/>
        </w:rPr>
        <w:t xml:space="preserve"> Variation in </w:t>
      </w:r>
      <w:r w:rsidR="00A27356">
        <w:rPr>
          <w:rFonts w:asciiTheme="minorHAnsi" w:hAnsiTheme="minorHAnsi" w:cstheme="minorHAnsi"/>
          <w:sz w:val="22"/>
        </w:rPr>
        <w:t xml:space="preserve">the </w:t>
      </w:r>
      <w:r>
        <w:rPr>
          <w:rFonts w:asciiTheme="minorHAnsi" w:hAnsiTheme="minorHAnsi" w:cstheme="minorHAnsi"/>
          <w:sz w:val="22"/>
        </w:rPr>
        <w:t>efficacy of estimation strategy with scale [ABOUT HERE]</w:t>
      </w:r>
    </w:p>
    <w:p w14:paraId="341F1942" w14:textId="77777777" w:rsidR="00856F69" w:rsidRPr="00520B73" w:rsidRDefault="00856F69" w:rsidP="00015CD9">
      <w:pPr>
        <w:spacing w:line="276" w:lineRule="auto"/>
        <w:jc w:val="both"/>
        <w:rPr>
          <w:rFonts w:asciiTheme="minorHAnsi" w:hAnsiTheme="minorHAnsi" w:cstheme="minorHAnsi"/>
          <w:sz w:val="22"/>
        </w:rPr>
      </w:pPr>
    </w:p>
    <w:p w14:paraId="2818DA4F" w14:textId="77777777" w:rsidR="00D41FAA" w:rsidRPr="00520B73" w:rsidRDefault="004F7D18" w:rsidP="00015CD9">
      <w:pPr>
        <w:spacing w:line="276" w:lineRule="auto"/>
        <w:jc w:val="both"/>
        <w:rPr>
          <w:rFonts w:asciiTheme="minorHAnsi" w:hAnsiTheme="minorHAnsi" w:cstheme="minorHAnsi"/>
          <w:i/>
          <w:sz w:val="22"/>
        </w:rPr>
      </w:pPr>
      <w:r w:rsidRPr="00520B73">
        <w:rPr>
          <w:rFonts w:asciiTheme="minorHAnsi" w:hAnsiTheme="minorHAnsi" w:cstheme="minorHAnsi"/>
          <w:i/>
          <w:sz w:val="22"/>
        </w:rPr>
        <w:t>5</w:t>
      </w:r>
      <w:r w:rsidR="00D41FAA" w:rsidRPr="00520B73">
        <w:rPr>
          <w:rFonts w:asciiTheme="minorHAnsi" w:hAnsiTheme="minorHAnsi" w:cstheme="minorHAnsi"/>
          <w:i/>
          <w:sz w:val="22"/>
        </w:rPr>
        <w:t>.3 Efficacy at accurately ranking areas</w:t>
      </w:r>
    </w:p>
    <w:p w14:paraId="5C7BE0AA" w14:textId="77777777" w:rsidR="00B8326C" w:rsidRPr="00520B73" w:rsidRDefault="00B8326C" w:rsidP="00015CD9">
      <w:pPr>
        <w:spacing w:line="276" w:lineRule="auto"/>
        <w:jc w:val="both"/>
        <w:rPr>
          <w:rFonts w:asciiTheme="minorHAnsi" w:hAnsiTheme="minorHAnsi" w:cstheme="minorHAnsi"/>
          <w:sz w:val="22"/>
        </w:rPr>
      </w:pPr>
    </w:p>
    <w:p w14:paraId="1766BD0A" w14:textId="74F1E6DA" w:rsidR="00D20A13" w:rsidRDefault="00207000" w:rsidP="00015CD9">
      <w:pPr>
        <w:spacing w:line="276" w:lineRule="auto"/>
        <w:jc w:val="both"/>
        <w:rPr>
          <w:rFonts w:asciiTheme="minorHAnsi" w:hAnsiTheme="minorHAnsi" w:cstheme="minorHAnsi"/>
          <w:sz w:val="22"/>
        </w:rPr>
      </w:pPr>
      <w:r>
        <w:rPr>
          <w:rFonts w:asciiTheme="minorHAnsi" w:hAnsiTheme="minorHAnsi" w:cstheme="minorHAnsi"/>
          <w:sz w:val="22"/>
        </w:rPr>
        <w:t>If it is assumed</w:t>
      </w:r>
      <w:r w:rsidR="00EB7418" w:rsidRPr="00520B73">
        <w:rPr>
          <w:rFonts w:asciiTheme="minorHAnsi" w:hAnsiTheme="minorHAnsi" w:cstheme="minorHAnsi"/>
          <w:sz w:val="22"/>
        </w:rPr>
        <w:t xml:space="preserve"> that a linear relationship exists between observed and estimated small-area incomes, </w:t>
      </w:r>
      <w:r>
        <w:rPr>
          <w:rFonts w:asciiTheme="minorHAnsi" w:hAnsiTheme="minorHAnsi" w:cstheme="minorHAnsi"/>
          <w:sz w:val="22"/>
        </w:rPr>
        <w:t xml:space="preserve">then </w:t>
      </w:r>
      <w:r w:rsidR="00EB7418" w:rsidRPr="00520B73">
        <w:rPr>
          <w:rFonts w:asciiTheme="minorHAnsi" w:hAnsiTheme="minorHAnsi" w:cstheme="minorHAnsi"/>
          <w:sz w:val="22"/>
        </w:rPr>
        <w:t xml:space="preserve">the </w:t>
      </w:r>
      <w:r w:rsidR="00F104EA">
        <w:rPr>
          <w:rFonts w:asciiTheme="minorHAnsi" w:hAnsiTheme="minorHAnsi" w:cstheme="minorHAnsi"/>
          <w:sz w:val="22"/>
        </w:rPr>
        <w:t>percentage</w:t>
      </w:r>
      <w:r w:rsidR="00EB7418" w:rsidRPr="00520B73">
        <w:rPr>
          <w:rFonts w:asciiTheme="minorHAnsi" w:hAnsiTheme="minorHAnsi" w:cstheme="minorHAnsi"/>
          <w:sz w:val="22"/>
        </w:rPr>
        <w:t xml:space="preserve"> of spatial variation captured by the various strategies </w:t>
      </w:r>
      <w:r>
        <w:rPr>
          <w:rFonts w:asciiTheme="minorHAnsi" w:hAnsiTheme="minorHAnsi" w:cstheme="minorHAnsi"/>
          <w:sz w:val="22"/>
        </w:rPr>
        <w:t xml:space="preserve">should be </w:t>
      </w:r>
      <w:r w:rsidR="00EB7418" w:rsidRPr="00520B73">
        <w:rPr>
          <w:rFonts w:asciiTheme="minorHAnsi" w:hAnsiTheme="minorHAnsi" w:cstheme="minorHAnsi"/>
          <w:sz w:val="22"/>
        </w:rPr>
        <w:t xml:space="preserve">a good guide to their overall performance. This assumption is examined, in Figure </w:t>
      </w:r>
      <w:r w:rsidR="00856F69">
        <w:rPr>
          <w:rFonts w:asciiTheme="minorHAnsi" w:hAnsiTheme="minorHAnsi" w:cstheme="minorHAnsi"/>
          <w:sz w:val="22"/>
        </w:rPr>
        <w:t>5</w:t>
      </w:r>
      <w:r w:rsidR="00715C3C" w:rsidRPr="00520B73">
        <w:rPr>
          <w:rFonts w:asciiTheme="minorHAnsi" w:hAnsiTheme="minorHAnsi" w:cstheme="minorHAnsi"/>
          <w:sz w:val="22"/>
        </w:rPr>
        <w:t>, for the best performing income surrogate (</w:t>
      </w:r>
      <w:r w:rsidR="00F104EA">
        <w:rPr>
          <w:rFonts w:asciiTheme="minorHAnsi" w:hAnsiTheme="minorHAnsi" w:cstheme="minorHAnsi"/>
          <w:sz w:val="22"/>
        </w:rPr>
        <w:t>P</w:t>
      </w:r>
      <w:r w:rsidR="00715C3C" w:rsidRPr="00520B73">
        <w:rPr>
          <w:rFonts w:asciiTheme="minorHAnsi" w:hAnsiTheme="minorHAnsi" w:cstheme="minorHAnsi"/>
          <w:sz w:val="22"/>
        </w:rPr>
        <w:t xml:space="preserve">NSSEC12), the </w:t>
      </w:r>
      <w:r w:rsidR="00A27356">
        <w:rPr>
          <w:rFonts w:asciiTheme="minorHAnsi" w:hAnsiTheme="minorHAnsi" w:cstheme="minorHAnsi"/>
          <w:sz w:val="22"/>
        </w:rPr>
        <w:t xml:space="preserve">two </w:t>
      </w:r>
      <w:r w:rsidR="00715C3C" w:rsidRPr="00520B73">
        <w:rPr>
          <w:rFonts w:asciiTheme="minorHAnsi" w:hAnsiTheme="minorHAnsi" w:cstheme="minorHAnsi"/>
          <w:sz w:val="22"/>
        </w:rPr>
        <w:t xml:space="preserve">best performing </w:t>
      </w:r>
      <w:r w:rsidR="00772CAE">
        <w:rPr>
          <w:rFonts w:asciiTheme="minorHAnsi" w:hAnsiTheme="minorHAnsi" w:cstheme="minorHAnsi"/>
          <w:sz w:val="22"/>
        </w:rPr>
        <w:t>unit</w:t>
      </w:r>
      <w:r w:rsidR="00813E52">
        <w:rPr>
          <w:rFonts w:asciiTheme="minorHAnsi" w:hAnsiTheme="minorHAnsi" w:cstheme="minorHAnsi"/>
          <w:sz w:val="22"/>
        </w:rPr>
        <w:t xml:space="preserve">-level synthetic estimation </w:t>
      </w:r>
      <w:r w:rsidR="00715C3C" w:rsidRPr="00520B73">
        <w:rPr>
          <w:rFonts w:asciiTheme="minorHAnsi" w:hAnsiTheme="minorHAnsi" w:cstheme="minorHAnsi"/>
          <w:sz w:val="22"/>
        </w:rPr>
        <w:t xml:space="preserve">strategies (R_IND and LEINCM) and the best </w:t>
      </w:r>
      <w:r w:rsidR="00813E52">
        <w:rPr>
          <w:rFonts w:asciiTheme="minorHAnsi" w:hAnsiTheme="minorHAnsi" w:cstheme="minorHAnsi"/>
          <w:sz w:val="22"/>
        </w:rPr>
        <w:t>area-level synthetic estimation</w:t>
      </w:r>
      <w:r w:rsidR="00715C3C" w:rsidRPr="00520B73">
        <w:rPr>
          <w:rFonts w:asciiTheme="minorHAnsi" w:hAnsiTheme="minorHAnsi" w:cstheme="minorHAnsi"/>
          <w:sz w:val="22"/>
        </w:rPr>
        <w:t xml:space="preserve"> strategy (ecological regression).  </w:t>
      </w:r>
      <w:r w:rsidR="00EB7418" w:rsidRPr="00520B73">
        <w:rPr>
          <w:rFonts w:asciiTheme="minorHAnsi" w:hAnsiTheme="minorHAnsi" w:cstheme="minorHAnsi"/>
          <w:sz w:val="22"/>
        </w:rPr>
        <w:t xml:space="preserve">This reveals that the general relationship between PNSSEC12 and mean individual income is broadly linear across the range £0-£300 per week, arguably breaking down only for the six enumeration districts (out of 651) with mean incomes above £300.  Estimated mean ED incomes </w:t>
      </w:r>
      <w:r>
        <w:rPr>
          <w:rFonts w:asciiTheme="minorHAnsi" w:hAnsiTheme="minorHAnsi" w:cstheme="minorHAnsi"/>
          <w:sz w:val="22"/>
        </w:rPr>
        <w:t xml:space="preserve">synthetically estimated </w:t>
      </w:r>
      <w:r w:rsidR="00A27356">
        <w:rPr>
          <w:rFonts w:asciiTheme="minorHAnsi" w:hAnsiTheme="minorHAnsi" w:cstheme="minorHAnsi"/>
          <w:sz w:val="22"/>
        </w:rPr>
        <w:t xml:space="preserve">using </w:t>
      </w:r>
      <w:r w:rsidR="00EB7418" w:rsidRPr="00520B73">
        <w:rPr>
          <w:rFonts w:asciiTheme="minorHAnsi" w:hAnsiTheme="minorHAnsi" w:cstheme="minorHAnsi"/>
          <w:sz w:val="22"/>
        </w:rPr>
        <w:lastRenderedPageBreak/>
        <w:t xml:space="preserve">individual-level regression or sub-group means are slightly less linear.  In both cases predicted incomes rise less slowly than observed incomes. As a result, divergence from mean income is again greatest for the most affluent </w:t>
      </w:r>
      <w:proofErr w:type="spellStart"/>
      <w:r w:rsidR="00EB7418" w:rsidRPr="00520B73">
        <w:rPr>
          <w:rFonts w:asciiTheme="minorHAnsi" w:hAnsiTheme="minorHAnsi" w:cstheme="minorHAnsi"/>
          <w:sz w:val="22"/>
        </w:rPr>
        <w:t>EDs.</w:t>
      </w:r>
      <w:proofErr w:type="spellEnd"/>
      <w:r w:rsidR="00EB7418" w:rsidRPr="00520B73">
        <w:rPr>
          <w:rFonts w:asciiTheme="minorHAnsi" w:hAnsiTheme="minorHAnsi" w:cstheme="minorHAnsi"/>
          <w:sz w:val="22"/>
        </w:rPr>
        <w:t xml:space="preserve">  In addition, the regression-based results appear to consistently under-predict mean income. </w:t>
      </w:r>
      <w:r w:rsidR="00A27356">
        <w:rPr>
          <w:rFonts w:asciiTheme="minorHAnsi" w:hAnsiTheme="minorHAnsi" w:cstheme="minorHAnsi"/>
          <w:sz w:val="22"/>
        </w:rPr>
        <w:t xml:space="preserve">In contrast, estimates derived via ecological regression appear equally likely to under- or over-estimate mean incomes, with the exception of the same few high-income EDs under-predicted by PNNSSEC12. In contrast to PNSSEC12, however, the estimates from ecological regression </w:t>
      </w:r>
      <w:r w:rsidR="001F47C3">
        <w:rPr>
          <w:rFonts w:asciiTheme="minorHAnsi" w:hAnsiTheme="minorHAnsi" w:cstheme="minorHAnsi"/>
          <w:sz w:val="22"/>
        </w:rPr>
        <w:t xml:space="preserve">are </w:t>
      </w:r>
      <w:r w:rsidR="00A27356">
        <w:rPr>
          <w:rFonts w:asciiTheme="minorHAnsi" w:hAnsiTheme="minorHAnsi" w:cstheme="minorHAnsi"/>
          <w:sz w:val="22"/>
        </w:rPr>
        <w:t>more tightly clustered around the true (observed) values</w:t>
      </w:r>
      <w:r w:rsidR="001F47C3">
        <w:rPr>
          <w:rFonts w:asciiTheme="minorHAnsi" w:hAnsiTheme="minorHAnsi" w:cstheme="minorHAnsi"/>
          <w:sz w:val="22"/>
        </w:rPr>
        <w:t>, reflecting its lower CV</w:t>
      </w:r>
      <w:r w:rsidR="00A27356">
        <w:rPr>
          <w:rFonts w:asciiTheme="minorHAnsi" w:hAnsiTheme="minorHAnsi" w:cstheme="minorHAnsi"/>
          <w:sz w:val="22"/>
        </w:rPr>
        <w:t>.</w:t>
      </w:r>
      <w:r w:rsidR="00D20A13">
        <w:rPr>
          <w:rFonts w:asciiTheme="minorHAnsi" w:hAnsiTheme="minorHAnsi" w:cstheme="minorHAnsi"/>
          <w:sz w:val="22"/>
        </w:rPr>
        <w:t xml:space="preserve"> </w:t>
      </w:r>
    </w:p>
    <w:p w14:paraId="5B6EF5F5" w14:textId="77777777" w:rsidR="00EB7418" w:rsidRDefault="00EB7418"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 </w:t>
      </w:r>
    </w:p>
    <w:p w14:paraId="4ADEA33A" w14:textId="77777777" w:rsidR="00856F69" w:rsidRPr="00520B73" w:rsidRDefault="00856F69" w:rsidP="00015CD9">
      <w:pPr>
        <w:spacing w:line="276" w:lineRule="auto"/>
        <w:jc w:val="both"/>
        <w:rPr>
          <w:rFonts w:asciiTheme="minorHAnsi" w:hAnsiTheme="minorHAnsi" w:cstheme="minorHAnsi"/>
          <w:sz w:val="22"/>
        </w:rPr>
      </w:pPr>
      <w:r>
        <w:rPr>
          <w:rFonts w:asciiTheme="minorHAnsi" w:hAnsiTheme="minorHAnsi" w:cstheme="minorHAnsi"/>
          <w:sz w:val="22"/>
        </w:rPr>
        <w:t xml:space="preserve">FIGURE </w:t>
      </w:r>
      <w:r w:rsidR="001F47C3">
        <w:rPr>
          <w:rFonts w:asciiTheme="minorHAnsi" w:hAnsiTheme="minorHAnsi" w:cstheme="minorHAnsi"/>
          <w:sz w:val="22"/>
        </w:rPr>
        <w:t>4</w:t>
      </w:r>
      <w:r>
        <w:rPr>
          <w:rFonts w:asciiTheme="minorHAnsi" w:hAnsiTheme="minorHAnsi" w:cstheme="minorHAnsi"/>
          <w:sz w:val="22"/>
        </w:rPr>
        <w:t xml:space="preserve"> Performance of alternative small-area income estimates [ABOUT HERE]</w:t>
      </w:r>
    </w:p>
    <w:p w14:paraId="5A28BF23" w14:textId="77777777" w:rsidR="000833A9" w:rsidRDefault="000833A9" w:rsidP="00015CD9">
      <w:pPr>
        <w:spacing w:line="276" w:lineRule="auto"/>
        <w:jc w:val="both"/>
        <w:rPr>
          <w:rFonts w:asciiTheme="minorHAnsi" w:hAnsiTheme="minorHAnsi" w:cstheme="minorHAnsi"/>
          <w:sz w:val="22"/>
        </w:rPr>
      </w:pPr>
    </w:p>
    <w:p w14:paraId="68397E19" w14:textId="77777777" w:rsidR="00EB7418" w:rsidRPr="00520B73" w:rsidRDefault="00EB7418" w:rsidP="00015CD9">
      <w:pPr>
        <w:spacing w:line="276" w:lineRule="auto"/>
        <w:jc w:val="both"/>
        <w:rPr>
          <w:rFonts w:asciiTheme="minorHAnsi" w:hAnsiTheme="minorHAnsi" w:cstheme="minorHAnsi"/>
          <w:sz w:val="22"/>
        </w:rPr>
      </w:pPr>
      <w:r w:rsidRPr="00520B73">
        <w:rPr>
          <w:rFonts w:asciiTheme="minorHAnsi" w:hAnsiTheme="minorHAnsi" w:cstheme="minorHAnsi"/>
          <w:sz w:val="22"/>
        </w:rPr>
        <w:t>Collectively these findings suggest that, especially for the more affluent enumeration districts, differential selection by income appears to persist, even within narrowly defined population sub-groups.</w:t>
      </w:r>
      <w:r w:rsidR="00793784">
        <w:rPr>
          <w:rFonts w:asciiTheme="minorHAnsi" w:hAnsiTheme="minorHAnsi" w:cstheme="minorHAnsi"/>
          <w:sz w:val="22"/>
        </w:rPr>
        <w:t xml:space="preserve"> </w:t>
      </w:r>
      <w:r w:rsidRPr="00520B73">
        <w:rPr>
          <w:rFonts w:asciiTheme="minorHAnsi" w:hAnsiTheme="minorHAnsi" w:cstheme="minorHAnsi"/>
          <w:sz w:val="22"/>
        </w:rPr>
        <w:t xml:space="preserve">This effect remains and is further exaggerated if modelled income means are used to impute top income-band values in the place of the FRS-based means.  Even so, the relatively linear relationship </w:t>
      </w:r>
      <w:r w:rsidR="00715C3C" w:rsidRPr="00520B73">
        <w:rPr>
          <w:rFonts w:asciiTheme="minorHAnsi" w:hAnsiTheme="minorHAnsi" w:cstheme="minorHAnsi"/>
          <w:sz w:val="22"/>
        </w:rPr>
        <w:t xml:space="preserve">found </w:t>
      </w:r>
      <w:r w:rsidRPr="00520B73">
        <w:rPr>
          <w:rFonts w:asciiTheme="minorHAnsi" w:hAnsiTheme="minorHAnsi" w:cstheme="minorHAnsi"/>
          <w:sz w:val="22"/>
        </w:rPr>
        <w:t xml:space="preserve">between observed and predicted income for </w:t>
      </w:r>
      <w:r w:rsidR="00715C3C" w:rsidRPr="00520B73">
        <w:rPr>
          <w:rFonts w:asciiTheme="minorHAnsi" w:hAnsiTheme="minorHAnsi" w:cstheme="minorHAnsi"/>
          <w:sz w:val="22"/>
        </w:rPr>
        <w:t xml:space="preserve">the imputation and ecological regression estimation strategies </w:t>
      </w:r>
      <w:r w:rsidRPr="00520B73">
        <w:rPr>
          <w:rFonts w:asciiTheme="minorHAnsi" w:hAnsiTheme="minorHAnsi" w:cstheme="minorHAnsi"/>
          <w:sz w:val="22"/>
        </w:rPr>
        <w:t>suggests some scope for producing improved estimates by simple rescaling to control totals.</w:t>
      </w:r>
    </w:p>
    <w:p w14:paraId="00A783DD" w14:textId="77777777" w:rsidR="00EB7418" w:rsidRPr="00520B73" w:rsidRDefault="00EB7418" w:rsidP="00015CD9">
      <w:pPr>
        <w:spacing w:line="276" w:lineRule="auto"/>
        <w:jc w:val="both"/>
        <w:rPr>
          <w:rFonts w:asciiTheme="minorHAnsi" w:hAnsiTheme="minorHAnsi" w:cstheme="minorHAnsi"/>
          <w:sz w:val="22"/>
        </w:rPr>
      </w:pPr>
    </w:p>
    <w:p w14:paraId="357A75A6" w14:textId="42780AE8" w:rsidR="00EB7418" w:rsidRPr="00520B73" w:rsidRDefault="00715C3C" w:rsidP="00015CD9">
      <w:pPr>
        <w:spacing w:line="276" w:lineRule="auto"/>
        <w:jc w:val="both"/>
        <w:rPr>
          <w:rFonts w:asciiTheme="minorHAnsi" w:hAnsiTheme="minorHAnsi" w:cstheme="minorHAnsi"/>
          <w:sz w:val="22"/>
        </w:rPr>
      </w:pPr>
      <w:r w:rsidRPr="00520B73">
        <w:rPr>
          <w:rFonts w:asciiTheme="minorHAnsi" w:hAnsiTheme="minorHAnsi" w:cstheme="minorHAnsi"/>
          <w:sz w:val="22"/>
        </w:rPr>
        <w:t>Rescaling, however, will not change the relative rankings of EDs by estimated income; and it is the ranking of areas by income that is often of most policy relevance. For this reason</w:t>
      </w:r>
      <w:r w:rsidR="00EB7418" w:rsidRPr="00520B73">
        <w:rPr>
          <w:rFonts w:asciiTheme="minorHAnsi" w:hAnsiTheme="minorHAnsi" w:cstheme="minorHAnsi"/>
          <w:sz w:val="22"/>
        </w:rPr>
        <w:t xml:space="preserve"> Table </w:t>
      </w:r>
      <w:r w:rsidR="001F47C3">
        <w:rPr>
          <w:rFonts w:asciiTheme="minorHAnsi" w:hAnsiTheme="minorHAnsi" w:cstheme="minorHAnsi"/>
          <w:sz w:val="22"/>
        </w:rPr>
        <w:t>6</w:t>
      </w:r>
      <w:r w:rsidR="00EB7418" w:rsidRPr="00520B73">
        <w:rPr>
          <w:rFonts w:asciiTheme="minorHAnsi" w:hAnsiTheme="minorHAnsi" w:cstheme="minorHAnsi"/>
          <w:sz w:val="22"/>
        </w:rPr>
        <w:t xml:space="preserve"> reports the accuracy of </w:t>
      </w:r>
      <w:r w:rsidRPr="00520B73">
        <w:rPr>
          <w:rFonts w:asciiTheme="minorHAnsi" w:hAnsiTheme="minorHAnsi" w:cstheme="minorHAnsi"/>
          <w:sz w:val="22"/>
        </w:rPr>
        <w:t xml:space="preserve">the </w:t>
      </w:r>
      <w:r w:rsidR="00EB7418" w:rsidRPr="00520B73">
        <w:rPr>
          <w:rFonts w:asciiTheme="minorHAnsi" w:hAnsiTheme="minorHAnsi" w:cstheme="minorHAnsi"/>
          <w:sz w:val="22"/>
        </w:rPr>
        <w:t xml:space="preserve">ranking </w:t>
      </w:r>
      <w:r w:rsidRPr="00520B73">
        <w:rPr>
          <w:rFonts w:asciiTheme="minorHAnsi" w:hAnsiTheme="minorHAnsi" w:cstheme="minorHAnsi"/>
          <w:sz w:val="22"/>
        </w:rPr>
        <w:t xml:space="preserve">of </w:t>
      </w:r>
      <w:r w:rsidR="00EB7418" w:rsidRPr="00520B73">
        <w:rPr>
          <w:rFonts w:asciiTheme="minorHAnsi" w:hAnsiTheme="minorHAnsi" w:cstheme="minorHAnsi"/>
          <w:sz w:val="22"/>
        </w:rPr>
        <w:t xml:space="preserve">enumeration districts by income </w:t>
      </w:r>
      <w:proofErr w:type="spellStart"/>
      <w:r w:rsidR="00EB7418" w:rsidRPr="00520B73">
        <w:rPr>
          <w:rFonts w:asciiTheme="minorHAnsi" w:hAnsiTheme="minorHAnsi" w:cstheme="minorHAnsi"/>
          <w:sz w:val="22"/>
        </w:rPr>
        <w:t>decile</w:t>
      </w:r>
      <w:proofErr w:type="spellEnd"/>
      <w:r w:rsidR="00EB7418" w:rsidRPr="00520B73">
        <w:rPr>
          <w:rFonts w:asciiTheme="minorHAnsi" w:hAnsiTheme="minorHAnsi" w:cstheme="minorHAnsi"/>
          <w:sz w:val="22"/>
        </w:rPr>
        <w:t xml:space="preserve"> using the </w:t>
      </w:r>
      <w:r w:rsidRPr="00520B73">
        <w:rPr>
          <w:rFonts w:asciiTheme="minorHAnsi" w:hAnsiTheme="minorHAnsi" w:cstheme="minorHAnsi"/>
          <w:sz w:val="22"/>
        </w:rPr>
        <w:t xml:space="preserve">same estimation strategies as Figure </w:t>
      </w:r>
      <w:r w:rsidR="001F47C3">
        <w:rPr>
          <w:rFonts w:asciiTheme="minorHAnsi" w:hAnsiTheme="minorHAnsi" w:cstheme="minorHAnsi"/>
          <w:sz w:val="22"/>
        </w:rPr>
        <w:t>4</w:t>
      </w:r>
      <w:r w:rsidRPr="00520B73">
        <w:rPr>
          <w:rFonts w:asciiTheme="minorHAnsi" w:hAnsiTheme="minorHAnsi" w:cstheme="minorHAnsi"/>
          <w:sz w:val="22"/>
        </w:rPr>
        <w:t>.</w:t>
      </w:r>
      <w:r w:rsidR="00EB7418" w:rsidRPr="00520B73">
        <w:rPr>
          <w:rFonts w:asciiTheme="minorHAnsi" w:hAnsiTheme="minorHAnsi" w:cstheme="minorHAnsi"/>
          <w:sz w:val="22"/>
        </w:rPr>
        <w:t xml:space="preserve"> On a</w:t>
      </w:r>
      <w:r w:rsidR="000833A9">
        <w:rPr>
          <w:rFonts w:asciiTheme="minorHAnsi" w:hAnsiTheme="minorHAnsi" w:cstheme="minorHAnsi"/>
          <w:sz w:val="22"/>
        </w:rPr>
        <w:t>verage, all four approaches mis</w:t>
      </w:r>
      <w:r w:rsidR="00EB7418" w:rsidRPr="00520B73">
        <w:rPr>
          <w:rFonts w:asciiTheme="minorHAnsi" w:hAnsiTheme="minorHAnsi" w:cstheme="minorHAnsi"/>
          <w:sz w:val="22"/>
        </w:rPr>
        <w:t xml:space="preserve">classify between 50 and 65% of all </w:t>
      </w:r>
      <w:proofErr w:type="spellStart"/>
      <w:r w:rsidR="00EB7418" w:rsidRPr="00520B73">
        <w:rPr>
          <w:rFonts w:asciiTheme="minorHAnsi" w:hAnsiTheme="minorHAnsi" w:cstheme="minorHAnsi"/>
          <w:sz w:val="22"/>
        </w:rPr>
        <w:t>EDs.</w:t>
      </w:r>
      <w:proofErr w:type="spellEnd"/>
      <w:r w:rsidR="00EB7418" w:rsidRPr="00520B73">
        <w:rPr>
          <w:rFonts w:asciiTheme="minorHAnsi" w:hAnsiTheme="minorHAnsi" w:cstheme="minorHAnsi"/>
          <w:sz w:val="22"/>
        </w:rPr>
        <w:t xml:space="preserve">  However, </w:t>
      </w:r>
      <w:proofErr w:type="gramStart"/>
      <w:r w:rsidR="00EB7418" w:rsidRPr="00520B73">
        <w:rPr>
          <w:rFonts w:asciiTheme="minorHAnsi" w:hAnsiTheme="minorHAnsi" w:cstheme="minorHAnsi"/>
          <w:sz w:val="22"/>
        </w:rPr>
        <w:t>this figure</w:t>
      </w:r>
      <w:proofErr w:type="gramEnd"/>
      <w:r w:rsidR="00EB7418" w:rsidRPr="00520B73">
        <w:rPr>
          <w:rFonts w:asciiTheme="minorHAnsi" w:hAnsiTheme="minorHAnsi" w:cstheme="minorHAnsi"/>
          <w:sz w:val="22"/>
        </w:rPr>
        <w:t xml:space="preserve"> more than halves if the focus is restricted to correctly identifying EDs in the lowest and highest income </w:t>
      </w:r>
      <w:proofErr w:type="spellStart"/>
      <w:r w:rsidR="00EB7418" w:rsidRPr="00520B73">
        <w:rPr>
          <w:rFonts w:asciiTheme="minorHAnsi" w:hAnsiTheme="minorHAnsi" w:cstheme="minorHAnsi"/>
          <w:sz w:val="22"/>
        </w:rPr>
        <w:t>deciles</w:t>
      </w:r>
      <w:proofErr w:type="spellEnd"/>
      <w:r w:rsidR="00EB7418" w:rsidRPr="00520B73">
        <w:rPr>
          <w:rFonts w:asciiTheme="minorHAnsi" w:hAnsiTheme="minorHAnsi" w:cstheme="minorHAnsi"/>
          <w:sz w:val="22"/>
        </w:rPr>
        <w:t xml:space="preserve">.  Of the four approaches, the </w:t>
      </w:r>
      <w:proofErr w:type="gramStart"/>
      <w:r w:rsidR="00EB7418" w:rsidRPr="00520B73">
        <w:rPr>
          <w:rFonts w:asciiTheme="minorHAnsi" w:hAnsiTheme="minorHAnsi" w:cstheme="minorHAnsi"/>
          <w:sz w:val="22"/>
        </w:rPr>
        <w:t>best-performing</w:t>
      </w:r>
      <w:proofErr w:type="gramEnd"/>
      <w:r w:rsidR="00EB7418" w:rsidRPr="00520B73">
        <w:rPr>
          <w:rFonts w:asciiTheme="minorHAnsi" w:hAnsiTheme="minorHAnsi" w:cstheme="minorHAnsi"/>
          <w:sz w:val="22"/>
        </w:rPr>
        <w:t xml:space="preserve"> for ranking purposes are ecological regression and </w:t>
      </w:r>
      <w:r w:rsidR="00772CAE">
        <w:rPr>
          <w:rFonts w:asciiTheme="minorHAnsi" w:hAnsiTheme="minorHAnsi" w:cstheme="minorHAnsi"/>
          <w:sz w:val="22"/>
        </w:rPr>
        <w:t>unit</w:t>
      </w:r>
      <w:r w:rsidR="00813E52">
        <w:rPr>
          <w:rFonts w:asciiTheme="minorHAnsi" w:hAnsiTheme="minorHAnsi" w:cstheme="minorHAnsi"/>
          <w:sz w:val="22"/>
        </w:rPr>
        <w:t xml:space="preserve">-level synthetic estimation using </w:t>
      </w:r>
      <w:r w:rsidR="00EB7418" w:rsidRPr="00520B73">
        <w:rPr>
          <w:rFonts w:asciiTheme="minorHAnsi" w:hAnsiTheme="minorHAnsi" w:cstheme="minorHAnsi"/>
          <w:sz w:val="22"/>
        </w:rPr>
        <w:t>sub-group means</w:t>
      </w:r>
      <w:r w:rsidR="00F104EA">
        <w:rPr>
          <w:rFonts w:asciiTheme="minorHAnsi" w:hAnsiTheme="minorHAnsi" w:cstheme="minorHAnsi"/>
          <w:sz w:val="22"/>
        </w:rPr>
        <w:t xml:space="preserve"> (LEEINC)</w:t>
      </w:r>
      <w:r w:rsidR="00EB7418" w:rsidRPr="00520B73">
        <w:rPr>
          <w:rFonts w:asciiTheme="minorHAnsi" w:hAnsiTheme="minorHAnsi" w:cstheme="minorHAnsi"/>
          <w:sz w:val="22"/>
        </w:rPr>
        <w:t xml:space="preserve">. Of these two, ecological regression is the more successful at identifying those areas with the highest and lowest mean incomes, whilst sub-group means offer </w:t>
      </w:r>
      <w:r w:rsidR="00F104EA">
        <w:rPr>
          <w:rFonts w:asciiTheme="minorHAnsi" w:hAnsiTheme="minorHAnsi" w:cstheme="minorHAnsi"/>
          <w:sz w:val="22"/>
        </w:rPr>
        <w:t>superior</w:t>
      </w:r>
      <w:r w:rsidR="00EB7418" w:rsidRPr="00520B73">
        <w:rPr>
          <w:rFonts w:asciiTheme="minorHAnsi" w:hAnsiTheme="minorHAnsi" w:cstheme="minorHAnsi"/>
          <w:sz w:val="22"/>
        </w:rPr>
        <w:t xml:space="preserve"> ranking mid-table and, therefore, overall.</w:t>
      </w:r>
      <w:r w:rsidRPr="00520B73">
        <w:rPr>
          <w:rFonts w:asciiTheme="minorHAnsi" w:hAnsiTheme="minorHAnsi" w:cstheme="minorHAnsi"/>
          <w:sz w:val="22"/>
        </w:rPr>
        <w:t xml:space="preserve"> The difference, however, is marginal.</w:t>
      </w:r>
    </w:p>
    <w:p w14:paraId="36003C45" w14:textId="77777777" w:rsidR="00EB7418" w:rsidRPr="00520B73" w:rsidRDefault="00EB7418" w:rsidP="00015CD9">
      <w:pPr>
        <w:spacing w:line="276" w:lineRule="auto"/>
        <w:jc w:val="both"/>
        <w:rPr>
          <w:rFonts w:asciiTheme="minorHAnsi" w:hAnsiTheme="minorHAnsi" w:cstheme="minorHAnsi"/>
          <w:sz w:val="22"/>
        </w:rPr>
      </w:pPr>
    </w:p>
    <w:p w14:paraId="4214F5A3" w14:textId="77777777" w:rsidR="00EB7418" w:rsidRPr="00520B73" w:rsidRDefault="00EB7418"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TABLE </w:t>
      </w:r>
      <w:r w:rsidR="001F47C3">
        <w:rPr>
          <w:rFonts w:asciiTheme="minorHAnsi" w:hAnsiTheme="minorHAnsi" w:cstheme="minorHAnsi"/>
          <w:sz w:val="22"/>
        </w:rPr>
        <w:t>6</w:t>
      </w:r>
      <w:r w:rsidRPr="00520B73">
        <w:rPr>
          <w:rFonts w:asciiTheme="minorHAnsi" w:hAnsiTheme="minorHAnsi" w:cstheme="minorHAnsi"/>
          <w:sz w:val="22"/>
        </w:rPr>
        <w:t xml:space="preserve"> Accuracy of ED rankings </w:t>
      </w:r>
      <w:r w:rsidR="00A27356">
        <w:rPr>
          <w:rFonts w:asciiTheme="minorHAnsi" w:hAnsiTheme="minorHAnsi" w:cstheme="minorHAnsi"/>
          <w:sz w:val="22"/>
        </w:rPr>
        <w:t>by</w:t>
      </w:r>
      <w:r w:rsidRPr="00520B73">
        <w:rPr>
          <w:rFonts w:asciiTheme="minorHAnsi" w:hAnsiTheme="minorHAnsi" w:cstheme="minorHAnsi"/>
          <w:sz w:val="22"/>
        </w:rPr>
        <w:t xml:space="preserve"> mean individual income</w:t>
      </w:r>
      <w:r w:rsidR="00715C3C" w:rsidRPr="00520B73">
        <w:rPr>
          <w:rFonts w:asciiTheme="minorHAnsi" w:hAnsiTheme="minorHAnsi" w:cstheme="minorHAnsi"/>
          <w:sz w:val="22"/>
        </w:rPr>
        <w:t xml:space="preserve"> </w:t>
      </w:r>
      <w:r w:rsidR="00856F69">
        <w:rPr>
          <w:rFonts w:asciiTheme="minorHAnsi" w:hAnsiTheme="minorHAnsi" w:cstheme="minorHAnsi"/>
          <w:sz w:val="22"/>
        </w:rPr>
        <w:t>[ABOUT HERE]</w:t>
      </w:r>
    </w:p>
    <w:p w14:paraId="39204E80" w14:textId="77777777" w:rsidR="00EB7418" w:rsidRPr="00520B73" w:rsidRDefault="00EB7418" w:rsidP="00015CD9">
      <w:pPr>
        <w:spacing w:line="276" w:lineRule="auto"/>
        <w:jc w:val="both"/>
        <w:rPr>
          <w:rFonts w:asciiTheme="minorHAnsi" w:hAnsiTheme="minorHAnsi" w:cstheme="minorHAnsi"/>
          <w:sz w:val="22"/>
        </w:rPr>
      </w:pPr>
    </w:p>
    <w:p w14:paraId="277047A3" w14:textId="77777777" w:rsidR="00CB0ECC" w:rsidRPr="007E6F4D" w:rsidRDefault="004F7D18" w:rsidP="00015CD9">
      <w:pPr>
        <w:spacing w:line="276" w:lineRule="auto"/>
        <w:jc w:val="both"/>
        <w:rPr>
          <w:rFonts w:asciiTheme="minorHAnsi" w:hAnsiTheme="minorHAnsi" w:cstheme="minorHAnsi"/>
          <w:b/>
          <w:sz w:val="26"/>
        </w:rPr>
      </w:pPr>
      <w:r w:rsidRPr="007E6F4D">
        <w:rPr>
          <w:rFonts w:asciiTheme="minorHAnsi" w:hAnsiTheme="minorHAnsi" w:cstheme="minorHAnsi"/>
          <w:b/>
          <w:sz w:val="26"/>
        </w:rPr>
        <w:t>6</w:t>
      </w:r>
      <w:r w:rsidR="00CB0ECC" w:rsidRPr="007E6F4D">
        <w:rPr>
          <w:rFonts w:asciiTheme="minorHAnsi" w:hAnsiTheme="minorHAnsi" w:cstheme="minorHAnsi"/>
          <w:b/>
          <w:sz w:val="26"/>
        </w:rPr>
        <w:t>. Conclusion</w:t>
      </w:r>
    </w:p>
    <w:p w14:paraId="19790877" w14:textId="77777777" w:rsidR="001568E7" w:rsidRPr="00520B73" w:rsidRDefault="001568E7" w:rsidP="00015CD9">
      <w:pPr>
        <w:spacing w:line="276" w:lineRule="auto"/>
        <w:jc w:val="both"/>
        <w:rPr>
          <w:rFonts w:asciiTheme="minorHAnsi" w:hAnsiTheme="minorHAnsi" w:cstheme="minorHAnsi"/>
          <w:sz w:val="22"/>
        </w:rPr>
      </w:pPr>
    </w:p>
    <w:p w14:paraId="53468550" w14:textId="77777777" w:rsidR="00B618ED" w:rsidRPr="00520B73" w:rsidRDefault="00205B5A"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Researchers and National Statistical Institutes around the world continue to grapple with the problem of estimating incomes for small areas. Exploiting a unique resource, a UK Census Rehearsal that captured information on income for large </w:t>
      </w:r>
      <w:proofErr w:type="gramStart"/>
      <w:r w:rsidRPr="00520B73">
        <w:rPr>
          <w:rFonts w:asciiTheme="minorHAnsi" w:hAnsiTheme="minorHAnsi" w:cstheme="minorHAnsi"/>
          <w:sz w:val="22"/>
        </w:rPr>
        <w:t>spatially-contiguous</w:t>
      </w:r>
      <w:proofErr w:type="gramEnd"/>
      <w:r w:rsidRPr="00520B73">
        <w:rPr>
          <w:rFonts w:asciiTheme="minorHAnsi" w:hAnsiTheme="minorHAnsi" w:cstheme="minorHAnsi"/>
          <w:sz w:val="22"/>
        </w:rPr>
        <w:t xml:space="preserve"> blocks of population, this paper offers a number of contributions to the debate. First, the </w:t>
      </w:r>
      <w:r w:rsidRPr="00520B73">
        <w:rPr>
          <w:rFonts w:asciiTheme="minorHAnsi" w:hAnsiTheme="minorHAnsi" w:cstheme="minorHAnsi"/>
          <w:i/>
          <w:sz w:val="22"/>
        </w:rPr>
        <w:t>nature</w:t>
      </w:r>
      <w:r w:rsidRPr="00520B73">
        <w:rPr>
          <w:rFonts w:asciiTheme="minorHAnsi" w:hAnsiTheme="minorHAnsi" w:cstheme="minorHAnsi"/>
          <w:sz w:val="22"/>
        </w:rPr>
        <w:t xml:space="preserve"> of the problem being tackled has been explored further</w:t>
      </w:r>
      <w:r w:rsidR="00B618ED" w:rsidRPr="00520B73">
        <w:rPr>
          <w:rFonts w:asciiTheme="minorHAnsi" w:hAnsiTheme="minorHAnsi" w:cstheme="minorHAnsi"/>
          <w:sz w:val="22"/>
        </w:rPr>
        <w:t xml:space="preserve">, through a detailed </w:t>
      </w:r>
      <w:r w:rsidR="00DB3FDC" w:rsidRPr="00520B73">
        <w:rPr>
          <w:rFonts w:asciiTheme="minorHAnsi" w:hAnsiTheme="minorHAnsi" w:cstheme="minorHAnsi"/>
          <w:sz w:val="22"/>
        </w:rPr>
        <w:t>appraisal</w:t>
      </w:r>
      <w:r w:rsidR="00B618ED" w:rsidRPr="00520B73">
        <w:rPr>
          <w:rFonts w:asciiTheme="minorHAnsi" w:hAnsiTheme="minorHAnsi" w:cstheme="minorHAnsi"/>
          <w:sz w:val="22"/>
        </w:rPr>
        <w:t xml:space="preserve"> of the </w:t>
      </w:r>
      <w:r w:rsidR="00DB3FDC" w:rsidRPr="00520B73">
        <w:rPr>
          <w:rFonts w:asciiTheme="minorHAnsi" w:hAnsiTheme="minorHAnsi" w:cstheme="minorHAnsi"/>
          <w:sz w:val="22"/>
        </w:rPr>
        <w:t>way in which incomes vary spatially</w:t>
      </w:r>
      <w:r w:rsidRPr="00520B73">
        <w:rPr>
          <w:rFonts w:asciiTheme="minorHAnsi" w:hAnsiTheme="minorHAnsi" w:cstheme="minorHAnsi"/>
          <w:sz w:val="22"/>
        </w:rPr>
        <w:t xml:space="preserve">. </w:t>
      </w:r>
      <w:r w:rsidR="00B618ED" w:rsidRPr="00520B73">
        <w:rPr>
          <w:rFonts w:asciiTheme="minorHAnsi" w:hAnsiTheme="minorHAnsi" w:cstheme="minorHAnsi"/>
          <w:sz w:val="22"/>
        </w:rPr>
        <w:t xml:space="preserve">Second, the </w:t>
      </w:r>
      <w:r w:rsidR="00B618ED" w:rsidRPr="00520B73">
        <w:rPr>
          <w:rFonts w:asciiTheme="minorHAnsi" w:hAnsiTheme="minorHAnsi" w:cstheme="minorHAnsi"/>
          <w:i/>
          <w:sz w:val="22"/>
        </w:rPr>
        <w:t>performance</w:t>
      </w:r>
      <w:r w:rsidR="00B618ED" w:rsidRPr="00520B73">
        <w:rPr>
          <w:rFonts w:asciiTheme="minorHAnsi" w:hAnsiTheme="minorHAnsi" w:cstheme="minorHAnsi"/>
          <w:sz w:val="22"/>
        </w:rPr>
        <w:t xml:space="preserve"> of competing strategies for the estimation of small-area incomes has been assessed, uniquely </w:t>
      </w:r>
      <w:r w:rsidR="006B508E">
        <w:rPr>
          <w:rFonts w:asciiTheme="minorHAnsi" w:hAnsiTheme="minorHAnsi" w:cstheme="minorHAnsi"/>
          <w:sz w:val="22"/>
        </w:rPr>
        <w:t xml:space="preserve">comparing simultaneously proxy, </w:t>
      </w:r>
      <w:proofErr w:type="spellStart"/>
      <w:r w:rsidR="00254111">
        <w:rPr>
          <w:rFonts w:asciiTheme="minorHAnsi" w:hAnsiTheme="minorHAnsi" w:cstheme="minorHAnsi"/>
          <w:sz w:val="22"/>
        </w:rPr>
        <w:t>geodemographic</w:t>
      </w:r>
      <w:proofErr w:type="spellEnd"/>
      <w:r w:rsidR="00254111">
        <w:rPr>
          <w:rFonts w:asciiTheme="minorHAnsi" w:hAnsiTheme="minorHAnsi" w:cstheme="minorHAnsi"/>
          <w:sz w:val="22"/>
        </w:rPr>
        <w:t xml:space="preserve">, imputed </w:t>
      </w:r>
      <w:r w:rsidR="006B508E" w:rsidRPr="006B508E">
        <w:rPr>
          <w:rFonts w:asciiTheme="minorHAnsi" w:hAnsiTheme="minorHAnsi" w:cstheme="minorHAnsi"/>
          <w:sz w:val="22"/>
        </w:rPr>
        <w:t>and ecological</w:t>
      </w:r>
      <w:r w:rsidR="006B508E">
        <w:rPr>
          <w:rFonts w:asciiTheme="minorHAnsi" w:hAnsiTheme="minorHAnsi" w:cstheme="minorHAnsi"/>
          <w:i/>
          <w:sz w:val="22"/>
        </w:rPr>
        <w:t xml:space="preserve"> </w:t>
      </w:r>
      <w:r w:rsidR="006B508E">
        <w:rPr>
          <w:rFonts w:asciiTheme="minorHAnsi" w:hAnsiTheme="minorHAnsi" w:cstheme="minorHAnsi"/>
          <w:sz w:val="22"/>
        </w:rPr>
        <w:t>estimates</w:t>
      </w:r>
      <w:r w:rsidR="00B618ED" w:rsidRPr="006B508E">
        <w:rPr>
          <w:rFonts w:asciiTheme="minorHAnsi" w:hAnsiTheme="minorHAnsi" w:cstheme="minorHAnsi"/>
          <w:sz w:val="22"/>
        </w:rPr>
        <w:t>; and validating all of these estimates against direct rather than indirect observation</w:t>
      </w:r>
      <w:r w:rsidR="00F104EA" w:rsidRPr="006B508E">
        <w:rPr>
          <w:rFonts w:asciiTheme="minorHAnsi" w:hAnsiTheme="minorHAnsi" w:cstheme="minorHAnsi"/>
          <w:sz w:val="22"/>
        </w:rPr>
        <w:t>s</w:t>
      </w:r>
      <w:r w:rsidR="00B618ED" w:rsidRPr="006B508E">
        <w:rPr>
          <w:rFonts w:asciiTheme="minorHAnsi" w:hAnsiTheme="minorHAnsi" w:cstheme="minorHAnsi"/>
          <w:sz w:val="22"/>
        </w:rPr>
        <w:t xml:space="preserve"> of the true v</w:t>
      </w:r>
      <w:r w:rsidR="00B618ED" w:rsidRPr="00520B73">
        <w:rPr>
          <w:rFonts w:asciiTheme="minorHAnsi" w:hAnsiTheme="minorHAnsi" w:cstheme="minorHAnsi"/>
          <w:sz w:val="22"/>
        </w:rPr>
        <w:t>alues.</w:t>
      </w:r>
    </w:p>
    <w:p w14:paraId="53751DDC" w14:textId="77777777" w:rsidR="00B618ED" w:rsidRDefault="00B618ED" w:rsidP="00015CD9">
      <w:pPr>
        <w:spacing w:line="276" w:lineRule="auto"/>
        <w:jc w:val="both"/>
        <w:rPr>
          <w:rFonts w:asciiTheme="minorHAnsi" w:hAnsiTheme="minorHAnsi" w:cstheme="minorHAnsi"/>
          <w:sz w:val="22"/>
        </w:rPr>
      </w:pPr>
    </w:p>
    <w:p w14:paraId="4F076BEB" w14:textId="77777777" w:rsidR="004F7D18" w:rsidRPr="00520B73" w:rsidRDefault="00205B5A" w:rsidP="00015CD9">
      <w:pPr>
        <w:spacing w:line="276" w:lineRule="auto"/>
        <w:jc w:val="both"/>
        <w:rPr>
          <w:rFonts w:asciiTheme="minorHAnsi" w:hAnsiTheme="minorHAnsi" w:cstheme="minorHAnsi"/>
          <w:sz w:val="22"/>
        </w:rPr>
      </w:pPr>
      <w:r w:rsidRPr="00520B73">
        <w:rPr>
          <w:rFonts w:asciiTheme="minorHAnsi" w:hAnsiTheme="minorHAnsi" w:cstheme="minorHAnsi"/>
          <w:sz w:val="22"/>
        </w:rPr>
        <w:lastRenderedPageBreak/>
        <w:t xml:space="preserve">Unsurprisingly the variability in mean area incomes has been shown to vary inversely with the size of spatial unit, with the smallest spatial units displaying the greatest variability in mean incomes. </w:t>
      </w:r>
      <w:r w:rsidR="003B7207" w:rsidRPr="00520B73">
        <w:rPr>
          <w:rFonts w:asciiTheme="minorHAnsi" w:hAnsiTheme="minorHAnsi" w:cstheme="minorHAnsi"/>
          <w:sz w:val="22"/>
        </w:rPr>
        <w:t xml:space="preserve">Mean household incomes are also generally more spatially variable than mean individual or </w:t>
      </w:r>
      <w:proofErr w:type="spellStart"/>
      <w:r w:rsidR="003B7207" w:rsidRPr="00520B73">
        <w:rPr>
          <w:rFonts w:asciiTheme="minorHAnsi" w:hAnsiTheme="minorHAnsi" w:cstheme="minorHAnsi"/>
          <w:sz w:val="22"/>
        </w:rPr>
        <w:t>equivalised</w:t>
      </w:r>
      <w:proofErr w:type="spellEnd"/>
      <w:r w:rsidR="003B7207" w:rsidRPr="00520B73">
        <w:rPr>
          <w:rFonts w:asciiTheme="minorHAnsi" w:hAnsiTheme="minorHAnsi" w:cstheme="minorHAnsi"/>
          <w:sz w:val="22"/>
        </w:rPr>
        <w:t xml:space="preserve">-household incomes. </w:t>
      </w:r>
      <w:r w:rsidRPr="00520B73">
        <w:rPr>
          <w:rFonts w:asciiTheme="minorHAnsi" w:hAnsiTheme="minorHAnsi" w:cstheme="minorHAnsi"/>
          <w:sz w:val="22"/>
        </w:rPr>
        <w:t xml:space="preserve">More surprisingly, </w:t>
      </w:r>
      <w:r w:rsidR="003B7207" w:rsidRPr="00520B73">
        <w:rPr>
          <w:rFonts w:asciiTheme="minorHAnsi" w:hAnsiTheme="minorHAnsi" w:cstheme="minorHAnsi"/>
          <w:sz w:val="22"/>
        </w:rPr>
        <w:t xml:space="preserve">the spatial </w:t>
      </w:r>
      <w:r w:rsidRPr="00520B73">
        <w:rPr>
          <w:rFonts w:asciiTheme="minorHAnsi" w:hAnsiTheme="minorHAnsi" w:cstheme="minorHAnsi"/>
          <w:sz w:val="22"/>
        </w:rPr>
        <w:t xml:space="preserve">variability in incomes has been found to be almost entirely due to the </w:t>
      </w:r>
      <w:r w:rsidR="004B49EF" w:rsidRPr="00520B73">
        <w:rPr>
          <w:rFonts w:asciiTheme="minorHAnsi" w:hAnsiTheme="minorHAnsi" w:cstheme="minorHAnsi"/>
          <w:sz w:val="22"/>
        </w:rPr>
        <w:t xml:space="preserve">effects of residential sorting. Wage variations across labour markets </w:t>
      </w:r>
      <w:r w:rsidR="00B618ED" w:rsidRPr="00520B73">
        <w:rPr>
          <w:rFonts w:asciiTheme="minorHAnsi" w:hAnsiTheme="minorHAnsi" w:cstheme="minorHAnsi"/>
          <w:sz w:val="22"/>
        </w:rPr>
        <w:t xml:space="preserve">have been shown to </w:t>
      </w:r>
      <w:r w:rsidR="004B49EF" w:rsidRPr="00520B73">
        <w:rPr>
          <w:rFonts w:asciiTheme="minorHAnsi" w:hAnsiTheme="minorHAnsi" w:cstheme="minorHAnsi"/>
          <w:sz w:val="22"/>
        </w:rPr>
        <w:t xml:space="preserve">play at best a minimal role, </w:t>
      </w:r>
      <w:r w:rsidR="003B7207" w:rsidRPr="00520B73">
        <w:rPr>
          <w:rFonts w:asciiTheme="minorHAnsi" w:hAnsiTheme="minorHAnsi" w:cstheme="minorHAnsi"/>
          <w:sz w:val="22"/>
        </w:rPr>
        <w:t>with the possible exception of a</w:t>
      </w:r>
      <w:r w:rsidR="004B49EF" w:rsidRPr="00520B73">
        <w:rPr>
          <w:rFonts w:asciiTheme="minorHAnsi" w:hAnsiTheme="minorHAnsi" w:cstheme="minorHAnsi"/>
          <w:sz w:val="22"/>
        </w:rPr>
        <w:t xml:space="preserve"> London/South East effect</w:t>
      </w:r>
      <w:r w:rsidR="003B7207" w:rsidRPr="00520B73">
        <w:rPr>
          <w:rFonts w:asciiTheme="minorHAnsi" w:hAnsiTheme="minorHAnsi" w:cstheme="minorHAnsi"/>
          <w:sz w:val="22"/>
        </w:rPr>
        <w:t xml:space="preserve"> (an area not covered by the Rehearsal data)</w:t>
      </w:r>
      <w:r w:rsidR="004B49EF" w:rsidRPr="00520B73">
        <w:rPr>
          <w:rFonts w:asciiTheme="minorHAnsi" w:hAnsiTheme="minorHAnsi" w:cstheme="minorHAnsi"/>
          <w:sz w:val="22"/>
        </w:rPr>
        <w:t>. This residential sorting is stronger for household</w:t>
      </w:r>
      <w:r w:rsidR="003B7207" w:rsidRPr="00520B73">
        <w:rPr>
          <w:rFonts w:asciiTheme="minorHAnsi" w:hAnsiTheme="minorHAnsi" w:cstheme="minorHAnsi"/>
          <w:sz w:val="22"/>
        </w:rPr>
        <w:t>s</w:t>
      </w:r>
      <w:r w:rsidR="004B49EF" w:rsidRPr="00520B73">
        <w:rPr>
          <w:rFonts w:asciiTheme="minorHAnsi" w:hAnsiTheme="minorHAnsi" w:cstheme="minorHAnsi"/>
          <w:sz w:val="22"/>
        </w:rPr>
        <w:t xml:space="preserve"> than </w:t>
      </w:r>
      <w:r w:rsidR="00F104EA">
        <w:rPr>
          <w:rFonts w:asciiTheme="minorHAnsi" w:hAnsiTheme="minorHAnsi" w:cstheme="minorHAnsi"/>
          <w:sz w:val="22"/>
        </w:rPr>
        <w:t xml:space="preserve">for </w:t>
      </w:r>
      <w:r w:rsidR="004B49EF" w:rsidRPr="00520B73">
        <w:rPr>
          <w:rFonts w:asciiTheme="minorHAnsi" w:hAnsiTheme="minorHAnsi" w:cstheme="minorHAnsi"/>
          <w:sz w:val="22"/>
        </w:rPr>
        <w:t xml:space="preserve">individual incomes, </w:t>
      </w:r>
      <w:r w:rsidR="00A27356">
        <w:rPr>
          <w:rFonts w:asciiTheme="minorHAnsi" w:hAnsiTheme="minorHAnsi" w:cstheme="minorHAnsi"/>
          <w:sz w:val="22"/>
        </w:rPr>
        <w:t>indicative</w:t>
      </w:r>
      <w:r w:rsidR="004B49EF" w:rsidRPr="00520B73">
        <w:rPr>
          <w:rFonts w:asciiTheme="minorHAnsi" w:hAnsiTheme="minorHAnsi" w:cstheme="minorHAnsi"/>
          <w:sz w:val="22"/>
        </w:rPr>
        <w:t xml:space="preserve"> of the pooling of household resources to meet housing costs, and </w:t>
      </w:r>
      <w:r w:rsidR="003B7207" w:rsidRPr="00520B73">
        <w:rPr>
          <w:rFonts w:asciiTheme="minorHAnsi" w:hAnsiTheme="minorHAnsi" w:cstheme="minorHAnsi"/>
          <w:sz w:val="22"/>
        </w:rPr>
        <w:t xml:space="preserve">operates most notably </w:t>
      </w:r>
      <w:r w:rsidR="004B49EF" w:rsidRPr="00520B73">
        <w:rPr>
          <w:rFonts w:asciiTheme="minorHAnsi" w:hAnsiTheme="minorHAnsi" w:cstheme="minorHAnsi"/>
          <w:sz w:val="22"/>
        </w:rPr>
        <w:t>at the Enumeration District level</w:t>
      </w:r>
      <w:r w:rsidR="003B7207" w:rsidRPr="00520B73">
        <w:rPr>
          <w:rFonts w:asciiTheme="minorHAnsi" w:hAnsiTheme="minorHAnsi" w:cstheme="minorHAnsi"/>
          <w:sz w:val="22"/>
        </w:rPr>
        <w:t xml:space="preserve"> (i.e. blocks of c</w:t>
      </w:r>
      <w:r w:rsidR="0050463B">
        <w:rPr>
          <w:rFonts w:asciiTheme="minorHAnsi" w:hAnsiTheme="minorHAnsi" w:cstheme="minorHAnsi"/>
          <w:sz w:val="22"/>
        </w:rPr>
        <w:t>.</w:t>
      </w:r>
      <w:r w:rsidR="003B7207" w:rsidRPr="00520B73">
        <w:rPr>
          <w:rFonts w:asciiTheme="minorHAnsi" w:hAnsiTheme="minorHAnsi" w:cstheme="minorHAnsi"/>
          <w:sz w:val="22"/>
        </w:rPr>
        <w:t xml:space="preserve"> </w:t>
      </w:r>
      <w:r w:rsidR="0050463B">
        <w:rPr>
          <w:rFonts w:asciiTheme="minorHAnsi" w:hAnsiTheme="minorHAnsi" w:cstheme="minorHAnsi"/>
          <w:sz w:val="22"/>
        </w:rPr>
        <w:t>150-200</w:t>
      </w:r>
      <w:r w:rsidR="003B7207" w:rsidRPr="00520B73">
        <w:rPr>
          <w:rFonts w:asciiTheme="minorHAnsi" w:hAnsiTheme="minorHAnsi" w:cstheme="minorHAnsi"/>
          <w:sz w:val="22"/>
        </w:rPr>
        <w:t xml:space="preserve"> households)</w:t>
      </w:r>
      <w:r w:rsidR="004B49EF" w:rsidRPr="00520B73">
        <w:rPr>
          <w:rFonts w:asciiTheme="minorHAnsi" w:hAnsiTheme="minorHAnsi" w:cstheme="minorHAnsi"/>
          <w:sz w:val="22"/>
        </w:rPr>
        <w:t>.</w:t>
      </w:r>
      <w:r w:rsidR="003B7207" w:rsidRPr="00520B73">
        <w:rPr>
          <w:rFonts w:asciiTheme="minorHAnsi" w:hAnsiTheme="minorHAnsi" w:cstheme="minorHAnsi"/>
          <w:sz w:val="22"/>
        </w:rPr>
        <w:t xml:space="preserve"> Most crucially, </w:t>
      </w:r>
      <w:r w:rsidR="00F104EA">
        <w:rPr>
          <w:rFonts w:asciiTheme="minorHAnsi" w:hAnsiTheme="minorHAnsi" w:cstheme="minorHAnsi"/>
          <w:sz w:val="22"/>
        </w:rPr>
        <w:t xml:space="preserve">in relation </w:t>
      </w:r>
      <w:r w:rsidR="003B7207" w:rsidRPr="00520B73">
        <w:rPr>
          <w:rFonts w:asciiTheme="minorHAnsi" w:hAnsiTheme="minorHAnsi" w:cstheme="minorHAnsi"/>
          <w:sz w:val="22"/>
        </w:rPr>
        <w:t>to small-area estimation, this residential sorting has been found to be strongest amongst those persons and households with the highest incomes. It has also been found to be explicable almost entirely in terms of individual and household level compositional factors.</w:t>
      </w:r>
    </w:p>
    <w:p w14:paraId="6AC3FEE5" w14:textId="77777777" w:rsidR="003B7207" w:rsidRPr="00520B73" w:rsidRDefault="003B7207" w:rsidP="00015CD9">
      <w:pPr>
        <w:spacing w:line="276" w:lineRule="auto"/>
        <w:jc w:val="both"/>
        <w:rPr>
          <w:rFonts w:asciiTheme="minorHAnsi" w:hAnsiTheme="minorHAnsi" w:cstheme="minorHAnsi"/>
          <w:sz w:val="22"/>
        </w:rPr>
      </w:pPr>
    </w:p>
    <w:p w14:paraId="7C167FF0" w14:textId="349799F1" w:rsidR="00EB7418" w:rsidRPr="00520B73" w:rsidRDefault="00384409"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Of the various estimation strategies considered the simplest of all, a </w:t>
      </w:r>
      <w:proofErr w:type="spellStart"/>
      <w:r w:rsidRPr="00520B73">
        <w:rPr>
          <w:rFonts w:asciiTheme="minorHAnsi" w:hAnsiTheme="minorHAnsi" w:cstheme="minorHAnsi"/>
          <w:sz w:val="22"/>
        </w:rPr>
        <w:t>univariate</w:t>
      </w:r>
      <w:proofErr w:type="spellEnd"/>
      <w:r w:rsidRPr="00520B73">
        <w:rPr>
          <w:rFonts w:asciiTheme="minorHAnsi" w:hAnsiTheme="minorHAnsi" w:cstheme="minorHAnsi"/>
          <w:sz w:val="22"/>
        </w:rPr>
        <w:t xml:space="preserve"> proxy based on the % of the economically active in the highest social classes, proved to be surprisingly effective, performing on a near par with other far more complex approaches </w:t>
      </w:r>
      <w:r w:rsidR="00F104EA">
        <w:rPr>
          <w:rFonts w:asciiTheme="minorHAnsi" w:hAnsiTheme="minorHAnsi" w:cstheme="minorHAnsi"/>
          <w:sz w:val="22"/>
        </w:rPr>
        <w:t>and</w:t>
      </w:r>
      <w:r w:rsidRPr="00520B73">
        <w:rPr>
          <w:rFonts w:asciiTheme="minorHAnsi" w:hAnsiTheme="minorHAnsi" w:cstheme="minorHAnsi"/>
          <w:sz w:val="22"/>
        </w:rPr>
        <w:t xml:space="preserve"> capturing around 80% of the spatial variation in mean incomes </w:t>
      </w:r>
      <w:r w:rsidR="005F1F1F" w:rsidRPr="00520B73">
        <w:rPr>
          <w:rFonts w:asciiTheme="minorHAnsi" w:hAnsiTheme="minorHAnsi" w:cstheme="minorHAnsi"/>
          <w:sz w:val="22"/>
        </w:rPr>
        <w:t>at enumeration district level</w:t>
      </w:r>
      <w:r w:rsidRPr="00520B73">
        <w:rPr>
          <w:rFonts w:asciiTheme="minorHAnsi" w:hAnsiTheme="minorHAnsi" w:cstheme="minorHAnsi"/>
          <w:sz w:val="22"/>
        </w:rPr>
        <w:t xml:space="preserve">. The biggest shortcoming of this </w:t>
      </w:r>
      <w:proofErr w:type="spellStart"/>
      <w:r w:rsidRPr="00520B73">
        <w:rPr>
          <w:rFonts w:asciiTheme="minorHAnsi" w:hAnsiTheme="minorHAnsi" w:cstheme="minorHAnsi"/>
          <w:sz w:val="22"/>
        </w:rPr>
        <w:t>univariate</w:t>
      </w:r>
      <w:proofErr w:type="spellEnd"/>
      <w:r w:rsidRPr="00520B73">
        <w:rPr>
          <w:rFonts w:asciiTheme="minorHAnsi" w:hAnsiTheme="minorHAnsi" w:cstheme="minorHAnsi"/>
          <w:sz w:val="22"/>
        </w:rPr>
        <w:t xml:space="preserve"> proxy was its failure to accurately reflect spatial variations in household incomes. Other drawbacks include the </w:t>
      </w:r>
      <w:r w:rsidR="00AC3385">
        <w:rPr>
          <w:rFonts w:asciiTheme="minorHAnsi" w:hAnsiTheme="minorHAnsi" w:cstheme="minorHAnsi"/>
          <w:sz w:val="22"/>
        </w:rPr>
        <w:t xml:space="preserve">obvious </w:t>
      </w:r>
      <w:r w:rsidRPr="00520B73">
        <w:rPr>
          <w:rFonts w:asciiTheme="minorHAnsi" w:hAnsiTheme="minorHAnsi" w:cstheme="minorHAnsi"/>
          <w:sz w:val="22"/>
        </w:rPr>
        <w:t xml:space="preserve">lack of </w:t>
      </w:r>
      <w:r w:rsidR="000A19A5">
        <w:rPr>
          <w:rFonts w:asciiTheme="minorHAnsi" w:hAnsiTheme="minorHAnsi" w:cstheme="minorHAnsi"/>
          <w:sz w:val="22"/>
        </w:rPr>
        <w:t>a direct estimate of income levels or deprivation rates; in</w:t>
      </w:r>
      <w:r w:rsidRPr="00520B73">
        <w:rPr>
          <w:rFonts w:asciiTheme="minorHAnsi" w:hAnsiTheme="minorHAnsi" w:cstheme="minorHAnsi"/>
          <w:sz w:val="22"/>
        </w:rPr>
        <w:t xml:space="preserve">consistency </w:t>
      </w:r>
      <w:r w:rsidR="000A19A5">
        <w:rPr>
          <w:rFonts w:asciiTheme="minorHAnsi" w:hAnsiTheme="minorHAnsi" w:cstheme="minorHAnsi"/>
          <w:sz w:val="22"/>
        </w:rPr>
        <w:t>i</w:t>
      </w:r>
      <w:r w:rsidRPr="00520B73">
        <w:rPr>
          <w:rFonts w:asciiTheme="minorHAnsi" w:hAnsiTheme="minorHAnsi" w:cstheme="minorHAnsi"/>
          <w:sz w:val="22"/>
        </w:rPr>
        <w:t>n the way in which social classes have been classified</w:t>
      </w:r>
      <w:r w:rsidR="000A19A5">
        <w:rPr>
          <w:rFonts w:asciiTheme="minorHAnsi" w:hAnsiTheme="minorHAnsi" w:cstheme="minorHAnsi"/>
          <w:sz w:val="22"/>
        </w:rPr>
        <w:t xml:space="preserve"> over time</w:t>
      </w:r>
      <w:r w:rsidRPr="00520B73">
        <w:rPr>
          <w:rFonts w:asciiTheme="minorHAnsi" w:hAnsiTheme="minorHAnsi" w:cstheme="minorHAnsi"/>
          <w:sz w:val="22"/>
        </w:rPr>
        <w:t xml:space="preserve">; and </w:t>
      </w:r>
      <w:r w:rsidR="00F104EA">
        <w:rPr>
          <w:rFonts w:asciiTheme="minorHAnsi" w:hAnsiTheme="minorHAnsi" w:cstheme="minorHAnsi"/>
          <w:sz w:val="22"/>
        </w:rPr>
        <w:t xml:space="preserve">the </w:t>
      </w:r>
      <w:r w:rsidRPr="00520B73">
        <w:rPr>
          <w:rFonts w:asciiTheme="minorHAnsi" w:hAnsiTheme="minorHAnsi" w:cstheme="minorHAnsi"/>
          <w:sz w:val="22"/>
        </w:rPr>
        <w:t xml:space="preserve">danger that its effectiveness as a proxy will change over time as the </w:t>
      </w:r>
      <w:r w:rsidR="005F1F1F" w:rsidRPr="00520B73">
        <w:rPr>
          <w:rFonts w:asciiTheme="minorHAnsi" w:hAnsiTheme="minorHAnsi" w:cstheme="minorHAnsi"/>
          <w:sz w:val="22"/>
        </w:rPr>
        <w:t>levels and distribution of societal prosperity changes.</w:t>
      </w:r>
    </w:p>
    <w:p w14:paraId="063717D9" w14:textId="77777777" w:rsidR="00384409" w:rsidRPr="00520B73" w:rsidRDefault="00384409" w:rsidP="00015CD9">
      <w:pPr>
        <w:spacing w:line="276" w:lineRule="auto"/>
        <w:jc w:val="both"/>
        <w:rPr>
          <w:rFonts w:asciiTheme="minorHAnsi" w:hAnsiTheme="minorHAnsi" w:cstheme="minorHAnsi"/>
          <w:sz w:val="22"/>
        </w:rPr>
      </w:pPr>
    </w:p>
    <w:p w14:paraId="0A9A847A" w14:textId="45A6E1B7" w:rsidR="000A19A5" w:rsidRDefault="005F1F1F"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Equally effective </w:t>
      </w:r>
      <w:r w:rsidR="000A19A5">
        <w:rPr>
          <w:rFonts w:asciiTheme="minorHAnsi" w:hAnsiTheme="minorHAnsi" w:cstheme="minorHAnsi"/>
          <w:sz w:val="22"/>
        </w:rPr>
        <w:t xml:space="preserve">at capturing spatial variations in income </w:t>
      </w:r>
      <w:r w:rsidRPr="00520B73">
        <w:rPr>
          <w:rFonts w:asciiTheme="minorHAnsi" w:hAnsiTheme="minorHAnsi" w:cstheme="minorHAnsi"/>
          <w:sz w:val="22"/>
        </w:rPr>
        <w:t>were the best performing of the various</w:t>
      </w:r>
      <w:r w:rsidR="00254111">
        <w:rPr>
          <w:rFonts w:asciiTheme="minorHAnsi" w:hAnsiTheme="minorHAnsi" w:cstheme="minorHAnsi"/>
          <w:sz w:val="22"/>
        </w:rPr>
        <w:t xml:space="preserve"> </w:t>
      </w:r>
      <w:r w:rsidR="00656EC9">
        <w:rPr>
          <w:rFonts w:asciiTheme="minorHAnsi" w:hAnsiTheme="minorHAnsi" w:cstheme="minorHAnsi"/>
          <w:sz w:val="22"/>
        </w:rPr>
        <w:t xml:space="preserve">unit-level </w:t>
      </w:r>
      <w:r w:rsidR="00813E52">
        <w:rPr>
          <w:rFonts w:asciiTheme="minorHAnsi" w:hAnsiTheme="minorHAnsi" w:cstheme="minorHAnsi"/>
          <w:sz w:val="22"/>
        </w:rPr>
        <w:t>synthetic estimation</w:t>
      </w:r>
      <w:r w:rsidRPr="00520B73">
        <w:rPr>
          <w:rFonts w:asciiTheme="minorHAnsi" w:hAnsiTheme="minorHAnsi" w:cstheme="minorHAnsi"/>
          <w:sz w:val="22"/>
        </w:rPr>
        <w:t xml:space="preserve"> strategies considered. </w:t>
      </w:r>
      <w:r w:rsidR="00656EC9">
        <w:rPr>
          <w:rFonts w:asciiTheme="minorHAnsi" w:hAnsiTheme="minorHAnsi" w:cstheme="minorHAnsi"/>
          <w:sz w:val="22"/>
        </w:rPr>
        <w:t xml:space="preserve">These </w:t>
      </w:r>
      <w:r w:rsidR="00772CAE">
        <w:rPr>
          <w:rFonts w:asciiTheme="minorHAnsi" w:hAnsiTheme="minorHAnsi" w:cstheme="minorHAnsi"/>
          <w:sz w:val="22"/>
        </w:rPr>
        <w:t xml:space="preserve">all involved </w:t>
      </w:r>
      <w:r w:rsidR="00656EC9">
        <w:rPr>
          <w:rFonts w:asciiTheme="minorHAnsi" w:hAnsiTheme="minorHAnsi" w:cstheme="minorHAnsi"/>
          <w:sz w:val="22"/>
        </w:rPr>
        <w:t xml:space="preserve">imputing the income of Census Rehearsal individuals </w:t>
      </w:r>
      <w:r w:rsidR="00772CAE">
        <w:rPr>
          <w:rFonts w:asciiTheme="minorHAnsi" w:hAnsiTheme="minorHAnsi" w:cstheme="minorHAnsi"/>
          <w:sz w:val="22"/>
        </w:rPr>
        <w:t xml:space="preserve">or households, using </w:t>
      </w:r>
      <w:r w:rsidR="002007D9" w:rsidRPr="00520B73">
        <w:rPr>
          <w:rFonts w:asciiTheme="minorHAnsi" w:hAnsiTheme="minorHAnsi" w:cstheme="minorHAnsi"/>
          <w:sz w:val="22"/>
        </w:rPr>
        <w:t xml:space="preserve">individual- </w:t>
      </w:r>
      <w:r w:rsidR="00813E52">
        <w:rPr>
          <w:rFonts w:asciiTheme="minorHAnsi" w:hAnsiTheme="minorHAnsi" w:cstheme="minorHAnsi"/>
          <w:sz w:val="22"/>
        </w:rPr>
        <w:t>and</w:t>
      </w:r>
      <w:r w:rsidR="002007D9" w:rsidRPr="00520B73">
        <w:rPr>
          <w:rFonts w:asciiTheme="minorHAnsi" w:hAnsiTheme="minorHAnsi" w:cstheme="minorHAnsi"/>
          <w:sz w:val="22"/>
        </w:rPr>
        <w:t xml:space="preserve"> household-level regression model</w:t>
      </w:r>
      <w:r w:rsidR="00813E52">
        <w:rPr>
          <w:rFonts w:asciiTheme="minorHAnsi" w:hAnsiTheme="minorHAnsi" w:cstheme="minorHAnsi"/>
          <w:sz w:val="22"/>
        </w:rPr>
        <w:t>s</w:t>
      </w:r>
      <w:r w:rsidR="00772CAE">
        <w:rPr>
          <w:rFonts w:asciiTheme="minorHAnsi" w:hAnsiTheme="minorHAnsi" w:cstheme="minorHAnsi"/>
          <w:sz w:val="22"/>
        </w:rPr>
        <w:t xml:space="preserve"> or</w:t>
      </w:r>
      <w:r w:rsidR="00813E52">
        <w:rPr>
          <w:rFonts w:asciiTheme="minorHAnsi" w:hAnsiTheme="minorHAnsi" w:cstheme="minorHAnsi"/>
          <w:sz w:val="22"/>
        </w:rPr>
        <w:t xml:space="preserve"> </w:t>
      </w:r>
      <w:r w:rsidR="00CE166B">
        <w:rPr>
          <w:rFonts w:asciiTheme="minorHAnsi" w:hAnsiTheme="minorHAnsi" w:cstheme="minorHAnsi"/>
          <w:sz w:val="22"/>
        </w:rPr>
        <w:t>occupational</w:t>
      </w:r>
      <w:r w:rsidRPr="00520B73">
        <w:rPr>
          <w:rFonts w:asciiTheme="minorHAnsi" w:hAnsiTheme="minorHAnsi" w:cstheme="minorHAnsi"/>
          <w:sz w:val="22"/>
        </w:rPr>
        <w:t xml:space="preserve"> mean </w:t>
      </w:r>
      <w:r w:rsidR="002007D9" w:rsidRPr="00520B73">
        <w:rPr>
          <w:rFonts w:asciiTheme="minorHAnsi" w:hAnsiTheme="minorHAnsi" w:cstheme="minorHAnsi"/>
          <w:sz w:val="22"/>
        </w:rPr>
        <w:t>income</w:t>
      </w:r>
      <w:r w:rsidR="00772CAE">
        <w:rPr>
          <w:rFonts w:asciiTheme="minorHAnsi" w:hAnsiTheme="minorHAnsi" w:cstheme="minorHAnsi"/>
          <w:sz w:val="22"/>
        </w:rPr>
        <w:t>s, and summing to find mean area-level incomes</w:t>
      </w:r>
      <w:r w:rsidRPr="00520B73">
        <w:rPr>
          <w:rFonts w:asciiTheme="minorHAnsi" w:hAnsiTheme="minorHAnsi" w:cstheme="minorHAnsi"/>
          <w:sz w:val="22"/>
        </w:rPr>
        <w:t>.</w:t>
      </w:r>
      <w:r w:rsidR="002007D9" w:rsidRPr="00520B73">
        <w:rPr>
          <w:rFonts w:asciiTheme="minorHAnsi" w:hAnsiTheme="minorHAnsi" w:cstheme="minorHAnsi"/>
          <w:sz w:val="22"/>
        </w:rPr>
        <w:t xml:space="preserve"> </w:t>
      </w:r>
      <w:r w:rsidR="000A19A5">
        <w:rPr>
          <w:rFonts w:asciiTheme="minorHAnsi" w:hAnsiTheme="minorHAnsi" w:cstheme="minorHAnsi"/>
          <w:sz w:val="22"/>
        </w:rPr>
        <w:t xml:space="preserve">An advantage of these unit-level approaches it that they deliver </w:t>
      </w:r>
      <w:r w:rsidR="000A19A5" w:rsidRPr="00520B73">
        <w:rPr>
          <w:rFonts w:asciiTheme="minorHAnsi" w:hAnsiTheme="minorHAnsi" w:cstheme="minorHAnsi"/>
          <w:sz w:val="22"/>
        </w:rPr>
        <w:t>estimate</w:t>
      </w:r>
      <w:r w:rsidR="000A19A5">
        <w:rPr>
          <w:rFonts w:asciiTheme="minorHAnsi" w:hAnsiTheme="minorHAnsi" w:cstheme="minorHAnsi"/>
          <w:sz w:val="22"/>
        </w:rPr>
        <w:t>s</w:t>
      </w:r>
      <w:r w:rsidR="000A19A5" w:rsidRPr="00520B73">
        <w:rPr>
          <w:rFonts w:asciiTheme="minorHAnsi" w:hAnsiTheme="minorHAnsi" w:cstheme="minorHAnsi"/>
          <w:sz w:val="22"/>
        </w:rPr>
        <w:t xml:space="preserve"> of the full local income distribution, </w:t>
      </w:r>
      <w:r w:rsidR="000A19A5">
        <w:rPr>
          <w:rFonts w:asciiTheme="minorHAnsi" w:hAnsiTheme="minorHAnsi" w:cstheme="minorHAnsi"/>
          <w:sz w:val="22"/>
        </w:rPr>
        <w:t xml:space="preserve">not just point estimates such as the mean or median; offer the </w:t>
      </w:r>
      <w:r w:rsidR="000A19A5" w:rsidRPr="00520B73">
        <w:rPr>
          <w:rFonts w:asciiTheme="minorHAnsi" w:hAnsiTheme="minorHAnsi" w:cstheme="minorHAnsi"/>
          <w:sz w:val="22"/>
        </w:rPr>
        <w:t>potential</w:t>
      </w:r>
      <w:r w:rsidR="000A19A5">
        <w:rPr>
          <w:rFonts w:asciiTheme="minorHAnsi" w:hAnsiTheme="minorHAnsi" w:cstheme="minorHAnsi"/>
          <w:sz w:val="22"/>
        </w:rPr>
        <w:t xml:space="preserve"> to </w:t>
      </w:r>
      <w:r w:rsidR="000A19A5" w:rsidRPr="00520B73">
        <w:rPr>
          <w:rFonts w:asciiTheme="minorHAnsi" w:hAnsiTheme="minorHAnsi" w:cstheme="minorHAnsi"/>
          <w:sz w:val="22"/>
        </w:rPr>
        <w:t>cross-classif</w:t>
      </w:r>
      <w:r w:rsidR="000A19A5">
        <w:rPr>
          <w:rFonts w:asciiTheme="minorHAnsi" w:hAnsiTheme="minorHAnsi" w:cstheme="minorHAnsi"/>
          <w:sz w:val="22"/>
        </w:rPr>
        <w:t>y</w:t>
      </w:r>
      <w:r w:rsidR="000A19A5" w:rsidRPr="00520B73">
        <w:rPr>
          <w:rFonts w:asciiTheme="minorHAnsi" w:hAnsiTheme="minorHAnsi" w:cstheme="minorHAnsi"/>
          <w:sz w:val="22"/>
        </w:rPr>
        <w:t xml:space="preserve"> income with other variables of interest</w:t>
      </w:r>
      <w:r w:rsidR="000A19A5">
        <w:rPr>
          <w:rFonts w:asciiTheme="minorHAnsi" w:hAnsiTheme="minorHAnsi" w:cstheme="minorHAnsi"/>
          <w:sz w:val="22"/>
        </w:rPr>
        <w:t>, such as ethnicity; and allow estimates of deprivation (or affluence) to be derived based on user-specified income thresholds</w:t>
      </w:r>
      <w:r w:rsidR="000A19A5" w:rsidRPr="00520B73">
        <w:rPr>
          <w:rFonts w:asciiTheme="minorHAnsi" w:hAnsiTheme="minorHAnsi" w:cstheme="minorHAnsi"/>
          <w:sz w:val="22"/>
        </w:rPr>
        <w:t>.</w:t>
      </w:r>
      <w:r w:rsidR="000A19A5">
        <w:rPr>
          <w:rFonts w:asciiTheme="minorHAnsi" w:hAnsiTheme="minorHAnsi" w:cstheme="minorHAnsi"/>
          <w:sz w:val="22"/>
        </w:rPr>
        <w:t xml:space="preserve"> On the other hand, </w:t>
      </w:r>
      <w:r w:rsidR="00D20A13">
        <w:rPr>
          <w:rFonts w:asciiTheme="minorHAnsi" w:hAnsiTheme="minorHAnsi" w:cstheme="minorHAnsi"/>
          <w:sz w:val="22"/>
        </w:rPr>
        <w:t>imputation strat</w:t>
      </w:r>
      <w:r w:rsidR="00917729">
        <w:rPr>
          <w:rFonts w:asciiTheme="minorHAnsi" w:hAnsiTheme="minorHAnsi" w:cstheme="minorHAnsi"/>
          <w:sz w:val="22"/>
        </w:rPr>
        <w:t xml:space="preserve">egies </w:t>
      </w:r>
      <w:r w:rsidR="007126B3">
        <w:rPr>
          <w:rFonts w:asciiTheme="minorHAnsi" w:hAnsiTheme="minorHAnsi" w:cstheme="minorHAnsi"/>
          <w:sz w:val="22"/>
        </w:rPr>
        <w:t xml:space="preserve">like these </w:t>
      </w:r>
      <w:r w:rsidR="00FA7906">
        <w:rPr>
          <w:rFonts w:asciiTheme="minorHAnsi" w:hAnsiTheme="minorHAnsi" w:cstheme="minorHAnsi"/>
          <w:sz w:val="22"/>
        </w:rPr>
        <w:t>require access to sizeable samples of survey units for each estimation area</w:t>
      </w:r>
      <w:r w:rsidR="00772CAE">
        <w:rPr>
          <w:rFonts w:asciiTheme="minorHAnsi" w:hAnsiTheme="minorHAnsi" w:cstheme="minorHAnsi"/>
          <w:sz w:val="22"/>
        </w:rPr>
        <w:t>, if not to a full set of census records</w:t>
      </w:r>
      <w:r w:rsidR="00FA7906">
        <w:rPr>
          <w:rFonts w:asciiTheme="minorHAnsi" w:hAnsiTheme="minorHAnsi" w:cstheme="minorHAnsi"/>
          <w:sz w:val="22"/>
        </w:rPr>
        <w:t xml:space="preserve">; </w:t>
      </w:r>
      <w:r w:rsidR="007126B3">
        <w:rPr>
          <w:rFonts w:asciiTheme="minorHAnsi" w:hAnsiTheme="minorHAnsi" w:cstheme="minorHAnsi"/>
          <w:sz w:val="22"/>
        </w:rPr>
        <w:t xml:space="preserve">and the resulting estimates have </w:t>
      </w:r>
      <w:r w:rsidR="00772CAE">
        <w:rPr>
          <w:rFonts w:asciiTheme="minorHAnsi" w:hAnsiTheme="minorHAnsi" w:cstheme="minorHAnsi"/>
          <w:sz w:val="22"/>
        </w:rPr>
        <w:t>coefficients</w:t>
      </w:r>
      <w:r w:rsidR="007126B3">
        <w:rPr>
          <w:rFonts w:asciiTheme="minorHAnsi" w:hAnsiTheme="minorHAnsi" w:cstheme="minorHAnsi"/>
          <w:sz w:val="22"/>
        </w:rPr>
        <w:t xml:space="preserve"> of </w:t>
      </w:r>
      <w:r w:rsidR="002853D0">
        <w:rPr>
          <w:rFonts w:asciiTheme="minorHAnsi" w:hAnsiTheme="minorHAnsi" w:cstheme="minorHAnsi"/>
          <w:sz w:val="22"/>
        </w:rPr>
        <w:t>variation</w:t>
      </w:r>
      <w:r w:rsidR="00772CAE">
        <w:rPr>
          <w:rFonts w:asciiTheme="minorHAnsi" w:hAnsiTheme="minorHAnsi" w:cstheme="minorHAnsi"/>
          <w:sz w:val="22"/>
        </w:rPr>
        <w:t xml:space="preserve"> </w:t>
      </w:r>
      <w:r w:rsidR="007126B3">
        <w:rPr>
          <w:rFonts w:asciiTheme="minorHAnsi" w:hAnsiTheme="minorHAnsi" w:cstheme="minorHAnsi"/>
          <w:sz w:val="22"/>
        </w:rPr>
        <w:t xml:space="preserve">that generally exceed 20%, which </w:t>
      </w:r>
      <w:r w:rsidR="00254A45">
        <w:rPr>
          <w:rFonts w:asciiTheme="minorHAnsi" w:hAnsiTheme="minorHAnsi" w:cstheme="minorHAnsi"/>
          <w:sz w:val="22"/>
        </w:rPr>
        <w:t xml:space="preserve">from a statistical agency point-of-view </w:t>
      </w:r>
      <w:r w:rsidR="007126B3">
        <w:rPr>
          <w:rFonts w:asciiTheme="minorHAnsi" w:hAnsiTheme="minorHAnsi" w:cstheme="minorHAnsi"/>
          <w:sz w:val="22"/>
        </w:rPr>
        <w:t>make them ‘not fit for purpose’ (ONS, 2013). Another issue to be addressed is that</w:t>
      </w:r>
      <w:r w:rsidR="00FA7906">
        <w:rPr>
          <w:rFonts w:asciiTheme="minorHAnsi" w:hAnsiTheme="minorHAnsi" w:cstheme="minorHAnsi"/>
          <w:sz w:val="22"/>
        </w:rPr>
        <w:t xml:space="preserve"> </w:t>
      </w:r>
      <w:r w:rsidR="00254111">
        <w:rPr>
          <w:rFonts w:asciiTheme="minorHAnsi" w:hAnsiTheme="minorHAnsi" w:cstheme="minorHAnsi"/>
          <w:sz w:val="22"/>
        </w:rPr>
        <w:t xml:space="preserve">all </w:t>
      </w:r>
      <w:r w:rsidR="00AC3385">
        <w:rPr>
          <w:rFonts w:asciiTheme="minorHAnsi" w:hAnsiTheme="minorHAnsi" w:cstheme="minorHAnsi"/>
          <w:sz w:val="22"/>
        </w:rPr>
        <w:t xml:space="preserve">of the </w:t>
      </w:r>
      <w:r w:rsidR="00FA7906">
        <w:rPr>
          <w:rFonts w:asciiTheme="minorHAnsi" w:hAnsiTheme="minorHAnsi" w:cstheme="minorHAnsi"/>
          <w:sz w:val="22"/>
        </w:rPr>
        <w:t xml:space="preserve">unit-level estimates </w:t>
      </w:r>
      <w:r w:rsidR="00917729">
        <w:rPr>
          <w:rFonts w:asciiTheme="minorHAnsi" w:hAnsiTheme="minorHAnsi" w:cstheme="minorHAnsi"/>
          <w:sz w:val="22"/>
        </w:rPr>
        <w:t xml:space="preserve">displayed </w:t>
      </w:r>
      <w:r w:rsidR="00C05862">
        <w:rPr>
          <w:rFonts w:asciiTheme="minorHAnsi" w:hAnsiTheme="minorHAnsi" w:cstheme="minorHAnsi"/>
          <w:sz w:val="22"/>
        </w:rPr>
        <w:t xml:space="preserve">systematic bias. Occupation-based estimates over-estimated incomes in poorer areas; and under-estimated incomes in more affluent areas. </w:t>
      </w:r>
      <w:proofErr w:type="gramStart"/>
      <w:r w:rsidR="00C05862">
        <w:rPr>
          <w:rFonts w:asciiTheme="minorHAnsi" w:hAnsiTheme="minorHAnsi" w:cstheme="minorHAnsi"/>
          <w:sz w:val="22"/>
        </w:rPr>
        <w:t>Regression-based approaches under-estimated incomes across the board</w:t>
      </w:r>
      <w:r w:rsidR="00917729">
        <w:rPr>
          <w:rFonts w:asciiTheme="minorHAnsi" w:hAnsiTheme="minorHAnsi" w:cstheme="minorHAnsi"/>
          <w:sz w:val="22"/>
        </w:rPr>
        <w:t>.</w:t>
      </w:r>
      <w:proofErr w:type="gramEnd"/>
      <w:r w:rsidR="00917729">
        <w:rPr>
          <w:rFonts w:asciiTheme="minorHAnsi" w:hAnsiTheme="minorHAnsi" w:cstheme="minorHAnsi"/>
          <w:sz w:val="22"/>
        </w:rPr>
        <w:t xml:space="preserve"> Th</w:t>
      </w:r>
      <w:r w:rsidR="00254A45">
        <w:rPr>
          <w:rFonts w:asciiTheme="minorHAnsi" w:hAnsiTheme="minorHAnsi" w:cstheme="minorHAnsi"/>
          <w:sz w:val="22"/>
        </w:rPr>
        <w:t>ese systematic biases</w:t>
      </w:r>
      <w:r w:rsidR="00D20A13">
        <w:rPr>
          <w:rFonts w:asciiTheme="minorHAnsi" w:hAnsiTheme="minorHAnsi" w:cstheme="minorHAnsi"/>
          <w:sz w:val="22"/>
        </w:rPr>
        <w:t xml:space="preserve"> </w:t>
      </w:r>
      <w:r w:rsidR="00254A45">
        <w:rPr>
          <w:rFonts w:asciiTheme="minorHAnsi" w:hAnsiTheme="minorHAnsi" w:cstheme="minorHAnsi"/>
          <w:sz w:val="22"/>
        </w:rPr>
        <w:t>are</w:t>
      </w:r>
      <w:r w:rsidR="00D20A13">
        <w:rPr>
          <w:rFonts w:asciiTheme="minorHAnsi" w:hAnsiTheme="minorHAnsi" w:cstheme="minorHAnsi"/>
          <w:sz w:val="22"/>
        </w:rPr>
        <w:t xml:space="preserve"> likely to be attributable in part to the omission of </w:t>
      </w:r>
      <w:r w:rsidR="00917729">
        <w:rPr>
          <w:rFonts w:asciiTheme="minorHAnsi" w:hAnsiTheme="minorHAnsi" w:cstheme="minorHAnsi"/>
          <w:sz w:val="22"/>
        </w:rPr>
        <w:t>relevant</w:t>
      </w:r>
      <w:r w:rsidR="00D20A13">
        <w:rPr>
          <w:rFonts w:asciiTheme="minorHAnsi" w:hAnsiTheme="minorHAnsi" w:cstheme="minorHAnsi"/>
          <w:sz w:val="22"/>
        </w:rPr>
        <w:t xml:space="preserve"> within-household clustering effect</w:t>
      </w:r>
      <w:r w:rsidR="00917729">
        <w:rPr>
          <w:rFonts w:asciiTheme="minorHAnsi" w:hAnsiTheme="minorHAnsi" w:cstheme="minorHAnsi"/>
          <w:sz w:val="22"/>
        </w:rPr>
        <w:t>s</w:t>
      </w:r>
      <w:r w:rsidR="00D20A13">
        <w:rPr>
          <w:rFonts w:asciiTheme="minorHAnsi" w:hAnsiTheme="minorHAnsi" w:cstheme="minorHAnsi"/>
          <w:sz w:val="22"/>
        </w:rPr>
        <w:t xml:space="preserve"> (</w:t>
      </w:r>
      <w:r w:rsidR="00917729">
        <w:rPr>
          <w:rFonts w:asciiTheme="minorHAnsi" w:hAnsiTheme="minorHAnsi" w:cstheme="minorHAnsi"/>
          <w:sz w:val="22"/>
        </w:rPr>
        <w:t xml:space="preserve">e.g. </w:t>
      </w:r>
      <w:r w:rsidR="00D20A13">
        <w:rPr>
          <w:rFonts w:asciiTheme="minorHAnsi" w:hAnsiTheme="minorHAnsi" w:cstheme="minorHAnsi"/>
          <w:sz w:val="22"/>
        </w:rPr>
        <w:t xml:space="preserve">adults tend to partner or house-share with others of similar earning capacity); in part to poor and affluent areas attracting, respectively, the least- and best-paid with any particular occupational grouping; and in part to omitted spatial interactions, such as the way in which the income-elasticity of car ownership varies with degree of </w:t>
      </w:r>
      <w:proofErr w:type="spellStart"/>
      <w:r w:rsidR="00D20A13">
        <w:rPr>
          <w:rFonts w:asciiTheme="minorHAnsi" w:hAnsiTheme="minorHAnsi" w:cstheme="minorHAnsi"/>
          <w:sz w:val="22"/>
        </w:rPr>
        <w:t>rurality</w:t>
      </w:r>
      <w:proofErr w:type="spellEnd"/>
      <w:r w:rsidR="00D20A13">
        <w:rPr>
          <w:rFonts w:asciiTheme="minorHAnsi" w:hAnsiTheme="minorHAnsi" w:cstheme="minorHAnsi"/>
          <w:sz w:val="22"/>
        </w:rPr>
        <w:t>.</w:t>
      </w:r>
      <w:r w:rsidR="00254111">
        <w:rPr>
          <w:rFonts w:asciiTheme="minorHAnsi" w:hAnsiTheme="minorHAnsi" w:cstheme="minorHAnsi"/>
          <w:sz w:val="22"/>
        </w:rPr>
        <w:t xml:space="preserve"> </w:t>
      </w:r>
      <w:r w:rsidR="00CE166B">
        <w:rPr>
          <w:rFonts w:asciiTheme="minorHAnsi" w:hAnsiTheme="minorHAnsi" w:cstheme="minorHAnsi"/>
          <w:sz w:val="22"/>
        </w:rPr>
        <w:t xml:space="preserve"> </w:t>
      </w:r>
      <w:r w:rsidR="00AC3385">
        <w:rPr>
          <w:rFonts w:asciiTheme="minorHAnsi" w:hAnsiTheme="minorHAnsi" w:cstheme="minorHAnsi"/>
          <w:sz w:val="22"/>
        </w:rPr>
        <w:t>That said, the existence of a (near) linear relationship between the observed and estimated mean incomes suggest</w:t>
      </w:r>
      <w:r w:rsidR="00F07550">
        <w:rPr>
          <w:rFonts w:asciiTheme="minorHAnsi" w:hAnsiTheme="minorHAnsi" w:cstheme="minorHAnsi"/>
          <w:sz w:val="22"/>
        </w:rPr>
        <w:t>s</w:t>
      </w:r>
      <w:r w:rsidR="00AC3385">
        <w:rPr>
          <w:rFonts w:asciiTheme="minorHAnsi" w:hAnsiTheme="minorHAnsi" w:cstheme="minorHAnsi"/>
          <w:sz w:val="22"/>
        </w:rPr>
        <w:t xml:space="preserve"> that scope for suitable rescaling exists</w:t>
      </w:r>
      <w:r w:rsidR="007126B3">
        <w:rPr>
          <w:rFonts w:asciiTheme="minorHAnsi" w:hAnsiTheme="minorHAnsi" w:cstheme="minorHAnsi"/>
          <w:sz w:val="22"/>
        </w:rPr>
        <w:t xml:space="preserve">; and although estimate variance might exceed the </w:t>
      </w:r>
      <w:r w:rsidR="007126B3">
        <w:rPr>
          <w:rFonts w:asciiTheme="minorHAnsi" w:hAnsiTheme="minorHAnsi" w:cstheme="minorHAnsi"/>
          <w:sz w:val="22"/>
        </w:rPr>
        <w:lastRenderedPageBreak/>
        <w:t xml:space="preserve">stringent standards of a national statistical agency, it is generally low enough for the estimates to be of practical use for at least some purposes. </w:t>
      </w:r>
    </w:p>
    <w:p w14:paraId="64D8E8FA" w14:textId="77777777" w:rsidR="000A19A5" w:rsidRDefault="000A19A5" w:rsidP="00015CD9">
      <w:pPr>
        <w:spacing w:line="276" w:lineRule="auto"/>
        <w:jc w:val="both"/>
        <w:rPr>
          <w:rFonts w:asciiTheme="minorHAnsi" w:hAnsiTheme="minorHAnsi" w:cstheme="minorHAnsi"/>
          <w:sz w:val="22"/>
        </w:rPr>
      </w:pPr>
    </w:p>
    <w:p w14:paraId="706EA28C" w14:textId="44540DFA" w:rsidR="00833545" w:rsidRPr="00520B73" w:rsidRDefault="007126B3" w:rsidP="00015CD9">
      <w:pPr>
        <w:spacing w:line="276" w:lineRule="auto"/>
        <w:jc w:val="both"/>
        <w:rPr>
          <w:rFonts w:asciiTheme="minorHAnsi" w:hAnsiTheme="minorHAnsi" w:cstheme="minorHAnsi"/>
          <w:sz w:val="22"/>
        </w:rPr>
      </w:pPr>
      <w:r>
        <w:rPr>
          <w:rFonts w:asciiTheme="minorHAnsi" w:hAnsiTheme="minorHAnsi" w:cstheme="minorHAnsi"/>
          <w:sz w:val="22"/>
        </w:rPr>
        <w:t xml:space="preserve">The most successful strategies considered, however, </w:t>
      </w:r>
      <w:r w:rsidR="00AC3385">
        <w:rPr>
          <w:rFonts w:asciiTheme="minorHAnsi" w:hAnsiTheme="minorHAnsi" w:cstheme="minorHAnsi"/>
          <w:sz w:val="22"/>
        </w:rPr>
        <w:t xml:space="preserve">were those based on </w:t>
      </w:r>
      <w:r w:rsidR="00CE166B">
        <w:rPr>
          <w:rFonts w:asciiTheme="minorHAnsi" w:hAnsiTheme="minorHAnsi" w:cstheme="minorHAnsi"/>
          <w:sz w:val="22"/>
        </w:rPr>
        <w:t>a</w:t>
      </w:r>
      <w:r w:rsidR="00254111">
        <w:rPr>
          <w:rFonts w:asciiTheme="minorHAnsi" w:hAnsiTheme="minorHAnsi" w:cstheme="minorHAnsi"/>
          <w:sz w:val="22"/>
        </w:rPr>
        <w:t>rea-level synthetic estimation</w:t>
      </w:r>
      <w:r w:rsidR="002C038E">
        <w:rPr>
          <w:rFonts w:asciiTheme="minorHAnsi" w:hAnsiTheme="minorHAnsi" w:cstheme="minorHAnsi"/>
          <w:sz w:val="22"/>
        </w:rPr>
        <w:t xml:space="preserve">. </w:t>
      </w:r>
      <w:r w:rsidR="002853D0">
        <w:rPr>
          <w:rFonts w:asciiTheme="minorHAnsi" w:hAnsiTheme="minorHAnsi" w:cstheme="minorHAnsi"/>
          <w:sz w:val="22"/>
        </w:rPr>
        <w:t>Two strategies were evaluated. The first involved</w:t>
      </w:r>
      <w:r w:rsidR="002C038E">
        <w:rPr>
          <w:rFonts w:asciiTheme="minorHAnsi" w:hAnsiTheme="minorHAnsi" w:cstheme="minorHAnsi"/>
          <w:sz w:val="22"/>
        </w:rPr>
        <w:t xml:space="preserve"> imput</w:t>
      </w:r>
      <w:r w:rsidR="002853D0">
        <w:rPr>
          <w:rFonts w:asciiTheme="minorHAnsi" w:hAnsiTheme="minorHAnsi" w:cstheme="minorHAnsi"/>
          <w:sz w:val="22"/>
        </w:rPr>
        <w:t>ing</w:t>
      </w:r>
      <w:r w:rsidR="002C038E">
        <w:rPr>
          <w:rFonts w:asciiTheme="minorHAnsi" w:hAnsiTheme="minorHAnsi" w:cstheme="minorHAnsi"/>
          <w:sz w:val="22"/>
        </w:rPr>
        <w:t xml:space="preserve"> an area’s mean </w:t>
      </w:r>
      <w:r w:rsidR="002853D0">
        <w:rPr>
          <w:rFonts w:asciiTheme="minorHAnsi" w:hAnsiTheme="minorHAnsi" w:cstheme="minorHAnsi"/>
          <w:sz w:val="22"/>
        </w:rPr>
        <w:t>in</w:t>
      </w:r>
      <w:r w:rsidR="002C038E">
        <w:rPr>
          <w:rFonts w:asciiTheme="minorHAnsi" w:hAnsiTheme="minorHAnsi" w:cstheme="minorHAnsi"/>
          <w:sz w:val="22"/>
        </w:rPr>
        <w:t xml:space="preserve">come on the basis of </w:t>
      </w:r>
      <w:r w:rsidR="002853D0">
        <w:rPr>
          <w:rFonts w:asciiTheme="minorHAnsi" w:hAnsiTheme="minorHAnsi" w:cstheme="minorHAnsi"/>
          <w:sz w:val="22"/>
        </w:rPr>
        <w:t xml:space="preserve">the mean income for areas of </w:t>
      </w:r>
      <w:r w:rsidR="002C038E">
        <w:rPr>
          <w:rFonts w:asciiTheme="minorHAnsi" w:hAnsiTheme="minorHAnsi" w:cstheme="minorHAnsi"/>
          <w:sz w:val="22"/>
        </w:rPr>
        <w:t>its type (</w:t>
      </w:r>
      <w:proofErr w:type="spellStart"/>
      <w:r w:rsidR="002C038E">
        <w:rPr>
          <w:rFonts w:asciiTheme="minorHAnsi" w:hAnsiTheme="minorHAnsi" w:cstheme="minorHAnsi"/>
          <w:sz w:val="22"/>
        </w:rPr>
        <w:t>geodemographic</w:t>
      </w:r>
      <w:proofErr w:type="spellEnd"/>
      <w:r w:rsidR="002C038E">
        <w:rPr>
          <w:rFonts w:asciiTheme="minorHAnsi" w:hAnsiTheme="minorHAnsi" w:cstheme="minorHAnsi"/>
          <w:sz w:val="22"/>
        </w:rPr>
        <w:t xml:space="preserve"> class). </w:t>
      </w:r>
      <w:r w:rsidR="002853D0">
        <w:rPr>
          <w:rFonts w:asciiTheme="minorHAnsi" w:hAnsiTheme="minorHAnsi" w:cstheme="minorHAnsi"/>
          <w:sz w:val="22"/>
        </w:rPr>
        <w:t>The</w:t>
      </w:r>
      <w:r w:rsidR="002C038E">
        <w:rPr>
          <w:rFonts w:asciiTheme="minorHAnsi" w:hAnsiTheme="minorHAnsi" w:cstheme="minorHAnsi"/>
          <w:sz w:val="22"/>
        </w:rPr>
        <w:t xml:space="preserve"> second </w:t>
      </w:r>
      <w:r w:rsidR="002853D0">
        <w:rPr>
          <w:rFonts w:asciiTheme="minorHAnsi" w:hAnsiTheme="minorHAnsi" w:cstheme="minorHAnsi"/>
          <w:sz w:val="22"/>
        </w:rPr>
        <w:t>involved</w:t>
      </w:r>
      <w:r w:rsidR="002C038E">
        <w:rPr>
          <w:rFonts w:asciiTheme="minorHAnsi" w:hAnsiTheme="minorHAnsi" w:cstheme="minorHAnsi"/>
          <w:sz w:val="22"/>
        </w:rPr>
        <w:t xml:space="preserve"> establish</w:t>
      </w:r>
      <w:r w:rsidR="002853D0">
        <w:rPr>
          <w:rFonts w:asciiTheme="minorHAnsi" w:hAnsiTheme="minorHAnsi" w:cstheme="minorHAnsi"/>
          <w:sz w:val="22"/>
        </w:rPr>
        <w:t>ing</w:t>
      </w:r>
      <w:r w:rsidR="002C038E">
        <w:rPr>
          <w:rFonts w:asciiTheme="minorHAnsi" w:hAnsiTheme="minorHAnsi" w:cstheme="minorHAnsi"/>
          <w:sz w:val="22"/>
        </w:rPr>
        <w:t xml:space="preserve"> a relationship between </w:t>
      </w:r>
      <w:r w:rsidR="002853D0">
        <w:rPr>
          <w:rFonts w:asciiTheme="minorHAnsi" w:hAnsiTheme="minorHAnsi" w:cstheme="minorHAnsi"/>
          <w:sz w:val="22"/>
        </w:rPr>
        <w:t>mean area income</w:t>
      </w:r>
      <w:r w:rsidR="002C038E">
        <w:rPr>
          <w:rFonts w:asciiTheme="minorHAnsi" w:hAnsiTheme="minorHAnsi" w:cstheme="minorHAnsi"/>
          <w:sz w:val="22"/>
        </w:rPr>
        <w:t xml:space="preserve"> and other observed area-level aggregates</w:t>
      </w:r>
      <w:r w:rsidR="002853D0">
        <w:rPr>
          <w:rFonts w:asciiTheme="minorHAnsi" w:hAnsiTheme="minorHAnsi" w:cstheme="minorHAnsi"/>
          <w:sz w:val="22"/>
        </w:rPr>
        <w:t>, based on a sample of records,</w:t>
      </w:r>
      <w:r w:rsidR="002C038E">
        <w:rPr>
          <w:rFonts w:asciiTheme="minorHAnsi" w:hAnsiTheme="minorHAnsi" w:cstheme="minorHAnsi"/>
          <w:sz w:val="22"/>
        </w:rPr>
        <w:t xml:space="preserve"> and us</w:t>
      </w:r>
      <w:r w:rsidR="002853D0">
        <w:rPr>
          <w:rFonts w:asciiTheme="minorHAnsi" w:hAnsiTheme="minorHAnsi" w:cstheme="minorHAnsi"/>
          <w:sz w:val="22"/>
        </w:rPr>
        <w:t>ing</w:t>
      </w:r>
      <w:r w:rsidR="002C038E">
        <w:rPr>
          <w:rFonts w:asciiTheme="minorHAnsi" w:hAnsiTheme="minorHAnsi" w:cstheme="minorHAnsi"/>
          <w:sz w:val="22"/>
        </w:rPr>
        <w:t xml:space="preserve"> this to predict mean area-level incomes</w:t>
      </w:r>
      <w:r w:rsidR="002853D0">
        <w:rPr>
          <w:rFonts w:asciiTheme="minorHAnsi" w:hAnsiTheme="minorHAnsi" w:cstheme="minorHAnsi"/>
          <w:sz w:val="22"/>
        </w:rPr>
        <w:t xml:space="preserve"> for all areas</w:t>
      </w:r>
      <w:r w:rsidR="002C038E">
        <w:rPr>
          <w:rFonts w:asciiTheme="minorHAnsi" w:hAnsiTheme="minorHAnsi" w:cstheme="minorHAnsi"/>
          <w:sz w:val="22"/>
        </w:rPr>
        <w:t xml:space="preserve"> (ecological regression).</w:t>
      </w:r>
      <w:r w:rsidR="00FA7906">
        <w:rPr>
          <w:rFonts w:asciiTheme="minorHAnsi" w:hAnsiTheme="minorHAnsi" w:cstheme="minorHAnsi"/>
          <w:sz w:val="22"/>
        </w:rPr>
        <w:t xml:space="preserve"> In the evaluation conducted for this paper the most detailed </w:t>
      </w:r>
      <w:proofErr w:type="spellStart"/>
      <w:r w:rsidR="00FA7906">
        <w:rPr>
          <w:rFonts w:asciiTheme="minorHAnsi" w:hAnsiTheme="minorHAnsi" w:cstheme="minorHAnsi"/>
          <w:sz w:val="22"/>
        </w:rPr>
        <w:t>geodemographic</w:t>
      </w:r>
      <w:proofErr w:type="spellEnd"/>
      <w:r w:rsidR="00FA7906">
        <w:rPr>
          <w:rFonts w:asciiTheme="minorHAnsi" w:hAnsiTheme="minorHAnsi" w:cstheme="minorHAnsi"/>
          <w:sz w:val="22"/>
        </w:rPr>
        <w:t xml:space="preserve"> classification</w:t>
      </w:r>
      <w:r w:rsidR="00A00B39">
        <w:rPr>
          <w:rFonts w:asciiTheme="minorHAnsi" w:hAnsiTheme="minorHAnsi" w:cstheme="minorHAnsi"/>
          <w:sz w:val="22"/>
        </w:rPr>
        <w:t xml:space="preserve"> (96 categories) </w:t>
      </w:r>
      <w:r w:rsidR="002853D0">
        <w:rPr>
          <w:rFonts w:asciiTheme="minorHAnsi" w:hAnsiTheme="minorHAnsi" w:cstheme="minorHAnsi"/>
          <w:sz w:val="22"/>
        </w:rPr>
        <w:t>explained as much of the spatial variation in incomes as the</w:t>
      </w:r>
      <w:r w:rsidR="00FA7906">
        <w:rPr>
          <w:rFonts w:asciiTheme="minorHAnsi" w:hAnsiTheme="minorHAnsi" w:cstheme="minorHAnsi"/>
          <w:sz w:val="22"/>
        </w:rPr>
        <w:t xml:space="preserve"> </w:t>
      </w:r>
      <w:r w:rsidR="002C038E">
        <w:rPr>
          <w:rFonts w:asciiTheme="minorHAnsi" w:hAnsiTheme="minorHAnsi" w:cstheme="minorHAnsi"/>
          <w:sz w:val="22"/>
        </w:rPr>
        <w:t xml:space="preserve">best-performing </w:t>
      </w:r>
      <w:r w:rsidR="00FA7906">
        <w:rPr>
          <w:rFonts w:asciiTheme="minorHAnsi" w:hAnsiTheme="minorHAnsi" w:cstheme="minorHAnsi"/>
          <w:sz w:val="22"/>
        </w:rPr>
        <w:t xml:space="preserve">unit-level </w:t>
      </w:r>
      <w:r w:rsidR="002C038E">
        <w:rPr>
          <w:rFonts w:asciiTheme="minorHAnsi" w:hAnsiTheme="minorHAnsi" w:cstheme="minorHAnsi"/>
          <w:sz w:val="22"/>
        </w:rPr>
        <w:t>synthetic estimates</w:t>
      </w:r>
      <w:r w:rsidR="00FA7906">
        <w:rPr>
          <w:rFonts w:asciiTheme="minorHAnsi" w:hAnsiTheme="minorHAnsi" w:cstheme="minorHAnsi"/>
          <w:sz w:val="22"/>
        </w:rPr>
        <w:t xml:space="preserve">, </w:t>
      </w:r>
      <w:r w:rsidR="002C038E">
        <w:rPr>
          <w:rFonts w:asciiTheme="minorHAnsi" w:hAnsiTheme="minorHAnsi" w:cstheme="minorHAnsi"/>
          <w:sz w:val="22"/>
        </w:rPr>
        <w:t>but with much lower co</w:t>
      </w:r>
      <w:r w:rsidR="002853D0">
        <w:rPr>
          <w:rFonts w:asciiTheme="minorHAnsi" w:hAnsiTheme="minorHAnsi" w:cstheme="minorHAnsi"/>
          <w:sz w:val="22"/>
        </w:rPr>
        <w:t>e</w:t>
      </w:r>
      <w:r w:rsidR="002C038E">
        <w:rPr>
          <w:rFonts w:asciiTheme="minorHAnsi" w:hAnsiTheme="minorHAnsi" w:cstheme="minorHAnsi"/>
          <w:sz w:val="22"/>
        </w:rPr>
        <w:t>fficient</w:t>
      </w:r>
      <w:r w:rsidR="002853D0">
        <w:rPr>
          <w:rFonts w:asciiTheme="minorHAnsi" w:hAnsiTheme="minorHAnsi" w:cstheme="minorHAnsi"/>
          <w:sz w:val="22"/>
        </w:rPr>
        <w:t>s</w:t>
      </w:r>
      <w:r w:rsidR="002C038E">
        <w:rPr>
          <w:rFonts w:asciiTheme="minorHAnsi" w:hAnsiTheme="minorHAnsi" w:cstheme="minorHAnsi"/>
          <w:sz w:val="22"/>
        </w:rPr>
        <w:t xml:space="preserve"> of </w:t>
      </w:r>
      <w:r w:rsidR="002853D0">
        <w:rPr>
          <w:rFonts w:asciiTheme="minorHAnsi" w:hAnsiTheme="minorHAnsi" w:cstheme="minorHAnsi"/>
          <w:sz w:val="22"/>
        </w:rPr>
        <w:t>variation</w:t>
      </w:r>
      <w:r w:rsidR="00254A45">
        <w:rPr>
          <w:rFonts w:asciiTheme="minorHAnsi" w:hAnsiTheme="minorHAnsi" w:cstheme="minorHAnsi"/>
          <w:sz w:val="22"/>
        </w:rPr>
        <w:t xml:space="preserve"> (&lt;20%)</w:t>
      </w:r>
      <w:r w:rsidR="002C038E">
        <w:rPr>
          <w:rFonts w:asciiTheme="minorHAnsi" w:hAnsiTheme="minorHAnsi" w:cstheme="minorHAnsi"/>
          <w:sz w:val="22"/>
        </w:rPr>
        <w:t xml:space="preserve">. </w:t>
      </w:r>
      <w:r w:rsidR="002853D0">
        <w:rPr>
          <w:rFonts w:asciiTheme="minorHAnsi" w:hAnsiTheme="minorHAnsi" w:cstheme="minorHAnsi"/>
          <w:sz w:val="22"/>
        </w:rPr>
        <w:t>However, t</w:t>
      </w:r>
      <w:r w:rsidR="00FA7906" w:rsidRPr="00520B73">
        <w:rPr>
          <w:rFonts w:asciiTheme="minorHAnsi" w:hAnsiTheme="minorHAnsi" w:cstheme="minorHAnsi"/>
          <w:sz w:val="22"/>
        </w:rPr>
        <w:t xml:space="preserve">he most </w:t>
      </w:r>
      <w:r w:rsidR="00FA7906">
        <w:rPr>
          <w:rFonts w:asciiTheme="minorHAnsi" w:hAnsiTheme="minorHAnsi" w:cstheme="minorHAnsi"/>
          <w:sz w:val="22"/>
        </w:rPr>
        <w:t>consistently effective strategy of all</w:t>
      </w:r>
      <w:r w:rsidR="00FA7906" w:rsidRPr="00520B73">
        <w:rPr>
          <w:rFonts w:asciiTheme="minorHAnsi" w:hAnsiTheme="minorHAnsi" w:cstheme="minorHAnsi"/>
          <w:sz w:val="22"/>
        </w:rPr>
        <w:t xml:space="preserve"> was found to be ecological regression</w:t>
      </w:r>
      <w:r w:rsidR="00FA7906">
        <w:rPr>
          <w:rFonts w:asciiTheme="minorHAnsi" w:hAnsiTheme="minorHAnsi" w:cstheme="minorHAnsi"/>
          <w:sz w:val="22"/>
        </w:rPr>
        <w:t>, which</w:t>
      </w:r>
      <w:r w:rsidR="00BB3AE8">
        <w:rPr>
          <w:rFonts w:asciiTheme="minorHAnsi" w:hAnsiTheme="minorHAnsi" w:cstheme="minorHAnsi"/>
          <w:sz w:val="22"/>
        </w:rPr>
        <w:t xml:space="preserve"> performed </w:t>
      </w:r>
      <w:r w:rsidR="00BB3AE8" w:rsidRPr="00FA7906">
        <w:rPr>
          <w:rFonts w:asciiTheme="minorHAnsi" w:hAnsiTheme="minorHAnsi" w:cstheme="minorHAnsi"/>
          <w:i/>
          <w:sz w:val="22"/>
        </w:rPr>
        <w:t>at least</w:t>
      </w:r>
      <w:r w:rsidR="00BB3AE8">
        <w:rPr>
          <w:rFonts w:asciiTheme="minorHAnsi" w:hAnsiTheme="minorHAnsi" w:cstheme="minorHAnsi"/>
          <w:sz w:val="22"/>
        </w:rPr>
        <w:t xml:space="preserve"> as well as the best unit-level estimation strategies, but without </w:t>
      </w:r>
      <w:r w:rsidR="00254A45">
        <w:rPr>
          <w:rFonts w:asciiTheme="minorHAnsi" w:hAnsiTheme="minorHAnsi" w:cstheme="minorHAnsi"/>
          <w:sz w:val="22"/>
        </w:rPr>
        <w:t>any systematic</w:t>
      </w:r>
      <w:r w:rsidR="00BB3AE8">
        <w:rPr>
          <w:rFonts w:asciiTheme="minorHAnsi" w:hAnsiTheme="minorHAnsi" w:cstheme="minorHAnsi"/>
          <w:sz w:val="22"/>
        </w:rPr>
        <w:t xml:space="preserve"> bias</w:t>
      </w:r>
      <w:r w:rsidR="00A00B39">
        <w:rPr>
          <w:rFonts w:asciiTheme="minorHAnsi" w:hAnsiTheme="minorHAnsi" w:cstheme="minorHAnsi"/>
          <w:sz w:val="22"/>
        </w:rPr>
        <w:t>, and with markedly lower variance (CVs of c. 12%)</w:t>
      </w:r>
      <w:r w:rsidR="00BB3AE8">
        <w:rPr>
          <w:rFonts w:asciiTheme="minorHAnsi" w:hAnsiTheme="minorHAnsi" w:cstheme="minorHAnsi"/>
          <w:sz w:val="22"/>
        </w:rPr>
        <w:t xml:space="preserve">. </w:t>
      </w:r>
      <w:r w:rsidR="002007D9" w:rsidRPr="00520B73">
        <w:rPr>
          <w:rFonts w:asciiTheme="minorHAnsi" w:hAnsiTheme="minorHAnsi" w:cstheme="minorHAnsi"/>
          <w:sz w:val="22"/>
        </w:rPr>
        <w:t xml:space="preserve">In terms of policy relevance, ecological regression was </w:t>
      </w:r>
      <w:r w:rsidR="00FA7906">
        <w:rPr>
          <w:rFonts w:asciiTheme="minorHAnsi" w:hAnsiTheme="minorHAnsi" w:cstheme="minorHAnsi"/>
          <w:sz w:val="22"/>
        </w:rPr>
        <w:t xml:space="preserve">also </w:t>
      </w:r>
      <w:r w:rsidR="002007D9" w:rsidRPr="00520B73">
        <w:rPr>
          <w:rFonts w:asciiTheme="minorHAnsi" w:hAnsiTheme="minorHAnsi" w:cstheme="minorHAnsi"/>
          <w:sz w:val="22"/>
        </w:rPr>
        <w:t xml:space="preserve">found to display a lesser tendency to under-estimate the mean incomes of the </w:t>
      </w:r>
      <w:r w:rsidR="00FA7906">
        <w:rPr>
          <w:rFonts w:asciiTheme="minorHAnsi" w:hAnsiTheme="minorHAnsi" w:cstheme="minorHAnsi"/>
          <w:sz w:val="22"/>
        </w:rPr>
        <w:t xml:space="preserve">most </w:t>
      </w:r>
      <w:r w:rsidR="002007D9" w:rsidRPr="00520B73">
        <w:rPr>
          <w:rFonts w:asciiTheme="minorHAnsi" w:hAnsiTheme="minorHAnsi" w:cstheme="minorHAnsi"/>
          <w:sz w:val="22"/>
        </w:rPr>
        <w:t xml:space="preserve">affluent areas relative to the other approaches considered. </w:t>
      </w:r>
      <w:r w:rsidR="00220FBE">
        <w:rPr>
          <w:rFonts w:asciiTheme="minorHAnsi" w:hAnsiTheme="minorHAnsi" w:cstheme="minorHAnsi"/>
          <w:sz w:val="22"/>
        </w:rPr>
        <w:t xml:space="preserve">An apparent drawback of </w:t>
      </w:r>
      <w:r w:rsidR="00254A45">
        <w:rPr>
          <w:rFonts w:asciiTheme="minorHAnsi" w:hAnsiTheme="minorHAnsi" w:cstheme="minorHAnsi"/>
          <w:sz w:val="22"/>
        </w:rPr>
        <w:t>ecological regression</w:t>
      </w:r>
      <w:r w:rsidR="00220FBE">
        <w:rPr>
          <w:rFonts w:asciiTheme="minorHAnsi" w:hAnsiTheme="minorHAnsi" w:cstheme="minorHAnsi"/>
          <w:sz w:val="22"/>
        </w:rPr>
        <w:t xml:space="preserve"> is that </w:t>
      </w:r>
      <w:r w:rsidR="00254A45">
        <w:rPr>
          <w:rFonts w:asciiTheme="minorHAnsi" w:hAnsiTheme="minorHAnsi" w:cstheme="minorHAnsi"/>
          <w:sz w:val="22"/>
        </w:rPr>
        <w:t>it</w:t>
      </w:r>
      <w:r w:rsidR="00220FBE">
        <w:rPr>
          <w:rFonts w:asciiTheme="minorHAnsi" w:hAnsiTheme="minorHAnsi" w:cstheme="minorHAnsi"/>
          <w:sz w:val="22"/>
        </w:rPr>
        <w:t xml:space="preserve"> deliver</w:t>
      </w:r>
      <w:r w:rsidR="00254A45">
        <w:rPr>
          <w:rFonts w:asciiTheme="minorHAnsi" w:hAnsiTheme="minorHAnsi" w:cstheme="minorHAnsi"/>
          <w:sz w:val="22"/>
        </w:rPr>
        <w:t>s an</w:t>
      </w:r>
      <w:r w:rsidR="00220FBE">
        <w:rPr>
          <w:rFonts w:asciiTheme="minorHAnsi" w:hAnsiTheme="minorHAnsi" w:cstheme="minorHAnsi"/>
          <w:sz w:val="22"/>
        </w:rPr>
        <w:t xml:space="preserve"> estimate of only one point</w:t>
      </w:r>
      <w:r w:rsidR="00F07550">
        <w:rPr>
          <w:rFonts w:asciiTheme="minorHAnsi" w:hAnsiTheme="minorHAnsi" w:cstheme="minorHAnsi"/>
          <w:sz w:val="22"/>
        </w:rPr>
        <w:t xml:space="preserve"> in</w:t>
      </w:r>
      <w:r w:rsidR="00254A45">
        <w:rPr>
          <w:rFonts w:asciiTheme="minorHAnsi" w:hAnsiTheme="minorHAnsi" w:cstheme="minorHAnsi"/>
          <w:sz w:val="22"/>
        </w:rPr>
        <w:t xml:space="preserve"> </w:t>
      </w:r>
      <w:r w:rsidR="00220FBE">
        <w:rPr>
          <w:rFonts w:asciiTheme="minorHAnsi" w:hAnsiTheme="minorHAnsi" w:cstheme="minorHAnsi"/>
          <w:sz w:val="22"/>
        </w:rPr>
        <w:t>the full income distribution. However</w:t>
      </w:r>
      <w:r w:rsidR="00A00B39">
        <w:rPr>
          <w:rFonts w:asciiTheme="minorHAnsi" w:hAnsiTheme="minorHAnsi" w:cstheme="minorHAnsi"/>
          <w:sz w:val="22"/>
        </w:rPr>
        <w:t>,</w:t>
      </w:r>
      <w:r w:rsidR="005E6B4B" w:rsidRPr="00520B73">
        <w:rPr>
          <w:rFonts w:asciiTheme="minorHAnsi" w:hAnsiTheme="minorHAnsi" w:cstheme="minorHAnsi"/>
          <w:sz w:val="22"/>
        </w:rPr>
        <w:t xml:space="preserve"> </w:t>
      </w:r>
      <w:r w:rsidR="00220FBE">
        <w:rPr>
          <w:rFonts w:asciiTheme="minorHAnsi" w:hAnsiTheme="minorHAnsi" w:cstheme="minorHAnsi"/>
          <w:sz w:val="22"/>
        </w:rPr>
        <w:t xml:space="preserve">this does not preclude specifying </w:t>
      </w:r>
      <w:r w:rsidR="00BA68AF">
        <w:rPr>
          <w:rFonts w:asciiTheme="minorHAnsi" w:hAnsiTheme="minorHAnsi" w:cstheme="minorHAnsi"/>
          <w:sz w:val="22"/>
        </w:rPr>
        <w:t>separate models to estimate</w:t>
      </w:r>
      <w:r w:rsidR="00AC3385">
        <w:rPr>
          <w:rFonts w:asciiTheme="minorHAnsi" w:hAnsiTheme="minorHAnsi" w:cstheme="minorHAnsi"/>
          <w:sz w:val="22"/>
        </w:rPr>
        <w:t xml:space="preserve"> </w:t>
      </w:r>
      <w:r w:rsidR="005E6B4B" w:rsidRPr="00520B73">
        <w:rPr>
          <w:rFonts w:asciiTheme="minorHAnsi" w:hAnsiTheme="minorHAnsi" w:cstheme="minorHAnsi"/>
          <w:sz w:val="22"/>
        </w:rPr>
        <w:t xml:space="preserve">the </w:t>
      </w:r>
      <w:r w:rsidR="00F07550">
        <w:rPr>
          <w:rFonts w:asciiTheme="minorHAnsi" w:hAnsiTheme="minorHAnsi" w:cstheme="minorHAnsi"/>
          <w:sz w:val="22"/>
        </w:rPr>
        <w:t>proportion of the population falling below given income thresholds</w:t>
      </w:r>
      <w:r w:rsidR="00AC3385">
        <w:rPr>
          <w:rFonts w:asciiTheme="minorHAnsi" w:hAnsiTheme="minorHAnsi" w:cstheme="minorHAnsi"/>
          <w:sz w:val="22"/>
        </w:rPr>
        <w:t>,</w:t>
      </w:r>
      <w:r w:rsidR="00FA7906">
        <w:rPr>
          <w:rFonts w:asciiTheme="minorHAnsi" w:hAnsiTheme="minorHAnsi" w:cstheme="minorHAnsi"/>
          <w:sz w:val="22"/>
        </w:rPr>
        <w:t xml:space="preserve"> such as the 60% of </w:t>
      </w:r>
      <w:r w:rsidR="00F07550">
        <w:rPr>
          <w:rFonts w:asciiTheme="minorHAnsi" w:hAnsiTheme="minorHAnsi" w:cstheme="minorHAnsi"/>
          <w:sz w:val="22"/>
        </w:rPr>
        <w:t xml:space="preserve">national </w:t>
      </w:r>
      <w:r w:rsidR="00FA7906">
        <w:rPr>
          <w:rFonts w:asciiTheme="minorHAnsi" w:hAnsiTheme="minorHAnsi" w:cstheme="minorHAnsi"/>
          <w:sz w:val="22"/>
        </w:rPr>
        <w:t xml:space="preserve">median income </w:t>
      </w:r>
      <w:r w:rsidR="00F07550">
        <w:rPr>
          <w:rFonts w:asciiTheme="minorHAnsi" w:hAnsiTheme="minorHAnsi" w:cstheme="minorHAnsi"/>
          <w:sz w:val="22"/>
        </w:rPr>
        <w:t>used throughout Europe when assessing</w:t>
      </w:r>
      <w:r w:rsidR="00FA7906">
        <w:rPr>
          <w:rFonts w:asciiTheme="minorHAnsi" w:hAnsiTheme="minorHAnsi" w:cstheme="minorHAnsi"/>
          <w:sz w:val="22"/>
        </w:rPr>
        <w:t xml:space="preserve"> poverty rates. Ecological regression also </w:t>
      </w:r>
      <w:r w:rsidR="001568E7" w:rsidRPr="00520B73">
        <w:rPr>
          <w:rFonts w:asciiTheme="minorHAnsi" w:hAnsiTheme="minorHAnsi" w:cstheme="minorHAnsi"/>
          <w:sz w:val="22"/>
        </w:rPr>
        <w:t>has the benefit of relative simplicity</w:t>
      </w:r>
      <w:r w:rsidR="009958E3" w:rsidRPr="00520B73">
        <w:rPr>
          <w:rFonts w:asciiTheme="minorHAnsi" w:hAnsiTheme="minorHAnsi" w:cstheme="minorHAnsi"/>
          <w:sz w:val="22"/>
        </w:rPr>
        <w:t xml:space="preserve">, and does not require access to the underlying </w:t>
      </w:r>
      <w:proofErr w:type="spellStart"/>
      <w:r w:rsidR="009958E3" w:rsidRPr="00520B73">
        <w:rPr>
          <w:rFonts w:asciiTheme="minorHAnsi" w:hAnsiTheme="minorHAnsi" w:cstheme="minorHAnsi"/>
          <w:sz w:val="22"/>
        </w:rPr>
        <w:t>microdata</w:t>
      </w:r>
      <w:proofErr w:type="spellEnd"/>
      <w:r w:rsidR="00A27356">
        <w:rPr>
          <w:rFonts w:asciiTheme="minorHAnsi" w:hAnsiTheme="minorHAnsi" w:cstheme="minorHAnsi"/>
          <w:sz w:val="22"/>
        </w:rPr>
        <w:t xml:space="preserve"> for all of the areas being estimated</w:t>
      </w:r>
      <w:r w:rsidR="009958E3" w:rsidRPr="00520B73">
        <w:rPr>
          <w:rFonts w:asciiTheme="minorHAnsi" w:hAnsiTheme="minorHAnsi" w:cstheme="minorHAnsi"/>
          <w:sz w:val="22"/>
        </w:rPr>
        <w:t>.</w:t>
      </w:r>
    </w:p>
    <w:p w14:paraId="5F5ECBFE" w14:textId="77777777" w:rsidR="00D2000D" w:rsidRPr="00520B73" w:rsidRDefault="00D2000D" w:rsidP="00015CD9">
      <w:pPr>
        <w:spacing w:line="276" w:lineRule="auto"/>
        <w:jc w:val="both"/>
        <w:rPr>
          <w:rFonts w:asciiTheme="minorHAnsi" w:hAnsiTheme="minorHAnsi" w:cstheme="minorHAnsi"/>
          <w:sz w:val="22"/>
        </w:rPr>
      </w:pPr>
    </w:p>
    <w:p w14:paraId="52C4C848" w14:textId="67A918CB" w:rsidR="00833545" w:rsidRPr="00520B73" w:rsidRDefault="009958E3"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From a UK perspective </w:t>
      </w:r>
      <w:r w:rsidR="00833545" w:rsidRPr="00520B73">
        <w:rPr>
          <w:rFonts w:asciiTheme="minorHAnsi" w:hAnsiTheme="minorHAnsi" w:cstheme="minorHAnsi"/>
          <w:sz w:val="22"/>
        </w:rPr>
        <w:t xml:space="preserve">the 2011 Census </w:t>
      </w:r>
      <w:r w:rsidR="00220FBE">
        <w:rPr>
          <w:rFonts w:asciiTheme="minorHAnsi" w:hAnsiTheme="minorHAnsi" w:cstheme="minorHAnsi"/>
          <w:sz w:val="22"/>
        </w:rPr>
        <w:t>appears to provide</w:t>
      </w:r>
      <w:r w:rsidR="00833545" w:rsidRPr="00520B73">
        <w:rPr>
          <w:rFonts w:asciiTheme="minorHAnsi" w:hAnsiTheme="minorHAnsi" w:cstheme="minorHAnsi"/>
          <w:sz w:val="22"/>
        </w:rPr>
        <w:t xml:space="preserve"> the Office for National Statistics with a once-</w:t>
      </w:r>
      <w:r w:rsidR="00F44898" w:rsidRPr="00520B73">
        <w:rPr>
          <w:rFonts w:asciiTheme="minorHAnsi" w:hAnsiTheme="minorHAnsi" w:cstheme="minorHAnsi"/>
          <w:sz w:val="22"/>
        </w:rPr>
        <w:t>in-</w:t>
      </w:r>
      <w:r w:rsidR="00833545" w:rsidRPr="00520B73">
        <w:rPr>
          <w:rFonts w:asciiTheme="minorHAnsi" w:hAnsiTheme="minorHAnsi" w:cstheme="minorHAnsi"/>
          <w:sz w:val="22"/>
        </w:rPr>
        <w:t xml:space="preserve">a-decade opportunity to provide improved small-area estimates of income. </w:t>
      </w:r>
      <w:r w:rsidR="00F44898" w:rsidRPr="00520B73">
        <w:rPr>
          <w:rFonts w:asciiTheme="minorHAnsi" w:hAnsiTheme="minorHAnsi" w:cstheme="minorHAnsi"/>
          <w:sz w:val="22"/>
        </w:rPr>
        <w:t>In-house i</w:t>
      </w:r>
      <w:r w:rsidR="00833545" w:rsidRPr="00520B73">
        <w:rPr>
          <w:rFonts w:asciiTheme="minorHAnsi" w:hAnsiTheme="minorHAnsi" w:cstheme="minorHAnsi"/>
          <w:sz w:val="22"/>
        </w:rPr>
        <w:t xml:space="preserve">mputation </w:t>
      </w:r>
      <w:r w:rsidR="007E27DC">
        <w:rPr>
          <w:rFonts w:asciiTheme="minorHAnsi" w:hAnsiTheme="minorHAnsi" w:cstheme="minorHAnsi"/>
          <w:sz w:val="22"/>
        </w:rPr>
        <w:t>at unit level (individual or household)</w:t>
      </w:r>
      <w:r w:rsidR="00220FBE">
        <w:rPr>
          <w:rFonts w:asciiTheme="minorHAnsi" w:hAnsiTheme="minorHAnsi" w:cstheme="minorHAnsi"/>
          <w:sz w:val="22"/>
        </w:rPr>
        <w:t>,</w:t>
      </w:r>
      <w:r w:rsidR="007E27DC">
        <w:rPr>
          <w:rFonts w:asciiTheme="minorHAnsi" w:hAnsiTheme="minorHAnsi" w:cstheme="minorHAnsi"/>
          <w:sz w:val="22"/>
        </w:rPr>
        <w:t xml:space="preserve"> </w:t>
      </w:r>
      <w:r w:rsidR="00F44898" w:rsidRPr="00520B73">
        <w:rPr>
          <w:rFonts w:asciiTheme="minorHAnsi" w:hAnsiTheme="minorHAnsi" w:cstheme="minorHAnsi"/>
          <w:sz w:val="22"/>
        </w:rPr>
        <w:t>using the Census database</w:t>
      </w:r>
      <w:r w:rsidR="00BA68AF">
        <w:rPr>
          <w:rFonts w:asciiTheme="minorHAnsi" w:hAnsiTheme="minorHAnsi" w:cstheme="minorHAnsi"/>
          <w:sz w:val="22"/>
        </w:rPr>
        <w:t xml:space="preserve">, </w:t>
      </w:r>
      <w:r w:rsidR="00833545" w:rsidRPr="00520B73">
        <w:rPr>
          <w:rFonts w:asciiTheme="minorHAnsi" w:hAnsiTheme="minorHAnsi" w:cstheme="minorHAnsi"/>
          <w:sz w:val="22"/>
        </w:rPr>
        <w:t xml:space="preserve">would allow </w:t>
      </w:r>
      <w:r w:rsidR="00F44898" w:rsidRPr="00520B73">
        <w:rPr>
          <w:rFonts w:asciiTheme="minorHAnsi" w:hAnsiTheme="minorHAnsi" w:cstheme="minorHAnsi"/>
          <w:sz w:val="22"/>
        </w:rPr>
        <w:t xml:space="preserve">the creation of </w:t>
      </w:r>
      <w:r w:rsidR="00833545" w:rsidRPr="00520B73">
        <w:rPr>
          <w:rFonts w:asciiTheme="minorHAnsi" w:hAnsiTheme="minorHAnsi" w:cstheme="minorHAnsi"/>
          <w:sz w:val="22"/>
        </w:rPr>
        <w:t>distributional as well as summary small-area estimates</w:t>
      </w:r>
      <w:r w:rsidR="00220FBE">
        <w:rPr>
          <w:rFonts w:asciiTheme="minorHAnsi" w:hAnsiTheme="minorHAnsi" w:cstheme="minorHAnsi"/>
          <w:sz w:val="22"/>
        </w:rPr>
        <w:t>. However, the potential benefits of adopting this strategy should be tempered by acknowledg</w:t>
      </w:r>
      <w:r w:rsidR="00C05862">
        <w:rPr>
          <w:rFonts w:asciiTheme="minorHAnsi" w:hAnsiTheme="minorHAnsi" w:cstheme="minorHAnsi"/>
          <w:sz w:val="22"/>
        </w:rPr>
        <w:t xml:space="preserve">ing </w:t>
      </w:r>
      <w:r w:rsidR="00220FBE">
        <w:rPr>
          <w:rFonts w:asciiTheme="minorHAnsi" w:hAnsiTheme="minorHAnsi" w:cstheme="minorHAnsi"/>
          <w:sz w:val="22"/>
        </w:rPr>
        <w:t xml:space="preserve">the likely systematic bias and </w:t>
      </w:r>
      <w:r w:rsidR="00F07550">
        <w:rPr>
          <w:rFonts w:asciiTheme="minorHAnsi" w:hAnsiTheme="minorHAnsi" w:cstheme="minorHAnsi"/>
          <w:sz w:val="22"/>
        </w:rPr>
        <w:t xml:space="preserve">possibly </w:t>
      </w:r>
      <w:r w:rsidR="00220FBE">
        <w:rPr>
          <w:rFonts w:asciiTheme="minorHAnsi" w:hAnsiTheme="minorHAnsi" w:cstheme="minorHAnsi"/>
          <w:sz w:val="22"/>
        </w:rPr>
        <w:t xml:space="preserve">higher than desirable variance that would </w:t>
      </w:r>
      <w:r w:rsidR="00C05862">
        <w:rPr>
          <w:rFonts w:asciiTheme="minorHAnsi" w:hAnsiTheme="minorHAnsi" w:cstheme="minorHAnsi"/>
          <w:sz w:val="22"/>
        </w:rPr>
        <w:t>ensue</w:t>
      </w:r>
      <w:r w:rsidR="00220FBE">
        <w:rPr>
          <w:rFonts w:asciiTheme="minorHAnsi" w:hAnsiTheme="minorHAnsi" w:cstheme="minorHAnsi"/>
          <w:sz w:val="22"/>
        </w:rPr>
        <w:t>.</w:t>
      </w:r>
      <w:r w:rsidR="00833545" w:rsidRPr="00520B73">
        <w:rPr>
          <w:rFonts w:asciiTheme="minorHAnsi" w:hAnsiTheme="minorHAnsi" w:cstheme="minorHAnsi"/>
          <w:sz w:val="22"/>
        </w:rPr>
        <w:t xml:space="preserve"> </w:t>
      </w:r>
      <w:r w:rsidR="00F44898" w:rsidRPr="00520B73">
        <w:rPr>
          <w:rFonts w:asciiTheme="minorHAnsi" w:hAnsiTheme="minorHAnsi" w:cstheme="minorHAnsi"/>
          <w:sz w:val="22"/>
        </w:rPr>
        <w:t>This, of course, is a message of wider relevance to other N</w:t>
      </w:r>
      <w:r w:rsidR="00A27356">
        <w:rPr>
          <w:rFonts w:asciiTheme="minorHAnsi" w:hAnsiTheme="minorHAnsi" w:cstheme="minorHAnsi"/>
          <w:sz w:val="22"/>
        </w:rPr>
        <w:t xml:space="preserve">ational </w:t>
      </w:r>
      <w:r w:rsidR="00F44898" w:rsidRPr="00520B73">
        <w:rPr>
          <w:rFonts w:asciiTheme="minorHAnsi" w:hAnsiTheme="minorHAnsi" w:cstheme="minorHAnsi"/>
          <w:sz w:val="22"/>
        </w:rPr>
        <w:t>S</w:t>
      </w:r>
      <w:r w:rsidR="00A27356">
        <w:rPr>
          <w:rFonts w:asciiTheme="minorHAnsi" w:hAnsiTheme="minorHAnsi" w:cstheme="minorHAnsi"/>
          <w:sz w:val="22"/>
        </w:rPr>
        <w:t xml:space="preserve">tatistical </w:t>
      </w:r>
      <w:r w:rsidR="00F44898" w:rsidRPr="00520B73">
        <w:rPr>
          <w:rFonts w:asciiTheme="minorHAnsi" w:hAnsiTheme="minorHAnsi" w:cstheme="minorHAnsi"/>
          <w:sz w:val="22"/>
        </w:rPr>
        <w:t>I</w:t>
      </w:r>
      <w:r w:rsidR="00A27356">
        <w:rPr>
          <w:rFonts w:asciiTheme="minorHAnsi" w:hAnsiTheme="minorHAnsi" w:cstheme="minorHAnsi"/>
          <w:sz w:val="22"/>
        </w:rPr>
        <w:t>nstitute</w:t>
      </w:r>
      <w:r w:rsidR="00F44898" w:rsidRPr="00520B73">
        <w:rPr>
          <w:rFonts w:asciiTheme="minorHAnsi" w:hAnsiTheme="minorHAnsi" w:cstheme="minorHAnsi"/>
          <w:sz w:val="22"/>
        </w:rPr>
        <w:t xml:space="preserve">s holding large-scale spatially detailed population data, be it register, census or survey based. </w:t>
      </w:r>
      <w:r w:rsidR="00833545" w:rsidRPr="00520B73">
        <w:rPr>
          <w:rFonts w:asciiTheme="minorHAnsi" w:hAnsiTheme="minorHAnsi" w:cstheme="minorHAnsi"/>
          <w:sz w:val="22"/>
        </w:rPr>
        <w:t>For UK users the results presented here also provide an indication of the strategies that can be most successfully pursued in attempting to understand the small-area geography of income</w:t>
      </w:r>
      <w:r w:rsidR="00F44898" w:rsidRPr="00520B73">
        <w:rPr>
          <w:rFonts w:asciiTheme="minorHAnsi" w:hAnsiTheme="minorHAnsi" w:cstheme="minorHAnsi"/>
          <w:sz w:val="22"/>
        </w:rPr>
        <w:t xml:space="preserve"> when faced with a </w:t>
      </w:r>
      <w:r w:rsidR="00833545" w:rsidRPr="00520B73">
        <w:rPr>
          <w:rFonts w:asciiTheme="minorHAnsi" w:hAnsiTheme="minorHAnsi" w:cstheme="minorHAnsi"/>
          <w:sz w:val="22"/>
        </w:rPr>
        <w:t>Census</w:t>
      </w:r>
      <w:r w:rsidR="00F44898" w:rsidRPr="00520B73">
        <w:rPr>
          <w:rFonts w:asciiTheme="minorHAnsi" w:hAnsiTheme="minorHAnsi" w:cstheme="minorHAnsi"/>
          <w:sz w:val="22"/>
        </w:rPr>
        <w:t xml:space="preserve"> devoid of an income question</w:t>
      </w:r>
      <w:r w:rsidR="00833545" w:rsidRPr="00520B73">
        <w:rPr>
          <w:rFonts w:asciiTheme="minorHAnsi" w:hAnsiTheme="minorHAnsi" w:cstheme="minorHAnsi"/>
          <w:sz w:val="22"/>
        </w:rPr>
        <w:t xml:space="preserve">. </w:t>
      </w:r>
      <w:r w:rsidR="00BC7E1B" w:rsidRPr="00520B73">
        <w:rPr>
          <w:rFonts w:asciiTheme="minorHAnsi" w:hAnsiTheme="minorHAnsi" w:cstheme="minorHAnsi"/>
          <w:sz w:val="22"/>
        </w:rPr>
        <w:t>These results lend credence to ONS’s inter-</w:t>
      </w:r>
      <w:proofErr w:type="spellStart"/>
      <w:r w:rsidR="00BC7E1B" w:rsidRPr="00520B73">
        <w:rPr>
          <w:rFonts w:asciiTheme="minorHAnsi" w:hAnsiTheme="minorHAnsi" w:cstheme="minorHAnsi"/>
          <w:sz w:val="22"/>
        </w:rPr>
        <w:t>censal</w:t>
      </w:r>
      <w:proofErr w:type="spellEnd"/>
      <w:r w:rsidR="00BC7E1B" w:rsidRPr="00520B73">
        <w:rPr>
          <w:rFonts w:asciiTheme="minorHAnsi" w:hAnsiTheme="minorHAnsi" w:cstheme="minorHAnsi"/>
          <w:sz w:val="22"/>
        </w:rPr>
        <w:t xml:space="preserve"> model-based income estimates. </w:t>
      </w:r>
      <w:r w:rsidR="00833545" w:rsidRPr="00520B73">
        <w:rPr>
          <w:rFonts w:asciiTheme="minorHAnsi" w:hAnsiTheme="minorHAnsi" w:cstheme="minorHAnsi"/>
          <w:sz w:val="22"/>
        </w:rPr>
        <w:t>F</w:t>
      </w:r>
      <w:r w:rsidRPr="00520B73">
        <w:rPr>
          <w:rFonts w:asciiTheme="minorHAnsi" w:hAnsiTheme="minorHAnsi" w:cstheme="minorHAnsi"/>
          <w:sz w:val="22"/>
        </w:rPr>
        <w:t>rom</w:t>
      </w:r>
      <w:r w:rsidR="00833545" w:rsidRPr="00520B73">
        <w:rPr>
          <w:rFonts w:asciiTheme="minorHAnsi" w:hAnsiTheme="minorHAnsi" w:cstheme="minorHAnsi"/>
          <w:sz w:val="22"/>
        </w:rPr>
        <w:t xml:space="preserve"> </w:t>
      </w:r>
      <w:r w:rsidRPr="00520B73">
        <w:rPr>
          <w:rFonts w:asciiTheme="minorHAnsi" w:hAnsiTheme="minorHAnsi" w:cstheme="minorHAnsi"/>
          <w:sz w:val="22"/>
        </w:rPr>
        <w:t>a</w:t>
      </w:r>
      <w:r w:rsidR="00833545" w:rsidRPr="00520B73">
        <w:rPr>
          <w:rFonts w:asciiTheme="minorHAnsi" w:hAnsiTheme="minorHAnsi" w:cstheme="minorHAnsi"/>
          <w:sz w:val="22"/>
        </w:rPr>
        <w:t xml:space="preserve"> wider international </w:t>
      </w:r>
      <w:r w:rsidRPr="00520B73">
        <w:rPr>
          <w:rFonts w:asciiTheme="minorHAnsi" w:hAnsiTheme="minorHAnsi" w:cstheme="minorHAnsi"/>
          <w:sz w:val="22"/>
        </w:rPr>
        <w:t>perspective</w:t>
      </w:r>
      <w:r w:rsidR="00BC7E1B" w:rsidRPr="00520B73">
        <w:rPr>
          <w:rFonts w:asciiTheme="minorHAnsi" w:hAnsiTheme="minorHAnsi" w:cstheme="minorHAnsi"/>
          <w:sz w:val="22"/>
        </w:rPr>
        <w:t xml:space="preserve"> these results should provide point</w:t>
      </w:r>
      <w:r w:rsidRPr="00520B73">
        <w:rPr>
          <w:rFonts w:asciiTheme="minorHAnsi" w:hAnsiTheme="minorHAnsi" w:cstheme="minorHAnsi"/>
          <w:sz w:val="22"/>
        </w:rPr>
        <w:t>er</w:t>
      </w:r>
      <w:r w:rsidR="00BC7E1B" w:rsidRPr="00520B73">
        <w:rPr>
          <w:rFonts w:asciiTheme="minorHAnsi" w:hAnsiTheme="minorHAnsi" w:cstheme="minorHAnsi"/>
          <w:sz w:val="22"/>
        </w:rPr>
        <w:t xml:space="preserve">s to the most effective solution to small-area income </w:t>
      </w:r>
      <w:r w:rsidR="00F104EA">
        <w:rPr>
          <w:rFonts w:asciiTheme="minorHAnsi" w:hAnsiTheme="minorHAnsi" w:cstheme="minorHAnsi"/>
          <w:sz w:val="22"/>
        </w:rPr>
        <w:t xml:space="preserve">estimation </w:t>
      </w:r>
      <w:r w:rsidRPr="00520B73">
        <w:rPr>
          <w:rFonts w:asciiTheme="minorHAnsi" w:hAnsiTheme="minorHAnsi" w:cstheme="minorHAnsi"/>
          <w:sz w:val="22"/>
        </w:rPr>
        <w:t xml:space="preserve">bearing in mind </w:t>
      </w:r>
      <w:r w:rsidR="00BC7E1B" w:rsidRPr="00520B73">
        <w:rPr>
          <w:rFonts w:asciiTheme="minorHAnsi" w:hAnsiTheme="minorHAnsi" w:cstheme="minorHAnsi"/>
          <w:sz w:val="22"/>
        </w:rPr>
        <w:t>l</w:t>
      </w:r>
      <w:r w:rsidRPr="00520B73">
        <w:rPr>
          <w:rFonts w:asciiTheme="minorHAnsi" w:hAnsiTheme="minorHAnsi" w:cstheme="minorHAnsi"/>
          <w:sz w:val="22"/>
        </w:rPr>
        <w:t>ocal data contexts, in particular demonstrating that ot</w:t>
      </w:r>
      <w:r w:rsidR="00A27356">
        <w:rPr>
          <w:rFonts w:asciiTheme="minorHAnsi" w:hAnsiTheme="minorHAnsi" w:cstheme="minorHAnsi"/>
          <w:sz w:val="22"/>
        </w:rPr>
        <w:t>her strategies, including simple</w:t>
      </w:r>
      <w:r w:rsidRPr="00520B73">
        <w:rPr>
          <w:rFonts w:asciiTheme="minorHAnsi" w:hAnsiTheme="minorHAnsi" w:cstheme="minorHAnsi"/>
          <w:sz w:val="22"/>
        </w:rPr>
        <w:t xml:space="preserve"> proxies, can </w:t>
      </w:r>
      <w:r w:rsidR="00254A45">
        <w:rPr>
          <w:rFonts w:asciiTheme="minorHAnsi" w:hAnsiTheme="minorHAnsi" w:cstheme="minorHAnsi"/>
          <w:sz w:val="22"/>
        </w:rPr>
        <w:t>compete surprisingly well</w:t>
      </w:r>
      <w:r w:rsidRPr="00520B73">
        <w:rPr>
          <w:rFonts w:asciiTheme="minorHAnsi" w:hAnsiTheme="minorHAnsi" w:cstheme="minorHAnsi"/>
          <w:sz w:val="22"/>
        </w:rPr>
        <w:t xml:space="preserve"> with the model-based estimates currently most widely adopted.</w:t>
      </w:r>
      <w:r w:rsidR="00F104EA">
        <w:rPr>
          <w:rFonts w:asciiTheme="minorHAnsi" w:hAnsiTheme="minorHAnsi" w:cstheme="minorHAnsi"/>
          <w:sz w:val="22"/>
        </w:rPr>
        <w:t xml:space="preserve"> </w:t>
      </w:r>
      <w:r w:rsidR="00FE1F88">
        <w:rPr>
          <w:rFonts w:asciiTheme="minorHAnsi" w:hAnsiTheme="minorHAnsi" w:cstheme="minorHAnsi"/>
          <w:sz w:val="22"/>
        </w:rPr>
        <w:t xml:space="preserve">Finally, and perhaps almost as importantly, this paper also provides some indication of which </w:t>
      </w:r>
      <w:r w:rsidR="00F104EA">
        <w:rPr>
          <w:rFonts w:asciiTheme="minorHAnsi" w:hAnsiTheme="minorHAnsi" w:cstheme="minorHAnsi"/>
          <w:sz w:val="22"/>
        </w:rPr>
        <w:t xml:space="preserve">strategies are </w:t>
      </w:r>
      <w:r w:rsidR="00FE1F88">
        <w:rPr>
          <w:rFonts w:asciiTheme="minorHAnsi" w:hAnsiTheme="minorHAnsi" w:cstheme="minorHAnsi"/>
          <w:sz w:val="22"/>
        </w:rPr>
        <w:t xml:space="preserve">likely to be </w:t>
      </w:r>
      <w:r w:rsidR="00F104EA">
        <w:rPr>
          <w:rFonts w:asciiTheme="minorHAnsi" w:hAnsiTheme="minorHAnsi" w:cstheme="minorHAnsi"/>
          <w:sz w:val="22"/>
        </w:rPr>
        <w:t>most and least sensitive to changes in spatial scale and type of income unit (person or household).</w:t>
      </w:r>
      <w:r w:rsidR="006671F9">
        <w:rPr>
          <w:rFonts w:asciiTheme="minorHAnsi" w:hAnsiTheme="minorHAnsi" w:cstheme="minorHAnsi"/>
          <w:sz w:val="22"/>
        </w:rPr>
        <w:t xml:space="preserve"> </w:t>
      </w:r>
    </w:p>
    <w:p w14:paraId="62445968" w14:textId="77777777" w:rsidR="00B92600" w:rsidRPr="00520B73" w:rsidRDefault="00B92600" w:rsidP="00015CD9">
      <w:pPr>
        <w:spacing w:line="276" w:lineRule="auto"/>
        <w:jc w:val="both"/>
        <w:rPr>
          <w:rFonts w:asciiTheme="minorHAnsi" w:hAnsiTheme="minorHAnsi" w:cstheme="minorHAnsi"/>
          <w:sz w:val="22"/>
        </w:rPr>
      </w:pPr>
    </w:p>
    <w:p w14:paraId="7326D028" w14:textId="77777777" w:rsidR="00B92600" w:rsidRPr="00520B73" w:rsidRDefault="007F7BFE" w:rsidP="00015CD9">
      <w:pPr>
        <w:spacing w:line="276" w:lineRule="auto"/>
        <w:jc w:val="both"/>
        <w:rPr>
          <w:rFonts w:asciiTheme="minorHAnsi" w:hAnsiTheme="minorHAnsi" w:cstheme="minorHAnsi"/>
          <w:b/>
          <w:sz w:val="22"/>
        </w:rPr>
      </w:pPr>
      <w:r w:rsidRPr="00520B73">
        <w:rPr>
          <w:rFonts w:asciiTheme="minorHAnsi" w:hAnsiTheme="minorHAnsi" w:cstheme="minorHAnsi"/>
          <w:b/>
          <w:sz w:val="22"/>
        </w:rPr>
        <w:t>Acknowledgements</w:t>
      </w:r>
    </w:p>
    <w:p w14:paraId="330C8585" w14:textId="506AF548" w:rsidR="00B92600" w:rsidRPr="00520B73" w:rsidRDefault="00B92600" w:rsidP="00015CD9">
      <w:pPr>
        <w:spacing w:line="276" w:lineRule="auto"/>
        <w:jc w:val="both"/>
        <w:rPr>
          <w:rFonts w:asciiTheme="minorHAnsi" w:hAnsiTheme="minorHAnsi" w:cstheme="minorHAnsi"/>
          <w:sz w:val="22"/>
        </w:rPr>
      </w:pPr>
      <w:r w:rsidRPr="00520B73">
        <w:rPr>
          <w:rFonts w:asciiTheme="minorHAnsi" w:hAnsiTheme="minorHAnsi" w:cstheme="minorHAnsi"/>
          <w:sz w:val="22"/>
        </w:rPr>
        <w:t xml:space="preserve">The research reported here arose from the ESRC-funded project ‘Income imputation for small areas’, award no. H507255166. Grateful thanks are due to the Census Custodians of England, Wales and Scotland for granting permission to access the Census Rehearsal dataset. A debt of gratitude is owed </w:t>
      </w:r>
      <w:r w:rsidRPr="00520B73">
        <w:rPr>
          <w:rFonts w:asciiTheme="minorHAnsi" w:hAnsiTheme="minorHAnsi" w:cstheme="minorHAnsi"/>
          <w:sz w:val="22"/>
        </w:rPr>
        <w:lastRenderedPageBreak/>
        <w:t xml:space="preserve">to a number of staff at the Office for National Statistics, in particular Keith Whitfield and Philip Clarke. Thanks are also due to David </w:t>
      </w:r>
      <w:proofErr w:type="spellStart"/>
      <w:r w:rsidRPr="00520B73">
        <w:rPr>
          <w:rFonts w:asciiTheme="minorHAnsi" w:hAnsiTheme="minorHAnsi" w:cstheme="minorHAnsi"/>
          <w:sz w:val="22"/>
        </w:rPr>
        <w:t>Voas</w:t>
      </w:r>
      <w:proofErr w:type="spellEnd"/>
      <w:r w:rsidRPr="00520B73">
        <w:rPr>
          <w:rFonts w:asciiTheme="minorHAnsi" w:hAnsiTheme="minorHAnsi" w:cstheme="minorHAnsi"/>
          <w:sz w:val="22"/>
        </w:rPr>
        <w:t xml:space="preserve"> for undertaking some of the preparatory work for this project. The Family Resources Survey, </w:t>
      </w:r>
      <w:r w:rsidR="00421639">
        <w:rPr>
          <w:rFonts w:asciiTheme="minorHAnsi" w:hAnsiTheme="minorHAnsi" w:cstheme="minorHAnsi"/>
          <w:sz w:val="22"/>
        </w:rPr>
        <w:t>1998</w:t>
      </w:r>
      <w:r w:rsidRPr="00520B73">
        <w:rPr>
          <w:rFonts w:asciiTheme="minorHAnsi" w:hAnsiTheme="minorHAnsi" w:cstheme="minorHAnsi"/>
          <w:sz w:val="22"/>
        </w:rPr>
        <w:t xml:space="preserve">, used to derive mean values for income bands, was sponsored and collected by the Department for Social Security, and supplied for research use by the UK Data Archive. </w:t>
      </w:r>
      <w:r w:rsidR="009B661B">
        <w:rPr>
          <w:rFonts w:asciiTheme="minorHAnsi" w:hAnsiTheme="minorHAnsi" w:cstheme="minorHAnsi"/>
          <w:sz w:val="22"/>
        </w:rPr>
        <w:t xml:space="preserve">Thanks also to two anonymous reviewers for their perceptive comments. </w:t>
      </w:r>
      <w:r w:rsidRPr="00520B73">
        <w:rPr>
          <w:rFonts w:asciiTheme="minorHAnsi" w:hAnsiTheme="minorHAnsi" w:cstheme="minorHAnsi"/>
          <w:sz w:val="22"/>
        </w:rPr>
        <w:t>All analyses and conclusions remain the sole responsibility of the author.</w:t>
      </w:r>
    </w:p>
    <w:p w14:paraId="026B03E1" w14:textId="77777777" w:rsidR="00D9549A" w:rsidRDefault="00D9549A" w:rsidP="00015CD9">
      <w:pPr>
        <w:spacing w:line="276" w:lineRule="auto"/>
        <w:jc w:val="both"/>
        <w:rPr>
          <w:rFonts w:asciiTheme="minorHAnsi" w:hAnsiTheme="minorHAnsi" w:cstheme="minorHAnsi"/>
          <w:b/>
          <w:sz w:val="26"/>
        </w:rPr>
      </w:pPr>
    </w:p>
    <w:p w14:paraId="5E8089EE" w14:textId="77777777" w:rsidR="00520B73" w:rsidRPr="007E6F4D" w:rsidRDefault="00520B73" w:rsidP="00D9549A">
      <w:pPr>
        <w:spacing w:after="120" w:line="276" w:lineRule="auto"/>
        <w:jc w:val="both"/>
        <w:rPr>
          <w:rFonts w:asciiTheme="minorHAnsi" w:hAnsiTheme="minorHAnsi" w:cstheme="minorHAnsi"/>
          <w:sz w:val="26"/>
        </w:rPr>
      </w:pPr>
      <w:r w:rsidRPr="007E6F4D">
        <w:rPr>
          <w:rFonts w:asciiTheme="minorHAnsi" w:hAnsiTheme="minorHAnsi" w:cstheme="minorHAnsi"/>
          <w:b/>
          <w:sz w:val="26"/>
        </w:rPr>
        <w:t>References</w:t>
      </w:r>
    </w:p>
    <w:p w14:paraId="04385C57" w14:textId="77777777" w:rsidR="00520B73" w:rsidRPr="00E315AF"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Anderson, B (201</w:t>
      </w:r>
      <w:r w:rsidR="00E315AF">
        <w:rPr>
          <w:rFonts w:asciiTheme="minorHAnsi" w:hAnsiTheme="minorHAnsi" w:cstheme="minorHAnsi"/>
          <w:sz w:val="22"/>
        </w:rPr>
        <w:t>3</w:t>
      </w:r>
      <w:r w:rsidRPr="00520B73">
        <w:rPr>
          <w:rFonts w:asciiTheme="minorHAnsi" w:hAnsiTheme="minorHAnsi" w:cstheme="minorHAnsi"/>
          <w:sz w:val="22"/>
        </w:rPr>
        <w:t xml:space="preserve">) ‘Estimating small are income deprivation: an iterative proportional fitting approach’, </w:t>
      </w:r>
      <w:r w:rsidR="00E315AF">
        <w:rPr>
          <w:rFonts w:asciiTheme="minorHAnsi" w:hAnsiTheme="minorHAnsi" w:cstheme="minorHAnsi"/>
          <w:sz w:val="22"/>
        </w:rPr>
        <w:t xml:space="preserve">Chapter 4 in R </w:t>
      </w:r>
      <w:proofErr w:type="spellStart"/>
      <w:r w:rsidR="00E315AF">
        <w:rPr>
          <w:rFonts w:asciiTheme="minorHAnsi" w:hAnsiTheme="minorHAnsi" w:cstheme="minorHAnsi"/>
          <w:sz w:val="22"/>
        </w:rPr>
        <w:t>Tanton</w:t>
      </w:r>
      <w:proofErr w:type="spellEnd"/>
      <w:r w:rsidR="00E315AF">
        <w:rPr>
          <w:rFonts w:asciiTheme="minorHAnsi" w:hAnsiTheme="minorHAnsi" w:cstheme="minorHAnsi"/>
          <w:sz w:val="22"/>
        </w:rPr>
        <w:t xml:space="preserve"> and K L Edwards (</w:t>
      </w:r>
      <w:proofErr w:type="spellStart"/>
      <w:r w:rsidR="00E315AF">
        <w:rPr>
          <w:rFonts w:asciiTheme="minorHAnsi" w:hAnsiTheme="minorHAnsi" w:cstheme="minorHAnsi"/>
          <w:sz w:val="22"/>
        </w:rPr>
        <w:t>eds</w:t>
      </w:r>
      <w:proofErr w:type="spellEnd"/>
      <w:r w:rsidR="00E315AF">
        <w:rPr>
          <w:rFonts w:asciiTheme="minorHAnsi" w:hAnsiTheme="minorHAnsi" w:cstheme="minorHAnsi"/>
          <w:sz w:val="22"/>
        </w:rPr>
        <w:t xml:space="preserve">) </w:t>
      </w:r>
      <w:r w:rsidR="00E315AF">
        <w:rPr>
          <w:rFonts w:asciiTheme="minorHAnsi" w:hAnsiTheme="minorHAnsi" w:cstheme="minorHAnsi"/>
          <w:i/>
          <w:sz w:val="22"/>
        </w:rPr>
        <w:t xml:space="preserve">Spatial </w:t>
      </w:r>
      <w:proofErr w:type="spellStart"/>
      <w:r w:rsidR="00E315AF">
        <w:rPr>
          <w:rFonts w:asciiTheme="minorHAnsi" w:hAnsiTheme="minorHAnsi" w:cstheme="minorHAnsi"/>
          <w:i/>
          <w:sz w:val="22"/>
        </w:rPr>
        <w:t>microsimulation</w:t>
      </w:r>
      <w:proofErr w:type="spellEnd"/>
      <w:r w:rsidR="00E315AF">
        <w:rPr>
          <w:rFonts w:asciiTheme="minorHAnsi" w:hAnsiTheme="minorHAnsi" w:cstheme="minorHAnsi"/>
          <w:i/>
          <w:sz w:val="22"/>
        </w:rPr>
        <w:t>: a reference guide for users</w:t>
      </w:r>
      <w:r w:rsidR="00E315AF">
        <w:rPr>
          <w:rFonts w:asciiTheme="minorHAnsi" w:hAnsiTheme="minorHAnsi" w:cstheme="minorHAnsi"/>
          <w:sz w:val="22"/>
        </w:rPr>
        <w:t>, Springer: London, 49-68.</w:t>
      </w:r>
    </w:p>
    <w:p w14:paraId="013B16CE"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gramStart"/>
      <w:r w:rsidRPr="00520B73">
        <w:rPr>
          <w:rFonts w:asciiTheme="minorHAnsi" w:hAnsiTheme="minorHAnsi" w:cstheme="minorHAnsi"/>
          <w:sz w:val="22"/>
        </w:rPr>
        <w:t xml:space="preserve">Berthoud (2008) ‘Area variations in household income across Great Britain’, </w:t>
      </w:r>
      <w:r w:rsidRPr="00520B73">
        <w:rPr>
          <w:rFonts w:asciiTheme="minorHAnsi" w:hAnsiTheme="minorHAnsi" w:cstheme="minorHAnsi"/>
          <w:i/>
          <w:sz w:val="22"/>
        </w:rPr>
        <w:t>Cambridge Journal of Regions, Economy and Society</w:t>
      </w:r>
      <w:r w:rsidRPr="00520B73">
        <w:rPr>
          <w:rFonts w:asciiTheme="minorHAnsi" w:hAnsiTheme="minorHAnsi" w:cstheme="minorHAnsi"/>
          <w:sz w:val="22"/>
        </w:rPr>
        <w:t>, 1, 37-49.</w:t>
      </w:r>
      <w:proofErr w:type="gramEnd"/>
    </w:p>
    <w:p w14:paraId="52E67BDB"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Birkin</w:t>
      </w:r>
      <w:proofErr w:type="spellEnd"/>
      <w:r w:rsidRPr="00520B73">
        <w:rPr>
          <w:rFonts w:asciiTheme="minorHAnsi" w:hAnsiTheme="minorHAnsi" w:cstheme="minorHAnsi"/>
          <w:sz w:val="22"/>
        </w:rPr>
        <w:t xml:space="preserve"> M and Clarke M (1989) ‘The generation of individual and household incomes at the small area level using SYNTHESIS’, </w:t>
      </w:r>
      <w:r w:rsidRPr="00520B73">
        <w:rPr>
          <w:rFonts w:asciiTheme="minorHAnsi" w:hAnsiTheme="minorHAnsi" w:cstheme="minorHAnsi"/>
          <w:i/>
          <w:sz w:val="22"/>
        </w:rPr>
        <w:t>Regional Studies</w:t>
      </w:r>
      <w:r w:rsidRPr="00520B73">
        <w:rPr>
          <w:rFonts w:asciiTheme="minorHAnsi" w:hAnsiTheme="minorHAnsi" w:cstheme="minorHAnsi"/>
          <w:sz w:val="22"/>
        </w:rPr>
        <w:t>, 23(6), 535-548.</w:t>
      </w:r>
    </w:p>
    <w:p w14:paraId="6F2A620A" w14:textId="77777777" w:rsidR="00D9549A" w:rsidRDefault="008578E7" w:rsidP="009D2301">
      <w:pPr>
        <w:spacing w:afterLines="60" w:after="144" w:line="276" w:lineRule="auto"/>
        <w:ind w:left="284" w:hanging="284"/>
        <w:jc w:val="both"/>
        <w:rPr>
          <w:rFonts w:asciiTheme="minorHAnsi" w:hAnsiTheme="minorHAnsi" w:cstheme="minorHAnsi"/>
          <w:sz w:val="22"/>
        </w:rPr>
      </w:pPr>
      <w:proofErr w:type="spellStart"/>
      <w:r w:rsidRPr="008578E7">
        <w:rPr>
          <w:rFonts w:asciiTheme="minorHAnsi" w:hAnsiTheme="minorHAnsi" w:cstheme="minorHAnsi"/>
          <w:sz w:val="22"/>
        </w:rPr>
        <w:t>Birkin</w:t>
      </w:r>
      <w:proofErr w:type="spellEnd"/>
      <w:r w:rsidRPr="008578E7">
        <w:rPr>
          <w:rFonts w:asciiTheme="minorHAnsi" w:hAnsiTheme="minorHAnsi" w:cstheme="minorHAnsi"/>
          <w:sz w:val="22"/>
        </w:rPr>
        <w:t xml:space="preserve"> M</w:t>
      </w:r>
      <w:r>
        <w:rPr>
          <w:rFonts w:asciiTheme="minorHAnsi" w:hAnsiTheme="minorHAnsi" w:cstheme="minorHAnsi"/>
          <w:sz w:val="22"/>
        </w:rPr>
        <w:t xml:space="preserve"> and</w:t>
      </w:r>
      <w:r w:rsidRPr="008578E7">
        <w:rPr>
          <w:rFonts w:asciiTheme="minorHAnsi" w:hAnsiTheme="minorHAnsi" w:cstheme="minorHAnsi"/>
          <w:sz w:val="22"/>
        </w:rPr>
        <w:t xml:space="preserve"> Clarke G (1995), </w:t>
      </w:r>
      <w:r>
        <w:rPr>
          <w:rFonts w:asciiTheme="minorHAnsi" w:hAnsiTheme="minorHAnsi" w:cstheme="minorHAnsi"/>
          <w:sz w:val="22"/>
        </w:rPr>
        <w:t>‘</w:t>
      </w:r>
      <w:r w:rsidRPr="008578E7">
        <w:rPr>
          <w:rFonts w:asciiTheme="minorHAnsi" w:hAnsiTheme="minorHAnsi" w:cstheme="minorHAnsi"/>
          <w:sz w:val="22"/>
        </w:rPr>
        <w:t xml:space="preserve">Using </w:t>
      </w:r>
      <w:proofErr w:type="spellStart"/>
      <w:r w:rsidRPr="008578E7">
        <w:rPr>
          <w:rFonts w:asciiTheme="minorHAnsi" w:hAnsiTheme="minorHAnsi" w:cstheme="minorHAnsi"/>
          <w:sz w:val="22"/>
        </w:rPr>
        <w:t>microsimulation</w:t>
      </w:r>
      <w:proofErr w:type="spellEnd"/>
      <w:r w:rsidRPr="008578E7">
        <w:rPr>
          <w:rFonts w:asciiTheme="minorHAnsi" w:hAnsiTheme="minorHAnsi" w:cstheme="minorHAnsi"/>
          <w:sz w:val="22"/>
        </w:rPr>
        <w:t xml:space="preserve"> methods to synthesize census</w:t>
      </w:r>
      <w:r>
        <w:rPr>
          <w:rFonts w:asciiTheme="minorHAnsi" w:hAnsiTheme="minorHAnsi" w:cstheme="minorHAnsi"/>
          <w:sz w:val="22"/>
        </w:rPr>
        <w:t xml:space="preserve"> </w:t>
      </w:r>
      <w:r w:rsidRPr="008578E7">
        <w:rPr>
          <w:rFonts w:asciiTheme="minorHAnsi" w:hAnsiTheme="minorHAnsi" w:cstheme="minorHAnsi"/>
          <w:sz w:val="22"/>
        </w:rPr>
        <w:t>data</w:t>
      </w:r>
      <w:r>
        <w:rPr>
          <w:rFonts w:asciiTheme="minorHAnsi" w:hAnsiTheme="minorHAnsi" w:cstheme="minorHAnsi"/>
          <w:sz w:val="22"/>
        </w:rPr>
        <w:t>’</w:t>
      </w:r>
      <w:r w:rsidRPr="008578E7">
        <w:rPr>
          <w:rFonts w:asciiTheme="minorHAnsi" w:hAnsiTheme="minorHAnsi" w:cstheme="minorHAnsi"/>
          <w:sz w:val="22"/>
        </w:rPr>
        <w:t xml:space="preserve">, in </w:t>
      </w:r>
      <w:proofErr w:type="spellStart"/>
      <w:r w:rsidRPr="008578E7">
        <w:rPr>
          <w:rFonts w:asciiTheme="minorHAnsi" w:hAnsiTheme="minorHAnsi" w:cstheme="minorHAnsi"/>
          <w:sz w:val="22"/>
        </w:rPr>
        <w:t>Openshaw</w:t>
      </w:r>
      <w:proofErr w:type="spellEnd"/>
      <w:r w:rsidRPr="008578E7">
        <w:rPr>
          <w:rFonts w:asciiTheme="minorHAnsi" w:hAnsiTheme="minorHAnsi" w:cstheme="minorHAnsi"/>
          <w:sz w:val="22"/>
        </w:rPr>
        <w:t xml:space="preserve"> </w:t>
      </w:r>
      <w:r>
        <w:rPr>
          <w:rFonts w:asciiTheme="minorHAnsi" w:hAnsiTheme="minorHAnsi" w:cstheme="minorHAnsi"/>
          <w:sz w:val="22"/>
        </w:rPr>
        <w:t xml:space="preserve">S </w:t>
      </w:r>
      <w:r w:rsidRPr="008578E7">
        <w:rPr>
          <w:rFonts w:asciiTheme="minorHAnsi" w:hAnsiTheme="minorHAnsi" w:cstheme="minorHAnsi"/>
          <w:sz w:val="22"/>
        </w:rPr>
        <w:t xml:space="preserve">(ed.), </w:t>
      </w:r>
      <w:r w:rsidRPr="008578E7">
        <w:rPr>
          <w:rFonts w:asciiTheme="minorHAnsi" w:hAnsiTheme="minorHAnsi" w:cstheme="minorHAnsi"/>
          <w:i/>
          <w:sz w:val="22"/>
        </w:rPr>
        <w:t>Census Users’ Handbook</w:t>
      </w:r>
      <w:r w:rsidRPr="008578E7">
        <w:rPr>
          <w:rFonts w:asciiTheme="minorHAnsi" w:hAnsiTheme="minorHAnsi" w:cstheme="minorHAnsi"/>
          <w:sz w:val="22"/>
        </w:rPr>
        <w:t xml:space="preserve">, </w:t>
      </w:r>
      <w:proofErr w:type="gramStart"/>
      <w:r>
        <w:rPr>
          <w:rFonts w:asciiTheme="minorHAnsi" w:hAnsiTheme="minorHAnsi" w:cstheme="minorHAnsi"/>
          <w:sz w:val="22"/>
        </w:rPr>
        <w:t>Cambridge</w:t>
      </w:r>
      <w:proofErr w:type="gramEnd"/>
      <w:r>
        <w:rPr>
          <w:rFonts w:asciiTheme="minorHAnsi" w:hAnsiTheme="minorHAnsi" w:cstheme="minorHAnsi"/>
          <w:sz w:val="22"/>
        </w:rPr>
        <w:t xml:space="preserve">: </w:t>
      </w:r>
      <w:proofErr w:type="spellStart"/>
      <w:r w:rsidRPr="008578E7">
        <w:rPr>
          <w:rFonts w:asciiTheme="minorHAnsi" w:hAnsiTheme="minorHAnsi" w:cstheme="minorHAnsi"/>
          <w:sz w:val="22"/>
        </w:rPr>
        <w:t>GeoInformation</w:t>
      </w:r>
      <w:proofErr w:type="spellEnd"/>
      <w:r>
        <w:rPr>
          <w:rFonts w:asciiTheme="minorHAnsi" w:hAnsiTheme="minorHAnsi" w:cstheme="minorHAnsi"/>
          <w:sz w:val="22"/>
        </w:rPr>
        <w:t xml:space="preserve"> International, </w:t>
      </w:r>
      <w:r w:rsidRPr="008578E7">
        <w:rPr>
          <w:rFonts w:asciiTheme="minorHAnsi" w:hAnsiTheme="minorHAnsi" w:cstheme="minorHAnsi"/>
          <w:sz w:val="22"/>
        </w:rPr>
        <w:t>363-387</w:t>
      </w:r>
      <w:r>
        <w:rPr>
          <w:rFonts w:asciiTheme="minorHAnsi" w:hAnsiTheme="minorHAnsi" w:cstheme="minorHAnsi"/>
          <w:sz w:val="22"/>
        </w:rPr>
        <w:t>.</w:t>
      </w:r>
    </w:p>
    <w:p w14:paraId="48000B00"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Bond S and Campos C (2010) ‘Understanding income at small area level’, </w:t>
      </w:r>
      <w:r w:rsidRPr="00520B73">
        <w:rPr>
          <w:rFonts w:asciiTheme="minorHAnsi" w:hAnsiTheme="minorHAnsi" w:cstheme="minorHAnsi"/>
          <w:i/>
          <w:sz w:val="22"/>
        </w:rPr>
        <w:t>Regional Trends 42</w:t>
      </w:r>
      <w:r w:rsidRPr="00520B73">
        <w:rPr>
          <w:rFonts w:asciiTheme="minorHAnsi" w:hAnsiTheme="minorHAnsi" w:cstheme="minorHAnsi"/>
          <w:sz w:val="22"/>
        </w:rPr>
        <w:t>, London: Office for National Statistics, 80-94.</w:t>
      </w:r>
    </w:p>
    <w:p w14:paraId="44B2D218"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Bramley</w:t>
      </w:r>
      <w:proofErr w:type="spellEnd"/>
      <w:r w:rsidRPr="00520B73">
        <w:rPr>
          <w:rFonts w:asciiTheme="minorHAnsi" w:hAnsiTheme="minorHAnsi" w:cstheme="minorHAnsi"/>
          <w:sz w:val="22"/>
        </w:rPr>
        <w:t xml:space="preserve"> G, Lancaster S and Gordon D (2000) ‘Benefit take-up and the geography of poverty in Scotland’, </w:t>
      </w:r>
      <w:r w:rsidRPr="00520B73">
        <w:rPr>
          <w:rFonts w:asciiTheme="minorHAnsi" w:hAnsiTheme="minorHAnsi" w:cstheme="minorHAnsi"/>
          <w:i/>
          <w:sz w:val="22"/>
        </w:rPr>
        <w:t>Regional Studies</w:t>
      </w:r>
      <w:r w:rsidRPr="00520B73">
        <w:rPr>
          <w:rFonts w:asciiTheme="minorHAnsi" w:hAnsiTheme="minorHAnsi" w:cstheme="minorHAnsi"/>
          <w:sz w:val="22"/>
        </w:rPr>
        <w:t>, 34(6), 507-519.</w:t>
      </w:r>
    </w:p>
    <w:p w14:paraId="1B32CD6B"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CACI (1999) </w:t>
      </w:r>
      <w:proofErr w:type="spellStart"/>
      <w:r w:rsidRPr="00520B73">
        <w:rPr>
          <w:rFonts w:asciiTheme="minorHAnsi" w:hAnsiTheme="minorHAnsi" w:cstheme="minorHAnsi"/>
          <w:i/>
          <w:sz w:val="22"/>
        </w:rPr>
        <w:t>Paycheck</w:t>
      </w:r>
      <w:proofErr w:type="spellEnd"/>
      <w:r w:rsidRPr="00520B73">
        <w:rPr>
          <w:rFonts w:asciiTheme="minorHAnsi" w:hAnsiTheme="minorHAnsi" w:cstheme="minorHAnsi"/>
          <w:i/>
          <w:sz w:val="22"/>
        </w:rPr>
        <w:t>: targeting by income</w:t>
      </w:r>
      <w:r w:rsidRPr="00520B73">
        <w:rPr>
          <w:rFonts w:asciiTheme="minorHAnsi" w:hAnsiTheme="minorHAnsi" w:cstheme="minorHAnsi"/>
          <w:sz w:val="22"/>
        </w:rPr>
        <w:t>, London: CACI.</w:t>
      </w:r>
    </w:p>
    <w:p w14:paraId="06FF4E87" w14:textId="77777777" w:rsidR="00831C7D" w:rsidRDefault="00520B73" w:rsidP="00831C7D">
      <w:pPr>
        <w:spacing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Casarosa</w:t>
      </w:r>
      <w:proofErr w:type="spellEnd"/>
      <w:r w:rsidRPr="00520B73">
        <w:rPr>
          <w:rFonts w:asciiTheme="minorHAnsi" w:hAnsiTheme="minorHAnsi" w:cstheme="minorHAnsi"/>
          <w:sz w:val="22"/>
        </w:rPr>
        <w:t xml:space="preserve"> M, </w:t>
      </w:r>
      <w:proofErr w:type="spellStart"/>
      <w:r w:rsidRPr="00520B73">
        <w:rPr>
          <w:rFonts w:asciiTheme="minorHAnsi" w:hAnsiTheme="minorHAnsi" w:cstheme="minorHAnsi"/>
          <w:sz w:val="22"/>
        </w:rPr>
        <w:t>Fierravanti</w:t>
      </w:r>
      <w:proofErr w:type="spellEnd"/>
      <w:r w:rsidRPr="00520B73">
        <w:rPr>
          <w:rFonts w:asciiTheme="minorHAnsi" w:hAnsiTheme="minorHAnsi" w:cstheme="minorHAnsi"/>
          <w:sz w:val="22"/>
        </w:rPr>
        <w:t xml:space="preserve"> S, </w:t>
      </w:r>
      <w:proofErr w:type="spellStart"/>
      <w:proofErr w:type="gramStart"/>
      <w:r w:rsidRPr="00520B73">
        <w:rPr>
          <w:rFonts w:asciiTheme="minorHAnsi" w:hAnsiTheme="minorHAnsi" w:cstheme="minorHAnsi"/>
          <w:sz w:val="22"/>
        </w:rPr>
        <w:t>Colucci</w:t>
      </w:r>
      <w:proofErr w:type="spellEnd"/>
      <w:r w:rsidRPr="00520B73">
        <w:rPr>
          <w:rFonts w:asciiTheme="minorHAnsi" w:hAnsiTheme="minorHAnsi" w:cstheme="minorHAnsi"/>
          <w:sz w:val="22"/>
        </w:rPr>
        <w:t xml:space="preserve"> A </w:t>
      </w:r>
      <w:r w:rsidR="007E6F4D" w:rsidRPr="007E6F4D">
        <w:rPr>
          <w:rFonts w:asciiTheme="minorHAnsi" w:hAnsiTheme="minorHAnsi" w:cstheme="minorHAnsi"/>
          <w:i/>
          <w:sz w:val="22"/>
        </w:rPr>
        <w:t>et al</w:t>
      </w:r>
      <w:proofErr w:type="gramEnd"/>
      <w:r w:rsidRPr="00520B73">
        <w:rPr>
          <w:rFonts w:asciiTheme="minorHAnsi" w:hAnsiTheme="minorHAnsi" w:cstheme="minorHAnsi"/>
          <w:sz w:val="22"/>
        </w:rPr>
        <w:t xml:space="preserve"> (2011) ‘European Policy Brief: Small Area Methods for Poverty and Living Condition Estimates’, SAMPLE Consortium.</w:t>
      </w:r>
      <w:r w:rsidR="00831C7D">
        <w:rPr>
          <w:rFonts w:asciiTheme="minorHAnsi" w:hAnsiTheme="minorHAnsi" w:cstheme="minorHAnsi"/>
          <w:sz w:val="22"/>
        </w:rPr>
        <w:t xml:space="preserve"> </w:t>
      </w:r>
    </w:p>
    <w:p w14:paraId="0B743D8E" w14:textId="77777777" w:rsidR="00520B73" w:rsidRPr="00520B73" w:rsidRDefault="00520B73" w:rsidP="009D2301">
      <w:pPr>
        <w:spacing w:afterLines="60" w:after="144" w:line="276" w:lineRule="auto"/>
        <w:ind w:left="284"/>
        <w:jc w:val="both"/>
        <w:rPr>
          <w:rFonts w:asciiTheme="minorHAnsi" w:hAnsiTheme="minorHAnsi" w:cstheme="minorHAnsi"/>
          <w:sz w:val="22"/>
        </w:rPr>
      </w:pPr>
      <w:r w:rsidRPr="00520B73">
        <w:rPr>
          <w:rFonts w:asciiTheme="minorHAnsi" w:hAnsiTheme="minorHAnsi" w:cstheme="minorHAnsi"/>
          <w:sz w:val="22"/>
        </w:rPr>
        <w:t>http://www.sample-project.eu/images/stories/policy_brief.pdf</w:t>
      </w:r>
    </w:p>
    <w:p w14:paraId="056A2005"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Cloutier</w:t>
      </w:r>
      <w:proofErr w:type="spellEnd"/>
      <w:r w:rsidRPr="00520B73">
        <w:rPr>
          <w:rFonts w:asciiTheme="minorHAnsi" w:hAnsiTheme="minorHAnsi" w:cstheme="minorHAnsi"/>
          <w:sz w:val="22"/>
        </w:rPr>
        <w:t xml:space="preserve"> N R (1997) ‘Metropolitan income inequality during the 1980s: the impact of urban development, industrial mix, and family structure’, </w:t>
      </w:r>
      <w:r w:rsidRPr="00520B73">
        <w:rPr>
          <w:rFonts w:asciiTheme="minorHAnsi" w:hAnsiTheme="minorHAnsi" w:cstheme="minorHAnsi"/>
          <w:i/>
          <w:sz w:val="22"/>
        </w:rPr>
        <w:t>Journal of Regional Science</w:t>
      </w:r>
      <w:r w:rsidRPr="00520B73">
        <w:rPr>
          <w:rFonts w:asciiTheme="minorHAnsi" w:hAnsiTheme="minorHAnsi" w:cstheme="minorHAnsi"/>
          <w:sz w:val="22"/>
        </w:rPr>
        <w:t>, 37(3), 459-478.</w:t>
      </w:r>
    </w:p>
    <w:p w14:paraId="535B1278" w14:textId="77777777" w:rsidR="00520B73" w:rsidRPr="00520B73" w:rsidRDefault="00520B73" w:rsidP="00831C7D">
      <w:pPr>
        <w:spacing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Collins </w:t>
      </w:r>
      <w:r w:rsidR="007E6F4D" w:rsidRPr="007E6F4D">
        <w:rPr>
          <w:rFonts w:asciiTheme="minorHAnsi" w:hAnsiTheme="minorHAnsi" w:cstheme="minorHAnsi"/>
          <w:i/>
          <w:sz w:val="22"/>
        </w:rPr>
        <w:t>et al</w:t>
      </w:r>
      <w:r w:rsidRPr="00520B73">
        <w:rPr>
          <w:rFonts w:asciiTheme="minorHAnsi" w:hAnsiTheme="minorHAnsi" w:cstheme="minorHAnsi"/>
          <w:sz w:val="22"/>
        </w:rPr>
        <w:t xml:space="preserve"> (undated) ‘2007 Census Test: the effects of including questions on income and implications for the 2011 Census’, Office for National Statistics.</w:t>
      </w:r>
    </w:p>
    <w:p w14:paraId="67E05757" w14:textId="77777777" w:rsidR="00520B73" w:rsidRPr="00520B73" w:rsidRDefault="00F07550" w:rsidP="009D2301">
      <w:pPr>
        <w:spacing w:afterLines="60" w:after="144" w:line="276" w:lineRule="auto"/>
        <w:ind w:left="284"/>
        <w:jc w:val="both"/>
        <w:rPr>
          <w:rFonts w:asciiTheme="minorHAnsi" w:hAnsiTheme="minorHAnsi" w:cstheme="minorHAnsi"/>
          <w:sz w:val="22"/>
        </w:rPr>
      </w:pPr>
      <w:hyperlink r:id="rId9" w:history="1">
        <w:r w:rsidR="00520B73" w:rsidRPr="00520B73">
          <w:rPr>
            <w:rStyle w:val="Hyperlink"/>
            <w:rFonts w:asciiTheme="minorHAnsi" w:hAnsiTheme="minorHAnsi" w:cstheme="minorHAnsi"/>
            <w:sz w:val="22"/>
          </w:rPr>
          <w:t>http://www.ons.gov.uk/ons/guide-method/census/2011/the-2011-census/the-2011-census-project/2007-test/income-evaluation/index.html</w:t>
        </w:r>
      </w:hyperlink>
    </w:p>
    <w:p w14:paraId="248384F7"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Dale A, Middleton E and Schofield T (1995) ‘New Earnings Survey variables added to the SARs’, SARs Newsletter 6, Census </w:t>
      </w:r>
      <w:proofErr w:type="spellStart"/>
      <w:r w:rsidRPr="00520B73">
        <w:rPr>
          <w:rFonts w:asciiTheme="minorHAnsi" w:hAnsiTheme="minorHAnsi" w:cstheme="minorHAnsi"/>
          <w:sz w:val="22"/>
        </w:rPr>
        <w:t>Microdata</w:t>
      </w:r>
      <w:proofErr w:type="spellEnd"/>
      <w:r w:rsidRPr="00520B73">
        <w:rPr>
          <w:rFonts w:asciiTheme="minorHAnsi" w:hAnsiTheme="minorHAnsi" w:cstheme="minorHAnsi"/>
          <w:sz w:val="22"/>
        </w:rPr>
        <w:t xml:space="preserve"> Unit, University of Manchester.</w:t>
      </w:r>
    </w:p>
    <w:p w14:paraId="6490C1D5"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gramStart"/>
      <w:r w:rsidRPr="00520B73">
        <w:rPr>
          <w:rFonts w:asciiTheme="minorHAnsi" w:hAnsiTheme="minorHAnsi" w:cstheme="minorHAnsi"/>
          <w:sz w:val="22"/>
        </w:rPr>
        <w:t xml:space="preserve">Daniel E and Bright G (2011) ‘Exploring the geographical distribution of wealth using the output area classification’, </w:t>
      </w:r>
      <w:r w:rsidRPr="00520B73">
        <w:rPr>
          <w:rFonts w:asciiTheme="minorHAnsi" w:hAnsiTheme="minorHAnsi" w:cstheme="minorHAnsi"/>
          <w:i/>
          <w:sz w:val="22"/>
        </w:rPr>
        <w:t>Economic and Labour Market Review</w:t>
      </w:r>
      <w:r w:rsidRPr="00520B73">
        <w:rPr>
          <w:rFonts w:asciiTheme="minorHAnsi" w:hAnsiTheme="minorHAnsi" w:cstheme="minorHAnsi"/>
          <w:sz w:val="22"/>
        </w:rPr>
        <w:t>, Jan 2011, 59-78.</w:t>
      </w:r>
      <w:proofErr w:type="gramEnd"/>
    </w:p>
    <w:p w14:paraId="2068FADF"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gramStart"/>
      <w:r w:rsidRPr="00520B73">
        <w:rPr>
          <w:rFonts w:asciiTheme="minorHAnsi" w:hAnsiTheme="minorHAnsi" w:cstheme="minorHAnsi"/>
          <w:sz w:val="22"/>
        </w:rPr>
        <w:t xml:space="preserve">Davies H, Joshi H and Clarke L (1997) ‘Is it cash the deprived are short of’, </w:t>
      </w:r>
      <w:r w:rsidRPr="00520B73">
        <w:rPr>
          <w:rFonts w:asciiTheme="minorHAnsi" w:hAnsiTheme="minorHAnsi" w:cstheme="minorHAnsi"/>
          <w:i/>
          <w:sz w:val="22"/>
        </w:rPr>
        <w:t>Journal of the Royal Statistical Society A</w:t>
      </w:r>
      <w:r w:rsidRPr="00520B73">
        <w:rPr>
          <w:rFonts w:asciiTheme="minorHAnsi" w:hAnsiTheme="minorHAnsi" w:cstheme="minorHAnsi"/>
          <w:sz w:val="22"/>
        </w:rPr>
        <w:t>, 160(1), 107-126.</w:t>
      </w:r>
      <w:proofErr w:type="gramEnd"/>
    </w:p>
    <w:p w14:paraId="766D0577"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lastRenderedPageBreak/>
        <w:t xml:space="preserve">DCLG (2011) </w:t>
      </w:r>
      <w:r w:rsidRPr="00520B73">
        <w:rPr>
          <w:rFonts w:asciiTheme="minorHAnsi" w:hAnsiTheme="minorHAnsi" w:cstheme="minorHAnsi"/>
          <w:i/>
          <w:sz w:val="22"/>
        </w:rPr>
        <w:t>The English Indices of Deprivation 2010</w:t>
      </w:r>
      <w:r w:rsidRPr="00520B73">
        <w:rPr>
          <w:rFonts w:asciiTheme="minorHAnsi" w:hAnsiTheme="minorHAnsi" w:cstheme="minorHAnsi"/>
          <w:sz w:val="22"/>
        </w:rPr>
        <w:t>, London: Dept. for Communities and Local Government.</w:t>
      </w:r>
    </w:p>
    <w:p w14:paraId="4F7798DF" w14:textId="77777777" w:rsidR="00520B73" w:rsidRPr="00856F69"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Dorling (1999) </w:t>
      </w:r>
      <w:r w:rsidR="00856F69">
        <w:rPr>
          <w:rFonts w:asciiTheme="minorHAnsi" w:hAnsiTheme="minorHAnsi" w:cstheme="minorHAnsi"/>
          <w:sz w:val="22"/>
        </w:rPr>
        <w:t>‘</w:t>
      </w:r>
      <w:r w:rsidRPr="00520B73">
        <w:rPr>
          <w:rFonts w:asciiTheme="minorHAnsi" w:hAnsiTheme="minorHAnsi" w:cstheme="minorHAnsi"/>
          <w:sz w:val="22"/>
        </w:rPr>
        <w:t>Who’s afraid of income inequality?</w:t>
      </w:r>
      <w:proofErr w:type="gramStart"/>
      <w:r w:rsidR="00856F69">
        <w:rPr>
          <w:rFonts w:asciiTheme="minorHAnsi" w:hAnsiTheme="minorHAnsi" w:cstheme="minorHAnsi"/>
          <w:sz w:val="22"/>
        </w:rPr>
        <w:t>’,</w:t>
      </w:r>
      <w:proofErr w:type="gramEnd"/>
      <w:r w:rsidR="00856F69">
        <w:rPr>
          <w:rFonts w:asciiTheme="minorHAnsi" w:hAnsiTheme="minorHAnsi" w:cstheme="minorHAnsi"/>
          <w:sz w:val="22"/>
        </w:rPr>
        <w:t xml:space="preserve"> </w:t>
      </w:r>
      <w:r w:rsidR="00856F69">
        <w:rPr>
          <w:rFonts w:asciiTheme="minorHAnsi" w:hAnsiTheme="minorHAnsi" w:cstheme="minorHAnsi"/>
          <w:i/>
          <w:sz w:val="22"/>
        </w:rPr>
        <w:t>Environment and Planning A</w:t>
      </w:r>
      <w:r w:rsidR="00856F69">
        <w:rPr>
          <w:rFonts w:asciiTheme="minorHAnsi" w:hAnsiTheme="minorHAnsi" w:cstheme="minorHAnsi"/>
          <w:sz w:val="22"/>
        </w:rPr>
        <w:t xml:space="preserve">, </w:t>
      </w:r>
      <w:r w:rsidR="005F7A0B" w:rsidRPr="005F7A0B">
        <w:rPr>
          <w:rFonts w:asciiTheme="minorHAnsi" w:hAnsiTheme="minorHAnsi" w:cstheme="minorHAnsi"/>
          <w:sz w:val="22"/>
        </w:rPr>
        <w:t>31(4)</w:t>
      </w:r>
      <w:r w:rsidR="005F7A0B">
        <w:rPr>
          <w:rFonts w:asciiTheme="minorHAnsi" w:hAnsiTheme="minorHAnsi" w:cstheme="minorHAnsi"/>
          <w:sz w:val="22"/>
        </w:rPr>
        <w:t>,</w:t>
      </w:r>
      <w:r w:rsidR="005F7A0B" w:rsidRPr="005F7A0B">
        <w:rPr>
          <w:rFonts w:asciiTheme="minorHAnsi" w:hAnsiTheme="minorHAnsi" w:cstheme="minorHAnsi"/>
          <w:sz w:val="22"/>
        </w:rPr>
        <w:t xml:space="preserve"> 571 – 574</w:t>
      </w:r>
      <w:r w:rsidR="00856F69">
        <w:rPr>
          <w:rFonts w:asciiTheme="minorHAnsi" w:hAnsiTheme="minorHAnsi" w:cstheme="minorHAnsi"/>
          <w:sz w:val="22"/>
        </w:rPr>
        <w:t>.</w:t>
      </w:r>
    </w:p>
    <w:p w14:paraId="3A30798E"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Dorling D, Rigby J, Wheeler B </w:t>
      </w:r>
      <w:r w:rsidR="007E6F4D" w:rsidRPr="007E6F4D">
        <w:rPr>
          <w:rFonts w:asciiTheme="minorHAnsi" w:hAnsiTheme="minorHAnsi" w:cstheme="minorHAnsi"/>
          <w:i/>
          <w:sz w:val="22"/>
        </w:rPr>
        <w:t>et al</w:t>
      </w:r>
      <w:r w:rsidRPr="00520B73">
        <w:rPr>
          <w:rFonts w:asciiTheme="minorHAnsi" w:hAnsiTheme="minorHAnsi" w:cstheme="minorHAnsi"/>
          <w:sz w:val="22"/>
        </w:rPr>
        <w:t xml:space="preserve">. (2007) </w:t>
      </w:r>
      <w:r w:rsidRPr="00520B73">
        <w:rPr>
          <w:rFonts w:asciiTheme="minorHAnsi" w:hAnsiTheme="minorHAnsi" w:cstheme="minorHAnsi"/>
          <w:i/>
          <w:sz w:val="22"/>
        </w:rPr>
        <w:t>Poverty, wealth and place in Britain, 1968 to 2005</w:t>
      </w:r>
      <w:r w:rsidRPr="00520B73">
        <w:rPr>
          <w:rFonts w:asciiTheme="minorHAnsi" w:hAnsiTheme="minorHAnsi" w:cstheme="minorHAnsi"/>
          <w:sz w:val="22"/>
        </w:rPr>
        <w:t>, Bristol: The Policy Press.</w:t>
      </w:r>
    </w:p>
    <w:p w14:paraId="70B40E8E" w14:textId="77777777" w:rsidR="00831C7D" w:rsidRDefault="00520B73" w:rsidP="00831C7D">
      <w:pPr>
        <w:spacing w:line="276" w:lineRule="auto"/>
        <w:ind w:left="284" w:hanging="284"/>
        <w:jc w:val="both"/>
        <w:rPr>
          <w:rFonts w:asciiTheme="minorHAnsi" w:hAnsiTheme="minorHAnsi" w:cstheme="minorHAnsi"/>
          <w:sz w:val="22"/>
        </w:rPr>
      </w:pPr>
      <w:proofErr w:type="gramStart"/>
      <w:r w:rsidRPr="00520B73">
        <w:rPr>
          <w:rFonts w:asciiTheme="minorHAnsi" w:hAnsiTheme="minorHAnsi" w:cstheme="minorHAnsi"/>
          <w:sz w:val="22"/>
        </w:rPr>
        <w:t>Experian (2005) ‘Household income – UK 2004 Data Profile’, Experian.</w:t>
      </w:r>
      <w:proofErr w:type="gramEnd"/>
    </w:p>
    <w:p w14:paraId="469F52D9" w14:textId="77777777" w:rsidR="00520B73" w:rsidRPr="00520B73" w:rsidRDefault="00520B73" w:rsidP="009D2301">
      <w:pPr>
        <w:spacing w:afterLines="60" w:after="144" w:line="276" w:lineRule="auto"/>
        <w:ind w:left="284"/>
        <w:jc w:val="both"/>
        <w:rPr>
          <w:rFonts w:asciiTheme="minorHAnsi" w:hAnsiTheme="minorHAnsi" w:cstheme="minorHAnsi"/>
          <w:sz w:val="22"/>
        </w:rPr>
      </w:pPr>
      <w:r w:rsidRPr="00520B73">
        <w:rPr>
          <w:rFonts w:asciiTheme="minorHAnsi" w:hAnsiTheme="minorHAnsi" w:cstheme="minorHAnsi"/>
          <w:sz w:val="22"/>
        </w:rPr>
        <w:t xml:space="preserve"> </w:t>
      </w:r>
      <w:hyperlink r:id="rId10" w:history="1">
        <w:r w:rsidRPr="00520B73">
          <w:rPr>
            <w:rStyle w:val="Hyperlink"/>
            <w:rFonts w:asciiTheme="minorHAnsi" w:hAnsiTheme="minorHAnsi" w:cstheme="minorHAnsi"/>
            <w:sz w:val="22"/>
          </w:rPr>
          <w:t>http://cdu.mimas.ac.uk/experian/household%20income.pdf</w:t>
        </w:r>
      </w:hyperlink>
      <w:r w:rsidRPr="00520B73">
        <w:rPr>
          <w:rFonts w:asciiTheme="minorHAnsi" w:hAnsiTheme="minorHAnsi" w:cstheme="minorHAnsi"/>
          <w:sz w:val="22"/>
        </w:rPr>
        <w:t xml:space="preserve"> [accessed 13/12/2011]</w:t>
      </w:r>
    </w:p>
    <w:p w14:paraId="693A3302"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Famhy</w:t>
      </w:r>
      <w:proofErr w:type="spellEnd"/>
      <w:r w:rsidRPr="00520B73">
        <w:rPr>
          <w:rFonts w:asciiTheme="minorHAnsi" w:hAnsiTheme="minorHAnsi" w:cstheme="minorHAnsi"/>
          <w:sz w:val="22"/>
        </w:rPr>
        <w:t xml:space="preserve"> E, Gordon D, Dorling D </w:t>
      </w:r>
      <w:r w:rsidR="007E6F4D" w:rsidRPr="007E6F4D">
        <w:rPr>
          <w:rFonts w:asciiTheme="minorHAnsi" w:hAnsiTheme="minorHAnsi" w:cstheme="minorHAnsi"/>
          <w:i/>
          <w:sz w:val="22"/>
        </w:rPr>
        <w:t>et al</w:t>
      </w:r>
      <w:r w:rsidRPr="00520B73">
        <w:rPr>
          <w:rFonts w:asciiTheme="minorHAnsi" w:hAnsiTheme="minorHAnsi" w:cstheme="minorHAnsi"/>
          <w:sz w:val="22"/>
        </w:rPr>
        <w:t xml:space="preserve"> (2011) ‘Poverty and place in Britain, 1968-99’, </w:t>
      </w:r>
      <w:r w:rsidRPr="00520B73">
        <w:rPr>
          <w:rFonts w:asciiTheme="minorHAnsi" w:hAnsiTheme="minorHAnsi" w:cstheme="minorHAnsi"/>
          <w:i/>
          <w:sz w:val="22"/>
        </w:rPr>
        <w:t>Environment and Planning A</w:t>
      </w:r>
      <w:r w:rsidRPr="00520B73">
        <w:rPr>
          <w:rFonts w:asciiTheme="minorHAnsi" w:hAnsiTheme="minorHAnsi" w:cstheme="minorHAnsi"/>
          <w:sz w:val="22"/>
        </w:rPr>
        <w:t>, 43, 594-617.</w:t>
      </w:r>
    </w:p>
    <w:p w14:paraId="78C3CE4E"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Fry R (2011) ‘Understanding household income poverty at small area level’, </w:t>
      </w:r>
      <w:r w:rsidRPr="00520B73">
        <w:rPr>
          <w:rFonts w:asciiTheme="minorHAnsi" w:hAnsiTheme="minorHAnsi" w:cstheme="minorHAnsi"/>
          <w:i/>
          <w:sz w:val="22"/>
        </w:rPr>
        <w:t>Regional Trends 43</w:t>
      </w:r>
      <w:r w:rsidRPr="00520B73">
        <w:rPr>
          <w:rFonts w:asciiTheme="minorHAnsi" w:hAnsiTheme="minorHAnsi" w:cstheme="minorHAnsi"/>
          <w:sz w:val="22"/>
        </w:rPr>
        <w:t>, London: Office for National Statistics, 1-16.</w:t>
      </w:r>
    </w:p>
    <w:p w14:paraId="0ACE8CD6"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Gibbons S, </w:t>
      </w:r>
      <w:proofErr w:type="spellStart"/>
      <w:r w:rsidRPr="00520B73">
        <w:rPr>
          <w:rFonts w:asciiTheme="minorHAnsi" w:hAnsiTheme="minorHAnsi" w:cstheme="minorHAnsi"/>
          <w:sz w:val="22"/>
        </w:rPr>
        <w:t>Overman</w:t>
      </w:r>
      <w:proofErr w:type="spellEnd"/>
      <w:r w:rsidRPr="00520B73">
        <w:rPr>
          <w:rFonts w:asciiTheme="minorHAnsi" w:hAnsiTheme="minorHAnsi" w:cstheme="minorHAnsi"/>
          <w:sz w:val="22"/>
        </w:rPr>
        <w:t xml:space="preserve"> H G and </w:t>
      </w:r>
      <w:proofErr w:type="spellStart"/>
      <w:r w:rsidRPr="00520B73">
        <w:rPr>
          <w:rFonts w:asciiTheme="minorHAnsi" w:hAnsiTheme="minorHAnsi" w:cstheme="minorHAnsi"/>
          <w:sz w:val="22"/>
        </w:rPr>
        <w:t>Pelkonen</w:t>
      </w:r>
      <w:proofErr w:type="spellEnd"/>
      <w:r w:rsidRPr="00520B73">
        <w:rPr>
          <w:rFonts w:asciiTheme="minorHAnsi" w:hAnsiTheme="minorHAnsi" w:cstheme="minorHAnsi"/>
          <w:sz w:val="22"/>
        </w:rPr>
        <w:t xml:space="preserve"> P (2010) ‘Wage disparities in Britain: people or place?</w:t>
      </w:r>
      <w:proofErr w:type="gramStart"/>
      <w:r w:rsidRPr="00520B73">
        <w:rPr>
          <w:rFonts w:asciiTheme="minorHAnsi" w:hAnsiTheme="minorHAnsi" w:cstheme="minorHAnsi"/>
          <w:sz w:val="22"/>
        </w:rPr>
        <w:t>’,</w:t>
      </w:r>
      <w:proofErr w:type="gramEnd"/>
      <w:r w:rsidRPr="00520B73">
        <w:rPr>
          <w:rFonts w:asciiTheme="minorHAnsi" w:hAnsiTheme="minorHAnsi" w:cstheme="minorHAnsi"/>
          <w:sz w:val="22"/>
        </w:rPr>
        <w:t xml:space="preserve"> SERC Discussion Paper 60, Spatial Economics Research Centre, Dept. of Geography and Environment, London School of Economics.</w:t>
      </w:r>
    </w:p>
    <w:p w14:paraId="30FDA304" w14:textId="77777777" w:rsidR="00D24F42" w:rsidRPr="00D24F42" w:rsidRDefault="00D24F42" w:rsidP="009D2301">
      <w:pPr>
        <w:spacing w:afterLines="60" w:after="144" w:line="276" w:lineRule="auto"/>
        <w:ind w:left="284" w:hanging="284"/>
        <w:jc w:val="both"/>
        <w:rPr>
          <w:rFonts w:asciiTheme="minorHAnsi" w:hAnsiTheme="minorHAnsi" w:cstheme="minorHAnsi"/>
          <w:i/>
          <w:sz w:val="22"/>
        </w:rPr>
      </w:pPr>
      <w:proofErr w:type="gramStart"/>
      <w:r>
        <w:rPr>
          <w:rFonts w:asciiTheme="minorHAnsi" w:hAnsiTheme="minorHAnsi" w:cstheme="minorHAnsi"/>
          <w:sz w:val="22"/>
        </w:rPr>
        <w:t xml:space="preserve">Gonzalez M E and </w:t>
      </w:r>
      <w:proofErr w:type="spellStart"/>
      <w:r>
        <w:rPr>
          <w:rFonts w:asciiTheme="minorHAnsi" w:hAnsiTheme="minorHAnsi" w:cstheme="minorHAnsi"/>
          <w:sz w:val="22"/>
        </w:rPr>
        <w:t>Hoza</w:t>
      </w:r>
      <w:proofErr w:type="spellEnd"/>
      <w:r>
        <w:rPr>
          <w:rFonts w:asciiTheme="minorHAnsi" w:hAnsiTheme="minorHAnsi" w:cstheme="minorHAnsi"/>
          <w:sz w:val="22"/>
        </w:rPr>
        <w:t xml:space="preserve"> C (1978) ‘Small-area estimation with application to unemployment and housing estimates’, </w:t>
      </w:r>
      <w:r>
        <w:rPr>
          <w:rFonts w:asciiTheme="minorHAnsi" w:hAnsiTheme="minorHAnsi" w:cstheme="minorHAnsi"/>
          <w:i/>
          <w:sz w:val="22"/>
        </w:rPr>
        <w:t>Journal of the American Statistical Associationion¸</w:t>
      </w:r>
      <w:r w:rsidRPr="00D24F42">
        <w:rPr>
          <w:rFonts w:asciiTheme="minorHAnsi" w:hAnsiTheme="minorHAnsi" w:cstheme="minorHAnsi"/>
          <w:sz w:val="22"/>
        </w:rPr>
        <w:t>73, 7-15</w:t>
      </w:r>
      <w:r>
        <w:rPr>
          <w:rFonts w:asciiTheme="minorHAnsi" w:hAnsiTheme="minorHAnsi" w:cstheme="minorHAnsi"/>
          <w:i/>
          <w:sz w:val="22"/>
        </w:rPr>
        <w:t>.</w:t>
      </w:r>
      <w:proofErr w:type="gramEnd"/>
    </w:p>
    <w:p w14:paraId="0D63AFEA"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Gordon D, Adelman L, Ashworth K </w:t>
      </w:r>
      <w:r w:rsidR="007E6F4D" w:rsidRPr="007E6F4D">
        <w:rPr>
          <w:rFonts w:asciiTheme="minorHAnsi" w:hAnsiTheme="minorHAnsi" w:cstheme="minorHAnsi"/>
          <w:i/>
          <w:sz w:val="22"/>
        </w:rPr>
        <w:t>et al</w:t>
      </w:r>
      <w:r w:rsidRPr="00520B73">
        <w:rPr>
          <w:rFonts w:asciiTheme="minorHAnsi" w:hAnsiTheme="minorHAnsi" w:cstheme="minorHAnsi"/>
          <w:sz w:val="22"/>
        </w:rPr>
        <w:t xml:space="preserve"> (2000) </w:t>
      </w:r>
      <w:r w:rsidRPr="00520B73">
        <w:rPr>
          <w:rFonts w:asciiTheme="minorHAnsi" w:hAnsiTheme="minorHAnsi" w:cstheme="minorHAnsi"/>
          <w:i/>
          <w:sz w:val="22"/>
        </w:rPr>
        <w:t>Poverty and Social Exclusion in Britain</w:t>
      </w:r>
      <w:r w:rsidRPr="00520B73">
        <w:rPr>
          <w:rFonts w:asciiTheme="minorHAnsi" w:hAnsiTheme="minorHAnsi" w:cstheme="minorHAnsi"/>
          <w:sz w:val="22"/>
        </w:rPr>
        <w:t xml:space="preserve">, </w:t>
      </w:r>
      <w:proofErr w:type="gramStart"/>
      <w:r w:rsidRPr="00520B73">
        <w:rPr>
          <w:rFonts w:asciiTheme="minorHAnsi" w:hAnsiTheme="minorHAnsi" w:cstheme="minorHAnsi"/>
          <w:sz w:val="22"/>
        </w:rPr>
        <w:t>York</w:t>
      </w:r>
      <w:proofErr w:type="gramEnd"/>
      <w:r w:rsidRPr="00520B73">
        <w:rPr>
          <w:rFonts w:asciiTheme="minorHAnsi" w:hAnsiTheme="minorHAnsi" w:cstheme="minorHAnsi"/>
          <w:sz w:val="22"/>
        </w:rPr>
        <w:t xml:space="preserve">: Joseph </w:t>
      </w:r>
      <w:proofErr w:type="spellStart"/>
      <w:r w:rsidRPr="00520B73">
        <w:rPr>
          <w:rFonts w:asciiTheme="minorHAnsi" w:hAnsiTheme="minorHAnsi" w:cstheme="minorHAnsi"/>
          <w:sz w:val="22"/>
        </w:rPr>
        <w:t>Rowntree</w:t>
      </w:r>
      <w:proofErr w:type="spellEnd"/>
      <w:r w:rsidRPr="00520B73">
        <w:rPr>
          <w:rFonts w:asciiTheme="minorHAnsi" w:hAnsiTheme="minorHAnsi" w:cstheme="minorHAnsi"/>
          <w:sz w:val="22"/>
        </w:rPr>
        <w:t xml:space="preserve"> Foundation.</w:t>
      </w:r>
    </w:p>
    <w:p w14:paraId="44606738"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Gordon D and Forrest R (1995) </w:t>
      </w:r>
      <w:r w:rsidRPr="00520B73">
        <w:rPr>
          <w:rFonts w:asciiTheme="minorHAnsi" w:hAnsiTheme="minorHAnsi" w:cstheme="minorHAnsi"/>
          <w:i/>
          <w:sz w:val="22"/>
        </w:rPr>
        <w:t>People and Places 2: Social and Economic distinctions in England</w:t>
      </w:r>
      <w:r w:rsidRPr="00520B73">
        <w:rPr>
          <w:rFonts w:asciiTheme="minorHAnsi" w:hAnsiTheme="minorHAnsi" w:cstheme="minorHAnsi"/>
          <w:sz w:val="22"/>
        </w:rPr>
        <w:t>, Bristol: School for Advanced Urban Studies (SAUS).</w:t>
      </w:r>
    </w:p>
    <w:p w14:paraId="4164A68F"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Green A (1994) </w:t>
      </w:r>
      <w:r w:rsidRPr="00520B73">
        <w:rPr>
          <w:rFonts w:asciiTheme="minorHAnsi" w:hAnsiTheme="minorHAnsi" w:cstheme="minorHAnsi"/>
          <w:i/>
          <w:sz w:val="22"/>
        </w:rPr>
        <w:t>The Geography of Poverty and Wealth</w:t>
      </w:r>
      <w:r w:rsidRPr="00520B73">
        <w:rPr>
          <w:rFonts w:asciiTheme="minorHAnsi" w:hAnsiTheme="minorHAnsi" w:cstheme="minorHAnsi"/>
          <w:sz w:val="22"/>
        </w:rPr>
        <w:t xml:space="preserve">, Institute for Employment </w:t>
      </w:r>
      <w:r w:rsidR="0029026A">
        <w:rPr>
          <w:rFonts w:asciiTheme="minorHAnsi" w:hAnsiTheme="minorHAnsi" w:cstheme="minorHAnsi"/>
          <w:sz w:val="22"/>
        </w:rPr>
        <w:t>Research, University of Warwick.</w:t>
      </w:r>
    </w:p>
    <w:p w14:paraId="4D56A646" w14:textId="77777777" w:rsidR="0029026A" w:rsidRDefault="0029026A" w:rsidP="00D9549A">
      <w:pPr>
        <w:spacing w:after="144" w:line="276" w:lineRule="auto"/>
        <w:ind w:left="284" w:hanging="284"/>
        <w:jc w:val="both"/>
        <w:rPr>
          <w:rFonts w:asciiTheme="minorHAnsi" w:hAnsiTheme="minorHAnsi" w:cstheme="minorHAnsi"/>
          <w:sz w:val="22"/>
        </w:rPr>
      </w:pPr>
      <w:proofErr w:type="spellStart"/>
      <w:r>
        <w:rPr>
          <w:rFonts w:asciiTheme="minorHAnsi" w:hAnsiTheme="minorHAnsi" w:cstheme="minorHAnsi"/>
          <w:sz w:val="22"/>
        </w:rPr>
        <w:t>Guangquan</w:t>
      </w:r>
      <w:proofErr w:type="spellEnd"/>
      <w:r>
        <w:rPr>
          <w:rFonts w:asciiTheme="minorHAnsi" w:hAnsiTheme="minorHAnsi" w:cstheme="minorHAnsi"/>
          <w:sz w:val="22"/>
        </w:rPr>
        <w:t xml:space="preserve"> L</w:t>
      </w:r>
      <w:r w:rsidRPr="0029026A">
        <w:rPr>
          <w:rFonts w:asciiTheme="minorHAnsi" w:hAnsiTheme="minorHAnsi" w:cstheme="minorHAnsi"/>
          <w:sz w:val="22"/>
        </w:rPr>
        <w:t>, Clarke</w:t>
      </w:r>
      <w:r>
        <w:rPr>
          <w:rFonts w:asciiTheme="minorHAnsi" w:hAnsiTheme="minorHAnsi" w:cstheme="minorHAnsi"/>
          <w:sz w:val="22"/>
        </w:rPr>
        <w:t xml:space="preserve"> P</w:t>
      </w:r>
      <w:r w:rsidRPr="0029026A">
        <w:rPr>
          <w:rFonts w:asciiTheme="minorHAnsi" w:hAnsiTheme="minorHAnsi" w:cstheme="minorHAnsi"/>
          <w:sz w:val="22"/>
        </w:rPr>
        <w:t>, Taylor</w:t>
      </w:r>
      <w:r>
        <w:rPr>
          <w:rFonts w:asciiTheme="minorHAnsi" w:hAnsiTheme="minorHAnsi" w:cstheme="minorHAnsi"/>
          <w:sz w:val="22"/>
        </w:rPr>
        <w:t xml:space="preserve"> A</w:t>
      </w:r>
      <w:r w:rsidRPr="0029026A">
        <w:rPr>
          <w:rFonts w:asciiTheme="minorHAnsi" w:hAnsiTheme="minorHAnsi" w:cstheme="minorHAnsi"/>
          <w:sz w:val="22"/>
        </w:rPr>
        <w:t>, Richardson</w:t>
      </w:r>
      <w:r>
        <w:rPr>
          <w:rFonts w:asciiTheme="minorHAnsi" w:hAnsiTheme="minorHAnsi" w:cstheme="minorHAnsi"/>
          <w:sz w:val="22"/>
        </w:rPr>
        <w:t xml:space="preserve"> S</w:t>
      </w:r>
      <w:r w:rsidRPr="0029026A">
        <w:rPr>
          <w:rFonts w:asciiTheme="minorHAnsi" w:hAnsiTheme="minorHAnsi" w:cstheme="minorHAnsi"/>
          <w:sz w:val="22"/>
        </w:rPr>
        <w:t xml:space="preserve"> and Best</w:t>
      </w:r>
      <w:r>
        <w:rPr>
          <w:rFonts w:asciiTheme="minorHAnsi" w:hAnsiTheme="minorHAnsi" w:cstheme="minorHAnsi"/>
          <w:sz w:val="22"/>
        </w:rPr>
        <w:t xml:space="preserve"> N (2011) ‘</w:t>
      </w:r>
      <w:r w:rsidRPr="0029026A">
        <w:rPr>
          <w:rFonts w:asciiTheme="minorHAnsi" w:hAnsiTheme="minorHAnsi" w:cstheme="minorHAnsi"/>
          <w:sz w:val="22"/>
        </w:rPr>
        <w:t>Improving small area estimates of income using</w:t>
      </w:r>
      <w:r>
        <w:rPr>
          <w:rFonts w:asciiTheme="minorHAnsi" w:hAnsiTheme="minorHAnsi" w:cstheme="minorHAnsi"/>
          <w:sz w:val="22"/>
        </w:rPr>
        <w:t xml:space="preserve"> </w:t>
      </w:r>
      <w:r w:rsidRPr="0029026A">
        <w:rPr>
          <w:rFonts w:asciiTheme="minorHAnsi" w:hAnsiTheme="minorHAnsi" w:cstheme="minorHAnsi"/>
          <w:sz w:val="22"/>
        </w:rPr>
        <w:t xml:space="preserve">Bayesian hierarchical models with </w:t>
      </w:r>
      <w:proofErr w:type="spellStart"/>
      <w:r w:rsidRPr="0029026A">
        <w:rPr>
          <w:rFonts w:asciiTheme="minorHAnsi" w:hAnsiTheme="minorHAnsi" w:cstheme="minorHAnsi"/>
          <w:sz w:val="22"/>
        </w:rPr>
        <w:t>heteroscedastic</w:t>
      </w:r>
      <w:proofErr w:type="spellEnd"/>
      <w:r>
        <w:rPr>
          <w:rFonts w:asciiTheme="minorHAnsi" w:hAnsiTheme="minorHAnsi" w:cstheme="minorHAnsi"/>
          <w:sz w:val="22"/>
        </w:rPr>
        <w:t xml:space="preserve"> </w:t>
      </w:r>
      <w:r w:rsidRPr="0029026A">
        <w:rPr>
          <w:rFonts w:asciiTheme="minorHAnsi" w:hAnsiTheme="minorHAnsi" w:cstheme="minorHAnsi"/>
          <w:sz w:val="22"/>
        </w:rPr>
        <w:t>sampling error variances</w:t>
      </w:r>
      <w:r>
        <w:rPr>
          <w:rFonts w:asciiTheme="minorHAnsi" w:hAnsiTheme="minorHAnsi" w:cstheme="minorHAnsi"/>
          <w:sz w:val="22"/>
        </w:rPr>
        <w:t xml:space="preserve">’, Poster presented </w:t>
      </w:r>
      <w:proofErr w:type="gramStart"/>
      <w:r>
        <w:rPr>
          <w:rFonts w:asciiTheme="minorHAnsi" w:hAnsiTheme="minorHAnsi" w:cstheme="minorHAnsi"/>
          <w:sz w:val="22"/>
        </w:rPr>
        <w:t xml:space="preserve">at </w:t>
      </w:r>
      <w:r w:rsidRPr="0029026A">
        <w:rPr>
          <w:rFonts w:asciiTheme="minorHAnsi" w:hAnsiTheme="minorHAnsi" w:cstheme="minorHAnsi"/>
          <w:sz w:val="22"/>
        </w:rPr>
        <w:t xml:space="preserve"> the</w:t>
      </w:r>
      <w:proofErr w:type="gramEnd"/>
      <w:r w:rsidRPr="0029026A">
        <w:rPr>
          <w:rFonts w:asciiTheme="minorHAnsi" w:hAnsiTheme="minorHAnsi" w:cstheme="minorHAnsi"/>
          <w:sz w:val="22"/>
        </w:rPr>
        <w:t xml:space="preserve"> Small Area Estimation conference at Trier, Germany (11-13 August, 2011).</w:t>
      </w:r>
    </w:p>
    <w:p w14:paraId="10359B9B"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Heady P and Ralphs M (2004) ‘</w:t>
      </w:r>
      <w:proofErr w:type="gramStart"/>
      <w:r w:rsidRPr="00520B73">
        <w:rPr>
          <w:rFonts w:asciiTheme="minorHAnsi" w:hAnsiTheme="minorHAnsi" w:cstheme="minorHAnsi"/>
          <w:sz w:val="22"/>
        </w:rPr>
        <w:t>Some</w:t>
      </w:r>
      <w:proofErr w:type="gramEnd"/>
      <w:r w:rsidRPr="00520B73">
        <w:rPr>
          <w:rFonts w:asciiTheme="minorHAnsi" w:hAnsiTheme="minorHAnsi" w:cstheme="minorHAnsi"/>
          <w:sz w:val="22"/>
        </w:rPr>
        <w:t xml:space="preserve"> findings of the EURAREA project – and their implications for statistical policy, </w:t>
      </w:r>
      <w:r w:rsidRPr="00520B73">
        <w:rPr>
          <w:rFonts w:asciiTheme="minorHAnsi" w:hAnsiTheme="minorHAnsi" w:cstheme="minorHAnsi"/>
          <w:i/>
          <w:sz w:val="22"/>
        </w:rPr>
        <w:t>Statistics in Transition</w:t>
      </w:r>
      <w:r w:rsidRPr="00520B73">
        <w:rPr>
          <w:rFonts w:asciiTheme="minorHAnsi" w:hAnsiTheme="minorHAnsi" w:cstheme="minorHAnsi"/>
          <w:sz w:val="22"/>
        </w:rPr>
        <w:t>, 6(5), 641-653.</w:t>
      </w:r>
    </w:p>
    <w:p w14:paraId="739F4A6B"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Jargowsky</w:t>
      </w:r>
      <w:proofErr w:type="spellEnd"/>
      <w:r w:rsidRPr="00520B73">
        <w:rPr>
          <w:rFonts w:asciiTheme="minorHAnsi" w:hAnsiTheme="minorHAnsi" w:cstheme="minorHAnsi"/>
          <w:sz w:val="22"/>
        </w:rPr>
        <w:t xml:space="preserve"> (1996) ‘</w:t>
      </w:r>
      <w:proofErr w:type="gramStart"/>
      <w:r w:rsidRPr="00520B73">
        <w:rPr>
          <w:rFonts w:asciiTheme="minorHAnsi" w:hAnsiTheme="minorHAnsi" w:cstheme="minorHAnsi"/>
          <w:sz w:val="22"/>
        </w:rPr>
        <w:t>Take</w:t>
      </w:r>
      <w:proofErr w:type="gramEnd"/>
      <w:r w:rsidRPr="00520B73">
        <w:rPr>
          <w:rFonts w:asciiTheme="minorHAnsi" w:hAnsiTheme="minorHAnsi" w:cstheme="minorHAnsi"/>
          <w:sz w:val="22"/>
        </w:rPr>
        <w:t xml:space="preserve"> the money and run: economic segregation in U.S. Metropolitan Areas’, </w:t>
      </w:r>
      <w:r w:rsidRPr="00520B73">
        <w:rPr>
          <w:rFonts w:asciiTheme="minorHAnsi" w:hAnsiTheme="minorHAnsi" w:cstheme="minorHAnsi"/>
          <w:i/>
          <w:sz w:val="22"/>
        </w:rPr>
        <w:t>American Sociological Review</w:t>
      </w:r>
      <w:r w:rsidRPr="00520B73">
        <w:rPr>
          <w:rFonts w:asciiTheme="minorHAnsi" w:hAnsiTheme="minorHAnsi" w:cstheme="minorHAnsi"/>
          <w:sz w:val="22"/>
        </w:rPr>
        <w:t>, 61(6), 984-98.</w:t>
      </w:r>
    </w:p>
    <w:p w14:paraId="40F6E528" w14:textId="77777777" w:rsidR="00520B73" w:rsidRPr="00520B73" w:rsidRDefault="00520B73" w:rsidP="009D2301">
      <w:pPr>
        <w:spacing w:afterLines="60" w:after="144" w:line="276" w:lineRule="auto"/>
        <w:ind w:left="284" w:hanging="284"/>
        <w:jc w:val="both"/>
        <w:rPr>
          <w:rFonts w:asciiTheme="minorHAnsi" w:hAnsiTheme="minorHAnsi" w:cstheme="minorHAnsi"/>
          <w:i/>
          <w:sz w:val="22"/>
        </w:rPr>
      </w:pPr>
      <w:proofErr w:type="spellStart"/>
      <w:r w:rsidRPr="00520B73">
        <w:rPr>
          <w:rFonts w:asciiTheme="minorHAnsi" w:hAnsiTheme="minorHAnsi" w:cstheme="minorHAnsi"/>
          <w:sz w:val="22"/>
        </w:rPr>
        <w:t>Koenker</w:t>
      </w:r>
      <w:proofErr w:type="spellEnd"/>
      <w:r w:rsidRPr="00520B73">
        <w:rPr>
          <w:rFonts w:asciiTheme="minorHAnsi" w:hAnsiTheme="minorHAnsi" w:cstheme="minorHAnsi"/>
          <w:sz w:val="22"/>
        </w:rPr>
        <w:t xml:space="preserve"> R and </w:t>
      </w:r>
      <w:proofErr w:type="spellStart"/>
      <w:r w:rsidRPr="00520B73">
        <w:rPr>
          <w:rFonts w:asciiTheme="minorHAnsi" w:hAnsiTheme="minorHAnsi" w:cstheme="minorHAnsi"/>
          <w:sz w:val="22"/>
        </w:rPr>
        <w:t>Hallock</w:t>
      </w:r>
      <w:proofErr w:type="spellEnd"/>
      <w:r w:rsidRPr="00520B73">
        <w:rPr>
          <w:rFonts w:asciiTheme="minorHAnsi" w:hAnsiTheme="minorHAnsi" w:cstheme="minorHAnsi"/>
          <w:sz w:val="22"/>
        </w:rPr>
        <w:t xml:space="preserve"> K F (2001) ‘</w:t>
      </w:r>
      <w:proofErr w:type="spellStart"/>
      <w:r w:rsidRPr="00520B73">
        <w:rPr>
          <w:rFonts w:asciiTheme="minorHAnsi" w:hAnsiTheme="minorHAnsi" w:cstheme="minorHAnsi"/>
          <w:sz w:val="22"/>
        </w:rPr>
        <w:t>Quantile</w:t>
      </w:r>
      <w:proofErr w:type="spellEnd"/>
      <w:r w:rsidRPr="00520B73">
        <w:rPr>
          <w:rFonts w:asciiTheme="minorHAnsi" w:hAnsiTheme="minorHAnsi" w:cstheme="minorHAnsi"/>
          <w:sz w:val="22"/>
        </w:rPr>
        <w:t xml:space="preserve"> Regression’, </w:t>
      </w:r>
      <w:r w:rsidRPr="00520B73">
        <w:rPr>
          <w:rFonts w:asciiTheme="minorHAnsi" w:hAnsiTheme="minorHAnsi" w:cstheme="minorHAnsi"/>
          <w:i/>
          <w:sz w:val="22"/>
        </w:rPr>
        <w:t>Journal of Economic Perspectives</w:t>
      </w:r>
      <w:r w:rsidRPr="00520B73">
        <w:rPr>
          <w:rFonts w:asciiTheme="minorHAnsi" w:hAnsiTheme="minorHAnsi" w:cstheme="minorHAnsi"/>
          <w:sz w:val="22"/>
        </w:rPr>
        <w:t>, 4, 143-156.</w:t>
      </w:r>
    </w:p>
    <w:p w14:paraId="5AC1F3CA" w14:textId="77777777" w:rsidR="00520B73" w:rsidRPr="00520B73" w:rsidRDefault="00520B73" w:rsidP="009D2301">
      <w:pPr>
        <w:spacing w:afterLines="60" w:after="144" w:line="276" w:lineRule="auto"/>
        <w:ind w:left="284" w:hanging="284"/>
        <w:jc w:val="both"/>
        <w:rPr>
          <w:rFonts w:asciiTheme="minorHAnsi" w:hAnsiTheme="minorHAnsi" w:cstheme="minorHAnsi"/>
          <w:b/>
          <w:sz w:val="22"/>
        </w:rPr>
      </w:pPr>
      <w:r w:rsidRPr="00520B73">
        <w:rPr>
          <w:rFonts w:asciiTheme="minorHAnsi" w:hAnsiTheme="minorHAnsi" w:cstheme="minorHAnsi"/>
          <w:sz w:val="22"/>
        </w:rPr>
        <w:t xml:space="preserve">Lee P, </w:t>
      </w:r>
      <w:proofErr w:type="spellStart"/>
      <w:r w:rsidRPr="00520B73">
        <w:rPr>
          <w:rFonts w:asciiTheme="minorHAnsi" w:hAnsiTheme="minorHAnsi" w:cstheme="minorHAnsi"/>
          <w:sz w:val="22"/>
        </w:rPr>
        <w:t>Murie</w:t>
      </w:r>
      <w:proofErr w:type="spellEnd"/>
      <w:r w:rsidRPr="00520B73">
        <w:rPr>
          <w:rFonts w:asciiTheme="minorHAnsi" w:hAnsiTheme="minorHAnsi" w:cstheme="minorHAnsi"/>
          <w:sz w:val="22"/>
        </w:rPr>
        <w:t xml:space="preserve"> A and Gordon D (1995) </w:t>
      </w:r>
      <w:r w:rsidRPr="00520B73">
        <w:rPr>
          <w:rFonts w:asciiTheme="minorHAnsi" w:hAnsiTheme="minorHAnsi" w:cstheme="minorHAnsi"/>
          <w:i/>
          <w:sz w:val="22"/>
        </w:rPr>
        <w:t>Area measures of deprivation: a study of current best practices in the identification of poor areas in Great Britain</w:t>
      </w:r>
      <w:r w:rsidRPr="00520B73">
        <w:rPr>
          <w:rFonts w:asciiTheme="minorHAnsi" w:hAnsiTheme="minorHAnsi" w:cstheme="minorHAnsi"/>
          <w:sz w:val="22"/>
        </w:rPr>
        <w:t>, Centre for Urban and Regional Studies, University of Birmingham.</w:t>
      </w:r>
    </w:p>
    <w:p w14:paraId="5DB2786E"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Lehtonen</w:t>
      </w:r>
      <w:proofErr w:type="spellEnd"/>
      <w:r w:rsidRPr="00520B73">
        <w:rPr>
          <w:rFonts w:asciiTheme="minorHAnsi" w:hAnsiTheme="minorHAnsi" w:cstheme="minorHAnsi"/>
          <w:sz w:val="22"/>
        </w:rPr>
        <w:t xml:space="preserve"> R, </w:t>
      </w:r>
      <w:proofErr w:type="spellStart"/>
      <w:r w:rsidRPr="00520B73">
        <w:rPr>
          <w:rFonts w:asciiTheme="minorHAnsi" w:hAnsiTheme="minorHAnsi" w:cstheme="minorHAnsi"/>
          <w:sz w:val="22"/>
        </w:rPr>
        <w:t>Veijanen</w:t>
      </w:r>
      <w:proofErr w:type="spellEnd"/>
      <w:r w:rsidRPr="00520B73">
        <w:rPr>
          <w:rFonts w:asciiTheme="minorHAnsi" w:hAnsiTheme="minorHAnsi" w:cstheme="minorHAnsi"/>
          <w:sz w:val="22"/>
        </w:rPr>
        <w:t xml:space="preserve"> A, </w:t>
      </w:r>
      <w:proofErr w:type="spellStart"/>
      <w:r w:rsidRPr="00520B73">
        <w:rPr>
          <w:rFonts w:asciiTheme="minorHAnsi" w:hAnsiTheme="minorHAnsi" w:cstheme="minorHAnsi"/>
          <w:sz w:val="22"/>
        </w:rPr>
        <w:t>Myrskylä</w:t>
      </w:r>
      <w:proofErr w:type="spellEnd"/>
      <w:r w:rsidRPr="00520B73">
        <w:rPr>
          <w:rFonts w:asciiTheme="minorHAnsi" w:hAnsiTheme="minorHAnsi" w:cstheme="minorHAnsi"/>
          <w:sz w:val="22"/>
        </w:rPr>
        <w:t xml:space="preserve"> M and </w:t>
      </w:r>
      <w:proofErr w:type="spellStart"/>
      <w:r w:rsidRPr="00520B73">
        <w:rPr>
          <w:rFonts w:asciiTheme="minorHAnsi" w:hAnsiTheme="minorHAnsi" w:cstheme="minorHAnsi"/>
          <w:sz w:val="22"/>
        </w:rPr>
        <w:t>Valaste</w:t>
      </w:r>
      <w:proofErr w:type="spellEnd"/>
      <w:r w:rsidRPr="00520B73">
        <w:rPr>
          <w:rFonts w:asciiTheme="minorHAnsi" w:hAnsiTheme="minorHAnsi" w:cstheme="minorHAnsi"/>
          <w:sz w:val="22"/>
        </w:rPr>
        <w:t xml:space="preserve"> M (2011) </w:t>
      </w:r>
      <w:r w:rsidRPr="00520B73">
        <w:rPr>
          <w:rFonts w:asciiTheme="minorHAnsi" w:hAnsiTheme="minorHAnsi" w:cstheme="minorHAnsi"/>
          <w:i/>
          <w:sz w:val="22"/>
        </w:rPr>
        <w:t>Small Area Estimation of Indicators on Poverty and Social Exclusion</w:t>
      </w:r>
      <w:r w:rsidRPr="00520B73">
        <w:rPr>
          <w:rFonts w:asciiTheme="minorHAnsi" w:hAnsiTheme="minorHAnsi" w:cstheme="minorHAnsi"/>
          <w:sz w:val="22"/>
        </w:rPr>
        <w:t xml:space="preserve">, Deliverable 2.2, AMELI Advanced Methodology for European </w:t>
      </w:r>
      <w:proofErr w:type="spellStart"/>
      <w:r w:rsidRPr="00520B73">
        <w:rPr>
          <w:rFonts w:asciiTheme="minorHAnsi" w:hAnsiTheme="minorHAnsi" w:cstheme="minorHAnsi"/>
          <w:sz w:val="22"/>
        </w:rPr>
        <w:t>Laeken</w:t>
      </w:r>
      <w:proofErr w:type="spellEnd"/>
      <w:r w:rsidRPr="00520B73">
        <w:rPr>
          <w:rFonts w:asciiTheme="minorHAnsi" w:hAnsiTheme="minorHAnsi" w:cstheme="minorHAnsi"/>
          <w:sz w:val="22"/>
        </w:rPr>
        <w:t xml:space="preserve"> Indicators. </w:t>
      </w:r>
    </w:p>
    <w:p w14:paraId="22C2EAF4"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lastRenderedPageBreak/>
        <w:t>Longhurst</w:t>
      </w:r>
      <w:proofErr w:type="spellEnd"/>
      <w:r w:rsidRPr="00520B73">
        <w:rPr>
          <w:rFonts w:asciiTheme="minorHAnsi" w:hAnsiTheme="minorHAnsi" w:cstheme="minorHAnsi"/>
          <w:sz w:val="22"/>
        </w:rPr>
        <w:t xml:space="preserve"> J, </w:t>
      </w:r>
      <w:proofErr w:type="spellStart"/>
      <w:r w:rsidRPr="00520B73">
        <w:rPr>
          <w:rFonts w:asciiTheme="minorHAnsi" w:hAnsiTheme="minorHAnsi" w:cstheme="minorHAnsi"/>
          <w:sz w:val="22"/>
        </w:rPr>
        <w:t>Cruddas</w:t>
      </w:r>
      <w:proofErr w:type="spellEnd"/>
      <w:r w:rsidRPr="00520B73">
        <w:rPr>
          <w:rFonts w:asciiTheme="minorHAnsi" w:hAnsiTheme="minorHAnsi" w:cstheme="minorHAnsi"/>
          <w:sz w:val="22"/>
        </w:rPr>
        <w:t xml:space="preserve"> M, </w:t>
      </w:r>
      <w:proofErr w:type="spellStart"/>
      <w:r w:rsidRPr="00520B73">
        <w:rPr>
          <w:rFonts w:asciiTheme="minorHAnsi" w:hAnsiTheme="minorHAnsi" w:cstheme="minorHAnsi"/>
          <w:sz w:val="22"/>
        </w:rPr>
        <w:t>Goldring</w:t>
      </w:r>
      <w:proofErr w:type="spellEnd"/>
      <w:r w:rsidRPr="00520B73">
        <w:rPr>
          <w:rFonts w:asciiTheme="minorHAnsi" w:hAnsiTheme="minorHAnsi" w:cstheme="minorHAnsi"/>
          <w:sz w:val="22"/>
        </w:rPr>
        <w:t xml:space="preserve"> S and Mitchell B (2004a) </w:t>
      </w:r>
      <w:r w:rsidRPr="00520B73">
        <w:rPr>
          <w:rFonts w:asciiTheme="minorHAnsi" w:hAnsiTheme="minorHAnsi" w:cstheme="minorHAnsi"/>
          <w:i/>
          <w:sz w:val="22"/>
        </w:rPr>
        <w:t>Model-based estimates of income for wards, 1998/99: Technical Report</w:t>
      </w:r>
      <w:r w:rsidRPr="00520B73">
        <w:rPr>
          <w:rFonts w:asciiTheme="minorHAnsi" w:hAnsiTheme="minorHAnsi" w:cstheme="minorHAnsi"/>
          <w:sz w:val="22"/>
        </w:rPr>
        <w:t xml:space="preserve">, </w:t>
      </w:r>
      <w:proofErr w:type="spellStart"/>
      <w:r w:rsidRPr="00520B73">
        <w:rPr>
          <w:rFonts w:asciiTheme="minorHAnsi" w:hAnsiTheme="minorHAnsi" w:cstheme="minorHAnsi"/>
          <w:sz w:val="22"/>
        </w:rPr>
        <w:t>Titchfield</w:t>
      </w:r>
      <w:proofErr w:type="spellEnd"/>
      <w:r w:rsidRPr="00520B73">
        <w:rPr>
          <w:rFonts w:asciiTheme="minorHAnsi" w:hAnsiTheme="minorHAnsi" w:cstheme="minorHAnsi"/>
          <w:sz w:val="22"/>
        </w:rPr>
        <w:t>: Office for National Statistics.</w:t>
      </w:r>
    </w:p>
    <w:p w14:paraId="2ABC680F"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Longhurst</w:t>
      </w:r>
      <w:proofErr w:type="spellEnd"/>
      <w:r w:rsidRPr="00520B73">
        <w:rPr>
          <w:rFonts w:asciiTheme="minorHAnsi" w:hAnsiTheme="minorHAnsi" w:cstheme="minorHAnsi"/>
          <w:sz w:val="22"/>
        </w:rPr>
        <w:t xml:space="preserve"> J, </w:t>
      </w:r>
      <w:proofErr w:type="spellStart"/>
      <w:r w:rsidRPr="00520B73">
        <w:rPr>
          <w:rFonts w:asciiTheme="minorHAnsi" w:hAnsiTheme="minorHAnsi" w:cstheme="minorHAnsi"/>
          <w:sz w:val="22"/>
        </w:rPr>
        <w:t>Cruddas</w:t>
      </w:r>
      <w:proofErr w:type="spellEnd"/>
      <w:r w:rsidRPr="00520B73">
        <w:rPr>
          <w:rFonts w:asciiTheme="minorHAnsi" w:hAnsiTheme="minorHAnsi" w:cstheme="minorHAnsi"/>
          <w:sz w:val="22"/>
        </w:rPr>
        <w:t xml:space="preserve"> M, </w:t>
      </w:r>
      <w:proofErr w:type="spellStart"/>
      <w:r w:rsidRPr="00520B73">
        <w:rPr>
          <w:rFonts w:asciiTheme="minorHAnsi" w:hAnsiTheme="minorHAnsi" w:cstheme="minorHAnsi"/>
          <w:sz w:val="22"/>
        </w:rPr>
        <w:t>Goldring</w:t>
      </w:r>
      <w:proofErr w:type="spellEnd"/>
      <w:r w:rsidRPr="00520B73">
        <w:rPr>
          <w:rFonts w:asciiTheme="minorHAnsi" w:hAnsiTheme="minorHAnsi" w:cstheme="minorHAnsi"/>
          <w:sz w:val="22"/>
        </w:rPr>
        <w:t xml:space="preserve"> S and Mitchell B (2004b) </w:t>
      </w:r>
      <w:r w:rsidRPr="00520B73">
        <w:rPr>
          <w:rFonts w:asciiTheme="minorHAnsi" w:hAnsiTheme="minorHAnsi" w:cstheme="minorHAnsi"/>
          <w:i/>
          <w:sz w:val="22"/>
        </w:rPr>
        <w:t>Model-based estimates of income for wards, 1998/99: Validation Report</w:t>
      </w:r>
      <w:r w:rsidRPr="00520B73">
        <w:rPr>
          <w:rFonts w:asciiTheme="minorHAnsi" w:hAnsiTheme="minorHAnsi" w:cstheme="minorHAnsi"/>
          <w:sz w:val="22"/>
        </w:rPr>
        <w:t xml:space="preserve">, </w:t>
      </w:r>
      <w:proofErr w:type="spellStart"/>
      <w:r w:rsidRPr="00520B73">
        <w:rPr>
          <w:rFonts w:asciiTheme="minorHAnsi" w:hAnsiTheme="minorHAnsi" w:cstheme="minorHAnsi"/>
          <w:sz w:val="22"/>
        </w:rPr>
        <w:t>Titchfield</w:t>
      </w:r>
      <w:proofErr w:type="spellEnd"/>
      <w:r w:rsidRPr="00520B73">
        <w:rPr>
          <w:rFonts w:asciiTheme="minorHAnsi" w:hAnsiTheme="minorHAnsi" w:cstheme="minorHAnsi"/>
          <w:sz w:val="22"/>
        </w:rPr>
        <w:t>: Office for National Statistics.</w:t>
      </w:r>
    </w:p>
    <w:p w14:paraId="18F0E3FD"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McCulloch A (2001) ‘Ward level deprivation and individual social and economic outcomes in the British Household Panel Study’, </w:t>
      </w:r>
      <w:r w:rsidRPr="00520B73">
        <w:rPr>
          <w:rFonts w:asciiTheme="minorHAnsi" w:hAnsiTheme="minorHAnsi" w:cstheme="minorHAnsi"/>
          <w:i/>
          <w:sz w:val="22"/>
        </w:rPr>
        <w:t>Environment and Planning A</w:t>
      </w:r>
      <w:r w:rsidRPr="00520B73">
        <w:rPr>
          <w:rFonts w:asciiTheme="minorHAnsi" w:hAnsiTheme="minorHAnsi" w:cstheme="minorHAnsi"/>
          <w:sz w:val="22"/>
        </w:rPr>
        <w:t>, 33(4), 667-684.</w:t>
      </w:r>
    </w:p>
    <w:p w14:paraId="6C6720E6"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Micklewright</w:t>
      </w:r>
      <w:proofErr w:type="spellEnd"/>
      <w:r w:rsidRPr="00520B73">
        <w:rPr>
          <w:rFonts w:asciiTheme="minorHAnsi" w:hAnsiTheme="minorHAnsi" w:cstheme="minorHAnsi"/>
          <w:sz w:val="22"/>
        </w:rPr>
        <w:t xml:space="preserve"> J and </w:t>
      </w:r>
      <w:proofErr w:type="spellStart"/>
      <w:r w:rsidRPr="00520B73">
        <w:rPr>
          <w:rFonts w:asciiTheme="minorHAnsi" w:hAnsiTheme="minorHAnsi" w:cstheme="minorHAnsi"/>
          <w:sz w:val="22"/>
        </w:rPr>
        <w:t>Schnepf</w:t>
      </w:r>
      <w:proofErr w:type="spellEnd"/>
      <w:r w:rsidRPr="00520B73">
        <w:rPr>
          <w:rFonts w:asciiTheme="minorHAnsi" w:hAnsiTheme="minorHAnsi" w:cstheme="minorHAnsi"/>
          <w:sz w:val="22"/>
        </w:rPr>
        <w:t xml:space="preserve"> S V (2010) ‘How reliable are income data collected with a single question?</w:t>
      </w:r>
      <w:proofErr w:type="gramStart"/>
      <w:r w:rsidRPr="00520B73">
        <w:rPr>
          <w:rFonts w:asciiTheme="minorHAnsi" w:hAnsiTheme="minorHAnsi" w:cstheme="minorHAnsi"/>
          <w:sz w:val="22"/>
        </w:rPr>
        <w:t>’,</w:t>
      </w:r>
      <w:proofErr w:type="gramEnd"/>
      <w:r w:rsidRPr="00520B73">
        <w:rPr>
          <w:rFonts w:asciiTheme="minorHAnsi" w:hAnsiTheme="minorHAnsi" w:cstheme="minorHAnsi"/>
          <w:sz w:val="22"/>
        </w:rPr>
        <w:t xml:space="preserve"> </w:t>
      </w:r>
      <w:r w:rsidRPr="00520B73">
        <w:rPr>
          <w:rFonts w:asciiTheme="minorHAnsi" w:hAnsiTheme="minorHAnsi" w:cstheme="minorHAnsi"/>
          <w:i/>
          <w:sz w:val="22"/>
        </w:rPr>
        <w:t>Journal of the Royal Statistical Society A</w:t>
      </w:r>
      <w:r w:rsidRPr="00520B73">
        <w:rPr>
          <w:rFonts w:asciiTheme="minorHAnsi" w:hAnsiTheme="minorHAnsi" w:cstheme="minorHAnsi"/>
          <w:sz w:val="22"/>
        </w:rPr>
        <w:t>, 173(2), 409-429.</w:t>
      </w:r>
    </w:p>
    <w:p w14:paraId="4B65F60A"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Mitchell R (2001) ‘Multilevel modelling might not be the answer’, </w:t>
      </w:r>
      <w:r w:rsidRPr="00520B73">
        <w:rPr>
          <w:rFonts w:asciiTheme="minorHAnsi" w:hAnsiTheme="minorHAnsi" w:cstheme="minorHAnsi"/>
          <w:i/>
          <w:sz w:val="22"/>
        </w:rPr>
        <w:t>Environment and Planning A</w:t>
      </w:r>
      <w:r w:rsidRPr="00520B73">
        <w:rPr>
          <w:rFonts w:asciiTheme="minorHAnsi" w:hAnsiTheme="minorHAnsi" w:cstheme="minorHAnsi"/>
          <w:sz w:val="22"/>
        </w:rPr>
        <w:t>, 33(8), 1357-160.</w:t>
      </w:r>
    </w:p>
    <w:p w14:paraId="219CB96C"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gramStart"/>
      <w:r w:rsidRPr="00520B73">
        <w:rPr>
          <w:rFonts w:asciiTheme="minorHAnsi" w:hAnsiTheme="minorHAnsi" w:cstheme="minorHAnsi"/>
          <w:sz w:val="22"/>
        </w:rPr>
        <w:t xml:space="preserve">Moss C (1999) ‘Selection of topics and questions for the 2001 Census’, </w:t>
      </w:r>
      <w:r w:rsidRPr="00520B73">
        <w:rPr>
          <w:rFonts w:asciiTheme="minorHAnsi" w:hAnsiTheme="minorHAnsi" w:cstheme="minorHAnsi"/>
          <w:i/>
          <w:sz w:val="22"/>
        </w:rPr>
        <w:t>Population Trends</w:t>
      </w:r>
      <w:r w:rsidRPr="00520B73">
        <w:rPr>
          <w:rFonts w:asciiTheme="minorHAnsi" w:hAnsiTheme="minorHAnsi" w:cstheme="minorHAnsi"/>
          <w:sz w:val="22"/>
        </w:rPr>
        <w:t>, 97, 28-36.</w:t>
      </w:r>
      <w:proofErr w:type="gramEnd"/>
    </w:p>
    <w:p w14:paraId="14822B45"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National Research Council (2000) </w:t>
      </w:r>
      <w:r w:rsidRPr="00520B73">
        <w:rPr>
          <w:rFonts w:asciiTheme="minorHAnsi" w:hAnsiTheme="minorHAnsi" w:cstheme="minorHAnsi"/>
          <w:i/>
          <w:sz w:val="22"/>
        </w:rPr>
        <w:t>Small-area income and poverty estimates: priorities for 2000 and beyond</w:t>
      </w:r>
      <w:r w:rsidRPr="00520B73">
        <w:rPr>
          <w:rFonts w:asciiTheme="minorHAnsi" w:hAnsiTheme="minorHAnsi" w:cstheme="minorHAnsi"/>
          <w:sz w:val="22"/>
        </w:rPr>
        <w:t xml:space="preserve">, Panel on Estimates of Poverty for Small Geographic Areas, C F </w:t>
      </w:r>
      <w:proofErr w:type="spellStart"/>
      <w:r w:rsidRPr="00520B73">
        <w:rPr>
          <w:rFonts w:asciiTheme="minorHAnsi" w:hAnsiTheme="minorHAnsi" w:cstheme="minorHAnsi"/>
          <w:sz w:val="22"/>
        </w:rPr>
        <w:t>Citro</w:t>
      </w:r>
      <w:proofErr w:type="spellEnd"/>
      <w:r w:rsidRPr="00520B73">
        <w:rPr>
          <w:rFonts w:asciiTheme="minorHAnsi" w:hAnsiTheme="minorHAnsi" w:cstheme="minorHAnsi"/>
          <w:sz w:val="22"/>
        </w:rPr>
        <w:t xml:space="preserve"> and G </w:t>
      </w:r>
      <w:proofErr w:type="spellStart"/>
      <w:r w:rsidRPr="00520B73">
        <w:rPr>
          <w:rFonts w:asciiTheme="minorHAnsi" w:hAnsiTheme="minorHAnsi" w:cstheme="minorHAnsi"/>
          <w:sz w:val="22"/>
        </w:rPr>
        <w:t>Kalton</w:t>
      </w:r>
      <w:proofErr w:type="spellEnd"/>
      <w:r w:rsidRPr="00520B73">
        <w:rPr>
          <w:rFonts w:asciiTheme="minorHAnsi" w:hAnsiTheme="minorHAnsi" w:cstheme="minorHAnsi"/>
          <w:sz w:val="22"/>
        </w:rPr>
        <w:t xml:space="preserve"> (</w:t>
      </w:r>
      <w:proofErr w:type="spellStart"/>
      <w:r w:rsidRPr="00520B73">
        <w:rPr>
          <w:rFonts w:asciiTheme="minorHAnsi" w:hAnsiTheme="minorHAnsi" w:cstheme="minorHAnsi"/>
          <w:sz w:val="22"/>
        </w:rPr>
        <w:t>eds</w:t>
      </w:r>
      <w:proofErr w:type="spellEnd"/>
      <w:r w:rsidRPr="00520B73">
        <w:rPr>
          <w:rFonts w:asciiTheme="minorHAnsi" w:hAnsiTheme="minorHAnsi" w:cstheme="minorHAnsi"/>
          <w:sz w:val="22"/>
        </w:rPr>
        <w:t>), Committee on National Statistics, Washington D.C.: National Academy Press.</w:t>
      </w:r>
    </w:p>
    <w:p w14:paraId="60C2B109" w14:textId="77777777" w:rsidR="00520B73" w:rsidRPr="00520B73" w:rsidRDefault="00520B73" w:rsidP="00831C7D">
      <w:pPr>
        <w:spacing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ONS (2006) ‘The 2011 Census: Assessment of initial user requirements on content for England and Wales – Income’, Information Paper, </w:t>
      </w:r>
      <w:proofErr w:type="spellStart"/>
      <w:r w:rsidR="00107B2F">
        <w:rPr>
          <w:rFonts w:asciiTheme="minorHAnsi" w:hAnsiTheme="minorHAnsi" w:cstheme="minorHAnsi"/>
          <w:sz w:val="22"/>
        </w:rPr>
        <w:t>Titchfield</w:t>
      </w:r>
      <w:proofErr w:type="spellEnd"/>
      <w:r w:rsidR="00107B2F">
        <w:rPr>
          <w:rFonts w:asciiTheme="minorHAnsi" w:hAnsiTheme="minorHAnsi" w:cstheme="minorHAnsi"/>
          <w:sz w:val="22"/>
        </w:rPr>
        <w:t xml:space="preserve">: </w:t>
      </w:r>
      <w:r w:rsidRPr="00520B73">
        <w:rPr>
          <w:rFonts w:asciiTheme="minorHAnsi" w:hAnsiTheme="minorHAnsi" w:cstheme="minorHAnsi"/>
          <w:sz w:val="22"/>
        </w:rPr>
        <w:t>Office for National Statistics.</w:t>
      </w:r>
    </w:p>
    <w:p w14:paraId="280E7E3D" w14:textId="77777777" w:rsidR="00520B73" w:rsidRPr="00520B73" w:rsidRDefault="00F07550" w:rsidP="009D2301">
      <w:pPr>
        <w:spacing w:afterLines="60" w:after="144" w:line="276" w:lineRule="auto"/>
        <w:ind w:left="284"/>
        <w:jc w:val="both"/>
        <w:rPr>
          <w:rFonts w:asciiTheme="minorHAnsi" w:hAnsiTheme="minorHAnsi" w:cstheme="minorHAnsi"/>
          <w:sz w:val="22"/>
        </w:rPr>
      </w:pPr>
      <w:hyperlink r:id="rId11" w:history="1">
        <w:r w:rsidR="00520B73" w:rsidRPr="00520B73">
          <w:rPr>
            <w:rStyle w:val="Hyperlink"/>
            <w:rFonts w:asciiTheme="minorHAnsi" w:hAnsiTheme="minorHAnsi" w:cstheme="minorHAnsi"/>
            <w:sz w:val="22"/>
          </w:rPr>
          <w:t>http://www.ons.gov.uk/ons/about-ons/consultations/closed-consultations/2006/2011-census---responses/response-to-consultation---2011-census.pdf</w:t>
        </w:r>
      </w:hyperlink>
    </w:p>
    <w:p w14:paraId="4F0DA714" w14:textId="77777777" w:rsidR="007D49BB" w:rsidRDefault="007D49BB" w:rsidP="009D2301">
      <w:pPr>
        <w:spacing w:afterLines="60" w:after="144" w:line="276" w:lineRule="auto"/>
        <w:ind w:left="284" w:hanging="284"/>
        <w:jc w:val="both"/>
        <w:rPr>
          <w:rFonts w:asciiTheme="minorHAnsi" w:hAnsiTheme="minorHAnsi" w:cstheme="minorHAnsi"/>
          <w:sz w:val="22"/>
        </w:rPr>
      </w:pPr>
      <w:r>
        <w:rPr>
          <w:rFonts w:asciiTheme="minorHAnsi" w:hAnsiTheme="minorHAnsi" w:cstheme="minorHAnsi"/>
          <w:sz w:val="22"/>
        </w:rPr>
        <w:t xml:space="preserve">ONS (2013) ‘Beyond 2011: Producing socio-demographic statistics 2’, M12 Methods &amp; Policies, </w:t>
      </w:r>
      <w:proofErr w:type="spellStart"/>
      <w:r>
        <w:rPr>
          <w:rFonts w:asciiTheme="minorHAnsi" w:hAnsiTheme="minorHAnsi" w:cstheme="minorHAnsi"/>
          <w:sz w:val="22"/>
        </w:rPr>
        <w:t>Titchfield</w:t>
      </w:r>
      <w:proofErr w:type="spellEnd"/>
      <w:r>
        <w:rPr>
          <w:rFonts w:asciiTheme="minorHAnsi" w:hAnsiTheme="minorHAnsi" w:cstheme="minorHAnsi"/>
          <w:sz w:val="22"/>
        </w:rPr>
        <w:t>: Office for National Statistics.</w:t>
      </w:r>
    </w:p>
    <w:p w14:paraId="59CF7797"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Openshaw</w:t>
      </w:r>
      <w:proofErr w:type="spellEnd"/>
      <w:r w:rsidRPr="00520B73">
        <w:rPr>
          <w:rFonts w:asciiTheme="minorHAnsi" w:hAnsiTheme="minorHAnsi" w:cstheme="minorHAnsi"/>
          <w:sz w:val="22"/>
        </w:rPr>
        <w:t xml:space="preserve"> S and </w:t>
      </w:r>
      <w:proofErr w:type="spellStart"/>
      <w:r w:rsidRPr="00520B73">
        <w:rPr>
          <w:rFonts w:asciiTheme="minorHAnsi" w:hAnsiTheme="minorHAnsi" w:cstheme="minorHAnsi"/>
          <w:sz w:val="22"/>
        </w:rPr>
        <w:t>Wymer</w:t>
      </w:r>
      <w:proofErr w:type="spellEnd"/>
      <w:r w:rsidRPr="00520B73">
        <w:rPr>
          <w:rFonts w:asciiTheme="minorHAnsi" w:hAnsiTheme="minorHAnsi" w:cstheme="minorHAnsi"/>
          <w:sz w:val="22"/>
        </w:rPr>
        <w:t xml:space="preserve"> C (1995) ‘Classifying and regionalizing census data’, in </w:t>
      </w:r>
      <w:proofErr w:type="spellStart"/>
      <w:r w:rsidRPr="00520B73">
        <w:rPr>
          <w:rFonts w:asciiTheme="minorHAnsi" w:hAnsiTheme="minorHAnsi" w:cstheme="minorHAnsi"/>
          <w:sz w:val="22"/>
        </w:rPr>
        <w:t>Openshaw</w:t>
      </w:r>
      <w:proofErr w:type="spellEnd"/>
      <w:r w:rsidRPr="00520B73">
        <w:rPr>
          <w:rFonts w:asciiTheme="minorHAnsi" w:hAnsiTheme="minorHAnsi" w:cstheme="minorHAnsi"/>
          <w:sz w:val="22"/>
        </w:rPr>
        <w:t xml:space="preserve"> S (</w:t>
      </w:r>
      <w:proofErr w:type="spellStart"/>
      <w:r w:rsidRPr="00520B73">
        <w:rPr>
          <w:rFonts w:asciiTheme="minorHAnsi" w:hAnsiTheme="minorHAnsi" w:cstheme="minorHAnsi"/>
          <w:sz w:val="22"/>
        </w:rPr>
        <w:t>ed</w:t>
      </w:r>
      <w:proofErr w:type="spellEnd"/>
      <w:r w:rsidRPr="00520B73">
        <w:rPr>
          <w:rFonts w:asciiTheme="minorHAnsi" w:hAnsiTheme="minorHAnsi" w:cstheme="minorHAnsi"/>
          <w:sz w:val="22"/>
        </w:rPr>
        <w:t xml:space="preserve">) </w:t>
      </w:r>
      <w:r w:rsidRPr="00520B73">
        <w:rPr>
          <w:rFonts w:asciiTheme="minorHAnsi" w:hAnsiTheme="minorHAnsi" w:cstheme="minorHAnsi"/>
          <w:i/>
          <w:sz w:val="22"/>
        </w:rPr>
        <w:t>Census Users’ Handbook</w:t>
      </w:r>
      <w:r w:rsidRPr="00520B73">
        <w:rPr>
          <w:rFonts w:asciiTheme="minorHAnsi" w:hAnsiTheme="minorHAnsi" w:cstheme="minorHAnsi"/>
          <w:sz w:val="22"/>
        </w:rPr>
        <w:t xml:space="preserve">, Cambridge: </w:t>
      </w:r>
      <w:proofErr w:type="spellStart"/>
      <w:r w:rsidRPr="00520B73">
        <w:rPr>
          <w:rFonts w:asciiTheme="minorHAnsi" w:hAnsiTheme="minorHAnsi" w:cstheme="minorHAnsi"/>
          <w:sz w:val="22"/>
        </w:rPr>
        <w:t>GeoInformation</w:t>
      </w:r>
      <w:proofErr w:type="spellEnd"/>
      <w:r w:rsidRPr="00520B73">
        <w:rPr>
          <w:rFonts w:asciiTheme="minorHAnsi" w:hAnsiTheme="minorHAnsi" w:cstheme="minorHAnsi"/>
          <w:sz w:val="22"/>
        </w:rPr>
        <w:t xml:space="preserve"> International, 239-270.</w:t>
      </w:r>
    </w:p>
    <w:p w14:paraId="072BC715"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Rao</w:t>
      </w:r>
      <w:proofErr w:type="spellEnd"/>
      <w:r w:rsidRPr="00520B73">
        <w:rPr>
          <w:rFonts w:asciiTheme="minorHAnsi" w:hAnsiTheme="minorHAnsi" w:cstheme="minorHAnsi"/>
          <w:sz w:val="22"/>
        </w:rPr>
        <w:t xml:space="preserve"> J N K (2003) </w:t>
      </w:r>
      <w:r w:rsidRPr="00520B73">
        <w:rPr>
          <w:rFonts w:asciiTheme="minorHAnsi" w:hAnsiTheme="minorHAnsi" w:cstheme="minorHAnsi"/>
          <w:i/>
          <w:sz w:val="22"/>
        </w:rPr>
        <w:t>Small area estimation</w:t>
      </w:r>
      <w:r w:rsidRPr="00520B73">
        <w:rPr>
          <w:rFonts w:asciiTheme="minorHAnsi" w:hAnsiTheme="minorHAnsi" w:cstheme="minorHAnsi"/>
          <w:sz w:val="22"/>
        </w:rPr>
        <w:t>, Hoboken, NJ: John Wiley.</w:t>
      </w:r>
    </w:p>
    <w:p w14:paraId="35812155"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Rees P H (1998) (1998) ‘</w:t>
      </w:r>
      <w:proofErr w:type="gramStart"/>
      <w:r w:rsidRPr="00520B73">
        <w:rPr>
          <w:rFonts w:asciiTheme="minorHAnsi" w:hAnsiTheme="minorHAnsi" w:cstheme="minorHAnsi"/>
          <w:sz w:val="22"/>
        </w:rPr>
        <w:t>What</w:t>
      </w:r>
      <w:proofErr w:type="gramEnd"/>
      <w:r w:rsidRPr="00520B73">
        <w:rPr>
          <w:rFonts w:asciiTheme="minorHAnsi" w:hAnsiTheme="minorHAnsi" w:cstheme="minorHAnsi"/>
          <w:sz w:val="22"/>
        </w:rPr>
        <w:t xml:space="preserve"> do you want from the 2001 Census? Results of an ESRC/JISC survey of user views’, </w:t>
      </w:r>
      <w:r w:rsidRPr="00520B73">
        <w:rPr>
          <w:rFonts w:asciiTheme="minorHAnsi" w:hAnsiTheme="minorHAnsi" w:cstheme="minorHAnsi"/>
          <w:i/>
          <w:sz w:val="22"/>
        </w:rPr>
        <w:t>Environment and Planning A</w:t>
      </w:r>
      <w:r w:rsidRPr="00520B73">
        <w:rPr>
          <w:rFonts w:asciiTheme="minorHAnsi" w:hAnsiTheme="minorHAnsi" w:cstheme="minorHAnsi"/>
          <w:sz w:val="22"/>
        </w:rPr>
        <w:t>, 30, 1775-1796</w:t>
      </w:r>
    </w:p>
    <w:p w14:paraId="35E89644" w14:textId="77777777" w:rsidR="00C256F7" w:rsidRDefault="00C256F7" w:rsidP="009D2301">
      <w:pPr>
        <w:spacing w:afterLines="60" w:after="144" w:line="276" w:lineRule="auto"/>
        <w:ind w:left="284" w:hanging="284"/>
        <w:jc w:val="both"/>
        <w:rPr>
          <w:rFonts w:asciiTheme="minorHAnsi" w:hAnsiTheme="minorHAnsi" w:cstheme="minorHAnsi"/>
          <w:sz w:val="22"/>
          <w:highlight w:val="yellow"/>
        </w:rPr>
      </w:pPr>
      <w:r w:rsidRPr="00C256F7">
        <w:rPr>
          <w:rFonts w:asciiTheme="minorHAnsi" w:hAnsiTheme="minorHAnsi" w:cstheme="minorHAnsi"/>
          <w:sz w:val="22"/>
        </w:rPr>
        <w:t xml:space="preserve">Rose D and </w:t>
      </w:r>
      <w:proofErr w:type="spellStart"/>
      <w:r w:rsidRPr="00C256F7">
        <w:rPr>
          <w:rFonts w:asciiTheme="minorHAnsi" w:hAnsiTheme="minorHAnsi" w:cstheme="minorHAnsi"/>
          <w:sz w:val="22"/>
        </w:rPr>
        <w:t>Pevalin</w:t>
      </w:r>
      <w:proofErr w:type="spellEnd"/>
      <w:r w:rsidRPr="00C256F7">
        <w:rPr>
          <w:rFonts w:asciiTheme="minorHAnsi" w:hAnsiTheme="minorHAnsi" w:cstheme="minorHAnsi"/>
          <w:sz w:val="22"/>
        </w:rPr>
        <w:t xml:space="preserve"> D (2001) ‘Derivations of Social Class and SEG on SOC2000’, Institute for Social &amp; Economic Research, University of Essex.</w:t>
      </w:r>
      <w:r>
        <w:rPr>
          <w:rFonts w:asciiTheme="minorHAnsi" w:hAnsiTheme="minorHAnsi" w:cstheme="minorHAnsi"/>
          <w:sz w:val="22"/>
          <w:highlight w:val="yellow"/>
        </w:rPr>
        <w:t xml:space="preserve"> </w:t>
      </w:r>
    </w:p>
    <w:p w14:paraId="36D9871F"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Salvati</w:t>
      </w:r>
      <w:proofErr w:type="spellEnd"/>
      <w:r w:rsidRPr="00520B73">
        <w:rPr>
          <w:rFonts w:asciiTheme="minorHAnsi" w:hAnsiTheme="minorHAnsi" w:cstheme="minorHAnsi"/>
          <w:sz w:val="22"/>
        </w:rPr>
        <w:t xml:space="preserve"> N, </w:t>
      </w:r>
      <w:proofErr w:type="spellStart"/>
      <w:r w:rsidRPr="00520B73">
        <w:rPr>
          <w:rFonts w:asciiTheme="minorHAnsi" w:hAnsiTheme="minorHAnsi" w:cstheme="minorHAnsi"/>
          <w:sz w:val="22"/>
        </w:rPr>
        <w:t>Tzavidis</w:t>
      </w:r>
      <w:proofErr w:type="spellEnd"/>
      <w:r w:rsidRPr="00520B73">
        <w:rPr>
          <w:rFonts w:asciiTheme="minorHAnsi" w:hAnsiTheme="minorHAnsi" w:cstheme="minorHAnsi"/>
          <w:sz w:val="22"/>
        </w:rPr>
        <w:t xml:space="preserve"> N, </w:t>
      </w:r>
      <w:proofErr w:type="spellStart"/>
      <w:r w:rsidRPr="00520B73">
        <w:rPr>
          <w:rFonts w:asciiTheme="minorHAnsi" w:hAnsiTheme="minorHAnsi" w:cstheme="minorHAnsi"/>
          <w:sz w:val="22"/>
        </w:rPr>
        <w:t>Pratesi</w:t>
      </w:r>
      <w:proofErr w:type="spellEnd"/>
      <w:r w:rsidRPr="00520B73">
        <w:rPr>
          <w:rFonts w:asciiTheme="minorHAnsi" w:hAnsiTheme="minorHAnsi" w:cstheme="minorHAnsi"/>
          <w:sz w:val="22"/>
        </w:rPr>
        <w:t xml:space="preserve"> M and Chambers R (2010) ‘Small area estimation via M-</w:t>
      </w:r>
      <w:proofErr w:type="spellStart"/>
      <w:r w:rsidRPr="00520B73">
        <w:rPr>
          <w:rFonts w:asciiTheme="minorHAnsi" w:hAnsiTheme="minorHAnsi" w:cstheme="minorHAnsi"/>
          <w:sz w:val="22"/>
        </w:rPr>
        <w:t>quantile</w:t>
      </w:r>
      <w:proofErr w:type="spellEnd"/>
      <w:r w:rsidRPr="00520B73">
        <w:rPr>
          <w:rFonts w:asciiTheme="minorHAnsi" w:hAnsiTheme="minorHAnsi" w:cstheme="minorHAnsi"/>
          <w:sz w:val="22"/>
        </w:rPr>
        <w:t xml:space="preserve"> geographically weighted </w:t>
      </w:r>
      <w:proofErr w:type="spellStart"/>
      <w:r w:rsidRPr="00520B73">
        <w:rPr>
          <w:rFonts w:asciiTheme="minorHAnsi" w:hAnsiTheme="minorHAnsi" w:cstheme="minorHAnsi"/>
          <w:sz w:val="22"/>
        </w:rPr>
        <w:t>regresssion</w:t>
      </w:r>
      <w:proofErr w:type="spellEnd"/>
      <w:r w:rsidRPr="00520B73">
        <w:rPr>
          <w:rFonts w:asciiTheme="minorHAnsi" w:hAnsiTheme="minorHAnsi" w:cstheme="minorHAnsi"/>
          <w:sz w:val="22"/>
        </w:rPr>
        <w:t xml:space="preserve">’, </w:t>
      </w:r>
      <w:r w:rsidRPr="00520B73">
        <w:rPr>
          <w:rFonts w:asciiTheme="minorHAnsi" w:hAnsiTheme="minorHAnsi" w:cstheme="minorHAnsi"/>
          <w:i/>
          <w:sz w:val="22"/>
        </w:rPr>
        <w:t>Test</w:t>
      </w:r>
      <w:r w:rsidRPr="00520B73">
        <w:rPr>
          <w:rFonts w:asciiTheme="minorHAnsi" w:hAnsiTheme="minorHAnsi" w:cstheme="minorHAnsi"/>
          <w:sz w:val="22"/>
        </w:rPr>
        <w:t>, [published online 24 12 2010]</w:t>
      </w:r>
    </w:p>
    <w:p w14:paraId="522170A0" w14:textId="77777777" w:rsidR="005F7A0B" w:rsidRDefault="00520B73" w:rsidP="005F7A0B">
      <w:pPr>
        <w:spacing w:line="276" w:lineRule="auto"/>
        <w:ind w:left="284" w:hanging="284"/>
        <w:jc w:val="both"/>
        <w:rPr>
          <w:rFonts w:asciiTheme="minorHAnsi" w:hAnsiTheme="minorHAnsi" w:cstheme="minorHAnsi"/>
          <w:sz w:val="22"/>
        </w:rPr>
      </w:pPr>
      <w:r w:rsidRPr="00520B73">
        <w:rPr>
          <w:rFonts w:asciiTheme="minorHAnsi" w:hAnsiTheme="minorHAnsi" w:cstheme="minorHAnsi"/>
          <w:sz w:val="22"/>
        </w:rPr>
        <w:t>The EURAREA Consortium (2004) ‘</w:t>
      </w:r>
      <w:r w:rsidR="005F7A0B" w:rsidRPr="00520B73">
        <w:rPr>
          <w:rFonts w:asciiTheme="minorHAnsi" w:hAnsiTheme="minorHAnsi" w:cstheme="minorHAnsi"/>
          <w:sz w:val="22"/>
        </w:rPr>
        <w:t>Project Reference Volume</w:t>
      </w:r>
      <w:r w:rsidR="005F7A0B">
        <w:rPr>
          <w:rFonts w:asciiTheme="minorHAnsi" w:hAnsiTheme="minorHAnsi" w:cstheme="minorHAnsi"/>
          <w:sz w:val="22"/>
        </w:rPr>
        <w:t xml:space="preserve">’, </w:t>
      </w:r>
      <w:r w:rsidR="000833A9" w:rsidRPr="000833A9">
        <w:rPr>
          <w:rFonts w:asciiTheme="minorHAnsi" w:hAnsiTheme="minorHAnsi" w:cstheme="minorHAnsi"/>
          <w:sz w:val="22"/>
        </w:rPr>
        <w:t>Enhancing Small Area Estimation Techniques to meet European Needs</w:t>
      </w:r>
      <w:r w:rsidR="005F7A0B">
        <w:rPr>
          <w:rFonts w:asciiTheme="minorHAnsi" w:hAnsiTheme="minorHAnsi" w:cstheme="minorHAnsi"/>
          <w:sz w:val="22"/>
        </w:rPr>
        <w:t>, Deliverable D7.1.4.</w:t>
      </w:r>
    </w:p>
    <w:p w14:paraId="67EA8516" w14:textId="77777777" w:rsidR="005F7A0B" w:rsidRDefault="00F07550" w:rsidP="00D9549A">
      <w:pPr>
        <w:spacing w:after="144" w:line="276" w:lineRule="auto"/>
        <w:ind w:left="284"/>
        <w:jc w:val="both"/>
        <w:rPr>
          <w:rFonts w:asciiTheme="minorHAnsi" w:hAnsiTheme="minorHAnsi" w:cstheme="minorHAnsi"/>
          <w:sz w:val="22"/>
        </w:rPr>
      </w:pPr>
      <w:hyperlink r:id="rId12" w:history="1">
        <w:r w:rsidR="005F7A0B" w:rsidRPr="00BA4E42">
          <w:rPr>
            <w:rStyle w:val="Hyperlink"/>
            <w:rFonts w:asciiTheme="minorHAnsi" w:hAnsiTheme="minorHAnsi" w:cstheme="minorHAnsi"/>
            <w:sz w:val="22"/>
          </w:rPr>
          <w:t>http://www.ons.gov.uk/ons/guide-method/method-quality/general-methodology/spatial-analysis-and-modelling/eurarea/downloads/project-reference-volume--volume-one--main-report.pdf</w:t>
        </w:r>
      </w:hyperlink>
    </w:p>
    <w:p w14:paraId="2B008A77" w14:textId="77777777" w:rsidR="00520B73" w:rsidRPr="00520B73" w:rsidRDefault="00520B73" w:rsidP="00D9549A">
      <w:pPr>
        <w:spacing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Tunstall</w:t>
      </w:r>
      <w:proofErr w:type="spellEnd"/>
      <w:r w:rsidRPr="00520B73">
        <w:rPr>
          <w:rFonts w:asciiTheme="minorHAnsi" w:hAnsiTheme="minorHAnsi" w:cstheme="minorHAnsi"/>
          <w:sz w:val="22"/>
        </w:rPr>
        <w:t xml:space="preserve"> </w:t>
      </w:r>
      <w:r w:rsidR="00D9549A">
        <w:rPr>
          <w:rFonts w:asciiTheme="minorHAnsi" w:hAnsiTheme="minorHAnsi" w:cstheme="minorHAnsi"/>
          <w:sz w:val="22"/>
        </w:rPr>
        <w:t xml:space="preserve">R </w:t>
      </w:r>
      <w:r w:rsidRPr="00520B73">
        <w:rPr>
          <w:rFonts w:asciiTheme="minorHAnsi" w:hAnsiTheme="minorHAnsi" w:cstheme="minorHAnsi"/>
          <w:sz w:val="22"/>
        </w:rPr>
        <w:t>(2005) ‘Using the US and UK Censuses for comparative research’, Discussion Paper prepar</w:t>
      </w:r>
      <w:r w:rsidRPr="0050463B">
        <w:rPr>
          <w:rFonts w:asciiTheme="minorHAnsi" w:hAnsiTheme="minorHAnsi" w:cstheme="minorHAnsi"/>
          <w:sz w:val="22"/>
        </w:rPr>
        <w:t xml:space="preserve">ed for the Brookings Institution Metropolitan Policy Program, </w:t>
      </w:r>
      <w:r w:rsidR="0050463B" w:rsidRPr="0050463B">
        <w:rPr>
          <w:rFonts w:asciiTheme="minorHAnsi" w:hAnsiTheme="minorHAnsi" w:cstheme="minorHAnsi"/>
          <w:sz w:val="22"/>
        </w:rPr>
        <w:t>STICERD, London School of Economics</w:t>
      </w:r>
      <w:r w:rsidRPr="0050463B">
        <w:rPr>
          <w:rFonts w:asciiTheme="minorHAnsi" w:hAnsiTheme="minorHAnsi" w:cstheme="minorHAnsi"/>
          <w:sz w:val="22"/>
        </w:rPr>
        <w:t>.</w:t>
      </w:r>
      <w:r w:rsidR="00D9549A">
        <w:rPr>
          <w:rFonts w:asciiTheme="minorHAnsi" w:hAnsiTheme="minorHAnsi" w:cstheme="minorHAnsi"/>
          <w:sz w:val="22"/>
        </w:rPr>
        <w:t xml:space="preserve"> </w:t>
      </w:r>
      <w:hyperlink r:id="rId13" w:history="1">
        <w:r w:rsidR="00831C7D" w:rsidRPr="00BA4E42">
          <w:rPr>
            <w:rStyle w:val="Hyperlink"/>
            <w:rFonts w:asciiTheme="minorHAnsi" w:hAnsiTheme="minorHAnsi" w:cstheme="minorHAnsi"/>
            <w:sz w:val="22"/>
          </w:rPr>
          <w:t>http://sticerd.lse.ac.uk/dps/case/CBIR/Using_US_and_UK_Censuses.pdf</w:t>
        </w:r>
      </w:hyperlink>
    </w:p>
    <w:p w14:paraId="4ECCB92B"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lastRenderedPageBreak/>
        <w:t>Tzavidis</w:t>
      </w:r>
      <w:proofErr w:type="spellEnd"/>
      <w:r w:rsidRPr="00520B73">
        <w:rPr>
          <w:rFonts w:asciiTheme="minorHAnsi" w:hAnsiTheme="minorHAnsi" w:cstheme="minorHAnsi"/>
          <w:sz w:val="22"/>
        </w:rPr>
        <w:t xml:space="preserve"> N, </w:t>
      </w:r>
      <w:proofErr w:type="spellStart"/>
      <w:r w:rsidRPr="00520B73">
        <w:rPr>
          <w:rFonts w:asciiTheme="minorHAnsi" w:hAnsiTheme="minorHAnsi" w:cstheme="minorHAnsi"/>
          <w:sz w:val="22"/>
        </w:rPr>
        <w:t>Salvati</w:t>
      </w:r>
      <w:proofErr w:type="spellEnd"/>
      <w:r w:rsidRPr="00520B73">
        <w:rPr>
          <w:rFonts w:asciiTheme="minorHAnsi" w:hAnsiTheme="minorHAnsi" w:cstheme="minorHAnsi"/>
          <w:sz w:val="22"/>
        </w:rPr>
        <w:t xml:space="preserve"> N, </w:t>
      </w:r>
      <w:proofErr w:type="spellStart"/>
      <w:r w:rsidRPr="00520B73">
        <w:rPr>
          <w:rFonts w:asciiTheme="minorHAnsi" w:hAnsiTheme="minorHAnsi" w:cstheme="minorHAnsi"/>
          <w:sz w:val="22"/>
        </w:rPr>
        <w:t>Pratesi</w:t>
      </w:r>
      <w:proofErr w:type="spellEnd"/>
      <w:r w:rsidRPr="00520B73">
        <w:rPr>
          <w:rFonts w:asciiTheme="minorHAnsi" w:hAnsiTheme="minorHAnsi" w:cstheme="minorHAnsi"/>
          <w:sz w:val="22"/>
        </w:rPr>
        <w:t xml:space="preserve"> M and Chambers R (2008) ‘M-</w:t>
      </w:r>
      <w:proofErr w:type="spellStart"/>
      <w:r w:rsidRPr="00520B73">
        <w:rPr>
          <w:rFonts w:asciiTheme="minorHAnsi" w:hAnsiTheme="minorHAnsi" w:cstheme="minorHAnsi"/>
          <w:sz w:val="22"/>
        </w:rPr>
        <w:t>quantile</w:t>
      </w:r>
      <w:proofErr w:type="spellEnd"/>
      <w:r w:rsidRPr="00520B73">
        <w:rPr>
          <w:rFonts w:asciiTheme="minorHAnsi" w:hAnsiTheme="minorHAnsi" w:cstheme="minorHAnsi"/>
          <w:sz w:val="22"/>
        </w:rPr>
        <w:t xml:space="preserve"> models with applications to poverty mapping’, </w:t>
      </w:r>
      <w:r w:rsidRPr="00520B73">
        <w:rPr>
          <w:rFonts w:asciiTheme="minorHAnsi" w:hAnsiTheme="minorHAnsi" w:cstheme="minorHAnsi"/>
          <w:i/>
          <w:sz w:val="22"/>
        </w:rPr>
        <w:t>Statistical Methods and Applications</w:t>
      </w:r>
      <w:r w:rsidRPr="00520B73">
        <w:rPr>
          <w:rFonts w:asciiTheme="minorHAnsi" w:hAnsiTheme="minorHAnsi" w:cstheme="minorHAnsi"/>
          <w:sz w:val="22"/>
        </w:rPr>
        <w:t>, 17, 393-41.</w:t>
      </w:r>
    </w:p>
    <w:p w14:paraId="1EE87A78"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proofErr w:type="gramStart"/>
      <w:r w:rsidRPr="00520B73">
        <w:rPr>
          <w:rFonts w:asciiTheme="minorHAnsi" w:hAnsiTheme="minorHAnsi" w:cstheme="minorHAnsi"/>
          <w:sz w:val="22"/>
        </w:rPr>
        <w:t>Tzavidis</w:t>
      </w:r>
      <w:proofErr w:type="spellEnd"/>
      <w:r w:rsidRPr="00520B73">
        <w:rPr>
          <w:rFonts w:asciiTheme="minorHAnsi" w:hAnsiTheme="minorHAnsi" w:cstheme="minorHAnsi"/>
          <w:sz w:val="22"/>
        </w:rPr>
        <w:t xml:space="preserve"> N, </w:t>
      </w:r>
      <w:proofErr w:type="spellStart"/>
      <w:r w:rsidRPr="00520B73">
        <w:rPr>
          <w:rFonts w:asciiTheme="minorHAnsi" w:hAnsiTheme="minorHAnsi" w:cstheme="minorHAnsi"/>
          <w:sz w:val="22"/>
        </w:rPr>
        <w:t>Marchetti</w:t>
      </w:r>
      <w:proofErr w:type="spellEnd"/>
      <w:r w:rsidRPr="00520B73">
        <w:rPr>
          <w:rFonts w:asciiTheme="minorHAnsi" w:hAnsiTheme="minorHAnsi" w:cstheme="minorHAnsi"/>
          <w:sz w:val="22"/>
        </w:rPr>
        <w:t xml:space="preserve"> S and Chambers R (2010) ‘Robust </w:t>
      </w:r>
      <w:proofErr w:type="spellStart"/>
      <w:r w:rsidRPr="00520B73">
        <w:rPr>
          <w:rFonts w:asciiTheme="minorHAnsi" w:hAnsiTheme="minorHAnsi" w:cstheme="minorHAnsi"/>
          <w:sz w:val="22"/>
        </w:rPr>
        <w:t>estimatin</w:t>
      </w:r>
      <w:proofErr w:type="spellEnd"/>
      <w:r w:rsidRPr="00520B73">
        <w:rPr>
          <w:rFonts w:asciiTheme="minorHAnsi" w:hAnsiTheme="minorHAnsi" w:cstheme="minorHAnsi"/>
          <w:sz w:val="22"/>
        </w:rPr>
        <w:t xml:space="preserve"> of small-area means and </w:t>
      </w:r>
      <w:proofErr w:type="spellStart"/>
      <w:r w:rsidRPr="00520B73">
        <w:rPr>
          <w:rFonts w:asciiTheme="minorHAnsi" w:hAnsiTheme="minorHAnsi" w:cstheme="minorHAnsi"/>
          <w:sz w:val="22"/>
        </w:rPr>
        <w:t>quantiles</w:t>
      </w:r>
      <w:proofErr w:type="spellEnd"/>
      <w:r w:rsidRPr="00520B73">
        <w:rPr>
          <w:rFonts w:asciiTheme="minorHAnsi" w:hAnsiTheme="minorHAnsi" w:cstheme="minorHAnsi"/>
          <w:sz w:val="22"/>
        </w:rPr>
        <w:t xml:space="preserve">’, </w:t>
      </w:r>
      <w:r w:rsidRPr="00520B73">
        <w:rPr>
          <w:rFonts w:asciiTheme="minorHAnsi" w:hAnsiTheme="minorHAnsi" w:cstheme="minorHAnsi"/>
          <w:i/>
          <w:sz w:val="22"/>
        </w:rPr>
        <w:t>Australian and New Zealand Journal of Statistics</w:t>
      </w:r>
      <w:r w:rsidRPr="00520B73">
        <w:rPr>
          <w:rFonts w:asciiTheme="minorHAnsi" w:hAnsiTheme="minorHAnsi" w:cstheme="minorHAnsi"/>
          <w:sz w:val="22"/>
        </w:rPr>
        <w:t>, 2, 167-186.</w:t>
      </w:r>
      <w:proofErr w:type="gramEnd"/>
    </w:p>
    <w:p w14:paraId="57AF0AE2"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Vickers, D and Rees P H (2006) ‘Introducing the Area Classification of Output Areas’ </w:t>
      </w:r>
      <w:r w:rsidRPr="00520B73">
        <w:rPr>
          <w:rFonts w:asciiTheme="minorHAnsi" w:hAnsiTheme="minorHAnsi" w:cstheme="minorHAnsi"/>
          <w:i/>
          <w:sz w:val="22"/>
        </w:rPr>
        <w:t>Population Trends</w:t>
      </w:r>
      <w:r w:rsidRPr="00520B73">
        <w:rPr>
          <w:rFonts w:asciiTheme="minorHAnsi" w:hAnsiTheme="minorHAnsi" w:cstheme="minorHAnsi"/>
          <w:sz w:val="22"/>
        </w:rPr>
        <w:t>, 125(3), 15-24.</w:t>
      </w:r>
    </w:p>
    <w:p w14:paraId="71417044"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Voas</w:t>
      </w:r>
      <w:proofErr w:type="spellEnd"/>
      <w:r w:rsidRPr="00520B73">
        <w:rPr>
          <w:rFonts w:asciiTheme="minorHAnsi" w:hAnsiTheme="minorHAnsi" w:cstheme="minorHAnsi"/>
          <w:sz w:val="22"/>
        </w:rPr>
        <w:t xml:space="preserve"> D and Williamson P (2000) ‘The scale of dissimilarity: concepts, measurement and an application to socio-economic variation across England and Wales’, </w:t>
      </w:r>
      <w:r w:rsidRPr="00520B73">
        <w:rPr>
          <w:rFonts w:asciiTheme="minorHAnsi" w:hAnsiTheme="minorHAnsi" w:cstheme="minorHAnsi"/>
          <w:i/>
          <w:sz w:val="22"/>
        </w:rPr>
        <w:t>Transactions of the Institute of British Geographers</w:t>
      </w:r>
      <w:r w:rsidRPr="00520B73">
        <w:rPr>
          <w:rFonts w:asciiTheme="minorHAnsi" w:hAnsiTheme="minorHAnsi" w:cstheme="minorHAnsi"/>
          <w:sz w:val="22"/>
        </w:rPr>
        <w:t>, 25, 465-481.</w:t>
      </w:r>
    </w:p>
    <w:p w14:paraId="767CDDAE"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proofErr w:type="spellStart"/>
      <w:r w:rsidRPr="00520B73">
        <w:rPr>
          <w:rFonts w:asciiTheme="minorHAnsi" w:hAnsiTheme="minorHAnsi" w:cstheme="minorHAnsi"/>
          <w:sz w:val="22"/>
        </w:rPr>
        <w:t>Voas</w:t>
      </w:r>
      <w:proofErr w:type="spellEnd"/>
      <w:r w:rsidRPr="00520B73">
        <w:rPr>
          <w:rFonts w:asciiTheme="minorHAnsi" w:hAnsiTheme="minorHAnsi" w:cstheme="minorHAnsi"/>
          <w:sz w:val="22"/>
        </w:rPr>
        <w:t xml:space="preserve"> D and Williamson P (2001) ‘</w:t>
      </w:r>
      <w:proofErr w:type="gramStart"/>
      <w:r w:rsidRPr="00520B73">
        <w:rPr>
          <w:rFonts w:asciiTheme="minorHAnsi" w:hAnsiTheme="minorHAnsi" w:cstheme="minorHAnsi"/>
          <w:sz w:val="22"/>
        </w:rPr>
        <w:t>The</w:t>
      </w:r>
      <w:proofErr w:type="gramEnd"/>
      <w:r w:rsidRPr="00520B73">
        <w:rPr>
          <w:rFonts w:asciiTheme="minorHAnsi" w:hAnsiTheme="minorHAnsi" w:cstheme="minorHAnsi"/>
          <w:sz w:val="22"/>
        </w:rPr>
        <w:t xml:space="preserve"> diversity of diversity: a critique of the </w:t>
      </w:r>
      <w:proofErr w:type="spellStart"/>
      <w:r w:rsidRPr="00520B73">
        <w:rPr>
          <w:rFonts w:asciiTheme="minorHAnsi" w:hAnsiTheme="minorHAnsi" w:cstheme="minorHAnsi"/>
          <w:sz w:val="22"/>
        </w:rPr>
        <w:t>geodemographic</w:t>
      </w:r>
      <w:proofErr w:type="spellEnd"/>
      <w:r w:rsidRPr="00520B73">
        <w:rPr>
          <w:rFonts w:asciiTheme="minorHAnsi" w:hAnsiTheme="minorHAnsi" w:cstheme="minorHAnsi"/>
          <w:sz w:val="22"/>
        </w:rPr>
        <w:t xml:space="preserve"> classification’, </w:t>
      </w:r>
      <w:r w:rsidRPr="00520B73">
        <w:rPr>
          <w:rFonts w:asciiTheme="minorHAnsi" w:hAnsiTheme="minorHAnsi" w:cstheme="minorHAnsi"/>
          <w:i/>
          <w:sz w:val="22"/>
        </w:rPr>
        <w:t>Area</w:t>
      </w:r>
      <w:r w:rsidRPr="00520B73">
        <w:rPr>
          <w:rFonts w:asciiTheme="minorHAnsi" w:hAnsiTheme="minorHAnsi" w:cstheme="minorHAnsi"/>
          <w:sz w:val="22"/>
        </w:rPr>
        <w:t>, 33(1), 63-76.</w:t>
      </w:r>
    </w:p>
    <w:p w14:paraId="2F515B84" w14:textId="77777777" w:rsidR="00520B73" w:rsidRPr="00520B73" w:rsidRDefault="00520B73" w:rsidP="009D2301">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White N, Dent A, Clarke P, Silva D and Naylor J (2009) </w:t>
      </w:r>
      <w:r w:rsidRPr="00520B73">
        <w:rPr>
          <w:rFonts w:asciiTheme="minorHAnsi" w:hAnsiTheme="minorHAnsi" w:cstheme="minorHAnsi"/>
          <w:i/>
          <w:sz w:val="22"/>
        </w:rPr>
        <w:t>Model-Based Estimates of Income for Middle Super Output Areas, 2007/08: Technical Report</w:t>
      </w:r>
      <w:r w:rsidRPr="00520B73">
        <w:rPr>
          <w:rFonts w:asciiTheme="minorHAnsi" w:hAnsiTheme="minorHAnsi" w:cstheme="minorHAnsi"/>
          <w:sz w:val="22"/>
        </w:rPr>
        <w:t>, London: Office for National Statistics.</w:t>
      </w:r>
    </w:p>
    <w:p w14:paraId="5F30A1CE" w14:textId="77777777" w:rsidR="00831C7D" w:rsidRPr="006B508E" w:rsidRDefault="00520B73" w:rsidP="006B508E">
      <w:pPr>
        <w:spacing w:afterLines="60" w:after="144" w:line="276" w:lineRule="auto"/>
        <w:ind w:left="284" w:hanging="284"/>
        <w:jc w:val="both"/>
        <w:rPr>
          <w:rFonts w:asciiTheme="minorHAnsi" w:hAnsiTheme="minorHAnsi" w:cstheme="minorHAnsi"/>
          <w:sz w:val="22"/>
        </w:rPr>
      </w:pPr>
      <w:r w:rsidRPr="00520B73">
        <w:rPr>
          <w:rFonts w:asciiTheme="minorHAnsi" w:hAnsiTheme="minorHAnsi" w:cstheme="minorHAnsi"/>
          <w:sz w:val="22"/>
        </w:rPr>
        <w:t xml:space="preserve">Wilkinson R and Pickett K (2009) </w:t>
      </w:r>
      <w:r w:rsidRPr="00520B73">
        <w:rPr>
          <w:rFonts w:asciiTheme="minorHAnsi" w:hAnsiTheme="minorHAnsi" w:cstheme="minorHAnsi"/>
          <w:i/>
          <w:sz w:val="22"/>
        </w:rPr>
        <w:t>The Spirit Level: why more equal societies almost always do better</w:t>
      </w:r>
      <w:r w:rsidR="006B508E">
        <w:rPr>
          <w:rFonts w:asciiTheme="minorHAnsi" w:hAnsiTheme="minorHAnsi" w:cstheme="minorHAnsi"/>
          <w:sz w:val="22"/>
        </w:rPr>
        <w:t>, London: Allen Lane.</w:t>
      </w:r>
    </w:p>
    <w:p w14:paraId="67BC4748" w14:textId="77777777" w:rsidR="00105B1F" w:rsidRDefault="00DE1F10" w:rsidP="007350B4">
      <w:pPr>
        <w:spacing w:after="200" w:line="276" w:lineRule="auto"/>
        <w:rPr>
          <w:rFonts w:ascii="Calibri" w:eastAsia="Calibri" w:hAnsi="Calibri"/>
          <w:sz w:val="22"/>
          <w:szCs w:val="22"/>
        </w:rPr>
      </w:pPr>
      <w:r>
        <w:rPr>
          <w:rFonts w:ascii="Calibri" w:eastAsia="Calibri" w:hAnsi="Calibri"/>
          <w:b/>
          <w:color w:val="000000"/>
          <w:sz w:val="22"/>
          <w:szCs w:val="22"/>
          <w:lang w:val="en-US"/>
        </w:rPr>
        <w:br w:type="page"/>
      </w:r>
    </w:p>
    <w:p w14:paraId="3D078121" w14:textId="77777777" w:rsidR="00831C7D" w:rsidRPr="00831C7D" w:rsidRDefault="00831C7D" w:rsidP="00831C7D">
      <w:pPr>
        <w:rPr>
          <w:rFonts w:asciiTheme="minorHAnsi" w:hAnsiTheme="minorHAnsi" w:cstheme="minorHAnsi"/>
          <w:sz w:val="22"/>
          <w:szCs w:val="22"/>
        </w:rPr>
      </w:pPr>
      <w:r w:rsidRPr="00D9549A">
        <w:rPr>
          <w:rFonts w:asciiTheme="minorHAnsi" w:hAnsiTheme="minorHAnsi" w:cstheme="minorHAnsi"/>
          <w:b/>
          <w:sz w:val="22"/>
          <w:szCs w:val="22"/>
        </w:rPr>
        <w:lastRenderedPageBreak/>
        <w:t xml:space="preserve">Table </w:t>
      </w:r>
      <w:r w:rsidR="006B508E">
        <w:rPr>
          <w:rFonts w:asciiTheme="minorHAnsi" w:hAnsiTheme="minorHAnsi" w:cstheme="minorHAnsi"/>
          <w:b/>
          <w:sz w:val="22"/>
          <w:szCs w:val="22"/>
        </w:rPr>
        <w:t>1</w:t>
      </w:r>
      <w:r w:rsidRPr="00831C7D">
        <w:rPr>
          <w:rFonts w:asciiTheme="minorHAnsi" w:hAnsiTheme="minorHAnsi" w:cstheme="minorHAnsi"/>
          <w:sz w:val="22"/>
          <w:szCs w:val="22"/>
        </w:rPr>
        <w:t xml:space="preserve"> Census Rehearsal respondents</w:t>
      </w:r>
    </w:p>
    <w:tbl>
      <w:tblPr>
        <w:tblW w:w="5535" w:type="dxa"/>
        <w:tblInd w:w="87" w:type="dxa"/>
        <w:tblLook w:val="04A0" w:firstRow="1" w:lastRow="0" w:firstColumn="1" w:lastColumn="0" w:noHBand="0" w:noVBand="1"/>
      </w:tblPr>
      <w:tblGrid>
        <w:gridCol w:w="1769"/>
        <w:gridCol w:w="960"/>
        <w:gridCol w:w="1403"/>
        <w:gridCol w:w="1403"/>
      </w:tblGrid>
      <w:tr w:rsidR="00831C7D" w:rsidRPr="00831C7D" w14:paraId="7C7A1D2D" w14:textId="77777777" w:rsidTr="00421639">
        <w:trPr>
          <w:trHeight w:val="300"/>
        </w:trPr>
        <w:tc>
          <w:tcPr>
            <w:tcW w:w="1769" w:type="dxa"/>
            <w:tcBorders>
              <w:top w:val="single" w:sz="4" w:space="0" w:color="auto"/>
            </w:tcBorders>
            <w:shd w:val="clear" w:color="auto" w:fill="auto"/>
            <w:noWrap/>
            <w:vAlign w:val="bottom"/>
            <w:hideMark/>
          </w:tcPr>
          <w:p w14:paraId="63F19F03" w14:textId="77777777" w:rsidR="00831C7D" w:rsidRPr="00831C7D" w:rsidRDefault="00831C7D" w:rsidP="00421639">
            <w:pPr>
              <w:rPr>
                <w:rFonts w:asciiTheme="minorHAnsi" w:hAnsiTheme="minorHAnsi" w:cstheme="minorHAnsi"/>
                <w:color w:val="000000"/>
                <w:lang w:eastAsia="en-GB"/>
              </w:rPr>
            </w:pPr>
          </w:p>
        </w:tc>
        <w:tc>
          <w:tcPr>
            <w:tcW w:w="960" w:type="dxa"/>
            <w:tcBorders>
              <w:top w:val="single" w:sz="4" w:space="0" w:color="auto"/>
            </w:tcBorders>
            <w:shd w:val="clear" w:color="auto" w:fill="auto"/>
            <w:noWrap/>
            <w:vAlign w:val="bottom"/>
            <w:hideMark/>
          </w:tcPr>
          <w:p w14:paraId="476E0FA1" w14:textId="77777777" w:rsidR="00831C7D" w:rsidRPr="00831C7D" w:rsidRDefault="00831C7D" w:rsidP="00421639">
            <w:pPr>
              <w:rPr>
                <w:rFonts w:asciiTheme="minorHAnsi" w:hAnsiTheme="minorHAnsi" w:cstheme="minorHAnsi"/>
                <w:color w:val="000000"/>
                <w:lang w:eastAsia="en-GB"/>
              </w:rPr>
            </w:pPr>
          </w:p>
        </w:tc>
        <w:tc>
          <w:tcPr>
            <w:tcW w:w="2806" w:type="dxa"/>
            <w:gridSpan w:val="2"/>
            <w:tcBorders>
              <w:top w:val="single" w:sz="4" w:space="0" w:color="auto"/>
              <w:bottom w:val="single" w:sz="4" w:space="0" w:color="auto"/>
            </w:tcBorders>
            <w:shd w:val="clear" w:color="auto" w:fill="auto"/>
            <w:noWrap/>
            <w:vAlign w:val="bottom"/>
            <w:hideMark/>
          </w:tcPr>
          <w:p w14:paraId="645A6FA6" w14:textId="77777777" w:rsidR="00831C7D" w:rsidRPr="00831C7D" w:rsidRDefault="00831C7D" w:rsidP="00421639">
            <w:pPr>
              <w:jc w:val="center"/>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 xml:space="preserve">Mean respondents per </w:t>
            </w:r>
            <w:proofErr w:type="gramStart"/>
            <w:r w:rsidRPr="00831C7D">
              <w:rPr>
                <w:rFonts w:asciiTheme="minorHAnsi" w:hAnsiTheme="minorHAnsi" w:cstheme="minorHAnsi"/>
                <w:color w:val="000000"/>
                <w:sz w:val="22"/>
                <w:szCs w:val="22"/>
                <w:lang w:eastAsia="en-GB"/>
              </w:rPr>
              <w:t>area  with</w:t>
            </w:r>
            <w:proofErr w:type="gramEnd"/>
            <w:r w:rsidRPr="00831C7D">
              <w:rPr>
                <w:rFonts w:asciiTheme="minorHAnsi" w:hAnsiTheme="minorHAnsi" w:cstheme="minorHAnsi"/>
                <w:color w:val="000000"/>
                <w:sz w:val="22"/>
                <w:szCs w:val="22"/>
                <w:lang w:eastAsia="en-GB"/>
              </w:rPr>
              <w:t xml:space="preserve"> known incomes</w:t>
            </w:r>
          </w:p>
        </w:tc>
      </w:tr>
      <w:tr w:rsidR="00831C7D" w:rsidRPr="00831C7D" w14:paraId="03E9A448" w14:textId="77777777" w:rsidTr="00421639">
        <w:trPr>
          <w:trHeight w:val="300"/>
        </w:trPr>
        <w:tc>
          <w:tcPr>
            <w:tcW w:w="1769" w:type="dxa"/>
            <w:tcBorders>
              <w:bottom w:val="single" w:sz="4" w:space="0" w:color="auto"/>
            </w:tcBorders>
            <w:shd w:val="clear" w:color="auto" w:fill="auto"/>
            <w:noWrap/>
            <w:vAlign w:val="bottom"/>
            <w:hideMark/>
          </w:tcPr>
          <w:p w14:paraId="73BE3A6F" w14:textId="77777777" w:rsidR="00831C7D" w:rsidRPr="00831C7D" w:rsidRDefault="00831C7D" w:rsidP="00421639">
            <w:pPr>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Spatial unit</w:t>
            </w:r>
          </w:p>
        </w:tc>
        <w:tc>
          <w:tcPr>
            <w:tcW w:w="960" w:type="dxa"/>
            <w:tcBorders>
              <w:bottom w:val="single" w:sz="4" w:space="0" w:color="auto"/>
            </w:tcBorders>
            <w:shd w:val="clear" w:color="auto" w:fill="auto"/>
            <w:noWrap/>
            <w:vAlign w:val="bottom"/>
            <w:hideMark/>
          </w:tcPr>
          <w:p w14:paraId="63D4B486" w14:textId="77777777" w:rsidR="00831C7D" w:rsidRPr="00831C7D" w:rsidRDefault="004C7320" w:rsidP="00421639">
            <w:pPr>
              <w:jc w:val="center"/>
              <w:rPr>
                <w:rFonts w:asciiTheme="minorHAnsi" w:hAnsiTheme="minorHAnsi" w:cstheme="minorHAnsi"/>
                <w:color w:val="000000"/>
                <w:lang w:eastAsia="en-GB"/>
              </w:rPr>
            </w:pPr>
            <w:r>
              <w:rPr>
                <w:rFonts w:asciiTheme="minorHAnsi" w:hAnsiTheme="minorHAnsi" w:cstheme="minorHAnsi"/>
                <w:color w:val="000000"/>
                <w:sz w:val="22"/>
                <w:szCs w:val="22"/>
                <w:lang w:eastAsia="en-GB"/>
              </w:rPr>
              <w:t>Units</w:t>
            </w:r>
          </w:p>
        </w:tc>
        <w:tc>
          <w:tcPr>
            <w:tcW w:w="1403" w:type="dxa"/>
            <w:tcBorders>
              <w:top w:val="single" w:sz="4" w:space="0" w:color="auto"/>
              <w:bottom w:val="single" w:sz="4" w:space="0" w:color="auto"/>
            </w:tcBorders>
            <w:shd w:val="clear" w:color="auto" w:fill="auto"/>
            <w:noWrap/>
            <w:vAlign w:val="bottom"/>
            <w:hideMark/>
          </w:tcPr>
          <w:p w14:paraId="721E70C9"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Adults</w:t>
            </w:r>
          </w:p>
        </w:tc>
        <w:tc>
          <w:tcPr>
            <w:tcW w:w="1403" w:type="dxa"/>
            <w:tcBorders>
              <w:top w:val="single" w:sz="4" w:space="0" w:color="auto"/>
              <w:bottom w:val="single" w:sz="4" w:space="0" w:color="auto"/>
            </w:tcBorders>
            <w:shd w:val="clear" w:color="auto" w:fill="auto"/>
            <w:noWrap/>
            <w:vAlign w:val="bottom"/>
            <w:hideMark/>
          </w:tcPr>
          <w:p w14:paraId="14D9D5BE"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Households</w:t>
            </w:r>
          </w:p>
        </w:tc>
      </w:tr>
      <w:tr w:rsidR="00831C7D" w:rsidRPr="00831C7D" w14:paraId="26ED6824" w14:textId="77777777" w:rsidTr="00421639">
        <w:trPr>
          <w:trHeight w:val="300"/>
        </w:trPr>
        <w:tc>
          <w:tcPr>
            <w:tcW w:w="1769" w:type="dxa"/>
            <w:tcBorders>
              <w:top w:val="single" w:sz="4" w:space="0" w:color="auto"/>
            </w:tcBorders>
            <w:shd w:val="clear" w:color="auto" w:fill="auto"/>
            <w:noWrap/>
            <w:vAlign w:val="bottom"/>
            <w:hideMark/>
          </w:tcPr>
          <w:p w14:paraId="355011DC" w14:textId="77777777" w:rsidR="00831C7D" w:rsidRPr="00831C7D" w:rsidRDefault="00831C7D" w:rsidP="00831C7D">
            <w:pPr>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Dist</w:t>
            </w:r>
            <w:r>
              <w:rPr>
                <w:rFonts w:asciiTheme="minorHAnsi" w:hAnsiTheme="minorHAnsi" w:cstheme="minorHAnsi"/>
                <w:color w:val="000000"/>
                <w:sz w:val="22"/>
                <w:szCs w:val="22"/>
                <w:lang w:eastAsia="en-GB"/>
              </w:rPr>
              <w:t>rict</w:t>
            </w:r>
          </w:p>
        </w:tc>
        <w:tc>
          <w:tcPr>
            <w:tcW w:w="960" w:type="dxa"/>
            <w:tcBorders>
              <w:top w:val="single" w:sz="4" w:space="0" w:color="auto"/>
            </w:tcBorders>
            <w:shd w:val="clear" w:color="auto" w:fill="auto"/>
            <w:noWrap/>
            <w:vAlign w:val="bottom"/>
            <w:hideMark/>
          </w:tcPr>
          <w:p w14:paraId="5BC9E522"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7</w:t>
            </w:r>
          </w:p>
        </w:tc>
        <w:tc>
          <w:tcPr>
            <w:tcW w:w="1403" w:type="dxa"/>
            <w:tcBorders>
              <w:top w:val="single" w:sz="4" w:space="0" w:color="auto"/>
            </w:tcBorders>
            <w:shd w:val="clear" w:color="auto" w:fill="auto"/>
            <w:noWrap/>
            <w:vAlign w:val="bottom"/>
            <w:hideMark/>
          </w:tcPr>
          <w:p w14:paraId="6B683CBD"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14071</w:t>
            </w:r>
          </w:p>
        </w:tc>
        <w:tc>
          <w:tcPr>
            <w:tcW w:w="1403" w:type="dxa"/>
            <w:tcBorders>
              <w:top w:val="single" w:sz="4" w:space="0" w:color="auto"/>
            </w:tcBorders>
            <w:shd w:val="clear" w:color="auto" w:fill="auto"/>
            <w:noWrap/>
            <w:vAlign w:val="bottom"/>
            <w:hideMark/>
          </w:tcPr>
          <w:p w14:paraId="18EF1460"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7853</w:t>
            </w:r>
          </w:p>
        </w:tc>
      </w:tr>
      <w:tr w:rsidR="00831C7D" w:rsidRPr="00831C7D" w14:paraId="70653300" w14:textId="77777777" w:rsidTr="00421639">
        <w:trPr>
          <w:trHeight w:val="300"/>
        </w:trPr>
        <w:tc>
          <w:tcPr>
            <w:tcW w:w="1769" w:type="dxa"/>
            <w:shd w:val="clear" w:color="auto" w:fill="auto"/>
            <w:noWrap/>
            <w:vAlign w:val="bottom"/>
            <w:hideMark/>
          </w:tcPr>
          <w:p w14:paraId="7CC0E891" w14:textId="77777777" w:rsidR="00831C7D" w:rsidRPr="00831C7D" w:rsidRDefault="00831C7D" w:rsidP="00421639">
            <w:pPr>
              <w:rPr>
                <w:rFonts w:asciiTheme="minorHAnsi" w:hAnsiTheme="minorHAnsi" w:cstheme="minorHAnsi"/>
                <w:color w:val="000000"/>
                <w:lang w:eastAsia="en-GB"/>
              </w:rPr>
            </w:pPr>
            <w:r>
              <w:rPr>
                <w:rFonts w:asciiTheme="minorHAnsi" w:hAnsiTheme="minorHAnsi" w:cstheme="minorHAnsi"/>
                <w:color w:val="000000"/>
                <w:sz w:val="22"/>
                <w:szCs w:val="22"/>
                <w:lang w:eastAsia="en-GB"/>
              </w:rPr>
              <w:t>Ward</w:t>
            </w:r>
          </w:p>
        </w:tc>
        <w:tc>
          <w:tcPr>
            <w:tcW w:w="960" w:type="dxa"/>
            <w:shd w:val="clear" w:color="auto" w:fill="auto"/>
            <w:noWrap/>
            <w:vAlign w:val="bottom"/>
            <w:hideMark/>
          </w:tcPr>
          <w:p w14:paraId="0FA70B6C"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40</w:t>
            </w:r>
          </w:p>
        </w:tc>
        <w:tc>
          <w:tcPr>
            <w:tcW w:w="1403" w:type="dxa"/>
            <w:shd w:val="clear" w:color="auto" w:fill="auto"/>
            <w:noWrap/>
            <w:vAlign w:val="bottom"/>
            <w:hideMark/>
          </w:tcPr>
          <w:p w14:paraId="166DF4BF"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2462</w:t>
            </w:r>
          </w:p>
        </w:tc>
        <w:tc>
          <w:tcPr>
            <w:tcW w:w="1403" w:type="dxa"/>
            <w:shd w:val="clear" w:color="auto" w:fill="auto"/>
            <w:noWrap/>
            <w:vAlign w:val="bottom"/>
            <w:hideMark/>
          </w:tcPr>
          <w:p w14:paraId="1352F3F1"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1374</w:t>
            </w:r>
          </w:p>
        </w:tc>
      </w:tr>
      <w:tr w:rsidR="00831C7D" w:rsidRPr="00831C7D" w14:paraId="0907781B" w14:textId="77777777" w:rsidTr="00421639">
        <w:trPr>
          <w:trHeight w:val="300"/>
        </w:trPr>
        <w:tc>
          <w:tcPr>
            <w:tcW w:w="1769" w:type="dxa"/>
            <w:shd w:val="clear" w:color="auto" w:fill="auto"/>
            <w:noWrap/>
            <w:vAlign w:val="bottom"/>
            <w:hideMark/>
          </w:tcPr>
          <w:p w14:paraId="756267A8" w14:textId="77777777" w:rsidR="00831C7D" w:rsidRPr="00831C7D" w:rsidRDefault="00831C7D" w:rsidP="00421639">
            <w:pPr>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Postcode Sector</w:t>
            </w:r>
          </w:p>
        </w:tc>
        <w:tc>
          <w:tcPr>
            <w:tcW w:w="960" w:type="dxa"/>
            <w:shd w:val="clear" w:color="auto" w:fill="auto"/>
            <w:noWrap/>
            <w:vAlign w:val="bottom"/>
            <w:hideMark/>
          </w:tcPr>
          <w:p w14:paraId="5B2F7E28"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73</w:t>
            </w:r>
          </w:p>
        </w:tc>
        <w:tc>
          <w:tcPr>
            <w:tcW w:w="1403" w:type="dxa"/>
            <w:shd w:val="clear" w:color="auto" w:fill="auto"/>
            <w:noWrap/>
            <w:vAlign w:val="bottom"/>
            <w:hideMark/>
          </w:tcPr>
          <w:p w14:paraId="4807B48D"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1348</w:t>
            </w:r>
          </w:p>
        </w:tc>
        <w:tc>
          <w:tcPr>
            <w:tcW w:w="1403" w:type="dxa"/>
            <w:shd w:val="clear" w:color="auto" w:fill="auto"/>
            <w:noWrap/>
            <w:vAlign w:val="bottom"/>
            <w:hideMark/>
          </w:tcPr>
          <w:p w14:paraId="6AA64DE7"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723</w:t>
            </w:r>
          </w:p>
        </w:tc>
      </w:tr>
      <w:tr w:rsidR="00831C7D" w:rsidRPr="00831C7D" w14:paraId="3B55D754" w14:textId="77777777" w:rsidTr="00421639">
        <w:trPr>
          <w:trHeight w:val="300"/>
        </w:trPr>
        <w:tc>
          <w:tcPr>
            <w:tcW w:w="1769" w:type="dxa"/>
            <w:shd w:val="clear" w:color="auto" w:fill="auto"/>
            <w:noWrap/>
            <w:vAlign w:val="bottom"/>
            <w:hideMark/>
          </w:tcPr>
          <w:p w14:paraId="7E974779" w14:textId="77777777" w:rsidR="00831C7D" w:rsidRPr="00831C7D" w:rsidRDefault="00831C7D" w:rsidP="00421639">
            <w:pPr>
              <w:rPr>
                <w:rFonts w:asciiTheme="minorHAnsi" w:hAnsiTheme="minorHAnsi" w:cstheme="minorHAnsi"/>
                <w:color w:val="000000"/>
                <w:lang w:eastAsia="en-GB"/>
              </w:rPr>
            </w:pPr>
            <w:r>
              <w:rPr>
                <w:rFonts w:asciiTheme="minorHAnsi" w:hAnsiTheme="minorHAnsi" w:cstheme="minorHAnsi"/>
                <w:color w:val="000000"/>
                <w:sz w:val="22"/>
                <w:szCs w:val="22"/>
                <w:lang w:eastAsia="en-GB"/>
              </w:rPr>
              <w:t>ED</w:t>
            </w:r>
          </w:p>
        </w:tc>
        <w:tc>
          <w:tcPr>
            <w:tcW w:w="960" w:type="dxa"/>
            <w:shd w:val="clear" w:color="auto" w:fill="auto"/>
            <w:noWrap/>
            <w:vAlign w:val="bottom"/>
            <w:hideMark/>
          </w:tcPr>
          <w:p w14:paraId="0C9DD87C"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648</w:t>
            </w:r>
          </w:p>
        </w:tc>
        <w:tc>
          <w:tcPr>
            <w:tcW w:w="1403" w:type="dxa"/>
            <w:shd w:val="clear" w:color="auto" w:fill="auto"/>
            <w:noWrap/>
            <w:vAlign w:val="bottom"/>
            <w:hideMark/>
          </w:tcPr>
          <w:p w14:paraId="1E86B356"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152</w:t>
            </w:r>
          </w:p>
        </w:tc>
        <w:tc>
          <w:tcPr>
            <w:tcW w:w="1403" w:type="dxa"/>
            <w:shd w:val="clear" w:color="auto" w:fill="auto"/>
            <w:noWrap/>
            <w:vAlign w:val="bottom"/>
            <w:hideMark/>
          </w:tcPr>
          <w:p w14:paraId="309ABD1D"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84</w:t>
            </w:r>
          </w:p>
        </w:tc>
      </w:tr>
      <w:tr w:rsidR="00831C7D" w:rsidRPr="00831C7D" w14:paraId="0EA06FEF" w14:textId="77777777" w:rsidTr="00421639">
        <w:trPr>
          <w:trHeight w:val="300"/>
        </w:trPr>
        <w:tc>
          <w:tcPr>
            <w:tcW w:w="1769" w:type="dxa"/>
            <w:tcBorders>
              <w:bottom w:val="single" w:sz="4" w:space="0" w:color="auto"/>
            </w:tcBorders>
            <w:shd w:val="clear" w:color="auto" w:fill="auto"/>
            <w:noWrap/>
            <w:vAlign w:val="bottom"/>
            <w:hideMark/>
          </w:tcPr>
          <w:p w14:paraId="67328A87" w14:textId="77777777" w:rsidR="00831C7D" w:rsidRPr="00831C7D" w:rsidRDefault="00831C7D" w:rsidP="00421639">
            <w:pPr>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Postcode Unit</w:t>
            </w:r>
          </w:p>
        </w:tc>
        <w:tc>
          <w:tcPr>
            <w:tcW w:w="960" w:type="dxa"/>
            <w:tcBorders>
              <w:bottom w:val="single" w:sz="4" w:space="0" w:color="auto"/>
            </w:tcBorders>
            <w:shd w:val="clear" w:color="auto" w:fill="auto"/>
            <w:noWrap/>
            <w:vAlign w:val="bottom"/>
            <w:hideMark/>
          </w:tcPr>
          <w:p w14:paraId="18F95528"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1269</w:t>
            </w:r>
          </w:p>
        </w:tc>
        <w:tc>
          <w:tcPr>
            <w:tcW w:w="1403" w:type="dxa"/>
            <w:tcBorders>
              <w:bottom w:val="single" w:sz="4" w:space="0" w:color="auto"/>
            </w:tcBorders>
            <w:shd w:val="clear" w:color="auto" w:fill="auto"/>
            <w:noWrap/>
            <w:vAlign w:val="bottom"/>
            <w:hideMark/>
          </w:tcPr>
          <w:p w14:paraId="30449987"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37</w:t>
            </w:r>
          </w:p>
        </w:tc>
        <w:tc>
          <w:tcPr>
            <w:tcW w:w="1403" w:type="dxa"/>
            <w:tcBorders>
              <w:bottom w:val="single" w:sz="4" w:space="0" w:color="auto"/>
            </w:tcBorders>
            <w:shd w:val="clear" w:color="auto" w:fill="auto"/>
            <w:noWrap/>
            <w:vAlign w:val="bottom"/>
            <w:hideMark/>
          </w:tcPr>
          <w:p w14:paraId="52C29A25" w14:textId="77777777" w:rsidR="00831C7D" w:rsidRPr="00831C7D" w:rsidRDefault="00831C7D" w:rsidP="00421639">
            <w:pPr>
              <w:jc w:val="right"/>
              <w:rPr>
                <w:rFonts w:asciiTheme="minorHAnsi" w:hAnsiTheme="minorHAnsi" w:cstheme="minorHAnsi"/>
                <w:color w:val="000000"/>
                <w:lang w:eastAsia="en-GB"/>
              </w:rPr>
            </w:pPr>
            <w:r w:rsidRPr="00831C7D">
              <w:rPr>
                <w:rFonts w:asciiTheme="minorHAnsi" w:hAnsiTheme="minorHAnsi" w:cstheme="minorHAnsi"/>
                <w:color w:val="000000"/>
                <w:sz w:val="22"/>
                <w:szCs w:val="22"/>
                <w:lang w:eastAsia="en-GB"/>
              </w:rPr>
              <w:t>20</w:t>
            </w:r>
          </w:p>
        </w:tc>
      </w:tr>
    </w:tbl>
    <w:p w14:paraId="3BF2EC48" w14:textId="77777777" w:rsidR="00831C7D" w:rsidRDefault="00831C7D" w:rsidP="00831C7D">
      <w:pPr>
        <w:spacing w:line="276" w:lineRule="auto"/>
        <w:jc w:val="both"/>
        <w:rPr>
          <w:rFonts w:asciiTheme="minorHAnsi" w:hAnsiTheme="minorHAnsi" w:cstheme="minorHAnsi"/>
          <w:sz w:val="20"/>
          <w:szCs w:val="22"/>
        </w:rPr>
      </w:pPr>
      <w:r w:rsidRPr="00831C7D">
        <w:rPr>
          <w:rFonts w:asciiTheme="minorHAnsi" w:hAnsiTheme="minorHAnsi" w:cstheme="minorHAnsi"/>
          <w:sz w:val="20"/>
          <w:szCs w:val="22"/>
        </w:rPr>
        <w:t xml:space="preserve">Notes: Based on </w:t>
      </w:r>
      <w:r w:rsidR="00421639">
        <w:rPr>
          <w:rFonts w:asciiTheme="minorHAnsi" w:hAnsiTheme="minorHAnsi" w:cstheme="minorHAnsi"/>
          <w:sz w:val="20"/>
          <w:szCs w:val="22"/>
        </w:rPr>
        <w:t>1999</w:t>
      </w:r>
      <w:r w:rsidRPr="00831C7D">
        <w:rPr>
          <w:rFonts w:asciiTheme="minorHAnsi" w:hAnsiTheme="minorHAnsi" w:cstheme="minorHAnsi"/>
          <w:sz w:val="20"/>
          <w:szCs w:val="22"/>
        </w:rPr>
        <w:t xml:space="preserve"> Rehearsal Geography. Excludes areas with less than 25 known adult incomes, hence total respondents varies by spatial unit. Household counts exclude households with one or more unknown adult incomes.</w:t>
      </w:r>
    </w:p>
    <w:p w14:paraId="715F526E" w14:textId="77777777" w:rsidR="00DE1F10" w:rsidRDefault="00DE1F10" w:rsidP="00831C7D">
      <w:pPr>
        <w:spacing w:line="276" w:lineRule="auto"/>
        <w:jc w:val="both"/>
        <w:rPr>
          <w:rFonts w:asciiTheme="minorHAnsi" w:hAnsiTheme="minorHAnsi" w:cstheme="minorHAnsi"/>
          <w:sz w:val="20"/>
          <w:szCs w:val="22"/>
        </w:rPr>
      </w:pPr>
    </w:p>
    <w:p w14:paraId="70EA42B7" w14:textId="77777777" w:rsidR="006B508E" w:rsidRDefault="006B508E" w:rsidP="00831C7D">
      <w:pPr>
        <w:spacing w:line="276" w:lineRule="auto"/>
        <w:jc w:val="both"/>
        <w:rPr>
          <w:rFonts w:asciiTheme="minorHAnsi" w:hAnsiTheme="minorHAnsi" w:cstheme="minorHAnsi"/>
          <w:sz w:val="20"/>
          <w:szCs w:val="22"/>
        </w:rPr>
      </w:pPr>
    </w:p>
    <w:p w14:paraId="660E50F4" w14:textId="77777777" w:rsidR="00080EFD" w:rsidRDefault="00080EFD" w:rsidP="00080EFD">
      <w:r w:rsidRPr="00080EFD">
        <w:rPr>
          <w:noProof/>
          <w:lang w:val="en-US"/>
        </w:rPr>
        <w:drawing>
          <wp:inline distT="0" distB="0" distL="0" distR="0" wp14:anchorId="2ECA854B" wp14:editId="2A68495E">
            <wp:extent cx="5731510" cy="3587067"/>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31510" cy="3587067"/>
                    </a:xfrm>
                    <a:prstGeom prst="rect">
                      <a:avLst/>
                    </a:prstGeom>
                    <a:noFill/>
                    <a:ln w="9525">
                      <a:noFill/>
                      <a:miter lim="800000"/>
                      <a:headEnd/>
                      <a:tailEnd/>
                    </a:ln>
                  </pic:spPr>
                </pic:pic>
              </a:graphicData>
            </a:graphic>
          </wp:inline>
        </w:drawing>
      </w:r>
    </w:p>
    <w:p w14:paraId="4E447ED3" w14:textId="77777777" w:rsidR="00080EFD" w:rsidRPr="00080EFD" w:rsidRDefault="00080EFD" w:rsidP="00080EFD">
      <w:pPr>
        <w:rPr>
          <w:rFonts w:asciiTheme="minorHAnsi" w:hAnsiTheme="minorHAnsi" w:cstheme="minorHAnsi"/>
          <w:sz w:val="22"/>
          <w:szCs w:val="22"/>
        </w:rPr>
      </w:pPr>
    </w:p>
    <w:p w14:paraId="34C24ADB" w14:textId="77777777" w:rsidR="00831C7D" w:rsidRPr="00080EFD" w:rsidRDefault="00534ECC" w:rsidP="00080EFD">
      <w:pPr>
        <w:pStyle w:val="ListParagraph"/>
        <w:numPr>
          <w:ilvl w:val="0"/>
          <w:numId w:val="4"/>
        </w:numPr>
        <w:spacing w:after="200" w:line="276" w:lineRule="auto"/>
        <w:rPr>
          <w:rFonts w:asciiTheme="minorHAnsi" w:hAnsiTheme="minorHAnsi" w:cstheme="minorHAnsi"/>
          <w:sz w:val="22"/>
          <w:szCs w:val="22"/>
        </w:rPr>
      </w:pPr>
      <w:r>
        <w:rPr>
          <w:rFonts w:asciiTheme="minorHAnsi" w:hAnsiTheme="minorHAnsi" w:cstheme="minorHAnsi"/>
          <w:sz w:val="22"/>
          <w:szCs w:val="22"/>
        </w:rPr>
        <w:t>By</w:t>
      </w:r>
      <w:r w:rsidR="00080EFD" w:rsidRPr="00080EFD">
        <w:rPr>
          <w:rFonts w:asciiTheme="minorHAnsi" w:hAnsiTheme="minorHAnsi" w:cstheme="minorHAnsi"/>
          <w:sz w:val="22"/>
          <w:szCs w:val="22"/>
        </w:rPr>
        <w:t xml:space="preserve"> </w:t>
      </w:r>
      <w:r>
        <w:rPr>
          <w:rFonts w:asciiTheme="minorHAnsi" w:hAnsiTheme="minorHAnsi" w:cstheme="minorHAnsi"/>
          <w:sz w:val="22"/>
          <w:szCs w:val="22"/>
        </w:rPr>
        <w:t>income measure (ED-level)</w:t>
      </w:r>
      <w:r w:rsidR="00080EFD" w:rsidRPr="00080EFD">
        <w:rPr>
          <w:rFonts w:asciiTheme="minorHAnsi" w:hAnsiTheme="minorHAnsi" w:cstheme="minorHAnsi"/>
          <w:sz w:val="22"/>
          <w:szCs w:val="22"/>
        </w:rPr>
        <w:tab/>
      </w:r>
      <w:r w:rsidR="00080EFD" w:rsidRPr="00080EFD">
        <w:rPr>
          <w:rFonts w:asciiTheme="minorHAnsi" w:hAnsiTheme="minorHAnsi" w:cstheme="minorHAnsi"/>
          <w:sz w:val="22"/>
          <w:szCs w:val="22"/>
        </w:rPr>
        <w:tab/>
      </w:r>
      <w:r>
        <w:rPr>
          <w:rFonts w:asciiTheme="minorHAnsi" w:hAnsiTheme="minorHAnsi" w:cstheme="minorHAnsi"/>
          <w:sz w:val="22"/>
          <w:szCs w:val="22"/>
        </w:rPr>
        <w:tab/>
      </w:r>
      <w:r w:rsidR="00080EFD" w:rsidRPr="00080EFD">
        <w:rPr>
          <w:rFonts w:asciiTheme="minorHAnsi" w:hAnsiTheme="minorHAnsi" w:cstheme="minorHAnsi"/>
          <w:sz w:val="22"/>
          <w:szCs w:val="22"/>
        </w:rPr>
        <w:t xml:space="preserve">b) </w:t>
      </w:r>
      <w:r>
        <w:rPr>
          <w:rFonts w:asciiTheme="minorHAnsi" w:hAnsiTheme="minorHAnsi" w:cstheme="minorHAnsi"/>
          <w:sz w:val="22"/>
          <w:szCs w:val="22"/>
        </w:rPr>
        <w:t>By spatial unit</w:t>
      </w:r>
      <w:r w:rsidR="00080EFD" w:rsidRPr="00080EFD">
        <w:rPr>
          <w:rFonts w:asciiTheme="minorHAnsi" w:hAnsiTheme="minorHAnsi" w:cstheme="minorHAnsi"/>
          <w:sz w:val="22"/>
          <w:szCs w:val="22"/>
        </w:rPr>
        <w:t xml:space="preserve"> (adult incomes)</w:t>
      </w:r>
    </w:p>
    <w:p w14:paraId="1CBE841C" w14:textId="77777777" w:rsidR="00831C7D" w:rsidRPr="00080EFD" w:rsidRDefault="00831C7D" w:rsidP="00831C7D">
      <w:pPr>
        <w:rPr>
          <w:rFonts w:asciiTheme="minorHAnsi" w:hAnsiTheme="minorHAnsi" w:cstheme="minorHAnsi"/>
          <w:sz w:val="22"/>
          <w:szCs w:val="22"/>
        </w:rPr>
      </w:pPr>
      <w:r w:rsidRPr="00080EFD">
        <w:rPr>
          <w:rFonts w:asciiTheme="minorHAnsi" w:hAnsiTheme="minorHAnsi" w:cstheme="minorHAnsi"/>
          <w:b/>
          <w:sz w:val="22"/>
          <w:szCs w:val="22"/>
        </w:rPr>
        <w:t xml:space="preserve">Figure </w:t>
      </w:r>
      <w:r w:rsidR="006B508E">
        <w:rPr>
          <w:rFonts w:asciiTheme="minorHAnsi" w:hAnsiTheme="minorHAnsi" w:cstheme="minorHAnsi"/>
          <w:b/>
          <w:sz w:val="22"/>
          <w:szCs w:val="22"/>
        </w:rPr>
        <w:t>1</w:t>
      </w:r>
      <w:r w:rsidRPr="00080EFD">
        <w:rPr>
          <w:rFonts w:asciiTheme="minorHAnsi" w:hAnsiTheme="minorHAnsi" w:cstheme="minorHAnsi"/>
          <w:sz w:val="22"/>
          <w:szCs w:val="22"/>
        </w:rPr>
        <w:t xml:space="preserve"> The </w:t>
      </w:r>
      <w:r w:rsidR="00534ECC">
        <w:rPr>
          <w:rFonts w:asciiTheme="minorHAnsi" w:hAnsiTheme="minorHAnsi" w:cstheme="minorHAnsi"/>
          <w:sz w:val="22"/>
          <w:szCs w:val="22"/>
        </w:rPr>
        <w:t>spatial variability of mean area incomes (</w:t>
      </w:r>
      <w:r w:rsidRPr="00080EFD">
        <w:rPr>
          <w:rFonts w:asciiTheme="minorHAnsi" w:hAnsiTheme="minorHAnsi" w:cstheme="minorHAnsi"/>
          <w:sz w:val="22"/>
          <w:szCs w:val="22"/>
        </w:rPr>
        <w:t>£ per week</w:t>
      </w:r>
      <w:r w:rsidR="00534ECC">
        <w:rPr>
          <w:rFonts w:asciiTheme="minorHAnsi" w:hAnsiTheme="minorHAnsi" w:cstheme="minorHAnsi"/>
          <w:sz w:val="22"/>
          <w:szCs w:val="22"/>
        </w:rPr>
        <w:t>, gross</w:t>
      </w:r>
      <w:r w:rsidRPr="00080EFD">
        <w:rPr>
          <w:rFonts w:asciiTheme="minorHAnsi" w:hAnsiTheme="minorHAnsi" w:cstheme="minorHAnsi"/>
          <w:sz w:val="22"/>
          <w:szCs w:val="22"/>
        </w:rPr>
        <w:t>)</w:t>
      </w:r>
    </w:p>
    <w:p w14:paraId="53DEE3C3" w14:textId="77777777" w:rsidR="00831C7D" w:rsidRDefault="00831C7D" w:rsidP="00831C7D">
      <w:pPr>
        <w:spacing w:line="276" w:lineRule="auto"/>
        <w:jc w:val="both"/>
        <w:rPr>
          <w:rFonts w:asciiTheme="minorHAnsi" w:hAnsiTheme="minorHAnsi" w:cstheme="minorHAnsi"/>
          <w:i/>
          <w:sz w:val="22"/>
          <w:szCs w:val="22"/>
        </w:rPr>
      </w:pPr>
    </w:p>
    <w:p w14:paraId="28D49585" w14:textId="77777777" w:rsidR="00080EFD" w:rsidRDefault="00080EFD" w:rsidP="00831C7D">
      <w:pPr>
        <w:spacing w:line="276" w:lineRule="auto"/>
        <w:jc w:val="both"/>
        <w:rPr>
          <w:rFonts w:asciiTheme="minorHAnsi" w:hAnsiTheme="minorHAnsi" w:cstheme="minorHAnsi"/>
          <w:i/>
          <w:sz w:val="22"/>
          <w:szCs w:val="22"/>
        </w:rPr>
      </w:pPr>
    </w:p>
    <w:p w14:paraId="7E78D572" w14:textId="77777777" w:rsidR="00E0164C" w:rsidRDefault="00E0164C" w:rsidP="00831C7D">
      <w:pPr>
        <w:spacing w:line="276" w:lineRule="auto"/>
        <w:jc w:val="both"/>
        <w:rPr>
          <w:rFonts w:asciiTheme="minorHAnsi" w:hAnsiTheme="minorHAnsi" w:cstheme="minorHAnsi"/>
          <w:i/>
          <w:sz w:val="22"/>
          <w:szCs w:val="22"/>
        </w:rPr>
      </w:pPr>
    </w:p>
    <w:p w14:paraId="7CA17736" w14:textId="77777777" w:rsidR="00E0164C" w:rsidRDefault="00E0164C" w:rsidP="00831C7D">
      <w:pPr>
        <w:spacing w:line="276" w:lineRule="auto"/>
        <w:jc w:val="both"/>
        <w:rPr>
          <w:rFonts w:asciiTheme="minorHAnsi" w:hAnsiTheme="minorHAnsi" w:cstheme="minorHAnsi"/>
          <w:i/>
          <w:sz w:val="22"/>
          <w:szCs w:val="22"/>
        </w:rPr>
      </w:pPr>
    </w:p>
    <w:p w14:paraId="59675C1C" w14:textId="77777777" w:rsidR="00DE1F10" w:rsidRDefault="00DE1F10">
      <w:pPr>
        <w:spacing w:after="200" w:line="276" w:lineRule="auto"/>
        <w:rPr>
          <w:rFonts w:asciiTheme="minorHAnsi" w:hAnsiTheme="minorHAnsi" w:cstheme="minorHAnsi"/>
          <w:b/>
          <w:sz w:val="22"/>
        </w:rPr>
      </w:pPr>
      <w:r>
        <w:rPr>
          <w:rFonts w:asciiTheme="minorHAnsi" w:hAnsiTheme="minorHAnsi" w:cstheme="minorHAnsi"/>
          <w:b/>
          <w:sz w:val="22"/>
        </w:rPr>
        <w:br w:type="page"/>
      </w:r>
    </w:p>
    <w:p w14:paraId="6D4583FF" w14:textId="77777777" w:rsidR="00080EFD" w:rsidRPr="00080EFD" w:rsidRDefault="00080EFD" w:rsidP="00080EFD">
      <w:pPr>
        <w:rPr>
          <w:rFonts w:asciiTheme="minorHAnsi" w:hAnsiTheme="minorHAnsi" w:cstheme="minorHAnsi"/>
          <w:sz w:val="22"/>
        </w:rPr>
      </w:pPr>
      <w:r w:rsidRPr="00CF2149">
        <w:rPr>
          <w:rFonts w:asciiTheme="minorHAnsi" w:hAnsiTheme="minorHAnsi" w:cstheme="minorHAnsi"/>
          <w:b/>
          <w:sz w:val="22"/>
        </w:rPr>
        <w:lastRenderedPageBreak/>
        <w:t xml:space="preserve">Table </w:t>
      </w:r>
      <w:r w:rsidR="006B508E">
        <w:rPr>
          <w:rFonts w:asciiTheme="minorHAnsi" w:hAnsiTheme="minorHAnsi" w:cstheme="minorHAnsi"/>
          <w:b/>
          <w:sz w:val="22"/>
        </w:rPr>
        <w:t>2</w:t>
      </w:r>
      <w:r w:rsidRPr="00080EFD">
        <w:rPr>
          <w:rFonts w:asciiTheme="minorHAnsi" w:hAnsiTheme="minorHAnsi" w:cstheme="minorHAnsi"/>
          <w:sz w:val="22"/>
        </w:rPr>
        <w:t xml:space="preserve"> The spatial </w:t>
      </w:r>
      <w:r w:rsidR="00534ECC">
        <w:rPr>
          <w:rFonts w:asciiTheme="minorHAnsi" w:hAnsiTheme="minorHAnsi" w:cstheme="minorHAnsi"/>
          <w:sz w:val="22"/>
        </w:rPr>
        <w:t>component of</w:t>
      </w:r>
      <w:r w:rsidRPr="00080EFD">
        <w:rPr>
          <w:rFonts w:asciiTheme="minorHAnsi" w:hAnsiTheme="minorHAnsi" w:cstheme="minorHAnsi"/>
          <w:sz w:val="22"/>
        </w:rPr>
        <w:t xml:space="preserve"> income variability</w:t>
      </w:r>
    </w:p>
    <w:tbl>
      <w:tblPr>
        <w:tblW w:w="9659" w:type="dxa"/>
        <w:tblInd w:w="87" w:type="dxa"/>
        <w:tblLayout w:type="fixed"/>
        <w:tblLook w:val="04A0" w:firstRow="1" w:lastRow="0" w:firstColumn="1" w:lastColumn="0" w:noHBand="0" w:noVBand="1"/>
      </w:tblPr>
      <w:tblGrid>
        <w:gridCol w:w="1040"/>
        <w:gridCol w:w="1074"/>
        <w:gridCol w:w="1083"/>
        <w:gridCol w:w="1042"/>
        <w:gridCol w:w="1083"/>
        <w:gridCol w:w="1074"/>
        <w:gridCol w:w="1138"/>
        <w:gridCol w:w="1042"/>
        <w:gridCol w:w="1083"/>
      </w:tblGrid>
      <w:tr w:rsidR="00080EFD" w:rsidRPr="00080EFD" w14:paraId="1447ED1F" w14:textId="77777777" w:rsidTr="00421639">
        <w:trPr>
          <w:trHeight w:val="300"/>
        </w:trPr>
        <w:tc>
          <w:tcPr>
            <w:tcW w:w="1040" w:type="dxa"/>
            <w:tcBorders>
              <w:top w:val="single" w:sz="4" w:space="0" w:color="auto"/>
            </w:tcBorders>
            <w:shd w:val="clear" w:color="auto" w:fill="auto"/>
            <w:noWrap/>
            <w:vAlign w:val="bottom"/>
            <w:hideMark/>
          </w:tcPr>
          <w:p w14:paraId="1EE5C812" w14:textId="77777777" w:rsidR="00080EFD" w:rsidRPr="00080EFD" w:rsidRDefault="00080EFD" w:rsidP="00421639">
            <w:pPr>
              <w:rPr>
                <w:rFonts w:asciiTheme="minorHAnsi" w:hAnsiTheme="minorHAnsi" w:cstheme="minorHAnsi"/>
                <w:color w:val="000000"/>
                <w:lang w:eastAsia="en-GB"/>
              </w:rPr>
            </w:pPr>
          </w:p>
        </w:tc>
        <w:tc>
          <w:tcPr>
            <w:tcW w:w="4282" w:type="dxa"/>
            <w:gridSpan w:val="4"/>
            <w:tcBorders>
              <w:top w:val="single" w:sz="4" w:space="0" w:color="auto"/>
              <w:bottom w:val="single" w:sz="4" w:space="0" w:color="auto"/>
              <w:right w:val="single" w:sz="4" w:space="0" w:color="auto"/>
            </w:tcBorders>
          </w:tcPr>
          <w:p w14:paraId="70392CE2" w14:textId="77777777" w:rsidR="00080EFD" w:rsidRPr="00080EFD" w:rsidRDefault="00080EFD" w:rsidP="00421639">
            <w:pPr>
              <w:jc w:val="center"/>
              <w:rPr>
                <w:rFonts w:asciiTheme="minorHAnsi" w:hAnsiTheme="minorHAnsi" w:cstheme="minorHAnsi"/>
                <w:color w:val="000000"/>
                <w:lang w:eastAsia="en-GB"/>
              </w:rPr>
            </w:pPr>
            <w:r w:rsidRPr="00080EFD">
              <w:rPr>
                <w:rFonts w:asciiTheme="minorHAnsi" w:hAnsiTheme="minorHAnsi" w:cstheme="minorHAnsi"/>
                <w:color w:val="000000"/>
                <w:sz w:val="22"/>
                <w:lang w:eastAsia="en-GB"/>
              </w:rPr>
              <w:t>Adult incomes</w:t>
            </w:r>
          </w:p>
        </w:tc>
        <w:tc>
          <w:tcPr>
            <w:tcW w:w="4337" w:type="dxa"/>
            <w:gridSpan w:val="4"/>
            <w:tcBorders>
              <w:top w:val="single" w:sz="4" w:space="0" w:color="auto"/>
              <w:left w:val="single" w:sz="4" w:space="0" w:color="auto"/>
              <w:bottom w:val="single" w:sz="4" w:space="0" w:color="auto"/>
            </w:tcBorders>
          </w:tcPr>
          <w:p w14:paraId="5C7BCBD7" w14:textId="77777777" w:rsidR="00080EFD" w:rsidRPr="00080EFD" w:rsidRDefault="00080EFD" w:rsidP="00421639">
            <w:pPr>
              <w:jc w:val="center"/>
              <w:rPr>
                <w:rFonts w:asciiTheme="minorHAnsi" w:hAnsiTheme="minorHAnsi" w:cstheme="minorHAnsi"/>
                <w:color w:val="000000"/>
                <w:lang w:eastAsia="en-GB"/>
              </w:rPr>
            </w:pPr>
            <w:r w:rsidRPr="00080EFD">
              <w:rPr>
                <w:rFonts w:asciiTheme="minorHAnsi" w:hAnsiTheme="minorHAnsi" w:cstheme="minorHAnsi"/>
                <w:bCs/>
                <w:color w:val="000000"/>
                <w:sz w:val="22"/>
                <w:lang w:eastAsia="en-GB"/>
              </w:rPr>
              <w:t>Household incomes</w:t>
            </w:r>
          </w:p>
        </w:tc>
      </w:tr>
      <w:tr w:rsidR="00080EFD" w:rsidRPr="00080EFD" w14:paraId="2754FA59" w14:textId="77777777" w:rsidTr="00421639">
        <w:trPr>
          <w:trHeight w:val="300"/>
        </w:trPr>
        <w:tc>
          <w:tcPr>
            <w:tcW w:w="1040" w:type="dxa"/>
            <w:shd w:val="clear" w:color="auto" w:fill="auto"/>
            <w:noWrap/>
            <w:vAlign w:val="bottom"/>
            <w:hideMark/>
          </w:tcPr>
          <w:p w14:paraId="266074F6" w14:textId="77777777" w:rsidR="00080EFD" w:rsidRPr="00080EFD" w:rsidRDefault="00080EFD" w:rsidP="00421639">
            <w:pPr>
              <w:rPr>
                <w:rFonts w:asciiTheme="minorHAnsi" w:hAnsiTheme="minorHAnsi" w:cstheme="minorHAnsi"/>
                <w:color w:val="000000"/>
                <w:lang w:eastAsia="en-GB"/>
              </w:rPr>
            </w:pPr>
          </w:p>
        </w:tc>
        <w:tc>
          <w:tcPr>
            <w:tcW w:w="2157" w:type="dxa"/>
            <w:gridSpan w:val="2"/>
            <w:tcBorders>
              <w:top w:val="single" w:sz="4" w:space="0" w:color="auto"/>
            </w:tcBorders>
          </w:tcPr>
          <w:p w14:paraId="5D73CBC5" w14:textId="77777777" w:rsidR="006A21CD" w:rsidRDefault="006A21CD" w:rsidP="00421639">
            <w:pPr>
              <w:jc w:val="center"/>
              <w:rPr>
                <w:rFonts w:asciiTheme="minorHAnsi" w:hAnsiTheme="minorHAnsi" w:cstheme="minorHAnsi"/>
                <w:color w:val="000000"/>
                <w:lang w:eastAsia="en-GB"/>
              </w:rPr>
            </w:pPr>
          </w:p>
          <w:p w14:paraId="3E5D2C91" w14:textId="77777777" w:rsidR="00080EFD" w:rsidRPr="00080EFD" w:rsidRDefault="00080EFD" w:rsidP="00421639">
            <w:pPr>
              <w:jc w:val="center"/>
              <w:rPr>
                <w:rFonts w:asciiTheme="minorHAnsi" w:hAnsiTheme="minorHAnsi" w:cstheme="minorHAnsi"/>
                <w:color w:val="000000"/>
                <w:lang w:eastAsia="en-GB"/>
              </w:rPr>
            </w:pPr>
            <w:r w:rsidRPr="00080EFD">
              <w:rPr>
                <w:rFonts w:asciiTheme="minorHAnsi" w:hAnsiTheme="minorHAnsi" w:cstheme="minorHAnsi"/>
                <w:color w:val="000000"/>
                <w:sz w:val="22"/>
                <w:lang w:eastAsia="en-GB"/>
              </w:rPr>
              <w:t>Between-area variation (%)</w:t>
            </w:r>
          </w:p>
        </w:tc>
        <w:tc>
          <w:tcPr>
            <w:tcW w:w="2125" w:type="dxa"/>
            <w:gridSpan w:val="2"/>
            <w:tcBorders>
              <w:top w:val="single" w:sz="4" w:space="0" w:color="auto"/>
              <w:right w:val="single" w:sz="4" w:space="0" w:color="auto"/>
            </w:tcBorders>
            <w:shd w:val="clear" w:color="auto" w:fill="auto"/>
            <w:noWrap/>
            <w:vAlign w:val="bottom"/>
            <w:hideMark/>
          </w:tcPr>
          <w:p w14:paraId="17839503" w14:textId="77777777" w:rsidR="00080EFD" w:rsidRPr="006A21CD" w:rsidRDefault="006A21CD" w:rsidP="006A21CD">
            <w:pPr>
              <w:jc w:val="center"/>
              <w:rPr>
                <w:rFonts w:asciiTheme="minorHAnsi" w:hAnsiTheme="minorHAnsi" w:cstheme="minorHAnsi"/>
                <w:color w:val="000000"/>
                <w:lang w:eastAsia="en-GB"/>
              </w:rPr>
            </w:pPr>
            <w:r>
              <w:rPr>
                <w:rFonts w:asciiTheme="minorHAnsi" w:hAnsiTheme="minorHAnsi" w:cstheme="minorHAnsi"/>
                <w:color w:val="000000"/>
                <w:sz w:val="22"/>
                <w:lang w:eastAsia="en-GB"/>
              </w:rPr>
              <w:t xml:space="preserve">% Contribution to </w:t>
            </w:r>
            <w:r w:rsidR="00080EFD" w:rsidRPr="006A21CD">
              <w:rPr>
                <w:rFonts w:asciiTheme="minorHAnsi" w:hAnsiTheme="minorHAnsi" w:cstheme="minorHAnsi"/>
                <w:color w:val="000000"/>
                <w:sz w:val="22"/>
                <w:lang w:eastAsia="en-GB"/>
              </w:rPr>
              <w:t>between-postcode variation</w:t>
            </w:r>
          </w:p>
        </w:tc>
        <w:tc>
          <w:tcPr>
            <w:tcW w:w="2212" w:type="dxa"/>
            <w:gridSpan w:val="2"/>
            <w:tcBorders>
              <w:top w:val="single" w:sz="4" w:space="0" w:color="auto"/>
              <w:left w:val="single" w:sz="4" w:space="0" w:color="auto"/>
            </w:tcBorders>
          </w:tcPr>
          <w:p w14:paraId="2DF861DE" w14:textId="77777777" w:rsidR="00080EFD" w:rsidRPr="006A21CD" w:rsidRDefault="00080EFD" w:rsidP="00421639">
            <w:pPr>
              <w:jc w:val="center"/>
              <w:rPr>
                <w:rFonts w:asciiTheme="minorHAnsi" w:hAnsiTheme="minorHAnsi" w:cstheme="minorHAnsi"/>
                <w:color w:val="000000"/>
                <w:lang w:eastAsia="en-GB"/>
              </w:rPr>
            </w:pPr>
            <w:r w:rsidRPr="006A21CD">
              <w:rPr>
                <w:rFonts w:asciiTheme="minorHAnsi" w:hAnsiTheme="minorHAnsi" w:cstheme="minorHAnsi"/>
                <w:color w:val="000000"/>
                <w:sz w:val="22"/>
                <w:lang w:eastAsia="en-GB"/>
              </w:rPr>
              <w:t>Between-area variation (%)</w:t>
            </w:r>
          </w:p>
        </w:tc>
        <w:tc>
          <w:tcPr>
            <w:tcW w:w="2125" w:type="dxa"/>
            <w:gridSpan w:val="2"/>
            <w:tcBorders>
              <w:top w:val="single" w:sz="4" w:space="0" w:color="auto"/>
            </w:tcBorders>
            <w:shd w:val="clear" w:color="auto" w:fill="auto"/>
            <w:noWrap/>
            <w:vAlign w:val="bottom"/>
            <w:hideMark/>
          </w:tcPr>
          <w:p w14:paraId="2CCF49F5" w14:textId="77777777" w:rsidR="00080EFD" w:rsidRPr="006A21CD" w:rsidRDefault="006A21CD" w:rsidP="00421639">
            <w:pPr>
              <w:jc w:val="center"/>
              <w:rPr>
                <w:rFonts w:asciiTheme="minorHAnsi" w:hAnsiTheme="minorHAnsi" w:cstheme="minorHAnsi"/>
                <w:color w:val="000000"/>
                <w:lang w:eastAsia="en-GB"/>
              </w:rPr>
            </w:pPr>
            <w:r>
              <w:rPr>
                <w:rFonts w:asciiTheme="minorHAnsi" w:hAnsiTheme="minorHAnsi" w:cstheme="minorHAnsi"/>
                <w:color w:val="000000"/>
                <w:sz w:val="22"/>
                <w:lang w:eastAsia="en-GB"/>
              </w:rPr>
              <w:t xml:space="preserve">% Contribution to </w:t>
            </w:r>
            <w:r w:rsidRPr="006A21CD">
              <w:rPr>
                <w:rFonts w:asciiTheme="minorHAnsi" w:hAnsiTheme="minorHAnsi" w:cstheme="minorHAnsi"/>
                <w:color w:val="000000"/>
                <w:sz w:val="22"/>
                <w:lang w:eastAsia="en-GB"/>
              </w:rPr>
              <w:t>between-postcode variation</w:t>
            </w:r>
          </w:p>
        </w:tc>
      </w:tr>
      <w:tr w:rsidR="00080EFD" w:rsidRPr="00080EFD" w14:paraId="14DB9A6F" w14:textId="77777777" w:rsidTr="00421639">
        <w:trPr>
          <w:trHeight w:val="300"/>
        </w:trPr>
        <w:tc>
          <w:tcPr>
            <w:tcW w:w="1040" w:type="dxa"/>
            <w:tcBorders>
              <w:bottom w:val="single" w:sz="4" w:space="0" w:color="auto"/>
            </w:tcBorders>
            <w:shd w:val="clear" w:color="auto" w:fill="auto"/>
            <w:noWrap/>
            <w:vAlign w:val="bottom"/>
            <w:hideMark/>
          </w:tcPr>
          <w:p w14:paraId="0214E09B" w14:textId="77777777" w:rsidR="00080EFD" w:rsidRPr="00080EFD" w:rsidRDefault="00080EFD" w:rsidP="00421639">
            <w:pPr>
              <w:rPr>
                <w:rFonts w:asciiTheme="minorHAnsi" w:hAnsiTheme="minorHAnsi" w:cstheme="minorHAnsi"/>
                <w:color w:val="000000"/>
                <w:lang w:eastAsia="en-GB"/>
              </w:rPr>
            </w:pPr>
          </w:p>
        </w:tc>
        <w:tc>
          <w:tcPr>
            <w:tcW w:w="1074" w:type="dxa"/>
            <w:tcBorders>
              <w:bottom w:val="single" w:sz="4" w:space="0" w:color="auto"/>
            </w:tcBorders>
          </w:tcPr>
          <w:p w14:paraId="75F95D97" w14:textId="77777777" w:rsidR="00080EFD" w:rsidRPr="00080EFD" w:rsidRDefault="00080EFD" w:rsidP="00421639">
            <w:pPr>
              <w:rPr>
                <w:rFonts w:asciiTheme="minorHAnsi" w:hAnsiTheme="minorHAnsi" w:cstheme="minorHAnsi"/>
                <w:color w:val="000000"/>
                <w:lang w:eastAsia="en-GB"/>
              </w:rPr>
            </w:pPr>
          </w:p>
          <w:p w14:paraId="7A886E67" w14:textId="77777777" w:rsidR="00080EFD" w:rsidRPr="00080EFD" w:rsidRDefault="00080EFD" w:rsidP="00421639">
            <w:pPr>
              <w:rPr>
                <w:rFonts w:asciiTheme="minorHAnsi" w:hAnsiTheme="minorHAnsi" w:cstheme="minorHAnsi"/>
                <w:color w:val="000000"/>
                <w:lang w:eastAsia="en-GB"/>
              </w:rPr>
            </w:pPr>
            <w:r w:rsidRPr="00080EFD">
              <w:rPr>
                <w:rFonts w:asciiTheme="minorHAnsi" w:hAnsiTheme="minorHAnsi" w:cstheme="minorHAnsi"/>
                <w:color w:val="000000"/>
                <w:sz w:val="22"/>
                <w:lang w:eastAsia="en-GB"/>
              </w:rPr>
              <w:t>Empirical</w:t>
            </w:r>
          </w:p>
        </w:tc>
        <w:tc>
          <w:tcPr>
            <w:tcW w:w="1083" w:type="dxa"/>
            <w:tcBorders>
              <w:bottom w:val="single" w:sz="4" w:space="0" w:color="auto"/>
            </w:tcBorders>
            <w:shd w:val="clear" w:color="auto" w:fill="auto"/>
            <w:noWrap/>
            <w:vAlign w:val="bottom"/>
            <w:hideMark/>
          </w:tcPr>
          <w:p w14:paraId="5F00629F" w14:textId="77777777" w:rsidR="00080EFD" w:rsidRPr="00080EFD" w:rsidRDefault="00080EFD" w:rsidP="00534ECC">
            <w:pPr>
              <w:jc w:val="center"/>
              <w:rPr>
                <w:rFonts w:asciiTheme="minorHAnsi" w:hAnsiTheme="minorHAnsi" w:cstheme="minorHAnsi"/>
                <w:color w:val="000000"/>
                <w:lang w:eastAsia="en-GB"/>
              </w:rPr>
            </w:pPr>
            <w:r w:rsidRPr="00080EFD">
              <w:rPr>
                <w:rFonts w:asciiTheme="minorHAnsi" w:hAnsiTheme="minorHAnsi" w:cstheme="minorHAnsi"/>
                <w:color w:val="000000"/>
                <w:sz w:val="22"/>
                <w:lang w:eastAsia="en-GB"/>
              </w:rPr>
              <w:t>Non-structural</w:t>
            </w:r>
          </w:p>
        </w:tc>
        <w:tc>
          <w:tcPr>
            <w:tcW w:w="1042" w:type="dxa"/>
            <w:tcBorders>
              <w:bottom w:val="single" w:sz="4" w:space="0" w:color="auto"/>
            </w:tcBorders>
            <w:shd w:val="clear" w:color="auto" w:fill="auto"/>
            <w:noWrap/>
            <w:vAlign w:val="bottom"/>
            <w:hideMark/>
          </w:tcPr>
          <w:p w14:paraId="2CD45BAF" w14:textId="77777777" w:rsidR="00080EFD" w:rsidRPr="00080EFD" w:rsidRDefault="00080EFD" w:rsidP="00421639">
            <w:pPr>
              <w:rPr>
                <w:rFonts w:asciiTheme="minorHAnsi" w:hAnsiTheme="minorHAnsi" w:cstheme="minorHAnsi"/>
                <w:color w:val="000000"/>
                <w:lang w:eastAsia="en-GB"/>
              </w:rPr>
            </w:pPr>
            <w:r w:rsidRPr="00080EFD">
              <w:rPr>
                <w:rFonts w:asciiTheme="minorHAnsi" w:hAnsiTheme="minorHAnsi" w:cstheme="minorHAnsi"/>
                <w:color w:val="000000"/>
                <w:sz w:val="22"/>
                <w:lang w:eastAsia="en-GB"/>
              </w:rPr>
              <w:t>Empirical</w:t>
            </w:r>
          </w:p>
        </w:tc>
        <w:tc>
          <w:tcPr>
            <w:tcW w:w="1083" w:type="dxa"/>
            <w:tcBorders>
              <w:bottom w:val="single" w:sz="4" w:space="0" w:color="auto"/>
              <w:right w:val="single" w:sz="4" w:space="0" w:color="auto"/>
            </w:tcBorders>
            <w:shd w:val="clear" w:color="auto" w:fill="auto"/>
            <w:noWrap/>
            <w:vAlign w:val="bottom"/>
            <w:hideMark/>
          </w:tcPr>
          <w:p w14:paraId="69CE0DF5" w14:textId="77777777" w:rsidR="00080EFD" w:rsidRPr="00080EFD" w:rsidRDefault="00080EFD" w:rsidP="00534ECC">
            <w:pPr>
              <w:jc w:val="center"/>
              <w:rPr>
                <w:rFonts w:asciiTheme="minorHAnsi" w:hAnsiTheme="minorHAnsi" w:cstheme="minorHAnsi"/>
                <w:color w:val="000000"/>
                <w:lang w:eastAsia="en-GB"/>
              </w:rPr>
            </w:pPr>
            <w:r w:rsidRPr="00080EFD">
              <w:rPr>
                <w:rFonts w:asciiTheme="minorHAnsi" w:hAnsiTheme="minorHAnsi" w:cstheme="minorHAnsi"/>
                <w:color w:val="000000"/>
                <w:sz w:val="22"/>
                <w:lang w:eastAsia="en-GB"/>
              </w:rPr>
              <w:t>Non-structural</w:t>
            </w:r>
          </w:p>
        </w:tc>
        <w:tc>
          <w:tcPr>
            <w:tcW w:w="1074" w:type="dxa"/>
            <w:tcBorders>
              <w:left w:val="single" w:sz="4" w:space="0" w:color="auto"/>
              <w:bottom w:val="single" w:sz="4" w:space="0" w:color="auto"/>
            </w:tcBorders>
          </w:tcPr>
          <w:p w14:paraId="20FA517D" w14:textId="77777777" w:rsidR="00080EFD" w:rsidRPr="00080EFD" w:rsidRDefault="00080EFD" w:rsidP="00421639">
            <w:pPr>
              <w:rPr>
                <w:rFonts w:asciiTheme="minorHAnsi" w:hAnsiTheme="minorHAnsi" w:cstheme="minorHAnsi"/>
                <w:color w:val="000000"/>
                <w:lang w:eastAsia="en-GB"/>
              </w:rPr>
            </w:pPr>
          </w:p>
          <w:p w14:paraId="3E14E7F3" w14:textId="77777777" w:rsidR="00080EFD" w:rsidRPr="00080EFD" w:rsidRDefault="00080EFD" w:rsidP="00421639">
            <w:pPr>
              <w:rPr>
                <w:rFonts w:asciiTheme="minorHAnsi" w:hAnsiTheme="minorHAnsi" w:cstheme="minorHAnsi"/>
                <w:color w:val="000000"/>
                <w:lang w:eastAsia="en-GB"/>
              </w:rPr>
            </w:pPr>
            <w:r w:rsidRPr="00080EFD">
              <w:rPr>
                <w:rFonts w:asciiTheme="minorHAnsi" w:hAnsiTheme="minorHAnsi" w:cstheme="minorHAnsi"/>
                <w:color w:val="000000"/>
                <w:sz w:val="22"/>
                <w:lang w:eastAsia="en-GB"/>
              </w:rPr>
              <w:t>Empirical</w:t>
            </w:r>
          </w:p>
        </w:tc>
        <w:tc>
          <w:tcPr>
            <w:tcW w:w="1138" w:type="dxa"/>
            <w:tcBorders>
              <w:bottom w:val="single" w:sz="4" w:space="0" w:color="auto"/>
            </w:tcBorders>
            <w:shd w:val="clear" w:color="auto" w:fill="auto"/>
            <w:noWrap/>
            <w:vAlign w:val="bottom"/>
            <w:hideMark/>
          </w:tcPr>
          <w:p w14:paraId="43133051" w14:textId="77777777" w:rsidR="00080EFD" w:rsidRPr="00080EFD" w:rsidRDefault="00080EFD" w:rsidP="00534ECC">
            <w:pPr>
              <w:jc w:val="center"/>
              <w:rPr>
                <w:rFonts w:asciiTheme="minorHAnsi" w:hAnsiTheme="minorHAnsi" w:cstheme="minorHAnsi"/>
                <w:color w:val="000000"/>
                <w:lang w:eastAsia="en-GB"/>
              </w:rPr>
            </w:pPr>
            <w:r w:rsidRPr="00080EFD">
              <w:rPr>
                <w:rFonts w:asciiTheme="minorHAnsi" w:hAnsiTheme="minorHAnsi" w:cstheme="minorHAnsi"/>
                <w:color w:val="000000"/>
                <w:sz w:val="22"/>
                <w:lang w:eastAsia="en-GB"/>
              </w:rPr>
              <w:t>Non-structural</w:t>
            </w:r>
          </w:p>
        </w:tc>
        <w:tc>
          <w:tcPr>
            <w:tcW w:w="1042" w:type="dxa"/>
            <w:tcBorders>
              <w:bottom w:val="single" w:sz="4" w:space="0" w:color="auto"/>
            </w:tcBorders>
            <w:shd w:val="clear" w:color="auto" w:fill="auto"/>
            <w:noWrap/>
            <w:vAlign w:val="bottom"/>
            <w:hideMark/>
          </w:tcPr>
          <w:p w14:paraId="52316180" w14:textId="77777777" w:rsidR="00080EFD" w:rsidRPr="00080EFD" w:rsidRDefault="00080EFD" w:rsidP="00421639">
            <w:pPr>
              <w:rPr>
                <w:rFonts w:asciiTheme="minorHAnsi" w:hAnsiTheme="minorHAnsi" w:cstheme="minorHAnsi"/>
                <w:color w:val="000000"/>
                <w:lang w:eastAsia="en-GB"/>
              </w:rPr>
            </w:pPr>
            <w:r w:rsidRPr="00080EFD">
              <w:rPr>
                <w:rFonts w:asciiTheme="minorHAnsi" w:hAnsiTheme="minorHAnsi" w:cstheme="minorHAnsi"/>
                <w:color w:val="000000"/>
                <w:sz w:val="22"/>
                <w:lang w:eastAsia="en-GB"/>
              </w:rPr>
              <w:t>Empirical</w:t>
            </w:r>
          </w:p>
        </w:tc>
        <w:tc>
          <w:tcPr>
            <w:tcW w:w="1083" w:type="dxa"/>
            <w:tcBorders>
              <w:bottom w:val="single" w:sz="4" w:space="0" w:color="auto"/>
            </w:tcBorders>
            <w:shd w:val="clear" w:color="auto" w:fill="auto"/>
            <w:noWrap/>
            <w:vAlign w:val="bottom"/>
            <w:hideMark/>
          </w:tcPr>
          <w:p w14:paraId="4B764FAE" w14:textId="77777777" w:rsidR="00080EFD" w:rsidRPr="00080EFD" w:rsidRDefault="00080EFD" w:rsidP="00534ECC">
            <w:pPr>
              <w:jc w:val="center"/>
              <w:rPr>
                <w:rFonts w:asciiTheme="minorHAnsi" w:hAnsiTheme="minorHAnsi" w:cstheme="minorHAnsi"/>
                <w:color w:val="000000"/>
                <w:lang w:eastAsia="en-GB"/>
              </w:rPr>
            </w:pPr>
            <w:r w:rsidRPr="00080EFD">
              <w:rPr>
                <w:rFonts w:asciiTheme="minorHAnsi" w:hAnsiTheme="minorHAnsi" w:cstheme="minorHAnsi"/>
                <w:color w:val="000000"/>
                <w:sz w:val="22"/>
                <w:lang w:eastAsia="en-GB"/>
              </w:rPr>
              <w:t>Non-structural</w:t>
            </w:r>
          </w:p>
        </w:tc>
      </w:tr>
      <w:tr w:rsidR="00080EFD" w:rsidRPr="00080EFD" w14:paraId="3A5133C9" w14:textId="77777777" w:rsidTr="00421639">
        <w:trPr>
          <w:trHeight w:val="300"/>
        </w:trPr>
        <w:tc>
          <w:tcPr>
            <w:tcW w:w="1040" w:type="dxa"/>
            <w:tcBorders>
              <w:top w:val="single" w:sz="4" w:space="0" w:color="auto"/>
            </w:tcBorders>
            <w:shd w:val="clear" w:color="auto" w:fill="auto"/>
            <w:noWrap/>
            <w:vAlign w:val="bottom"/>
            <w:hideMark/>
          </w:tcPr>
          <w:p w14:paraId="47C04E18" w14:textId="77777777" w:rsidR="00080EFD" w:rsidRPr="00080EFD" w:rsidRDefault="00080EFD" w:rsidP="00CF2149">
            <w:pPr>
              <w:rPr>
                <w:rFonts w:asciiTheme="minorHAnsi" w:hAnsiTheme="minorHAnsi" w:cstheme="minorHAnsi"/>
                <w:color w:val="000000"/>
                <w:lang w:eastAsia="en-GB"/>
              </w:rPr>
            </w:pPr>
            <w:r w:rsidRPr="00080EFD">
              <w:rPr>
                <w:rFonts w:asciiTheme="minorHAnsi" w:hAnsiTheme="minorHAnsi" w:cstheme="minorHAnsi"/>
                <w:color w:val="000000"/>
                <w:sz w:val="22"/>
                <w:lang w:eastAsia="en-GB"/>
              </w:rPr>
              <w:t>Dist</w:t>
            </w:r>
            <w:r w:rsidR="00CF2149">
              <w:rPr>
                <w:rFonts w:asciiTheme="minorHAnsi" w:hAnsiTheme="minorHAnsi" w:cstheme="minorHAnsi"/>
                <w:color w:val="000000"/>
                <w:sz w:val="22"/>
                <w:lang w:eastAsia="en-GB"/>
              </w:rPr>
              <w:t>rict</w:t>
            </w:r>
          </w:p>
        </w:tc>
        <w:tc>
          <w:tcPr>
            <w:tcW w:w="1074" w:type="dxa"/>
            <w:tcBorders>
              <w:top w:val="single" w:sz="4" w:space="0" w:color="auto"/>
            </w:tcBorders>
          </w:tcPr>
          <w:p w14:paraId="3780CA48" w14:textId="77777777" w:rsidR="00080EFD" w:rsidRPr="00080EFD" w:rsidRDefault="00080EFD" w:rsidP="00421639">
            <w:pPr>
              <w:jc w:val="right"/>
              <w:rPr>
                <w:rFonts w:asciiTheme="minorHAnsi" w:hAnsiTheme="minorHAnsi" w:cstheme="minorHAnsi"/>
              </w:rPr>
            </w:pPr>
            <w:r w:rsidRPr="00080EFD">
              <w:rPr>
                <w:rFonts w:asciiTheme="minorHAnsi" w:hAnsiTheme="minorHAnsi" w:cstheme="minorHAnsi"/>
                <w:sz w:val="22"/>
              </w:rPr>
              <w:t>0.9</w:t>
            </w:r>
          </w:p>
        </w:tc>
        <w:tc>
          <w:tcPr>
            <w:tcW w:w="1083" w:type="dxa"/>
            <w:tcBorders>
              <w:top w:val="single" w:sz="4" w:space="0" w:color="auto"/>
            </w:tcBorders>
            <w:shd w:val="clear" w:color="auto" w:fill="auto"/>
            <w:noWrap/>
            <w:vAlign w:val="bottom"/>
            <w:hideMark/>
          </w:tcPr>
          <w:p w14:paraId="62DD04A5"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0.9</w:t>
            </w:r>
          </w:p>
        </w:tc>
        <w:tc>
          <w:tcPr>
            <w:tcW w:w="1042" w:type="dxa"/>
            <w:tcBorders>
              <w:top w:val="single" w:sz="4" w:space="0" w:color="auto"/>
            </w:tcBorders>
            <w:shd w:val="clear" w:color="auto" w:fill="auto"/>
            <w:noWrap/>
            <w:vAlign w:val="bottom"/>
            <w:hideMark/>
          </w:tcPr>
          <w:p w14:paraId="54081BA3"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6.2</w:t>
            </w:r>
          </w:p>
        </w:tc>
        <w:tc>
          <w:tcPr>
            <w:tcW w:w="1083" w:type="dxa"/>
            <w:tcBorders>
              <w:top w:val="single" w:sz="4" w:space="0" w:color="auto"/>
              <w:right w:val="single" w:sz="4" w:space="0" w:color="auto"/>
            </w:tcBorders>
            <w:shd w:val="clear" w:color="auto" w:fill="auto"/>
            <w:noWrap/>
            <w:vAlign w:val="bottom"/>
            <w:hideMark/>
          </w:tcPr>
          <w:p w14:paraId="5619130E"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7.6</w:t>
            </w:r>
          </w:p>
        </w:tc>
        <w:tc>
          <w:tcPr>
            <w:tcW w:w="1074" w:type="dxa"/>
            <w:tcBorders>
              <w:top w:val="single" w:sz="4" w:space="0" w:color="auto"/>
              <w:left w:val="single" w:sz="4" w:space="0" w:color="auto"/>
            </w:tcBorders>
            <w:vAlign w:val="bottom"/>
          </w:tcPr>
          <w:p w14:paraId="1AFCEDEF" w14:textId="77777777" w:rsidR="00080EFD" w:rsidRPr="00080EFD" w:rsidRDefault="00080EFD" w:rsidP="00421639">
            <w:pPr>
              <w:jc w:val="right"/>
              <w:rPr>
                <w:rFonts w:asciiTheme="minorHAnsi" w:hAnsiTheme="minorHAnsi" w:cstheme="minorHAnsi"/>
                <w:color w:val="000000"/>
              </w:rPr>
            </w:pPr>
            <w:r w:rsidRPr="00080EFD">
              <w:rPr>
                <w:rFonts w:asciiTheme="minorHAnsi" w:hAnsiTheme="minorHAnsi" w:cstheme="minorHAnsi"/>
                <w:color w:val="000000"/>
                <w:sz w:val="22"/>
              </w:rPr>
              <w:t>0.8</w:t>
            </w:r>
          </w:p>
        </w:tc>
        <w:tc>
          <w:tcPr>
            <w:tcW w:w="1138" w:type="dxa"/>
            <w:tcBorders>
              <w:top w:val="single" w:sz="4" w:space="0" w:color="auto"/>
            </w:tcBorders>
            <w:shd w:val="clear" w:color="auto" w:fill="auto"/>
            <w:noWrap/>
            <w:vAlign w:val="bottom"/>
            <w:hideMark/>
          </w:tcPr>
          <w:p w14:paraId="7440A83D"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0.8</w:t>
            </w:r>
          </w:p>
        </w:tc>
        <w:tc>
          <w:tcPr>
            <w:tcW w:w="1042" w:type="dxa"/>
            <w:tcBorders>
              <w:top w:val="single" w:sz="4" w:space="0" w:color="auto"/>
            </w:tcBorders>
            <w:shd w:val="clear" w:color="auto" w:fill="auto"/>
            <w:noWrap/>
            <w:vAlign w:val="bottom"/>
            <w:hideMark/>
          </w:tcPr>
          <w:p w14:paraId="6F8311C3"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3.4</w:t>
            </w:r>
          </w:p>
        </w:tc>
        <w:tc>
          <w:tcPr>
            <w:tcW w:w="1083" w:type="dxa"/>
            <w:tcBorders>
              <w:top w:val="single" w:sz="4" w:space="0" w:color="auto"/>
            </w:tcBorders>
            <w:shd w:val="clear" w:color="auto" w:fill="auto"/>
            <w:noWrap/>
            <w:vAlign w:val="bottom"/>
            <w:hideMark/>
          </w:tcPr>
          <w:p w14:paraId="124D4B5F"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4.2</w:t>
            </w:r>
          </w:p>
        </w:tc>
      </w:tr>
      <w:tr w:rsidR="00080EFD" w:rsidRPr="00080EFD" w14:paraId="659AD7DE" w14:textId="77777777" w:rsidTr="00421639">
        <w:trPr>
          <w:trHeight w:val="300"/>
        </w:trPr>
        <w:tc>
          <w:tcPr>
            <w:tcW w:w="1040" w:type="dxa"/>
            <w:shd w:val="clear" w:color="auto" w:fill="auto"/>
            <w:noWrap/>
            <w:vAlign w:val="bottom"/>
            <w:hideMark/>
          </w:tcPr>
          <w:p w14:paraId="583C694E" w14:textId="77777777" w:rsidR="00080EFD" w:rsidRPr="00080EFD" w:rsidRDefault="00CF2149" w:rsidP="00421639">
            <w:pPr>
              <w:rPr>
                <w:rFonts w:asciiTheme="minorHAnsi" w:hAnsiTheme="minorHAnsi" w:cstheme="minorHAnsi"/>
                <w:color w:val="000000"/>
                <w:lang w:eastAsia="en-GB"/>
              </w:rPr>
            </w:pPr>
            <w:r>
              <w:rPr>
                <w:rFonts w:asciiTheme="minorHAnsi" w:hAnsiTheme="minorHAnsi" w:cstheme="minorHAnsi"/>
                <w:color w:val="000000"/>
                <w:sz w:val="22"/>
                <w:lang w:eastAsia="en-GB"/>
              </w:rPr>
              <w:t>Ward</w:t>
            </w:r>
          </w:p>
        </w:tc>
        <w:tc>
          <w:tcPr>
            <w:tcW w:w="1074" w:type="dxa"/>
          </w:tcPr>
          <w:p w14:paraId="20A0B386" w14:textId="77777777" w:rsidR="00080EFD" w:rsidRPr="00080EFD" w:rsidRDefault="00080EFD" w:rsidP="00421639">
            <w:pPr>
              <w:jc w:val="right"/>
              <w:rPr>
                <w:rFonts w:asciiTheme="minorHAnsi" w:hAnsiTheme="minorHAnsi" w:cstheme="minorHAnsi"/>
              </w:rPr>
            </w:pPr>
            <w:r w:rsidRPr="00080EFD">
              <w:rPr>
                <w:rFonts w:asciiTheme="minorHAnsi" w:hAnsiTheme="minorHAnsi" w:cstheme="minorHAnsi"/>
                <w:sz w:val="22"/>
              </w:rPr>
              <w:t>2.2</w:t>
            </w:r>
          </w:p>
        </w:tc>
        <w:tc>
          <w:tcPr>
            <w:tcW w:w="1083" w:type="dxa"/>
            <w:shd w:val="clear" w:color="auto" w:fill="auto"/>
            <w:noWrap/>
            <w:vAlign w:val="bottom"/>
            <w:hideMark/>
          </w:tcPr>
          <w:p w14:paraId="5013DB85"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2.2</w:t>
            </w:r>
          </w:p>
        </w:tc>
        <w:tc>
          <w:tcPr>
            <w:tcW w:w="1042" w:type="dxa"/>
            <w:shd w:val="clear" w:color="auto" w:fill="auto"/>
            <w:noWrap/>
            <w:vAlign w:val="bottom"/>
            <w:hideMark/>
          </w:tcPr>
          <w:p w14:paraId="24D94DDE"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9.6</w:t>
            </w:r>
          </w:p>
        </w:tc>
        <w:tc>
          <w:tcPr>
            <w:tcW w:w="1083" w:type="dxa"/>
            <w:tcBorders>
              <w:right w:val="single" w:sz="4" w:space="0" w:color="auto"/>
            </w:tcBorders>
            <w:shd w:val="clear" w:color="auto" w:fill="auto"/>
            <w:noWrap/>
            <w:vAlign w:val="bottom"/>
            <w:hideMark/>
          </w:tcPr>
          <w:p w14:paraId="3F8CFB3D"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11.6</w:t>
            </w:r>
          </w:p>
        </w:tc>
        <w:tc>
          <w:tcPr>
            <w:tcW w:w="1074" w:type="dxa"/>
            <w:tcBorders>
              <w:left w:val="single" w:sz="4" w:space="0" w:color="auto"/>
            </w:tcBorders>
            <w:vAlign w:val="bottom"/>
          </w:tcPr>
          <w:p w14:paraId="1E8F38D7" w14:textId="77777777" w:rsidR="00080EFD" w:rsidRPr="00080EFD" w:rsidRDefault="00080EFD" w:rsidP="00421639">
            <w:pPr>
              <w:jc w:val="right"/>
              <w:rPr>
                <w:rFonts w:asciiTheme="minorHAnsi" w:hAnsiTheme="minorHAnsi" w:cstheme="minorHAnsi"/>
                <w:color w:val="000000"/>
              </w:rPr>
            </w:pPr>
            <w:r w:rsidRPr="00080EFD">
              <w:rPr>
                <w:rFonts w:asciiTheme="minorHAnsi" w:hAnsiTheme="minorHAnsi" w:cstheme="minorHAnsi"/>
                <w:color w:val="000000"/>
                <w:sz w:val="22"/>
              </w:rPr>
              <w:t>3.9</w:t>
            </w:r>
          </w:p>
        </w:tc>
        <w:tc>
          <w:tcPr>
            <w:tcW w:w="1138" w:type="dxa"/>
            <w:shd w:val="clear" w:color="auto" w:fill="auto"/>
            <w:noWrap/>
            <w:vAlign w:val="bottom"/>
            <w:hideMark/>
          </w:tcPr>
          <w:p w14:paraId="7784563C"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3.8</w:t>
            </w:r>
          </w:p>
        </w:tc>
        <w:tc>
          <w:tcPr>
            <w:tcW w:w="1042" w:type="dxa"/>
            <w:shd w:val="clear" w:color="auto" w:fill="auto"/>
            <w:noWrap/>
            <w:vAlign w:val="bottom"/>
            <w:hideMark/>
          </w:tcPr>
          <w:p w14:paraId="2AED3C9A"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12.6</w:t>
            </w:r>
          </w:p>
        </w:tc>
        <w:tc>
          <w:tcPr>
            <w:tcW w:w="1083" w:type="dxa"/>
            <w:shd w:val="clear" w:color="auto" w:fill="auto"/>
            <w:noWrap/>
            <w:vAlign w:val="bottom"/>
            <w:hideMark/>
          </w:tcPr>
          <w:p w14:paraId="6A3A9CB6"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15.6</w:t>
            </w:r>
          </w:p>
        </w:tc>
      </w:tr>
      <w:tr w:rsidR="00080EFD" w:rsidRPr="00080EFD" w14:paraId="6447BE53" w14:textId="77777777" w:rsidTr="00421639">
        <w:trPr>
          <w:trHeight w:val="300"/>
        </w:trPr>
        <w:tc>
          <w:tcPr>
            <w:tcW w:w="1040" w:type="dxa"/>
            <w:shd w:val="clear" w:color="auto" w:fill="auto"/>
            <w:noWrap/>
            <w:vAlign w:val="bottom"/>
            <w:hideMark/>
          </w:tcPr>
          <w:p w14:paraId="0058531E" w14:textId="77777777" w:rsidR="00080EFD" w:rsidRPr="00080EFD" w:rsidRDefault="00080EFD" w:rsidP="00421639">
            <w:pPr>
              <w:rPr>
                <w:rFonts w:asciiTheme="minorHAnsi" w:hAnsiTheme="minorHAnsi" w:cstheme="minorHAnsi"/>
                <w:color w:val="000000"/>
                <w:lang w:eastAsia="en-GB"/>
              </w:rPr>
            </w:pPr>
            <w:r w:rsidRPr="00080EFD">
              <w:rPr>
                <w:rFonts w:asciiTheme="minorHAnsi" w:hAnsiTheme="minorHAnsi" w:cstheme="minorHAnsi"/>
                <w:color w:val="000000"/>
                <w:sz w:val="22"/>
                <w:lang w:eastAsia="en-GB"/>
              </w:rPr>
              <w:t>Sector</w:t>
            </w:r>
          </w:p>
        </w:tc>
        <w:tc>
          <w:tcPr>
            <w:tcW w:w="1074" w:type="dxa"/>
          </w:tcPr>
          <w:p w14:paraId="577955DA" w14:textId="77777777" w:rsidR="00080EFD" w:rsidRPr="00080EFD" w:rsidRDefault="00080EFD" w:rsidP="00421639">
            <w:pPr>
              <w:jc w:val="right"/>
              <w:rPr>
                <w:rFonts w:asciiTheme="minorHAnsi" w:hAnsiTheme="minorHAnsi" w:cstheme="minorHAnsi"/>
              </w:rPr>
            </w:pPr>
            <w:r w:rsidRPr="00080EFD">
              <w:rPr>
                <w:rFonts w:asciiTheme="minorHAnsi" w:hAnsiTheme="minorHAnsi" w:cstheme="minorHAnsi"/>
                <w:sz w:val="22"/>
              </w:rPr>
              <w:t>4.7</w:t>
            </w:r>
          </w:p>
        </w:tc>
        <w:tc>
          <w:tcPr>
            <w:tcW w:w="1083" w:type="dxa"/>
            <w:shd w:val="clear" w:color="auto" w:fill="auto"/>
            <w:noWrap/>
            <w:vAlign w:val="bottom"/>
            <w:hideMark/>
          </w:tcPr>
          <w:p w14:paraId="64DF6FA0"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4.6</w:t>
            </w:r>
          </w:p>
        </w:tc>
        <w:tc>
          <w:tcPr>
            <w:tcW w:w="1042" w:type="dxa"/>
            <w:shd w:val="clear" w:color="auto" w:fill="auto"/>
            <w:noWrap/>
            <w:vAlign w:val="bottom"/>
            <w:hideMark/>
          </w:tcPr>
          <w:p w14:paraId="6ACA36C6"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18.0</w:t>
            </w:r>
          </w:p>
        </w:tc>
        <w:tc>
          <w:tcPr>
            <w:tcW w:w="1083" w:type="dxa"/>
            <w:tcBorders>
              <w:right w:val="single" w:sz="4" w:space="0" w:color="auto"/>
            </w:tcBorders>
            <w:shd w:val="clear" w:color="auto" w:fill="auto"/>
            <w:noWrap/>
            <w:vAlign w:val="bottom"/>
            <w:hideMark/>
          </w:tcPr>
          <w:p w14:paraId="6AA4281D"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22.1</w:t>
            </w:r>
          </w:p>
        </w:tc>
        <w:tc>
          <w:tcPr>
            <w:tcW w:w="1074" w:type="dxa"/>
            <w:tcBorders>
              <w:left w:val="single" w:sz="4" w:space="0" w:color="auto"/>
            </w:tcBorders>
            <w:vAlign w:val="bottom"/>
          </w:tcPr>
          <w:p w14:paraId="36A3C6D0" w14:textId="77777777" w:rsidR="00080EFD" w:rsidRPr="00080EFD" w:rsidRDefault="00080EFD" w:rsidP="00421639">
            <w:pPr>
              <w:jc w:val="right"/>
              <w:rPr>
                <w:rFonts w:asciiTheme="minorHAnsi" w:hAnsiTheme="minorHAnsi" w:cstheme="minorHAnsi"/>
                <w:color w:val="000000"/>
              </w:rPr>
            </w:pPr>
            <w:r w:rsidRPr="00080EFD">
              <w:rPr>
                <w:rFonts w:asciiTheme="minorHAnsi" w:hAnsiTheme="minorHAnsi" w:cstheme="minorHAnsi"/>
                <w:color w:val="000000"/>
                <w:sz w:val="22"/>
              </w:rPr>
              <w:t>6.8</w:t>
            </w:r>
          </w:p>
        </w:tc>
        <w:tc>
          <w:tcPr>
            <w:tcW w:w="1138" w:type="dxa"/>
            <w:shd w:val="clear" w:color="auto" w:fill="auto"/>
            <w:noWrap/>
            <w:vAlign w:val="bottom"/>
            <w:hideMark/>
          </w:tcPr>
          <w:p w14:paraId="440EF114"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6.7</w:t>
            </w:r>
          </w:p>
        </w:tc>
        <w:tc>
          <w:tcPr>
            <w:tcW w:w="1042" w:type="dxa"/>
            <w:shd w:val="clear" w:color="auto" w:fill="auto"/>
            <w:noWrap/>
            <w:vAlign w:val="bottom"/>
            <w:hideMark/>
          </w:tcPr>
          <w:p w14:paraId="0C436C1A"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11.9</w:t>
            </w:r>
          </w:p>
        </w:tc>
        <w:tc>
          <w:tcPr>
            <w:tcW w:w="1083" w:type="dxa"/>
            <w:shd w:val="clear" w:color="auto" w:fill="auto"/>
            <w:noWrap/>
            <w:vAlign w:val="bottom"/>
            <w:hideMark/>
          </w:tcPr>
          <w:p w14:paraId="1196E123"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14.8</w:t>
            </w:r>
          </w:p>
        </w:tc>
      </w:tr>
      <w:tr w:rsidR="00080EFD" w:rsidRPr="00080EFD" w14:paraId="073E3462" w14:textId="77777777" w:rsidTr="00421639">
        <w:trPr>
          <w:trHeight w:val="300"/>
        </w:trPr>
        <w:tc>
          <w:tcPr>
            <w:tcW w:w="1040" w:type="dxa"/>
            <w:shd w:val="clear" w:color="auto" w:fill="auto"/>
            <w:noWrap/>
            <w:vAlign w:val="bottom"/>
            <w:hideMark/>
          </w:tcPr>
          <w:p w14:paraId="2F5D625A" w14:textId="77777777" w:rsidR="00080EFD" w:rsidRPr="00080EFD" w:rsidRDefault="00080EFD" w:rsidP="00CF2149">
            <w:pPr>
              <w:rPr>
                <w:rFonts w:asciiTheme="minorHAnsi" w:hAnsiTheme="minorHAnsi" w:cstheme="minorHAnsi"/>
                <w:color w:val="000000"/>
                <w:lang w:eastAsia="en-GB"/>
              </w:rPr>
            </w:pPr>
            <w:r w:rsidRPr="00080EFD">
              <w:rPr>
                <w:rFonts w:asciiTheme="minorHAnsi" w:hAnsiTheme="minorHAnsi" w:cstheme="minorHAnsi"/>
                <w:color w:val="000000"/>
                <w:sz w:val="22"/>
                <w:lang w:eastAsia="en-GB"/>
              </w:rPr>
              <w:t>ED</w:t>
            </w:r>
          </w:p>
        </w:tc>
        <w:tc>
          <w:tcPr>
            <w:tcW w:w="1074" w:type="dxa"/>
          </w:tcPr>
          <w:p w14:paraId="2C92D543" w14:textId="77777777" w:rsidR="00080EFD" w:rsidRPr="00080EFD" w:rsidRDefault="00080EFD" w:rsidP="00421639">
            <w:pPr>
              <w:jc w:val="right"/>
              <w:rPr>
                <w:rFonts w:asciiTheme="minorHAnsi" w:hAnsiTheme="minorHAnsi" w:cstheme="minorHAnsi"/>
              </w:rPr>
            </w:pPr>
            <w:r w:rsidRPr="00080EFD">
              <w:rPr>
                <w:rFonts w:asciiTheme="minorHAnsi" w:hAnsiTheme="minorHAnsi" w:cstheme="minorHAnsi"/>
                <w:sz w:val="22"/>
              </w:rPr>
              <w:t>9.6</w:t>
            </w:r>
          </w:p>
        </w:tc>
        <w:tc>
          <w:tcPr>
            <w:tcW w:w="1083" w:type="dxa"/>
            <w:shd w:val="clear" w:color="auto" w:fill="auto"/>
            <w:noWrap/>
            <w:vAlign w:val="bottom"/>
            <w:hideMark/>
          </w:tcPr>
          <w:p w14:paraId="180C3885"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8.9</w:t>
            </w:r>
          </w:p>
        </w:tc>
        <w:tc>
          <w:tcPr>
            <w:tcW w:w="1042" w:type="dxa"/>
            <w:shd w:val="clear" w:color="auto" w:fill="auto"/>
            <w:noWrap/>
            <w:vAlign w:val="bottom"/>
            <w:hideMark/>
          </w:tcPr>
          <w:p w14:paraId="27E0FD3E"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34.8</w:t>
            </w:r>
          </w:p>
        </w:tc>
        <w:tc>
          <w:tcPr>
            <w:tcW w:w="1083" w:type="dxa"/>
            <w:tcBorders>
              <w:right w:val="single" w:sz="4" w:space="0" w:color="auto"/>
            </w:tcBorders>
            <w:shd w:val="clear" w:color="auto" w:fill="auto"/>
            <w:noWrap/>
            <w:vAlign w:val="bottom"/>
            <w:hideMark/>
          </w:tcPr>
          <w:p w14:paraId="7D5FEC77"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37.8</w:t>
            </w:r>
          </w:p>
        </w:tc>
        <w:tc>
          <w:tcPr>
            <w:tcW w:w="1074" w:type="dxa"/>
            <w:tcBorders>
              <w:left w:val="single" w:sz="4" w:space="0" w:color="auto"/>
            </w:tcBorders>
            <w:vAlign w:val="bottom"/>
          </w:tcPr>
          <w:p w14:paraId="63FF933B" w14:textId="77777777" w:rsidR="00080EFD" w:rsidRPr="00080EFD" w:rsidRDefault="00080EFD" w:rsidP="00421639">
            <w:pPr>
              <w:jc w:val="right"/>
              <w:rPr>
                <w:rFonts w:asciiTheme="minorHAnsi" w:hAnsiTheme="minorHAnsi" w:cstheme="minorHAnsi"/>
                <w:color w:val="000000"/>
              </w:rPr>
            </w:pPr>
            <w:r w:rsidRPr="00080EFD">
              <w:rPr>
                <w:rFonts w:asciiTheme="minorHAnsi" w:hAnsiTheme="minorHAnsi" w:cstheme="minorHAnsi"/>
                <w:color w:val="000000"/>
                <w:sz w:val="22"/>
              </w:rPr>
              <w:t>15.6</w:t>
            </w:r>
          </w:p>
        </w:tc>
        <w:tc>
          <w:tcPr>
            <w:tcW w:w="1138" w:type="dxa"/>
            <w:shd w:val="clear" w:color="auto" w:fill="auto"/>
            <w:noWrap/>
            <w:vAlign w:val="bottom"/>
            <w:hideMark/>
          </w:tcPr>
          <w:p w14:paraId="5EC01DF7"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14.4</w:t>
            </w:r>
          </w:p>
        </w:tc>
        <w:tc>
          <w:tcPr>
            <w:tcW w:w="1042" w:type="dxa"/>
            <w:shd w:val="clear" w:color="auto" w:fill="auto"/>
            <w:noWrap/>
            <w:vAlign w:val="bottom"/>
            <w:hideMark/>
          </w:tcPr>
          <w:p w14:paraId="0B4A7D47"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35.5</w:t>
            </w:r>
          </w:p>
        </w:tc>
        <w:tc>
          <w:tcPr>
            <w:tcW w:w="1083" w:type="dxa"/>
            <w:shd w:val="clear" w:color="auto" w:fill="auto"/>
            <w:noWrap/>
            <w:vAlign w:val="bottom"/>
            <w:hideMark/>
          </w:tcPr>
          <w:p w14:paraId="43B4B986"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39.4</w:t>
            </w:r>
          </w:p>
        </w:tc>
      </w:tr>
      <w:tr w:rsidR="00080EFD" w:rsidRPr="00080EFD" w14:paraId="36D11C91" w14:textId="77777777" w:rsidTr="00080EFD">
        <w:trPr>
          <w:trHeight w:val="300"/>
        </w:trPr>
        <w:tc>
          <w:tcPr>
            <w:tcW w:w="1040" w:type="dxa"/>
            <w:tcBorders>
              <w:bottom w:val="single" w:sz="4" w:space="0" w:color="auto"/>
            </w:tcBorders>
            <w:shd w:val="clear" w:color="auto" w:fill="auto"/>
            <w:noWrap/>
            <w:vAlign w:val="bottom"/>
            <w:hideMark/>
          </w:tcPr>
          <w:p w14:paraId="786C39E3" w14:textId="77777777" w:rsidR="00080EFD" w:rsidRPr="00080EFD" w:rsidRDefault="00080EFD" w:rsidP="00421639">
            <w:pPr>
              <w:rPr>
                <w:rFonts w:asciiTheme="minorHAnsi" w:hAnsiTheme="minorHAnsi" w:cstheme="minorHAnsi"/>
                <w:color w:val="000000"/>
                <w:lang w:eastAsia="en-GB"/>
              </w:rPr>
            </w:pPr>
            <w:r w:rsidRPr="00080EFD">
              <w:rPr>
                <w:rFonts w:asciiTheme="minorHAnsi" w:hAnsiTheme="minorHAnsi" w:cstheme="minorHAnsi"/>
                <w:color w:val="000000"/>
                <w:sz w:val="22"/>
                <w:lang w:eastAsia="en-GB"/>
              </w:rPr>
              <w:t>Postcode</w:t>
            </w:r>
          </w:p>
        </w:tc>
        <w:tc>
          <w:tcPr>
            <w:tcW w:w="1074" w:type="dxa"/>
            <w:tcBorders>
              <w:bottom w:val="single" w:sz="4" w:space="0" w:color="auto"/>
            </w:tcBorders>
          </w:tcPr>
          <w:p w14:paraId="6AF5B2B2" w14:textId="77777777" w:rsidR="00080EFD" w:rsidRPr="00080EFD" w:rsidRDefault="00080EFD" w:rsidP="00421639">
            <w:pPr>
              <w:jc w:val="right"/>
              <w:rPr>
                <w:rFonts w:asciiTheme="minorHAnsi" w:hAnsiTheme="minorHAnsi" w:cstheme="minorHAnsi"/>
              </w:rPr>
            </w:pPr>
            <w:r w:rsidRPr="00080EFD">
              <w:rPr>
                <w:rFonts w:asciiTheme="minorHAnsi" w:hAnsiTheme="minorHAnsi" w:cstheme="minorHAnsi"/>
                <w:sz w:val="22"/>
              </w:rPr>
              <w:t>13.9</w:t>
            </w:r>
          </w:p>
        </w:tc>
        <w:tc>
          <w:tcPr>
            <w:tcW w:w="1083" w:type="dxa"/>
            <w:tcBorders>
              <w:bottom w:val="single" w:sz="4" w:space="0" w:color="auto"/>
            </w:tcBorders>
            <w:shd w:val="clear" w:color="auto" w:fill="auto"/>
            <w:noWrap/>
            <w:vAlign w:val="bottom"/>
            <w:hideMark/>
          </w:tcPr>
          <w:p w14:paraId="6ED552F8"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11.2</w:t>
            </w:r>
          </w:p>
        </w:tc>
        <w:tc>
          <w:tcPr>
            <w:tcW w:w="1042" w:type="dxa"/>
            <w:tcBorders>
              <w:bottom w:val="single" w:sz="4" w:space="0" w:color="auto"/>
            </w:tcBorders>
            <w:shd w:val="clear" w:color="auto" w:fill="auto"/>
            <w:noWrap/>
            <w:vAlign w:val="bottom"/>
            <w:hideMark/>
          </w:tcPr>
          <w:p w14:paraId="08DCDB20"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31.3</w:t>
            </w:r>
          </w:p>
        </w:tc>
        <w:tc>
          <w:tcPr>
            <w:tcW w:w="1083" w:type="dxa"/>
            <w:tcBorders>
              <w:bottom w:val="single" w:sz="4" w:space="0" w:color="auto"/>
              <w:right w:val="single" w:sz="4" w:space="0" w:color="auto"/>
            </w:tcBorders>
            <w:shd w:val="clear" w:color="auto" w:fill="auto"/>
            <w:noWrap/>
            <w:vAlign w:val="bottom"/>
            <w:hideMark/>
          </w:tcPr>
          <w:p w14:paraId="1BCF04D0"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20.9</w:t>
            </w:r>
          </w:p>
        </w:tc>
        <w:tc>
          <w:tcPr>
            <w:tcW w:w="1074" w:type="dxa"/>
            <w:tcBorders>
              <w:left w:val="single" w:sz="4" w:space="0" w:color="auto"/>
              <w:bottom w:val="single" w:sz="4" w:space="0" w:color="auto"/>
            </w:tcBorders>
            <w:vAlign w:val="bottom"/>
          </w:tcPr>
          <w:p w14:paraId="6FF85D27" w14:textId="77777777" w:rsidR="00080EFD" w:rsidRPr="00080EFD" w:rsidRDefault="00080EFD" w:rsidP="00421639">
            <w:pPr>
              <w:jc w:val="right"/>
              <w:rPr>
                <w:rFonts w:asciiTheme="minorHAnsi" w:hAnsiTheme="minorHAnsi" w:cstheme="minorHAnsi"/>
                <w:color w:val="000000"/>
              </w:rPr>
            </w:pPr>
            <w:r w:rsidRPr="00080EFD">
              <w:rPr>
                <w:rFonts w:asciiTheme="minorHAnsi" w:hAnsiTheme="minorHAnsi" w:cstheme="minorHAnsi"/>
                <w:color w:val="000000"/>
                <w:sz w:val="22"/>
              </w:rPr>
              <w:t>24.6</w:t>
            </w:r>
          </w:p>
        </w:tc>
        <w:tc>
          <w:tcPr>
            <w:tcW w:w="1138" w:type="dxa"/>
            <w:tcBorders>
              <w:bottom w:val="single" w:sz="4" w:space="0" w:color="auto"/>
            </w:tcBorders>
            <w:shd w:val="clear" w:color="auto" w:fill="auto"/>
            <w:noWrap/>
            <w:vAlign w:val="bottom"/>
            <w:hideMark/>
          </w:tcPr>
          <w:p w14:paraId="261A86D9"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19.5</w:t>
            </w:r>
          </w:p>
        </w:tc>
        <w:tc>
          <w:tcPr>
            <w:tcW w:w="1042" w:type="dxa"/>
            <w:tcBorders>
              <w:bottom w:val="single" w:sz="4" w:space="0" w:color="auto"/>
            </w:tcBorders>
            <w:shd w:val="clear" w:color="auto" w:fill="auto"/>
            <w:noWrap/>
            <w:vAlign w:val="bottom"/>
            <w:hideMark/>
          </w:tcPr>
          <w:p w14:paraId="62B3F90A"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36.7</w:t>
            </w:r>
          </w:p>
        </w:tc>
        <w:tc>
          <w:tcPr>
            <w:tcW w:w="1083" w:type="dxa"/>
            <w:tcBorders>
              <w:bottom w:val="single" w:sz="4" w:space="0" w:color="auto"/>
            </w:tcBorders>
            <w:shd w:val="clear" w:color="auto" w:fill="auto"/>
            <w:noWrap/>
            <w:vAlign w:val="bottom"/>
            <w:hideMark/>
          </w:tcPr>
          <w:p w14:paraId="2D65D60B" w14:textId="77777777" w:rsidR="00080EFD" w:rsidRPr="00080EFD" w:rsidRDefault="00080EFD" w:rsidP="00421639">
            <w:pPr>
              <w:jc w:val="right"/>
              <w:rPr>
                <w:rFonts w:asciiTheme="minorHAnsi" w:hAnsiTheme="minorHAnsi" w:cstheme="minorHAnsi"/>
                <w:color w:val="000000"/>
                <w:lang w:eastAsia="en-GB"/>
              </w:rPr>
            </w:pPr>
            <w:r w:rsidRPr="00080EFD">
              <w:rPr>
                <w:rFonts w:asciiTheme="minorHAnsi" w:hAnsiTheme="minorHAnsi" w:cstheme="minorHAnsi"/>
                <w:color w:val="000000"/>
                <w:sz w:val="22"/>
                <w:lang w:eastAsia="en-GB"/>
              </w:rPr>
              <w:t>26.1</w:t>
            </w:r>
          </w:p>
        </w:tc>
      </w:tr>
      <w:tr w:rsidR="00080EFD" w:rsidRPr="00080EFD" w14:paraId="2A2C4AC1" w14:textId="77777777" w:rsidTr="00080EFD">
        <w:trPr>
          <w:trHeight w:val="300"/>
        </w:trPr>
        <w:tc>
          <w:tcPr>
            <w:tcW w:w="1040" w:type="dxa"/>
            <w:tcBorders>
              <w:top w:val="single" w:sz="4" w:space="0" w:color="auto"/>
              <w:bottom w:val="single" w:sz="4" w:space="0" w:color="auto"/>
            </w:tcBorders>
            <w:shd w:val="clear" w:color="auto" w:fill="auto"/>
            <w:noWrap/>
            <w:vAlign w:val="bottom"/>
            <w:hideMark/>
          </w:tcPr>
          <w:p w14:paraId="0F41C5D7" w14:textId="77777777" w:rsidR="00080EFD" w:rsidRPr="00080EFD" w:rsidRDefault="00080EFD" w:rsidP="00421639">
            <w:pPr>
              <w:rPr>
                <w:rFonts w:asciiTheme="minorHAnsi" w:hAnsiTheme="minorHAnsi" w:cstheme="minorHAnsi"/>
                <w:color w:val="000000"/>
                <w:lang w:eastAsia="en-GB"/>
              </w:rPr>
            </w:pPr>
          </w:p>
        </w:tc>
        <w:tc>
          <w:tcPr>
            <w:tcW w:w="1074" w:type="dxa"/>
            <w:tcBorders>
              <w:top w:val="single" w:sz="4" w:space="0" w:color="auto"/>
              <w:bottom w:val="single" w:sz="4" w:space="0" w:color="auto"/>
            </w:tcBorders>
          </w:tcPr>
          <w:p w14:paraId="694F7071" w14:textId="77777777" w:rsidR="00080EFD" w:rsidRPr="00080EFD" w:rsidRDefault="00080EFD" w:rsidP="00421639">
            <w:pPr>
              <w:jc w:val="right"/>
              <w:rPr>
                <w:rFonts w:asciiTheme="minorHAnsi" w:hAnsiTheme="minorHAnsi" w:cstheme="minorHAnsi"/>
              </w:rPr>
            </w:pPr>
          </w:p>
        </w:tc>
        <w:tc>
          <w:tcPr>
            <w:tcW w:w="1083" w:type="dxa"/>
            <w:tcBorders>
              <w:top w:val="single" w:sz="4" w:space="0" w:color="auto"/>
              <w:bottom w:val="single" w:sz="4" w:space="0" w:color="auto"/>
            </w:tcBorders>
            <w:shd w:val="clear" w:color="auto" w:fill="auto"/>
            <w:noWrap/>
            <w:vAlign w:val="bottom"/>
            <w:hideMark/>
          </w:tcPr>
          <w:p w14:paraId="279986C1" w14:textId="77777777" w:rsidR="00080EFD" w:rsidRPr="00080EFD" w:rsidRDefault="00080EFD" w:rsidP="00421639">
            <w:pPr>
              <w:jc w:val="right"/>
              <w:rPr>
                <w:rFonts w:asciiTheme="minorHAnsi" w:hAnsiTheme="minorHAnsi" w:cstheme="minorHAnsi"/>
                <w:color w:val="000000"/>
                <w:lang w:eastAsia="en-GB"/>
              </w:rPr>
            </w:pPr>
          </w:p>
        </w:tc>
        <w:tc>
          <w:tcPr>
            <w:tcW w:w="1042" w:type="dxa"/>
            <w:tcBorders>
              <w:top w:val="single" w:sz="4" w:space="0" w:color="auto"/>
              <w:bottom w:val="single" w:sz="4" w:space="0" w:color="auto"/>
            </w:tcBorders>
            <w:shd w:val="clear" w:color="auto" w:fill="auto"/>
            <w:noWrap/>
            <w:vAlign w:val="bottom"/>
            <w:hideMark/>
          </w:tcPr>
          <w:p w14:paraId="47D35C93" w14:textId="77777777" w:rsidR="00080EFD" w:rsidRPr="00080EFD" w:rsidRDefault="00080EFD" w:rsidP="00421639">
            <w:pPr>
              <w:jc w:val="right"/>
              <w:rPr>
                <w:rFonts w:asciiTheme="minorHAnsi" w:hAnsiTheme="minorHAnsi" w:cstheme="minorHAnsi"/>
                <w:color w:val="000000"/>
                <w:lang w:eastAsia="en-GB"/>
              </w:rPr>
            </w:pPr>
            <w:r>
              <w:rPr>
                <w:rFonts w:asciiTheme="minorHAnsi" w:hAnsiTheme="minorHAnsi" w:cstheme="minorHAnsi"/>
                <w:color w:val="000000"/>
                <w:sz w:val="22"/>
                <w:lang w:eastAsia="en-GB"/>
              </w:rPr>
              <w:t>100.0</w:t>
            </w:r>
          </w:p>
        </w:tc>
        <w:tc>
          <w:tcPr>
            <w:tcW w:w="1083" w:type="dxa"/>
            <w:tcBorders>
              <w:top w:val="single" w:sz="4" w:space="0" w:color="auto"/>
              <w:bottom w:val="single" w:sz="4" w:space="0" w:color="auto"/>
              <w:right w:val="single" w:sz="4" w:space="0" w:color="auto"/>
            </w:tcBorders>
            <w:shd w:val="clear" w:color="auto" w:fill="auto"/>
            <w:noWrap/>
            <w:vAlign w:val="bottom"/>
            <w:hideMark/>
          </w:tcPr>
          <w:p w14:paraId="129351AA" w14:textId="77777777" w:rsidR="00080EFD" w:rsidRPr="00080EFD" w:rsidRDefault="00080EFD" w:rsidP="00421639">
            <w:pPr>
              <w:jc w:val="right"/>
              <w:rPr>
                <w:rFonts w:asciiTheme="minorHAnsi" w:hAnsiTheme="minorHAnsi" w:cstheme="minorHAnsi"/>
                <w:color w:val="000000"/>
                <w:lang w:eastAsia="en-GB"/>
              </w:rPr>
            </w:pPr>
            <w:r>
              <w:rPr>
                <w:rFonts w:asciiTheme="minorHAnsi" w:hAnsiTheme="minorHAnsi" w:cstheme="minorHAnsi"/>
                <w:color w:val="000000"/>
                <w:sz w:val="22"/>
                <w:lang w:eastAsia="en-GB"/>
              </w:rPr>
              <w:t>100.0</w:t>
            </w:r>
          </w:p>
        </w:tc>
        <w:tc>
          <w:tcPr>
            <w:tcW w:w="1074" w:type="dxa"/>
            <w:tcBorders>
              <w:top w:val="single" w:sz="4" w:space="0" w:color="auto"/>
              <w:left w:val="single" w:sz="4" w:space="0" w:color="auto"/>
              <w:bottom w:val="single" w:sz="4" w:space="0" w:color="auto"/>
            </w:tcBorders>
            <w:vAlign w:val="bottom"/>
          </w:tcPr>
          <w:p w14:paraId="38B0AD91" w14:textId="77777777" w:rsidR="00080EFD" w:rsidRPr="00080EFD" w:rsidRDefault="00080EFD" w:rsidP="00421639">
            <w:pPr>
              <w:jc w:val="right"/>
              <w:rPr>
                <w:rFonts w:asciiTheme="minorHAnsi" w:hAnsiTheme="minorHAnsi" w:cstheme="minorHAnsi"/>
                <w:color w:val="000000"/>
              </w:rPr>
            </w:pPr>
          </w:p>
        </w:tc>
        <w:tc>
          <w:tcPr>
            <w:tcW w:w="1138" w:type="dxa"/>
            <w:tcBorders>
              <w:top w:val="single" w:sz="4" w:space="0" w:color="auto"/>
              <w:bottom w:val="single" w:sz="4" w:space="0" w:color="auto"/>
            </w:tcBorders>
            <w:shd w:val="clear" w:color="auto" w:fill="auto"/>
            <w:noWrap/>
            <w:vAlign w:val="bottom"/>
            <w:hideMark/>
          </w:tcPr>
          <w:p w14:paraId="6CFF601A" w14:textId="77777777" w:rsidR="00080EFD" w:rsidRPr="00080EFD" w:rsidRDefault="00080EFD" w:rsidP="00421639">
            <w:pPr>
              <w:jc w:val="right"/>
              <w:rPr>
                <w:rFonts w:asciiTheme="minorHAnsi" w:hAnsiTheme="minorHAnsi" w:cstheme="minorHAnsi"/>
                <w:color w:val="000000"/>
                <w:lang w:eastAsia="en-GB"/>
              </w:rPr>
            </w:pPr>
          </w:p>
        </w:tc>
        <w:tc>
          <w:tcPr>
            <w:tcW w:w="1042" w:type="dxa"/>
            <w:tcBorders>
              <w:top w:val="single" w:sz="4" w:space="0" w:color="auto"/>
              <w:bottom w:val="single" w:sz="4" w:space="0" w:color="auto"/>
            </w:tcBorders>
            <w:shd w:val="clear" w:color="auto" w:fill="auto"/>
            <w:noWrap/>
            <w:vAlign w:val="bottom"/>
            <w:hideMark/>
          </w:tcPr>
          <w:p w14:paraId="1C16A9C7" w14:textId="77777777" w:rsidR="00080EFD" w:rsidRPr="00080EFD" w:rsidRDefault="00080EFD" w:rsidP="00421639">
            <w:pPr>
              <w:jc w:val="right"/>
              <w:rPr>
                <w:rFonts w:asciiTheme="minorHAnsi" w:hAnsiTheme="minorHAnsi" w:cstheme="minorHAnsi"/>
                <w:color w:val="000000"/>
                <w:lang w:eastAsia="en-GB"/>
              </w:rPr>
            </w:pPr>
            <w:r>
              <w:rPr>
                <w:rFonts w:asciiTheme="minorHAnsi" w:hAnsiTheme="minorHAnsi" w:cstheme="minorHAnsi"/>
                <w:color w:val="000000"/>
                <w:sz w:val="22"/>
                <w:lang w:eastAsia="en-GB"/>
              </w:rPr>
              <w:t>100.0</w:t>
            </w:r>
          </w:p>
        </w:tc>
        <w:tc>
          <w:tcPr>
            <w:tcW w:w="1083" w:type="dxa"/>
            <w:tcBorders>
              <w:top w:val="single" w:sz="4" w:space="0" w:color="auto"/>
              <w:bottom w:val="single" w:sz="4" w:space="0" w:color="auto"/>
            </w:tcBorders>
            <w:shd w:val="clear" w:color="auto" w:fill="auto"/>
            <w:noWrap/>
            <w:vAlign w:val="bottom"/>
            <w:hideMark/>
          </w:tcPr>
          <w:p w14:paraId="2C7BF32A" w14:textId="77777777" w:rsidR="00080EFD" w:rsidRPr="00080EFD" w:rsidRDefault="00080EFD" w:rsidP="00421639">
            <w:pPr>
              <w:jc w:val="right"/>
              <w:rPr>
                <w:rFonts w:asciiTheme="minorHAnsi" w:hAnsiTheme="minorHAnsi" w:cstheme="minorHAnsi"/>
                <w:color w:val="000000"/>
                <w:lang w:eastAsia="en-GB"/>
              </w:rPr>
            </w:pPr>
            <w:r>
              <w:rPr>
                <w:rFonts w:asciiTheme="minorHAnsi" w:hAnsiTheme="minorHAnsi" w:cstheme="minorHAnsi"/>
                <w:color w:val="000000"/>
                <w:sz w:val="22"/>
                <w:lang w:eastAsia="en-GB"/>
              </w:rPr>
              <w:t>100.0</w:t>
            </w:r>
          </w:p>
        </w:tc>
      </w:tr>
    </w:tbl>
    <w:p w14:paraId="003CA64F" w14:textId="77777777" w:rsidR="00CF2149" w:rsidRDefault="00CF2149" w:rsidP="00080EFD">
      <w:pPr>
        <w:rPr>
          <w:rFonts w:asciiTheme="minorHAnsi" w:hAnsiTheme="minorHAnsi" w:cstheme="minorHAnsi"/>
          <w:i/>
          <w:sz w:val="22"/>
        </w:rPr>
      </w:pPr>
    </w:p>
    <w:p w14:paraId="31C4D029" w14:textId="77777777" w:rsidR="00080EFD" w:rsidRPr="00080EFD" w:rsidRDefault="00080EFD" w:rsidP="00080EFD">
      <w:pPr>
        <w:rPr>
          <w:rFonts w:asciiTheme="minorHAnsi" w:hAnsiTheme="minorHAnsi" w:cstheme="minorHAnsi"/>
          <w:sz w:val="22"/>
        </w:rPr>
      </w:pPr>
      <w:r w:rsidRPr="00CF2149">
        <w:rPr>
          <w:rFonts w:asciiTheme="minorHAnsi" w:hAnsiTheme="minorHAnsi" w:cstheme="minorHAnsi"/>
          <w:i/>
          <w:sz w:val="22"/>
        </w:rPr>
        <w:t>Notes</w:t>
      </w:r>
      <w:r w:rsidRPr="00080EFD">
        <w:rPr>
          <w:rFonts w:asciiTheme="minorHAnsi" w:hAnsiTheme="minorHAnsi" w:cstheme="minorHAnsi"/>
          <w:sz w:val="22"/>
        </w:rPr>
        <w:t>: (1) Sector = Postcode Sector;</w:t>
      </w:r>
      <w:r w:rsidR="00CF2149">
        <w:rPr>
          <w:rFonts w:asciiTheme="minorHAnsi" w:hAnsiTheme="minorHAnsi" w:cstheme="minorHAnsi"/>
          <w:sz w:val="22"/>
        </w:rPr>
        <w:t xml:space="preserve"> ED = Enumeration District;</w:t>
      </w:r>
      <w:r w:rsidRPr="00080EFD">
        <w:rPr>
          <w:rFonts w:asciiTheme="minorHAnsi" w:hAnsiTheme="minorHAnsi" w:cstheme="minorHAnsi"/>
          <w:sz w:val="22"/>
        </w:rPr>
        <w:t xml:space="preserve"> Postcode = Postcode unit; (2)</w:t>
      </w:r>
      <w:r w:rsidR="00CF2149">
        <w:rPr>
          <w:rFonts w:asciiTheme="minorHAnsi" w:hAnsiTheme="minorHAnsi" w:cstheme="minorHAnsi"/>
          <w:sz w:val="22"/>
        </w:rPr>
        <w:t xml:space="preserve"> Based on </w:t>
      </w:r>
      <w:r w:rsidR="00421639">
        <w:rPr>
          <w:rFonts w:asciiTheme="minorHAnsi" w:hAnsiTheme="minorHAnsi" w:cstheme="minorHAnsi"/>
          <w:sz w:val="22"/>
        </w:rPr>
        <w:t>1999</w:t>
      </w:r>
      <w:r w:rsidR="00CF2149">
        <w:rPr>
          <w:rFonts w:asciiTheme="minorHAnsi" w:hAnsiTheme="minorHAnsi" w:cstheme="minorHAnsi"/>
          <w:sz w:val="22"/>
        </w:rPr>
        <w:t xml:space="preserve"> Rehearsal Geographies; (3)</w:t>
      </w:r>
      <w:r w:rsidRPr="00080EFD">
        <w:rPr>
          <w:rFonts w:asciiTheme="minorHAnsi" w:hAnsiTheme="minorHAnsi" w:cstheme="minorHAnsi"/>
          <w:sz w:val="22"/>
        </w:rPr>
        <w:t xml:space="preserve"> Empirical = variance measured in Census Rehearsal; Non-structural = Empirical less variance to be expected by chance alone</w:t>
      </w:r>
    </w:p>
    <w:p w14:paraId="667275DB" w14:textId="77777777" w:rsidR="00CF2149" w:rsidRDefault="00CF2149" w:rsidP="00080EFD">
      <w:pPr>
        <w:spacing w:line="276" w:lineRule="auto"/>
        <w:jc w:val="both"/>
        <w:rPr>
          <w:rFonts w:asciiTheme="minorHAnsi" w:hAnsiTheme="minorHAnsi" w:cstheme="minorHAnsi"/>
          <w:sz w:val="16"/>
          <w:szCs w:val="18"/>
        </w:rPr>
      </w:pPr>
    </w:p>
    <w:p w14:paraId="50204D4A" w14:textId="77777777" w:rsidR="006B508E" w:rsidRDefault="006B508E" w:rsidP="00080EFD">
      <w:pPr>
        <w:spacing w:line="276" w:lineRule="auto"/>
        <w:jc w:val="both"/>
        <w:rPr>
          <w:rFonts w:asciiTheme="minorHAnsi" w:hAnsiTheme="minorHAnsi" w:cstheme="minorHAnsi"/>
          <w:sz w:val="16"/>
          <w:szCs w:val="18"/>
        </w:rPr>
      </w:pPr>
    </w:p>
    <w:p w14:paraId="0241FDF5" w14:textId="77777777" w:rsidR="006B508E" w:rsidRDefault="006B508E" w:rsidP="00080EFD">
      <w:pPr>
        <w:spacing w:line="276" w:lineRule="auto"/>
        <w:jc w:val="both"/>
        <w:rPr>
          <w:rFonts w:asciiTheme="minorHAnsi" w:hAnsiTheme="minorHAnsi" w:cstheme="minorHAnsi"/>
          <w:sz w:val="16"/>
          <w:szCs w:val="18"/>
        </w:rPr>
      </w:pPr>
    </w:p>
    <w:p w14:paraId="38B84CF6" w14:textId="77777777" w:rsidR="00CF2149" w:rsidRDefault="005F320E" w:rsidP="00CF2149">
      <w:r w:rsidRPr="005F320E">
        <w:rPr>
          <w:noProof/>
          <w:szCs w:val="22"/>
          <w:lang w:val="en-US"/>
        </w:rPr>
        <w:drawing>
          <wp:inline distT="0" distB="0" distL="0" distR="0" wp14:anchorId="7DD35AAF" wp14:editId="304AECFA">
            <wp:extent cx="5731510" cy="3872124"/>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31510" cy="3872124"/>
                    </a:xfrm>
                    <a:prstGeom prst="rect">
                      <a:avLst/>
                    </a:prstGeom>
                    <a:noFill/>
                    <a:ln w="9525">
                      <a:noFill/>
                      <a:miter lim="800000"/>
                      <a:headEnd/>
                      <a:tailEnd/>
                    </a:ln>
                  </pic:spPr>
                </pic:pic>
              </a:graphicData>
            </a:graphic>
          </wp:inline>
        </w:drawing>
      </w:r>
    </w:p>
    <w:p w14:paraId="116D529D" w14:textId="77777777" w:rsidR="00CF2149" w:rsidRPr="00CF2149" w:rsidRDefault="00CF2149" w:rsidP="00CF2149">
      <w:pPr>
        <w:rPr>
          <w:rFonts w:asciiTheme="minorHAnsi" w:hAnsiTheme="minorHAnsi" w:cstheme="minorHAnsi"/>
          <w:sz w:val="22"/>
          <w:szCs w:val="22"/>
        </w:rPr>
      </w:pPr>
      <w:r w:rsidRPr="00CF2149">
        <w:rPr>
          <w:rFonts w:asciiTheme="minorHAnsi" w:hAnsiTheme="minorHAnsi" w:cstheme="minorHAnsi"/>
          <w:b/>
          <w:sz w:val="22"/>
          <w:szCs w:val="22"/>
        </w:rPr>
        <w:t xml:space="preserve">Figure </w:t>
      </w:r>
      <w:r w:rsidR="006B508E">
        <w:rPr>
          <w:rFonts w:asciiTheme="minorHAnsi" w:hAnsiTheme="minorHAnsi" w:cstheme="minorHAnsi"/>
          <w:b/>
          <w:sz w:val="22"/>
          <w:szCs w:val="22"/>
        </w:rPr>
        <w:t>2</w:t>
      </w:r>
      <w:r w:rsidRPr="00CF2149">
        <w:rPr>
          <w:rFonts w:asciiTheme="minorHAnsi" w:hAnsiTheme="minorHAnsi" w:cstheme="minorHAnsi"/>
          <w:sz w:val="22"/>
          <w:szCs w:val="22"/>
        </w:rPr>
        <w:t xml:space="preserve"> Income segregation</w:t>
      </w:r>
    </w:p>
    <w:p w14:paraId="2A0701F7" w14:textId="77777777" w:rsidR="00CF2149" w:rsidRDefault="00CF2149" w:rsidP="00CF2149">
      <w:pPr>
        <w:spacing w:line="276" w:lineRule="auto"/>
        <w:jc w:val="both"/>
        <w:rPr>
          <w:rFonts w:asciiTheme="minorHAnsi" w:hAnsiTheme="minorHAnsi" w:cstheme="minorHAnsi"/>
          <w:sz w:val="22"/>
          <w:szCs w:val="22"/>
        </w:rPr>
      </w:pPr>
    </w:p>
    <w:p w14:paraId="69E32BA8" w14:textId="77777777" w:rsidR="005F320E" w:rsidRDefault="005F320E" w:rsidP="00CF2149">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NOTES: Income bands for persons defined as per Figure 1; Income bands for households defined as </w:t>
      </w:r>
      <w:proofErr w:type="spellStart"/>
      <w:r>
        <w:rPr>
          <w:rFonts w:asciiTheme="minorHAnsi" w:hAnsiTheme="minorHAnsi" w:cstheme="minorHAnsi"/>
          <w:sz w:val="22"/>
          <w:szCs w:val="22"/>
        </w:rPr>
        <w:t>deciles</w:t>
      </w:r>
      <w:proofErr w:type="spellEnd"/>
      <w:r>
        <w:rPr>
          <w:rFonts w:asciiTheme="minorHAnsi" w:hAnsiTheme="minorHAnsi" w:cstheme="minorHAnsi"/>
          <w:sz w:val="22"/>
          <w:szCs w:val="22"/>
        </w:rPr>
        <w:t xml:space="preserve"> of the household income distribution.</w:t>
      </w:r>
    </w:p>
    <w:p w14:paraId="4B0EBE72" w14:textId="77777777" w:rsidR="005F320E" w:rsidRDefault="005F320E" w:rsidP="00CF2149">
      <w:pPr>
        <w:spacing w:line="276" w:lineRule="auto"/>
        <w:jc w:val="both"/>
        <w:rPr>
          <w:rFonts w:asciiTheme="minorHAnsi" w:hAnsiTheme="minorHAnsi" w:cstheme="minorHAnsi"/>
          <w:sz w:val="22"/>
          <w:szCs w:val="22"/>
        </w:rPr>
      </w:pPr>
    </w:p>
    <w:p w14:paraId="0FAD0345" w14:textId="77777777" w:rsidR="00080EFD" w:rsidRDefault="00080EFD" w:rsidP="00CF2149">
      <w:pPr>
        <w:spacing w:line="276" w:lineRule="auto"/>
        <w:jc w:val="both"/>
        <w:rPr>
          <w:rFonts w:asciiTheme="minorHAnsi" w:hAnsiTheme="minorHAnsi" w:cstheme="minorHAnsi"/>
          <w:sz w:val="22"/>
          <w:szCs w:val="22"/>
        </w:rPr>
      </w:pPr>
    </w:p>
    <w:p w14:paraId="7B631819" w14:textId="77777777" w:rsidR="00CF2149" w:rsidRDefault="00CF2149" w:rsidP="00CF2149">
      <w:pPr>
        <w:spacing w:line="276" w:lineRule="auto"/>
        <w:jc w:val="both"/>
        <w:rPr>
          <w:rFonts w:asciiTheme="minorHAnsi" w:hAnsiTheme="minorHAnsi" w:cstheme="minorHAnsi"/>
          <w:sz w:val="22"/>
          <w:szCs w:val="22"/>
        </w:rPr>
      </w:pPr>
    </w:p>
    <w:p w14:paraId="23A07377" w14:textId="77777777" w:rsidR="005F320E" w:rsidRDefault="00CF2149" w:rsidP="00CF2149">
      <w:pPr>
        <w:jc w:val="both"/>
        <w:rPr>
          <w:rFonts w:asciiTheme="minorHAnsi" w:hAnsiTheme="minorHAnsi" w:cstheme="minorHAnsi"/>
          <w:sz w:val="22"/>
          <w:szCs w:val="22"/>
        </w:rPr>
      </w:pPr>
      <w:r>
        <w:rPr>
          <w:rFonts w:asciiTheme="minorHAnsi" w:hAnsiTheme="minorHAnsi" w:cstheme="minorHAnsi"/>
          <w:sz w:val="22"/>
          <w:szCs w:val="22"/>
        </w:rPr>
        <w:br w:type="column"/>
      </w:r>
    </w:p>
    <w:p w14:paraId="5D7A63C9" w14:textId="77777777" w:rsidR="00C8263E" w:rsidRDefault="00C8263E" w:rsidP="00CF2149">
      <w:pPr>
        <w:jc w:val="both"/>
        <w:rPr>
          <w:rFonts w:asciiTheme="minorHAnsi" w:hAnsiTheme="minorHAnsi" w:cstheme="minorHAnsi"/>
          <w:sz w:val="22"/>
          <w:szCs w:val="22"/>
        </w:rPr>
      </w:pPr>
    </w:p>
    <w:p w14:paraId="3B5301C4" w14:textId="77777777" w:rsidR="00C8263E" w:rsidRDefault="00C8263E" w:rsidP="00CF2149">
      <w:pPr>
        <w:jc w:val="both"/>
        <w:rPr>
          <w:rFonts w:asciiTheme="minorHAnsi" w:hAnsiTheme="minorHAnsi" w:cstheme="minorHAnsi"/>
          <w:sz w:val="22"/>
          <w:szCs w:val="22"/>
        </w:rPr>
      </w:pPr>
    </w:p>
    <w:p w14:paraId="7A779DAE" w14:textId="77777777" w:rsidR="00C8263E" w:rsidRDefault="00C8263E" w:rsidP="00CF2149">
      <w:pPr>
        <w:jc w:val="both"/>
        <w:rPr>
          <w:rFonts w:asciiTheme="minorHAnsi" w:hAnsiTheme="minorHAnsi" w:cstheme="minorHAnsi"/>
          <w:sz w:val="22"/>
          <w:szCs w:val="22"/>
        </w:rPr>
      </w:pPr>
    </w:p>
    <w:p w14:paraId="2F7A99A6" w14:textId="5762EECD" w:rsidR="00C8263E" w:rsidRDefault="001F5E12" w:rsidP="00CF2149">
      <w:pPr>
        <w:jc w:val="both"/>
        <w:rPr>
          <w:rFonts w:asciiTheme="minorHAnsi" w:hAnsiTheme="minorHAnsi" w:cstheme="minorHAnsi"/>
          <w:sz w:val="22"/>
          <w:szCs w:val="22"/>
        </w:rPr>
      </w:pPr>
      <w:r>
        <w:rPr>
          <w:rFonts w:asciiTheme="minorHAnsi" w:hAnsiTheme="minorHAnsi" w:cstheme="minorHAnsi"/>
          <w:noProof/>
          <w:sz w:val="22"/>
          <w:szCs w:val="22"/>
          <w:lang w:val="en-US"/>
        </w:rPr>
        <w:drawing>
          <wp:inline distT="0" distB="0" distL="0" distR="0" wp14:anchorId="131CB0A3" wp14:editId="7AFC055A">
            <wp:extent cx="5718810" cy="3081020"/>
            <wp:effectExtent l="0" t="0" r="0" b="0"/>
            <wp:docPr id="18" name="Picture 18" descr="Macintosh HD:Users:Administrator:Desktop:Screen Shot 2015-07-15 at 13.1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Macintosh HD:Users:Administrator:Desktop:Screen Shot 2015-07-15 at 13.12.3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8810" cy="3081020"/>
                    </a:xfrm>
                    <a:prstGeom prst="rect">
                      <a:avLst/>
                    </a:prstGeom>
                    <a:noFill/>
                    <a:ln>
                      <a:noFill/>
                    </a:ln>
                  </pic:spPr>
                </pic:pic>
              </a:graphicData>
            </a:graphic>
          </wp:inline>
        </w:drawing>
      </w:r>
    </w:p>
    <w:p w14:paraId="0D652F14" w14:textId="77777777" w:rsidR="00C8263E" w:rsidRDefault="00C8263E" w:rsidP="00CF2149">
      <w:pPr>
        <w:jc w:val="both"/>
        <w:rPr>
          <w:rFonts w:asciiTheme="minorHAnsi" w:hAnsiTheme="minorHAnsi" w:cstheme="minorHAnsi"/>
          <w:sz w:val="22"/>
          <w:szCs w:val="22"/>
        </w:rPr>
      </w:pPr>
    </w:p>
    <w:p w14:paraId="7DCBC776" w14:textId="77777777" w:rsidR="00C8263E" w:rsidRDefault="00C8263E" w:rsidP="00CF2149">
      <w:pPr>
        <w:jc w:val="both"/>
        <w:rPr>
          <w:rFonts w:asciiTheme="minorHAnsi" w:hAnsiTheme="minorHAnsi" w:cstheme="minorHAnsi"/>
          <w:sz w:val="22"/>
          <w:szCs w:val="22"/>
        </w:rPr>
      </w:pPr>
    </w:p>
    <w:p w14:paraId="316644D5" w14:textId="4284463A" w:rsidR="001F5E12" w:rsidRDefault="001F5E12" w:rsidP="00CF2149">
      <w:pPr>
        <w:jc w:val="both"/>
        <w:rPr>
          <w:rFonts w:asciiTheme="minorHAnsi" w:hAnsiTheme="minorHAnsi" w:cstheme="minorHAnsi"/>
          <w:sz w:val="22"/>
          <w:szCs w:val="22"/>
        </w:rPr>
      </w:pPr>
      <w:r>
        <w:rPr>
          <w:rFonts w:asciiTheme="minorHAnsi" w:hAnsiTheme="minorHAnsi" w:cstheme="minorHAnsi"/>
          <w:sz w:val="22"/>
          <w:szCs w:val="22"/>
        </w:rPr>
        <w:t>[See separate file for full-sized text-based version of this table]</w:t>
      </w:r>
    </w:p>
    <w:p w14:paraId="0DAFF8B9" w14:textId="10EA2F24" w:rsidR="00CF2149" w:rsidRPr="00CF2149" w:rsidRDefault="00CF2149" w:rsidP="00CF2149">
      <w:pPr>
        <w:jc w:val="both"/>
        <w:rPr>
          <w:rFonts w:ascii="Calibri" w:eastAsia="Calibri" w:hAnsi="Calibri"/>
          <w:sz w:val="22"/>
          <w:szCs w:val="22"/>
        </w:rPr>
      </w:pPr>
      <w:r>
        <w:rPr>
          <w:rFonts w:asciiTheme="minorHAnsi" w:hAnsiTheme="minorHAnsi" w:cstheme="minorHAnsi"/>
          <w:sz w:val="22"/>
          <w:szCs w:val="22"/>
        </w:rPr>
        <w:br w:type="column"/>
      </w:r>
      <w:r w:rsidRPr="00026B03">
        <w:rPr>
          <w:rFonts w:ascii="Calibri" w:eastAsia="Calibri" w:hAnsi="Calibri"/>
          <w:b/>
          <w:sz w:val="22"/>
          <w:szCs w:val="22"/>
        </w:rPr>
        <w:lastRenderedPageBreak/>
        <w:t xml:space="preserve">Table </w:t>
      </w:r>
      <w:r w:rsidR="00A85598">
        <w:rPr>
          <w:rFonts w:ascii="Calibri" w:eastAsia="Calibri" w:hAnsi="Calibri"/>
          <w:b/>
          <w:sz w:val="22"/>
          <w:szCs w:val="22"/>
        </w:rPr>
        <w:t>4</w:t>
      </w:r>
      <w:r w:rsidRPr="00CF2149">
        <w:rPr>
          <w:rFonts w:ascii="Calibri" w:eastAsia="Calibri" w:hAnsi="Calibri"/>
          <w:sz w:val="22"/>
          <w:szCs w:val="22"/>
        </w:rPr>
        <w:t xml:space="preserve"> Multivariate income surrogates</w:t>
      </w:r>
      <w:r w:rsidR="00026B03">
        <w:rPr>
          <w:rFonts w:ascii="Calibri" w:eastAsia="Calibri" w:hAnsi="Calibri"/>
          <w:sz w:val="22"/>
          <w:szCs w:val="22"/>
        </w:rPr>
        <w:t xml:space="preserve"> (indices)</w:t>
      </w:r>
    </w:p>
    <w:p w14:paraId="32E5989D" w14:textId="77777777" w:rsidR="00CF2149" w:rsidRDefault="00CF2149" w:rsidP="00CF2149">
      <w:pPr>
        <w:jc w:val="both"/>
        <w:rPr>
          <w:rFonts w:ascii="Calibri" w:eastAsia="Calibri" w:hAnsi="Calibri"/>
        </w:rPr>
      </w:pPr>
    </w:p>
    <w:tbl>
      <w:tblPr>
        <w:tblW w:w="7935" w:type="dxa"/>
        <w:tblCellMar>
          <w:left w:w="0" w:type="dxa"/>
          <w:right w:w="0" w:type="dxa"/>
        </w:tblCellMar>
        <w:tblLook w:val="0000" w:firstRow="0" w:lastRow="0" w:firstColumn="0" w:lastColumn="0" w:noHBand="0" w:noVBand="0"/>
      </w:tblPr>
      <w:tblGrid>
        <w:gridCol w:w="1815"/>
        <w:gridCol w:w="6120"/>
      </w:tblGrid>
      <w:tr w:rsidR="00CF2149" w14:paraId="6685D66B" w14:textId="77777777" w:rsidTr="00026B03">
        <w:trPr>
          <w:trHeight w:val="255"/>
        </w:trPr>
        <w:tc>
          <w:tcPr>
            <w:tcW w:w="1815" w:type="dxa"/>
            <w:tcBorders>
              <w:top w:val="single" w:sz="4" w:space="0" w:color="auto"/>
              <w:left w:val="nil"/>
              <w:bottom w:val="nil"/>
              <w:right w:val="nil"/>
            </w:tcBorders>
            <w:noWrap/>
            <w:tcMar>
              <w:top w:w="15" w:type="dxa"/>
              <w:left w:w="15" w:type="dxa"/>
              <w:bottom w:w="0" w:type="dxa"/>
              <w:right w:w="15" w:type="dxa"/>
            </w:tcMar>
            <w:vAlign w:val="bottom"/>
          </w:tcPr>
          <w:p w14:paraId="2D1C9CD9" w14:textId="77777777" w:rsidR="00CF2149" w:rsidRPr="00CF2149" w:rsidRDefault="00CF2149" w:rsidP="00421639">
            <w:pPr>
              <w:rPr>
                <w:rFonts w:asciiTheme="minorHAnsi" w:eastAsia="Calibri" w:hAnsiTheme="minorHAnsi" w:cstheme="minorHAnsi"/>
                <w:sz w:val="20"/>
                <w:szCs w:val="20"/>
              </w:rPr>
            </w:pPr>
            <w:r w:rsidRPr="00CF2149">
              <w:rPr>
                <w:rFonts w:asciiTheme="minorHAnsi" w:eastAsia="Calibri" w:hAnsiTheme="minorHAnsi" w:cstheme="minorHAnsi"/>
                <w:sz w:val="20"/>
                <w:szCs w:val="20"/>
              </w:rPr>
              <w:t>CARSTAIR</w:t>
            </w:r>
          </w:p>
          <w:p w14:paraId="3DB9F431" w14:textId="77777777" w:rsidR="00CF2149" w:rsidRPr="00CF2149" w:rsidRDefault="00CF2149" w:rsidP="00421639">
            <w:pPr>
              <w:rPr>
                <w:rFonts w:asciiTheme="minorHAnsi" w:eastAsia="Calibri" w:hAnsiTheme="minorHAnsi" w:cstheme="minorHAnsi"/>
                <w:sz w:val="20"/>
                <w:szCs w:val="20"/>
              </w:rPr>
            </w:pPr>
          </w:p>
          <w:p w14:paraId="21D9E0F5" w14:textId="77777777" w:rsidR="00CF2149" w:rsidRPr="00CF2149" w:rsidRDefault="00CF2149" w:rsidP="00421639">
            <w:pPr>
              <w:rPr>
                <w:rFonts w:asciiTheme="minorHAnsi" w:eastAsia="Calibri" w:hAnsiTheme="minorHAnsi" w:cstheme="minorHAnsi"/>
                <w:sz w:val="20"/>
                <w:szCs w:val="20"/>
              </w:rPr>
            </w:pPr>
          </w:p>
        </w:tc>
        <w:tc>
          <w:tcPr>
            <w:tcW w:w="6120" w:type="dxa"/>
            <w:tcBorders>
              <w:top w:val="single" w:sz="4" w:space="0" w:color="auto"/>
              <w:left w:val="nil"/>
              <w:bottom w:val="nil"/>
              <w:right w:val="nil"/>
            </w:tcBorders>
          </w:tcPr>
          <w:p w14:paraId="3E97D2B9" w14:textId="77777777" w:rsidR="00CF2149" w:rsidRDefault="00CF2149" w:rsidP="00421639">
            <w:pPr>
              <w:rPr>
                <w:rFonts w:ascii="Calibri" w:eastAsia="MS Mincho" w:hAnsi="Calibri"/>
                <w:sz w:val="20"/>
              </w:rPr>
            </w:pPr>
            <w:r>
              <w:rPr>
                <w:rFonts w:ascii="Calibri" w:eastAsia="MS Mincho" w:hAnsi="Calibri"/>
                <w:sz w:val="20"/>
              </w:rPr>
              <w:t>Combination of:</w:t>
            </w:r>
          </w:p>
          <w:p w14:paraId="617BD421" w14:textId="77777777" w:rsidR="00CF2149" w:rsidRDefault="00CF2149" w:rsidP="00421639">
            <w:pPr>
              <w:ind w:left="360"/>
              <w:rPr>
                <w:rFonts w:ascii="Calibri" w:eastAsia="Calibri" w:hAnsi="Calibri"/>
                <w:sz w:val="20"/>
                <w:szCs w:val="20"/>
              </w:rPr>
            </w:pPr>
            <w:r>
              <w:rPr>
                <w:rFonts w:ascii="Calibri" w:eastAsia="MS Mincho" w:hAnsi="Calibri"/>
                <w:sz w:val="20"/>
              </w:rPr>
              <w:t xml:space="preserve">% </w:t>
            </w:r>
            <w:proofErr w:type="gramStart"/>
            <w:r>
              <w:rPr>
                <w:rFonts w:ascii="Calibri" w:eastAsia="MS Mincho" w:hAnsi="Calibri"/>
                <w:sz w:val="20"/>
              </w:rPr>
              <w:t>male</w:t>
            </w:r>
            <w:proofErr w:type="gramEnd"/>
            <w:r>
              <w:rPr>
                <w:rFonts w:ascii="Calibri" w:eastAsia="MS Mincho" w:hAnsi="Calibri"/>
                <w:sz w:val="20"/>
              </w:rPr>
              <w:t xml:space="preserve"> unemployment, % residents in overcrowded households, % residents in households with no car and % households with household head in Social Class IV or V</w:t>
            </w:r>
          </w:p>
        </w:tc>
      </w:tr>
      <w:tr w:rsidR="00CF2149" w14:paraId="2006A18B" w14:textId="77777777" w:rsidTr="00421639">
        <w:trPr>
          <w:trHeight w:val="255"/>
        </w:trPr>
        <w:tc>
          <w:tcPr>
            <w:tcW w:w="1815" w:type="dxa"/>
            <w:tcBorders>
              <w:top w:val="nil"/>
              <w:left w:val="nil"/>
              <w:bottom w:val="nil"/>
              <w:right w:val="nil"/>
            </w:tcBorders>
            <w:noWrap/>
            <w:tcMar>
              <w:top w:w="15" w:type="dxa"/>
              <w:left w:w="15" w:type="dxa"/>
              <w:bottom w:w="0" w:type="dxa"/>
              <w:right w:w="15" w:type="dxa"/>
            </w:tcMar>
            <w:vAlign w:val="bottom"/>
          </w:tcPr>
          <w:p w14:paraId="377FBE4F" w14:textId="77777777" w:rsidR="00CF2149" w:rsidRDefault="00CF2149" w:rsidP="00421639">
            <w:pPr>
              <w:rPr>
                <w:rFonts w:ascii="Calibri" w:eastAsia="Calibri" w:hAnsi="Calibri"/>
                <w:sz w:val="20"/>
                <w:szCs w:val="20"/>
              </w:rPr>
            </w:pPr>
            <w:r>
              <w:rPr>
                <w:rFonts w:ascii="Calibri" w:eastAsia="Calibri" w:hAnsi="Calibri"/>
                <w:sz w:val="20"/>
                <w:szCs w:val="20"/>
              </w:rPr>
              <w:t>TOWNSEND</w:t>
            </w:r>
          </w:p>
          <w:p w14:paraId="3AB4A4B5" w14:textId="77777777" w:rsidR="00CF2149" w:rsidRDefault="00CF2149" w:rsidP="00421639">
            <w:pPr>
              <w:rPr>
                <w:rFonts w:ascii="Calibri" w:eastAsia="Calibri" w:hAnsi="Calibri"/>
                <w:sz w:val="20"/>
                <w:szCs w:val="20"/>
              </w:rPr>
            </w:pPr>
          </w:p>
          <w:p w14:paraId="3F1F7C96" w14:textId="77777777" w:rsidR="00CF2149" w:rsidRDefault="00CF2149" w:rsidP="00421639">
            <w:pPr>
              <w:rPr>
                <w:rFonts w:ascii="Calibri" w:eastAsia="Calibri" w:hAnsi="Calibri"/>
                <w:sz w:val="20"/>
                <w:szCs w:val="20"/>
              </w:rPr>
            </w:pPr>
          </w:p>
        </w:tc>
        <w:tc>
          <w:tcPr>
            <w:tcW w:w="6120" w:type="dxa"/>
            <w:tcBorders>
              <w:top w:val="nil"/>
              <w:left w:val="nil"/>
              <w:bottom w:val="nil"/>
              <w:right w:val="nil"/>
            </w:tcBorders>
          </w:tcPr>
          <w:p w14:paraId="35FB4F40" w14:textId="77777777" w:rsidR="00CF2149" w:rsidRDefault="00CF2149" w:rsidP="00421639">
            <w:pPr>
              <w:pStyle w:val="PlainText"/>
              <w:rPr>
                <w:rFonts w:ascii="Times New Roman" w:hAnsi="Times New Roman" w:cs="Times New Roman"/>
              </w:rPr>
            </w:pPr>
            <w:r>
              <w:rPr>
                <w:rFonts w:ascii="Times New Roman" w:hAnsi="Times New Roman" w:cs="Times New Roman"/>
              </w:rPr>
              <w:t>Combination of:</w:t>
            </w:r>
          </w:p>
          <w:p w14:paraId="051C0C0A" w14:textId="77777777" w:rsidR="00CF2149" w:rsidRDefault="00CF2149" w:rsidP="00421639">
            <w:pPr>
              <w:ind w:left="360"/>
              <w:rPr>
                <w:rFonts w:ascii="Calibri" w:eastAsia="Calibri" w:hAnsi="Calibri"/>
                <w:sz w:val="20"/>
                <w:szCs w:val="20"/>
              </w:rPr>
            </w:pPr>
            <w:r>
              <w:rPr>
                <w:rFonts w:ascii="Calibri" w:eastAsia="Calibri" w:hAnsi="Calibri"/>
                <w:sz w:val="20"/>
                <w:szCs w:val="20"/>
              </w:rPr>
              <w:t xml:space="preserve">% </w:t>
            </w:r>
            <w:proofErr w:type="gramStart"/>
            <w:r>
              <w:rPr>
                <w:rFonts w:ascii="Calibri" w:eastAsia="Calibri" w:hAnsi="Calibri"/>
                <w:sz w:val="20"/>
                <w:szCs w:val="20"/>
              </w:rPr>
              <w:t>economically</w:t>
            </w:r>
            <w:proofErr w:type="gramEnd"/>
            <w:r>
              <w:rPr>
                <w:rFonts w:ascii="Calibri" w:eastAsia="Calibri" w:hAnsi="Calibri"/>
                <w:sz w:val="20"/>
                <w:szCs w:val="20"/>
              </w:rPr>
              <w:t xml:space="preserve"> active unemployed, % overcrowded households, % households with no car and % of households not owner-occupied</w:t>
            </w:r>
          </w:p>
        </w:tc>
      </w:tr>
      <w:tr w:rsidR="00CF2149" w14:paraId="2BB3B9CA" w14:textId="77777777" w:rsidTr="00421639">
        <w:trPr>
          <w:trHeight w:val="255"/>
        </w:trPr>
        <w:tc>
          <w:tcPr>
            <w:tcW w:w="1815" w:type="dxa"/>
            <w:tcBorders>
              <w:top w:val="nil"/>
              <w:left w:val="nil"/>
              <w:bottom w:val="nil"/>
              <w:right w:val="nil"/>
            </w:tcBorders>
            <w:noWrap/>
            <w:tcMar>
              <w:top w:w="15" w:type="dxa"/>
              <w:left w:w="15" w:type="dxa"/>
              <w:bottom w:w="0" w:type="dxa"/>
              <w:right w:w="15" w:type="dxa"/>
            </w:tcMar>
            <w:vAlign w:val="bottom"/>
          </w:tcPr>
          <w:p w14:paraId="39701708" w14:textId="77777777" w:rsidR="00CF2149" w:rsidRDefault="00CF2149" w:rsidP="00421639">
            <w:pPr>
              <w:rPr>
                <w:rFonts w:ascii="Calibri" w:eastAsia="Calibri" w:hAnsi="Calibri"/>
                <w:sz w:val="20"/>
                <w:szCs w:val="20"/>
              </w:rPr>
            </w:pPr>
            <w:r>
              <w:rPr>
                <w:rFonts w:ascii="Calibri" w:eastAsia="Calibri" w:hAnsi="Calibri"/>
                <w:sz w:val="20"/>
                <w:szCs w:val="20"/>
              </w:rPr>
              <w:t>BREADLINE</w:t>
            </w:r>
          </w:p>
          <w:p w14:paraId="1C3056F7" w14:textId="77777777" w:rsidR="00CF2149" w:rsidRDefault="00CF2149" w:rsidP="00421639">
            <w:pPr>
              <w:rPr>
                <w:rFonts w:ascii="Calibri" w:eastAsia="Calibri" w:hAnsi="Calibri"/>
                <w:sz w:val="20"/>
                <w:szCs w:val="20"/>
              </w:rPr>
            </w:pPr>
          </w:p>
          <w:p w14:paraId="0584F908" w14:textId="77777777" w:rsidR="00CF2149" w:rsidRDefault="00CF2149" w:rsidP="00421639">
            <w:pPr>
              <w:rPr>
                <w:rFonts w:ascii="Calibri" w:eastAsia="Calibri" w:hAnsi="Calibri"/>
                <w:sz w:val="20"/>
                <w:szCs w:val="20"/>
              </w:rPr>
            </w:pPr>
          </w:p>
          <w:p w14:paraId="59525D54" w14:textId="77777777" w:rsidR="00CF2149" w:rsidRDefault="00CF2149" w:rsidP="00421639">
            <w:pPr>
              <w:rPr>
                <w:rFonts w:ascii="Calibri" w:eastAsia="Calibri" w:hAnsi="Calibri"/>
                <w:sz w:val="20"/>
                <w:szCs w:val="20"/>
              </w:rPr>
            </w:pPr>
          </w:p>
        </w:tc>
        <w:tc>
          <w:tcPr>
            <w:tcW w:w="6120" w:type="dxa"/>
            <w:tcBorders>
              <w:top w:val="nil"/>
              <w:left w:val="nil"/>
              <w:bottom w:val="nil"/>
              <w:right w:val="nil"/>
            </w:tcBorders>
          </w:tcPr>
          <w:p w14:paraId="47D34CE9" w14:textId="77777777" w:rsidR="00CF2149" w:rsidRDefault="00CF2149" w:rsidP="00421639">
            <w:pPr>
              <w:pStyle w:val="PlainText"/>
              <w:rPr>
                <w:rFonts w:ascii="Times New Roman" w:hAnsi="Times New Roman" w:cs="Times New Roman"/>
              </w:rPr>
            </w:pPr>
            <w:r>
              <w:rPr>
                <w:rFonts w:ascii="Times New Roman" w:hAnsi="Times New Roman" w:cs="Times New Roman"/>
              </w:rPr>
              <w:t>Weighted combination of:</w:t>
            </w:r>
          </w:p>
          <w:p w14:paraId="103A67FB" w14:textId="77777777" w:rsidR="00CF2149" w:rsidRDefault="00CF2149" w:rsidP="00421639">
            <w:pPr>
              <w:ind w:left="360"/>
              <w:rPr>
                <w:rFonts w:ascii="Calibri" w:eastAsia="Calibri" w:hAnsi="Calibri"/>
                <w:sz w:val="20"/>
                <w:szCs w:val="20"/>
              </w:rPr>
            </w:pPr>
            <w:proofErr w:type="gramStart"/>
            <w:r>
              <w:rPr>
                <w:rFonts w:ascii="Calibri" w:eastAsia="Calibri" w:hAnsi="Calibri"/>
                <w:sz w:val="20"/>
                <w:szCs w:val="20"/>
              </w:rPr>
              <w:t>no</w:t>
            </w:r>
            <w:proofErr w:type="gramEnd"/>
            <w:r>
              <w:rPr>
                <w:rFonts w:ascii="Calibri" w:eastAsia="Calibri" w:hAnsi="Calibri"/>
                <w:sz w:val="20"/>
                <w:szCs w:val="20"/>
              </w:rPr>
              <w:t xml:space="preserve">. </w:t>
            </w:r>
            <w:proofErr w:type="gramStart"/>
            <w:r>
              <w:rPr>
                <w:rFonts w:ascii="Calibri" w:eastAsia="Calibri" w:hAnsi="Calibri"/>
                <w:sz w:val="20"/>
                <w:szCs w:val="20"/>
              </w:rPr>
              <w:t>of</w:t>
            </w:r>
            <w:proofErr w:type="gramEnd"/>
            <w:r>
              <w:rPr>
                <w:rFonts w:ascii="Calibri" w:eastAsia="Calibri" w:hAnsi="Calibri"/>
                <w:sz w:val="20"/>
                <w:szCs w:val="20"/>
              </w:rPr>
              <w:t xml:space="preserve"> households with no car, households not owner-occupied, lone parent households, economically active residents in Social Class IV or V, households with 1 or more persons suffering from limiting long-term illness and number of unemployed</w:t>
            </w:r>
          </w:p>
        </w:tc>
      </w:tr>
      <w:tr w:rsidR="00CF2149" w14:paraId="347243CD" w14:textId="77777777" w:rsidTr="00026B03">
        <w:trPr>
          <w:trHeight w:val="255"/>
        </w:trPr>
        <w:tc>
          <w:tcPr>
            <w:tcW w:w="1815" w:type="dxa"/>
            <w:tcBorders>
              <w:top w:val="nil"/>
              <w:left w:val="nil"/>
              <w:right w:val="nil"/>
            </w:tcBorders>
            <w:noWrap/>
            <w:tcMar>
              <w:top w:w="15" w:type="dxa"/>
              <w:left w:w="15" w:type="dxa"/>
              <w:bottom w:w="0" w:type="dxa"/>
              <w:right w:w="15" w:type="dxa"/>
            </w:tcMar>
            <w:vAlign w:val="bottom"/>
          </w:tcPr>
          <w:p w14:paraId="28EB374D" w14:textId="77777777" w:rsidR="00CF2149" w:rsidRDefault="00CF2149" w:rsidP="00421639">
            <w:pPr>
              <w:rPr>
                <w:rFonts w:ascii="Calibri" w:eastAsia="Calibri" w:hAnsi="Calibri"/>
                <w:sz w:val="20"/>
                <w:szCs w:val="20"/>
              </w:rPr>
            </w:pPr>
            <w:r>
              <w:rPr>
                <w:rFonts w:ascii="Calibri" w:eastAsia="Calibri" w:hAnsi="Calibri"/>
                <w:sz w:val="20"/>
                <w:szCs w:val="20"/>
              </w:rPr>
              <w:t>GREENPOV</w:t>
            </w:r>
          </w:p>
          <w:p w14:paraId="62B5524C" w14:textId="77777777" w:rsidR="00CF2149" w:rsidRDefault="00CF2149" w:rsidP="00421639">
            <w:pPr>
              <w:rPr>
                <w:rFonts w:ascii="Calibri" w:eastAsia="Calibri" w:hAnsi="Calibri"/>
                <w:sz w:val="20"/>
                <w:szCs w:val="20"/>
              </w:rPr>
            </w:pPr>
          </w:p>
        </w:tc>
        <w:tc>
          <w:tcPr>
            <w:tcW w:w="6120" w:type="dxa"/>
            <w:tcBorders>
              <w:top w:val="nil"/>
              <w:left w:val="nil"/>
              <w:right w:val="nil"/>
            </w:tcBorders>
          </w:tcPr>
          <w:p w14:paraId="612318D4" w14:textId="77777777" w:rsidR="00CF2149" w:rsidRDefault="00CF2149" w:rsidP="00421639">
            <w:pPr>
              <w:pStyle w:val="PlainText"/>
              <w:rPr>
                <w:rFonts w:ascii="Times New Roman" w:hAnsi="Times New Roman" w:cs="Times New Roman"/>
              </w:rPr>
            </w:pPr>
            <w:r>
              <w:rPr>
                <w:rFonts w:ascii="Times New Roman" w:hAnsi="Times New Roman" w:cs="Times New Roman"/>
              </w:rPr>
              <w:t>Combination of:</w:t>
            </w:r>
          </w:p>
          <w:p w14:paraId="1A7C7A73" w14:textId="77777777" w:rsidR="00CF2149" w:rsidRDefault="00CF2149" w:rsidP="00421639">
            <w:pPr>
              <w:ind w:left="360"/>
              <w:rPr>
                <w:rFonts w:ascii="Calibri" w:eastAsia="Calibri" w:hAnsi="Calibri"/>
                <w:sz w:val="20"/>
                <w:szCs w:val="20"/>
              </w:rPr>
            </w:pPr>
            <w:r>
              <w:rPr>
                <w:rFonts w:ascii="Calibri" w:eastAsia="Calibri" w:hAnsi="Calibri"/>
                <w:sz w:val="20"/>
                <w:szCs w:val="20"/>
              </w:rPr>
              <w:t xml:space="preserve">% </w:t>
            </w:r>
            <w:proofErr w:type="gramStart"/>
            <w:r>
              <w:rPr>
                <w:rFonts w:ascii="Calibri" w:eastAsia="Calibri" w:hAnsi="Calibri"/>
                <w:sz w:val="20"/>
                <w:szCs w:val="20"/>
              </w:rPr>
              <w:t>economically</w:t>
            </w:r>
            <w:proofErr w:type="gramEnd"/>
            <w:r>
              <w:rPr>
                <w:rFonts w:ascii="Calibri" w:eastAsia="Calibri" w:hAnsi="Calibri"/>
                <w:sz w:val="20"/>
                <w:szCs w:val="20"/>
              </w:rPr>
              <w:t xml:space="preserve"> active unemployed, % households with no car, % rented households, % of working age population </w:t>
            </w:r>
            <w:proofErr w:type="spellStart"/>
            <w:r>
              <w:rPr>
                <w:rFonts w:ascii="Calibri" w:eastAsia="Calibri" w:hAnsi="Calibri"/>
                <w:sz w:val="20"/>
                <w:szCs w:val="20"/>
              </w:rPr>
              <w:t>ecomically</w:t>
            </w:r>
            <w:proofErr w:type="spellEnd"/>
            <w:r>
              <w:rPr>
                <w:rFonts w:ascii="Calibri" w:eastAsia="Calibri" w:hAnsi="Calibri"/>
                <w:sz w:val="20"/>
                <w:szCs w:val="20"/>
              </w:rPr>
              <w:t xml:space="preserve"> inactive</w:t>
            </w:r>
          </w:p>
        </w:tc>
      </w:tr>
      <w:tr w:rsidR="00CF2149" w14:paraId="4BD6BCBE" w14:textId="77777777" w:rsidTr="00026B03">
        <w:trPr>
          <w:trHeight w:val="255"/>
        </w:trPr>
        <w:tc>
          <w:tcPr>
            <w:tcW w:w="1815" w:type="dxa"/>
            <w:tcBorders>
              <w:top w:val="nil"/>
              <w:left w:val="nil"/>
              <w:bottom w:val="single" w:sz="4" w:space="0" w:color="auto"/>
              <w:right w:val="nil"/>
            </w:tcBorders>
            <w:noWrap/>
            <w:tcMar>
              <w:top w:w="15" w:type="dxa"/>
              <w:left w:w="15" w:type="dxa"/>
              <w:bottom w:w="0" w:type="dxa"/>
              <w:right w:w="15" w:type="dxa"/>
            </w:tcMar>
            <w:vAlign w:val="bottom"/>
          </w:tcPr>
          <w:p w14:paraId="1E9FE7E4" w14:textId="77777777" w:rsidR="00CF2149" w:rsidRDefault="00CF2149" w:rsidP="00421639">
            <w:pPr>
              <w:rPr>
                <w:rFonts w:ascii="Calibri" w:eastAsia="Calibri" w:hAnsi="Calibri"/>
                <w:sz w:val="20"/>
                <w:szCs w:val="20"/>
              </w:rPr>
            </w:pPr>
            <w:r>
              <w:rPr>
                <w:rFonts w:ascii="Calibri" w:eastAsia="Calibri" w:hAnsi="Calibri"/>
                <w:sz w:val="20"/>
                <w:szCs w:val="20"/>
              </w:rPr>
              <w:t>GREENWTH</w:t>
            </w:r>
          </w:p>
          <w:p w14:paraId="778FD630" w14:textId="77777777" w:rsidR="00CF2149" w:rsidRDefault="00CF2149" w:rsidP="00421639">
            <w:pPr>
              <w:rPr>
                <w:rFonts w:ascii="Calibri" w:eastAsia="Calibri" w:hAnsi="Calibri"/>
                <w:sz w:val="20"/>
                <w:szCs w:val="20"/>
              </w:rPr>
            </w:pPr>
          </w:p>
        </w:tc>
        <w:tc>
          <w:tcPr>
            <w:tcW w:w="6120" w:type="dxa"/>
            <w:tcBorders>
              <w:top w:val="nil"/>
              <w:left w:val="nil"/>
              <w:bottom w:val="single" w:sz="4" w:space="0" w:color="auto"/>
              <w:right w:val="nil"/>
            </w:tcBorders>
          </w:tcPr>
          <w:p w14:paraId="6418F0C3" w14:textId="77777777" w:rsidR="00CF2149" w:rsidRDefault="00CF2149" w:rsidP="00421639">
            <w:pPr>
              <w:pStyle w:val="PlainText"/>
              <w:rPr>
                <w:rFonts w:ascii="Times New Roman" w:hAnsi="Times New Roman" w:cs="Times New Roman"/>
              </w:rPr>
            </w:pPr>
            <w:r>
              <w:rPr>
                <w:rFonts w:ascii="Times New Roman" w:hAnsi="Times New Roman" w:cs="Times New Roman"/>
              </w:rPr>
              <w:t>Combination of:</w:t>
            </w:r>
          </w:p>
          <w:p w14:paraId="2BD95676" w14:textId="77777777" w:rsidR="00CF2149" w:rsidRDefault="00CF2149" w:rsidP="00421639">
            <w:pPr>
              <w:ind w:left="360"/>
              <w:rPr>
                <w:rFonts w:ascii="Calibri" w:eastAsia="Calibri" w:hAnsi="Calibri"/>
                <w:sz w:val="20"/>
                <w:szCs w:val="20"/>
              </w:rPr>
            </w:pPr>
            <w:r>
              <w:rPr>
                <w:rFonts w:ascii="Calibri" w:eastAsia="Calibri" w:hAnsi="Calibri"/>
                <w:sz w:val="20"/>
                <w:szCs w:val="20"/>
              </w:rPr>
              <w:t xml:space="preserve">% </w:t>
            </w:r>
            <w:proofErr w:type="gramStart"/>
            <w:r>
              <w:rPr>
                <w:rFonts w:ascii="Calibri" w:eastAsia="Calibri" w:hAnsi="Calibri"/>
                <w:sz w:val="20"/>
                <w:szCs w:val="20"/>
              </w:rPr>
              <w:t>households</w:t>
            </w:r>
            <w:proofErr w:type="gramEnd"/>
            <w:r>
              <w:rPr>
                <w:rFonts w:ascii="Calibri" w:eastAsia="Calibri" w:hAnsi="Calibri"/>
                <w:sz w:val="20"/>
                <w:szCs w:val="20"/>
              </w:rPr>
              <w:t xml:space="preserve"> with 2+ cars, % persons aged 16-74 in NS-SEC 1 and % adults with high educational qualifications</w:t>
            </w:r>
          </w:p>
        </w:tc>
      </w:tr>
    </w:tbl>
    <w:p w14:paraId="081390A1" w14:textId="77777777" w:rsidR="00CF2149" w:rsidRDefault="00CF2149" w:rsidP="00CF2149">
      <w:pPr>
        <w:jc w:val="both"/>
        <w:rPr>
          <w:rFonts w:ascii="Calibri" w:eastAsia="Calibri" w:hAnsi="Calibri"/>
        </w:rPr>
      </w:pPr>
    </w:p>
    <w:p w14:paraId="71A02E87" w14:textId="77777777" w:rsidR="00CF2149" w:rsidRDefault="00CF2149" w:rsidP="00CF2149">
      <w:pPr>
        <w:jc w:val="both"/>
        <w:rPr>
          <w:rFonts w:ascii="Calibri" w:eastAsia="Calibri" w:hAnsi="Calibri"/>
          <w:sz w:val="20"/>
          <w:szCs w:val="20"/>
        </w:rPr>
      </w:pPr>
      <w:r w:rsidRPr="00CF2149">
        <w:rPr>
          <w:rFonts w:ascii="Calibri" w:eastAsia="Calibri" w:hAnsi="Calibri"/>
          <w:sz w:val="22"/>
        </w:rPr>
        <w:t>NOTES:</w:t>
      </w:r>
      <w:r>
        <w:rPr>
          <w:rFonts w:ascii="Calibri" w:eastAsia="Calibri" w:hAnsi="Calibri"/>
          <w:sz w:val="22"/>
        </w:rPr>
        <w:t xml:space="preserve"> </w:t>
      </w:r>
      <w:r>
        <w:rPr>
          <w:rFonts w:ascii="Calibri" w:eastAsia="Calibri" w:hAnsi="Calibri"/>
          <w:sz w:val="20"/>
          <w:szCs w:val="20"/>
        </w:rPr>
        <w:t>All variables used in multivariate surrogates standardised and/or normalised as appropriate.</w:t>
      </w:r>
    </w:p>
    <w:p w14:paraId="2925DA2B" w14:textId="77777777" w:rsidR="00CF2149" w:rsidRDefault="00CF2149" w:rsidP="00CF2149">
      <w:pPr>
        <w:jc w:val="both"/>
        <w:rPr>
          <w:rFonts w:ascii="Calibri" w:eastAsia="Calibri" w:hAnsi="Calibri"/>
          <w:sz w:val="20"/>
          <w:szCs w:val="20"/>
        </w:rPr>
      </w:pPr>
    </w:p>
    <w:p w14:paraId="2C2F7778" w14:textId="77777777" w:rsidR="00026B03" w:rsidRDefault="00026B03" w:rsidP="00CF2149">
      <w:pPr>
        <w:jc w:val="both"/>
        <w:rPr>
          <w:rFonts w:ascii="Calibri" w:eastAsia="Calibri" w:hAnsi="Calibri"/>
          <w:sz w:val="20"/>
          <w:szCs w:val="20"/>
        </w:rPr>
      </w:pPr>
    </w:p>
    <w:p w14:paraId="3406F3E3" w14:textId="77777777" w:rsidR="00026B03" w:rsidRPr="00026B03" w:rsidRDefault="00026B03" w:rsidP="00CF2149">
      <w:pPr>
        <w:jc w:val="both"/>
        <w:rPr>
          <w:rFonts w:ascii="Calibri" w:eastAsia="Calibri" w:hAnsi="Calibri"/>
          <w:sz w:val="22"/>
          <w:szCs w:val="22"/>
        </w:rPr>
      </w:pPr>
      <w:r w:rsidRPr="00026B03">
        <w:rPr>
          <w:rFonts w:ascii="Calibri" w:eastAsia="Calibri" w:hAnsi="Calibri"/>
          <w:b/>
          <w:sz w:val="22"/>
          <w:szCs w:val="22"/>
        </w:rPr>
        <w:t xml:space="preserve">Table </w:t>
      </w:r>
      <w:r w:rsidR="00A85598">
        <w:rPr>
          <w:rFonts w:ascii="Calibri" w:eastAsia="Calibri" w:hAnsi="Calibri"/>
          <w:b/>
          <w:sz w:val="22"/>
          <w:szCs w:val="22"/>
        </w:rPr>
        <w:t>5</w:t>
      </w:r>
      <w:r w:rsidRPr="00026B03">
        <w:rPr>
          <w:rFonts w:ascii="Calibri" w:eastAsia="Calibri" w:hAnsi="Calibri"/>
          <w:sz w:val="22"/>
          <w:szCs w:val="22"/>
        </w:rPr>
        <w:t xml:space="preserve"> </w:t>
      </w:r>
      <w:r w:rsidR="00A85598">
        <w:rPr>
          <w:rFonts w:ascii="Calibri" w:eastAsia="Calibri" w:hAnsi="Calibri"/>
          <w:sz w:val="22"/>
          <w:szCs w:val="22"/>
        </w:rPr>
        <w:t>Synthetic estimators</w:t>
      </w:r>
    </w:p>
    <w:p w14:paraId="09C71546" w14:textId="77777777" w:rsidR="00026B03" w:rsidRDefault="00026B03" w:rsidP="00CF2149">
      <w:pPr>
        <w:jc w:val="both"/>
        <w:rPr>
          <w:rFonts w:ascii="Calibri" w:eastAsia="Calibri" w:hAnsi="Calibri"/>
          <w:sz w:val="20"/>
          <w:szCs w:val="20"/>
        </w:rPr>
      </w:pPr>
    </w:p>
    <w:tbl>
      <w:tblPr>
        <w:tblW w:w="7935" w:type="dxa"/>
        <w:tblCellMar>
          <w:left w:w="0" w:type="dxa"/>
          <w:right w:w="0" w:type="dxa"/>
        </w:tblCellMar>
        <w:tblLook w:val="0000" w:firstRow="0" w:lastRow="0" w:firstColumn="0" w:lastColumn="0" w:noHBand="0" w:noVBand="0"/>
      </w:tblPr>
      <w:tblGrid>
        <w:gridCol w:w="1815"/>
        <w:gridCol w:w="6120"/>
      </w:tblGrid>
      <w:tr w:rsidR="00026B03" w14:paraId="41B4DABB" w14:textId="77777777" w:rsidTr="00026B03">
        <w:trPr>
          <w:trHeight w:val="255"/>
        </w:trPr>
        <w:tc>
          <w:tcPr>
            <w:tcW w:w="18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587CEAF" w14:textId="77777777" w:rsidR="00026B03" w:rsidRDefault="00026B03" w:rsidP="00421639">
            <w:pPr>
              <w:rPr>
                <w:rFonts w:ascii="Calibri" w:eastAsia="Calibri" w:hAnsi="Calibri"/>
                <w:sz w:val="20"/>
                <w:szCs w:val="20"/>
              </w:rPr>
            </w:pPr>
            <w:r>
              <w:rPr>
                <w:rFonts w:ascii="Calibri" w:eastAsia="Calibri" w:hAnsi="Calibri"/>
                <w:sz w:val="20"/>
                <w:szCs w:val="20"/>
              </w:rPr>
              <w:t>Estimation strategy</w:t>
            </w:r>
          </w:p>
        </w:tc>
        <w:tc>
          <w:tcPr>
            <w:tcW w:w="6120" w:type="dxa"/>
            <w:tcBorders>
              <w:top w:val="single" w:sz="4" w:space="0" w:color="auto"/>
              <w:left w:val="nil"/>
              <w:bottom w:val="single" w:sz="4" w:space="0" w:color="auto"/>
              <w:right w:val="nil"/>
            </w:tcBorders>
            <w:vAlign w:val="bottom"/>
          </w:tcPr>
          <w:p w14:paraId="3610E884" w14:textId="77777777" w:rsidR="00026B03" w:rsidRDefault="00026B03" w:rsidP="00026B03">
            <w:pPr>
              <w:rPr>
                <w:rFonts w:ascii="Calibri" w:eastAsia="Calibri" w:hAnsi="Calibri"/>
                <w:sz w:val="20"/>
                <w:szCs w:val="20"/>
              </w:rPr>
            </w:pPr>
            <w:r>
              <w:rPr>
                <w:rFonts w:ascii="Calibri" w:eastAsia="Calibri" w:hAnsi="Calibri"/>
                <w:sz w:val="20"/>
                <w:szCs w:val="20"/>
              </w:rPr>
              <w:t>Definition</w:t>
            </w:r>
          </w:p>
        </w:tc>
      </w:tr>
      <w:tr w:rsidR="00026B03" w14:paraId="4DA6D83D" w14:textId="77777777" w:rsidTr="00026B03">
        <w:trPr>
          <w:cantSplit/>
          <w:trHeight w:val="255"/>
        </w:trPr>
        <w:tc>
          <w:tcPr>
            <w:tcW w:w="7935" w:type="dxa"/>
            <w:gridSpan w:val="2"/>
            <w:tcBorders>
              <w:top w:val="single" w:sz="4" w:space="0" w:color="auto"/>
              <w:left w:val="nil"/>
              <w:bottom w:val="nil"/>
              <w:right w:val="nil"/>
            </w:tcBorders>
            <w:noWrap/>
            <w:tcMar>
              <w:top w:w="15" w:type="dxa"/>
              <w:left w:w="15" w:type="dxa"/>
              <w:bottom w:w="0" w:type="dxa"/>
              <w:right w:w="15" w:type="dxa"/>
            </w:tcMar>
            <w:vAlign w:val="bottom"/>
          </w:tcPr>
          <w:p w14:paraId="52381C69" w14:textId="77777777" w:rsidR="00026B03" w:rsidRDefault="00026B03" w:rsidP="00026B03">
            <w:pPr>
              <w:rPr>
                <w:rFonts w:ascii="Calibri" w:eastAsia="Calibri" w:hAnsi="Calibri"/>
                <w:i/>
                <w:iCs/>
                <w:sz w:val="20"/>
                <w:szCs w:val="20"/>
              </w:rPr>
            </w:pPr>
            <w:proofErr w:type="spellStart"/>
            <w:r>
              <w:rPr>
                <w:rFonts w:ascii="Calibri" w:eastAsia="Calibri" w:hAnsi="Calibri"/>
                <w:i/>
                <w:iCs/>
                <w:sz w:val="20"/>
                <w:szCs w:val="20"/>
              </w:rPr>
              <w:t>Geodemographic</w:t>
            </w:r>
            <w:proofErr w:type="spellEnd"/>
            <w:r>
              <w:rPr>
                <w:rFonts w:ascii="Calibri" w:eastAsia="Calibri" w:hAnsi="Calibri"/>
                <w:i/>
                <w:iCs/>
                <w:sz w:val="20"/>
                <w:szCs w:val="20"/>
              </w:rPr>
              <w:t xml:space="preserve"> classification</w:t>
            </w:r>
            <w:r>
              <w:rPr>
                <w:rFonts w:ascii="Calibri" w:eastAsia="Calibri" w:hAnsi="Calibri"/>
                <w:sz w:val="20"/>
                <w:szCs w:val="20"/>
                <w:vertAlign w:val="superscript"/>
              </w:rPr>
              <w:t>1</w:t>
            </w:r>
          </w:p>
        </w:tc>
      </w:tr>
      <w:tr w:rsidR="00026B03" w14:paraId="176F2C34" w14:textId="77777777" w:rsidTr="00421639">
        <w:trPr>
          <w:trHeight w:val="255"/>
        </w:trPr>
        <w:tc>
          <w:tcPr>
            <w:tcW w:w="1815" w:type="dxa"/>
            <w:tcBorders>
              <w:top w:val="nil"/>
              <w:left w:val="nil"/>
              <w:bottom w:val="nil"/>
              <w:right w:val="nil"/>
            </w:tcBorders>
            <w:noWrap/>
            <w:tcMar>
              <w:top w:w="15" w:type="dxa"/>
              <w:left w:w="15" w:type="dxa"/>
              <w:bottom w:w="0" w:type="dxa"/>
              <w:right w:w="15" w:type="dxa"/>
            </w:tcMar>
            <w:vAlign w:val="bottom"/>
          </w:tcPr>
          <w:p w14:paraId="14C26BD0" w14:textId="77777777" w:rsidR="00026B03" w:rsidRDefault="00C8263E" w:rsidP="00421639">
            <w:pPr>
              <w:rPr>
                <w:rFonts w:ascii="Calibri" w:eastAsia="Calibri" w:hAnsi="Calibri"/>
                <w:sz w:val="20"/>
                <w:szCs w:val="20"/>
              </w:rPr>
            </w:pPr>
            <w:r>
              <w:rPr>
                <w:rFonts w:ascii="Calibri" w:eastAsia="Calibri" w:hAnsi="Calibri"/>
                <w:sz w:val="20"/>
                <w:szCs w:val="20"/>
              </w:rPr>
              <w:t>M96</w:t>
            </w:r>
            <w:r w:rsidR="00026B03">
              <w:rPr>
                <w:rFonts w:ascii="Calibri" w:eastAsia="Calibri" w:hAnsi="Calibri"/>
                <w:sz w:val="20"/>
                <w:szCs w:val="20"/>
              </w:rPr>
              <w:t>INC</w:t>
            </w:r>
          </w:p>
          <w:p w14:paraId="01AEC144" w14:textId="77777777" w:rsidR="00026B03" w:rsidRDefault="00026B03" w:rsidP="00421639">
            <w:pPr>
              <w:rPr>
                <w:rFonts w:ascii="Calibri" w:eastAsia="Calibri" w:hAnsi="Calibri"/>
                <w:sz w:val="20"/>
                <w:szCs w:val="20"/>
              </w:rPr>
            </w:pPr>
          </w:p>
          <w:p w14:paraId="2838F1BF" w14:textId="77777777" w:rsidR="00026B03" w:rsidRDefault="00026B03" w:rsidP="00421639">
            <w:pPr>
              <w:rPr>
                <w:rFonts w:ascii="Calibri" w:eastAsia="Calibri" w:hAnsi="Calibri"/>
                <w:sz w:val="20"/>
                <w:szCs w:val="20"/>
              </w:rPr>
            </w:pPr>
          </w:p>
          <w:p w14:paraId="2B9EEE07" w14:textId="77777777" w:rsidR="00026B03" w:rsidRDefault="00026B03" w:rsidP="00421639">
            <w:pPr>
              <w:rPr>
                <w:rFonts w:ascii="Calibri" w:eastAsia="Calibri" w:hAnsi="Calibri"/>
                <w:sz w:val="20"/>
                <w:szCs w:val="20"/>
              </w:rPr>
            </w:pPr>
          </w:p>
          <w:p w14:paraId="0B1E5185" w14:textId="77777777" w:rsidR="00026B03" w:rsidRDefault="00026B03" w:rsidP="00421639">
            <w:pPr>
              <w:rPr>
                <w:rFonts w:ascii="Calibri" w:eastAsia="Calibri" w:hAnsi="Calibri"/>
                <w:sz w:val="20"/>
                <w:szCs w:val="20"/>
              </w:rPr>
            </w:pPr>
          </w:p>
          <w:p w14:paraId="252A2007" w14:textId="77777777" w:rsidR="00026B03" w:rsidRDefault="00026B03" w:rsidP="00421639">
            <w:pPr>
              <w:rPr>
                <w:rFonts w:ascii="Calibri" w:eastAsia="Calibri" w:hAnsi="Calibri"/>
                <w:sz w:val="20"/>
                <w:szCs w:val="20"/>
              </w:rPr>
            </w:pPr>
          </w:p>
        </w:tc>
        <w:tc>
          <w:tcPr>
            <w:tcW w:w="6120" w:type="dxa"/>
            <w:tcBorders>
              <w:top w:val="nil"/>
              <w:left w:val="nil"/>
              <w:bottom w:val="nil"/>
              <w:right w:val="nil"/>
            </w:tcBorders>
          </w:tcPr>
          <w:p w14:paraId="5C1B75AC" w14:textId="77777777" w:rsidR="00026B03" w:rsidRPr="00026B03" w:rsidRDefault="00026B03" w:rsidP="00421639">
            <w:pPr>
              <w:pStyle w:val="PlainText"/>
              <w:rPr>
                <w:rFonts w:asciiTheme="minorHAnsi" w:hAnsiTheme="minorHAnsi" w:cstheme="minorHAnsi"/>
              </w:rPr>
            </w:pPr>
            <w:r w:rsidRPr="00026B03">
              <w:rPr>
                <w:rFonts w:asciiTheme="minorHAnsi" w:hAnsiTheme="minorHAnsi" w:cstheme="minorHAnsi"/>
              </w:rPr>
              <w:t xml:space="preserve">Weighted </w:t>
            </w:r>
            <w:proofErr w:type="spellStart"/>
            <w:r w:rsidRPr="00026B03">
              <w:rPr>
                <w:rFonts w:asciiTheme="minorHAnsi" w:hAnsiTheme="minorHAnsi" w:cstheme="minorHAnsi"/>
              </w:rPr>
              <w:t>Geodemographic</w:t>
            </w:r>
            <w:proofErr w:type="spellEnd"/>
            <w:r w:rsidRPr="00026B03">
              <w:rPr>
                <w:rFonts w:asciiTheme="minorHAnsi" w:hAnsiTheme="minorHAnsi" w:cstheme="minorHAnsi"/>
              </w:rPr>
              <w:t xml:space="preserve"> classification with areas divided into subgroups after classification into above or below median on the following measures:</w:t>
            </w:r>
          </w:p>
          <w:p w14:paraId="247E2C1D" w14:textId="77777777" w:rsidR="00026B03" w:rsidRDefault="00026B03" w:rsidP="00026B03">
            <w:pPr>
              <w:ind w:left="360"/>
              <w:rPr>
                <w:rFonts w:ascii="Calibri" w:eastAsia="Calibri" w:hAnsi="Calibri"/>
                <w:sz w:val="20"/>
                <w:szCs w:val="20"/>
              </w:rPr>
            </w:pPr>
            <w:r w:rsidRPr="00026B03">
              <w:rPr>
                <w:rFonts w:asciiTheme="minorHAnsi" w:eastAsia="Calibri" w:hAnsiTheme="minorHAnsi" w:cstheme="minorHAnsi"/>
                <w:sz w:val="20"/>
                <w:szCs w:val="20"/>
              </w:rPr>
              <w:t xml:space="preserve"> % </w:t>
            </w:r>
            <w:proofErr w:type="gramStart"/>
            <w:r w:rsidRPr="00026B03">
              <w:rPr>
                <w:rFonts w:asciiTheme="minorHAnsi" w:eastAsia="Calibri" w:hAnsiTheme="minorHAnsi" w:cstheme="minorHAnsi"/>
                <w:sz w:val="20"/>
                <w:szCs w:val="20"/>
              </w:rPr>
              <w:t>households</w:t>
            </w:r>
            <w:proofErr w:type="gramEnd"/>
            <w:r w:rsidRPr="00026B03">
              <w:rPr>
                <w:rFonts w:asciiTheme="minorHAnsi" w:eastAsia="Calibri" w:hAnsiTheme="minorHAnsi" w:cstheme="minorHAnsi"/>
                <w:sz w:val="20"/>
                <w:szCs w:val="20"/>
              </w:rPr>
              <w:t xml:space="preserve"> with children, % households with female head, % lone parent households, % economically inactive females and % persons </w:t>
            </w:r>
            <w:r>
              <w:rPr>
                <w:rFonts w:ascii="Calibri" w:eastAsia="Calibri" w:hAnsi="Calibri"/>
                <w:sz w:val="20"/>
                <w:szCs w:val="20"/>
              </w:rPr>
              <w:t>of pensionable age; and into thirds on the basis of % households with no car [96 categories]</w:t>
            </w:r>
          </w:p>
        </w:tc>
      </w:tr>
      <w:tr w:rsidR="00026B03" w14:paraId="28255A0E" w14:textId="77777777" w:rsidTr="00C8263E">
        <w:trPr>
          <w:trHeight w:val="255"/>
        </w:trPr>
        <w:tc>
          <w:tcPr>
            <w:tcW w:w="1815" w:type="dxa"/>
            <w:tcBorders>
              <w:top w:val="nil"/>
              <w:left w:val="nil"/>
              <w:bottom w:val="nil"/>
              <w:right w:val="nil"/>
            </w:tcBorders>
            <w:noWrap/>
            <w:tcMar>
              <w:top w:w="15" w:type="dxa"/>
              <w:left w:w="15" w:type="dxa"/>
              <w:bottom w:w="0" w:type="dxa"/>
              <w:right w:w="15" w:type="dxa"/>
            </w:tcMar>
          </w:tcPr>
          <w:p w14:paraId="1EFF8E4D" w14:textId="77777777" w:rsidR="00026B03" w:rsidRDefault="00026B03" w:rsidP="00C8263E">
            <w:pPr>
              <w:rPr>
                <w:rFonts w:ascii="Calibri" w:eastAsia="Calibri" w:hAnsi="Calibri"/>
                <w:sz w:val="20"/>
                <w:szCs w:val="20"/>
              </w:rPr>
            </w:pPr>
            <w:r>
              <w:rPr>
                <w:rFonts w:ascii="Calibri" w:eastAsia="Calibri" w:hAnsi="Calibri"/>
                <w:sz w:val="20"/>
                <w:szCs w:val="20"/>
              </w:rPr>
              <w:t>P10INC</w:t>
            </w:r>
          </w:p>
          <w:p w14:paraId="4D02D76B" w14:textId="77777777" w:rsidR="00026B03" w:rsidRDefault="00026B03" w:rsidP="00C8263E">
            <w:pPr>
              <w:rPr>
                <w:rFonts w:ascii="Calibri" w:eastAsia="Calibri" w:hAnsi="Calibri"/>
                <w:sz w:val="20"/>
                <w:szCs w:val="20"/>
              </w:rPr>
            </w:pPr>
          </w:p>
          <w:p w14:paraId="010F0D99" w14:textId="77777777" w:rsidR="00026B03" w:rsidRDefault="00026B03" w:rsidP="00C8263E">
            <w:pPr>
              <w:rPr>
                <w:rFonts w:ascii="Calibri" w:eastAsia="Calibri" w:hAnsi="Calibri"/>
                <w:sz w:val="20"/>
                <w:szCs w:val="20"/>
              </w:rPr>
            </w:pPr>
          </w:p>
          <w:p w14:paraId="3989655F" w14:textId="77777777" w:rsidR="00026B03" w:rsidRDefault="00026B03" w:rsidP="00C8263E">
            <w:pPr>
              <w:rPr>
                <w:rFonts w:ascii="Calibri" w:eastAsia="Calibri" w:hAnsi="Calibri"/>
                <w:sz w:val="20"/>
                <w:szCs w:val="20"/>
              </w:rPr>
            </w:pPr>
          </w:p>
          <w:p w14:paraId="6702CF98" w14:textId="77777777" w:rsidR="00026B03" w:rsidRDefault="00026B03" w:rsidP="00C8263E">
            <w:pPr>
              <w:rPr>
                <w:rFonts w:ascii="Calibri" w:eastAsia="Calibri" w:hAnsi="Calibri"/>
                <w:sz w:val="20"/>
                <w:szCs w:val="20"/>
              </w:rPr>
            </w:pPr>
          </w:p>
          <w:p w14:paraId="71E2D69A" w14:textId="77777777" w:rsidR="00026B03" w:rsidRDefault="00026B03" w:rsidP="00C8263E">
            <w:pPr>
              <w:rPr>
                <w:rFonts w:ascii="Calibri" w:eastAsia="Calibri" w:hAnsi="Calibri"/>
                <w:sz w:val="20"/>
                <w:szCs w:val="20"/>
              </w:rPr>
            </w:pPr>
          </w:p>
          <w:p w14:paraId="264FD0BA" w14:textId="77777777" w:rsidR="00026B03" w:rsidRDefault="00026B03" w:rsidP="00C8263E">
            <w:pPr>
              <w:rPr>
                <w:rFonts w:ascii="Calibri" w:eastAsia="Calibri" w:hAnsi="Calibri"/>
                <w:sz w:val="20"/>
                <w:szCs w:val="20"/>
              </w:rPr>
            </w:pPr>
          </w:p>
          <w:p w14:paraId="5F072FEF" w14:textId="77777777" w:rsidR="00026B03" w:rsidRDefault="00026B03" w:rsidP="00C8263E">
            <w:pPr>
              <w:rPr>
                <w:rFonts w:ascii="Calibri" w:eastAsia="Calibri" w:hAnsi="Calibri"/>
                <w:sz w:val="20"/>
                <w:szCs w:val="20"/>
              </w:rPr>
            </w:pPr>
          </w:p>
          <w:p w14:paraId="31C6BECA" w14:textId="77777777" w:rsidR="00026B03" w:rsidRDefault="00026B03" w:rsidP="00C8263E">
            <w:pPr>
              <w:rPr>
                <w:rFonts w:ascii="Calibri" w:eastAsia="Calibri" w:hAnsi="Calibri"/>
                <w:sz w:val="20"/>
                <w:szCs w:val="20"/>
              </w:rPr>
            </w:pPr>
          </w:p>
          <w:p w14:paraId="3092127E" w14:textId="77777777" w:rsidR="00026B03" w:rsidRDefault="00026B03" w:rsidP="00C8263E">
            <w:pPr>
              <w:rPr>
                <w:rFonts w:ascii="Calibri" w:eastAsia="Calibri" w:hAnsi="Calibri"/>
                <w:sz w:val="20"/>
                <w:szCs w:val="20"/>
              </w:rPr>
            </w:pPr>
          </w:p>
          <w:p w14:paraId="6EDC2DB5" w14:textId="77777777" w:rsidR="00026B03" w:rsidRDefault="00026B03" w:rsidP="00C8263E">
            <w:pPr>
              <w:rPr>
                <w:rFonts w:ascii="Calibri" w:eastAsia="Calibri" w:hAnsi="Calibri"/>
                <w:sz w:val="20"/>
                <w:szCs w:val="20"/>
              </w:rPr>
            </w:pPr>
          </w:p>
          <w:p w14:paraId="0FD272F7" w14:textId="77777777" w:rsidR="00026B03" w:rsidRDefault="00026B03" w:rsidP="00C8263E">
            <w:pPr>
              <w:rPr>
                <w:rFonts w:ascii="Calibri" w:eastAsia="Calibri" w:hAnsi="Calibri"/>
                <w:sz w:val="20"/>
                <w:szCs w:val="20"/>
              </w:rPr>
            </w:pPr>
          </w:p>
        </w:tc>
        <w:tc>
          <w:tcPr>
            <w:tcW w:w="6120" w:type="dxa"/>
            <w:tcBorders>
              <w:top w:val="nil"/>
              <w:left w:val="nil"/>
              <w:bottom w:val="nil"/>
              <w:right w:val="nil"/>
            </w:tcBorders>
          </w:tcPr>
          <w:p w14:paraId="17912B19" w14:textId="77777777" w:rsidR="00026B03" w:rsidRDefault="00026B03" w:rsidP="00421639">
            <w:pPr>
              <w:rPr>
                <w:rFonts w:ascii="Calibri" w:eastAsia="Calibri" w:hAnsi="Calibri"/>
                <w:sz w:val="20"/>
                <w:szCs w:val="20"/>
              </w:rPr>
            </w:pPr>
            <w:proofErr w:type="spellStart"/>
            <w:r>
              <w:rPr>
                <w:rFonts w:ascii="Calibri" w:eastAsia="Calibri" w:hAnsi="Calibri"/>
                <w:sz w:val="20"/>
                <w:szCs w:val="20"/>
              </w:rPr>
              <w:t>Geodemographic</w:t>
            </w:r>
            <w:proofErr w:type="spellEnd"/>
            <w:r>
              <w:rPr>
                <w:rFonts w:ascii="Calibri" w:eastAsia="Calibri" w:hAnsi="Calibri"/>
                <w:sz w:val="20"/>
                <w:szCs w:val="20"/>
              </w:rPr>
              <w:t xml:space="preserve"> classification based on principal components analysis of normalised:</w:t>
            </w:r>
          </w:p>
          <w:p w14:paraId="372F2EDB" w14:textId="77777777" w:rsidR="00026B03" w:rsidRDefault="00026B03" w:rsidP="00421639">
            <w:pPr>
              <w:ind w:left="360"/>
              <w:rPr>
                <w:rFonts w:ascii="Calibri" w:eastAsia="Calibri" w:hAnsi="Calibri"/>
                <w:sz w:val="20"/>
                <w:szCs w:val="20"/>
              </w:rPr>
            </w:pPr>
            <w:r>
              <w:rPr>
                <w:rFonts w:ascii="Calibri" w:eastAsia="Calibri" w:hAnsi="Calibri"/>
                <w:sz w:val="20"/>
                <w:szCs w:val="20"/>
              </w:rPr>
              <w:t xml:space="preserve">% </w:t>
            </w:r>
            <w:proofErr w:type="gramStart"/>
            <w:r>
              <w:rPr>
                <w:rFonts w:ascii="Calibri" w:eastAsia="Calibri" w:hAnsi="Calibri"/>
                <w:sz w:val="20"/>
                <w:szCs w:val="20"/>
              </w:rPr>
              <w:t>economically</w:t>
            </w:r>
            <w:proofErr w:type="gramEnd"/>
            <w:r>
              <w:rPr>
                <w:rFonts w:ascii="Calibri" w:eastAsia="Calibri" w:hAnsi="Calibri"/>
                <w:sz w:val="20"/>
                <w:szCs w:val="20"/>
              </w:rPr>
              <w:t xml:space="preserve"> active unemployed, % households with &gt; 1 persons per room, % households with no car; % persons non-white; % persons of pensionable age; % lone parent households; % socially rented households; % privately rented households; % overcrowded households; % households with 2+ cars; % persons aged 16-74 in Social Class I or II; % persons aged 16-74 in Social Class IV or V; % households with &lt; 0.5 persons per room; % of economically active working full-time; % working-age population aged 18 and over registered in full-time education, % population aged &lt; 16, % households with 4+ residents; % households with 7+ rooms; % households with 1 or 2 rooms; % detached households, % terraced households; % households in flats [10 clusters]</w:t>
            </w:r>
          </w:p>
        </w:tc>
      </w:tr>
      <w:tr w:rsidR="00026B03" w14:paraId="1EDB1EB9" w14:textId="77777777" w:rsidTr="00421639">
        <w:trPr>
          <w:trHeight w:val="255"/>
        </w:trPr>
        <w:tc>
          <w:tcPr>
            <w:tcW w:w="1815" w:type="dxa"/>
            <w:tcBorders>
              <w:top w:val="nil"/>
              <w:left w:val="nil"/>
              <w:right w:val="nil"/>
            </w:tcBorders>
            <w:noWrap/>
            <w:tcMar>
              <w:top w:w="15" w:type="dxa"/>
              <w:left w:w="15" w:type="dxa"/>
              <w:bottom w:w="0" w:type="dxa"/>
              <w:right w:w="15" w:type="dxa"/>
            </w:tcMar>
            <w:vAlign w:val="bottom"/>
          </w:tcPr>
          <w:p w14:paraId="3BFCA467" w14:textId="77777777" w:rsidR="00026B03" w:rsidRDefault="00026B03" w:rsidP="00421639">
            <w:pPr>
              <w:rPr>
                <w:rFonts w:ascii="Calibri" w:eastAsia="Calibri" w:hAnsi="Calibri"/>
                <w:sz w:val="20"/>
                <w:szCs w:val="20"/>
              </w:rPr>
            </w:pPr>
            <w:r>
              <w:rPr>
                <w:rFonts w:ascii="Calibri" w:eastAsia="Calibri" w:hAnsi="Calibri"/>
                <w:sz w:val="20"/>
                <w:szCs w:val="20"/>
              </w:rPr>
              <w:t>P40INC</w:t>
            </w:r>
          </w:p>
        </w:tc>
        <w:tc>
          <w:tcPr>
            <w:tcW w:w="6120" w:type="dxa"/>
            <w:tcBorders>
              <w:top w:val="nil"/>
              <w:left w:val="nil"/>
              <w:right w:val="nil"/>
            </w:tcBorders>
          </w:tcPr>
          <w:p w14:paraId="663BCAAC" w14:textId="77777777" w:rsidR="00026B03" w:rsidRDefault="00026B03" w:rsidP="00421639">
            <w:pPr>
              <w:rPr>
                <w:rFonts w:ascii="Calibri" w:eastAsia="Calibri" w:hAnsi="Calibri"/>
                <w:sz w:val="20"/>
                <w:szCs w:val="20"/>
              </w:rPr>
            </w:pPr>
            <w:r>
              <w:rPr>
                <w:rFonts w:ascii="Calibri" w:eastAsia="Calibri" w:hAnsi="Calibri"/>
                <w:sz w:val="20"/>
                <w:szCs w:val="20"/>
              </w:rPr>
              <w:t>As P10INC, but with 40 clusters</w:t>
            </w:r>
          </w:p>
        </w:tc>
      </w:tr>
      <w:tr w:rsidR="00026B03" w14:paraId="3AA8DC12" w14:textId="77777777" w:rsidTr="00421639">
        <w:trPr>
          <w:trHeight w:val="255"/>
        </w:trPr>
        <w:tc>
          <w:tcPr>
            <w:tcW w:w="1815" w:type="dxa"/>
            <w:tcBorders>
              <w:top w:val="nil"/>
              <w:left w:val="nil"/>
              <w:bottom w:val="single" w:sz="4" w:space="0" w:color="auto"/>
              <w:right w:val="nil"/>
            </w:tcBorders>
            <w:noWrap/>
            <w:tcMar>
              <w:top w:w="15" w:type="dxa"/>
              <w:left w:w="15" w:type="dxa"/>
              <w:bottom w:w="0" w:type="dxa"/>
              <w:right w:w="15" w:type="dxa"/>
            </w:tcMar>
            <w:vAlign w:val="bottom"/>
          </w:tcPr>
          <w:p w14:paraId="57366ACF" w14:textId="77777777" w:rsidR="00026B03" w:rsidRDefault="00026B03" w:rsidP="00421639">
            <w:pPr>
              <w:rPr>
                <w:rFonts w:ascii="Calibri" w:eastAsia="Calibri" w:hAnsi="Calibri"/>
                <w:sz w:val="20"/>
                <w:szCs w:val="20"/>
              </w:rPr>
            </w:pPr>
            <w:r>
              <w:rPr>
                <w:rFonts w:ascii="Calibri" w:eastAsia="Calibri" w:hAnsi="Calibri"/>
                <w:sz w:val="20"/>
                <w:szCs w:val="20"/>
              </w:rPr>
              <w:t>P96INC</w:t>
            </w:r>
          </w:p>
        </w:tc>
        <w:tc>
          <w:tcPr>
            <w:tcW w:w="6120" w:type="dxa"/>
            <w:tcBorders>
              <w:top w:val="nil"/>
              <w:left w:val="nil"/>
              <w:bottom w:val="single" w:sz="4" w:space="0" w:color="auto"/>
              <w:right w:val="nil"/>
            </w:tcBorders>
          </w:tcPr>
          <w:p w14:paraId="5DAC6B9A" w14:textId="77777777" w:rsidR="00026B03" w:rsidRDefault="00026B03" w:rsidP="00421639">
            <w:pPr>
              <w:rPr>
                <w:rFonts w:ascii="Calibri" w:eastAsia="Calibri" w:hAnsi="Calibri"/>
                <w:sz w:val="20"/>
                <w:szCs w:val="20"/>
              </w:rPr>
            </w:pPr>
            <w:r>
              <w:rPr>
                <w:rFonts w:ascii="Calibri" w:eastAsia="Calibri" w:hAnsi="Calibri"/>
                <w:sz w:val="20"/>
                <w:szCs w:val="20"/>
              </w:rPr>
              <w:t>As P10INC, but with 96 clusters</w:t>
            </w:r>
          </w:p>
        </w:tc>
      </w:tr>
    </w:tbl>
    <w:p w14:paraId="7B0F724E" w14:textId="77777777" w:rsidR="00026B03" w:rsidRDefault="00026B03" w:rsidP="00CF2149">
      <w:pPr>
        <w:jc w:val="both"/>
        <w:rPr>
          <w:rFonts w:ascii="Calibri" w:eastAsia="Calibri" w:hAnsi="Calibri"/>
          <w:sz w:val="20"/>
          <w:szCs w:val="20"/>
        </w:rPr>
      </w:pPr>
    </w:p>
    <w:p w14:paraId="1AA11D63" w14:textId="77777777" w:rsidR="00026B03" w:rsidRDefault="00026B03" w:rsidP="00CF2149">
      <w:pPr>
        <w:jc w:val="both"/>
        <w:rPr>
          <w:rFonts w:ascii="Calibri" w:eastAsia="Calibri" w:hAnsi="Calibri"/>
          <w:sz w:val="20"/>
          <w:szCs w:val="20"/>
        </w:rPr>
      </w:pPr>
      <w:r>
        <w:rPr>
          <w:rFonts w:ascii="Calibri" w:eastAsia="Calibri" w:hAnsi="Calibri"/>
          <w:sz w:val="20"/>
          <w:szCs w:val="20"/>
        </w:rPr>
        <w:t>NOTES</w:t>
      </w:r>
    </w:p>
    <w:p w14:paraId="31F12CF7" w14:textId="77777777" w:rsidR="00CF2149" w:rsidRDefault="00026B03" w:rsidP="00CF2149">
      <w:pPr>
        <w:rPr>
          <w:sz w:val="20"/>
          <w:szCs w:val="20"/>
        </w:rPr>
      </w:pPr>
      <w:r>
        <w:rPr>
          <w:rFonts w:ascii="Calibri" w:eastAsia="Calibri" w:hAnsi="Calibri"/>
          <w:sz w:val="20"/>
          <w:szCs w:val="20"/>
          <w:vertAlign w:val="superscript"/>
        </w:rPr>
        <w:t>1</w:t>
      </w:r>
      <w:r w:rsidR="00CF2149">
        <w:rPr>
          <w:rFonts w:ascii="Calibri" w:eastAsia="Calibri" w:hAnsi="Calibri"/>
          <w:sz w:val="20"/>
          <w:szCs w:val="20"/>
        </w:rPr>
        <w:t xml:space="preserve"> For use as an income surrogate, average income for </w:t>
      </w:r>
      <w:r>
        <w:rPr>
          <w:rFonts w:ascii="Calibri" w:eastAsia="Calibri" w:hAnsi="Calibri"/>
          <w:sz w:val="20"/>
          <w:szCs w:val="20"/>
        </w:rPr>
        <w:t xml:space="preserve">each </w:t>
      </w:r>
      <w:r w:rsidR="00CF2149">
        <w:rPr>
          <w:rFonts w:ascii="Calibri" w:eastAsia="Calibri" w:hAnsi="Calibri"/>
          <w:sz w:val="20"/>
          <w:szCs w:val="20"/>
        </w:rPr>
        <w:t>category</w:t>
      </w:r>
      <w:r>
        <w:rPr>
          <w:rFonts w:ascii="Calibri" w:eastAsia="Calibri" w:hAnsi="Calibri"/>
          <w:sz w:val="20"/>
          <w:szCs w:val="20"/>
        </w:rPr>
        <w:t xml:space="preserve"> of the </w:t>
      </w:r>
      <w:proofErr w:type="spellStart"/>
      <w:r>
        <w:rPr>
          <w:rFonts w:ascii="Calibri" w:eastAsia="Calibri" w:hAnsi="Calibri"/>
          <w:sz w:val="20"/>
          <w:szCs w:val="20"/>
        </w:rPr>
        <w:t>geodemographic</w:t>
      </w:r>
      <w:proofErr w:type="spellEnd"/>
      <w:r>
        <w:rPr>
          <w:rFonts w:ascii="Calibri" w:eastAsia="Calibri" w:hAnsi="Calibri"/>
          <w:sz w:val="20"/>
          <w:szCs w:val="20"/>
        </w:rPr>
        <w:t xml:space="preserve"> classification is </w:t>
      </w:r>
      <w:r w:rsidR="00CF2149">
        <w:rPr>
          <w:rFonts w:ascii="Calibri" w:eastAsia="Calibri" w:hAnsi="Calibri"/>
          <w:sz w:val="20"/>
          <w:szCs w:val="20"/>
        </w:rPr>
        <w:t xml:space="preserve">calculated using Census Rehearsal data aggregated to appropriate spatial scale.    This process was repeated separately for </w:t>
      </w:r>
      <w:r>
        <w:rPr>
          <w:rFonts w:ascii="Calibri" w:eastAsia="Calibri" w:hAnsi="Calibri"/>
          <w:sz w:val="20"/>
          <w:szCs w:val="20"/>
        </w:rPr>
        <w:t>each income measure.</w:t>
      </w:r>
    </w:p>
    <w:p w14:paraId="0C56DCF2" w14:textId="77777777" w:rsidR="00026B03" w:rsidRPr="00026B03" w:rsidRDefault="00026B03">
      <w:pPr>
        <w:spacing w:after="200" w:line="276" w:lineRule="auto"/>
        <w:rPr>
          <w:rFonts w:asciiTheme="minorHAnsi" w:hAnsiTheme="minorHAnsi" w:cstheme="minorHAnsi"/>
          <w:sz w:val="22"/>
          <w:szCs w:val="22"/>
        </w:rPr>
      </w:pPr>
      <w:r w:rsidRPr="00026B03">
        <w:rPr>
          <w:rFonts w:ascii="Calibri" w:eastAsia="Calibri" w:hAnsi="Calibri"/>
          <w:b/>
          <w:sz w:val="22"/>
          <w:szCs w:val="22"/>
        </w:rPr>
        <w:lastRenderedPageBreak/>
        <w:t xml:space="preserve">Table </w:t>
      </w:r>
      <w:r w:rsidR="00A85598">
        <w:rPr>
          <w:rFonts w:ascii="Calibri" w:eastAsia="Calibri" w:hAnsi="Calibri"/>
          <w:b/>
          <w:sz w:val="22"/>
          <w:szCs w:val="22"/>
        </w:rPr>
        <w:t>5</w:t>
      </w:r>
      <w:r w:rsidRPr="00026B03">
        <w:rPr>
          <w:rFonts w:ascii="Calibri" w:eastAsia="Calibri" w:hAnsi="Calibri"/>
          <w:sz w:val="22"/>
          <w:szCs w:val="22"/>
        </w:rPr>
        <w:t xml:space="preserve"> </w:t>
      </w:r>
      <w:r w:rsidRPr="00026B03">
        <w:rPr>
          <w:rFonts w:asciiTheme="minorHAnsi" w:hAnsiTheme="minorHAnsi" w:cstheme="minorHAnsi"/>
          <w:sz w:val="22"/>
          <w:szCs w:val="22"/>
        </w:rPr>
        <w:t>(cont.)</w:t>
      </w:r>
    </w:p>
    <w:tbl>
      <w:tblPr>
        <w:tblW w:w="7935" w:type="dxa"/>
        <w:tblCellMar>
          <w:left w:w="0" w:type="dxa"/>
          <w:right w:w="0" w:type="dxa"/>
        </w:tblCellMar>
        <w:tblLook w:val="0000" w:firstRow="0" w:lastRow="0" w:firstColumn="0" w:lastColumn="0" w:noHBand="0" w:noVBand="0"/>
      </w:tblPr>
      <w:tblGrid>
        <w:gridCol w:w="1815"/>
        <w:gridCol w:w="6120"/>
      </w:tblGrid>
      <w:tr w:rsidR="00026B03" w14:paraId="2D99A4BA" w14:textId="77777777" w:rsidTr="00026B03">
        <w:trPr>
          <w:trHeight w:val="255"/>
        </w:trPr>
        <w:tc>
          <w:tcPr>
            <w:tcW w:w="18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B66E1E3" w14:textId="77777777" w:rsidR="00026B03" w:rsidRDefault="00026B03" w:rsidP="00421639">
            <w:pPr>
              <w:rPr>
                <w:rFonts w:ascii="Calibri" w:eastAsia="Calibri" w:hAnsi="Calibri"/>
                <w:sz w:val="20"/>
                <w:szCs w:val="20"/>
              </w:rPr>
            </w:pPr>
            <w:r>
              <w:rPr>
                <w:rFonts w:ascii="Calibri" w:eastAsia="Calibri" w:hAnsi="Calibri"/>
                <w:sz w:val="20"/>
                <w:szCs w:val="20"/>
              </w:rPr>
              <w:t>Estimation strategy</w:t>
            </w:r>
          </w:p>
        </w:tc>
        <w:tc>
          <w:tcPr>
            <w:tcW w:w="6120" w:type="dxa"/>
            <w:tcBorders>
              <w:top w:val="single" w:sz="4" w:space="0" w:color="auto"/>
              <w:left w:val="nil"/>
              <w:bottom w:val="single" w:sz="4" w:space="0" w:color="auto"/>
              <w:right w:val="nil"/>
            </w:tcBorders>
            <w:vAlign w:val="bottom"/>
          </w:tcPr>
          <w:p w14:paraId="34F4C796" w14:textId="77777777" w:rsidR="00026B03" w:rsidRDefault="00026B03" w:rsidP="00026B03">
            <w:pPr>
              <w:rPr>
                <w:rFonts w:ascii="Calibri" w:eastAsia="Calibri" w:hAnsi="Calibri"/>
                <w:sz w:val="20"/>
                <w:szCs w:val="20"/>
              </w:rPr>
            </w:pPr>
            <w:r>
              <w:rPr>
                <w:rFonts w:ascii="Calibri" w:eastAsia="Calibri" w:hAnsi="Calibri"/>
                <w:sz w:val="20"/>
                <w:szCs w:val="20"/>
              </w:rPr>
              <w:t>Definition</w:t>
            </w:r>
          </w:p>
        </w:tc>
      </w:tr>
      <w:tr w:rsidR="00A85598" w:rsidRPr="00026B03" w14:paraId="7B2D4EEE" w14:textId="77777777" w:rsidTr="00D2000D">
        <w:trPr>
          <w:trHeight w:val="255"/>
        </w:trPr>
        <w:tc>
          <w:tcPr>
            <w:tcW w:w="1815" w:type="dxa"/>
            <w:tcBorders>
              <w:top w:val="single" w:sz="4" w:space="0" w:color="auto"/>
              <w:left w:val="nil"/>
              <w:right w:val="nil"/>
            </w:tcBorders>
            <w:noWrap/>
            <w:tcMar>
              <w:top w:w="15" w:type="dxa"/>
              <w:left w:w="15" w:type="dxa"/>
              <w:bottom w:w="0" w:type="dxa"/>
              <w:right w:w="15" w:type="dxa"/>
            </w:tcMar>
          </w:tcPr>
          <w:p w14:paraId="7A51483C" w14:textId="77777777" w:rsidR="00A85598" w:rsidRPr="00026B03" w:rsidRDefault="00A85598" w:rsidP="00D2000D">
            <w:pPr>
              <w:rPr>
                <w:rFonts w:ascii="Calibri" w:eastAsia="Calibri" w:hAnsi="Calibri" w:cs="Calibri"/>
                <w:i/>
                <w:sz w:val="20"/>
                <w:szCs w:val="20"/>
              </w:rPr>
            </w:pPr>
            <w:r w:rsidRPr="00026B03">
              <w:rPr>
                <w:rFonts w:ascii="Calibri" w:eastAsia="Calibri" w:hAnsi="Calibri" w:cs="Calibri"/>
                <w:i/>
                <w:sz w:val="20"/>
                <w:szCs w:val="20"/>
              </w:rPr>
              <w:t>Ecological regression</w:t>
            </w:r>
          </w:p>
        </w:tc>
        <w:tc>
          <w:tcPr>
            <w:tcW w:w="6120" w:type="dxa"/>
            <w:tcBorders>
              <w:top w:val="single" w:sz="4" w:space="0" w:color="auto"/>
              <w:left w:val="nil"/>
              <w:right w:val="nil"/>
            </w:tcBorders>
          </w:tcPr>
          <w:p w14:paraId="1B4D2FBE" w14:textId="77777777" w:rsidR="00A85598" w:rsidRPr="00026B03" w:rsidRDefault="00A85598" w:rsidP="00D2000D">
            <w:pPr>
              <w:pStyle w:val="PlainText"/>
              <w:rPr>
                <w:rFonts w:ascii="Calibri" w:eastAsia="Calibri" w:hAnsi="Calibri" w:cs="Calibri"/>
              </w:rPr>
            </w:pPr>
          </w:p>
        </w:tc>
      </w:tr>
      <w:tr w:rsidR="00A85598" w:rsidRPr="00026B03" w14:paraId="6A3EF435" w14:textId="77777777" w:rsidTr="00D2000D">
        <w:trPr>
          <w:trHeight w:val="255"/>
        </w:trPr>
        <w:tc>
          <w:tcPr>
            <w:tcW w:w="1815" w:type="dxa"/>
            <w:tcBorders>
              <w:left w:val="nil"/>
              <w:bottom w:val="single" w:sz="4" w:space="0" w:color="auto"/>
              <w:right w:val="nil"/>
            </w:tcBorders>
            <w:noWrap/>
            <w:tcMar>
              <w:top w:w="15" w:type="dxa"/>
              <w:left w:w="15" w:type="dxa"/>
              <w:bottom w:w="0" w:type="dxa"/>
              <w:right w:w="15" w:type="dxa"/>
            </w:tcMar>
          </w:tcPr>
          <w:p w14:paraId="143A0889" w14:textId="77777777" w:rsidR="00A85598" w:rsidRPr="00026B03" w:rsidRDefault="00A85598" w:rsidP="00D2000D">
            <w:pPr>
              <w:rPr>
                <w:rFonts w:ascii="Calibri" w:eastAsia="Calibri" w:hAnsi="Calibri" w:cs="Calibri"/>
                <w:sz w:val="20"/>
                <w:szCs w:val="20"/>
              </w:rPr>
            </w:pPr>
            <w:r w:rsidRPr="00026B03">
              <w:rPr>
                <w:rFonts w:ascii="Calibri" w:eastAsia="Calibri" w:hAnsi="Calibri" w:cs="Calibri"/>
                <w:sz w:val="20"/>
                <w:szCs w:val="20"/>
              </w:rPr>
              <w:t>ECOLOGICAL</w:t>
            </w:r>
          </w:p>
        </w:tc>
        <w:tc>
          <w:tcPr>
            <w:tcW w:w="6120" w:type="dxa"/>
            <w:tcBorders>
              <w:left w:val="nil"/>
              <w:bottom w:val="single" w:sz="4" w:space="0" w:color="auto"/>
              <w:right w:val="nil"/>
            </w:tcBorders>
          </w:tcPr>
          <w:p w14:paraId="11661DDB" w14:textId="77777777" w:rsidR="00A85598" w:rsidRPr="00026B03" w:rsidRDefault="00A85598" w:rsidP="00D2000D">
            <w:pPr>
              <w:pStyle w:val="PlainText"/>
              <w:rPr>
                <w:rFonts w:ascii="Calibri" w:eastAsia="Calibri" w:hAnsi="Calibri" w:cs="Calibri"/>
              </w:rPr>
            </w:pPr>
            <w:r w:rsidRPr="00026B03">
              <w:rPr>
                <w:rFonts w:ascii="Calibri" w:eastAsia="Calibri" w:hAnsi="Calibri" w:cs="Calibri"/>
              </w:rPr>
              <w:t>Area-level income predicted given:</w:t>
            </w:r>
          </w:p>
          <w:p w14:paraId="159402DF" w14:textId="77777777" w:rsidR="00A85598" w:rsidRPr="00026B03" w:rsidRDefault="00A85598" w:rsidP="00A85598">
            <w:pPr>
              <w:pStyle w:val="PlainText"/>
              <w:ind w:left="357"/>
              <w:rPr>
                <w:rFonts w:ascii="Calibri" w:eastAsia="MS Mincho" w:hAnsi="Calibri" w:cs="Calibri"/>
              </w:rPr>
            </w:pPr>
            <w:proofErr w:type="gramStart"/>
            <w:r w:rsidRPr="00026B03">
              <w:rPr>
                <w:rFonts w:ascii="Calibri" w:eastAsia="Calibri" w:hAnsi="Calibri" w:cs="Calibri"/>
              </w:rPr>
              <w:t>the</w:t>
            </w:r>
            <w:proofErr w:type="gramEnd"/>
            <w:r w:rsidRPr="00026B03">
              <w:rPr>
                <w:rFonts w:ascii="Calibri" w:eastAsia="Calibri" w:hAnsi="Calibri" w:cs="Calibri"/>
              </w:rPr>
              <w:t xml:space="preserve"> best performing three area-level co-</w:t>
            </w:r>
            <w:proofErr w:type="spellStart"/>
            <w:r w:rsidRPr="00026B03">
              <w:rPr>
                <w:rFonts w:ascii="Calibri" w:eastAsia="Calibri" w:hAnsi="Calibri" w:cs="Calibri"/>
              </w:rPr>
              <w:t>variates</w:t>
            </w:r>
            <w:proofErr w:type="spellEnd"/>
            <w:r w:rsidRPr="00026B03">
              <w:rPr>
                <w:rFonts w:ascii="Calibri" w:eastAsia="Calibri" w:hAnsi="Calibri" w:cs="Calibri"/>
              </w:rPr>
              <w:t xml:space="preserve">. Models fitted separately for each spatial unit and income measure. All models include % of 16-74 year olds in NS-SEC 1 or 2. All except the models for mean income per Household and Main Wage Earner include the poverty index GREENPOV (see Table </w:t>
            </w:r>
            <w:r>
              <w:rPr>
                <w:rFonts w:ascii="Calibri" w:eastAsia="Calibri" w:hAnsi="Calibri" w:cs="Calibri"/>
              </w:rPr>
              <w:t>4</w:t>
            </w:r>
            <w:r w:rsidRPr="00026B03">
              <w:rPr>
                <w:rFonts w:ascii="Calibri" w:eastAsia="Calibri" w:hAnsi="Calibri" w:cs="Calibri"/>
              </w:rPr>
              <w:t xml:space="preserve">). The models for mean Resident, Adult, Per Capita and </w:t>
            </w:r>
            <w:proofErr w:type="spellStart"/>
            <w:r w:rsidRPr="00026B03">
              <w:rPr>
                <w:rFonts w:ascii="Calibri" w:eastAsia="Calibri" w:hAnsi="Calibri" w:cs="Calibri"/>
              </w:rPr>
              <w:t>McClements-equivalised</w:t>
            </w:r>
            <w:proofErr w:type="spellEnd"/>
            <w:r w:rsidRPr="00026B03">
              <w:rPr>
                <w:rFonts w:ascii="Calibri" w:eastAsia="Calibri" w:hAnsi="Calibri" w:cs="Calibri"/>
              </w:rPr>
              <w:t xml:space="preserve"> Household incomes include the % of households in flats. Other predictors used by one or more models are the wealth index GREENWTH (see Table </w:t>
            </w:r>
            <w:r>
              <w:rPr>
                <w:rFonts w:ascii="Calibri" w:eastAsia="Calibri" w:hAnsi="Calibri" w:cs="Calibri"/>
              </w:rPr>
              <w:t>4</w:t>
            </w:r>
            <w:r w:rsidRPr="00026B03">
              <w:rPr>
                <w:rFonts w:ascii="Calibri" w:eastAsia="Calibri" w:hAnsi="Calibri" w:cs="Calibri"/>
              </w:rPr>
              <w:t>), the % economically active unemployed and the % of households with no car.</w:t>
            </w:r>
          </w:p>
        </w:tc>
      </w:tr>
      <w:tr w:rsidR="00026B03" w14:paraId="11DC0911" w14:textId="77777777" w:rsidTr="00421639">
        <w:trPr>
          <w:trHeight w:val="255"/>
        </w:trPr>
        <w:tc>
          <w:tcPr>
            <w:tcW w:w="1815" w:type="dxa"/>
            <w:tcBorders>
              <w:top w:val="single" w:sz="4" w:space="0" w:color="auto"/>
              <w:left w:val="nil"/>
              <w:bottom w:val="nil"/>
              <w:right w:val="nil"/>
            </w:tcBorders>
            <w:noWrap/>
            <w:tcMar>
              <w:top w:w="15" w:type="dxa"/>
              <w:left w:w="15" w:type="dxa"/>
              <w:bottom w:w="0" w:type="dxa"/>
              <w:right w:w="15" w:type="dxa"/>
            </w:tcMar>
            <w:vAlign w:val="bottom"/>
          </w:tcPr>
          <w:p w14:paraId="0C2B953C" w14:textId="77777777" w:rsidR="00026B03" w:rsidRPr="00026B03" w:rsidRDefault="00026B03" w:rsidP="00421639">
            <w:pPr>
              <w:pStyle w:val="Heading5"/>
              <w:spacing w:before="0" w:line="240" w:lineRule="auto"/>
              <w:rPr>
                <w:rFonts w:asciiTheme="minorHAnsi" w:eastAsia="Times New Roman" w:hAnsiTheme="minorHAnsi" w:cstheme="minorHAnsi"/>
                <w:i/>
                <w:color w:val="243F60"/>
                <w:sz w:val="20"/>
                <w:szCs w:val="20"/>
              </w:rPr>
            </w:pPr>
            <w:r w:rsidRPr="00026B03">
              <w:rPr>
                <w:rFonts w:asciiTheme="minorHAnsi" w:eastAsia="Times New Roman" w:hAnsiTheme="minorHAnsi" w:cstheme="minorHAnsi"/>
                <w:i/>
                <w:color w:val="243F60"/>
                <w:sz w:val="20"/>
                <w:szCs w:val="20"/>
              </w:rPr>
              <w:t>Sub-group mean</w:t>
            </w:r>
          </w:p>
        </w:tc>
        <w:tc>
          <w:tcPr>
            <w:tcW w:w="6120" w:type="dxa"/>
            <w:tcBorders>
              <w:top w:val="single" w:sz="4" w:space="0" w:color="auto"/>
              <w:left w:val="nil"/>
              <w:bottom w:val="nil"/>
              <w:right w:val="nil"/>
            </w:tcBorders>
          </w:tcPr>
          <w:p w14:paraId="7F08DB8F" w14:textId="77777777" w:rsidR="00026B03" w:rsidRPr="00026B03" w:rsidRDefault="00026B03" w:rsidP="00421639">
            <w:pPr>
              <w:rPr>
                <w:rFonts w:ascii="Calibri" w:eastAsia="Calibri" w:hAnsi="Calibri"/>
                <w:sz w:val="20"/>
                <w:szCs w:val="20"/>
              </w:rPr>
            </w:pPr>
          </w:p>
        </w:tc>
      </w:tr>
      <w:tr w:rsidR="00026B03" w14:paraId="448FB7B0" w14:textId="77777777" w:rsidTr="00421639">
        <w:trPr>
          <w:trHeight w:val="255"/>
        </w:trPr>
        <w:tc>
          <w:tcPr>
            <w:tcW w:w="1815" w:type="dxa"/>
            <w:tcBorders>
              <w:top w:val="nil"/>
              <w:left w:val="nil"/>
              <w:bottom w:val="nil"/>
              <w:right w:val="nil"/>
            </w:tcBorders>
            <w:noWrap/>
            <w:tcMar>
              <w:top w:w="15" w:type="dxa"/>
              <w:left w:w="15" w:type="dxa"/>
              <w:bottom w:w="0" w:type="dxa"/>
              <w:right w:w="15" w:type="dxa"/>
            </w:tcMar>
            <w:vAlign w:val="bottom"/>
          </w:tcPr>
          <w:p w14:paraId="41549E6D" w14:textId="77777777" w:rsidR="00026B03" w:rsidRPr="00026B03" w:rsidRDefault="00026B03" w:rsidP="00421639">
            <w:pPr>
              <w:rPr>
                <w:rFonts w:ascii="Calibri" w:eastAsia="Calibri" w:hAnsi="Calibri" w:cs="Calibri"/>
                <w:sz w:val="20"/>
                <w:szCs w:val="20"/>
              </w:rPr>
            </w:pPr>
            <w:r w:rsidRPr="00026B03">
              <w:rPr>
                <w:rFonts w:ascii="Calibri" w:eastAsia="Calibri" w:hAnsi="Calibri" w:cs="Calibri"/>
                <w:sz w:val="20"/>
                <w:szCs w:val="20"/>
              </w:rPr>
              <w:t>LE</w:t>
            </w:r>
            <w:r w:rsidR="001A249C">
              <w:rPr>
                <w:rFonts w:ascii="Calibri" w:eastAsia="Calibri" w:hAnsi="Calibri" w:cs="Calibri"/>
                <w:sz w:val="20"/>
                <w:szCs w:val="20"/>
              </w:rPr>
              <w:t>E</w:t>
            </w:r>
            <w:r w:rsidRPr="00026B03">
              <w:rPr>
                <w:rFonts w:ascii="Calibri" w:eastAsia="Calibri" w:hAnsi="Calibri" w:cs="Calibri"/>
                <w:sz w:val="20"/>
                <w:szCs w:val="20"/>
              </w:rPr>
              <w:t>INC</w:t>
            </w:r>
          </w:p>
          <w:p w14:paraId="664E9FDA" w14:textId="77777777" w:rsidR="00026B03" w:rsidRPr="00026B03" w:rsidRDefault="00026B03" w:rsidP="00421639">
            <w:pPr>
              <w:rPr>
                <w:rFonts w:ascii="Calibri" w:eastAsia="Calibri" w:hAnsi="Calibri" w:cs="Calibri"/>
                <w:sz w:val="20"/>
                <w:szCs w:val="20"/>
              </w:rPr>
            </w:pPr>
          </w:p>
          <w:p w14:paraId="71574961" w14:textId="77777777" w:rsidR="00026B03" w:rsidRPr="00026B03" w:rsidRDefault="00026B03" w:rsidP="00421639">
            <w:pPr>
              <w:rPr>
                <w:rFonts w:ascii="Calibri" w:eastAsia="Calibri" w:hAnsi="Calibri" w:cs="Calibri"/>
                <w:sz w:val="20"/>
                <w:szCs w:val="20"/>
              </w:rPr>
            </w:pPr>
          </w:p>
          <w:p w14:paraId="3CA7109D" w14:textId="77777777" w:rsidR="00026B03" w:rsidRPr="00026B03" w:rsidRDefault="00026B03" w:rsidP="00421639">
            <w:pPr>
              <w:rPr>
                <w:rFonts w:ascii="Calibri" w:eastAsia="Calibri" w:hAnsi="Calibri" w:cs="Calibri"/>
                <w:sz w:val="20"/>
                <w:szCs w:val="20"/>
              </w:rPr>
            </w:pPr>
          </w:p>
          <w:p w14:paraId="703532F8" w14:textId="77777777" w:rsidR="00026B03" w:rsidRPr="00026B03" w:rsidRDefault="00026B03" w:rsidP="00421639">
            <w:pPr>
              <w:rPr>
                <w:rFonts w:ascii="Calibri" w:eastAsia="Calibri" w:hAnsi="Calibri" w:cs="Calibri"/>
                <w:sz w:val="20"/>
                <w:szCs w:val="20"/>
              </w:rPr>
            </w:pPr>
          </w:p>
        </w:tc>
        <w:tc>
          <w:tcPr>
            <w:tcW w:w="6120" w:type="dxa"/>
            <w:tcBorders>
              <w:top w:val="nil"/>
              <w:left w:val="nil"/>
              <w:bottom w:val="nil"/>
              <w:right w:val="nil"/>
            </w:tcBorders>
          </w:tcPr>
          <w:p w14:paraId="43F14F6D" w14:textId="77777777" w:rsidR="00026B03" w:rsidRPr="00026B03" w:rsidRDefault="00026B03" w:rsidP="00421639">
            <w:pPr>
              <w:pStyle w:val="PlainText"/>
              <w:rPr>
                <w:rFonts w:ascii="Calibri" w:eastAsia="MS Mincho" w:hAnsi="Calibri" w:cs="Calibri"/>
              </w:rPr>
            </w:pPr>
            <w:r w:rsidRPr="00026B03">
              <w:rPr>
                <w:rFonts w:ascii="Calibri" w:eastAsia="MS Mincho" w:hAnsi="Calibri" w:cs="Calibri"/>
              </w:rPr>
              <w:t>Income imputed given mean income for population sub-group defined by:</w:t>
            </w:r>
          </w:p>
          <w:p w14:paraId="1B80E1D7" w14:textId="77777777" w:rsidR="00026B03" w:rsidRPr="00026B03" w:rsidRDefault="00026B03" w:rsidP="00421639">
            <w:pPr>
              <w:pStyle w:val="PlainText"/>
              <w:ind w:left="360"/>
              <w:rPr>
                <w:rFonts w:ascii="Calibri" w:eastAsia="MS Mincho" w:hAnsi="Calibri" w:cs="Calibri"/>
              </w:rPr>
            </w:pPr>
            <w:r w:rsidRPr="00026B03">
              <w:rPr>
                <w:rFonts w:ascii="Calibri" w:eastAsia="MS Mincho" w:hAnsi="Calibri" w:cs="Calibri"/>
              </w:rPr>
              <w:t>SOC 2000 minor group (81 categories); Economic activity (Child, not applicable, employed full-time, employed part-time, self-employed, unemployed, retired, other inactive)</w:t>
            </w:r>
          </w:p>
          <w:p w14:paraId="3A64B565" w14:textId="77777777" w:rsidR="00026B03" w:rsidRPr="00026B03" w:rsidRDefault="00026B03" w:rsidP="00421639">
            <w:pPr>
              <w:ind w:left="360"/>
              <w:rPr>
                <w:rFonts w:ascii="Calibri" w:eastAsia="Calibri" w:hAnsi="Calibri" w:cs="Calibri"/>
                <w:sz w:val="20"/>
                <w:szCs w:val="20"/>
              </w:rPr>
            </w:pPr>
            <w:r w:rsidRPr="00026B03">
              <w:rPr>
                <w:rFonts w:ascii="Calibri" w:eastAsia="MS Mincho" w:hAnsi="Calibri" w:cs="Calibri"/>
                <w:sz w:val="20"/>
                <w:szCs w:val="20"/>
              </w:rPr>
              <w:t>[</w:t>
            </w:r>
            <w:proofErr w:type="gramStart"/>
            <w:r w:rsidRPr="00026B03">
              <w:rPr>
                <w:rFonts w:ascii="Calibri" w:eastAsia="MS Mincho" w:hAnsi="Calibri" w:cs="Calibri"/>
                <w:sz w:val="20"/>
                <w:szCs w:val="20"/>
              </w:rPr>
              <w:t>maximum</w:t>
            </w:r>
            <w:proofErr w:type="gramEnd"/>
            <w:r w:rsidRPr="00026B03">
              <w:rPr>
                <w:rFonts w:ascii="Calibri" w:eastAsia="MS Mincho" w:hAnsi="Calibri" w:cs="Calibri"/>
                <w:sz w:val="20"/>
                <w:szCs w:val="20"/>
              </w:rPr>
              <w:t xml:space="preserve"> of 649 valid sub-groups]</w:t>
            </w:r>
          </w:p>
        </w:tc>
      </w:tr>
      <w:tr w:rsidR="00026B03" w14:paraId="4455B2E0" w14:textId="77777777" w:rsidTr="00421639">
        <w:trPr>
          <w:trHeight w:val="255"/>
        </w:trPr>
        <w:tc>
          <w:tcPr>
            <w:tcW w:w="1815" w:type="dxa"/>
            <w:tcBorders>
              <w:top w:val="nil"/>
              <w:left w:val="nil"/>
              <w:right w:val="nil"/>
            </w:tcBorders>
            <w:noWrap/>
            <w:tcMar>
              <w:top w:w="15" w:type="dxa"/>
              <w:left w:w="15" w:type="dxa"/>
              <w:bottom w:w="0" w:type="dxa"/>
              <w:right w:w="15" w:type="dxa"/>
            </w:tcMar>
            <w:vAlign w:val="bottom"/>
          </w:tcPr>
          <w:p w14:paraId="5886A62A" w14:textId="77777777" w:rsidR="00026B03" w:rsidRPr="00026B03" w:rsidRDefault="00026B03" w:rsidP="00421639">
            <w:pPr>
              <w:rPr>
                <w:rFonts w:ascii="Calibri" w:eastAsia="Calibri" w:hAnsi="Calibri" w:cs="Calibri"/>
                <w:sz w:val="20"/>
                <w:szCs w:val="20"/>
              </w:rPr>
            </w:pPr>
            <w:r w:rsidRPr="00026B03">
              <w:rPr>
                <w:rFonts w:ascii="Calibri" w:eastAsia="Calibri" w:hAnsi="Calibri" w:cs="Calibri"/>
                <w:sz w:val="20"/>
                <w:szCs w:val="20"/>
              </w:rPr>
              <w:t>LE</w:t>
            </w:r>
            <w:r w:rsidR="001A249C">
              <w:rPr>
                <w:rFonts w:ascii="Calibri" w:eastAsia="Calibri" w:hAnsi="Calibri" w:cs="Calibri"/>
                <w:sz w:val="20"/>
                <w:szCs w:val="20"/>
              </w:rPr>
              <w:t>E</w:t>
            </w:r>
            <w:r w:rsidRPr="00026B03">
              <w:rPr>
                <w:rFonts w:ascii="Calibri" w:eastAsia="Calibri" w:hAnsi="Calibri" w:cs="Calibri"/>
                <w:sz w:val="20"/>
                <w:szCs w:val="20"/>
              </w:rPr>
              <w:t>INC2</w:t>
            </w:r>
          </w:p>
          <w:p w14:paraId="40A1812F" w14:textId="77777777" w:rsidR="00026B03" w:rsidRPr="00026B03" w:rsidRDefault="00026B03" w:rsidP="00421639">
            <w:pPr>
              <w:rPr>
                <w:rFonts w:ascii="Calibri" w:eastAsia="Calibri" w:hAnsi="Calibri" w:cs="Calibri"/>
                <w:sz w:val="20"/>
                <w:szCs w:val="20"/>
              </w:rPr>
            </w:pPr>
          </w:p>
          <w:p w14:paraId="0EE5BF72" w14:textId="77777777" w:rsidR="00026B03" w:rsidRPr="00026B03" w:rsidRDefault="00026B03" w:rsidP="00421639">
            <w:pPr>
              <w:rPr>
                <w:rFonts w:ascii="Calibri" w:eastAsia="Calibri" w:hAnsi="Calibri" w:cs="Calibri"/>
                <w:sz w:val="20"/>
                <w:szCs w:val="20"/>
              </w:rPr>
            </w:pPr>
          </w:p>
          <w:p w14:paraId="1EEE23F3" w14:textId="77777777" w:rsidR="00026B03" w:rsidRPr="00026B03" w:rsidRDefault="00026B03" w:rsidP="00421639">
            <w:pPr>
              <w:rPr>
                <w:rFonts w:ascii="Calibri" w:eastAsia="Calibri" w:hAnsi="Calibri" w:cs="Calibri"/>
                <w:sz w:val="20"/>
                <w:szCs w:val="20"/>
              </w:rPr>
            </w:pPr>
          </w:p>
          <w:p w14:paraId="30E5E936" w14:textId="77777777" w:rsidR="00026B03" w:rsidRPr="00026B03" w:rsidRDefault="00026B03" w:rsidP="00421639">
            <w:pPr>
              <w:rPr>
                <w:rFonts w:ascii="Calibri" w:eastAsia="Calibri" w:hAnsi="Calibri" w:cs="Calibri"/>
                <w:sz w:val="20"/>
                <w:szCs w:val="20"/>
              </w:rPr>
            </w:pPr>
          </w:p>
        </w:tc>
        <w:tc>
          <w:tcPr>
            <w:tcW w:w="6120" w:type="dxa"/>
            <w:tcBorders>
              <w:top w:val="nil"/>
              <w:left w:val="nil"/>
              <w:right w:val="nil"/>
            </w:tcBorders>
          </w:tcPr>
          <w:p w14:paraId="7F307E7A" w14:textId="77777777" w:rsidR="00026B03" w:rsidRPr="00026B03" w:rsidRDefault="00026B03" w:rsidP="00421639">
            <w:pPr>
              <w:pStyle w:val="PlainText"/>
              <w:rPr>
                <w:rFonts w:ascii="Calibri" w:eastAsia="MS Mincho" w:hAnsi="Calibri" w:cs="Calibri"/>
              </w:rPr>
            </w:pPr>
            <w:r w:rsidRPr="00026B03">
              <w:rPr>
                <w:rFonts w:ascii="Calibri" w:eastAsia="MS Mincho" w:hAnsi="Calibri" w:cs="Calibri"/>
              </w:rPr>
              <w:t>Income imputed given mean income for population sub-group as for LE</w:t>
            </w:r>
            <w:r w:rsidR="001A249C">
              <w:rPr>
                <w:rFonts w:ascii="Calibri" w:eastAsia="MS Mincho" w:hAnsi="Calibri" w:cs="Calibri"/>
              </w:rPr>
              <w:t>E</w:t>
            </w:r>
            <w:r w:rsidRPr="00026B03">
              <w:rPr>
                <w:rFonts w:ascii="Calibri" w:eastAsia="MS Mincho" w:hAnsi="Calibri" w:cs="Calibri"/>
              </w:rPr>
              <w:t xml:space="preserve">INC, but with greater disaggregation of economic activity (Missing, child, not applicable, employed full-time, employed part-time, self-employed, unemployed, student, retired, permanently sick, other inactive) </w:t>
            </w:r>
          </w:p>
          <w:p w14:paraId="02710190" w14:textId="77777777" w:rsidR="00026B03" w:rsidRPr="00026B03" w:rsidRDefault="00026B03" w:rsidP="00421639">
            <w:pPr>
              <w:rPr>
                <w:rFonts w:ascii="Calibri" w:eastAsia="Calibri" w:hAnsi="Calibri" w:cs="Calibri"/>
                <w:sz w:val="20"/>
                <w:szCs w:val="20"/>
              </w:rPr>
            </w:pPr>
            <w:r w:rsidRPr="00026B03">
              <w:rPr>
                <w:rFonts w:ascii="Calibri" w:eastAsia="Calibri" w:hAnsi="Calibri" w:cs="Calibri"/>
                <w:sz w:val="20"/>
                <w:szCs w:val="20"/>
              </w:rPr>
              <w:t>[Maximum of 731 valid sub-groups]</w:t>
            </w:r>
          </w:p>
        </w:tc>
      </w:tr>
      <w:tr w:rsidR="00026B03" w14:paraId="652C4414" w14:textId="77777777" w:rsidTr="00421639">
        <w:trPr>
          <w:trHeight w:val="255"/>
        </w:trPr>
        <w:tc>
          <w:tcPr>
            <w:tcW w:w="1815" w:type="dxa"/>
            <w:tcBorders>
              <w:top w:val="nil"/>
              <w:left w:val="nil"/>
              <w:bottom w:val="single" w:sz="4" w:space="0" w:color="auto"/>
              <w:right w:val="nil"/>
            </w:tcBorders>
            <w:noWrap/>
            <w:tcMar>
              <w:top w:w="15" w:type="dxa"/>
              <w:left w:w="15" w:type="dxa"/>
              <w:bottom w:w="0" w:type="dxa"/>
              <w:right w:w="15" w:type="dxa"/>
            </w:tcMar>
            <w:vAlign w:val="bottom"/>
          </w:tcPr>
          <w:p w14:paraId="26BC12BF" w14:textId="77777777" w:rsidR="00026B03" w:rsidRPr="00026B03" w:rsidRDefault="00026B03" w:rsidP="00421639">
            <w:pPr>
              <w:rPr>
                <w:rFonts w:ascii="Calibri" w:eastAsia="Calibri" w:hAnsi="Calibri" w:cs="Calibri"/>
                <w:sz w:val="20"/>
                <w:szCs w:val="20"/>
              </w:rPr>
            </w:pPr>
            <w:r w:rsidRPr="00026B03">
              <w:rPr>
                <w:rFonts w:ascii="Calibri" w:eastAsia="Calibri" w:hAnsi="Calibri" w:cs="Calibri"/>
                <w:sz w:val="20"/>
                <w:szCs w:val="20"/>
              </w:rPr>
              <w:t>DALINCM</w:t>
            </w:r>
          </w:p>
          <w:p w14:paraId="1827EBED" w14:textId="77777777" w:rsidR="00026B03" w:rsidRPr="00026B03" w:rsidRDefault="00026B03" w:rsidP="00421639">
            <w:pPr>
              <w:rPr>
                <w:rFonts w:ascii="Calibri" w:eastAsia="Calibri" w:hAnsi="Calibri" w:cs="Calibri"/>
                <w:sz w:val="20"/>
                <w:szCs w:val="20"/>
              </w:rPr>
            </w:pPr>
          </w:p>
          <w:p w14:paraId="4E92A1F6" w14:textId="77777777" w:rsidR="00026B03" w:rsidRPr="00026B03" w:rsidRDefault="00026B03" w:rsidP="00421639">
            <w:pPr>
              <w:rPr>
                <w:rFonts w:ascii="Calibri" w:eastAsia="Calibri" w:hAnsi="Calibri" w:cs="Calibri"/>
                <w:sz w:val="20"/>
                <w:szCs w:val="20"/>
              </w:rPr>
            </w:pPr>
          </w:p>
          <w:p w14:paraId="6A5C436A" w14:textId="77777777" w:rsidR="00026B03" w:rsidRPr="00026B03" w:rsidRDefault="00026B03" w:rsidP="00421639">
            <w:pPr>
              <w:rPr>
                <w:rFonts w:ascii="Calibri" w:eastAsia="Calibri" w:hAnsi="Calibri" w:cs="Calibri"/>
                <w:sz w:val="20"/>
                <w:szCs w:val="20"/>
              </w:rPr>
            </w:pPr>
          </w:p>
          <w:p w14:paraId="70932CAC" w14:textId="77777777" w:rsidR="00026B03" w:rsidRPr="00026B03" w:rsidRDefault="00026B03" w:rsidP="00421639">
            <w:pPr>
              <w:rPr>
                <w:rFonts w:ascii="Calibri" w:eastAsia="Calibri" w:hAnsi="Calibri" w:cs="Calibri"/>
                <w:sz w:val="20"/>
                <w:szCs w:val="20"/>
              </w:rPr>
            </w:pPr>
          </w:p>
        </w:tc>
        <w:tc>
          <w:tcPr>
            <w:tcW w:w="6120" w:type="dxa"/>
            <w:tcBorders>
              <w:top w:val="nil"/>
              <w:left w:val="nil"/>
              <w:bottom w:val="single" w:sz="4" w:space="0" w:color="auto"/>
              <w:right w:val="nil"/>
            </w:tcBorders>
          </w:tcPr>
          <w:p w14:paraId="5925A34A" w14:textId="77777777" w:rsidR="00026B03" w:rsidRPr="00026B03" w:rsidRDefault="00026B03" w:rsidP="00421639">
            <w:pPr>
              <w:pStyle w:val="PlainText"/>
              <w:rPr>
                <w:rFonts w:ascii="Calibri" w:eastAsia="MS Mincho" w:hAnsi="Calibri" w:cs="Calibri"/>
              </w:rPr>
            </w:pPr>
            <w:r w:rsidRPr="00026B03">
              <w:rPr>
                <w:rFonts w:ascii="Calibri" w:eastAsia="MS Mincho" w:hAnsi="Calibri" w:cs="Calibri"/>
              </w:rPr>
              <w:t>Income imputed given mean income for population sub-group defined by:</w:t>
            </w:r>
          </w:p>
          <w:p w14:paraId="13F641CD" w14:textId="77777777" w:rsidR="00026B03" w:rsidRPr="00026B03" w:rsidRDefault="00026B03" w:rsidP="00421639">
            <w:pPr>
              <w:pStyle w:val="PlainText"/>
              <w:ind w:left="360"/>
              <w:rPr>
                <w:rFonts w:ascii="Calibri" w:eastAsia="MS Mincho" w:hAnsi="Calibri" w:cs="Calibri"/>
              </w:rPr>
            </w:pPr>
            <w:r w:rsidRPr="00026B03">
              <w:rPr>
                <w:rFonts w:ascii="Calibri" w:eastAsia="MS Mincho" w:hAnsi="Calibri" w:cs="Calibri"/>
              </w:rPr>
              <w:t>Sex (male, female); SOC 2000 minor group (81 categories); Economic activity (Missing, employed full-time, employed part-time, self-employed, other); Age (Missing, 0-15, 16-19, 20-29, 30-49, 50+)</w:t>
            </w:r>
          </w:p>
          <w:p w14:paraId="694708DF" w14:textId="77777777" w:rsidR="00026B03" w:rsidRPr="00026B03" w:rsidRDefault="00026B03" w:rsidP="00421639">
            <w:pPr>
              <w:pStyle w:val="PlainText"/>
              <w:ind w:left="360"/>
              <w:rPr>
                <w:rFonts w:ascii="Calibri" w:hAnsi="Calibri" w:cs="Calibri"/>
              </w:rPr>
            </w:pPr>
            <w:r w:rsidRPr="00026B03">
              <w:rPr>
                <w:rFonts w:ascii="Calibri" w:eastAsia="MS Mincho" w:hAnsi="Calibri" w:cs="Calibri"/>
              </w:rPr>
              <w:t xml:space="preserve"> [Maximum of 4860 valid sub-groups]</w:t>
            </w:r>
          </w:p>
        </w:tc>
      </w:tr>
      <w:tr w:rsidR="00026B03" w14:paraId="012B8ACB" w14:textId="77777777" w:rsidTr="00421639">
        <w:trPr>
          <w:trHeight w:val="255"/>
        </w:trPr>
        <w:tc>
          <w:tcPr>
            <w:tcW w:w="1815" w:type="dxa"/>
            <w:tcBorders>
              <w:top w:val="single" w:sz="4" w:space="0" w:color="auto"/>
              <w:left w:val="nil"/>
              <w:bottom w:val="nil"/>
              <w:right w:val="nil"/>
            </w:tcBorders>
            <w:noWrap/>
            <w:tcMar>
              <w:top w:w="15" w:type="dxa"/>
              <w:left w:w="15" w:type="dxa"/>
              <w:bottom w:w="0" w:type="dxa"/>
              <w:right w:w="15" w:type="dxa"/>
            </w:tcMar>
            <w:vAlign w:val="bottom"/>
          </w:tcPr>
          <w:p w14:paraId="6E3C90C6" w14:textId="77777777" w:rsidR="00026B03" w:rsidRPr="00026B03" w:rsidRDefault="00026B03" w:rsidP="00421639">
            <w:pPr>
              <w:pStyle w:val="Heading5"/>
              <w:spacing w:before="0" w:line="240" w:lineRule="auto"/>
              <w:rPr>
                <w:rFonts w:ascii="Calibri" w:eastAsia="Times New Roman" w:hAnsi="Calibri" w:cs="Calibri"/>
                <w:i/>
                <w:color w:val="243F60"/>
                <w:sz w:val="20"/>
                <w:szCs w:val="20"/>
              </w:rPr>
            </w:pPr>
            <w:r>
              <w:rPr>
                <w:rFonts w:ascii="Calibri" w:eastAsia="Times New Roman" w:hAnsi="Calibri" w:cs="Calibri"/>
                <w:i/>
                <w:color w:val="243F60"/>
                <w:sz w:val="20"/>
                <w:szCs w:val="20"/>
              </w:rPr>
              <w:t xml:space="preserve">Unit-level </w:t>
            </w:r>
            <w:r w:rsidRPr="00026B03">
              <w:rPr>
                <w:rFonts w:ascii="Calibri" w:eastAsia="Times New Roman" w:hAnsi="Calibri" w:cs="Calibri"/>
                <w:i/>
                <w:color w:val="243F60"/>
                <w:sz w:val="20"/>
                <w:szCs w:val="20"/>
              </w:rPr>
              <w:t>Regression</w:t>
            </w:r>
          </w:p>
        </w:tc>
        <w:tc>
          <w:tcPr>
            <w:tcW w:w="6120" w:type="dxa"/>
            <w:tcBorders>
              <w:top w:val="single" w:sz="4" w:space="0" w:color="auto"/>
              <w:left w:val="nil"/>
              <w:bottom w:val="nil"/>
              <w:right w:val="nil"/>
            </w:tcBorders>
          </w:tcPr>
          <w:p w14:paraId="248AF025" w14:textId="77777777" w:rsidR="00026B03" w:rsidRPr="00026B03" w:rsidRDefault="00026B03" w:rsidP="00421639">
            <w:pPr>
              <w:rPr>
                <w:rFonts w:ascii="Calibri" w:eastAsia="Calibri" w:hAnsi="Calibri" w:cs="Calibri"/>
                <w:sz w:val="20"/>
                <w:szCs w:val="20"/>
              </w:rPr>
            </w:pPr>
          </w:p>
        </w:tc>
      </w:tr>
      <w:tr w:rsidR="00026B03" w14:paraId="1578AC8F" w14:textId="77777777" w:rsidTr="00421639">
        <w:trPr>
          <w:trHeight w:val="255"/>
        </w:trPr>
        <w:tc>
          <w:tcPr>
            <w:tcW w:w="1815" w:type="dxa"/>
            <w:tcBorders>
              <w:top w:val="nil"/>
              <w:left w:val="nil"/>
              <w:bottom w:val="nil"/>
              <w:right w:val="nil"/>
            </w:tcBorders>
            <w:noWrap/>
            <w:tcMar>
              <w:top w:w="15" w:type="dxa"/>
              <w:left w:w="15" w:type="dxa"/>
              <w:bottom w:w="0" w:type="dxa"/>
              <w:right w:w="15" w:type="dxa"/>
            </w:tcMar>
          </w:tcPr>
          <w:p w14:paraId="7E784EEE" w14:textId="77777777" w:rsidR="00026B03" w:rsidRPr="00026B03" w:rsidRDefault="00026B03" w:rsidP="00421639">
            <w:pPr>
              <w:rPr>
                <w:rFonts w:ascii="Calibri" w:eastAsia="Calibri" w:hAnsi="Calibri" w:cs="Calibri"/>
                <w:sz w:val="20"/>
                <w:szCs w:val="20"/>
              </w:rPr>
            </w:pPr>
            <w:r w:rsidRPr="00026B03">
              <w:rPr>
                <w:rFonts w:ascii="Calibri" w:eastAsia="Calibri" w:hAnsi="Calibri" w:cs="Calibri"/>
                <w:sz w:val="20"/>
                <w:szCs w:val="20"/>
              </w:rPr>
              <w:t>R_IND</w:t>
            </w:r>
          </w:p>
          <w:p w14:paraId="687901B6" w14:textId="77777777" w:rsidR="00026B03" w:rsidRPr="00026B03" w:rsidRDefault="00026B03" w:rsidP="00421639">
            <w:pPr>
              <w:rPr>
                <w:rFonts w:ascii="Calibri" w:eastAsia="Calibri" w:hAnsi="Calibri" w:cs="Calibri"/>
                <w:sz w:val="20"/>
                <w:szCs w:val="20"/>
              </w:rPr>
            </w:pPr>
          </w:p>
          <w:p w14:paraId="0543953D" w14:textId="77777777" w:rsidR="00026B03" w:rsidRPr="00026B03" w:rsidRDefault="00026B03" w:rsidP="00421639">
            <w:pPr>
              <w:rPr>
                <w:rFonts w:ascii="Calibri" w:eastAsia="Calibri" w:hAnsi="Calibri" w:cs="Calibri"/>
                <w:sz w:val="20"/>
                <w:szCs w:val="20"/>
              </w:rPr>
            </w:pPr>
          </w:p>
          <w:p w14:paraId="0CC0EAC7" w14:textId="77777777" w:rsidR="00026B03" w:rsidRPr="00026B03" w:rsidRDefault="00026B03" w:rsidP="00421639">
            <w:pPr>
              <w:rPr>
                <w:rFonts w:ascii="Calibri" w:eastAsia="Calibri" w:hAnsi="Calibri" w:cs="Calibri"/>
                <w:sz w:val="20"/>
                <w:szCs w:val="20"/>
              </w:rPr>
            </w:pPr>
          </w:p>
          <w:p w14:paraId="5FFB8ECF" w14:textId="77777777" w:rsidR="00026B03" w:rsidRPr="00026B03" w:rsidRDefault="00026B03" w:rsidP="00421639">
            <w:pPr>
              <w:rPr>
                <w:rFonts w:ascii="Calibri" w:eastAsia="Calibri" w:hAnsi="Calibri" w:cs="Calibri"/>
                <w:sz w:val="20"/>
                <w:szCs w:val="20"/>
              </w:rPr>
            </w:pPr>
          </w:p>
          <w:p w14:paraId="50A29615" w14:textId="77777777" w:rsidR="00026B03" w:rsidRPr="00026B03" w:rsidRDefault="00026B03" w:rsidP="00421639">
            <w:pPr>
              <w:rPr>
                <w:rFonts w:ascii="Calibri" w:eastAsia="Calibri" w:hAnsi="Calibri" w:cs="Calibri"/>
                <w:sz w:val="20"/>
                <w:szCs w:val="20"/>
              </w:rPr>
            </w:pPr>
          </w:p>
          <w:p w14:paraId="08647947" w14:textId="77777777" w:rsidR="00026B03" w:rsidRPr="00026B03" w:rsidRDefault="00026B03" w:rsidP="00421639">
            <w:pPr>
              <w:rPr>
                <w:rFonts w:ascii="Calibri" w:eastAsia="Calibri" w:hAnsi="Calibri" w:cs="Calibri"/>
                <w:sz w:val="20"/>
                <w:szCs w:val="20"/>
              </w:rPr>
            </w:pPr>
          </w:p>
          <w:p w14:paraId="118D3D83" w14:textId="77777777" w:rsidR="00026B03" w:rsidRPr="00026B03" w:rsidRDefault="00026B03" w:rsidP="00421639">
            <w:pPr>
              <w:rPr>
                <w:rFonts w:ascii="Calibri" w:eastAsia="Calibri" w:hAnsi="Calibri" w:cs="Calibri"/>
                <w:sz w:val="20"/>
                <w:szCs w:val="20"/>
              </w:rPr>
            </w:pPr>
          </w:p>
          <w:p w14:paraId="727D7E36" w14:textId="77777777" w:rsidR="00026B03" w:rsidRPr="00026B03" w:rsidRDefault="00026B03" w:rsidP="00421639">
            <w:pPr>
              <w:rPr>
                <w:rFonts w:ascii="Calibri" w:eastAsia="Calibri" w:hAnsi="Calibri" w:cs="Calibri"/>
                <w:sz w:val="20"/>
                <w:szCs w:val="20"/>
              </w:rPr>
            </w:pPr>
          </w:p>
          <w:p w14:paraId="535FE397" w14:textId="77777777" w:rsidR="00026B03" w:rsidRPr="00026B03" w:rsidRDefault="00026B03" w:rsidP="00421639">
            <w:pPr>
              <w:rPr>
                <w:rFonts w:ascii="Calibri" w:eastAsia="Calibri" w:hAnsi="Calibri" w:cs="Calibri"/>
                <w:sz w:val="20"/>
                <w:szCs w:val="20"/>
              </w:rPr>
            </w:pPr>
          </w:p>
          <w:p w14:paraId="20AAE901" w14:textId="77777777" w:rsidR="00026B03" w:rsidRPr="00026B03" w:rsidRDefault="00026B03" w:rsidP="00421639">
            <w:pPr>
              <w:rPr>
                <w:rFonts w:ascii="Calibri" w:eastAsia="Calibri" w:hAnsi="Calibri" w:cs="Calibri"/>
                <w:sz w:val="20"/>
                <w:szCs w:val="20"/>
              </w:rPr>
            </w:pPr>
          </w:p>
        </w:tc>
        <w:tc>
          <w:tcPr>
            <w:tcW w:w="6120" w:type="dxa"/>
            <w:tcBorders>
              <w:top w:val="nil"/>
              <w:left w:val="nil"/>
              <w:bottom w:val="nil"/>
              <w:right w:val="nil"/>
            </w:tcBorders>
          </w:tcPr>
          <w:p w14:paraId="57B99A56" w14:textId="77777777" w:rsidR="00026B03" w:rsidRPr="00026B03" w:rsidRDefault="00026B03" w:rsidP="00421639">
            <w:pPr>
              <w:rPr>
                <w:rFonts w:ascii="Calibri" w:eastAsia="Calibri" w:hAnsi="Calibri" w:cs="Calibri"/>
                <w:sz w:val="20"/>
                <w:szCs w:val="20"/>
              </w:rPr>
            </w:pPr>
            <w:r w:rsidRPr="00026B03">
              <w:rPr>
                <w:rFonts w:ascii="Calibri" w:eastAsia="Calibri" w:hAnsi="Calibri" w:cs="Calibri"/>
                <w:sz w:val="20"/>
                <w:szCs w:val="20"/>
              </w:rPr>
              <w:t>Person-level income  (INCOME</w:t>
            </w:r>
            <w:r w:rsidRPr="00026B03">
              <w:rPr>
                <w:rFonts w:ascii="Calibri" w:eastAsia="Calibri" w:hAnsi="Calibri" w:cs="Calibri"/>
                <w:sz w:val="20"/>
                <w:szCs w:val="20"/>
                <w:vertAlign w:val="superscript"/>
              </w:rPr>
              <w:t>0.5</w:t>
            </w:r>
            <w:r w:rsidRPr="00026B03">
              <w:rPr>
                <w:rFonts w:ascii="Calibri" w:eastAsia="Calibri" w:hAnsi="Calibri" w:cs="Calibri"/>
                <w:sz w:val="20"/>
                <w:szCs w:val="20"/>
              </w:rPr>
              <w:t>) predicted given:</w:t>
            </w:r>
          </w:p>
          <w:p w14:paraId="0662C052" w14:textId="77777777" w:rsidR="00026B03" w:rsidRPr="00026B03" w:rsidRDefault="00026B03" w:rsidP="00421639">
            <w:pPr>
              <w:ind w:left="360"/>
              <w:rPr>
                <w:rFonts w:ascii="Calibri" w:eastAsia="Calibri" w:hAnsi="Calibri" w:cs="Calibri"/>
                <w:sz w:val="20"/>
                <w:szCs w:val="20"/>
              </w:rPr>
            </w:pPr>
            <w:proofErr w:type="gramStart"/>
            <w:r w:rsidRPr="00026B03">
              <w:rPr>
                <w:rFonts w:ascii="Calibri" w:eastAsia="MS Mincho" w:hAnsi="Calibri" w:cs="Calibri"/>
                <w:sz w:val="20"/>
                <w:szCs w:val="20"/>
              </w:rPr>
              <w:t>mean</w:t>
            </w:r>
            <w:proofErr w:type="gramEnd"/>
            <w:r w:rsidRPr="00026B03">
              <w:rPr>
                <w:rFonts w:ascii="Calibri" w:eastAsia="MS Mincho" w:hAnsi="Calibri" w:cs="Calibri"/>
                <w:sz w:val="20"/>
                <w:szCs w:val="20"/>
              </w:rPr>
              <w:t xml:space="preserve"> income by SOC2000 unit; mean income by Industry category, age, age</w:t>
            </w:r>
            <w:r w:rsidRPr="00026B03">
              <w:rPr>
                <w:rFonts w:ascii="Calibri" w:eastAsia="MS Mincho" w:hAnsi="Calibri" w:cs="Calibri"/>
                <w:sz w:val="20"/>
                <w:szCs w:val="20"/>
                <w:vertAlign w:val="superscript"/>
              </w:rPr>
              <w:t>2</w:t>
            </w:r>
            <w:r w:rsidRPr="00026B03">
              <w:rPr>
                <w:rFonts w:ascii="Calibri" w:eastAsia="MS Mincho" w:hAnsi="Calibri" w:cs="Calibri"/>
                <w:sz w:val="20"/>
                <w:szCs w:val="20"/>
              </w:rPr>
              <w:t>, residents, residents</w:t>
            </w:r>
            <w:r w:rsidRPr="00026B03">
              <w:rPr>
                <w:rFonts w:ascii="Calibri" w:eastAsia="MS Mincho" w:hAnsi="Calibri" w:cs="Calibri"/>
                <w:sz w:val="20"/>
                <w:szCs w:val="20"/>
                <w:vertAlign w:val="superscript"/>
              </w:rPr>
              <w:t>2</w:t>
            </w:r>
            <w:r w:rsidRPr="00026B03">
              <w:rPr>
                <w:rFonts w:ascii="Calibri" w:eastAsia="MS Mincho" w:hAnsi="Calibri" w:cs="Calibri"/>
                <w:sz w:val="20"/>
                <w:szCs w:val="20"/>
              </w:rPr>
              <w:t xml:space="preserve">, rooms and cars plus dummy variables for sex, white, full-time student, married, Single/Widowed/Divorced, Long-term ill,  No qualifications, GCSE or equivalent, A levels or equivalent, Undergraduate degree or equivalent,  employed full-time, employed part-time, self-employed, unemployed, retired, permanently sick, other economically inactive excluding pensioners and students, Semi-detached, terrace, flat, caravan, privately rented, social rented, employed manager or supervisor and district of residence. </w:t>
            </w:r>
            <w:r w:rsidRPr="00026B03">
              <w:rPr>
                <w:rFonts w:ascii="Calibri" w:eastAsia="Calibri" w:hAnsi="Calibri" w:cs="Calibri"/>
                <w:sz w:val="20"/>
                <w:szCs w:val="20"/>
              </w:rPr>
              <w:t>Children (&lt;1 16 years old) assumed to have no income.</w:t>
            </w:r>
          </w:p>
        </w:tc>
      </w:tr>
      <w:tr w:rsidR="00026B03" w14:paraId="1D76065D" w14:textId="77777777" w:rsidTr="00421639">
        <w:trPr>
          <w:trHeight w:val="255"/>
        </w:trPr>
        <w:tc>
          <w:tcPr>
            <w:tcW w:w="1815" w:type="dxa"/>
            <w:tcBorders>
              <w:top w:val="nil"/>
              <w:left w:val="nil"/>
              <w:right w:val="nil"/>
            </w:tcBorders>
            <w:noWrap/>
            <w:tcMar>
              <w:top w:w="15" w:type="dxa"/>
              <w:left w:w="15" w:type="dxa"/>
              <w:bottom w:w="0" w:type="dxa"/>
              <w:right w:w="15" w:type="dxa"/>
            </w:tcMar>
          </w:tcPr>
          <w:p w14:paraId="5180A837" w14:textId="77777777" w:rsidR="00026B03" w:rsidRPr="00026B03" w:rsidRDefault="00026B03" w:rsidP="00421639">
            <w:pPr>
              <w:rPr>
                <w:rFonts w:ascii="Calibri" w:eastAsia="Calibri" w:hAnsi="Calibri" w:cs="Calibri"/>
                <w:sz w:val="20"/>
                <w:szCs w:val="20"/>
              </w:rPr>
            </w:pPr>
            <w:r w:rsidRPr="00026B03">
              <w:rPr>
                <w:rFonts w:ascii="Calibri" w:eastAsia="Calibri" w:hAnsi="Calibri" w:cs="Calibri"/>
                <w:sz w:val="20"/>
                <w:szCs w:val="20"/>
              </w:rPr>
              <w:t>DAVIESHH</w:t>
            </w:r>
          </w:p>
          <w:p w14:paraId="4FC21DA5" w14:textId="77777777" w:rsidR="00026B03" w:rsidRPr="00026B03" w:rsidRDefault="00026B03" w:rsidP="00421639">
            <w:pPr>
              <w:rPr>
                <w:rFonts w:ascii="Calibri" w:eastAsia="Calibri" w:hAnsi="Calibri" w:cs="Calibri"/>
                <w:sz w:val="20"/>
                <w:szCs w:val="20"/>
              </w:rPr>
            </w:pPr>
          </w:p>
          <w:p w14:paraId="64F830B6" w14:textId="77777777" w:rsidR="00026B03" w:rsidRPr="00026B03" w:rsidRDefault="00026B03" w:rsidP="00421639">
            <w:pPr>
              <w:rPr>
                <w:rFonts w:ascii="Calibri" w:eastAsia="Calibri" w:hAnsi="Calibri" w:cs="Calibri"/>
                <w:sz w:val="20"/>
                <w:szCs w:val="20"/>
              </w:rPr>
            </w:pPr>
          </w:p>
          <w:p w14:paraId="207193EE" w14:textId="77777777" w:rsidR="00026B03" w:rsidRPr="00026B03" w:rsidRDefault="00026B03" w:rsidP="00421639">
            <w:pPr>
              <w:rPr>
                <w:rFonts w:ascii="Calibri" w:eastAsia="Calibri" w:hAnsi="Calibri" w:cs="Calibri"/>
                <w:sz w:val="20"/>
                <w:szCs w:val="20"/>
              </w:rPr>
            </w:pPr>
          </w:p>
          <w:p w14:paraId="4044D4D2" w14:textId="77777777" w:rsidR="00026B03" w:rsidRPr="00026B03" w:rsidRDefault="00026B03" w:rsidP="00421639">
            <w:pPr>
              <w:rPr>
                <w:rFonts w:ascii="Calibri" w:eastAsia="Calibri" w:hAnsi="Calibri" w:cs="Calibri"/>
                <w:sz w:val="20"/>
                <w:szCs w:val="20"/>
              </w:rPr>
            </w:pPr>
          </w:p>
          <w:p w14:paraId="2BA56172" w14:textId="77777777" w:rsidR="00026B03" w:rsidRPr="00026B03" w:rsidRDefault="00026B03" w:rsidP="00421639">
            <w:pPr>
              <w:rPr>
                <w:rFonts w:ascii="Calibri" w:eastAsia="Calibri" w:hAnsi="Calibri" w:cs="Calibri"/>
                <w:sz w:val="20"/>
                <w:szCs w:val="20"/>
              </w:rPr>
            </w:pPr>
          </w:p>
          <w:p w14:paraId="02980E23" w14:textId="77777777" w:rsidR="00026B03" w:rsidRPr="00026B03" w:rsidRDefault="00026B03" w:rsidP="00421639">
            <w:pPr>
              <w:rPr>
                <w:rFonts w:ascii="Calibri" w:eastAsia="Calibri" w:hAnsi="Calibri" w:cs="Calibri"/>
                <w:sz w:val="20"/>
                <w:szCs w:val="20"/>
              </w:rPr>
            </w:pPr>
          </w:p>
        </w:tc>
        <w:tc>
          <w:tcPr>
            <w:tcW w:w="6120" w:type="dxa"/>
            <w:tcBorders>
              <w:top w:val="nil"/>
              <w:left w:val="nil"/>
              <w:right w:val="nil"/>
            </w:tcBorders>
          </w:tcPr>
          <w:p w14:paraId="1E62FF47" w14:textId="77777777" w:rsidR="00026B03" w:rsidRPr="00026B03" w:rsidRDefault="00026B03" w:rsidP="00421639">
            <w:pPr>
              <w:rPr>
                <w:rFonts w:ascii="Calibri" w:eastAsia="MS Mincho" w:hAnsi="Calibri" w:cs="Calibri"/>
                <w:sz w:val="20"/>
                <w:szCs w:val="20"/>
              </w:rPr>
            </w:pPr>
            <w:r w:rsidRPr="00026B03">
              <w:rPr>
                <w:rFonts w:ascii="Calibri" w:eastAsia="MS Mincho" w:hAnsi="Calibri" w:cs="Calibri"/>
                <w:sz w:val="20"/>
                <w:szCs w:val="20"/>
              </w:rPr>
              <w:t>Household-level income (HHINC</w:t>
            </w:r>
            <w:r w:rsidRPr="00026B03">
              <w:rPr>
                <w:rFonts w:ascii="Calibri" w:eastAsia="MS Mincho" w:hAnsi="Calibri" w:cs="Calibri"/>
                <w:sz w:val="20"/>
                <w:szCs w:val="20"/>
                <w:vertAlign w:val="superscript"/>
              </w:rPr>
              <w:t>0.5</w:t>
            </w:r>
            <w:r w:rsidRPr="00026B03">
              <w:rPr>
                <w:rFonts w:ascii="Calibri" w:eastAsia="MS Mincho" w:hAnsi="Calibri" w:cs="Calibri"/>
                <w:sz w:val="20"/>
                <w:szCs w:val="20"/>
              </w:rPr>
              <w:t>) predicted given:</w:t>
            </w:r>
          </w:p>
          <w:p w14:paraId="56E800DD" w14:textId="77777777" w:rsidR="00026B03" w:rsidRPr="00026B03" w:rsidRDefault="00026B03" w:rsidP="00421639">
            <w:pPr>
              <w:ind w:left="360"/>
              <w:rPr>
                <w:rFonts w:ascii="Calibri" w:eastAsia="Calibri" w:hAnsi="Calibri" w:cs="Calibri"/>
                <w:sz w:val="20"/>
                <w:szCs w:val="20"/>
              </w:rPr>
            </w:pPr>
            <w:proofErr w:type="gramStart"/>
            <w:r w:rsidRPr="00026B03">
              <w:rPr>
                <w:rFonts w:ascii="Calibri" w:eastAsia="MS Mincho" w:hAnsi="Calibri" w:cs="Calibri"/>
                <w:sz w:val="20"/>
                <w:szCs w:val="20"/>
              </w:rPr>
              <w:t>number</w:t>
            </w:r>
            <w:proofErr w:type="gramEnd"/>
            <w:r w:rsidRPr="00026B03">
              <w:rPr>
                <w:rFonts w:ascii="Calibri" w:eastAsia="MS Mincho" w:hAnsi="Calibri" w:cs="Calibri"/>
                <w:sz w:val="20"/>
                <w:szCs w:val="20"/>
              </w:rPr>
              <w:t xml:space="preserve"> of children (&lt;16 years old) and dummies for female, age group (0-19, 20-29, 30-39, 40-49, 60-64 or 65+), owner-occupied household with no car, rented household with no care, rented household with 1+ car, unemployed head, economically inactive head, head in Social Class IV or V, , one person household, 1+ dependent children at home, lone parent household and district of residence</w:t>
            </w:r>
          </w:p>
        </w:tc>
      </w:tr>
      <w:tr w:rsidR="00026B03" w14:paraId="27F8E0B8" w14:textId="77777777" w:rsidTr="00026B03">
        <w:trPr>
          <w:trHeight w:val="255"/>
        </w:trPr>
        <w:tc>
          <w:tcPr>
            <w:tcW w:w="1815" w:type="dxa"/>
            <w:tcBorders>
              <w:top w:val="nil"/>
              <w:left w:val="nil"/>
              <w:bottom w:val="single" w:sz="4" w:space="0" w:color="auto"/>
              <w:right w:val="nil"/>
            </w:tcBorders>
            <w:noWrap/>
            <w:tcMar>
              <w:top w:w="15" w:type="dxa"/>
              <w:left w:w="15" w:type="dxa"/>
              <w:bottom w:w="0" w:type="dxa"/>
              <w:right w:w="15" w:type="dxa"/>
            </w:tcMar>
            <w:vAlign w:val="bottom"/>
          </w:tcPr>
          <w:p w14:paraId="53DEDCB9" w14:textId="77777777" w:rsidR="00026B03" w:rsidRPr="00026B03" w:rsidRDefault="00026B03" w:rsidP="00421639">
            <w:pPr>
              <w:rPr>
                <w:rFonts w:ascii="Calibri" w:eastAsia="Calibri" w:hAnsi="Calibri" w:cs="Calibri"/>
                <w:sz w:val="20"/>
                <w:szCs w:val="20"/>
              </w:rPr>
            </w:pPr>
            <w:r w:rsidRPr="00026B03">
              <w:rPr>
                <w:rFonts w:ascii="Calibri" w:eastAsia="Calibri" w:hAnsi="Calibri" w:cs="Calibri"/>
                <w:sz w:val="20"/>
                <w:szCs w:val="20"/>
              </w:rPr>
              <w:t>R_HH</w:t>
            </w:r>
          </w:p>
          <w:p w14:paraId="27C6953A" w14:textId="77777777" w:rsidR="00026B03" w:rsidRPr="00026B03" w:rsidRDefault="00026B03" w:rsidP="00421639">
            <w:pPr>
              <w:rPr>
                <w:rFonts w:ascii="Calibri" w:eastAsia="Calibri" w:hAnsi="Calibri" w:cs="Calibri"/>
                <w:sz w:val="20"/>
                <w:szCs w:val="20"/>
              </w:rPr>
            </w:pPr>
          </w:p>
          <w:p w14:paraId="08579AC1" w14:textId="77777777" w:rsidR="00026B03" w:rsidRPr="00026B03" w:rsidRDefault="00026B03" w:rsidP="00421639">
            <w:pPr>
              <w:rPr>
                <w:rFonts w:ascii="Calibri" w:eastAsia="Calibri" w:hAnsi="Calibri" w:cs="Calibri"/>
                <w:sz w:val="20"/>
                <w:szCs w:val="20"/>
              </w:rPr>
            </w:pPr>
          </w:p>
        </w:tc>
        <w:tc>
          <w:tcPr>
            <w:tcW w:w="6120" w:type="dxa"/>
            <w:tcBorders>
              <w:top w:val="nil"/>
              <w:left w:val="nil"/>
              <w:bottom w:val="single" w:sz="4" w:space="0" w:color="auto"/>
              <w:right w:val="nil"/>
            </w:tcBorders>
          </w:tcPr>
          <w:p w14:paraId="23D898EF" w14:textId="77777777" w:rsidR="00026B03" w:rsidRPr="00026B03" w:rsidRDefault="00026B03" w:rsidP="00421639">
            <w:pPr>
              <w:pStyle w:val="PlainText"/>
              <w:rPr>
                <w:rFonts w:ascii="Calibri" w:eastAsia="MS Mincho" w:hAnsi="Calibri" w:cs="Calibri"/>
              </w:rPr>
            </w:pPr>
            <w:r w:rsidRPr="00026B03">
              <w:rPr>
                <w:rFonts w:ascii="Calibri" w:eastAsia="MS Mincho" w:hAnsi="Calibri" w:cs="Calibri"/>
              </w:rPr>
              <w:t>Household-level income (HHINC</w:t>
            </w:r>
            <w:r w:rsidRPr="00026B03">
              <w:rPr>
                <w:rFonts w:ascii="Calibri" w:eastAsia="MS Mincho" w:hAnsi="Calibri" w:cs="Calibri"/>
                <w:vertAlign w:val="superscript"/>
              </w:rPr>
              <w:t>0.5</w:t>
            </w:r>
            <w:r w:rsidRPr="00026B03">
              <w:rPr>
                <w:rFonts w:ascii="Calibri" w:eastAsia="MS Mincho" w:hAnsi="Calibri" w:cs="Calibri"/>
              </w:rPr>
              <w:t>) predicted given same set of</w:t>
            </w:r>
          </w:p>
          <w:p w14:paraId="476FD2DA" w14:textId="77777777" w:rsidR="00026B03" w:rsidRPr="00026B03" w:rsidRDefault="00026B03" w:rsidP="00026B03">
            <w:pPr>
              <w:pStyle w:val="PlainText"/>
              <w:ind w:left="357"/>
              <w:rPr>
                <w:rFonts w:ascii="Calibri" w:hAnsi="Calibri" w:cs="Calibri"/>
              </w:rPr>
            </w:pPr>
            <w:r w:rsidRPr="00026B03">
              <w:rPr>
                <w:rFonts w:ascii="Calibri" w:eastAsia="MS Mincho" w:hAnsi="Calibri" w:cs="Calibri"/>
              </w:rPr>
              <w:t xml:space="preserve"> </w:t>
            </w:r>
            <w:proofErr w:type="gramStart"/>
            <w:r w:rsidRPr="00026B03">
              <w:rPr>
                <w:rFonts w:ascii="Calibri" w:eastAsia="MS Mincho" w:hAnsi="Calibri" w:cs="Calibri"/>
              </w:rPr>
              <w:t>predictors</w:t>
            </w:r>
            <w:proofErr w:type="gramEnd"/>
            <w:r w:rsidRPr="00026B03">
              <w:rPr>
                <w:rFonts w:ascii="Calibri" w:eastAsia="MS Mincho" w:hAnsi="Calibri" w:cs="Calibri"/>
              </w:rPr>
              <w:t xml:space="preserve"> as </w:t>
            </w:r>
            <w:r>
              <w:rPr>
                <w:rFonts w:ascii="Calibri" w:eastAsia="MS Mincho" w:hAnsi="Calibri" w:cs="Calibri"/>
              </w:rPr>
              <w:t>R_</w:t>
            </w:r>
            <w:r w:rsidRPr="00026B03">
              <w:rPr>
                <w:rFonts w:ascii="Calibri" w:eastAsia="MS Mincho" w:hAnsi="Calibri" w:cs="Calibri"/>
              </w:rPr>
              <w:t>IND, but based only upon head of household’s characteristics</w:t>
            </w:r>
          </w:p>
        </w:tc>
      </w:tr>
    </w:tbl>
    <w:p w14:paraId="11D1BF6C" w14:textId="77777777" w:rsidR="00026B03" w:rsidRDefault="00026B03" w:rsidP="00026B03">
      <w:pPr>
        <w:rPr>
          <w:b/>
        </w:rPr>
      </w:pPr>
    </w:p>
    <w:p w14:paraId="36A95E23" w14:textId="77777777" w:rsidR="00026B03" w:rsidRDefault="00DE1F10" w:rsidP="00026B03">
      <w:pPr>
        <w:keepNext/>
      </w:pPr>
      <w:r w:rsidRPr="00DE1F10">
        <w:rPr>
          <w:noProof/>
          <w:lang w:val="en-US"/>
        </w:rPr>
        <w:lastRenderedPageBreak/>
        <w:drawing>
          <wp:inline distT="0" distB="0" distL="0" distR="0" wp14:anchorId="1BE7BBA0" wp14:editId="2415A345">
            <wp:extent cx="6060797" cy="2115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3825"/>
                    <a:stretch/>
                  </pic:blipFill>
                  <pic:spPr bwMode="auto">
                    <a:xfrm>
                      <a:off x="0" y="0"/>
                      <a:ext cx="6075903" cy="2120676"/>
                    </a:xfrm>
                    <a:prstGeom prst="rect">
                      <a:avLst/>
                    </a:prstGeom>
                    <a:noFill/>
                    <a:ln>
                      <a:noFill/>
                    </a:ln>
                    <a:extLst>
                      <a:ext uri="{53640926-AAD7-44d8-BBD7-CCE9431645EC}">
                        <a14:shadowObscured xmlns:a14="http://schemas.microsoft.com/office/drawing/2010/main"/>
                      </a:ext>
                    </a:extLst>
                  </pic:spPr>
                </pic:pic>
              </a:graphicData>
            </a:graphic>
          </wp:inline>
        </w:drawing>
      </w:r>
    </w:p>
    <w:p w14:paraId="1A8D3EA2" w14:textId="77777777" w:rsidR="00026B03" w:rsidRDefault="00026B03" w:rsidP="00026B03">
      <w:pPr>
        <w:pStyle w:val="Caption"/>
        <w:rPr>
          <w:b w:val="0"/>
          <w:color w:val="auto"/>
          <w:sz w:val="22"/>
          <w:szCs w:val="22"/>
        </w:rPr>
      </w:pPr>
      <w:r w:rsidRPr="00026B03">
        <w:rPr>
          <w:color w:val="auto"/>
          <w:sz w:val="22"/>
          <w:szCs w:val="22"/>
        </w:rPr>
        <w:t xml:space="preserve">Figure </w:t>
      </w:r>
      <w:r w:rsidR="00A85598">
        <w:rPr>
          <w:color w:val="auto"/>
          <w:sz w:val="22"/>
          <w:szCs w:val="22"/>
        </w:rPr>
        <w:t>3</w:t>
      </w:r>
      <w:r w:rsidRPr="004403F9">
        <w:rPr>
          <w:b w:val="0"/>
          <w:color w:val="auto"/>
          <w:sz w:val="22"/>
          <w:szCs w:val="22"/>
        </w:rPr>
        <w:t xml:space="preserve"> </w:t>
      </w:r>
      <w:r w:rsidRPr="00603138">
        <w:rPr>
          <w:b w:val="0"/>
          <w:color w:val="auto"/>
          <w:sz w:val="22"/>
          <w:szCs w:val="22"/>
        </w:rPr>
        <w:t xml:space="preserve">Variation in </w:t>
      </w:r>
      <w:r w:rsidR="004C7320">
        <w:rPr>
          <w:b w:val="0"/>
          <w:color w:val="auto"/>
          <w:sz w:val="22"/>
          <w:szCs w:val="22"/>
        </w:rPr>
        <w:t xml:space="preserve">the </w:t>
      </w:r>
      <w:r w:rsidRPr="00603138">
        <w:rPr>
          <w:b w:val="0"/>
          <w:color w:val="auto"/>
          <w:sz w:val="22"/>
          <w:szCs w:val="22"/>
        </w:rPr>
        <w:t>efficacy of estimation strategy with scale</w:t>
      </w:r>
    </w:p>
    <w:p w14:paraId="37A87F21" w14:textId="77777777" w:rsidR="00A85598" w:rsidRPr="00A85598" w:rsidRDefault="00A85598" w:rsidP="00A855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A249C" w14:paraId="11305A00" w14:textId="77777777" w:rsidTr="004C7AE0">
        <w:tc>
          <w:tcPr>
            <w:tcW w:w="4621" w:type="dxa"/>
          </w:tcPr>
          <w:p w14:paraId="5621EA41" w14:textId="140B7DBF" w:rsidR="001A249C" w:rsidRDefault="005D5A33" w:rsidP="004C7AE0">
            <w:pPr>
              <w:jc w:val="center"/>
            </w:pPr>
            <w:r>
              <w:rPr>
                <w:noProof/>
                <w:lang w:val="en-US"/>
              </w:rPr>
              <w:drawing>
                <wp:inline distT="0" distB="0" distL="0" distR="0" wp14:anchorId="002D4F61" wp14:editId="089D0214">
                  <wp:extent cx="2584910" cy="2826000"/>
                  <wp:effectExtent l="0" t="0" r="6350" b="0"/>
                  <wp:docPr id="14" name="Picture 14" descr="Macintosh HD:Users:Administrator:Desktop:Screen Shot 2015-07-15 at 09.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ministrator:Desktop:Screen Shot 2015-07-15 at 09.18.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4910" cy="2826000"/>
                          </a:xfrm>
                          <a:prstGeom prst="rect">
                            <a:avLst/>
                          </a:prstGeom>
                          <a:noFill/>
                          <a:ln>
                            <a:noFill/>
                          </a:ln>
                        </pic:spPr>
                      </pic:pic>
                    </a:graphicData>
                  </a:graphic>
                </wp:inline>
              </w:drawing>
            </w:r>
          </w:p>
        </w:tc>
        <w:tc>
          <w:tcPr>
            <w:tcW w:w="4621" w:type="dxa"/>
          </w:tcPr>
          <w:p w14:paraId="6E24B493" w14:textId="26ECC122" w:rsidR="001A249C" w:rsidRDefault="005D5A33" w:rsidP="004C7AE0">
            <w:pPr>
              <w:jc w:val="center"/>
            </w:pPr>
            <w:r>
              <w:rPr>
                <w:noProof/>
                <w:lang w:val="en-US"/>
              </w:rPr>
              <w:drawing>
                <wp:inline distT="0" distB="0" distL="0" distR="0" wp14:anchorId="63C749E9" wp14:editId="38CF76FE">
                  <wp:extent cx="2522804" cy="2826000"/>
                  <wp:effectExtent l="0" t="0" r="0" b="0"/>
                  <wp:docPr id="15" name="Picture 15" descr="Macintosh HD:Users:Administrator:Desktop:Screen Shot 2015-07-15 at 09.1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ministrator:Desktop:Screen Shot 2015-07-15 at 09.17.4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2804" cy="2826000"/>
                          </a:xfrm>
                          <a:prstGeom prst="rect">
                            <a:avLst/>
                          </a:prstGeom>
                          <a:noFill/>
                          <a:ln>
                            <a:noFill/>
                          </a:ln>
                        </pic:spPr>
                      </pic:pic>
                    </a:graphicData>
                  </a:graphic>
                </wp:inline>
              </w:drawing>
            </w:r>
          </w:p>
        </w:tc>
      </w:tr>
      <w:tr w:rsidR="001A249C" w14:paraId="6DE3CDFA" w14:textId="77777777" w:rsidTr="004C7AE0">
        <w:tc>
          <w:tcPr>
            <w:tcW w:w="4621" w:type="dxa"/>
          </w:tcPr>
          <w:p w14:paraId="06F96960" w14:textId="7D1F458C" w:rsidR="001A249C" w:rsidRDefault="005D5A33" w:rsidP="004C7AE0">
            <w:pPr>
              <w:jc w:val="center"/>
            </w:pPr>
            <w:r>
              <w:rPr>
                <w:noProof/>
                <w:lang w:val="en-US"/>
              </w:rPr>
              <w:drawing>
                <wp:inline distT="0" distB="0" distL="0" distR="0" wp14:anchorId="456920FA" wp14:editId="76C2481D">
                  <wp:extent cx="2490659" cy="2799471"/>
                  <wp:effectExtent l="0" t="0" r="0" b="0"/>
                  <wp:docPr id="16" name="Picture 16" descr="Macintosh HD:Users:Administrator:Desktop:Screen Shot 2015-07-15 at 09.1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istrator:Desktop:Screen Shot 2015-07-15 at 09.17.2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0826" cy="2799658"/>
                          </a:xfrm>
                          <a:prstGeom prst="rect">
                            <a:avLst/>
                          </a:prstGeom>
                          <a:noFill/>
                          <a:ln>
                            <a:noFill/>
                          </a:ln>
                        </pic:spPr>
                      </pic:pic>
                    </a:graphicData>
                  </a:graphic>
                </wp:inline>
              </w:drawing>
            </w:r>
          </w:p>
        </w:tc>
        <w:tc>
          <w:tcPr>
            <w:tcW w:w="4621" w:type="dxa"/>
          </w:tcPr>
          <w:p w14:paraId="294C4445" w14:textId="24429F06" w:rsidR="001A249C" w:rsidRDefault="005D5A33" w:rsidP="004C7AE0">
            <w:pPr>
              <w:jc w:val="center"/>
            </w:pPr>
            <w:r>
              <w:rPr>
                <w:noProof/>
                <w:lang w:val="en-US"/>
              </w:rPr>
              <w:drawing>
                <wp:inline distT="0" distB="0" distL="0" distR="0" wp14:anchorId="0261F5F7" wp14:editId="1B09296B">
                  <wp:extent cx="2550990" cy="2826543"/>
                  <wp:effectExtent l="0" t="0" r="0" b="0"/>
                  <wp:docPr id="17" name="Picture 17" descr="Macintosh HD:Users:Administrator:Desktop:Screen Shot 2015-07-15 at 09.1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dministrator:Desktop:Screen Shot 2015-07-15 at 09.16.5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1779" cy="2827417"/>
                          </a:xfrm>
                          <a:prstGeom prst="rect">
                            <a:avLst/>
                          </a:prstGeom>
                          <a:noFill/>
                          <a:ln>
                            <a:noFill/>
                          </a:ln>
                        </pic:spPr>
                      </pic:pic>
                    </a:graphicData>
                  </a:graphic>
                </wp:inline>
              </w:drawing>
            </w:r>
          </w:p>
        </w:tc>
      </w:tr>
    </w:tbl>
    <w:p w14:paraId="5761D187" w14:textId="77777777" w:rsidR="001A249C" w:rsidRPr="004C7AE0" w:rsidRDefault="001A249C" w:rsidP="001A249C">
      <w:pPr>
        <w:rPr>
          <w:rFonts w:asciiTheme="minorHAnsi" w:hAnsiTheme="minorHAnsi" w:cstheme="minorHAnsi"/>
          <w:sz w:val="22"/>
          <w:szCs w:val="22"/>
        </w:rPr>
      </w:pPr>
      <w:r w:rsidRPr="004C7AE0">
        <w:rPr>
          <w:rFonts w:asciiTheme="minorHAnsi" w:hAnsiTheme="minorHAnsi" w:cstheme="minorHAnsi"/>
          <w:b/>
          <w:sz w:val="22"/>
          <w:szCs w:val="22"/>
        </w:rPr>
        <w:t xml:space="preserve">Figure </w:t>
      </w:r>
      <w:r w:rsidR="00A85598">
        <w:rPr>
          <w:rFonts w:asciiTheme="minorHAnsi" w:hAnsiTheme="minorHAnsi" w:cstheme="minorHAnsi"/>
          <w:b/>
          <w:sz w:val="22"/>
          <w:szCs w:val="22"/>
        </w:rPr>
        <w:t>4</w:t>
      </w:r>
      <w:r w:rsidRPr="004C7AE0">
        <w:rPr>
          <w:rFonts w:asciiTheme="minorHAnsi" w:hAnsiTheme="minorHAnsi" w:cstheme="minorHAnsi"/>
          <w:sz w:val="22"/>
          <w:szCs w:val="22"/>
        </w:rPr>
        <w:t xml:space="preserve"> Performance of </w:t>
      </w:r>
      <w:r w:rsidR="004C7320">
        <w:rPr>
          <w:rFonts w:asciiTheme="minorHAnsi" w:hAnsiTheme="minorHAnsi" w:cstheme="minorHAnsi"/>
          <w:sz w:val="22"/>
          <w:szCs w:val="22"/>
        </w:rPr>
        <w:t>selected</w:t>
      </w:r>
      <w:r w:rsidRPr="004C7AE0">
        <w:rPr>
          <w:rFonts w:asciiTheme="minorHAnsi" w:hAnsiTheme="minorHAnsi" w:cstheme="minorHAnsi"/>
          <w:sz w:val="22"/>
          <w:szCs w:val="22"/>
        </w:rPr>
        <w:t xml:space="preserve"> small-area income estimates</w:t>
      </w:r>
    </w:p>
    <w:p w14:paraId="5EAFFC7C" w14:textId="77777777" w:rsidR="001A249C" w:rsidRDefault="004C7AE0" w:rsidP="004C7AE0">
      <w:pPr>
        <w:spacing w:line="276" w:lineRule="auto"/>
        <w:jc w:val="both"/>
        <w:rPr>
          <w:rFonts w:ascii="Calibri" w:eastAsia="Calibri" w:hAnsi="Calibri"/>
          <w:color w:val="000000"/>
          <w:sz w:val="22"/>
          <w:lang w:val="en-US"/>
        </w:rPr>
      </w:pPr>
      <w:r>
        <w:rPr>
          <w:rFonts w:asciiTheme="minorHAnsi" w:hAnsiTheme="minorHAnsi" w:cstheme="minorHAnsi"/>
          <w:sz w:val="22"/>
          <w:szCs w:val="22"/>
        </w:rPr>
        <w:br w:type="column"/>
      </w:r>
      <w:r w:rsidR="001A249C" w:rsidRPr="001A249C">
        <w:rPr>
          <w:rFonts w:ascii="Calibri" w:eastAsia="Calibri" w:hAnsi="Calibri"/>
          <w:b/>
          <w:color w:val="000000"/>
          <w:sz w:val="22"/>
          <w:lang w:val="en-US"/>
        </w:rPr>
        <w:lastRenderedPageBreak/>
        <w:t xml:space="preserve">Table </w:t>
      </w:r>
      <w:r w:rsidR="00A85598">
        <w:rPr>
          <w:rFonts w:ascii="Calibri" w:eastAsia="Calibri" w:hAnsi="Calibri"/>
          <w:b/>
          <w:color w:val="000000"/>
          <w:sz w:val="22"/>
          <w:lang w:val="en-US"/>
        </w:rPr>
        <w:t>6</w:t>
      </w:r>
      <w:r w:rsidR="001A249C" w:rsidRPr="001A249C">
        <w:rPr>
          <w:rFonts w:ascii="Calibri" w:eastAsia="Calibri" w:hAnsi="Calibri"/>
          <w:color w:val="000000"/>
          <w:sz w:val="22"/>
          <w:lang w:val="en-US"/>
        </w:rPr>
        <w:t xml:space="preserve"> Accuracy of ED rankings </w:t>
      </w:r>
      <w:r w:rsidR="004C7320">
        <w:rPr>
          <w:rFonts w:ascii="Calibri" w:eastAsia="Calibri" w:hAnsi="Calibri"/>
          <w:color w:val="000000"/>
          <w:sz w:val="22"/>
          <w:lang w:val="en-US"/>
        </w:rPr>
        <w:t>by</w:t>
      </w:r>
      <w:r w:rsidR="001A249C" w:rsidRPr="001A249C">
        <w:rPr>
          <w:rFonts w:ascii="Calibri" w:eastAsia="Calibri" w:hAnsi="Calibri"/>
          <w:color w:val="000000"/>
          <w:sz w:val="22"/>
          <w:lang w:val="en-US"/>
        </w:rPr>
        <w:t xml:space="preserve"> mean individual income</w:t>
      </w:r>
    </w:p>
    <w:p w14:paraId="20761616" w14:textId="77777777" w:rsidR="001A249C" w:rsidRPr="001A249C" w:rsidRDefault="001A249C" w:rsidP="001A249C">
      <w:pPr>
        <w:rPr>
          <w:color w:val="000000"/>
          <w:sz w:val="22"/>
          <w:lang w:val="en-US"/>
        </w:rPr>
      </w:pPr>
    </w:p>
    <w:tbl>
      <w:tblPr>
        <w:tblW w:w="0" w:type="auto"/>
        <w:tblLayout w:type="fixed"/>
        <w:tblCellMar>
          <w:left w:w="30" w:type="dxa"/>
          <w:right w:w="30" w:type="dxa"/>
        </w:tblCellMar>
        <w:tblLook w:val="0000" w:firstRow="0" w:lastRow="0" w:firstColumn="0" w:lastColumn="0" w:noHBand="0" w:noVBand="0"/>
      </w:tblPr>
      <w:tblGrid>
        <w:gridCol w:w="797"/>
        <w:gridCol w:w="673"/>
        <w:gridCol w:w="381"/>
        <w:gridCol w:w="1303"/>
        <w:gridCol w:w="1303"/>
        <w:gridCol w:w="1303"/>
        <w:gridCol w:w="1500"/>
      </w:tblGrid>
      <w:tr w:rsidR="001A249C" w:rsidRPr="001A249C" w14:paraId="1488D9F8" w14:textId="77777777" w:rsidTr="004C7320">
        <w:trPr>
          <w:cantSplit/>
          <w:trHeight w:val="242"/>
        </w:trPr>
        <w:tc>
          <w:tcPr>
            <w:tcW w:w="1470" w:type="dxa"/>
            <w:gridSpan w:val="2"/>
            <w:tcBorders>
              <w:top w:val="single" w:sz="4" w:space="0" w:color="auto"/>
            </w:tcBorders>
          </w:tcPr>
          <w:p w14:paraId="6D3A1930"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Borders>
              <w:top w:val="single" w:sz="4" w:space="0" w:color="auto"/>
            </w:tcBorders>
          </w:tcPr>
          <w:p w14:paraId="68E5466A"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5409" w:type="dxa"/>
            <w:gridSpan w:val="4"/>
            <w:tcBorders>
              <w:top w:val="single" w:sz="4" w:space="0" w:color="auto"/>
              <w:bottom w:val="single" w:sz="4" w:space="0" w:color="auto"/>
            </w:tcBorders>
          </w:tcPr>
          <w:p w14:paraId="3ECB33A3"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Surrogate/Estimate</w:t>
            </w:r>
          </w:p>
        </w:tc>
      </w:tr>
      <w:tr w:rsidR="001A249C" w:rsidRPr="001A249C" w14:paraId="00478403" w14:textId="77777777" w:rsidTr="004C7320">
        <w:trPr>
          <w:trHeight w:val="242"/>
        </w:trPr>
        <w:tc>
          <w:tcPr>
            <w:tcW w:w="1470" w:type="dxa"/>
            <w:gridSpan w:val="2"/>
          </w:tcPr>
          <w:p w14:paraId="611ECC31"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Pr>
          <w:p w14:paraId="758C707A"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1303" w:type="dxa"/>
            <w:tcBorders>
              <w:top w:val="single" w:sz="4" w:space="0" w:color="auto"/>
            </w:tcBorders>
          </w:tcPr>
          <w:p w14:paraId="27C4021E"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 NSSEC 1+2</w:t>
            </w:r>
          </w:p>
        </w:tc>
        <w:tc>
          <w:tcPr>
            <w:tcW w:w="1303" w:type="dxa"/>
            <w:tcBorders>
              <w:top w:val="single" w:sz="4" w:space="0" w:color="auto"/>
            </w:tcBorders>
          </w:tcPr>
          <w:p w14:paraId="2591EDE0"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Individual</w:t>
            </w:r>
          </w:p>
          <w:p w14:paraId="6A5F6DF5"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Regression</w:t>
            </w:r>
          </w:p>
        </w:tc>
        <w:tc>
          <w:tcPr>
            <w:tcW w:w="1303" w:type="dxa"/>
            <w:tcBorders>
              <w:top w:val="single" w:sz="4" w:space="0" w:color="auto"/>
            </w:tcBorders>
          </w:tcPr>
          <w:p w14:paraId="6A0A4A0F"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Sub-group mean</w:t>
            </w:r>
          </w:p>
        </w:tc>
        <w:tc>
          <w:tcPr>
            <w:tcW w:w="1500" w:type="dxa"/>
            <w:tcBorders>
              <w:top w:val="single" w:sz="4" w:space="0" w:color="auto"/>
            </w:tcBorders>
          </w:tcPr>
          <w:p w14:paraId="27C81D88"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Ecological</w:t>
            </w:r>
          </w:p>
          <w:p w14:paraId="4321BC74"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Regression</w:t>
            </w:r>
          </w:p>
        </w:tc>
      </w:tr>
      <w:tr w:rsidR="001A249C" w:rsidRPr="001A249C" w14:paraId="11A783EC" w14:textId="77777777" w:rsidTr="004C7320">
        <w:trPr>
          <w:trHeight w:val="242"/>
        </w:trPr>
        <w:tc>
          <w:tcPr>
            <w:tcW w:w="1470" w:type="dxa"/>
            <w:gridSpan w:val="2"/>
            <w:tcBorders>
              <w:bottom w:val="single" w:sz="4" w:space="0" w:color="auto"/>
            </w:tcBorders>
          </w:tcPr>
          <w:p w14:paraId="52A020B5"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Borders>
              <w:bottom w:val="single" w:sz="4" w:space="0" w:color="auto"/>
            </w:tcBorders>
          </w:tcPr>
          <w:p w14:paraId="6413B3BE"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1303" w:type="dxa"/>
            <w:tcBorders>
              <w:bottom w:val="single" w:sz="4" w:space="0" w:color="auto"/>
            </w:tcBorders>
          </w:tcPr>
          <w:p w14:paraId="62E36F24"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w:t>
            </w:r>
            <w:r w:rsidR="004C7320">
              <w:rPr>
                <w:rFonts w:ascii="Calibri" w:eastAsia="Calibri" w:hAnsi="Calibri"/>
                <w:color w:val="000000"/>
                <w:sz w:val="22"/>
                <w:lang w:val="en-US"/>
              </w:rPr>
              <w:t>P</w:t>
            </w:r>
            <w:r w:rsidRPr="001A249C">
              <w:rPr>
                <w:rFonts w:ascii="Calibri" w:eastAsia="Calibri" w:hAnsi="Calibri"/>
                <w:color w:val="000000"/>
                <w:sz w:val="22"/>
                <w:lang w:val="en-US"/>
              </w:rPr>
              <w:t>NSSEC12]</w:t>
            </w:r>
          </w:p>
        </w:tc>
        <w:tc>
          <w:tcPr>
            <w:tcW w:w="1303" w:type="dxa"/>
            <w:tcBorders>
              <w:bottom w:val="single" w:sz="4" w:space="0" w:color="auto"/>
            </w:tcBorders>
          </w:tcPr>
          <w:p w14:paraId="4A2BA03A" w14:textId="77777777" w:rsidR="001A249C" w:rsidRPr="001A249C" w:rsidRDefault="001A249C" w:rsidP="004C7320">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w:t>
            </w:r>
            <w:r w:rsidR="004C7320">
              <w:rPr>
                <w:rFonts w:ascii="Calibri" w:eastAsia="Calibri" w:hAnsi="Calibri"/>
                <w:color w:val="000000"/>
                <w:sz w:val="22"/>
                <w:lang w:val="en-US"/>
              </w:rPr>
              <w:t>R_</w:t>
            </w:r>
            <w:r w:rsidRPr="001A249C">
              <w:rPr>
                <w:rFonts w:ascii="Calibri" w:eastAsia="Calibri" w:hAnsi="Calibri"/>
                <w:color w:val="000000"/>
                <w:sz w:val="22"/>
                <w:lang w:val="en-US"/>
              </w:rPr>
              <w:t>IND]</w:t>
            </w:r>
          </w:p>
        </w:tc>
        <w:tc>
          <w:tcPr>
            <w:tcW w:w="1303" w:type="dxa"/>
            <w:tcBorders>
              <w:bottom w:val="single" w:sz="4" w:space="0" w:color="auto"/>
            </w:tcBorders>
          </w:tcPr>
          <w:p w14:paraId="06AEBD58" w14:textId="77777777" w:rsidR="001A249C" w:rsidRPr="001A249C" w:rsidRDefault="001A249C" w:rsidP="00421639">
            <w:pPr>
              <w:autoSpaceDE w:val="0"/>
              <w:autoSpaceDN w:val="0"/>
              <w:adjustRightInd w:val="0"/>
              <w:jc w:val="center"/>
              <w:rPr>
                <w:rFonts w:ascii="Calibri" w:eastAsia="Calibri" w:hAnsi="Calibri"/>
                <w:color w:val="000000"/>
                <w:lang w:val="en-US"/>
              </w:rPr>
            </w:pPr>
            <w:r>
              <w:rPr>
                <w:rFonts w:ascii="Calibri" w:eastAsia="Calibri" w:hAnsi="Calibri"/>
                <w:color w:val="000000"/>
                <w:sz w:val="22"/>
                <w:lang w:val="en-US"/>
              </w:rPr>
              <w:t>[LEEINC</w:t>
            </w:r>
            <w:r w:rsidRPr="001A249C">
              <w:rPr>
                <w:rFonts w:ascii="Calibri" w:eastAsia="Calibri" w:hAnsi="Calibri"/>
                <w:color w:val="000000"/>
                <w:sz w:val="22"/>
                <w:lang w:val="en-US"/>
              </w:rPr>
              <w:t>]</w:t>
            </w:r>
          </w:p>
        </w:tc>
        <w:tc>
          <w:tcPr>
            <w:tcW w:w="1500" w:type="dxa"/>
            <w:tcBorders>
              <w:bottom w:val="single" w:sz="4" w:space="0" w:color="auto"/>
            </w:tcBorders>
          </w:tcPr>
          <w:p w14:paraId="78A29E80" w14:textId="77777777" w:rsidR="001A249C" w:rsidRPr="001A249C" w:rsidRDefault="004C7320" w:rsidP="00421639">
            <w:pPr>
              <w:autoSpaceDE w:val="0"/>
              <w:autoSpaceDN w:val="0"/>
              <w:adjustRightInd w:val="0"/>
              <w:rPr>
                <w:rFonts w:ascii="Calibri" w:eastAsia="Calibri" w:hAnsi="Calibri"/>
                <w:color w:val="000000"/>
                <w:lang w:val="en-US"/>
              </w:rPr>
            </w:pPr>
            <w:r>
              <w:rPr>
                <w:rFonts w:ascii="Calibri" w:eastAsia="Calibri" w:hAnsi="Calibri"/>
                <w:color w:val="000000"/>
                <w:lang w:val="en-US"/>
              </w:rPr>
              <w:t>[ECOLOGICAL]</w:t>
            </w:r>
          </w:p>
        </w:tc>
      </w:tr>
      <w:tr w:rsidR="001A249C" w:rsidRPr="001A249C" w14:paraId="7E08FF32" w14:textId="77777777" w:rsidTr="004C7320">
        <w:trPr>
          <w:cantSplit/>
          <w:trHeight w:val="242"/>
        </w:trPr>
        <w:tc>
          <w:tcPr>
            <w:tcW w:w="1470" w:type="dxa"/>
            <w:gridSpan w:val="2"/>
            <w:tcBorders>
              <w:top w:val="single" w:sz="4" w:space="0" w:color="auto"/>
            </w:tcBorders>
          </w:tcPr>
          <w:p w14:paraId="627CAC1B"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Borders>
              <w:top w:val="single" w:sz="4" w:space="0" w:color="auto"/>
            </w:tcBorders>
          </w:tcPr>
          <w:p w14:paraId="63E36A90"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5409" w:type="dxa"/>
            <w:gridSpan w:val="4"/>
            <w:tcBorders>
              <w:top w:val="single" w:sz="4" w:space="0" w:color="auto"/>
            </w:tcBorders>
          </w:tcPr>
          <w:p w14:paraId="267BFF97" w14:textId="77777777" w:rsidR="001A249C" w:rsidRPr="001A249C" w:rsidRDefault="001A249C" w:rsidP="00421639">
            <w:pPr>
              <w:autoSpaceDE w:val="0"/>
              <w:autoSpaceDN w:val="0"/>
              <w:adjustRightInd w:val="0"/>
              <w:jc w:val="center"/>
              <w:rPr>
                <w:rFonts w:ascii="Calibri" w:eastAsia="Calibri" w:hAnsi="Calibri"/>
                <w:i/>
                <w:iCs/>
                <w:color w:val="000000"/>
                <w:lang w:val="en-US"/>
              </w:rPr>
            </w:pPr>
            <w:r w:rsidRPr="001A249C">
              <w:rPr>
                <w:rFonts w:ascii="Calibri" w:eastAsia="Calibri" w:hAnsi="Calibri"/>
                <w:i/>
                <w:iCs/>
                <w:color w:val="000000"/>
                <w:sz w:val="22"/>
                <w:lang w:val="en-US"/>
              </w:rPr>
              <w:t xml:space="preserve">% </w:t>
            </w:r>
            <w:proofErr w:type="gramStart"/>
            <w:r w:rsidRPr="001A249C">
              <w:rPr>
                <w:rFonts w:ascii="Calibri" w:eastAsia="Calibri" w:hAnsi="Calibri"/>
                <w:i/>
                <w:iCs/>
                <w:color w:val="000000"/>
                <w:sz w:val="22"/>
                <w:lang w:val="en-US"/>
              </w:rPr>
              <w:t>ranked</w:t>
            </w:r>
            <w:proofErr w:type="gramEnd"/>
            <w:r w:rsidRPr="001A249C">
              <w:rPr>
                <w:rFonts w:ascii="Calibri" w:eastAsia="Calibri" w:hAnsi="Calibri"/>
                <w:i/>
                <w:iCs/>
                <w:color w:val="000000"/>
                <w:sz w:val="22"/>
                <w:lang w:val="en-US"/>
              </w:rPr>
              <w:t xml:space="preserve"> in same </w:t>
            </w:r>
            <w:proofErr w:type="spellStart"/>
            <w:r w:rsidRPr="001A249C">
              <w:rPr>
                <w:rFonts w:ascii="Calibri" w:eastAsia="Calibri" w:hAnsi="Calibri"/>
                <w:i/>
                <w:iCs/>
                <w:color w:val="000000"/>
                <w:sz w:val="22"/>
                <w:lang w:val="en-US"/>
              </w:rPr>
              <w:t>decile</w:t>
            </w:r>
            <w:proofErr w:type="spellEnd"/>
            <w:r w:rsidRPr="001A249C">
              <w:rPr>
                <w:rFonts w:ascii="Calibri" w:eastAsia="Calibri" w:hAnsi="Calibri"/>
                <w:i/>
                <w:iCs/>
                <w:color w:val="000000"/>
                <w:sz w:val="22"/>
                <w:lang w:val="en-US"/>
              </w:rPr>
              <w:t xml:space="preserve"> as income</w:t>
            </w:r>
          </w:p>
        </w:tc>
      </w:tr>
      <w:tr w:rsidR="001A249C" w:rsidRPr="001A249C" w14:paraId="3C9A4C1A" w14:textId="77777777" w:rsidTr="004C7320">
        <w:trPr>
          <w:trHeight w:val="242"/>
        </w:trPr>
        <w:tc>
          <w:tcPr>
            <w:tcW w:w="1470" w:type="dxa"/>
            <w:gridSpan w:val="2"/>
          </w:tcPr>
          <w:p w14:paraId="3A331BF9"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Pr>
          <w:p w14:paraId="55C4EE35"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1303" w:type="dxa"/>
          </w:tcPr>
          <w:p w14:paraId="7EF33D6B" w14:textId="77777777" w:rsidR="001A249C" w:rsidRPr="001A249C" w:rsidRDefault="001A249C" w:rsidP="00421639">
            <w:pPr>
              <w:autoSpaceDE w:val="0"/>
              <w:autoSpaceDN w:val="0"/>
              <w:adjustRightInd w:val="0"/>
              <w:jc w:val="center"/>
              <w:rPr>
                <w:rFonts w:ascii="Calibri" w:eastAsia="Calibri" w:hAnsi="Calibri"/>
                <w:color w:val="000000"/>
                <w:lang w:val="en-US"/>
              </w:rPr>
            </w:pPr>
          </w:p>
        </w:tc>
        <w:tc>
          <w:tcPr>
            <w:tcW w:w="1303" w:type="dxa"/>
          </w:tcPr>
          <w:p w14:paraId="54882DBA" w14:textId="77777777" w:rsidR="001A249C" w:rsidRPr="001A249C" w:rsidRDefault="001A249C" w:rsidP="00421639">
            <w:pPr>
              <w:autoSpaceDE w:val="0"/>
              <w:autoSpaceDN w:val="0"/>
              <w:adjustRightInd w:val="0"/>
              <w:jc w:val="center"/>
              <w:rPr>
                <w:rFonts w:ascii="Calibri" w:eastAsia="Calibri" w:hAnsi="Calibri"/>
                <w:color w:val="000000"/>
                <w:lang w:val="en-US"/>
              </w:rPr>
            </w:pPr>
          </w:p>
        </w:tc>
        <w:tc>
          <w:tcPr>
            <w:tcW w:w="1303" w:type="dxa"/>
          </w:tcPr>
          <w:p w14:paraId="074F1C27" w14:textId="77777777" w:rsidR="001A249C" w:rsidRPr="001A249C" w:rsidRDefault="001A249C" w:rsidP="00421639">
            <w:pPr>
              <w:autoSpaceDE w:val="0"/>
              <w:autoSpaceDN w:val="0"/>
              <w:adjustRightInd w:val="0"/>
              <w:jc w:val="center"/>
              <w:rPr>
                <w:rFonts w:ascii="Calibri" w:eastAsia="Calibri" w:hAnsi="Calibri"/>
                <w:color w:val="000000"/>
                <w:lang w:val="en-US"/>
              </w:rPr>
            </w:pPr>
          </w:p>
        </w:tc>
        <w:tc>
          <w:tcPr>
            <w:tcW w:w="1500" w:type="dxa"/>
          </w:tcPr>
          <w:p w14:paraId="00F7C702" w14:textId="77777777" w:rsidR="001A249C" w:rsidRPr="001A249C" w:rsidRDefault="001A249C" w:rsidP="00421639">
            <w:pPr>
              <w:autoSpaceDE w:val="0"/>
              <w:autoSpaceDN w:val="0"/>
              <w:adjustRightInd w:val="0"/>
              <w:jc w:val="center"/>
              <w:rPr>
                <w:rFonts w:ascii="Calibri" w:eastAsia="Calibri" w:hAnsi="Calibri"/>
                <w:color w:val="000000"/>
                <w:lang w:val="en-US"/>
              </w:rPr>
            </w:pPr>
          </w:p>
        </w:tc>
      </w:tr>
      <w:tr w:rsidR="001A249C" w:rsidRPr="001A249C" w14:paraId="27A77C96" w14:textId="77777777" w:rsidTr="004C7320">
        <w:trPr>
          <w:trHeight w:val="242"/>
        </w:trPr>
        <w:tc>
          <w:tcPr>
            <w:tcW w:w="1470" w:type="dxa"/>
            <w:gridSpan w:val="2"/>
          </w:tcPr>
          <w:p w14:paraId="06665A04" w14:textId="77777777" w:rsidR="001A249C" w:rsidRPr="001A249C" w:rsidRDefault="001A249C" w:rsidP="00421639">
            <w:pPr>
              <w:autoSpaceDE w:val="0"/>
              <w:autoSpaceDN w:val="0"/>
              <w:adjustRightInd w:val="0"/>
              <w:rPr>
                <w:rFonts w:ascii="Calibri" w:eastAsia="Calibri" w:hAnsi="Calibri"/>
                <w:color w:val="000000"/>
                <w:lang w:val="en-US"/>
              </w:rPr>
            </w:pPr>
            <w:r w:rsidRPr="001A249C">
              <w:rPr>
                <w:rFonts w:ascii="Calibri" w:eastAsia="Calibri" w:hAnsi="Calibri"/>
                <w:color w:val="000000"/>
                <w:sz w:val="22"/>
                <w:lang w:val="en-US"/>
              </w:rPr>
              <w:t xml:space="preserve">   </w:t>
            </w:r>
            <w:proofErr w:type="spellStart"/>
            <w:r w:rsidRPr="001A249C">
              <w:rPr>
                <w:rFonts w:ascii="Calibri" w:eastAsia="Calibri" w:hAnsi="Calibri"/>
                <w:color w:val="000000"/>
                <w:sz w:val="22"/>
                <w:lang w:val="en-US"/>
              </w:rPr>
              <w:t>Decile</w:t>
            </w:r>
            <w:proofErr w:type="spellEnd"/>
          </w:p>
        </w:tc>
        <w:tc>
          <w:tcPr>
            <w:tcW w:w="381" w:type="dxa"/>
          </w:tcPr>
          <w:p w14:paraId="1F97FEDB" w14:textId="77777777" w:rsidR="001A249C" w:rsidRPr="001A249C" w:rsidRDefault="001A249C" w:rsidP="00421639">
            <w:pPr>
              <w:autoSpaceDE w:val="0"/>
              <w:autoSpaceDN w:val="0"/>
              <w:adjustRightInd w:val="0"/>
              <w:jc w:val="right"/>
              <w:rPr>
                <w:rFonts w:ascii="Calibri" w:eastAsia="Calibri" w:hAnsi="Calibri"/>
                <w:color w:val="000000"/>
                <w:lang w:val="en-US"/>
              </w:rPr>
            </w:pPr>
            <w:r w:rsidRPr="001A249C">
              <w:rPr>
                <w:rFonts w:ascii="Calibri" w:eastAsia="Calibri" w:hAnsi="Calibri"/>
                <w:color w:val="000000"/>
                <w:sz w:val="22"/>
                <w:lang w:val="en-US"/>
              </w:rPr>
              <w:t>1</w:t>
            </w:r>
          </w:p>
        </w:tc>
        <w:tc>
          <w:tcPr>
            <w:tcW w:w="1303" w:type="dxa"/>
          </w:tcPr>
          <w:p w14:paraId="2518E244"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71</w:t>
            </w:r>
          </w:p>
        </w:tc>
        <w:tc>
          <w:tcPr>
            <w:tcW w:w="1303" w:type="dxa"/>
          </w:tcPr>
          <w:p w14:paraId="46AD01DA"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66</w:t>
            </w:r>
          </w:p>
        </w:tc>
        <w:tc>
          <w:tcPr>
            <w:tcW w:w="1303" w:type="dxa"/>
          </w:tcPr>
          <w:p w14:paraId="762CD60B"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74</w:t>
            </w:r>
          </w:p>
        </w:tc>
        <w:tc>
          <w:tcPr>
            <w:tcW w:w="1500" w:type="dxa"/>
          </w:tcPr>
          <w:p w14:paraId="311C59A2"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80</w:t>
            </w:r>
          </w:p>
        </w:tc>
      </w:tr>
      <w:tr w:rsidR="001A249C" w:rsidRPr="001A249C" w14:paraId="616702BE" w14:textId="77777777" w:rsidTr="004C7320">
        <w:trPr>
          <w:trHeight w:val="242"/>
        </w:trPr>
        <w:tc>
          <w:tcPr>
            <w:tcW w:w="1470" w:type="dxa"/>
            <w:gridSpan w:val="2"/>
          </w:tcPr>
          <w:p w14:paraId="5F634D13" w14:textId="77777777" w:rsidR="001A249C" w:rsidRPr="001A249C" w:rsidRDefault="001A249C" w:rsidP="00421639">
            <w:pPr>
              <w:autoSpaceDE w:val="0"/>
              <w:autoSpaceDN w:val="0"/>
              <w:adjustRightInd w:val="0"/>
              <w:jc w:val="right"/>
              <w:rPr>
                <w:rFonts w:ascii="Calibri" w:eastAsia="Calibri" w:hAnsi="Calibri"/>
                <w:color w:val="000000"/>
                <w:lang w:val="en-US"/>
              </w:rPr>
            </w:pPr>
            <w:r w:rsidRPr="001A249C">
              <w:rPr>
                <w:rFonts w:ascii="Calibri" w:eastAsia="Calibri" w:hAnsi="Calibri"/>
                <w:color w:val="000000"/>
                <w:sz w:val="22"/>
                <w:lang w:val="en-US"/>
              </w:rPr>
              <w:t>[</w:t>
            </w:r>
            <w:proofErr w:type="gramStart"/>
            <w:r w:rsidRPr="001A249C">
              <w:rPr>
                <w:rFonts w:ascii="Calibri" w:eastAsia="Calibri" w:hAnsi="Calibri"/>
                <w:color w:val="000000"/>
                <w:sz w:val="22"/>
                <w:lang w:val="en-US"/>
              </w:rPr>
              <w:t>low</w:t>
            </w:r>
            <w:proofErr w:type="gramEnd"/>
            <w:r w:rsidRPr="001A249C">
              <w:rPr>
                <w:rFonts w:ascii="Calibri" w:eastAsia="Calibri" w:hAnsi="Calibri"/>
                <w:color w:val="000000"/>
                <w:sz w:val="22"/>
                <w:lang w:val="en-US"/>
              </w:rPr>
              <w:t xml:space="preserve"> income]</w:t>
            </w:r>
          </w:p>
        </w:tc>
        <w:tc>
          <w:tcPr>
            <w:tcW w:w="381" w:type="dxa"/>
          </w:tcPr>
          <w:p w14:paraId="7F90AFC9" w14:textId="77777777" w:rsidR="001A249C" w:rsidRPr="001A249C" w:rsidRDefault="001A249C" w:rsidP="00421639">
            <w:pPr>
              <w:autoSpaceDE w:val="0"/>
              <w:autoSpaceDN w:val="0"/>
              <w:adjustRightInd w:val="0"/>
              <w:jc w:val="right"/>
              <w:rPr>
                <w:rFonts w:ascii="Calibri" w:eastAsia="Calibri" w:hAnsi="Calibri"/>
                <w:color w:val="000000"/>
                <w:lang w:val="en-US"/>
              </w:rPr>
            </w:pPr>
            <w:r w:rsidRPr="001A249C">
              <w:rPr>
                <w:rFonts w:ascii="Calibri" w:eastAsia="Calibri" w:hAnsi="Calibri"/>
                <w:color w:val="000000"/>
                <w:sz w:val="22"/>
                <w:lang w:val="en-US"/>
              </w:rPr>
              <w:t>2</w:t>
            </w:r>
          </w:p>
        </w:tc>
        <w:tc>
          <w:tcPr>
            <w:tcW w:w="1303" w:type="dxa"/>
          </w:tcPr>
          <w:p w14:paraId="6CB4A2B6"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46</w:t>
            </w:r>
          </w:p>
        </w:tc>
        <w:tc>
          <w:tcPr>
            <w:tcW w:w="1303" w:type="dxa"/>
          </w:tcPr>
          <w:p w14:paraId="68D30126"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34</w:t>
            </w:r>
          </w:p>
        </w:tc>
        <w:tc>
          <w:tcPr>
            <w:tcW w:w="1303" w:type="dxa"/>
          </w:tcPr>
          <w:p w14:paraId="01DFF157"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40</w:t>
            </w:r>
          </w:p>
        </w:tc>
        <w:tc>
          <w:tcPr>
            <w:tcW w:w="1500" w:type="dxa"/>
          </w:tcPr>
          <w:p w14:paraId="073A449E"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52</w:t>
            </w:r>
          </w:p>
        </w:tc>
      </w:tr>
      <w:tr w:rsidR="001A249C" w:rsidRPr="001A249C" w14:paraId="515E0AD9" w14:textId="77777777" w:rsidTr="004C7320">
        <w:trPr>
          <w:trHeight w:val="242"/>
        </w:trPr>
        <w:tc>
          <w:tcPr>
            <w:tcW w:w="1470" w:type="dxa"/>
            <w:gridSpan w:val="2"/>
          </w:tcPr>
          <w:p w14:paraId="47E11D56"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Pr>
          <w:p w14:paraId="222F537F" w14:textId="77777777" w:rsidR="001A249C" w:rsidRPr="001A249C" w:rsidRDefault="001A249C" w:rsidP="00421639">
            <w:pPr>
              <w:autoSpaceDE w:val="0"/>
              <w:autoSpaceDN w:val="0"/>
              <w:adjustRightInd w:val="0"/>
              <w:jc w:val="right"/>
              <w:rPr>
                <w:rFonts w:ascii="Calibri" w:eastAsia="Calibri" w:hAnsi="Calibri"/>
                <w:color w:val="000000"/>
                <w:lang w:val="en-US"/>
              </w:rPr>
            </w:pPr>
            <w:r w:rsidRPr="001A249C">
              <w:rPr>
                <w:rFonts w:ascii="Calibri" w:eastAsia="Calibri" w:hAnsi="Calibri"/>
                <w:color w:val="000000"/>
                <w:sz w:val="22"/>
                <w:lang w:val="en-US"/>
              </w:rPr>
              <w:t>3</w:t>
            </w:r>
          </w:p>
        </w:tc>
        <w:tc>
          <w:tcPr>
            <w:tcW w:w="1303" w:type="dxa"/>
          </w:tcPr>
          <w:p w14:paraId="0CA2EE28"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32</w:t>
            </w:r>
          </w:p>
        </w:tc>
        <w:tc>
          <w:tcPr>
            <w:tcW w:w="1303" w:type="dxa"/>
          </w:tcPr>
          <w:p w14:paraId="61971ECA"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40</w:t>
            </w:r>
          </w:p>
        </w:tc>
        <w:tc>
          <w:tcPr>
            <w:tcW w:w="1303" w:type="dxa"/>
          </w:tcPr>
          <w:p w14:paraId="7D85164D"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35</w:t>
            </w:r>
          </w:p>
        </w:tc>
        <w:tc>
          <w:tcPr>
            <w:tcW w:w="1500" w:type="dxa"/>
          </w:tcPr>
          <w:p w14:paraId="75B58FE4"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43</w:t>
            </w:r>
          </w:p>
        </w:tc>
      </w:tr>
      <w:tr w:rsidR="001A249C" w:rsidRPr="001A249C" w14:paraId="4CA1401B" w14:textId="77777777" w:rsidTr="004C7320">
        <w:trPr>
          <w:trHeight w:val="242"/>
        </w:trPr>
        <w:tc>
          <w:tcPr>
            <w:tcW w:w="1470" w:type="dxa"/>
            <w:gridSpan w:val="2"/>
          </w:tcPr>
          <w:p w14:paraId="1FD30BC3"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Pr>
          <w:p w14:paraId="7E770503" w14:textId="77777777" w:rsidR="001A249C" w:rsidRPr="001A249C" w:rsidRDefault="001A249C" w:rsidP="00421639">
            <w:pPr>
              <w:autoSpaceDE w:val="0"/>
              <w:autoSpaceDN w:val="0"/>
              <w:adjustRightInd w:val="0"/>
              <w:jc w:val="right"/>
              <w:rPr>
                <w:rFonts w:ascii="Calibri" w:eastAsia="Calibri" w:hAnsi="Calibri"/>
                <w:color w:val="000000"/>
                <w:lang w:val="en-US"/>
              </w:rPr>
            </w:pPr>
            <w:r w:rsidRPr="001A249C">
              <w:rPr>
                <w:rFonts w:ascii="Calibri" w:eastAsia="Calibri" w:hAnsi="Calibri"/>
                <w:color w:val="000000"/>
                <w:sz w:val="22"/>
                <w:lang w:val="en-US"/>
              </w:rPr>
              <w:t>4</w:t>
            </w:r>
          </w:p>
        </w:tc>
        <w:tc>
          <w:tcPr>
            <w:tcW w:w="1303" w:type="dxa"/>
          </w:tcPr>
          <w:p w14:paraId="370847BD"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32</w:t>
            </w:r>
          </w:p>
        </w:tc>
        <w:tc>
          <w:tcPr>
            <w:tcW w:w="1303" w:type="dxa"/>
          </w:tcPr>
          <w:p w14:paraId="53B4FD0B"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26</w:t>
            </w:r>
          </w:p>
        </w:tc>
        <w:tc>
          <w:tcPr>
            <w:tcW w:w="1303" w:type="dxa"/>
          </w:tcPr>
          <w:p w14:paraId="615C719A"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37</w:t>
            </w:r>
          </w:p>
        </w:tc>
        <w:tc>
          <w:tcPr>
            <w:tcW w:w="1500" w:type="dxa"/>
          </w:tcPr>
          <w:p w14:paraId="327EFC49"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40</w:t>
            </w:r>
          </w:p>
        </w:tc>
      </w:tr>
      <w:tr w:rsidR="001A249C" w:rsidRPr="001A249C" w14:paraId="41A31FCB" w14:textId="77777777" w:rsidTr="004C7320">
        <w:trPr>
          <w:trHeight w:val="242"/>
        </w:trPr>
        <w:tc>
          <w:tcPr>
            <w:tcW w:w="1470" w:type="dxa"/>
            <w:gridSpan w:val="2"/>
          </w:tcPr>
          <w:p w14:paraId="61251F80"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Pr>
          <w:p w14:paraId="68366D94" w14:textId="77777777" w:rsidR="001A249C" w:rsidRPr="001A249C" w:rsidRDefault="001A249C" w:rsidP="00421639">
            <w:pPr>
              <w:autoSpaceDE w:val="0"/>
              <w:autoSpaceDN w:val="0"/>
              <w:adjustRightInd w:val="0"/>
              <w:jc w:val="right"/>
              <w:rPr>
                <w:rFonts w:ascii="Calibri" w:eastAsia="Calibri" w:hAnsi="Calibri"/>
                <w:color w:val="000000"/>
                <w:lang w:val="en-US"/>
              </w:rPr>
            </w:pPr>
            <w:r w:rsidRPr="001A249C">
              <w:rPr>
                <w:rFonts w:ascii="Calibri" w:eastAsia="Calibri" w:hAnsi="Calibri"/>
                <w:color w:val="000000"/>
                <w:sz w:val="22"/>
                <w:lang w:val="en-US"/>
              </w:rPr>
              <w:t>5</w:t>
            </w:r>
          </w:p>
        </w:tc>
        <w:tc>
          <w:tcPr>
            <w:tcW w:w="1303" w:type="dxa"/>
          </w:tcPr>
          <w:p w14:paraId="0B16BF2E"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25</w:t>
            </w:r>
          </w:p>
        </w:tc>
        <w:tc>
          <w:tcPr>
            <w:tcW w:w="1303" w:type="dxa"/>
          </w:tcPr>
          <w:p w14:paraId="02B0F738"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34</w:t>
            </w:r>
          </w:p>
        </w:tc>
        <w:tc>
          <w:tcPr>
            <w:tcW w:w="1303" w:type="dxa"/>
          </w:tcPr>
          <w:p w14:paraId="5A08D8F6"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39</w:t>
            </w:r>
          </w:p>
        </w:tc>
        <w:tc>
          <w:tcPr>
            <w:tcW w:w="1500" w:type="dxa"/>
          </w:tcPr>
          <w:p w14:paraId="2078495C"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37</w:t>
            </w:r>
          </w:p>
        </w:tc>
      </w:tr>
      <w:tr w:rsidR="001A249C" w:rsidRPr="001A249C" w14:paraId="41E68DAF" w14:textId="77777777" w:rsidTr="004C7320">
        <w:trPr>
          <w:trHeight w:val="242"/>
        </w:trPr>
        <w:tc>
          <w:tcPr>
            <w:tcW w:w="1470" w:type="dxa"/>
            <w:gridSpan w:val="2"/>
          </w:tcPr>
          <w:p w14:paraId="2A0792A1"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Pr>
          <w:p w14:paraId="7F90E2D5" w14:textId="77777777" w:rsidR="001A249C" w:rsidRPr="001A249C" w:rsidRDefault="001A249C" w:rsidP="00421639">
            <w:pPr>
              <w:autoSpaceDE w:val="0"/>
              <w:autoSpaceDN w:val="0"/>
              <w:adjustRightInd w:val="0"/>
              <w:jc w:val="right"/>
              <w:rPr>
                <w:rFonts w:ascii="Calibri" w:eastAsia="Calibri" w:hAnsi="Calibri"/>
                <w:color w:val="000000"/>
                <w:lang w:val="en-US"/>
              </w:rPr>
            </w:pPr>
            <w:r w:rsidRPr="001A249C">
              <w:rPr>
                <w:rFonts w:ascii="Calibri" w:eastAsia="Calibri" w:hAnsi="Calibri"/>
                <w:color w:val="000000"/>
                <w:sz w:val="22"/>
                <w:lang w:val="en-US"/>
              </w:rPr>
              <w:t>6</w:t>
            </w:r>
          </w:p>
        </w:tc>
        <w:tc>
          <w:tcPr>
            <w:tcW w:w="1303" w:type="dxa"/>
          </w:tcPr>
          <w:p w14:paraId="745AF5FE"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17</w:t>
            </w:r>
          </w:p>
        </w:tc>
        <w:tc>
          <w:tcPr>
            <w:tcW w:w="1303" w:type="dxa"/>
          </w:tcPr>
          <w:p w14:paraId="609C11C6"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28</w:t>
            </w:r>
          </w:p>
        </w:tc>
        <w:tc>
          <w:tcPr>
            <w:tcW w:w="1303" w:type="dxa"/>
          </w:tcPr>
          <w:p w14:paraId="5E62C68C"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45</w:t>
            </w:r>
          </w:p>
        </w:tc>
        <w:tc>
          <w:tcPr>
            <w:tcW w:w="1500" w:type="dxa"/>
          </w:tcPr>
          <w:p w14:paraId="0E67DF19"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30</w:t>
            </w:r>
          </w:p>
        </w:tc>
      </w:tr>
      <w:tr w:rsidR="001A249C" w:rsidRPr="001A249C" w14:paraId="7EEF14C7" w14:textId="77777777" w:rsidTr="004C7320">
        <w:trPr>
          <w:trHeight w:val="242"/>
        </w:trPr>
        <w:tc>
          <w:tcPr>
            <w:tcW w:w="1470" w:type="dxa"/>
            <w:gridSpan w:val="2"/>
          </w:tcPr>
          <w:p w14:paraId="44D656FA"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Pr>
          <w:p w14:paraId="6DD39DF1" w14:textId="77777777" w:rsidR="001A249C" w:rsidRPr="001A249C" w:rsidRDefault="001A249C" w:rsidP="00421639">
            <w:pPr>
              <w:autoSpaceDE w:val="0"/>
              <w:autoSpaceDN w:val="0"/>
              <w:adjustRightInd w:val="0"/>
              <w:jc w:val="right"/>
              <w:rPr>
                <w:rFonts w:ascii="Calibri" w:eastAsia="Calibri" w:hAnsi="Calibri"/>
                <w:color w:val="000000"/>
                <w:lang w:val="en-US"/>
              </w:rPr>
            </w:pPr>
            <w:r w:rsidRPr="001A249C">
              <w:rPr>
                <w:rFonts w:ascii="Calibri" w:eastAsia="Calibri" w:hAnsi="Calibri"/>
                <w:color w:val="000000"/>
                <w:sz w:val="22"/>
                <w:lang w:val="en-US"/>
              </w:rPr>
              <w:t>7</w:t>
            </w:r>
          </w:p>
        </w:tc>
        <w:tc>
          <w:tcPr>
            <w:tcW w:w="1303" w:type="dxa"/>
          </w:tcPr>
          <w:p w14:paraId="6A5F20AF"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26</w:t>
            </w:r>
          </w:p>
        </w:tc>
        <w:tc>
          <w:tcPr>
            <w:tcW w:w="1303" w:type="dxa"/>
          </w:tcPr>
          <w:p w14:paraId="5E75B669"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28</w:t>
            </w:r>
          </w:p>
        </w:tc>
        <w:tc>
          <w:tcPr>
            <w:tcW w:w="1303" w:type="dxa"/>
          </w:tcPr>
          <w:p w14:paraId="64E3B601"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43</w:t>
            </w:r>
          </w:p>
        </w:tc>
        <w:tc>
          <w:tcPr>
            <w:tcW w:w="1500" w:type="dxa"/>
          </w:tcPr>
          <w:p w14:paraId="0ECA38BB"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31</w:t>
            </w:r>
          </w:p>
        </w:tc>
      </w:tr>
      <w:tr w:rsidR="001A249C" w:rsidRPr="001A249C" w14:paraId="7E72B4C2" w14:textId="77777777" w:rsidTr="004C7320">
        <w:trPr>
          <w:trHeight w:val="242"/>
        </w:trPr>
        <w:tc>
          <w:tcPr>
            <w:tcW w:w="1470" w:type="dxa"/>
            <w:gridSpan w:val="2"/>
          </w:tcPr>
          <w:p w14:paraId="34FD14FF"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Pr>
          <w:p w14:paraId="6C1B5A78" w14:textId="77777777" w:rsidR="001A249C" w:rsidRPr="001A249C" w:rsidRDefault="001A249C" w:rsidP="00421639">
            <w:pPr>
              <w:autoSpaceDE w:val="0"/>
              <w:autoSpaceDN w:val="0"/>
              <w:adjustRightInd w:val="0"/>
              <w:jc w:val="right"/>
              <w:rPr>
                <w:rFonts w:ascii="Calibri" w:eastAsia="Calibri" w:hAnsi="Calibri"/>
                <w:color w:val="000000"/>
                <w:lang w:val="en-US"/>
              </w:rPr>
            </w:pPr>
            <w:r w:rsidRPr="001A249C">
              <w:rPr>
                <w:rFonts w:ascii="Calibri" w:eastAsia="Calibri" w:hAnsi="Calibri"/>
                <w:color w:val="000000"/>
                <w:sz w:val="22"/>
                <w:lang w:val="en-US"/>
              </w:rPr>
              <w:t>8</w:t>
            </w:r>
          </w:p>
        </w:tc>
        <w:tc>
          <w:tcPr>
            <w:tcW w:w="1303" w:type="dxa"/>
          </w:tcPr>
          <w:p w14:paraId="706A93A5"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23</w:t>
            </w:r>
          </w:p>
        </w:tc>
        <w:tc>
          <w:tcPr>
            <w:tcW w:w="1303" w:type="dxa"/>
          </w:tcPr>
          <w:p w14:paraId="43AF0A11"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35</w:t>
            </w:r>
          </w:p>
        </w:tc>
        <w:tc>
          <w:tcPr>
            <w:tcW w:w="1303" w:type="dxa"/>
          </w:tcPr>
          <w:p w14:paraId="2D220206"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48</w:t>
            </w:r>
          </w:p>
        </w:tc>
        <w:tc>
          <w:tcPr>
            <w:tcW w:w="1500" w:type="dxa"/>
          </w:tcPr>
          <w:p w14:paraId="0CB45D79"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46</w:t>
            </w:r>
          </w:p>
        </w:tc>
      </w:tr>
      <w:tr w:rsidR="001A249C" w:rsidRPr="001A249C" w14:paraId="6BD9C2E4" w14:textId="77777777" w:rsidTr="004C7320">
        <w:trPr>
          <w:trHeight w:val="242"/>
        </w:trPr>
        <w:tc>
          <w:tcPr>
            <w:tcW w:w="1470" w:type="dxa"/>
            <w:gridSpan w:val="2"/>
          </w:tcPr>
          <w:p w14:paraId="118D7376"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Pr>
          <w:p w14:paraId="7A932871" w14:textId="77777777" w:rsidR="001A249C" w:rsidRPr="001A249C" w:rsidRDefault="001A249C" w:rsidP="00421639">
            <w:pPr>
              <w:autoSpaceDE w:val="0"/>
              <w:autoSpaceDN w:val="0"/>
              <w:adjustRightInd w:val="0"/>
              <w:jc w:val="right"/>
              <w:rPr>
                <w:rFonts w:ascii="Calibri" w:eastAsia="Calibri" w:hAnsi="Calibri"/>
                <w:color w:val="000000"/>
                <w:lang w:val="en-US"/>
              </w:rPr>
            </w:pPr>
            <w:r w:rsidRPr="001A249C">
              <w:rPr>
                <w:rFonts w:ascii="Calibri" w:eastAsia="Calibri" w:hAnsi="Calibri"/>
                <w:color w:val="000000"/>
                <w:sz w:val="22"/>
                <w:lang w:val="en-US"/>
              </w:rPr>
              <w:t>9</w:t>
            </w:r>
          </w:p>
        </w:tc>
        <w:tc>
          <w:tcPr>
            <w:tcW w:w="1303" w:type="dxa"/>
          </w:tcPr>
          <w:p w14:paraId="7A836830"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28</w:t>
            </w:r>
          </w:p>
        </w:tc>
        <w:tc>
          <w:tcPr>
            <w:tcW w:w="1303" w:type="dxa"/>
          </w:tcPr>
          <w:p w14:paraId="1E41046F"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51</w:t>
            </w:r>
          </w:p>
        </w:tc>
        <w:tc>
          <w:tcPr>
            <w:tcW w:w="1303" w:type="dxa"/>
          </w:tcPr>
          <w:p w14:paraId="3F53C7B4"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57</w:t>
            </w:r>
          </w:p>
        </w:tc>
        <w:tc>
          <w:tcPr>
            <w:tcW w:w="1500" w:type="dxa"/>
          </w:tcPr>
          <w:p w14:paraId="0C2112C5"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60</w:t>
            </w:r>
          </w:p>
        </w:tc>
      </w:tr>
      <w:tr w:rsidR="001A249C" w:rsidRPr="001A249C" w14:paraId="185E388A" w14:textId="77777777" w:rsidTr="004C7320">
        <w:trPr>
          <w:trHeight w:val="242"/>
        </w:trPr>
        <w:tc>
          <w:tcPr>
            <w:tcW w:w="1470" w:type="dxa"/>
            <w:gridSpan w:val="2"/>
          </w:tcPr>
          <w:p w14:paraId="1C168EEE" w14:textId="77777777" w:rsidR="001A249C" w:rsidRPr="001A249C" w:rsidRDefault="001A249C" w:rsidP="00421639">
            <w:pPr>
              <w:autoSpaceDE w:val="0"/>
              <w:autoSpaceDN w:val="0"/>
              <w:adjustRightInd w:val="0"/>
              <w:rPr>
                <w:rFonts w:ascii="Calibri" w:eastAsia="Calibri" w:hAnsi="Calibri"/>
                <w:color w:val="000000"/>
                <w:lang w:val="en-US"/>
              </w:rPr>
            </w:pPr>
            <w:r w:rsidRPr="001A249C">
              <w:rPr>
                <w:rFonts w:ascii="Calibri" w:eastAsia="Calibri" w:hAnsi="Calibri"/>
                <w:color w:val="000000"/>
                <w:sz w:val="22"/>
                <w:lang w:val="en-US"/>
              </w:rPr>
              <w:t>[</w:t>
            </w:r>
            <w:proofErr w:type="gramStart"/>
            <w:r w:rsidRPr="001A249C">
              <w:rPr>
                <w:rFonts w:ascii="Calibri" w:eastAsia="Calibri" w:hAnsi="Calibri"/>
                <w:color w:val="000000"/>
                <w:sz w:val="22"/>
                <w:lang w:val="en-US"/>
              </w:rPr>
              <w:t>high</w:t>
            </w:r>
            <w:proofErr w:type="gramEnd"/>
            <w:r w:rsidRPr="001A249C">
              <w:rPr>
                <w:rFonts w:ascii="Calibri" w:eastAsia="Calibri" w:hAnsi="Calibri"/>
                <w:color w:val="000000"/>
                <w:sz w:val="22"/>
                <w:lang w:val="en-US"/>
              </w:rPr>
              <w:t xml:space="preserve"> income]</w:t>
            </w:r>
          </w:p>
        </w:tc>
        <w:tc>
          <w:tcPr>
            <w:tcW w:w="381" w:type="dxa"/>
          </w:tcPr>
          <w:p w14:paraId="2875FBBB" w14:textId="77777777" w:rsidR="001A249C" w:rsidRPr="001A249C" w:rsidRDefault="001A249C" w:rsidP="00421639">
            <w:pPr>
              <w:autoSpaceDE w:val="0"/>
              <w:autoSpaceDN w:val="0"/>
              <w:adjustRightInd w:val="0"/>
              <w:jc w:val="right"/>
              <w:rPr>
                <w:rFonts w:ascii="Calibri" w:eastAsia="Calibri" w:hAnsi="Calibri"/>
                <w:color w:val="000000"/>
                <w:lang w:val="en-US"/>
              </w:rPr>
            </w:pPr>
            <w:r w:rsidRPr="001A249C">
              <w:rPr>
                <w:rFonts w:ascii="Calibri" w:eastAsia="Calibri" w:hAnsi="Calibri"/>
                <w:color w:val="000000"/>
                <w:sz w:val="22"/>
                <w:lang w:val="en-US"/>
              </w:rPr>
              <w:t>10</w:t>
            </w:r>
          </w:p>
        </w:tc>
        <w:tc>
          <w:tcPr>
            <w:tcW w:w="1303" w:type="dxa"/>
          </w:tcPr>
          <w:p w14:paraId="51470269"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55</w:t>
            </w:r>
          </w:p>
        </w:tc>
        <w:tc>
          <w:tcPr>
            <w:tcW w:w="1303" w:type="dxa"/>
          </w:tcPr>
          <w:p w14:paraId="2C3448F1"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77</w:t>
            </w:r>
          </w:p>
        </w:tc>
        <w:tc>
          <w:tcPr>
            <w:tcW w:w="1303" w:type="dxa"/>
          </w:tcPr>
          <w:p w14:paraId="6CDF145F"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82</w:t>
            </w:r>
          </w:p>
        </w:tc>
        <w:tc>
          <w:tcPr>
            <w:tcW w:w="1500" w:type="dxa"/>
          </w:tcPr>
          <w:p w14:paraId="451D8403" w14:textId="77777777" w:rsidR="001A249C" w:rsidRPr="001A249C" w:rsidRDefault="001A249C" w:rsidP="00421639">
            <w:pPr>
              <w:autoSpaceDE w:val="0"/>
              <w:autoSpaceDN w:val="0"/>
              <w:adjustRightInd w:val="0"/>
              <w:jc w:val="center"/>
              <w:rPr>
                <w:rFonts w:ascii="Calibri" w:eastAsia="Calibri" w:hAnsi="Calibri"/>
                <w:color w:val="000000"/>
                <w:lang w:val="en-US"/>
              </w:rPr>
            </w:pPr>
            <w:r w:rsidRPr="001A249C">
              <w:rPr>
                <w:rFonts w:ascii="Calibri" w:eastAsia="Calibri" w:hAnsi="Calibri"/>
                <w:color w:val="000000"/>
                <w:sz w:val="22"/>
                <w:lang w:val="en-US"/>
              </w:rPr>
              <w:t>82</w:t>
            </w:r>
          </w:p>
        </w:tc>
      </w:tr>
      <w:tr w:rsidR="001A249C" w:rsidRPr="001A249C" w14:paraId="347D02DB" w14:textId="77777777" w:rsidTr="004C7320">
        <w:trPr>
          <w:trHeight w:val="242"/>
        </w:trPr>
        <w:tc>
          <w:tcPr>
            <w:tcW w:w="1470" w:type="dxa"/>
            <w:gridSpan w:val="2"/>
          </w:tcPr>
          <w:p w14:paraId="71ABCA9D"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381" w:type="dxa"/>
          </w:tcPr>
          <w:p w14:paraId="6688E9FC"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1303" w:type="dxa"/>
          </w:tcPr>
          <w:p w14:paraId="2D85599D" w14:textId="77777777" w:rsidR="001A249C" w:rsidRPr="001A249C" w:rsidRDefault="001A249C" w:rsidP="00421639">
            <w:pPr>
              <w:autoSpaceDE w:val="0"/>
              <w:autoSpaceDN w:val="0"/>
              <w:adjustRightInd w:val="0"/>
              <w:jc w:val="center"/>
              <w:rPr>
                <w:rFonts w:ascii="Calibri" w:eastAsia="Calibri" w:hAnsi="Calibri"/>
                <w:color w:val="000000"/>
                <w:lang w:val="en-US"/>
              </w:rPr>
            </w:pPr>
          </w:p>
        </w:tc>
        <w:tc>
          <w:tcPr>
            <w:tcW w:w="1303" w:type="dxa"/>
          </w:tcPr>
          <w:p w14:paraId="6FCBB98B" w14:textId="77777777" w:rsidR="001A249C" w:rsidRPr="001A249C" w:rsidRDefault="001A249C" w:rsidP="00421639">
            <w:pPr>
              <w:autoSpaceDE w:val="0"/>
              <w:autoSpaceDN w:val="0"/>
              <w:adjustRightInd w:val="0"/>
              <w:jc w:val="center"/>
              <w:rPr>
                <w:rFonts w:ascii="Calibri" w:eastAsia="Calibri" w:hAnsi="Calibri"/>
                <w:color w:val="000000"/>
                <w:lang w:val="en-US"/>
              </w:rPr>
            </w:pPr>
          </w:p>
        </w:tc>
        <w:tc>
          <w:tcPr>
            <w:tcW w:w="1303" w:type="dxa"/>
          </w:tcPr>
          <w:p w14:paraId="7599FDB5" w14:textId="77777777" w:rsidR="001A249C" w:rsidRPr="001A249C" w:rsidRDefault="001A249C" w:rsidP="00421639">
            <w:pPr>
              <w:autoSpaceDE w:val="0"/>
              <w:autoSpaceDN w:val="0"/>
              <w:adjustRightInd w:val="0"/>
              <w:jc w:val="center"/>
              <w:rPr>
                <w:rFonts w:ascii="Calibri" w:eastAsia="Calibri" w:hAnsi="Calibri"/>
                <w:color w:val="000000"/>
                <w:lang w:val="en-US"/>
              </w:rPr>
            </w:pPr>
          </w:p>
        </w:tc>
        <w:tc>
          <w:tcPr>
            <w:tcW w:w="1500" w:type="dxa"/>
          </w:tcPr>
          <w:p w14:paraId="2FA6FE78" w14:textId="77777777" w:rsidR="001A249C" w:rsidRPr="001A249C" w:rsidRDefault="001A249C" w:rsidP="00421639">
            <w:pPr>
              <w:autoSpaceDE w:val="0"/>
              <w:autoSpaceDN w:val="0"/>
              <w:adjustRightInd w:val="0"/>
              <w:jc w:val="center"/>
              <w:rPr>
                <w:rFonts w:ascii="Calibri" w:eastAsia="Calibri" w:hAnsi="Calibri"/>
                <w:color w:val="000000"/>
                <w:lang w:val="en-US"/>
              </w:rPr>
            </w:pPr>
          </w:p>
        </w:tc>
      </w:tr>
      <w:tr w:rsidR="001A249C" w:rsidRPr="001A249C" w14:paraId="7469B36C" w14:textId="77777777" w:rsidTr="004C7320">
        <w:trPr>
          <w:cantSplit/>
          <w:trHeight w:val="242"/>
        </w:trPr>
        <w:tc>
          <w:tcPr>
            <w:tcW w:w="1851" w:type="dxa"/>
            <w:gridSpan w:val="3"/>
          </w:tcPr>
          <w:p w14:paraId="3AE36D6A" w14:textId="77777777" w:rsidR="001A249C" w:rsidRPr="001A249C" w:rsidRDefault="001A249C" w:rsidP="00421639">
            <w:pPr>
              <w:autoSpaceDE w:val="0"/>
              <w:autoSpaceDN w:val="0"/>
              <w:adjustRightInd w:val="0"/>
              <w:jc w:val="right"/>
              <w:rPr>
                <w:rFonts w:ascii="Calibri" w:eastAsia="Calibri" w:hAnsi="Calibri"/>
                <w:i/>
                <w:iCs/>
                <w:color w:val="000000"/>
                <w:lang w:val="en-US"/>
              </w:rPr>
            </w:pPr>
            <w:r w:rsidRPr="001A249C">
              <w:rPr>
                <w:rFonts w:ascii="Calibri" w:eastAsia="Calibri" w:hAnsi="Calibri"/>
                <w:i/>
                <w:iCs/>
                <w:color w:val="000000"/>
                <w:sz w:val="22"/>
                <w:lang w:val="en-US"/>
              </w:rPr>
              <w:t>Overall</w:t>
            </w:r>
          </w:p>
        </w:tc>
        <w:tc>
          <w:tcPr>
            <w:tcW w:w="1303" w:type="dxa"/>
          </w:tcPr>
          <w:p w14:paraId="41E95DE4" w14:textId="77777777" w:rsidR="001A249C" w:rsidRPr="001A249C" w:rsidRDefault="001A249C" w:rsidP="00421639">
            <w:pPr>
              <w:autoSpaceDE w:val="0"/>
              <w:autoSpaceDN w:val="0"/>
              <w:adjustRightInd w:val="0"/>
              <w:jc w:val="center"/>
              <w:rPr>
                <w:rFonts w:ascii="Calibri" w:eastAsia="Calibri" w:hAnsi="Calibri"/>
                <w:i/>
                <w:iCs/>
                <w:color w:val="000000"/>
                <w:lang w:val="en-US"/>
              </w:rPr>
            </w:pPr>
            <w:r w:rsidRPr="001A249C">
              <w:rPr>
                <w:rFonts w:ascii="Calibri" w:eastAsia="Calibri" w:hAnsi="Calibri"/>
                <w:i/>
                <w:iCs/>
                <w:color w:val="000000"/>
                <w:sz w:val="22"/>
                <w:lang w:val="en-US"/>
              </w:rPr>
              <w:t>36</w:t>
            </w:r>
          </w:p>
        </w:tc>
        <w:tc>
          <w:tcPr>
            <w:tcW w:w="1303" w:type="dxa"/>
          </w:tcPr>
          <w:p w14:paraId="30C3BA43" w14:textId="77777777" w:rsidR="001A249C" w:rsidRPr="001A249C" w:rsidRDefault="001A249C" w:rsidP="00421639">
            <w:pPr>
              <w:autoSpaceDE w:val="0"/>
              <w:autoSpaceDN w:val="0"/>
              <w:adjustRightInd w:val="0"/>
              <w:jc w:val="center"/>
              <w:rPr>
                <w:rFonts w:ascii="Calibri" w:eastAsia="Calibri" w:hAnsi="Calibri"/>
                <w:i/>
                <w:iCs/>
                <w:color w:val="000000"/>
                <w:lang w:val="en-US"/>
              </w:rPr>
            </w:pPr>
            <w:r w:rsidRPr="001A249C">
              <w:rPr>
                <w:rFonts w:ascii="Calibri" w:eastAsia="Calibri" w:hAnsi="Calibri"/>
                <w:i/>
                <w:iCs/>
                <w:color w:val="000000"/>
                <w:sz w:val="22"/>
                <w:lang w:val="en-US"/>
              </w:rPr>
              <w:t>42</w:t>
            </w:r>
          </w:p>
        </w:tc>
        <w:tc>
          <w:tcPr>
            <w:tcW w:w="1303" w:type="dxa"/>
          </w:tcPr>
          <w:p w14:paraId="5FCD6C49" w14:textId="77777777" w:rsidR="001A249C" w:rsidRPr="001A249C" w:rsidRDefault="001A249C" w:rsidP="00421639">
            <w:pPr>
              <w:autoSpaceDE w:val="0"/>
              <w:autoSpaceDN w:val="0"/>
              <w:adjustRightInd w:val="0"/>
              <w:jc w:val="center"/>
              <w:rPr>
                <w:rFonts w:ascii="Calibri" w:eastAsia="Calibri" w:hAnsi="Calibri"/>
                <w:i/>
                <w:iCs/>
                <w:color w:val="000000"/>
                <w:lang w:val="en-US"/>
              </w:rPr>
            </w:pPr>
            <w:r w:rsidRPr="001A249C">
              <w:rPr>
                <w:rFonts w:ascii="Calibri" w:eastAsia="Calibri" w:hAnsi="Calibri"/>
                <w:i/>
                <w:iCs/>
                <w:color w:val="000000"/>
                <w:sz w:val="22"/>
                <w:lang w:val="en-US"/>
              </w:rPr>
              <w:t>50</w:t>
            </w:r>
          </w:p>
        </w:tc>
        <w:tc>
          <w:tcPr>
            <w:tcW w:w="1500" w:type="dxa"/>
          </w:tcPr>
          <w:p w14:paraId="66C02574" w14:textId="77777777" w:rsidR="001A249C" w:rsidRPr="001A249C" w:rsidRDefault="001A249C" w:rsidP="00421639">
            <w:pPr>
              <w:autoSpaceDE w:val="0"/>
              <w:autoSpaceDN w:val="0"/>
              <w:adjustRightInd w:val="0"/>
              <w:jc w:val="center"/>
              <w:rPr>
                <w:rFonts w:ascii="Calibri" w:eastAsia="Calibri" w:hAnsi="Calibri"/>
                <w:i/>
                <w:iCs/>
                <w:color w:val="000000"/>
                <w:lang w:val="en-US"/>
              </w:rPr>
            </w:pPr>
            <w:r w:rsidRPr="001A249C">
              <w:rPr>
                <w:rFonts w:ascii="Calibri" w:eastAsia="Calibri" w:hAnsi="Calibri"/>
                <w:color w:val="000000"/>
                <w:sz w:val="22"/>
                <w:lang w:val="en-US"/>
              </w:rPr>
              <w:t>46</w:t>
            </w:r>
          </w:p>
        </w:tc>
      </w:tr>
      <w:tr w:rsidR="001A249C" w:rsidRPr="001A249C" w14:paraId="6AC0EA61" w14:textId="77777777" w:rsidTr="004C7320">
        <w:trPr>
          <w:trHeight w:val="242"/>
        </w:trPr>
        <w:tc>
          <w:tcPr>
            <w:tcW w:w="797" w:type="dxa"/>
          </w:tcPr>
          <w:p w14:paraId="16151FBC"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1054" w:type="dxa"/>
            <w:gridSpan w:val="2"/>
          </w:tcPr>
          <w:p w14:paraId="436F3F8C" w14:textId="77777777" w:rsidR="001A249C" w:rsidRPr="001A249C" w:rsidRDefault="001A249C" w:rsidP="00421639">
            <w:pPr>
              <w:autoSpaceDE w:val="0"/>
              <w:autoSpaceDN w:val="0"/>
              <w:adjustRightInd w:val="0"/>
              <w:jc w:val="right"/>
              <w:rPr>
                <w:rFonts w:ascii="Calibri" w:eastAsia="Calibri" w:hAnsi="Calibri"/>
                <w:color w:val="000000"/>
                <w:lang w:val="en-US"/>
              </w:rPr>
            </w:pPr>
          </w:p>
        </w:tc>
        <w:tc>
          <w:tcPr>
            <w:tcW w:w="1303" w:type="dxa"/>
          </w:tcPr>
          <w:p w14:paraId="1DE5A5F1" w14:textId="77777777" w:rsidR="001A249C" w:rsidRPr="001A249C" w:rsidRDefault="001A249C" w:rsidP="00421639">
            <w:pPr>
              <w:autoSpaceDE w:val="0"/>
              <w:autoSpaceDN w:val="0"/>
              <w:adjustRightInd w:val="0"/>
              <w:jc w:val="center"/>
              <w:rPr>
                <w:rFonts w:ascii="Calibri" w:eastAsia="Calibri" w:hAnsi="Calibri"/>
                <w:color w:val="000000"/>
                <w:lang w:val="en-US"/>
              </w:rPr>
            </w:pPr>
          </w:p>
        </w:tc>
        <w:tc>
          <w:tcPr>
            <w:tcW w:w="1303" w:type="dxa"/>
          </w:tcPr>
          <w:p w14:paraId="0E1BDE5A" w14:textId="77777777" w:rsidR="001A249C" w:rsidRPr="001A249C" w:rsidRDefault="001A249C" w:rsidP="00421639">
            <w:pPr>
              <w:autoSpaceDE w:val="0"/>
              <w:autoSpaceDN w:val="0"/>
              <w:adjustRightInd w:val="0"/>
              <w:jc w:val="center"/>
              <w:rPr>
                <w:rFonts w:ascii="Calibri" w:eastAsia="Calibri" w:hAnsi="Calibri"/>
                <w:color w:val="000000"/>
                <w:lang w:val="en-US"/>
              </w:rPr>
            </w:pPr>
          </w:p>
        </w:tc>
        <w:tc>
          <w:tcPr>
            <w:tcW w:w="1303" w:type="dxa"/>
          </w:tcPr>
          <w:p w14:paraId="5E2DE754" w14:textId="77777777" w:rsidR="001A249C" w:rsidRPr="001A249C" w:rsidRDefault="001A249C" w:rsidP="00421639">
            <w:pPr>
              <w:autoSpaceDE w:val="0"/>
              <w:autoSpaceDN w:val="0"/>
              <w:adjustRightInd w:val="0"/>
              <w:jc w:val="center"/>
              <w:rPr>
                <w:rFonts w:ascii="Calibri" w:eastAsia="Calibri" w:hAnsi="Calibri"/>
                <w:color w:val="000000"/>
                <w:lang w:val="en-US"/>
              </w:rPr>
            </w:pPr>
          </w:p>
        </w:tc>
        <w:tc>
          <w:tcPr>
            <w:tcW w:w="1500" w:type="dxa"/>
          </w:tcPr>
          <w:p w14:paraId="22106A0B" w14:textId="77777777" w:rsidR="001A249C" w:rsidRPr="001A249C" w:rsidRDefault="001A249C" w:rsidP="00421639">
            <w:pPr>
              <w:autoSpaceDE w:val="0"/>
              <w:autoSpaceDN w:val="0"/>
              <w:adjustRightInd w:val="0"/>
              <w:jc w:val="center"/>
              <w:rPr>
                <w:rFonts w:ascii="Calibri" w:eastAsia="Calibri" w:hAnsi="Calibri"/>
                <w:color w:val="000000"/>
                <w:lang w:val="en-US"/>
              </w:rPr>
            </w:pPr>
          </w:p>
        </w:tc>
      </w:tr>
      <w:tr w:rsidR="001A249C" w:rsidRPr="001A249C" w14:paraId="69F925CC" w14:textId="77777777" w:rsidTr="004C7320">
        <w:trPr>
          <w:cantSplit/>
          <w:trHeight w:val="242"/>
        </w:trPr>
        <w:tc>
          <w:tcPr>
            <w:tcW w:w="1851" w:type="dxa"/>
            <w:gridSpan w:val="3"/>
            <w:tcBorders>
              <w:bottom w:val="single" w:sz="4" w:space="0" w:color="auto"/>
            </w:tcBorders>
          </w:tcPr>
          <w:p w14:paraId="05EC88E6" w14:textId="77777777" w:rsidR="001A249C" w:rsidRPr="001A249C" w:rsidRDefault="001A249C" w:rsidP="00421639">
            <w:pPr>
              <w:autoSpaceDE w:val="0"/>
              <w:autoSpaceDN w:val="0"/>
              <w:adjustRightInd w:val="0"/>
              <w:jc w:val="right"/>
              <w:rPr>
                <w:rFonts w:ascii="Calibri" w:eastAsia="Calibri" w:hAnsi="Calibri"/>
                <w:i/>
                <w:iCs/>
                <w:color w:val="000000"/>
                <w:lang w:val="en-US"/>
              </w:rPr>
            </w:pPr>
            <w:r w:rsidRPr="001A249C">
              <w:rPr>
                <w:rFonts w:ascii="Calibri" w:eastAsia="Calibri" w:hAnsi="Calibri"/>
                <w:i/>
                <w:iCs/>
                <w:color w:val="000000"/>
                <w:sz w:val="22"/>
                <w:lang w:val="en-US"/>
              </w:rPr>
              <w:t xml:space="preserve">Within ± 1 </w:t>
            </w:r>
            <w:proofErr w:type="spellStart"/>
            <w:r w:rsidRPr="001A249C">
              <w:rPr>
                <w:rFonts w:ascii="Calibri" w:eastAsia="Calibri" w:hAnsi="Calibri"/>
                <w:i/>
                <w:iCs/>
                <w:color w:val="000000"/>
                <w:sz w:val="22"/>
                <w:lang w:val="en-US"/>
              </w:rPr>
              <w:t>decile</w:t>
            </w:r>
            <w:proofErr w:type="spellEnd"/>
          </w:p>
        </w:tc>
        <w:tc>
          <w:tcPr>
            <w:tcW w:w="1303" w:type="dxa"/>
            <w:tcBorders>
              <w:bottom w:val="single" w:sz="4" w:space="0" w:color="auto"/>
            </w:tcBorders>
          </w:tcPr>
          <w:p w14:paraId="5E4C841E" w14:textId="77777777" w:rsidR="001A249C" w:rsidRPr="001A249C" w:rsidRDefault="001A249C" w:rsidP="00421639">
            <w:pPr>
              <w:autoSpaceDE w:val="0"/>
              <w:autoSpaceDN w:val="0"/>
              <w:adjustRightInd w:val="0"/>
              <w:jc w:val="center"/>
              <w:rPr>
                <w:rFonts w:ascii="Calibri" w:eastAsia="Calibri" w:hAnsi="Calibri"/>
                <w:i/>
                <w:iCs/>
                <w:color w:val="000000"/>
                <w:lang w:val="en-US"/>
              </w:rPr>
            </w:pPr>
            <w:r w:rsidRPr="001A249C">
              <w:rPr>
                <w:rFonts w:ascii="Calibri" w:eastAsia="Calibri" w:hAnsi="Calibri"/>
                <w:i/>
                <w:iCs/>
                <w:color w:val="000000"/>
                <w:sz w:val="22"/>
                <w:lang w:val="en-US"/>
              </w:rPr>
              <w:t>82</w:t>
            </w:r>
          </w:p>
        </w:tc>
        <w:tc>
          <w:tcPr>
            <w:tcW w:w="1303" w:type="dxa"/>
            <w:tcBorders>
              <w:bottom w:val="single" w:sz="4" w:space="0" w:color="auto"/>
            </w:tcBorders>
          </w:tcPr>
          <w:p w14:paraId="38756551" w14:textId="77777777" w:rsidR="001A249C" w:rsidRPr="001A249C" w:rsidRDefault="001A249C" w:rsidP="00421639">
            <w:pPr>
              <w:autoSpaceDE w:val="0"/>
              <w:autoSpaceDN w:val="0"/>
              <w:adjustRightInd w:val="0"/>
              <w:jc w:val="center"/>
              <w:rPr>
                <w:rFonts w:ascii="Calibri" w:eastAsia="Calibri" w:hAnsi="Calibri"/>
                <w:i/>
                <w:iCs/>
                <w:color w:val="000000"/>
                <w:lang w:val="en-US"/>
              </w:rPr>
            </w:pPr>
            <w:r w:rsidRPr="001A249C">
              <w:rPr>
                <w:rFonts w:ascii="Calibri" w:eastAsia="Calibri" w:hAnsi="Calibri"/>
                <w:i/>
                <w:iCs/>
                <w:color w:val="000000"/>
                <w:sz w:val="22"/>
                <w:lang w:val="en-US"/>
              </w:rPr>
              <w:t>84</w:t>
            </w:r>
          </w:p>
        </w:tc>
        <w:tc>
          <w:tcPr>
            <w:tcW w:w="1303" w:type="dxa"/>
            <w:tcBorders>
              <w:bottom w:val="single" w:sz="4" w:space="0" w:color="auto"/>
            </w:tcBorders>
          </w:tcPr>
          <w:p w14:paraId="0ABC95EB" w14:textId="77777777" w:rsidR="001A249C" w:rsidRPr="001A249C" w:rsidRDefault="001A249C" w:rsidP="00421639">
            <w:pPr>
              <w:autoSpaceDE w:val="0"/>
              <w:autoSpaceDN w:val="0"/>
              <w:adjustRightInd w:val="0"/>
              <w:jc w:val="center"/>
              <w:rPr>
                <w:rFonts w:ascii="Calibri" w:eastAsia="Calibri" w:hAnsi="Calibri"/>
                <w:i/>
                <w:iCs/>
                <w:color w:val="000000"/>
                <w:lang w:val="en-US"/>
              </w:rPr>
            </w:pPr>
            <w:r w:rsidRPr="001A249C">
              <w:rPr>
                <w:rFonts w:ascii="Calibri" w:eastAsia="Calibri" w:hAnsi="Calibri"/>
                <w:i/>
                <w:iCs/>
                <w:color w:val="000000"/>
                <w:sz w:val="22"/>
                <w:lang w:val="en-US"/>
              </w:rPr>
              <w:t>89</w:t>
            </w:r>
          </w:p>
        </w:tc>
        <w:tc>
          <w:tcPr>
            <w:tcW w:w="1500" w:type="dxa"/>
            <w:tcBorders>
              <w:bottom w:val="single" w:sz="4" w:space="0" w:color="auto"/>
            </w:tcBorders>
          </w:tcPr>
          <w:p w14:paraId="7FD00267" w14:textId="77777777" w:rsidR="001A249C" w:rsidRPr="001A249C" w:rsidRDefault="001A249C" w:rsidP="00421639">
            <w:pPr>
              <w:autoSpaceDE w:val="0"/>
              <w:autoSpaceDN w:val="0"/>
              <w:adjustRightInd w:val="0"/>
              <w:jc w:val="center"/>
              <w:rPr>
                <w:rFonts w:ascii="Calibri" w:eastAsia="Calibri" w:hAnsi="Calibri"/>
                <w:i/>
                <w:iCs/>
                <w:color w:val="000000"/>
                <w:lang w:val="en-US"/>
              </w:rPr>
            </w:pPr>
            <w:r w:rsidRPr="001A249C">
              <w:rPr>
                <w:rFonts w:ascii="Calibri" w:eastAsia="Calibri" w:hAnsi="Calibri"/>
                <w:i/>
                <w:iCs/>
                <w:color w:val="000000"/>
                <w:sz w:val="22"/>
                <w:lang w:val="en-US"/>
              </w:rPr>
              <w:t>92</w:t>
            </w:r>
          </w:p>
        </w:tc>
      </w:tr>
    </w:tbl>
    <w:p w14:paraId="162BF108" w14:textId="77777777" w:rsidR="001A249C" w:rsidRPr="001A249C" w:rsidRDefault="001A249C" w:rsidP="001A249C">
      <w:pPr>
        <w:rPr>
          <w:rFonts w:ascii="Calibri" w:eastAsia="Calibri" w:hAnsi="Calibri"/>
          <w:sz w:val="22"/>
        </w:rPr>
      </w:pPr>
    </w:p>
    <w:sectPr w:rsidR="001A249C" w:rsidRPr="001A249C" w:rsidSect="00271021">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54F0B" w14:textId="77777777" w:rsidR="00F07550" w:rsidRDefault="00F07550" w:rsidP="00277628">
      <w:r>
        <w:separator/>
      </w:r>
    </w:p>
  </w:endnote>
  <w:endnote w:type="continuationSeparator" w:id="0">
    <w:p w14:paraId="74C50505" w14:textId="77777777" w:rsidR="00F07550" w:rsidRDefault="00F07550" w:rsidP="0027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C565" w14:textId="77777777" w:rsidR="00F07550" w:rsidRDefault="00F075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641"/>
      <w:docPartObj>
        <w:docPartGallery w:val="Page Numbers (Bottom of Page)"/>
        <w:docPartUnique/>
      </w:docPartObj>
    </w:sdtPr>
    <w:sdtContent>
      <w:p w14:paraId="7DA982E4" w14:textId="77777777" w:rsidR="00F07550" w:rsidRDefault="00F07550">
        <w:pPr>
          <w:pStyle w:val="Footer"/>
          <w:jc w:val="center"/>
        </w:pPr>
        <w:r w:rsidRPr="00831C7D">
          <w:rPr>
            <w:rFonts w:asciiTheme="minorHAnsi" w:hAnsiTheme="minorHAnsi" w:cstheme="minorHAnsi"/>
            <w:sz w:val="18"/>
            <w:szCs w:val="18"/>
          </w:rPr>
          <w:fldChar w:fldCharType="begin"/>
        </w:r>
        <w:r w:rsidRPr="00831C7D">
          <w:rPr>
            <w:rFonts w:asciiTheme="minorHAnsi" w:hAnsiTheme="minorHAnsi" w:cstheme="minorHAnsi"/>
            <w:sz w:val="18"/>
            <w:szCs w:val="18"/>
          </w:rPr>
          <w:instrText xml:space="preserve"> PAGE   \* MERGEFORMAT </w:instrText>
        </w:r>
        <w:r w:rsidRPr="00831C7D">
          <w:rPr>
            <w:rFonts w:asciiTheme="minorHAnsi" w:hAnsiTheme="minorHAnsi" w:cstheme="minorHAnsi"/>
            <w:sz w:val="18"/>
            <w:szCs w:val="18"/>
          </w:rPr>
          <w:fldChar w:fldCharType="separate"/>
        </w:r>
        <w:r w:rsidR="005F265A">
          <w:rPr>
            <w:rFonts w:asciiTheme="minorHAnsi" w:hAnsiTheme="minorHAnsi" w:cstheme="minorHAnsi"/>
            <w:noProof/>
            <w:sz w:val="18"/>
            <w:szCs w:val="18"/>
          </w:rPr>
          <w:t>1</w:t>
        </w:r>
        <w:r w:rsidRPr="00831C7D">
          <w:rPr>
            <w:rFonts w:asciiTheme="minorHAnsi" w:hAnsiTheme="minorHAnsi" w:cstheme="minorHAnsi"/>
            <w:sz w:val="18"/>
            <w:szCs w:val="18"/>
          </w:rPr>
          <w:fldChar w:fldCharType="end"/>
        </w:r>
      </w:p>
    </w:sdtContent>
  </w:sdt>
  <w:p w14:paraId="6B0F72E4" w14:textId="77777777" w:rsidR="00F07550" w:rsidRDefault="00F075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0F88" w14:textId="77777777" w:rsidR="00F07550" w:rsidRDefault="00F075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8D27F" w14:textId="77777777" w:rsidR="00F07550" w:rsidRDefault="00F07550" w:rsidP="00277628">
      <w:r>
        <w:separator/>
      </w:r>
    </w:p>
  </w:footnote>
  <w:footnote w:type="continuationSeparator" w:id="0">
    <w:p w14:paraId="30487450" w14:textId="77777777" w:rsidR="00F07550" w:rsidRDefault="00F07550" w:rsidP="00277628">
      <w:r>
        <w:continuationSeparator/>
      </w:r>
    </w:p>
  </w:footnote>
  <w:footnote w:id="1">
    <w:p w14:paraId="29FA330A" w14:textId="77777777" w:rsidR="00F07550" w:rsidRPr="009A1E48" w:rsidRDefault="00F07550" w:rsidP="00631ABE">
      <w:pPr>
        <w:pStyle w:val="FootnoteText"/>
        <w:rPr>
          <w:rFonts w:asciiTheme="minorHAnsi" w:hAnsiTheme="minorHAnsi" w:cstheme="minorHAnsi"/>
        </w:rPr>
      </w:pPr>
      <w:r w:rsidRPr="009A1E48">
        <w:rPr>
          <w:rStyle w:val="FootnoteReference"/>
          <w:rFonts w:asciiTheme="minorHAnsi" w:hAnsiTheme="minorHAnsi" w:cstheme="minorHAnsi"/>
        </w:rPr>
        <w:footnoteRef/>
      </w:r>
      <w:r w:rsidRPr="009A1E48">
        <w:rPr>
          <w:rFonts w:asciiTheme="minorHAnsi" w:hAnsiTheme="minorHAnsi" w:cstheme="minorHAnsi"/>
        </w:rPr>
        <w:t xml:space="preserve"> The fewer responses per spatial unit, and the fewer the income bands used to classify their incomes, the fewer available degrees of freedom there are, and the greater the ‘structural’ component of between-area income variation will be. This structural component can be estimated by randomly assigning responses (adult and household incomes) across spatial units, subject to matching the marginal constraints captured in the Census Rehearsal of the number of respondents per income band and the number of respondents per spatial unit, and then measuring the resulting between-area variation. The ‘structural’ variation is taken to be the 100-run average of such measures.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B2AA" w14:textId="77777777" w:rsidR="00F07550" w:rsidRDefault="00F075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353D" w14:textId="77777777" w:rsidR="00F07550" w:rsidRDefault="00F075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C4E00" w14:textId="77777777" w:rsidR="00F07550" w:rsidRDefault="00F075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CD1"/>
    <w:multiLevelType w:val="singleLevel"/>
    <w:tmpl w:val="E506AC28"/>
    <w:lvl w:ilvl="0">
      <w:start w:val="1"/>
      <w:numFmt w:val="decimal"/>
      <w:lvlText w:val="%1."/>
      <w:lvlJc w:val="left"/>
      <w:pPr>
        <w:tabs>
          <w:tab w:val="num" w:pos="360"/>
        </w:tabs>
        <w:ind w:left="360" w:hanging="360"/>
      </w:pPr>
    </w:lvl>
  </w:abstractNum>
  <w:abstractNum w:abstractNumId="1">
    <w:nsid w:val="21BB411A"/>
    <w:multiLevelType w:val="hybridMultilevel"/>
    <w:tmpl w:val="D974B2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7A1EB0"/>
    <w:multiLevelType w:val="hybridMultilevel"/>
    <w:tmpl w:val="3C141A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A664CF"/>
    <w:multiLevelType w:val="hybridMultilevel"/>
    <w:tmpl w:val="F9BA031C"/>
    <w:lvl w:ilvl="0" w:tplc="41468FE0">
      <w:start w:val="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0F"/>
    <w:rsid w:val="00001BBD"/>
    <w:rsid w:val="00015CD9"/>
    <w:rsid w:val="00016699"/>
    <w:rsid w:val="0002114A"/>
    <w:rsid w:val="000253FD"/>
    <w:rsid w:val="00025E22"/>
    <w:rsid w:val="00026B03"/>
    <w:rsid w:val="000330B4"/>
    <w:rsid w:val="000341B5"/>
    <w:rsid w:val="0004057F"/>
    <w:rsid w:val="000602E4"/>
    <w:rsid w:val="000659F2"/>
    <w:rsid w:val="0007030F"/>
    <w:rsid w:val="00071776"/>
    <w:rsid w:val="00072ED3"/>
    <w:rsid w:val="00080EFD"/>
    <w:rsid w:val="000833A9"/>
    <w:rsid w:val="000833CE"/>
    <w:rsid w:val="00086177"/>
    <w:rsid w:val="0009177A"/>
    <w:rsid w:val="0009343E"/>
    <w:rsid w:val="000A19A5"/>
    <w:rsid w:val="000A6C3D"/>
    <w:rsid w:val="000B3D12"/>
    <w:rsid w:val="000B5B80"/>
    <w:rsid w:val="000B6CA5"/>
    <w:rsid w:val="000C2570"/>
    <w:rsid w:val="000C4B27"/>
    <w:rsid w:val="000D6FB1"/>
    <w:rsid w:val="000D7172"/>
    <w:rsid w:val="000F1F18"/>
    <w:rsid w:val="000F218C"/>
    <w:rsid w:val="000F3E76"/>
    <w:rsid w:val="000F56A5"/>
    <w:rsid w:val="000F6DBC"/>
    <w:rsid w:val="00100E2B"/>
    <w:rsid w:val="00102E4E"/>
    <w:rsid w:val="00105B1F"/>
    <w:rsid w:val="00107912"/>
    <w:rsid w:val="00107B2F"/>
    <w:rsid w:val="001117AC"/>
    <w:rsid w:val="00115BEB"/>
    <w:rsid w:val="001222AF"/>
    <w:rsid w:val="00123D69"/>
    <w:rsid w:val="0012462E"/>
    <w:rsid w:val="00124A3C"/>
    <w:rsid w:val="001338F8"/>
    <w:rsid w:val="001347F0"/>
    <w:rsid w:val="0014613D"/>
    <w:rsid w:val="0015212C"/>
    <w:rsid w:val="00154802"/>
    <w:rsid w:val="001568E7"/>
    <w:rsid w:val="0016330E"/>
    <w:rsid w:val="0018002F"/>
    <w:rsid w:val="001801CF"/>
    <w:rsid w:val="00182A60"/>
    <w:rsid w:val="00187B13"/>
    <w:rsid w:val="001912DD"/>
    <w:rsid w:val="00197BD3"/>
    <w:rsid w:val="001A249C"/>
    <w:rsid w:val="001A37A3"/>
    <w:rsid w:val="001B17B1"/>
    <w:rsid w:val="001B67E7"/>
    <w:rsid w:val="001C2C17"/>
    <w:rsid w:val="001C60EC"/>
    <w:rsid w:val="001C71AE"/>
    <w:rsid w:val="001D141B"/>
    <w:rsid w:val="001E591C"/>
    <w:rsid w:val="001F0E87"/>
    <w:rsid w:val="001F1EE8"/>
    <w:rsid w:val="001F3F5D"/>
    <w:rsid w:val="001F47C3"/>
    <w:rsid w:val="001F5E12"/>
    <w:rsid w:val="001F70AA"/>
    <w:rsid w:val="002007D9"/>
    <w:rsid w:val="002054D6"/>
    <w:rsid w:val="00205B5A"/>
    <w:rsid w:val="00207000"/>
    <w:rsid w:val="0021003C"/>
    <w:rsid w:val="00220FBE"/>
    <w:rsid w:val="00222694"/>
    <w:rsid w:val="00222DED"/>
    <w:rsid w:val="00226F17"/>
    <w:rsid w:val="00227EB3"/>
    <w:rsid w:val="00230B31"/>
    <w:rsid w:val="0023240C"/>
    <w:rsid w:val="00250EB5"/>
    <w:rsid w:val="002518AC"/>
    <w:rsid w:val="00251985"/>
    <w:rsid w:val="00252582"/>
    <w:rsid w:val="00254111"/>
    <w:rsid w:val="00254A45"/>
    <w:rsid w:val="00271021"/>
    <w:rsid w:val="00277628"/>
    <w:rsid w:val="002853D0"/>
    <w:rsid w:val="00285AE2"/>
    <w:rsid w:val="00287401"/>
    <w:rsid w:val="0029026A"/>
    <w:rsid w:val="00293A74"/>
    <w:rsid w:val="002A4ABB"/>
    <w:rsid w:val="002A67E9"/>
    <w:rsid w:val="002A7018"/>
    <w:rsid w:val="002B2DB7"/>
    <w:rsid w:val="002C038E"/>
    <w:rsid w:val="002C3D1D"/>
    <w:rsid w:val="002E7106"/>
    <w:rsid w:val="002F3CE4"/>
    <w:rsid w:val="00302174"/>
    <w:rsid w:val="00310F1E"/>
    <w:rsid w:val="00316154"/>
    <w:rsid w:val="00316870"/>
    <w:rsid w:val="0031729B"/>
    <w:rsid w:val="00320C46"/>
    <w:rsid w:val="00321E49"/>
    <w:rsid w:val="003259AC"/>
    <w:rsid w:val="00331098"/>
    <w:rsid w:val="0033398E"/>
    <w:rsid w:val="003429F7"/>
    <w:rsid w:val="0035608E"/>
    <w:rsid w:val="003575C7"/>
    <w:rsid w:val="0036028D"/>
    <w:rsid w:val="00362085"/>
    <w:rsid w:val="00363D7C"/>
    <w:rsid w:val="00370789"/>
    <w:rsid w:val="0037556C"/>
    <w:rsid w:val="003806B1"/>
    <w:rsid w:val="00384409"/>
    <w:rsid w:val="003A2F3A"/>
    <w:rsid w:val="003A5DBE"/>
    <w:rsid w:val="003B12B4"/>
    <w:rsid w:val="003B7207"/>
    <w:rsid w:val="003B7E23"/>
    <w:rsid w:val="003C0124"/>
    <w:rsid w:val="003C0D31"/>
    <w:rsid w:val="003D1903"/>
    <w:rsid w:val="003D339F"/>
    <w:rsid w:val="003D3EF8"/>
    <w:rsid w:val="003D54D4"/>
    <w:rsid w:val="003D7982"/>
    <w:rsid w:val="003E47AB"/>
    <w:rsid w:val="003E50C0"/>
    <w:rsid w:val="003E6C73"/>
    <w:rsid w:val="003F0615"/>
    <w:rsid w:val="003F456C"/>
    <w:rsid w:val="003F7B9F"/>
    <w:rsid w:val="00400134"/>
    <w:rsid w:val="004104C3"/>
    <w:rsid w:val="00410F7E"/>
    <w:rsid w:val="00421639"/>
    <w:rsid w:val="0042209D"/>
    <w:rsid w:val="00425121"/>
    <w:rsid w:val="00426F49"/>
    <w:rsid w:val="00433362"/>
    <w:rsid w:val="0044180C"/>
    <w:rsid w:val="00441DFB"/>
    <w:rsid w:val="00444C7C"/>
    <w:rsid w:val="00455F99"/>
    <w:rsid w:val="00456CB2"/>
    <w:rsid w:val="00460894"/>
    <w:rsid w:val="00465406"/>
    <w:rsid w:val="004770DD"/>
    <w:rsid w:val="00477D41"/>
    <w:rsid w:val="004857DB"/>
    <w:rsid w:val="004860B5"/>
    <w:rsid w:val="00487806"/>
    <w:rsid w:val="00487DC2"/>
    <w:rsid w:val="00492F5E"/>
    <w:rsid w:val="00496BF7"/>
    <w:rsid w:val="004A22F3"/>
    <w:rsid w:val="004B49EF"/>
    <w:rsid w:val="004C47FE"/>
    <w:rsid w:val="004C7320"/>
    <w:rsid w:val="004C7866"/>
    <w:rsid w:val="004C7AE0"/>
    <w:rsid w:val="004D00C2"/>
    <w:rsid w:val="004D0F4E"/>
    <w:rsid w:val="004D4B54"/>
    <w:rsid w:val="004D581C"/>
    <w:rsid w:val="004F18A9"/>
    <w:rsid w:val="004F74F1"/>
    <w:rsid w:val="004F7975"/>
    <w:rsid w:val="004F7D18"/>
    <w:rsid w:val="0050463B"/>
    <w:rsid w:val="005202F3"/>
    <w:rsid w:val="00520416"/>
    <w:rsid w:val="00520B73"/>
    <w:rsid w:val="00534ECC"/>
    <w:rsid w:val="00537338"/>
    <w:rsid w:val="005430EF"/>
    <w:rsid w:val="00545C02"/>
    <w:rsid w:val="00553767"/>
    <w:rsid w:val="005549A1"/>
    <w:rsid w:val="005567BF"/>
    <w:rsid w:val="00570BC8"/>
    <w:rsid w:val="00573074"/>
    <w:rsid w:val="005754F2"/>
    <w:rsid w:val="0058396D"/>
    <w:rsid w:val="00586D88"/>
    <w:rsid w:val="00593E0E"/>
    <w:rsid w:val="005A0F96"/>
    <w:rsid w:val="005A26A6"/>
    <w:rsid w:val="005B15A7"/>
    <w:rsid w:val="005C457C"/>
    <w:rsid w:val="005C6A94"/>
    <w:rsid w:val="005D5557"/>
    <w:rsid w:val="005D5A33"/>
    <w:rsid w:val="005E3B4B"/>
    <w:rsid w:val="005E6004"/>
    <w:rsid w:val="005E6B4B"/>
    <w:rsid w:val="005F1F1F"/>
    <w:rsid w:val="005F265A"/>
    <w:rsid w:val="005F320E"/>
    <w:rsid w:val="005F7A0B"/>
    <w:rsid w:val="005F7BAA"/>
    <w:rsid w:val="00601DA9"/>
    <w:rsid w:val="00602729"/>
    <w:rsid w:val="00604575"/>
    <w:rsid w:val="00615876"/>
    <w:rsid w:val="00623FDD"/>
    <w:rsid w:val="006316DA"/>
    <w:rsid w:val="00631ABE"/>
    <w:rsid w:val="00636059"/>
    <w:rsid w:val="00641911"/>
    <w:rsid w:val="006458AF"/>
    <w:rsid w:val="00651C66"/>
    <w:rsid w:val="00656EC9"/>
    <w:rsid w:val="00666770"/>
    <w:rsid w:val="006671F9"/>
    <w:rsid w:val="00677E6E"/>
    <w:rsid w:val="00683DF3"/>
    <w:rsid w:val="00683F55"/>
    <w:rsid w:val="00693DF9"/>
    <w:rsid w:val="0069783A"/>
    <w:rsid w:val="006A21CD"/>
    <w:rsid w:val="006A6768"/>
    <w:rsid w:val="006B16AD"/>
    <w:rsid w:val="006B48D6"/>
    <w:rsid w:val="006B508E"/>
    <w:rsid w:val="006B69DB"/>
    <w:rsid w:val="006C1885"/>
    <w:rsid w:val="006C66FA"/>
    <w:rsid w:val="006D0315"/>
    <w:rsid w:val="006D6FED"/>
    <w:rsid w:val="006E086F"/>
    <w:rsid w:val="006E458C"/>
    <w:rsid w:val="006E4C4F"/>
    <w:rsid w:val="00704B8E"/>
    <w:rsid w:val="007067FB"/>
    <w:rsid w:val="007126B3"/>
    <w:rsid w:val="00715C3C"/>
    <w:rsid w:val="0072310C"/>
    <w:rsid w:val="00727508"/>
    <w:rsid w:val="00732228"/>
    <w:rsid w:val="00732560"/>
    <w:rsid w:val="007350B4"/>
    <w:rsid w:val="00743CAC"/>
    <w:rsid w:val="007536D5"/>
    <w:rsid w:val="00755C35"/>
    <w:rsid w:val="00761EED"/>
    <w:rsid w:val="00762D0F"/>
    <w:rsid w:val="007649CB"/>
    <w:rsid w:val="00765532"/>
    <w:rsid w:val="00771029"/>
    <w:rsid w:val="00771261"/>
    <w:rsid w:val="00772CAE"/>
    <w:rsid w:val="007742FD"/>
    <w:rsid w:val="0078659C"/>
    <w:rsid w:val="0078755A"/>
    <w:rsid w:val="00791A50"/>
    <w:rsid w:val="00793784"/>
    <w:rsid w:val="00796072"/>
    <w:rsid w:val="007A1451"/>
    <w:rsid w:val="007A7BDF"/>
    <w:rsid w:val="007B1034"/>
    <w:rsid w:val="007B1964"/>
    <w:rsid w:val="007B290C"/>
    <w:rsid w:val="007B648A"/>
    <w:rsid w:val="007C1C6B"/>
    <w:rsid w:val="007D1D16"/>
    <w:rsid w:val="007D4235"/>
    <w:rsid w:val="007D49BB"/>
    <w:rsid w:val="007E122C"/>
    <w:rsid w:val="007E27DC"/>
    <w:rsid w:val="007E6F4D"/>
    <w:rsid w:val="007F305A"/>
    <w:rsid w:val="007F4906"/>
    <w:rsid w:val="007F64B1"/>
    <w:rsid w:val="007F7BFE"/>
    <w:rsid w:val="00800F35"/>
    <w:rsid w:val="00802670"/>
    <w:rsid w:val="00807F01"/>
    <w:rsid w:val="00813934"/>
    <w:rsid w:val="00813E52"/>
    <w:rsid w:val="00814849"/>
    <w:rsid w:val="00815EDE"/>
    <w:rsid w:val="00816413"/>
    <w:rsid w:val="008169A0"/>
    <w:rsid w:val="00820FA3"/>
    <w:rsid w:val="00821423"/>
    <w:rsid w:val="00822190"/>
    <w:rsid w:val="00831C7D"/>
    <w:rsid w:val="00833545"/>
    <w:rsid w:val="008348B3"/>
    <w:rsid w:val="008401FB"/>
    <w:rsid w:val="00841A8B"/>
    <w:rsid w:val="008451B9"/>
    <w:rsid w:val="00850A5D"/>
    <w:rsid w:val="00851B77"/>
    <w:rsid w:val="008535D6"/>
    <w:rsid w:val="00856E5A"/>
    <w:rsid w:val="00856F69"/>
    <w:rsid w:val="008578E7"/>
    <w:rsid w:val="00861E0D"/>
    <w:rsid w:val="0086450B"/>
    <w:rsid w:val="00866281"/>
    <w:rsid w:val="00873AC4"/>
    <w:rsid w:val="00876F03"/>
    <w:rsid w:val="00877091"/>
    <w:rsid w:val="00877897"/>
    <w:rsid w:val="00880611"/>
    <w:rsid w:val="00895943"/>
    <w:rsid w:val="008A070F"/>
    <w:rsid w:val="008A540C"/>
    <w:rsid w:val="008A7632"/>
    <w:rsid w:val="008B05CD"/>
    <w:rsid w:val="008B2AE3"/>
    <w:rsid w:val="008C0219"/>
    <w:rsid w:val="008C1424"/>
    <w:rsid w:val="008C369B"/>
    <w:rsid w:val="008F74AC"/>
    <w:rsid w:val="00900D17"/>
    <w:rsid w:val="00902381"/>
    <w:rsid w:val="0091205F"/>
    <w:rsid w:val="0091593C"/>
    <w:rsid w:val="00917729"/>
    <w:rsid w:val="00917DE9"/>
    <w:rsid w:val="00937FE5"/>
    <w:rsid w:val="00944EC6"/>
    <w:rsid w:val="00950825"/>
    <w:rsid w:val="009544F5"/>
    <w:rsid w:val="00966D19"/>
    <w:rsid w:val="00966F01"/>
    <w:rsid w:val="0097024E"/>
    <w:rsid w:val="0097515F"/>
    <w:rsid w:val="00982D55"/>
    <w:rsid w:val="00984CBA"/>
    <w:rsid w:val="009871FD"/>
    <w:rsid w:val="0099044A"/>
    <w:rsid w:val="00994D9C"/>
    <w:rsid w:val="009958E3"/>
    <w:rsid w:val="009A047F"/>
    <w:rsid w:val="009A1E48"/>
    <w:rsid w:val="009A2E18"/>
    <w:rsid w:val="009A6E67"/>
    <w:rsid w:val="009B0A46"/>
    <w:rsid w:val="009B1CAE"/>
    <w:rsid w:val="009B62B7"/>
    <w:rsid w:val="009B661B"/>
    <w:rsid w:val="009C0F48"/>
    <w:rsid w:val="009C2B50"/>
    <w:rsid w:val="009D2301"/>
    <w:rsid w:val="009F042B"/>
    <w:rsid w:val="009F0CAC"/>
    <w:rsid w:val="00A00B39"/>
    <w:rsid w:val="00A01822"/>
    <w:rsid w:val="00A018C4"/>
    <w:rsid w:val="00A058E3"/>
    <w:rsid w:val="00A22208"/>
    <w:rsid w:val="00A22982"/>
    <w:rsid w:val="00A22EA6"/>
    <w:rsid w:val="00A27356"/>
    <w:rsid w:val="00A30497"/>
    <w:rsid w:val="00A33839"/>
    <w:rsid w:val="00A343F8"/>
    <w:rsid w:val="00A406B7"/>
    <w:rsid w:val="00A433A5"/>
    <w:rsid w:val="00A441FA"/>
    <w:rsid w:val="00A5071D"/>
    <w:rsid w:val="00A51C63"/>
    <w:rsid w:val="00A5629B"/>
    <w:rsid w:val="00A56EF8"/>
    <w:rsid w:val="00A60469"/>
    <w:rsid w:val="00A60523"/>
    <w:rsid w:val="00A64723"/>
    <w:rsid w:val="00A663DE"/>
    <w:rsid w:val="00A67B61"/>
    <w:rsid w:val="00A70D37"/>
    <w:rsid w:val="00A70EC8"/>
    <w:rsid w:val="00A720D2"/>
    <w:rsid w:val="00A771E2"/>
    <w:rsid w:val="00A81ED5"/>
    <w:rsid w:val="00A84B03"/>
    <w:rsid w:val="00A85598"/>
    <w:rsid w:val="00A918F4"/>
    <w:rsid w:val="00A92278"/>
    <w:rsid w:val="00A97527"/>
    <w:rsid w:val="00AA004C"/>
    <w:rsid w:val="00AA10C8"/>
    <w:rsid w:val="00AA2F57"/>
    <w:rsid w:val="00AA75FB"/>
    <w:rsid w:val="00AB0F50"/>
    <w:rsid w:val="00AC002C"/>
    <w:rsid w:val="00AC10D7"/>
    <w:rsid w:val="00AC19AC"/>
    <w:rsid w:val="00AC3385"/>
    <w:rsid w:val="00AC4EA0"/>
    <w:rsid w:val="00AD14E9"/>
    <w:rsid w:val="00AD44D4"/>
    <w:rsid w:val="00AD567C"/>
    <w:rsid w:val="00AD5B26"/>
    <w:rsid w:val="00AE1661"/>
    <w:rsid w:val="00AE2FAD"/>
    <w:rsid w:val="00AE31C8"/>
    <w:rsid w:val="00AE3DE9"/>
    <w:rsid w:val="00AF03E5"/>
    <w:rsid w:val="00AF697C"/>
    <w:rsid w:val="00B02FFE"/>
    <w:rsid w:val="00B039F5"/>
    <w:rsid w:val="00B131C6"/>
    <w:rsid w:val="00B14908"/>
    <w:rsid w:val="00B2288E"/>
    <w:rsid w:val="00B32181"/>
    <w:rsid w:val="00B33927"/>
    <w:rsid w:val="00B40BEF"/>
    <w:rsid w:val="00B4266C"/>
    <w:rsid w:val="00B43AA1"/>
    <w:rsid w:val="00B456A0"/>
    <w:rsid w:val="00B5449D"/>
    <w:rsid w:val="00B618ED"/>
    <w:rsid w:val="00B62FBD"/>
    <w:rsid w:val="00B64A2E"/>
    <w:rsid w:val="00B7067B"/>
    <w:rsid w:val="00B743A9"/>
    <w:rsid w:val="00B748E6"/>
    <w:rsid w:val="00B77387"/>
    <w:rsid w:val="00B81C6B"/>
    <w:rsid w:val="00B8326C"/>
    <w:rsid w:val="00B83A57"/>
    <w:rsid w:val="00B85E7C"/>
    <w:rsid w:val="00B90A0D"/>
    <w:rsid w:val="00B922FC"/>
    <w:rsid w:val="00B92600"/>
    <w:rsid w:val="00BA68AF"/>
    <w:rsid w:val="00BA7865"/>
    <w:rsid w:val="00BB12C5"/>
    <w:rsid w:val="00BB37BB"/>
    <w:rsid w:val="00BB3AE8"/>
    <w:rsid w:val="00BC7E1B"/>
    <w:rsid w:val="00BD0E31"/>
    <w:rsid w:val="00BD5C5E"/>
    <w:rsid w:val="00BD7F81"/>
    <w:rsid w:val="00BE400F"/>
    <w:rsid w:val="00BE7269"/>
    <w:rsid w:val="00C038AD"/>
    <w:rsid w:val="00C05862"/>
    <w:rsid w:val="00C05FB9"/>
    <w:rsid w:val="00C256F7"/>
    <w:rsid w:val="00C25CF4"/>
    <w:rsid w:val="00C36655"/>
    <w:rsid w:val="00C413F2"/>
    <w:rsid w:val="00C41834"/>
    <w:rsid w:val="00C43B99"/>
    <w:rsid w:val="00C464A3"/>
    <w:rsid w:val="00C4666D"/>
    <w:rsid w:val="00C5280B"/>
    <w:rsid w:val="00C555CE"/>
    <w:rsid w:val="00C565F9"/>
    <w:rsid w:val="00C57191"/>
    <w:rsid w:val="00C64E34"/>
    <w:rsid w:val="00C65398"/>
    <w:rsid w:val="00C65901"/>
    <w:rsid w:val="00C701FF"/>
    <w:rsid w:val="00C745EF"/>
    <w:rsid w:val="00C8263E"/>
    <w:rsid w:val="00C84E74"/>
    <w:rsid w:val="00C86658"/>
    <w:rsid w:val="00CA0E37"/>
    <w:rsid w:val="00CA2E47"/>
    <w:rsid w:val="00CA5D07"/>
    <w:rsid w:val="00CB09CD"/>
    <w:rsid w:val="00CB0ECC"/>
    <w:rsid w:val="00CC0165"/>
    <w:rsid w:val="00CC4C7D"/>
    <w:rsid w:val="00CC6EB5"/>
    <w:rsid w:val="00CC7534"/>
    <w:rsid w:val="00CC7963"/>
    <w:rsid w:val="00CD2283"/>
    <w:rsid w:val="00CD2AED"/>
    <w:rsid w:val="00CD63D1"/>
    <w:rsid w:val="00CD68A7"/>
    <w:rsid w:val="00CE166B"/>
    <w:rsid w:val="00CF0606"/>
    <w:rsid w:val="00CF2149"/>
    <w:rsid w:val="00CF30B2"/>
    <w:rsid w:val="00D0072B"/>
    <w:rsid w:val="00D03D99"/>
    <w:rsid w:val="00D059D6"/>
    <w:rsid w:val="00D11546"/>
    <w:rsid w:val="00D2000D"/>
    <w:rsid w:val="00D20A13"/>
    <w:rsid w:val="00D22D2A"/>
    <w:rsid w:val="00D24F42"/>
    <w:rsid w:val="00D27068"/>
    <w:rsid w:val="00D32854"/>
    <w:rsid w:val="00D36247"/>
    <w:rsid w:val="00D41FAA"/>
    <w:rsid w:val="00D472CC"/>
    <w:rsid w:val="00D554BE"/>
    <w:rsid w:val="00D7763B"/>
    <w:rsid w:val="00D84B40"/>
    <w:rsid w:val="00D868D4"/>
    <w:rsid w:val="00D90A0A"/>
    <w:rsid w:val="00D921AC"/>
    <w:rsid w:val="00D9549A"/>
    <w:rsid w:val="00D97E8B"/>
    <w:rsid w:val="00DB3FDC"/>
    <w:rsid w:val="00DC1A57"/>
    <w:rsid w:val="00DD5810"/>
    <w:rsid w:val="00DE1F10"/>
    <w:rsid w:val="00DE355E"/>
    <w:rsid w:val="00DE4A04"/>
    <w:rsid w:val="00DE6CE0"/>
    <w:rsid w:val="00DF0A37"/>
    <w:rsid w:val="00DF16F9"/>
    <w:rsid w:val="00DF4ED4"/>
    <w:rsid w:val="00DF52F7"/>
    <w:rsid w:val="00E0164C"/>
    <w:rsid w:val="00E03006"/>
    <w:rsid w:val="00E0498E"/>
    <w:rsid w:val="00E07407"/>
    <w:rsid w:val="00E14C09"/>
    <w:rsid w:val="00E15A27"/>
    <w:rsid w:val="00E15D56"/>
    <w:rsid w:val="00E1617E"/>
    <w:rsid w:val="00E1731F"/>
    <w:rsid w:val="00E2374D"/>
    <w:rsid w:val="00E25732"/>
    <w:rsid w:val="00E315AF"/>
    <w:rsid w:val="00E31F73"/>
    <w:rsid w:val="00E34C8E"/>
    <w:rsid w:val="00E35463"/>
    <w:rsid w:val="00E37F0C"/>
    <w:rsid w:val="00E404A1"/>
    <w:rsid w:val="00E65738"/>
    <w:rsid w:val="00E66448"/>
    <w:rsid w:val="00E66856"/>
    <w:rsid w:val="00E8480A"/>
    <w:rsid w:val="00E848D3"/>
    <w:rsid w:val="00EA296B"/>
    <w:rsid w:val="00EA6B6F"/>
    <w:rsid w:val="00EA7692"/>
    <w:rsid w:val="00EB07FC"/>
    <w:rsid w:val="00EB4A35"/>
    <w:rsid w:val="00EB7418"/>
    <w:rsid w:val="00ED3AF4"/>
    <w:rsid w:val="00EE74DB"/>
    <w:rsid w:val="00EF4DC8"/>
    <w:rsid w:val="00F04449"/>
    <w:rsid w:val="00F04B94"/>
    <w:rsid w:val="00F069A1"/>
    <w:rsid w:val="00F06CA2"/>
    <w:rsid w:val="00F07550"/>
    <w:rsid w:val="00F104EA"/>
    <w:rsid w:val="00F12E16"/>
    <w:rsid w:val="00F253E0"/>
    <w:rsid w:val="00F317A4"/>
    <w:rsid w:val="00F34841"/>
    <w:rsid w:val="00F44898"/>
    <w:rsid w:val="00F45645"/>
    <w:rsid w:val="00F555A4"/>
    <w:rsid w:val="00F6324D"/>
    <w:rsid w:val="00F759A0"/>
    <w:rsid w:val="00F96730"/>
    <w:rsid w:val="00FA1856"/>
    <w:rsid w:val="00FA6C0D"/>
    <w:rsid w:val="00FA7906"/>
    <w:rsid w:val="00FB0909"/>
    <w:rsid w:val="00FB0CF3"/>
    <w:rsid w:val="00FB26C3"/>
    <w:rsid w:val="00FB3299"/>
    <w:rsid w:val="00FB6B87"/>
    <w:rsid w:val="00FC58BA"/>
    <w:rsid w:val="00FE1F88"/>
    <w:rsid w:val="00FE3EB1"/>
    <w:rsid w:val="00FE4C51"/>
    <w:rsid w:val="00FE7AE4"/>
    <w:rsid w:val="00FF0355"/>
    <w:rsid w:val="00FF3C80"/>
    <w:rsid w:val="00FF6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A2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070F"/>
    <w:pPr>
      <w:keepNext/>
      <w:outlineLvl w:val="0"/>
    </w:pPr>
    <w:rPr>
      <w:i/>
      <w:iCs/>
    </w:rPr>
  </w:style>
  <w:style w:type="paragraph" w:styleId="Heading2">
    <w:name w:val="heading 2"/>
    <w:basedOn w:val="Normal"/>
    <w:next w:val="Normal"/>
    <w:link w:val="Heading2Char"/>
    <w:qFormat/>
    <w:rsid w:val="008A070F"/>
    <w:pPr>
      <w:keepNext/>
      <w:outlineLvl w:val="1"/>
    </w:pPr>
    <w:rPr>
      <w:b/>
      <w:bCs/>
    </w:rPr>
  </w:style>
  <w:style w:type="paragraph" w:styleId="Heading5">
    <w:name w:val="heading 5"/>
    <w:basedOn w:val="Normal"/>
    <w:next w:val="Normal"/>
    <w:link w:val="Heading5Char"/>
    <w:uiPriority w:val="9"/>
    <w:unhideWhenUsed/>
    <w:qFormat/>
    <w:rsid w:val="00CF214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70F"/>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8A070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62D0F"/>
    <w:rPr>
      <w:color w:val="0000FF" w:themeColor="hyperlink"/>
      <w:u w:val="single"/>
    </w:rPr>
  </w:style>
  <w:style w:type="paragraph" w:styleId="ListParagraph">
    <w:name w:val="List Paragraph"/>
    <w:basedOn w:val="Normal"/>
    <w:uiPriority w:val="34"/>
    <w:qFormat/>
    <w:rsid w:val="00B62FBD"/>
    <w:pPr>
      <w:ind w:left="720"/>
      <w:contextualSpacing/>
    </w:pPr>
  </w:style>
  <w:style w:type="paragraph" w:styleId="FootnoteText">
    <w:name w:val="footnote text"/>
    <w:basedOn w:val="Normal"/>
    <w:link w:val="FootnoteTextChar"/>
    <w:uiPriority w:val="99"/>
    <w:semiHidden/>
    <w:unhideWhenUsed/>
    <w:rsid w:val="00277628"/>
    <w:rPr>
      <w:sz w:val="20"/>
      <w:szCs w:val="20"/>
    </w:rPr>
  </w:style>
  <w:style w:type="character" w:customStyle="1" w:styleId="FootnoteTextChar">
    <w:name w:val="Footnote Text Char"/>
    <w:basedOn w:val="DefaultParagraphFont"/>
    <w:link w:val="FootnoteText"/>
    <w:uiPriority w:val="99"/>
    <w:semiHidden/>
    <w:rsid w:val="0027762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7628"/>
    <w:rPr>
      <w:vertAlign w:val="superscript"/>
    </w:rPr>
  </w:style>
  <w:style w:type="paragraph" w:styleId="Header">
    <w:name w:val="header"/>
    <w:basedOn w:val="Normal"/>
    <w:link w:val="HeaderChar"/>
    <w:uiPriority w:val="99"/>
    <w:unhideWhenUsed/>
    <w:rsid w:val="00520B73"/>
    <w:pPr>
      <w:tabs>
        <w:tab w:val="center" w:pos="4513"/>
        <w:tab w:val="right" w:pos="9026"/>
      </w:tabs>
    </w:pPr>
  </w:style>
  <w:style w:type="character" w:customStyle="1" w:styleId="HeaderChar">
    <w:name w:val="Header Char"/>
    <w:basedOn w:val="DefaultParagraphFont"/>
    <w:link w:val="Header"/>
    <w:uiPriority w:val="99"/>
    <w:rsid w:val="00520B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0B73"/>
    <w:pPr>
      <w:tabs>
        <w:tab w:val="center" w:pos="4513"/>
        <w:tab w:val="right" w:pos="9026"/>
      </w:tabs>
    </w:pPr>
  </w:style>
  <w:style w:type="character" w:customStyle="1" w:styleId="FooterChar">
    <w:name w:val="Footer Char"/>
    <w:basedOn w:val="DefaultParagraphFont"/>
    <w:link w:val="Footer"/>
    <w:uiPriority w:val="99"/>
    <w:rsid w:val="00520B7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463B"/>
    <w:rPr>
      <w:color w:val="800080" w:themeColor="followedHyperlink"/>
      <w:u w:val="single"/>
    </w:rPr>
  </w:style>
  <w:style w:type="paragraph" w:styleId="BalloonText">
    <w:name w:val="Balloon Text"/>
    <w:basedOn w:val="Normal"/>
    <w:link w:val="BalloonTextChar"/>
    <w:uiPriority w:val="99"/>
    <w:semiHidden/>
    <w:unhideWhenUsed/>
    <w:rsid w:val="00080EFD"/>
    <w:rPr>
      <w:rFonts w:ascii="Tahoma" w:hAnsi="Tahoma" w:cs="Tahoma"/>
      <w:sz w:val="16"/>
      <w:szCs w:val="16"/>
    </w:rPr>
  </w:style>
  <w:style w:type="character" w:customStyle="1" w:styleId="BalloonTextChar">
    <w:name w:val="Balloon Text Char"/>
    <w:basedOn w:val="DefaultParagraphFont"/>
    <w:link w:val="BalloonText"/>
    <w:uiPriority w:val="99"/>
    <w:semiHidden/>
    <w:rsid w:val="00080EFD"/>
    <w:rPr>
      <w:rFonts w:ascii="Tahoma" w:eastAsia="Times New Roman" w:hAnsi="Tahoma" w:cs="Tahoma"/>
      <w:sz w:val="16"/>
      <w:szCs w:val="16"/>
    </w:rPr>
  </w:style>
  <w:style w:type="character" w:customStyle="1" w:styleId="Heading5Char">
    <w:name w:val="Heading 5 Char"/>
    <w:basedOn w:val="DefaultParagraphFont"/>
    <w:link w:val="Heading5"/>
    <w:uiPriority w:val="9"/>
    <w:rsid w:val="00CF2149"/>
    <w:rPr>
      <w:rFonts w:asciiTheme="majorHAnsi" w:eastAsiaTheme="majorEastAsia" w:hAnsiTheme="majorHAnsi" w:cstheme="majorBidi"/>
      <w:color w:val="243F60" w:themeColor="accent1" w:themeShade="7F"/>
    </w:rPr>
  </w:style>
  <w:style w:type="paragraph" w:styleId="PlainText">
    <w:name w:val="Plain Text"/>
    <w:basedOn w:val="Normal"/>
    <w:link w:val="PlainTextChar"/>
    <w:semiHidden/>
    <w:rsid w:val="00CF2149"/>
    <w:rPr>
      <w:rFonts w:ascii="Courier New" w:hAnsi="Courier New" w:cs="Courier New"/>
      <w:sz w:val="20"/>
      <w:szCs w:val="20"/>
    </w:rPr>
  </w:style>
  <w:style w:type="character" w:customStyle="1" w:styleId="PlainTextChar">
    <w:name w:val="Plain Text Char"/>
    <w:basedOn w:val="DefaultParagraphFont"/>
    <w:link w:val="PlainText"/>
    <w:semiHidden/>
    <w:rsid w:val="00CF2149"/>
    <w:rPr>
      <w:rFonts w:ascii="Courier New" w:eastAsia="Times New Roman" w:hAnsi="Courier New" w:cs="Courier New"/>
      <w:sz w:val="20"/>
      <w:szCs w:val="20"/>
    </w:rPr>
  </w:style>
  <w:style w:type="paragraph" w:styleId="Caption">
    <w:name w:val="caption"/>
    <w:basedOn w:val="Normal"/>
    <w:next w:val="Normal"/>
    <w:uiPriority w:val="35"/>
    <w:unhideWhenUsed/>
    <w:qFormat/>
    <w:rsid w:val="00026B03"/>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1A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21639"/>
    <w:rPr>
      <w:sz w:val="16"/>
      <w:szCs w:val="16"/>
    </w:rPr>
  </w:style>
  <w:style w:type="paragraph" w:styleId="CommentText">
    <w:name w:val="annotation text"/>
    <w:basedOn w:val="Normal"/>
    <w:link w:val="CommentTextChar"/>
    <w:uiPriority w:val="99"/>
    <w:semiHidden/>
    <w:unhideWhenUsed/>
    <w:rsid w:val="00421639"/>
    <w:rPr>
      <w:sz w:val="20"/>
      <w:szCs w:val="20"/>
    </w:rPr>
  </w:style>
  <w:style w:type="character" w:customStyle="1" w:styleId="CommentTextChar">
    <w:name w:val="Comment Text Char"/>
    <w:basedOn w:val="DefaultParagraphFont"/>
    <w:link w:val="CommentText"/>
    <w:uiPriority w:val="99"/>
    <w:semiHidden/>
    <w:rsid w:val="004216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1639"/>
    <w:rPr>
      <w:b/>
      <w:bCs/>
    </w:rPr>
  </w:style>
  <w:style w:type="character" w:customStyle="1" w:styleId="CommentSubjectChar">
    <w:name w:val="Comment Subject Char"/>
    <w:basedOn w:val="CommentTextChar"/>
    <w:link w:val="CommentSubject"/>
    <w:uiPriority w:val="99"/>
    <w:semiHidden/>
    <w:rsid w:val="0042163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070F"/>
    <w:pPr>
      <w:keepNext/>
      <w:outlineLvl w:val="0"/>
    </w:pPr>
    <w:rPr>
      <w:i/>
      <w:iCs/>
    </w:rPr>
  </w:style>
  <w:style w:type="paragraph" w:styleId="Heading2">
    <w:name w:val="heading 2"/>
    <w:basedOn w:val="Normal"/>
    <w:next w:val="Normal"/>
    <w:link w:val="Heading2Char"/>
    <w:qFormat/>
    <w:rsid w:val="008A070F"/>
    <w:pPr>
      <w:keepNext/>
      <w:outlineLvl w:val="1"/>
    </w:pPr>
    <w:rPr>
      <w:b/>
      <w:bCs/>
    </w:rPr>
  </w:style>
  <w:style w:type="paragraph" w:styleId="Heading5">
    <w:name w:val="heading 5"/>
    <w:basedOn w:val="Normal"/>
    <w:next w:val="Normal"/>
    <w:link w:val="Heading5Char"/>
    <w:uiPriority w:val="9"/>
    <w:unhideWhenUsed/>
    <w:qFormat/>
    <w:rsid w:val="00CF214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70F"/>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8A070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62D0F"/>
    <w:rPr>
      <w:color w:val="0000FF" w:themeColor="hyperlink"/>
      <w:u w:val="single"/>
    </w:rPr>
  </w:style>
  <w:style w:type="paragraph" w:styleId="ListParagraph">
    <w:name w:val="List Paragraph"/>
    <w:basedOn w:val="Normal"/>
    <w:uiPriority w:val="34"/>
    <w:qFormat/>
    <w:rsid w:val="00B62FBD"/>
    <w:pPr>
      <w:ind w:left="720"/>
      <w:contextualSpacing/>
    </w:pPr>
  </w:style>
  <w:style w:type="paragraph" w:styleId="FootnoteText">
    <w:name w:val="footnote text"/>
    <w:basedOn w:val="Normal"/>
    <w:link w:val="FootnoteTextChar"/>
    <w:uiPriority w:val="99"/>
    <w:semiHidden/>
    <w:unhideWhenUsed/>
    <w:rsid w:val="00277628"/>
    <w:rPr>
      <w:sz w:val="20"/>
      <w:szCs w:val="20"/>
    </w:rPr>
  </w:style>
  <w:style w:type="character" w:customStyle="1" w:styleId="FootnoteTextChar">
    <w:name w:val="Footnote Text Char"/>
    <w:basedOn w:val="DefaultParagraphFont"/>
    <w:link w:val="FootnoteText"/>
    <w:uiPriority w:val="99"/>
    <w:semiHidden/>
    <w:rsid w:val="0027762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7628"/>
    <w:rPr>
      <w:vertAlign w:val="superscript"/>
    </w:rPr>
  </w:style>
  <w:style w:type="paragraph" w:styleId="Header">
    <w:name w:val="header"/>
    <w:basedOn w:val="Normal"/>
    <w:link w:val="HeaderChar"/>
    <w:uiPriority w:val="99"/>
    <w:unhideWhenUsed/>
    <w:rsid w:val="00520B73"/>
    <w:pPr>
      <w:tabs>
        <w:tab w:val="center" w:pos="4513"/>
        <w:tab w:val="right" w:pos="9026"/>
      </w:tabs>
    </w:pPr>
  </w:style>
  <w:style w:type="character" w:customStyle="1" w:styleId="HeaderChar">
    <w:name w:val="Header Char"/>
    <w:basedOn w:val="DefaultParagraphFont"/>
    <w:link w:val="Header"/>
    <w:uiPriority w:val="99"/>
    <w:rsid w:val="00520B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0B73"/>
    <w:pPr>
      <w:tabs>
        <w:tab w:val="center" w:pos="4513"/>
        <w:tab w:val="right" w:pos="9026"/>
      </w:tabs>
    </w:pPr>
  </w:style>
  <w:style w:type="character" w:customStyle="1" w:styleId="FooterChar">
    <w:name w:val="Footer Char"/>
    <w:basedOn w:val="DefaultParagraphFont"/>
    <w:link w:val="Footer"/>
    <w:uiPriority w:val="99"/>
    <w:rsid w:val="00520B7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463B"/>
    <w:rPr>
      <w:color w:val="800080" w:themeColor="followedHyperlink"/>
      <w:u w:val="single"/>
    </w:rPr>
  </w:style>
  <w:style w:type="paragraph" w:styleId="BalloonText">
    <w:name w:val="Balloon Text"/>
    <w:basedOn w:val="Normal"/>
    <w:link w:val="BalloonTextChar"/>
    <w:uiPriority w:val="99"/>
    <w:semiHidden/>
    <w:unhideWhenUsed/>
    <w:rsid w:val="00080EFD"/>
    <w:rPr>
      <w:rFonts w:ascii="Tahoma" w:hAnsi="Tahoma" w:cs="Tahoma"/>
      <w:sz w:val="16"/>
      <w:szCs w:val="16"/>
    </w:rPr>
  </w:style>
  <w:style w:type="character" w:customStyle="1" w:styleId="BalloonTextChar">
    <w:name w:val="Balloon Text Char"/>
    <w:basedOn w:val="DefaultParagraphFont"/>
    <w:link w:val="BalloonText"/>
    <w:uiPriority w:val="99"/>
    <w:semiHidden/>
    <w:rsid w:val="00080EFD"/>
    <w:rPr>
      <w:rFonts w:ascii="Tahoma" w:eastAsia="Times New Roman" w:hAnsi="Tahoma" w:cs="Tahoma"/>
      <w:sz w:val="16"/>
      <w:szCs w:val="16"/>
    </w:rPr>
  </w:style>
  <w:style w:type="character" w:customStyle="1" w:styleId="Heading5Char">
    <w:name w:val="Heading 5 Char"/>
    <w:basedOn w:val="DefaultParagraphFont"/>
    <w:link w:val="Heading5"/>
    <w:uiPriority w:val="9"/>
    <w:rsid w:val="00CF2149"/>
    <w:rPr>
      <w:rFonts w:asciiTheme="majorHAnsi" w:eastAsiaTheme="majorEastAsia" w:hAnsiTheme="majorHAnsi" w:cstheme="majorBidi"/>
      <w:color w:val="243F60" w:themeColor="accent1" w:themeShade="7F"/>
    </w:rPr>
  </w:style>
  <w:style w:type="paragraph" w:styleId="PlainText">
    <w:name w:val="Plain Text"/>
    <w:basedOn w:val="Normal"/>
    <w:link w:val="PlainTextChar"/>
    <w:semiHidden/>
    <w:rsid w:val="00CF2149"/>
    <w:rPr>
      <w:rFonts w:ascii="Courier New" w:hAnsi="Courier New" w:cs="Courier New"/>
      <w:sz w:val="20"/>
      <w:szCs w:val="20"/>
    </w:rPr>
  </w:style>
  <w:style w:type="character" w:customStyle="1" w:styleId="PlainTextChar">
    <w:name w:val="Plain Text Char"/>
    <w:basedOn w:val="DefaultParagraphFont"/>
    <w:link w:val="PlainText"/>
    <w:semiHidden/>
    <w:rsid w:val="00CF2149"/>
    <w:rPr>
      <w:rFonts w:ascii="Courier New" w:eastAsia="Times New Roman" w:hAnsi="Courier New" w:cs="Courier New"/>
      <w:sz w:val="20"/>
      <w:szCs w:val="20"/>
    </w:rPr>
  </w:style>
  <w:style w:type="paragraph" w:styleId="Caption">
    <w:name w:val="caption"/>
    <w:basedOn w:val="Normal"/>
    <w:next w:val="Normal"/>
    <w:uiPriority w:val="35"/>
    <w:unhideWhenUsed/>
    <w:qFormat/>
    <w:rsid w:val="00026B03"/>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1A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21639"/>
    <w:rPr>
      <w:sz w:val="16"/>
      <w:szCs w:val="16"/>
    </w:rPr>
  </w:style>
  <w:style w:type="paragraph" w:styleId="CommentText">
    <w:name w:val="annotation text"/>
    <w:basedOn w:val="Normal"/>
    <w:link w:val="CommentTextChar"/>
    <w:uiPriority w:val="99"/>
    <w:semiHidden/>
    <w:unhideWhenUsed/>
    <w:rsid w:val="00421639"/>
    <w:rPr>
      <w:sz w:val="20"/>
      <w:szCs w:val="20"/>
    </w:rPr>
  </w:style>
  <w:style w:type="character" w:customStyle="1" w:styleId="CommentTextChar">
    <w:name w:val="Comment Text Char"/>
    <w:basedOn w:val="DefaultParagraphFont"/>
    <w:link w:val="CommentText"/>
    <w:uiPriority w:val="99"/>
    <w:semiHidden/>
    <w:rsid w:val="004216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1639"/>
    <w:rPr>
      <w:b/>
      <w:bCs/>
    </w:rPr>
  </w:style>
  <w:style w:type="character" w:customStyle="1" w:styleId="CommentSubjectChar">
    <w:name w:val="Comment Subject Char"/>
    <w:basedOn w:val="CommentTextChar"/>
    <w:link w:val="CommentSubject"/>
    <w:uiPriority w:val="99"/>
    <w:semiHidden/>
    <w:rsid w:val="004216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ns.gov.uk/ons/guide-method/census/2011/the-2011-census/the-2011-census-project/2007-test/income-evaluation/index.html" TargetMode="Externa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cdu.mimas.ac.uk/experian/household%20income.pdf" TargetMode="External"/><Relationship Id="rId11" Type="http://schemas.openxmlformats.org/officeDocument/2006/relationships/hyperlink" Target="http://www.ons.gov.uk/ons/about-ons/consultations/closed-consultations/2006/2011-census---responses/response-to-consultation---2011-census.pdf" TargetMode="External"/><Relationship Id="rId12" Type="http://schemas.openxmlformats.org/officeDocument/2006/relationships/hyperlink" Target="http://www.ons.gov.uk/ons/guide-method/method-quality/general-methodology/spatial-analysis-and-modelling/eurarea/downloads/project-reference-volume--volume-one--main-report.pdf" TargetMode="External"/><Relationship Id="rId13" Type="http://schemas.openxmlformats.org/officeDocument/2006/relationships/hyperlink" Target="http://sticerd.lse.ac.uk/dps/case/CBIR/Using_US_and_UK_Censuses.pdf"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emf"/><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19D5-4369-3B4E-B2D8-B44BAFE3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11685</Words>
  <Characters>66377</Characters>
  <Application>Microsoft Macintosh Word</Application>
  <DocSecurity>0</DocSecurity>
  <Lines>1382</Lines>
  <Paragraphs>461</Paragraphs>
  <ScaleCrop>false</ScaleCrop>
  <Company/>
  <LinksUpToDate>false</LinksUpToDate>
  <CharactersWithSpaces>77601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2014-07-30T12:48:00Z</dcterms:created>
  <dcterms:modified xsi:type="dcterms:W3CDTF">2015-07-15T14:47:00Z</dcterms:modified>
</cp:coreProperties>
</file>