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D34C9" w14:textId="77777777" w:rsidR="00C03618" w:rsidRDefault="00C03618" w:rsidP="009150DC">
      <w:pPr>
        <w:rPr>
          <w:rFonts w:cs="Times New Roman"/>
          <w:szCs w:val="24"/>
        </w:rPr>
      </w:pPr>
      <w:bookmarkStart w:id="0" w:name="_GoBack"/>
      <w:bookmarkEnd w:id="0"/>
      <w:r>
        <w:rPr>
          <w:rFonts w:cs="Times New Roman"/>
          <w:szCs w:val="24"/>
        </w:rPr>
        <w:t>C</w:t>
      </w:r>
      <w:r w:rsidRPr="006B538F">
        <w:rPr>
          <w:rFonts w:cs="Times New Roman"/>
          <w:szCs w:val="24"/>
        </w:rPr>
        <w:t xml:space="preserve">arriage of antimicrobial resistant </w:t>
      </w:r>
      <w:r w:rsidRPr="006B538F">
        <w:rPr>
          <w:rFonts w:cs="Times New Roman"/>
          <w:i/>
          <w:szCs w:val="24"/>
        </w:rPr>
        <w:t xml:space="preserve">Escherichia coli </w:t>
      </w:r>
      <w:r>
        <w:rPr>
          <w:rFonts w:cs="Times New Roman"/>
          <w:szCs w:val="24"/>
        </w:rPr>
        <w:t>in dogs: p</w:t>
      </w:r>
      <w:r w:rsidRPr="006B538F">
        <w:rPr>
          <w:rFonts w:cs="Times New Roman"/>
          <w:szCs w:val="24"/>
        </w:rPr>
        <w:t>revalence, associated risk factors and molecular characteristics.</w:t>
      </w:r>
    </w:p>
    <w:p w14:paraId="7BBEFC07" w14:textId="77777777" w:rsidR="00C03618" w:rsidRPr="006B538F" w:rsidRDefault="00C03618" w:rsidP="009150DC">
      <w:pPr>
        <w:rPr>
          <w:rFonts w:cs="Times New Roman"/>
          <w:szCs w:val="24"/>
        </w:rPr>
      </w:pPr>
    </w:p>
    <w:p w14:paraId="68D77FDE" w14:textId="77777777" w:rsidR="00C03618" w:rsidRPr="006D4098" w:rsidRDefault="00C03618" w:rsidP="009150DC">
      <w:pPr>
        <w:rPr>
          <w:rFonts w:eastAsia="Times New Roman" w:cs="Times New Roman"/>
          <w:szCs w:val="24"/>
        </w:rPr>
      </w:pPr>
      <w:r w:rsidRPr="006B538F">
        <w:rPr>
          <w:rFonts w:eastAsia="Times New Roman" w:cs="Times New Roman"/>
          <w:szCs w:val="24"/>
        </w:rPr>
        <w:t>Amy L. Wedley</w:t>
      </w:r>
      <w:r w:rsidRPr="006B538F">
        <w:rPr>
          <w:rFonts w:eastAsia="Times New Roman" w:cs="Times New Roman"/>
          <w:szCs w:val="24"/>
          <w:vertAlign w:val="superscript"/>
        </w:rPr>
        <w:t>1</w:t>
      </w:r>
      <w:r>
        <w:rPr>
          <w:rFonts w:eastAsia="Times New Roman" w:cs="Times New Roman"/>
          <w:szCs w:val="24"/>
        </w:rPr>
        <w:t xml:space="preserve">, </w:t>
      </w:r>
      <w:r w:rsidRPr="006B538F">
        <w:rPr>
          <w:rFonts w:eastAsia="Times New Roman" w:cs="Times New Roman"/>
          <w:szCs w:val="24"/>
        </w:rPr>
        <w:t>Susan Dawson</w:t>
      </w:r>
      <w:r>
        <w:rPr>
          <w:rFonts w:eastAsia="Times New Roman" w:cs="Times New Roman"/>
          <w:szCs w:val="24"/>
          <w:vertAlign w:val="superscript"/>
        </w:rPr>
        <w:t>2</w:t>
      </w:r>
      <w:r>
        <w:rPr>
          <w:rFonts w:eastAsia="Times New Roman" w:cs="Times New Roman"/>
          <w:szCs w:val="24"/>
        </w:rPr>
        <w:t xml:space="preserve">, </w:t>
      </w:r>
      <w:r w:rsidRPr="006B538F">
        <w:rPr>
          <w:rFonts w:eastAsia="Times New Roman" w:cs="Times New Roman"/>
          <w:szCs w:val="24"/>
        </w:rPr>
        <w:t>Thomas W. Maddox</w:t>
      </w:r>
      <w:r>
        <w:rPr>
          <w:rFonts w:eastAsia="Times New Roman" w:cs="Times New Roman"/>
          <w:szCs w:val="24"/>
          <w:vertAlign w:val="superscript"/>
        </w:rPr>
        <w:t>3</w:t>
      </w:r>
      <w:r>
        <w:rPr>
          <w:rFonts w:eastAsia="Times New Roman" w:cs="Times New Roman"/>
          <w:szCs w:val="24"/>
        </w:rPr>
        <w:t>, Karen P. Coyne</w:t>
      </w:r>
      <w:r>
        <w:rPr>
          <w:rFonts w:eastAsia="Times New Roman" w:cs="Times New Roman"/>
          <w:szCs w:val="24"/>
          <w:vertAlign w:val="superscript"/>
        </w:rPr>
        <w:t>1</w:t>
      </w:r>
      <w:r w:rsidRPr="006D4098">
        <w:rPr>
          <w:rFonts w:eastAsia="Times New Roman" w:cs="Times New Roman"/>
          <w:szCs w:val="24"/>
        </w:rPr>
        <w:t>,</w:t>
      </w:r>
      <w:r>
        <w:rPr>
          <w:rFonts w:eastAsia="Times New Roman" w:cs="Times New Roman"/>
          <w:szCs w:val="24"/>
        </w:rPr>
        <w:t xml:space="preserve"> </w:t>
      </w:r>
      <w:r w:rsidRPr="006B538F">
        <w:rPr>
          <w:rFonts w:eastAsia="Times New Roman" w:cs="Times New Roman"/>
          <w:szCs w:val="24"/>
        </w:rPr>
        <w:t>Gina L Pinchbeck</w:t>
      </w:r>
      <w:r w:rsidRPr="006B538F">
        <w:rPr>
          <w:rFonts w:eastAsia="Times New Roman" w:cs="Times New Roman"/>
          <w:szCs w:val="24"/>
          <w:vertAlign w:val="superscript"/>
        </w:rPr>
        <w:t>1</w:t>
      </w:r>
      <w:r>
        <w:rPr>
          <w:rFonts w:eastAsia="Times New Roman" w:cs="Times New Roman"/>
          <w:szCs w:val="24"/>
        </w:rPr>
        <w:t xml:space="preserve">, </w:t>
      </w:r>
      <w:r w:rsidRPr="006B538F">
        <w:rPr>
          <w:rFonts w:eastAsia="Times New Roman" w:cs="Times New Roman"/>
          <w:szCs w:val="24"/>
        </w:rPr>
        <w:t>Peter Clegg</w:t>
      </w:r>
      <w:r>
        <w:rPr>
          <w:rFonts w:eastAsia="Times New Roman" w:cs="Times New Roman"/>
          <w:szCs w:val="24"/>
          <w:vertAlign w:val="superscript"/>
        </w:rPr>
        <w:t>4</w:t>
      </w:r>
      <w:r>
        <w:rPr>
          <w:rFonts w:eastAsia="Times New Roman" w:cs="Times New Roman"/>
          <w:szCs w:val="24"/>
        </w:rPr>
        <w:t xml:space="preserve">, </w:t>
      </w:r>
      <w:r w:rsidRPr="006B538F">
        <w:rPr>
          <w:rFonts w:eastAsia="Times New Roman" w:cs="Times New Roman"/>
          <w:szCs w:val="24"/>
        </w:rPr>
        <w:t>Tim Nuttall</w:t>
      </w:r>
      <w:r>
        <w:rPr>
          <w:rFonts w:eastAsia="Times New Roman" w:cs="Times New Roman"/>
          <w:szCs w:val="24"/>
          <w:vertAlign w:val="superscript"/>
        </w:rPr>
        <w:t>2,5</w:t>
      </w:r>
      <w:r>
        <w:rPr>
          <w:rFonts w:eastAsia="Times New Roman" w:cs="Times New Roman"/>
          <w:szCs w:val="24"/>
        </w:rPr>
        <w:t xml:space="preserve">, </w:t>
      </w:r>
      <w:r w:rsidRPr="006B538F">
        <w:rPr>
          <w:rFonts w:eastAsia="Times New Roman" w:cs="Times New Roman"/>
          <w:szCs w:val="24"/>
        </w:rPr>
        <w:t>Miranda Kirchner</w:t>
      </w:r>
      <w:r>
        <w:rPr>
          <w:rFonts w:eastAsia="Times New Roman" w:cs="Times New Roman"/>
          <w:szCs w:val="24"/>
          <w:vertAlign w:val="superscript"/>
        </w:rPr>
        <w:t>6</w:t>
      </w:r>
      <w:r>
        <w:rPr>
          <w:rFonts w:eastAsia="Times New Roman" w:cs="Times New Roman"/>
          <w:szCs w:val="24"/>
        </w:rPr>
        <w:t xml:space="preserve">, </w:t>
      </w:r>
      <w:r w:rsidRPr="006B538F">
        <w:rPr>
          <w:rFonts w:eastAsia="Times New Roman" w:cs="Times New Roman"/>
          <w:szCs w:val="24"/>
        </w:rPr>
        <w:t>Nicola J. Williams</w:t>
      </w:r>
      <w:r w:rsidRPr="006B538F">
        <w:rPr>
          <w:rFonts w:eastAsia="Times New Roman" w:cs="Times New Roman"/>
          <w:szCs w:val="24"/>
          <w:vertAlign w:val="superscript"/>
        </w:rPr>
        <w:t>1</w:t>
      </w:r>
      <w:r>
        <w:rPr>
          <w:rFonts w:eastAsia="Times New Roman" w:cs="Times New Roman"/>
          <w:szCs w:val="24"/>
        </w:rPr>
        <w:t>.</w:t>
      </w:r>
    </w:p>
    <w:p w14:paraId="2E515412" w14:textId="77777777" w:rsidR="00C03618" w:rsidRPr="006B538F" w:rsidRDefault="00C03618" w:rsidP="009150DC">
      <w:pPr>
        <w:rPr>
          <w:rFonts w:eastAsia="Times New Roman" w:cs="Times New Roman"/>
          <w:szCs w:val="24"/>
        </w:rPr>
      </w:pPr>
    </w:p>
    <w:p w14:paraId="01130A03" w14:textId="77777777" w:rsidR="00C03618" w:rsidRDefault="00C03618" w:rsidP="009150DC">
      <w:pPr>
        <w:contextualSpacing/>
        <w:rPr>
          <w:rFonts w:eastAsia="Times New Roman" w:cs="Times New Roman"/>
          <w:szCs w:val="24"/>
          <w:lang w:eastAsia="en-GB"/>
        </w:rPr>
      </w:pPr>
      <w:r w:rsidRPr="006B538F">
        <w:rPr>
          <w:rFonts w:eastAsia="Times New Roman" w:cs="Times New Roman"/>
          <w:szCs w:val="24"/>
          <w:vertAlign w:val="superscript"/>
          <w:lang w:eastAsia="en-GB"/>
        </w:rPr>
        <w:t>1</w:t>
      </w:r>
      <w:r w:rsidRPr="006B538F">
        <w:rPr>
          <w:rFonts w:eastAsia="Times New Roman" w:cs="Times New Roman"/>
          <w:szCs w:val="24"/>
          <w:lang w:eastAsia="en-GB"/>
        </w:rPr>
        <w:t>Department of Epidemiology and Population Health, Institute of Infection and Global Health, Leahurst Campus, University of Liverpool, UK, CH64 7TE</w:t>
      </w:r>
    </w:p>
    <w:p w14:paraId="5273D5E7" w14:textId="77777777" w:rsidR="00C03618" w:rsidRDefault="00C03618" w:rsidP="009150DC">
      <w:pPr>
        <w:contextualSpacing/>
        <w:rPr>
          <w:rFonts w:eastAsia="Times New Roman" w:cs="Times New Roman"/>
          <w:szCs w:val="24"/>
          <w:lang w:val="en-US" w:eastAsia="en-GB"/>
        </w:rPr>
      </w:pPr>
      <w:r>
        <w:rPr>
          <w:rFonts w:eastAsia="Times New Roman" w:cs="Times New Roman"/>
          <w:szCs w:val="24"/>
          <w:vertAlign w:val="superscript"/>
          <w:lang w:eastAsia="en-GB"/>
        </w:rPr>
        <w:t>2</w:t>
      </w:r>
      <w:r>
        <w:rPr>
          <w:rFonts w:eastAsia="Times New Roman" w:cs="Times New Roman"/>
          <w:szCs w:val="24"/>
          <w:lang w:val="en-US" w:eastAsia="en-GB"/>
        </w:rPr>
        <w:t>School of Veterinary Science, Leahurst Campus, University of Liverpool, UK, CH64 7TE</w:t>
      </w:r>
    </w:p>
    <w:p w14:paraId="40E1DD54" w14:textId="77777777" w:rsidR="00C03618" w:rsidRPr="006D4098" w:rsidRDefault="00C03618" w:rsidP="009150DC">
      <w:pPr>
        <w:contextualSpacing/>
        <w:rPr>
          <w:rFonts w:eastAsia="Times New Roman" w:cs="Times New Roman"/>
          <w:szCs w:val="24"/>
          <w:lang w:val="en-US" w:eastAsia="en-GB"/>
        </w:rPr>
      </w:pPr>
      <w:r>
        <w:rPr>
          <w:rFonts w:eastAsia="Times New Roman" w:cs="Times New Roman"/>
          <w:szCs w:val="24"/>
          <w:vertAlign w:val="superscript"/>
          <w:lang w:eastAsia="en-GB"/>
        </w:rPr>
        <w:t>3</w:t>
      </w:r>
      <w:r>
        <w:rPr>
          <w:rFonts w:eastAsia="Times New Roman" w:cs="Times New Roman"/>
          <w:szCs w:val="24"/>
          <w:lang w:eastAsia="en-GB"/>
        </w:rPr>
        <w:t xml:space="preserve">Small Animal Teaching Hospital, </w:t>
      </w:r>
      <w:r>
        <w:rPr>
          <w:rFonts w:eastAsia="Times New Roman" w:cs="Times New Roman"/>
          <w:szCs w:val="24"/>
          <w:lang w:val="en-US" w:eastAsia="en-GB"/>
        </w:rPr>
        <w:t>Leahurst Campus, University of Liverpool, UK, CH64 7TE</w:t>
      </w:r>
    </w:p>
    <w:p w14:paraId="33F4BFBA" w14:textId="77777777" w:rsidR="00C03618" w:rsidRDefault="00C03618" w:rsidP="009150DC">
      <w:pPr>
        <w:rPr>
          <w:rFonts w:eastAsia="Times New Roman" w:cs="Times New Roman"/>
          <w:szCs w:val="24"/>
          <w:lang w:eastAsia="en-GB"/>
        </w:rPr>
      </w:pPr>
      <w:r>
        <w:rPr>
          <w:rFonts w:eastAsia="Times New Roman" w:cs="Times New Roman"/>
          <w:szCs w:val="24"/>
          <w:vertAlign w:val="superscript"/>
          <w:lang w:val="en-US" w:eastAsia="en-GB"/>
        </w:rPr>
        <w:t>4</w:t>
      </w:r>
      <w:r w:rsidRPr="006B538F">
        <w:rPr>
          <w:rFonts w:eastAsia="Times New Roman" w:cs="Times New Roman"/>
          <w:szCs w:val="24"/>
          <w:lang w:val="en-US" w:eastAsia="en-GB"/>
        </w:rPr>
        <w:t xml:space="preserve">Department of </w:t>
      </w:r>
      <w:r w:rsidRPr="006B538F">
        <w:rPr>
          <w:rFonts w:cs="Times New Roman"/>
          <w:szCs w:val="24"/>
        </w:rPr>
        <w:t xml:space="preserve">Musculoskeletal Biology, </w:t>
      </w:r>
      <w:r w:rsidRPr="006B538F">
        <w:rPr>
          <w:rFonts w:eastAsia="Times New Roman" w:cs="Times New Roman"/>
          <w:szCs w:val="24"/>
          <w:lang w:eastAsia="en-GB"/>
        </w:rPr>
        <w:t>Institute of Ageing and Chronic Disease, Leahurst Campus, University of Liverpool, UK, CH64 7TE</w:t>
      </w:r>
    </w:p>
    <w:p w14:paraId="4F6BFEBD" w14:textId="77777777" w:rsidR="00C03618" w:rsidRDefault="00C03618" w:rsidP="009150DC">
      <w:pPr>
        <w:rPr>
          <w:rFonts w:eastAsia="Times New Roman" w:cs="Times New Roman"/>
          <w:szCs w:val="24"/>
          <w:lang w:eastAsia="en-GB"/>
        </w:rPr>
      </w:pPr>
      <w:r w:rsidRPr="007653D2">
        <w:rPr>
          <w:rFonts w:eastAsia="Times New Roman" w:cs="Times New Roman"/>
          <w:szCs w:val="24"/>
          <w:vertAlign w:val="superscript"/>
          <w:lang w:eastAsia="en-GB"/>
        </w:rPr>
        <w:t>5</w:t>
      </w:r>
      <w:r>
        <w:rPr>
          <w:rFonts w:eastAsia="Times New Roman" w:cs="Times New Roman"/>
          <w:szCs w:val="24"/>
          <w:lang w:eastAsia="en-GB"/>
        </w:rPr>
        <w:t>Royal (Dick) School of Veterinary Studies, University of Edinburgh, Easter Bush Campus, Roslin, UK, EH25 9RG (current address).</w:t>
      </w:r>
    </w:p>
    <w:p w14:paraId="7D186D07" w14:textId="77777777" w:rsidR="00C03618" w:rsidRDefault="00C03618" w:rsidP="009150DC">
      <w:pPr>
        <w:rPr>
          <w:rFonts w:cs="Times New Roman"/>
          <w:szCs w:val="24"/>
          <w:lang w:val="en-US" w:eastAsia="en-GB"/>
        </w:rPr>
      </w:pPr>
      <w:r>
        <w:rPr>
          <w:rFonts w:cs="Times New Roman"/>
          <w:szCs w:val="24"/>
          <w:vertAlign w:val="superscript"/>
          <w:lang w:eastAsia="en-GB"/>
        </w:rPr>
        <w:t>6</w:t>
      </w:r>
      <w:r>
        <w:rPr>
          <w:rFonts w:cs="Times New Roman"/>
          <w:szCs w:val="24"/>
          <w:lang w:eastAsia="en-GB"/>
        </w:rPr>
        <w:t>Animal and Plant Health Agency</w:t>
      </w:r>
      <w:r w:rsidRPr="006B538F">
        <w:rPr>
          <w:rFonts w:cs="Times New Roman"/>
          <w:szCs w:val="24"/>
          <w:lang w:eastAsia="en-GB"/>
        </w:rPr>
        <w:t xml:space="preserve">, </w:t>
      </w:r>
      <w:r w:rsidRPr="006B538F">
        <w:rPr>
          <w:rFonts w:cs="Times New Roman"/>
          <w:szCs w:val="24"/>
          <w:lang w:val="en-US" w:eastAsia="en-GB"/>
        </w:rPr>
        <w:t xml:space="preserve">Department of Bacteriology, Woodham lane, New Haw, Surrey, KT15 3NB </w:t>
      </w:r>
    </w:p>
    <w:p w14:paraId="2D1B939D" w14:textId="77777777" w:rsidR="00C03618" w:rsidRPr="006D4098" w:rsidRDefault="00C03618" w:rsidP="009150DC">
      <w:pPr>
        <w:rPr>
          <w:rFonts w:cs="Times New Roman"/>
          <w:szCs w:val="24"/>
          <w:lang w:val="en-US" w:eastAsia="en-GB"/>
        </w:rPr>
      </w:pPr>
      <w:r>
        <w:br w:type="page"/>
      </w:r>
    </w:p>
    <w:p w14:paraId="15FAC16F" w14:textId="77777777" w:rsidR="00C03618" w:rsidRDefault="00C03618" w:rsidP="009150DC">
      <w:r w:rsidRPr="002B006C">
        <w:lastRenderedPageBreak/>
        <w:t>Correspond</w:t>
      </w:r>
      <w:r>
        <w:t>ence</w:t>
      </w:r>
      <w:r w:rsidRPr="002B006C">
        <w:t xml:space="preserve">: </w:t>
      </w:r>
      <w:r w:rsidRPr="002B006C">
        <w:tab/>
      </w:r>
      <w:r>
        <w:tab/>
        <w:t>Professor Nicola Williams</w:t>
      </w:r>
    </w:p>
    <w:p w14:paraId="4FDB792B" w14:textId="77777777" w:rsidR="00C03618" w:rsidRDefault="00C03618" w:rsidP="009150DC">
      <w:pPr>
        <w:contextualSpacing/>
        <w:rPr>
          <w:rFonts w:eastAsia="Times New Roman" w:cs="Times New Roman"/>
          <w:szCs w:val="24"/>
          <w:lang w:eastAsia="en-GB"/>
        </w:rPr>
      </w:pPr>
      <w:r>
        <w:tab/>
      </w:r>
      <w:r>
        <w:tab/>
      </w:r>
      <w:r>
        <w:tab/>
      </w:r>
      <w:r>
        <w:tab/>
      </w:r>
      <w:r>
        <w:rPr>
          <w:rFonts w:eastAsia="Times New Roman" w:cs="Times New Roman"/>
          <w:szCs w:val="24"/>
          <w:lang w:eastAsia="en-GB"/>
        </w:rPr>
        <w:t xml:space="preserve">Department of </w:t>
      </w:r>
      <w:r w:rsidRPr="004154FC">
        <w:rPr>
          <w:rFonts w:eastAsia="Times New Roman" w:cs="Times New Roman"/>
          <w:szCs w:val="24"/>
          <w:lang w:eastAsia="en-GB"/>
        </w:rPr>
        <w:t>Epidemiology</w:t>
      </w:r>
      <w:r w:rsidRPr="00651F33">
        <w:rPr>
          <w:rFonts w:eastAsia="Times New Roman" w:cs="Times New Roman"/>
          <w:szCs w:val="24"/>
          <w:lang w:eastAsia="en-GB"/>
        </w:rPr>
        <w:t xml:space="preserve"> and Population Health Research,</w:t>
      </w:r>
    </w:p>
    <w:p w14:paraId="31C44927" w14:textId="77777777" w:rsidR="00C03618" w:rsidRDefault="00C03618" w:rsidP="009150DC">
      <w:pPr>
        <w:ind w:left="2160" w:firstLine="720"/>
        <w:contextualSpacing/>
        <w:rPr>
          <w:rFonts w:eastAsia="Times New Roman" w:cs="Times New Roman"/>
          <w:szCs w:val="24"/>
          <w:lang w:eastAsia="en-GB"/>
        </w:rPr>
      </w:pPr>
      <w:r>
        <w:rPr>
          <w:rFonts w:eastAsia="Times New Roman" w:cs="Times New Roman"/>
          <w:szCs w:val="24"/>
          <w:lang w:eastAsia="en-GB"/>
        </w:rPr>
        <w:t>Institute of Infection and Global Health,</w:t>
      </w:r>
      <w:r w:rsidRPr="00651F33">
        <w:rPr>
          <w:rFonts w:eastAsia="Times New Roman" w:cs="Times New Roman"/>
          <w:szCs w:val="24"/>
          <w:lang w:eastAsia="en-GB"/>
        </w:rPr>
        <w:t xml:space="preserve"> </w:t>
      </w:r>
      <w:r>
        <w:rPr>
          <w:rFonts w:eastAsia="Times New Roman" w:cs="Times New Roman"/>
          <w:szCs w:val="24"/>
          <w:lang w:eastAsia="en-GB"/>
        </w:rPr>
        <w:tab/>
      </w:r>
      <w:r>
        <w:rPr>
          <w:rFonts w:eastAsia="Times New Roman" w:cs="Times New Roman"/>
          <w:szCs w:val="24"/>
          <w:lang w:eastAsia="en-GB"/>
        </w:rPr>
        <w:tab/>
      </w:r>
    </w:p>
    <w:p w14:paraId="52373189" w14:textId="77777777" w:rsidR="00C03618" w:rsidRDefault="00C03618" w:rsidP="009150DC">
      <w:pPr>
        <w:ind w:left="2160" w:firstLine="720"/>
        <w:contextualSpacing/>
        <w:rPr>
          <w:rFonts w:eastAsia="Times New Roman" w:cs="Times New Roman"/>
          <w:szCs w:val="24"/>
          <w:lang w:eastAsia="en-GB"/>
        </w:rPr>
      </w:pPr>
      <w:r w:rsidRPr="00651F33">
        <w:rPr>
          <w:rFonts w:eastAsia="Times New Roman" w:cs="Times New Roman"/>
          <w:szCs w:val="24"/>
          <w:lang w:eastAsia="en-GB"/>
        </w:rPr>
        <w:t xml:space="preserve">Leahurst Campus, </w:t>
      </w:r>
    </w:p>
    <w:p w14:paraId="2A7442D7" w14:textId="77777777" w:rsidR="00C03618" w:rsidRDefault="00C03618" w:rsidP="009150DC">
      <w:pPr>
        <w:ind w:left="2160" w:firstLine="720"/>
        <w:contextualSpacing/>
        <w:rPr>
          <w:rFonts w:eastAsia="Times New Roman" w:cs="Times New Roman"/>
          <w:szCs w:val="24"/>
          <w:lang w:eastAsia="en-GB"/>
        </w:rPr>
      </w:pPr>
      <w:r w:rsidRPr="00651F33">
        <w:rPr>
          <w:rFonts w:eastAsia="Times New Roman" w:cs="Times New Roman"/>
          <w:szCs w:val="24"/>
          <w:lang w:eastAsia="en-GB"/>
        </w:rPr>
        <w:t xml:space="preserve">University of Liverpool, </w:t>
      </w:r>
    </w:p>
    <w:p w14:paraId="4935056D" w14:textId="77777777" w:rsidR="00C03618" w:rsidRDefault="00C03618" w:rsidP="009150DC">
      <w:pPr>
        <w:ind w:left="2160" w:firstLine="720"/>
        <w:contextualSpacing/>
        <w:rPr>
          <w:rFonts w:eastAsia="Times New Roman" w:cs="Times New Roman"/>
          <w:szCs w:val="24"/>
          <w:lang w:eastAsia="en-GB"/>
        </w:rPr>
      </w:pPr>
      <w:r w:rsidRPr="00651F33">
        <w:rPr>
          <w:rFonts w:eastAsia="Times New Roman" w:cs="Times New Roman"/>
          <w:szCs w:val="24"/>
          <w:lang w:eastAsia="en-GB"/>
        </w:rPr>
        <w:t xml:space="preserve">UK, </w:t>
      </w:r>
    </w:p>
    <w:p w14:paraId="121DFFD7" w14:textId="77777777" w:rsidR="00C03618" w:rsidRPr="00651F33" w:rsidRDefault="00C03618" w:rsidP="009150DC">
      <w:pPr>
        <w:ind w:left="2160" w:firstLine="720"/>
        <w:contextualSpacing/>
        <w:rPr>
          <w:rFonts w:eastAsia="Times New Roman" w:cs="Times New Roman"/>
          <w:szCs w:val="24"/>
          <w:lang w:eastAsia="en-GB"/>
        </w:rPr>
      </w:pPr>
      <w:r w:rsidRPr="00651F33">
        <w:rPr>
          <w:rFonts w:eastAsia="Times New Roman" w:cs="Times New Roman"/>
          <w:szCs w:val="24"/>
          <w:lang w:eastAsia="en-GB"/>
        </w:rPr>
        <w:t>CH64 7TE</w:t>
      </w:r>
    </w:p>
    <w:p w14:paraId="23EC9B65" w14:textId="77777777" w:rsidR="00C03618" w:rsidRPr="002B006C" w:rsidRDefault="00C03618" w:rsidP="009150DC"/>
    <w:p w14:paraId="471245B0" w14:textId="77777777" w:rsidR="00C03618" w:rsidRPr="002B006C" w:rsidRDefault="00C03618" w:rsidP="009150DC">
      <w:r w:rsidRPr="002B006C">
        <w:t>Email:</w:t>
      </w:r>
      <w:r w:rsidRPr="002B006C">
        <w:tab/>
      </w:r>
      <w:r w:rsidRPr="002B006C">
        <w:tab/>
      </w:r>
      <w:r w:rsidRPr="002B006C">
        <w:tab/>
      </w:r>
      <w:r w:rsidRPr="002B006C">
        <w:tab/>
      </w:r>
      <w:hyperlink r:id="rId5" w:history="1">
        <w:r w:rsidRPr="00AC6F4A">
          <w:rPr>
            <w:rStyle w:val="Hyperlink"/>
          </w:rPr>
          <w:t>njwillms@liverpool.ac.uk</w:t>
        </w:r>
      </w:hyperlink>
      <w:r w:rsidRPr="002B006C">
        <w:tab/>
      </w:r>
    </w:p>
    <w:p w14:paraId="23083C2B" w14:textId="77777777" w:rsidR="00C03618" w:rsidRPr="00B40101" w:rsidRDefault="00C03618" w:rsidP="009150DC">
      <w:r w:rsidRPr="002B006C">
        <w:t>Telephone/ fax:</w:t>
      </w:r>
      <w:r w:rsidRPr="002B006C">
        <w:tab/>
      </w:r>
      <w:r w:rsidRPr="002B006C">
        <w:tab/>
        <w:t>0151 795</w:t>
      </w:r>
      <w:r>
        <w:t xml:space="preserve"> 6051</w:t>
      </w:r>
      <w:r w:rsidRPr="002B006C">
        <w:t>/ 0151 794</w:t>
      </w:r>
      <w:r>
        <w:t xml:space="preserve"> </w:t>
      </w:r>
      <w:r w:rsidRPr="002B006C">
        <w:t>6005</w:t>
      </w:r>
      <w:r>
        <w:br w:type="page"/>
      </w:r>
    </w:p>
    <w:p w14:paraId="0DF8FF30" w14:textId="77777777" w:rsidR="00C03618" w:rsidRDefault="00C03618" w:rsidP="009150DC">
      <w:pPr>
        <w:pStyle w:val="Heading1"/>
        <w:numPr>
          <w:ilvl w:val="0"/>
          <w:numId w:val="0"/>
        </w:numPr>
        <w:ind w:left="360" w:hanging="360"/>
        <w:jc w:val="left"/>
      </w:pPr>
      <w:r w:rsidRPr="00830454">
        <w:lastRenderedPageBreak/>
        <w:t>Abstract</w:t>
      </w:r>
    </w:p>
    <w:p w14:paraId="24628571" w14:textId="77777777" w:rsidR="00C03618" w:rsidRDefault="00C03618" w:rsidP="009150DC">
      <w:pPr>
        <w:rPr>
          <w:lang w:eastAsia="en-GB"/>
        </w:rPr>
      </w:pPr>
      <w:r>
        <w:rPr>
          <w:lang w:eastAsia="en-GB"/>
        </w:rPr>
        <w:t xml:space="preserve">Resistance to antimicrobials, in particular that mediated by extended spectrum </w:t>
      </w:r>
      <w:r>
        <w:rPr>
          <w:rFonts w:cs="Times New Roman"/>
          <w:lang w:eastAsia="en-GB"/>
        </w:rPr>
        <w:t>β</w:t>
      </w:r>
      <w:r>
        <w:rPr>
          <w:lang w:eastAsia="en-GB"/>
        </w:rPr>
        <w:t xml:space="preserve">-lactamases (ESBL) and AmpC </w:t>
      </w:r>
      <w:r>
        <w:rPr>
          <w:rFonts w:cs="Times New Roman"/>
          <w:lang w:eastAsia="en-GB"/>
        </w:rPr>
        <w:t>β</w:t>
      </w:r>
      <w:r>
        <w:rPr>
          <w:lang w:eastAsia="en-GB"/>
        </w:rPr>
        <w:t xml:space="preserve">-lactamases are frequently reported in bacteria causing canine disease as well as in commensal bacteria, which could be a potential health risk for humans they come into contact with. This cross-sectional study aimed to estimate the prevalence and investigate the molecular characteristics of ESBL and plasmid encoded AmpC (pAmpC)-producing </w:t>
      </w:r>
      <w:r>
        <w:rPr>
          <w:i/>
          <w:lang w:eastAsia="en-GB"/>
        </w:rPr>
        <w:t xml:space="preserve">E. coli </w:t>
      </w:r>
      <w:r>
        <w:rPr>
          <w:lang w:eastAsia="en-GB"/>
        </w:rPr>
        <w:t xml:space="preserve">in the mainland UK vet-visiting canine population and, using responses from detailed questionnaires identify factors associated with their carriage. Faecal samples were cultured for antimicrobial resistant (AMR), ESBL and pAmpC-producing </w:t>
      </w:r>
      <w:r>
        <w:rPr>
          <w:i/>
          <w:lang w:eastAsia="en-GB"/>
        </w:rPr>
        <w:t>E. coli</w:t>
      </w:r>
      <w:r>
        <w:rPr>
          <w:lang w:eastAsia="en-GB"/>
        </w:rPr>
        <w:t xml:space="preserve">. A subset of ESBL and pAmpC-producing isolates were subjected to multi-locus sequence typing and DNA microarray analyses. Multivariable logistic regression analysis was used to construct models to identify risk factors associated with multidrug resistant (MDR, resistance to three or more antimicrobial classes), fluoroquinolone resistance, ESBL and AmpC-producing </w:t>
      </w:r>
      <w:r>
        <w:rPr>
          <w:i/>
          <w:lang w:eastAsia="en-GB"/>
        </w:rPr>
        <w:t>E. coli</w:t>
      </w:r>
      <w:r w:rsidRPr="00B70694">
        <w:t xml:space="preserve">. </w:t>
      </w:r>
      <w:r>
        <w:rPr>
          <w:lang w:eastAsia="en-GB"/>
        </w:rPr>
        <w:t xml:space="preserve">AMR </w:t>
      </w:r>
      <w:r>
        <w:rPr>
          <w:i/>
          <w:lang w:eastAsia="en-GB"/>
        </w:rPr>
        <w:t xml:space="preserve">E.coli </w:t>
      </w:r>
      <w:r>
        <w:rPr>
          <w:lang w:eastAsia="en-GB"/>
        </w:rPr>
        <w:t xml:space="preserve">were isolated from 44.8% (n=260) of samples, with 1.9% and 7.1% of samples carrying ESBL and pAmpC-producing </w:t>
      </w:r>
      <w:r>
        <w:rPr>
          <w:i/>
          <w:lang w:eastAsia="en-GB"/>
        </w:rPr>
        <w:t xml:space="preserve">E. coli, </w:t>
      </w:r>
      <w:r>
        <w:rPr>
          <w:lang w:eastAsia="en-GB"/>
        </w:rPr>
        <w:t xml:space="preserve">respectively. </w:t>
      </w:r>
      <w:r w:rsidRPr="001B27C7">
        <w:rPr>
          <w:lang w:eastAsia="en-GB"/>
        </w:rPr>
        <w:t>MDR</w:t>
      </w:r>
      <w:r>
        <w:rPr>
          <w:lang w:eastAsia="en-GB"/>
        </w:rPr>
        <w:t xml:space="preserve"> </w:t>
      </w:r>
      <w:r w:rsidRPr="00736F49">
        <w:rPr>
          <w:i/>
          <w:lang w:eastAsia="en-GB"/>
        </w:rPr>
        <w:t>E. coli</w:t>
      </w:r>
      <w:r>
        <w:rPr>
          <w:lang w:eastAsia="en-GB"/>
        </w:rPr>
        <w:t xml:space="preserve"> were identified in 18.3% of samples. Recent use of antimicrobials and being fed raw poultry were both identified as risk factors in the outcomes investigated. A number of virulence and resistance genes were identified, including genes associated with extra-intestinal and enteropathogenic </w:t>
      </w:r>
      <w:r>
        <w:rPr>
          <w:i/>
          <w:lang w:eastAsia="en-GB"/>
        </w:rPr>
        <w:t>E. coli</w:t>
      </w:r>
      <w:r w:rsidRPr="00B70694">
        <w:rPr>
          <w:i/>
        </w:rPr>
        <w:t xml:space="preserve"> </w:t>
      </w:r>
      <w:r>
        <w:rPr>
          <w:lang w:eastAsia="en-GB"/>
        </w:rPr>
        <w:t xml:space="preserve">genotypes. Considering the close contact that people have with dogs, the high levels of AMR </w:t>
      </w:r>
      <w:r>
        <w:rPr>
          <w:i/>
          <w:lang w:eastAsia="en-GB"/>
        </w:rPr>
        <w:t xml:space="preserve">E. coli </w:t>
      </w:r>
      <w:r>
        <w:rPr>
          <w:lang w:eastAsia="en-GB"/>
        </w:rPr>
        <w:t xml:space="preserve">in canine faeces may be a potential reservoir of AMR bacteria or resistance determinants. </w:t>
      </w:r>
    </w:p>
    <w:p w14:paraId="72A611F2" w14:textId="77777777" w:rsidR="00C03618" w:rsidRPr="00830454" w:rsidRDefault="00C03618" w:rsidP="009150DC">
      <w:pPr>
        <w:pStyle w:val="Heading1"/>
        <w:jc w:val="left"/>
      </w:pPr>
      <w:r w:rsidRPr="00830454">
        <w:t>Introduction</w:t>
      </w:r>
    </w:p>
    <w:p w14:paraId="680B5F35" w14:textId="77777777" w:rsidR="00C03618" w:rsidRPr="00192690" w:rsidRDefault="00C03618" w:rsidP="009150DC">
      <w:pPr>
        <w:rPr>
          <w:lang w:eastAsia="en-GB"/>
        </w:rPr>
      </w:pPr>
      <w:r>
        <w:rPr>
          <w:lang w:eastAsia="en-GB"/>
        </w:rPr>
        <w:t>Antimicrobial resistant (AMR) bacteria is</w:t>
      </w:r>
      <w:r w:rsidRPr="00192690">
        <w:rPr>
          <w:lang w:eastAsia="en-GB"/>
        </w:rPr>
        <w:t xml:space="preserve"> a common and increasing problem in healthcare </w:t>
      </w:r>
      <w:r>
        <w:rPr>
          <w:lang w:eastAsia="en-GB"/>
        </w:rPr>
        <w:t>and</w:t>
      </w:r>
      <w:r w:rsidRPr="00192690">
        <w:rPr>
          <w:lang w:eastAsia="en-GB"/>
        </w:rPr>
        <w:t xml:space="preserve"> community</w:t>
      </w:r>
      <w:r>
        <w:rPr>
          <w:lang w:eastAsia="en-GB"/>
        </w:rPr>
        <w:t xml:space="preserve"> settings. Multidrug</w:t>
      </w:r>
      <w:r w:rsidRPr="00192690">
        <w:rPr>
          <w:lang w:eastAsia="en-GB"/>
        </w:rPr>
        <w:t xml:space="preserve"> resistant bacteria, for example </w:t>
      </w:r>
      <w:r w:rsidRPr="00192690">
        <w:rPr>
          <w:i/>
          <w:lang w:eastAsia="en-GB"/>
        </w:rPr>
        <w:t>Escherichia coli</w:t>
      </w:r>
      <w:r w:rsidRPr="00192690">
        <w:rPr>
          <w:lang w:eastAsia="en-GB"/>
        </w:rPr>
        <w:t xml:space="preserve">, </w:t>
      </w:r>
      <w:r>
        <w:rPr>
          <w:lang w:eastAsia="en-GB"/>
        </w:rPr>
        <w:t>are</w:t>
      </w:r>
      <w:r w:rsidRPr="00192690">
        <w:rPr>
          <w:lang w:eastAsia="en-GB"/>
        </w:rPr>
        <w:t xml:space="preserve"> </w:t>
      </w:r>
      <w:r>
        <w:rPr>
          <w:lang w:eastAsia="en-GB"/>
        </w:rPr>
        <w:t>c</w:t>
      </w:r>
      <w:r w:rsidRPr="00192690">
        <w:rPr>
          <w:lang w:eastAsia="en-GB"/>
        </w:rPr>
        <w:t>ommonly reported in dogs and other companion animals</w:t>
      </w:r>
      <w:r w:rsidRPr="006B369C">
        <w:t xml:space="preserve"> </w:t>
      </w:r>
      <w:r>
        <w:rPr>
          <w:noProof/>
          <w:lang w:eastAsia="en-GB"/>
        </w:rPr>
        <w:t>(Shaheen et al., 2010)</w:t>
      </w:r>
      <w:r w:rsidRPr="00192690">
        <w:rPr>
          <w:lang w:eastAsia="en-GB"/>
        </w:rPr>
        <w:t>.</w:t>
      </w:r>
      <w:r>
        <w:rPr>
          <w:lang w:eastAsia="en-GB"/>
        </w:rPr>
        <w:t xml:space="preserve"> In addition </w:t>
      </w:r>
      <w:r>
        <w:rPr>
          <w:lang w:eastAsia="en-GB"/>
        </w:rPr>
        <w:lastRenderedPageBreak/>
        <w:t>to</w:t>
      </w:r>
      <w:r w:rsidRPr="00192690">
        <w:rPr>
          <w:lang w:eastAsia="en-GB"/>
        </w:rPr>
        <w:t xml:space="preserve"> </w:t>
      </w:r>
      <w:r w:rsidRPr="00192690">
        <w:rPr>
          <w:i/>
          <w:lang w:eastAsia="en-GB"/>
        </w:rPr>
        <w:t>E. coli</w:t>
      </w:r>
      <w:r>
        <w:rPr>
          <w:lang w:eastAsia="en-GB"/>
        </w:rPr>
        <w:t xml:space="preserve"> being </w:t>
      </w:r>
      <w:r w:rsidRPr="00192690">
        <w:rPr>
          <w:lang w:eastAsia="en-GB"/>
        </w:rPr>
        <w:t>a common cause of gastrointestinal infections</w:t>
      </w:r>
      <w:r>
        <w:rPr>
          <w:lang w:eastAsia="en-GB"/>
        </w:rPr>
        <w:t>, t</w:t>
      </w:r>
      <w:r w:rsidRPr="00192690">
        <w:rPr>
          <w:lang w:eastAsia="en-GB"/>
        </w:rPr>
        <w:t xml:space="preserve">he vast majority of humans, dogs and other mammals carry commensal </w:t>
      </w:r>
      <w:r w:rsidRPr="00192690">
        <w:rPr>
          <w:i/>
          <w:lang w:eastAsia="en-GB"/>
        </w:rPr>
        <w:t xml:space="preserve">E. coli </w:t>
      </w:r>
      <w:r w:rsidRPr="00192690">
        <w:rPr>
          <w:lang w:eastAsia="en-GB"/>
        </w:rPr>
        <w:t xml:space="preserve">within the gut. However, such commensal bacteria may also cause opportunistic disease if outside their normal niche, for example in the urinary tract </w:t>
      </w:r>
      <w:r>
        <w:rPr>
          <w:noProof/>
          <w:lang w:eastAsia="en-GB"/>
        </w:rPr>
        <w:t>(Johnson and Russo, 2002)</w:t>
      </w:r>
      <w:r w:rsidRPr="00192690">
        <w:rPr>
          <w:lang w:eastAsia="en-GB"/>
        </w:rPr>
        <w:t>.</w:t>
      </w:r>
      <w:r w:rsidRPr="00192690" w:rsidDel="005C6ED8">
        <w:rPr>
          <w:lang w:eastAsia="en-GB"/>
        </w:rPr>
        <w:t xml:space="preserve"> </w:t>
      </w:r>
      <w:r w:rsidRPr="00192690">
        <w:rPr>
          <w:lang w:eastAsia="en-GB"/>
        </w:rPr>
        <w:t xml:space="preserve">Furthermore, the location of commensal </w:t>
      </w:r>
      <w:r w:rsidRPr="00192690">
        <w:rPr>
          <w:i/>
          <w:lang w:eastAsia="en-GB"/>
        </w:rPr>
        <w:t xml:space="preserve">E. coli </w:t>
      </w:r>
      <w:r w:rsidRPr="00192690">
        <w:rPr>
          <w:lang w:eastAsia="en-GB"/>
        </w:rPr>
        <w:t xml:space="preserve">means that </w:t>
      </w:r>
      <w:r>
        <w:rPr>
          <w:lang w:eastAsia="en-GB"/>
        </w:rPr>
        <w:t xml:space="preserve">they are </w:t>
      </w:r>
      <w:r w:rsidRPr="00192690">
        <w:rPr>
          <w:lang w:eastAsia="en-GB"/>
        </w:rPr>
        <w:t>expose</w:t>
      </w:r>
      <w:r>
        <w:rPr>
          <w:lang w:eastAsia="en-GB"/>
        </w:rPr>
        <w:t>d</w:t>
      </w:r>
      <w:r w:rsidRPr="00192690">
        <w:rPr>
          <w:lang w:eastAsia="en-GB"/>
        </w:rPr>
        <w:t xml:space="preserve"> to</w:t>
      </w:r>
      <w:r>
        <w:rPr>
          <w:lang w:eastAsia="en-GB"/>
        </w:rPr>
        <w:t xml:space="preserve"> the selective pressure of </w:t>
      </w:r>
      <w:r w:rsidRPr="00192690">
        <w:rPr>
          <w:lang w:eastAsia="en-GB"/>
        </w:rPr>
        <w:t xml:space="preserve">antimicrobials </w:t>
      </w:r>
      <w:r>
        <w:rPr>
          <w:lang w:eastAsia="en-GB"/>
        </w:rPr>
        <w:t>given orally</w:t>
      </w:r>
      <w:r w:rsidRPr="00192690">
        <w:rPr>
          <w:lang w:eastAsia="en-GB"/>
        </w:rPr>
        <w:t>. These</w:t>
      </w:r>
      <w:r>
        <w:rPr>
          <w:lang w:eastAsia="en-GB"/>
        </w:rPr>
        <w:t xml:space="preserve"> commensal</w:t>
      </w:r>
      <w:r w:rsidRPr="00192690">
        <w:rPr>
          <w:lang w:eastAsia="en-GB"/>
        </w:rPr>
        <w:t xml:space="preserve"> bacteria may then themselves act as a reservoir f</w:t>
      </w:r>
      <w:r>
        <w:rPr>
          <w:lang w:eastAsia="en-GB"/>
        </w:rPr>
        <w:t>or such resistance determinants</w:t>
      </w:r>
      <w:r w:rsidRPr="00192690">
        <w:rPr>
          <w:lang w:eastAsia="en-GB"/>
        </w:rPr>
        <w:t xml:space="preserve">. As such, </w:t>
      </w:r>
      <w:r w:rsidRPr="00192690">
        <w:rPr>
          <w:i/>
          <w:lang w:eastAsia="en-GB"/>
        </w:rPr>
        <w:t xml:space="preserve">E. coli </w:t>
      </w:r>
      <w:r w:rsidRPr="00192690">
        <w:rPr>
          <w:lang w:eastAsia="en-GB"/>
        </w:rPr>
        <w:t>isolated from faecal samples</w:t>
      </w:r>
      <w:r w:rsidRPr="00192690">
        <w:rPr>
          <w:i/>
          <w:lang w:eastAsia="en-GB"/>
        </w:rPr>
        <w:t xml:space="preserve"> </w:t>
      </w:r>
      <w:r w:rsidRPr="00192690">
        <w:rPr>
          <w:lang w:eastAsia="en-GB"/>
        </w:rPr>
        <w:t xml:space="preserve">can provide a good indication of the reservoir of resistance </w:t>
      </w:r>
      <w:r>
        <w:rPr>
          <w:lang w:eastAsia="en-GB"/>
        </w:rPr>
        <w:t>with</w:t>
      </w:r>
      <w:r w:rsidRPr="00192690">
        <w:rPr>
          <w:lang w:eastAsia="en-GB"/>
        </w:rPr>
        <w:t xml:space="preserve">in the gut flora </w:t>
      </w:r>
      <w:r>
        <w:rPr>
          <w:noProof/>
          <w:lang w:eastAsia="en-GB"/>
        </w:rPr>
        <w:t>(van den Bogaard and Stobberingh, 2000)</w:t>
      </w:r>
      <w:r w:rsidRPr="00192690">
        <w:rPr>
          <w:lang w:eastAsia="en-GB"/>
        </w:rPr>
        <w:t xml:space="preserve">. </w:t>
      </w:r>
    </w:p>
    <w:p w14:paraId="17505C7B" w14:textId="77777777" w:rsidR="00C03618" w:rsidRPr="00192690" w:rsidRDefault="00C03618" w:rsidP="009150DC">
      <w:pPr>
        <w:rPr>
          <w:lang w:eastAsia="en-GB"/>
        </w:rPr>
      </w:pPr>
      <w:r w:rsidRPr="00192690">
        <w:rPr>
          <w:lang w:eastAsia="en-GB"/>
        </w:rPr>
        <w:t>One resistance mechanism of particular concern is that mediated by extended spectrum β-lactamases (ESBL</w:t>
      </w:r>
      <w:r>
        <w:rPr>
          <w:lang w:eastAsia="en-GB"/>
        </w:rPr>
        <w:t>s</w:t>
      </w:r>
      <w:r w:rsidRPr="00192690">
        <w:rPr>
          <w:lang w:eastAsia="en-GB"/>
        </w:rPr>
        <w:t>), which  hydrolys</w:t>
      </w:r>
      <w:r>
        <w:rPr>
          <w:lang w:eastAsia="en-GB"/>
        </w:rPr>
        <w:t>e</w:t>
      </w:r>
      <w:r w:rsidRPr="00192690">
        <w:rPr>
          <w:lang w:eastAsia="en-GB"/>
        </w:rPr>
        <w:t xml:space="preserve"> third generation cephalosporins, such as ceftazidime, cefotaxime, cefpodoxime and ceftiofur </w:t>
      </w:r>
      <w:r>
        <w:rPr>
          <w:noProof/>
          <w:lang w:eastAsia="en-GB"/>
        </w:rPr>
        <w:t>(Livermore, 2008)</w:t>
      </w:r>
      <w:r w:rsidRPr="00192690">
        <w:rPr>
          <w:lang w:eastAsia="en-GB"/>
        </w:rPr>
        <w:t xml:space="preserve">. </w:t>
      </w:r>
      <w:r w:rsidRPr="00192690">
        <w:rPr>
          <w:i/>
          <w:lang w:eastAsia="en-GB"/>
        </w:rPr>
        <w:t xml:space="preserve">E. coli </w:t>
      </w:r>
      <w:r w:rsidRPr="00192690">
        <w:rPr>
          <w:lang w:eastAsia="en-GB"/>
        </w:rPr>
        <w:t>harbouring such ESBL</w:t>
      </w:r>
      <w:r>
        <w:rPr>
          <w:lang w:eastAsia="en-GB"/>
        </w:rPr>
        <w:t xml:space="preserve"> encoding</w:t>
      </w:r>
      <w:r w:rsidRPr="00192690">
        <w:rPr>
          <w:lang w:eastAsia="en-GB"/>
        </w:rPr>
        <w:t xml:space="preserve"> g</w:t>
      </w:r>
      <w:r>
        <w:rPr>
          <w:lang w:eastAsia="en-GB"/>
        </w:rPr>
        <w:t>enes have become</w:t>
      </w:r>
      <w:r w:rsidRPr="00192690">
        <w:rPr>
          <w:lang w:eastAsia="en-GB"/>
        </w:rPr>
        <w:t xml:space="preserve"> increasingly prevalent in hospitals and in the community in people </w:t>
      </w:r>
      <w:r>
        <w:rPr>
          <w:noProof/>
          <w:lang w:eastAsia="en-GB"/>
        </w:rPr>
        <w:t>(Brolund et al., 2014)</w:t>
      </w:r>
      <w:r>
        <w:rPr>
          <w:lang w:eastAsia="en-GB"/>
        </w:rPr>
        <w:t xml:space="preserve"> and dogs</w:t>
      </w:r>
      <w:r w:rsidRPr="00192690">
        <w:rPr>
          <w:lang w:eastAsia="en-GB"/>
        </w:rPr>
        <w:t xml:space="preserve"> </w:t>
      </w:r>
      <w:r>
        <w:rPr>
          <w:noProof/>
          <w:lang w:eastAsia="en-GB"/>
        </w:rPr>
        <w:t>(Gandolfi-Decristophoris et al., 2013)</w:t>
      </w:r>
      <w:r w:rsidRPr="00192690">
        <w:rPr>
          <w:lang w:eastAsia="en-GB"/>
        </w:rPr>
        <w:t>. Plasmid mediated AmpC</w:t>
      </w:r>
      <w:r>
        <w:rPr>
          <w:lang w:eastAsia="en-GB"/>
        </w:rPr>
        <w:t xml:space="preserve"> (pAmpC)</w:t>
      </w:r>
      <w:r w:rsidRPr="00192690">
        <w:rPr>
          <w:lang w:eastAsia="en-GB"/>
        </w:rPr>
        <w:t xml:space="preserve"> enzymes, which also have a broad spectrum of resistance</w:t>
      </w:r>
      <w:r>
        <w:rPr>
          <w:lang w:eastAsia="en-GB"/>
        </w:rPr>
        <w:t xml:space="preserve"> to cephalosporins, but</w:t>
      </w:r>
      <w:r w:rsidRPr="00192690">
        <w:rPr>
          <w:lang w:eastAsia="en-GB"/>
        </w:rPr>
        <w:t xml:space="preserve"> are resi</w:t>
      </w:r>
      <w:r>
        <w:rPr>
          <w:lang w:eastAsia="en-GB"/>
        </w:rPr>
        <w:t>stant to β-lactamase inhibitors</w:t>
      </w:r>
      <w:r w:rsidRPr="00192690">
        <w:rPr>
          <w:lang w:eastAsia="en-GB"/>
        </w:rPr>
        <w:t xml:space="preserve">, have also been documented in dogs </w:t>
      </w:r>
      <w:r>
        <w:rPr>
          <w:noProof/>
          <w:lang w:eastAsia="en-GB"/>
        </w:rPr>
        <w:t>(Sidjabat et al., 2006)</w:t>
      </w:r>
      <w:r w:rsidRPr="00192690">
        <w:rPr>
          <w:lang w:eastAsia="en-GB"/>
        </w:rPr>
        <w:t xml:space="preserve">. </w:t>
      </w:r>
    </w:p>
    <w:p w14:paraId="00F8A790" w14:textId="77777777" w:rsidR="00C03618" w:rsidRPr="00192690" w:rsidRDefault="00C03618" w:rsidP="009150DC">
      <w:pPr>
        <w:rPr>
          <w:lang w:eastAsia="en-GB"/>
        </w:rPr>
      </w:pPr>
      <w:r w:rsidRPr="00192690">
        <w:rPr>
          <w:lang w:eastAsia="en-GB"/>
        </w:rPr>
        <w:t xml:space="preserve">While </w:t>
      </w:r>
      <w:r>
        <w:rPr>
          <w:lang w:eastAsia="en-GB"/>
        </w:rPr>
        <w:t>AMR</w:t>
      </w:r>
      <w:r w:rsidRPr="00192690">
        <w:rPr>
          <w:lang w:eastAsia="en-GB"/>
        </w:rPr>
        <w:t xml:space="preserve"> </w:t>
      </w:r>
      <w:r w:rsidRPr="00192690">
        <w:rPr>
          <w:i/>
          <w:lang w:eastAsia="en-GB"/>
        </w:rPr>
        <w:t xml:space="preserve">E. coli </w:t>
      </w:r>
      <w:r w:rsidRPr="00192690">
        <w:rPr>
          <w:lang w:eastAsia="en-GB"/>
        </w:rPr>
        <w:t>from</w:t>
      </w:r>
      <w:r>
        <w:rPr>
          <w:lang w:eastAsia="en-GB"/>
        </w:rPr>
        <w:t xml:space="preserve"> canine</w:t>
      </w:r>
      <w:r w:rsidRPr="00192690">
        <w:rPr>
          <w:lang w:eastAsia="en-GB"/>
        </w:rPr>
        <w:t xml:space="preserve"> clinical samples </w:t>
      </w:r>
      <w:r>
        <w:rPr>
          <w:lang w:eastAsia="en-GB"/>
        </w:rPr>
        <w:t>has been</w:t>
      </w:r>
      <w:r w:rsidRPr="00192690">
        <w:rPr>
          <w:lang w:eastAsia="en-GB"/>
        </w:rPr>
        <w:t xml:space="preserve"> reported </w:t>
      </w:r>
      <w:r>
        <w:rPr>
          <w:noProof/>
          <w:lang w:eastAsia="en-GB"/>
        </w:rPr>
        <w:t>(Pedersen et al., 2007)</w:t>
      </w:r>
      <w:r w:rsidRPr="00192690">
        <w:rPr>
          <w:lang w:eastAsia="en-GB"/>
        </w:rPr>
        <w:t>, the general human population</w:t>
      </w:r>
      <w:r>
        <w:rPr>
          <w:lang w:eastAsia="en-GB"/>
        </w:rPr>
        <w:t xml:space="preserve"> is more</w:t>
      </w:r>
      <w:r w:rsidRPr="00192690">
        <w:rPr>
          <w:lang w:eastAsia="en-GB"/>
        </w:rPr>
        <w:t xml:space="preserve"> likely </w:t>
      </w:r>
      <w:r>
        <w:rPr>
          <w:lang w:eastAsia="en-GB"/>
        </w:rPr>
        <w:t xml:space="preserve">to be </w:t>
      </w:r>
      <w:r w:rsidRPr="00192690">
        <w:rPr>
          <w:lang w:eastAsia="en-GB"/>
        </w:rPr>
        <w:t xml:space="preserve">exposed </w:t>
      </w:r>
      <w:r>
        <w:rPr>
          <w:lang w:eastAsia="en-GB"/>
        </w:rPr>
        <w:t>to the</w:t>
      </w:r>
      <w:r w:rsidRPr="00192690">
        <w:rPr>
          <w:lang w:eastAsia="en-GB"/>
        </w:rPr>
        <w:t xml:space="preserve"> bacteria present in the faeces of dogs.</w:t>
      </w:r>
      <w:r>
        <w:rPr>
          <w:lang w:eastAsia="en-GB"/>
        </w:rPr>
        <w:t xml:space="preserve"> For example, owners picking up after their dogs have defecated.</w:t>
      </w:r>
      <w:r w:rsidRPr="00192690">
        <w:rPr>
          <w:lang w:eastAsia="en-GB"/>
        </w:rPr>
        <w:t xml:space="preserve"> It is therefore important to understand the preval</w:t>
      </w:r>
      <w:r>
        <w:rPr>
          <w:lang w:eastAsia="en-GB"/>
        </w:rPr>
        <w:t>ence of antimicrobial resistance</w:t>
      </w:r>
      <w:r w:rsidRPr="00192690">
        <w:rPr>
          <w:lang w:eastAsia="en-GB"/>
        </w:rPr>
        <w:t xml:space="preserve"> among the </w:t>
      </w:r>
      <w:r w:rsidRPr="00192690">
        <w:rPr>
          <w:i/>
          <w:lang w:eastAsia="en-GB"/>
        </w:rPr>
        <w:t xml:space="preserve">E. coli </w:t>
      </w:r>
      <w:r w:rsidRPr="00192690">
        <w:rPr>
          <w:lang w:eastAsia="en-GB"/>
        </w:rPr>
        <w:t>resident in the gut</w:t>
      </w:r>
      <w:r w:rsidRPr="00442819">
        <w:rPr>
          <w:lang w:eastAsia="en-GB"/>
        </w:rPr>
        <w:t xml:space="preserve"> </w:t>
      </w:r>
      <w:r>
        <w:rPr>
          <w:lang w:eastAsia="en-GB"/>
        </w:rPr>
        <w:t xml:space="preserve">of </w:t>
      </w:r>
      <w:r w:rsidRPr="00192690">
        <w:rPr>
          <w:lang w:eastAsia="en-GB"/>
        </w:rPr>
        <w:t>healthy</w:t>
      </w:r>
      <w:r>
        <w:rPr>
          <w:lang w:eastAsia="en-GB"/>
        </w:rPr>
        <w:t xml:space="preserve"> dogs</w:t>
      </w:r>
      <w:r w:rsidRPr="00192690">
        <w:rPr>
          <w:lang w:eastAsia="en-GB"/>
        </w:rPr>
        <w:t xml:space="preserve">. Such studies have been carried out in both Europe </w:t>
      </w:r>
      <w:r>
        <w:rPr>
          <w:noProof/>
          <w:lang w:eastAsia="en-GB"/>
        </w:rPr>
        <w:t>(SVARM, 2006)</w:t>
      </w:r>
      <w:r w:rsidRPr="00192690">
        <w:rPr>
          <w:lang w:eastAsia="en-GB"/>
        </w:rPr>
        <w:t xml:space="preserve"> and Canada </w:t>
      </w:r>
      <w:r>
        <w:rPr>
          <w:noProof/>
          <w:lang w:eastAsia="en-GB"/>
        </w:rPr>
        <w:t>(Murphy et al., 2009)</w:t>
      </w:r>
      <w:r>
        <w:rPr>
          <w:lang w:eastAsia="en-GB"/>
        </w:rPr>
        <w:t xml:space="preserve"> and have demonstrated that animals and humans often carry the same resistance determinants. A small number of studies have shown, using macro-restriction pulsed-field gel electrophoresis, that dogs, cats and humans in the same household can have identical bacteria </w:t>
      </w:r>
      <w:r>
        <w:rPr>
          <w:noProof/>
          <w:lang w:eastAsia="en-GB"/>
        </w:rPr>
        <w:t>(Johnson et al., 2008a)</w:t>
      </w:r>
      <w:r>
        <w:rPr>
          <w:lang w:eastAsia="en-GB"/>
        </w:rPr>
        <w:t xml:space="preserve">, supporting the suggestion of </w:t>
      </w:r>
      <w:r>
        <w:rPr>
          <w:lang w:eastAsia="en-GB"/>
        </w:rPr>
        <w:lastRenderedPageBreak/>
        <w:t xml:space="preserve">transmission of enteric bacteria between humans and their pets. However, studies that investigate the risk factors for carriage of AMR bacteria are very limited and focus mainly on acquisition of antimicrobial resistance during hospitalisation </w:t>
      </w:r>
      <w:r>
        <w:rPr>
          <w:noProof/>
          <w:lang w:eastAsia="en-GB"/>
        </w:rPr>
        <w:t>(Gibson et al., 2011; Leite-Martins et al., 2014)</w:t>
      </w:r>
      <w:r>
        <w:rPr>
          <w:lang w:eastAsia="en-GB"/>
        </w:rPr>
        <w:t>. Identification of such risk factors could be key in developing effective strategies to reduce the development and spread of such resistance in the future.</w:t>
      </w:r>
    </w:p>
    <w:p w14:paraId="5E4100B9" w14:textId="77777777" w:rsidR="00C03618" w:rsidRPr="006F4A31" w:rsidRDefault="00C03618" w:rsidP="009150DC">
      <w:pPr>
        <w:rPr>
          <w:lang w:eastAsia="en-GB"/>
        </w:rPr>
      </w:pPr>
      <w:r w:rsidRPr="00192690">
        <w:rPr>
          <w:lang w:eastAsia="en-GB"/>
        </w:rPr>
        <w:t xml:space="preserve">The aim of this study was to determine the faecal prevalence of </w:t>
      </w:r>
      <w:r>
        <w:rPr>
          <w:lang w:eastAsia="en-GB"/>
        </w:rPr>
        <w:t>AMR</w:t>
      </w:r>
      <w:r w:rsidRPr="00192690">
        <w:rPr>
          <w:lang w:eastAsia="en-GB"/>
        </w:rPr>
        <w:t xml:space="preserve"> </w:t>
      </w:r>
      <w:r w:rsidRPr="00192690">
        <w:rPr>
          <w:i/>
          <w:lang w:eastAsia="en-GB"/>
        </w:rPr>
        <w:t xml:space="preserve">E. coli, </w:t>
      </w:r>
      <w:r w:rsidRPr="00192690">
        <w:rPr>
          <w:lang w:eastAsia="en-GB"/>
        </w:rPr>
        <w:t>including ESBL and</w:t>
      </w:r>
      <w:r>
        <w:rPr>
          <w:lang w:eastAsia="en-GB"/>
        </w:rPr>
        <w:t xml:space="preserve"> p</w:t>
      </w:r>
      <w:r w:rsidRPr="00192690">
        <w:rPr>
          <w:lang w:eastAsia="en-GB"/>
        </w:rPr>
        <w:t xml:space="preserve">AmpC β-lactamase producing </w:t>
      </w:r>
      <w:r w:rsidRPr="00192690">
        <w:rPr>
          <w:i/>
          <w:lang w:eastAsia="en-GB"/>
        </w:rPr>
        <w:t>E. coli</w:t>
      </w:r>
      <w:r w:rsidRPr="00192690">
        <w:rPr>
          <w:lang w:eastAsia="en-GB"/>
        </w:rPr>
        <w:t>,</w:t>
      </w:r>
      <w:r w:rsidRPr="00192690">
        <w:rPr>
          <w:i/>
          <w:lang w:eastAsia="en-GB"/>
        </w:rPr>
        <w:t xml:space="preserve"> </w:t>
      </w:r>
      <w:r w:rsidRPr="00192690">
        <w:rPr>
          <w:lang w:eastAsia="en-GB"/>
        </w:rPr>
        <w:t>in the</w:t>
      </w:r>
      <w:r>
        <w:rPr>
          <w:lang w:eastAsia="en-GB"/>
        </w:rPr>
        <w:t xml:space="preserve"> mainland UK</w:t>
      </w:r>
      <w:r w:rsidRPr="00192690">
        <w:rPr>
          <w:lang w:eastAsia="en-GB"/>
        </w:rPr>
        <w:t xml:space="preserve"> vet-visiting dog community.</w:t>
      </w:r>
      <w:r>
        <w:rPr>
          <w:lang w:eastAsia="en-GB"/>
        </w:rPr>
        <w:t xml:space="preserve"> DNA micro array analysis was used on a subset of multi drug resistant (MDR, resistant to three or more antimicrobial classes), and ESBL producing isolates to investigate the presence of genes associated with antimicrobial resistance and virulence.</w:t>
      </w:r>
      <w:r w:rsidRPr="00192690">
        <w:rPr>
          <w:lang w:eastAsia="en-GB"/>
        </w:rPr>
        <w:t xml:space="preserve"> In addition, risk factors associated with carr</w:t>
      </w:r>
      <w:r>
        <w:rPr>
          <w:lang w:eastAsia="en-GB"/>
        </w:rPr>
        <w:t>iage of antimicrobial resistance</w:t>
      </w:r>
      <w:r w:rsidRPr="00192690">
        <w:rPr>
          <w:lang w:eastAsia="en-GB"/>
        </w:rPr>
        <w:t xml:space="preserve"> were </w:t>
      </w:r>
      <w:r>
        <w:rPr>
          <w:lang w:eastAsia="en-GB"/>
        </w:rPr>
        <w:t>determined</w:t>
      </w:r>
      <w:r w:rsidRPr="00192690">
        <w:rPr>
          <w:lang w:eastAsia="en-GB"/>
        </w:rPr>
        <w:t xml:space="preserve">. </w:t>
      </w:r>
    </w:p>
    <w:p w14:paraId="7EC5A8FF" w14:textId="77777777" w:rsidR="00C03618" w:rsidRPr="006B538F" w:rsidRDefault="00C03618" w:rsidP="009150DC">
      <w:pPr>
        <w:pStyle w:val="Heading1"/>
        <w:jc w:val="left"/>
      </w:pPr>
      <w:r w:rsidRPr="006B538F">
        <w:t>Materials and Methods</w:t>
      </w:r>
    </w:p>
    <w:p w14:paraId="7FF14A99" w14:textId="77777777" w:rsidR="00C03618" w:rsidRPr="006B538F" w:rsidRDefault="00C03618" w:rsidP="00C03618">
      <w:pPr>
        <w:pStyle w:val="Heading2"/>
        <w:numPr>
          <w:ilvl w:val="1"/>
          <w:numId w:val="8"/>
        </w:numPr>
        <w:ind w:left="788" w:hanging="431"/>
      </w:pPr>
      <w:r w:rsidRPr="006B538F">
        <w:t>Study population</w:t>
      </w:r>
    </w:p>
    <w:p w14:paraId="66C7DB79" w14:textId="77777777" w:rsidR="00C03618" w:rsidRPr="006B538F" w:rsidRDefault="00C03618" w:rsidP="009150DC">
      <w:pPr>
        <w:rPr>
          <w:rFonts w:cs="Times New Roman"/>
          <w:szCs w:val="24"/>
          <w:lang w:eastAsia="en-GB"/>
        </w:rPr>
      </w:pPr>
      <w:r w:rsidRPr="006B538F">
        <w:rPr>
          <w:rFonts w:cs="Times New Roman"/>
          <w:szCs w:val="24"/>
          <w:lang w:eastAsia="en-GB"/>
        </w:rPr>
        <w:t xml:space="preserve">Dogs visiting veterinary practices </w:t>
      </w:r>
      <w:r>
        <w:rPr>
          <w:rFonts w:cs="Times New Roman"/>
          <w:szCs w:val="24"/>
          <w:lang w:eastAsia="en-GB"/>
        </w:rPr>
        <w:t>in</w:t>
      </w:r>
      <w:r w:rsidRPr="006B538F">
        <w:rPr>
          <w:rFonts w:cs="Times New Roman"/>
          <w:szCs w:val="24"/>
          <w:lang w:eastAsia="en-GB"/>
        </w:rPr>
        <w:t xml:space="preserve"> mainland UK were recruited during consultation with their </w:t>
      </w:r>
      <w:r>
        <w:rPr>
          <w:rFonts w:cs="Times New Roman"/>
          <w:szCs w:val="24"/>
          <w:lang w:eastAsia="en-GB"/>
        </w:rPr>
        <w:t>clinician</w:t>
      </w:r>
      <w:r w:rsidRPr="006B538F">
        <w:rPr>
          <w:rFonts w:cs="Times New Roman"/>
          <w:szCs w:val="24"/>
          <w:lang w:eastAsia="en-GB"/>
        </w:rPr>
        <w:t>. Practices were randomly selected from those listed in the 2006 RCVS</w:t>
      </w:r>
      <w:r>
        <w:rPr>
          <w:rFonts w:cs="Times New Roman"/>
          <w:szCs w:val="24"/>
          <w:lang w:eastAsia="en-GB"/>
        </w:rPr>
        <w:t xml:space="preserve"> </w:t>
      </w:r>
      <w:r w:rsidRPr="006B538F">
        <w:rPr>
          <w:rFonts w:cs="Times New Roman"/>
          <w:szCs w:val="24"/>
          <w:lang w:eastAsia="en-GB"/>
        </w:rPr>
        <w:t xml:space="preserve">directory of veterinary practices who indicated that they treated dogs. Hospitalised dogs were excluded. An estimated sample size of 555 dogs was based on the participation of 50 practices, an expected carriage rate of </w:t>
      </w:r>
      <w:r>
        <w:rPr>
          <w:rFonts w:cs="Times New Roman"/>
          <w:szCs w:val="24"/>
          <w:lang w:eastAsia="en-GB"/>
        </w:rPr>
        <w:t>AMR</w:t>
      </w:r>
      <w:r w:rsidRPr="006B538F">
        <w:rPr>
          <w:rFonts w:cs="Times New Roman"/>
          <w:szCs w:val="24"/>
          <w:lang w:eastAsia="en-GB"/>
        </w:rPr>
        <w:t xml:space="preserve"> </w:t>
      </w:r>
      <w:r w:rsidRPr="006B538F">
        <w:rPr>
          <w:rFonts w:cs="Times New Roman"/>
          <w:i/>
          <w:szCs w:val="24"/>
          <w:lang w:eastAsia="en-GB"/>
        </w:rPr>
        <w:t xml:space="preserve">E. coli </w:t>
      </w:r>
      <w:r w:rsidRPr="006B538F">
        <w:rPr>
          <w:rFonts w:cs="Times New Roman"/>
          <w:szCs w:val="24"/>
          <w:lang w:eastAsia="en-GB"/>
        </w:rPr>
        <w:t xml:space="preserve">of 50%, 5% precision, 95% confidence intervals and a conservative between practice variance of 0.01. </w:t>
      </w:r>
      <w:r>
        <w:rPr>
          <w:rFonts w:cs="Times New Roman"/>
          <w:szCs w:val="24"/>
          <w:lang w:eastAsia="en-GB"/>
        </w:rPr>
        <w:t>T</w:t>
      </w:r>
      <w:r w:rsidRPr="006B538F">
        <w:rPr>
          <w:rFonts w:cs="Times New Roman"/>
          <w:szCs w:val="24"/>
          <w:lang w:eastAsia="en-GB"/>
        </w:rPr>
        <w:t>o allow for a degree of non-compliance, each practice w</w:t>
      </w:r>
      <w:r>
        <w:rPr>
          <w:rFonts w:cs="Times New Roman"/>
          <w:szCs w:val="24"/>
          <w:lang w:eastAsia="en-GB"/>
        </w:rPr>
        <w:t>as</w:t>
      </w:r>
      <w:r w:rsidRPr="006B538F">
        <w:rPr>
          <w:rFonts w:cs="Times New Roman"/>
          <w:szCs w:val="24"/>
          <w:lang w:eastAsia="en-GB"/>
        </w:rPr>
        <w:t xml:space="preserve"> asked to recruit 28 dogs. </w:t>
      </w:r>
      <w:r>
        <w:rPr>
          <w:rFonts w:cs="Times New Roman"/>
          <w:szCs w:val="24"/>
          <w:lang w:eastAsia="en-GB"/>
        </w:rPr>
        <w:t>A further 37 practices were subsequently recruited d</w:t>
      </w:r>
      <w:r w:rsidRPr="006B538F">
        <w:rPr>
          <w:rFonts w:cs="Times New Roman"/>
          <w:szCs w:val="24"/>
          <w:lang w:eastAsia="en-GB"/>
        </w:rPr>
        <w:t>ue to the low numbers of dogs enrolled by some practices</w:t>
      </w:r>
      <w:r>
        <w:rPr>
          <w:rFonts w:cs="Times New Roman"/>
          <w:szCs w:val="24"/>
          <w:lang w:eastAsia="en-GB"/>
        </w:rPr>
        <w:t xml:space="preserve">. Dogs were recruited to the study between April 2008 and July 2009. </w:t>
      </w:r>
      <w:r w:rsidRPr="006B538F">
        <w:rPr>
          <w:rFonts w:cs="Times New Roman"/>
          <w:szCs w:val="24"/>
        </w:rPr>
        <w:t>Consent was obtained</w:t>
      </w:r>
      <w:r>
        <w:rPr>
          <w:rFonts w:cs="Times New Roman"/>
          <w:szCs w:val="24"/>
        </w:rPr>
        <w:t>, from the owners,</w:t>
      </w:r>
      <w:r w:rsidRPr="006B538F">
        <w:rPr>
          <w:rFonts w:cs="Times New Roman"/>
          <w:szCs w:val="24"/>
        </w:rPr>
        <w:t xml:space="preserve"> by the </w:t>
      </w:r>
      <w:r>
        <w:rPr>
          <w:rFonts w:cs="Times New Roman"/>
          <w:szCs w:val="24"/>
        </w:rPr>
        <w:t>clinician</w:t>
      </w:r>
      <w:r w:rsidRPr="006B538F">
        <w:rPr>
          <w:rFonts w:cs="Times New Roman"/>
          <w:szCs w:val="24"/>
        </w:rPr>
        <w:t xml:space="preserve"> during their routine consultation before any samples were collected. Ethical approval was granted by the University of Liverpool Committee on Research Ethics (</w:t>
      </w:r>
      <w:r>
        <w:rPr>
          <w:rFonts w:cs="Times New Roman"/>
          <w:szCs w:val="24"/>
        </w:rPr>
        <w:t xml:space="preserve">Reference </w:t>
      </w:r>
      <w:r w:rsidRPr="006B538F">
        <w:rPr>
          <w:rFonts w:cs="Times New Roman"/>
          <w:szCs w:val="24"/>
        </w:rPr>
        <w:t xml:space="preserve">RETH000118). </w:t>
      </w:r>
    </w:p>
    <w:p w14:paraId="1C3B8F98" w14:textId="77777777" w:rsidR="00C03618" w:rsidRPr="006B538F" w:rsidRDefault="00C03618" w:rsidP="00C03618">
      <w:pPr>
        <w:pStyle w:val="Heading2"/>
        <w:numPr>
          <w:ilvl w:val="1"/>
          <w:numId w:val="8"/>
        </w:numPr>
        <w:ind w:left="788" w:hanging="431"/>
      </w:pPr>
      <w:r w:rsidRPr="006B538F">
        <w:lastRenderedPageBreak/>
        <w:t xml:space="preserve">Sample </w:t>
      </w:r>
      <w:r w:rsidRPr="00DF19F1">
        <w:t>collection</w:t>
      </w:r>
      <w:r w:rsidRPr="006B538F">
        <w:t xml:space="preserve"> and questionnaire</w:t>
      </w:r>
    </w:p>
    <w:p w14:paraId="34007D81" w14:textId="77777777" w:rsidR="00C03618" w:rsidRDefault="00C03618" w:rsidP="00DF19F1">
      <w:pPr>
        <w:rPr>
          <w:rFonts w:cs="Times New Roman"/>
          <w:szCs w:val="24"/>
          <w:lang w:eastAsia="en-GB"/>
        </w:rPr>
      </w:pPr>
      <w:r>
        <w:rPr>
          <w:rFonts w:cs="Times New Roman"/>
          <w:szCs w:val="24"/>
          <w:lang w:eastAsia="en-GB"/>
        </w:rPr>
        <w:t>O</w:t>
      </w:r>
      <w:r w:rsidRPr="006B538F">
        <w:rPr>
          <w:rFonts w:cs="Times New Roman"/>
          <w:szCs w:val="24"/>
          <w:lang w:eastAsia="en-GB"/>
        </w:rPr>
        <w:t>wner</w:t>
      </w:r>
      <w:r>
        <w:rPr>
          <w:rFonts w:cs="Times New Roman"/>
          <w:szCs w:val="24"/>
          <w:lang w:eastAsia="en-GB"/>
        </w:rPr>
        <w:t>s were</w:t>
      </w:r>
      <w:r w:rsidRPr="006B538F">
        <w:rPr>
          <w:rFonts w:cs="Times New Roman"/>
          <w:szCs w:val="24"/>
          <w:lang w:eastAsia="en-GB"/>
        </w:rPr>
        <w:t xml:space="preserve"> provided with a sterile collection tube and gloves to </w:t>
      </w:r>
      <w:r>
        <w:rPr>
          <w:rFonts w:cs="Times New Roman"/>
          <w:szCs w:val="24"/>
          <w:lang w:eastAsia="en-GB"/>
        </w:rPr>
        <w:t>collect</w:t>
      </w:r>
      <w:r w:rsidRPr="006B538F">
        <w:rPr>
          <w:rFonts w:cs="Times New Roman"/>
          <w:szCs w:val="24"/>
          <w:lang w:eastAsia="en-GB"/>
        </w:rPr>
        <w:t xml:space="preserve"> a fr</w:t>
      </w:r>
      <w:r>
        <w:rPr>
          <w:rFonts w:cs="Times New Roman"/>
          <w:szCs w:val="24"/>
          <w:lang w:eastAsia="en-GB"/>
        </w:rPr>
        <w:t>esh faecal sample from their dog</w:t>
      </w:r>
      <w:r w:rsidRPr="006B538F">
        <w:rPr>
          <w:rFonts w:cs="Times New Roman"/>
          <w:szCs w:val="24"/>
          <w:lang w:eastAsia="en-GB"/>
        </w:rPr>
        <w:t xml:space="preserve">. They were also asked to complete a six-page questionnaire </w:t>
      </w:r>
      <w:r>
        <w:rPr>
          <w:rFonts w:cs="Times New Roman"/>
          <w:szCs w:val="24"/>
          <w:lang w:eastAsia="en-GB"/>
        </w:rPr>
        <w:t>with</w:t>
      </w:r>
      <w:r w:rsidRPr="006B538F">
        <w:rPr>
          <w:rFonts w:cs="Times New Roman"/>
          <w:szCs w:val="24"/>
          <w:lang w:eastAsia="en-GB"/>
        </w:rPr>
        <w:t xml:space="preserve"> both tick box and free text questions. The questionnaire included questions relating to signalment, medical history of the dog over the previous three months (including use of antimicrobials), diet and recent use of antimicrobials by any other family member (including other pets). The faecal sample and completed questionnaire were returned by first class post</w:t>
      </w:r>
      <w:r>
        <w:rPr>
          <w:rFonts w:cs="Times New Roman"/>
          <w:szCs w:val="24"/>
          <w:lang w:eastAsia="en-GB"/>
        </w:rPr>
        <w:t>.</w:t>
      </w:r>
    </w:p>
    <w:p w14:paraId="11DB9C0D" w14:textId="77777777" w:rsidR="00C03618" w:rsidRPr="00DF19F1" w:rsidRDefault="00C03618" w:rsidP="00C03618">
      <w:pPr>
        <w:pStyle w:val="Heading2"/>
        <w:numPr>
          <w:ilvl w:val="1"/>
          <w:numId w:val="8"/>
        </w:numPr>
        <w:ind w:left="788" w:hanging="431"/>
        <w:rPr>
          <w:rFonts w:eastAsia="Times New Roman"/>
        </w:rPr>
      </w:pPr>
      <w:r w:rsidRPr="006B538F">
        <w:t>Sample processing</w:t>
      </w:r>
    </w:p>
    <w:p w14:paraId="30FE5E90" w14:textId="77777777" w:rsidR="00C03618" w:rsidRPr="00DF19F1" w:rsidRDefault="00C03618" w:rsidP="00DF19F1">
      <w:pPr>
        <w:rPr>
          <w:rFonts w:eastAsia="Times New Roman"/>
          <w:i/>
        </w:rPr>
      </w:pPr>
      <w:r w:rsidRPr="00DF19F1">
        <w:t xml:space="preserve">An equal volume of the faecal sample was added to 5 ml of brain heart infusion broth with 5% glycerol (BHIG) and mixed thoroughly to create a faecal homogenate. A portion of this was stored below -70 °C and the remainder used to isolate </w:t>
      </w:r>
      <w:r>
        <w:t>AMR</w:t>
      </w:r>
      <w:r w:rsidRPr="00DF19F1">
        <w:t xml:space="preserve"> </w:t>
      </w:r>
      <w:r w:rsidRPr="00DF19F1">
        <w:rPr>
          <w:i/>
        </w:rPr>
        <w:t xml:space="preserve">E. coli, </w:t>
      </w:r>
      <w:r w:rsidRPr="00DF19F1">
        <w:t xml:space="preserve">as previously described </w:t>
      </w:r>
      <w:r>
        <w:rPr>
          <w:noProof/>
        </w:rPr>
        <w:t>(Wedley et al., 2011)</w:t>
      </w:r>
      <w:r w:rsidRPr="00DF19F1">
        <w:t xml:space="preserve">.  </w:t>
      </w:r>
      <w:r w:rsidRPr="00DF19F1">
        <w:rPr>
          <w:rFonts w:eastAsia="Times New Roman"/>
        </w:rPr>
        <w:t>Briefly,</w:t>
      </w:r>
      <w:r w:rsidRPr="00DF19F1">
        <w:rPr>
          <w:rFonts w:eastAsia="Times New Roman"/>
          <w:i/>
        </w:rPr>
        <w:t xml:space="preserve"> </w:t>
      </w:r>
      <w:r w:rsidRPr="00DF19F1">
        <w:rPr>
          <w:rFonts w:eastAsia="Times New Roman"/>
        </w:rPr>
        <w:t xml:space="preserve">the faecal homogenate was plated directly onto MacConkey and eosin methylene blue agar (EMBA) and antimicrobial discs (MAST group Ltd) applied to the surface: </w:t>
      </w:r>
      <w:r w:rsidRPr="00DF19F1">
        <w:t xml:space="preserve">ampicillin (10 µg); amoxicillin clavulanic acid (30 µg); chloramphenicol (30 µg); ciprofloxacin (1 µg); nalidixic acid (30 µg); tetracycline (30 µg); and trimethoprim (2.5 µg). Following overnight incubation at 37°C, colonies morphologically consistent with </w:t>
      </w:r>
      <w:r w:rsidRPr="00DF19F1">
        <w:rPr>
          <w:i/>
        </w:rPr>
        <w:t>E. coli</w:t>
      </w:r>
      <w:r w:rsidRPr="00DF19F1">
        <w:t xml:space="preserve"> within the zone of inhibition around the antimicrobial discs</w:t>
      </w:r>
      <w:r w:rsidRPr="00DF19F1">
        <w:rPr>
          <w:i/>
        </w:rPr>
        <w:t xml:space="preserve"> </w:t>
      </w:r>
      <w:r w:rsidRPr="00DF19F1">
        <w:t>were selected</w:t>
      </w:r>
      <w:r w:rsidRPr="00DF19F1">
        <w:rPr>
          <w:i/>
        </w:rPr>
        <w:t xml:space="preserve">. </w:t>
      </w:r>
      <w:r w:rsidRPr="00DF19F1">
        <w:t>One isolate, if present, from within the zone of each of the seven antimicrobial discs was selected.</w:t>
      </w:r>
      <w:r w:rsidRPr="00DF19F1">
        <w:rPr>
          <w:i/>
        </w:rPr>
        <w:t xml:space="preserve"> </w:t>
      </w:r>
      <w:r w:rsidRPr="00DF19F1">
        <w:t xml:space="preserve">For screening of samples for ESBL producing </w:t>
      </w:r>
      <w:r w:rsidRPr="00DF19F1">
        <w:rPr>
          <w:i/>
        </w:rPr>
        <w:t xml:space="preserve">E. coli, </w:t>
      </w:r>
      <w:r w:rsidRPr="00DF19F1">
        <w:t xml:space="preserve">two EMBA plates, one containing cefotaxime (1 μg/ml) and the other ceftazidime (1 μg/ml), were streaked with the faecal homogenate. </w:t>
      </w:r>
      <w:r w:rsidRPr="00DF19F1">
        <w:rPr>
          <w:rFonts w:eastAsia="Times New Roman"/>
        </w:rPr>
        <w:t xml:space="preserve">If present, at least one isolate morphologically consistent with </w:t>
      </w:r>
      <w:r w:rsidRPr="00DF19F1">
        <w:rPr>
          <w:rFonts w:eastAsia="Times New Roman"/>
          <w:i/>
        </w:rPr>
        <w:t xml:space="preserve">E. coli </w:t>
      </w:r>
      <w:r w:rsidRPr="00DF19F1">
        <w:rPr>
          <w:rFonts w:eastAsia="Times New Roman"/>
        </w:rPr>
        <w:t xml:space="preserve">was selected from each plate. If no growth consistent with </w:t>
      </w:r>
      <w:r w:rsidRPr="00DF19F1">
        <w:rPr>
          <w:rFonts w:eastAsia="Times New Roman"/>
          <w:i/>
        </w:rPr>
        <w:t>E. coli</w:t>
      </w:r>
      <w:r w:rsidRPr="00DF19F1">
        <w:rPr>
          <w:rFonts w:eastAsia="Times New Roman"/>
        </w:rPr>
        <w:t xml:space="preserve"> occurred, further EMBA plates were streaked with faecal homogenate following overnight enrichment in buffered peptone water. In addition, for non-selective isolation of </w:t>
      </w:r>
      <w:r w:rsidRPr="00DF19F1">
        <w:rPr>
          <w:rFonts w:eastAsia="Times New Roman"/>
          <w:i/>
        </w:rPr>
        <w:t xml:space="preserve">E. coli, </w:t>
      </w:r>
      <w:r w:rsidRPr="00DF19F1">
        <w:rPr>
          <w:rFonts w:eastAsia="Times New Roman"/>
        </w:rPr>
        <w:t xml:space="preserve">an EMBA plate containing no antimicrobials was streaked with the faecal homogenate. Three </w:t>
      </w:r>
      <w:r w:rsidRPr="00DF19F1">
        <w:rPr>
          <w:rFonts w:eastAsia="Times New Roman"/>
        </w:rPr>
        <w:lastRenderedPageBreak/>
        <w:t xml:space="preserve">isolates morphologically consistent with </w:t>
      </w:r>
      <w:r w:rsidRPr="00DF19F1">
        <w:rPr>
          <w:rFonts w:eastAsia="Times New Roman"/>
          <w:i/>
        </w:rPr>
        <w:t>E. coli</w:t>
      </w:r>
      <w:r w:rsidRPr="00DF19F1">
        <w:rPr>
          <w:rFonts w:eastAsia="Times New Roman"/>
        </w:rPr>
        <w:t xml:space="preserve"> were selected for antimicrobial susceptibility testing. Therefore, it was possible to select a total of 19 isolates from each sample. The identity of </w:t>
      </w:r>
      <w:r w:rsidRPr="00DF19F1">
        <w:rPr>
          <w:rFonts w:eastAsia="Times New Roman"/>
          <w:i/>
        </w:rPr>
        <w:t xml:space="preserve">E. coli </w:t>
      </w:r>
      <w:r w:rsidRPr="00DF19F1">
        <w:rPr>
          <w:rFonts w:eastAsia="Times New Roman"/>
        </w:rPr>
        <w:t xml:space="preserve">isolates was confirmed by biochemical testing and a PCR assay to detect the </w:t>
      </w:r>
      <w:r w:rsidRPr="00DF19F1">
        <w:rPr>
          <w:rFonts w:eastAsia="Times New Roman"/>
          <w:i/>
        </w:rPr>
        <w:t xml:space="preserve">uidA </w:t>
      </w:r>
      <w:r w:rsidRPr="00DF19F1">
        <w:rPr>
          <w:rFonts w:eastAsia="Times New Roman"/>
        </w:rPr>
        <w:t xml:space="preserve">gene </w:t>
      </w:r>
      <w:r w:rsidRPr="00DF19F1">
        <w:rPr>
          <w:rFonts w:eastAsia="Times New Roman"/>
          <w:noProof/>
        </w:rPr>
        <w:t>(McDaniels et al., 1996)</w:t>
      </w:r>
      <w:r w:rsidRPr="00DF19F1">
        <w:rPr>
          <w:rFonts w:eastAsia="Times New Roman"/>
        </w:rPr>
        <w:t>.</w:t>
      </w:r>
    </w:p>
    <w:p w14:paraId="297E8ADD" w14:textId="77777777" w:rsidR="00C03618" w:rsidRPr="006B538F" w:rsidRDefault="00C03618" w:rsidP="00C03618">
      <w:pPr>
        <w:pStyle w:val="Heading2"/>
        <w:numPr>
          <w:ilvl w:val="1"/>
          <w:numId w:val="8"/>
        </w:numPr>
        <w:ind w:left="788" w:hanging="431"/>
      </w:pPr>
      <w:bookmarkStart w:id="1" w:name="_Toc327353015"/>
      <w:r w:rsidRPr="006B538F">
        <w:t>Antimicrobial susceptibility testing</w:t>
      </w:r>
      <w:bookmarkEnd w:id="1"/>
    </w:p>
    <w:p w14:paraId="76A1FDE0" w14:textId="77777777" w:rsidR="00C03618" w:rsidRDefault="00C03618" w:rsidP="00DF19F1">
      <w:pPr>
        <w:rPr>
          <w:rFonts w:cs="Times New Roman"/>
          <w:szCs w:val="24"/>
          <w:lang w:eastAsia="en-GB"/>
        </w:rPr>
      </w:pPr>
      <w:r w:rsidRPr="006B538F">
        <w:rPr>
          <w:rFonts w:cs="Times New Roman"/>
          <w:szCs w:val="24"/>
          <w:lang w:eastAsia="en-GB"/>
        </w:rPr>
        <w:t xml:space="preserve">Antimicrobial disc susceptibility testing following British Society for Antimicrobial Chemotherapy (BSAC) guidelines </w:t>
      </w:r>
      <w:r>
        <w:rPr>
          <w:rFonts w:cs="Times New Roman"/>
          <w:noProof/>
          <w:szCs w:val="24"/>
          <w:lang w:eastAsia="en-GB"/>
        </w:rPr>
        <w:t>(Andrews, 2007)</w:t>
      </w:r>
      <w:r w:rsidRPr="006B538F">
        <w:rPr>
          <w:rFonts w:cs="Times New Roman"/>
          <w:szCs w:val="24"/>
          <w:lang w:eastAsia="en-GB"/>
        </w:rPr>
        <w:t xml:space="preserve"> was performed on all isolates using the same antimicrobial discs as used for the isolation of </w:t>
      </w:r>
      <w:r w:rsidRPr="006B538F">
        <w:rPr>
          <w:rFonts w:cs="Times New Roman"/>
          <w:i/>
          <w:szCs w:val="24"/>
          <w:lang w:eastAsia="en-GB"/>
        </w:rPr>
        <w:t xml:space="preserve">E. coli </w:t>
      </w:r>
      <w:r w:rsidRPr="006B538F">
        <w:rPr>
          <w:rFonts w:cs="Times New Roman"/>
          <w:szCs w:val="24"/>
          <w:lang w:eastAsia="en-GB"/>
        </w:rPr>
        <w:t xml:space="preserve">above. Additionally, for potential ESBL or AmpC producing </w:t>
      </w:r>
      <w:r w:rsidRPr="006B538F">
        <w:rPr>
          <w:rFonts w:cs="Times New Roman"/>
          <w:i/>
          <w:szCs w:val="24"/>
          <w:lang w:eastAsia="en-GB"/>
        </w:rPr>
        <w:t xml:space="preserve">E. coli, </w:t>
      </w:r>
      <w:r w:rsidRPr="006B538F">
        <w:rPr>
          <w:rFonts w:cs="Times New Roman"/>
          <w:szCs w:val="24"/>
          <w:lang w:eastAsia="en-GB"/>
        </w:rPr>
        <w:t>an extended panel of antimicrobial discs were used:</w:t>
      </w:r>
      <w:r w:rsidRPr="006B538F">
        <w:rPr>
          <w:rFonts w:cs="Times New Roman"/>
          <w:szCs w:val="24"/>
        </w:rPr>
        <w:t xml:space="preserve"> aztreonam (30µg), ceftazidime (30µg), ceftriaxone (30µg), cefoxitin (30µg), cefuroxime (30µg), cefalexin (30µg), tazobactam (10µg), piperacillin (75µg) and trimethoprim-sulfamethoxazole (25µg). </w:t>
      </w:r>
      <w:r w:rsidRPr="006B538F">
        <w:rPr>
          <w:rFonts w:cs="Times New Roman"/>
          <w:szCs w:val="24"/>
          <w:lang w:eastAsia="en-GB"/>
        </w:rPr>
        <w:t xml:space="preserve">The reference strain </w:t>
      </w:r>
      <w:r w:rsidRPr="006B538F">
        <w:rPr>
          <w:rFonts w:cs="Times New Roman"/>
          <w:i/>
          <w:szCs w:val="24"/>
          <w:lang w:eastAsia="en-GB"/>
        </w:rPr>
        <w:t xml:space="preserve">E. coli </w:t>
      </w:r>
      <w:r w:rsidRPr="006B538F">
        <w:rPr>
          <w:rFonts w:cs="Times New Roman"/>
          <w:szCs w:val="24"/>
          <w:lang w:eastAsia="en-GB"/>
        </w:rPr>
        <w:t xml:space="preserve">ATCC 25922 was used as a fully sensitive control in all testing. Following overnight incubation at 37°C, the zone </w:t>
      </w:r>
      <w:r>
        <w:rPr>
          <w:rFonts w:cs="Times New Roman"/>
          <w:szCs w:val="24"/>
          <w:lang w:eastAsia="en-GB"/>
        </w:rPr>
        <w:t>diameters</w:t>
      </w:r>
      <w:r w:rsidRPr="006B538F">
        <w:rPr>
          <w:rFonts w:cs="Times New Roman"/>
          <w:szCs w:val="24"/>
          <w:lang w:eastAsia="en-GB"/>
        </w:rPr>
        <w:t xml:space="preserve"> in mm were recorded.</w:t>
      </w:r>
      <w:r>
        <w:rPr>
          <w:rFonts w:cs="Times New Roman"/>
          <w:szCs w:val="24"/>
          <w:lang w:eastAsia="en-GB"/>
        </w:rPr>
        <w:t xml:space="preserve"> For each sample, only one isolate per unique resistance phenotype was included in any subsequent testing. </w:t>
      </w:r>
      <w:bookmarkStart w:id="2" w:name="_Toc327353016"/>
    </w:p>
    <w:p w14:paraId="3F95600E" w14:textId="77777777" w:rsidR="00C03618" w:rsidRPr="00DF19F1" w:rsidRDefault="00C03618" w:rsidP="00C03618">
      <w:pPr>
        <w:pStyle w:val="Heading2"/>
        <w:numPr>
          <w:ilvl w:val="1"/>
          <w:numId w:val="8"/>
        </w:numPr>
        <w:ind w:left="788" w:hanging="431"/>
        <w:rPr>
          <w:rFonts w:eastAsia="Times New Roman"/>
        </w:rPr>
      </w:pPr>
      <w:r w:rsidRPr="006B538F">
        <w:t>Phenotypic confirmation of ESBL production</w:t>
      </w:r>
      <w:bookmarkEnd w:id="2"/>
      <w:r w:rsidRPr="006B538F">
        <w:t xml:space="preserve"> </w:t>
      </w:r>
    </w:p>
    <w:p w14:paraId="6092BF4B" w14:textId="77777777" w:rsidR="00C03618" w:rsidRPr="00DF19F1" w:rsidRDefault="00C03618" w:rsidP="00DF19F1">
      <w:r>
        <w:t>The paired disc diffusion test</w:t>
      </w:r>
      <w:r w:rsidRPr="00DF19F1">
        <w:t xml:space="preserve"> (MAST Group Ltd) was performed on isolates suspected of ESBL production, selected from the EMBA plates containing ceftazidime or cefotaxime. </w:t>
      </w:r>
      <w:r>
        <w:t xml:space="preserve"> </w:t>
      </w:r>
      <w:r w:rsidRPr="00DF19F1">
        <w:t>Following overnight incubation, the zone diameters in mm were recorded. Production of an ESBL by an isolate was confirmed if the zone diameter was expanded by at least 5mm in the presence of clavulanic acid. When an isolate showed resistance to a cephalosporin, with a difference in zone diameter less than 5mm this suggested the production of an AmpC β-lactamase, both an ESBL and an AmpC β-lactamase, or an inhibitor resistant ESBL.</w:t>
      </w:r>
    </w:p>
    <w:p w14:paraId="78C181A6" w14:textId="77777777" w:rsidR="00C03618" w:rsidRPr="006B538F" w:rsidRDefault="00C03618" w:rsidP="00C03618">
      <w:pPr>
        <w:pStyle w:val="Heading2"/>
        <w:numPr>
          <w:ilvl w:val="1"/>
          <w:numId w:val="8"/>
        </w:numPr>
        <w:ind w:left="788" w:hanging="431"/>
      </w:pPr>
      <w:r w:rsidRPr="006B538F">
        <w:t>Characterisation of ESBL and bla</w:t>
      </w:r>
      <w:r w:rsidRPr="006B538F">
        <w:rPr>
          <w:vertAlign w:val="subscript"/>
        </w:rPr>
        <w:t xml:space="preserve">AmpC </w:t>
      </w:r>
      <w:r w:rsidRPr="006B538F">
        <w:t>genes</w:t>
      </w:r>
    </w:p>
    <w:p w14:paraId="3297C29A" w14:textId="77777777" w:rsidR="00C03618" w:rsidRPr="006B538F" w:rsidRDefault="00C03618" w:rsidP="009150DC">
      <w:pPr>
        <w:rPr>
          <w:rFonts w:cs="Times New Roman"/>
          <w:szCs w:val="24"/>
        </w:rPr>
      </w:pPr>
      <w:r w:rsidRPr="006B538F">
        <w:rPr>
          <w:rFonts w:cs="Times New Roman"/>
          <w:szCs w:val="24"/>
        </w:rPr>
        <w:lastRenderedPageBreak/>
        <w:t xml:space="preserve">PCR was used to detect the presence of </w:t>
      </w:r>
      <w:r w:rsidRPr="006B538F">
        <w:rPr>
          <w:rFonts w:cs="Times New Roman"/>
          <w:i/>
          <w:szCs w:val="24"/>
        </w:rPr>
        <w:t>bla</w:t>
      </w:r>
      <w:r w:rsidRPr="006B538F">
        <w:rPr>
          <w:rFonts w:cs="Times New Roman"/>
          <w:szCs w:val="24"/>
          <w:vertAlign w:val="subscript"/>
        </w:rPr>
        <w:t>TEM</w:t>
      </w:r>
      <w:r w:rsidRPr="006B538F">
        <w:rPr>
          <w:rFonts w:cs="Times New Roman"/>
          <w:szCs w:val="24"/>
        </w:rPr>
        <w:t xml:space="preserve">, </w:t>
      </w:r>
      <w:r w:rsidRPr="006B538F">
        <w:rPr>
          <w:rFonts w:cs="Times New Roman"/>
          <w:i/>
          <w:szCs w:val="24"/>
        </w:rPr>
        <w:t>bla</w:t>
      </w:r>
      <w:r w:rsidRPr="006B538F">
        <w:rPr>
          <w:rFonts w:cs="Times New Roman"/>
          <w:szCs w:val="24"/>
          <w:vertAlign w:val="subscript"/>
        </w:rPr>
        <w:t>SHV</w:t>
      </w:r>
      <w:r w:rsidRPr="006B538F">
        <w:rPr>
          <w:rFonts w:cs="Times New Roman"/>
          <w:szCs w:val="24"/>
        </w:rPr>
        <w:t xml:space="preserve">, </w:t>
      </w:r>
      <w:r w:rsidRPr="006B538F">
        <w:rPr>
          <w:rFonts w:cs="Times New Roman"/>
          <w:i/>
          <w:szCs w:val="24"/>
        </w:rPr>
        <w:t>bla</w:t>
      </w:r>
      <w:r w:rsidRPr="006B538F">
        <w:rPr>
          <w:rFonts w:cs="Times New Roman"/>
          <w:szCs w:val="24"/>
          <w:vertAlign w:val="subscript"/>
        </w:rPr>
        <w:t xml:space="preserve">CTX-M </w:t>
      </w:r>
      <w:r w:rsidRPr="006B538F">
        <w:rPr>
          <w:rFonts w:cs="Times New Roman"/>
          <w:szCs w:val="24"/>
        </w:rPr>
        <w:t>and</w:t>
      </w:r>
      <w:r>
        <w:rPr>
          <w:rFonts w:cs="Times New Roman"/>
          <w:szCs w:val="24"/>
        </w:rPr>
        <w:t xml:space="preserve"> plasmid encoded</w:t>
      </w:r>
      <w:r w:rsidRPr="006B538F">
        <w:rPr>
          <w:rFonts w:cs="Times New Roman"/>
          <w:szCs w:val="24"/>
        </w:rPr>
        <w:t xml:space="preserve"> </w:t>
      </w:r>
      <w:r w:rsidRPr="006B538F">
        <w:rPr>
          <w:rFonts w:cs="Times New Roman"/>
          <w:i/>
          <w:szCs w:val="24"/>
        </w:rPr>
        <w:t>bla</w:t>
      </w:r>
      <w:r w:rsidRPr="006B538F">
        <w:rPr>
          <w:rFonts w:cs="Times New Roman"/>
          <w:szCs w:val="24"/>
          <w:vertAlign w:val="subscript"/>
        </w:rPr>
        <w:t xml:space="preserve">AmpC </w:t>
      </w:r>
      <w:r w:rsidRPr="006B538F">
        <w:rPr>
          <w:rFonts w:cs="Times New Roman"/>
          <w:szCs w:val="24"/>
        </w:rPr>
        <w:t xml:space="preserve">genes </w:t>
      </w:r>
      <w:r>
        <w:rPr>
          <w:rFonts w:cs="Times New Roman"/>
          <w:szCs w:val="24"/>
        </w:rPr>
        <w:t>as</w:t>
      </w:r>
      <w:r w:rsidRPr="006B538F">
        <w:rPr>
          <w:rFonts w:cs="Times New Roman"/>
          <w:szCs w:val="24"/>
        </w:rPr>
        <w:t xml:space="preserve"> previously described </w:t>
      </w:r>
      <w:r>
        <w:rPr>
          <w:rFonts w:cs="Times New Roman"/>
          <w:noProof/>
          <w:szCs w:val="24"/>
        </w:rPr>
        <w:t>(Batchelor et al., 2005; Boyd et al., 2004; Essack et al., 2001; Perez-Perez and Hanson, 2002)</w:t>
      </w:r>
      <w:r w:rsidRPr="006B538F">
        <w:rPr>
          <w:rFonts w:cs="Times New Roman"/>
          <w:szCs w:val="24"/>
        </w:rPr>
        <w:t xml:space="preserve">. For </w:t>
      </w:r>
      <w:r w:rsidRPr="006B538F">
        <w:rPr>
          <w:rFonts w:cs="Times New Roman"/>
          <w:i/>
          <w:szCs w:val="24"/>
        </w:rPr>
        <w:t>bla</w:t>
      </w:r>
      <w:r w:rsidRPr="006B538F">
        <w:rPr>
          <w:rFonts w:cs="Times New Roman"/>
          <w:szCs w:val="24"/>
          <w:vertAlign w:val="subscript"/>
        </w:rPr>
        <w:t xml:space="preserve">CTX-M </w:t>
      </w:r>
      <w:r w:rsidRPr="006B538F">
        <w:rPr>
          <w:rFonts w:cs="Times New Roman"/>
          <w:szCs w:val="24"/>
        </w:rPr>
        <w:t>positive</w:t>
      </w:r>
      <w:r>
        <w:rPr>
          <w:rFonts w:cs="Times New Roman"/>
          <w:szCs w:val="24"/>
        </w:rPr>
        <w:t xml:space="preserve"> isolates</w:t>
      </w:r>
      <w:r w:rsidRPr="006B538F">
        <w:rPr>
          <w:rFonts w:cs="Times New Roman"/>
          <w:szCs w:val="24"/>
        </w:rPr>
        <w:t xml:space="preserve">, assignment of the specific </w:t>
      </w:r>
      <w:r w:rsidRPr="006B538F">
        <w:rPr>
          <w:rFonts w:cs="Times New Roman"/>
          <w:i/>
          <w:szCs w:val="24"/>
        </w:rPr>
        <w:t>bla</w:t>
      </w:r>
      <w:r w:rsidRPr="006B538F">
        <w:rPr>
          <w:rFonts w:cs="Times New Roman"/>
          <w:szCs w:val="24"/>
          <w:vertAlign w:val="subscript"/>
        </w:rPr>
        <w:t xml:space="preserve">CTX-M </w:t>
      </w:r>
      <w:r w:rsidRPr="006B538F">
        <w:rPr>
          <w:rFonts w:cs="Times New Roman"/>
          <w:szCs w:val="24"/>
        </w:rPr>
        <w:t xml:space="preserve">gene group was carried out </w:t>
      </w:r>
      <w:r>
        <w:rPr>
          <w:rFonts w:cs="Times New Roman"/>
          <w:noProof/>
          <w:szCs w:val="24"/>
        </w:rPr>
        <w:t>(Batchelor et al., 2005; Boyd et al., 2004)</w:t>
      </w:r>
      <w:r w:rsidRPr="006B538F">
        <w:rPr>
          <w:rFonts w:cs="Times New Roman"/>
          <w:szCs w:val="24"/>
        </w:rPr>
        <w:t xml:space="preserve">, followed by sequencing of the PCR </w:t>
      </w:r>
      <w:r>
        <w:rPr>
          <w:rFonts w:cs="Times New Roman"/>
          <w:szCs w:val="24"/>
        </w:rPr>
        <w:t>amplicon</w:t>
      </w:r>
      <w:r w:rsidRPr="006B538F">
        <w:rPr>
          <w:rFonts w:cs="Times New Roman"/>
          <w:szCs w:val="24"/>
        </w:rPr>
        <w:t xml:space="preserve">. For </w:t>
      </w:r>
      <w:r w:rsidRPr="006B538F">
        <w:rPr>
          <w:rFonts w:cs="Times New Roman"/>
          <w:i/>
          <w:szCs w:val="24"/>
        </w:rPr>
        <w:t>bla</w:t>
      </w:r>
      <w:r w:rsidRPr="006B538F">
        <w:rPr>
          <w:rFonts w:cs="Times New Roman"/>
          <w:szCs w:val="24"/>
          <w:vertAlign w:val="subscript"/>
        </w:rPr>
        <w:t>CMY</w:t>
      </w:r>
      <w:r w:rsidRPr="006B538F">
        <w:rPr>
          <w:rFonts w:cs="Times New Roman"/>
          <w:szCs w:val="24"/>
        </w:rPr>
        <w:t xml:space="preserve"> </w:t>
      </w:r>
      <w:r>
        <w:rPr>
          <w:rFonts w:cs="Times New Roman"/>
          <w:szCs w:val="24"/>
        </w:rPr>
        <w:t>positive isolates</w:t>
      </w:r>
      <w:r w:rsidRPr="006B538F">
        <w:rPr>
          <w:rFonts w:cs="Times New Roman"/>
          <w:szCs w:val="24"/>
        </w:rPr>
        <w:t xml:space="preserve">, the gene was amplified </w:t>
      </w:r>
      <w:r>
        <w:rPr>
          <w:rFonts w:cs="Times New Roman"/>
          <w:noProof/>
          <w:szCs w:val="24"/>
        </w:rPr>
        <w:t>(Liebana et al., 2004)</w:t>
      </w:r>
      <w:r>
        <w:rPr>
          <w:rFonts w:cs="Times New Roman"/>
          <w:szCs w:val="24"/>
        </w:rPr>
        <w:t>, with</w:t>
      </w:r>
      <w:r w:rsidRPr="006B538F">
        <w:rPr>
          <w:rFonts w:cs="Times New Roman"/>
          <w:szCs w:val="24"/>
        </w:rPr>
        <w:t xml:space="preserve"> </w:t>
      </w:r>
      <w:r>
        <w:rPr>
          <w:rFonts w:cs="Times New Roman"/>
          <w:szCs w:val="24"/>
        </w:rPr>
        <w:t>a</w:t>
      </w:r>
      <w:r w:rsidRPr="006B538F">
        <w:rPr>
          <w:rFonts w:cs="Times New Roman"/>
          <w:szCs w:val="24"/>
        </w:rPr>
        <w:t>n additional set of internal primers (CITMf and CITMr)</w:t>
      </w:r>
      <w:r>
        <w:rPr>
          <w:rFonts w:cs="Times New Roman"/>
          <w:szCs w:val="24"/>
        </w:rPr>
        <w:t xml:space="preserve"> used for sequencing</w:t>
      </w:r>
      <w:r w:rsidRPr="006B538F">
        <w:rPr>
          <w:rFonts w:cs="Times New Roman"/>
          <w:szCs w:val="24"/>
        </w:rPr>
        <w:t xml:space="preserve"> </w:t>
      </w:r>
      <w:r>
        <w:rPr>
          <w:rFonts w:cs="Times New Roman"/>
          <w:noProof/>
          <w:szCs w:val="24"/>
        </w:rPr>
        <w:t>(Perez-Perez and Hanson, 2002)</w:t>
      </w:r>
      <w:r w:rsidRPr="006B538F">
        <w:rPr>
          <w:rFonts w:cs="Times New Roman"/>
          <w:szCs w:val="24"/>
        </w:rPr>
        <w:t>. All sequences were compared to those</w:t>
      </w:r>
      <w:r w:rsidRPr="006B538F">
        <w:rPr>
          <w:rFonts w:cs="Times New Roman"/>
          <w:bCs/>
          <w:szCs w:val="24"/>
        </w:rPr>
        <w:t xml:space="preserve"> submitted to GenBank (</w:t>
      </w:r>
      <w:hyperlink r:id="rId6" w:history="1">
        <w:r w:rsidRPr="006B538F">
          <w:rPr>
            <w:rStyle w:val="Hyperlink"/>
            <w:rFonts w:cs="Times New Roman"/>
            <w:szCs w:val="24"/>
          </w:rPr>
          <w:t>http://www.ncbi.nlm.nih.gov/genbank/</w:t>
        </w:r>
      </w:hyperlink>
      <w:r w:rsidRPr="006B538F">
        <w:rPr>
          <w:rFonts w:cs="Times New Roman"/>
          <w:bCs/>
          <w:szCs w:val="24"/>
        </w:rPr>
        <w:t xml:space="preserve">) to determine the specific </w:t>
      </w:r>
      <w:r w:rsidRPr="006B538F">
        <w:rPr>
          <w:rFonts w:cs="Times New Roman"/>
          <w:i/>
          <w:szCs w:val="24"/>
        </w:rPr>
        <w:t>bla</w:t>
      </w:r>
      <w:r w:rsidRPr="006B538F">
        <w:rPr>
          <w:rFonts w:cs="Times New Roman"/>
          <w:szCs w:val="24"/>
          <w:vertAlign w:val="subscript"/>
        </w:rPr>
        <w:t xml:space="preserve">CTX-M </w:t>
      </w:r>
      <w:r w:rsidRPr="006B538F">
        <w:rPr>
          <w:rFonts w:cs="Times New Roman"/>
          <w:szCs w:val="24"/>
        </w:rPr>
        <w:t xml:space="preserve">or </w:t>
      </w:r>
      <w:r w:rsidRPr="006B538F">
        <w:rPr>
          <w:rFonts w:cs="Times New Roman"/>
          <w:i/>
          <w:szCs w:val="24"/>
        </w:rPr>
        <w:t>bla</w:t>
      </w:r>
      <w:r w:rsidRPr="006B538F">
        <w:rPr>
          <w:rFonts w:cs="Times New Roman"/>
          <w:szCs w:val="24"/>
          <w:vertAlign w:val="subscript"/>
        </w:rPr>
        <w:t xml:space="preserve">CMY </w:t>
      </w:r>
      <w:r w:rsidRPr="006B538F">
        <w:rPr>
          <w:rFonts w:cs="Times New Roman"/>
          <w:bCs/>
          <w:szCs w:val="24"/>
        </w:rPr>
        <w:t>gene.</w:t>
      </w:r>
      <w:r>
        <w:rPr>
          <w:rFonts w:cs="Times New Roman"/>
          <w:bCs/>
          <w:szCs w:val="24"/>
        </w:rPr>
        <w:t xml:space="preserve"> In all PCRs, a positive control, known to harbour the target gene in previous PCR assays, was included. </w:t>
      </w:r>
    </w:p>
    <w:p w14:paraId="03116D2F" w14:textId="77777777" w:rsidR="00C03618" w:rsidRPr="006B538F" w:rsidRDefault="00C03618" w:rsidP="00C03618">
      <w:pPr>
        <w:pStyle w:val="Heading2"/>
        <w:numPr>
          <w:ilvl w:val="1"/>
          <w:numId w:val="8"/>
        </w:numPr>
        <w:ind w:left="788" w:hanging="431"/>
      </w:pPr>
      <w:r w:rsidRPr="006B538F">
        <w:t>DNA microarray analysis of E. coli</w:t>
      </w:r>
    </w:p>
    <w:p w14:paraId="4E965261" w14:textId="77777777" w:rsidR="00C03618" w:rsidRDefault="00C03618" w:rsidP="00DF19F1">
      <w:pPr>
        <w:rPr>
          <w:rFonts w:cs="Times New Roman"/>
          <w:szCs w:val="24"/>
        </w:rPr>
      </w:pPr>
      <w:r w:rsidRPr="006B538F">
        <w:rPr>
          <w:rFonts w:cs="Times New Roman"/>
          <w:szCs w:val="24"/>
        </w:rPr>
        <w:t>Isolates</w:t>
      </w:r>
      <w:r>
        <w:rPr>
          <w:rFonts w:cs="Times New Roman"/>
          <w:szCs w:val="24"/>
        </w:rPr>
        <w:t xml:space="preserve"> for DNA microarray analysis</w:t>
      </w:r>
      <w:r w:rsidRPr="006B538F">
        <w:rPr>
          <w:rFonts w:cs="Times New Roman"/>
          <w:szCs w:val="24"/>
        </w:rPr>
        <w:t xml:space="preserve"> were chosen due to their </w:t>
      </w:r>
      <w:r>
        <w:rPr>
          <w:rFonts w:cs="Times New Roman"/>
          <w:szCs w:val="24"/>
        </w:rPr>
        <w:t xml:space="preserve">phenotypic </w:t>
      </w:r>
      <w:r w:rsidRPr="006B538F">
        <w:rPr>
          <w:rFonts w:cs="Times New Roman"/>
          <w:szCs w:val="24"/>
        </w:rPr>
        <w:t>resistance to multiple classes of antimicrobials</w:t>
      </w:r>
      <w:r>
        <w:rPr>
          <w:rFonts w:cs="Times New Roman"/>
          <w:szCs w:val="24"/>
        </w:rPr>
        <w:t xml:space="preserve"> and</w:t>
      </w:r>
      <w:r w:rsidRPr="006B538F">
        <w:rPr>
          <w:rFonts w:cs="Times New Roman"/>
          <w:szCs w:val="24"/>
        </w:rPr>
        <w:t xml:space="preserve"> includ</w:t>
      </w:r>
      <w:r>
        <w:rPr>
          <w:rFonts w:cs="Times New Roman"/>
          <w:szCs w:val="24"/>
        </w:rPr>
        <w:t>ed</w:t>
      </w:r>
      <w:r w:rsidRPr="006B538F">
        <w:rPr>
          <w:rFonts w:cs="Times New Roman"/>
          <w:szCs w:val="24"/>
        </w:rPr>
        <w:t xml:space="preserve"> all isolates positive for carriage of a </w:t>
      </w:r>
      <w:r w:rsidRPr="00FE68CA">
        <w:rPr>
          <w:rFonts w:cs="Times New Roman"/>
          <w:i/>
          <w:szCs w:val="24"/>
        </w:rPr>
        <w:t>bla</w:t>
      </w:r>
      <w:r w:rsidRPr="00FE68CA">
        <w:rPr>
          <w:rFonts w:cs="Times New Roman"/>
          <w:szCs w:val="24"/>
          <w:vertAlign w:val="subscript"/>
        </w:rPr>
        <w:t xml:space="preserve">CTX-M </w:t>
      </w:r>
      <w:r w:rsidRPr="006B538F">
        <w:rPr>
          <w:rFonts w:cs="Times New Roman"/>
          <w:szCs w:val="24"/>
        </w:rPr>
        <w:t xml:space="preserve">gene and a selection of those </w:t>
      </w:r>
      <w:r>
        <w:rPr>
          <w:rFonts w:cs="Times New Roman"/>
          <w:szCs w:val="24"/>
        </w:rPr>
        <w:t>carrying</w:t>
      </w:r>
      <w:r w:rsidRPr="006B538F">
        <w:rPr>
          <w:rFonts w:cs="Times New Roman"/>
          <w:szCs w:val="24"/>
        </w:rPr>
        <w:t xml:space="preserve"> </w:t>
      </w:r>
      <w:r w:rsidRPr="00FE68CA">
        <w:rPr>
          <w:rFonts w:cs="Times New Roman"/>
          <w:i/>
          <w:szCs w:val="24"/>
        </w:rPr>
        <w:t>bla</w:t>
      </w:r>
      <w:r w:rsidRPr="00FE68CA">
        <w:rPr>
          <w:rFonts w:cs="Times New Roman"/>
          <w:szCs w:val="24"/>
          <w:vertAlign w:val="subscript"/>
        </w:rPr>
        <w:t>TEM</w:t>
      </w:r>
      <w:r w:rsidRPr="006B538F">
        <w:rPr>
          <w:rFonts w:cs="Times New Roman"/>
          <w:szCs w:val="24"/>
        </w:rPr>
        <w:t xml:space="preserve"> </w:t>
      </w:r>
      <w:r>
        <w:rPr>
          <w:rFonts w:cs="Times New Roman"/>
          <w:szCs w:val="24"/>
        </w:rPr>
        <w:t>and/</w:t>
      </w:r>
      <w:r w:rsidRPr="006B538F">
        <w:rPr>
          <w:rFonts w:cs="Times New Roman"/>
          <w:szCs w:val="24"/>
        </w:rPr>
        <w:t>or</w:t>
      </w:r>
      <w:r>
        <w:rPr>
          <w:rFonts w:cs="Times New Roman"/>
          <w:szCs w:val="24"/>
        </w:rPr>
        <w:t xml:space="preserve"> plasmid encoded</w:t>
      </w:r>
      <w:r w:rsidRPr="006B538F">
        <w:rPr>
          <w:rFonts w:cs="Times New Roman"/>
          <w:szCs w:val="24"/>
        </w:rPr>
        <w:t xml:space="preserve"> </w:t>
      </w:r>
      <w:r w:rsidRPr="00FE68CA">
        <w:rPr>
          <w:rFonts w:cs="Times New Roman"/>
          <w:i/>
          <w:szCs w:val="24"/>
        </w:rPr>
        <w:t>bla</w:t>
      </w:r>
      <w:r w:rsidRPr="00FE68CA">
        <w:rPr>
          <w:rFonts w:cs="Times New Roman"/>
          <w:szCs w:val="24"/>
          <w:vertAlign w:val="subscript"/>
        </w:rPr>
        <w:t>AmpC</w:t>
      </w:r>
      <w:r w:rsidRPr="006B538F">
        <w:rPr>
          <w:rFonts w:cs="Times New Roman"/>
          <w:szCs w:val="24"/>
        </w:rPr>
        <w:t xml:space="preserve"> genes.</w:t>
      </w:r>
      <w:r>
        <w:rPr>
          <w:rFonts w:cs="Times New Roman"/>
          <w:szCs w:val="24"/>
        </w:rPr>
        <w:t xml:space="preserve"> These</w:t>
      </w:r>
      <w:r w:rsidRPr="006B538F">
        <w:rPr>
          <w:rFonts w:cs="Times New Roman"/>
          <w:szCs w:val="24"/>
        </w:rPr>
        <w:t xml:space="preserve"> </w:t>
      </w:r>
      <w:r w:rsidRPr="0034543A">
        <w:rPr>
          <w:rFonts w:cs="Times New Roman"/>
          <w:i/>
          <w:szCs w:val="24"/>
        </w:rPr>
        <w:t xml:space="preserve">E. coli </w:t>
      </w:r>
      <w:r w:rsidRPr="006B538F">
        <w:rPr>
          <w:rFonts w:cs="Times New Roman"/>
          <w:szCs w:val="24"/>
        </w:rPr>
        <w:t xml:space="preserve">isolates were subjected to DNA microarray based chip analysis using </w:t>
      </w:r>
      <w:r>
        <w:rPr>
          <w:rFonts w:cs="Times New Roman"/>
          <w:szCs w:val="24"/>
        </w:rPr>
        <w:t>Alere</w:t>
      </w:r>
      <w:r w:rsidRPr="0034543A">
        <w:rPr>
          <w:rFonts w:cs="Times New Roman"/>
          <w:i/>
          <w:szCs w:val="24"/>
        </w:rPr>
        <w:t xml:space="preserve"> </w:t>
      </w:r>
      <w:r>
        <w:rPr>
          <w:rFonts w:cs="Times New Roman"/>
          <w:i/>
          <w:szCs w:val="24"/>
        </w:rPr>
        <w:t>E. coli</w:t>
      </w:r>
      <w:r w:rsidRPr="00804FAF">
        <w:rPr>
          <w:rFonts w:cs="Times New Roman"/>
          <w:szCs w:val="24"/>
        </w:rPr>
        <w:t xml:space="preserve"> and Alere AMR–ve </w:t>
      </w:r>
      <w:r>
        <w:rPr>
          <w:rFonts w:cs="Times New Roman"/>
          <w:szCs w:val="24"/>
        </w:rPr>
        <w:t xml:space="preserve"> chips</w:t>
      </w:r>
      <w:r w:rsidRPr="00804FAF">
        <w:rPr>
          <w:rFonts w:cs="Times New Roman"/>
          <w:szCs w:val="24"/>
        </w:rPr>
        <w:t xml:space="preserve"> according to the manufacturer’s instructions (Alere Technologies, Jena, Germany). Alere </w:t>
      </w:r>
      <w:r w:rsidRPr="00804FAF">
        <w:rPr>
          <w:rFonts w:cs="Times New Roman"/>
          <w:i/>
          <w:szCs w:val="24"/>
        </w:rPr>
        <w:t>E. coli</w:t>
      </w:r>
      <w:r w:rsidRPr="00804FAF">
        <w:rPr>
          <w:rFonts w:cs="Times New Roman"/>
          <w:szCs w:val="24"/>
        </w:rPr>
        <w:t xml:space="preserve"> array detects the presence of virulence </w:t>
      </w:r>
      <w:r>
        <w:rPr>
          <w:rFonts w:cs="Times New Roman"/>
          <w:szCs w:val="24"/>
        </w:rPr>
        <w:t xml:space="preserve">associated </w:t>
      </w:r>
      <w:r>
        <w:rPr>
          <w:rFonts w:cs="Times New Roman"/>
          <w:i/>
          <w:szCs w:val="24"/>
        </w:rPr>
        <w:t xml:space="preserve">E. coli </w:t>
      </w:r>
      <w:r w:rsidRPr="00804FAF">
        <w:rPr>
          <w:rFonts w:cs="Times New Roman"/>
          <w:szCs w:val="24"/>
        </w:rPr>
        <w:t>genes</w:t>
      </w:r>
      <w:r w:rsidRPr="006B538F">
        <w:rPr>
          <w:rFonts w:cs="Times New Roman"/>
          <w:szCs w:val="24"/>
        </w:rPr>
        <w:t xml:space="preserve">. </w:t>
      </w:r>
      <w:r>
        <w:rPr>
          <w:rFonts w:cs="Times New Roman"/>
          <w:szCs w:val="24"/>
        </w:rPr>
        <w:t>Alere</w:t>
      </w:r>
      <w:r w:rsidRPr="006B538F">
        <w:rPr>
          <w:rFonts w:cs="Times New Roman"/>
          <w:szCs w:val="24"/>
        </w:rPr>
        <w:t xml:space="preserve"> AMR-ve detects the presence of genes responsible for resistance to a selection of antimicrobials</w:t>
      </w:r>
      <w:r>
        <w:rPr>
          <w:rFonts w:cs="Times New Roman"/>
          <w:szCs w:val="24"/>
        </w:rPr>
        <w:t xml:space="preserve"> in Gram negative bacteria.</w:t>
      </w:r>
    </w:p>
    <w:p w14:paraId="77E336D1" w14:textId="77777777" w:rsidR="00C03618" w:rsidRPr="006B538F" w:rsidRDefault="00C03618" w:rsidP="00C03618">
      <w:pPr>
        <w:pStyle w:val="Heading2"/>
        <w:numPr>
          <w:ilvl w:val="1"/>
          <w:numId w:val="8"/>
        </w:numPr>
        <w:ind w:left="788" w:hanging="431"/>
      </w:pPr>
      <w:r w:rsidRPr="006B538F">
        <w:t>Multi-Locus Sequence Typing analysis of E. coli</w:t>
      </w:r>
    </w:p>
    <w:p w14:paraId="62BAF020" w14:textId="77777777" w:rsidR="00C03618" w:rsidRPr="006B538F" w:rsidRDefault="00C03618" w:rsidP="009150DC">
      <w:pPr>
        <w:rPr>
          <w:rFonts w:cs="Times New Roman"/>
          <w:szCs w:val="24"/>
        </w:rPr>
      </w:pPr>
      <w:r w:rsidRPr="006B538F">
        <w:rPr>
          <w:rFonts w:cs="Times New Roman"/>
          <w:szCs w:val="24"/>
        </w:rPr>
        <w:t>M</w:t>
      </w:r>
      <w:r>
        <w:rPr>
          <w:rFonts w:cs="Times New Roman"/>
          <w:szCs w:val="24"/>
        </w:rPr>
        <w:t>ulti-locus sequence typing (ML</w:t>
      </w:r>
      <w:r w:rsidRPr="006B538F">
        <w:rPr>
          <w:rFonts w:cs="Times New Roman"/>
          <w:szCs w:val="24"/>
        </w:rPr>
        <w:t>ST</w:t>
      </w:r>
      <w:r>
        <w:rPr>
          <w:rFonts w:cs="Times New Roman"/>
          <w:szCs w:val="24"/>
        </w:rPr>
        <w:t>)</w:t>
      </w:r>
      <w:r w:rsidRPr="006B538F">
        <w:rPr>
          <w:rFonts w:cs="Times New Roman"/>
          <w:szCs w:val="24"/>
        </w:rPr>
        <w:t xml:space="preserve"> of the isolates</w:t>
      </w:r>
      <w:r>
        <w:rPr>
          <w:rFonts w:cs="Times New Roman"/>
          <w:szCs w:val="24"/>
        </w:rPr>
        <w:t xml:space="preserve"> selected for DNA microarray analysis</w:t>
      </w:r>
      <w:r w:rsidRPr="006B538F">
        <w:rPr>
          <w:rFonts w:cs="Times New Roman"/>
          <w:szCs w:val="24"/>
        </w:rPr>
        <w:t xml:space="preserve"> was carried out as previously described </w:t>
      </w:r>
      <w:r>
        <w:rPr>
          <w:rFonts w:cs="Times New Roman"/>
          <w:noProof/>
          <w:szCs w:val="24"/>
        </w:rPr>
        <w:t>(Wirth et al., 2006)</w:t>
      </w:r>
      <w:r>
        <w:rPr>
          <w:rFonts w:cs="Times New Roman"/>
          <w:szCs w:val="24"/>
        </w:rPr>
        <w:t xml:space="preserve">, </w:t>
      </w:r>
      <w:hyperlink r:id="rId7" w:history="1">
        <w:r w:rsidRPr="006B538F">
          <w:rPr>
            <w:rStyle w:val="Hyperlink"/>
            <w:rFonts w:cs="Times New Roman"/>
            <w:szCs w:val="24"/>
          </w:rPr>
          <w:t>http://mlst.ucc.ie/mlst/dbs/Ecoli</w:t>
        </w:r>
      </w:hyperlink>
      <w:r w:rsidRPr="006B538F">
        <w:rPr>
          <w:rFonts w:cs="Times New Roman"/>
          <w:szCs w:val="24"/>
        </w:rPr>
        <w:t xml:space="preserve">. </w:t>
      </w:r>
    </w:p>
    <w:p w14:paraId="389AF3BC" w14:textId="77777777" w:rsidR="00C03618" w:rsidRPr="006B538F" w:rsidRDefault="00C03618" w:rsidP="00C03618">
      <w:pPr>
        <w:pStyle w:val="Heading2"/>
        <w:numPr>
          <w:ilvl w:val="1"/>
          <w:numId w:val="8"/>
        </w:numPr>
        <w:ind w:left="788" w:hanging="431"/>
      </w:pPr>
      <w:bookmarkStart w:id="3" w:name="_Toc327353018"/>
      <w:r w:rsidRPr="006B538F">
        <w:t>Statistical analysis</w:t>
      </w:r>
      <w:bookmarkEnd w:id="3"/>
    </w:p>
    <w:p w14:paraId="2B8553A8" w14:textId="77777777" w:rsidR="00C03618" w:rsidRDefault="00C03618" w:rsidP="009150DC">
      <w:r>
        <w:rPr>
          <w:rFonts w:cs="Times New Roman"/>
          <w:szCs w:val="24"/>
          <w:lang w:eastAsia="en-GB"/>
        </w:rPr>
        <w:t>Four</w:t>
      </w:r>
      <w:r w:rsidRPr="006B538F">
        <w:rPr>
          <w:rFonts w:cs="Times New Roman"/>
          <w:szCs w:val="24"/>
          <w:lang w:eastAsia="en-GB"/>
        </w:rPr>
        <w:t xml:space="preserve"> different outcomes (</w:t>
      </w:r>
      <w:r>
        <w:rPr>
          <w:rFonts w:cs="Times New Roman"/>
          <w:szCs w:val="24"/>
          <w:lang w:eastAsia="en-GB"/>
        </w:rPr>
        <w:t>fluoroquinolone resistance, MDR</w:t>
      </w:r>
      <w:r w:rsidRPr="006B538F">
        <w:rPr>
          <w:rFonts w:cs="Times New Roman"/>
          <w:szCs w:val="24"/>
          <w:lang w:eastAsia="en-GB"/>
        </w:rPr>
        <w:t>, ESBL</w:t>
      </w:r>
      <w:r>
        <w:rPr>
          <w:rFonts w:cs="Times New Roman"/>
          <w:szCs w:val="24"/>
          <w:lang w:eastAsia="en-GB"/>
        </w:rPr>
        <w:t>-</w:t>
      </w:r>
      <w:r w:rsidRPr="006B538F">
        <w:rPr>
          <w:rFonts w:cs="Times New Roman"/>
          <w:szCs w:val="24"/>
          <w:lang w:eastAsia="en-GB"/>
        </w:rPr>
        <w:t>producing</w:t>
      </w:r>
      <w:r>
        <w:rPr>
          <w:rFonts w:cs="Times New Roman"/>
          <w:szCs w:val="24"/>
          <w:lang w:eastAsia="en-GB"/>
        </w:rPr>
        <w:t xml:space="preserve"> </w:t>
      </w:r>
      <w:r>
        <w:rPr>
          <w:rFonts w:cs="Times New Roman"/>
          <w:i/>
          <w:szCs w:val="24"/>
          <w:lang w:eastAsia="en-GB"/>
        </w:rPr>
        <w:t>E. coli</w:t>
      </w:r>
      <w:r>
        <w:rPr>
          <w:rFonts w:cs="Times New Roman"/>
          <w:szCs w:val="24"/>
          <w:lang w:eastAsia="en-GB"/>
        </w:rPr>
        <w:t xml:space="preserve"> and pAmpC-producing</w:t>
      </w:r>
      <w:r w:rsidRPr="006B538F">
        <w:rPr>
          <w:rFonts w:cs="Times New Roman"/>
          <w:szCs w:val="24"/>
          <w:lang w:eastAsia="en-GB"/>
        </w:rPr>
        <w:t xml:space="preserve"> </w:t>
      </w:r>
      <w:r w:rsidRPr="006B538F">
        <w:rPr>
          <w:rFonts w:cs="Times New Roman"/>
          <w:i/>
          <w:szCs w:val="24"/>
          <w:lang w:eastAsia="en-GB"/>
        </w:rPr>
        <w:t>E. coli</w:t>
      </w:r>
      <w:r w:rsidRPr="006B538F">
        <w:rPr>
          <w:rFonts w:cs="Times New Roman"/>
          <w:szCs w:val="24"/>
          <w:lang w:eastAsia="en-GB"/>
        </w:rPr>
        <w:t xml:space="preserve">) were tested for associations with explanatory variables </w:t>
      </w:r>
      <w:r w:rsidRPr="006B538F">
        <w:rPr>
          <w:rFonts w:cs="Times New Roman"/>
          <w:szCs w:val="24"/>
          <w:lang w:eastAsia="en-GB"/>
        </w:rPr>
        <w:lastRenderedPageBreak/>
        <w:t xml:space="preserve">(questionnaire responses) using </w:t>
      </w:r>
      <w:r>
        <w:rPr>
          <w:rFonts w:cs="Times New Roman"/>
          <w:szCs w:val="24"/>
          <w:lang w:eastAsia="en-GB"/>
        </w:rPr>
        <w:t>univariable</w:t>
      </w:r>
      <w:r w:rsidRPr="006B538F">
        <w:rPr>
          <w:rFonts w:cs="Times New Roman"/>
          <w:szCs w:val="24"/>
          <w:lang w:eastAsia="en-GB"/>
        </w:rPr>
        <w:t xml:space="preserve"> logistic regression.</w:t>
      </w:r>
      <w:r>
        <w:rPr>
          <w:rFonts w:cs="Times New Roman"/>
          <w:szCs w:val="24"/>
          <w:lang w:eastAsia="en-GB"/>
        </w:rPr>
        <w:t xml:space="preserve"> In all models, clustering at the practice level was taken into account by including the practice as a mixed effect in the models </w:t>
      </w:r>
      <w:r w:rsidRPr="002917F2">
        <w:rPr>
          <w:rFonts w:cs="Times New Roman"/>
          <w:szCs w:val="24"/>
          <w:lang w:eastAsia="en-GB"/>
        </w:rPr>
        <w:t>constructed. A likelihood ratio test (LRT) comparing the models with and without each of the explanatory variables was performed</w:t>
      </w:r>
      <w:r>
        <w:rPr>
          <w:rFonts w:cs="Times New Roman"/>
          <w:szCs w:val="24"/>
          <w:lang w:eastAsia="en-GB"/>
        </w:rPr>
        <w:t xml:space="preserve">. </w:t>
      </w:r>
      <w:r w:rsidRPr="006B538F">
        <w:rPr>
          <w:rFonts w:cs="Times New Roman"/>
          <w:szCs w:val="24"/>
          <w:lang w:eastAsia="en-GB"/>
        </w:rPr>
        <w:t>Associations were considered statistically significant if P&lt;0.05.</w:t>
      </w:r>
      <w:r>
        <w:rPr>
          <w:rFonts w:cs="Times New Roman"/>
          <w:szCs w:val="24"/>
          <w:lang w:eastAsia="en-GB"/>
        </w:rPr>
        <w:t xml:space="preserve"> For variables with small numbers, categories were grouped together. Also, the reference category was changed if this was considered appropriate. For example, for length of prescription of antimicrobials, “none prescribed” was made the reference category. For variables with zero cells, a Fisher’s exact test was carried out to determine if there was a significant association between the outcome and the response variable. If significant, a false positive was added to the dataset for the purposes of construction of a multivariable model. A multivariable model was constructed including all those variables with a P-value less than 0.3. Backwards elimination was used where removal of each variable from the full model as assessed by the likelihood ratio test and the variable with the highest P-value was removed. This process was repeated until only those variables whose removal resulted in a LRT P-value of less than 0.05 remained. Each variable that had been removed was then sequentially added back in and a LRT performed to test whether the variable should remain in the final model. </w:t>
      </w:r>
      <w:r w:rsidRPr="006B538F">
        <w:rPr>
          <w:rFonts w:cs="Times New Roman"/>
          <w:szCs w:val="24"/>
          <w:lang w:eastAsia="en-GB"/>
        </w:rPr>
        <w:t>Where the final model included more than two variables, tests for interactions between the variables were carried out</w:t>
      </w:r>
      <w:r>
        <w:rPr>
          <w:rFonts w:cs="Times New Roman"/>
          <w:szCs w:val="24"/>
          <w:lang w:eastAsia="en-GB"/>
        </w:rPr>
        <w:t xml:space="preserve"> and interactions with </w:t>
      </w:r>
      <w:r w:rsidRPr="006B538F">
        <w:rPr>
          <w:rFonts w:cs="Times New Roman"/>
          <w:szCs w:val="24"/>
          <w:lang w:eastAsia="en-GB"/>
        </w:rPr>
        <w:t xml:space="preserve">P-value of less than 0.05 </w:t>
      </w:r>
      <w:r>
        <w:rPr>
          <w:rFonts w:cs="Times New Roman"/>
          <w:szCs w:val="24"/>
          <w:lang w:eastAsia="en-GB"/>
        </w:rPr>
        <w:t>were</w:t>
      </w:r>
      <w:r w:rsidRPr="006B538F">
        <w:rPr>
          <w:rFonts w:cs="Times New Roman"/>
          <w:szCs w:val="24"/>
          <w:lang w:eastAsia="en-GB"/>
        </w:rPr>
        <w:t xml:space="preserve"> retained in the final model. </w:t>
      </w:r>
      <w:r>
        <w:rPr>
          <w:rFonts w:cs="Times New Roman"/>
          <w:szCs w:val="24"/>
          <w:lang w:eastAsia="en-GB"/>
        </w:rPr>
        <w:t xml:space="preserve">Multivariable analysis excluded any dogs that did not have complete responses for any of the variables included in the model. </w:t>
      </w:r>
      <w:r>
        <w:t xml:space="preserve">Statistical analyses were performed using the R base, lme4, and lmtest packages. </w:t>
      </w:r>
    </w:p>
    <w:p w14:paraId="34E71E23" w14:textId="77777777" w:rsidR="00C03618" w:rsidRDefault="00C03618" w:rsidP="009150DC">
      <w:r>
        <w:t xml:space="preserve">To determine the intraclass correlation coefficient (the measure of clustering of an outcome within practices), the latent variable approach was used </w:t>
      </w:r>
      <w:r>
        <w:rPr>
          <w:noProof/>
        </w:rPr>
        <w:t>(Goldstein et al., 2002)</w:t>
      </w:r>
      <w:r>
        <w:t xml:space="preserve"> with equation 1 below.</w:t>
      </w:r>
    </w:p>
    <w:tbl>
      <w:tblPr>
        <w:tblStyle w:val="TableGrid"/>
        <w:tblW w:w="9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6095"/>
        <w:gridCol w:w="1531"/>
      </w:tblGrid>
      <w:tr w:rsidR="00C03618" w14:paraId="77F4CF44" w14:textId="77777777" w:rsidTr="00D552EE">
        <w:tc>
          <w:tcPr>
            <w:tcW w:w="1587" w:type="dxa"/>
          </w:tcPr>
          <w:p w14:paraId="217BF0D8" w14:textId="77777777" w:rsidR="00C03618" w:rsidRDefault="00C03618" w:rsidP="00D552EE"/>
        </w:tc>
        <w:tc>
          <w:tcPr>
            <w:tcW w:w="6095" w:type="dxa"/>
            <w:vAlign w:val="center"/>
          </w:tcPr>
          <w:p w14:paraId="2AD356ED" w14:textId="77777777" w:rsidR="00C03618" w:rsidRPr="00D552EE" w:rsidRDefault="00C03618" w:rsidP="00D552EE">
            <w:pPr>
              <w:jc w:val="center"/>
              <w:rPr>
                <w:rFonts w:ascii="Cambria Math" w:hAnsi="Cambria Math"/>
                <w:oMath/>
              </w:rPr>
            </w:pPr>
            <m:oMathPara>
              <m:oMath>
                <m:r>
                  <m:rPr>
                    <m:sty m:val="p"/>
                  </m:rPr>
                  <w:rPr>
                    <w:rFonts w:ascii="Cambria Math" w:hAnsi="Cambria Math" w:cs="Times New Roman"/>
                    <w:szCs w:val="24"/>
                    <w:lang w:eastAsia="en-GB"/>
                  </w:rPr>
                  <m:t>ICC= 100×</m:t>
                </m:r>
                <m:f>
                  <m:fPr>
                    <m:ctrlPr>
                      <w:rPr>
                        <w:rFonts w:ascii="Cambria Math" w:hAnsi="Cambria Math" w:cs="Times New Roman"/>
                        <w:szCs w:val="24"/>
                        <w:lang w:eastAsia="en-GB"/>
                      </w:rPr>
                    </m:ctrlPr>
                  </m:fPr>
                  <m:num>
                    <m:r>
                      <m:rPr>
                        <m:sty m:val="p"/>
                      </m:rPr>
                      <w:rPr>
                        <w:rFonts w:ascii="Cambria Math" w:hAnsi="Cambria Math" w:cs="Times New Roman"/>
                        <w:szCs w:val="24"/>
                        <w:lang w:eastAsia="en-GB"/>
                      </w:rPr>
                      <m:t>Practice variance</m:t>
                    </m:r>
                  </m:num>
                  <m:den>
                    <m:r>
                      <m:rPr>
                        <m:sty m:val="p"/>
                      </m:rPr>
                      <w:rPr>
                        <w:rFonts w:ascii="Cambria Math" w:hAnsi="Cambria Math" w:cs="Times New Roman"/>
                        <w:szCs w:val="24"/>
                        <w:lang w:eastAsia="en-GB"/>
                      </w:rPr>
                      <m:t>Practice variance</m:t>
                    </m:r>
                    <m:r>
                      <w:rPr>
                        <w:rFonts w:ascii="Cambria Math" w:hAnsi="Cambria Math" w:cs="Times New Roman"/>
                        <w:szCs w:val="24"/>
                        <w:lang w:eastAsia="en-GB"/>
                      </w:rPr>
                      <m:t>+</m:t>
                    </m:r>
                    <m:f>
                      <m:fPr>
                        <m:ctrlPr>
                          <w:rPr>
                            <w:rFonts w:ascii="Cambria Math" w:hAnsi="Cambria Math" w:cs="Times New Roman"/>
                            <w:i/>
                            <w:szCs w:val="24"/>
                            <w:lang w:eastAsia="en-GB"/>
                          </w:rPr>
                        </m:ctrlPr>
                      </m:fPr>
                      <m:num>
                        <m:sSup>
                          <m:sSupPr>
                            <m:ctrlPr>
                              <w:rPr>
                                <w:rFonts w:ascii="Cambria Math" w:hAnsi="Cambria Math" w:cs="Times New Roman"/>
                                <w:i/>
                                <w:szCs w:val="24"/>
                                <w:lang w:eastAsia="en-GB"/>
                              </w:rPr>
                            </m:ctrlPr>
                          </m:sSupPr>
                          <m:e>
                            <m:r>
                              <w:rPr>
                                <w:rFonts w:ascii="Cambria Math" w:hAnsi="Cambria Math" w:cs="Times New Roman"/>
                                <w:szCs w:val="24"/>
                                <w:lang w:eastAsia="en-GB"/>
                              </w:rPr>
                              <m:t>π</m:t>
                            </m:r>
                          </m:e>
                          <m:sup>
                            <m:r>
                              <w:rPr>
                                <w:rFonts w:ascii="Cambria Math" w:hAnsi="Cambria Math" w:cs="Times New Roman"/>
                                <w:szCs w:val="24"/>
                                <w:lang w:eastAsia="en-GB"/>
                              </w:rPr>
                              <m:t>2</m:t>
                            </m:r>
                          </m:sup>
                        </m:sSup>
                      </m:num>
                      <m:den>
                        <m:r>
                          <w:rPr>
                            <w:rFonts w:ascii="Cambria Math" w:hAnsi="Cambria Math" w:cs="Times New Roman"/>
                            <w:szCs w:val="24"/>
                            <w:lang w:eastAsia="en-GB"/>
                          </w:rPr>
                          <m:t>3</m:t>
                        </m:r>
                      </m:den>
                    </m:f>
                  </m:den>
                </m:f>
              </m:oMath>
            </m:oMathPara>
          </w:p>
        </w:tc>
        <w:tc>
          <w:tcPr>
            <w:tcW w:w="1531" w:type="dxa"/>
            <w:vAlign w:val="center"/>
          </w:tcPr>
          <w:p w14:paraId="08BA8E61" w14:textId="77777777" w:rsidR="00C03618" w:rsidRDefault="00C03618" w:rsidP="00D552EE">
            <w:pPr>
              <w:jc w:val="right"/>
            </w:pPr>
            <w:r>
              <w:t xml:space="preserve">(Equation </w:t>
            </w:r>
            <w:fldSimple w:instr=" SEQ Eq \* MERGEFORMAT ">
              <w:r>
                <w:rPr>
                  <w:noProof/>
                </w:rPr>
                <w:t>1</w:t>
              </w:r>
            </w:fldSimple>
            <w:r>
              <w:t>)</w:t>
            </w:r>
          </w:p>
        </w:tc>
      </w:tr>
    </w:tbl>
    <w:p w14:paraId="05C04E1B" w14:textId="77777777" w:rsidR="00C03618" w:rsidRDefault="00C03618" w:rsidP="009150DC">
      <w:pPr>
        <w:pStyle w:val="Heading1"/>
        <w:spacing w:before="240"/>
        <w:jc w:val="left"/>
      </w:pPr>
      <w:r w:rsidRPr="006B538F">
        <w:t>Results</w:t>
      </w:r>
      <w:bookmarkStart w:id="4" w:name="_Toc327353020"/>
    </w:p>
    <w:p w14:paraId="3D811296" w14:textId="77777777" w:rsidR="00C03618" w:rsidRPr="00DF19F1" w:rsidRDefault="00C03618" w:rsidP="00C03618">
      <w:pPr>
        <w:pStyle w:val="Heading2"/>
        <w:numPr>
          <w:ilvl w:val="1"/>
          <w:numId w:val="8"/>
        </w:numPr>
        <w:ind w:left="788" w:hanging="431"/>
        <w:rPr>
          <w:rFonts w:eastAsia="Times New Roman"/>
        </w:rPr>
      </w:pPr>
      <w:r w:rsidRPr="006B538F">
        <w:t>Study population</w:t>
      </w:r>
      <w:bookmarkEnd w:id="4"/>
    </w:p>
    <w:p w14:paraId="1BB2E7DA" w14:textId="77777777" w:rsidR="00C03618" w:rsidRDefault="00C03618" w:rsidP="00DF19F1">
      <w:r w:rsidRPr="00DF19F1">
        <w:t>In total, 580 faecal samples, 574 with questionnaires, were returned but only 445 questionnaires were completed fully. The median age of dogs recruited was 5 years (range 6 weeks to 17 years) and 64 different pure breeds were represented. Cross-breeds (n=123, 21.4%), followed by Labrador retrievers (n=90, 15.7%) were most common.</w:t>
      </w:r>
      <w:bookmarkStart w:id="5" w:name="_Toc327353021"/>
    </w:p>
    <w:p w14:paraId="39754421" w14:textId="77777777" w:rsidR="00C03618" w:rsidRDefault="00C03618" w:rsidP="00C03618">
      <w:pPr>
        <w:pStyle w:val="Heading2"/>
        <w:numPr>
          <w:ilvl w:val="1"/>
          <w:numId w:val="8"/>
        </w:numPr>
        <w:ind w:left="788" w:hanging="431"/>
      </w:pPr>
      <w:r w:rsidRPr="006B538F">
        <w:t>Prevalence of antimicrobial resistance</w:t>
      </w:r>
      <w:bookmarkEnd w:id="5"/>
    </w:p>
    <w:p w14:paraId="62C366B9" w14:textId="77777777" w:rsidR="00C03618" w:rsidRPr="00DF19F1" w:rsidRDefault="00C03618" w:rsidP="00DF19F1">
      <w:r w:rsidRPr="00DF19F1">
        <w:rPr>
          <w:rFonts w:eastAsia="Times New Roman"/>
          <w:lang w:eastAsia="en-GB"/>
        </w:rPr>
        <w:t xml:space="preserve">At least one </w:t>
      </w:r>
      <w:r w:rsidRPr="00DF19F1">
        <w:rPr>
          <w:rFonts w:eastAsia="Times New Roman"/>
          <w:i/>
          <w:lang w:eastAsia="en-GB"/>
        </w:rPr>
        <w:t>E. coli</w:t>
      </w:r>
      <w:r w:rsidRPr="00DF19F1">
        <w:t xml:space="preserve"> was isolated from 561 (96.7%) of the 580 faecal samples, with </w:t>
      </w:r>
      <w:r>
        <w:t>AMR</w:t>
      </w:r>
      <w:r w:rsidRPr="00DF19F1">
        <w:t xml:space="preserve"> </w:t>
      </w:r>
      <w:r w:rsidRPr="00DF19F1">
        <w:rPr>
          <w:i/>
        </w:rPr>
        <w:t>E. coli</w:t>
      </w:r>
      <w:r w:rsidRPr="00DF19F1">
        <w:t xml:space="preserve"> isolated from 260 (44.8%) faecal samples. A total of 436 unique </w:t>
      </w:r>
      <w:r w:rsidRPr="00DF19F1">
        <w:rPr>
          <w:i/>
        </w:rPr>
        <w:t xml:space="preserve">E. coli </w:t>
      </w:r>
      <w:r w:rsidRPr="00DF19F1">
        <w:t xml:space="preserve">isolates (up to nine per sample) were recovered based on their antimicrobial susceptibility profile. Table 1 shows the simple sample prevalence of faecal carriage of </w:t>
      </w:r>
      <w:r>
        <w:t>AMR</w:t>
      </w:r>
      <w:r w:rsidRPr="00DF19F1">
        <w:t xml:space="preserve"> </w:t>
      </w:r>
      <w:r w:rsidRPr="00DF19F1">
        <w:rPr>
          <w:i/>
        </w:rPr>
        <w:t xml:space="preserve">E. coli </w:t>
      </w:r>
      <w:r w:rsidRPr="00DF19F1">
        <w:t xml:space="preserve">and the prevalence adjusted for clustering. The most common resistance phenotypes observed were to ampicillin (37.2%), tetracycline (30.0%) and trimethoprim (23.8%). </w:t>
      </w:r>
      <w:r w:rsidRPr="00DF19F1">
        <w:rPr>
          <w:i/>
        </w:rPr>
        <w:t xml:space="preserve">E. coli </w:t>
      </w:r>
      <w:r w:rsidRPr="00DF19F1">
        <w:t xml:space="preserve">resistant to amoxicillin/clavulanic acid, chloramphenicol, ciprofloxacin and nalidixic acid was observed in less than 10% of dogs. MDR </w:t>
      </w:r>
      <w:r w:rsidRPr="00DF19F1">
        <w:rPr>
          <w:i/>
        </w:rPr>
        <w:t>E. coli</w:t>
      </w:r>
      <w:r w:rsidRPr="00DF19F1">
        <w:t xml:space="preserve"> was isolated from 18.3% of dogs. The intraclass correlation coefficient (ICC) of presence of ESBL and pAmpC genes (53.5% and 19.9% respectively) among </w:t>
      </w:r>
      <w:r w:rsidRPr="00DF19F1">
        <w:rPr>
          <w:i/>
        </w:rPr>
        <w:t>E. coli</w:t>
      </w:r>
      <w:r w:rsidRPr="00DF19F1">
        <w:t xml:space="preserve">  is much higher than for resistance to the other antimicrobials (between 0 and 10%), suggesting some degree of clustering at the practice level for these outcomes. </w:t>
      </w:r>
    </w:p>
    <w:p w14:paraId="7D48C502" w14:textId="77777777" w:rsidR="00C03618" w:rsidRPr="006B538F" w:rsidRDefault="00C03618" w:rsidP="009150DC">
      <w:pPr>
        <w:spacing w:before="240"/>
        <w:contextualSpacing/>
        <w:rPr>
          <w:rFonts w:cs="Times New Roman"/>
          <w:szCs w:val="24"/>
        </w:rPr>
      </w:pPr>
      <w:r w:rsidRPr="006B538F">
        <w:rPr>
          <w:rFonts w:cs="Times New Roman"/>
          <w:szCs w:val="24"/>
        </w:rPr>
        <w:t xml:space="preserve">ESBL producing </w:t>
      </w:r>
      <w:r w:rsidRPr="006B538F">
        <w:rPr>
          <w:rFonts w:cs="Times New Roman"/>
          <w:i/>
          <w:szCs w:val="24"/>
        </w:rPr>
        <w:t xml:space="preserve">E. coli </w:t>
      </w:r>
      <w:r w:rsidRPr="006B538F">
        <w:rPr>
          <w:rFonts w:cs="Times New Roman"/>
          <w:szCs w:val="24"/>
        </w:rPr>
        <w:t xml:space="preserve">were isolated from </w:t>
      </w:r>
      <w:r>
        <w:rPr>
          <w:rFonts w:cs="Times New Roman"/>
          <w:szCs w:val="24"/>
        </w:rPr>
        <w:t>1.9</w:t>
      </w:r>
      <w:r w:rsidRPr="006B538F">
        <w:rPr>
          <w:rFonts w:cs="Times New Roman"/>
          <w:szCs w:val="24"/>
        </w:rPr>
        <w:t>%</w:t>
      </w:r>
      <w:r>
        <w:rPr>
          <w:rFonts w:cs="Times New Roman"/>
          <w:szCs w:val="24"/>
        </w:rPr>
        <w:t xml:space="preserve"> of samples</w:t>
      </w:r>
      <w:r w:rsidRPr="006B538F">
        <w:rPr>
          <w:rFonts w:cs="Times New Roman"/>
          <w:szCs w:val="24"/>
        </w:rPr>
        <w:t xml:space="preserve"> and a</w:t>
      </w:r>
      <w:r>
        <w:rPr>
          <w:rFonts w:cs="Times New Roman"/>
          <w:szCs w:val="24"/>
        </w:rPr>
        <w:t xml:space="preserve"> p</w:t>
      </w:r>
      <w:r w:rsidRPr="006B538F">
        <w:rPr>
          <w:rFonts w:cs="Times New Roman"/>
          <w:szCs w:val="24"/>
        </w:rPr>
        <w:t xml:space="preserve">AmpC β-lactamase producing </w:t>
      </w:r>
      <w:r w:rsidRPr="006B538F">
        <w:rPr>
          <w:rFonts w:cs="Times New Roman"/>
          <w:i/>
          <w:szCs w:val="24"/>
        </w:rPr>
        <w:t>E. coli</w:t>
      </w:r>
      <w:r w:rsidRPr="006B538F">
        <w:rPr>
          <w:rFonts w:cs="Times New Roman"/>
          <w:szCs w:val="24"/>
        </w:rPr>
        <w:t xml:space="preserve"> from 7.1% of</w:t>
      </w:r>
      <w:r>
        <w:rPr>
          <w:rFonts w:cs="Times New Roman"/>
          <w:szCs w:val="24"/>
        </w:rPr>
        <w:t xml:space="preserve"> samples</w:t>
      </w:r>
      <w:r w:rsidRPr="006B538F">
        <w:rPr>
          <w:rFonts w:cs="Times New Roman"/>
          <w:szCs w:val="24"/>
        </w:rPr>
        <w:t>. Fifty-</w:t>
      </w:r>
      <w:r>
        <w:rPr>
          <w:rFonts w:cs="Times New Roman"/>
          <w:szCs w:val="24"/>
        </w:rPr>
        <w:t>two</w:t>
      </w:r>
      <w:r w:rsidRPr="006B538F">
        <w:rPr>
          <w:rFonts w:cs="Times New Roman"/>
          <w:szCs w:val="24"/>
        </w:rPr>
        <w:t xml:space="preserve"> isolates from</w:t>
      </w:r>
      <w:r>
        <w:rPr>
          <w:rFonts w:cs="Times New Roman"/>
          <w:szCs w:val="24"/>
        </w:rPr>
        <w:t xml:space="preserve"> fifty</w:t>
      </w:r>
      <w:r w:rsidRPr="006B538F">
        <w:rPr>
          <w:rFonts w:cs="Times New Roman"/>
          <w:szCs w:val="24"/>
        </w:rPr>
        <w:t xml:space="preserve"> dogs (</w:t>
      </w:r>
      <w:r>
        <w:rPr>
          <w:rFonts w:cs="Times New Roman"/>
          <w:szCs w:val="24"/>
        </w:rPr>
        <w:t>8.6</w:t>
      </w:r>
      <w:r w:rsidRPr="006B538F">
        <w:rPr>
          <w:rFonts w:cs="Times New Roman"/>
          <w:szCs w:val="24"/>
        </w:rPr>
        <w:t>%</w:t>
      </w:r>
      <w:r>
        <w:rPr>
          <w:rFonts w:cs="Times New Roman"/>
          <w:szCs w:val="24"/>
        </w:rPr>
        <w:t xml:space="preserve"> of samples</w:t>
      </w:r>
      <w:r w:rsidRPr="006B538F">
        <w:rPr>
          <w:rFonts w:cs="Times New Roman"/>
          <w:szCs w:val="24"/>
        </w:rPr>
        <w:t>) were identified as either ESBL or</w:t>
      </w:r>
      <w:r>
        <w:rPr>
          <w:rFonts w:cs="Times New Roman"/>
          <w:szCs w:val="24"/>
        </w:rPr>
        <w:t xml:space="preserve"> p</w:t>
      </w:r>
      <w:r w:rsidRPr="006B538F">
        <w:rPr>
          <w:rFonts w:cs="Times New Roman"/>
          <w:szCs w:val="24"/>
        </w:rPr>
        <w:t>AmpC producers by phenotypic testing and PCR.  In these isolates, resistance to ampicillin, cephalexin and cefoxitin (</w:t>
      </w:r>
      <w:r>
        <w:rPr>
          <w:rFonts w:cs="Times New Roman"/>
          <w:szCs w:val="24"/>
        </w:rPr>
        <w:t>8</w:t>
      </w:r>
      <w:r w:rsidRPr="006B538F">
        <w:rPr>
          <w:rFonts w:cs="Times New Roman"/>
          <w:szCs w:val="24"/>
        </w:rPr>
        <w:t xml:space="preserve"> isolates)</w:t>
      </w:r>
      <w:r>
        <w:rPr>
          <w:rFonts w:cs="Times New Roman"/>
          <w:szCs w:val="24"/>
        </w:rPr>
        <w:t xml:space="preserve"> was most common</w:t>
      </w:r>
      <w:r w:rsidRPr="006B538F">
        <w:rPr>
          <w:rFonts w:cs="Times New Roman"/>
          <w:szCs w:val="24"/>
        </w:rPr>
        <w:t xml:space="preserve">. </w:t>
      </w:r>
      <w:r>
        <w:rPr>
          <w:rFonts w:cs="Times New Roman"/>
          <w:szCs w:val="24"/>
        </w:rPr>
        <w:t>A</w:t>
      </w:r>
      <w:r w:rsidRPr="006B538F">
        <w:rPr>
          <w:rFonts w:cs="Times New Roman"/>
          <w:szCs w:val="24"/>
        </w:rPr>
        <w:t xml:space="preserve">ll </w:t>
      </w:r>
      <w:r w:rsidRPr="006B538F">
        <w:rPr>
          <w:rFonts w:cs="Times New Roman"/>
          <w:szCs w:val="24"/>
        </w:rPr>
        <w:lastRenderedPageBreak/>
        <w:t xml:space="preserve">but </w:t>
      </w:r>
      <w:r>
        <w:rPr>
          <w:rFonts w:cs="Times New Roman"/>
          <w:szCs w:val="24"/>
        </w:rPr>
        <w:t>four</w:t>
      </w:r>
      <w:r w:rsidRPr="006B538F">
        <w:rPr>
          <w:rFonts w:cs="Times New Roman"/>
          <w:szCs w:val="24"/>
        </w:rPr>
        <w:t xml:space="preserve"> isolate w</w:t>
      </w:r>
      <w:r>
        <w:rPr>
          <w:rFonts w:cs="Times New Roman"/>
          <w:szCs w:val="24"/>
        </w:rPr>
        <w:t>ere</w:t>
      </w:r>
      <w:r w:rsidRPr="006B538F">
        <w:rPr>
          <w:rFonts w:cs="Times New Roman"/>
          <w:szCs w:val="24"/>
        </w:rPr>
        <w:t xml:space="preserve"> susceptible to aztreonam. </w:t>
      </w:r>
      <w:r>
        <w:rPr>
          <w:rFonts w:cs="Times New Roman"/>
          <w:szCs w:val="24"/>
        </w:rPr>
        <w:t>MDR was observed in 13 of the 52 isolates (25%).</w:t>
      </w:r>
    </w:p>
    <w:p w14:paraId="6BBADCF4" w14:textId="77777777" w:rsidR="00C03618" w:rsidRPr="006B538F" w:rsidRDefault="00C03618" w:rsidP="00C03618">
      <w:pPr>
        <w:pStyle w:val="Heading2"/>
        <w:numPr>
          <w:ilvl w:val="1"/>
          <w:numId w:val="8"/>
        </w:numPr>
        <w:ind w:left="788" w:hanging="431"/>
      </w:pPr>
      <w:r w:rsidRPr="006B538F">
        <w:t>Characterisation of ESBL and AmpC β-lactamase genes</w:t>
      </w:r>
    </w:p>
    <w:p w14:paraId="7ABB66F6" w14:textId="77777777" w:rsidR="00C03618" w:rsidRPr="006B538F" w:rsidRDefault="00C03618" w:rsidP="009150DC">
      <w:pPr>
        <w:rPr>
          <w:rFonts w:cs="Times New Roman"/>
          <w:szCs w:val="24"/>
        </w:rPr>
      </w:pPr>
      <w:r w:rsidRPr="006B538F">
        <w:rPr>
          <w:rFonts w:cs="Times New Roman"/>
          <w:szCs w:val="24"/>
        </w:rPr>
        <w:t>Of the 58 isolates</w:t>
      </w:r>
      <w:r>
        <w:rPr>
          <w:rFonts w:cs="Times New Roman"/>
          <w:szCs w:val="24"/>
        </w:rPr>
        <w:t xml:space="preserve"> obtained from the cephalosporin containing plates, </w:t>
      </w:r>
      <w:r w:rsidRPr="006B538F">
        <w:rPr>
          <w:rFonts w:cs="Times New Roman"/>
          <w:szCs w:val="24"/>
        </w:rPr>
        <w:t xml:space="preserve">21 </w:t>
      </w:r>
      <w:r>
        <w:rPr>
          <w:rFonts w:cs="Times New Roman"/>
          <w:szCs w:val="24"/>
        </w:rPr>
        <w:t>carried</w:t>
      </w:r>
      <w:r w:rsidRPr="006B538F">
        <w:rPr>
          <w:rFonts w:cs="Times New Roman"/>
          <w:szCs w:val="24"/>
        </w:rPr>
        <w:t xml:space="preserve"> a </w:t>
      </w:r>
      <w:r w:rsidRPr="006B538F">
        <w:rPr>
          <w:rFonts w:cs="Times New Roman"/>
          <w:i/>
          <w:szCs w:val="24"/>
        </w:rPr>
        <w:t>bla</w:t>
      </w:r>
      <w:r w:rsidRPr="006B538F">
        <w:rPr>
          <w:rFonts w:cs="Times New Roman"/>
          <w:szCs w:val="24"/>
          <w:vertAlign w:val="subscript"/>
        </w:rPr>
        <w:t xml:space="preserve">TEM </w:t>
      </w:r>
      <w:r w:rsidRPr="006B538F">
        <w:rPr>
          <w:rFonts w:cs="Times New Roman"/>
          <w:szCs w:val="24"/>
        </w:rPr>
        <w:t>ge</w:t>
      </w:r>
      <w:r>
        <w:rPr>
          <w:rFonts w:cs="Times New Roman"/>
          <w:szCs w:val="24"/>
        </w:rPr>
        <w:t>ne</w:t>
      </w:r>
      <w:r w:rsidRPr="006B538F">
        <w:rPr>
          <w:rFonts w:cs="Times New Roman"/>
          <w:szCs w:val="24"/>
        </w:rPr>
        <w:t>.</w:t>
      </w:r>
      <w:r>
        <w:rPr>
          <w:rFonts w:cs="Times New Roman"/>
          <w:szCs w:val="24"/>
        </w:rPr>
        <w:t xml:space="preserve"> However, six of these were not resistant to third generation cephalosporins in disc diffusion testing and are therefore most likely to be </w:t>
      </w:r>
      <w:r>
        <w:rPr>
          <w:rFonts w:cs="Times New Roman"/>
          <w:i/>
          <w:szCs w:val="24"/>
        </w:rPr>
        <w:t>bla</w:t>
      </w:r>
      <w:r>
        <w:rPr>
          <w:rFonts w:cs="Times New Roman"/>
          <w:szCs w:val="24"/>
          <w:vertAlign w:val="subscript"/>
        </w:rPr>
        <w:t>TEM-1</w:t>
      </w:r>
      <w:r>
        <w:rPr>
          <w:rFonts w:cs="Times New Roman"/>
          <w:szCs w:val="24"/>
        </w:rPr>
        <w:t>.</w:t>
      </w:r>
      <w:r w:rsidRPr="006B538F">
        <w:rPr>
          <w:rFonts w:cs="Times New Roman"/>
          <w:szCs w:val="24"/>
        </w:rPr>
        <w:t xml:space="preserve"> Ten carried a </w:t>
      </w:r>
      <w:r w:rsidRPr="006B538F">
        <w:rPr>
          <w:rFonts w:cs="Times New Roman"/>
          <w:i/>
          <w:szCs w:val="24"/>
        </w:rPr>
        <w:t>bla</w:t>
      </w:r>
      <w:r w:rsidRPr="006B538F">
        <w:rPr>
          <w:rFonts w:cs="Times New Roman"/>
          <w:szCs w:val="24"/>
          <w:vertAlign w:val="subscript"/>
        </w:rPr>
        <w:t xml:space="preserve">CTX-M </w:t>
      </w:r>
      <w:r w:rsidRPr="006B538F">
        <w:rPr>
          <w:rFonts w:cs="Times New Roman"/>
          <w:szCs w:val="24"/>
        </w:rPr>
        <w:t>gene</w:t>
      </w:r>
      <w:r>
        <w:rPr>
          <w:rFonts w:cs="Times New Roman"/>
          <w:szCs w:val="24"/>
        </w:rPr>
        <w:t xml:space="preserve"> (Table 2)</w:t>
      </w:r>
      <w:r w:rsidRPr="006B538F">
        <w:rPr>
          <w:rFonts w:cs="Times New Roman"/>
          <w:szCs w:val="24"/>
        </w:rPr>
        <w:t xml:space="preserve">, most of which </w:t>
      </w:r>
      <w:r>
        <w:rPr>
          <w:rFonts w:cs="Times New Roman"/>
          <w:szCs w:val="24"/>
        </w:rPr>
        <w:t>belonged to</w:t>
      </w:r>
      <w:r w:rsidRPr="006B538F">
        <w:rPr>
          <w:rFonts w:cs="Times New Roman"/>
          <w:szCs w:val="24"/>
        </w:rPr>
        <w:t xml:space="preserve"> CTX-M group 1 (five </w:t>
      </w:r>
      <w:r w:rsidRPr="006B538F">
        <w:rPr>
          <w:rFonts w:cs="Times New Roman"/>
          <w:i/>
          <w:szCs w:val="24"/>
        </w:rPr>
        <w:t>bla</w:t>
      </w:r>
      <w:r w:rsidRPr="006B538F">
        <w:rPr>
          <w:rFonts w:cs="Times New Roman"/>
          <w:szCs w:val="24"/>
          <w:vertAlign w:val="subscript"/>
        </w:rPr>
        <w:t>CTX-M-1</w:t>
      </w:r>
      <w:r w:rsidRPr="006B538F">
        <w:rPr>
          <w:rFonts w:cs="Times New Roman"/>
          <w:szCs w:val="24"/>
        </w:rPr>
        <w:t xml:space="preserve">, two </w:t>
      </w:r>
      <w:r w:rsidRPr="006B538F">
        <w:rPr>
          <w:rFonts w:cs="Times New Roman"/>
          <w:i/>
          <w:szCs w:val="24"/>
        </w:rPr>
        <w:t>bla</w:t>
      </w:r>
      <w:r w:rsidRPr="006B538F">
        <w:rPr>
          <w:rFonts w:cs="Times New Roman"/>
          <w:szCs w:val="24"/>
          <w:vertAlign w:val="subscript"/>
        </w:rPr>
        <w:t xml:space="preserve">CTX-M-15 </w:t>
      </w:r>
      <w:r w:rsidRPr="006B538F">
        <w:rPr>
          <w:rFonts w:cs="Times New Roman"/>
          <w:szCs w:val="24"/>
        </w:rPr>
        <w:t xml:space="preserve">and one </w:t>
      </w:r>
      <w:r w:rsidRPr="006B538F">
        <w:rPr>
          <w:rFonts w:cs="Times New Roman"/>
          <w:i/>
          <w:szCs w:val="24"/>
        </w:rPr>
        <w:t>bla</w:t>
      </w:r>
      <w:r w:rsidRPr="006B538F">
        <w:rPr>
          <w:rFonts w:cs="Times New Roman"/>
          <w:szCs w:val="24"/>
          <w:vertAlign w:val="subscript"/>
        </w:rPr>
        <w:t>CTX-M-3</w:t>
      </w:r>
      <w:r w:rsidRPr="006B538F">
        <w:rPr>
          <w:rFonts w:cs="Times New Roman"/>
          <w:szCs w:val="24"/>
        </w:rPr>
        <w:t>). One isolate carried</w:t>
      </w:r>
      <w:r w:rsidRPr="006B538F">
        <w:rPr>
          <w:rFonts w:cs="Times New Roman"/>
          <w:szCs w:val="24"/>
          <w:vertAlign w:val="subscript"/>
        </w:rPr>
        <w:t xml:space="preserve"> </w:t>
      </w:r>
      <w:r w:rsidRPr="006B538F">
        <w:rPr>
          <w:rFonts w:cs="Times New Roman"/>
          <w:i/>
          <w:szCs w:val="24"/>
        </w:rPr>
        <w:t>bla</w:t>
      </w:r>
      <w:r w:rsidRPr="006B538F">
        <w:rPr>
          <w:rFonts w:cs="Times New Roman"/>
          <w:szCs w:val="24"/>
          <w:vertAlign w:val="subscript"/>
        </w:rPr>
        <w:t xml:space="preserve">CTX-M-14/18 </w:t>
      </w:r>
      <w:r w:rsidRPr="006B538F">
        <w:rPr>
          <w:rFonts w:cs="Times New Roman"/>
          <w:szCs w:val="24"/>
        </w:rPr>
        <w:t>(CTX-M group 9)</w:t>
      </w:r>
      <w:r w:rsidRPr="006B538F">
        <w:rPr>
          <w:rFonts w:cs="Times New Roman"/>
          <w:szCs w:val="24"/>
          <w:vertAlign w:val="subscript"/>
        </w:rPr>
        <w:t xml:space="preserve"> </w:t>
      </w:r>
      <w:r w:rsidRPr="006B538F">
        <w:rPr>
          <w:rFonts w:cs="Times New Roman"/>
          <w:szCs w:val="24"/>
        </w:rPr>
        <w:t xml:space="preserve">and one </w:t>
      </w:r>
      <w:r w:rsidRPr="006B538F">
        <w:rPr>
          <w:rFonts w:cs="Times New Roman"/>
          <w:i/>
          <w:szCs w:val="24"/>
        </w:rPr>
        <w:t>bla</w:t>
      </w:r>
      <w:r w:rsidRPr="006B538F">
        <w:rPr>
          <w:rFonts w:cs="Times New Roman"/>
          <w:szCs w:val="24"/>
          <w:vertAlign w:val="subscript"/>
        </w:rPr>
        <w:t xml:space="preserve">CTX-M-20 </w:t>
      </w:r>
      <w:r w:rsidRPr="006B538F">
        <w:rPr>
          <w:rFonts w:cs="Times New Roman"/>
          <w:szCs w:val="24"/>
        </w:rPr>
        <w:t>(CTX-M group 2)</w:t>
      </w:r>
      <w:r w:rsidRPr="006B538F">
        <w:rPr>
          <w:rFonts w:cs="Times New Roman"/>
          <w:szCs w:val="24"/>
          <w:vertAlign w:val="subscript"/>
        </w:rPr>
        <w:t xml:space="preserve">. </w:t>
      </w:r>
      <w:r w:rsidRPr="006B538F">
        <w:rPr>
          <w:rFonts w:cs="Times New Roman"/>
          <w:szCs w:val="24"/>
        </w:rPr>
        <w:t>A</w:t>
      </w:r>
      <w:r>
        <w:rPr>
          <w:rFonts w:cs="Times New Roman"/>
          <w:szCs w:val="24"/>
        </w:rPr>
        <w:t xml:space="preserve"> plasmid encoded</w:t>
      </w:r>
      <w:r w:rsidRPr="006B538F">
        <w:rPr>
          <w:rFonts w:cs="Times New Roman"/>
          <w:szCs w:val="24"/>
        </w:rPr>
        <w:t xml:space="preserve"> </w:t>
      </w:r>
      <w:r w:rsidRPr="006B538F">
        <w:rPr>
          <w:rFonts w:cs="Times New Roman"/>
          <w:i/>
          <w:szCs w:val="24"/>
        </w:rPr>
        <w:t>bla</w:t>
      </w:r>
      <w:r w:rsidRPr="006B538F">
        <w:rPr>
          <w:rFonts w:cs="Times New Roman"/>
          <w:szCs w:val="24"/>
          <w:vertAlign w:val="subscript"/>
        </w:rPr>
        <w:t xml:space="preserve">AmpC </w:t>
      </w:r>
      <w:r w:rsidRPr="006B538F">
        <w:rPr>
          <w:rFonts w:cs="Times New Roman"/>
          <w:szCs w:val="24"/>
        </w:rPr>
        <w:t>gene was found in 42 isolates, which were</w:t>
      </w:r>
      <w:r>
        <w:rPr>
          <w:rFonts w:cs="Times New Roman"/>
          <w:szCs w:val="24"/>
        </w:rPr>
        <w:t xml:space="preserve"> all shown to be</w:t>
      </w:r>
      <w:r w:rsidRPr="006B538F">
        <w:rPr>
          <w:rFonts w:cs="Times New Roman"/>
          <w:szCs w:val="24"/>
        </w:rPr>
        <w:t xml:space="preserve"> </w:t>
      </w:r>
      <w:r w:rsidRPr="006B538F">
        <w:rPr>
          <w:rFonts w:cs="Times New Roman"/>
          <w:i/>
          <w:szCs w:val="24"/>
        </w:rPr>
        <w:t>bla</w:t>
      </w:r>
      <w:r w:rsidRPr="006B538F">
        <w:rPr>
          <w:rFonts w:cs="Times New Roman"/>
          <w:szCs w:val="24"/>
          <w:vertAlign w:val="subscript"/>
        </w:rPr>
        <w:t xml:space="preserve">CMY-2. </w:t>
      </w:r>
      <w:r w:rsidRPr="006B538F">
        <w:rPr>
          <w:rFonts w:cs="Times New Roman"/>
          <w:szCs w:val="24"/>
        </w:rPr>
        <w:t xml:space="preserve"> No isolates carried a </w:t>
      </w:r>
      <w:r w:rsidRPr="006B538F">
        <w:rPr>
          <w:rFonts w:cs="Times New Roman"/>
          <w:i/>
          <w:szCs w:val="24"/>
        </w:rPr>
        <w:t>bla</w:t>
      </w:r>
      <w:r w:rsidRPr="006B538F">
        <w:rPr>
          <w:rFonts w:cs="Times New Roman"/>
          <w:szCs w:val="24"/>
          <w:vertAlign w:val="subscript"/>
        </w:rPr>
        <w:t xml:space="preserve">SHV </w:t>
      </w:r>
      <w:r w:rsidRPr="006B538F">
        <w:rPr>
          <w:rFonts w:cs="Times New Roman"/>
          <w:szCs w:val="24"/>
        </w:rPr>
        <w:t xml:space="preserve">gene. </w:t>
      </w:r>
    </w:p>
    <w:p w14:paraId="0269E1FC" w14:textId="77777777" w:rsidR="00C03618" w:rsidRPr="006B538F" w:rsidRDefault="00C03618" w:rsidP="00C03618">
      <w:pPr>
        <w:pStyle w:val="Heading2"/>
        <w:numPr>
          <w:ilvl w:val="1"/>
          <w:numId w:val="8"/>
        </w:numPr>
        <w:ind w:left="788" w:hanging="431"/>
      </w:pPr>
      <w:r w:rsidRPr="006B538F">
        <w:t>Microarray analysis of E. coli</w:t>
      </w:r>
    </w:p>
    <w:p w14:paraId="330F2257" w14:textId="77777777" w:rsidR="00C03618" w:rsidRPr="0092254B" w:rsidRDefault="00C03618" w:rsidP="009150DC">
      <w:pPr>
        <w:rPr>
          <w:rFonts w:eastAsia="Calibri" w:cs="Times New Roman"/>
          <w:szCs w:val="24"/>
        </w:rPr>
      </w:pPr>
      <w:r>
        <w:rPr>
          <w:rFonts w:eastAsia="Calibri" w:cs="Times New Roman"/>
          <w:szCs w:val="24"/>
        </w:rPr>
        <w:t>A subset of 30</w:t>
      </w:r>
      <w:r w:rsidRPr="006B538F">
        <w:rPr>
          <w:rFonts w:eastAsia="Calibri" w:cs="Times New Roman"/>
          <w:szCs w:val="24"/>
        </w:rPr>
        <w:t xml:space="preserve"> isolates underwent microarray analysis.</w:t>
      </w:r>
      <w:r>
        <w:rPr>
          <w:rFonts w:eastAsia="Calibri" w:cs="Times New Roman"/>
          <w:szCs w:val="24"/>
        </w:rPr>
        <w:t xml:space="preserve"> These included all ten isolates harbouring a </w:t>
      </w:r>
      <w:r w:rsidRPr="00AA6DBC">
        <w:rPr>
          <w:rFonts w:eastAsia="Calibri" w:cs="Times New Roman"/>
          <w:i/>
          <w:szCs w:val="24"/>
        </w:rPr>
        <w:t>bla</w:t>
      </w:r>
      <w:r>
        <w:rPr>
          <w:rFonts w:eastAsia="Calibri" w:cs="Times New Roman"/>
          <w:szCs w:val="24"/>
          <w:vertAlign w:val="subscript"/>
        </w:rPr>
        <w:t xml:space="preserve">CTX-M </w:t>
      </w:r>
      <w:r>
        <w:rPr>
          <w:rFonts w:eastAsia="Calibri" w:cs="Times New Roman"/>
          <w:szCs w:val="24"/>
        </w:rPr>
        <w:t xml:space="preserve">gene and a selection of isolates harbouring one or both of </w:t>
      </w:r>
      <w:r>
        <w:rPr>
          <w:rFonts w:eastAsia="Calibri" w:cs="Times New Roman"/>
          <w:i/>
          <w:szCs w:val="24"/>
        </w:rPr>
        <w:t>bla</w:t>
      </w:r>
      <w:r>
        <w:rPr>
          <w:rFonts w:eastAsia="Calibri" w:cs="Times New Roman"/>
          <w:szCs w:val="24"/>
          <w:vertAlign w:val="subscript"/>
        </w:rPr>
        <w:t xml:space="preserve">TEM </w:t>
      </w:r>
      <w:r>
        <w:rPr>
          <w:rFonts w:eastAsia="Calibri" w:cs="Times New Roman"/>
          <w:szCs w:val="24"/>
        </w:rPr>
        <w:t xml:space="preserve">or </w:t>
      </w:r>
      <w:r>
        <w:rPr>
          <w:rFonts w:eastAsia="Calibri" w:cs="Times New Roman"/>
          <w:i/>
          <w:szCs w:val="24"/>
        </w:rPr>
        <w:t>bla</w:t>
      </w:r>
      <w:r>
        <w:rPr>
          <w:rFonts w:eastAsia="Calibri" w:cs="Times New Roman"/>
          <w:szCs w:val="24"/>
          <w:vertAlign w:val="subscript"/>
        </w:rPr>
        <w:t>AmpC</w:t>
      </w:r>
      <w:r>
        <w:rPr>
          <w:rFonts w:eastAsia="Calibri" w:cs="Times New Roman"/>
          <w:szCs w:val="24"/>
        </w:rPr>
        <w:t xml:space="preserve">. </w:t>
      </w:r>
      <w:r w:rsidRPr="006B538F">
        <w:rPr>
          <w:rFonts w:eastAsia="Calibri" w:cs="Times New Roman"/>
          <w:szCs w:val="24"/>
        </w:rPr>
        <w:t>The results observed</w:t>
      </w:r>
      <w:r>
        <w:rPr>
          <w:rFonts w:eastAsia="Calibri" w:cs="Times New Roman"/>
          <w:szCs w:val="24"/>
        </w:rPr>
        <w:t xml:space="preserve"> with AMR array chip</w:t>
      </w:r>
      <w:r w:rsidRPr="006B538F">
        <w:rPr>
          <w:rFonts w:eastAsia="Calibri" w:cs="Times New Roman"/>
          <w:szCs w:val="24"/>
        </w:rPr>
        <w:t xml:space="preserve"> show</w:t>
      </w:r>
      <w:r>
        <w:rPr>
          <w:rFonts w:eastAsia="Calibri" w:cs="Times New Roman"/>
          <w:szCs w:val="24"/>
        </w:rPr>
        <w:t>ed</w:t>
      </w:r>
      <w:r w:rsidRPr="006B538F">
        <w:rPr>
          <w:rFonts w:eastAsia="Calibri" w:cs="Times New Roman"/>
          <w:szCs w:val="24"/>
        </w:rPr>
        <w:t xml:space="preserve"> good agreement with </w:t>
      </w:r>
      <w:r w:rsidRPr="006B538F">
        <w:rPr>
          <w:rFonts w:eastAsia="Calibri" w:cs="Times New Roman"/>
          <w:i/>
          <w:szCs w:val="24"/>
        </w:rPr>
        <w:t xml:space="preserve">in vitro </w:t>
      </w:r>
      <w:r w:rsidRPr="006B538F">
        <w:rPr>
          <w:rFonts w:eastAsia="Calibri" w:cs="Times New Roman"/>
          <w:szCs w:val="24"/>
        </w:rPr>
        <w:t>testing of antimicrobial susc</w:t>
      </w:r>
      <w:r>
        <w:rPr>
          <w:rFonts w:eastAsia="Calibri" w:cs="Times New Roman"/>
          <w:szCs w:val="24"/>
        </w:rPr>
        <w:t>eptibility (Figure 1). Of the 30</w:t>
      </w:r>
      <w:r w:rsidRPr="006B538F">
        <w:rPr>
          <w:rFonts w:eastAsia="Calibri" w:cs="Times New Roman"/>
          <w:szCs w:val="24"/>
        </w:rPr>
        <w:t xml:space="preserve"> isolates tested, 23 harboured genes encoding resistance to tetracycline (</w:t>
      </w:r>
      <w:r w:rsidRPr="006B538F">
        <w:rPr>
          <w:rFonts w:eastAsia="Calibri" w:cs="Times New Roman"/>
          <w:i/>
          <w:szCs w:val="24"/>
        </w:rPr>
        <w:t>tet</w:t>
      </w:r>
      <w:r w:rsidRPr="00CD0AC8">
        <w:rPr>
          <w:rFonts w:eastAsia="Calibri" w:cs="Times New Roman"/>
          <w:szCs w:val="24"/>
        </w:rPr>
        <w:t xml:space="preserve">(A) </w:t>
      </w:r>
      <w:r w:rsidRPr="006B538F">
        <w:rPr>
          <w:rFonts w:eastAsia="Calibri" w:cs="Times New Roman"/>
          <w:szCs w:val="24"/>
        </w:rPr>
        <w:t xml:space="preserve">and </w:t>
      </w:r>
      <w:r w:rsidRPr="006B538F">
        <w:rPr>
          <w:rFonts w:eastAsia="Calibri" w:cs="Times New Roman"/>
          <w:i/>
          <w:szCs w:val="24"/>
        </w:rPr>
        <w:t>tet</w:t>
      </w:r>
      <w:r w:rsidRPr="00CD0AC8">
        <w:rPr>
          <w:rFonts w:eastAsia="Calibri" w:cs="Times New Roman"/>
          <w:szCs w:val="24"/>
        </w:rPr>
        <w:t xml:space="preserve">(B) </w:t>
      </w:r>
      <w:r w:rsidRPr="006B538F">
        <w:rPr>
          <w:rFonts w:eastAsia="Calibri" w:cs="Times New Roman"/>
          <w:szCs w:val="24"/>
        </w:rPr>
        <w:t>and 20 harboured genes encoding resistance to trimethoprim (</w:t>
      </w:r>
      <w:r w:rsidRPr="006B538F">
        <w:rPr>
          <w:rFonts w:eastAsia="Calibri" w:cs="Times New Roman"/>
          <w:i/>
          <w:szCs w:val="24"/>
        </w:rPr>
        <w:t>dfrA1, dfrA7, dfr12, dfrA17</w:t>
      </w:r>
      <w:r w:rsidRPr="006B538F">
        <w:rPr>
          <w:rFonts w:eastAsia="Calibri" w:cs="Times New Roman"/>
          <w:szCs w:val="24"/>
        </w:rPr>
        <w:t xml:space="preserve"> and </w:t>
      </w:r>
      <w:r>
        <w:rPr>
          <w:rFonts w:eastAsia="Calibri" w:cs="Times New Roman"/>
          <w:i/>
          <w:szCs w:val="24"/>
        </w:rPr>
        <w:t>dfrA5</w:t>
      </w:r>
      <w:r w:rsidRPr="006B538F">
        <w:rPr>
          <w:rFonts w:eastAsia="Calibri" w:cs="Times New Roman"/>
          <w:szCs w:val="24"/>
        </w:rPr>
        <w:t>). Genes encoding resistance to aminoglycosides were also identified in 25 isolates (</w:t>
      </w:r>
      <w:r w:rsidRPr="006B538F">
        <w:rPr>
          <w:rFonts w:eastAsia="Calibri" w:cs="Times New Roman"/>
          <w:i/>
          <w:szCs w:val="24"/>
        </w:rPr>
        <w:t>aadA1, aadA2, aadA4, aac3Iva,</w:t>
      </w:r>
      <w:r w:rsidRPr="006B538F">
        <w:rPr>
          <w:rFonts w:eastAsia="Calibri" w:cs="Times New Roman"/>
          <w:szCs w:val="24"/>
        </w:rPr>
        <w:t xml:space="preserve"> </w:t>
      </w:r>
      <w:r w:rsidRPr="006B538F">
        <w:rPr>
          <w:rFonts w:eastAsia="Calibri" w:cs="Times New Roman"/>
          <w:i/>
          <w:szCs w:val="24"/>
        </w:rPr>
        <w:t xml:space="preserve">aac6lb, strA </w:t>
      </w:r>
      <w:r w:rsidRPr="006B538F">
        <w:rPr>
          <w:rFonts w:eastAsia="Calibri" w:cs="Times New Roman"/>
          <w:szCs w:val="24"/>
        </w:rPr>
        <w:t xml:space="preserve">and </w:t>
      </w:r>
      <w:r w:rsidRPr="006B538F">
        <w:rPr>
          <w:rFonts w:eastAsia="Calibri" w:cs="Times New Roman"/>
          <w:i/>
          <w:szCs w:val="24"/>
        </w:rPr>
        <w:t>strB</w:t>
      </w:r>
      <w:r w:rsidRPr="006B538F">
        <w:rPr>
          <w:rFonts w:eastAsia="Calibri" w:cs="Times New Roman"/>
          <w:szCs w:val="24"/>
        </w:rPr>
        <w:t>), whilst 24 isolates harboured genes encoding resistance to sulphonamides (</w:t>
      </w:r>
      <w:r w:rsidRPr="006B538F">
        <w:rPr>
          <w:rFonts w:eastAsia="Calibri" w:cs="Times New Roman"/>
          <w:i/>
          <w:szCs w:val="24"/>
        </w:rPr>
        <w:t xml:space="preserve">sul1 </w:t>
      </w:r>
      <w:r w:rsidRPr="006B538F">
        <w:rPr>
          <w:rFonts w:eastAsia="Calibri" w:cs="Times New Roman"/>
          <w:szCs w:val="24"/>
        </w:rPr>
        <w:t xml:space="preserve">and </w:t>
      </w:r>
      <w:r w:rsidRPr="006B538F">
        <w:rPr>
          <w:rFonts w:eastAsia="Calibri" w:cs="Times New Roman"/>
          <w:i/>
          <w:szCs w:val="24"/>
        </w:rPr>
        <w:t>sul2</w:t>
      </w:r>
      <w:r w:rsidRPr="006B538F">
        <w:rPr>
          <w:rFonts w:eastAsia="Calibri" w:cs="Times New Roman"/>
          <w:szCs w:val="24"/>
        </w:rPr>
        <w:t>). Seven isolate</w:t>
      </w:r>
      <w:r>
        <w:rPr>
          <w:rFonts w:eastAsia="Calibri" w:cs="Times New Roman"/>
          <w:szCs w:val="24"/>
        </w:rPr>
        <w:t>s</w:t>
      </w:r>
      <w:r w:rsidRPr="006B538F">
        <w:rPr>
          <w:rFonts w:eastAsia="Calibri" w:cs="Times New Roman"/>
          <w:szCs w:val="24"/>
        </w:rPr>
        <w:t xml:space="preserve"> harbour</w:t>
      </w:r>
      <w:r>
        <w:rPr>
          <w:rFonts w:eastAsia="Calibri" w:cs="Times New Roman"/>
          <w:szCs w:val="24"/>
        </w:rPr>
        <w:t>ed</w:t>
      </w:r>
      <w:r w:rsidRPr="006B538F">
        <w:rPr>
          <w:rFonts w:eastAsia="Calibri" w:cs="Times New Roman"/>
          <w:szCs w:val="24"/>
        </w:rPr>
        <w:t xml:space="preserve"> genes encoding resistance to chloramphenicol (</w:t>
      </w:r>
      <w:r w:rsidRPr="006B538F">
        <w:rPr>
          <w:rFonts w:eastAsia="Calibri" w:cs="Times New Roman"/>
          <w:i/>
          <w:szCs w:val="24"/>
        </w:rPr>
        <w:t xml:space="preserve">catA1, catB3 </w:t>
      </w:r>
      <w:r w:rsidRPr="006B538F">
        <w:rPr>
          <w:rFonts w:eastAsia="Calibri" w:cs="Times New Roman"/>
          <w:szCs w:val="24"/>
        </w:rPr>
        <w:t xml:space="preserve">and </w:t>
      </w:r>
      <w:r w:rsidRPr="006B538F">
        <w:rPr>
          <w:rFonts w:eastAsia="Calibri" w:cs="Times New Roman"/>
          <w:i/>
          <w:szCs w:val="24"/>
        </w:rPr>
        <w:t>floR</w:t>
      </w:r>
      <w:r w:rsidRPr="006B538F">
        <w:rPr>
          <w:rFonts w:eastAsia="Calibri" w:cs="Times New Roman"/>
          <w:szCs w:val="24"/>
        </w:rPr>
        <w:t xml:space="preserve">). Erythromycin resistance genes </w:t>
      </w:r>
      <w:r w:rsidRPr="001861A2">
        <w:rPr>
          <w:rFonts w:eastAsia="Calibri" w:cs="Times New Roman"/>
          <w:szCs w:val="24"/>
        </w:rPr>
        <w:t>(</w:t>
      </w:r>
      <w:r w:rsidRPr="001861A2">
        <w:rPr>
          <w:rFonts w:eastAsia="Calibri" w:cs="Times New Roman"/>
          <w:i/>
          <w:szCs w:val="24"/>
        </w:rPr>
        <w:t>er</w:t>
      </w:r>
      <w:r>
        <w:rPr>
          <w:rFonts w:eastAsia="Calibri" w:cs="Times New Roman"/>
          <w:i/>
          <w:szCs w:val="24"/>
        </w:rPr>
        <w:t>e</w:t>
      </w:r>
      <w:r w:rsidRPr="00CD0AC8">
        <w:rPr>
          <w:rFonts w:eastAsia="Calibri" w:cs="Times New Roman"/>
          <w:szCs w:val="24"/>
        </w:rPr>
        <w:t>(A</w:t>
      </w:r>
      <w:r>
        <w:rPr>
          <w:rFonts w:eastAsia="Calibri" w:cs="Times New Roman"/>
          <w:szCs w:val="24"/>
        </w:rPr>
        <w:t>)</w:t>
      </w:r>
      <w:r w:rsidRPr="006B538F">
        <w:rPr>
          <w:rFonts w:eastAsia="Calibri" w:cs="Times New Roman"/>
          <w:i/>
          <w:szCs w:val="24"/>
        </w:rPr>
        <w:t xml:space="preserve"> </w:t>
      </w:r>
      <w:r w:rsidRPr="006B538F">
        <w:rPr>
          <w:rFonts w:eastAsia="Calibri" w:cs="Times New Roman"/>
          <w:szCs w:val="24"/>
        </w:rPr>
        <w:t xml:space="preserve">and </w:t>
      </w:r>
      <w:r w:rsidRPr="006B538F">
        <w:rPr>
          <w:rFonts w:eastAsia="Calibri" w:cs="Times New Roman"/>
          <w:i/>
          <w:szCs w:val="24"/>
        </w:rPr>
        <w:t>erm</w:t>
      </w:r>
      <w:r w:rsidRPr="00CD0AC8">
        <w:rPr>
          <w:rFonts w:eastAsia="Calibri" w:cs="Times New Roman"/>
          <w:szCs w:val="24"/>
        </w:rPr>
        <w:t>(B</w:t>
      </w:r>
      <w:r>
        <w:rPr>
          <w:rFonts w:eastAsia="Calibri" w:cs="Times New Roman"/>
          <w:szCs w:val="24"/>
        </w:rPr>
        <w:t>)</w:t>
      </w:r>
      <w:r w:rsidRPr="006B538F">
        <w:rPr>
          <w:rFonts w:eastAsia="Calibri" w:cs="Times New Roman"/>
          <w:szCs w:val="24"/>
        </w:rPr>
        <w:t>) were identified in a single isolat</w:t>
      </w:r>
      <w:r>
        <w:rPr>
          <w:rFonts w:eastAsia="Calibri" w:cs="Times New Roman"/>
          <w:szCs w:val="24"/>
        </w:rPr>
        <w:t>e</w:t>
      </w:r>
      <w:r w:rsidRPr="006B538F">
        <w:rPr>
          <w:rFonts w:eastAsia="Calibri" w:cs="Times New Roman"/>
          <w:szCs w:val="24"/>
        </w:rPr>
        <w:t xml:space="preserve">. </w:t>
      </w:r>
      <w:r>
        <w:rPr>
          <w:rFonts w:eastAsia="Calibri" w:cs="Times New Roman"/>
          <w:szCs w:val="24"/>
        </w:rPr>
        <w:t xml:space="preserve">A number of resistance genes appeared to be clustered within isolates. For example, there was a positive correlation between trimethoprim resistance genes </w:t>
      </w:r>
      <w:r>
        <w:rPr>
          <w:rFonts w:eastAsia="Calibri" w:cs="Times New Roman"/>
          <w:i/>
          <w:szCs w:val="24"/>
        </w:rPr>
        <w:t xml:space="preserve">dfrA19 </w:t>
      </w:r>
      <w:r>
        <w:rPr>
          <w:rFonts w:eastAsia="Calibri" w:cs="Times New Roman"/>
          <w:szCs w:val="24"/>
        </w:rPr>
        <w:t xml:space="preserve">and </w:t>
      </w:r>
      <w:r>
        <w:rPr>
          <w:rFonts w:eastAsia="Calibri" w:cs="Times New Roman"/>
          <w:i/>
          <w:szCs w:val="24"/>
        </w:rPr>
        <w:t>dfrA17</w:t>
      </w:r>
      <w:r>
        <w:rPr>
          <w:rFonts w:eastAsia="Calibri" w:cs="Times New Roman"/>
          <w:szCs w:val="24"/>
        </w:rPr>
        <w:t xml:space="preserve"> and the aminoglycosidase gene </w:t>
      </w:r>
      <w:r>
        <w:rPr>
          <w:rFonts w:eastAsia="Calibri" w:cs="Times New Roman"/>
          <w:i/>
          <w:szCs w:val="24"/>
        </w:rPr>
        <w:t>aadA4.</w:t>
      </w:r>
      <w:r>
        <w:rPr>
          <w:rFonts w:eastAsia="Calibri" w:cs="Times New Roman"/>
          <w:szCs w:val="24"/>
        </w:rPr>
        <w:t xml:space="preserve"> Correlation was also evident between the aminoglycosidase genes </w:t>
      </w:r>
      <w:r>
        <w:rPr>
          <w:rFonts w:eastAsia="Calibri" w:cs="Times New Roman"/>
          <w:i/>
          <w:szCs w:val="24"/>
        </w:rPr>
        <w:t xml:space="preserve">strA </w:t>
      </w:r>
      <w:r>
        <w:rPr>
          <w:rFonts w:eastAsia="Calibri" w:cs="Times New Roman"/>
          <w:szCs w:val="24"/>
        </w:rPr>
        <w:t xml:space="preserve">and </w:t>
      </w:r>
      <w:r>
        <w:rPr>
          <w:rFonts w:eastAsia="Calibri" w:cs="Times New Roman"/>
          <w:i/>
          <w:szCs w:val="24"/>
        </w:rPr>
        <w:t xml:space="preserve">strB </w:t>
      </w:r>
      <w:r>
        <w:rPr>
          <w:rFonts w:eastAsia="Calibri" w:cs="Times New Roman"/>
          <w:szCs w:val="24"/>
        </w:rPr>
        <w:t xml:space="preserve">and the sulphonamide </w:t>
      </w:r>
      <w:r>
        <w:rPr>
          <w:rFonts w:eastAsia="Calibri" w:cs="Times New Roman"/>
          <w:szCs w:val="24"/>
        </w:rPr>
        <w:lastRenderedPageBreak/>
        <w:t xml:space="preserve">resistance gene </w:t>
      </w:r>
      <w:r>
        <w:rPr>
          <w:rFonts w:eastAsia="Calibri" w:cs="Times New Roman"/>
          <w:i/>
          <w:szCs w:val="24"/>
        </w:rPr>
        <w:t xml:space="preserve">sul2. </w:t>
      </w:r>
      <w:r>
        <w:rPr>
          <w:rFonts w:eastAsia="Calibri" w:cs="Times New Roman"/>
          <w:szCs w:val="24"/>
        </w:rPr>
        <w:t xml:space="preserve">Supplementary figure F1 provides further detail of the clustering present between resistance genes in the isolates investigated. </w:t>
      </w:r>
    </w:p>
    <w:p w14:paraId="66A53A5F" w14:textId="77777777" w:rsidR="00C03618" w:rsidRPr="006B538F" w:rsidRDefault="00C03618" w:rsidP="009150DC">
      <w:pPr>
        <w:rPr>
          <w:rFonts w:eastAsia="Calibri" w:cs="Times New Roman"/>
          <w:szCs w:val="24"/>
        </w:rPr>
      </w:pPr>
      <w:r>
        <w:rPr>
          <w:rFonts w:eastAsia="Calibri" w:cs="Times New Roman"/>
          <w:szCs w:val="24"/>
        </w:rPr>
        <w:t xml:space="preserve"> </w:t>
      </w:r>
      <w:r w:rsidRPr="006B538F">
        <w:rPr>
          <w:rFonts w:eastAsia="Calibri" w:cs="Times New Roman"/>
          <w:szCs w:val="24"/>
        </w:rPr>
        <w:t>Twenty-three different genes associated with virulence were detected.</w:t>
      </w:r>
      <w:r>
        <w:rPr>
          <w:rFonts w:eastAsia="Calibri" w:cs="Times New Roman"/>
          <w:szCs w:val="24"/>
        </w:rPr>
        <w:t xml:space="preserve"> </w:t>
      </w:r>
      <w:r w:rsidRPr="006B538F">
        <w:rPr>
          <w:rFonts w:eastAsia="Calibri" w:cs="Times New Roman"/>
          <w:szCs w:val="24"/>
        </w:rPr>
        <w:t xml:space="preserve"> </w:t>
      </w:r>
      <w:r>
        <w:rPr>
          <w:rFonts w:eastAsia="Calibri" w:cs="Times New Roman"/>
          <w:szCs w:val="24"/>
        </w:rPr>
        <w:t xml:space="preserve">Ten or isolates were found to be positive for </w:t>
      </w:r>
      <w:r w:rsidRPr="006B538F">
        <w:rPr>
          <w:rFonts w:eastAsia="Calibri" w:cs="Times New Roman"/>
          <w:i/>
          <w:szCs w:val="24"/>
        </w:rPr>
        <w:t xml:space="preserve">iss </w:t>
      </w:r>
      <w:r>
        <w:rPr>
          <w:rFonts w:eastAsia="Calibri" w:cs="Times New Roman"/>
          <w:szCs w:val="24"/>
        </w:rPr>
        <w:t>(22 isolates)</w:t>
      </w:r>
      <w:r w:rsidRPr="006B538F">
        <w:rPr>
          <w:rFonts w:eastAsia="Calibri" w:cs="Times New Roman"/>
          <w:szCs w:val="24"/>
        </w:rPr>
        <w:t xml:space="preserve"> </w:t>
      </w:r>
      <w:r>
        <w:rPr>
          <w:rFonts w:eastAsia="Calibri" w:cs="Times New Roman"/>
          <w:szCs w:val="24"/>
        </w:rPr>
        <w:t>associated with</w:t>
      </w:r>
      <w:r w:rsidRPr="006B538F">
        <w:rPr>
          <w:rFonts w:eastAsia="Calibri" w:cs="Times New Roman"/>
          <w:szCs w:val="24"/>
        </w:rPr>
        <w:t xml:space="preserve"> increased resistance to serum, followed by </w:t>
      </w:r>
      <w:r w:rsidRPr="006B538F">
        <w:rPr>
          <w:rFonts w:eastAsia="Calibri" w:cs="Times New Roman"/>
          <w:i/>
          <w:szCs w:val="24"/>
        </w:rPr>
        <w:t xml:space="preserve">iroN </w:t>
      </w:r>
      <w:r>
        <w:rPr>
          <w:rFonts w:eastAsia="Calibri" w:cs="Times New Roman"/>
          <w:szCs w:val="24"/>
        </w:rPr>
        <w:t>(14 isolates)</w:t>
      </w:r>
      <w:r w:rsidRPr="006B538F">
        <w:rPr>
          <w:rFonts w:eastAsia="Calibri" w:cs="Times New Roman"/>
          <w:szCs w:val="24"/>
        </w:rPr>
        <w:t xml:space="preserve"> </w:t>
      </w:r>
      <w:r>
        <w:rPr>
          <w:rFonts w:eastAsia="Calibri" w:cs="Times New Roman"/>
          <w:szCs w:val="24"/>
        </w:rPr>
        <w:t>associated with</w:t>
      </w:r>
      <w:r w:rsidRPr="006B538F">
        <w:rPr>
          <w:rFonts w:eastAsia="Calibri" w:cs="Times New Roman"/>
          <w:szCs w:val="24"/>
        </w:rPr>
        <w:t xml:space="preserve"> iron uptake</w:t>
      </w:r>
      <w:r>
        <w:rPr>
          <w:rFonts w:eastAsia="Calibri" w:cs="Times New Roman"/>
          <w:szCs w:val="24"/>
        </w:rPr>
        <w:t xml:space="preserve">, </w:t>
      </w:r>
      <w:r>
        <w:rPr>
          <w:rFonts w:eastAsia="Calibri" w:cs="Times New Roman"/>
          <w:i/>
          <w:szCs w:val="24"/>
        </w:rPr>
        <w:t>lpfA</w:t>
      </w:r>
      <w:r>
        <w:rPr>
          <w:rFonts w:eastAsia="Calibri" w:cs="Times New Roman"/>
          <w:szCs w:val="24"/>
        </w:rPr>
        <w:t xml:space="preserve"> (11 isolates) encoding long polar fimbriae and </w:t>
      </w:r>
      <w:r>
        <w:rPr>
          <w:rFonts w:eastAsia="Calibri" w:cs="Times New Roman"/>
          <w:i/>
          <w:szCs w:val="24"/>
        </w:rPr>
        <w:t xml:space="preserve">mchF </w:t>
      </w:r>
      <w:r>
        <w:rPr>
          <w:rFonts w:eastAsia="Calibri" w:cs="Times New Roman"/>
          <w:szCs w:val="24"/>
        </w:rPr>
        <w:t>(10 isolates) encoding a subunit of an ABC transporter protein</w:t>
      </w:r>
      <w:r w:rsidRPr="006B538F">
        <w:rPr>
          <w:rFonts w:eastAsia="Calibri" w:cs="Times New Roman"/>
          <w:szCs w:val="24"/>
        </w:rPr>
        <w:t>.</w:t>
      </w:r>
      <w:r>
        <w:rPr>
          <w:rFonts w:eastAsia="Calibri" w:cs="Times New Roman"/>
          <w:szCs w:val="24"/>
        </w:rPr>
        <w:t xml:space="preserve"> The full list of virulence genes identified is provided in supplementary table S1.</w:t>
      </w:r>
      <w:r w:rsidRPr="006B538F">
        <w:rPr>
          <w:rFonts w:eastAsia="Calibri" w:cs="Times New Roman"/>
          <w:szCs w:val="24"/>
        </w:rPr>
        <w:t xml:space="preserve"> A number of genes associated with the locus of enterocyte effacement (LEE) were detected in eight isolates</w:t>
      </w:r>
      <w:r>
        <w:rPr>
          <w:rFonts w:eastAsia="Calibri" w:cs="Times New Roman"/>
          <w:szCs w:val="24"/>
        </w:rPr>
        <w:t xml:space="preserve">, though none appeared to possess all genes encoded by the pathogenicity island. </w:t>
      </w:r>
    </w:p>
    <w:p w14:paraId="6BBD4C64" w14:textId="77777777" w:rsidR="00C03618" w:rsidRPr="006B538F" w:rsidRDefault="00C03618" w:rsidP="00C03618">
      <w:pPr>
        <w:pStyle w:val="Heading2"/>
        <w:numPr>
          <w:ilvl w:val="1"/>
          <w:numId w:val="8"/>
        </w:numPr>
        <w:ind w:left="788" w:hanging="431"/>
      </w:pPr>
      <w:r w:rsidRPr="006B538F">
        <w:t>Multi-Locus Sequence Typing</w:t>
      </w:r>
    </w:p>
    <w:p w14:paraId="58287829" w14:textId="77777777" w:rsidR="00C03618" w:rsidRPr="006B538F" w:rsidRDefault="00C03618" w:rsidP="009150DC">
      <w:pPr>
        <w:rPr>
          <w:rFonts w:cs="Times New Roman"/>
          <w:szCs w:val="24"/>
        </w:rPr>
      </w:pPr>
      <w:r w:rsidRPr="006B538F">
        <w:rPr>
          <w:rFonts w:cs="Times New Roman"/>
          <w:szCs w:val="24"/>
        </w:rPr>
        <w:t>The 31 isolates studied by microarray also underwent multi-locus sequence typing, although seven could not be typed due to poor sequence</w:t>
      </w:r>
      <w:r>
        <w:rPr>
          <w:rFonts w:cs="Times New Roman"/>
          <w:szCs w:val="24"/>
        </w:rPr>
        <w:t xml:space="preserve"> quality,</w:t>
      </w:r>
      <w:r w:rsidRPr="006B538F">
        <w:rPr>
          <w:rFonts w:cs="Times New Roman"/>
          <w:szCs w:val="24"/>
        </w:rPr>
        <w:t xml:space="preserve"> or because no amplicon could be obtained. In total, 19 different sequence types (STs) were identified (Figure 1). Sixteen occurred only once and three (ST1684, ST1710 and ST1832) were novel sequence types. The most commonly identified STs were ST963 (three isolates), ST88 (two isolates) and ST1670 (two isolates). With the exception of the three ST963 isolates, which all </w:t>
      </w:r>
      <w:r>
        <w:rPr>
          <w:rFonts w:cs="Times New Roman"/>
          <w:szCs w:val="24"/>
        </w:rPr>
        <w:t>carried</w:t>
      </w:r>
      <w:r w:rsidRPr="006B538F">
        <w:rPr>
          <w:rFonts w:cs="Times New Roman"/>
          <w:szCs w:val="24"/>
        </w:rPr>
        <w:t xml:space="preserve"> </w:t>
      </w:r>
      <w:r w:rsidRPr="006B538F">
        <w:rPr>
          <w:rFonts w:cs="Times New Roman"/>
          <w:i/>
          <w:szCs w:val="24"/>
        </w:rPr>
        <w:t>bla</w:t>
      </w:r>
      <w:r w:rsidRPr="006B538F">
        <w:rPr>
          <w:rFonts w:cs="Times New Roman"/>
          <w:szCs w:val="24"/>
          <w:vertAlign w:val="subscript"/>
        </w:rPr>
        <w:t>CMY</w:t>
      </w:r>
      <w:r w:rsidRPr="006B538F">
        <w:rPr>
          <w:rFonts w:cs="Times New Roman"/>
          <w:szCs w:val="24"/>
        </w:rPr>
        <w:t xml:space="preserve"> gene, no</w:t>
      </w:r>
      <w:r>
        <w:rPr>
          <w:rFonts w:cs="Times New Roman"/>
          <w:szCs w:val="24"/>
        </w:rPr>
        <w:t xml:space="preserve"> association with</w:t>
      </w:r>
      <w:r w:rsidRPr="006B538F">
        <w:rPr>
          <w:rFonts w:cs="Times New Roman"/>
          <w:szCs w:val="24"/>
        </w:rPr>
        <w:t xml:space="preserve"> ST and specific </w:t>
      </w:r>
      <w:r w:rsidRPr="006B538F">
        <w:rPr>
          <w:rFonts w:cs="Times New Roman"/>
          <w:i/>
          <w:szCs w:val="24"/>
        </w:rPr>
        <w:t>bla</w:t>
      </w:r>
      <w:r w:rsidRPr="006B538F">
        <w:rPr>
          <w:rFonts w:cs="Times New Roman"/>
          <w:szCs w:val="24"/>
          <w:vertAlign w:val="subscript"/>
        </w:rPr>
        <w:t>CTX-M</w:t>
      </w:r>
      <w:r w:rsidRPr="006B538F">
        <w:rPr>
          <w:rFonts w:cs="Times New Roman"/>
          <w:szCs w:val="24"/>
        </w:rPr>
        <w:t xml:space="preserve"> or </w:t>
      </w:r>
      <w:r w:rsidRPr="006B538F">
        <w:rPr>
          <w:rFonts w:cs="Times New Roman"/>
          <w:i/>
          <w:szCs w:val="24"/>
        </w:rPr>
        <w:t>bla</w:t>
      </w:r>
      <w:r w:rsidRPr="006B538F">
        <w:rPr>
          <w:rFonts w:cs="Times New Roman"/>
          <w:szCs w:val="24"/>
          <w:vertAlign w:val="subscript"/>
        </w:rPr>
        <w:t>CMY</w:t>
      </w:r>
      <w:r w:rsidRPr="006B538F">
        <w:rPr>
          <w:rFonts w:cs="Times New Roman"/>
          <w:szCs w:val="24"/>
        </w:rPr>
        <w:t xml:space="preserve"> genes w</w:t>
      </w:r>
      <w:r>
        <w:rPr>
          <w:rFonts w:cs="Times New Roman"/>
          <w:szCs w:val="24"/>
        </w:rPr>
        <w:t>as</w:t>
      </w:r>
      <w:r w:rsidRPr="006B538F">
        <w:rPr>
          <w:rFonts w:cs="Times New Roman"/>
          <w:szCs w:val="24"/>
        </w:rPr>
        <w:t xml:space="preserve"> evident.  The two isolates that carried </w:t>
      </w:r>
      <w:r w:rsidRPr="006B538F">
        <w:rPr>
          <w:rFonts w:cs="Times New Roman"/>
          <w:i/>
          <w:szCs w:val="24"/>
        </w:rPr>
        <w:t>bla</w:t>
      </w:r>
      <w:r w:rsidRPr="006B538F">
        <w:rPr>
          <w:rFonts w:cs="Times New Roman"/>
          <w:szCs w:val="24"/>
          <w:vertAlign w:val="subscript"/>
        </w:rPr>
        <w:t>CTX-M-15</w:t>
      </w:r>
      <w:r w:rsidRPr="006B538F">
        <w:rPr>
          <w:rFonts w:cs="Times New Roman"/>
          <w:szCs w:val="24"/>
        </w:rPr>
        <w:t xml:space="preserve"> were found to be ST410 and ST448</w:t>
      </w:r>
      <w:r>
        <w:rPr>
          <w:rFonts w:cs="Times New Roman"/>
          <w:szCs w:val="24"/>
        </w:rPr>
        <w:t>.</w:t>
      </w:r>
      <w:r w:rsidRPr="006B538F">
        <w:rPr>
          <w:rFonts w:cs="Times New Roman"/>
          <w:szCs w:val="24"/>
        </w:rPr>
        <w:t xml:space="preserve">   </w:t>
      </w:r>
    </w:p>
    <w:p w14:paraId="2396A306" w14:textId="77777777" w:rsidR="00C03618" w:rsidRDefault="00C03618" w:rsidP="00C03618">
      <w:pPr>
        <w:pStyle w:val="Heading2"/>
        <w:numPr>
          <w:ilvl w:val="1"/>
          <w:numId w:val="8"/>
        </w:numPr>
        <w:ind w:left="788" w:hanging="431"/>
      </w:pPr>
      <w:r>
        <w:t>R</w:t>
      </w:r>
      <w:r w:rsidRPr="006B538F">
        <w:t xml:space="preserve">isk factors associated with carriage of </w:t>
      </w:r>
      <w:r>
        <w:t>AMR</w:t>
      </w:r>
      <w:r w:rsidRPr="006B538F">
        <w:t xml:space="preserve"> E .coli</w:t>
      </w:r>
    </w:p>
    <w:p w14:paraId="64F8E6C2" w14:textId="77777777" w:rsidR="00C03618" w:rsidRDefault="00C03618" w:rsidP="00834A39">
      <w:pPr>
        <w:rPr>
          <w:lang w:eastAsia="en-GB"/>
        </w:rPr>
      </w:pPr>
      <w:r>
        <w:rPr>
          <w:lang w:eastAsia="en-GB"/>
        </w:rPr>
        <w:t>Univariable analysis identified a variety of explanatory variables to be significantly associated with one or more of the four outcomes tested. Any explanatory variables with a p-value of less than 0.3 were included in the initial multivariable model (Supplementary tables 1 to 4). With the exception of being fed raw poultry, which was significantly associated with ESBL carriage (P&lt;0.001), fluoroquinolone resistance (P&lt;0.001) and MDR (P=0.006), no variables were associated with more than one of the outcomes.</w:t>
      </w:r>
    </w:p>
    <w:p w14:paraId="3BB9888D" w14:textId="77777777" w:rsidR="00C03618" w:rsidRDefault="00C03618" w:rsidP="00B26958">
      <w:pPr>
        <w:rPr>
          <w:lang w:eastAsia="en-GB"/>
        </w:rPr>
      </w:pPr>
      <w:r>
        <w:rPr>
          <w:lang w:eastAsia="en-GB"/>
        </w:rPr>
        <w:lastRenderedPageBreak/>
        <w:t xml:space="preserve">Following sequential removal of variables from the maximal model, Table 3 shows the variables remaining in the models of the four outcomes. Raw poultry consumption remained significantly associated with ESBL carriage (OR 48.04), fluoroquinolone resistance (OR 2.18) and MDR (OR 4.11). There was evidence of an interaction between raw poultry consumption and being a working dog in the fluoroquinolone resistance model with working dogs that also consumed raw poultry being 104 times more likely to carry an </w:t>
      </w:r>
      <w:r>
        <w:rPr>
          <w:i/>
          <w:lang w:eastAsia="en-GB"/>
        </w:rPr>
        <w:t xml:space="preserve">E. coli </w:t>
      </w:r>
      <w:r>
        <w:rPr>
          <w:lang w:eastAsia="en-GB"/>
        </w:rPr>
        <w:t xml:space="preserve">that was resistant to fluoroquinolones, however confidence intervals were wide. Breed size was identified as a risk factor for ESBL carriage and MDR. For ESBL mediated resistance with large dogs eight times more likely to carry ESBL producing </w:t>
      </w:r>
      <w:r>
        <w:rPr>
          <w:i/>
          <w:lang w:eastAsia="en-GB"/>
        </w:rPr>
        <w:t>E. coli</w:t>
      </w:r>
      <w:r>
        <w:rPr>
          <w:lang w:eastAsia="en-GB"/>
        </w:rPr>
        <w:t xml:space="preserve"> compared to small/medium dogs. In the MDR model, large dogs were 2.5 times more likely to carry MDR </w:t>
      </w:r>
      <w:r>
        <w:rPr>
          <w:i/>
          <w:lang w:eastAsia="en-GB"/>
        </w:rPr>
        <w:t xml:space="preserve">E. coli </w:t>
      </w:r>
      <w:r>
        <w:rPr>
          <w:lang w:eastAsia="en-GB"/>
        </w:rPr>
        <w:t xml:space="preserve">than medium sized dogs with no significant difference between small and medium dogs. Other variables that remained in the final models included antimicrobial prescription, presence of or contact with other animals, age and the purpose of the veterinary consultation, though none were associated with more than one of the four models. </w:t>
      </w:r>
    </w:p>
    <w:p w14:paraId="57B86E86" w14:textId="77777777" w:rsidR="00C03618" w:rsidRDefault="00C03618" w:rsidP="00B26958">
      <w:pPr>
        <w:pStyle w:val="Heading1"/>
      </w:pPr>
      <w:r w:rsidRPr="006B538F">
        <w:t>Discussion</w:t>
      </w:r>
      <w:r w:rsidRPr="0058412E">
        <w:t xml:space="preserve"> </w:t>
      </w:r>
    </w:p>
    <w:p w14:paraId="5974FAB2" w14:textId="77777777" w:rsidR="00C03618" w:rsidRDefault="00C03618" w:rsidP="00311BA6">
      <w:pPr>
        <w:rPr>
          <w:rFonts w:eastAsia="Calibri" w:cs="Times New Roman"/>
          <w:szCs w:val="24"/>
        </w:rPr>
      </w:pPr>
      <w:r>
        <w:t xml:space="preserve">This study </w:t>
      </w:r>
      <w:r w:rsidRPr="00534D25">
        <w:t>investigate</w:t>
      </w:r>
      <w:r>
        <w:t>d</w:t>
      </w:r>
      <w:r w:rsidRPr="00534D25">
        <w:t xml:space="preserve"> the prevalence</w:t>
      </w:r>
      <w:r>
        <w:t xml:space="preserve"> </w:t>
      </w:r>
      <w:r w:rsidRPr="00534D25">
        <w:t xml:space="preserve">faecal carriage of </w:t>
      </w:r>
      <w:r>
        <w:t>AMR</w:t>
      </w:r>
      <w:r w:rsidRPr="00534D25">
        <w:t xml:space="preserve"> </w:t>
      </w:r>
      <w:r w:rsidRPr="00534D25">
        <w:rPr>
          <w:i/>
        </w:rPr>
        <w:t xml:space="preserve">E. coli </w:t>
      </w:r>
      <w:r w:rsidRPr="00534D25">
        <w:t xml:space="preserve">by vet visiting dogs in the UK. </w:t>
      </w:r>
      <w:r>
        <w:rPr>
          <w:rFonts w:eastAsia="Times New Roman" w:cs="Times New Roman"/>
          <w:szCs w:val="24"/>
          <w:lang w:eastAsia="en-GB"/>
        </w:rPr>
        <w:t xml:space="preserve">Plasmid mediated </w:t>
      </w:r>
      <w:r w:rsidRPr="006B538F">
        <w:rPr>
          <w:rFonts w:eastAsia="Times New Roman" w:cs="Times New Roman"/>
          <w:szCs w:val="24"/>
          <w:lang w:eastAsia="en-GB"/>
        </w:rPr>
        <w:t>AmpC β-lactamase</w:t>
      </w:r>
      <w:r>
        <w:rPr>
          <w:rFonts w:eastAsia="Times New Roman" w:cs="Times New Roman"/>
          <w:szCs w:val="24"/>
          <w:lang w:eastAsia="en-GB"/>
        </w:rPr>
        <w:t>-</w:t>
      </w:r>
      <w:r w:rsidRPr="006B538F">
        <w:rPr>
          <w:rFonts w:eastAsia="Times New Roman" w:cs="Times New Roman"/>
          <w:szCs w:val="24"/>
          <w:lang w:eastAsia="en-GB"/>
        </w:rPr>
        <w:t xml:space="preserve">producing </w:t>
      </w:r>
      <w:r w:rsidRPr="006B538F">
        <w:rPr>
          <w:rFonts w:eastAsia="Times New Roman" w:cs="Times New Roman"/>
          <w:i/>
          <w:szCs w:val="24"/>
          <w:lang w:eastAsia="en-GB"/>
        </w:rPr>
        <w:t xml:space="preserve">E. coli </w:t>
      </w:r>
      <w:r>
        <w:rPr>
          <w:rFonts w:eastAsia="Times New Roman" w:cs="Times New Roman"/>
          <w:szCs w:val="24"/>
          <w:lang w:eastAsia="en-GB"/>
        </w:rPr>
        <w:t>carriage</w:t>
      </w:r>
      <w:r>
        <w:rPr>
          <w:rFonts w:eastAsia="Times New Roman" w:cs="Times New Roman"/>
          <w:i/>
          <w:szCs w:val="24"/>
          <w:lang w:eastAsia="en-GB"/>
        </w:rPr>
        <w:t xml:space="preserve"> </w:t>
      </w:r>
      <w:r w:rsidRPr="006B538F">
        <w:rPr>
          <w:rFonts w:eastAsia="Times New Roman" w:cs="Times New Roman"/>
          <w:szCs w:val="24"/>
          <w:lang w:eastAsia="en-GB"/>
        </w:rPr>
        <w:t xml:space="preserve">was higher (7.1%) than the prevalence of ESBL producing </w:t>
      </w:r>
      <w:r w:rsidRPr="006B538F">
        <w:rPr>
          <w:rFonts w:eastAsia="Times New Roman" w:cs="Times New Roman"/>
          <w:i/>
          <w:szCs w:val="24"/>
          <w:lang w:eastAsia="en-GB"/>
        </w:rPr>
        <w:t>E. coli</w:t>
      </w:r>
      <w:r w:rsidRPr="006B538F">
        <w:rPr>
          <w:rFonts w:eastAsia="Times New Roman" w:cs="Times New Roman"/>
          <w:szCs w:val="24"/>
          <w:lang w:eastAsia="en-GB"/>
        </w:rPr>
        <w:t xml:space="preserve"> (</w:t>
      </w:r>
      <w:r>
        <w:rPr>
          <w:rFonts w:eastAsia="Times New Roman" w:cs="Times New Roman"/>
          <w:szCs w:val="24"/>
          <w:lang w:eastAsia="en-GB"/>
        </w:rPr>
        <w:t>1.9</w:t>
      </w:r>
      <w:r w:rsidRPr="006B538F">
        <w:rPr>
          <w:rFonts w:eastAsia="Times New Roman" w:cs="Times New Roman"/>
          <w:szCs w:val="24"/>
          <w:lang w:eastAsia="en-GB"/>
        </w:rPr>
        <w:t>%)</w:t>
      </w:r>
      <w:r>
        <w:rPr>
          <w:rFonts w:eastAsia="Times New Roman" w:cs="Times New Roman"/>
          <w:szCs w:val="24"/>
          <w:lang w:eastAsia="en-GB"/>
        </w:rPr>
        <w:t xml:space="preserve">. However, </w:t>
      </w:r>
      <w:r>
        <w:rPr>
          <w:rFonts w:eastAsia="Calibri" w:cs="Times New Roman"/>
          <w:szCs w:val="24"/>
        </w:rPr>
        <w:t>only one</w:t>
      </w:r>
      <w:r w:rsidRPr="006B538F">
        <w:rPr>
          <w:rFonts w:eastAsia="Calibri" w:cs="Times New Roman"/>
          <w:szCs w:val="24"/>
        </w:rPr>
        <w:t xml:space="preserve"> gene </w:t>
      </w:r>
      <w:r>
        <w:rPr>
          <w:rFonts w:eastAsia="Calibri" w:cs="Times New Roman"/>
          <w:szCs w:val="24"/>
        </w:rPr>
        <w:t xml:space="preserve">variant </w:t>
      </w:r>
      <w:r w:rsidRPr="006B538F">
        <w:rPr>
          <w:rFonts w:eastAsia="Calibri" w:cs="Times New Roman"/>
          <w:szCs w:val="24"/>
        </w:rPr>
        <w:t>associated with the AmpC β-lactamase phenotype</w:t>
      </w:r>
      <w:r>
        <w:rPr>
          <w:rFonts w:eastAsia="Calibri" w:cs="Times New Roman"/>
          <w:szCs w:val="24"/>
        </w:rPr>
        <w:t xml:space="preserve"> (</w:t>
      </w:r>
      <w:r w:rsidRPr="006B538F">
        <w:rPr>
          <w:rFonts w:eastAsia="Calibri" w:cs="Times New Roman"/>
          <w:i/>
          <w:szCs w:val="24"/>
        </w:rPr>
        <w:t>bla</w:t>
      </w:r>
      <w:r w:rsidRPr="006B538F">
        <w:rPr>
          <w:rFonts w:eastAsia="Calibri" w:cs="Times New Roman"/>
          <w:szCs w:val="24"/>
          <w:vertAlign w:val="subscript"/>
        </w:rPr>
        <w:t>CMY-2</w:t>
      </w:r>
      <w:r>
        <w:rPr>
          <w:rFonts w:eastAsia="Calibri" w:cs="Times New Roman"/>
          <w:szCs w:val="24"/>
        </w:rPr>
        <w:t>) was identified</w:t>
      </w:r>
      <w:r w:rsidRPr="006B538F">
        <w:rPr>
          <w:rFonts w:eastAsia="Calibri" w:cs="Times New Roman"/>
          <w:szCs w:val="24"/>
        </w:rPr>
        <w:t xml:space="preserve">, which has been identified in </w:t>
      </w:r>
      <w:r w:rsidRPr="006B538F">
        <w:rPr>
          <w:rFonts w:eastAsia="Calibri" w:cs="Times New Roman"/>
          <w:i/>
          <w:szCs w:val="24"/>
        </w:rPr>
        <w:t xml:space="preserve">E. coli </w:t>
      </w:r>
      <w:r w:rsidRPr="006B538F">
        <w:rPr>
          <w:rFonts w:eastAsia="Calibri" w:cs="Times New Roman"/>
          <w:szCs w:val="24"/>
        </w:rPr>
        <w:t xml:space="preserve">from canine clinical samples in Italy and Canada </w:t>
      </w:r>
      <w:r>
        <w:rPr>
          <w:rFonts w:eastAsia="Calibri" w:cs="Times New Roman"/>
          <w:noProof/>
          <w:szCs w:val="24"/>
        </w:rPr>
        <w:t>(Carattoli et al., 2005; Sanchez et al., 2002)</w:t>
      </w:r>
      <w:r w:rsidRPr="006B538F">
        <w:rPr>
          <w:rFonts w:eastAsia="Calibri" w:cs="Times New Roman"/>
          <w:szCs w:val="24"/>
        </w:rPr>
        <w:t>, and healthy dogs from</w:t>
      </w:r>
      <w:r>
        <w:rPr>
          <w:rFonts w:eastAsia="Calibri" w:cs="Times New Roman"/>
          <w:szCs w:val="24"/>
        </w:rPr>
        <w:t xml:space="preserve"> many countries including</w:t>
      </w:r>
      <w:r w:rsidRPr="006B538F">
        <w:rPr>
          <w:rFonts w:eastAsia="Calibri" w:cs="Times New Roman"/>
          <w:szCs w:val="24"/>
        </w:rPr>
        <w:t xml:space="preserve"> the USA</w:t>
      </w:r>
      <w:r>
        <w:rPr>
          <w:rFonts w:eastAsia="Calibri" w:cs="Times New Roman"/>
          <w:szCs w:val="24"/>
        </w:rPr>
        <w:t xml:space="preserve"> and the UK </w:t>
      </w:r>
      <w:r>
        <w:rPr>
          <w:rFonts w:eastAsia="Calibri" w:cs="Times New Roman"/>
          <w:noProof/>
          <w:szCs w:val="24"/>
        </w:rPr>
        <w:t>(Murphy et al., 2009; Wedley et al., 2011)</w:t>
      </w:r>
      <w:r w:rsidRPr="006B538F">
        <w:rPr>
          <w:rFonts w:eastAsia="Calibri" w:cs="Times New Roman"/>
          <w:szCs w:val="24"/>
        </w:rPr>
        <w:t xml:space="preserve">. The high frequency of this </w:t>
      </w:r>
      <w:r>
        <w:rPr>
          <w:rFonts w:eastAsia="Calibri" w:cs="Times New Roman"/>
          <w:szCs w:val="24"/>
        </w:rPr>
        <w:t>gene</w:t>
      </w:r>
      <w:r w:rsidRPr="006B538F">
        <w:rPr>
          <w:rFonts w:eastAsia="Calibri" w:cs="Times New Roman"/>
          <w:szCs w:val="24"/>
        </w:rPr>
        <w:t xml:space="preserve"> in canine isolates may be due to spread of a few specific plasmids</w:t>
      </w:r>
      <w:r>
        <w:rPr>
          <w:rFonts w:eastAsia="Calibri" w:cs="Times New Roman"/>
          <w:szCs w:val="24"/>
        </w:rPr>
        <w:t xml:space="preserve"> </w:t>
      </w:r>
      <w:r>
        <w:rPr>
          <w:rFonts w:eastAsia="Calibri" w:cs="Times New Roman"/>
          <w:noProof/>
          <w:szCs w:val="24"/>
        </w:rPr>
        <w:t>(Hopkins et al., 2006)</w:t>
      </w:r>
      <w:r>
        <w:rPr>
          <w:rFonts w:eastAsia="Calibri" w:cs="Times New Roman"/>
          <w:szCs w:val="24"/>
        </w:rPr>
        <w:t>, or</w:t>
      </w:r>
      <w:r w:rsidRPr="006B538F">
        <w:rPr>
          <w:rFonts w:eastAsia="Calibri" w:cs="Times New Roman"/>
          <w:szCs w:val="24"/>
        </w:rPr>
        <w:t xml:space="preserve"> the integration of the </w:t>
      </w:r>
      <w:r w:rsidRPr="006B538F">
        <w:rPr>
          <w:rFonts w:eastAsia="Calibri" w:cs="Times New Roman"/>
          <w:i/>
          <w:szCs w:val="24"/>
        </w:rPr>
        <w:t>bla</w:t>
      </w:r>
      <w:r w:rsidRPr="006B538F">
        <w:rPr>
          <w:rFonts w:eastAsia="Calibri" w:cs="Times New Roman"/>
          <w:szCs w:val="24"/>
          <w:vertAlign w:val="subscript"/>
        </w:rPr>
        <w:t xml:space="preserve">CMY-2 </w:t>
      </w:r>
      <w:r w:rsidRPr="006B538F">
        <w:rPr>
          <w:rFonts w:eastAsia="Calibri" w:cs="Times New Roman"/>
          <w:szCs w:val="24"/>
        </w:rPr>
        <w:t xml:space="preserve">gene into many plasmids facilitating widespread dissemination </w:t>
      </w:r>
      <w:r>
        <w:rPr>
          <w:rFonts w:eastAsia="Calibri" w:cs="Times New Roman"/>
          <w:noProof/>
          <w:szCs w:val="24"/>
        </w:rPr>
        <w:t>(Carattoli et al., 2002)</w:t>
      </w:r>
      <w:r w:rsidRPr="006B538F">
        <w:rPr>
          <w:rFonts w:eastAsia="Calibri" w:cs="Times New Roman"/>
          <w:szCs w:val="24"/>
        </w:rPr>
        <w:t xml:space="preserve">. </w:t>
      </w:r>
      <w:r>
        <w:rPr>
          <w:rFonts w:eastAsia="Calibri" w:cs="Times New Roman"/>
          <w:szCs w:val="24"/>
        </w:rPr>
        <w:t xml:space="preserve">There was a greater clustering of pAmpC carriage (19.9%, the degree of clustering) </w:t>
      </w:r>
      <w:r>
        <w:rPr>
          <w:rFonts w:eastAsia="Calibri" w:cs="Times New Roman"/>
          <w:szCs w:val="24"/>
        </w:rPr>
        <w:lastRenderedPageBreak/>
        <w:t xml:space="preserve">within practice compared to other outcomes (with the exception of ESBL carriage, 53.53%), which supports the suggestion that prescribing practices </w:t>
      </w:r>
      <w:r>
        <w:rPr>
          <w:rFonts w:eastAsia="Calibri" w:cs="Times New Roman"/>
          <w:noProof/>
          <w:szCs w:val="24"/>
        </w:rPr>
        <w:t>(Hughes et al., 2012)</w:t>
      </w:r>
      <w:r>
        <w:rPr>
          <w:rFonts w:eastAsia="Calibri" w:cs="Times New Roman"/>
          <w:szCs w:val="24"/>
        </w:rPr>
        <w:t xml:space="preserve">, or other practice specific factors, may have a direct effect of carriage of AMR bacteria. </w:t>
      </w:r>
    </w:p>
    <w:p w14:paraId="77C26DB4" w14:textId="77777777" w:rsidR="00C03618" w:rsidRDefault="00C03618" w:rsidP="0058412E">
      <w:pPr>
        <w:spacing w:before="240"/>
        <w:contextualSpacing/>
        <w:rPr>
          <w:rFonts w:eastAsia="Times New Roman" w:cs="Times New Roman"/>
          <w:szCs w:val="24"/>
          <w:lang w:eastAsia="en-GB"/>
        </w:rPr>
      </w:pPr>
      <w:r>
        <w:rPr>
          <w:rFonts w:eastAsia="Times New Roman" w:cs="Times New Roman"/>
          <w:szCs w:val="24"/>
          <w:lang w:eastAsia="en-GB"/>
        </w:rPr>
        <w:t>This study found carriage of</w:t>
      </w:r>
      <w:r w:rsidRPr="006B538F">
        <w:rPr>
          <w:rFonts w:eastAsia="Times New Roman" w:cs="Times New Roman"/>
          <w:szCs w:val="24"/>
          <w:lang w:eastAsia="en-GB"/>
        </w:rPr>
        <w:t xml:space="preserve"> </w:t>
      </w:r>
      <w:r>
        <w:rPr>
          <w:rFonts w:eastAsia="Times New Roman" w:cs="Times New Roman"/>
          <w:szCs w:val="24"/>
          <w:lang w:eastAsia="en-GB"/>
        </w:rPr>
        <w:t>AMR</w:t>
      </w:r>
      <w:r w:rsidRPr="006B538F">
        <w:rPr>
          <w:rFonts w:eastAsia="Times New Roman" w:cs="Times New Roman"/>
          <w:szCs w:val="24"/>
          <w:lang w:eastAsia="en-GB"/>
        </w:rPr>
        <w:t xml:space="preserve"> </w:t>
      </w:r>
      <w:r w:rsidRPr="006B538F">
        <w:rPr>
          <w:rFonts w:eastAsia="Times New Roman" w:cs="Times New Roman"/>
          <w:i/>
          <w:szCs w:val="24"/>
          <w:lang w:eastAsia="en-GB"/>
        </w:rPr>
        <w:t xml:space="preserve">E. coli </w:t>
      </w:r>
      <w:r>
        <w:rPr>
          <w:rFonts w:eastAsia="Times New Roman" w:cs="Times New Roman"/>
          <w:szCs w:val="24"/>
          <w:lang w:eastAsia="en-GB"/>
        </w:rPr>
        <w:t>to be</w:t>
      </w:r>
      <w:r w:rsidRPr="006B538F">
        <w:rPr>
          <w:rFonts w:eastAsia="Times New Roman" w:cs="Times New Roman"/>
          <w:szCs w:val="24"/>
          <w:lang w:eastAsia="en-GB"/>
        </w:rPr>
        <w:t xml:space="preserve"> common among the vet-visiting dog</w:t>
      </w:r>
      <w:r>
        <w:rPr>
          <w:rFonts w:eastAsia="Times New Roman" w:cs="Times New Roman"/>
          <w:szCs w:val="24"/>
          <w:lang w:eastAsia="en-GB"/>
        </w:rPr>
        <w:t>s (44.8</w:t>
      </w:r>
      <w:r w:rsidRPr="006B538F">
        <w:rPr>
          <w:rFonts w:eastAsia="Times New Roman" w:cs="Times New Roman"/>
          <w:szCs w:val="24"/>
          <w:lang w:eastAsia="en-GB"/>
        </w:rPr>
        <w:t xml:space="preserve">%) with </w:t>
      </w:r>
      <w:r>
        <w:rPr>
          <w:rFonts w:eastAsia="Times New Roman" w:cs="Times New Roman"/>
          <w:szCs w:val="24"/>
          <w:lang w:eastAsia="en-GB"/>
        </w:rPr>
        <w:t>resistance</w:t>
      </w:r>
      <w:r w:rsidRPr="006B538F">
        <w:rPr>
          <w:rFonts w:eastAsia="Times New Roman" w:cs="Times New Roman"/>
          <w:szCs w:val="24"/>
          <w:lang w:eastAsia="en-GB"/>
        </w:rPr>
        <w:t xml:space="preserve"> to ampicillin, tetracycline and trimethoprim</w:t>
      </w:r>
      <w:r>
        <w:rPr>
          <w:rFonts w:eastAsia="Times New Roman" w:cs="Times New Roman"/>
          <w:szCs w:val="24"/>
          <w:lang w:eastAsia="en-GB"/>
        </w:rPr>
        <w:t xml:space="preserve"> most prevalent, reflecting</w:t>
      </w:r>
      <w:r w:rsidRPr="006B538F">
        <w:rPr>
          <w:rFonts w:eastAsia="Times New Roman" w:cs="Times New Roman"/>
          <w:szCs w:val="24"/>
          <w:lang w:eastAsia="en-GB"/>
        </w:rPr>
        <w:t xml:space="preserve"> previous studie</w:t>
      </w:r>
      <w:r>
        <w:rPr>
          <w:rFonts w:eastAsia="Times New Roman" w:cs="Times New Roman"/>
          <w:szCs w:val="24"/>
          <w:lang w:eastAsia="en-GB"/>
        </w:rPr>
        <w:t xml:space="preserve">s </w:t>
      </w:r>
      <w:r>
        <w:rPr>
          <w:rFonts w:eastAsia="Times New Roman" w:cs="Times New Roman"/>
          <w:noProof/>
          <w:szCs w:val="24"/>
          <w:lang w:eastAsia="en-GB"/>
        </w:rPr>
        <w:t>(Costa et al., 2008; SVARM, 2006)</w:t>
      </w:r>
      <w:r>
        <w:rPr>
          <w:rFonts w:eastAsia="Times New Roman" w:cs="Times New Roman"/>
          <w:szCs w:val="24"/>
          <w:lang w:eastAsia="en-GB"/>
        </w:rPr>
        <w:t>, which</w:t>
      </w:r>
      <w:r w:rsidRPr="006B538F">
        <w:rPr>
          <w:rFonts w:eastAsia="Times New Roman" w:cs="Times New Roman"/>
          <w:szCs w:val="24"/>
          <w:lang w:eastAsia="en-GB"/>
        </w:rPr>
        <w:t xml:space="preserve"> may be attributed to the numerous determinants responsible</w:t>
      </w:r>
      <w:r>
        <w:rPr>
          <w:rFonts w:eastAsia="Times New Roman" w:cs="Times New Roman"/>
          <w:szCs w:val="24"/>
          <w:lang w:eastAsia="en-GB"/>
        </w:rPr>
        <w:t xml:space="preserve"> for resistance</w:t>
      </w:r>
      <w:r w:rsidRPr="006B538F">
        <w:rPr>
          <w:rFonts w:eastAsia="Times New Roman" w:cs="Times New Roman"/>
          <w:szCs w:val="24"/>
          <w:lang w:eastAsia="en-GB"/>
        </w:rPr>
        <w:t xml:space="preserve"> </w:t>
      </w:r>
      <w:r>
        <w:rPr>
          <w:rFonts w:eastAsia="Times New Roman" w:cs="Times New Roman"/>
          <w:szCs w:val="24"/>
          <w:lang w:eastAsia="en-GB"/>
        </w:rPr>
        <w:t>and that they are</w:t>
      </w:r>
      <w:r w:rsidRPr="006B538F">
        <w:rPr>
          <w:rFonts w:eastAsia="Times New Roman" w:cs="Times New Roman"/>
          <w:szCs w:val="24"/>
          <w:lang w:eastAsia="en-GB"/>
        </w:rPr>
        <w:t xml:space="preserve"> readily transmissibl</w:t>
      </w:r>
      <w:r>
        <w:rPr>
          <w:rFonts w:eastAsia="Times New Roman" w:cs="Times New Roman"/>
          <w:szCs w:val="24"/>
          <w:lang w:eastAsia="en-GB"/>
        </w:rPr>
        <w:t>e, but also the frequent</w:t>
      </w:r>
      <w:r w:rsidRPr="006B538F">
        <w:rPr>
          <w:rFonts w:eastAsia="Times New Roman" w:cs="Times New Roman"/>
          <w:szCs w:val="24"/>
          <w:lang w:eastAsia="en-GB"/>
        </w:rPr>
        <w:t xml:space="preserve"> use of these and related drugs in </w:t>
      </w:r>
      <w:r>
        <w:rPr>
          <w:rFonts w:eastAsia="Times New Roman" w:cs="Times New Roman"/>
          <w:szCs w:val="24"/>
          <w:lang w:eastAsia="en-GB"/>
        </w:rPr>
        <w:t>dogs</w:t>
      </w:r>
      <w:r w:rsidRPr="006B538F">
        <w:rPr>
          <w:rFonts w:eastAsia="Times New Roman" w:cs="Times New Roman"/>
          <w:szCs w:val="24"/>
          <w:lang w:eastAsia="en-GB"/>
        </w:rPr>
        <w:t xml:space="preserve"> . </w:t>
      </w:r>
    </w:p>
    <w:p w14:paraId="78F799EF" w14:textId="77777777" w:rsidR="00C03618" w:rsidRDefault="00C03618" w:rsidP="0058412E">
      <w:pPr>
        <w:spacing w:before="240"/>
        <w:contextualSpacing/>
        <w:rPr>
          <w:rFonts w:eastAsia="Times New Roman" w:cs="Times New Roman"/>
          <w:szCs w:val="24"/>
          <w:lang w:eastAsia="en-GB"/>
        </w:rPr>
      </w:pPr>
      <w:r>
        <w:rPr>
          <w:rFonts w:eastAsia="Times New Roman" w:cs="Times New Roman"/>
          <w:szCs w:val="24"/>
          <w:lang w:eastAsia="en-GB"/>
        </w:rPr>
        <w:t>R</w:t>
      </w:r>
      <w:r w:rsidRPr="006B538F">
        <w:rPr>
          <w:rFonts w:eastAsia="Times New Roman" w:cs="Times New Roman"/>
          <w:szCs w:val="24"/>
          <w:lang w:eastAsia="en-GB"/>
        </w:rPr>
        <w:t xml:space="preserve">esistance to other antimicrobials in this study appeared to be higher than previously reported </w:t>
      </w:r>
      <w:r>
        <w:rPr>
          <w:rFonts w:eastAsia="Times New Roman" w:cs="Times New Roman"/>
          <w:noProof/>
          <w:szCs w:val="24"/>
          <w:lang w:eastAsia="en-GB"/>
        </w:rPr>
        <w:t>(Carattoli et al., 2005; Costa et al., 2008; Murphy et al., 2009; Wedley et al., 2011)</w:t>
      </w:r>
      <w:r w:rsidRPr="006B538F">
        <w:rPr>
          <w:rFonts w:eastAsia="Times New Roman" w:cs="Times New Roman"/>
          <w:szCs w:val="24"/>
          <w:lang w:eastAsia="en-GB"/>
        </w:rPr>
        <w:t>. This may be due t</w:t>
      </w:r>
      <w:r>
        <w:rPr>
          <w:rFonts w:eastAsia="Times New Roman" w:cs="Times New Roman"/>
          <w:szCs w:val="24"/>
          <w:lang w:eastAsia="en-GB"/>
        </w:rPr>
        <w:t>o the type of population; for example these were vet-visiting dogs, some of which</w:t>
      </w:r>
      <w:r w:rsidRPr="006B538F">
        <w:rPr>
          <w:rFonts w:eastAsia="Times New Roman" w:cs="Times New Roman"/>
          <w:szCs w:val="24"/>
          <w:lang w:eastAsia="en-GB"/>
        </w:rPr>
        <w:t xml:space="preserve"> reported recent antimicrobial</w:t>
      </w:r>
      <w:r>
        <w:rPr>
          <w:rFonts w:eastAsia="Times New Roman" w:cs="Times New Roman"/>
          <w:szCs w:val="24"/>
          <w:lang w:eastAsia="en-GB"/>
        </w:rPr>
        <w:t xml:space="preserve"> use,</w:t>
      </w:r>
      <w:r w:rsidRPr="006B538F">
        <w:rPr>
          <w:rFonts w:eastAsia="Times New Roman" w:cs="Times New Roman"/>
          <w:szCs w:val="24"/>
          <w:lang w:eastAsia="en-GB"/>
        </w:rPr>
        <w:t xml:space="preserve"> while other studies </w:t>
      </w:r>
      <w:r>
        <w:rPr>
          <w:rFonts w:eastAsia="Times New Roman" w:cs="Times New Roman"/>
          <w:szCs w:val="24"/>
          <w:lang w:eastAsia="en-GB"/>
        </w:rPr>
        <w:t>recruited community</w:t>
      </w:r>
      <w:r w:rsidRPr="006B538F">
        <w:rPr>
          <w:rFonts w:eastAsia="Times New Roman" w:cs="Times New Roman"/>
          <w:szCs w:val="24"/>
          <w:lang w:eastAsia="en-GB"/>
        </w:rPr>
        <w:t xml:space="preserve"> </w:t>
      </w:r>
      <w:r>
        <w:rPr>
          <w:rFonts w:eastAsia="Times New Roman" w:cs="Times New Roman"/>
          <w:szCs w:val="24"/>
          <w:lang w:eastAsia="en-GB"/>
        </w:rPr>
        <w:t>dogs and/or excluded animals</w:t>
      </w:r>
      <w:r w:rsidRPr="006B538F">
        <w:rPr>
          <w:rFonts w:eastAsia="Times New Roman" w:cs="Times New Roman"/>
          <w:szCs w:val="24"/>
          <w:lang w:eastAsia="en-GB"/>
        </w:rPr>
        <w:t xml:space="preserve"> with an</w:t>
      </w:r>
      <w:r>
        <w:rPr>
          <w:rFonts w:eastAsia="Times New Roman" w:cs="Times New Roman"/>
          <w:szCs w:val="24"/>
          <w:lang w:eastAsia="en-GB"/>
        </w:rPr>
        <w:t>y history of antimicrobial use</w:t>
      </w:r>
      <w:r w:rsidRPr="006B538F">
        <w:rPr>
          <w:rFonts w:eastAsia="Times New Roman" w:cs="Times New Roman"/>
          <w:szCs w:val="24"/>
          <w:lang w:eastAsia="en-GB"/>
        </w:rPr>
        <w:t xml:space="preserve">. </w:t>
      </w:r>
      <w:r>
        <w:rPr>
          <w:rFonts w:eastAsia="Times New Roman" w:cs="Times New Roman"/>
          <w:szCs w:val="24"/>
          <w:lang w:eastAsia="en-GB"/>
        </w:rPr>
        <w:t>MDR</w:t>
      </w:r>
      <w:r w:rsidRPr="006B538F">
        <w:rPr>
          <w:rFonts w:eastAsia="Times New Roman" w:cs="Times New Roman"/>
          <w:szCs w:val="24"/>
          <w:lang w:eastAsia="en-GB"/>
        </w:rPr>
        <w:t xml:space="preserve"> isolates were found in 18.4% of </w:t>
      </w:r>
      <w:r>
        <w:rPr>
          <w:rFonts w:eastAsia="Times New Roman" w:cs="Times New Roman"/>
          <w:szCs w:val="24"/>
          <w:lang w:eastAsia="en-GB"/>
        </w:rPr>
        <w:t>dogs;</w:t>
      </w:r>
      <w:r w:rsidRPr="006B538F">
        <w:rPr>
          <w:rFonts w:eastAsia="Times New Roman" w:cs="Times New Roman"/>
          <w:szCs w:val="24"/>
          <w:lang w:eastAsia="en-GB"/>
        </w:rPr>
        <w:t xml:space="preserve"> however, it is difficult to compare this with other studies since the definition of </w:t>
      </w:r>
      <w:r>
        <w:rPr>
          <w:rFonts w:eastAsia="Times New Roman" w:cs="Times New Roman"/>
          <w:szCs w:val="24"/>
          <w:lang w:eastAsia="en-GB"/>
        </w:rPr>
        <w:t>MDR</w:t>
      </w:r>
      <w:r w:rsidRPr="006B538F">
        <w:rPr>
          <w:rFonts w:eastAsia="Times New Roman" w:cs="Times New Roman"/>
          <w:szCs w:val="24"/>
          <w:lang w:eastAsia="en-GB"/>
        </w:rPr>
        <w:t xml:space="preserve"> differs between studies.</w:t>
      </w:r>
    </w:p>
    <w:p w14:paraId="4DD9564B" w14:textId="77777777" w:rsidR="00C03618" w:rsidRDefault="00C03618" w:rsidP="0058412E">
      <w:pPr>
        <w:spacing w:before="240"/>
        <w:contextualSpacing/>
        <w:rPr>
          <w:rFonts w:eastAsia="Calibri" w:cs="Times New Roman"/>
          <w:szCs w:val="24"/>
        </w:rPr>
      </w:pPr>
      <w:r w:rsidRPr="006B538F">
        <w:rPr>
          <w:rFonts w:eastAsia="Calibri" w:cs="Times New Roman"/>
          <w:szCs w:val="24"/>
        </w:rPr>
        <w:t xml:space="preserve">Microarray analysis of </w:t>
      </w:r>
      <w:r>
        <w:rPr>
          <w:lang w:eastAsia="en-GB"/>
        </w:rPr>
        <w:t>antimicrobial resistance</w:t>
      </w:r>
      <w:r w:rsidRPr="006B538F">
        <w:rPr>
          <w:rFonts w:eastAsia="Calibri" w:cs="Times New Roman"/>
          <w:szCs w:val="24"/>
        </w:rPr>
        <w:t xml:space="preserve"> genes showed that many isolates harboured genes encoding resistance to a wide range of antimicrobials</w:t>
      </w:r>
      <w:r>
        <w:rPr>
          <w:rFonts w:eastAsia="Calibri" w:cs="Times New Roman"/>
          <w:szCs w:val="24"/>
        </w:rPr>
        <w:t>, including sulphonamides (</w:t>
      </w:r>
      <w:r>
        <w:rPr>
          <w:rFonts w:eastAsia="Calibri" w:cs="Times New Roman"/>
          <w:i/>
          <w:szCs w:val="24"/>
        </w:rPr>
        <w:t>sul</w:t>
      </w:r>
      <w:r>
        <w:rPr>
          <w:rFonts w:eastAsia="Calibri" w:cs="Times New Roman"/>
          <w:szCs w:val="24"/>
        </w:rPr>
        <w:t>2), aminoglycosides (</w:t>
      </w:r>
      <w:r>
        <w:rPr>
          <w:rFonts w:eastAsia="Calibri" w:cs="Times New Roman"/>
          <w:i/>
          <w:szCs w:val="24"/>
        </w:rPr>
        <w:t>aad</w:t>
      </w:r>
      <w:r>
        <w:rPr>
          <w:rFonts w:eastAsia="Calibri" w:cs="Times New Roman"/>
          <w:szCs w:val="24"/>
        </w:rPr>
        <w:t xml:space="preserve">A1, </w:t>
      </w:r>
      <w:r w:rsidRPr="000026CA">
        <w:rPr>
          <w:rFonts w:eastAsia="Calibri" w:cs="Times New Roman"/>
          <w:i/>
          <w:szCs w:val="24"/>
        </w:rPr>
        <w:t>str</w:t>
      </w:r>
      <w:r>
        <w:rPr>
          <w:rFonts w:eastAsia="Calibri" w:cs="Times New Roman"/>
          <w:szCs w:val="24"/>
        </w:rPr>
        <w:t>A) and chloramphenicol (</w:t>
      </w:r>
      <w:r>
        <w:rPr>
          <w:rFonts w:eastAsia="Calibri" w:cs="Times New Roman"/>
          <w:i/>
          <w:szCs w:val="24"/>
        </w:rPr>
        <w:t>cat</w:t>
      </w:r>
      <w:r w:rsidRPr="000026CA">
        <w:rPr>
          <w:rFonts w:eastAsia="Calibri" w:cs="Times New Roman"/>
          <w:szCs w:val="24"/>
        </w:rPr>
        <w:t>A1)</w:t>
      </w:r>
      <w:r w:rsidRPr="006B538F">
        <w:rPr>
          <w:rFonts w:eastAsia="Calibri" w:cs="Times New Roman"/>
          <w:szCs w:val="24"/>
        </w:rPr>
        <w:t xml:space="preserve">. These </w:t>
      </w:r>
      <w:r>
        <w:rPr>
          <w:rFonts w:eastAsia="Calibri" w:cs="Times New Roman"/>
          <w:szCs w:val="24"/>
        </w:rPr>
        <w:t>AMR</w:t>
      </w:r>
      <w:r w:rsidRPr="006B538F">
        <w:rPr>
          <w:rFonts w:eastAsia="Calibri" w:cs="Times New Roman"/>
          <w:szCs w:val="24"/>
        </w:rPr>
        <w:t xml:space="preserve"> genes are also commonly identified in isolates of human origin </w:t>
      </w:r>
      <w:r>
        <w:rPr>
          <w:rFonts w:eastAsia="Calibri" w:cs="Times New Roman"/>
          <w:noProof/>
          <w:szCs w:val="24"/>
        </w:rPr>
        <w:t>(Card et al., 2015; Frye et al., 2006; Kirchner et al., 2014)</w:t>
      </w:r>
      <w:r>
        <w:rPr>
          <w:rFonts w:eastAsia="Calibri" w:cs="Times New Roman"/>
          <w:szCs w:val="24"/>
        </w:rPr>
        <w:t>.</w:t>
      </w:r>
      <w:r w:rsidRPr="006B538F">
        <w:rPr>
          <w:rFonts w:eastAsia="Calibri" w:cs="Times New Roman"/>
          <w:szCs w:val="24"/>
        </w:rPr>
        <w:t xml:space="preserve"> </w:t>
      </w:r>
      <w:r>
        <w:rPr>
          <w:rFonts w:eastAsia="Calibri" w:cs="Times New Roman"/>
          <w:szCs w:val="24"/>
        </w:rPr>
        <w:t>Furthermore, t</w:t>
      </w:r>
      <w:r w:rsidRPr="006B538F">
        <w:rPr>
          <w:rFonts w:eastAsia="Calibri" w:cs="Times New Roman"/>
          <w:szCs w:val="24"/>
        </w:rPr>
        <w:t xml:space="preserve">he predominant genes and mechanisms of resistance for each of the antimicrobials concur with other studies of resistance genes in canine isolates </w:t>
      </w:r>
      <w:r>
        <w:rPr>
          <w:rFonts w:eastAsia="Calibri" w:cs="Times New Roman"/>
          <w:noProof/>
          <w:szCs w:val="24"/>
        </w:rPr>
        <w:t>(Costa et al., 2008; Lanz et al., 2003)</w:t>
      </w:r>
      <w:r w:rsidRPr="006B538F">
        <w:rPr>
          <w:rFonts w:eastAsia="Calibri" w:cs="Times New Roman"/>
          <w:szCs w:val="24"/>
        </w:rPr>
        <w:t>.</w:t>
      </w:r>
      <w:r>
        <w:rPr>
          <w:rFonts w:eastAsia="Calibri" w:cs="Times New Roman"/>
          <w:szCs w:val="24"/>
        </w:rPr>
        <w:t xml:space="preserve"> </w:t>
      </w:r>
      <w:r w:rsidRPr="006B538F">
        <w:rPr>
          <w:rFonts w:eastAsia="Calibri" w:cs="Times New Roman"/>
          <w:szCs w:val="24"/>
        </w:rPr>
        <w:t xml:space="preserve">This provides further evidence that </w:t>
      </w:r>
      <w:r>
        <w:rPr>
          <w:lang w:eastAsia="en-GB"/>
        </w:rPr>
        <w:t>antimicrobial resistance</w:t>
      </w:r>
      <w:r w:rsidRPr="006B538F">
        <w:rPr>
          <w:rFonts w:eastAsia="Calibri" w:cs="Times New Roman"/>
          <w:szCs w:val="24"/>
        </w:rPr>
        <w:t xml:space="preserve"> in bacteria isolated from dogs is often mediated by the same </w:t>
      </w:r>
      <w:r>
        <w:rPr>
          <w:rFonts w:eastAsia="Calibri" w:cs="Times New Roman"/>
          <w:szCs w:val="24"/>
        </w:rPr>
        <w:t>genes</w:t>
      </w:r>
      <w:r w:rsidRPr="006B538F">
        <w:rPr>
          <w:rFonts w:eastAsia="Calibri" w:cs="Times New Roman"/>
          <w:szCs w:val="24"/>
        </w:rPr>
        <w:t xml:space="preserve"> as those of human origin. </w:t>
      </w:r>
      <w:r>
        <w:rPr>
          <w:rFonts w:eastAsia="Calibri" w:cs="Times New Roman"/>
          <w:szCs w:val="24"/>
        </w:rPr>
        <w:t xml:space="preserve">Whilst microarray analysis was only carried out on a subset of the isolates, there was strong evidence co-carriage of different resistance genes. Plasmids are known to </w:t>
      </w:r>
      <w:r>
        <w:rPr>
          <w:rFonts w:eastAsia="Calibri" w:cs="Times New Roman"/>
          <w:szCs w:val="24"/>
        </w:rPr>
        <w:lastRenderedPageBreak/>
        <w:t xml:space="preserve">carry numerous resistance genes and so the presence of correlation of gene carriage is to not unexpected. </w:t>
      </w:r>
    </w:p>
    <w:p w14:paraId="25D04773" w14:textId="77777777" w:rsidR="00C03618" w:rsidRDefault="00C03618" w:rsidP="00D544CF">
      <w:r>
        <w:t>A</w:t>
      </w:r>
      <w:r w:rsidRPr="006B538F">
        <w:t xml:space="preserve"> wide variety of genes associated with virulence</w:t>
      </w:r>
      <w:r>
        <w:t xml:space="preserve"> were also detected</w:t>
      </w:r>
      <w:r w:rsidRPr="006B538F">
        <w:t xml:space="preserve">, but by far the most commonly identified were those associated with extra-intestinal pathogenic </w:t>
      </w:r>
      <w:r w:rsidRPr="006B538F">
        <w:rPr>
          <w:i/>
        </w:rPr>
        <w:t>E. coli</w:t>
      </w:r>
      <w:r w:rsidRPr="006B538F">
        <w:t xml:space="preserve"> (ExPEC)</w:t>
      </w:r>
      <w:r>
        <w:t xml:space="preserve"> including </w:t>
      </w:r>
      <w:r>
        <w:rPr>
          <w:i/>
        </w:rPr>
        <w:t xml:space="preserve">iss </w:t>
      </w:r>
      <w:r>
        <w:t xml:space="preserve">and </w:t>
      </w:r>
      <w:r>
        <w:rPr>
          <w:i/>
        </w:rPr>
        <w:t>iroN</w:t>
      </w:r>
      <w:r w:rsidRPr="006B538F">
        <w:t xml:space="preserve"> </w:t>
      </w:r>
      <w:r>
        <w:rPr>
          <w:noProof/>
        </w:rPr>
        <w:t>(Johnson et al., 2008c; Russo et al., 2002)</w:t>
      </w:r>
      <w:r w:rsidRPr="006B538F">
        <w:t>.</w:t>
      </w:r>
      <w:r>
        <w:t xml:space="preserve"> However, the microarray chip did not include the specific genes that have been suggested as being markers of ExPEC (at least two of the five virulen</w:t>
      </w:r>
      <w:r w:rsidRPr="00A40A04">
        <w:rPr>
          <w:rFonts w:asciiTheme="minorHAnsi" w:hAnsiTheme="minorHAnsi"/>
        </w:rPr>
        <w:t xml:space="preserve">ce </w:t>
      </w:r>
      <w:r w:rsidRPr="00A40A04">
        <w:t xml:space="preserve">markers: </w:t>
      </w:r>
      <w:r w:rsidRPr="00A40A04">
        <w:rPr>
          <w:rStyle w:val="Emphasis"/>
          <w:rFonts w:cs="Times New Roman"/>
          <w:szCs w:val="24"/>
          <w:bdr w:val="none" w:sz="0" w:space="0" w:color="auto" w:frame="1"/>
          <w:shd w:val="clear" w:color="auto" w:fill="FFFFFF"/>
        </w:rPr>
        <w:t>papA</w:t>
      </w:r>
      <w:r w:rsidRPr="00A40A04">
        <w:rPr>
          <w:rStyle w:val="apple-converted-space"/>
          <w:rFonts w:cs="Times New Roman"/>
          <w:szCs w:val="24"/>
          <w:shd w:val="clear" w:color="auto" w:fill="FFFFFF"/>
        </w:rPr>
        <w:t> </w:t>
      </w:r>
      <w:r w:rsidRPr="00A40A04">
        <w:rPr>
          <w:shd w:val="clear" w:color="auto" w:fill="FFFFFF"/>
        </w:rPr>
        <w:t>and</w:t>
      </w:r>
      <w:r w:rsidRPr="00A40A04">
        <w:rPr>
          <w:rStyle w:val="apple-converted-space"/>
          <w:rFonts w:cs="Times New Roman"/>
          <w:szCs w:val="24"/>
          <w:shd w:val="clear" w:color="auto" w:fill="FFFFFF"/>
        </w:rPr>
        <w:t> </w:t>
      </w:r>
      <w:r w:rsidRPr="00A40A04">
        <w:rPr>
          <w:rStyle w:val="Emphasis"/>
          <w:rFonts w:cs="Times New Roman"/>
          <w:szCs w:val="24"/>
          <w:bdr w:val="none" w:sz="0" w:space="0" w:color="auto" w:frame="1"/>
          <w:shd w:val="clear" w:color="auto" w:fill="FFFFFF"/>
        </w:rPr>
        <w:t>papC</w:t>
      </w:r>
      <w:r w:rsidRPr="00A40A04">
        <w:rPr>
          <w:shd w:val="clear" w:color="auto" w:fill="FFFFFF"/>
        </w:rPr>
        <w:t>,</w:t>
      </w:r>
      <w:r w:rsidRPr="00A40A04">
        <w:rPr>
          <w:rStyle w:val="apple-converted-space"/>
          <w:rFonts w:cs="Times New Roman"/>
          <w:szCs w:val="24"/>
          <w:shd w:val="clear" w:color="auto" w:fill="FFFFFF"/>
        </w:rPr>
        <w:t> </w:t>
      </w:r>
      <w:r w:rsidRPr="00A40A04">
        <w:rPr>
          <w:rStyle w:val="Emphasis"/>
          <w:rFonts w:cs="Times New Roman"/>
          <w:szCs w:val="24"/>
          <w:bdr w:val="none" w:sz="0" w:space="0" w:color="auto" w:frame="1"/>
          <w:shd w:val="clear" w:color="auto" w:fill="FFFFFF"/>
        </w:rPr>
        <w:t>sfa/foc</w:t>
      </w:r>
      <w:r w:rsidRPr="00A40A04">
        <w:rPr>
          <w:shd w:val="clear" w:color="auto" w:fill="FFFFFF"/>
        </w:rPr>
        <w:t>,</w:t>
      </w:r>
      <w:r w:rsidRPr="00A40A04">
        <w:rPr>
          <w:rStyle w:val="apple-converted-space"/>
          <w:rFonts w:cs="Times New Roman"/>
          <w:szCs w:val="24"/>
          <w:shd w:val="clear" w:color="auto" w:fill="FFFFFF"/>
        </w:rPr>
        <w:t> </w:t>
      </w:r>
      <w:r w:rsidRPr="00A40A04">
        <w:rPr>
          <w:rStyle w:val="Emphasis"/>
          <w:rFonts w:cs="Times New Roman"/>
          <w:szCs w:val="24"/>
          <w:bdr w:val="none" w:sz="0" w:space="0" w:color="auto" w:frame="1"/>
          <w:shd w:val="clear" w:color="auto" w:fill="FFFFFF"/>
        </w:rPr>
        <w:t>afa/dra</w:t>
      </w:r>
      <w:r w:rsidRPr="00A40A04">
        <w:rPr>
          <w:shd w:val="clear" w:color="auto" w:fill="FFFFFF"/>
        </w:rPr>
        <w:t>,</w:t>
      </w:r>
      <w:r w:rsidRPr="00A40A04">
        <w:rPr>
          <w:rStyle w:val="apple-converted-space"/>
          <w:rFonts w:cs="Times New Roman"/>
          <w:szCs w:val="24"/>
          <w:shd w:val="clear" w:color="auto" w:fill="FFFFFF"/>
        </w:rPr>
        <w:t> </w:t>
      </w:r>
      <w:r w:rsidRPr="00A40A04">
        <w:rPr>
          <w:rStyle w:val="Emphasis"/>
          <w:rFonts w:cs="Times New Roman"/>
          <w:szCs w:val="24"/>
          <w:bdr w:val="none" w:sz="0" w:space="0" w:color="auto" w:frame="1"/>
          <w:shd w:val="clear" w:color="auto" w:fill="FFFFFF"/>
        </w:rPr>
        <w:t>iutA</w:t>
      </w:r>
      <w:r w:rsidRPr="00A40A04">
        <w:rPr>
          <w:shd w:val="clear" w:color="auto" w:fill="FFFFFF"/>
        </w:rPr>
        <w:t>, and</w:t>
      </w:r>
      <w:r w:rsidRPr="00A40A04">
        <w:rPr>
          <w:rStyle w:val="apple-converted-space"/>
          <w:rFonts w:cs="Times New Roman"/>
          <w:szCs w:val="24"/>
          <w:shd w:val="clear" w:color="auto" w:fill="FFFFFF"/>
        </w:rPr>
        <w:t> </w:t>
      </w:r>
      <w:r w:rsidRPr="00D544CF">
        <w:rPr>
          <w:rStyle w:val="Emphasis"/>
          <w:rFonts w:cs="Times New Roman"/>
          <w:szCs w:val="24"/>
          <w:bdr w:val="none" w:sz="0" w:space="0" w:color="auto" w:frame="1"/>
          <w:shd w:val="clear" w:color="auto" w:fill="FFFFFF"/>
        </w:rPr>
        <w:t>kpsMT</w:t>
      </w:r>
      <w:r w:rsidRPr="00D544CF">
        <w:rPr>
          <w:rStyle w:val="apple-converted-space"/>
          <w:rFonts w:cs="Times New Roman"/>
          <w:szCs w:val="24"/>
          <w:shd w:val="clear" w:color="auto" w:fill="FFFFFF"/>
        </w:rPr>
        <w:t> </w:t>
      </w:r>
      <w:r w:rsidRPr="00D544CF">
        <w:rPr>
          <w:rFonts w:cs="Times New Roman"/>
          <w:shd w:val="clear" w:color="auto" w:fill="FFFFFF"/>
        </w:rPr>
        <w:t>II)</w:t>
      </w:r>
      <w:r w:rsidRPr="00D544CF">
        <w:rPr>
          <w:rFonts w:cs="Times New Roman"/>
        </w:rPr>
        <w:t xml:space="preserve">, </w:t>
      </w:r>
      <w:r w:rsidRPr="00D544CF">
        <w:rPr>
          <w:rFonts w:cs="Times New Roman"/>
          <w:noProof/>
        </w:rPr>
        <w:t>(Johnson et al., 2001)</w:t>
      </w:r>
      <w:r w:rsidRPr="00A40A04">
        <w:t>. Dogs have been suggested as a potential reservoir for the ExPEC pathoty</w:t>
      </w:r>
      <w:r w:rsidRPr="006B538F">
        <w:t xml:space="preserve">pe </w:t>
      </w:r>
      <w:r>
        <w:rPr>
          <w:noProof/>
        </w:rPr>
        <w:t>(Johnson et al., 2008b)</w:t>
      </w:r>
      <w:r w:rsidRPr="006B538F">
        <w:t xml:space="preserve">. It is also interesting to note that </w:t>
      </w:r>
      <w:r>
        <w:t>some</w:t>
      </w:r>
      <w:r w:rsidRPr="006B538F">
        <w:t xml:space="preserve"> isolates harboured virulence genes associated with the locus of enterocyte effacement (LEE)</w:t>
      </w:r>
      <w:r>
        <w:t xml:space="preserve"> </w:t>
      </w:r>
      <w:r w:rsidRPr="006B538F">
        <w:t xml:space="preserve">found in enteropathogenic </w:t>
      </w:r>
      <w:r w:rsidRPr="006B538F">
        <w:rPr>
          <w:i/>
        </w:rPr>
        <w:t>E. coli</w:t>
      </w:r>
      <w:r w:rsidRPr="006B538F">
        <w:t xml:space="preserve"> (EPEC) and enterohemorrhagic </w:t>
      </w:r>
      <w:r w:rsidRPr="006B538F">
        <w:rPr>
          <w:i/>
        </w:rPr>
        <w:t>E. coli</w:t>
      </w:r>
      <w:r w:rsidRPr="006B538F">
        <w:t xml:space="preserve"> (EHEC) </w:t>
      </w:r>
      <w:r>
        <w:rPr>
          <w:noProof/>
        </w:rPr>
        <w:t>(Kaper et al., 2004)</w:t>
      </w:r>
      <w:r w:rsidRPr="006B538F">
        <w:t xml:space="preserve">. </w:t>
      </w:r>
      <w:r>
        <w:t xml:space="preserve">Dogs often eat faeces of livestock, which are carriers of EHEC, furthermore a previous study found coprophagy to be a risk factor for </w:t>
      </w:r>
      <w:r>
        <w:rPr>
          <w:lang w:eastAsia="en-GB"/>
        </w:rPr>
        <w:t>antimicrobial resistance</w:t>
      </w:r>
      <w:r>
        <w:t xml:space="preserve"> in canine faecal samples </w:t>
      </w:r>
      <w:r>
        <w:rPr>
          <w:noProof/>
        </w:rPr>
        <w:t>(Leite-Martins et al., 2014)</w:t>
      </w:r>
      <w:r>
        <w:t xml:space="preserve">. </w:t>
      </w:r>
    </w:p>
    <w:p w14:paraId="4251D634" w14:textId="77777777" w:rsidR="00C03618" w:rsidRDefault="00C03618" w:rsidP="0058412E">
      <w:pPr>
        <w:spacing w:before="240"/>
        <w:contextualSpacing/>
        <w:rPr>
          <w:rFonts w:eastAsia="Calibri" w:cs="Times New Roman"/>
          <w:szCs w:val="24"/>
        </w:rPr>
      </w:pPr>
      <w:r>
        <w:rPr>
          <w:rFonts w:eastAsia="Times New Roman" w:cs="Times New Roman"/>
          <w:szCs w:val="24"/>
          <w:lang w:eastAsia="en-GB"/>
        </w:rPr>
        <w:t>Many of the STs identified have previously been identified in both clinical and non-clinical samples from humans, dogs and other animals from within the UK, other parts of Europe and as far as Canada and Australia (</w:t>
      </w:r>
      <w:hyperlink r:id="rId8" w:history="1">
        <w:r w:rsidRPr="006B5BD9">
          <w:rPr>
            <w:rStyle w:val="Hyperlink"/>
            <w:rFonts w:eastAsia="Times New Roman" w:cs="Times New Roman"/>
            <w:szCs w:val="24"/>
            <w:lang w:eastAsia="en-GB"/>
          </w:rPr>
          <w:t>http://mlst.warwick.ac.uk/mlst/dbs/Ecoli/GetTableInfo_html</w:t>
        </w:r>
      </w:hyperlink>
      <w:r>
        <w:rPr>
          <w:rFonts w:eastAsia="Times New Roman" w:cs="Times New Roman"/>
          <w:szCs w:val="24"/>
          <w:lang w:eastAsia="en-GB"/>
        </w:rPr>
        <w:t>). For example, ST10 has been reported in the UK, Africa, Europe, South America and the USA in samples from humans, dogs and livestock. Recently,  a new human clone has been reported</w:t>
      </w:r>
      <w:r w:rsidRPr="00C0046F">
        <w:t xml:space="preserve"> </w:t>
      </w:r>
      <w:r>
        <w:rPr>
          <w:rFonts w:eastAsia="Times New Roman" w:cs="Times New Roman"/>
          <w:noProof/>
          <w:szCs w:val="24"/>
          <w:lang w:eastAsia="en-GB"/>
        </w:rPr>
        <w:t>(Schaufler et al., 2016)</w:t>
      </w:r>
      <w:r>
        <w:rPr>
          <w:rFonts w:eastAsia="Times New Roman" w:cs="Times New Roman"/>
          <w:szCs w:val="24"/>
          <w:lang w:eastAsia="en-GB"/>
        </w:rPr>
        <w:t xml:space="preserve">, which has also been identified in veterinary clinical isolates in the UK </w:t>
      </w:r>
      <w:r>
        <w:rPr>
          <w:rFonts w:eastAsia="Times New Roman" w:cs="Times New Roman"/>
          <w:noProof/>
          <w:szCs w:val="24"/>
          <w:lang w:eastAsia="en-GB"/>
        </w:rPr>
        <w:t>(Timofte et al., 2016)</w:t>
      </w:r>
      <w:r>
        <w:rPr>
          <w:rFonts w:eastAsia="Times New Roman" w:cs="Times New Roman"/>
          <w:szCs w:val="24"/>
          <w:lang w:eastAsia="en-GB"/>
        </w:rPr>
        <w:t xml:space="preserve">, with an isolate of the same ST (ST410) resistant to fluoroquinolones and carrying </w:t>
      </w:r>
      <w:r>
        <w:rPr>
          <w:rFonts w:eastAsia="Times New Roman" w:cs="Times New Roman"/>
          <w:i/>
          <w:szCs w:val="24"/>
          <w:lang w:eastAsia="en-GB"/>
        </w:rPr>
        <w:t>bla</w:t>
      </w:r>
      <w:r>
        <w:rPr>
          <w:rFonts w:eastAsia="Times New Roman" w:cs="Times New Roman"/>
          <w:szCs w:val="24"/>
          <w:vertAlign w:val="subscript"/>
          <w:lang w:eastAsia="en-GB"/>
        </w:rPr>
        <w:t>CTX-M-15</w:t>
      </w:r>
      <w:r>
        <w:rPr>
          <w:rFonts w:eastAsia="Times New Roman" w:cs="Times New Roman"/>
          <w:szCs w:val="24"/>
          <w:lang w:eastAsia="en-GB"/>
        </w:rPr>
        <w:t xml:space="preserve"> found in this study.  </w:t>
      </w:r>
      <w:r>
        <w:rPr>
          <w:rFonts w:eastAsia="Calibri" w:cs="Times New Roman"/>
          <w:szCs w:val="24"/>
        </w:rPr>
        <w:t>Typing of more</w:t>
      </w:r>
      <w:r w:rsidRPr="006B538F">
        <w:rPr>
          <w:rFonts w:eastAsia="Calibri" w:cs="Times New Roman"/>
          <w:szCs w:val="24"/>
        </w:rPr>
        <w:t xml:space="preserve"> isolates</w:t>
      </w:r>
      <w:r>
        <w:rPr>
          <w:rFonts w:eastAsia="Calibri" w:cs="Times New Roman"/>
          <w:szCs w:val="24"/>
        </w:rPr>
        <w:t xml:space="preserve"> with a diverse range of resistance phenotypes may enable better links between ST, virulence and resistance to be investigated further. T</w:t>
      </w:r>
      <w:r w:rsidRPr="006B538F">
        <w:rPr>
          <w:rFonts w:eastAsia="Calibri" w:cs="Times New Roman"/>
          <w:szCs w:val="24"/>
        </w:rPr>
        <w:t>here was a high degree of diversity among ESBL and AmpC β-lactamase</w:t>
      </w:r>
      <w:r>
        <w:rPr>
          <w:rFonts w:eastAsia="Calibri" w:cs="Times New Roman"/>
          <w:szCs w:val="24"/>
        </w:rPr>
        <w:t>-</w:t>
      </w:r>
      <w:r w:rsidRPr="006B538F">
        <w:rPr>
          <w:rFonts w:eastAsia="Calibri" w:cs="Times New Roman"/>
          <w:szCs w:val="24"/>
        </w:rPr>
        <w:t xml:space="preserve">producing isolates </w:t>
      </w:r>
      <w:r>
        <w:rPr>
          <w:rFonts w:eastAsia="Calibri" w:cs="Times New Roman"/>
          <w:szCs w:val="24"/>
        </w:rPr>
        <w:t>in this study, d</w:t>
      </w:r>
      <w:r w:rsidRPr="006B538F">
        <w:rPr>
          <w:rFonts w:eastAsia="Calibri" w:cs="Times New Roman"/>
          <w:szCs w:val="24"/>
        </w:rPr>
        <w:t>emonstrat</w:t>
      </w:r>
      <w:r>
        <w:rPr>
          <w:rFonts w:eastAsia="Calibri" w:cs="Times New Roman"/>
          <w:szCs w:val="24"/>
        </w:rPr>
        <w:t>ing</w:t>
      </w:r>
      <w:r w:rsidRPr="006B538F">
        <w:rPr>
          <w:rFonts w:eastAsia="Calibri" w:cs="Times New Roman"/>
          <w:szCs w:val="24"/>
        </w:rPr>
        <w:t xml:space="preserve"> that </w:t>
      </w:r>
      <w:r>
        <w:rPr>
          <w:rFonts w:eastAsia="Calibri" w:cs="Times New Roman"/>
          <w:szCs w:val="24"/>
        </w:rPr>
        <w:t xml:space="preserve">such </w:t>
      </w:r>
      <w:r w:rsidRPr="006B538F">
        <w:rPr>
          <w:rFonts w:eastAsia="Calibri" w:cs="Times New Roman"/>
          <w:i/>
          <w:szCs w:val="24"/>
        </w:rPr>
        <w:t>E. coli</w:t>
      </w:r>
      <w:r w:rsidRPr="006B538F">
        <w:rPr>
          <w:rFonts w:eastAsia="Calibri" w:cs="Times New Roman"/>
          <w:szCs w:val="24"/>
        </w:rPr>
        <w:t xml:space="preserve"> show </w:t>
      </w:r>
      <w:r w:rsidRPr="006B538F">
        <w:rPr>
          <w:rFonts w:eastAsia="Calibri" w:cs="Times New Roman"/>
          <w:szCs w:val="24"/>
        </w:rPr>
        <w:lastRenderedPageBreak/>
        <w:t>highly variable antimicrobial resistance, virulence and sequence type</w:t>
      </w:r>
      <w:r>
        <w:rPr>
          <w:rFonts w:eastAsia="Calibri" w:cs="Times New Roman"/>
          <w:szCs w:val="24"/>
        </w:rPr>
        <w:t>s, but o</w:t>
      </w:r>
      <w:r w:rsidRPr="006B538F">
        <w:rPr>
          <w:rFonts w:eastAsia="Calibri" w:cs="Times New Roman"/>
          <w:szCs w:val="24"/>
        </w:rPr>
        <w:t>verall</w:t>
      </w:r>
      <w:r>
        <w:rPr>
          <w:rFonts w:eastAsia="Calibri" w:cs="Times New Roman"/>
          <w:szCs w:val="24"/>
        </w:rPr>
        <w:t xml:space="preserve"> </w:t>
      </w:r>
      <w:r w:rsidRPr="006B538F">
        <w:rPr>
          <w:rFonts w:eastAsia="Calibri" w:cs="Times New Roman"/>
          <w:szCs w:val="24"/>
        </w:rPr>
        <w:t xml:space="preserve">was similar to that </w:t>
      </w:r>
      <w:r>
        <w:rPr>
          <w:rFonts w:eastAsia="Calibri" w:cs="Times New Roman"/>
          <w:szCs w:val="24"/>
        </w:rPr>
        <w:t>observed</w:t>
      </w:r>
      <w:r w:rsidRPr="006B538F">
        <w:rPr>
          <w:rFonts w:eastAsia="Calibri" w:cs="Times New Roman"/>
          <w:szCs w:val="24"/>
        </w:rPr>
        <w:t xml:space="preserve"> in human isolates.  </w:t>
      </w:r>
    </w:p>
    <w:p w14:paraId="5893510C" w14:textId="77777777" w:rsidR="00C03618" w:rsidRPr="00EB092A" w:rsidRDefault="00C03618" w:rsidP="00EB092A">
      <w:pPr>
        <w:rPr>
          <w:rFonts w:eastAsia="Calibri" w:cs="Times New Roman"/>
          <w:szCs w:val="24"/>
        </w:rPr>
      </w:pPr>
      <w:r w:rsidRPr="006B538F">
        <w:rPr>
          <w:rFonts w:eastAsia="Times New Roman" w:cs="Times New Roman"/>
          <w:szCs w:val="24"/>
          <w:lang w:eastAsia="en-GB"/>
        </w:rPr>
        <w:t>This study determine</w:t>
      </w:r>
      <w:r>
        <w:rPr>
          <w:rFonts w:eastAsia="Times New Roman" w:cs="Times New Roman"/>
          <w:szCs w:val="24"/>
          <w:lang w:eastAsia="en-GB"/>
        </w:rPr>
        <w:t>d some</w:t>
      </w:r>
      <w:r w:rsidRPr="006B538F">
        <w:rPr>
          <w:rFonts w:eastAsia="Times New Roman" w:cs="Times New Roman"/>
          <w:szCs w:val="24"/>
          <w:lang w:eastAsia="en-GB"/>
        </w:rPr>
        <w:t xml:space="preserve"> risk factors associated with carriage of </w:t>
      </w:r>
      <w:r>
        <w:rPr>
          <w:rFonts w:eastAsia="Times New Roman" w:cs="Times New Roman"/>
          <w:szCs w:val="24"/>
          <w:lang w:eastAsia="en-GB"/>
        </w:rPr>
        <w:t>AMR</w:t>
      </w:r>
      <w:r w:rsidRPr="006B538F">
        <w:rPr>
          <w:rFonts w:eastAsia="Times New Roman" w:cs="Times New Roman"/>
          <w:szCs w:val="24"/>
          <w:lang w:eastAsia="en-GB"/>
        </w:rPr>
        <w:t xml:space="preserve"> </w:t>
      </w:r>
      <w:r w:rsidRPr="006B538F">
        <w:rPr>
          <w:rFonts w:eastAsia="Times New Roman" w:cs="Times New Roman"/>
          <w:i/>
          <w:szCs w:val="24"/>
          <w:lang w:eastAsia="en-GB"/>
        </w:rPr>
        <w:t xml:space="preserve">E. coli </w:t>
      </w:r>
      <w:r w:rsidRPr="006B538F">
        <w:rPr>
          <w:rFonts w:eastAsia="Times New Roman" w:cs="Times New Roman"/>
          <w:szCs w:val="24"/>
          <w:lang w:eastAsia="en-GB"/>
        </w:rPr>
        <w:t xml:space="preserve">in the UK dog population. The finding that </w:t>
      </w:r>
      <w:r>
        <w:rPr>
          <w:rFonts w:eastAsia="Times New Roman" w:cs="Times New Roman"/>
          <w:szCs w:val="24"/>
          <w:lang w:eastAsia="en-GB"/>
        </w:rPr>
        <w:t>administration of</w:t>
      </w:r>
      <w:r w:rsidRPr="006B538F">
        <w:rPr>
          <w:rFonts w:eastAsia="Times New Roman" w:cs="Times New Roman"/>
          <w:szCs w:val="24"/>
          <w:lang w:eastAsia="en-GB"/>
        </w:rPr>
        <w:t xml:space="preserve"> antimicrobials </w:t>
      </w:r>
      <w:r>
        <w:rPr>
          <w:rFonts w:eastAsia="Times New Roman" w:cs="Times New Roman"/>
          <w:szCs w:val="24"/>
          <w:lang w:eastAsia="en-GB"/>
        </w:rPr>
        <w:t>with</w:t>
      </w:r>
      <w:r w:rsidRPr="006B538F">
        <w:rPr>
          <w:rFonts w:eastAsia="Times New Roman" w:cs="Times New Roman"/>
          <w:szCs w:val="24"/>
          <w:lang w:eastAsia="en-GB"/>
        </w:rPr>
        <w:t>in the last 3 months was associated with</w:t>
      </w:r>
      <w:r>
        <w:rPr>
          <w:rFonts w:eastAsia="Times New Roman" w:cs="Times New Roman"/>
          <w:szCs w:val="24"/>
          <w:lang w:eastAsia="en-GB"/>
        </w:rPr>
        <w:t xml:space="preserve"> AMR</w:t>
      </w:r>
      <w:r w:rsidRPr="006B538F">
        <w:rPr>
          <w:rFonts w:eastAsia="Times New Roman" w:cs="Times New Roman"/>
          <w:szCs w:val="24"/>
          <w:lang w:eastAsia="en-GB"/>
        </w:rPr>
        <w:t xml:space="preserve"> </w:t>
      </w:r>
      <w:r w:rsidRPr="006B538F">
        <w:rPr>
          <w:rFonts w:eastAsia="Times New Roman" w:cs="Times New Roman"/>
          <w:i/>
          <w:szCs w:val="24"/>
          <w:lang w:eastAsia="en-GB"/>
        </w:rPr>
        <w:t xml:space="preserve">E. coli </w:t>
      </w:r>
      <w:r>
        <w:rPr>
          <w:rFonts w:eastAsia="Times New Roman" w:cs="Times New Roman"/>
          <w:szCs w:val="24"/>
          <w:lang w:eastAsia="en-GB"/>
        </w:rPr>
        <w:t>carriage</w:t>
      </w:r>
      <w:r>
        <w:rPr>
          <w:rFonts w:eastAsia="Times New Roman" w:cs="Times New Roman"/>
          <w:i/>
          <w:szCs w:val="24"/>
          <w:lang w:eastAsia="en-GB"/>
        </w:rPr>
        <w:t xml:space="preserve"> </w:t>
      </w:r>
      <w:r w:rsidRPr="006B538F">
        <w:rPr>
          <w:rFonts w:eastAsia="Times New Roman" w:cs="Times New Roman"/>
          <w:szCs w:val="24"/>
          <w:lang w:eastAsia="en-GB"/>
        </w:rPr>
        <w:t>in</w:t>
      </w:r>
      <w:r>
        <w:rPr>
          <w:rFonts w:eastAsia="Times New Roman" w:cs="Times New Roman"/>
          <w:szCs w:val="24"/>
          <w:lang w:eastAsia="en-GB"/>
        </w:rPr>
        <w:t xml:space="preserve"> two of </w:t>
      </w:r>
      <w:r w:rsidRPr="006B538F">
        <w:rPr>
          <w:rFonts w:eastAsia="Times New Roman" w:cs="Times New Roman"/>
          <w:szCs w:val="24"/>
          <w:lang w:eastAsia="en-GB"/>
        </w:rPr>
        <w:t>the final models</w:t>
      </w:r>
      <w:r w:rsidRPr="006B538F">
        <w:rPr>
          <w:rFonts w:eastAsia="Times New Roman" w:cs="Times New Roman"/>
          <w:i/>
          <w:szCs w:val="24"/>
          <w:lang w:eastAsia="en-GB"/>
        </w:rPr>
        <w:t xml:space="preserve"> </w:t>
      </w:r>
      <w:r w:rsidRPr="006B538F">
        <w:rPr>
          <w:rFonts w:eastAsia="Times New Roman" w:cs="Times New Roman"/>
          <w:szCs w:val="24"/>
          <w:lang w:eastAsia="en-GB"/>
        </w:rPr>
        <w:t>is not surprising given the selection pressure this would exert upon commensal bacteria</w:t>
      </w:r>
      <w:r>
        <w:rPr>
          <w:rFonts w:eastAsia="Times New Roman" w:cs="Times New Roman"/>
          <w:szCs w:val="24"/>
          <w:lang w:eastAsia="en-GB"/>
        </w:rPr>
        <w:t>.</w:t>
      </w:r>
      <w:r w:rsidRPr="006B538F">
        <w:rPr>
          <w:rFonts w:eastAsia="Times New Roman" w:cs="Times New Roman"/>
          <w:szCs w:val="24"/>
          <w:lang w:eastAsia="en-GB"/>
        </w:rPr>
        <w:t xml:space="preserve"> </w:t>
      </w:r>
      <w:r>
        <w:rPr>
          <w:rFonts w:eastAsia="Times New Roman" w:cs="Times New Roman"/>
          <w:szCs w:val="24"/>
          <w:lang w:eastAsia="en-GB"/>
        </w:rPr>
        <w:t>P</w:t>
      </w:r>
      <w:r w:rsidRPr="006B538F">
        <w:rPr>
          <w:rFonts w:eastAsia="Times New Roman" w:cs="Times New Roman"/>
          <w:szCs w:val="24"/>
          <w:lang w:eastAsia="en-GB"/>
        </w:rPr>
        <w:t>revious stud</w:t>
      </w:r>
      <w:r>
        <w:rPr>
          <w:rFonts w:eastAsia="Times New Roman" w:cs="Times New Roman"/>
          <w:szCs w:val="24"/>
          <w:lang w:eastAsia="en-GB"/>
        </w:rPr>
        <w:t xml:space="preserve">ies </w:t>
      </w:r>
      <w:r w:rsidRPr="006B538F">
        <w:rPr>
          <w:rFonts w:eastAsia="Times New Roman" w:cs="Times New Roman"/>
          <w:szCs w:val="24"/>
          <w:lang w:eastAsia="en-GB"/>
        </w:rPr>
        <w:t>found that</w:t>
      </w:r>
      <w:r>
        <w:rPr>
          <w:rFonts w:eastAsia="Times New Roman" w:cs="Times New Roman"/>
          <w:szCs w:val="24"/>
          <w:lang w:eastAsia="en-GB"/>
        </w:rPr>
        <w:t xml:space="preserve"> the</w:t>
      </w:r>
      <w:r w:rsidRPr="006B538F">
        <w:rPr>
          <w:rFonts w:eastAsia="Times New Roman" w:cs="Times New Roman"/>
          <w:szCs w:val="24"/>
          <w:lang w:eastAsia="en-GB"/>
        </w:rPr>
        <w:t xml:space="preserve"> administra</w:t>
      </w:r>
      <w:r>
        <w:rPr>
          <w:rFonts w:eastAsia="Times New Roman" w:cs="Times New Roman"/>
          <w:szCs w:val="24"/>
          <w:lang w:eastAsia="en-GB"/>
        </w:rPr>
        <w:t>tion of f</w:t>
      </w:r>
      <w:r w:rsidRPr="00FE68CA">
        <w:rPr>
          <w:rFonts w:eastAsia="Times New Roman" w:cs="Times New Roman"/>
          <w:szCs w:val="24"/>
          <w:lang w:eastAsia="en-GB"/>
        </w:rPr>
        <w:t>luoroquinolones</w:t>
      </w:r>
      <w:r>
        <w:rPr>
          <w:rFonts w:eastAsia="Times New Roman" w:cs="Times New Roman"/>
          <w:szCs w:val="24"/>
          <w:lang w:eastAsia="en-GB"/>
        </w:rPr>
        <w:t xml:space="preserve"> and β-lactams were</w:t>
      </w:r>
      <w:r w:rsidRPr="006B538F">
        <w:rPr>
          <w:rFonts w:eastAsia="Times New Roman" w:cs="Times New Roman"/>
          <w:szCs w:val="24"/>
          <w:lang w:eastAsia="en-GB"/>
        </w:rPr>
        <w:t xml:space="preserve"> associated with an increased risk of carriage of </w:t>
      </w:r>
      <w:r>
        <w:rPr>
          <w:rFonts w:eastAsia="Times New Roman" w:cs="Times New Roman"/>
          <w:szCs w:val="24"/>
          <w:lang w:eastAsia="en-GB"/>
        </w:rPr>
        <w:t>AMR</w:t>
      </w:r>
      <w:r w:rsidRPr="006B538F">
        <w:rPr>
          <w:rFonts w:eastAsia="Times New Roman" w:cs="Times New Roman"/>
          <w:szCs w:val="24"/>
          <w:lang w:eastAsia="en-GB"/>
        </w:rPr>
        <w:t xml:space="preserve"> </w:t>
      </w:r>
      <w:r w:rsidRPr="006B538F">
        <w:rPr>
          <w:rFonts w:eastAsia="Times New Roman" w:cs="Times New Roman"/>
          <w:i/>
          <w:szCs w:val="24"/>
          <w:lang w:eastAsia="en-GB"/>
        </w:rPr>
        <w:t xml:space="preserve">E. coli </w:t>
      </w:r>
      <w:r w:rsidRPr="006B538F">
        <w:rPr>
          <w:rFonts w:eastAsia="Times New Roman" w:cs="Times New Roman"/>
          <w:szCs w:val="24"/>
          <w:lang w:eastAsia="en-GB"/>
        </w:rPr>
        <w:t xml:space="preserve">in dogs </w:t>
      </w:r>
      <w:r>
        <w:rPr>
          <w:rFonts w:eastAsia="Times New Roman" w:cs="Times New Roman"/>
          <w:noProof/>
          <w:szCs w:val="24"/>
          <w:lang w:eastAsia="en-GB"/>
        </w:rPr>
        <w:t>(Gibson et al., 2011; Leite-Martins et al., 2014)</w:t>
      </w:r>
      <w:r w:rsidRPr="006B538F">
        <w:rPr>
          <w:rFonts w:eastAsia="Times New Roman" w:cs="Times New Roman"/>
          <w:szCs w:val="24"/>
          <w:lang w:eastAsia="en-GB"/>
        </w:rPr>
        <w:t>.</w:t>
      </w:r>
      <w:r>
        <w:rPr>
          <w:rFonts w:eastAsia="Times New Roman" w:cs="Times New Roman"/>
          <w:szCs w:val="24"/>
          <w:lang w:eastAsia="en-GB"/>
        </w:rPr>
        <w:t xml:space="preserve"> F</w:t>
      </w:r>
      <w:r w:rsidRPr="006B538F">
        <w:rPr>
          <w:rFonts w:eastAsia="Times New Roman" w:cs="Times New Roman"/>
          <w:szCs w:val="24"/>
          <w:lang w:eastAsia="en-GB"/>
        </w:rPr>
        <w:t>urther work in this area may provide greater understanding of the effects of short and long term antimicrobial use on the gut flora</w:t>
      </w:r>
      <w:r>
        <w:rPr>
          <w:rFonts w:eastAsia="Times New Roman" w:cs="Times New Roman"/>
          <w:szCs w:val="24"/>
          <w:lang w:eastAsia="en-GB"/>
        </w:rPr>
        <w:t>, selection</w:t>
      </w:r>
      <w:r w:rsidRPr="006B538F">
        <w:rPr>
          <w:rFonts w:eastAsia="Times New Roman" w:cs="Times New Roman"/>
          <w:szCs w:val="24"/>
          <w:lang w:eastAsia="en-GB"/>
        </w:rPr>
        <w:t xml:space="preserve"> and carriage of resistant bacteria</w:t>
      </w:r>
      <w:r>
        <w:rPr>
          <w:rFonts w:eastAsia="Times New Roman" w:cs="Times New Roman"/>
          <w:szCs w:val="24"/>
          <w:lang w:eastAsia="en-GB"/>
        </w:rPr>
        <w:t xml:space="preserve"> in dogs</w:t>
      </w:r>
      <w:r w:rsidRPr="006B538F">
        <w:rPr>
          <w:rFonts w:eastAsia="Times New Roman" w:cs="Times New Roman"/>
          <w:szCs w:val="24"/>
          <w:lang w:eastAsia="en-GB"/>
        </w:rPr>
        <w:t xml:space="preserve">. </w:t>
      </w:r>
    </w:p>
    <w:p w14:paraId="26991021" w14:textId="77777777" w:rsidR="00C03618" w:rsidRPr="006B538F" w:rsidRDefault="00C03618" w:rsidP="0058412E">
      <w:pPr>
        <w:spacing w:before="240"/>
        <w:contextualSpacing/>
        <w:rPr>
          <w:rFonts w:eastAsia="Times New Roman" w:cs="Times New Roman"/>
          <w:szCs w:val="24"/>
          <w:lang w:eastAsia="en-GB"/>
        </w:rPr>
      </w:pPr>
      <w:r w:rsidRPr="006B538F">
        <w:rPr>
          <w:rFonts w:eastAsia="Times New Roman" w:cs="Times New Roman"/>
          <w:szCs w:val="24"/>
          <w:lang w:eastAsia="en-GB"/>
        </w:rPr>
        <w:t xml:space="preserve">Eating raw poultry was also identified as a risk factor in the final model </w:t>
      </w:r>
      <w:r>
        <w:rPr>
          <w:rFonts w:eastAsia="Times New Roman" w:cs="Times New Roman"/>
          <w:szCs w:val="24"/>
          <w:lang w:eastAsia="en-GB"/>
        </w:rPr>
        <w:t>of two of the three</w:t>
      </w:r>
      <w:r w:rsidRPr="006B538F">
        <w:rPr>
          <w:rFonts w:eastAsia="Times New Roman" w:cs="Times New Roman"/>
          <w:szCs w:val="24"/>
          <w:lang w:eastAsia="en-GB"/>
        </w:rPr>
        <w:t xml:space="preserve"> outcomes</w:t>
      </w:r>
      <w:r>
        <w:rPr>
          <w:rFonts w:eastAsia="Times New Roman" w:cs="Times New Roman"/>
          <w:szCs w:val="24"/>
          <w:lang w:eastAsia="en-GB"/>
        </w:rPr>
        <w:t xml:space="preserve"> tested</w:t>
      </w:r>
      <w:r w:rsidRPr="006B538F">
        <w:rPr>
          <w:rFonts w:eastAsia="Times New Roman" w:cs="Times New Roman"/>
          <w:szCs w:val="24"/>
          <w:lang w:eastAsia="en-GB"/>
        </w:rPr>
        <w:t>.</w:t>
      </w:r>
      <w:r>
        <w:rPr>
          <w:rFonts w:eastAsia="Times New Roman" w:cs="Times New Roman"/>
          <w:szCs w:val="24"/>
          <w:lang w:eastAsia="en-GB"/>
        </w:rPr>
        <w:t xml:space="preserve"> This was also identified in a study investigating AMR </w:t>
      </w:r>
      <w:r>
        <w:rPr>
          <w:rFonts w:eastAsia="Times New Roman" w:cs="Times New Roman"/>
          <w:i/>
          <w:szCs w:val="24"/>
          <w:lang w:eastAsia="en-GB"/>
        </w:rPr>
        <w:t>E. coli</w:t>
      </w:r>
      <w:r>
        <w:rPr>
          <w:rFonts w:eastAsia="Times New Roman" w:cs="Times New Roman"/>
          <w:szCs w:val="24"/>
          <w:lang w:eastAsia="en-GB"/>
        </w:rPr>
        <w:t xml:space="preserve"> in faecal samples from Labrador retrievers </w:t>
      </w:r>
      <w:r>
        <w:rPr>
          <w:rFonts w:eastAsia="Times New Roman" w:cs="Times New Roman"/>
          <w:noProof/>
          <w:szCs w:val="24"/>
          <w:lang w:eastAsia="en-GB"/>
        </w:rPr>
        <w:t>(Schmidt et al., 2015)</w:t>
      </w:r>
      <w:r>
        <w:rPr>
          <w:rFonts w:eastAsia="Times New Roman" w:cs="Times New Roman"/>
          <w:szCs w:val="24"/>
          <w:lang w:eastAsia="en-GB"/>
        </w:rPr>
        <w:t>.</w:t>
      </w:r>
      <w:r w:rsidRPr="006B538F">
        <w:rPr>
          <w:rFonts w:eastAsia="Times New Roman" w:cs="Times New Roman"/>
          <w:szCs w:val="24"/>
          <w:lang w:eastAsia="en-GB"/>
        </w:rPr>
        <w:t xml:space="preserve"> Chicken</w:t>
      </w:r>
      <w:r>
        <w:rPr>
          <w:rFonts w:eastAsia="Times New Roman" w:cs="Times New Roman"/>
          <w:szCs w:val="24"/>
          <w:lang w:eastAsia="en-GB"/>
        </w:rPr>
        <w:t>s</w:t>
      </w:r>
      <w:r w:rsidRPr="006B538F">
        <w:rPr>
          <w:rFonts w:eastAsia="Times New Roman" w:cs="Times New Roman"/>
          <w:szCs w:val="24"/>
          <w:lang w:eastAsia="en-GB"/>
        </w:rPr>
        <w:t xml:space="preserve"> have been identified as a potential reservoir for resistant bacteria and determinants </w:t>
      </w:r>
      <w:r>
        <w:rPr>
          <w:rFonts w:eastAsia="Times New Roman" w:cs="Times New Roman"/>
          <w:noProof/>
          <w:szCs w:val="24"/>
          <w:lang w:eastAsia="en-GB"/>
        </w:rPr>
        <w:t>(Costa et al., 2009)</w:t>
      </w:r>
      <w:r w:rsidRPr="006B538F">
        <w:rPr>
          <w:rFonts w:eastAsia="Times New Roman" w:cs="Times New Roman"/>
          <w:szCs w:val="24"/>
          <w:lang w:eastAsia="en-GB"/>
        </w:rPr>
        <w:t xml:space="preserve"> and it is possible that ingestion of raw poultry result</w:t>
      </w:r>
      <w:r>
        <w:rPr>
          <w:rFonts w:eastAsia="Times New Roman" w:cs="Times New Roman"/>
          <w:szCs w:val="24"/>
          <w:lang w:eastAsia="en-GB"/>
        </w:rPr>
        <w:t>s</w:t>
      </w:r>
      <w:r w:rsidRPr="006B538F">
        <w:rPr>
          <w:rFonts w:eastAsia="Times New Roman" w:cs="Times New Roman"/>
          <w:szCs w:val="24"/>
          <w:lang w:eastAsia="en-GB"/>
        </w:rPr>
        <w:t xml:space="preserve"> in transfer of these</w:t>
      </w:r>
      <w:r>
        <w:rPr>
          <w:rFonts w:eastAsia="Times New Roman" w:cs="Times New Roman"/>
          <w:szCs w:val="24"/>
          <w:lang w:eastAsia="en-GB"/>
        </w:rPr>
        <w:t xml:space="preserve">. This is also supported by </w:t>
      </w:r>
      <w:r>
        <w:rPr>
          <w:rFonts w:eastAsia="Calibri" w:cs="Times New Roman"/>
          <w:szCs w:val="24"/>
        </w:rPr>
        <w:t>five</w:t>
      </w:r>
      <w:r w:rsidRPr="006B538F">
        <w:rPr>
          <w:rFonts w:eastAsia="Calibri" w:cs="Times New Roman"/>
          <w:szCs w:val="24"/>
        </w:rPr>
        <w:t xml:space="preserve"> of the</w:t>
      </w:r>
      <w:r>
        <w:rPr>
          <w:rFonts w:eastAsia="Calibri" w:cs="Times New Roman"/>
          <w:szCs w:val="24"/>
        </w:rPr>
        <w:t xml:space="preserve"> ten</w:t>
      </w:r>
      <w:r w:rsidRPr="006B538F">
        <w:rPr>
          <w:rFonts w:eastAsia="Calibri" w:cs="Times New Roman"/>
          <w:szCs w:val="24"/>
        </w:rPr>
        <w:t xml:space="preserve"> isolates positive for </w:t>
      </w:r>
      <w:r w:rsidRPr="006B538F">
        <w:rPr>
          <w:rFonts w:eastAsia="Calibri" w:cs="Times New Roman"/>
          <w:i/>
          <w:szCs w:val="24"/>
        </w:rPr>
        <w:t>bla</w:t>
      </w:r>
      <w:r>
        <w:rPr>
          <w:rFonts w:eastAsia="Calibri" w:cs="Times New Roman"/>
          <w:szCs w:val="24"/>
          <w:vertAlign w:val="subscript"/>
        </w:rPr>
        <w:t xml:space="preserve">CTX-M </w:t>
      </w:r>
      <w:r>
        <w:rPr>
          <w:rFonts w:eastAsia="Calibri" w:cs="Times New Roman"/>
          <w:szCs w:val="24"/>
        </w:rPr>
        <w:t xml:space="preserve">carrying </w:t>
      </w:r>
      <w:r>
        <w:rPr>
          <w:rFonts w:eastAsia="Calibri" w:cs="Times New Roman"/>
          <w:i/>
          <w:szCs w:val="24"/>
        </w:rPr>
        <w:t>bla</w:t>
      </w:r>
      <w:r>
        <w:rPr>
          <w:rFonts w:eastAsia="Calibri" w:cs="Times New Roman"/>
          <w:szCs w:val="24"/>
          <w:vertAlign w:val="subscript"/>
        </w:rPr>
        <w:t>CTX-M-1</w:t>
      </w:r>
      <w:r w:rsidRPr="00F96CEB">
        <w:rPr>
          <w:rFonts w:eastAsia="Calibri" w:cs="Times New Roman"/>
          <w:szCs w:val="24"/>
        </w:rPr>
        <w:t>,</w:t>
      </w:r>
      <w:r w:rsidRPr="006B538F">
        <w:rPr>
          <w:rFonts w:eastAsia="Calibri" w:cs="Times New Roman"/>
          <w:szCs w:val="24"/>
        </w:rPr>
        <w:t xml:space="preserve"> which</w:t>
      </w:r>
      <w:r>
        <w:rPr>
          <w:rFonts w:eastAsia="Calibri" w:cs="Times New Roman"/>
          <w:szCs w:val="24"/>
        </w:rPr>
        <w:t xml:space="preserve"> has been identified as the most common gene variant present in isolates of poultry origin </w:t>
      </w:r>
      <w:r>
        <w:rPr>
          <w:rFonts w:eastAsia="Calibri" w:cs="Times New Roman"/>
          <w:noProof/>
          <w:szCs w:val="24"/>
        </w:rPr>
        <w:t>(Efsa, 2011)</w:t>
      </w:r>
      <w:r>
        <w:rPr>
          <w:rFonts w:eastAsia="Calibri" w:cs="Times New Roman"/>
          <w:szCs w:val="24"/>
        </w:rPr>
        <w:t>.</w:t>
      </w:r>
      <w:r w:rsidRPr="006B538F">
        <w:rPr>
          <w:rFonts w:eastAsia="Calibri" w:cs="Times New Roman"/>
          <w:szCs w:val="24"/>
        </w:rPr>
        <w:t xml:space="preserve"> </w:t>
      </w:r>
      <w:r>
        <w:rPr>
          <w:rFonts w:eastAsia="Times New Roman" w:cs="Times New Roman"/>
          <w:szCs w:val="24"/>
          <w:lang w:eastAsia="en-GB"/>
        </w:rPr>
        <w:t>Furthermore, a study in the Netherlands observed a high prevalence of ESBL carriage</w:t>
      </w:r>
      <w:r w:rsidRPr="006B538F">
        <w:rPr>
          <w:rFonts w:eastAsia="Times New Roman" w:cs="Times New Roman"/>
          <w:i/>
          <w:szCs w:val="24"/>
          <w:lang w:eastAsia="en-GB"/>
        </w:rPr>
        <w:t xml:space="preserve"> </w:t>
      </w:r>
      <w:r>
        <w:rPr>
          <w:rFonts w:eastAsia="Times New Roman" w:cs="Times New Roman"/>
          <w:szCs w:val="24"/>
          <w:lang w:eastAsia="en-GB"/>
        </w:rPr>
        <w:t>in raw food</w:t>
      </w:r>
      <w:r w:rsidRPr="006B538F">
        <w:rPr>
          <w:rFonts w:eastAsia="Times New Roman" w:cs="Times New Roman"/>
          <w:szCs w:val="24"/>
          <w:lang w:eastAsia="en-GB"/>
        </w:rPr>
        <w:t xml:space="preserve"> </w:t>
      </w:r>
      <w:r>
        <w:rPr>
          <w:rFonts w:eastAsia="Times New Roman" w:cs="Times New Roman"/>
          <w:noProof/>
          <w:szCs w:val="24"/>
          <w:lang w:eastAsia="en-GB"/>
        </w:rPr>
        <w:t>(Overdevest et al., 2011)</w:t>
      </w:r>
      <w:r>
        <w:rPr>
          <w:rFonts w:eastAsia="Times New Roman" w:cs="Times New Roman"/>
          <w:szCs w:val="24"/>
          <w:lang w:eastAsia="en-GB"/>
        </w:rPr>
        <w:t>,</w:t>
      </w:r>
      <w:r w:rsidRPr="006B538F">
        <w:rPr>
          <w:rFonts w:eastAsia="Times New Roman" w:cs="Times New Roman"/>
          <w:szCs w:val="24"/>
          <w:lang w:eastAsia="en-GB"/>
        </w:rPr>
        <w:t xml:space="preserve"> demonstrating an increased risk of carriage of </w:t>
      </w:r>
      <w:r>
        <w:rPr>
          <w:rFonts w:eastAsia="Times New Roman" w:cs="Times New Roman"/>
          <w:szCs w:val="24"/>
          <w:lang w:eastAsia="en-GB"/>
        </w:rPr>
        <w:t>AMR</w:t>
      </w:r>
      <w:r w:rsidRPr="006B538F">
        <w:rPr>
          <w:rFonts w:eastAsia="Times New Roman" w:cs="Times New Roman"/>
          <w:szCs w:val="24"/>
          <w:lang w:eastAsia="en-GB"/>
        </w:rPr>
        <w:t xml:space="preserve"> b</w:t>
      </w:r>
      <w:r>
        <w:rPr>
          <w:rFonts w:eastAsia="Times New Roman" w:cs="Times New Roman"/>
          <w:szCs w:val="24"/>
          <w:lang w:eastAsia="en-GB"/>
        </w:rPr>
        <w:t>acteria when dogs consume</w:t>
      </w:r>
      <w:r w:rsidRPr="006B538F">
        <w:rPr>
          <w:rFonts w:eastAsia="Times New Roman" w:cs="Times New Roman"/>
          <w:szCs w:val="24"/>
          <w:lang w:eastAsia="en-GB"/>
        </w:rPr>
        <w:t xml:space="preserve"> raw meat. </w:t>
      </w:r>
    </w:p>
    <w:p w14:paraId="590C8280" w14:textId="77777777" w:rsidR="00C03618" w:rsidRDefault="00C03618" w:rsidP="0058412E">
      <w:pPr>
        <w:spacing w:before="240"/>
        <w:contextualSpacing/>
        <w:rPr>
          <w:rFonts w:eastAsia="Times New Roman" w:cs="Times New Roman"/>
          <w:szCs w:val="24"/>
          <w:lang w:eastAsia="en-GB"/>
        </w:rPr>
      </w:pPr>
      <w:r>
        <w:rPr>
          <w:rFonts w:eastAsia="Times New Roman" w:cs="Times New Roman"/>
          <w:szCs w:val="24"/>
          <w:lang w:eastAsia="en-GB"/>
        </w:rPr>
        <w:t>Limitations in this study may include the method of recruitment and selection bias, f</w:t>
      </w:r>
      <w:r w:rsidRPr="006B538F">
        <w:rPr>
          <w:rFonts w:eastAsia="Times New Roman" w:cs="Times New Roman"/>
          <w:szCs w:val="24"/>
          <w:lang w:eastAsia="en-GB"/>
        </w:rPr>
        <w:t>or example, during busy periods owners may not have been approache</w:t>
      </w:r>
      <w:r>
        <w:rPr>
          <w:rFonts w:eastAsia="Times New Roman" w:cs="Times New Roman"/>
          <w:szCs w:val="24"/>
          <w:lang w:eastAsia="en-GB"/>
        </w:rPr>
        <w:t>d and case selection was based on a non-random convenience population</w:t>
      </w:r>
      <w:r w:rsidRPr="006B538F">
        <w:rPr>
          <w:rFonts w:eastAsia="Times New Roman" w:cs="Times New Roman"/>
          <w:szCs w:val="24"/>
          <w:lang w:eastAsia="en-GB"/>
        </w:rPr>
        <w:t xml:space="preserve">. This </w:t>
      </w:r>
      <w:r>
        <w:rPr>
          <w:rFonts w:eastAsia="Times New Roman" w:cs="Times New Roman"/>
          <w:szCs w:val="24"/>
          <w:lang w:eastAsia="en-GB"/>
        </w:rPr>
        <w:t xml:space="preserve">cross sectional </w:t>
      </w:r>
      <w:r w:rsidRPr="006B538F">
        <w:rPr>
          <w:rFonts w:eastAsia="Times New Roman" w:cs="Times New Roman"/>
          <w:szCs w:val="24"/>
          <w:lang w:eastAsia="en-GB"/>
        </w:rPr>
        <w:t xml:space="preserve">study gives the prevalence of carriage of </w:t>
      </w:r>
      <w:r>
        <w:rPr>
          <w:rFonts w:eastAsia="Times New Roman" w:cs="Times New Roman"/>
          <w:szCs w:val="24"/>
          <w:lang w:eastAsia="en-GB"/>
        </w:rPr>
        <w:t>AMR</w:t>
      </w:r>
      <w:r w:rsidRPr="006B538F">
        <w:rPr>
          <w:rFonts w:eastAsia="Times New Roman" w:cs="Times New Roman"/>
          <w:szCs w:val="24"/>
          <w:lang w:eastAsia="en-GB"/>
        </w:rPr>
        <w:t xml:space="preserve"> </w:t>
      </w:r>
      <w:r w:rsidRPr="006B538F">
        <w:rPr>
          <w:rFonts w:eastAsia="Times New Roman" w:cs="Times New Roman"/>
          <w:i/>
          <w:szCs w:val="24"/>
          <w:lang w:eastAsia="en-GB"/>
        </w:rPr>
        <w:t xml:space="preserve">E. coli </w:t>
      </w:r>
      <w:r w:rsidRPr="006B538F">
        <w:rPr>
          <w:rFonts w:eastAsia="Times New Roman" w:cs="Times New Roman"/>
          <w:szCs w:val="24"/>
          <w:lang w:eastAsia="en-GB"/>
        </w:rPr>
        <w:t xml:space="preserve">at a single time point, and it may be possible that this is transient in nature. </w:t>
      </w:r>
      <w:r>
        <w:rPr>
          <w:rFonts w:eastAsia="Times New Roman" w:cs="Times New Roman"/>
          <w:szCs w:val="24"/>
          <w:lang w:eastAsia="en-GB"/>
        </w:rPr>
        <w:t xml:space="preserve">A study in the Netherlands </w:t>
      </w:r>
      <w:r>
        <w:rPr>
          <w:rFonts w:eastAsia="Times New Roman" w:cs="Times New Roman"/>
          <w:noProof/>
          <w:szCs w:val="24"/>
          <w:lang w:eastAsia="en-GB"/>
        </w:rPr>
        <w:t>(Baede et al., 2015)</w:t>
      </w:r>
      <w:r>
        <w:rPr>
          <w:rFonts w:eastAsia="Times New Roman" w:cs="Times New Roman"/>
          <w:szCs w:val="24"/>
          <w:lang w:eastAsia="en-GB"/>
        </w:rPr>
        <w:t xml:space="preserve">, repeatedly sampled 38 </w:t>
      </w:r>
      <w:r>
        <w:rPr>
          <w:rFonts w:eastAsia="Times New Roman" w:cs="Times New Roman"/>
          <w:szCs w:val="24"/>
          <w:lang w:eastAsia="en-GB"/>
        </w:rPr>
        <w:lastRenderedPageBreak/>
        <w:t xml:space="preserve">dogs over six months and  found that many of the dogs demonstrated a high degree of variation between faecal shedding of AmpC and ESBL producing </w:t>
      </w:r>
      <w:r>
        <w:rPr>
          <w:rFonts w:eastAsia="Times New Roman" w:cs="Times New Roman"/>
          <w:i/>
          <w:szCs w:val="24"/>
          <w:lang w:eastAsia="en-GB"/>
        </w:rPr>
        <w:t>E. coli</w:t>
      </w:r>
      <w:r>
        <w:rPr>
          <w:rFonts w:eastAsia="Times New Roman" w:cs="Times New Roman"/>
          <w:szCs w:val="24"/>
          <w:lang w:eastAsia="en-GB"/>
        </w:rPr>
        <w:t xml:space="preserve">. Repeated sampling may represent a more accurate method to determine faecal shedding by dogs. Breed size also remained significantly associated with ESBL producing and MDR </w:t>
      </w:r>
      <w:r>
        <w:rPr>
          <w:rFonts w:eastAsia="Times New Roman" w:cs="Times New Roman"/>
          <w:i/>
          <w:szCs w:val="24"/>
          <w:lang w:eastAsia="en-GB"/>
        </w:rPr>
        <w:t>E. coli</w:t>
      </w:r>
      <w:r>
        <w:rPr>
          <w:rFonts w:eastAsia="Times New Roman" w:cs="Times New Roman"/>
          <w:szCs w:val="24"/>
          <w:lang w:eastAsia="en-GB"/>
        </w:rPr>
        <w:t xml:space="preserve">. However, the breed size of 161 dogs was not specified either because the owners did not specify the breed of their dog, or the dog was a cross breed and the size could not be determined. </w:t>
      </w:r>
    </w:p>
    <w:p w14:paraId="4FF75166" w14:textId="77777777" w:rsidR="00C03618" w:rsidRDefault="00C03618" w:rsidP="0058412E">
      <w:pPr>
        <w:spacing w:before="240"/>
        <w:contextualSpacing/>
        <w:rPr>
          <w:rFonts w:eastAsia="Times New Roman" w:cs="Times New Roman"/>
          <w:szCs w:val="24"/>
          <w:lang w:eastAsia="en-GB"/>
        </w:rPr>
      </w:pPr>
      <w:r>
        <w:rPr>
          <w:rFonts w:eastAsia="Times New Roman" w:cs="Times New Roman"/>
          <w:szCs w:val="24"/>
          <w:lang w:eastAsia="en-GB"/>
        </w:rPr>
        <w:t>In conclusion, m</w:t>
      </w:r>
      <w:r w:rsidRPr="006B538F">
        <w:rPr>
          <w:rFonts w:eastAsia="Times New Roman" w:cs="Times New Roman"/>
          <w:szCs w:val="24"/>
          <w:lang w:eastAsia="en-GB"/>
        </w:rPr>
        <w:t>any of the dogs sampled harbour</w:t>
      </w:r>
      <w:r>
        <w:rPr>
          <w:rFonts w:eastAsia="Times New Roman" w:cs="Times New Roman"/>
          <w:szCs w:val="24"/>
          <w:lang w:eastAsia="en-GB"/>
        </w:rPr>
        <w:t>ed</w:t>
      </w:r>
      <w:r w:rsidRPr="006B538F">
        <w:rPr>
          <w:rFonts w:eastAsia="Times New Roman" w:cs="Times New Roman"/>
          <w:szCs w:val="24"/>
          <w:lang w:eastAsia="en-GB"/>
        </w:rPr>
        <w:t xml:space="preserve"> </w:t>
      </w:r>
      <w:r>
        <w:rPr>
          <w:rFonts w:eastAsia="Times New Roman" w:cs="Times New Roman"/>
          <w:szCs w:val="24"/>
          <w:lang w:eastAsia="en-GB"/>
        </w:rPr>
        <w:t>AMR</w:t>
      </w:r>
      <w:r w:rsidRPr="006B538F">
        <w:rPr>
          <w:rFonts w:eastAsia="Times New Roman" w:cs="Times New Roman"/>
          <w:szCs w:val="24"/>
          <w:lang w:eastAsia="en-GB"/>
        </w:rPr>
        <w:t xml:space="preserve"> </w:t>
      </w:r>
      <w:r w:rsidRPr="006B538F">
        <w:rPr>
          <w:rFonts w:eastAsia="Times New Roman" w:cs="Times New Roman"/>
          <w:i/>
          <w:szCs w:val="24"/>
          <w:lang w:eastAsia="en-GB"/>
        </w:rPr>
        <w:t>E. coli</w:t>
      </w:r>
      <w:r>
        <w:rPr>
          <w:rFonts w:eastAsia="Times New Roman" w:cs="Times New Roman"/>
          <w:szCs w:val="24"/>
          <w:lang w:eastAsia="en-GB"/>
        </w:rPr>
        <w:t>. The potential for dogs to act as reservoirs for AMR bacteria and determinants has implications for public health. The wel</w:t>
      </w:r>
      <w:r w:rsidRPr="006B538F">
        <w:rPr>
          <w:rFonts w:eastAsia="Times New Roman" w:cs="Times New Roman"/>
          <w:szCs w:val="24"/>
          <w:lang w:eastAsia="en-GB"/>
        </w:rPr>
        <w:t xml:space="preserve">fare of the individual dogs </w:t>
      </w:r>
      <w:r>
        <w:rPr>
          <w:rFonts w:eastAsia="Times New Roman" w:cs="Times New Roman"/>
          <w:szCs w:val="24"/>
          <w:lang w:eastAsia="en-GB"/>
        </w:rPr>
        <w:t xml:space="preserve">could also be affected if this restricts </w:t>
      </w:r>
      <w:r w:rsidRPr="006B538F">
        <w:rPr>
          <w:rFonts w:eastAsia="Times New Roman" w:cs="Times New Roman"/>
          <w:szCs w:val="24"/>
          <w:lang w:eastAsia="en-GB"/>
        </w:rPr>
        <w:t>future treatment</w:t>
      </w:r>
      <w:r>
        <w:rPr>
          <w:rFonts w:eastAsia="Times New Roman" w:cs="Times New Roman"/>
          <w:szCs w:val="24"/>
          <w:lang w:eastAsia="en-GB"/>
        </w:rPr>
        <w:t xml:space="preserve"> options</w:t>
      </w:r>
      <w:r w:rsidRPr="006B538F">
        <w:rPr>
          <w:rFonts w:eastAsia="Times New Roman" w:cs="Times New Roman"/>
          <w:szCs w:val="24"/>
          <w:lang w:eastAsia="en-GB"/>
        </w:rPr>
        <w:t xml:space="preserve">. In addition, </w:t>
      </w:r>
      <w:r>
        <w:rPr>
          <w:rFonts w:eastAsia="Times New Roman" w:cs="Times New Roman"/>
          <w:szCs w:val="24"/>
          <w:lang w:eastAsia="en-GB"/>
        </w:rPr>
        <w:t xml:space="preserve">knowledge of </w:t>
      </w:r>
      <w:r w:rsidRPr="006B538F">
        <w:rPr>
          <w:rFonts w:eastAsia="Times New Roman" w:cs="Times New Roman"/>
          <w:szCs w:val="24"/>
          <w:lang w:eastAsia="en-GB"/>
        </w:rPr>
        <w:t xml:space="preserve">potential risk factors associated with the carriage of antimicrobial </w:t>
      </w:r>
      <w:r w:rsidRPr="006B538F">
        <w:rPr>
          <w:rFonts w:eastAsia="Times New Roman" w:cs="Times New Roman"/>
          <w:i/>
          <w:szCs w:val="24"/>
          <w:lang w:eastAsia="en-GB"/>
        </w:rPr>
        <w:t>E. coli</w:t>
      </w:r>
      <w:r w:rsidRPr="006B538F">
        <w:rPr>
          <w:rFonts w:eastAsia="Times New Roman" w:cs="Times New Roman"/>
          <w:szCs w:val="24"/>
          <w:lang w:eastAsia="en-GB"/>
        </w:rPr>
        <w:t xml:space="preserve"> by dogs in the community will allow better </w:t>
      </w:r>
      <w:r>
        <w:rPr>
          <w:rFonts w:eastAsia="Times New Roman" w:cs="Times New Roman"/>
          <w:szCs w:val="24"/>
          <w:lang w:eastAsia="en-GB"/>
        </w:rPr>
        <w:t>risk management.  Educating owners on the risks of raw food diets comprising poultry meat and regulation of the process in addition to ensuring the prudent use of antimicrobial by veterinary surgeons would be a good place to begin.</w:t>
      </w:r>
    </w:p>
    <w:p w14:paraId="5DFA9B48" w14:textId="77777777" w:rsidR="00C03618" w:rsidRPr="006B538F" w:rsidRDefault="00C03618" w:rsidP="0058412E">
      <w:pPr>
        <w:pStyle w:val="Heading1"/>
        <w:jc w:val="left"/>
      </w:pPr>
      <w:r w:rsidRPr="006B538F">
        <w:t>Acknowledgments</w:t>
      </w:r>
    </w:p>
    <w:p w14:paraId="72240234" w14:textId="77777777" w:rsidR="00C03618" w:rsidRDefault="00C03618" w:rsidP="0058412E">
      <w:pPr>
        <w:rPr>
          <w:rFonts w:cs="Times New Roman"/>
          <w:szCs w:val="24"/>
          <w:lang w:eastAsia="en-GB"/>
        </w:rPr>
      </w:pPr>
      <w:r>
        <w:rPr>
          <w:rFonts w:cs="Times New Roman"/>
        </w:rPr>
        <w:t xml:space="preserve">The research was funded by the Department for Environment, Food and Rural Affairs (Defra) project OZ0612. </w:t>
      </w:r>
      <w:r w:rsidRPr="006B538F">
        <w:rPr>
          <w:rFonts w:cs="Times New Roman"/>
          <w:szCs w:val="24"/>
          <w:lang w:eastAsia="en-GB"/>
        </w:rPr>
        <w:t xml:space="preserve">The authors thank Ruth Ryvar and Gill Hutchinson for technical assistance. </w:t>
      </w:r>
      <w:r>
        <w:rPr>
          <w:rFonts w:cs="Times New Roman"/>
          <w:szCs w:val="24"/>
          <w:lang w:eastAsia="en-GB"/>
        </w:rPr>
        <w:t>The authors would like to</w:t>
      </w:r>
      <w:r w:rsidRPr="006B538F">
        <w:rPr>
          <w:rFonts w:cs="Times New Roman"/>
          <w:szCs w:val="24"/>
          <w:lang w:eastAsia="en-GB"/>
        </w:rPr>
        <w:t xml:space="preserve"> thank the veterinary practices and their staff for recruitment of owners. Finally, we wish to convey our gratitude to the own</w:t>
      </w:r>
      <w:r>
        <w:rPr>
          <w:rFonts w:cs="Times New Roman"/>
          <w:szCs w:val="24"/>
          <w:lang w:eastAsia="en-GB"/>
        </w:rPr>
        <w:t>ers of the dogs for agreeing to</w:t>
      </w:r>
      <w:r w:rsidRPr="006B538F">
        <w:rPr>
          <w:rFonts w:cs="Times New Roman"/>
          <w:szCs w:val="24"/>
          <w:lang w:eastAsia="en-GB"/>
        </w:rPr>
        <w:t xml:space="preserve"> their dogs’ participation in the study. </w:t>
      </w:r>
    </w:p>
    <w:p w14:paraId="6A75780E" w14:textId="77777777" w:rsidR="00C03618" w:rsidRDefault="00C03618" w:rsidP="0058412E">
      <w:pPr>
        <w:pStyle w:val="Heading1"/>
        <w:jc w:val="left"/>
      </w:pPr>
      <w:r w:rsidRPr="00554A20">
        <w:t>Conflict</w:t>
      </w:r>
      <w:r>
        <w:t xml:space="preserve"> of interest statement</w:t>
      </w:r>
    </w:p>
    <w:p w14:paraId="378B91F8" w14:textId="77777777" w:rsidR="00C03618" w:rsidRPr="000F56C9" w:rsidRDefault="00C03618" w:rsidP="0058412E">
      <w:r>
        <w:t>None</w:t>
      </w:r>
    </w:p>
    <w:p w14:paraId="006BAB9E" w14:textId="77777777" w:rsidR="00C03618" w:rsidRPr="006B538F" w:rsidRDefault="00C03618" w:rsidP="00B26958">
      <w:pPr>
        <w:pStyle w:val="Heading1"/>
      </w:pPr>
      <w:r w:rsidRPr="006B538F">
        <w:t>References</w:t>
      </w:r>
    </w:p>
    <w:p w14:paraId="3DA37BAE" w14:textId="77777777" w:rsidR="00C03618" w:rsidRDefault="00C03618" w:rsidP="00184F00">
      <w:pPr>
        <w:pStyle w:val="Refs"/>
        <w:spacing w:line="240" w:lineRule="auto"/>
        <w:rPr>
          <w:sz w:val="12"/>
          <w:szCs w:val="16"/>
        </w:rPr>
        <w:sectPr w:rsidR="00C03618" w:rsidSect="00AC0AB0">
          <w:pgSz w:w="11906" w:h="16838"/>
          <w:pgMar w:top="1440" w:right="1440" w:bottom="1440" w:left="1440" w:header="708" w:footer="708" w:gutter="0"/>
          <w:cols w:space="708"/>
          <w:docGrid w:linePitch="360"/>
        </w:sectPr>
      </w:pPr>
    </w:p>
    <w:p w14:paraId="43CC8D4A" w14:textId="77777777" w:rsidR="00C03618" w:rsidRPr="00AC0AB0" w:rsidRDefault="00C03618" w:rsidP="00AC0AB0">
      <w:pPr>
        <w:pStyle w:val="EndNoteBibliography"/>
        <w:ind w:left="720" w:hanging="720"/>
      </w:pPr>
      <w:bookmarkStart w:id="6" w:name="_ENREF_1"/>
      <w:r w:rsidRPr="00AC0AB0">
        <w:lastRenderedPageBreak/>
        <w:t>Andrews, J.M., 2007. BSAC standardized disc susceptibility testing method (version 6). Journal of Antimicrobial Chemotherapy</w:t>
      </w:r>
      <w:r w:rsidRPr="00AC0AB0">
        <w:rPr>
          <w:i/>
        </w:rPr>
        <w:t xml:space="preserve"> </w:t>
      </w:r>
      <w:r w:rsidRPr="00AC0AB0">
        <w:t>60, 20-41.</w:t>
      </w:r>
      <w:bookmarkEnd w:id="6"/>
    </w:p>
    <w:p w14:paraId="19553557" w14:textId="77777777" w:rsidR="00C03618" w:rsidRPr="00AC0AB0" w:rsidRDefault="00C03618" w:rsidP="00AC0AB0">
      <w:pPr>
        <w:pStyle w:val="EndNoteBibliography"/>
        <w:ind w:left="720" w:hanging="720"/>
      </w:pPr>
      <w:bookmarkStart w:id="7" w:name="_ENREF_2"/>
      <w:r w:rsidRPr="00AC0AB0">
        <w:t xml:space="preserve">Baede, V.O., Wagenaar, J.A., Broens, E.M., Duim, B., Dohmen, W., Nijsse, R., Timmerman, A.J., Hordijk, J., 2015. Longitudinal study of extended-spectrum-beta-lactamase- and </w:t>
      </w:r>
      <w:r w:rsidRPr="00AC0AB0">
        <w:lastRenderedPageBreak/>
        <w:t>AmpC-producing Enterobacteriaceae in household dogs. Antimicrobial agents and chemotherapy</w:t>
      </w:r>
      <w:r w:rsidRPr="00AC0AB0">
        <w:rPr>
          <w:i/>
        </w:rPr>
        <w:t xml:space="preserve"> </w:t>
      </w:r>
      <w:r w:rsidRPr="00AC0AB0">
        <w:t>59, 3117-3124.</w:t>
      </w:r>
      <w:bookmarkEnd w:id="7"/>
    </w:p>
    <w:p w14:paraId="74EBFBD5" w14:textId="77777777" w:rsidR="00C03618" w:rsidRPr="00AC0AB0" w:rsidRDefault="00C03618" w:rsidP="00AC0AB0">
      <w:pPr>
        <w:pStyle w:val="EndNoteBibliography"/>
        <w:ind w:left="720" w:hanging="720"/>
      </w:pPr>
      <w:bookmarkStart w:id="8" w:name="_ENREF_3"/>
      <w:r w:rsidRPr="00AC0AB0">
        <w:t xml:space="preserve">Batchelor, M., Hopkins, K., Threlfall, E.J., Clifton-Hadley, F.A., Stallwood, A.D., Davies, R.H., Liebana, E., 2005. bla(CTX-M) genes in clinical </w:t>
      </w:r>
      <w:r w:rsidRPr="00AC0AB0">
        <w:rPr>
          <w:i/>
        </w:rPr>
        <w:t>Salmonella</w:t>
      </w:r>
      <w:r w:rsidRPr="00AC0AB0">
        <w:t xml:space="preserve"> isolates recovered from humans in England and Wales from 1992 to 2003. Antimicrobial agents and chemotherapy</w:t>
      </w:r>
      <w:r w:rsidRPr="00AC0AB0">
        <w:rPr>
          <w:i/>
        </w:rPr>
        <w:t xml:space="preserve"> </w:t>
      </w:r>
      <w:r w:rsidRPr="00AC0AB0">
        <w:t>49, 1319-1322.</w:t>
      </w:r>
      <w:bookmarkEnd w:id="8"/>
    </w:p>
    <w:p w14:paraId="1C29012F" w14:textId="77777777" w:rsidR="00C03618" w:rsidRPr="00AC0AB0" w:rsidRDefault="00C03618" w:rsidP="00AC0AB0">
      <w:pPr>
        <w:pStyle w:val="EndNoteBibliography"/>
        <w:ind w:left="720" w:hanging="720"/>
      </w:pPr>
      <w:bookmarkStart w:id="9" w:name="_ENREF_4"/>
      <w:r w:rsidRPr="00AC0AB0">
        <w:t>Biological, H.E.P.o., 2011. Scientific Opinion on the public health risks of bacterial strains producing extended-spectrum β-lactamases and/or AmpC β-lactamases in food and food-producing animals. EFSA Journal</w:t>
      </w:r>
      <w:r w:rsidRPr="00AC0AB0">
        <w:rPr>
          <w:i/>
        </w:rPr>
        <w:t xml:space="preserve"> </w:t>
      </w:r>
      <w:r w:rsidRPr="00AC0AB0">
        <w:t>9.</w:t>
      </w:r>
      <w:bookmarkEnd w:id="9"/>
    </w:p>
    <w:p w14:paraId="6C1F23A4" w14:textId="77777777" w:rsidR="00C03618" w:rsidRPr="00AC0AB0" w:rsidRDefault="00C03618" w:rsidP="00AC0AB0">
      <w:pPr>
        <w:pStyle w:val="EndNoteBibliography"/>
        <w:ind w:left="720" w:hanging="720"/>
      </w:pPr>
      <w:bookmarkStart w:id="10" w:name="_ENREF_5"/>
      <w:r w:rsidRPr="00AC0AB0">
        <w:t>Boyd, D.A., Tyler, S., Christianson, S., McGeer, A., Muller, M.P., Willey, B.M., Bryce, E., Gardam, M., Nordmann, P., Mulvey, M.R., 2004. Complete nucleotide sequence of a 92-kilobase plasmid harboring the CTX-M-15 extended-spectrum beta-lactamase involved in an outbreak in long-term-care facilities in Toronto, Canada. Antimicrobial agents and chemotherapy</w:t>
      </w:r>
      <w:r w:rsidRPr="00AC0AB0">
        <w:rPr>
          <w:i/>
        </w:rPr>
        <w:t xml:space="preserve"> </w:t>
      </w:r>
      <w:r w:rsidRPr="00AC0AB0">
        <w:t>48, 3758-3764.</w:t>
      </w:r>
      <w:bookmarkEnd w:id="10"/>
    </w:p>
    <w:p w14:paraId="01A733EE" w14:textId="77777777" w:rsidR="00C03618" w:rsidRPr="00AC0AB0" w:rsidRDefault="00C03618" w:rsidP="00AC0AB0">
      <w:pPr>
        <w:pStyle w:val="EndNoteBibliography"/>
        <w:ind w:left="720" w:hanging="720"/>
      </w:pPr>
      <w:bookmarkStart w:id="11" w:name="_ENREF_6"/>
      <w:r w:rsidRPr="00AC0AB0">
        <w:t>Brolund, A., Edquist, P.J., Makitalo, B., Olsson-Liljequist, B., Soderblom, T., Wisell, K.T., Giske, C.G., 2014. Epidemiology of extended-spectrum beta-lactamase-producing Escherichia coli in Sweden 2007-2011. Clinical Microbiology and Infection</w:t>
      </w:r>
      <w:r w:rsidRPr="00AC0AB0">
        <w:rPr>
          <w:i/>
        </w:rPr>
        <w:t xml:space="preserve"> </w:t>
      </w:r>
      <w:r w:rsidRPr="00AC0AB0">
        <w:t>20, O344-O352.</w:t>
      </w:r>
      <w:bookmarkEnd w:id="11"/>
    </w:p>
    <w:p w14:paraId="067FF3ED" w14:textId="77777777" w:rsidR="00C03618" w:rsidRPr="00AC0AB0" w:rsidRDefault="00C03618" w:rsidP="00AC0AB0">
      <w:pPr>
        <w:pStyle w:val="EndNoteBibliography"/>
        <w:ind w:left="720" w:hanging="720"/>
      </w:pPr>
      <w:bookmarkStart w:id="12" w:name="_ENREF_7"/>
      <w:r w:rsidRPr="00AC0AB0">
        <w:t xml:space="preserve">Carattoli, A., Lovari, S., Franco, A., Cordaro, G., Di Matteo, P., Battisti, A., 2005. Extended-spectrum beta-lactamases in </w:t>
      </w:r>
      <w:r w:rsidRPr="00AC0AB0">
        <w:rPr>
          <w:i/>
        </w:rPr>
        <w:t>Escherichia coli</w:t>
      </w:r>
      <w:r w:rsidRPr="00AC0AB0">
        <w:t xml:space="preserve"> isolated from dogs and cats in Rome, Italy, from 2001 to 2003. Antimicrobial agents and chemotherapy</w:t>
      </w:r>
      <w:r w:rsidRPr="00AC0AB0">
        <w:rPr>
          <w:i/>
        </w:rPr>
        <w:t xml:space="preserve"> </w:t>
      </w:r>
      <w:r w:rsidRPr="00AC0AB0">
        <w:t>49, 833-835.</w:t>
      </w:r>
      <w:bookmarkEnd w:id="12"/>
    </w:p>
    <w:p w14:paraId="75BD82FE" w14:textId="77777777" w:rsidR="00C03618" w:rsidRPr="00AC0AB0" w:rsidRDefault="00C03618" w:rsidP="00AC0AB0">
      <w:pPr>
        <w:pStyle w:val="EndNoteBibliography"/>
        <w:ind w:left="720" w:hanging="720"/>
      </w:pPr>
      <w:bookmarkStart w:id="13" w:name="_ENREF_8"/>
      <w:r w:rsidRPr="00AC0AB0">
        <w:t xml:space="preserve">Carattoli, A., Tosini, F., Giles, W.P., Rupp, M.E., Hinrichs, S.H., Angulo, F.J., Barrett, T.J., Fey, P.D., 2002. Characterization of plasmids carrying CMY-2 from expanded-spectrum cephalosporin-resistant </w:t>
      </w:r>
      <w:r w:rsidRPr="00AC0AB0">
        <w:rPr>
          <w:i/>
        </w:rPr>
        <w:t xml:space="preserve">Salmonella </w:t>
      </w:r>
      <w:r w:rsidRPr="00AC0AB0">
        <w:t>strains isolated in the United States between 1996 and 1998. Antimicrobial agents and chemotherapy</w:t>
      </w:r>
      <w:r w:rsidRPr="00AC0AB0">
        <w:rPr>
          <w:i/>
        </w:rPr>
        <w:t xml:space="preserve"> </w:t>
      </w:r>
      <w:r w:rsidRPr="00AC0AB0">
        <w:t>46, 1269-1272.</w:t>
      </w:r>
      <w:bookmarkEnd w:id="13"/>
    </w:p>
    <w:p w14:paraId="025742F2" w14:textId="77777777" w:rsidR="00C03618" w:rsidRPr="00AC0AB0" w:rsidRDefault="00C03618" w:rsidP="00AC0AB0">
      <w:pPr>
        <w:pStyle w:val="EndNoteBibliography"/>
        <w:ind w:left="720" w:hanging="720"/>
      </w:pPr>
      <w:bookmarkStart w:id="14" w:name="_ENREF_9"/>
      <w:r w:rsidRPr="00AC0AB0">
        <w:t>Card, R.M., Mafura, M., Hunt, T., Kirchner, M., Weile, J., Rashid, M.U., Weintraub, A., Nord, C.E., Anjum, M.F., 2015. Impact of Ciprofloxacin and Clindamycin Administration on Gram-Negative Bacteria Isolated from Healthy Volunteers and Characterization of the Resistance Genes They Harbor. Antimicrobial agents and chemotherapy</w:t>
      </w:r>
      <w:r w:rsidRPr="00AC0AB0">
        <w:rPr>
          <w:i/>
        </w:rPr>
        <w:t xml:space="preserve"> </w:t>
      </w:r>
      <w:r w:rsidRPr="00AC0AB0">
        <w:t>59, 4410-4416.</w:t>
      </w:r>
      <w:bookmarkEnd w:id="14"/>
    </w:p>
    <w:p w14:paraId="68AFEB18" w14:textId="77777777" w:rsidR="00C03618" w:rsidRPr="00AC0AB0" w:rsidRDefault="00C03618" w:rsidP="00AC0AB0">
      <w:pPr>
        <w:pStyle w:val="EndNoteBibliography"/>
        <w:ind w:left="720" w:hanging="720"/>
      </w:pPr>
      <w:bookmarkStart w:id="15" w:name="_ENREF_10"/>
      <w:r w:rsidRPr="00AC0AB0">
        <w:t xml:space="preserve">Costa, D., Poeta, P., Saenz, Y., Coelho, A.C., Matos, M., Vinue, L., Rodrigues, J., Torres, C., 2008. Prevalence of antimicrobial resistance and resistance genes in faecal </w:t>
      </w:r>
      <w:r w:rsidRPr="00AC0AB0">
        <w:rPr>
          <w:i/>
        </w:rPr>
        <w:t>Escherichia coli</w:t>
      </w:r>
      <w:r w:rsidRPr="00AC0AB0">
        <w:t xml:space="preserve"> isolates recovered from healthy pets. Veterinary Microbiology</w:t>
      </w:r>
      <w:r w:rsidRPr="00AC0AB0">
        <w:rPr>
          <w:i/>
        </w:rPr>
        <w:t xml:space="preserve"> </w:t>
      </w:r>
      <w:r w:rsidRPr="00AC0AB0">
        <w:t>127, 97-105.</w:t>
      </w:r>
      <w:bookmarkEnd w:id="15"/>
    </w:p>
    <w:p w14:paraId="3FDAE5DE" w14:textId="77777777" w:rsidR="00C03618" w:rsidRPr="00AC0AB0" w:rsidRDefault="00C03618" w:rsidP="00AC0AB0">
      <w:pPr>
        <w:pStyle w:val="EndNoteBibliography"/>
        <w:ind w:left="720" w:hanging="720"/>
      </w:pPr>
      <w:bookmarkStart w:id="16" w:name="_ENREF_11"/>
      <w:r w:rsidRPr="00AC0AB0">
        <w:t xml:space="preserve">Costa, D., Vinue, L., Poeta, P., Coelho, A.C., Matos, M., Saenz, Y., Somalo, S., Zarazaga, M., Rodrigues, J., Torres, C., 2009. Prevalence of extended-spectrum beta-lactamase-producing </w:t>
      </w:r>
      <w:r w:rsidRPr="00AC0AB0">
        <w:rPr>
          <w:i/>
        </w:rPr>
        <w:t>Escherichia coli</w:t>
      </w:r>
      <w:r w:rsidRPr="00AC0AB0">
        <w:t xml:space="preserve"> isolates in faecal samples of broilers. Veterinary Microbiology</w:t>
      </w:r>
      <w:r w:rsidRPr="00AC0AB0">
        <w:rPr>
          <w:i/>
        </w:rPr>
        <w:t xml:space="preserve"> </w:t>
      </w:r>
      <w:r w:rsidRPr="00AC0AB0">
        <w:t>138, 339-344.</w:t>
      </w:r>
      <w:bookmarkEnd w:id="16"/>
    </w:p>
    <w:p w14:paraId="4BB14094" w14:textId="77777777" w:rsidR="00C03618" w:rsidRPr="00AC0AB0" w:rsidRDefault="00C03618" w:rsidP="00AC0AB0">
      <w:pPr>
        <w:pStyle w:val="EndNoteBibliography"/>
        <w:ind w:left="720" w:hanging="720"/>
      </w:pPr>
      <w:bookmarkStart w:id="17" w:name="_ENREF_12"/>
      <w:r w:rsidRPr="00AC0AB0">
        <w:t xml:space="preserve">Essack, S.Y., Hall, L.M., Pillay, D.G., McFadyen, M.L., Livermore, D.M., 2001. Complexity and diversity of </w:t>
      </w:r>
      <w:r w:rsidRPr="00AC0AB0">
        <w:rPr>
          <w:i/>
        </w:rPr>
        <w:t>Klebsiella pneumoniae</w:t>
      </w:r>
      <w:r w:rsidRPr="00AC0AB0">
        <w:t xml:space="preserve"> strains with extended-spectrum beta-lactamases isolated in 1994 and 1996 at a teaching hospital in Durban, South Africa. Antimicrobial agents and chemotherapy</w:t>
      </w:r>
      <w:r w:rsidRPr="00AC0AB0">
        <w:rPr>
          <w:i/>
        </w:rPr>
        <w:t xml:space="preserve"> </w:t>
      </w:r>
      <w:r w:rsidRPr="00AC0AB0">
        <w:t>45, 88-95.</w:t>
      </w:r>
      <w:bookmarkEnd w:id="17"/>
    </w:p>
    <w:p w14:paraId="6A0739D1" w14:textId="77777777" w:rsidR="00C03618" w:rsidRPr="00AC0AB0" w:rsidRDefault="00C03618" w:rsidP="00AC0AB0">
      <w:pPr>
        <w:pStyle w:val="EndNoteBibliography"/>
        <w:ind w:left="720" w:hanging="720"/>
      </w:pPr>
      <w:bookmarkStart w:id="18" w:name="_ENREF_13"/>
      <w:r w:rsidRPr="00AC0AB0">
        <w:t>Frye, J.G., Jesse, T., Long, F., Rondeau, G., Porwollik, S., McClelland, M., Jackson, C.R., Englen, M., Fedorka-Cray, P.J., 2006. DNA microarray detection of antimicrobial resistance genes in diverse bacteria. International Journal of Antimicrobial Agents</w:t>
      </w:r>
      <w:r w:rsidRPr="00AC0AB0">
        <w:rPr>
          <w:i/>
        </w:rPr>
        <w:t xml:space="preserve"> </w:t>
      </w:r>
      <w:r w:rsidRPr="00AC0AB0">
        <w:t>27, 138-151.</w:t>
      </w:r>
      <w:bookmarkEnd w:id="18"/>
    </w:p>
    <w:p w14:paraId="3241EEC7" w14:textId="77777777" w:rsidR="00C03618" w:rsidRPr="00AC0AB0" w:rsidRDefault="00C03618" w:rsidP="00AC0AB0">
      <w:pPr>
        <w:pStyle w:val="EndNoteBibliography"/>
        <w:ind w:left="720" w:hanging="720"/>
      </w:pPr>
      <w:bookmarkStart w:id="19" w:name="_ENREF_14"/>
      <w:r w:rsidRPr="00AC0AB0">
        <w:t xml:space="preserve">Gandolfi-Decristophoris, P., Petrini, O., Ruggeri-Bernardi, N., Schelling, E., 2013. Extended-spectrum beta-lactamase-producing Enterobacteriaceae in healthy companion </w:t>
      </w:r>
      <w:r w:rsidRPr="00AC0AB0">
        <w:lastRenderedPageBreak/>
        <w:t>animals living in nursing homes and in the community. Am. J. Infect. Control</w:t>
      </w:r>
      <w:r w:rsidRPr="00AC0AB0">
        <w:rPr>
          <w:i/>
        </w:rPr>
        <w:t xml:space="preserve"> </w:t>
      </w:r>
      <w:r w:rsidRPr="00AC0AB0">
        <w:t>41, 831-835.</w:t>
      </w:r>
      <w:bookmarkEnd w:id="19"/>
    </w:p>
    <w:p w14:paraId="267218B1" w14:textId="77777777" w:rsidR="00C03618" w:rsidRPr="00AC0AB0" w:rsidRDefault="00C03618" w:rsidP="00AC0AB0">
      <w:pPr>
        <w:pStyle w:val="EndNoteBibliography"/>
        <w:ind w:left="720" w:hanging="720"/>
      </w:pPr>
      <w:bookmarkStart w:id="20" w:name="_ENREF_15"/>
      <w:r w:rsidRPr="00AC0AB0">
        <w:t xml:space="preserve">Gibson, J.S., Morton, J.M., Cobbold, R.N., Filippich, L.J., Trott, D.J., 2011. Risk factors for multidrug-resistant </w:t>
      </w:r>
      <w:r w:rsidRPr="00AC0AB0">
        <w:rPr>
          <w:i/>
        </w:rPr>
        <w:t xml:space="preserve">Escherichia coli </w:t>
      </w:r>
      <w:r w:rsidRPr="00AC0AB0">
        <w:t>rectal colonization of dogs on admission to a veterinary hospital. Epidemiol. Infect.</w:t>
      </w:r>
      <w:r w:rsidRPr="00AC0AB0">
        <w:rPr>
          <w:i/>
        </w:rPr>
        <w:t xml:space="preserve"> </w:t>
      </w:r>
      <w:r w:rsidRPr="00AC0AB0">
        <w:t>139, 197-205.</w:t>
      </w:r>
      <w:bookmarkEnd w:id="20"/>
    </w:p>
    <w:p w14:paraId="022A1453" w14:textId="77777777" w:rsidR="00C03618" w:rsidRPr="00AC0AB0" w:rsidRDefault="00C03618" w:rsidP="00AC0AB0">
      <w:pPr>
        <w:pStyle w:val="EndNoteBibliography"/>
        <w:ind w:left="720" w:hanging="720"/>
      </w:pPr>
      <w:bookmarkStart w:id="21" w:name="_ENREF_16"/>
      <w:r w:rsidRPr="00AC0AB0">
        <w:t>Goldstein, H., Browne, W., Rasbash, J., 2002. Partitioning Variation in Multilevel Models. Understanding Statistics</w:t>
      </w:r>
      <w:r w:rsidRPr="00AC0AB0">
        <w:rPr>
          <w:i/>
        </w:rPr>
        <w:t xml:space="preserve"> </w:t>
      </w:r>
      <w:r w:rsidRPr="00AC0AB0">
        <w:t>1, 223-231.</w:t>
      </w:r>
      <w:bookmarkEnd w:id="21"/>
    </w:p>
    <w:p w14:paraId="235A5559" w14:textId="77777777" w:rsidR="00C03618" w:rsidRPr="00AC0AB0" w:rsidRDefault="00C03618" w:rsidP="00AC0AB0">
      <w:pPr>
        <w:pStyle w:val="EndNoteBibliography"/>
        <w:ind w:left="720" w:hanging="720"/>
      </w:pPr>
      <w:bookmarkStart w:id="22" w:name="_ENREF_17"/>
      <w:r w:rsidRPr="00AC0AB0">
        <w:t xml:space="preserve">Hopkins, K.L., Liebana, E., Villa, L., Batchelor, M., Threlfall, E.J., Carattoli, A., 2006. Replicon typing of Plasmids carrying CTX-M or CMY beta-lactamases circulating among </w:t>
      </w:r>
      <w:r w:rsidRPr="00AC0AB0">
        <w:rPr>
          <w:i/>
        </w:rPr>
        <w:t xml:space="preserve">Salmonella </w:t>
      </w:r>
      <w:r w:rsidRPr="00AC0AB0">
        <w:t xml:space="preserve">and </w:t>
      </w:r>
      <w:r w:rsidRPr="00AC0AB0">
        <w:rPr>
          <w:i/>
        </w:rPr>
        <w:t xml:space="preserve">Escherichia coli </w:t>
      </w:r>
      <w:r w:rsidRPr="00AC0AB0">
        <w:t>isolates. Antimicrobial agents and chemotherapy</w:t>
      </w:r>
      <w:r w:rsidRPr="00AC0AB0">
        <w:rPr>
          <w:i/>
        </w:rPr>
        <w:t xml:space="preserve"> </w:t>
      </w:r>
      <w:r w:rsidRPr="00AC0AB0">
        <w:t>50, 3203-3206.</w:t>
      </w:r>
      <w:bookmarkEnd w:id="22"/>
    </w:p>
    <w:p w14:paraId="5B88FCB7" w14:textId="77777777" w:rsidR="00C03618" w:rsidRPr="00AC0AB0" w:rsidRDefault="00C03618" w:rsidP="00AC0AB0">
      <w:pPr>
        <w:pStyle w:val="EndNoteBibliography"/>
        <w:ind w:left="720" w:hanging="720"/>
      </w:pPr>
      <w:bookmarkStart w:id="23" w:name="_ENREF_18"/>
      <w:r w:rsidRPr="00AC0AB0">
        <w:t>Hughes, L.A., Williams, N., Clegg, P., Callaby, R., Nuttall, T., Coyne, K., Pinchbeck, G., Dawson, S., 2012. Cross-sectional survey of antimicrobial prescribing patterns in UK small animal veterinary practice. Preventive Veterinary Medicine.</w:t>
      </w:r>
      <w:bookmarkEnd w:id="23"/>
    </w:p>
    <w:p w14:paraId="3153F0F7" w14:textId="77777777" w:rsidR="00C03618" w:rsidRPr="00AC0AB0" w:rsidRDefault="00C03618" w:rsidP="00AC0AB0">
      <w:pPr>
        <w:pStyle w:val="EndNoteBibliography"/>
        <w:ind w:left="720" w:hanging="720"/>
      </w:pPr>
      <w:bookmarkStart w:id="24" w:name="_ENREF_19"/>
      <w:r w:rsidRPr="00AC0AB0">
        <w:t>Johnson, J.R., Clabots, C., Kuskowski, M.A., 2008a. Multiple-Host Sharing, Long-Term Persistence, and Virulence of Escherichia coli Clones from Human and Animal Household Members. Journal of clinical microbiology</w:t>
      </w:r>
      <w:r w:rsidRPr="00AC0AB0">
        <w:rPr>
          <w:i/>
        </w:rPr>
        <w:t xml:space="preserve"> </w:t>
      </w:r>
      <w:r w:rsidRPr="00AC0AB0">
        <w:t>46, 4078-4082.</w:t>
      </w:r>
      <w:bookmarkEnd w:id="24"/>
    </w:p>
    <w:p w14:paraId="7C501090" w14:textId="77777777" w:rsidR="00C03618" w:rsidRPr="00AC0AB0" w:rsidRDefault="00C03618" w:rsidP="00AC0AB0">
      <w:pPr>
        <w:pStyle w:val="EndNoteBibliography"/>
        <w:ind w:left="720" w:hanging="720"/>
      </w:pPr>
      <w:bookmarkStart w:id="25" w:name="_ENREF_20"/>
      <w:r w:rsidRPr="00AC0AB0">
        <w:t>Johnson, J.R., Delavari, P., Kuskowski, M., Stell, A.L., 2001. Phylogenetic distribution of extraintestinal virulence-associated traits in Escherichia coli. Journal of Infectious Diseases</w:t>
      </w:r>
      <w:r w:rsidRPr="00AC0AB0">
        <w:rPr>
          <w:i/>
        </w:rPr>
        <w:t xml:space="preserve"> </w:t>
      </w:r>
      <w:r w:rsidRPr="00AC0AB0">
        <w:t>183, 78-88.</w:t>
      </w:r>
      <w:bookmarkEnd w:id="25"/>
    </w:p>
    <w:p w14:paraId="2698668A" w14:textId="77777777" w:rsidR="00C03618" w:rsidRPr="00AC0AB0" w:rsidRDefault="00C03618" w:rsidP="00AC0AB0">
      <w:pPr>
        <w:pStyle w:val="EndNoteBibliography"/>
        <w:ind w:left="720" w:hanging="720"/>
      </w:pPr>
      <w:bookmarkStart w:id="26" w:name="_ENREF_21"/>
      <w:r w:rsidRPr="00AC0AB0">
        <w:t xml:space="preserve">Johnson, J.R., Johnston, B., Clabots, C.R., Kuskowski, M.A., Roberts, E., DebRoy, C., 2008b. Virulence genotypes and phylogenetic background of </w:t>
      </w:r>
      <w:r w:rsidRPr="00AC0AB0">
        <w:rPr>
          <w:i/>
        </w:rPr>
        <w:t xml:space="preserve">Escherichia coli </w:t>
      </w:r>
      <w:r w:rsidRPr="00AC0AB0">
        <w:t>serogroup O6 isolates from humans, dogs, and cats. Journal of clinical microbiology</w:t>
      </w:r>
      <w:r w:rsidRPr="00AC0AB0">
        <w:rPr>
          <w:i/>
        </w:rPr>
        <w:t xml:space="preserve"> </w:t>
      </w:r>
      <w:r w:rsidRPr="00AC0AB0">
        <w:t>46, 417-422.</w:t>
      </w:r>
      <w:bookmarkEnd w:id="26"/>
    </w:p>
    <w:p w14:paraId="3FA28A49" w14:textId="77777777" w:rsidR="00C03618" w:rsidRPr="00AC0AB0" w:rsidRDefault="00C03618" w:rsidP="00AC0AB0">
      <w:pPr>
        <w:pStyle w:val="EndNoteBibliography"/>
        <w:ind w:left="720" w:hanging="720"/>
      </w:pPr>
      <w:bookmarkStart w:id="27" w:name="_ENREF_22"/>
      <w:r w:rsidRPr="00AC0AB0">
        <w:t xml:space="preserve">Johnson, J.R., Russo, T.A., 2002. Extraintestinal pathogenic </w:t>
      </w:r>
      <w:r w:rsidRPr="00AC0AB0">
        <w:rPr>
          <w:i/>
        </w:rPr>
        <w:t>Escherichia coli</w:t>
      </w:r>
      <w:r w:rsidRPr="00AC0AB0">
        <w:t xml:space="preserve">: "The other bad </w:t>
      </w:r>
      <w:r w:rsidRPr="00AC0AB0">
        <w:rPr>
          <w:i/>
        </w:rPr>
        <w:t>E. coli</w:t>
      </w:r>
      <w:r w:rsidRPr="00AC0AB0">
        <w:t>". Journal of Laboratory and Clinical Medicine</w:t>
      </w:r>
      <w:r w:rsidRPr="00AC0AB0">
        <w:rPr>
          <w:i/>
        </w:rPr>
        <w:t xml:space="preserve"> </w:t>
      </w:r>
      <w:r w:rsidRPr="00AC0AB0">
        <w:t>139, 155-162.</w:t>
      </w:r>
      <w:bookmarkEnd w:id="27"/>
    </w:p>
    <w:p w14:paraId="599FD74D" w14:textId="77777777" w:rsidR="00C03618" w:rsidRPr="00AC0AB0" w:rsidRDefault="00C03618" w:rsidP="00AC0AB0">
      <w:pPr>
        <w:pStyle w:val="EndNoteBibliography"/>
        <w:ind w:left="720" w:hanging="720"/>
      </w:pPr>
      <w:bookmarkStart w:id="28" w:name="_ENREF_23"/>
      <w:r w:rsidRPr="00AC0AB0">
        <w:t xml:space="preserve">Johnson, T.J., Wannemuehler, Y.M., Nolan, L.K., 2008c. Evolution of the </w:t>
      </w:r>
      <w:r w:rsidRPr="00AC0AB0">
        <w:rPr>
          <w:i/>
        </w:rPr>
        <w:t xml:space="preserve">iss </w:t>
      </w:r>
      <w:r w:rsidRPr="00AC0AB0">
        <w:t xml:space="preserve">gene in </w:t>
      </w:r>
      <w:r w:rsidRPr="00AC0AB0">
        <w:rPr>
          <w:i/>
        </w:rPr>
        <w:t>Escherichia coli</w:t>
      </w:r>
      <w:r w:rsidRPr="00AC0AB0">
        <w:t>. Applied and Environmental Microbiology</w:t>
      </w:r>
      <w:r w:rsidRPr="00AC0AB0">
        <w:rPr>
          <w:i/>
        </w:rPr>
        <w:t xml:space="preserve"> </w:t>
      </w:r>
      <w:r w:rsidRPr="00AC0AB0">
        <w:t>74, 2360-2369.</w:t>
      </w:r>
      <w:bookmarkEnd w:id="28"/>
    </w:p>
    <w:p w14:paraId="64139B6F" w14:textId="77777777" w:rsidR="00C03618" w:rsidRPr="00AC0AB0" w:rsidRDefault="00C03618" w:rsidP="00AC0AB0">
      <w:pPr>
        <w:pStyle w:val="EndNoteBibliography"/>
        <w:ind w:left="720" w:hanging="720"/>
      </w:pPr>
      <w:bookmarkStart w:id="29" w:name="_ENREF_24"/>
      <w:r w:rsidRPr="00AC0AB0">
        <w:t xml:space="preserve">Kaper, J.B., Nataro, J.P., Mobley, H.L.T., 2004. Pathogenic </w:t>
      </w:r>
      <w:r w:rsidRPr="00AC0AB0">
        <w:rPr>
          <w:i/>
        </w:rPr>
        <w:t>Escherichia coli</w:t>
      </w:r>
      <w:r w:rsidRPr="00AC0AB0">
        <w:t>. Nat Rev Microbiol</w:t>
      </w:r>
      <w:r w:rsidRPr="00AC0AB0">
        <w:rPr>
          <w:i/>
        </w:rPr>
        <w:t xml:space="preserve"> </w:t>
      </w:r>
      <w:r w:rsidRPr="00AC0AB0">
        <w:t>2, 123-140.</w:t>
      </w:r>
      <w:bookmarkEnd w:id="29"/>
    </w:p>
    <w:p w14:paraId="5F3ED1D5" w14:textId="77777777" w:rsidR="00C03618" w:rsidRPr="00AC0AB0" w:rsidRDefault="00C03618" w:rsidP="00AC0AB0">
      <w:pPr>
        <w:pStyle w:val="EndNoteBibliography"/>
        <w:ind w:left="720" w:hanging="720"/>
      </w:pPr>
      <w:bookmarkStart w:id="30" w:name="_ENREF_25"/>
      <w:r w:rsidRPr="00AC0AB0">
        <w:t>Kirchner, M., Mafura, M., Hunt, T., Abu-Oun, M., Nunez-Garcia, J., Hu, Y., Weile, J., Coates, A., Card, R., Anjum, M.F., 2014. Antimicrobial resistance characteristics and fitness of Gram-negative fecal bacteria from volunteers treated with minocycline or amoxicillin. Frontiers in microbiology</w:t>
      </w:r>
      <w:r w:rsidRPr="00AC0AB0">
        <w:rPr>
          <w:i/>
        </w:rPr>
        <w:t xml:space="preserve"> </w:t>
      </w:r>
      <w:r w:rsidRPr="00AC0AB0">
        <w:t>5, 722.</w:t>
      </w:r>
      <w:bookmarkEnd w:id="30"/>
    </w:p>
    <w:p w14:paraId="0804B06C" w14:textId="77777777" w:rsidR="00C03618" w:rsidRPr="00AC0AB0" w:rsidRDefault="00C03618" w:rsidP="00AC0AB0">
      <w:pPr>
        <w:pStyle w:val="EndNoteBibliography"/>
        <w:ind w:left="720" w:hanging="720"/>
      </w:pPr>
      <w:bookmarkStart w:id="31" w:name="_ENREF_26"/>
      <w:r w:rsidRPr="00AC0AB0">
        <w:t xml:space="preserve">Lanz, R., Kuhnert, P., Boerlin, P., 2003. Antimicrobial resistance and resistance gene determinants in clinical </w:t>
      </w:r>
      <w:r w:rsidRPr="00AC0AB0">
        <w:rPr>
          <w:i/>
        </w:rPr>
        <w:t>Escherichia coli</w:t>
      </w:r>
      <w:r w:rsidRPr="00AC0AB0">
        <w:t xml:space="preserve"> from different animal species in Switzerland. Veterinary Microbiology</w:t>
      </w:r>
      <w:r w:rsidRPr="00AC0AB0">
        <w:rPr>
          <w:i/>
        </w:rPr>
        <w:t xml:space="preserve"> </w:t>
      </w:r>
      <w:r w:rsidRPr="00AC0AB0">
        <w:t>91, 73-84.</w:t>
      </w:r>
      <w:bookmarkEnd w:id="31"/>
    </w:p>
    <w:p w14:paraId="36F0E31F" w14:textId="77777777" w:rsidR="00C03618" w:rsidRPr="00AC0AB0" w:rsidRDefault="00C03618" w:rsidP="00AC0AB0">
      <w:pPr>
        <w:pStyle w:val="EndNoteBibliography"/>
        <w:ind w:left="720" w:hanging="720"/>
      </w:pPr>
      <w:bookmarkStart w:id="32" w:name="_ENREF_27"/>
      <w:r w:rsidRPr="00AC0AB0">
        <w:t>Leite-Martins, L.R., Mahu, M.I.M., Costa, A.L., Mendes, A., Lopes, E., Mendonca, D.M.V., Niza-Ribeiro, J.J.R., de Matos, A.J.F., da Costa, P.M., 2014. Prevalence of antimicrobial resistance in enteric Escherichia coli from domestic pets and assessment of associated risk markers using a generalized linear mixed model. Preventive Veterinary Medicine</w:t>
      </w:r>
      <w:r w:rsidRPr="00AC0AB0">
        <w:rPr>
          <w:i/>
        </w:rPr>
        <w:t xml:space="preserve"> </w:t>
      </w:r>
      <w:r w:rsidRPr="00AC0AB0">
        <w:t>117, 28-39.</w:t>
      </w:r>
      <w:bookmarkEnd w:id="32"/>
    </w:p>
    <w:p w14:paraId="5245E577" w14:textId="77777777" w:rsidR="00C03618" w:rsidRPr="00AC0AB0" w:rsidRDefault="00C03618" w:rsidP="00AC0AB0">
      <w:pPr>
        <w:pStyle w:val="EndNoteBibliography"/>
        <w:ind w:left="720" w:hanging="720"/>
      </w:pPr>
      <w:bookmarkStart w:id="33" w:name="_ENREF_28"/>
      <w:r w:rsidRPr="00AC0AB0">
        <w:t xml:space="preserve">Liebana, E., Gibbs, M., Clouting, C., Barker, L., Clifton-Hadley, F.A., Pleydell, E., Abdalhamid, B., Hanson, N.D., Martin, L., Poppe, C., Davies, R.H., 2004. Characterization of beta-lactamases responsible for resistance to extended-spectrum cephalosporins in </w:t>
      </w:r>
      <w:r w:rsidRPr="00AC0AB0">
        <w:rPr>
          <w:i/>
        </w:rPr>
        <w:t xml:space="preserve">Escherichia coli </w:t>
      </w:r>
      <w:r w:rsidRPr="00AC0AB0">
        <w:t xml:space="preserve">and </w:t>
      </w:r>
      <w:r w:rsidRPr="00AC0AB0">
        <w:rPr>
          <w:i/>
        </w:rPr>
        <w:t>Salmonella enterica</w:t>
      </w:r>
      <w:r w:rsidRPr="00AC0AB0">
        <w:t xml:space="preserve"> strains from food-producing animals in the United Kingdom. Microb. Drug Resist.-Mechan. Epidemiol. Dis.</w:t>
      </w:r>
      <w:r w:rsidRPr="00AC0AB0">
        <w:rPr>
          <w:i/>
        </w:rPr>
        <w:t xml:space="preserve"> </w:t>
      </w:r>
      <w:r w:rsidRPr="00AC0AB0">
        <w:t>10, 1-9.</w:t>
      </w:r>
      <w:bookmarkEnd w:id="33"/>
    </w:p>
    <w:p w14:paraId="5E80F1D3" w14:textId="77777777" w:rsidR="00C03618" w:rsidRPr="00AC0AB0" w:rsidRDefault="00C03618" w:rsidP="00AC0AB0">
      <w:pPr>
        <w:pStyle w:val="EndNoteBibliography"/>
        <w:ind w:left="720" w:hanging="720"/>
      </w:pPr>
      <w:bookmarkStart w:id="34" w:name="_ENREF_29"/>
      <w:r w:rsidRPr="00AC0AB0">
        <w:lastRenderedPageBreak/>
        <w:t>Livermore, D.M., 2008. Defining an extended-spectrum β-lactamase. Clinical Microbiology and Infection</w:t>
      </w:r>
      <w:r w:rsidRPr="00AC0AB0">
        <w:rPr>
          <w:i/>
        </w:rPr>
        <w:t xml:space="preserve"> </w:t>
      </w:r>
      <w:r w:rsidRPr="00AC0AB0">
        <w:t>14, 3-10.</w:t>
      </w:r>
      <w:bookmarkEnd w:id="34"/>
    </w:p>
    <w:p w14:paraId="13CA2590" w14:textId="77777777" w:rsidR="00C03618" w:rsidRPr="00AC0AB0" w:rsidRDefault="00C03618" w:rsidP="00AC0AB0">
      <w:pPr>
        <w:pStyle w:val="EndNoteBibliography"/>
        <w:ind w:left="720" w:hanging="720"/>
      </w:pPr>
      <w:bookmarkStart w:id="35" w:name="_ENREF_30"/>
      <w:r w:rsidRPr="00AC0AB0">
        <w:t xml:space="preserve">McDaniels, A.E., Rice, E.W., Reyes, A.L., Johnson, C.H., Haugland, R.A., Stelma, G.N., Jr., 1996. Confirmational identification of </w:t>
      </w:r>
      <w:r w:rsidRPr="00AC0AB0">
        <w:rPr>
          <w:i/>
        </w:rPr>
        <w:t>Escherichia coli</w:t>
      </w:r>
      <w:r w:rsidRPr="00AC0AB0">
        <w:t>, a comparison of genotypic and phenotypic assays for glutamate decarboxylase and beta-D-glucuronidase. Applied and Environmental Microbiology</w:t>
      </w:r>
      <w:r w:rsidRPr="00AC0AB0">
        <w:rPr>
          <w:i/>
        </w:rPr>
        <w:t xml:space="preserve"> </w:t>
      </w:r>
      <w:r w:rsidRPr="00AC0AB0">
        <w:t>62, 3350-3354.</w:t>
      </w:r>
      <w:bookmarkEnd w:id="35"/>
    </w:p>
    <w:p w14:paraId="4D0FCD18" w14:textId="77777777" w:rsidR="00C03618" w:rsidRPr="00AC0AB0" w:rsidRDefault="00C03618" w:rsidP="00AC0AB0">
      <w:pPr>
        <w:pStyle w:val="EndNoteBibliography"/>
        <w:ind w:left="720" w:hanging="720"/>
      </w:pPr>
      <w:bookmarkStart w:id="36" w:name="_ENREF_31"/>
      <w:r w:rsidRPr="00AC0AB0">
        <w:t>Murphy, C., Reid-Smith, R.J., Prescott, J.F., Bonnett, B.N., Poppe, C., Boerlin, P., Weese, J.S., Janecko, N., McEwen, S.A., 2009. Occurrence of antimicrobial resistant bacteria in healthy dogs and cats presented to private veterinary hospitals in southern Ontario: A preliminary study. Canadian Veterinary Journal</w:t>
      </w:r>
      <w:r w:rsidRPr="00AC0AB0">
        <w:rPr>
          <w:i/>
        </w:rPr>
        <w:t xml:space="preserve"> </w:t>
      </w:r>
      <w:r w:rsidRPr="00AC0AB0">
        <w:t>50, 1047-1053.</w:t>
      </w:r>
      <w:bookmarkEnd w:id="36"/>
    </w:p>
    <w:p w14:paraId="723BEC01" w14:textId="77777777" w:rsidR="00C03618" w:rsidRPr="00AC0AB0" w:rsidRDefault="00C03618" w:rsidP="00AC0AB0">
      <w:pPr>
        <w:pStyle w:val="EndNoteBibliography"/>
        <w:ind w:left="720" w:hanging="720"/>
      </w:pPr>
      <w:bookmarkStart w:id="37" w:name="_ENREF_32"/>
      <w:r w:rsidRPr="00AC0AB0">
        <w:t>Overdevest, I., Willemsen, I., Rijnsburger, M., Eustace, A., Xu, L., Hawkey, P., Heck, M., Savelkoul, P., Vandenbroucke-Grauls, C., van der Zwaluw, K., Huijsdens, X., Kluytmans, J., 2011. Extended-Spectrum beta-Lactamase Genes of Escherichia coli in Chicken Meat and Humans, the Netherlands. Emerging Infectious Diseases</w:t>
      </w:r>
      <w:r w:rsidRPr="00AC0AB0">
        <w:rPr>
          <w:i/>
        </w:rPr>
        <w:t xml:space="preserve"> </w:t>
      </w:r>
      <w:r w:rsidRPr="00AC0AB0">
        <w:t>17, 1216-1222.</w:t>
      </w:r>
      <w:bookmarkEnd w:id="37"/>
    </w:p>
    <w:p w14:paraId="7FD9DDD7" w14:textId="77777777" w:rsidR="00C03618" w:rsidRPr="00AC0AB0" w:rsidRDefault="00C03618" w:rsidP="00AC0AB0">
      <w:pPr>
        <w:pStyle w:val="EndNoteBibliography"/>
        <w:ind w:left="720" w:hanging="720"/>
      </w:pPr>
      <w:bookmarkStart w:id="38" w:name="_ENREF_33"/>
      <w:r w:rsidRPr="00AC0AB0">
        <w:t>Pedersen, K., Jensen, H., Finster, K., Jensen, V.F., Heuer, O.E., 2007. Occurrence of antimicrobial resistance in bacteria from diagnostic samples from dogs. Journal of Antimicrobial Chemotherapy</w:t>
      </w:r>
      <w:r w:rsidRPr="00AC0AB0">
        <w:rPr>
          <w:i/>
        </w:rPr>
        <w:t xml:space="preserve"> </w:t>
      </w:r>
      <w:r w:rsidRPr="00AC0AB0">
        <w:t>60, 775-781.</w:t>
      </w:r>
      <w:bookmarkEnd w:id="38"/>
    </w:p>
    <w:p w14:paraId="64208E7E" w14:textId="77777777" w:rsidR="00C03618" w:rsidRPr="00AC0AB0" w:rsidRDefault="00C03618" w:rsidP="00AC0AB0">
      <w:pPr>
        <w:pStyle w:val="EndNoteBibliography"/>
        <w:ind w:left="720" w:hanging="720"/>
      </w:pPr>
      <w:bookmarkStart w:id="39" w:name="_ENREF_34"/>
      <w:r w:rsidRPr="00AC0AB0">
        <w:t>Perez-Perez, F.J., Hanson, N.D., 2002. Detection of plasmid-mediated AmpC beta-lactamase genes in clinical isolates by using multiplex PCR. Journal of Clinical Microbiolology</w:t>
      </w:r>
      <w:r w:rsidRPr="00AC0AB0">
        <w:rPr>
          <w:i/>
        </w:rPr>
        <w:t xml:space="preserve"> </w:t>
      </w:r>
      <w:r w:rsidRPr="00AC0AB0">
        <w:t>40, 2153-2162.</w:t>
      </w:r>
      <w:bookmarkEnd w:id="39"/>
    </w:p>
    <w:p w14:paraId="50076EAF" w14:textId="77777777" w:rsidR="00C03618" w:rsidRPr="00AC0AB0" w:rsidRDefault="00C03618" w:rsidP="00AC0AB0">
      <w:pPr>
        <w:pStyle w:val="EndNoteBibliography"/>
        <w:ind w:left="720" w:hanging="720"/>
      </w:pPr>
      <w:bookmarkStart w:id="40" w:name="_ENREF_35"/>
      <w:r w:rsidRPr="00AC0AB0">
        <w:t xml:space="preserve">Russo, T.A., McFadden, C.D., Carlino-MacDonald, U.B., Beanan, J.M., Barnard, T.J., Johnson, J.R., 2002. IroN functions as a siderophore receptor and is a urovirulence factor in an extraintestinal pathogenic isolate of </w:t>
      </w:r>
      <w:r w:rsidRPr="00AC0AB0">
        <w:rPr>
          <w:i/>
        </w:rPr>
        <w:t>Escherichia coli</w:t>
      </w:r>
      <w:r w:rsidRPr="00AC0AB0">
        <w:t>. Infect. Immun.</w:t>
      </w:r>
      <w:r w:rsidRPr="00AC0AB0">
        <w:rPr>
          <w:i/>
        </w:rPr>
        <w:t xml:space="preserve"> </w:t>
      </w:r>
      <w:r w:rsidRPr="00AC0AB0">
        <w:t>70, 7156-7160.</w:t>
      </w:r>
      <w:bookmarkEnd w:id="40"/>
    </w:p>
    <w:p w14:paraId="482E1387" w14:textId="77777777" w:rsidR="00C03618" w:rsidRPr="00AC0AB0" w:rsidRDefault="00C03618" w:rsidP="00AC0AB0">
      <w:pPr>
        <w:pStyle w:val="EndNoteBibliography"/>
        <w:ind w:left="720" w:hanging="720"/>
      </w:pPr>
      <w:bookmarkStart w:id="41" w:name="_ENREF_36"/>
      <w:r w:rsidRPr="00AC0AB0">
        <w:t xml:space="preserve">Sanchez, S., Stevenson, M.A.M., Hudson, C.R., Maier, M., Buffington, T., Dam, Q., Maurer, J.J., 2002. Characterization of multidrug resistant </w:t>
      </w:r>
      <w:r w:rsidRPr="00AC0AB0">
        <w:rPr>
          <w:i/>
        </w:rPr>
        <w:t xml:space="preserve">Escherichia coli </w:t>
      </w:r>
      <w:r w:rsidRPr="00AC0AB0">
        <w:t>isolates associated with nosocomial infections in dogs. Journal of clinical microbiology</w:t>
      </w:r>
      <w:r w:rsidRPr="00AC0AB0">
        <w:rPr>
          <w:i/>
        </w:rPr>
        <w:t xml:space="preserve"> </w:t>
      </w:r>
      <w:r w:rsidRPr="00AC0AB0">
        <w:t>40, 3586-3595.</w:t>
      </w:r>
      <w:bookmarkEnd w:id="41"/>
    </w:p>
    <w:p w14:paraId="2AB007B9" w14:textId="77777777" w:rsidR="00C03618" w:rsidRPr="00AC0AB0" w:rsidRDefault="00C03618" w:rsidP="00AC0AB0">
      <w:pPr>
        <w:pStyle w:val="EndNoteBibliography"/>
        <w:ind w:left="720" w:hanging="720"/>
      </w:pPr>
      <w:bookmarkStart w:id="42" w:name="_ENREF_37"/>
      <w:r w:rsidRPr="00AC0AB0">
        <w:t>Schaufler, K., Semmler, T., Wieler, L.H., Wöhrmann, M., Baddam, R., Ahmed, N., Müller, K., Kola, A., Fruth, A., Ewers, C., Guenther, S., 2016. Clonal spread and interspecies transmission of clinically relevant ESBL-producing Escherichia coli of ST410—another successful pandemic clone? FEMS Microbiology Ecology</w:t>
      </w:r>
      <w:r w:rsidRPr="00AC0AB0">
        <w:rPr>
          <w:i/>
        </w:rPr>
        <w:t xml:space="preserve"> </w:t>
      </w:r>
      <w:r w:rsidRPr="00AC0AB0">
        <w:t>92.</w:t>
      </w:r>
      <w:bookmarkEnd w:id="42"/>
    </w:p>
    <w:p w14:paraId="3E250A57" w14:textId="77777777" w:rsidR="00C03618" w:rsidRPr="00AC0AB0" w:rsidRDefault="00C03618" w:rsidP="00AC0AB0">
      <w:pPr>
        <w:pStyle w:val="EndNoteBibliography"/>
        <w:ind w:left="720" w:hanging="720"/>
      </w:pPr>
      <w:bookmarkStart w:id="43" w:name="_ENREF_38"/>
      <w:r w:rsidRPr="00AC0AB0">
        <w:t>Schmidt, V.M., Pinchbeck, G.L., Nuttall, T., McEwan, N., Dawson, S., Williams, N.J., 2015. Antimicrobial resistance risk factors and characterisation of faecal E. coli isolated from healthy Labrador retrievers in the United Kingdom. Prev Vet Med</w:t>
      </w:r>
      <w:r w:rsidRPr="00AC0AB0">
        <w:rPr>
          <w:i/>
        </w:rPr>
        <w:t xml:space="preserve"> </w:t>
      </w:r>
      <w:r w:rsidRPr="00AC0AB0">
        <w:t>119, 31-40.</w:t>
      </w:r>
      <w:bookmarkEnd w:id="43"/>
    </w:p>
    <w:p w14:paraId="2E0A860C" w14:textId="77777777" w:rsidR="00C03618" w:rsidRPr="00AC0AB0" w:rsidRDefault="00C03618" w:rsidP="00AC0AB0">
      <w:pPr>
        <w:pStyle w:val="EndNoteBibliography"/>
        <w:ind w:left="720" w:hanging="720"/>
      </w:pPr>
      <w:bookmarkStart w:id="44" w:name="_ENREF_39"/>
      <w:r w:rsidRPr="00AC0AB0">
        <w:t>Shaheen, B.W., Boothe, D.M., Oyarzabal, O.A., Smaha, T., 2010. Antimicrobial Resistance Profiles and Clonal Relatedness of Canine and Feline Escherichia coli Pathogens Expressing Multidrug Resistance in the United States. J Vet Intern Med</w:t>
      </w:r>
      <w:r w:rsidRPr="00AC0AB0">
        <w:rPr>
          <w:i/>
        </w:rPr>
        <w:t xml:space="preserve"> </w:t>
      </w:r>
      <w:r w:rsidRPr="00AC0AB0">
        <w:t>24, 323-330.</w:t>
      </w:r>
      <w:bookmarkEnd w:id="44"/>
    </w:p>
    <w:p w14:paraId="64C5370D" w14:textId="77777777" w:rsidR="00C03618" w:rsidRPr="00AC0AB0" w:rsidRDefault="00C03618" w:rsidP="00AC0AB0">
      <w:pPr>
        <w:pStyle w:val="EndNoteBibliography"/>
        <w:ind w:left="720" w:hanging="720"/>
      </w:pPr>
      <w:bookmarkStart w:id="45" w:name="_ENREF_40"/>
      <w:r w:rsidRPr="00AC0AB0">
        <w:t xml:space="preserve">Sidjabat, H.E., Townsend, K.M., Hanson, N.D., Bell, J.M., Stokes, H.W., Gobius, K.S., Moss, S.M., Trott, D.J., 2006. Identification of </w:t>
      </w:r>
      <w:r w:rsidRPr="00AC0AB0">
        <w:rPr>
          <w:i/>
        </w:rPr>
        <w:t>bla</w:t>
      </w:r>
      <w:r w:rsidRPr="00AC0AB0">
        <w:t xml:space="preserve">(CMY-7) and associated plasmid-mediated resistance genes in multidrug-resistant </w:t>
      </w:r>
      <w:r w:rsidRPr="00AC0AB0">
        <w:rPr>
          <w:i/>
        </w:rPr>
        <w:t>Escherichia coli</w:t>
      </w:r>
      <w:r w:rsidRPr="00AC0AB0">
        <w:t xml:space="preserve"> isolated from dogs at a veterinary teaching hospital in Australia. Journal of Antimicrobial Chemotherapy</w:t>
      </w:r>
      <w:r w:rsidRPr="00AC0AB0">
        <w:rPr>
          <w:i/>
        </w:rPr>
        <w:t xml:space="preserve"> </w:t>
      </w:r>
      <w:r w:rsidRPr="00AC0AB0">
        <w:t>57, 840-848.</w:t>
      </w:r>
      <w:bookmarkEnd w:id="45"/>
    </w:p>
    <w:p w14:paraId="7CDDCC81" w14:textId="77777777" w:rsidR="00C03618" w:rsidRPr="00AC0AB0" w:rsidRDefault="00C03618" w:rsidP="00AC0AB0">
      <w:pPr>
        <w:pStyle w:val="EndNoteBibliography"/>
        <w:ind w:left="720" w:hanging="720"/>
      </w:pPr>
      <w:bookmarkStart w:id="46" w:name="_ENREF_41"/>
      <w:r w:rsidRPr="00AC0AB0">
        <w:t xml:space="preserve">SVARM 2006. Swedish Veterinary Antimicrobial Resistance Monitoring 2006 (The National Veterinary Institute (SVA) (available at </w:t>
      </w:r>
      <w:r w:rsidRPr="00C03618">
        <w:rPr>
          <w:rFonts w:eastAsiaTheme="majorEastAsia"/>
        </w:rPr>
        <w:t>http://www.sva.se))</w:t>
      </w:r>
      <w:r w:rsidRPr="00AC0AB0">
        <w:t>.</w:t>
      </w:r>
      <w:bookmarkEnd w:id="46"/>
    </w:p>
    <w:p w14:paraId="63FB6872" w14:textId="77777777" w:rsidR="00C03618" w:rsidRPr="00AC0AB0" w:rsidRDefault="00C03618" w:rsidP="00AC0AB0">
      <w:pPr>
        <w:pStyle w:val="EndNoteBibliography"/>
        <w:ind w:left="720" w:hanging="720"/>
      </w:pPr>
      <w:bookmarkStart w:id="47" w:name="_ENREF_42"/>
      <w:r w:rsidRPr="00AC0AB0">
        <w:t>Timofte, D., Maciuca, I.E., Williams, N.J., Wattret, A., Schmidt, V., 2016. Veterinary Hospital Dissemination of CTX-M-15 Extended-Spectrum Beta-Lactamase–Producing Escherichia Coli ST410 in the United Kingdom. Microbial Drug Resistance.</w:t>
      </w:r>
      <w:bookmarkEnd w:id="47"/>
    </w:p>
    <w:p w14:paraId="3EE2D9B8" w14:textId="77777777" w:rsidR="00C03618" w:rsidRPr="00AC0AB0" w:rsidRDefault="00C03618" w:rsidP="00AC0AB0">
      <w:pPr>
        <w:pStyle w:val="EndNoteBibliography"/>
        <w:ind w:left="720" w:hanging="720"/>
      </w:pPr>
      <w:bookmarkStart w:id="48" w:name="_ENREF_43"/>
      <w:r w:rsidRPr="00AC0AB0">
        <w:lastRenderedPageBreak/>
        <w:t>van den Bogaard, A.E., Stobberingh, E.E., 2000. Epidemiology of resistance to antibiotics. Links between animals and humans. International Journal of Antimicrobial Agents</w:t>
      </w:r>
      <w:r w:rsidRPr="00AC0AB0">
        <w:rPr>
          <w:i/>
        </w:rPr>
        <w:t xml:space="preserve"> </w:t>
      </w:r>
      <w:r w:rsidRPr="00AC0AB0">
        <w:t>14, 327-335.</w:t>
      </w:r>
      <w:bookmarkEnd w:id="48"/>
    </w:p>
    <w:p w14:paraId="1FC74ECC" w14:textId="77777777" w:rsidR="00C03618" w:rsidRPr="00AC0AB0" w:rsidRDefault="00C03618" w:rsidP="00AC0AB0">
      <w:pPr>
        <w:pStyle w:val="EndNoteBibliography"/>
        <w:ind w:left="720" w:hanging="720"/>
      </w:pPr>
      <w:bookmarkStart w:id="49" w:name="_ENREF_44"/>
      <w:r w:rsidRPr="00AC0AB0">
        <w:t>Wedley, A.L., Maddox, T.W., Westgarth, C., Coyne, K.P., Pinchbeck, G.L., Williams, N.J., Dawson, S., 2011. Prevalence of antimicrobial-resistant Escherichia coli in dogs in a cross-sectional, community-based study. Veterinary Record</w:t>
      </w:r>
      <w:r w:rsidRPr="00AC0AB0">
        <w:rPr>
          <w:i/>
        </w:rPr>
        <w:t xml:space="preserve"> </w:t>
      </w:r>
      <w:r w:rsidRPr="00AC0AB0">
        <w:t>168.</w:t>
      </w:r>
      <w:bookmarkEnd w:id="49"/>
    </w:p>
    <w:p w14:paraId="3C26B19D" w14:textId="77777777" w:rsidR="00C03618" w:rsidRPr="00AC0AB0" w:rsidRDefault="00C03618" w:rsidP="00AC0AB0">
      <w:pPr>
        <w:pStyle w:val="EndNoteBibliography"/>
        <w:ind w:left="720" w:hanging="720"/>
      </w:pPr>
      <w:bookmarkStart w:id="50" w:name="_ENREF_45"/>
      <w:r w:rsidRPr="00AC0AB0">
        <w:t xml:space="preserve">Wirth, T., Falush, D., Lan, R.T., Colles, F., Mensa, P., Wieler, L.H., Karch, H., Reeves, P.R., Maiden, M.C.J., Ochman, H., Achtman, M., 2006. Sex and virulence in </w:t>
      </w:r>
      <w:r w:rsidRPr="00AC0AB0">
        <w:rPr>
          <w:i/>
        </w:rPr>
        <w:t>Escherichia coli</w:t>
      </w:r>
      <w:r w:rsidRPr="00AC0AB0">
        <w:t>: an evolutionary perspective. Mol Microbiol</w:t>
      </w:r>
      <w:r w:rsidRPr="00AC0AB0">
        <w:rPr>
          <w:i/>
        </w:rPr>
        <w:t xml:space="preserve"> </w:t>
      </w:r>
      <w:r w:rsidRPr="00AC0AB0">
        <w:t>60, 1136-1151.</w:t>
      </w:r>
      <w:bookmarkEnd w:id="50"/>
    </w:p>
    <w:p w14:paraId="3378B525" w14:textId="77777777" w:rsidR="00C03618" w:rsidRDefault="00C03618" w:rsidP="00184F00">
      <w:pPr>
        <w:pStyle w:val="Refs"/>
        <w:rPr>
          <w:sz w:val="12"/>
        </w:rPr>
        <w:sectPr w:rsidR="00C03618" w:rsidSect="00184F00">
          <w:type w:val="continuous"/>
          <w:pgSz w:w="11906" w:h="16838"/>
          <w:pgMar w:top="1440" w:right="1440" w:bottom="1440" w:left="1440" w:header="709" w:footer="709" w:gutter="0"/>
          <w:lnNumType w:countBy="1" w:restart="continuous"/>
          <w:cols w:space="708"/>
          <w:docGrid w:linePitch="360"/>
        </w:sectPr>
      </w:pPr>
    </w:p>
    <w:p w14:paraId="38CA0F81" w14:textId="77777777" w:rsidR="00C03618" w:rsidRDefault="00C03618" w:rsidP="00184F00">
      <w:pPr>
        <w:pStyle w:val="Refs"/>
        <w:spacing w:line="240" w:lineRule="auto"/>
      </w:pPr>
    </w:p>
    <w:p w14:paraId="3AC19125" w14:textId="77777777" w:rsidR="00C03618" w:rsidRDefault="00C03618" w:rsidP="00F54569">
      <w:pPr>
        <w:pStyle w:val="Heading1"/>
      </w:pPr>
      <w:r w:rsidRPr="006B538F">
        <w:t>Figure Legends</w:t>
      </w:r>
    </w:p>
    <w:p w14:paraId="2EEA04A5" w14:textId="77777777" w:rsidR="00C03618" w:rsidRPr="006B538F" w:rsidRDefault="00C03618" w:rsidP="00184F00">
      <w:pPr>
        <w:pStyle w:val="Refs"/>
        <w:spacing w:line="240" w:lineRule="auto"/>
      </w:pPr>
    </w:p>
    <w:p w14:paraId="62C0FD5D" w14:textId="77777777" w:rsidR="00C03618" w:rsidRPr="006B538F" w:rsidRDefault="00C03618" w:rsidP="000368E1">
      <w:pPr>
        <w:rPr>
          <w:rFonts w:cs="Times New Roman"/>
          <w:b/>
          <w:szCs w:val="24"/>
        </w:rPr>
      </w:pPr>
      <w:r w:rsidRPr="00B70694">
        <w:rPr>
          <w:b/>
        </w:rPr>
        <w:t>Figure 1.</w:t>
      </w:r>
      <w:r w:rsidRPr="006B538F">
        <w:rPr>
          <w:rFonts w:cs="Times New Roman"/>
          <w:b/>
          <w:szCs w:val="24"/>
          <w:lang w:eastAsia="en-GB"/>
        </w:rPr>
        <w:t xml:space="preserve"> </w:t>
      </w:r>
      <w:r>
        <w:rPr>
          <w:rFonts w:cs="Times New Roman"/>
          <w:b/>
          <w:szCs w:val="24"/>
          <w:lang w:eastAsia="en-GB"/>
        </w:rPr>
        <w:t>Heat-map analysis the presence of a</w:t>
      </w:r>
      <w:r w:rsidRPr="006B538F">
        <w:rPr>
          <w:rFonts w:cs="Times New Roman"/>
          <w:b/>
          <w:szCs w:val="24"/>
        </w:rPr>
        <w:t xml:space="preserve">ntimicrobial resistance genes among ESBL and AmpC β-lactamase producing </w:t>
      </w:r>
      <w:r w:rsidRPr="0062466A">
        <w:rPr>
          <w:rFonts w:cs="Times New Roman"/>
          <w:b/>
          <w:i/>
          <w:szCs w:val="24"/>
        </w:rPr>
        <w:t>E. coli</w:t>
      </w:r>
      <w:r w:rsidRPr="006B538F">
        <w:rPr>
          <w:rFonts w:cs="Times New Roman"/>
          <w:b/>
          <w:szCs w:val="24"/>
        </w:rPr>
        <w:t xml:space="preserve"> from canine faecal samples</w:t>
      </w:r>
      <w:r>
        <w:rPr>
          <w:rFonts w:cs="Times New Roman"/>
          <w:b/>
          <w:szCs w:val="24"/>
        </w:rPr>
        <w:t xml:space="preserve"> by DNA micro array</w:t>
      </w:r>
      <w:r w:rsidRPr="006B538F">
        <w:rPr>
          <w:rFonts w:cs="Times New Roman"/>
          <w:b/>
          <w:szCs w:val="24"/>
        </w:rPr>
        <w:t>.</w:t>
      </w:r>
      <w:r>
        <w:rPr>
          <w:rFonts w:cs="Times New Roman"/>
          <w:b/>
          <w:szCs w:val="24"/>
        </w:rPr>
        <w:t xml:space="preserve"> Black indicates that the isolate was positive for the gene.</w:t>
      </w:r>
    </w:p>
    <w:p w14:paraId="20C4C74E" w14:textId="77777777" w:rsidR="00C03618" w:rsidRPr="006B538F" w:rsidRDefault="00C03618" w:rsidP="000368E1">
      <w:pPr>
        <w:rPr>
          <w:rFonts w:cs="Times New Roman"/>
          <w:szCs w:val="24"/>
        </w:rPr>
      </w:pPr>
    </w:p>
    <w:p w14:paraId="381ED21B" w14:textId="77777777" w:rsidR="00C03618" w:rsidRPr="009F6B96" w:rsidRDefault="00C03618" w:rsidP="00B70694">
      <w:pPr>
        <w:rPr>
          <w:rFonts w:cs="Times New Roman"/>
          <w:szCs w:val="24"/>
        </w:rPr>
      </w:pPr>
      <w:r>
        <w:rPr>
          <w:rFonts w:cs="Times New Roman"/>
          <w:szCs w:val="24"/>
        </w:rPr>
        <w:t>A - Q</w:t>
      </w:r>
      <w:r w:rsidRPr="009F6B96">
        <w:rPr>
          <w:rFonts w:cs="Times New Roman"/>
          <w:szCs w:val="24"/>
        </w:rPr>
        <w:t>uinolone resistance, B</w:t>
      </w:r>
      <w:r>
        <w:rPr>
          <w:rFonts w:cs="Times New Roman"/>
          <w:szCs w:val="24"/>
        </w:rPr>
        <w:t xml:space="preserve"> </w:t>
      </w:r>
      <w:r w:rsidRPr="009F6B96">
        <w:rPr>
          <w:rFonts w:cs="Times New Roman"/>
          <w:szCs w:val="24"/>
        </w:rPr>
        <w:t xml:space="preserve">- </w:t>
      </w:r>
      <w:r>
        <w:rPr>
          <w:rFonts w:cs="Times New Roman"/>
          <w:szCs w:val="24"/>
        </w:rPr>
        <w:t>S</w:t>
      </w:r>
      <w:r w:rsidRPr="009F6B96">
        <w:rPr>
          <w:rFonts w:cs="Times New Roman"/>
          <w:szCs w:val="24"/>
        </w:rPr>
        <w:t>ulphonamides, C</w:t>
      </w:r>
      <w:r>
        <w:rPr>
          <w:rFonts w:cs="Times New Roman"/>
          <w:szCs w:val="24"/>
        </w:rPr>
        <w:t xml:space="preserve"> </w:t>
      </w:r>
      <w:r w:rsidRPr="009F6B96">
        <w:rPr>
          <w:rFonts w:cs="Times New Roman"/>
          <w:szCs w:val="24"/>
        </w:rPr>
        <w:t xml:space="preserve">- </w:t>
      </w:r>
      <w:r>
        <w:rPr>
          <w:rFonts w:cs="Times New Roman"/>
          <w:szCs w:val="24"/>
        </w:rPr>
        <w:t>T</w:t>
      </w:r>
      <w:r w:rsidRPr="009F6B96">
        <w:rPr>
          <w:rFonts w:cs="Times New Roman"/>
          <w:szCs w:val="24"/>
        </w:rPr>
        <w:t>etracyclines, D</w:t>
      </w:r>
      <w:r>
        <w:rPr>
          <w:rFonts w:cs="Times New Roman"/>
          <w:szCs w:val="24"/>
        </w:rPr>
        <w:t xml:space="preserve"> </w:t>
      </w:r>
      <w:r w:rsidRPr="009F6B96">
        <w:rPr>
          <w:rFonts w:cs="Times New Roman"/>
          <w:szCs w:val="24"/>
        </w:rPr>
        <w:t xml:space="preserve">- </w:t>
      </w:r>
      <w:r>
        <w:rPr>
          <w:rFonts w:cs="Times New Roman"/>
          <w:szCs w:val="24"/>
        </w:rPr>
        <w:t>A</w:t>
      </w:r>
      <w:r w:rsidRPr="009F6B96">
        <w:rPr>
          <w:rFonts w:cs="Times New Roman"/>
          <w:szCs w:val="24"/>
        </w:rPr>
        <w:t>minoglycosides, E</w:t>
      </w:r>
      <w:r>
        <w:rPr>
          <w:rFonts w:cs="Times New Roman"/>
          <w:szCs w:val="24"/>
        </w:rPr>
        <w:t xml:space="preserve"> </w:t>
      </w:r>
      <w:r w:rsidRPr="009F6B96">
        <w:rPr>
          <w:rFonts w:cs="Times New Roman"/>
          <w:szCs w:val="24"/>
        </w:rPr>
        <w:t xml:space="preserve">- </w:t>
      </w:r>
      <w:r>
        <w:rPr>
          <w:rFonts w:cs="Times New Roman"/>
          <w:szCs w:val="24"/>
        </w:rPr>
        <w:t>C</w:t>
      </w:r>
      <w:r w:rsidRPr="009F6B96">
        <w:rPr>
          <w:rFonts w:cs="Times New Roman"/>
          <w:szCs w:val="24"/>
        </w:rPr>
        <w:t>hloramphenicol, F</w:t>
      </w:r>
      <w:r>
        <w:rPr>
          <w:rFonts w:cs="Times New Roman"/>
          <w:szCs w:val="24"/>
        </w:rPr>
        <w:t xml:space="preserve"> </w:t>
      </w:r>
      <w:r w:rsidRPr="009F6B96">
        <w:rPr>
          <w:rFonts w:cs="Times New Roman"/>
          <w:szCs w:val="24"/>
        </w:rPr>
        <w:t>-</w:t>
      </w:r>
      <w:r>
        <w:rPr>
          <w:rFonts w:cs="Times New Roman"/>
          <w:szCs w:val="24"/>
        </w:rPr>
        <w:t xml:space="preserve"> T</w:t>
      </w:r>
      <w:r w:rsidRPr="009F6B96">
        <w:rPr>
          <w:rFonts w:cs="Times New Roman"/>
          <w:szCs w:val="24"/>
        </w:rPr>
        <w:t>rimethoprim, G</w:t>
      </w:r>
      <w:r>
        <w:rPr>
          <w:rFonts w:cs="Times New Roman"/>
          <w:szCs w:val="24"/>
        </w:rPr>
        <w:t xml:space="preserve"> </w:t>
      </w:r>
      <w:r w:rsidRPr="009F6B96">
        <w:rPr>
          <w:rFonts w:cs="Times New Roman"/>
          <w:szCs w:val="24"/>
        </w:rPr>
        <w:t>-</w:t>
      </w:r>
      <w:r>
        <w:rPr>
          <w:rFonts w:cs="Times New Roman"/>
          <w:szCs w:val="24"/>
        </w:rPr>
        <w:t xml:space="preserve"> </w:t>
      </w:r>
      <w:r w:rsidRPr="009F6B96">
        <w:rPr>
          <w:rFonts w:cs="Times New Roman"/>
          <w:szCs w:val="24"/>
        </w:rPr>
        <w:t>β-lactams, H</w:t>
      </w:r>
      <w:r>
        <w:rPr>
          <w:rFonts w:cs="Times New Roman"/>
          <w:szCs w:val="24"/>
        </w:rPr>
        <w:t xml:space="preserve"> </w:t>
      </w:r>
      <w:r w:rsidRPr="009F6B96">
        <w:rPr>
          <w:rFonts w:cs="Times New Roman"/>
          <w:szCs w:val="24"/>
        </w:rPr>
        <w:t>-</w:t>
      </w:r>
      <w:r>
        <w:rPr>
          <w:rFonts w:cs="Times New Roman"/>
          <w:szCs w:val="24"/>
        </w:rPr>
        <w:t xml:space="preserve"> E</w:t>
      </w:r>
      <w:r w:rsidRPr="009F6B96">
        <w:rPr>
          <w:rFonts w:cs="Times New Roman"/>
          <w:szCs w:val="24"/>
        </w:rPr>
        <w:t>rythromycin, I</w:t>
      </w:r>
      <w:r>
        <w:rPr>
          <w:rFonts w:cs="Times New Roman"/>
          <w:szCs w:val="24"/>
        </w:rPr>
        <w:t xml:space="preserve"> </w:t>
      </w:r>
      <w:r w:rsidRPr="009F6B96">
        <w:rPr>
          <w:rFonts w:cs="Times New Roman"/>
          <w:szCs w:val="24"/>
        </w:rPr>
        <w:t>-</w:t>
      </w:r>
      <w:r>
        <w:rPr>
          <w:rFonts w:cs="Times New Roman"/>
          <w:szCs w:val="24"/>
        </w:rPr>
        <w:t xml:space="preserve"> S</w:t>
      </w:r>
      <w:r w:rsidRPr="009F6B96">
        <w:rPr>
          <w:rFonts w:cs="Times New Roman"/>
          <w:szCs w:val="24"/>
        </w:rPr>
        <w:t>treptogrammin, ST – Multi-locus sequence type.</w:t>
      </w:r>
    </w:p>
    <w:p w14:paraId="116F1653" w14:textId="77777777" w:rsidR="00C03618" w:rsidRDefault="00C03618" w:rsidP="000368E1">
      <w:pPr>
        <w:rPr>
          <w:rFonts w:cs="Times New Roman"/>
          <w:szCs w:val="24"/>
        </w:rPr>
      </w:pPr>
    </w:p>
    <w:p w14:paraId="6DB830B0" w14:textId="77777777" w:rsidR="00C03618" w:rsidRDefault="00C03618" w:rsidP="000368E1">
      <w:pPr>
        <w:rPr>
          <w:rFonts w:cs="Times New Roman"/>
          <w:b/>
          <w:szCs w:val="24"/>
        </w:rPr>
      </w:pPr>
      <w:r>
        <w:rPr>
          <w:rFonts w:cs="Times New Roman"/>
          <w:b/>
          <w:szCs w:val="24"/>
        </w:rPr>
        <w:t>Supplementary figure F1</w:t>
      </w:r>
      <w:r w:rsidRPr="001465E4">
        <w:rPr>
          <w:rFonts w:cs="Times New Roman"/>
          <w:b/>
          <w:szCs w:val="24"/>
        </w:rPr>
        <w:t xml:space="preserve">. </w:t>
      </w:r>
      <w:r>
        <w:rPr>
          <w:rFonts w:cs="Times New Roman"/>
          <w:b/>
          <w:szCs w:val="24"/>
        </w:rPr>
        <w:t xml:space="preserve">Correlation matrix of antimicrobial resistance genes identified in </w:t>
      </w:r>
      <w:r>
        <w:rPr>
          <w:rFonts w:cs="Times New Roman"/>
          <w:b/>
          <w:i/>
          <w:szCs w:val="24"/>
        </w:rPr>
        <w:t xml:space="preserve">E. coli </w:t>
      </w:r>
      <w:r>
        <w:rPr>
          <w:rFonts w:cs="Times New Roman"/>
          <w:b/>
          <w:szCs w:val="24"/>
        </w:rPr>
        <w:t>isolated from vet visiting canine faecal samples.</w:t>
      </w:r>
    </w:p>
    <w:p w14:paraId="4E30B52A" w14:textId="77777777" w:rsidR="00C03618" w:rsidRDefault="00C03618" w:rsidP="000368E1">
      <w:pPr>
        <w:rPr>
          <w:rFonts w:cs="Times New Roman"/>
          <w:b/>
          <w:szCs w:val="24"/>
        </w:rPr>
      </w:pPr>
    </w:p>
    <w:p w14:paraId="3DA2F562" w14:textId="77777777" w:rsidR="00C03618" w:rsidRPr="00B70694" w:rsidRDefault="00C03618" w:rsidP="00B70694">
      <w:r>
        <w:rPr>
          <w:rFonts w:cs="Times New Roman"/>
          <w:szCs w:val="24"/>
        </w:rPr>
        <w:t>A - Q</w:t>
      </w:r>
      <w:r w:rsidRPr="009F6B96">
        <w:rPr>
          <w:rFonts w:cs="Times New Roman"/>
          <w:szCs w:val="24"/>
        </w:rPr>
        <w:t>uinolone resistance, B</w:t>
      </w:r>
      <w:r>
        <w:rPr>
          <w:rFonts w:cs="Times New Roman"/>
          <w:szCs w:val="24"/>
        </w:rPr>
        <w:t xml:space="preserve"> </w:t>
      </w:r>
      <w:r w:rsidRPr="009F6B96">
        <w:rPr>
          <w:rFonts w:cs="Times New Roman"/>
          <w:szCs w:val="24"/>
        </w:rPr>
        <w:t xml:space="preserve">- </w:t>
      </w:r>
      <w:r>
        <w:rPr>
          <w:rFonts w:cs="Times New Roman"/>
          <w:szCs w:val="24"/>
        </w:rPr>
        <w:t>S</w:t>
      </w:r>
      <w:r w:rsidRPr="009F6B96">
        <w:rPr>
          <w:rFonts w:cs="Times New Roman"/>
          <w:szCs w:val="24"/>
        </w:rPr>
        <w:t>ulphonamides, C</w:t>
      </w:r>
      <w:r>
        <w:rPr>
          <w:rFonts w:cs="Times New Roman"/>
          <w:szCs w:val="24"/>
        </w:rPr>
        <w:t xml:space="preserve"> </w:t>
      </w:r>
      <w:r w:rsidRPr="009F6B96">
        <w:rPr>
          <w:rFonts w:cs="Times New Roman"/>
          <w:szCs w:val="24"/>
        </w:rPr>
        <w:t xml:space="preserve">- </w:t>
      </w:r>
      <w:r>
        <w:rPr>
          <w:rFonts w:cs="Times New Roman"/>
          <w:szCs w:val="24"/>
        </w:rPr>
        <w:t>T</w:t>
      </w:r>
      <w:r w:rsidRPr="009F6B96">
        <w:rPr>
          <w:rFonts w:cs="Times New Roman"/>
          <w:szCs w:val="24"/>
        </w:rPr>
        <w:t>etracyclines, D</w:t>
      </w:r>
      <w:r>
        <w:rPr>
          <w:rFonts w:cs="Times New Roman"/>
          <w:szCs w:val="24"/>
        </w:rPr>
        <w:t xml:space="preserve"> </w:t>
      </w:r>
      <w:r w:rsidRPr="009F6B96">
        <w:rPr>
          <w:rFonts w:cs="Times New Roman"/>
          <w:szCs w:val="24"/>
        </w:rPr>
        <w:t xml:space="preserve">- </w:t>
      </w:r>
      <w:r>
        <w:rPr>
          <w:rFonts w:cs="Times New Roman"/>
          <w:szCs w:val="24"/>
        </w:rPr>
        <w:t>A</w:t>
      </w:r>
      <w:r w:rsidRPr="009F6B96">
        <w:rPr>
          <w:rFonts w:cs="Times New Roman"/>
          <w:szCs w:val="24"/>
        </w:rPr>
        <w:t>minoglycosides, E</w:t>
      </w:r>
      <w:r>
        <w:rPr>
          <w:rFonts w:cs="Times New Roman"/>
          <w:szCs w:val="24"/>
        </w:rPr>
        <w:t xml:space="preserve"> </w:t>
      </w:r>
      <w:r w:rsidRPr="009F6B96">
        <w:rPr>
          <w:rFonts w:cs="Times New Roman"/>
          <w:szCs w:val="24"/>
        </w:rPr>
        <w:t xml:space="preserve">- </w:t>
      </w:r>
      <w:r>
        <w:rPr>
          <w:rFonts w:cs="Times New Roman"/>
          <w:szCs w:val="24"/>
        </w:rPr>
        <w:t>C</w:t>
      </w:r>
      <w:r w:rsidRPr="009F6B96">
        <w:rPr>
          <w:rFonts w:cs="Times New Roman"/>
          <w:szCs w:val="24"/>
        </w:rPr>
        <w:t>hloramphenicol, F</w:t>
      </w:r>
      <w:r>
        <w:rPr>
          <w:rFonts w:cs="Times New Roman"/>
          <w:szCs w:val="24"/>
        </w:rPr>
        <w:t xml:space="preserve"> </w:t>
      </w:r>
      <w:r w:rsidRPr="009F6B96">
        <w:rPr>
          <w:rFonts w:cs="Times New Roman"/>
          <w:szCs w:val="24"/>
        </w:rPr>
        <w:t>-</w:t>
      </w:r>
      <w:r>
        <w:rPr>
          <w:rFonts w:cs="Times New Roman"/>
          <w:szCs w:val="24"/>
        </w:rPr>
        <w:t xml:space="preserve"> T</w:t>
      </w:r>
      <w:r w:rsidRPr="009F6B96">
        <w:rPr>
          <w:rFonts w:cs="Times New Roman"/>
          <w:szCs w:val="24"/>
        </w:rPr>
        <w:t>rimethoprim, G</w:t>
      </w:r>
      <w:r>
        <w:rPr>
          <w:rFonts w:cs="Times New Roman"/>
          <w:szCs w:val="24"/>
        </w:rPr>
        <w:t xml:space="preserve"> </w:t>
      </w:r>
      <w:r w:rsidRPr="009F6B96">
        <w:rPr>
          <w:rFonts w:cs="Times New Roman"/>
          <w:szCs w:val="24"/>
        </w:rPr>
        <w:t>-</w:t>
      </w:r>
      <w:r>
        <w:rPr>
          <w:rFonts w:cs="Times New Roman"/>
          <w:szCs w:val="24"/>
        </w:rPr>
        <w:t xml:space="preserve"> </w:t>
      </w:r>
      <w:r w:rsidRPr="009F6B96">
        <w:rPr>
          <w:rFonts w:cs="Times New Roman"/>
          <w:szCs w:val="24"/>
        </w:rPr>
        <w:t>β-lactams, H</w:t>
      </w:r>
      <w:r>
        <w:rPr>
          <w:rFonts w:cs="Times New Roman"/>
          <w:szCs w:val="24"/>
        </w:rPr>
        <w:t xml:space="preserve"> </w:t>
      </w:r>
      <w:r w:rsidRPr="009F6B96">
        <w:rPr>
          <w:rFonts w:cs="Times New Roman"/>
          <w:szCs w:val="24"/>
        </w:rPr>
        <w:t>-</w:t>
      </w:r>
      <w:r>
        <w:rPr>
          <w:rFonts w:cs="Times New Roman"/>
          <w:szCs w:val="24"/>
        </w:rPr>
        <w:t xml:space="preserve"> E</w:t>
      </w:r>
      <w:r w:rsidRPr="009F6B96">
        <w:rPr>
          <w:rFonts w:cs="Times New Roman"/>
          <w:szCs w:val="24"/>
        </w:rPr>
        <w:t>rythromycin, I</w:t>
      </w:r>
      <w:r>
        <w:rPr>
          <w:rFonts w:cs="Times New Roman"/>
          <w:szCs w:val="24"/>
        </w:rPr>
        <w:t xml:space="preserve"> </w:t>
      </w:r>
      <w:r w:rsidRPr="009F6B96">
        <w:rPr>
          <w:rFonts w:cs="Times New Roman"/>
          <w:szCs w:val="24"/>
        </w:rPr>
        <w:t>-</w:t>
      </w:r>
      <w:r>
        <w:rPr>
          <w:rFonts w:cs="Times New Roman"/>
          <w:szCs w:val="24"/>
        </w:rPr>
        <w:t xml:space="preserve"> S</w:t>
      </w:r>
      <w:r w:rsidRPr="009F6B96">
        <w:rPr>
          <w:rFonts w:cs="Times New Roman"/>
          <w:szCs w:val="24"/>
        </w:rPr>
        <w:t>treptogrammin, ST – Multi-locus sequence type.</w:t>
      </w:r>
    </w:p>
    <w:p w14:paraId="2FAC845F" w14:textId="77777777" w:rsidR="00C03618" w:rsidRDefault="00C03618"/>
    <w:sectPr w:rsidR="00C03618" w:rsidSect="00184F00">
      <w:type w:val="continuous"/>
      <w:pgSz w:w="11906" w:h="16838"/>
      <w:pgMar w:top="1440" w:right="1440" w:bottom="1440"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D55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3F254A"/>
    <w:multiLevelType w:val="hybridMultilevel"/>
    <w:tmpl w:val="9AECBB76"/>
    <w:lvl w:ilvl="0" w:tplc="CEFAE1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6430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916BCF"/>
    <w:multiLevelType w:val="multilevel"/>
    <w:tmpl w:val="B4CEB33A"/>
    <w:lvl w:ilvl="0">
      <w:start w:val="1"/>
      <w:numFmt w:val="decimal"/>
      <w:pStyle w:val="Heading1"/>
      <w:lvlText w:val="%1."/>
      <w:lvlJc w:val="left"/>
      <w:pPr>
        <w:ind w:left="360" w:hanging="360"/>
      </w:pPr>
    </w:lvl>
    <w:lvl w:ilvl="1">
      <w:start w:val="1"/>
      <w:numFmt w:val="decimal"/>
      <w:lvlText w:val="%1.%2."/>
      <w:lvlJc w:val="left"/>
      <w:pPr>
        <w:ind w:left="792" w:hanging="432"/>
      </w:pPr>
      <w:rPr>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8A1429"/>
    <w:multiLevelType w:val="multilevel"/>
    <w:tmpl w:val="E244D514"/>
    <w:lvl w:ilvl="0">
      <w:start w:val="2"/>
      <w:numFmt w:val="decimal"/>
      <w:lvlText w:val="%1"/>
      <w:lvlJc w:val="left"/>
      <w:pPr>
        <w:ind w:left="431" w:hanging="431"/>
      </w:pPr>
      <w:rPr>
        <w:rFonts w:hint="default"/>
      </w:rPr>
    </w:lvl>
    <w:lvl w:ilvl="1">
      <w:start w:val="1"/>
      <w:numFmt w:val="decimal"/>
      <w:lvlText w:val="%1.%2"/>
      <w:lvlJc w:val="left"/>
      <w:pPr>
        <w:ind w:left="573" w:hanging="431"/>
      </w:pPr>
      <w:rPr>
        <w:rFonts w:hint="default"/>
        <w:i w:val="0"/>
      </w:rPr>
    </w:lvl>
    <w:lvl w:ilvl="2">
      <w:start w:val="1"/>
      <w:numFmt w:val="decimal"/>
      <w:lvlText w:val="%1.%2.%3"/>
      <w:lvlJc w:val="left"/>
      <w:pPr>
        <w:ind w:left="431" w:hanging="431"/>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5">
    <w:nsid w:val="2AE07EB2"/>
    <w:multiLevelType w:val="hybridMultilevel"/>
    <w:tmpl w:val="1CA40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5914D7"/>
    <w:multiLevelType w:val="hybridMultilevel"/>
    <w:tmpl w:val="46D6F1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F9C173E"/>
    <w:multiLevelType w:val="multilevel"/>
    <w:tmpl w:val="34027E52"/>
    <w:lvl w:ilvl="0">
      <w:start w:val="1"/>
      <w:numFmt w:val="decimal"/>
      <w:lvlText w:val="%1."/>
      <w:lvlJc w:val="left"/>
      <w:pPr>
        <w:ind w:left="360" w:hanging="360"/>
      </w:pPr>
    </w:lvl>
    <w:lvl w:ilvl="1">
      <w:start w:val="1"/>
      <w:numFmt w:val="decimal"/>
      <w:lvlText w:val="%1.%2."/>
      <w:lvlJc w:val="left"/>
      <w:pPr>
        <w:ind w:left="792" w:hanging="432"/>
      </w:pPr>
      <w:rPr>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55521A0"/>
    <w:multiLevelType w:val="hybridMultilevel"/>
    <w:tmpl w:val="7BBA2880"/>
    <w:lvl w:ilvl="0" w:tplc="D6B69D58">
      <w:start w:val="1"/>
      <w:numFmt w:val="decimal"/>
      <w:lvlText w:val="%1."/>
      <w:lvlJc w:val="left"/>
      <w:pPr>
        <w:ind w:left="720" w:hanging="360"/>
      </w:pPr>
    </w:lvl>
    <w:lvl w:ilvl="1" w:tplc="E91A255C" w:tentative="1">
      <w:start w:val="1"/>
      <w:numFmt w:val="lowerLetter"/>
      <w:lvlText w:val="%2."/>
      <w:lvlJc w:val="left"/>
      <w:pPr>
        <w:ind w:left="1440" w:hanging="360"/>
      </w:pPr>
    </w:lvl>
    <w:lvl w:ilvl="2" w:tplc="8764AEF4" w:tentative="1">
      <w:start w:val="1"/>
      <w:numFmt w:val="lowerRoman"/>
      <w:lvlText w:val="%3."/>
      <w:lvlJc w:val="right"/>
      <w:pPr>
        <w:ind w:left="2160" w:hanging="180"/>
      </w:pPr>
    </w:lvl>
    <w:lvl w:ilvl="3" w:tplc="3BB4F572" w:tentative="1">
      <w:start w:val="1"/>
      <w:numFmt w:val="decimal"/>
      <w:lvlText w:val="%4."/>
      <w:lvlJc w:val="left"/>
      <w:pPr>
        <w:ind w:left="2880" w:hanging="360"/>
      </w:pPr>
    </w:lvl>
    <w:lvl w:ilvl="4" w:tplc="B4E2C9AE" w:tentative="1">
      <w:start w:val="1"/>
      <w:numFmt w:val="lowerLetter"/>
      <w:lvlText w:val="%5."/>
      <w:lvlJc w:val="left"/>
      <w:pPr>
        <w:ind w:left="3600" w:hanging="360"/>
      </w:pPr>
    </w:lvl>
    <w:lvl w:ilvl="5" w:tplc="BE380EF0" w:tentative="1">
      <w:start w:val="1"/>
      <w:numFmt w:val="lowerRoman"/>
      <w:lvlText w:val="%6."/>
      <w:lvlJc w:val="right"/>
      <w:pPr>
        <w:ind w:left="4320" w:hanging="180"/>
      </w:pPr>
    </w:lvl>
    <w:lvl w:ilvl="6" w:tplc="5DC83274" w:tentative="1">
      <w:start w:val="1"/>
      <w:numFmt w:val="decimal"/>
      <w:lvlText w:val="%7."/>
      <w:lvlJc w:val="left"/>
      <w:pPr>
        <w:ind w:left="5040" w:hanging="360"/>
      </w:pPr>
    </w:lvl>
    <w:lvl w:ilvl="7" w:tplc="EDC2D332" w:tentative="1">
      <w:start w:val="1"/>
      <w:numFmt w:val="lowerLetter"/>
      <w:lvlText w:val="%8."/>
      <w:lvlJc w:val="left"/>
      <w:pPr>
        <w:ind w:left="5760" w:hanging="360"/>
      </w:pPr>
    </w:lvl>
    <w:lvl w:ilvl="8" w:tplc="B290E770" w:tentative="1">
      <w:start w:val="1"/>
      <w:numFmt w:val="lowerRoman"/>
      <w:lvlText w:val="%9."/>
      <w:lvlJc w:val="right"/>
      <w:pPr>
        <w:ind w:left="6480" w:hanging="180"/>
      </w:pPr>
    </w:lvl>
  </w:abstractNum>
  <w:abstractNum w:abstractNumId="9">
    <w:nsid w:val="614861C5"/>
    <w:multiLevelType w:val="hybridMultilevel"/>
    <w:tmpl w:val="0BF62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137F88"/>
    <w:multiLevelType w:val="multilevel"/>
    <w:tmpl w:val="9EB055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74344417"/>
    <w:multiLevelType w:val="hybridMultilevel"/>
    <w:tmpl w:val="55E83362"/>
    <w:lvl w:ilvl="0" w:tplc="E2B6E810">
      <w:start w:val="1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5"/>
  </w:num>
  <w:num w:numId="5">
    <w:abstractNumId w:val="9"/>
  </w:num>
  <w:num w:numId="6">
    <w:abstractNumId w:val="6"/>
  </w:num>
  <w:num w:numId="7">
    <w:abstractNumId w:val="11"/>
  </w:num>
  <w:num w:numId="8">
    <w:abstractNumId w:val="3"/>
  </w:num>
  <w:num w:numId="9">
    <w:abstractNumId w:val="0"/>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03618"/>
    <w:rsid w:val="0018771E"/>
    <w:rsid w:val="00301816"/>
    <w:rsid w:val="00C03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A2B74"/>
  <w15:chartTrackingRefBased/>
  <w15:docId w15:val="{914746D8-0BA5-466A-A286-AEF3E618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3618"/>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C03618"/>
    <w:pPr>
      <w:numPr>
        <w:numId w:val="8"/>
      </w:numPr>
      <w:contextualSpacing/>
      <w:jc w:val="both"/>
      <w:outlineLvl w:val="0"/>
    </w:pPr>
    <w:rPr>
      <w:rFonts w:eastAsia="Times New Roman" w:cs="Times New Roman"/>
      <w:b/>
      <w:szCs w:val="24"/>
      <w:lang w:eastAsia="en-GB"/>
    </w:rPr>
  </w:style>
  <w:style w:type="paragraph" w:styleId="Heading2">
    <w:name w:val="heading 2"/>
    <w:basedOn w:val="Normal"/>
    <w:next w:val="Normal"/>
    <w:link w:val="Heading2Char"/>
    <w:uiPriority w:val="9"/>
    <w:unhideWhenUsed/>
    <w:qFormat/>
    <w:rsid w:val="00C03618"/>
    <w:pPr>
      <w:ind w:left="788" w:hanging="431"/>
      <w:contextualSpacing/>
      <w:outlineLvl w:val="1"/>
    </w:pPr>
    <w:rPr>
      <w:rFonts w:cs="Times New Roman"/>
      <w:i/>
      <w:szCs w:val="24"/>
      <w:lang w:eastAsia="en-GB"/>
    </w:rPr>
  </w:style>
  <w:style w:type="paragraph" w:styleId="Heading3">
    <w:name w:val="heading 3"/>
    <w:basedOn w:val="Heading4"/>
    <w:next w:val="Normal"/>
    <w:link w:val="Heading3Char"/>
    <w:uiPriority w:val="9"/>
    <w:unhideWhenUsed/>
    <w:qFormat/>
    <w:rsid w:val="00C03618"/>
    <w:pPr>
      <w:keepLines w:val="0"/>
      <w:spacing w:before="240" w:after="240"/>
      <w:ind w:left="431" w:hanging="431"/>
      <w:outlineLvl w:val="2"/>
    </w:pPr>
    <w:rPr>
      <w:b w:val="0"/>
      <w:i/>
      <w:color w:val="000000" w:themeColor="text1"/>
      <w:u w:val="single"/>
    </w:rPr>
  </w:style>
  <w:style w:type="paragraph" w:styleId="Heading4">
    <w:name w:val="heading 4"/>
    <w:aliases w:val="Table"/>
    <w:basedOn w:val="Normal"/>
    <w:next w:val="Normal"/>
    <w:link w:val="Heading4Char"/>
    <w:uiPriority w:val="9"/>
    <w:unhideWhenUsed/>
    <w:qFormat/>
    <w:rsid w:val="00C03618"/>
    <w:pPr>
      <w:keepNext/>
      <w:keepLines/>
      <w:spacing w:before="200"/>
      <w:jc w:val="both"/>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C03618"/>
    <w:pPr>
      <w:keepNext/>
      <w:spacing w:before="200"/>
      <w:jc w:val="both"/>
      <w:outlineLvl w:val="4"/>
    </w:pPr>
    <w:rPr>
      <w:rFonts w:eastAsiaTheme="majorEastAsia" w:cstheme="majorBidi"/>
      <w:u w:val="single"/>
    </w:rPr>
  </w:style>
  <w:style w:type="paragraph" w:styleId="Heading6">
    <w:name w:val="heading 6"/>
    <w:basedOn w:val="Normal"/>
    <w:next w:val="Normal"/>
    <w:link w:val="Heading6Char"/>
    <w:uiPriority w:val="9"/>
    <w:unhideWhenUsed/>
    <w:qFormat/>
    <w:rsid w:val="00C03618"/>
    <w:pPr>
      <w:spacing w:before="200"/>
      <w:ind w:left="431" w:hanging="431"/>
      <w:jc w:val="both"/>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C03618"/>
    <w:pPr>
      <w:spacing w:before="200"/>
      <w:ind w:left="431" w:hanging="431"/>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03618"/>
    <w:pPr>
      <w:spacing w:before="200"/>
      <w:ind w:left="431" w:hanging="431"/>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C03618"/>
    <w:pPr>
      <w:spacing w:before="200"/>
      <w:ind w:left="431" w:hanging="431"/>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618"/>
    <w:rPr>
      <w:rFonts w:ascii="Times New Roman" w:eastAsia="Times New Roman" w:hAnsi="Times New Roman" w:cs="Times New Roman"/>
      <w:b/>
      <w:sz w:val="24"/>
      <w:szCs w:val="24"/>
      <w:lang w:eastAsia="en-GB"/>
    </w:rPr>
  </w:style>
  <w:style w:type="character" w:customStyle="1" w:styleId="Heading2Char">
    <w:name w:val="Heading 2 Char"/>
    <w:basedOn w:val="DefaultParagraphFont"/>
    <w:link w:val="Heading2"/>
    <w:uiPriority w:val="9"/>
    <w:rsid w:val="00C03618"/>
    <w:rPr>
      <w:rFonts w:ascii="Times New Roman" w:hAnsi="Times New Roman" w:cs="Times New Roman"/>
      <w:i/>
      <w:sz w:val="24"/>
      <w:szCs w:val="24"/>
      <w:lang w:eastAsia="en-GB"/>
    </w:rPr>
  </w:style>
  <w:style w:type="character" w:customStyle="1" w:styleId="Heading3Char">
    <w:name w:val="Heading 3 Char"/>
    <w:basedOn w:val="DefaultParagraphFont"/>
    <w:link w:val="Heading3"/>
    <w:uiPriority w:val="9"/>
    <w:rsid w:val="00C03618"/>
    <w:rPr>
      <w:rFonts w:ascii="Times New Roman" w:eastAsiaTheme="majorEastAsia" w:hAnsi="Times New Roman" w:cstheme="majorBidi"/>
      <w:bCs/>
      <w:i/>
      <w:iCs/>
      <w:color w:val="000000" w:themeColor="text1"/>
      <w:sz w:val="24"/>
      <w:u w:val="single"/>
    </w:rPr>
  </w:style>
  <w:style w:type="character" w:customStyle="1" w:styleId="Heading4Char">
    <w:name w:val="Heading 4 Char"/>
    <w:aliases w:val="Table Char"/>
    <w:basedOn w:val="DefaultParagraphFont"/>
    <w:link w:val="Heading4"/>
    <w:uiPriority w:val="9"/>
    <w:rsid w:val="00C03618"/>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C03618"/>
    <w:rPr>
      <w:rFonts w:ascii="Times New Roman" w:eastAsiaTheme="majorEastAsia" w:hAnsi="Times New Roman" w:cstheme="majorBidi"/>
      <w:sz w:val="24"/>
      <w:u w:val="single"/>
    </w:rPr>
  </w:style>
  <w:style w:type="character" w:customStyle="1" w:styleId="Heading6Char">
    <w:name w:val="Heading 6 Char"/>
    <w:basedOn w:val="DefaultParagraphFont"/>
    <w:link w:val="Heading6"/>
    <w:uiPriority w:val="9"/>
    <w:rsid w:val="00C03618"/>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rsid w:val="00C0361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C0361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C03618"/>
    <w:rPr>
      <w:rFonts w:asciiTheme="majorHAnsi" w:eastAsiaTheme="majorEastAsia" w:hAnsiTheme="majorHAnsi" w:cstheme="majorBidi"/>
      <w:i/>
      <w:iCs/>
      <w:color w:val="404040" w:themeColor="text1" w:themeTint="BF"/>
      <w:sz w:val="20"/>
      <w:szCs w:val="20"/>
    </w:rPr>
  </w:style>
  <w:style w:type="character" w:styleId="LineNumber">
    <w:name w:val="line number"/>
    <w:basedOn w:val="DefaultParagraphFont"/>
    <w:uiPriority w:val="99"/>
    <w:semiHidden/>
    <w:unhideWhenUsed/>
    <w:rsid w:val="00C03618"/>
  </w:style>
  <w:style w:type="character" w:styleId="Hyperlink">
    <w:name w:val="Hyperlink"/>
    <w:basedOn w:val="DefaultParagraphFont"/>
    <w:uiPriority w:val="99"/>
    <w:unhideWhenUsed/>
    <w:rsid w:val="00C03618"/>
    <w:rPr>
      <w:color w:val="0563C1" w:themeColor="hyperlink"/>
      <w:u w:val="single"/>
    </w:rPr>
  </w:style>
  <w:style w:type="character" w:styleId="CommentReference">
    <w:name w:val="annotation reference"/>
    <w:basedOn w:val="DefaultParagraphFont"/>
    <w:uiPriority w:val="99"/>
    <w:semiHidden/>
    <w:unhideWhenUsed/>
    <w:rsid w:val="00C03618"/>
    <w:rPr>
      <w:sz w:val="16"/>
      <w:szCs w:val="16"/>
    </w:rPr>
  </w:style>
  <w:style w:type="paragraph" w:styleId="CommentText">
    <w:name w:val="annotation text"/>
    <w:basedOn w:val="Normal"/>
    <w:link w:val="CommentTextChar"/>
    <w:uiPriority w:val="99"/>
    <w:unhideWhenUsed/>
    <w:rsid w:val="00C03618"/>
    <w:pPr>
      <w:jc w:val="both"/>
    </w:pPr>
    <w:rPr>
      <w:sz w:val="20"/>
      <w:szCs w:val="20"/>
    </w:rPr>
  </w:style>
  <w:style w:type="character" w:customStyle="1" w:styleId="CommentTextChar">
    <w:name w:val="Comment Text Char"/>
    <w:basedOn w:val="DefaultParagraphFont"/>
    <w:link w:val="CommentText"/>
    <w:uiPriority w:val="99"/>
    <w:rsid w:val="00C03618"/>
    <w:rPr>
      <w:rFonts w:ascii="Times New Roman" w:hAnsi="Times New Roman"/>
      <w:sz w:val="20"/>
      <w:szCs w:val="20"/>
    </w:rPr>
  </w:style>
  <w:style w:type="paragraph" w:styleId="BalloonText">
    <w:name w:val="Balloon Text"/>
    <w:basedOn w:val="Normal"/>
    <w:link w:val="BalloonTextChar"/>
    <w:uiPriority w:val="99"/>
    <w:semiHidden/>
    <w:unhideWhenUsed/>
    <w:rsid w:val="00C036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61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03618"/>
    <w:pPr>
      <w:spacing w:after="200" w:line="240" w:lineRule="auto"/>
      <w:jc w:val="left"/>
    </w:pPr>
    <w:rPr>
      <w:b/>
      <w:bCs/>
    </w:rPr>
  </w:style>
  <w:style w:type="character" w:customStyle="1" w:styleId="CommentSubjectChar">
    <w:name w:val="Comment Subject Char"/>
    <w:basedOn w:val="CommentTextChar"/>
    <w:link w:val="CommentSubject"/>
    <w:uiPriority w:val="99"/>
    <w:semiHidden/>
    <w:rsid w:val="00C03618"/>
    <w:rPr>
      <w:rFonts w:ascii="Times New Roman" w:hAnsi="Times New Roman"/>
      <w:b/>
      <w:bCs/>
      <w:sz w:val="20"/>
      <w:szCs w:val="20"/>
    </w:rPr>
  </w:style>
  <w:style w:type="table" w:customStyle="1" w:styleId="LightShading16">
    <w:name w:val="Light Shading16"/>
    <w:basedOn w:val="TableNormal"/>
    <w:uiPriority w:val="60"/>
    <w:rsid w:val="00C03618"/>
    <w:pPr>
      <w:spacing w:after="0" w:line="276"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03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Heading4"/>
    <w:next w:val="Normal"/>
    <w:uiPriority w:val="35"/>
    <w:unhideWhenUsed/>
    <w:qFormat/>
    <w:rsid w:val="00C03618"/>
  </w:style>
  <w:style w:type="paragraph" w:styleId="Title">
    <w:name w:val="Title"/>
    <w:aliases w:val="Figures"/>
    <w:basedOn w:val="Normal"/>
    <w:next w:val="Normal"/>
    <w:link w:val="TitleChar"/>
    <w:uiPriority w:val="10"/>
    <w:qFormat/>
    <w:rsid w:val="00C03618"/>
    <w:pPr>
      <w:framePr w:wrap="around" w:vAnchor="text" w:hAnchor="text" w:y="1"/>
      <w:spacing w:before="240" w:after="240"/>
      <w:contextualSpacing/>
      <w:jc w:val="both"/>
    </w:pPr>
    <w:rPr>
      <w:rFonts w:eastAsiaTheme="majorEastAsia" w:cstheme="majorBidi"/>
      <w:b/>
      <w:color w:val="000000" w:themeColor="text1"/>
      <w:spacing w:val="5"/>
      <w:kern w:val="28"/>
      <w:szCs w:val="52"/>
    </w:rPr>
  </w:style>
  <w:style w:type="character" w:customStyle="1" w:styleId="TitleChar">
    <w:name w:val="Title Char"/>
    <w:aliases w:val="Figures Char"/>
    <w:basedOn w:val="DefaultParagraphFont"/>
    <w:link w:val="Title"/>
    <w:uiPriority w:val="10"/>
    <w:rsid w:val="00C03618"/>
    <w:rPr>
      <w:rFonts w:ascii="Times New Roman" w:eastAsiaTheme="majorEastAsia" w:hAnsi="Times New Roman" w:cstheme="majorBidi"/>
      <w:b/>
      <w:color w:val="000000" w:themeColor="text1"/>
      <w:spacing w:val="5"/>
      <w:kern w:val="28"/>
      <w:sz w:val="24"/>
      <w:szCs w:val="52"/>
    </w:rPr>
  </w:style>
  <w:style w:type="paragraph" w:styleId="Subtitle">
    <w:name w:val="Subtitle"/>
    <w:aliases w:val="Main chapter headings"/>
    <w:basedOn w:val="Heading1"/>
    <w:next w:val="Normal"/>
    <w:link w:val="SubtitleChar"/>
    <w:uiPriority w:val="11"/>
    <w:qFormat/>
    <w:rsid w:val="00C03618"/>
    <w:pPr>
      <w:spacing w:before="240" w:after="240"/>
      <w:ind w:left="431"/>
      <w:contextualSpacing w:val="0"/>
      <w:jc w:val="center"/>
    </w:pPr>
    <w:rPr>
      <w:rFonts w:eastAsiaTheme="majorEastAsia" w:cstheme="majorBidi"/>
      <w:bCs/>
      <w:sz w:val="56"/>
      <w:szCs w:val="28"/>
      <w:u w:val="single"/>
      <w:lang w:eastAsia="en-US"/>
    </w:rPr>
  </w:style>
  <w:style w:type="character" w:customStyle="1" w:styleId="SubtitleChar">
    <w:name w:val="Subtitle Char"/>
    <w:aliases w:val="Main chapter headings Char"/>
    <w:basedOn w:val="DefaultParagraphFont"/>
    <w:link w:val="Subtitle"/>
    <w:uiPriority w:val="11"/>
    <w:rsid w:val="00C03618"/>
    <w:rPr>
      <w:rFonts w:ascii="Times New Roman" w:eastAsiaTheme="majorEastAsia" w:hAnsi="Times New Roman" w:cstheme="majorBidi"/>
      <w:b/>
      <w:bCs/>
      <w:sz w:val="56"/>
      <w:szCs w:val="28"/>
      <w:u w:val="single"/>
    </w:rPr>
  </w:style>
  <w:style w:type="character" w:styleId="Strong">
    <w:name w:val="Strong"/>
    <w:basedOn w:val="DefaultParagraphFont"/>
    <w:uiPriority w:val="22"/>
    <w:qFormat/>
    <w:rsid w:val="00C03618"/>
    <w:rPr>
      <w:b/>
      <w:bCs/>
    </w:rPr>
  </w:style>
  <w:style w:type="character" w:styleId="Emphasis">
    <w:name w:val="Emphasis"/>
    <w:basedOn w:val="DefaultParagraphFont"/>
    <w:uiPriority w:val="20"/>
    <w:qFormat/>
    <w:rsid w:val="00C03618"/>
    <w:rPr>
      <w:i/>
      <w:iCs/>
    </w:rPr>
  </w:style>
  <w:style w:type="paragraph" w:styleId="NoSpacing">
    <w:name w:val="No Spacing"/>
    <w:aliases w:val="References"/>
    <w:uiPriority w:val="1"/>
    <w:qFormat/>
    <w:rsid w:val="00C03618"/>
    <w:pPr>
      <w:spacing w:before="240" w:after="0" w:line="240" w:lineRule="auto"/>
      <w:jc w:val="both"/>
    </w:pPr>
    <w:rPr>
      <w:rFonts w:ascii="Times New Roman" w:hAnsi="Times New Roman" w:cs="Times New Roman"/>
      <w:sz w:val="24"/>
    </w:rPr>
  </w:style>
  <w:style w:type="paragraph" w:styleId="ListParagraph">
    <w:name w:val="List Paragraph"/>
    <w:basedOn w:val="Normal"/>
    <w:uiPriority w:val="34"/>
    <w:qFormat/>
    <w:rsid w:val="00C03618"/>
    <w:pPr>
      <w:ind w:left="720"/>
      <w:contextualSpacing/>
      <w:jc w:val="both"/>
    </w:pPr>
  </w:style>
  <w:style w:type="character" w:styleId="IntenseEmphasis">
    <w:name w:val="Intense Emphasis"/>
    <w:basedOn w:val="DefaultParagraphFont"/>
    <w:uiPriority w:val="21"/>
    <w:qFormat/>
    <w:rsid w:val="00C03618"/>
    <w:rPr>
      <w:b/>
      <w:bCs/>
      <w:i/>
      <w:iCs/>
      <w:color w:val="5B9BD5" w:themeColor="accent1"/>
    </w:rPr>
  </w:style>
  <w:style w:type="character" w:styleId="BookTitle">
    <w:name w:val="Book Title"/>
    <w:basedOn w:val="DefaultParagraphFont"/>
    <w:uiPriority w:val="33"/>
    <w:qFormat/>
    <w:rsid w:val="00C03618"/>
    <w:rPr>
      <w:b/>
      <w:bCs/>
      <w:smallCaps/>
      <w:spacing w:val="5"/>
    </w:rPr>
  </w:style>
  <w:style w:type="paragraph" w:styleId="TOCHeading">
    <w:name w:val="TOC Heading"/>
    <w:basedOn w:val="Heading1"/>
    <w:next w:val="Normal"/>
    <w:uiPriority w:val="39"/>
    <w:unhideWhenUsed/>
    <w:qFormat/>
    <w:rsid w:val="00C03618"/>
    <w:pPr>
      <w:keepLines/>
      <w:spacing w:before="480" w:line="276" w:lineRule="auto"/>
      <w:contextualSpacing w:val="0"/>
      <w:outlineLvl w:val="9"/>
    </w:pPr>
    <w:rPr>
      <w:rFonts w:asciiTheme="majorHAnsi" w:eastAsiaTheme="majorEastAsia" w:hAnsiTheme="majorHAnsi" w:cstheme="majorBidi"/>
      <w:bCs/>
      <w:color w:val="2E74B5" w:themeColor="accent1" w:themeShade="BF"/>
      <w:sz w:val="28"/>
      <w:szCs w:val="28"/>
      <w:u w:val="single"/>
      <w:lang w:val="en-US" w:eastAsia="en-US"/>
    </w:rPr>
  </w:style>
  <w:style w:type="numbering" w:customStyle="1" w:styleId="NoList1">
    <w:name w:val="No List1"/>
    <w:next w:val="NoList"/>
    <w:uiPriority w:val="99"/>
    <w:semiHidden/>
    <w:unhideWhenUsed/>
    <w:rsid w:val="00C03618"/>
  </w:style>
  <w:style w:type="paragraph" w:styleId="TOC2">
    <w:name w:val="toc 2"/>
    <w:basedOn w:val="Normal"/>
    <w:next w:val="Normal"/>
    <w:autoRedefine/>
    <w:uiPriority w:val="39"/>
    <w:unhideWhenUsed/>
    <w:rsid w:val="00C03618"/>
    <w:pPr>
      <w:spacing w:before="240" w:after="100"/>
      <w:ind w:left="240"/>
      <w:jc w:val="both"/>
    </w:pPr>
  </w:style>
  <w:style w:type="paragraph" w:styleId="TOC1">
    <w:name w:val="toc 1"/>
    <w:basedOn w:val="Normal"/>
    <w:next w:val="Normal"/>
    <w:autoRedefine/>
    <w:uiPriority w:val="39"/>
    <w:unhideWhenUsed/>
    <w:qFormat/>
    <w:rsid w:val="00C03618"/>
    <w:pPr>
      <w:tabs>
        <w:tab w:val="right" w:leader="dot" w:pos="8210"/>
      </w:tabs>
      <w:spacing w:before="240" w:line="240" w:lineRule="auto"/>
      <w:jc w:val="both"/>
    </w:pPr>
  </w:style>
  <w:style w:type="paragraph" w:styleId="TOC3">
    <w:name w:val="toc 3"/>
    <w:basedOn w:val="Normal"/>
    <w:next w:val="Normal"/>
    <w:autoRedefine/>
    <w:uiPriority w:val="39"/>
    <w:unhideWhenUsed/>
    <w:rsid w:val="00C03618"/>
    <w:pPr>
      <w:spacing w:before="240" w:after="100"/>
      <w:ind w:left="480"/>
      <w:jc w:val="both"/>
    </w:pPr>
  </w:style>
  <w:style w:type="character" w:styleId="PlaceholderText">
    <w:name w:val="Placeholder Text"/>
    <w:basedOn w:val="DefaultParagraphFont"/>
    <w:uiPriority w:val="99"/>
    <w:semiHidden/>
    <w:rsid w:val="00C03618"/>
    <w:rPr>
      <w:color w:val="808080"/>
    </w:rPr>
  </w:style>
  <w:style w:type="paragraph" w:styleId="TOC5">
    <w:name w:val="toc 5"/>
    <w:basedOn w:val="Normal"/>
    <w:next w:val="Normal"/>
    <w:autoRedefine/>
    <w:uiPriority w:val="39"/>
    <w:unhideWhenUsed/>
    <w:rsid w:val="00C03618"/>
    <w:pPr>
      <w:spacing w:before="240" w:after="100"/>
      <w:ind w:left="960"/>
      <w:jc w:val="both"/>
    </w:pPr>
  </w:style>
  <w:style w:type="paragraph" w:styleId="TOC4">
    <w:name w:val="toc 4"/>
    <w:basedOn w:val="Normal"/>
    <w:next w:val="Normal"/>
    <w:autoRedefine/>
    <w:uiPriority w:val="39"/>
    <w:unhideWhenUsed/>
    <w:rsid w:val="00C03618"/>
    <w:pPr>
      <w:spacing w:before="240" w:after="100"/>
      <w:ind w:left="720"/>
      <w:jc w:val="both"/>
    </w:pPr>
  </w:style>
  <w:style w:type="character" w:styleId="FollowedHyperlink">
    <w:name w:val="FollowedHyperlink"/>
    <w:basedOn w:val="DefaultParagraphFont"/>
    <w:uiPriority w:val="99"/>
    <w:semiHidden/>
    <w:unhideWhenUsed/>
    <w:rsid w:val="00C03618"/>
    <w:rPr>
      <w:color w:val="954F72" w:themeColor="followedHyperlink"/>
      <w:u w:val="single"/>
    </w:rPr>
  </w:style>
  <w:style w:type="paragraph" w:styleId="Header">
    <w:name w:val="header"/>
    <w:basedOn w:val="Normal"/>
    <w:link w:val="HeaderChar"/>
    <w:uiPriority w:val="99"/>
    <w:unhideWhenUsed/>
    <w:rsid w:val="00C03618"/>
    <w:pPr>
      <w:tabs>
        <w:tab w:val="center" w:pos="4513"/>
        <w:tab w:val="right" w:pos="9026"/>
      </w:tabs>
      <w:spacing w:before="240" w:after="240" w:line="240" w:lineRule="auto"/>
      <w:jc w:val="both"/>
    </w:pPr>
  </w:style>
  <w:style w:type="character" w:customStyle="1" w:styleId="HeaderChar">
    <w:name w:val="Header Char"/>
    <w:basedOn w:val="DefaultParagraphFont"/>
    <w:link w:val="Header"/>
    <w:uiPriority w:val="99"/>
    <w:rsid w:val="00C03618"/>
    <w:rPr>
      <w:rFonts w:ascii="Times New Roman" w:hAnsi="Times New Roman"/>
      <w:sz w:val="24"/>
    </w:rPr>
  </w:style>
  <w:style w:type="paragraph" w:styleId="Footer">
    <w:name w:val="footer"/>
    <w:basedOn w:val="Normal"/>
    <w:link w:val="FooterChar"/>
    <w:uiPriority w:val="99"/>
    <w:unhideWhenUsed/>
    <w:rsid w:val="00C03618"/>
    <w:pPr>
      <w:tabs>
        <w:tab w:val="center" w:pos="4513"/>
        <w:tab w:val="right" w:pos="9026"/>
      </w:tabs>
      <w:spacing w:before="240" w:after="240" w:line="240" w:lineRule="auto"/>
      <w:jc w:val="both"/>
    </w:pPr>
  </w:style>
  <w:style w:type="character" w:customStyle="1" w:styleId="FooterChar">
    <w:name w:val="Footer Char"/>
    <w:basedOn w:val="DefaultParagraphFont"/>
    <w:link w:val="Footer"/>
    <w:uiPriority w:val="99"/>
    <w:rsid w:val="00C03618"/>
    <w:rPr>
      <w:rFonts w:ascii="Times New Roman" w:hAnsi="Times New Roman"/>
      <w:sz w:val="24"/>
    </w:rPr>
  </w:style>
  <w:style w:type="character" w:customStyle="1" w:styleId="tableframedarkgreen">
    <w:name w:val="tableframedarkgreen"/>
    <w:basedOn w:val="DefaultParagraphFont"/>
    <w:rsid w:val="00C03618"/>
  </w:style>
  <w:style w:type="character" w:customStyle="1" w:styleId="italic1">
    <w:name w:val="italic1"/>
    <w:basedOn w:val="DefaultParagraphFont"/>
    <w:rsid w:val="00C03618"/>
    <w:rPr>
      <w:i/>
      <w:iCs/>
    </w:rPr>
  </w:style>
  <w:style w:type="paragraph" w:styleId="Revision">
    <w:name w:val="Revision"/>
    <w:hidden/>
    <w:uiPriority w:val="99"/>
    <w:semiHidden/>
    <w:rsid w:val="00C03618"/>
    <w:pPr>
      <w:spacing w:after="0" w:line="240" w:lineRule="auto"/>
    </w:pPr>
    <w:rPr>
      <w:rFonts w:ascii="Times New Roman" w:hAnsi="Times New Roman"/>
      <w:sz w:val="24"/>
    </w:rPr>
  </w:style>
  <w:style w:type="paragraph" w:styleId="DocumentMap">
    <w:name w:val="Document Map"/>
    <w:basedOn w:val="Normal"/>
    <w:link w:val="DocumentMapChar"/>
    <w:uiPriority w:val="99"/>
    <w:semiHidden/>
    <w:unhideWhenUsed/>
    <w:rsid w:val="00C03618"/>
    <w:pPr>
      <w:spacing w:line="240" w:lineRule="auto"/>
      <w:jc w:val="both"/>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3618"/>
    <w:rPr>
      <w:rFonts w:ascii="Tahoma" w:hAnsi="Tahoma" w:cs="Tahoma"/>
      <w:sz w:val="16"/>
      <w:szCs w:val="16"/>
    </w:rPr>
  </w:style>
  <w:style w:type="table" w:customStyle="1" w:styleId="LightShading1">
    <w:name w:val="Light Shading1"/>
    <w:basedOn w:val="TableNormal"/>
    <w:uiPriority w:val="60"/>
    <w:rsid w:val="00C0361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C03618"/>
    <w:pPr>
      <w:spacing w:before="100" w:beforeAutospacing="1" w:after="100" w:afterAutospacing="1"/>
      <w:jc w:val="both"/>
    </w:pPr>
    <w:rPr>
      <w:rFonts w:eastAsia="Times New Roman" w:cs="Times New Roman"/>
      <w:szCs w:val="24"/>
      <w:lang w:eastAsia="en-GB"/>
    </w:rPr>
  </w:style>
  <w:style w:type="table" w:customStyle="1" w:styleId="LightShading2">
    <w:name w:val="Light Shading2"/>
    <w:basedOn w:val="TableNormal"/>
    <w:uiPriority w:val="60"/>
    <w:rsid w:val="00C0361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6">
    <w:name w:val="toc 6"/>
    <w:basedOn w:val="Normal"/>
    <w:next w:val="Normal"/>
    <w:autoRedefine/>
    <w:uiPriority w:val="39"/>
    <w:unhideWhenUsed/>
    <w:rsid w:val="00C03618"/>
    <w:pPr>
      <w:spacing w:after="100" w:line="276" w:lineRule="auto"/>
      <w:ind w:left="1100"/>
    </w:pPr>
    <w:rPr>
      <w:rFonts w:asciiTheme="minorHAnsi" w:eastAsiaTheme="minorEastAsia" w:hAnsiTheme="minorHAnsi"/>
      <w:sz w:val="22"/>
      <w:lang w:eastAsia="en-GB"/>
    </w:rPr>
  </w:style>
  <w:style w:type="paragraph" w:styleId="TableofFigures">
    <w:name w:val="table of figures"/>
    <w:basedOn w:val="Normal"/>
    <w:next w:val="Normal"/>
    <w:uiPriority w:val="99"/>
    <w:unhideWhenUsed/>
    <w:rsid w:val="00C03618"/>
    <w:pPr>
      <w:spacing w:before="240"/>
      <w:jc w:val="both"/>
    </w:pPr>
  </w:style>
  <w:style w:type="paragraph" w:styleId="TOC7">
    <w:name w:val="toc 7"/>
    <w:basedOn w:val="Normal"/>
    <w:next w:val="Normal"/>
    <w:autoRedefine/>
    <w:uiPriority w:val="39"/>
    <w:unhideWhenUsed/>
    <w:rsid w:val="00C03618"/>
    <w:pPr>
      <w:spacing w:after="100" w:line="276"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C03618"/>
    <w:pPr>
      <w:spacing w:after="100" w:line="276"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C03618"/>
    <w:pPr>
      <w:spacing w:after="100" w:line="276" w:lineRule="auto"/>
      <w:ind w:left="1760"/>
    </w:pPr>
    <w:rPr>
      <w:rFonts w:asciiTheme="minorHAnsi" w:eastAsiaTheme="minorEastAsia" w:hAnsiTheme="minorHAnsi"/>
      <w:sz w:val="22"/>
      <w:lang w:eastAsia="en-GB"/>
    </w:rPr>
  </w:style>
  <w:style w:type="paragraph" w:styleId="PlainText">
    <w:name w:val="Plain Text"/>
    <w:basedOn w:val="Normal"/>
    <w:link w:val="PlainTextChar"/>
    <w:uiPriority w:val="99"/>
    <w:unhideWhenUsed/>
    <w:rsid w:val="00C03618"/>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03618"/>
    <w:rPr>
      <w:rFonts w:ascii="Consolas" w:hAnsi="Consolas" w:cs="Consolas"/>
      <w:sz w:val="21"/>
      <w:szCs w:val="21"/>
    </w:rPr>
  </w:style>
  <w:style w:type="table" w:customStyle="1" w:styleId="LightShading11">
    <w:name w:val="Light Shading11"/>
    <w:basedOn w:val="TableNormal"/>
    <w:uiPriority w:val="60"/>
    <w:rsid w:val="00C03618"/>
    <w:pPr>
      <w:spacing w:after="0" w:line="276"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C03618"/>
    <w:pPr>
      <w:spacing w:after="0" w:line="276"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3">
    <w:name w:val="Light Shading13"/>
    <w:basedOn w:val="TableNormal"/>
    <w:uiPriority w:val="60"/>
    <w:rsid w:val="00C03618"/>
    <w:pPr>
      <w:spacing w:after="0" w:line="276"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4">
    <w:name w:val="Light Shading14"/>
    <w:basedOn w:val="TableNormal"/>
    <w:uiPriority w:val="60"/>
    <w:rsid w:val="00C03618"/>
    <w:pPr>
      <w:spacing w:after="0" w:line="276"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5">
    <w:name w:val="Light Shading15"/>
    <w:basedOn w:val="TableNormal"/>
    <w:uiPriority w:val="60"/>
    <w:rsid w:val="00C03618"/>
    <w:pPr>
      <w:spacing w:after="0" w:line="276"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7">
    <w:name w:val="Light Shading17"/>
    <w:basedOn w:val="TableNormal"/>
    <w:uiPriority w:val="60"/>
    <w:rsid w:val="00C03618"/>
    <w:pPr>
      <w:spacing w:after="0" w:line="276"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8">
    <w:name w:val="Light Shading18"/>
    <w:basedOn w:val="TableNormal"/>
    <w:uiPriority w:val="60"/>
    <w:rsid w:val="00C03618"/>
    <w:pPr>
      <w:spacing w:after="0" w:line="276"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9">
    <w:name w:val="Light Shading19"/>
    <w:basedOn w:val="TableNormal"/>
    <w:uiPriority w:val="60"/>
    <w:rsid w:val="00C03618"/>
    <w:pPr>
      <w:spacing w:after="0" w:line="276"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0">
    <w:name w:val="Light Shading110"/>
    <w:basedOn w:val="TableNormal"/>
    <w:uiPriority w:val="60"/>
    <w:rsid w:val="00C03618"/>
    <w:pPr>
      <w:spacing w:after="0" w:line="276"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C03618"/>
    <w:pPr>
      <w:spacing w:after="0" w:line="276"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eGrid1">
    <w:name w:val="Table Grid1"/>
    <w:basedOn w:val="TableNormal"/>
    <w:next w:val="TableGrid"/>
    <w:uiPriority w:val="59"/>
    <w:rsid w:val="00C03618"/>
    <w:pPr>
      <w:spacing w:after="0" w:line="276"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1">
    <w:name w:val="Style1"/>
    <w:basedOn w:val="TableNormal"/>
    <w:uiPriority w:val="99"/>
    <w:qFormat/>
    <w:rsid w:val="00C03618"/>
    <w:pPr>
      <w:spacing w:after="0" w:line="276" w:lineRule="auto"/>
    </w:pPr>
    <w:tblPr>
      <w:tblInd w:w="0" w:type="dxa"/>
      <w:tblCellMar>
        <w:top w:w="0" w:type="dxa"/>
        <w:left w:w="108" w:type="dxa"/>
        <w:bottom w:w="0" w:type="dxa"/>
        <w:right w:w="108" w:type="dxa"/>
      </w:tblCellMar>
    </w:tblPr>
  </w:style>
  <w:style w:type="table" w:styleId="LightList-Accent4">
    <w:name w:val="Light List Accent 4"/>
    <w:basedOn w:val="TableNormal"/>
    <w:uiPriority w:val="61"/>
    <w:rsid w:val="00C03618"/>
    <w:pPr>
      <w:spacing w:after="0" w:line="276"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numbering" w:customStyle="1" w:styleId="NoList11">
    <w:name w:val="No List11"/>
    <w:next w:val="NoList"/>
    <w:uiPriority w:val="99"/>
    <w:semiHidden/>
    <w:unhideWhenUsed/>
    <w:rsid w:val="00C03618"/>
  </w:style>
  <w:style w:type="table" w:customStyle="1" w:styleId="LightShading3">
    <w:name w:val="Light Shading3"/>
    <w:basedOn w:val="TableNormal"/>
    <w:uiPriority w:val="60"/>
    <w:rsid w:val="00C0361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2">
    <w:name w:val="No List2"/>
    <w:next w:val="NoList"/>
    <w:uiPriority w:val="99"/>
    <w:semiHidden/>
    <w:unhideWhenUsed/>
    <w:rsid w:val="00C03618"/>
  </w:style>
  <w:style w:type="table" w:customStyle="1" w:styleId="TableGrid2">
    <w:name w:val="Table Grid2"/>
    <w:basedOn w:val="TableNormal"/>
    <w:next w:val="TableGrid"/>
    <w:uiPriority w:val="59"/>
    <w:rsid w:val="00C03618"/>
    <w:pPr>
      <w:spacing w:after="200" w:line="27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C03618"/>
  </w:style>
  <w:style w:type="table" w:customStyle="1" w:styleId="TableGrid11">
    <w:name w:val="Table Grid11"/>
    <w:basedOn w:val="TableNormal"/>
    <w:next w:val="TableGrid"/>
    <w:uiPriority w:val="59"/>
    <w:rsid w:val="00C03618"/>
    <w:pPr>
      <w:spacing w:after="200" w:line="276"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11">
    <w:name w:val="Light Shading111"/>
    <w:basedOn w:val="TableNormal"/>
    <w:uiPriority w:val="60"/>
    <w:rsid w:val="00C03618"/>
    <w:pPr>
      <w:spacing w:after="200" w:line="276"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3">
    <w:name w:val="No List3"/>
    <w:next w:val="NoList"/>
    <w:uiPriority w:val="99"/>
    <w:semiHidden/>
    <w:unhideWhenUsed/>
    <w:rsid w:val="00C03618"/>
  </w:style>
  <w:style w:type="table" w:customStyle="1" w:styleId="TableGrid3">
    <w:name w:val="Table Grid3"/>
    <w:basedOn w:val="TableNormal"/>
    <w:next w:val="TableGrid"/>
    <w:uiPriority w:val="59"/>
    <w:rsid w:val="00C03618"/>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C03618"/>
  </w:style>
  <w:style w:type="table" w:customStyle="1" w:styleId="TableGrid12">
    <w:name w:val="Table Grid12"/>
    <w:basedOn w:val="TableNormal"/>
    <w:next w:val="TableGrid"/>
    <w:uiPriority w:val="59"/>
    <w:rsid w:val="00C036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12">
    <w:name w:val="Light Shading112"/>
    <w:basedOn w:val="TableNormal"/>
    <w:uiPriority w:val="60"/>
    <w:rsid w:val="00C0361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4">
    <w:name w:val="No List4"/>
    <w:next w:val="NoList"/>
    <w:uiPriority w:val="99"/>
    <w:semiHidden/>
    <w:unhideWhenUsed/>
    <w:rsid w:val="00C03618"/>
  </w:style>
  <w:style w:type="table" w:customStyle="1" w:styleId="TableGrid4">
    <w:name w:val="Table Grid4"/>
    <w:basedOn w:val="TableNormal"/>
    <w:next w:val="TableGrid"/>
    <w:uiPriority w:val="59"/>
    <w:rsid w:val="00C03618"/>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C03618"/>
  </w:style>
  <w:style w:type="table" w:customStyle="1" w:styleId="TableGrid13">
    <w:name w:val="Table Grid13"/>
    <w:basedOn w:val="TableNormal"/>
    <w:next w:val="TableGrid"/>
    <w:uiPriority w:val="59"/>
    <w:rsid w:val="00C036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13">
    <w:name w:val="Light Shading113"/>
    <w:basedOn w:val="TableNormal"/>
    <w:uiPriority w:val="60"/>
    <w:rsid w:val="00C0361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5">
    <w:name w:val="No List5"/>
    <w:next w:val="NoList"/>
    <w:uiPriority w:val="99"/>
    <w:semiHidden/>
    <w:unhideWhenUsed/>
    <w:rsid w:val="00C03618"/>
  </w:style>
  <w:style w:type="table" w:customStyle="1" w:styleId="TableGrid5">
    <w:name w:val="Table Grid5"/>
    <w:basedOn w:val="TableNormal"/>
    <w:next w:val="TableGrid"/>
    <w:uiPriority w:val="59"/>
    <w:rsid w:val="00C03618"/>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C03618"/>
  </w:style>
  <w:style w:type="table" w:customStyle="1" w:styleId="TableGrid14">
    <w:name w:val="Table Grid14"/>
    <w:basedOn w:val="TableNormal"/>
    <w:next w:val="TableGrid"/>
    <w:uiPriority w:val="59"/>
    <w:rsid w:val="00C036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14">
    <w:name w:val="Light Shading114"/>
    <w:basedOn w:val="TableNormal"/>
    <w:uiPriority w:val="60"/>
    <w:rsid w:val="00C0361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6">
    <w:name w:val="No List6"/>
    <w:next w:val="NoList"/>
    <w:uiPriority w:val="99"/>
    <w:semiHidden/>
    <w:unhideWhenUsed/>
    <w:rsid w:val="00C03618"/>
  </w:style>
  <w:style w:type="table" w:customStyle="1" w:styleId="TableGrid6">
    <w:name w:val="Table Grid6"/>
    <w:basedOn w:val="TableNormal"/>
    <w:next w:val="TableGrid"/>
    <w:uiPriority w:val="59"/>
    <w:rsid w:val="00C03618"/>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C03618"/>
  </w:style>
  <w:style w:type="table" w:customStyle="1" w:styleId="TableGrid15">
    <w:name w:val="Table Grid15"/>
    <w:basedOn w:val="TableNormal"/>
    <w:next w:val="TableGrid"/>
    <w:uiPriority w:val="59"/>
    <w:rsid w:val="00C036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15">
    <w:name w:val="Light Shading115"/>
    <w:basedOn w:val="TableNormal"/>
    <w:uiPriority w:val="60"/>
    <w:rsid w:val="00C0361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7">
    <w:name w:val="No List7"/>
    <w:next w:val="NoList"/>
    <w:uiPriority w:val="99"/>
    <w:semiHidden/>
    <w:unhideWhenUsed/>
    <w:rsid w:val="00C03618"/>
  </w:style>
  <w:style w:type="table" w:customStyle="1" w:styleId="TableGrid7">
    <w:name w:val="Table Grid7"/>
    <w:basedOn w:val="TableNormal"/>
    <w:next w:val="TableGrid"/>
    <w:uiPriority w:val="59"/>
    <w:rsid w:val="00C03618"/>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C03618"/>
  </w:style>
  <w:style w:type="table" w:customStyle="1" w:styleId="TableGrid16">
    <w:name w:val="Table Grid16"/>
    <w:basedOn w:val="TableNormal"/>
    <w:next w:val="TableGrid"/>
    <w:uiPriority w:val="59"/>
    <w:rsid w:val="00C036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16">
    <w:name w:val="Light Shading116"/>
    <w:basedOn w:val="TableNormal"/>
    <w:uiPriority w:val="60"/>
    <w:rsid w:val="00C0361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8">
    <w:name w:val="No List8"/>
    <w:next w:val="NoList"/>
    <w:uiPriority w:val="99"/>
    <w:semiHidden/>
    <w:unhideWhenUsed/>
    <w:rsid w:val="00C03618"/>
  </w:style>
  <w:style w:type="table" w:customStyle="1" w:styleId="TableGrid8">
    <w:name w:val="Table Grid8"/>
    <w:basedOn w:val="TableNormal"/>
    <w:next w:val="TableGrid"/>
    <w:uiPriority w:val="59"/>
    <w:rsid w:val="00C03618"/>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7">
    <w:name w:val="No List17"/>
    <w:next w:val="NoList"/>
    <w:uiPriority w:val="99"/>
    <w:semiHidden/>
    <w:unhideWhenUsed/>
    <w:rsid w:val="00C03618"/>
  </w:style>
  <w:style w:type="table" w:customStyle="1" w:styleId="TableGrid17">
    <w:name w:val="Table Grid17"/>
    <w:basedOn w:val="TableNormal"/>
    <w:next w:val="TableGrid"/>
    <w:uiPriority w:val="59"/>
    <w:rsid w:val="00C036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17">
    <w:name w:val="Light Shading117"/>
    <w:basedOn w:val="TableNormal"/>
    <w:uiPriority w:val="60"/>
    <w:rsid w:val="00C0361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9">
    <w:name w:val="No List9"/>
    <w:next w:val="NoList"/>
    <w:uiPriority w:val="99"/>
    <w:semiHidden/>
    <w:unhideWhenUsed/>
    <w:rsid w:val="00C03618"/>
  </w:style>
  <w:style w:type="table" w:customStyle="1" w:styleId="TableGrid9">
    <w:name w:val="Table Grid9"/>
    <w:basedOn w:val="TableNormal"/>
    <w:next w:val="TableGrid"/>
    <w:uiPriority w:val="59"/>
    <w:rsid w:val="00C03618"/>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8">
    <w:name w:val="No List18"/>
    <w:next w:val="NoList"/>
    <w:uiPriority w:val="99"/>
    <w:semiHidden/>
    <w:unhideWhenUsed/>
    <w:rsid w:val="00C03618"/>
  </w:style>
  <w:style w:type="table" w:customStyle="1" w:styleId="TableGrid18">
    <w:name w:val="Table Grid18"/>
    <w:basedOn w:val="TableNormal"/>
    <w:next w:val="TableGrid"/>
    <w:uiPriority w:val="59"/>
    <w:rsid w:val="00C036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18">
    <w:name w:val="Light Shading118"/>
    <w:basedOn w:val="TableNormal"/>
    <w:uiPriority w:val="60"/>
    <w:rsid w:val="00C0361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10">
    <w:name w:val="No List10"/>
    <w:next w:val="NoList"/>
    <w:uiPriority w:val="99"/>
    <w:semiHidden/>
    <w:unhideWhenUsed/>
    <w:rsid w:val="00C03618"/>
  </w:style>
  <w:style w:type="table" w:customStyle="1" w:styleId="TableGrid10">
    <w:name w:val="Table Grid10"/>
    <w:basedOn w:val="TableNormal"/>
    <w:next w:val="TableGrid"/>
    <w:uiPriority w:val="59"/>
    <w:rsid w:val="00C03618"/>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C03618"/>
  </w:style>
  <w:style w:type="table" w:customStyle="1" w:styleId="TableGrid19">
    <w:name w:val="Table Grid19"/>
    <w:basedOn w:val="TableNormal"/>
    <w:next w:val="TableGrid"/>
    <w:uiPriority w:val="59"/>
    <w:rsid w:val="00C036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19">
    <w:name w:val="Light Shading119"/>
    <w:basedOn w:val="TableNormal"/>
    <w:uiPriority w:val="60"/>
    <w:rsid w:val="00C0361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20">
    <w:name w:val="No List20"/>
    <w:next w:val="NoList"/>
    <w:uiPriority w:val="99"/>
    <w:semiHidden/>
    <w:unhideWhenUsed/>
    <w:rsid w:val="00C03618"/>
  </w:style>
  <w:style w:type="table" w:customStyle="1" w:styleId="TableGrid20">
    <w:name w:val="Table Grid20"/>
    <w:basedOn w:val="TableNormal"/>
    <w:next w:val="TableGrid"/>
    <w:uiPriority w:val="59"/>
    <w:rsid w:val="00C03618"/>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0">
    <w:name w:val="No List110"/>
    <w:next w:val="NoList"/>
    <w:uiPriority w:val="99"/>
    <w:semiHidden/>
    <w:unhideWhenUsed/>
    <w:rsid w:val="00C03618"/>
  </w:style>
  <w:style w:type="table" w:customStyle="1" w:styleId="TableGrid110">
    <w:name w:val="Table Grid110"/>
    <w:basedOn w:val="TableNormal"/>
    <w:next w:val="TableGrid"/>
    <w:uiPriority w:val="59"/>
    <w:rsid w:val="00C036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20">
    <w:name w:val="Light Shading120"/>
    <w:basedOn w:val="TableNormal"/>
    <w:uiPriority w:val="60"/>
    <w:rsid w:val="00C0361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21">
    <w:name w:val="No List21"/>
    <w:next w:val="NoList"/>
    <w:uiPriority w:val="99"/>
    <w:semiHidden/>
    <w:unhideWhenUsed/>
    <w:rsid w:val="00C03618"/>
  </w:style>
  <w:style w:type="table" w:customStyle="1" w:styleId="TableGrid21">
    <w:name w:val="Table Grid21"/>
    <w:basedOn w:val="TableNormal"/>
    <w:next w:val="TableGrid"/>
    <w:uiPriority w:val="59"/>
    <w:rsid w:val="00C03618"/>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C03618"/>
  </w:style>
  <w:style w:type="table" w:customStyle="1" w:styleId="TableGrid111">
    <w:name w:val="Table Grid111"/>
    <w:basedOn w:val="TableNormal"/>
    <w:next w:val="TableGrid"/>
    <w:uiPriority w:val="59"/>
    <w:rsid w:val="00C036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21">
    <w:name w:val="Light Shading121"/>
    <w:basedOn w:val="TableNormal"/>
    <w:uiPriority w:val="60"/>
    <w:rsid w:val="00C0361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22">
    <w:name w:val="No List22"/>
    <w:next w:val="NoList"/>
    <w:uiPriority w:val="99"/>
    <w:semiHidden/>
    <w:unhideWhenUsed/>
    <w:rsid w:val="00C03618"/>
  </w:style>
  <w:style w:type="table" w:customStyle="1" w:styleId="LightShading122">
    <w:name w:val="Light Shading122"/>
    <w:basedOn w:val="TableNormal"/>
    <w:uiPriority w:val="60"/>
    <w:rsid w:val="00C0361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DefaultParagraphFont"/>
    <w:rsid w:val="00C03618"/>
  </w:style>
  <w:style w:type="paragraph" w:customStyle="1" w:styleId="EndNoteBibliographyTitle">
    <w:name w:val="EndNote Bibliography Title"/>
    <w:basedOn w:val="Normal"/>
    <w:link w:val="EndNoteBibliographyTitleChar"/>
    <w:rsid w:val="00C03618"/>
    <w:pPr>
      <w:jc w:val="center"/>
    </w:pPr>
    <w:rPr>
      <w:rFonts w:ascii="Calibri" w:eastAsia="Times New Roman" w:hAnsi="Calibri" w:cs="Times New Roman"/>
      <w:noProof/>
      <w:szCs w:val="24"/>
      <w:lang w:val="en-US" w:eastAsia="en-GB"/>
    </w:rPr>
  </w:style>
  <w:style w:type="character" w:customStyle="1" w:styleId="EndNoteBibliographyTitleChar">
    <w:name w:val="EndNote Bibliography Title Char"/>
    <w:basedOn w:val="Heading1Char"/>
    <w:link w:val="EndNoteBibliographyTitle"/>
    <w:rsid w:val="00C03618"/>
    <w:rPr>
      <w:rFonts w:ascii="Calibri" w:eastAsia="Times New Roman" w:hAnsi="Calibri" w:cs="Times New Roman"/>
      <w:b w:val="0"/>
      <w:noProof/>
      <w:sz w:val="24"/>
      <w:szCs w:val="24"/>
      <w:lang w:val="en-US" w:eastAsia="en-GB"/>
    </w:rPr>
  </w:style>
  <w:style w:type="paragraph" w:customStyle="1" w:styleId="EndNoteBibliography">
    <w:name w:val="EndNote Bibliography"/>
    <w:basedOn w:val="Normal"/>
    <w:link w:val="EndNoteBibliographyChar"/>
    <w:rsid w:val="00C03618"/>
    <w:pPr>
      <w:spacing w:line="240" w:lineRule="auto"/>
      <w:jc w:val="both"/>
    </w:pPr>
    <w:rPr>
      <w:rFonts w:ascii="Calibri" w:eastAsia="Times New Roman" w:hAnsi="Calibri" w:cs="Times New Roman"/>
      <w:noProof/>
      <w:szCs w:val="24"/>
      <w:lang w:val="en-US" w:eastAsia="en-GB"/>
    </w:rPr>
  </w:style>
  <w:style w:type="character" w:customStyle="1" w:styleId="EndNoteBibliographyChar">
    <w:name w:val="EndNote Bibliography Char"/>
    <w:basedOn w:val="Heading1Char"/>
    <w:link w:val="EndNoteBibliography"/>
    <w:rsid w:val="00C03618"/>
    <w:rPr>
      <w:rFonts w:ascii="Calibri" w:eastAsia="Times New Roman" w:hAnsi="Calibri" w:cs="Times New Roman"/>
      <w:b w:val="0"/>
      <w:noProof/>
      <w:sz w:val="24"/>
      <w:szCs w:val="24"/>
      <w:lang w:val="en-US" w:eastAsia="en-GB"/>
    </w:rPr>
  </w:style>
  <w:style w:type="paragraph" w:customStyle="1" w:styleId="Refs">
    <w:name w:val="Refs"/>
    <w:basedOn w:val="EndNoteBibliography"/>
    <w:link w:val="RefsChar"/>
    <w:qFormat/>
    <w:rsid w:val="00C03618"/>
    <w:pPr>
      <w:spacing w:line="480" w:lineRule="auto"/>
    </w:pPr>
    <w:rPr>
      <w:rFonts w:ascii="Times New Roman" w:hAnsi="Times New Roman"/>
    </w:rPr>
  </w:style>
  <w:style w:type="character" w:customStyle="1" w:styleId="RefsChar">
    <w:name w:val="Refs Char"/>
    <w:basedOn w:val="EndNoteBibliographyChar"/>
    <w:link w:val="Refs"/>
    <w:rsid w:val="00C03618"/>
    <w:rPr>
      <w:rFonts w:ascii="Times New Roman" w:eastAsia="Times New Roman" w:hAnsi="Times New Roman" w:cs="Times New Roman"/>
      <w:b w:val="0"/>
      <w:noProof/>
      <w:sz w:val="24"/>
      <w:szCs w:val="24"/>
      <w:lang w:val="en-US" w:eastAsia="en-GB"/>
    </w:rPr>
  </w:style>
  <w:style w:type="character" w:customStyle="1" w:styleId="apple-converted-space">
    <w:name w:val="apple-converted-space"/>
    <w:basedOn w:val="DefaultParagraphFont"/>
    <w:rsid w:val="00C03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jwillms@liverpool.ac.uk" TargetMode="External"/><Relationship Id="rId6" Type="http://schemas.openxmlformats.org/officeDocument/2006/relationships/hyperlink" Target="http://www.ncbi.nlm.nih.gov/genbank/" TargetMode="External"/><Relationship Id="rId7" Type="http://schemas.openxmlformats.org/officeDocument/2006/relationships/hyperlink" Target="http://mlst.ucc.ie/mlst/dbs/Ecoli" TargetMode="External"/><Relationship Id="rId8" Type="http://schemas.openxmlformats.org/officeDocument/2006/relationships/hyperlink" Target="http://mlst.warwick.ac.uk/mlst/dbs/Ecoli/GetTableInfo_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6580</Words>
  <Characters>37512</Characters>
  <Application>Microsoft Macintosh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Wedley, Amy</dc:creator>
  <cp:keywords/>
  <dc:description/>
  <cp:lastModifiedBy>Microsoft Office User</cp:lastModifiedBy>
  <cp:revision>2</cp:revision>
  <dcterms:created xsi:type="dcterms:W3CDTF">2017-03-14T21:31:00Z</dcterms:created>
  <dcterms:modified xsi:type="dcterms:W3CDTF">2017-03-14T21:31:00Z</dcterms:modified>
</cp:coreProperties>
</file>